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BF8A2" w14:textId="77777777" w:rsidR="00697161" w:rsidRPr="00E62FF7" w:rsidRDefault="00697161" w:rsidP="00332B06">
      <w:pPr>
        <w:rPr>
          <w:rFonts w:ascii="Times New Roman" w:hAnsi="Times New Roman"/>
        </w:rPr>
      </w:pPr>
      <w:bookmarkStart w:id="0" w:name="_GoBack"/>
      <w:bookmarkEnd w:id="0"/>
      <w:r w:rsidRPr="00E62FF7">
        <w:rPr>
          <w:rFonts w:ascii="Times New Roman" w:hAnsi="Times New Roman"/>
          <w:b/>
          <w:noProof/>
        </w:rPr>
        <w:drawing>
          <wp:anchor distT="0" distB="0" distL="114300" distR="114300" simplePos="0" relativeHeight="251659264" behindDoc="1" locked="0" layoutInCell="1" allowOverlap="1" wp14:anchorId="5E2BF93E" wp14:editId="5E2BF93F">
            <wp:simplePos x="0" y="0"/>
            <wp:positionH relativeFrom="column">
              <wp:posOffset>-438150</wp:posOffset>
            </wp:positionH>
            <wp:positionV relativeFrom="page">
              <wp:posOffset>676275</wp:posOffset>
            </wp:positionV>
            <wp:extent cx="6581775" cy="381000"/>
            <wp:effectExtent l="0" t="0" r="9525" b="0"/>
            <wp:wrapNone/>
            <wp:docPr id="1"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12" cstate="print"/>
                    <a:srcRect/>
                    <a:stretch>
                      <a:fillRect/>
                    </a:stretch>
                  </pic:blipFill>
                  <pic:spPr bwMode="auto">
                    <a:xfrm>
                      <a:off x="0" y="0"/>
                      <a:ext cx="6581775" cy="381000"/>
                    </a:xfrm>
                    <a:prstGeom prst="rect">
                      <a:avLst/>
                    </a:prstGeom>
                    <a:noFill/>
                  </pic:spPr>
                </pic:pic>
              </a:graphicData>
            </a:graphic>
          </wp:anchor>
        </w:drawing>
      </w:r>
    </w:p>
    <w:p w14:paraId="5E2BF8A3" w14:textId="77777777" w:rsidR="00697161" w:rsidRPr="00E62FF7" w:rsidRDefault="00697161" w:rsidP="00332B06">
      <w:pPr>
        <w:rPr>
          <w:rFonts w:ascii="Times New Roman" w:hAnsi="Times New Roman"/>
        </w:rPr>
      </w:pPr>
    </w:p>
    <w:p w14:paraId="5E2BF8A4" w14:textId="77777777" w:rsidR="009922CA" w:rsidRPr="00E62FF7" w:rsidRDefault="009922CA" w:rsidP="00332B06">
      <w:pPr>
        <w:pStyle w:val="Heading5"/>
        <w:jc w:val="both"/>
      </w:pPr>
      <w:r w:rsidRPr="00E62FF7">
        <w:t>December 29, 2015</w:t>
      </w:r>
    </w:p>
    <w:p w14:paraId="5E2BF8A5" w14:textId="77777777" w:rsidR="00BC6B1F" w:rsidRPr="00E62FF7" w:rsidRDefault="00BC6B1F" w:rsidP="00332B06">
      <w:pPr>
        <w:jc w:val="both"/>
        <w:rPr>
          <w:rFonts w:ascii="Times New Roman" w:hAnsi="Times New Roman"/>
          <w:b/>
          <w:i/>
        </w:rPr>
      </w:pPr>
    </w:p>
    <w:p w14:paraId="5E2BF8A6" w14:textId="77777777" w:rsidR="00BC6B1F" w:rsidRDefault="00BC6B1F" w:rsidP="00332B06">
      <w:pPr>
        <w:jc w:val="both"/>
        <w:rPr>
          <w:rFonts w:ascii="Times New Roman" w:hAnsi="Times New Roman"/>
          <w:b/>
          <w:i/>
        </w:rPr>
      </w:pPr>
      <w:r w:rsidRPr="00E62FF7">
        <w:rPr>
          <w:rFonts w:ascii="Times New Roman" w:hAnsi="Times New Roman"/>
          <w:b/>
          <w:i/>
        </w:rPr>
        <w:t>VIA ELECTRONIC FILING</w:t>
      </w:r>
    </w:p>
    <w:p w14:paraId="5E2BF8A7" w14:textId="77777777" w:rsidR="006F2004" w:rsidRPr="00E62FF7" w:rsidRDefault="006F2004" w:rsidP="00332B06">
      <w:pPr>
        <w:jc w:val="both"/>
        <w:rPr>
          <w:rFonts w:ascii="Times New Roman" w:hAnsi="Times New Roman"/>
          <w:b/>
          <w:i/>
        </w:rPr>
      </w:pPr>
      <w:r>
        <w:rPr>
          <w:rFonts w:ascii="Times New Roman" w:hAnsi="Times New Roman"/>
          <w:b/>
          <w:i/>
        </w:rPr>
        <w:t xml:space="preserve">AND OVERNIGHT DELIVERY </w:t>
      </w:r>
    </w:p>
    <w:p w14:paraId="5E2BF8A8" w14:textId="77777777" w:rsidR="00BC6B1F" w:rsidRPr="00E62FF7" w:rsidRDefault="00BC6B1F" w:rsidP="00332B06">
      <w:pPr>
        <w:jc w:val="both"/>
        <w:rPr>
          <w:rFonts w:ascii="Times New Roman" w:hAnsi="Times New Roman"/>
        </w:rPr>
      </w:pPr>
    </w:p>
    <w:p w14:paraId="5E2BF8A9" w14:textId="77777777" w:rsidR="009922CA" w:rsidRPr="00E62FF7" w:rsidRDefault="009922CA" w:rsidP="00332B06">
      <w:pPr>
        <w:jc w:val="both"/>
        <w:rPr>
          <w:rFonts w:ascii="Times New Roman" w:hAnsi="Times New Roman"/>
        </w:rPr>
      </w:pPr>
      <w:r w:rsidRPr="00E62FF7">
        <w:rPr>
          <w:rFonts w:ascii="Times New Roman" w:hAnsi="Times New Roman"/>
        </w:rPr>
        <w:t>Steven V. King</w:t>
      </w:r>
    </w:p>
    <w:p w14:paraId="5E2BF8AA" w14:textId="77777777" w:rsidR="009922CA" w:rsidRPr="00E62FF7" w:rsidRDefault="009922CA" w:rsidP="00332B06">
      <w:pPr>
        <w:jc w:val="both"/>
        <w:rPr>
          <w:rFonts w:ascii="Times New Roman" w:hAnsi="Times New Roman"/>
        </w:rPr>
      </w:pPr>
      <w:r w:rsidRPr="00E62FF7">
        <w:rPr>
          <w:rFonts w:ascii="Times New Roman" w:hAnsi="Times New Roman"/>
        </w:rPr>
        <w:t>Executive Director and Secretary</w:t>
      </w:r>
    </w:p>
    <w:p w14:paraId="5E2BF8AB" w14:textId="77777777" w:rsidR="00BC6B1F" w:rsidRPr="00E62FF7" w:rsidRDefault="00BC6B1F" w:rsidP="00332B06">
      <w:pPr>
        <w:jc w:val="both"/>
        <w:rPr>
          <w:rFonts w:ascii="Times New Roman" w:hAnsi="Times New Roman"/>
        </w:rPr>
      </w:pPr>
      <w:r w:rsidRPr="00E62FF7">
        <w:rPr>
          <w:rFonts w:ascii="Times New Roman" w:hAnsi="Times New Roman"/>
        </w:rPr>
        <w:t>Washington Utilities and Transportation Commission</w:t>
      </w:r>
    </w:p>
    <w:p w14:paraId="5E2BF8AC" w14:textId="77777777" w:rsidR="00BC6B1F" w:rsidRPr="00E62FF7" w:rsidRDefault="00BC6B1F" w:rsidP="00332B06">
      <w:pPr>
        <w:jc w:val="both"/>
        <w:rPr>
          <w:rFonts w:ascii="Times New Roman" w:hAnsi="Times New Roman"/>
        </w:rPr>
      </w:pPr>
      <w:r w:rsidRPr="00E62FF7">
        <w:rPr>
          <w:rFonts w:ascii="Times New Roman" w:hAnsi="Times New Roman"/>
        </w:rPr>
        <w:t>1300 S. Evergreen Park Drive SW</w:t>
      </w:r>
    </w:p>
    <w:p w14:paraId="5E2BF8AD" w14:textId="77777777" w:rsidR="00BC6B1F" w:rsidRPr="00E62FF7" w:rsidRDefault="00BC6B1F" w:rsidP="00332B06">
      <w:pPr>
        <w:jc w:val="both"/>
        <w:rPr>
          <w:rFonts w:ascii="Times New Roman" w:hAnsi="Times New Roman"/>
        </w:rPr>
      </w:pPr>
      <w:r w:rsidRPr="00E62FF7">
        <w:rPr>
          <w:rFonts w:ascii="Times New Roman" w:hAnsi="Times New Roman"/>
        </w:rPr>
        <w:t>P.O. Box 47250</w:t>
      </w:r>
    </w:p>
    <w:p w14:paraId="5E2BF8AE" w14:textId="77777777" w:rsidR="00BC6B1F" w:rsidRPr="00E62FF7" w:rsidRDefault="00BC6B1F" w:rsidP="00332B06">
      <w:pPr>
        <w:jc w:val="both"/>
        <w:rPr>
          <w:rFonts w:ascii="Times New Roman" w:hAnsi="Times New Roman"/>
        </w:rPr>
      </w:pPr>
      <w:r w:rsidRPr="00E62FF7">
        <w:rPr>
          <w:rFonts w:ascii="Times New Roman" w:hAnsi="Times New Roman"/>
        </w:rPr>
        <w:t>Olympia, WA 98504-7250</w:t>
      </w:r>
    </w:p>
    <w:p w14:paraId="5E2BF8AF" w14:textId="77777777" w:rsidR="00BC6B1F" w:rsidRPr="00E62FF7" w:rsidRDefault="00BC6B1F" w:rsidP="00332B06">
      <w:pPr>
        <w:tabs>
          <w:tab w:val="left" w:pos="720"/>
        </w:tabs>
        <w:jc w:val="both"/>
        <w:rPr>
          <w:rFonts w:ascii="Times New Roman" w:hAnsi="Times New Roman"/>
        </w:rPr>
      </w:pPr>
    </w:p>
    <w:p w14:paraId="5E2BF8B0" w14:textId="77777777" w:rsidR="00BC6B1F" w:rsidRPr="00E62FF7" w:rsidRDefault="00BC6B1F" w:rsidP="00332B06">
      <w:pPr>
        <w:tabs>
          <w:tab w:val="left" w:pos="720"/>
        </w:tabs>
        <w:ind w:left="720" w:hanging="720"/>
        <w:rPr>
          <w:rFonts w:ascii="Times New Roman" w:hAnsi="Times New Roman"/>
          <w:b/>
        </w:rPr>
      </w:pPr>
      <w:r w:rsidRPr="00E62FF7">
        <w:rPr>
          <w:rFonts w:ascii="Times New Roman" w:hAnsi="Times New Roman"/>
          <w:b/>
        </w:rPr>
        <w:t>RE:</w:t>
      </w:r>
      <w:r w:rsidRPr="00E62FF7">
        <w:rPr>
          <w:rFonts w:ascii="Times New Roman" w:hAnsi="Times New Roman"/>
          <w:b/>
        </w:rPr>
        <w:tab/>
      </w:r>
      <w:r w:rsidR="009922CA" w:rsidRPr="00E62FF7">
        <w:rPr>
          <w:rFonts w:ascii="Times New Roman" w:hAnsi="Times New Roman"/>
          <w:b/>
        </w:rPr>
        <w:t xml:space="preserve">Docket UE-140766—Pacific Power &amp; Light Company’s 2015 </w:t>
      </w:r>
      <w:r w:rsidRPr="00E62FF7">
        <w:rPr>
          <w:rFonts w:ascii="Times New Roman" w:hAnsi="Times New Roman"/>
          <w:b/>
        </w:rPr>
        <w:t>Critical Infrastructure Security Annual Report</w:t>
      </w:r>
    </w:p>
    <w:p w14:paraId="5E2BF8B1" w14:textId="77777777" w:rsidR="009922CA" w:rsidRPr="00E62FF7" w:rsidRDefault="009922CA" w:rsidP="00332B06">
      <w:pPr>
        <w:jc w:val="both"/>
        <w:rPr>
          <w:rFonts w:ascii="Times New Roman" w:hAnsi="Times New Roman"/>
        </w:rPr>
      </w:pPr>
    </w:p>
    <w:p w14:paraId="5E2BF8B2" w14:textId="77777777" w:rsidR="00BC6B1F" w:rsidRDefault="00BC6B1F" w:rsidP="00332B06">
      <w:pPr>
        <w:rPr>
          <w:rFonts w:ascii="Times New Roman" w:hAnsi="Times New Roman"/>
        </w:rPr>
      </w:pPr>
      <w:r w:rsidRPr="00E62FF7">
        <w:rPr>
          <w:rFonts w:ascii="Times New Roman" w:hAnsi="Times New Roman"/>
        </w:rPr>
        <w:t>Pacific Power &amp; Light Company</w:t>
      </w:r>
      <w:r w:rsidR="009922CA" w:rsidRPr="00E62FF7">
        <w:rPr>
          <w:rFonts w:ascii="Times New Roman" w:hAnsi="Times New Roman"/>
        </w:rPr>
        <w:t xml:space="preserve"> (Pacific Power or Company)</w:t>
      </w:r>
      <w:r w:rsidRPr="00E62FF7">
        <w:rPr>
          <w:rFonts w:ascii="Times New Roman" w:hAnsi="Times New Roman"/>
        </w:rPr>
        <w:t>, a division of PacifiCorp</w:t>
      </w:r>
      <w:r w:rsidR="009922CA" w:rsidRPr="00E62FF7">
        <w:rPr>
          <w:rFonts w:ascii="Times New Roman" w:hAnsi="Times New Roman"/>
        </w:rPr>
        <w:t>,</w:t>
      </w:r>
      <w:r w:rsidRPr="00E62FF7">
        <w:rPr>
          <w:rFonts w:ascii="Times New Roman" w:hAnsi="Times New Roman"/>
        </w:rPr>
        <w:t xml:space="preserve"> </w:t>
      </w:r>
      <w:r w:rsidR="009922CA" w:rsidRPr="00E62FF7">
        <w:rPr>
          <w:rFonts w:ascii="Times New Roman" w:hAnsi="Times New Roman"/>
        </w:rPr>
        <w:t xml:space="preserve">submits the following updated information on the Company’s critical infrastructure </w:t>
      </w:r>
      <w:r w:rsidR="00332B06" w:rsidRPr="00E62FF7">
        <w:rPr>
          <w:rFonts w:ascii="Times New Roman" w:hAnsi="Times New Roman"/>
        </w:rPr>
        <w:t xml:space="preserve">(CI) </w:t>
      </w:r>
      <w:r w:rsidR="009922CA" w:rsidRPr="00E62FF7">
        <w:rPr>
          <w:rFonts w:ascii="Times New Roman" w:hAnsi="Times New Roman"/>
        </w:rPr>
        <w:t>and cyber security program</w:t>
      </w:r>
      <w:r w:rsidRPr="00E62FF7">
        <w:rPr>
          <w:rFonts w:ascii="Times New Roman" w:hAnsi="Times New Roman"/>
        </w:rPr>
        <w:t>.</w:t>
      </w:r>
      <w:r w:rsidR="009922CA" w:rsidRPr="00E62FF7">
        <w:rPr>
          <w:rFonts w:ascii="Times New Roman" w:hAnsi="Times New Roman"/>
        </w:rPr>
        <w:t xml:space="preserve"> </w:t>
      </w:r>
      <w:r w:rsidRPr="00E62FF7">
        <w:rPr>
          <w:rFonts w:ascii="Times New Roman" w:hAnsi="Times New Roman"/>
        </w:rPr>
        <w:t xml:space="preserve"> </w:t>
      </w:r>
    </w:p>
    <w:p w14:paraId="5E2BF8B3" w14:textId="77777777" w:rsidR="001A3C2B" w:rsidRDefault="001A3C2B" w:rsidP="00332B06">
      <w:pPr>
        <w:rPr>
          <w:rFonts w:ascii="Times New Roman" w:hAnsi="Times New Roman"/>
        </w:rPr>
      </w:pPr>
    </w:p>
    <w:p w14:paraId="5E2BF8B4" w14:textId="77777777" w:rsidR="001A3C2B" w:rsidRPr="001A3C2B" w:rsidRDefault="001A3C2B" w:rsidP="001A3C2B">
      <w:pPr>
        <w:autoSpaceDE w:val="0"/>
        <w:autoSpaceDN w:val="0"/>
        <w:rPr>
          <w:rFonts w:ascii="Times New Roman" w:hAnsi="Times New Roman"/>
          <w:szCs w:val="24"/>
        </w:rPr>
      </w:pPr>
      <w:r>
        <w:rPr>
          <w:rFonts w:ascii="Times New Roman" w:hAnsi="Times New Roman"/>
          <w:szCs w:val="24"/>
        </w:rPr>
        <w:t>The Commission’s request for the Company to submit a Critical Infrastructure Security Report involves detailed information that is sensitive in nature, the release of which may create security risks to the Company, the bulk electric system and the electric network that serves our customers.  PacifiCorp’s responsibility to protect sensitive information requires that the Company’s response be at a high level; however, the Company will provide a more detailed briefing in a private, confidential setting, if requested.</w:t>
      </w:r>
    </w:p>
    <w:p w14:paraId="5E2BF8B5" w14:textId="77777777" w:rsidR="00BC6B1F" w:rsidRPr="00E62FF7" w:rsidRDefault="00BC6B1F" w:rsidP="00332B06">
      <w:pPr>
        <w:rPr>
          <w:rFonts w:ascii="Times New Roman" w:hAnsi="Times New Roman"/>
        </w:rPr>
      </w:pPr>
    </w:p>
    <w:p w14:paraId="5E2BF8B6" w14:textId="77777777" w:rsidR="00332B06" w:rsidRPr="00E62FF7" w:rsidRDefault="00265BCE" w:rsidP="00332B06">
      <w:pPr>
        <w:jc w:val="center"/>
        <w:rPr>
          <w:rFonts w:ascii="Times New Roman" w:hAnsi="Times New Roman"/>
          <w:b/>
        </w:rPr>
      </w:pPr>
      <w:r w:rsidRPr="00E62FF7">
        <w:rPr>
          <w:rFonts w:ascii="Times New Roman" w:hAnsi="Times New Roman"/>
          <w:b/>
        </w:rPr>
        <w:t>CYBERSECURITY AND PHYSICAL SECURITY</w:t>
      </w:r>
    </w:p>
    <w:p w14:paraId="5E2BF8B7" w14:textId="77777777" w:rsidR="00332B06" w:rsidRPr="00E62FF7" w:rsidRDefault="00332B06" w:rsidP="00332B06">
      <w:pPr>
        <w:jc w:val="center"/>
        <w:rPr>
          <w:rFonts w:ascii="Times New Roman" w:hAnsi="Times New Roman"/>
        </w:rPr>
      </w:pPr>
    </w:p>
    <w:p w14:paraId="5E2BF8B8" w14:textId="77777777" w:rsidR="00D974D2" w:rsidRDefault="00332B06" w:rsidP="00332B06">
      <w:pPr>
        <w:pStyle w:val="ListParagraph"/>
        <w:numPr>
          <w:ilvl w:val="0"/>
          <w:numId w:val="1"/>
        </w:numPr>
        <w:spacing w:before="0" w:after="0"/>
        <w:contextualSpacing/>
      </w:pPr>
      <w:r w:rsidRPr="00E62FF7">
        <w:t>Critical Infrastructure Security Policy and Teams</w:t>
      </w:r>
    </w:p>
    <w:p w14:paraId="5E2BF8B9" w14:textId="77777777" w:rsidR="00332B06" w:rsidRPr="00E62FF7" w:rsidRDefault="00332B06" w:rsidP="00D974D2">
      <w:pPr>
        <w:pStyle w:val="ListParagraph"/>
        <w:spacing w:before="0" w:after="0"/>
        <w:contextualSpacing/>
      </w:pPr>
      <w:r w:rsidRPr="00E62FF7">
        <w:t xml:space="preserve"> </w:t>
      </w:r>
    </w:p>
    <w:p w14:paraId="5E2BF8BA" w14:textId="77777777" w:rsidR="00332B06" w:rsidRPr="00E62FF7" w:rsidRDefault="00332B06" w:rsidP="00332B06">
      <w:pPr>
        <w:pStyle w:val="ListParagraph"/>
        <w:numPr>
          <w:ilvl w:val="1"/>
          <w:numId w:val="1"/>
        </w:numPr>
        <w:spacing w:before="0" w:after="0"/>
        <w:contextualSpacing/>
      </w:pPr>
      <w:r w:rsidRPr="00E62FF7">
        <w:t>Please provide a copy o</w:t>
      </w:r>
      <w:r w:rsidR="00265BCE" w:rsidRPr="00E62FF7">
        <w:t>f the table of contents of the C</w:t>
      </w:r>
      <w:r w:rsidRPr="00E62FF7">
        <w:t xml:space="preserve">ompany’s CI Security policy and identify any sections of the policy that have been added or modified since the last report. </w:t>
      </w:r>
    </w:p>
    <w:p w14:paraId="5E2BF8BB" w14:textId="77777777" w:rsidR="00332B06" w:rsidRPr="00E62FF7" w:rsidRDefault="00332B06" w:rsidP="00332B06">
      <w:pPr>
        <w:pStyle w:val="ListParagraph"/>
        <w:spacing w:before="0" w:after="0"/>
        <w:ind w:left="1440"/>
      </w:pPr>
    </w:p>
    <w:p w14:paraId="5E2BF8BC" w14:textId="77777777" w:rsidR="00332B06" w:rsidRPr="00E62FF7" w:rsidRDefault="00332B06" w:rsidP="00E62FF7">
      <w:pPr>
        <w:pStyle w:val="ListParagraph"/>
        <w:spacing w:before="0" w:after="0"/>
        <w:ind w:left="1440"/>
      </w:pPr>
      <w:r w:rsidRPr="00E62FF7">
        <w:rPr>
          <w:b/>
          <w:u w:val="single"/>
        </w:rPr>
        <w:t>Response</w:t>
      </w:r>
      <w:r w:rsidRPr="00E62FF7">
        <w:rPr>
          <w:b/>
        </w:rPr>
        <w:t>:</w:t>
      </w:r>
      <w:r w:rsidRPr="00E62FF7">
        <w:t xml:space="preserve">  No changes have been made since the Company’s last report.  </w:t>
      </w:r>
      <w:r w:rsidR="00E62FF7" w:rsidRPr="00E62FF7">
        <w:t xml:space="preserve">As reference, Attachment A to this report provides the table of contents for the </w:t>
      </w:r>
      <w:r w:rsidRPr="00E62FF7">
        <w:t xml:space="preserve">Berkshire Hathaway Energy Security Policies. </w:t>
      </w:r>
    </w:p>
    <w:p w14:paraId="5E2BF8BD" w14:textId="77777777" w:rsidR="00332B06" w:rsidRPr="00E62FF7" w:rsidRDefault="00332B06" w:rsidP="00332B06">
      <w:pPr>
        <w:pStyle w:val="ListParagraph"/>
        <w:spacing w:before="0" w:after="0"/>
        <w:ind w:left="1440"/>
      </w:pPr>
    </w:p>
    <w:p w14:paraId="5E2BF8BE" w14:textId="77777777" w:rsidR="00332B06" w:rsidRPr="00E62FF7" w:rsidRDefault="00332B06" w:rsidP="00332B06">
      <w:pPr>
        <w:pStyle w:val="ListParagraph"/>
        <w:numPr>
          <w:ilvl w:val="1"/>
          <w:numId w:val="1"/>
        </w:numPr>
        <w:spacing w:before="0" w:after="0"/>
        <w:contextualSpacing/>
      </w:pPr>
      <w:r w:rsidRPr="00E62FF7">
        <w:t xml:space="preserve">Please provide an organizational diagram of the </w:t>
      </w:r>
      <w:r w:rsidR="00265BCE" w:rsidRPr="00E62FF7">
        <w:t>C</w:t>
      </w:r>
      <w:r w:rsidRPr="00E62FF7">
        <w:t xml:space="preserve">ompany’s CI Security team(s). The diagram, or accompanying list, should include the titles of staff on the team. </w:t>
      </w:r>
    </w:p>
    <w:p w14:paraId="5E2BF8BF" w14:textId="77777777" w:rsidR="00332B06" w:rsidRPr="00E62FF7" w:rsidRDefault="00332B06" w:rsidP="00332B06">
      <w:pPr>
        <w:ind w:left="1440"/>
        <w:rPr>
          <w:rFonts w:ascii="Times New Roman" w:hAnsi="Times New Roman"/>
          <w:szCs w:val="24"/>
        </w:rPr>
      </w:pPr>
    </w:p>
    <w:p w14:paraId="5E2BF8C0" w14:textId="77777777" w:rsidR="00332B06" w:rsidRPr="00E62FF7" w:rsidRDefault="00332B06" w:rsidP="00332B06">
      <w:pPr>
        <w:ind w:left="1440"/>
        <w:rPr>
          <w:rFonts w:ascii="Times New Roman" w:hAnsi="Times New Roman"/>
          <w:szCs w:val="24"/>
        </w:rPr>
      </w:pPr>
      <w:r w:rsidRPr="00E62FF7">
        <w:rPr>
          <w:rFonts w:ascii="Times New Roman" w:hAnsi="Times New Roman"/>
          <w:b/>
          <w:szCs w:val="24"/>
          <w:u w:val="single"/>
        </w:rPr>
        <w:t>Response</w:t>
      </w:r>
      <w:r w:rsidRPr="00E62FF7">
        <w:rPr>
          <w:rFonts w:ascii="Times New Roman" w:hAnsi="Times New Roman"/>
          <w:b/>
          <w:szCs w:val="24"/>
        </w:rPr>
        <w:t>:</w:t>
      </w:r>
      <w:r w:rsidRPr="00E62FF7">
        <w:rPr>
          <w:rFonts w:ascii="Times New Roman" w:hAnsi="Times New Roman"/>
          <w:szCs w:val="24"/>
        </w:rPr>
        <w:t xml:space="preserve"> </w:t>
      </w:r>
      <w:r w:rsidR="00265BCE" w:rsidRPr="00E62FF7">
        <w:rPr>
          <w:rFonts w:ascii="Times New Roman" w:hAnsi="Times New Roman"/>
          <w:szCs w:val="24"/>
        </w:rPr>
        <w:t xml:space="preserve"> </w:t>
      </w:r>
      <w:r w:rsidRPr="00E62FF7">
        <w:rPr>
          <w:rFonts w:ascii="Times New Roman" w:hAnsi="Times New Roman"/>
          <w:szCs w:val="24"/>
        </w:rPr>
        <w:t xml:space="preserve">The Company employs a dedicated team of security professionals to manage its cybersecurity and physical security functions, but unable to share the organizational chart as it is considered security-sensitive company information. </w:t>
      </w:r>
    </w:p>
    <w:p w14:paraId="5E2BF8C1" w14:textId="77777777" w:rsidR="00332B06" w:rsidRPr="00E62FF7" w:rsidRDefault="00332B06" w:rsidP="00332B06">
      <w:pPr>
        <w:pStyle w:val="ListParagraph"/>
        <w:spacing w:before="0" w:after="0"/>
        <w:ind w:left="1440"/>
      </w:pPr>
    </w:p>
    <w:p w14:paraId="5E2BF8C2" w14:textId="77777777" w:rsidR="00332B06" w:rsidRPr="00E62FF7" w:rsidRDefault="00332B06" w:rsidP="00332B06">
      <w:pPr>
        <w:pStyle w:val="ListParagraph"/>
        <w:numPr>
          <w:ilvl w:val="1"/>
          <w:numId w:val="1"/>
        </w:numPr>
        <w:spacing w:before="0" w:after="0"/>
        <w:contextualSpacing/>
      </w:pPr>
      <w:r w:rsidRPr="00E62FF7">
        <w:t>Please provide a written description of any changes made in the past year to the company’s CI Security policy, and any changes to the team structure or th</w:t>
      </w:r>
      <w:r w:rsidR="00265BCE" w:rsidRPr="00E62FF7">
        <w:t>e placement of the team in the C</w:t>
      </w:r>
      <w:r w:rsidRPr="00E62FF7">
        <w:t xml:space="preserve">ompany’s organizational structure. </w:t>
      </w:r>
    </w:p>
    <w:p w14:paraId="5E2BF8C3" w14:textId="77777777" w:rsidR="00332B06" w:rsidRPr="00E62FF7" w:rsidRDefault="00332B06" w:rsidP="00332B06">
      <w:pPr>
        <w:ind w:left="1440"/>
        <w:rPr>
          <w:rFonts w:ascii="Times New Roman" w:hAnsi="Times New Roman"/>
          <w:szCs w:val="24"/>
        </w:rPr>
      </w:pPr>
    </w:p>
    <w:p w14:paraId="5E2BF8C4" w14:textId="77777777" w:rsidR="00332B06" w:rsidRPr="00E62FF7" w:rsidRDefault="00332B06" w:rsidP="00332B06">
      <w:pPr>
        <w:ind w:left="1440"/>
        <w:rPr>
          <w:rFonts w:ascii="Times New Roman" w:hAnsi="Times New Roman"/>
          <w:szCs w:val="24"/>
        </w:rPr>
      </w:pPr>
      <w:r w:rsidRPr="00E62FF7">
        <w:rPr>
          <w:rFonts w:ascii="Times New Roman" w:hAnsi="Times New Roman"/>
          <w:b/>
          <w:szCs w:val="24"/>
          <w:u w:val="single"/>
        </w:rPr>
        <w:t>Response</w:t>
      </w:r>
      <w:r w:rsidRPr="00E62FF7">
        <w:rPr>
          <w:rFonts w:ascii="Times New Roman" w:hAnsi="Times New Roman"/>
          <w:b/>
          <w:szCs w:val="24"/>
        </w:rPr>
        <w:t>:</w:t>
      </w:r>
      <w:r w:rsidRPr="00E62FF7">
        <w:rPr>
          <w:rFonts w:ascii="Times New Roman" w:hAnsi="Times New Roman"/>
          <w:szCs w:val="24"/>
        </w:rPr>
        <w:t xml:space="preserve"> </w:t>
      </w:r>
      <w:r w:rsidR="00265BCE" w:rsidRPr="00E62FF7">
        <w:rPr>
          <w:rFonts w:ascii="Times New Roman" w:hAnsi="Times New Roman"/>
          <w:szCs w:val="24"/>
        </w:rPr>
        <w:t xml:space="preserve"> </w:t>
      </w:r>
      <w:r w:rsidRPr="00E62FF7">
        <w:rPr>
          <w:rFonts w:ascii="Times New Roman" w:hAnsi="Times New Roman"/>
          <w:szCs w:val="24"/>
        </w:rPr>
        <w:t>No changes were made to the Company’s CI Security policy since the last report.  Previously, the corporate information security governance for all of the Berkshire Hathaway Energy affiliates was under the direction of the PacifiCorp Vice President of IT Applications and Security.  During 2015, the function was transitioned to the President of MidAmerican Energy Company</w:t>
      </w:r>
      <w:r w:rsidR="00810E6A" w:rsidRPr="00E62FF7">
        <w:rPr>
          <w:rFonts w:ascii="Times New Roman" w:hAnsi="Times New Roman"/>
          <w:szCs w:val="24"/>
        </w:rPr>
        <w:t xml:space="preserve">, who also serves as a designated industry CEO on the Electricity Subsector Coordinating Council representing Berkshire Hathaway Energy businesses on matters of national security and resiliency. </w:t>
      </w:r>
      <w:r w:rsidR="00E62FF7" w:rsidRPr="00E62FF7">
        <w:rPr>
          <w:rFonts w:ascii="Times New Roman" w:hAnsi="Times New Roman"/>
          <w:szCs w:val="24"/>
        </w:rPr>
        <w:t xml:space="preserve"> </w:t>
      </w:r>
      <w:r w:rsidRPr="00E62FF7">
        <w:rPr>
          <w:rFonts w:ascii="Times New Roman" w:hAnsi="Times New Roman"/>
          <w:szCs w:val="24"/>
        </w:rPr>
        <w:t xml:space="preserve">Oversight for PacifiCorp’s physical security organization remained under the authority of the PacifiCorp Vice President of IT Applications and Security. </w:t>
      </w:r>
    </w:p>
    <w:p w14:paraId="5E2BF8C5" w14:textId="77777777" w:rsidR="00332B06" w:rsidRPr="00E62FF7" w:rsidRDefault="00332B06" w:rsidP="00332B06">
      <w:pPr>
        <w:ind w:left="1440"/>
        <w:rPr>
          <w:rFonts w:ascii="Times New Roman" w:hAnsi="Times New Roman"/>
          <w:szCs w:val="24"/>
        </w:rPr>
      </w:pPr>
    </w:p>
    <w:p w14:paraId="5E2BF8C6" w14:textId="77777777" w:rsidR="00332B06" w:rsidRPr="00E62FF7" w:rsidRDefault="00332B06" w:rsidP="00332B06">
      <w:pPr>
        <w:pStyle w:val="ListParagraph"/>
        <w:numPr>
          <w:ilvl w:val="1"/>
          <w:numId w:val="1"/>
        </w:numPr>
        <w:spacing w:before="0" w:after="0"/>
        <w:contextualSpacing/>
      </w:pPr>
      <w:r w:rsidRPr="00E62FF7">
        <w:t xml:space="preserve">What internal processes does the Company use to evaluate its CI Security policy and structure? </w:t>
      </w:r>
    </w:p>
    <w:p w14:paraId="5E2BF8C7" w14:textId="77777777" w:rsidR="00332B06" w:rsidRPr="00E62FF7" w:rsidRDefault="00332B06" w:rsidP="00332B06">
      <w:pPr>
        <w:ind w:left="1440"/>
        <w:rPr>
          <w:rFonts w:ascii="Times New Roman" w:hAnsi="Times New Roman"/>
          <w:szCs w:val="24"/>
        </w:rPr>
      </w:pPr>
    </w:p>
    <w:p w14:paraId="5E2BF8C8" w14:textId="77777777" w:rsidR="00332B06" w:rsidRPr="00E62FF7" w:rsidRDefault="00332B06" w:rsidP="00332B06">
      <w:pPr>
        <w:ind w:left="1440"/>
        <w:rPr>
          <w:rFonts w:ascii="Times New Roman" w:hAnsi="Times New Roman"/>
          <w:szCs w:val="24"/>
        </w:rPr>
      </w:pPr>
      <w:r w:rsidRPr="00E62FF7">
        <w:rPr>
          <w:rFonts w:ascii="Times New Roman" w:hAnsi="Times New Roman"/>
          <w:b/>
          <w:szCs w:val="24"/>
          <w:u w:val="single"/>
        </w:rPr>
        <w:t>Response</w:t>
      </w:r>
      <w:r w:rsidRPr="00E62FF7">
        <w:rPr>
          <w:rFonts w:ascii="Times New Roman" w:hAnsi="Times New Roman"/>
          <w:b/>
          <w:szCs w:val="24"/>
        </w:rPr>
        <w:t>:</w:t>
      </w:r>
      <w:r w:rsidRPr="00E62FF7">
        <w:rPr>
          <w:rFonts w:ascii="Times New Roman" w:hAnsi="Times New Roman"/>
          <w:szCs w:val="24"/>
        </w:rPr>
        <w:t xml:space="preserve"> </w:t>
      </w:r>
      <w:r w:rsidR="00265BCE" w:rsidRPr="00E62FF7">
        <w:rPr>
          <w:rFonts w:ascii="Times New Roman" w:hAnsi="Times New Roman"/>
          <w:szCs w:val="24"/>
        </w:rPr>
        <w:t xml:space="preserve"> </w:t>
      </w:r>
      <w:r w:rsidRPr="00E62FF7">
        <w:rPr>
          <w:rFonts w:ascii="Times New Roman" w:hAnsi="Times New Roman"/>
          <w:szCs w:val="24"/>
        </w:rPr>
        <w:t xml:space="preserve">Annual review processes are in place, including consultation with a companywide policy steering group comprising senior IT leaders from each business. </w:t>
      </w:r>
    </w:p>
    <w:p w14:paraId="5E2BF8C9" w14:textId="77777777" w:rsidR="00332B06" w:rsidRPr="00E62FF7" w:rsidRDefault="00332B06" w:rsidP="00332B06">
      <w:pPr>
        <w:ind w:left="1440"/>
        <w:rPr>
          <w:rFonts w:ascii="Times New Roman" w:hAnsi="Times New Roman"/>
          <w:szCs w:val="24"/>
        </w:rPr>
      </w:pPr>
    </w:p>
    <w:p w14:paraId="5E2BF8CA" w14:textId="77777777" w:rsidR="00332B06" w:rsidRPr="00E62FF7" w:rsidRDefault="00332B06" w:rsidP="00332B06">
      <w:pPr>
        <w:pStyle w:val="ListParagraph"/>
        <w:numPr>
          <w:ilvl w:val="0"/>
          <w:numId w:val="1"/>
        </w:numPr>
        <w:spacing w:before="0" w:after="0"/>
      </w:pPr>
      <w:r w:rsidRPr="00E62FF7">
        <w:t xml:space="preserve">Please describe the Company’s participation in regional or national tabletop exercises, conferences, committees, or other events related to CI Security. </w:t>
      </w:r>
    </w:p>
    <w:p w14:paraId="5E2BF8CB" w14:textId="77777777" w:rsidR="00332B06" w:rsidRPr="00E62FF7" w:rsidRDefault="00332B06" w:rsidP="00332B06">
      <w:pPr>
        <w:ind w:left="720"/>
        <w:rPr>
          <w:rFonts w:ascii="Times New Roman" w:hAnsi="Times New Roman"/>
          <w:szCs w:val="24"/>
        </w:rPr>
      </w:pPr>
    </w:p>
    <w:p w14:paraId="5E2BF8CC" w14:textId="77777777" w:rsidR="00332B06" w:rsidRPr="00E62FF7" w:rsidRDefault="00332B06" w:rsidP="00265BCE">
      <w:pPr>
        <w:ind w:left="1440"/>
        <w:rPr>
          <w:rFonts w:ascii="Times New Roman" w:hAnsi="Times New Roman"/>
          <w:szCs w:val="24"/>
        </w:rPr>
      </w:pPr>
      <w:r w:rsidRPr="00E62FF7">
        <w:rPr>
          <w:rFonts w:ascii="Times New Roman" w:hAnsi="Times New Roman"/>
          <w:b/>
          <w:szCs w:val="24"/>
          <w:u w:val="single"/>
        </w:rPr>
        <w:t>Response</w:t>
      </w:r>
      <w:r w:rsidRPr="00E62FF7">
        <w:rPr>
          <w:rFonts w:ascii="Times New Roman" w:hAnsi="Times New Roman"/>
          <w:b/>
          <w:szCs w:val="24"/>
        </w:rPr>
        <w:t>:</w:t>
      </w:r>
      <w:r w:rsidRPr="00E62FF7">
        <w:rPr>
          <w:rFonts w:ascii="Times New Roman" w:hAnsi="Times New Roman"/>
          <w:szCs w:val="24"/>
        </w:rPr>
        <w:t xml:space="preserve"> </w:t>
      </w:r>
      <w:r w:rsidR="00265BCE" w:rsidRPr="00E62FF7">
        <w:rPr>
          <w:rFonts w:ascii="Times New Roman" w:hAnsi="Times New Roman"/>
          <w:szCs w:val="24"/>
        </w:rPr>
        <w:t xml:space="preserve"> </w:t>
      </w:r>
      <w:r w:rsidRPr="00E62FF7">
        <w:rPr>
          <w:rFonts w:ascii="Times New Roman" w:hAnsi="Times New Roman"/>
          <w:szCs w:val="24"/>
        </w:rPr>
        <w:t xml:space="preserve">PacifiCorp participated in the NERC GridEx III exercise in November 2015. </w:t>
      </w:r>
    </w:p>
    <w:p w14:paraId="5E2BF8CD" w14:textId="77777777" w:rsidR="00332B06" w:rsidRPr="00E62FF7" w:rsidRDefault="00332B06" w:rsidP="00265BCE">
      <w:pPr>
        <w:ind w:left="1440"/>
        <w:rPr>
          <w:rFonts w:ascii="Times New Roman" w:hAnsi="Times New Roman"/>
          <w:szCs w:val="24"/>
        </w:rPr>
      </w:pPr>
    </w:p>
    <w:p w14:paraId="5E2BF8CE" w14:textId="77777777" w:rsidR="00332B06" w:rsidRPr="00E62FF7" w:rsidRDefault="00332B06" w:rsidP="00265BCE">
      <w:pPr>
        <w:ind w:left="1440"/>
        <w:rPr>
          <w:rFonts w:ascii="Times New Roman" w:hAnsi="Times New Roman"/>
          <w:szCs w:val="24"/>
        </w:rPr>
      </w:pPr>
      <w:r w:rsidRPr="00E62FF7">
        <w:rPr>
          <w:rFonts w:ascii="Times New Roman" w:hAnsi="Times New Roman"/>
          <w:szCs w:val="24"/>
        </w:rPr>
        <w:t xml:space="preserve">PacifiCorp’s participation in committees and conferences included: </w:t>
      </w:r>
    </w:p>
    <w:p w14:paraId="5E2BF8CF" w14:textId="77777777" w:rsidR="00332B06" w:rsidRPr="00E62FF7" w:rsidRDefault="00332B06" w:rsidP="00265BCE">
      <w:pPr>
        <w:pStyle w:val="ListParagraph"/>
        <w:numPr>
          <w:ilvl w:val="0"/>
          <w:numId w:val="5"/>
        </w:numPr>
        <w:spacing w:before="0" w:after="0"/>
        <w:ind w:left="1800"/>
        <w:contextualSpacing/>
      </w:pPr>
      <w:r w:rsidRPr="00E62FF7">
        <w:t xml:space="preserve">Electricity Subsector Coordinating Council (ESCC) </w:t>
      </w:r>
    </w:p>
    <w:p w14:paraId="5E2BF8D0" w14:textId="77777777" w:rsidR="00332B06" w:rsidRPr="00E62FF7" w:rsidRDefault="00332B06" w:rsidP="00265BCE">
      <w:pPr>
        <w:pStyle w:val="ListParagraph"/>
        <w:numPr>
          <w:ilvl w:val="0"/>
          <w:numId w:val="5"/>
        </w:numPr>
        <w:spacing w:before="0" w:after="0"/>
        <w:ind w:left="1800"/>
        <w:contextualSpacing/>
      </w:pPr>
      <w:r w:rsidRPr="00E62FF7">
        <w:t xml:space="preserve">EEI/AGA Security Committee &amp; Conference </w:t>
      </w:r>
    </w:p>
    <w:p w14:paraId="5E2BF8D1" w14:textId="77777777" w:rsidR="00332B06" w:rsidRPr="00E62FF7" w:rsidRDefault="00332B06" w:rsidP="00265BCE">
      <w:pPr>
        <w:pStyle w:val="ListParagraph"/>
        <w:numPr>
          <w:ilvl w:val="0"/>
          <w:numId w:val="5"/>
        </w:numPr>
        <w:spacing w:before="0" w:after="0"/>
        <w:ind w:left="1800"/>
        <w:contextualSpacing/>
      </w:pPr>
      <w:r w:rsidRPr="00E62FF7">
        <w:t xml:space="preserve">CEATI – Security Infrastructure Protection Security Interest Group (IPSIG) – Chairperson </w:t>
      </w:r>
    </w:p>
    <w:p w14:paraId="5E2BF8D2" w14:textId="77777777" w:rsidR="00332B06" w:rsidRPr="00E62FF7" w:rsidRDefault="00332B06" w:rsidP="00265BCE">
      <w:pPr>
        <w:ind w:left="1440"/>
        <w:rPr>
          <w:rFonts w:ascii="Times New Roman" w:hAnsi="Times New Roman"/>
          <w:szCs w:val="24"/>
        </w:rPr>
      </w:pPr>
    </w:p>
    <w:p w14:paraId="5E2BF8D3" w14:textId="77777777" w:rsidR="00332B06" w:rsidRPr="00E62FF7" w:rsidRDefault="00332B06" w:rsidP="00265BCE">
      <w:pPr>
        <w:ind w:left="1440"/>
        <w:rPr>
          <w:rFonts w:ascii="Times New Roman" w:hAnsi="Times New Roman"/>
          <w:szCs w:val="24"/>
        </w:rPr>
      </w:pPr>
      <w:r w:rsidRPr="00E62FF7">
        <w:rPr>
          <w:rFonts w:ascii="Times New Roman" w:hAnsi="Times New Roman"/>
          <w:szCs w:val="24"/>
        </w:rPr>
        <w:t xml:space="preserve">PacifiCorp receives classified briefings and attends a counter-intelligence conference. </w:t>
      </w:r>
    </w:p>
    <w:p w14:paraId="5E2BF8D4" w14:textId="77777777" w:rsidR="00332B06" w:rsidRPr="00E62FF7" w:rsidRDefault="00332B06" w:rsidP="00332B06">
      <w:pPr>
        <w:ind w:left="720"/>
        <w:rPr>
          <w:rFonts w:ascii="Times New Roman" w:hAnsi="Times New Roman"/>
          <w:szCs w:val="24"/>
        </w:rPr>
      </w:pPr>
    </w:p>
    <w:p w14:paraId="5E2BF8D5" w14:textId="77777777" w:rsidR="00332B06" w:rsidRDefault="00332B06" w:rsidP="00332B06">
      <w:pPr>
        <w:pStyle w:val="ListParagraph"/>
        <w:numPr>
          <w:ilvl w:val="0"/>
          <w:numId w:val="1"/>
        </w:numPr>
        <w:spacing w:before="0" w:after="0"/>
        <w:contextualSpacing/>
      </w:pPr>
      <w:r w:rsidRPr="00E62FF7">
        <w:t xml:space="preserve">Please include a list of any unauthorized actions related to cybersecurity or physical security that have occurred since the last report which led to one or more of the following: </w:t>
      </w:r>
    </w:p>
    <w:p w14:paraId="5E2BF8D6" w14:textId="77777777" w:rsidR="00D974D2" w:rsidRPr="00E62FF7" w:rsidRDefault="00D974D2" w:rsidP="00D974D2">
      <w:pPr>
        <w:pStyle w:val="ListParagraph"/>
        <w:spacing w:before="0" w:after="0"/>
        <w:contextualSpacing/>
      </w:pPr>
    </w:p>
    <w:p w14:paraId="5E2BF8D7" w14:textId="77777777" w:rsidR="00332B06" w:rsidRPr="00E62FF7" w:rsidRDefault="00332B06" w:rsidP="00332B06">
      <w:pPr>
        <w:pStyle w:val="ListParagraph"/>
        <w:numPr>
          <w:ilvl w:val="1"/>
          <w:numId w:val="3"/>
        </w:numPr>
        <w:spacing w:before="0" w:after="0"/>
        <w:ind w:hanging="180"/>
        <w:contextualSpacing/>
      </w:pPr>
      <w:r w:rsidRPr="00E62FF7">
        <w:t xml:space="preserve">loss of service; </w:t>
      </w:r>
    </w:p>
    <w:p w14:paraId="5E2BF8D8" w14:textId="77777777" w:rsidR="00332B06" w:rsidRPr="00E62FF7" w:rsidRDefault="00332B06" w:rsidP="00332B06">
      <w:pPr>
        <w:pStyle w:val="ListParagraph"/>
        <w:numPr>
          <w:ilvl w:val="1"/>
          <w:numId w:val="3"/>
        </w:numPr>
        <w:spacing w:before="0" w:after="0"/>
        <w:ind w:hanging="180"/>
        <w:contextualSpacing/>
      </w:pPr>
      <w:r w:rsidRPr="00E62FF7">
        <w:t xml:space="preserve">interruption of a critical business process; </w:t>
      </w:r>
    </w:p>
    <w:p w14:paraId="5E2BF8D9" w14:textId="77777777" w:rsidR="00332B06" w:rsidRPr="00E62FF7" w:rsidRDefault="00332B06" w:rsidP="00332B06">
      <w:pPr>
        <w:pStyle w:val="ListParagraph"/>
        <w:numPr>
          <w:ilvl w:val="1"/>
          <w:numId w:val="3"/>
        </w:numPr>
        <w:spacing w:before="0" w:after="0"/>
        <w:ind w:hanging="180"/>
        <w:contextualSpacing/>
      </w:pPr>
      <w:r w:rsidRPr="00E62FF7">
        <w:t xml:space="preserve">breach of sensitive business or customer information; or </w:t>
      </w:r>
    </w:p>
    <w:p w14:paraId="5E2BF8DA" w14:textId="77777777" w:rsidR="00332B06" w:rsidRPr="00E62FF7" w:rsidRDefault="00332B06" w:rsidP="00332B06">
      <w:pPr>
        <w:pStyle w:val="ListParagraph"/>
        <w:numPr>
          <w:ilvl w:val="1"/>
          <w:numId w:val="3"/>
        </w:numPr>
        <w:spacing w:before="0" w:after="0"/>
        <w:ind w:hanging="180"/>
        <w:contextualSpacing/>
      </w:pPr>
      <w:r w:rsidRPr="00E62FF7">
        <w:lastRenderedPageBreak/>
        <w:t xml:space="preserve">serious financial harm. </w:t>
      </w:r>
    </w:p>
    <w:p w14:paraId="5E2BF8DB" w14:textId="77777777" w:rsidR="00332B06" w:rsidRDefault="00332B06" w:rsidP="00332B06">
      <w:pPr>
        <w:ind w:left="360" w:firstLine="360"/>
        <w:rPr>
          <w:rFonts w:ascii="Times New Roman" w:hAnsi="Times New Roman"/>
          <w:szCs w:val="24"/>
        </w:rPr>
      </w:pPr>
      <w:r w:rsidRPr="00E62FF7">
        <w:rPr>
          <w:rFonts w:ascii="Times New Roman" w:hAnsi="Times New Roman"/>
          <w:szCs w:val="24"/>
        </w:rPr>
        <w:t xml:space="preserve">The list should include the following information about each event: </w:t>
      </w:r>
    </w:p>
    <w:p w14:paraId="5E2BF8DC" w14:textId="77777777" w:rsidR="00D974D2" w:rsidRPr="00E62FF7" w:rsidRDefault="00D974D2" w:rsidP="00332B06">
      <w:pPr>
        <w:ind w:left="360" w:firstLine="360"/>
        <w:rPr>
          <w:rFonts w:ascii="Times New Roman" w:hAnsi="Times New Roman"/>
          <w:szCs w:val="24"/>
        </w:rPr>
      </w:pPr>
    </w:p>
    <w:p w14:paraId="5E2BF8DD" w14:textId="77777777" w:rsidR="00332B06" w:rsidRPr="00E62FF7" w:rsidRDefault="00332B06" w:rsidP="00332B06">
      <w:pPr>
        <w:pStyle w:val="ListParagraph"/>
        <w:numPr>
          <w:ilvl w:val="0"/>
          <w:numId w:val="2"/>
        </w:numPr>
        <w:spacing w:before="0" w:after="0"/>
        <w:contextualSpacing/>
      </w:pPr>
      <w:r w:rsidRPr="00E62FF7">
        <w:t xml:space="preserve">any organizations or government entities notified of the event or involved in the response to the event; </w:t>
      </w:r>
    </w:p>
    <w:p w14:paraId="5E2BF8DE" w14:textId="77777777" w:rsidR="00332B06" w:rsidRPr="00E62FF7" w:rsidRDefault="00332B06" w:rsidP="00332B06">
      <w:pPr>
        <w:pStyle w:val="ListParagraph"/>
        <w:numPr>
          <w:ilvl w:val="0"/>
          <w:numId w:val="2"/>
        </w:numPr>
        <w:spacing w:before="0" w:after="0"/>
        <w:contextualSpacing/>
      </w:pPr>
      <w:r w:rsidRPr="00E62FF7">
        <w:t xml:space="preserve">a description of the event and its impact; </w:t>
      </w:r>
    </w:p>
    <w:p w14:paraId="5E2BF8DF" w14:textId="77777777" w:rsidR="00332B06" w:rsidRPr="00E62FF7" w:rsidRDefault="00265BCE" w:rsidP="00332B06">
      <w:pPr>
        <w:pStyle w:val="ListParagraph"/>
        <w:numPr>
          <w:ilvl w:val="0"/>
          <w:numId w:val="2"/>
        </w:numPr>
        <w:spacing w:before="0" w:after="0"/>
        <w:contextualSpacing/>
      </w:pPr>
      <w:r w:rsidRPr="00E62FF7">
        <w:t>whether the C</w:t>
      </w:r>
      <w:r w:rsidR="00332B06" w:rsidRPr="00E62FF7">
        <w:t xml:space="preserve">ompany conducted a root cause analysis of the event; </w:t>
      </w:r>
    </w:p>
    <w:p w14:paraId="5E2BF8E0" w14:textId="77777777" w:rsidR="00332B06" w:rsidRPr="00E62FF7" w:rsidRDefault="00332B06" w:rsidP="00332B06">
      <w:pPr>
        <w:pStyle w:val="ListParagraph"/>
        <w:numPr>
          <w:ilvl w:val="0"/>
          <w:numId w:val="2"/>
        </w:numPr>
        <w:spacing w:before="0" w:after="0"/>
        <w:contextualSpacing/>
      </w:pPr>
      <w:r w:rsidRPr="00E62FF7">
        <w:t xml:space="preserve">how many follow-up actions were identified as a result of the incident; </w:t>
      </w:r>
    </w:p>
    <w:p w14:paraId="5E2BF8E1" w14:textId="77777777" w:rsidR="00332B06" w:rsidRPr="00E62FF7" w:rsidRDefault="00332B06" w:rsidP="00332B06">
      <w:pPr>
        <w:pStyle w:val="ListParagraph"/>
        <w:numPr>
          <w:ilvl w:val="0"/>
          <w:numId w:val="2"/>
        </w:numPr>
        <w:spacing w:before="0" w:after="0"/>
        <w:contextualSpacing/>
      </w:pPr>
      <w:r w:rsidRPr="00E62FF7">
        <w:t xml:space="preserve">how many of the follow-up actions identified in part (c.) are scheduled (please provide the calendar quarter of projected start and completion dates), in active implementation (please provide the calendar quarter of the projected completion date), or completed; and </w:t>
      </w:r>
    </w:p>
    <w:p w14:paraId="5E2BF8E2" w14:textId="77777777" w:rsidR="00332B06" w:rsidRPr="00E62FF7" w:rsidRDefault="00332B06" w:rsidP="00332B06">
      <w:pPr>
        <w:pStyle w:val="ListParagraph"/>
        <w:numPr>
          <w:ilvl w:val="0"/>
          <w:numId w:val="2"/>
        </w:numPr>
        <w:spacing w:before="0" w:after="0"/>
        <w:contextualSpacing/>
      </w:pPr>
      <w:r w:rsidRPr="00E62FF7">
        <w:t xml:space="preserve">date the incident was resolved, if applicable. </w:t>
      </w:r>
    </w:p>
    <w:p w14:paraId="5E2BF8E3" w14:textId="77777777" w:rsidR="00332B06" w:rsidRPr="00E62FF7" w:rsidRDefault="00332B06" w:rsidP="00332B06">
      <w:pPr>
        <w:ind w:left="720"/>
        <w:rPr>
          <w:rFonts w:ascii="Times New Roman" w:hAnsi="Times New Roman"/>
          <w:szCs w:val="24"/>
        </w:rPr>
      </w:pPr>
    </w:p>
    <w:p w14:paraId="5E2BF8E4" w14:textId="77777777" w:rsidR="00332B06" w:rsidRPr="00E62FF7" w:rsidRDefault="00332B06" w:rsidP="00265BCE">
      <w:pPr>
        <w:ind w:left="1440"/>
        <w:rPr>
          <w:rFonts w:ascii="Times New Roman" w:hAnsi="Times New Roman"/>
          <w:szCs w:val="24"/>
        </w:rPr>
      </w:pPr>
      <w:r w:rsidRPr="00E62FF7">
        <w:rPr>
          <w:rFonts w:ascii="Times New Roman" w:hAnsi="Times New Roman"/>
          <w:b/>
          <w:szCs w:val="24"/>
          <w:u w:val="single"/>
        </w:rPr>
        <w:t>Response</w:t>
      </w:r>
      <w:r w:rsidRPr="00E62FF7">
        <w:rPr>
          <w:rFonts w:ascii="Times New Roman" w:hAnsi="Times New Roman"/>
          <w:b/>
          <w:szCs w:val="24"/>
        </w:rPr>
        <w:t>:</w:t>
      </w:r>
      <w:r w:rsidRPr="00E62FF7">
        <w:rPr>
          <w:rFonts w:ascii="Times New Roman" w:hAnsi="Times New Roman"/>
          <w:szCs w:val="24"/>
        </w:rPr>
        <w:t xml:space="preserve"> </w:t>
      </w:r>
      <w:r w:rsidR="00265BCE" w:rsidRPr="00E62FF7">
        <w:rPr>
          <w:rFonts w:ascii="Times New Roman" w:hAnsi="Times New Roman"/>
          <w:szCs w:val="24"/>
        </w:rPr>
        <w:t xml:space="preserve"> </w:t>
      </w:r>
      <w:r w:rsidRPr="00E62FF7">
        <w:rPr>
          <w:rFonts w:ascii="Times New Roman" w:hAnsi="Times New Roman"/>
          <w:szCs w:val="24"/>
        </w:rPr>
        <w:t xml:space="preserve">No incidents to report. </w:t>
      </w:r>
    </w:p>
    <w:p w14:paraId="5E2BF8E5" w14:textId="77777777" w:rsidR="00E62FF7" w:rsidRPr="00E62FF7" w:rsidRDefault="00E62FF7" w:rsidP="00265BCE">
      <w:pPr>
        <w:ind w:left="1440"/>
        <w:rPr>
          <w:rFonts w:ascii="Times New Roman" w:hAnsi="Times New Roman"/>
          <w:szCs w:val="24"/>
        </w:rPr>
      </w:pPr>
    </w:p>
    <w:p w14:paraId="5E2BF8E6" w14:textId="77777777" w:rsidR="00332B06" w:rsidRPr="00E62FF7" w:rsidRDefault="00265BCE" w:rsidP="00332B06">
      <w:pPr>
        <w:pStyle w:val="ListParagraph"/>
        <w:numPr>
          <w:ilvl w:val="0"/>
          <w:numId w:val="1"/>
        </w:numPr>
        <w:spacing w:before="0" w:after="0"/>
        <w:contextualSpacing/>
      </w:pPr>
      <w:r w:rsidRPr="00E62FF7">
        <w:t>Does the C</w:t>
      </w:r>
      <w:r w:rsidR="00332B06" w:rsidRPr="00E62FF7">
        <w:t>ompany have retainers or contracts for outside help in the event of an incident?  What kind</w:t>
      </w:r>
      <w:r w:rsidRPr="00E62FF7">
        <w:t xml:space="preserve"> of support is provided by the C</w:t>
      </w:r>
      <w:r w:rsidR="00332B06" w:rsidRPr="00E62FF7">
        <w:t>ompany’s incident response retainers or contracts that pro</w:t>
      </w:r>
      <w:r w:rsidRPr="00E62FF7">
        <w:t>vide similar services?  Is the C</w:t>
      </w:r>
      <w:r w:rsidR="00332B06" w:rsidRPr="00E62FF7">
        <w:t xml:space="preserve">ompany currently participating in any resource sharing agreements such as the Northwest Mutual Assistance Agreement, Western Region Mutual Assistance Agreement, or Spare Transformer Equipment Program? </w:t>
      </w:r>
    </w:p>
    <w:p w14:paraId="5E2BF8E7" w14:textId="77777777" w:rsidR="00332B06" w:rsidRPr="00E62FF7" w:rsidRDefault="00332B06" w:rsidP="00332B06">
      <w:pPr>
        <w:ind w:left="720"/>
        <w:rPr>
          <w:rFonts w:ascii="Times New Roman" w:hAnsi="Times New Roman"/>
          <w:szCs w:val="24"/>
        </w:rPr>
      </w:pPr>
    </w:p>
    <w:p w14:paraId="5E2BF8E8" w14:textId="77777777" w:rsidR="00332B06" w:rsidRPr="00E62FF7" w:rsidRDefault="00332B06" w:rsidP="00265BCE">
      <w:pPr>
        <w:ind w:left="1440"/>
        <w:rPr>
          <w:rFonts w:ascii="Times New Roman" w:hAnsi="Times New Roman"/>
          <w:szCs w:val="24"/>
        </w:rPr>
      </w:pPr>
      <w:r w:rsidRPr="00E62FF7">
        <w:rPr>
          <w:rFonts w:ascii="Times New Roman" w:hAnsi="Times New Roman"/>
          <w:b/>
          <w:szCs w:val="24"/>
          <w:u w:val="single"/>
        </w:rPr>
        <w:t>Response</w:t>
      </w:r>
      <w:r w:rsidRPr="00E62FF7">
        <w:rPr>
          <w:rFonts w:ascii="Times New Roman" w:hAnsi="Times New Roman"/>
          <w:b/>
          <w:szCs w:val="24"/>
        </w:rPr>
        <w:t>:</w:t>
      </w:r>
      <w:r w:rsidRPr="00E62FF7">
        <w:rPr>
          <w:rFonts w:ascii="Times New Roman" w:hAnsi="Times New Roman"/>
          <w:szCs w:val="24"/>
        </w:rPr>
        <w:t xml:space="preserve"> </w:t>
      </w:r>
      <w:r w:rsidR="00265BCE" w:rsidRPr="00E62FF7">
        <w:rPr>
          <w:rFonts w:ascii="Times New Roman" w:hAnsi="Times New Roman"/>
          <w:szCs w:val="24"/>
        </w:rPr>
        <w:t xml:space="preserve"> </w:t>
      </w:r>
      <w:r w:rsidRPr="00E62FF7">
        <w:rPr>
          <w:rFonts w:ascii="Times New Roman" w:hAnsi="Times New Roman"/>
          <w:szCs w:val="24"/>
        </w:rPr>
        <w:t xml:space="preserve">PacifiCorp is eligible to participate in several commercial incident response retainers that have been negotiated at the Berkshire Hathaway Energy level. </w:t>
      </w:r>
      <w:r w:rsidR="00265BCE" w:rsidRPr="00E62FF7">
        <w:rPr>
          <w:rFonts w:ascii="Times New Roman" w:hAnsi="Times New Roman"/>
          <w:szCs w:val="24"/>
        </w:rPr>
        <w:t xml:space="preserve"> </w:t>
      </w:r>
      <w:r w:rsidRPr="00E62FF7">
        <w:rPr>
          <w:rFonts w:ascii="Times New Roman" w:hAnsi="Times New Roman"/>
          <w:szCs w:val="24"/>
        </w:rPr>
        <w:t xml:space="preserve">It also participates in regional and national resource sharing agreements. </w:t>
      </w:r>
    </w:p>
    <w:p w14:paraId="5E2BF8E9" w14:textId="77777777" w:rsidR="00332B06" w:rsidRPr="00E62FF7" w:rsidRDefault="00332B06" w:rsidP="00332B06">
      <w:pPr>
        <w:ind w:left="720"/>
        <w:rPr>
          <w:rFonts w:ascii="Times New Roman" w:hAnsi="Times New Roman"/>
          <w:szCs w:val="24"/>
        </w:rPr>
      </w:pPr>
    </w:p>
    <w:p w14:paraId="5E2BF8EA" w14:textId="77777777" w:rsidR="00332B06" w:rsidRDefault="00332B06" w:rsidP="00332B06">
      <w:pPr>
        <w:pStyle w:val="ListParagraph"/>
        <w:numPr>
          <w:ilvl w:val="0"/>
          <w:numId w:val="1"/>
        </w:numPr>
        <w:spacing w:before="0" w:after="0"/>
        <w:contextualSpacing/>
      </w:pPr>
      <w:r w:rsidRPr="00E62FF7">
        <w:t>Please identify the ris</w:t>
      </w:r>
      <w:r w:rsidR="00265BCE" w:rsidRPr="00E62FF7">
        <w:t>k assessment tools used by the C</w:t>
      </w:r>
      <w:r w:rsidRPr="00E62FF7">
        <w:t xml:space="preserve">ompany that relate to CI Security (i.e., ES-C2M2, NIST Framework, etc.). </w:t>
      </w:r>
    </w:p>
    <w:p w14:paraId="5E2BF8EB" w14:textId="77777777" w:rsidR="00D974D2" w:rsidRPr="00E62FF7" w:rsidRDefault="00D974D2" w:rsidP="00D974D2">
      <w:pPr>
        <w:pStyle w:val="ListParagraph"/>
        <w:spacing w:before="0" w:after="0"/>
        <w:contextualSpacing/>
      </w:pPr>
    </w:p>
    <w:p w14:paraId="5E2BF8EC" w14:textId="77777777" w:rsidR="00332B06" w:rsidRPr="00E62FF7" w:rsidRDefault="00332B06" w:rsidP="00332B06">
      <w:pPr>
        <w:pStyle w:val="ListParagraph"/>
        <w:numPr>
          <w:ilvl w:val="1"/>
          <w:numId w:val="1"/>
        </w:numPr>
        <w:spacing w:before="0" w:after="0"/>
        <w:contextualSpacing/>
      </w:pPr>
      <w:r w:rsidRPr="00E62FF7">
        <w:t>Has an independent third p</w:t>
      </w:r>
      <w:r w:rsidR="00265BCE" w:rsidRPr="00E62FF7">
        <w:t>arty reviewed the C</w:t>
      </w:r>
      <w:r w:rsidRPr="00E62FF7">
        <w:t xml:space="preserve">ompany’s risk management policy? </w:t>
      </w:r>
    </w:p>
    <w:p w14:paraId="5E2BF8ED" w14:textId="77777777" w:rsidR="00332B06" w:rsidRPr="00E62FF7" w:rsidRDefault="00332B06" w:rsidP="00332B06">
      <w:pPr>
        <w:pStyle w:val="ListParagraph"/>
        <w:numPr>
          <w:ilvl w:val="1"/>
          <w:numId w:val="1"/>
        </w:numPr>
        <w:spacing w:before="0" w:after="0"/>
        <w:contextualSpacing/>
      </w:pPr>
      <w:r w:rsidRPr="00E62FF7">
        <w:t xml:space="preserve">If so, when did it occur, and how many follow-up actions were identified? How many of these follow-up actions are scheduled (please provide the calendar quarter of projected start and completion dates), in active implementation (please provide the calendar quarter of the projected completion date), or completed? </w:t>
      </w:r>
    </w:p>
    <w:p w14:paraId="5E2BF8EE" w14:textId="77777777" w:rsidR="00332B06" w:rsidRPr="00E62FF7" w:rsidRDefault="00332B06" w:rsidP="00332B06">
      <w:pPr>
        <w:ind w:left="720"/>
        <w:rPr>
          <w:rFonts w:ascii="Times New Roman" w:hAnsi="Times New Roman"/>
          <w:szCs w:val="24"/>
        </w:rPr>
      </w:pPr>
    </w:p>
    <w:p w14:paraId="5E2BF8EF" w14:textId="77777777" w:rsidR="00332B06" w:rsidRPr="00E62FF7" w:rsidRDefault="00332B06" w:rsidP="00265BCE">
      <w:pPr>
        <w:ind w:left="1440"/>
        <w:rPr>
          <w:rFonts w:ascii="Times New Roman" w:hAnsi="Times New Roman"/>
          <w:szCs w:val="24"/>
        </w:rPr>
      </w:pPr>
      <w:r w:rsidRPr="00E62FF7">
        <w:rPr>
          <w:rFonts w:ascii="Times New Roman" w:hAnsi="Times New Roman"/>
          <w:b/>
          <w:szCs w:val="24"/>
          <w:u w:val="single"/>
        </w:rPr>
        <w:t>Response</w:t>
      </w:r>
      <w:r w:rsidRPr="00E62FF7">
        <w:rPr>
          <w:rFonts w:ascii="Times New Roman" w:hAnsi="Times New Roman"/>
          <w:b/>
          <w:szCs w:val="24"/>
        </w:rPr>
        <w:t>:</w:t>
      </w:r>
      <w:r w:rsidRPr="00E62FF7">
        <w:rPr>
          <w:rFonts w:ascii="Times New Roman" w:hAnsi="Times New Roman"/>
          <w:szCs w:val="24"/>
        </w:rPr>
        <w:t xml:space="preserve"> </w:t>
      </w:r>
      <w:r w:rsidR="00265BCE" w:rsidRPr="00E62FF7">
        <w:rPr>
          <w:rFonts w:ascii="Times New Roman" w:hAnsi="Times New Roman"/>
          <w:szCs w:val="24"/>
        </w:rPr>
        <w:t xml:space="preserve"> </w:t>
      </w:r>
      <w:r w:rsidRPr="00E62FF7">
        <w:rPr>
          <w:rFonts w:ascii="Times New Roman" w:hAnsi="Times New Roman"/>
          <w:szCs w:val="24"/>
        </w:rPr>
        <w:t>Berkshire Hathaway Energy businesses use ES-C2M2, DOE Cybersecurity Risk Management Framework and NIST Cybersecurity Framework to help them assess risks. A third-party review was conducted in 2013. Key follow-up items were completed in 2014.</w:t>
      </w:r>
    </w:p>
    <w:p w14:paraId="5E2BF8F0" w14:textId="77777777" w:rsidR="00332B06" w:rsidRPr="00E62FF7" w:rsidRDefault="00332B06" w:rsidP="00332B06">
      <w:pPr>
        <w:ind w:left="720"/>
        <w:rPr>
          <w:rFonts w:ascii="Times New Roman" w:hAnsi="Times New Roman"/>
          <w:szCs w:val="24"/>
        </w:rPr>
      </w:pPr>
    </w:p>
    <w:p w14:paraId="5E2BF8F1" w14:textId="77777777" w:rsidR="00332B06" w:rsidRPr="00E62FF7" w:rsidRDefault="00265BCE" w:rsidP="00332B06">
      <w:pPr>
        <w:pStyle w:val="ListParagraph"/>
        <w:numPr>
          <w:ilvl w:val="0"/>
          <w:numId w:val="1"/>
        </w:numPr>
        <w:spacing w:before="0" w:after="0"/>
        <w:contextualSpacing/>
      </w:pPr>
      <w:r w:rsidRPr="00E62FF7">
        <w:t>Does the C</w:t>
      </w:r>
      <w:r w:rsidR="00332B06" w:rsidRPr="00E62FF7">
        <w:t xml:space="preserve">ompany have an incident response plan? </w:t>
      </w:r>
      <w:r w:rsidRPr="00E62FF7">
        <w:t xml:space="preserve"> </w:t>
      </w:r>
      <w:r w:rsidR="00332B06" w:rsidRPr="00E62FF7">
        <w:t xml:space="preserve">If so, when was it most recently used or tested, and what is the timeframe for the next scheduled test? </w:t>
      </w:r>
    </w:p>
    <w:p w14:paraId="5E2BF8F2" w14:textId="77777777" w:rsidR="00332B06" w:rsidRPr="00E62FF7" w:rsidRDefault="00332B06" w:rsidP="00332B06">
      <w:pPr>
        <w:ind w:left="720"/>
        <w:rPr>
          <w:rFonts w:ascii="Times New Roman" w:hAnsi="Times New Roman"/>
          <w:szCs w:val="24"/>
        </w:rPr>
      </w:pPr>
    </w:p>
    <w:p w14:paraId="5E2BF8F3" w14:textId="77777777" w:rsidR="00332B06" w:rsidRPr="00E62FF7" w:rsidRDefault="00332B06" w:rsidP="00265BCE">
      <w:pPr>
        <w:ind w:left="1440"/>
        <w:rPr>
          <w:rFonts w:ascii="Times New Roman" w:hAnsi="Times New Roman"/>
          <w:szCs w:val="24"/>
        </w:rPr>
      </w:pPr>
      <w:r w:rsidRPr="00E62FF7">
        <w:rPr>
          <w:rFonts w:ascii="Times New Roman" w:hAnsi="Times New Roman"/>
          <w:b/>
          <w:szCs w:val="24"/>
          <w:u w:val="single"/>
        </w:rPr>
        <w:lastRenderedPageBreak/>
        <w:t>Response</w:t>
      </w:r>
      <w:r w:rsidRPr="00E62FF7">
        <w:rPr>
          <w:rFonts w:ascii="Times New Roman" w:hAnsi="Times New Roman"/>
          <w:b/>
          <w:szCs w:val="24"/>
        </w:rPr>
        <w:t>:</w:t>
      </w:r>
      <w:r w:rsidRPr="00E62FF7">
        <w:rPr>
          <w:rFonts w:ascii="Times New Roman" w:hAnsi="Times New Roman"/>
          <w:szCs w:val="24"/>
        </w:rPr>
        <w:t xml:space="preserve"> </w:t>
      </w:r>
      <w:r w:rsidR="00265BCE" w:rsidRPr="00E62FF7">
        <w:rPr>
          <w:rFonts w:ascii="Times New Roman" w:hAnsi="Times New Roman"/>
          <w:szCs w:val="24"/>
        </w:rPr>
        <w:t xml:space="preserve"> </w:t>
      </w:r>
      <w:r w:rsidRPr="00E62FF7">
        <w:rPr>
          <w:rFonts w:ascii="Times New Roman" w:hAnsi="Times New Roman"/>
          <w:szCs w:val="24"/>
        </w:rPr>
        <w:t xml:space="preserve">Depending on the scope and severity of an incident, an escalating set of incident response teams can be mobilized, including a corporate-level team. The National Incident Management System (NIMS) is used as the foundation for the incident command team structures and protocols. </w:t>
      </w:r>
    </w:p>
    <w:p w14:paraId="5E2BF8F4" w14:textId="77777777" w:rsidR="00332B06" w:rsidRPr="00E62FF7" w:rsidRDefault="00332B06" w:rsidP="00265BCE">
      <w:pPr>
        <w:ind w:left="1440"/>
        <w:rPr>
          <w:rFonts w:ascii="Times New Roman" w:hAnsi="Times New Roman"/>
          <w:szCs w:val="24"/>
        </w:rPr>
      </w:pPr>
    </w:p>
    <w:p w14:paraId="5E2BF8F5" w14:textId="77777777" w:rsidR="00332B06" w:rsidRPr="00E62FF7" w:rsidRDefault="00332B06" w:rsidP="00265BCE">
      <w:pPr>
        <w:ind w:left="1440"/>
        <w:rPr>
          <w:rFonts w:ascii="Times New Roman" w:hAnsi="Times New Roman"/>
          <w:szCs w:val="24"/>
        </w:rPr>
      </w:pPr>
      <w:r w:rsidRPr="00E62FF7">
        <w:rPr>
          <w:rFonts w:ascii="Times New Roman" w:hAnsi="Times New Roman"/>
          <w:szCs w:val="24"/>
        </w:rPr>
        <w:t xml:space="preserve">PacifiCorp’s Cybersecurity Incident Response Plan (CSIRP) comprises information and physical security incident response strategies. </w:t>
      </w:r>
      <w:r w:rsidR="00265BCE" w:rsidRPr="00E62FF7">
        <w:rPr>
          <w:rFonts w:ascii="Times New Roman" w:hAnsi="Times New Roman"/>
          <w:szCs w:val="24"/>
        </w:rPr>
        <w:t xml:space="preserve"> </w:t>
      </w:r>
      <w:r w:rsidRPr="00E62FF7">
        <w:rPr>
          <w:rFonts w:ascii="Times New Roman" w:hAnsi="Times New Roman"/>
          <w:szCs w:val="24"/>
        </w:rPr>
        <w:t>The plan was reviewed through a tabletop exercise August 12, 2015.</w:t>
      </w:r>
      <w:r w:rsidR="00265BCE" w:rsidRPr="00E62FF7">
        <w:rPr>
          <w:rFonts w:ascii="Times New Roman" w:hAnsi="Times New Roman"/>
          <w:szCs w:val="24"/>
        </w:rPr>
        <w:t xml:space="preserve"> </w:t>
      </w:r>
      <w:r w:rsidRPr="00E62FF7">
        <w:rPr>
          <w:rFonts w:ascii="Times New Roman" w:hAnsi="Times New Roman"/>
          <w:szCs w:val="24"/>
        </w:rPr>
        <w:t xml:space="preserve"> The last plan activation occurred in April 2012. </w:t>
      </w:r>
      <w:r w:rsidR="00265BCE" w:rsidRPr="00E62FF7">
        <w:rPr>
          <w:rFonts w:ascii="Times New Roman" w:hAnsi="Times New Roman"/>
          <w:szCs w:val="24"/>
        </w:rPr>
        <w:t xml:space="preserve"> </w:t>
      </w:r>
      <w:r w:rsidRPr="00E62FF7">
        <w:rPr>
          <w:rFonts w:ascii="Times New Roman" w:hAnsi="Times New Roman"/>
          <w:szCs w:val="24"/>
        </w:rPr>
        <w:t xml:space="preserve">The next assessment is scheduled on or about August 9, 2016. </w:t>
      </w:r>
    </w:p>
    <w:p w14:paraId="5E2BF8F6" w14:textId="77777777" w:rsidR="00332B06" w:rsidRPr="00E62FF7" w:rsidRDefault="00332B06" w:rsidP="00265BCE">
      <w:pPr>
        <w:ind w:left="1440"/>
        <w:rPr>
          <w:rFonts w:ascii="Times New Roman" w:hAnsi="Times New Roman"/>
          <w:szCs w:val="24"/>
        </w:rPr>
      </w:pPr>
    </w:p>
    <w:p w14:paraId="5E2BF8F7" w14:textId="77777777" w:rsidR="00332B06" w:rsidRPr="00E62FF7" w:rsidRDefault="00332B06" w:rsidP="00265BCE">
      <w:pPr>
        <w:ind w:left="1440"/>
        <w:rPr>
          <w:rFonts w:ascii="Times New Roman" w:hAnsi="Times New Roman"/>
          <w:szCs w:val="24"/>
        </w:rPr>
      </w:pPr>
      <w:r w:rsidRPr="00E62FF7">
        <w:rPr>
          <w:rFonts w:ascii="Times New Roman" w:hAnsi="Times New Roman"/>
          <w:szCs w:val="24"/>
        </w:rPr>
        <w:t xml:space="preserve">Pacific Power and Rocky Mountain Power each have business-level incident response plans and emergency action centers in place. </w:t>
      </w:r>
      <w:r w:rsidR="00265BCE" w:rsidRPr="00E62FF7">
        <w:rPr>
          <w:rFonts w:ascii="Times New Roman" w:hAnsi="Times New Roman"/>
          <w:szCs w:val="24"/>
        </w:rPr>
        <w:t xml:space="preserve"> </w:t>
      </w:r>
      <w:r w:rsidRPr="00E62FF7">
        <w:rPr>
          <w:rFonts w:ascii="Times New Roman" w:hAnsi="Times New Roman"/>
          <w:szCs w:val="24"/>
        </w:rPr>
        <w:t xml:space="preserve">There is a PacifiCorp IT Emergency Action Plan and dedicated action center. </w:t>
      </w:r>
      <w:r w:rsidR="00265BCE" w:rsidRPr="00E62FF7">
        <w:rPr>
          <w:rFonts w:ascii="Times New Roman" w:hAnsi="Times New Roman"/>
          <w:szCs w:val="24"/>
        </w:rPr>
        <w:t xml:space="preserve"> </w:t>
      </w:r>
      <w:r w:rsidRPr="00E62FF7">
        <w:rPr>
          <w:rFonts w:ascii="Times New Roman" w:hAnsi="Times New Roman"/>
          <w:szCs w:val="24"/>
        </w:rPr>
        <w:t xml:space="preserve">The various business units are required to maintain and exercise related business continuity and technology recovery plans. </w:t>
      </w:r>
    </w:p>
    <w:p w14:paraId="5E2BF8F8" w14:textId="77777777" w:rsidR="00332B06" w:rsidRPr="00E62FF7" w:rsidRDefault="00332B06" w:rsidP="00332B06">
      <w:pPr>
        <w:ind w:left="720"/>
        <w:rPr>
          <w:rFonts w:ascii="Times New Roman" w:hAnsi="Times New Roman"/>
          <w:szCs w:val="24"/>
        </w:rPr>
      </w:pPr>
    </w:p>
    <w:p w14:paraId="5E2BF8F9" w14:textId="77777777" w:rsidR="00332B06" w:rsidRPr="00E62FF7" w:rsidRDefault="00332B06" w:rsidP="00332B06">
      <w:pPr>
        <w:pStyle w:val="ListParagraph"/>
        <w:numPr>
          <w:ilvl w:val="0"/>
          <w:numId w:val="1"/>
        </w:numPr>
        <w:spacing w:before="0" w:after="0"/>
        <w:contextualSpacing/>
      </w:pPr>
      <w:r w:rsidRPr="00E62FF7">
        <w:t>Please describe any volunta</w:t>
      </w:r>
      <w:r w:rsidR="00265BCE" w:rsidRPr="00E62FF7">
        <w:t>ry security standards that the C</w:t>
      </w:r>
      <w:r w:rsidRPr="00E62FF7">
        <w:t xml:space="preserve">ompany has adopted. </w:t>
      </w:r>
    </w:p>
    <w:p w14:paraId="5E2BF8FA" w14:textId="77777777" w:rsidR="00332B06" w:rsidRPr="00E62FF7" w:rsidRDefault="00332B06" w:rsidP="00332B06">
      <w:pPr>
        <w:ind w:left="720"/>
        <w:rPr>
          <w:rFonts w:ascii="Times New Roman" w:hAnsi="Times New Roman"/>
          <w:szCs w:val="24"/>
        </w:rPr>
      </w:pPr>
    </w:p>
    <w:p w14:paraId="5E2BF8FB" w14:textId="77777777" w:rsidR="00332B06" w:rsidRPr="00E62FF7" w:rsidRDefault="00332B06" w:rsidP="00265BCE">
      <w:pPr>
        <w:ind w:left="1440"/>
        <w:rPr>
          <w:rFonts w:ascii="Times New Roman" w:hAnsi="Times New Roman"/>
          <w:szCs w:val="24"/>
        </w:rPr>
      </w:pPr>
      <w:r w:rsidRPr="00E62FF7">
        <w:rPr>
          <w:rFonts w:ascii="Times New Roman" w:hAnsi="Times New Roman"/>
          <w:b/>
          <w:szCs w:val="24"/>
          <w:u w:val="single"/>
        </w:rPr>
        <w:t>Response</w:t>
      </w:r>
      <w:r w:rsidRPr="00E62FF7">
        <w:rPr>
          <w:rFonts w:ascii="Times New Roman" w:hAnsi="Times New Roman"/>
          <w:b/>
          <w:szCs w:val="24"/>
        </w:rPr>
        <w:t>:</w:t>
      </w:r>
      <w:r w:rsidRPr="00E62FF7">
        <w:rPr>
          <w:rFonts w:ascii="Times New Roman" w:hAnsi="Times New Roman"/>
          <w:szCs w:val="24"/>
        </w:rPr>
        <w:t xml:space="preserve"> </w:t>
      </w:r>
      <w:r w:rsidR="00265BCE" w:rsidRPr="00E62FF7">
        <w:rPr>
          <w:rFonts w:ascii="Times New Roman" w:hAnsi="Times New Roman"/>
          <w:szCs w:val="24"/>
        </w:rPr>
        <w:t xml:space="preserve"> </w:t>
      </w:r>
      <w:r w:rsidRPr="00E62FF7">
        <w:rPr>
          <w:rFonts w:ascii="Times New Roman" w:hAnsi="Times New Roman"/>
          <w:szCs w:val="24"/>
        </w:rPr>
        <w:t xml:space="preserve">Voluntary standards are leveraged to influence good security practices. PacifiCorp’s cybersecurity and physical security organizations leverage the following standards when developing security practices: </w:t>
      </w:r>
    </w:p>
    <w:p w14:paraId="5E2BF8FC" w14:textId="77777777" w:rsidR="00332B06" w:rsidRPr="00E62FF7" w:rsidRDefault="00332B06" w:rsidP="00265BCE">
      <w:pPr>
        <w:pStyle w:val="ListParagraph"/>
        <w:numPr>
          <w:ilvl w:val="0"/>
          <w:numId w:val="4"/>
        </w:numPr>
        <w:spacing w:before="0" w:after="0"/>
        <w:ind w:left="1800"/>
        <w:contextualSpacing/>
      </w:pPr>
      <w:r w:rsidRPr="00E62FF7">
        <w:t xml:space="preserve">ES-C2M2 </w:t>
      </w:r>
    </w:p>
    <w:p w14:paraId="5E2BF8FD" w14:textId="77777777" w:rsidR="00332B06" w:rsidRPr="00E62FF7" w:rsidRDefault="00332B06" w:rsidP="00265BCE">
      <w:pPr>
        <w:pStyle w:val="ListParagraph"/>
        <w:numPr>
          <w:ilvl w:val="0"/>
          <w:numId w:val="4"/>
        </w:numPr>
        <w:spacing w:before="0" w:after="0"/>
        <w:ind w:left="1800"/>
        <w:contextualSpacing/>
      </w:pPr>
      <w:r w:rsidRPr="00E62FF7">
        <w:t xml:space="preserve">NIST Cybersecurity Framework </w:t>
      </w:r>
    </w:p>
    <w:p w14:paraId="5E2BF8FE" w14:textId="77777777" w:rsidR="00332B06" w:rsidRPr="00E62FF7" w:rsidRDefault="00332B06" w:rsidP="00265BCE">
      <w:pPr>
        <w:pStyle w:val="ListParagraph"/>
        <w:numPr>
          <w:ilvl w:val="0"/>
          <w:numId w:val="4"/>
        </w:numPr>
        <w:spacing w:before="0" w:after="0"/>
        <w:ind w:left="1800"/>
        <w:contextualSpacing/>
      </w:pPr>
      <w:r w:rsidRPr="00E62FF7">
        <w:t xml:space="preserve">NIST 800 series </w:t>
      </w:r>
    </w:p>
    <w:p w14:paraId="5E2BF8FF" w14:textId="77777777" w:rsidR="00332B06" w:rsidRPr="00E62FF7" w:rsidRDefault="00332B06" w:rsidP="00265BCE">
      <w:pPr>
        <w:pStyle w:val="ListParagraph"/>
        <w:numPr>
          <w:ilvl w:val="0"/>
          <w:numId w:val="4"/>
        </w:numPr>
        <w:spacing w:before="0" w:after="0"/>
        <w:ind w:left="1800"/>
        <w:contextualSpacing/>
      </w:pPr>
      <w:r w:rsidRPr="00E62FF7">
        <w:t xml:space="preserve">ISO 27001 </w:t>
      </w:r>
    </w:p>
    <w:p w14:paraId="5E2BF900" w14:textId="77777777" w:rsidR="00332B06" w:rsidRPr="00E62FF7" w:rsidRDefault="00332B06" w:rsidP="00265BCE">
      <w:pPr>
        <w:pStyle w:val="ListParagraph"/>
        <w:numPr>
          <w:ilvl w:val="0"/>
          <w:numId w:val="4"/>
        </w:numPr>
        <w:spacing w:before="0" w:after="0"/>
        <w:ind w:left="1800"/>
        <w:contextualSpacing/>
      </w:pPr>
      <w:r w:rsidRPr="00E62FF7">
        <w:t xml:space="preserve">ASIS International SPC1-2009 – Electronic Security Systems </w:t>
      </w:r>
    </w:p>
    <w:p w14:paraId="5E2BF901" w14:textId="77777777" w:rsidR="00332B06" w:rsidRPr="00E62FF7" w:rsidRDefault="00332B06" w:rsidP="00265BCE">
      <w:pPr>
        <w:pStyle w:val="ListParagraph"/>
        <w:numPr>
          <w:ilvl w:val="0"/>
          <w:numId w:val="4"/>
        </w:numPr>
        <w:spacing w:before="0" w:after="0"/>
        <w:ind w:left="1800"/>
        <w:contextualSpacing/>
      </w:pPr>
      <w:r w:rsidRPr="00E62FF7">
        <w:t xml:space="preserve">NFPA 730-731 – Organizational Resilience </w:t>
      </w:r>
    </w:p>
    <w:p w14:paraId="5E2BF902" w14:textId="77777777" w:rsidR="00332B06" w:rsidRPr="00E62FF7" w:rsidRDefault="00332B06" w:rsidP="00332B06">
      <w:pPr>
        <w:ind w:left="720"/>
        <w:rPr>
          <w:rFonts w:ascii="Times New Roman" w:hAnsi="Times New Roman"/>
          <w:szCs w:val="24"/>
        </w:rPr>
      </w:pPr>
    </w:p>
    <w:p w14:paraId="5E2BF903" w14:textId="77777777" w:rsidR="00332B06" w:rsidRPr="00E62FF7" w:rsidRDefault="00332B06" w:rsidP="00332B06">
      <w:pPr>
        <w:pStyle w:val="ListParagraph"/>
        <w:numPr>
          <w:ilvl w:val="0"/>
          <w:numId w:val="1"/>
        </w:numPr>
        <w:spacing w:before="0" w:after="0"/>
        <w:contextualSpacing/>
      </w:pPr>
      <w:r w:rsidRPr="00E62FF7">
        <w:t xml:space="preserve">Please describe any security training provided to company employees. </w:t>
      </w:r>
    </w:p>
    <w:p w14:paraId="5E2BF904" w14:textId="77777777" w:rsidR="00332B06" w:rsidRPr="00E62FF7" w:rsidRDefault="00332B06" w:rsidP="00332B06">
      <w:pPr>
        <w:ind w:left="720"/>
        <w:rPr>
          <w:rFonts w:ascii="Times New Roman" w:hAnsi="Times New Roman"/>
          <w:szCs w:val="24"/>
        </w:rPr>
      </w:pPr>
    </w:p>
    <w:p w14:paraId="5E2BF905" w14:textId="77777777" w:rsidR="00332B06" w:rsidRPr="00E62FF7" w:rsidRDefault="00332B06" w:rsidP="00265BCE">
      <w:pPr>
        <w:ind w:left="1440"/>
        <w:rPr>
          <w:rFonts w:ascii="Times New Roman" w:hAnsi="Times New Roman"/>
          <w:szCs w:val="24"/>
        </w:rPr>
      </w:pPr>
      <w:r w:rsidRPr="00E62FF7">
        <w:rPr>
          <w:rFonts w:ascii="Times New Roman" w:hAnsi="Times New Roman"/>
          <w:b/>
          <w:szCs w:val="24"/>
          <w:u w:val="single"/>
        </w:rPr>
        <w:t>Response</w:t>
      </w:r>
      <w:r w:rsidRPr="00E62FF7">
        <w:rPr>
          <w:rFonts w:ascii="Times New Roman" w:hAnsi="Times New Roman"/>
          <w:b/>
          <w:szCs w:val="24"/>
        </w:rPr>
        <w:t>:</w:t>
      </w:r>
      <w:r w:rsidRPr="00E62FF7">
        <w:rPr>
          <w:rFonts w:ascii="Times New Roman" w:hAnsi="Times New Roman"/>
          <w:szCs w:val="24"/>
        </w:rPr>
        <w:t xml:space="preserve"> </w:t>
      </w:r>
      <w:r w:rsidR="00265BCE" w:rsidRPr="00E62FF7">
        <w:rPr>
          <w:rFonts w:ascii="Times New Roman" w:hAnsi="Times New Roman"/>
          <w:szCs w:val="24"/>
        </w:rPr>
        <w:t xml:space="preserve"> </w:t>
      </w:r>
      <w:r w:rsidRPr="00E62FF7">
        <w:rPr>
          <w:rFonts w:ascii="Times New Roman" w:hAnsi="Times New Roman"/>
          <w:szCs w:val="24"/>
        </w:rPr>
        <w:t xml:space="preserve">All new hires and contractors are required to complete basic cybersecurity and physical security training. </w:t>
      </w:r>
      <w:r w:rsidR="00390238" w:rsidRPr="00E62FF7">
        <w:rPr>
          <w:rFonts w:ascii="Times New Roman" w:hAnsi="Times New Roman"/>
          <w:szCs w:val="24"/>
        </w:rPr>
        <w:t xml:space="preserve"> </w:t>
      </w:r>
      <w:r w:rsidRPr="00E62FF7">
        <w:rPr>
          <w:rFonts w:ascii="Times New Roman" w:hAnsi="Times New Roman"/>
          <w:szCs w:val="24"/>
        </w:rPr>
        <w:t xml:space="preserve">Annual CIPS refresher training is required for personnel who have access to BES assets and BES cyber assets. Beginning in 2016, annual computer-based refresher training will be required for all personnel. </w:t>
      </w:r>
    </w:p>
    <w:p w14:paraId="5E2BF906" w14:textId="77777777" w:rsidR="00332B06" w:rsidRPr="00E62FF7" w:rsidRDefault="00332B06" w:rsidP="00265BCE">
      <w:pPr>
        <w:ind w:left="1440"/>
        <w:rPr>
          <w:rFonts w:ascii="Times New Roman" w:hAnsi="Times New Roman"/>
          <w:szCs w:val="24"/>
        </w:rPr>
      </w:pPr>
    </w:p>
    <w:p w14:paraId="5E2BF907" w14:textId="77777777" w:rsidR="00332B06" w:rsidRPr="00E62FF7" w:rsidRDefault="00332B06" w:rsidP="00265BCE">
      <w:pPr>
        <w:ind w:left="1440"/>
        <w:rPr>
          <w:rFonts w:ascii="Times New Roman" w:hAnsi="Times New Roman"/>
          <w:szCs w:val="24"/>
        </w:rPr>
      </w:pPr>
      <w:r w:rsidRPr="00E62FF7">
        <w:rPr>
          <w:rFonts w:ascii="Times New Roman" w:hAnsi="Times New Roman"/>
          <w:szCs w:val="24"/>
        </w:rPr>
        <w:t xml:space="preserve">A Berkshire Hathaway Energy companywide communication related to the importance of cybersecurity and diligence in maintaining a secure environment was issued in March 2015. </w:t>
      </w:r>
      <w:r w:rsidR="00265BCE" w:rsidRPr="00E62FF7">
        <w:rPr>
          <w:rFonts w:ascii="Times New Roman" w:hAnsi="Times New Roman"/>
          <w:szCs w:val="24"/>
        </w:rPr>
        <w:t xml:space="preserve"> </w:t>
      </w:r>
      <w:r w:rsidRPr="00E62FF7">
        <w:rPr>
          <w:rFonts w:ascii="Times New Roman" w:hAnsi="Times New Roman"/>
          <w:szCs w:val="24"/>
        </w:rPr>
        <w:t xml:space="preserve">Quarterly security awareness communications are distributed to personnel that cover topics applicable to the workplace and personal life. </w:t>
      </w:r>
      <w:r w:rsidR="00390238" w:rsidRPr="00E62FF7">
        <w:rPr>
          <w:rFonts w:ascii="Times New Roman" w:hAnsi="Times New Roman"/>
          <w:szCs w:val="24"/>
        </w:rPr>
        <w:t xml:space="preserve"> </w:t>
      </w:r>
      <w:r w:rsidRPr="00E62FF7">
        <w:rPr>
          <w:rFonts w:ascii="Times New Roman" w:hAnsi="Times New Roman"/>
          <w:szCs w:val="24"/>
        </w:rPr>
        <w:t xml:space="preserve">Ancillary communications are distributed to personnel as needed to advise them about urgent or emerging security issues or situations. </w:t>
      </w:r>
    </w:p>
    <w:p w14:paraId="5E2BF908" w14:textId="77777777" w:rsidR="00265BCE" w:rsidRPr="00E62FF7" w:rsidRDefault="00265BCE" w:rsidP="00332B06">
      <w:pPr>
        <w:rPr>
          <w:rFonts w:ascii="Times New Roman" w:hAnsi="Times New Roman"/>
          <w:szCs w:val="24"/>
        </w:rPr>
      </w:pPr>
    </w:p>
    <w:p w14:paraId="5E2BF909" w14:textId="77777777" w:rsidR="001A3C2B" w:rsidRDefault="001A3C2B">
      <w:pPr>
        <w:spacing w:after="200" w:line="360" w:lineRule="auto"/>
        <w:rPr>
          <w:rFonts w:ascii="Times New Roman" w:hAnsi="Times New Roman"/>
          <w:b/>
        </w:rPr>
      </w:pPr>
      <w:r>
        <w:rPr>
          <w:rFonts w:ascii="Times New Roman" w:hAnsi="Times New Roman"/>
          <w:b/>
        </w:rPr>
        <w:br w:type="page"/>
      </w:r>
    </w:p>
    <w:p w14:paraId="5E2BF90A" w14:textId="77777777" w:rsidR="00332B06" w:rsidRPr="00E62FF7" w:rsidRDefault="00265BCE" w:rsidP="00265BCE">
      <w:pPr>
        <w:jc w:val="center"/>
        <w:rPr>
          <w:rFonts w:ascii="Times New Roman" w:hAnsi="Times New Roman"/>
          <w:b/>
        </w:rPr>
      </w:pPr>
      <w:r w:rsidRPr="00E62FF7">
        <w:rPr>
          <w:rFonts w:ascii="Times New Roman" w:hAnsi="Times New Roman"/>
          <w:b/>
        </w:rPr>
        <w:lastRenderedPageBreak/>
        <w:t>CYBERSECURITY</w:t>
      </w:r>
    </w:p>
    <w:p w14:paraId="5E2BF90B" w14:textId="77777777" w:rsidR="00265BCE" w:rsidRPr="00E62FF7" w:rsidRDefault="00265BCE" w:rsidP="00332B06">
      <w:pPr>
        <w:rPr>
          <w:rFonts w:ascii="Times New Roman" w:hAnsi="Times New Roman"/>
          <w:b/>
        </w:rPr>
      </w:pPr>
    </w:p>
    <w:p w14:paraId="5E2BF90C" w14:textId="77777777" w:rsidR="00332B06" w:rsidRPr="00E62FF7" w:rsidRDefault="00332B06" w:rsidP="00332B06">
      <w:pPr>
        <w:pStyle w:val="ListParagraph"/>
        <w:numPr>
          <w:ilvl w:val="0"/>
          <w:numId w:val="1"/>
        </w:numPr>
        <w:spacing w:before="0" w:after="0"/>
        <w:contextualSpacing/>
      </w:pPr>
      <w:r w:rsidRPr="00E62FF7">
        <w:t xml:space="preserve">Please provide the calendar quarter of the </w:t>
      </w:r>
      <w:r w:rsidR="00265BCE" w:rsidRPr="00E62FF7">
        <w:t>Company</w:t>
      </w:r>
      <w:r w:rsidRPr="00E62FF7">
        <w:t xml:space="preserve">’s most recent vulnerability assessment.  Please identify whether it was an internal or external audit, and how many follow-up actions were identified.  How many of these follow-up actions are scheduled (please provide the calendar quarter of projected start and completion dates), in active implementation (please provide the calendar quarter of the projected completion date), or completed? </w:t>
      </w:r>
    </w:p>
    <w:p w14:paraId="5E2BF90D" w14:textId="77777777" w:rsidR="00332B06" w:rsidRPr="00E62FF7" w:rsidRDefault="00332B06" w:rsidP="00332B06">
      <w:pPr>
        <w:ind w:left="720"/>
        <w:rPr>
          <w:rFonts w:ascii="Times New Roman" w:hAnsi="Times New Roman"/>
          <w:szCs w:val="24"/>
        </w:rPr>
      </w:pPr>
    </w:p>
    <w:p w14:paraId="5E2BF90E" w14:textId="77777777" w:rsidR="00265BCE" w:rsidRPr="00E62FF7" w:rsidRDefault="00332B06" w:rsidP="00E62FF7">
      <w:pPr>
        <w:ind w:left="1440"/>
        <w:rPr>
          <w:rFonts w:ascii="Times New Roman" w:hAnsi="Times New Roman"/>
          <w:szCs w:val="24"/>
        </w:rPr>
      </w:pPr>
      <w:r w:rsidRPr="00E62FF7">
        <w:rPr>
          <w:rFonts w:ascii="Times New Roman" w:hAnsi="Times New Roman"/>
          <w:b/>
          <w:szCs w:val="24"/>
          <w:u w:val="single"/>
        </w:rPr>
        <w:t>Response</w:t>
      </w:r>
      <w:r w:rsidRPr="00E62FF7">
        <w:rPr>
          <w:rFonts w:ascii="Times New Roman" w:hAnsi="Times New Roman"/>
          <w:b/>
          <w:szCs w:val="24"/>
        </w:rPr>
        <w:t>:</w:t>
      </w:r>
      <w:r w:rsidRPr="00E62FF7">
        <w:rPr>
          <w:rFonts w:ascii="Times New Roman" w:hAnsi="Times New Roman"/>
          <w:szCs w:val="24"/>
        </w:rPr>
        <w:t xml:space="preserve"> </w:t>
      </w:r>
      <w:r w:rsidR="00265BCE" w:rsidRPr="00E62FF7">
        <w:rPr>
          <w:rFonts w:ascii="Times New Roman" w:hAnsi="Times New Roman"/>
          <w:szCs w:val="24"/>
        </w:rPr>
        <w:t xml:space="preserve"> </w:t>
      </w:r>
      <w:r w:rsidRPr="00E62FF7">
        <w:rPr>
          <w:rFonts w:ascii="Times New Roman" w:hAnsi="Times New Roman"/>
          <w:szCs w:val="24"/>
        </w:rPr>
        <w:t xml:space="preserve">General third-party vulnerability assessments and penetration tests are conducted every two years. </w:t>
      </w:r>
      <w:r w:rsidR="00390238" w:rsidRPr="00E62FF7">
        <w:rPr>
          <w:rFonts w:ascii="Times New Roman" w:hAnsi="Times New Roman"/>
          <w:szCs w:val="24"/>
        </w:rPr>
        <w:t xml:space="preserve"> </w:t>
      </w:r>
      <w:r w:rsidRPr="00E62FF7">
        <w:rPr>
          <w:rFonts w:ascii="Times New Roman" w:hAnsi="Times New Roman"/>
          <w:szCs w:val="24"/>
        </w:rPr>
        <w:t xml:space="preserve">The most recent assessments were conducted in 2014. </w:t>
      </w:r>
      <w:r w:rsidR="00390238" w:rsidRPr="00E62FF7">
        <w:rPr>
          <w:rFonts w:ascii="Times New Roman" w:hAnsi="Times New Roman"/>
          <w:szCs w:val="24"/>
        </w:rPr>
        <w:t xml:space="preserve"> </w:t>
      </w:r>
      <w:r w:rsidRPr="00E62FF7">
        <w:rPr>
          <w:rFonts w:ascii="Times New Roman" w:hAnsi="Times New Roman"/>
          <w:szCs w:val="24"/>
        </w:rPr>
        <w:t xml:space="preserve">Annual NERC CIPS vulnerability assessments are also conducted. </w:t>
      </w:r>
      <w:r w:rsidR="00390238" w:rsidRPr="00E62FF7">
        <w:rPr>
          <w:rFonts w:ascii="Times New Roman" w:hAnsi="Times New Roman"/>
          <w:szCs w:val="24"/>
        </w:rPr>
        <w:t xml:space="preserve"> </w:t>
      </w:r>
      <w:r w:rsidRPr="00E62FF7">
        <w:rPr>
          <w:rFonts w:ascii="Times New Roman" w:hAnsi="Times New Roman"/>
          <w:szCs w:val="24"/>
        </w:rPr>
        <w:t xml:space="preserve">The results of the assessments and status of the findings are classified as company sensitive information and may not be shared. </w:t>
      </w:r>
    </w:p>
    <w:p w14:paraId="5E2BF90F" w14:textId="77777777" w:rsidR="00E62FF7" w:rsidRPr="00E62FF7" w:rsidRDefault="00E62FF7" w:rsidP="00332B06">
      <w:pPr>
        <w:ind w:left="720"/>
        <w:rPr>
          <w:rFonts w:ascii="Times New Roman" w:hAnsi="Times New Roman"/>
          <w:szCs w:val="24"/>
        </w:rPr>
      </w:pPr>
    </w:p>
    <w:p w14:paraId="5E2BF910" w14:textId="77777777" w:rsidR="00332B06" w:rsidRPr="00E62FF7" w:rsidRDefault="00332B06" w:rsidP="00332B06">
      <w:pPr>
        <w:pStyle w:val="ListParagraph"/>
        <w:numPr>
          <w:ilvl w:val="0"/>
          <w:numId w:val="1"/>
        </w:numPr>
        <w:spacing w:before="0" w:after="0"/>
        <w:contextualSpacing/>
      </w:pPr>
      <w:r w:rsidRPr="00E62FF7">
        <w:t xml:space="preserve">Please provide the calendar quarter of the </w:t>
      </w:r>
      <w:r w:rsidR="00265BCE" w:rsidRPr="00E62FF7">
        <w:t>Company</w:t>
      </w:r>
      <w:r w:rsidRPr="00E62FF7">
        <w:t xml:space="preserve">’s most recent penetration test. </w:t>
      </w:r>
      <w:r w:rsidR="00390238" w:rsidRPr="00E62FF7">
        <w:t xml:space="preserve"> </w:t>
      </w:r>
      <w:r w:rsidRPr="00E62FF7">
        <w:t>Please identify whether it was an internal or external test, and how many follow-up actions were identified.</w:t>
      </w:r>
      <w:r w:rsidR="00390238" w:rsidRPr="00E62FF7">
        <w:t xml:space="preserve"> </w:t>
      </w:r>
      <w:r w:rsidRPr="00E62FF7">
        <w:t xml:space="preserve"> How many of these follow-up actions are scheduled (please provide the calendar quarter of projected start and completion dates), in active implementation (please provide the calendar quarter of the projected completion date), or completed? </w:t>
      </w:r>
    </w:p>
    <w:p w14:paraId="5E2BF911" w14:textId="77777777" w:rsidR="00332B06" w:rsidRPr="00E62FF7" w:rsidRDefault="00332B06" w:rsidP="00332B06">
      <w:pPr>
        <w:ind w:left="720"/>
        <w:rPr>
          <w:rFonts w:ascii="Times New Roman" w:hAnsi="Times New Roman"/>
          <w:szCs w:val="24"/>
        </w:rPr>
      </w:pPr>
    </w:p>
    <w:p w14:paraId="5E2BF912" w14:textId="77777777" w:rsidR="00332B06" w:rsidRPr="00E62FF7" w:rsidRDefault="00332B06" w:rsidP="00265BCE">
      <w:pPr>
        <w:ind w:left="1440"/>
        <w:rPr>
          <w:rFonts w:ascii="Times New Roman" w:hAnsi="Times New Roman"/>
          <w:szCs w:val="24"/>
        </w:rPr>
      </w:pPr>
      <w:r w:rsidRPr="00E62FF7">
        <w:rPr>
          <w:rFonts w:ascii="Times New Roman" w:hAnsi="Times New Roman"/>
          <w:b/>
          <w:szCs w:val="24"/>
          <w:u w:val="single"/>
        </w:rPr>
        <w:t>Response</w:t>
      </w:r>
      <w:r w:rsidRPr="00E62FF7">
        <w:rPr>
          <w:rFonts w:ascii="Times New Roman" w:hAnsi="Times New Roman"/>
          <w:b/>
          <w:szCs w:val="24"/>
        </w:rPr>
        <w:t>:</w:t>
      </w:r>
      <w:r w:rsidRPr="00E62FF7">
        <w:rPr>
          <w:rFonts w:ascii="Times New Roman" w:hAnsi="Times New Roman"/>
          <w:szCs w:val="24"/>
        </w:rPr>
        <w:t xml:space="preserve"> </w:t>
      </w:r>
      <w:r w:rsidR="00265BCE" w:rsidRPr="00E62FF7">
        <w:rPr>
          <w:rFonts w:ascii="Times New Roman" w:hAnsi="Times New Roman"/>
          <w:szCs w:val="24"/>
        </w:rPr>
        <w:t xml:space="preserve"> </w:t>
      </w:r>
      <w:r w:rsidRPr="00E62FF7">
        <w:rPr>
          <w:rFonts w:ascii="Times New Roman" w:hAnsi="Times New Roman"/>
          <w:szCs w:val="24"/>
        </w:rPr>
        <w:t>A penetration test was conducted in Q3 2014 by a third party; however, the results may not be shared.</w:t>
      </w:r>
      <w:r w:rsidR="00390238" w:rsidRPr="00E62FF7">
        <w:rPr>
          <w:rFonts w:ascii="Times New Roman" w:hAnsi="Times New Roman"/>
          <w:szCs w:val="24"/>
        </w:rPr>
        <w:t xml:space="preserve"> </w:t>
      </w:r>
      <w:r w:rsidRPr="00E62FF7">
        <w:rPr>
          <w:rFonts w:ascii="Times New Roman" w:hAnsi="Times New Roman"/>
          <w:szCs w:val="24"/>
        </w:rPr>
        <w:t xml:space="preserve"> Internal penetration testing is performed on a regular basis and incl</w:t>
      </w:r>
      <w:r w:rsidR="00390238" w:rsidRPr="00E62FF7">
        <w:rPr>
          <w:rFonts w:ascii="Times New Roman" w:hAnsi="Times New Roman"/>
          <w:szCs w:val="24"/>
        </w:rPr>
        <w:t>udes vulnerability scanning of internet-</w:t>
      </w:r>
      <w:r w:rsidRPr="00E62FF7">
        <w:rPr>
          <w:rFonts w:ascii="Times New Roman" w:hAnsi="Times New Roman"/>
          <w:szCs w:val="24"/>
        </w:rPr>
        <w:t xml:space="preserve">facing systems on a weekly basis. </w:t>
      </w:r>
    </w:p>
    <w:p w14:paraId="5E2BF913" w14:textId="77777777" w:rsidR="00332B06" w:rsidRPr="00E62FF7" w:rsidRDefault="00332B06" w:rsidP="00332B06">
      <w:pPr>
        <w:pStyle w:val="ListParagraph"/>
        <w:spacing w:before="0" w:after="0"/>
      </w:pPr>
    </w:p>
    <w:p w14:paraId="5E2BF914" w14:textId="77777777" w:rsidR="00332B06" w:rsidRPr="00E62FF7" w:rsidRDefault="00332B06" w:rsidP="00332B06">
      <w:pPr>
        <w:pStyle w:val="ListParagraph"/>
        <w:numPr>
          <w:ilvl w:val="0"/>
          <w:numId w:val="1"/>
        </w:numPr>
        <w:spacing w:before="0" w:after="0"/>
        <w:contextualSpacing/>
      </w:pPr>
      <w:r w:rsidRPr="00E62FF7">
        <w:t xml:space="preserve">Please provide the timeframe for the </w:t>
      </w:r>
      <w:r w:rsidR="00265BCE" w:rsidRPr="00E62FF7">
        <w:t>Company</w:t>
      </w:r>
      <w:r w:rsidRPr="00E62FF7">
        <w:t xml:space="preserve">’s next planned vulnerability assessment and penetration test and if the </w:t>
      </w:r>
      <w:r w:rsidR="00265BCE" w:rsidRPr="00E62FF7">
        <w:t>Company</w:t>
      </w:r>
      <w:r w:rsidRPr="00E62FF7">
        <w:t xml:space="preserve"> or a third party will perform each. </w:t>
      </w:r>
    </w:p>
    <w:p w14:paraId="5E2BF915" w14:textId="77777777" w:rsidR="00332B06" w:rsidRPr="00E62FF7" w:rsidRDefault="00332B06" w:rsidP="00332B06">
      <w:pPr>
        <w:ind w:left="720"/>
        <w:rPr>
          <w:rFonts w:ascii="Times New Roman" w:hAnsi="Times New Roman"/>
          <w:szCs w:val="24"/>
        </w:rPr>
      </w:pPr>
    </w:p>
    <w:p w14:paraId="5E2BF916" w14:textId="77777777" w:rsidR="00332B06" w:rsidRPr="00E62FF7" w:rsidRDefault="00332B06" w:rsidP="00265BCE">
      <w:pPr>
        <w:ind w:left="1440"/>
        <w:rPr>
          <w:rFonts w:ascii="Times New Roman" w:hAnsi="Times New Roman"/>
          <w:szCs w:val="24"/>
        </w:rPr>
      </w:pPr>
      <w:r w:rsidRPr="00E62FF7">
        <w:rPr>
          <w:rFonts w:ascii="Times New Roman" w:hAnsi="Times New Roman"/>
          <w:b/>
          <w:szCs w:val="24"/>
          <w:u w:val="single"/>
        </w:rPr>
        <w:t>Response</w:t>
      </w:r>
      <w:r w:rsidRPr="00E62FF7">
        <w:rPr>
          <w:rFonts w:ascii="Times New Roman" w:hAnsi="Times New Roman"/>
          <w:b/>
          <w:szCs w:val="24"/>
        </w:rPr>
        <w:t>:</w:t>
      </w:r>
      <w:r w:rsidRPr="00E62FF7">
        <w:rPr>
          <w:rFonts w:ascii="Times New Roman" w:hAnsi="Times New Roman"/>
          <w:szCs w:val="24"/>
        </w:rPr>
        <w:t xml:space="preserve"> </w:t>
      </w:r>
      <w:r w:rsidR="00265BCE" w:rsidRPr="00E62FF7">
        <w:rPr>
          <w:rFonts w:ascii="Times New Roman" w:hAnsi="Times New Roman"/>
          <w:szCs w:val="24"/>
        </w:rPr>
        <w:t xml:space="preserve"> </w:t>
      </w:r>
      <w:r w:rsidRPr="00E62FF7">
        <w:rPr>
          <w:rFonts w:ascii="Times New Roman" w:hAnsi="Times New Roman"/>
          <w:szCs w:val="24"/>
        </w:rPr>
        <w:t xml:space="preserve">A third-party vulnerability assessment will be conducted during 2016, but the date has not yet been scheduled. </w:t>
      </w:r>
    </w:p>
    <w:p w14:paraId="5E2BF917" w14:textId="77777777" w:rsidR="00332B06" w:rsidRPr="00E62FF7" w:rsidRDefault="00332B06" w:rsidP="00332B06">
      <w:pPr>
        <w:ind w:left="720"/>
        <w:rPr>
          <w:rFonts w:ascii="Times New Roman" w:hAnsi="Times New Roman"/>
          <w:szCs w:val="24"/>
        </w:rPr>
      </w:pPr>
    </w:p>
    <w:p w14:paraId="5E2BF918" w14:textId="77777777" w:rsidR="00332B06" w:rsidRPr="00E62FF7" w:rsidRDefault="00332B06" w:rsidP="00332B06">
      <w:pPr>
        <w:pStyle w:val="ListParagraph"/>
        <w:numPr>
          <w:ilvl w:val="0"/>
          <w:numId w:val="1"/>
        </w:numPr>
        <w:spacing w:before="0" w:after="0"/>
        <w:contextualSpacing/>
      </w:pPr>
      <w:r w:rsidRPr="00E62FF7">
        <w:t xml:space="preserve">For the following information-sharing and collaboration efforts, please provide a description of the </w:t>
      </w:r>
      <w:r w:rsidR="00265BCE" w:rsidRPr="00E62FF7">
        <w:t>Company</w:t>
      </w:r>
      <w:r w:rsidRPr="00E62FF7">
        <w:t xml:space="preserve">’s level of involvement with each, and complete the table below. </w:t>
      </w:r>
    </w:p>
    <w:p w14:paraId="5E2BF919" w14:textId="77777777" w:rsidR="00332B06" w:rsidRPr="00E62FF7" w:rsidRDefault="00332B06" w:rsidP="00332B06">
      <w:pPr>
        <w:ind w:left="720"/>
        <w:rPr>
          <w:rFonts w:ascii="Times New Roman" w:hAnsi="Times New Roman"/>
          <w:szCs w:val="24"/>
        </w:rPr>
      </w:pPr>
    </w:p>
    <w:p w14:paraId="5E2BF91A" w14:textId="77777777" w:rsidR="00332B06" w:rsidRPr="00E62FF7" w:rsidRDefault="00332B06" w:rsidP="00D974D2">
      <w:pPr>
        <w:ind w:left="1440"/>
        <w:rPr>
          <w:rFonts w:ascii="Times New Roman" w:hAnsi="Times New Roman"/>
          <w:szCs w:val="24"/>
        </w:rPr>
      </w:pPr>
      <w:r w:rsidRPr="00E62FF7">
        <w:rPr>
          <w:rFonts w:ascii="Times New Roman" w:hAnsi="Times New Roman"/>
          <w:b/>
          <w:szCs w:val="24"/>
          <w:u w:val="single"/>
        </w:rPr>
        <w:t>Response</w:t>
      </w:r>
      <w:r w:rsidRPr="00E62FF7">
        <w:rPr>
          <w:rFonts w:ascii="Times New Roman" w:hAnsi="Times New Roman"/>
          <w:b/>
          <w:szCs w:val="24"/>
        </w:rPr>
        <w:t>:</w:t>
      </w:r>
      <w:r w:rsidRPr="00E62FF7">
        <w:rPr>
          <w:rFonts w:ascii="Times New Roman" w:hAnsi="Times New Roman"/>
          <w:szCs w:val="24"/>
        </w:rPr>
        <w:t xml:space="preserve"> </w:t>
      </w:r>
      <w:r w:rsidR="00265BCE" w:rsidRPr="00E62FF7">
        <w:rPr>
          <w:rFonts w:ascii="Times New Roman" w:hAnsi="Times New Roman"/>
          <w:szCs w:val="24"/>
        </w:rPr>
        <w:t xml:space="preserve"> </w:t>
      </w:r>
      <w:r w:rsidRPr="00E62FF7">
        <w:rPr>
          <w:rFonts w:ascii="Times New Roman" w:hAnsi="Times New Roman"/>
          <w:szCs w:val="24"/>
        </w:rPr>
        <w:t xml:space="preserve">Many sources are leveraged to measure the effectiveness of the </w:t>
      </w:r>
      <w:r w:rsidR="00265BCE" w:rsidRPr="00E62FF7">
        <w:rPr>
          <w:rFonts w:ascii="Times New Roman" w:hAnsi="Times New Roman"/>
          <w:szCs w:val="24"/>
        </w:rPr>
        <w:t>Company</w:t>
      </w:r>
      <w:r w:rsidRPr="00E62FF7">
        <w:rPr>
          <w:rFonts w:ascii="Times New Roman" w:hAnsi="Times New Roman"/>
          <w:szCs w:val="24"/>
        </w:rPr>
        <w:t xml:space="preserve">’s security controls. </w:t>
      </w:r>
      <w:r w:rsidR="00390238" w:rsidRPr="00E62FF7">
        <w:rPr>
          <w:rFonts w:ascii="Times New Roman" w:hAnsi="Times New Roman"/>
          <w:szCs w:val="24"/>
        </w:rPr>
        <w:t xml:space="preserve"> </w:t>
      </w:r>
      <w:r w:rsidRPr="00E62FF7">
        <w:rPr>
          <w:rFonts w:ascii="Times New Roman" w:hAnsi="Times New Roman"/>
          <w:szCs w:val="24"/>
        </w:rPr>
        <w:t>Collaboration with the industry and public/private stakeholder groups is promoted.</w:t>
      </w:r>
      <w:r w:rsidR="00390238" w:rsidRPr="00E62FF7">
        <w:rPr>
          <w:rFonts w:ascii="Times New Roman" w:hAnsi="Times New Roman"/>
          <w:szCs w:val="24"/>
        </w:rPr>
        <w:t xml:space="preserve"> </w:t>
      </w:r>
      <w:r w:rsidRPr="00E62FF7">
        <w:rPr>
          <w:rFonts w:ascii="Times New Roman" w:hAnsi="Times New Roman"/>
          <w:szCs w:val="24"/>
        </w:rPr>
        <w:t xml:space="preserve"> The focus is on advancing program maturity and threat identification and mitigation.  The </w:t>
      </w:r>
      <w:r w:rsidR="00265BCE" w:rsidRPr="00E62FF7">
        <w:rPr>
          <w:rFonts w:ascii="Times New Roman" w:hAnsi="Times New Roman"/>
          <w:szCs w:val="24"/>
        </w:rPr>
        <w:t>Company</w:t>
      </w:r>
      <w:r w:rsidRPr="00E62FF7">
        <w:rPr>
          <w:rFonts w:ascii="Times New Roman" w:hAnsi="Times New Roman"/>
          <w:szCs w:val="24"/>
        </w:rPr>
        <w:t xml:space="preserve"> also engages in a variety of classified information sharing programs and several key security and executive team personnel hold a government-sponsored clearance.  The specific classified information sharing engagements is considered sensitive a</w:t>
      </w:r>
      <w:r w:rsidR="00390238" w:rsidRPr="00E62FF7">
        <w:rPr>
          <w:rFonts w:ascii="Times New Roman" w:hAnsi="Times New Roman"/>
          <w:szCs w:val="24"/>
        </w:rPr>
        <w:t>nd can be shared verbally with the C</w:t>
      </w:r>
      <w:r w:rsidRPr="00E62FF7">
        <w:rPr>
          <w:rFonts w:ascii="Times New Roman" w:hAnsi="Times New Roman"/>
          <w:szCs w:val="24"/>
        </w:rPr>
        <w:t xml:space="preserve">ommission and staff in a closed meeting.  </w:t>
      </w:r>
    </w:p>
    <w:tbl>
      <w:tblPr>
        <w:tblStyle w:val="TableGrid"/>
        <w:tblW w:w="0" w:type="auto"/>
        <w:jc w:val="center"/>
        <w:tblLook w:val="04A0" w:firstRow="1" w:lastRow="0" w:firstColumn="1" w:lastColumn="0" w:noHBand="0" w:noVBand="1"/>
      </w:tblPr>
      <w:tblGrid>
        <w:gridCol w:w="2787"/>
        <w:gridCol w:w="1439"/>
        <w:gridCol w:w="3595"/>
        <w:gridCol w:w="1529"/>
      </w:tblGrid>
      <w:tr w:rsidR="00332B06" w:rsidRPr="00E62FF7" w14:paraId="5E2BF91F" w14:textId="77777777" w:rsidTr="00390238">
        <w:trPr>
          <w:trHeight w:val="899"/>
          <w:tblHeader/>
          <w:jc w:val="center"/>
        </w:trPr>
        <w:tc>
          <w:tcPr>
            <w:tcW w:w="2790" w:type="dxa"/>
            <w:hideMark/>
          </w:tcPr>
          <w:p w14:paraId="5E2BF91B" w14:textId="77777777" w:rsidR="00332B06" w:rsidRPr="00E62FF7" w:rsidRDefault="00332B06" w:rsidP="00E62FF7">
            <w:pPr>
              <w:keepNext/>
              <w:keepLines/>
              <w:rPr>
                <w:rFonts w:ascii="Times New Roman" w:hAnsi="Times New Roman"/>
                <w:szCs w:val="24"/>
              </w:rPr>
            </w:pPr>
            <w:r w:rsidRPr="00E62FF7">
              <w:rPr>
                <w:rFonts w:ascii="Times New Roman" w:hAnsi="Times New Roman"/>
                <w:szCs w:val="24"/>
              </w:rPr>
              <w:lastRenderedPageBreak/>
              <w:t> </w:t>
            </w:r>
          </w:p>
        </w:tc>
        <w:tc>
          <w:tcPr>
            <w:tcW w:w="1440" w:type="dxa"/>
            <w:hideMark/>
          </w:tcPr>
          <w:p w14:paraId="5E2BF91C" w14:textId="77777777" w:rsidR="00332B06" w:rsidRPr="00E62FF7" w:rsidRDefault="00332B06" w:rsidP="00E62FF7">
            <w:pPr>
              <w:keepNext/>
              <w:keepLines/>
              <w:jc w:val="center"/>
              <w:rPr>
                <w:rFonts w:ascii="Times New Roman" w:hAnsi="Times New Roman"/>
                <w:szCs w:val="24"/>
              </w:rPr>
            </w:pPr>
            <w:r w:rsidRPr="00E62FF7">
              <w:rPr>
                <w:rFonts w:ascii="Times New Roman" w:hAnsi="Times New Roman"/>
                <w:szCs w:val="24"/>
              </w:rPr>
              <w:t xml:space="preserve">Was the </w:t>
            </w:r>
            <w:r w:rsidR="00265BCE" w:rsidRPr="00E62FF7">
              <w:rPr>
                <w:rFonts w:ascii="Times New Roman" w:hAnsi="Times New Roman"/>
                <w:szCs w:val="24"/>
              </w:rPr>
              <w:t>Company</w:t>
            </w:r>
            <w:r w:rsidRPr="00E62FF7">
              <w:rPr>
                <w:rFonts w:ascii="Times New Roman" w:hAnsi="Times New Roman"/>
                <w:szCs w:val="24"/>
              </w:rPr>
              <w:t xml:space="preserve"> involved in the effort during the calendar year?</w:t>
            </w:r>
          </w:p>
        </w:tc>
        <w:tc>
          <w:tcPr>
            <w:tcW w:w="3600" w:type="dxa"/>
            <w:hideMark/>
          </w:tcPr>
          <w:p w14:paraId="5E2BF91D" w14:textId="77777777" w:rsidR="00332B06" w:rsidRPr="00E62FF7" w:rsidRDefault="00332B06" w:rsidP="00E62FF7">
            <w:pPr>
              <w:keepNext/>
              <w:keepLines/>
              <w:jc w:val="center"/>
              <w:rPr>
                <w:rFonts w:ascii="Times New Roman" w:hAnsi="Times New Roman"/>
                <w:szCs w:val="24"/>
              </w:rPr>
            </w:pPr>
            <w:r w:rsidRPr="00E62FF7">
              <w:rPr>
                <w:rFonts w:ascii="Times New Roman" w:hAnsi="Times New Roman"/>
                <w:szCs w:val="24"/>
              </w:rPr>
              <w:t xml:space="preserve">Did the </w:t>
            </w:r>
            <w:r w:rsidR="00265BCE" w:rsidRPr="00E62FF7">
              <w:rPr>
                <w:rFonts w:ascii="Times New Roman" w:hAnsi="Times New Roman"/>
                <w:szCs w:val="24"/>
              </w:rPr>
              <w:t>Company</w:t>
            </w:r>
            <w:r w:rsidRPr="00E62FF7">
              <w:rPr>
                <w:rFonts w:ascii="Times New Roman" w:hAnsi="Times New Roman"/>
                <w:szCs w:val="24"/>
              </w:rPr>
              <w:t xml:space="preserve"> receive alerts or information from this effort during the calendar year?  If so, how often (monthly, quarterly, etc.) was information from this source received and reviewed by the </w:t>
            </w:r>
            <w:r w:rsidR="00265BCE" w:rsidRPr="00E62FF7">
              <w:rPr>
                <w:rFonts w:ascii="Times New Roman" w:hAnsi="Times New Roman"/>
                <w:szCs w:val="24"/>
              </w:rPr>
              <w:t>Company</w:t>
            </w:r>
            <w:r w:rsidRPr="00E62FF7">
              <w:rPr>
                <w:rFonts w:ascii="Times New Roman" w:hAnsi="Times New Roman"/>
                <w:szCs w:val="24"/>
              </w:rPr>
              <w:t>?</w:t>
            </w:r>
          </w:p>
        </w:tc>
        <w:tc>
          <w:tcPr>
            <w:tcW w:w="1530" w:type="dxa"/>
            <w:hideMark/>
          </w:tcPr>
          <w:p w14:paraId="5E2BF91E" w14:textId="77777777" w:rsidR="00332B06" w:rsidRPr="00E62FF7" w:rsidRDefault="00332B06" w:rsidP="00E62FF7">
            <w:pPr>
              <w:keepNext/>
              <w:keepLines/>
              <w:jc w:val="center"/>
              <w:rPr>
                <w:rFonts w:ascii="Times New Roman" w:hAnsi="Times New Roman"/>
                <w:szCs w:val="24"/>
              </w:rPr>
            </w:pPr>
            <w:r w:rsidRPr="00E62FF7">
              <w:rPr>
                <w:rFonts w:ascii="Times New Roman" w:hAnsi="Times New Roman"/>
                <w:szCs w:val="24"/>
              </w:rPr>
              <w:t xml:space="preserve">Has the </w:t>
            </w:r>
            <w:r w:rsidR="00265BCE" w:rsidRPr="00E62FF7">
              <w:rPr>
                <w:rFonts w:ascii="Times New Roman" w:hAnsi="Times New Roman"/>
                <w:szCs w:val="24"/>
              </w:rPr>
              <w:t>Company</w:t>
            </w:r>
            <w:r w:rsidRPr="00E62FF7">
              <w:rPr>
                <w:rFonts w:ascii="Times New Roman" w:hAnsi="Times New Roman"/>
                <w:szCs w:val="24"/>
              </w:rPr>
              <w:t xml:space="preserve"> contributed information to this effort during the calendar year?</w:t>
            </w:r>
          </w:p>
        </w:tc>
      </w:tr>
      <w:tr w:rsidR="00332B06" w:rsidRPr="00E62FF7" w14:paraId="5E2BF924" w14:textId="77777777" w:rsidTr="00390238">
        <w:trPr>
          <w:trHeight w:val="512"/>
          <w:jc w:val="center"/>
        </w:trPr>
        <w:tc>
          <w:tcPr>
            <w:tcW w:w="2790" w:type="dxa"/>
            <w:hideMark/>
          </w:tcPr>
          <w:p w14:paraId="5E2BF920" w14:textId="77777777" w:rsidR="00332B06" w:rsidRPr="00E62FF7" w:rsidRDefault="00332B06" w:rsidP="00E62FF7">
            <w:pPr>
              <w:keepNext/>
              <w:keepLines/>
              <w:rPr>
                <w:rFonts w:ascii="Times New Roman" w:hAnsi="Times New Roman"/>
                <w:szCs w:val="24"/>
              </w:rPr>
            </w:pPr>
            <w:r w:rsidRPr="00E62FF7">
              <w:rPr>
                <w:rFonts w:ascii="Times New Roman" w:hAnsi="Times New Roman"/>
                <w:szCs w:val="24"/>
              </w:rPr>
              <w:t>Electricity Sector Information Sharing and Analysis Center (E-ISAC)</w:t>
            </w:r>
          </w:p>
        </w:tc>
        <w:tc>
          <w:tcPr>
            <w:tcW w:w="1440" w:type="dxa"/>
            <w:hideMark/>
          </w:tcPr>
          <w:p w14:paraId="5E2BF921" w14:textId="77777777" w:rsidR="00332B06" w:rsidRPr="00E62FF7" w:rsidRDefault="00332B06" w:rsidP="00E62FF7">
            <w:pPr>
              <w:keepNext/>
              <w:keepLines/>
              <w:jc w:val="center"/>
              <w:rPr>
                <w:rFonts w:ascii="Times New Roman" w:hAnsi="Times New Roman"/>
                <w:szCs w:val="24"/>
              </w:rPr>
            </w:pPr>
            <w:r w:rsidRPr="00E62FF7">
              <w:rPr>
                <w:rFonts w:ascii="Times New Roman" w:hAnsi="Times New Roman"/>
                <w:szCs w:val="24"/>
              </w:rPr>
              <w:t>Yes</w:t>
            </w:r>
          </w:p>
        </w:tc>
        <w:tc>
          <w:tcPr>
            <w:tcW w:w="3600" w:type="dxa"/>
            <w:hideMark/>
          </w:tcPr>
          <w:p w14:paraId="5E2BF922" w14:textId="77777777" w:rsidR="00332B06" w:rsidRPr="00E62FF7" w:rsidRDefault="00332B06" w:rsidP="00E62FF7">
            <w:pPr>
              <w:keepNext/>
              <w:keepLines/>
              <w:rPr>
                <w:rFonts w:ascii="Times New Roman" w:hAnsi="Times New Roman"/>
                <w:szCs w:val="24"/>
              </w:rPr>
            </w:pPr>
            <w:r w:rsidRPr="00E62FF7">
              <w:rPr>
                <w:rFonts w:ascii="Times New Roman" w:hAnsi="Times New Roman"/>
                <w:szCs w:val="24"/>
              </w:rPr>
              <w:t> Yes – Weekly</w:t>
            </w:r>
          </w:p>
        </w:tc>
        <w:tc>
          <w:tcPr>
            <w:tcW w:w="1530" w:type="dxa"/>
            <w:hideMark/>
          </w:tcPr>
          <w:p w14:paraId="5E2BF923" w14:textId="77777777" w:rsidR="00332B06" w:rsidRPr="00E62FF7" w:rsidRDefault="00332B06" w:rsidP="00E62FF7">
            <w:pPr>
              <w:keepNext/>
              <w:keepLines/>
              <w:jc w:val="center"/>
              <w:rPr>
                <w:rFonts w:ascii="Times New Roman" w:hAnsi="Times New Roman"/>
                <w:szCs w:val="24"/>
              </w:rPr>
            </w:pPr>
            <w:r w:rsidRPr="00E62FF7">
              <w:rPr>
                <w:rFonts w:ascii="Times New Roman" w:hAnsi="Times New Roman"/>
                <w:szCs w:val="24"/>
              </w:rPr>
              <w:t>No</w:t>
            </w:r>
          </w:p>
        </w:tc>
      </w:tr>
      <w:tr w:rsidR="00332B06" w:rsidRPr="00E62FF7" w14:paraId="5E2BF929" w14:textId="77777777" w:rsidTr="00390238">
        <w:trPr>
          <w:trHeight w:val="636"/>
          <w:jc w:val="center"/>
        </w:trPr>
        <w:tc>
          <w:tcPr>
            <w:tcW w:w="2790" w:type="dxa"/>
            <w:hideMark/>
          </w:tcPr>
          <w:p w14:paraId="5E2BF925" w14:textId="77777777" w:rsidR="00332B06" w:rsidRPr="00E62FF7" w:rsidRDefault="00332B06" w:rsidP="00E62FF7">
            <w:pPr>
              <w:keepNext/>
              <w:keepLines/>
              <w:rPr>
                <w:rFonts w:ascii="Times New Roman" w:hAnsi="Times New Roman"/>
                <w:szCs w:val="24"/>
              </w:rPr>
            </w:pPr>
            <w:r w:rsidRPr="00E62FF7">
              <w:rPr>
                <w:rFonts w:ascii="Times New Roman" w:hAnsi="Times New Roman"/>
                <w:szCs w:val="24"/>
              </w:rPr>
              <w:t>Industrial Control Systems Cyber Emergency Response Team (ICS-CERT)</w:t>
            </w:r>
          </w:p>
        </w:tc>
        <w:tc>
          <w:tcPr>
            <w:tcW w:w="1440" w:type="dxa"/>
            <w:hideMark/>
          </w:tcPr>
          <w:p w14:paraId="5E2BF926" w14:textId="77777777" w:rsidR="00332B06" w:rsidRPr="00E62FF7" w:rsidRDefault="00332B06" w:rsidP="00E62FF7">
            <w:pPr>
              <w:keepNext/>
              <w:keepLines/>
              <w:jc w:val="center"/>
              <w:rPr>
                <w:rFonts w:ascii="Times New Roman" w:hAnsi="Times New Roman"/>
                <w:szCs w:val="24"/>
              </w:rPr>
            </w:pPr>
            <w:r w:rsidRPr="00E62FF7">
              <w:rPr>
                <w:rFonts w:ascii="Times New Roman" w:hAnsi="Times New Roman"/>
                <w:szCs w:val="24"/>
              </w:rPr>
              <w:t>Yes</w:t>
            </w:r>
          </w:p>
        </w:tc>
        <w:tc>
          <w:tcPr>
            <w:tcW w:w="3600" w:type="dxa"/>
            <w:hideMark/>
          </w:tcPr>
          <w:p w14:paraId="5E2BF927" w14:textId="77777777" w:rsidR="00332B06" w:rsidRPr="00E62FF7" w:rsidRDefault="00332B06" w:rsidP="00E62FF7">
            <w:pPr>
              <w:keepNext/>
              <w:keepLines/>
              <w:rPr>
                <w:rFonts w:ascii="Times New Roman" w:hAnsi="Times New Roman"/>
                <w:szCs w:val="24"/>
              </w:rPr>
            </w:pPr>
            <w:r w:rsidRPr="00E62FF7">
              <w:rPr>
                <w:rFonts w:ascii="Times New Roman" w:hAnsi="Times New Roman"/>
                <w:szCs w:val="24"/>
              </w:rPr>
              <w:t>Yes – Daily, Weekly</w:t>
            </w:r>
          </w:p>
        </w:tc>
        <w:tc>
          <w:tcPr>
            <w:tcW w:w="1530" w:type="dxa"/>
            <w:hideMark/>
          </w:tcPr>
          <w:p w14:paraId="5E2BF928" w14:textId="77777777" w:rsidR="00332B06" w:rsidRPr="00E62FF7" w:rsidRDefault="00332B06" w:rsidP="00E62FF7">
            <w:pPr>
              <w:keepNext/>
              <w:keepLines/>
              <w:jc w:val="center"/>
              <w:rPr>
                <w:rFonts w:ascii="Times New Roman" w:hAnsi="Times New Roman"/>
                <w:szCs w:val="24"/>
              </w:rPr>
            </w:pPr>
            <w:r w:rsidRPr="00E62FF7">
              <w:rPr>
                <w:rFonts w:ascii="Times New Roman" w:hAnsi="Times New Roman"/>
                <w:szCs w:val="24"/>
              </w:rPr>
              <w:t>No</w:t>
            </w:r>
          </w:p>
        </w:tc>
      </w:tr>
      <w:tr w:rsidR="00332B06" w:rsidRPr="00E62FF7" w14:paraId="5E2BF92E" w14:textId="77777777" w:rsidTr="00390238">
        <w:trPr>
          <w:trHeight w:val="548"/>
          <w:jc w:val="center"/>
        </w:trPr>
        <w:tc>
          <w:tcPr>
            <w:tcW w:w="2790" w:type="dxa"/>
            <w:hideMark/>
          </w:tcPr>
          <w:p w14:paraId="5E2BF92A" w14:textId="77777777" w:rsidR="00332B06" w:rsidRPr="00E62FF7" w:rsidRDefault="00332B06" w:rsidP="00E62FF7">
            <w:pPr>
              <w:keepNext/>
              <w:keepLines/>
              <w:rPr>
                <w:rFonts w:ascii="Times New Roman" w:hAnsi="Times New Roman"/>
                <w:szCs w:val="24"/>
              </w:rPr>
            </w:pPr>
            <w:r w:rsidRPr="00E62FF7">
              <w:rPr>
                <w:rFonts w:ascii="Times New Roman" w:hAnsi="Times New Roman"/>
                <w:szCs w:val="24"/>
              </w:rPr>
              <w:t>Seattle FBI Cyber Task Force's FLASH Alerts</w:t>
            </w:r>
          </w:p>
        </w:tc>
        <w:tc>
          <w:tcPr>
            <w:tcW w:w="1440" w:type="dxa"/>
            <w:hideMark/>
          </w:tcPr>
          <w:p w14:paraId="5E2BF92B" w14:textId="77777777" w:rsidR="00332B06" w:rsidRPr="00E62FF7" w:rsidRDefault="00332B06" w:rsidP="00E62FF7">
            <w:pPr>
              <w:keepNext/>
              <w:keepLines/>
              <w:jc w:val="center"/>
              <w:rPr>
                <w:rFonts w:ascii="Times New Roman" w:hAnsi="Times New Roman"/>
                <w:szCs w:val="24"/>
              </w:rPr>
            </w:pPr>
            <w:r w:rsidRPr="00E62FF7">
              <w:rPr>
                <w:rFonts w:ascii="Times New Roman" w:hAnsi="Times New Roman"/>
                <w:szCs w:val="24"/>
              </w:rPr>
              <w:t>Yes</w:t>
            </w:r>
          </w:p>
        </w:tc>
        <w:tc>
          <w:tcPr>
            <w:tcW w:w="3600" w:type="dxa"/>
            <w:hideMark/>
          </w:tcPr>
          <w:p w14:paraId="5E2BF92C" w14:textId="77777777" w:rsidR="00332B06" w:rsidRPr="00E62FF7" w:rsidRDefault="00332B06" w:rsidP="00E62FF7">
            <w:pPr>
              <w:keepNext/>
              <w:keepLines/>
              <w:rPr>
                <w:rFonts w:ascii="Times New Roman" w:hAnsi="Times New Roman"/>
                <w:szCs w:val="24"/>
              </w:rPr>
            </w:pPr>
            <w:r w:rsidRPr="00E62FF7">
              <w:rPr>
                <w:rFonts w:ascii="Times New Roman" w:hAnsi="Times New Roman"/>
                <w:szCs w:val="24"/>
              </w:rPr>
              <w:t xml:space="preserve">Yes – When issued </w:t>
            </w:r>
          </w:p>
        </w:tc>
        <w:tc>
          <w:tcPr>
            <w:tcW w:w="1530" w:type="dxa"/>
            <w:hideMark/>
          </w:tcPr>
          <w:p w14:paraId="5E2BF92D" w14:textId="77777777" w:rsidR="00332B06" w:rsidRPr="00E62FF7" w:rsidRDefault="00332B06" w:rsidP="00E62FF7">
            <w:pPr>
              <w:keepNext/>
              <w:keepLines/>
              <w:jc w:val="center"/>
              <w:rPr>
                <w:rFonts w:ascii="Times New Roman" w:hAnsi="Times New Roman"/>
                <w:szCs w:val="24"/>
              </w:rPr>
            </w:pPr>
            <w:r w:rsidRPr="00E62FF7">
              <w:rPr>
                <w:rFonts w:ascii="Times New Roman" w:hAnsi="Times New Roman"/>
                <w:szCs w:val="24"/>
              </w:rPr>
              <w:t>No</w:t>
            </w:r>
          </w:p>
        </w:tc>
      </w:tr>
    </w:tbl>
    <w:p w14:paraId="5E2BF92F" w14:textId="77777777" w:rsidR="00E62FF7" w:rsidRPr="00E62FF7" w:rsidRDefault="00E62FF7" w:rsidP="00332B06">
      <w:pPr>
        <w:pStyle w:val="Heading3"/>
        <w:tabs>
          <w:tab w:val="left" w:pos="720"/>
          <w:tab w:val="left" w:pos="1440"/>
        </w:tabs>
        <w:spacing w:before="0"/>
        <w:rPr>
          <w:rFonts w:ascii="Times New Roman" w:hAnsi="Times New Roman" w:cs="Times New Roman"/>
          <w:b w:val="0"/>
          <w:color w:val="000000" w:themeColor="text1"/>
        </w:rPr>
      </w:pPr>
    </w:p>
    <w:p w14:paraId="5E2BF930" w14:textId="77777777" w:rsidR="00BC6B1F" w:rsidRPr="00E62FF7" w:rsidRDefault="00BC6B1F" w:rsidP="00332B06">
      <w:pPr>
        <w:pStyle w:val="Heading3"/>
        <w:tabs>
          <w:tab w:val="left" w:pos="720"/>
          <w:tab w:val="left" w:pos="1440"/>
        </w:tabs>
        <w:spacing w:before="0"/>
        <w:rPr>
          <w:rFonts w:ascii="Times New Roman" w:hAnsi="Times New Roman" w:cs="Times New Roman"/>
          <w:b w:val="0"/>
          <w:color w:val="000000" w:themeColor="text1"/>
        </w:rPr>
      </w:pPr>
      <w:r w:rsidRPr="00E62FF7">
        <w:rPr>
          <w:rFonts w:ascii="Times New Roman" w:hAnsi="Times New Roman" w:cs="Times New Roman"/>
          <w:b w:val="0"/>
          <w:color w:val="000000" w:themeColor="text1"/>
        </w:rPr>
        <w:t xml:space="preserve">Please direct any informal inquiries regarding this filing to </w:t>
      </w:r>
      <w:r w:rsidR="00332B06" w:rsidRPr="00E62FF7">
        <w:rPr>
          <w:rFonts w:ascii="Times New Roman" w:hAnsi="Times New Roman" w:cs="Times New Roman"/>
          <w:b w:val="0"/>
          <w:color w:val="000000" w:themeColor="text1"/>
        </w:rPr>
        <w:t>Ariel Son, Regulatory Projects Manager</w:t>
      </w:r>
      <w:r w:rsidRPr="00E62FF7">
        <w:rPr>
          <w:rFonts w:ascii="Times New Roman" w:hAnsi="Times New Roman" w:cs="Times New Roman"/>
          <w:b w:val="0"/>
          <w:color w:val="000000" w:themeColor="text1"/>
        </w:rPr>
        <w:t>, at (503) 813-</w:t>
      </w:r>
      <w:r w:rsidR="00332B06" w:rsidRPr="00E62FF7">
        <w:rPr>
          <w:rFonts w:ascii="Times New Roman" w:hAnsi="Times New Roman" w:cs="Times New Roman"/>
          <w:b w:val="0"/>
          <w:color w:val="000000" w:themeColor="text1"/>
        </w:rPr>
        <w:t>5410</w:t>
      </w:r>
      <w:r w:rsidRPr="00E62FF7">
        <w:rPr>
          <w:rFonts w:ascii="Times New Roman" w:hAnsi="Times New Roman" w:cs="Times New Roman"/>
          <w:b w:val="0"/>
          <w:color w:val="000000" w:themeColor="text1"/>
        </w:rPr>
        <w:t>.</w:t>
      </w:r>
    </w:p>
    <w:p w14:paraId="5E2BF931" w14:textId="77777777" w:rsidR="00265BCE" w:rsidRPr="00E62FF7" w:rsidRDefault="00265BCE" w:rsidP="00265BCE">
      <w:pPr>
        <w:rPr>
          <w:rFonts w:ascii="Times New Roman" w:hAnsi="Times New Roman"/>
        </w:rPr>
      </w:pPr>
    </w:p>
    <w:p w14:paraId="5E2BF932" w14:textId="77777777" w:rsidR="00BC6B1F" w:rsidRPr="00E62FF7" w:rsidRDefault="00BC6B1F" w:rsidP="00332B06">
      <w:pPr>
        <w:rPr>
          <w:rFonts w:ascii="Times New Roman" w:hAnsi="Times New Roman"/>
        </w:rPr>
      </w:pPr>
      <w:r w:rsidRPr="00E62FF7">
        <w:rPr>
          <w:rFonts w:ascii="Times New Roman" w:hAnsi="Times New Roman"/>
        </w:rPr>
        <w:t>Sincerely,</w:t>
      </w:r>
    </w:p>
    <w:p w14:paraId="5E2BF933" w14:textId="77777777" w:rsidR="00BC6B1F" w:rsidRPr="00E62FF7" w:rsidRDefault="00BC6B1F" w:rsidP="00332B06">
      <w:pPr>
        <w:rPr>
          <w:rFonts w:ascii="Times New Roman" w:hAnsi="Times New Roman"/>
        </w:rPr>
      </w:pPr>
    </w:p>
    <w:p w14:paraId="5E2BF934" w14:textId="77777777" w:rsidR="00BC6B1F" w:rsidRPr="00E62FF7" w:rsidRDefault="00BC6B1F" w:rsidP="00332B06">
      <w:pPr>
        <w:rPr>
          <w:rFonts w:ascii="Times New Roman" w:hAnsi="Times New Roman"/>
        </w:rPr>
      </w:pPr>
    </w:p>
    <w:p w14:paraId="5E2BF935" w14:textId="77777777" w:rsidR="00BC6B1F" w:rsidRPr="00E62FF7" w:rsidRDefault="00BC6B1F" w:rsidP="00332B06">
      <w:pPr>
        <w:rPr>
          <w:rFonts w:ascii="Times New Roman" w:hAnsi="Times New Roman"/>
        </w:rPr>
      </w:pPr>
    </w:p>
    <w:p w14:paraId="5E2BF936" w14:textId="77777777" w:rsidR="00BC6B1F" w:rsidRPr="00E62FF7" w:rsidRDefault="00BC6B1F" w:rsidP="00332B06">
      <w:pPr>
        <w:rPr>
          <w:rFonts w:ascii="Times New Roman" w:hAnsi="Times New Roman"/>
        </w:rPr>
      </w:pPr>
      <w:r w:rsidRPr="00E62FF7">
        <w:rPr>
          <w:rFonts w:ascii="Times New Roman" w:hAnsi="Times New Roman"/>
        </w:rPr>
        <w:t>R. Bryce Dalley</w:t>
      </w:r>
    </w:p>
    <w:p w14:paraId="5E2BF937" w14:textId="77777777" w:rsidR="00BC6B1F" w:rsidRPr="00E62FF7" w:rsidRDefault="00BC6B1F" w:rsidP="00332B06">
      <w:pPr>
        <w:rPr>
          <w:rFonts w:ascii="Times New Roman" w:hAnsi="Times New Roman"/>
        </w:rPr>
      </w:pPr>
      <w:r w:rsidRPr="00E62FF7">
        <w:rPr>
          <w:rFonts w:ascii="Times New Roman" w:hAnsi="Times New Roman"/>
        </w:rPr>
        <w:t>Vice President, Regulation</w:t>
      </w:r>
    </w:p>
    <w:p w14:paraId="5E2BF938" w14:textId="77777777" w:rsidR="00BC6B1F" w:rsidRPr="00E62FF7" w:rsidRDefault="00BC6B1F" w:rsidP="00332B06">
      <w:pPr>
        <w:rPr>
          <w:rFonts w:ascii="Times New Roman" w:hAnsi="Times New Roman"/>
        </w:rPr>
      </w:pPr>
    </w:p>
    <w:p w14:paraId="5E2BF939" w14:textId="77777777" w:rsidR="00E62FF7" w:rsidRDefault="00BC6B1F" w:rsidP="00332B06">
      <w:pPr>
        <w:rPr>
          <w:rFonts w:ascii="Times New Roman" w:hAnsi="Times New Roman"/>
        </w:rPr>
        <w:sectPr w:rsidR="00E62FF7" w:rsidSect="00E62FF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cols w:space="720"/>
          <w:formProt w:val="0"/>
          <w:titlePg/>
          <w:docGrid w:linePitch="360"/>
        </w:sectPr>
      </w:pPr>
      <w:r w:rsidRPr="00E62FF7">
        <w:rPr>
          <w:rFonts w:ascii="Times New Roman" w:hAnsi="Times New Roman"/>
        </w:rPr>
        <w:t xml:space="preserve">cc: </w:t>
      </w:r>
      <w:r w:rsidR="00332B06" w:rsidRPr="00E62FF7">
        <w:rPr>
          <w:rFonts w:ascii="Times New Roman" w:hAnsi="Times New Roman"/>
        </w:rPr>
        <w:tab/>
      </w:r>
      <w:r w:rsidR="00E62FF7">
        <w:rPr>
          <w:rFonts w:ascii="Times New Roman" w:hAnsi="Times New Roman"/>
        </w:rPr>
        <w:t>Jason Ball, WUTC Staff</w:t>
      </w:r>
    </w:p>
    <w:p w14:paraId="5E2BF93A" w14:textId="77777777" w:rsidR="00E62FF7" w:rsidRPr="00E62FF7" w:rsidRDefault="00E62FF7" w:rsidP="00D974D2">
      <w:pPr>
        <w:spacing w:after="120"/>
        <w:jc w:val="center"/>
        <w:rPr>
          <w:rFonts w:ascii="Times New Roman" w:hAnsi="Times New Roman"/>
          <w:b/>
          <w:szCs w:val="24"/>
        </w:rPr>
      </w:pPr>
      <w:r w:rsidRPr="00E62FF7">
        <w:rPr>
          <w:rFonts w:ascii="Times New Roman" w:hAnsi="Times New Roman"/>
          <w:b/>
          <w:szCs w:val="24"/>
        </w:rPr>
        <w:lastRenderedPageBreak/>
        <w:t>Attachment A: Berkshire Hathaway Energy Information Security Policies</w:t>
      </w:r>
    </w:p>
    <w:p w14:paraId="5E2BF93B" w14:textId="77777777" w:rsidR="00E62FF7" w:rsidRPr="00E62FF7" w:rsidRDefault="00E62FF7" w:rsidP="00E62FF7">
      <w:pPr>
        <w:spacing w:after="120"/>
        <w:rPr>
          <w:rFonts w:ascii="Times New Roman" w:hAnsi="Times New Roman"/>
          <w:szCs w:val="24"/>
        </w:rPr>
      </w:pPr>
    </w:p>
    <w:p w14:paraId="5E2BF93C" w14:textId="77777777" w:rsidR="00E62FF7" w:rsidRPr="00E62FF7" w:rsidRDefault="00E62FF7" w:rsidP="00E62FF7">
      <w:pPr>
        <w:spacing w:after="120"/>
        <w:jc w:val="center"/>
        <w:rPr>
          <w:rFonts w:ascii="Times New Roman" w:hAnsi="Times New Roman"/>
          <w:szCs w:val="24"/>
        </w:rPr>
      </w:pPr>
      <w:r w:rsidRPr="00E62FF7">
        <w:rPr>
          <w:rFonts w:ascii="Times New Roman" w:hAnsi="Times New Roman"/>
          <w:noProof/>
          <w:szCs w:val="24"/>
        </w:rPr>
        <w:drawing>
          <wp:inline distT="0" distB="0" distL="0" distR="0" wp14:anchorId="5E2BF940" wp14:editId="5E2BF941">
            <wp:extent cx="4933950" cy="6845986"/>
            <wp:effectExtent l="0" t="0" r="0"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35044" cy="6847504"/>
                    </a:xfrm>
                    <a:prstGeom prst="rect">
                      <a:avLst/>
                    </a:prstGeom>
                    <a:noFill/>
                    <a:ln>
                      <a:noFill/>
                    </a:ln>
                    <a:effectLst/>
                    <a:extLst/>
                  </pic:spPr>
                </pic:pic>
              </a:graphicData>
            </a:graphic>
          </wp:inline>
        </w:drawing>
      </w:r>
    </w:p>
    <w:p w14:paraId="5E2BF93D" w14:textId="77777777" w:rsidR="00AD2971" w:rsidRPr="00E62FF7" w:rsidRDefault="00AD2971" w:rsidP="00332B06">
      <w:pPr>
        <w:rPr>
          <w:rFonts w:ascii="Times New Roman" w:hAnsi="Times New Roman"/>
        </w:rPr>
      </w:pPr>
    </w:p>
    <w:sectPr w:rsidR="00AD2971" w:rsidRPr="00E62FF7" w:rsidSect="00E62FF7">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BF944" w14:textId="77777777" w:rsidR="001370B1" w:rsidRDefault="001370B1">
      <w:r>
        <w:separator/>
      </w:r>
    </w:p>
  </w:endnote>
  <w:endnote w:type="continuationSeparator" w:id="0">
    <w:p w14:paraId="5E2BF945" w14:textId="77777777" w:rsidR="001370B1" w:rsidRDefault="0013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BF94B" w14:textId="77777777" w:rsidR="00BC7555" w:rsidRDefault="00BC75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BF94C" w14:textId="77777777" w:rsidR="00BC7555" w:rsidRDefault="00BC75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BF94E" w14:textId="77777777" w:rsidR="00BC7555" w:rsidRDefault="00BC7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BF942" w14:textId="77777777" w:rsidR="001370B1" w:rsidRDefault="001370B1">
      <w:r>
        <w:separator/>
      </w:r>
    </w:p>
  </w:footnote>
  <w:footnote w:type="continuationSeparator" w:id="0">
    <w:p w14:paraId="5E2BF943" w14:textId="77777777" w:rsidR="001370B1" w:rsidRDefault="00137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BF946" w14:textId="77777777" w:rsidR="00BC7555" w:rsidRDefault="00BC7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BF947" w14:textId="77777777" w:rsidR="00265BCE" w:rsidRPr="006A63A4" w:rsidRDefault="00265BCE" w:rsidP="00AB02FD">
    <w:pPr>
      <w:pStyle w:val="Header"/>
    </w:pPr>
    <w:r w:rsidRPr="006A63A4">
      <w:t>Washington Utilities and Transportation Commission</w:t>
    </w:r>
  </w:p>
  <w:p w14:paraId="5E2BF948" w14:textId="77777777" w:rsidR="00265BCE" w:rsidRPr="006A63A4" w:rsidRDefault="00265BCE" w:rsidP="00AB02FD">
    <w:pPr>
      <w:pStyle w:val="Header"/>
    </w:pPr>
    <w:r>
      <w:t>December 29, 2015</w:t>
    </w:r>
  </w:p>
  <w:p w14:paraId="5E2BF949" w14:textId="77777777" w:rsidR="00265BCE" w:rsidRDefault="00265BCE">
    <w:pPr>
      <w:pStyle w:val="Header"/>
      <w:rPr>
        <w:rStyle w:val="PageNumber"/>
        <w:rFonts w:eastAsia="Times"/>
      </w:rPr>
    </w:pPr>
    <w:r w:rsidRPr="006A63A4">
      <w:t xml:space="preserve">Page </w:t>
    </w:r>
    <w:r w:rsidRPr="006A63A4">
      <w:rPr>
        <w:rStyle w:val="PageNumber"/>
        <w:rFonts w:eastAsia="Times"/>
      </w:rPr>
      <w:fldChar w:fldCharType="begin"/>
    </w:r>
    <w:r w:rsidRPr="006A63A4">
      <w:rPr>
        <w:rStyle w:val="PageNumber"/>
        <w:rFonts w:eastAsia="Times"/>
      </w:rPr>
      <w:instrText xml:space="preserve"> PAGE </w:instrText>
    </w:r>
    <w:r w:rsidRPr="006A63A4">
      <w:rPr>
        <w:rStyle w:val="PageNumber"/>
        <w:rFonts w:eastAsia="Times"/>
      </w:rPr>
      <w:fldChar w:fldCharType="separate"/>
    </w:r>
    <w:r w:rsidR="00D60CAE">
      <w:rPr>
        <w:rStyle w:val="PageNumber"/>
        <w:rFonts w:eastAsia="Times"/>
        <w:noProof/>
      </w:rPr>
      <w:t>2</w:t>
    </w:r>
    <w:r w:rsidRPr="006A63A4">
      <w:rPr>
        <w:rStyle w:val="PageNumber"/>
        <w:rFonts w:eastAsia="Times"/>
      </w:rPr>
      <w:fldChar w:fldCharType="end"/>
    </w:r>
  </w:p>
  <w:p w14:paraId="5E2BF94A" w14:textId="77777777" w:rsidR="00265BCE" w:rsidRDefault="00265B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BF94D" w14:textId="77777777" w:rsidR="00BC7555" w:rsidRDefault="00BC75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5449"/>
    <w:multiLevelType w:val="hybridMultilevel"/>
    <w:tmpl w:val="9A64600C"/>
    <w:lvl w:ilvl="0" w:tplc="0409000F">
      <w:start w:val="1"/>
      <w:numFmt w:val="decimal"/>
      <w:lvlText w:val="%1."/>
      <w:lvlJc w:val="left"/>
      <w:pPr>
        <w:ind w:left="720" w:hanging="360"/>
      </w:pPr>
      <w:rPr>
        <w:rFonts w:hint="default"/>
      </w:rPr>
    </w:lvl>
    <w:lvl w:ilvl="1" w:tplc="A04293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F11D0"/>
    <w:multiLevelType w:val="hybridMultilevel"/>
    <w:tmpl w:val="F6A0E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EF175D"/>
    <w:multiLevelType w:val="hybridMultilevel"/>
    <w:tmpl w:val="130E5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00E08E2"/>
    <w:multiLevelType w:val="hybridMultilevel"/>
    <w:tmpl w:val="F03E382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0B70E5"/>
    <w:multiLevelType w:val="hybridMultilevel"/>
    <w:tmpl w:val="8B3E39B8"/>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04"/>
    <w:rsid w:val="001370B1"/>
    <w:rsid w:val="00154B13"/>
    <w:rsid w:val="001A3C2B"/>
    <w:rsid w:val="001A7F37"/>
    <w:rsid w:val="00260131"/>
    <w:rsid w:val="00265BCE"/>
    <w:rsid w:val="002D13D3"/>
    <w:rsid w:val="002F19AD"/>
    <w:rsid w:val="0031092D"/>
    <w:rsid w:val="003305D5"/>
    <w:rsid w:val="00332B06"/>
    <w:rsid w:val="0034300F"/>
    <w:rsid w:val="00390238"/>
    <w:rsid w:val="004C4640"/>
    <w:rsid w:val="004F595F"/>
    <w:rsid w:val="0062143D"/>
    <w:rsid w:val="0068573E"/>
    <w:rsid w:val="00696C3E"/>
    <w:rsid w:val="00697161"/>
    <w:rsid w:val="006E08DF"/>
    <w:rsid w:val="006F2004"/>
    <w:rsid w:val="0070164B"/>
    <w:rsid w:val="00751804"/>
    <w:rsid w:val="00810E6A"/>
    <w:rsid w:val="00822BBB"/>
    <w:rsid w:val="008764B1"/>
    <w:rsid w:val="008F5245"/>
    <w:rsid w:val="0090778A"/>
    <w:rsid w:val="00987F63"/>
    <w:rsid w:val="009922CA"/>
    <w:rsid w:val="00AB02FD"/>
    <w:rsid w:val="00AD02E3"/>
    <w:rsid w:val="00AD2971"/>
    <w:rsid w:val="00B30D3B"/>
    <w:rsid w:val="00B540FE"/>
    <w:rsid w:val="00BA4193"/>
    <w:rsid w:val="00BB17C4"/>
    <w:rsid w:val="00BC6B1F"/>
    <w:rsid w:val="00BC7555"/>
    <w:rsid w:val="00C946C8"/>
    <w:rsid w:val="00CC62A3"/>
    <w:rsid w:val="00D31E7B"/>
    <w:rsid w:val="00D60CAE"/>
    <w:rsid w:val="00D63F62"/>
    <w:rsid w:val="00D974D2"/>
    <w:rsid w:val="00E13782"/>
    <w:rsid w:val="00E62FF7"/>
    <w:rsid w:val="00F14BA0"/>
    <w:rsid w:val="00F60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2B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804"/>
    <w:pPr>
      <w:spacing w:after="0" w:line="240" w:lineRule="auto"/>
    </w:pPr>
    <w:rPr>
      <w:rFonts w:ascii="Times" w:eastAsia="Times" w:hAnsi="Times"/>
    </w:rPr>
  </w:style>
  <w:style w:type="paragraph" w:styleId="Heading3">
    <w:name w:val="heading 3"/>
    <w:basedOn w:val="Normal"/>
    <w:next w:val="Normal"/>
    <w:link w:val="Heading3Char"/>
    <w:semiHidden/>
    <w:unhideWhenUsed/>
    <w:qFormat/>
    <w:rsid w:val="00BC6B1F"/>
    <w:pPr>
      <w:keepNext/>
      <w:keepLines/>
      <w:spacing w:before="200"/>
      <w:outlineLvl w:val="2"/>
    </w:pPr>
    <w:rPr>
      <w:rFonts w:asciiTheme="majorHAnsi" w:eastAsiaTheme="majorEastAsia" w:hAnsiTheme="majorHAnsi" w:cstheme="majorBidi"/>
      <w:b/>
      <w:bCs/>
      <w:color w:val="4F81BD" w:themeColor="accent1"/>
      <w:szCs w:val="24"/>
    </w:rPr>
  </w:style>
  <w:style w:type="paragraph" w:styleId="Heading5">
    <w:name w:val="heading 5"/>
    <w:basedOn w:val="Normal"/>
    <w:next w:val="Normal"/>
    <w:link w:val="Heading5Char"/>
    <w:qFormat/>
    <w:rsid w:val="00BC6B1F"/>
    <w:pPr>
      <w:keepNext/>
      <w:jc w:val="right"/>
      <w:outlineLvl w:val="4"/>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804"/>
    <w:pPr>
      <w:spacing w:after="0" w:line="240" w:lineRule="auto"/>
    </w:pPr>
    <w:rPr>
      <w:rFonts w:ascii="Times" w:eastAsia="Times" w:hAnsi="Time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51804"/>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751804"/>
    <w:rPr>
      <w:rFonts w:eastAsia="Times New Roman"/>
      <w:szCs w:val="24"/>
    </w:rPr>
  </w:style>
  <w:style w:type="paragraph" w:styleId="Footer">
    <w:name w:val="footer"/>
    <w:basedOn w:val="Normal"/>
    <w:link w:val="FooterChar"/>
    <w:uiPriority w:val="99"/>
    <w:unhideWhenUsed/>
    <w:rsid w:val="00751804"/>
    <w:pPr>
      <w:tabs>
        <w:tab w:val="center" w:pos="4680"/>
        <w:tab w:val="right" w:pos="9360"/>
      </w:tabs>
    </w:pPr>
  </w:style>
  <w:style w:type="character" w:customStyle="1" w:styleId="FooterChar">
    <w:name w:val="Footer Char"/>
    <w:basedOn w:val="DefaultParagraphFont"/>
    <w:link w:val="Footer"/>
    <w:uiPriority w:val="99"/>
    <w:rsid w:val="00751804"/>
    <w:rPr>
      <w:rFonts w:ascii="Times" w:eastAsia="Times" w:hAnsi="Times"/>
    </w:rPr>
  </w:style>
  <w:style w:type="character" w:styleId="Hyperlink">
    <w:name w:val="Hyperlink"/>
    <w:basedOn w:val="DefaultParagraphFont"/>
    <w:uiPriority w:val="99"/>
    <w:unhideWhenUsed/>
    <w:rsid w:val="00751804"/>
    <w:rPr>
      <w:color w:val="0000FF" w:themeColor="hyperlink"/>
      <w:u w:val="single"/>
    </w:rPr>
  </w:style>
  <w:style w:type="character" w:customStyle="1" w:styleId="Heading3Char">
    <w:name w:val="Heading 3 Char"/>
    <w:basedOn w:val="DefaultParagraphFont"/>
    <w:link w:val="Heading3"/>
    <w:semiHidden/>
    <w:rsid w:val="00BC6B1F"/>
    <w:rPr>
      <w:rFonts w:asciiTheme="majorHAnsi" w:eastAsiaTheme="majorEastAsia" w:hAnsiTheme="majorHAnsi" w:cstheme="majorBidi"/>
      <w:b/>
      <w:bCs/>
      <w:color w:val="4F81BD" w:themeColor="accent1"/>
      <w:szCs w:val="24"/>
    </w:rPr>
  </w:style>
  <w:style w:type="character" w:customStyle="1" w:styleId="Heading5Char">
    <w:name w:val="Heading 5 Char"/>
    <w:basedOn w:val="DefaultParagraphFont"/>
    <w:link w:val="Heading5"/>
    <w:rsid w:val="00BC6B1F"/>
    <w:rPr>
      <w:rFonts w:eastAsia="Times New Roman"/>
      <w:szCs w:val="24"/>
    </w:rPr>
  </w:style>
  <w:style w:type="paragraph" w:styleId="ListParagraph">
    <w:name w:val="List Paragraph"/>
    <w:basedOn w:val="Normal"/>
    <w:uiPriority w:val="34"/>
    <w:qFormat/>
    <w:rsid w:val="00BC6B1F"/>
    <w:pPr>
      <w:spacing w:before="40" w:after="80"/>
      <w:ind w:left="720"/>
    </w:pPr>
    <w:rPr>
      <w:rFonts w:ascii="Times New Roman" w:eastAsia="Times New Roman" w:hAnsi="Times New Roman"/>
      <w:szCs w:val="24"/>
    </w:rPr>
  </w:style>
  <w:style w:type="paragraph" w:styleId="NoSpacing">
    <w:name w:val="No Spacing"/>
    <w:uiPriority w:val="1"/>
    <w:qFormat/>
    <w:rsid w:val="00BC6B1F"/>
    <w:pPr>
      <w:spacing w:after="0" w:line="240" w:lineRule="auto"/>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C6B1F"/>
    <w:rPr>
      <w:rFonts w:ascii="Tahoma" w:hAnsi="Tahoma" w:cs="Tahoma"/>
      <w:sz w:val="16"/>
      <w:szCs w:val="16"/>
    </w:rPr>
  </w:style>
  <w:style w:type="character" w:customStyle="1" w:styleId="BalloonTextChar">
    <w:name w:val="Balloon Text Char"/>
    <w:basedOn w:val="DefaultParagraphFont"/>
    <w:link w:val="BalloonText"/>
    <w:uiPriority w:val="99"/>
    <w:semiHidden/>
    <w:rsid w:val="00BC6B1F"/>
    <w:rPr>
      <w:rFonts w:ascii="Tahoma" w:eastAsia="Times" w:hAnsi="Tahoma" w:cs="Tahoma"/>
      <w:sz w:val="16"/>
      <w:szCs w:val="16"/>
    </w:rPr>
  </w:style>
  <w:style w:type="character" w:styleId="PageNumber">
    <w:name w:val="page number"/>
    <w:basedOn w:val="DefaultParagraphFont"/>
    <w:rsid w:val="00AB02FD"/>
  </w:style>
  <w:style w:type="character" w:styleId="CommentReference">
    <w:name w:val="annotation reference"/>
    <w:basedOn w:val="DefaultParagraphFont"/>
    <w:uiPriority w:val="99"/>
    <w:semiHidden/>
    <w:unhideWhenUsed/>
    <w:rsid w:val="00332B06"/>
    <w:rPr>
      <w:sz w:val="16"/>
      <w:szCs w:val="16"/>
    </w:rPr>
  </w:style>
  <w:style w:type="paragraph" w:styleId="CommentText">
    <w:name w:val="annotation text"/>
    <w:basedOn w:val="Normal"/>
    <w:link w:val="CommentTextChar"/>
    <w:uiPriority w:val="99"/>
    <w:semiHidden/>
    <w:unhideWhenUsed/>
    <w:rsid w:val="00332B06"/>
    <w:rPr>
      <w:sz w:val="20"/>
    </w:rPr>
  </w:style>
  <w:style w:type="character" w:customStyle="1" w:styleId="CommentTextChar">
    <w:name w:val="Comment Text Char"/>
    <w:basedOn w:val="DefaultParagraphFont"/>
    <w:link w:val="CommentText"/>
    <w:uiPriority w:val="99"/>
    <w:semiHidden/>
    <w:rsid w:val="00332B06"/>
    <w:rPr>
      <w:rFonts w:ascii="Times" w:eastAsia="Times" w:hAnsi="Times"/>
      <w:sz w:val="20"/>
    </w:rPr>
  </w:style>
  <w:style w:type="paragraph" w:styleId="CommentSubject">
    <w:name w:val="annotation subject"/>
    <w:basedOn w:val="CommentText"/>
    <w:next w:val="CommentText"/>
    <w:link w:val="CommentSubjectChar"/>
    <w:uiPriority w:val="99"/>
    <w:semiHidden/>
    <w:unhideWhenUsed/>
    <w:rsid w:val="00332B06"/>
    <w:rPr>
      <w:b/>
      <w:bCs/>
    </w:rPr>
  </w:style>
  <w:style w:type="character" w:customStyle="1" w:styleId="CommentSubjectChar">
    <w:name w:val="Comment Subject Char"/>
    <w:basedOn w:val="CommentTextChar"/>
    <w:link w:val="CommentSubject"/>
    <w:uiPriority w:val="99"/>
    <w:semiHidden/>
    <w:rsid w:val="00332B06"/>
    <w:rPr>
      <w:rFonts w:ascii="Times" w:eastAsia="Times" w:hAnsi="Times"/>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58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3FF7B77111FB4EAA38354A91EDD2FF" ma:contentTypeVersion="111" ma:contentTypeDescription="" ma:contentTypeScope="" ma:versionID="365556c1ec4ae026420fff35c31fd7c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Report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2015-05-01T07:00:00+00:00</OpenedDate>
    <Date1 xmlns="dc463f71-b30c-4ab2-9473-d307f9d35888">2015-12-29T08:00:00+00:00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150717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990354-514C-4F5A-972C-5B292D819B21}"/>
</file>

<file path=customXml/itemProps2.xml><?xml version="1.0" encoding="utf-8"?>
<ds:datastoreItem xmlns:ds="http://schemas.openxmlformats.org/officeDocument/2006/customXml" ds:itemID="{EF110ADB-DA34-4C75-A2D0-22E6E4654AB1}"/>
</file>

<file path=customXml/itemProps3.xml><?xml version="1.0" encoding="utf-8"?>
<ds:datastoreItem xmlns:ds="http://schemas.openxmlformats.org/officeDocument/2006/customXml" ds:itemID="{9ED6D186-A403-4F7A-A534-6FB53CEAC073}"/>
</file>

<file path=customXml/itemProps4.xml><?xml version="1.0" encoding="utf-8"?>
<ds:datastoreItem xmlns:ds="http://schemas.openxmlformats.org/officeDocument/2006/customXml" ds:itemID="{9E4EFE9F-F6FE-4ED9-9ECB-9FC3091B1DE3}"/>
</file>

<file path=customXml/itemProps5.xml><?xml version="1.0" encoding="utf-8"?>
<ds:datastoreItem xmlns:ds="http://schemas.openxmlformats.org/officeDocument/2006/customXml" ds:itemID="{DC49D8C2-D0FC-402A-B3AD-9A470D646FCA}"/>
</file>

<file path=docProps/app.xml><?xml version="1.0" encoding="utf-8"?>
<Properties xmlns="http://schemas.openxmlformats.org/officeDocument/2006/extended-properties" xmlns:vt="http://schemas.openxmlformats.org/officeDocument/2006/docPropsVTypes">
  <Template>Normal</Template>
  <TotalTime>0</TotalTime>
  <Pages>7</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2015-12-31T18:53:00Z</dcterms:created>
  <dcterms:modified xsi:type="dcterms:W3CDTF">2015-12-31T18:53:00Z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0x0101006E56B4D1795A2E4DB2F0B01679ED314A00BF3FF7B77111FB4EAA38354A91EDD2FF</vt:lpwstr>
  </property>
  <property fmtid="{D5CDD505-2E9C-101B-9397-08002B2CF9AE}" pid="3" name="_docset_NoMedatataSyncRequired">
    <vt:lpwstr>False</vt:lpwstr>
  </property>
</Properties>
</file>