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6D1564CE"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w:t>
      </w:r>
      <w:r w:rsidR="000E79B6">
        <w:rPr>
          <w:rFonts w:ascii="Arial" w:hAnsi="Arial"/>
          <w:b/>
          <w:i/>
          <w:color w:val="008000"/>
          <w:sz w:val="18"/>
        </w:rPr>
        <w:t xml:space="preserve"> </w:t>
      </w:r>
      <w:r>
        <w:rPr>
          <w:rFonts w:ascii="Arial" w:hAnsi="Arial"/>
          <w:b/>
          <w:i/>
          <w:color w:val="008000"/>
          <w:sz w:val="18"/>
        </w:rPr>
        <w:t xml:space="preserve">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130C0F8B" w:rsidR="00E47331" w:rsidRDefault="005F37B0" w:rsidP="00AB0760">
      <w:pPr>
        <w:pStyle w:val="NoSpacing"/>
        <w:spacing w:line="264" w:lineRule="auto"/>
        <w:jc w:val="center"/>
        <w:rPr>
          <w:sz w:val="25"/>
          <w:szCs w:val="25"/>
        </w:rPr>
      </w:pPr>
      <w:r>
        <w:rPr>
          <w:sz w:val="25"/>
          <w:szCs w:val="25"/>
        </w:rPr>
        <w:t>April 20</w:t>
      </w:r>
      <w:r w:rsidR="00B324AB">
        <w:rPr>
          <w:sz w:val="25"/>
          <w:szCs w:val="25"/>
        </w:rPr>
        <w:t>, 2015</w:t>
      </w:r>
    </w:p>
    <w:p w14:paraId="51CB6612" w14:textId="77777777" w:rsidR="008C628B" w:rsidRDefault="008C628B" w:rsidP="00AB0760">
      <w:pPr>
        <w:pStyle w:val="NoSpacing"/>
        <w:spacing w:line="264" w:lineRule="auto"/>
        <w:jc w:val="center"/>
        <w:rPr>
          <w:sz w:val="25"/>
          <w:szCs w:val="25"/>
        </w:rPr>
      </w:pPr>
    </w:p>
    <w:p w14:paraId="5AEFBB04" w14:textId="77777777" w:rsidR="00AF64F7" w:rsidRPr="00AE78C9" w:rsidRDefault="00AF64F7" w:rsidP="00AB0760">
      <w:pPr>
        <w:pStyle w:val="NoSpacing"/>
        <w:spacing w:line="264" w:lineRule="auto"/>
        <w:jc w:val="center"/>
        <w:rPr>
          <w:sz w:val="25"/>
          <w:szCs w:val="25"/>
        </w:rPr>
      </w:pPr>
    </w:p>
    <w:p w14:paraId="33E6DBD0" w14:textId="77777777" w:rsidR="00187B80" w:rsidRPr="008C628B" w:rsidRDefault="00187B80" w:rsidP="00187B80">
      <w:pPr>
        <w:autoSpaceDE w:val="0"/>
        <w:autoSpaceDN w:val="0"/>
        <w:adjustRightInd w:val="0"/>
        <w:spacing w:line="264" w:lineRule="auto"/>
        <w:jc w:val="center"/>
        <w:outlineLvl w:val="0"/>
        <w:rPr>
          <w:b/>
          <w:bCs/>
          <w:color w:val="000000"/>
          <w:sz w:val="25"/>
          <w:szCs w:val="25"/>
        </w:rPr>
      </w:pPr>
      <w:r w:rsidRPr="008C628B">
        <w:rPr>
          <w:b/>
          <w:sz w:val="25"/>
          <w:szCs w:val="25"/>
        </w:rPr>
        <w:t xml:space="preserve">NOTICE OF OPPORTUNITY </w:t>
      </w:r>
      <w:r w:rsidRPr="008C628B">
        <w:rPr>
          <w:b/>
          <w:bCs/>
          <w:color w:val="000000"/>
          <w:sz w:val="25"/>
          <w:szCs w:val="25"/>
        </w:rPr>
        <w:t>TO FILE WRITTEN COMMENTS</w:t>
      </w:r>
    </w:p>
    <w:p w14:paraId="3A8B8842" w14:textId="08EBD876" w:rsidR="00187B80" w:rsidRDefault="00187B80" w:rsidP="00187B80">
      <w:pPr>
        <w:autoSpaceDE w:val="0"/>
        <w:autoSpaceDN w:val="0"/>
        <w:adjustRightInd w:val="0"/>
        <w:spacing w:line="264" w:lineRule="auto"/>
        <w:jc w:val="center"/>
        <w:outlineLvl w:val="0"/>
        <w:rPr>
          <w:b/>
          <w:bCs/>
          <w:color w:val="000000"/>
          <w:sz w:val="25"/>
          <w:szCs w:val="25"/>
        </w:rPr>
      </w:pPr>
      <w:r w:rsidRPr="008C628B">
        <w:rPr>
          <w:b/>
          <w:bCs/>
          <w:color w:val="000000"/>
          <w:sz w:val="25"/>
          <w:szCs w:val="25"/>
        </w:rPr>
        <w:t xml:space="preserve">(By </w:t>
      </w:r>
      <w:r w:rsidR="008C5C45">
        <w:rPr>
          <w:b/>
          <w:bCs/>
          <w:color w:val="000000"/>
          <w:sz w:val="25"/>
          <w:szCs w:val="25"/>
        </w:rPr>
        <w:t>Fri</w:t>
      </w:r>
      <w:r>
        <w:rPr>
          <w:b/>
          <w:bCs/>
          <w:color w:val="000000"/>
          <w:sz w:val="25"/>
          <w:szCs w:val="25"/>
        </w:rPr>
        <w:t xml:space="preserve">day, May </w:t>
      </w:r>
      <w:r w:rsidR="008C5C45">
        <w:rPr>
          <w:b/>
          <w:bCs/>
          <w:color w:val="000000"/>
          <w:sz w:val="25"/>
          <w:szCs w:val="25"/>
        </w:rPr>
        <w:t>15</w:t>
      </w:r>
      <w:r>
        <w:rPr>
          <w:b/>
          <w:bCs/>
          <w:color w:val="000000"/>
          <w:sz w:val="25"/>
          <w:szCs w:val="25"/>
        </w:rPr>
        <w:t>, 2015</w:t>
      </w:r>
      <w:r w:rsidRPr="008C628B">
        <w:rPr>
          <w:b/>
          <w:bCs/>
          <w:color w:val="000000"/>
          <w:sz w:val="25"/>
          <w:szCs w:val="25"/>
        </w:rPr>
        <w:t>)</w:t>
      </w:r>
    </w:p>
    <w:p w14:paraId="0036083E" w14:textId="15F7236C" w:rsidR="00187B80" w:rsidRDefault="00187B80" w:rsidP="00AB0760">
      <w:pPr>
        <w:autoSpaceDE w:val="0"/>
        <w:autoSpaceDN w:val="0"/>
        <w:adjustRightInd w:val="0"/>
        <w:spacing w:line="264" w:lineRule="auto"/>
        <w:jc w:val="center"/>
        <w:outlineLvl w:val="0"/>
        <w:rPr>
          <w:b/>
          <w:sz w:val="25"/>
          <w:szCs w:val="25"/>
        </w:rPr>
      </w:pPr>
      <w:r>
        <w:rPr>
          <w:b/>
          <w:sz w:val="25"/>
          <w:szCs w:val="25"/>
        </w:rPr>
        <w:t>and</w:t>
      </w:r>
    </w:p>
    <w:p w14:paraId="51CB6613" w14:textId="4D3C7B2E" w:rsidR="008C628B" w:rsidRPr="008C628B" w:rsidRDefault="008C628B" w:rsidP="00AB0760">
      <w:pPr>
        <w:autoSpaceDE w:val="0"/>
        <w:autoSpaceDN w:val="0"/>
        <w:adjustRightInd w:val="0"/>
        <w:spacing w:line="264" w:lineRule="auto"/>
        <w:jc w:val="center"/>
        <w:outlineLvl w:val="0"/>
        <w:rPr>
          <w:b/>
          <w:bCs/>
          <w:color w:val="000000"/>
          <w:sz w:val="25"/>
          <w:szCs w:val="25"/>
        </w:rPr>
      </w:pPr>
      <w:r w:rsidRPr="008C628B">
        <w:rPr>
          <w:b/>
          <w:sz w:val="25"/>
          <w:szCs w:val="25"/>
        </w:rPr>
        <w:t xml:space="preserve">NOTICE OF </w:t>
      </w:r>
      <w:r w:rsidR="00DA5CCE">
        <w:rPr>
          <w:b/>
          <w:sz w:val="25"/>
          <w:szCs w:val="25"/>
        </w:rPr>
        <w:t>WORKSHOP</w:t>
      </w:r>
    </w:p>
    <w:p w14:paraId="51CB6614" w14:textId="1A0D3B08" w:rsidR="008C628B" w:rsidRDefault="008C628B" w:rsidP="00AB0760">
      <w:pPr>
        <w:autoSpaceDE w:val="0"/>
        <w:autoSpaceDN w:val="0"/>
        <w:adjustRightInd w:val="0"/>
        <w:spacing w:line="264" w:lineRule="auto"/>
        <w:jc w:val="center"/>
        <w:outlineLvl w:val="0"/>
        <w:rPr>
          <w:b/>
          <w:bCs/>
          <w:color w:val="000000"/>
          <w:sz w:val="25"/>
          <w:szCs w:val="25"/>
        </w:rPr>
      </w:pPr>
      <w:bookmarkStart w:id="0" w:name="_GoBack"/>
      <w:bookmarkEnd w:id="0"/>
      <w:r w:rsidRPr="008C628B">
        <w:rPr>
          <w:b/>
          <w:bCs/>
          <w:color w:val="000000"/>
          <w:sz w:val="25"/>
          <w:szCs w:val="25"/>
        </w:rPr>
        <w:t>(</w:t>
      </w:r>
      <w:r w:rsidR="00DA5CCE">
        <w:rPr>
          <w:b/>
          <w:bCs/>
          <w:color w:val="000000"/>
          <w:sz w:val="25"/>
          <w:szCs w:val="25"/>
        </w:rPr>
        <w:t xml:space="preserve">Set for </w:t>
      </w:r>
      <w:r w:rsidR="00187B80">
        <w:rPr>
          <w:b/>
          <w:bCs/>
          <w:color w:val="000000"/>
          <w:sz w:val="25"/>
          <w:szCs w:val="25"/>
        </w:rPr>
        <w:t xml:space="preserve">Tuesday, </w:t>
      </w:r>
      <w:r w:rsidR="00B324AB">
        <w:rPr>
          <w:b/>
          <w:bCs/>
          <w:color w:val="000000"/>
          <w:sz w:val="25"/>
          <w:szCs w:val="25"/>
        </w:rPr>
        <w:t>June 9, 2015</w:t>
      </w:r>
      <w:r w:rsidR="00DA5CCE">
        <w:rPr>
          <w:b/>
          <w:bCs/>
          <w:color w:val="000000"/>
          <w:sz w:val="25"/>
          <w:szCs w:val="25"/>
        </w:rPr>
        <w:t>, at 9:30 a.m.</w:t>
      </w:r>
      <w:r w:rsidRPr="008C628B">
        <w:rPr>
          <w:b/>
          <w:bCs/>
          <w:color w:val="000000"/>
          <w:sz w:val="25"/>
          <w:szCs w:val="25"/>
        </w:rPr>
        <w:t>)</w:t>
      </w:r>
    </w:p>
    <w:p w14:paraId="51CB6618" w14:textId="77777777" w:rsidR="00E47331" w:rsidRDefault="00E47331" w:rsidP="00AB0760">
      <w:pPr>
        <w:spacing w:line="264" w:lineRule="auto"/>
        <w:rPr>
          <w:sz w:val="25"/>
          <w:szCs w:val="25"/>
        </w:rPr>
      </w:pPr>
    </w:p>
    <w:p w14:paraId="590FD6D6" w14:textId="77777777" w:rsidR="00AF64F7" w:rsidRDefault="00AF64F7" w:rsidP="00AB0760">
      <w:pPr>
        <w:spacing w:line="264" w:lineRule="auto"/>
        <w:rPr>
          <w:sz w:val="25"/>
          <w:szCs w:val="25"/>
        </w:rPr>
      </w:pPr>
    </w:p>
    <w:p w14:paraId="51CB661B" w14:textId="3856DA33" w:rsidR="00E47331" w:rsidRPr="00AE78C9" w:rsidRDefault="00E47331" w:rsidP="000E79B6">
      <w:pPr>
        <w:tabs>
          <w:tab w:val="left" w:pos="540"/>
        </w:tabs>
        <w:spacing w:line="264" w:lineRule="auto"/>
        <w:ind w:left="540" w:hanging="540"/>
        <w:rPr>
          <w:sz w:val="25"/>
          <w:szCs w:val="25"/>
        </w:rPr>
      </w:pPr>
      <w:r w:rsidRPr="00AE78C9">
        <w:rPr>
          <w:sz w:val="25"/>
          <w:szCs w:val="25"/>
        </w:rPr>
        <w:t>Re:</w:t>
      </w:r>
      <w:r w:rsidRPr="00AE78C9">
        <w:rPr>
          <w:sz w:val="25"/>
          <w:szCs w:val="25"/>
        </w:rPr>
        <w:tab/>
      </w:r>
      <w:r w:rsidR="00B324AB">
        <w:rPr>
          <w:sz w:val="25"/>
          <w:szCs w:val="25"/>
        </w:rPr>
        <w:t>Consumers Using Credit Cards to Pay for Services</w:t>
      </w:r>
      <w:r w:rsidR="00361923">
        <w:rPr>
          <w:sz w:val="25"/>
          <w:szCs w:val="25"/>
        </w:rPr>
        <w:t>,</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sidR="000C53F1">
        <w:rPr>
          <w:sz w:val="25"/>
          <w:szCs w:val="25"/>
        </w:rPr>
        <w:t>A</w:t>
      </w:r>
      <w:r w:rsidR="00B324AB">
        <w:rPr>
          <w:sz w:val="25"/>
          <w:szCs w:val="25"/>
        </w:rPr>
        <w:t>-150561</w:t>
      </w:r>
    </w:p>
    <w:p w14:paraId="51CB661C" w14:textId="77777777" w:rsidR="00E47331" w:rsidRDefault="00E47331" w:rsidP="00AB0760">
      <w:pPr>
        <w:spacing w:line="264" w:lineRule="auto"/>
        <w:rPr>
          <w:sz w:val="25"/>
          <w:szCs w:val="25"/>
        </w:rPr>
      </w:pPr>
    </w:p>
    <w:p w14:paraId="4FB1A622" w14:textId="77777777" w:rsidR="00AF64F7" w:rsidRPr="00AE78C9" w:rsidRDefault="00AF64F7" w:rsidP="00AB0760">
      <w:pPr>
        <w:spacing w:line="264" w:lineRule="auto"/>
        <w:rPr>
          <w:sz w:val="25"/>
          <w:szCs w:val="25"/>
        </w:rPr>
      </w:pPr>
    </w:p>
    <w:p w14:paraId="51CB661D" w14:textId="77777777" w:rsidR="00E47331" w:rsidRPr="00AE78C9" w:rsidRDefault="00E47331" w:rsidP="00AB0760">
      <w:pPr>
        <w:spacing w:line="264" w:lineRule="auto"/>
        <w:rPr>
          <w:sz w:val="25"/>
          <w:szCs w:val="25"/>
        </w:rPr>
      </w:pPr>
      <w:r w:rsidRPr="00AE78C9">
        <w:rPr>
          <w:sz w:val="25"/>
          <w:szCs w:val="25"/>
        </w:rPr>
        <w:t>TO ALL INTERESTED PERSONS:</w:t>
      </w:r>
    </w:p>
    <w:p w14:paraId="51CB661E" w14:textId="77777777" w:rsidR="00E47331" w:rsidRPr="00AE78C9" w:rsidRDefault="00E47331" w:rsidP="00AB0760">
      <w:pPr>
        <w:spacing w:line="264" w:lineRule="auto"/>
        <w:rPr>
          <w:sz w:val="25"/>
          <w:szCs w:val="25"/>
        </w:rPr>
      </w:pPr>
    </w:p>
    <w:p w14:paraId="51CB661F" w14:textId="76FDB47C" w:rsidR="00D569CC" w:rsidRDefault="006E4757" w:rsidP="00AB0760">
      <w:pPr>
        <w:pStyle w:val="NoSpacing"/>
        <w:spacing w:line="264" w:lineRule="auto"/>
        <w:rPr>
          <w:sz w:val="25"/>
          <w:szCs w:val="25"/>
        </w:rPr>
      </w:pPr>
      <w:r>
        <w:rPr>
          <w:sz w:val="25"/>
          <w:szCs w:val="25"/>
        </w:rPr>
        <w:t xml:space="preserve">On April 6, 2015, the Washington Utilities and Transportation Commission (Commission) established </w:t>
      </w:r>
      <w:r w:rsidR="0014294B">
        <w:rPr>
          <w:sz w:val="25"/>
          <w:szCs w:val="25"/>
        </w:rPr>
        <w:t>D</w:t>
      </w:r>
      <w:r>
        <w:rPr>
          <w:sz w:val="25"/>
          <w:szCs w:val="25"/>
        </w:rPr>
        <w:t xml:space="preserve">ocket </w:t>
      </w:r>
      <w:r w:rsidR="000C53F1">
        <w:rPr>
          <w:sz w:val="25"/>
          <w:szCs w:val="25"/>
        </w:rPr>
        <w:t>A</w:t>
      </w:r>
      <w:r>
        <w:rPr>
          <w:sz w:val="25"/>
          <w:szCs w:val="25"/>
        </w:rPr>
        <w:t xml:space="preserve">-150561 to investigate current </w:t>
      </w:r>
      <w:r w:rsidR="000C53F1">
        <w:rPr>
          <w:sz w:val="25"/>
          <w:szCs w:val="25"/>
        </w:rPr>
        <w:t xml:space="preserve">utility and transportation </w:t>
      </w:r>
      <w:r>
        <w:rPr>
          <w:sz w:val="25"/>
          <w:szCs w:val="25"/>
        </w:rPr>
        <w:t>industry practices regarding credit card payments by customers, and</w:t>
      </w:r>
      <w:r w:rsidR="0004532D">
        <w:rPr>
          <w:sz w:val="25"/>
          <w:szCs w:val="25"/>
        </w:rPr>
        <w:t xml:space="preserve"> to reevaluate</w:t>
      </w:r>
      <w:r w:rsidR="00DA559E">
        <w:rPr>
          <w:sz w:val="25"/>
          <w:szCs w:val="25"/>
        </w:rPr>
        <w:t xml:space="preserve"> the regulatory framework surrounding these payments</w:t>
      </w:r>
      <w:r w:rsidR="002F084A">
        <w:rPr>
          <w:sz w:val="25"/>
          <w:szCs w:val="25"/>
        </w:rPr>
        <w:t>.</w:t>
      </w:r>
    </w:p>
    <w:p w14:paraId="509E5F02" w14:textId="77777777" w:rsidR="00147A09" w:rsidRDefault="00147A09" w:rsidP="00147A09">
      <w:pPr>
        <w:spacing w:line="264" w:lineRule="auto"/>
        <w:rPr>
          <w:sz w:val="25"/>
          <w:szCs w:val="25"/>
        </w:rPr>
      </w:pPr>
    </w:p>
    <w:p w14:paraId="66AFBEC5" w14:textId="77777777" w:rsidR="00147A09" w:rsidRPr="008826B4" w:rsidRDefault="00147A09" w:rsidP="00147A09">
      <w:pPr>
        <w:spacing w:line="264" w:lineRule="auto"/>
        <w:rPr>
          <w:b/>
          <w:sz w:val="25"/>
          <w:szCs w:val="25"/>
          <w:u w:val="single"/>
        </w:rPr>
      </w:pPr>
      <w:r>
        <w:rPr>
          <w:b/>
          <w:sz w:val="25"/>
          <w:szCs w:val="25"/>
          <w:u w:val="single"/>
        </w:rPr>
        <w:t>WRITTEN COMMENTS</w:t>
      </w:r>
    </w:p>
    <w:p w14:paraId="7F366CBF" w14:textId="77777777" w:rsidR="00147A09" w:rsidRDefault="00147A09" w:rsidP="00147A09">
      <w:pPr>
        <w:spacing w:line="264" w:lineRule="auto"/>
        <w:rPr>
          <w:sz w:val="25"/>
          <w:szCs w:val="25"/>
        </w:rPr>
      </w:pPr>
    </w:p>
    <w:p w14:paraId="65F6CBC7" w14:textId="2EFC84FE" w:rsidR="00147A09" w:rsidRDefault="00DA559E" w:rsidP="00147A09">
      <w:pPr>
        <w:spacing w:line="264" w:lineRule="auto"/>
        <w:rPr>
          <w:sz w:val="25"/>
          <w:szCs w:val="25"/>
        </w:rPr>
      </w:pPr>
      <w:r>
        <w:rPr>
          <w:sz w:val="25"/>
          <w:szCs w:val="25"/>
        </w:rPr>
        <w:t>The Commission is now soliciting written comments on this matter.  Comments from interested parties will be filed with the Commission under this docket.</w:t>
      </w:r>
      <w:r w:rsidR="00147A09">
        <w:rPr>
          <w:sz w:val="25"/>
          <w:szCs w:val="25"/>
        </w:rPr>
        <w:t xml:space="preserve">  Stakeholders are encouraged to submit written comments with the Commission on the issues identified below:</w:t>
      </w:r>
    </w:p>
    <w:p w14:paraId="0DAC972C" w14:textId="77777777" w:rsidR="00DA559E" w:rsidRDefault="00DA559E" w:rsidP="00147A09">
      <w:pPr>
        <w:spacing w:line="264" w:lineRule="auto"/>
        <w:rPr>
          <w:sz w:val="25"/>
          <w:szCs w:val="25"/>
        </w:rPr>
      </w:pPr>
    </w:p>
    <w:p w14:paraId="4EDD0FEF" w14:textId="77777777" w:rsidR="0032486B" w:rsidRDefault="0032486B" w:rsidP="0032486B">
      <w:pPr>
        <w:spacing w:line="264" w:lineRule="auto"/>
        <w:rPr>
          <w:b/>
          <w:i/>
          <w:sz w:val="25"/>
          <w:szCs w:val="25"/>
        </w:rPr>
      </w:pPr>
      <w:r w:rsidRPr="0032486B">
        <w:rPr>
          <w:b/>
          <w:i/>
          <w:sz w:val="25"/>
          <w:szCs w:val="25"/>
        </w:rPr>
        <w:t>Costs and benefits to the company and other ratepayers</w:t>
      </w:r>
    </w:p>
    <w:p w14:paraId="5D7EC15E" w14:textId="77777777" w:rsidR="00A449FD" w:rsidRPr="0032486B" w:rsidRDefault="00A449FD" w:rsidP="0032486B">
      <w:pPr>
        <w:spacing w:line="264" w:lineRule="auto"/>
        <w:rPr>
          <w:b/>
          <w:i/>
          <w:sz w:val="25"/>
          <w:szCs w:val="25"/>
        </w:rPr>
      </w:pPr>
    </w:p>
    <w:p w14:paraId="11B91DE4" w14:textId="08C9EC6F" w:rsidR="0032486B" w:rsidRPr="0032486B" w:rsidRDefault="0032486B" w:rsidP="00A449FD">
      <w:pPr>
        <w:numPr>
          <w:ilvl w:val="0"/>
          <w:numId w:val="13"/>
        </w:numPr>
        <w:spacing w:line="264" w:lineRule="auto"/>
        <w:ind w:left="1080"/>
        <w:rPr>
          <w:sz w:val="25"/>
          <w:szCs w:val="25"/>
        </w:rPr>
      </w:pPr>
      <w:r w:rsidRPr="0032486B">
        <w:rPr>
          <w:sz w:val="25"/>
          <w:szCs w:val="25"/>
        </w:rPr>
        <w:t xml:space="preserve">Please describe your current practice for processing non-cash/non-check payment methods. </w:t>
      </w:r>
      <w:r w:rsidR="0014294B">
        <w:rPr>
          <w:sz w:val="25"/>
          <w:szCs w:val="25"/>
        </w:rPr>
        <w:t xml:space="preserve"> </w:t>
      </w:r>
      <w:r w:rsidRPr="0032486B">
        <w:rPr>
          <w:sz w:val="25"/>
          <w:szCs w:val="25"/>
        </w:rPr>
        <w:t>If you currently accept debit and credit card payments, what are the transaction fees incurred by customers using these methods?</w:t>
      </w:r>
      <w:r w:rsidR="0014294B">
        <w:rPr>
          <w:sz w:val="25"/>
          <w:szCs w:val="25"/>
        </w:rPr>
        <w:t xml:space="preserve"> </w:t>
      </w:r>
      <w:r w:rsidRPr="0032486B">
        <w:rPr>
          <w:sz w:val="25"/>
          <w:szCs w:val="25"/>
        </w:rPr>
        <w:t xml:space="preserve"> Are there any costs incurred by the company?</w:t>
      </w:r>
    </w:p>
    <w:p w14:paraId="05BC740C" w14:textId="77777777" w:rsidR="0032486B" w:rsidRPr="0032486B" w:rsidRDefault="0032486B" w:rsidP="00A449FD">
      <w:pPr>
        <w:spacing w:line="264" w:lineRule="auto"/>
        <w:ind w:left="1080" w:hanging="360"/>
        <w:rPr>
          <w:sz w:val="25"/>
          <w:szCs w:val="25"/>
        </w:rPr>
      </w:pPr>
    </w:p>
    <w:p w14:paraId="29BC9706" w14:textId="3DA7E6E9" w:rsidR="0032486B" w:rsidRDefault="0032486B" w:rsidP="00A449FD">
      <w:pPr>
        <w:numPr>
          <w:ilvl w:val="0"/>
          <w:numId w:val="13"/>
        </w:numPr>
        <w:spacing w:line="264" w:lineRule="auto"/>
        <w:ind w:left="1080"/>
        <w:rPr>
          <w:sz w:val="25"/>
          <w:szCs w:val="25"/>
        </w:rPr>
      </w:pPr>
      <w:r w:rsidRPr="0032486B">
        <w:rPr>
          <w:sz w:val="25"/>
          <w:szCs w:val="25"/>
        </w:rPr>
        <w:lastRenderedPageBreak/>
        <w:t>What transaction costs are involved with the forms of customer payment listed below?</w:t>
      </w:r>
      <w:r w:rsidR="0014294B">
        <w:rPr>
          <w:sz w:val="25"/>
          <w:szCs w:val="25"/>
        </w:rPr>
        <w:t xml:space="preserve">  </w:t>
      </w:r>
      <w:r w:rsidRPr="0032486B">
        <w:rPr>
          <w:sz w:val="25"/>
          <w:szCs w:val="25"/>
        </w:rPr>
        <w:t xml:space="preserve">Many of these costs may be costs that have been </w:t>
      </w:r>
      <w:r w:rsidR="00B44E2C">
        <w:rPr>
          <w:sz w:val="25"/>
          <w:szCs w:val="25"/>
        </w:rPr>
        <w:t>embedd</w:t>
      </w:r>
      <w:r w:rsidR="00B44E2C" w:rsidRPr="0032486B">
        <w:rPr>
          <w:sz w:val="25"/>
          <w:szCs w:val="25"/>
        </w:rPr>
        <w:t>ed</w:t>
      </w:r>
      <w:r w:rsidRPr="0032486B">
        <w:rPr>
          <w:sz w:val="25"/>
          <w:szCs w:val="25"/>
        </w:rPr>
        <w:t>; when reporting these</w:t>
      </w:r>
      <w:r w:rsidR="002E7E8F">
        <w:rPr>
          <w:sz w:val="25"/>
          <w:szCs w:val="25"/>
        </w:rPr>
        <w:t xml:space="preserve"> </w:t>
      </w:r>
      <w:r w:rsidR="00B44E2C">
        <w:rPr>
          <w:sz w:val="25"/>
          <w:szCs w:val="25"/>
        </w:rPr>
        <w:t>embedde</w:t>
      </w:r>
      <w:r w:rsidR="002E7E8F">
        <w:rPr>
          <w:sz w:val="25"/>
          <w:szCs w:val="25"/>
        </w:rPr>
        <w:t>d costs</w:t>
      </w:r>
      <w:r w:rsidRPr="0032486B">
        <w:rPr>
          <w:sz w:val="25"/>
          <w:szCs w:val="25"/>
        </w:rPr>
        <w:t>, please indicate how you arrived at your calculations.</w:t>
      </w:r>
    </w:p>
    <w:p w14:paraId="6D3F50BF" w14:textId="77777777" w:rsidR="00AF64F7" w:rsidRPr="0032486B" w:rsidRDefault="00AF64F7" w:rsidP="00AF64F7">
      <w:pPr>
        <w:spacing w:line="264" w:lineRule="auto"/>
        <w:rPr>
          <w:sz w:val="25"/>
          <w:szCs w:val="25"/>
        </w:rPr>
      </w:pPr>
    </w:p>
    <w:p w14:paraId="42FA9087" w14:textId="77777777" w:rsidR="0032486B" w:rsidRPr="0032486B" w:rsidRDefault="0032486B" w:rsidP="00A449FD">
      <w:pPr>
        <w:numPr>
          <w:ilvl w:val="0"/>
          <w:numId w:val="12"/>
        </w:numPr>
        <w:spacing w:line="264" w:lineRule="auto"/>
        <w:ind w:left="1800"/>
        <w:rPr>
          <w:sz w:val="25"/>
          <w:szCs w:val="25"/>
        </w:rPr>
      </w:pPr>
      <w:r w:rsidRPr="0032486B">
        <w:rPr>
          <w:sz w:val="25"/>
          <w:szCs w:val="25"/>
        </w:rPr>
        <w:t>Cash</w:t>
      </w:r>
    </w:p>
    <w:p w14:paraId="21877299" w14:textId="77777777" w:rsidR="0032486B" w:rsidRPr="0032486B" w:rsidRDefault="0032486B" w:rsidP="00A449FD">
      <w:pPr>
        <w:numPr>
          <w:ilvl w:val="0"/>
          <w:numId w:val="12"/>
        </w:numPr>
        <w:spacing w:line="264" w:lineRule="auto"/>
        <w:ind w:left="1800"/>
        <w:rPr>
          <w:sz w:val="25"/>
          <w:szCs w:val="25"/>
        </w:rPr>
      </w:pPr>
      <w:r w:rsidRPr="0032486B">
        <w:rPr>
          <w:sz w:val="25"/>
          <w:szCs w:val="25"/>
        </w:rPr>
        <w:t>Check or money order (also compare by mail/dropbox to those made in person)</w:t>
      </w:r>
    </w:p>
    <w:p w14:paraId="64440C1B" w14:textId="77777777" w:rsidR="0032486B" w:rsidRPr="0032486B" w:rsidRDefault="0032486B" w:rsidP="00A449FD">
      <w:pPr>
        <w:numPr>
          <w:ilvl w:val="0"/>
          <w:numId w:val="12"/>
        </w:numPr>
        <w:spacing w:line="264" w:lineRule="auto"/>
        <w:ind w:left="1800"/>
        <w:rPr>
          <w:sz w:val="25"/>
          <w:szCs w:val="25"/>
        </w:rPr>
      </w:pPr>
      <w:r w:rsidRPr="0032486B">
        <w:rPr>
          <w:sz w:val="25"/>
          <w:szCs w:val="25"/>
        </w:rPr>
        <w:t>Electronic check</w:t>
      </w:r>
    </w:p>
    <w:p w14:paraId="21914E50" w14:textId="77777777" w:rsidR="0032486B" w:rsidRPr="0032486B" w:rsidRDefault="0032486B" w:rsidP="00A449FD">
      <w:pPr>
        <w:numPr>
          <w:ilvl w:val="0"/>
          <w:numId w:val="12"/>
        </w:numPr>
        <w:spacing w:line="264" w:lineRule="auto"/>
        <w:ind w:left="1800"/>
        <w:rPr>
          <w:sz w:val="25"/>
          <w:szCs w:val="25"/>
        </w:rPr>
      </w:pPr>
      <w:r w:rsidRPr="0032486B">
        <w:rPr>
          <w:sz w:val="25"/>
          <w:szCs w:val="25"/>
        </w:rPr>
        <w:t>Credit card (also compare paying over the phone to online)</w:t>
      </w:r>
    </w:p>
    <w:p w14:paraId="5E76191E" w14:textId="77777777" w:rsidR="0032486B" w:rsidRPr="0032486B" w:rsidRDefault="0032486B" w:rsidP="00A449FD">
      <w:pPr>
        <w:numPr>
          <w:ilvl w:val="0"/>
          <w:numId w:val="12"/>
        </w:numPr>
        <w:spacing w:line="264" w:lineRule="auto"/>
        <w:ind w:left="1800"/>
        <w:rPr>
          <w:sz w:val="25"/>
          <w:szCs w:val="25"/>
        </w:rPr>
      </w:pPr>
      <w:r w:rsidRPr="0032486B">
        <w:rPr>
          <w:sz w:val="25"/>
          <w:szCs w:val="25"/>
        </w:rPr>
        <w:t>Debit card (also compare paying over the phone to online)</w:t>
      </w:r>
    </w:p>
    <w:p w14:paraId="73AE8DBB" w14:textId="77777777" w:rsidR="0032486B" w:rsidRPr="0032486B" w:rsidRDefault="0032486B" w:rsidP="00A449FD">
      <w:pPr>
        <w:numPr>
          <w:ilvl w:val="0"/>
          <w:numId w:val="12"/>
        </w:numPr>
        <w:spacing w:line="264" w:lineRule="auto"/>
        <w:ind w:left="1800"/>
        <w:rPr>
          <w:sz w:val="25"/>
          <w:szCs w:val="25"/>
        </w:rPr>
      </w:pPr>
      <w:r w:rsidRPr="0032486B">
        <w:rPr>
          <w:sz w:val="25"/>
          <w:szCs w:val="25"/>
        </w:rPr>
        <w:t>Automated Clearing House (ACH) financial transactions</w:t>
      </w:r>
    </w:p>
    <w:p w14:paraId="0A80261D" w14:textId="77777777" w:rsidR="0032486B" w:rsidRPr="0032486B" w:rsidRDefault="0032486B" w:rsidP="00A449FD">
      <w:pPr>
        <w:numPr>
          <w:ilvl w:val="0"/>
          <w:numId w:val="12"/>
        </w:numPr>
        <w:spacing w:line="264" w:lineRule="auto"/>
        <w:ind w:left="1800"/>
        <w:rPr>
          <w:sz w:val="25"/>
          <w:szCs w:val="25"/>
        </w:rPr>
      </w:pPr>
      <w:r w:rsidRPr="0032486B">
        <w:rPr>
          <w:sz w:val="25"/>
          <w:szCs w:val="25"/>
        </w:rPr>
        <w:t>Other</w:t>
      </w:r>
    </w:p>
    <w:p w14:paraId="7142DEA7" w14:textId="77777777" w:rsidR="0032486B" w:rsidRPr="0032486B" w:rsidRDefault="0032486B" w:rsidP="00A449FD">
      <w:pPr>
        <w:spacing w:line="264" w:lineRule="auto"/>
        <w:ind w:left="1440" w:hanging="360"/>
        <w:rPr>
          <w:sz w:val="25"/>
          <w:szCs w:val="25"/>
        </w:rPr>
      </w:pPr>
    </w:p>
    <w:p w14:paraId="230165F1" w14:textId="77777777" w:rsidR="00B846EB" w:rsidRDefault="00B846EB" w:rsidP="00B846EB">
      <w:pPr>
        <w:numPr>
          <w:ilvl w:val="0"/>
          <w:numId w:val="13"/>
        </w:numPr>
        <w:spacing w:line="264" w:lineRule="auto"/>
        <w:ind w:left="1080"/>
        <w:rPr>
          <w:sz w:val="25"/>
          <w:szCs w:val="25"/>
        </w:rPr>
      </w:pPr>
      <w:r w:rsidRPr="0032486B">
        <w:rPr>
          <w:sz w:val="25"/>
          <w:szCs w:val="25"/>
        </w:rPr>
        <w:t>Please provide an indication of the number of payments, and dollar volumes, made using each method.</w:t>
      </w:r>
    </w:p>
    <w:p w14:paraId="5F97EC06" w14:textId="77777777" w:rsidR="00B846EB" w:rsidRPr="0032486B" w:rsidRDefault="00B846EB" w:rsidP="00AF64F7">
      <w:pPr>
        <w:spacing w:line="264" w:lineRule="auto"/>
        <w:rPr>
          <w:sz w:val="25"/>
          <w:szCs w:val="25"/>
        </w:rPr>
      </w:pPr>
    </w:p>
    <w:p w14:paraId="2D64AEBF" w14:textId="0A2A911C" w:rsidR="0032486B" w:rsidRPr="0032486B" w:rsidRDefault="0032486B" w:rsidP="00A449FD">
      <w:pPr>
        <w:numPr>
          <w:ilvl w:val="0"/>
          <w:numId w:val="13"/>
        </w:numPr>
        <w:spacing w:line="264" w:lineRule="auto"/>
        <w:ind w:left="1080"/>
        <w:rPr>
          <w:sz w:val="25"/>
          <w:szCs w:val="25"/>
        </w:rPr>
      </w:pPr>
      <w:r w:rsidRPr="0032486B">
        <w:rPr>
          <w:sz w:val="25"/>
          <w:szCs w:val="25"/>
        </w:rPr>
        <w:t xml:space="preserve">Please provide an indication of </w:t>
      </w:r>
      <w:r w:rsidR="00B846EB">
        <w:rPr>
          <w:sz w:val="25"/>
          <w:szCs w:val="25"/>
        </w:rPr>
        <w:t xml:space="preserve">the </w:t>
      </w:r>
      <w:r w:rsidRPr="0032486B">
        <w:rPr>
          <w:sz w:val="25"/>
          <w:szCs w:val="25"/>
        </w:rPr>
        <w:t xml:space="preserve">average cost </w:t>
      </w:r>
      <w:r w:rsidR="00B846EB">
        <w:rPr>
          <w:sz w:val="25"/>
          <w:szCs w:val="25"/>
        </w:rPr>
        <w:t xml:space="preserve">to process a </w:t>
      </w:r>
      <w:r w:rsidRPr="0032486B">
        <w:rPr>
          <w:sz w:val="25"/>
          <w:szCs w:val="25"/>
        </w:rPr>
        <w:t>transaction for each of the above forms of transaction.</w:t>
      </w:r>
      <w:r w:rsidR="0014294B">
        <w:rPr>
          <w:sz w:val="25"/>
          <w:szCs w:val="25"/>
        </w:rPr>
        <w:t xml:space="preserve"> </w:t>
      </w:r>
      <w:r w:rsidRPr="0032486B">
        <w:rPr>
          <w:sz w:val="25"/>
          <w:szCs w:val="25"/>
        </w:rPr>
        <w:t xml:space="preserve"> Please also calculate the average bill for each type of payment method.</w:t>
      </w:r>
    </w:p>
    <w:p w14:paraId="0A909574" w14:textId="77777777" w:rsidR="0032486B" w:rsidRPr="0032486B" w:rsidRDefault="0032486B" w:rsidP="00A449FD">
      <w:pPr>
        <w:spacing w:line="264" w:lineRule="auto"/>
        <w:ind w:left="1080" w:hanging="360"/>
        <w:rPr>
          <w:sz w:val="25"/>
          <w:szCs w:val="25"/>
        </w:rPr>
      </w:pPr>
    </w:p>
    <w:p w14:paraId="67C2423A" w14:textId="1E0D9EA3" w:rsidR="0032486B" w:rsidRPr="0032486B" w:rsidRDefault="0032486B" w:rsidP="00A449FD">
      <w:pPr>
        <w:numPr>
          <w:ilvl w:val="0"/>
          <w:numId w:val="13"/>
        </w:numPr>
        <w:spacing w:line="264" w:lineRule="auto"/>
        <w:ind w:left="1080"/>
        <w:rPr>
          <w:sz w:val="25"/>
          <w:szCs w:val="25"/>
        </w:rPr>
      </w:pPr>
      <w:r w:rsidRPr="0032486B">
        <w:rPr>
          <w:sz w:val="25"/>
          <w:szCs w:val="25"/>
        </w:rPr>
        <w:t xml:space="preserve">Are measures taken to ensure that processing costs for a particular method of payment are borne exclusively by those </w:t>
      </w:r>
      <w:r w:rsidR="001A7ADB">
        <w:rPr>
          <w:sz w:val="25"/>
          <w:szCs w:val="25"/>
        </w:rPr>
        <w:t>specific customers that use those specific methods of payments?</w:t>
      </w:r>
    </w:p>
    <w:p w14:paraId="2273A907" w14:textId="77777777" w:rsidR="0032486B" w:rsidRPr="0032486B" w:rsidRDefault="0032486B" w:rsidP="00A449FD">
      <w:pPr>
        <w:spacing w:line="264" w:lineRule="auto"/>
        <w:ind w:left="1080" w:hanging="360"/>
        <w:rPr>
          <w:sz w:val="25"/>
          <w:szCs w:val="25"/>
        </w:rPr>
      </w:pPr>
    </w:p>
    <w:p w14:paraId="4A2831FB" w14:textId="7E01F0B4" w:rsidR="0032486B" w:rsidRPr="0032486B" w:rsidRDefault="0032486B" w:rsidP="00A449FD">
      <w:pPr>
        <w:numPr>
          <w:ilvl w:val="0"/>
          <w:numId w:val="13"/>
        </w:numPr>
        <w:spacing w:line="264" w:lineRule="auto"/>
        <w:ind w:left="1080"/>
        <w:rPr>
          <w:sz w:val="25"/>
          <w:szCs w:val="25"/>
        </w:rPr>
      </w:pPr>
      <w:r w:rsidRPr="0032486B">
        <w:rPr>
          <w:sz w:val="25"/>
          <w:szCs w:val="25"/>
        </w:rPr>
        <w:t xml:space="preserve">What advantages do you see </w:t>
      </w:r>
      <w:r w:rsidR="000C53F1">
        <w:rPr>
          <w:sz w:val="25"/>
          <w:szCs w:val="25"/>
        </w:rPr>
        <w:t>to making</w:t>
      </w:r>
      <w:r w:rsidRPr="0032486B">
        <w:rPr>
          <w:sz w:val="25"/>
          <w:szCs w:val="25"/>
        </w:rPr>
        <w:t xml:space="preserve"> credit and debit card billing options </w:t>
      </w:r>
      <w:r w:rsidR="000C53F1">
        <w:rPr>
          <w:sz w:val="25"/>
          <w:szCs w:val="25"/>
        </w:rPr>
        <w:t xml:space="preserve">available </w:t>
      </w:r>
      <w:r w:rsidRPr="0032486B">
        <w:rPr>
          <w:sz w:val="25"/>
          <w:szCs w:val="25"/>
        </w:rPr>
        <w:t>to customers?</w:t>
      </w:r>
      <w:r w:rsidR="0014294B">
        <w:rPr>
          <w:sz w:val="25"/>
          <w:szCs w:val="25"/>
        </w:rPr>
        <w:t xml:space="preserve"> </w:t>
      </w:r>
      <w:r w:rsidRPr="0032486B">
        <w:rPr>
          <w:sz w:val="25"/>
          <w:szCs w:val="25"/>
        </w:rPr>
        <w:t xml:space="preserve"> What has precluded your company from </w:t>
      </w:r>
      <w:r w:rsidR="00566950">
        <w:rPr>
          <w:sz w:val="25"/>
          <w:szCs w:val="25"/>
        </w:rPr>
        <w:t>doing so</w:t>
      </w:r>
      <w:r w:rsidR="000C53F1">
        <w:rPr>
          <w:sz w:val="25"/>
          <w:szCs w:val="25"/>
        </w:rPr>
        <w:t xml:space="preserve"> if it hasn’t already</w:t>
      </w:r>
      <w:r w:rsidRPr="0032486B">
        <w:rPr>
          <w:sz w:val="25"/>
          <w:szCs w:val="25"/>
        </w:rPr>
        <w:t>?</w:t>
      </w:r>
      <w:r w:rsidR="0014294B">
        <w:rPr>
          <w:sz w:val="25"/>
          <w:szCs w:val="25"/>
        </w:rPr>
        <w:t xml:space="preserve"> </w:t>
      </w:r>
      <w:r w:rsidRPr="0032486B">
        <w:rPr>
          <w:sz w:val="25"/>
          <w:szCs w:val="25"/>
        </w:rPr>
        <w:t xml:space="preserve"> </w:t>
      </w:r>
    </w:p>
    <w:p w14:paraId="03124C1E" w14:textId="77777777" w:rsidR="0032486B" w:rsidRPr="0032486B" w:rsidRDefault="0032486B" w:rsidP="00A449FD">
      <w:pPr>
        <w:spacing w:line="264" w:lineRule="auto"/>
        <w:ind w:left="1080" w:hanging="360"/>
        <w:rPr>
          <w:sz w:val="25"/>
          <w:szCs w:val="25"/>
        </w:rPr>
      </w:pPr>
    </w:p>
    <w:p w14:paraId="6FFEDDE2" w14:textId="55CD3888" w:rsidR="0032486B" w:rsidRPr="0032486B" w:rsidRDefault="0032486B" w:rsidP="00A449FD">
      <w:pPr>
        <w:numPr>
          <w:ilvl w:val="0"/>
          <w:numId w:val="13"/>
        </w:numPr>
        <w:spacing w:line="264" w:lineRule="auto"/>
        <w:ind w:left="1080"/>
        <w:rPr>
          <w:sz w:val="25"/>
          <w:szCs w:val="25"/>
        </w:rPr>
      </w:pPr>
      <w:r w:rsidRPr="0032486B">
        <w:rPr>
          <w:sz w:val="25"/>
          <w:szCs w:val="25"/>
        </w:rPr>
        <w:t>What advantages and disadvantages are there in having card payments processed by a third-party, such as BillMatrix?</w:t>
      </w:r>
      <w:r w:rsidR="0014294B">
        <w:rPr>
          <w:sz w:val="25"/>
          <w:szCs w:val="25"/>
        </w:rPr>
        <w:t xml:space="preserve"> </w:t>
      </w:r>
      <w:r w:rsidRPr="0032486B">
        <w:rPr>
          <w:sz w:val="25"/>
          <w:szCs w:val="25"/>
        </w:rPr>
        <w:t xml:space="preserve"> Is there a better option for processing credit and debit card payments, such as contracting through a bank?</w:t>
      </w:r>
      <w:r w:rsidR="0014294B">
        <w:rPr>
          <w:sz w:val="25"/>
          <w:szCs w:val="25"/>
        </w:rPr>
        <w:t xml:space="preserve"> </w:t>
      </w:r>
      <w:r w:rsidRPr="0032486B">
        <w:rPr>
          <w:sz w:val="25"/>
          <w:szCs w:val="25"/>
        </w:rPr>
        <w:t xml:space="preserve"> What </w:t>
      </w:r>
      <w:r w:rsidR="000C53F1">
        <w:rPr>
          <w:sz w:val="25"/>
          <w:szCs w:val="25"/>
        </w:rPr>
        <w:t>are the</w:t>
      </w:r>
      <w:r w:rsidRPr="0032486B">
        <w:rPr>
          <w:sz w:val="25"/>
          <w:szCs w:val="25"/>
        </w:rPr>
        <w:t xml:space="preserve"> costs </w:t>
      </w:r>
      <w:r w:rsidR="000C53F1">
        <w:rPr>
          <w:sz w:val="25"/>
          <w:szCs w:val="25"/>
        </w:rPr>
        <w:t>of</w:t>
      </w:r>
      <w:r w:rsidRPr="0032486B">
        <w:rPr>
          <w:sz w:val="25"/>
          <w:szCs w:val="25"/>
        </w:rPr>
        <w:t xml:space="preserve"> these alternative processing methods, and how would they </w:t>
      </w:r>
      <w:r w:rsidR="00DF660F">
        <w:rPr>
          <w:sz w:val="25"/>
          <w:szCs w:val="25"/>
        </w:rPr>
        <w:t>impact the use of credit cards</w:t>
      </w:r>
      <w:r w:rsidRPr="0032486B">
        <w:rPr>
          <w:sz w:val="25"/>
          <w:szCs w:val="25"/>
        </w:rPr>
        <w:t>?</w:t>
      </w:r>
    </w:p>
    <w:p w14:paraId="1F930FC8" w14:textId="77777777" w:rsidR="0032486B" w:rsidRPr="0032486B" w:rsidRDefault="0032486B" w:rsidP="00A449FD">
      <w:pPr>
        <w:spacing w:line="264" w:lineRule="auto"/>
        <w:ind w:left="1080" w:hanging="360"/>
        <w:rPr>
          <w:sz w:val="25"/>
          <w:szCs w:val="25"/>
        </w:rPr>
      </w:pPr>
    </w:p>
    <w:p w14:paraId="67D12C9E" w14:textId="2B9F7DAC" w:rsidR="0032486B" w:rsidRPr="0032486B" w:rsidRDefault="000C53F1" w:rsidP="00A449FD">
      <w:pPr>
        <w:numPr>
          <w:ilvl w:val="0"/>
          <w:numId w:val="13"/>
        </w:numPr>
        <w:spacing w:line="264" w:lineRule="auto"/>
        <w:ind w:left="1080"/>
        <w:rPr>
          <w:sz w:val="25"/>
          <w:szCs w:val="25"/>
        </w:rPr>
      </w:pPr>
      <w:r>
        <w:rPr>
          <w:sz w:val="25"/>
          <w:szCs w:val="25"/>
        </w:rPr>
        <w:t>Should companies charge</w:t>
      </w:r>
      <w:r w:rsidR="0032486B" w:rsidRPr="0032486B">
        <w:rPr>
          <w:sz w:val="25"/>
          <w:szCs w:val="25"/>
        </w:rPr>
        <w:t xml:space="preserve"> convenience fees for debit and credit card customers? </w:t>
      </w:r>
      <w:r w:rsidR="0014294B">
        <w:rPr>
          <w:sz w:val="25"/>
          <w:szCs w:val="25"/>
        </w:rPr>
        <w:t xml:space="preserve"> </w:t>
      </w:r>
      <w:r>
        <w:rPr>
          <w:sz w:val="25"/>
          <w:szCs w:val="25"/>
        </w:rPr>
        <w:t>If not, w</w:t>
      </w:r>
      <w:r w:rsidR="0032486B" w:rsidRPr="0032486B">
        <w:rPr>
          <w:sz w:val="25"/>
          <w:szCs w:val="25"/>
        </w:rPr>
        <w:t xml:space="preserve">hat </w:t>
      </w:r>
      <w:r>
        <w:rPr>
          <w:sz w:val="25"/>
          <w:szCs w:val="25"/>
        </w:rPr>
        <w:t>is</w:t>
      </w:r>
      <w:r w:rsidR="00071062">
        <w:rPr>
          <w:sz w:val="25"/>
          <w:szCs w:val="25"/>
        </w:rPr>
        <w:t xml:space="preserve"> </w:t>
      </w:r>
      <w:r>
        <w:rPr>
          <w:sz w:val="25"/>
          <w:szCs w:val="25"/>
        </w:rPr>
        <w:t>the</w:t>
      </w:r>
      <w:r w:rsidR="0032486B" w:rsidRPr="0032486B">
        <w:rPr>
          <w:sz w:val="25"/>
          <w:szCs w:val="25"/>
        </w:rPr>
        <w:t xml:space="preserve"> rationale for </w:t>
      </w:r>
      <w:r>
        <w:rPr>
          <w:sz w:val="25"/>
          <w:szCs w:val="25"/>
        </w:rPr>
        <w:t>recovering the</w:t>
      </w:r>
      <w:r w:rsidR="0032486B" w:rsidRPr="0032486B">
        <w:rPr>
          <w:sz w:val="25"/>
          <w:szCs w:val="25"/>
        </w:rPr>
        <w:t xml:space="preserve"> costs associated with debit and credit card payments </w:t>
      </w:r>
      <w:r>
        <w:rPr>
          <w:sz w:val="25"/>
          <w:szCs w:val="25"/>
        </w:rPr>
        <w:t>from rates charged to all</w:t>
      </w:r>
      <w:r w:rsidR="0032486B" w:rsidRPr="0032486B">
        <w:rPr>
          <w:sz w:val="25"/>
          <w:szCs w:val="25"/>
        </w:rPr>
        <w:t xml:space="preserve"> customers</w:t>
      </w:r>
      <w:r>
        <w:rPr>
          <w:sz w:val="25"/>
          <w:szCs w:val="25"/>
        </w:rPr>
        <w:t>, including those</w:t>
      </w:r>
      <w:r w:rsidR="0032486B" w:rsidRPr="0032486B">
        <w:rPr>
          <w:sz w:val="25"/>
          <w:szCs w:val="25"/>
        </w:rPr>
        <w:t xml:space="preserve"> who do not, and may not ever, u</w:t>
      </w:r>
      <w:r>
        <w:rPr>
          <w:sz w:val="25"/>
          <w:szCs w:val="25"/>
        </w:rPr>
        <w:t>se</w:t>
      </w:r>
      <w:r w:rsidR="0032486B" w:rsidRPr="0032486B">
        <w:rPr>
          <w:sz w:val="25"/>
          <w:szCs w:val="25"/>
        </w:rPr>
        <w:t xml:space="preserve"> the service?</w:t>
      </w:r>
    </w:p>
    <w:p w14:paraId="19B74B53" w14:textId="77777777" w:rsidR="00750FFA" w:rsidRDefault="00750FFA" w:rsidP="0032486B">
      <w:pPr>
        <w:spacing w:line="264" w:lineRule="auto"/>
        <w:rPr>
          <w:b/>
          <w:i/>
          <w:sz w:val="25"/>
          <w:szCs w:val="25"/>
        </w:rPr>
      </w:pPr>
    </w:p>
    <w:p w14:paraId="2487D702" w14:textId="77777777" w:rsidR="005D3703" w:rsidRDefault="005D3703" w:rsidP="0032486B">
      <w:pPr>
        <w:spacing w:line="264" w:lineRule="auto"/>
        <w:rPr>
          <w:b/>
          <w:i/>
          <w:sz w:val="25"/>
          <w:szCs w:val="25"/>
        </w:rPr>
      </w:pPr>
      <w:r>
        <w:rPr>
          <w:b/>
          <w:i/>
          <w:sz w:val="25"/>
          <w:szCs w:val="25"/>
        </w:rPr>
        <w:br w:type="page"/>
      </w:r>
    </w:p>
    <w:p w14:paraId="3CF79C6B" w14:textId="291BA4A3" w:rsidR="0032486B" w:rsidRDefault="0032486B" w:rsidP="0032486B">
      <w:pPr>
        <w:spacing w:line="264" w:lineRule="auto"/>
        <w:rPr>
          <w:b/>
          <w:i/>
          <w:sz w:val="25"/>
          <w:szCs w:val="25"/>
        </w:rPr>
      </w:pPr>
      <w:r w:rsidRPr="0032486B">
        <w:rPr>
          <w:b/>
          <w:i/>
          <w:sz w:val="25"/>
          <w:szCs w:val="25"/>
        </w:rPr>
        <w:lastRenderedPageBreak/>
        <w:t>Costs and benefits for adopting customers</w:t>
      </w:r>
    </w:p>
    <w:p w14:paraId="09F070F9" w14:textId="77777777" w:rsidR="00AF64F7" w:rsidRDefault="00AF64F7" w:rsidP="0032486B">
      <w:pPr>
        <w:spacing w:line="264" w:lineRule="auto"/>
        <w:rPr>
          <w:b/>
          <w:i/>
          <w:sz w:val="25"/>
          <w:szCs w:val="25"/>
        </w:rPr>
      </w:pPr>
    </w:p>
    <w:p w14:paraId="02387DDB" w14:textId="2A40CADB" w:rsidR="0032486B" w:rsidRPr="0032486B" w:rsidRDefault="0032486B" w:rsidP="0032486B">
      <w:pPr>
        <w:spacing w:line="264" w:lineRule="auto"/>
        <w:rPr>
          <w:sz w:val="25"/>
          <w:szCs w:val="25"/>
        </w:rPr>
      </w:pPr>
      <w:r w:rsidRPr="0032486B">
        <w:rPr>
          <w:sz w:val="25"/>
          <w:szCs w:val="25"/>
        </w:rPr>
        <w:t xml:space="preserve">Some customers may prefer automatic payments using a credit or debit card, as opposed to automatic payments with checks. </w:t>
      </w:r>
      <w:r w:rsidR="0014294B">
        <w:rPr>
          <w:sz w:val="25"/>
          <w:szCs w:val="25"/>
        </w:rPr>
        <w:t xml:space="preserve"> </w:t>
      </w:r>
      <w:r w:rsidRPr="0032486B">
        <w:rPr>
          <w:sz w:val="25"/>
          <w:szCs w:val="25"/>
        </w:rPr>
        <w:t xml:space="preserve">For instance, some customers are hesitant to provide such access directly to a checking account, without the protection provisions associated with credit cards. </w:t>
      </w:r>
    </w:p>
    <w:p w14:paraId="4C40EAE3" w14:textId="77777777" w:rsidR="0032486B" w:rsidRPr="0032486B" w:rsidRDefault="0032486B" w:rsidP="0032486B">
      <w:pPr>
        <w:spacing w:line="264" w:lineRule="auto"/>
        <w:rPr>
          <w:sz w:val="25"/>
          <w:szCs w:val="25"/>
        </w:rPr>
      </w:pPr>
    </w:p>
    <w:p w14:paraId="717FE65F" w14:textId="60363AE0" w:rsidR="0032486B" w:rsidRPr="0032486B" w:rsidRDefault="0032486B" w:rsidP="00A449FD">
      <w:pPr>
        <w:numPr>
          <w:ilvl w:val="0"/>
          <w:numId w:val="14"/>
        </w:numPr>
        <w:spacing w:line="264" w:lineRule="auto"/>
        <w:ind w:left="1080"/>
        <w:rPr>
          <w:sz w:val="25"/>
          <w:szCs w:val="25"/>
        </w:rPr>
      </w:pPr>
      <w:r w:rsidRPr="0032486B">
        <w:rPr>
          <w:sz w:val="25"/>
          <w:szCs w:val="25"/>
        </w:rPr>
        <w:t>What advantages and disadvantages would automatic payments through credit and debit cards provide</w:t>
      </w:r>
      <w:r w:rsidR="00A359CC">
        <w:rPr>
          <w:sz w:val="25"/>
          <w:szCs w:val="25"/>
        </w:rPr>
        <w:t xml:space="preserve"> to </w:t>
      </w:r>
      <w:r w:rsidR="00D91623">
        <w:rPr>
          <w:sz w:val="25"/>
          <w:szCs w:val="25"/>
        </w:rPr>
        <w:t xml:space="preserve">your </w:t>
      </w:r>
      <w:r w:rsidR="00A359CC">
        <w:rPr>
          <w:sz w:val="25"/>
          <w:szCs w:val="25"/>
        </w:rPr>
        <w:t>customers</w:t>
      </w:r>
      <w:r w:rsidRPr="0032486B">
        <w:rPr>
          <w:sz w:val="25"/>
          <w:szCs w:val="25"/>
        </w:rPr>
        <w:t xml:space="preserve">? </w:t>
      </w:r>
    </w:p>
    <w:p w14:paraId="46CFA9B9" w14:textId="77777777" w:rsidR="0032486B" w:rsidRPr="0032486B" w:rsidRDefault="0032486B" w:rsidP="00A449FD">
      <w:pPr>
        <w:spacing w:line="264" w:lineRule="auto"/>
        <w:ind w:left="1080" w:hanging="360"/>
        <w:rPr>
          <w:sz w:val="25"/>
          <w:szCs w:val="25"/>
        </w:rPr>
      </w:pPr>
    </w:p>
    <w:p w14:paraId="27AEF74C" w14:textId="77777777" w:rsidR="0032486B" w:rsidRDefault="0032486B" w:rsidP="0032486B">
      <w:pPr>
        <w:spacing w:line="264" w:lineRule="auto"/>
        <w:rPr>
          <w:b/>
          <w:i/>
          <w:sz w:val="25"/>
          <w:szCs w:val="25"/>
        </w:rPr>
      </w:pPr>
      <w:r w:rsidRPr="0032486B">
        <w:rPr>
          <w:b/>
          <w:i/>
          <w:sz w:val="25"/>
          <w:szCs w:val="25"/>
        </w:rPr>
        <w:t>Consumer protection issues</w:t>
      </w:r>
    </w:p>
    <w:p w14:paraId="62D36E84" w14:textId="77777777" w:rsidR="00A449FD" w:rsidRPr="0032486B" w:rsidRDefault="00A449FD" w:rsidP="0032486B">
      <w:pPr>
        <w:spacing w:line="264" w:lineRule="auto"/>
        <w:rPr>
          <w:b/>
          <w:i/>
          <w:sz w:val="25"/>
          <w:szCs w:val="25"/>
        </w:rPr>
      </w:pPr>
    </w:p>
    <w:p w14:paraId="7E51F752" w14:textId="076B9627" w:rsidR="0032486B" w:rsidRPr="0032486B" w:rsidRDefault="0032486B" w:rsidP="00AF64F7">
      <w:pPr>
        <w:numPr>
          <w:ilvl w:val="0"/>
          <w:numId w:val="15"/>
        </w:numPr>
        <w:spacing w:line="264" w:lineRule="auto"/>
        <w:ind w:left="1080"/>
        <w:rPr>
          <w:sz w:val="25"/>
          <w:szCs w:val="25"/>
        </w:rPr>
      </w:pPr>
      <w:r w:rsidRPr="0032486B">
        <w:rPr>
          <w:sz w:val="25"/>
          <w:szCs w:val="25"/>
        </w:rPr>
        <w:t>Several utilities currently allow customers to sign up for automatic billing through their checking accounts.</w:t>
      </w:r>
      <w:r w:rsidR="002E1DEF">
        <w:rPr>
          <w:sz w:val="25"/>
          <w:szCs w:val="25"/>
        </w:rPr>
        <w:t xml:space="preserve"> </w:t>
      </w:r>
      <w:r w:rsidRPr="0032486B">
        <w:rPr>
          <w:sz w:val="25"/>
          <w:szCs w:val="25"/>
        </w:rPr>
        <w:t xml:space="preserve"> How are these customers treated and indemnified when there are billing mistakes?</w:t>
      </w:r>
      <w:r w:rsidR="002E1DEF">
        <w:rPr>
          <w:sz w:val="25"/>
          <w:szCs w:val="25"/>
        </w:rPr>
        <w:t xml:space="preserve"> </w:t>
      </w:r>
      <w:r w:rsidRPr="0032486B">
        <w:rPr>
          <w:sz w:val="25"/>
          <w:szCs w:val="25"/>
        </w:rPr>
        <w:t xml:space="preserve"> For </w:t>
      </w:r>
      <w:r w:rsidR="000C53F1">
        <w:rPr>
          <w:sz w:val="25"/>
          <w:szCs w:val="25"/>
        </w:rPr>
        <w:t>example, does the company provide</w:t>
      </w:r>
      <w:r w:rsidRPr="0032486B">
        <w:rPr>
          <w:sz w:val="25"/>
          <w:szCs w:val="25"/>
        </w:rPr>
        <w:t xml:space="preserve"> account credits or </w:t>
      </w:r>
      <w:r w:rsidR="000C53F1">
        <w:rPr>
          <w:sz w:val="25"/>
          <w:szCs w:val="25"/>
        </w:rPr>
        <w:t>refunds to the customers’ checking accounts</w:t>
      </w:r>
      <w:r w:rsidRPr="0032486B">
        <w:rPr>
          <w:sz w:val="25"/>
          <w:szCs w:val="25"/>
        </w:rPr>
        <w:t>?</w:t>
      </w:r>
    </w:p>
    <w:p w14:paraId="298A0764" w14:textId="77777777" w:rsidR="0032486B" w:rsidRPr="0032486B" w:rsidRDefault="0032486B" w:rsidP="00A449FD">
      <w:pPr>
        <w:spacing w:line="264" w:lineRule="auto"/>
        <w:ind w:left="1080" w:hanging="360"/>
        <w:rPr>
          <w:sz w:val="25"/>
          <w:szCs w:val="25"/>
        </w:rPr>
      </w:pPr>
    </w:p>
    <w:p w14:paraId="2F4A51E2" w14:textId="36DC4FEB" w:rsidR="0032486B" w:rsidRPr="0032486B" w:rsidRDefault="0032486B" w:rsidP="00A449FD">
      <w:pPr>
        <w:numPr>
          <w:ilvl w:val="0"/>
          <w:numId w:val="15"/>
        </w:numPr>
        <w:spacing w:line="264" w:lineRule="auto"/>
        <w:ind w:left="1080"/>
        <w:rPr>
          <w:sz w:val="25"/>
          <w:szCs w:val="25"/>
        </w:rPr>
      </w:pPr>
      <w:r w:rsidRPr="0032486B">
        <w:rPr>
          <w:sz w:val="25"/>
          <w:szCs w:val="25"/>
        </w:rPr>
        <w:t>What options are available to so-called “unbanked” customers?</w:t>
      </w:r>
      <w:r w:rsidR="002E1DEF">
        <w:rPr>
          <w:sz w:val="25"/>
          <w:szCs w:val="25"/>
        </w:rPr>
        <w:t xml:space="preserve"> </w:t>
      </w:r>
      <w:r w:rsidRPr="0032486B">
        <w:rPr>
          <w:sz w:val="25"/>
          <w:szCs w:val="25"/>
        </w:rPr>
        <w:t xml:space="preserve"> Many of these customers receive government benefits, or their salary from their employers, in the form of MasterCard or V</w:t>
      </w:r>
      <w:r w:rsidR="00655411">
        <w:rPr>
          <w:sz w:val="25"/>
          <w:szCs w:val="25"/>
        </w:rPr>
        <w:t>isa</w:t>
      </w:r>
      <w:r w:rsidRPr="0032486B">
        <w:rPr>
          <w:sz w:val="25"/>
          <w:szCs w:val="25"/>
        </w:rPr>
        <w:t xml:space="preserve"> pre-paid debit cards.</w:t>
      </w:r>
    </w:p>
    <w:p w14:paraId="51341AAD" w14:textId="77777777" w:rsidR="0032486B" w:rsidRPr="0032486B" w:rsidRDefault="0032486B" w:rsidP="00A449FD">
      <w:pPr>
        <w:spacing w:line="264" w:lineRule="auto"/>
        <w:ind w:left="1080" w:hanging="360"/>
        <w:rPr>
          <w:sz w:val="25"/>
          <w:szCs w:val="25"/>
        </w:rPr>
      </w:pPr>
    </w:p>
    <w:p w14:paraId="1FCED68C" w14:textId="4986C83A" w:rsidR="00962853" w:rsidRDefault="0032486B">
      <w:pPr>
        <w:numPr>
          <w:ilvl w:val="0"/>
          <w:numId w:val="15"/>
        </w:numPr>
        <w:spacing w:line="264" w:lineRule="auto"/>
        <w:ind w:left="1080"/>
        <w:rPr>
          <w:sz w:val="25"/>
          <w:szCs w:val="25"/>
        </w:rPr>
      </w:pPr>
      <w:r w:rsidRPr="0032486B">
        <w:rPr>
          <w:sz w:val="25"/>
          <w:szCs w:val="25"/>
        </w:rPr>
        <w:t>Are pre-paid debit cards, such as those offered by MasterCard or Visa, treated any differently than traditional credit or debit cards?</w:t>
      </w:r>
    </w:p>
    <w:p w14:paraId="7AC67398" w14:textId="77777777" w:rsidR="00962853" w:rsidRDefault="00962853" w:rsidP="00AF64F7">
      <w:pPr>
        <w:spacing w:line="264" w:lineRule="auto"/>
        <w:ind w:left="1080"/>
        <w:rPr>
          <w:sz w:val="25"/>
          <w:szCs w:val="25"/>
        </w:rPr>
      </w:pPr>
    </w:p>
    <w:p w14:paraId="52BC43B1" w14:textId="456C1795" w:rsidR="00962853" w:rsidRPr="00962853" w:rsidRDefault="00962853">
      <w:pPr>
        <w:numPr>
          <w:ilvl w:val="0"/>
          <w:numId w:val="15"/>
        </w:numPr>
        <w:spacing w:line="264" w:lineRule="auto"/>
        <w:ind w:left="1080"/>
        <w:rPr>
          <w:sz w:val="25"/>
          <w:szCs w:val="25"/>
        </w:rPr>
      </w:pPr>
      <w:r>
        <w:rPr>
          <w:sz w:val="25"/>
          <w:szCs w:val="25"/>
        </w:rPr>
        <w:t xml:space="preserve">If </w:t>
      </w:r>
      <w:r w:rsidR="000C53F1">
        <w:rPr>
          <w:sz w:val="25"/>
          <w:szCs w:val="25"/>
        </w:rPr>
        <w:t xml:space="preserve">the company undertakes its own </w:t>
      </w:r>
      <w:r>
        <w:rPr>
          <w:sz w:val="25"/>
          <w:szCs w:val="25"/>
        </w:rPr>
        <w:t>credit card processing functions</w:t>
      </w:r>
      <w:r w:rsidR="000C53F1">
        <w:rPr>
          <w:sz w:val="25"/>
          <w:szCs w:val="25"/>
        </w:rPr>
        <w:t xml:space="preserve"> rather than using a third party</w:t>
      </w:r>
      <w:r>
        <w:rPr>
          <w:sz w:val="25"/>
          <w:szCs w:val="25"/>
        </w:rPr>
        <w:t xml:space="preserve">, what protections would be put in place to ensure customer information is kept safe?  </w:t>
      </w:r>
    </w:p>
    <w:p w14:paraId="582BD013" w14:textId="77777777" w:rsidR="0032486B" w:rsidRPr="0032486B" w:rsidRDefault="0032486B" w:rsidP="00A449FD">
      <w:pPr>
        <w:spacing w:line="264" w:lineRule="auto"/>
        <w:ind w:left="1080" w:hanging="360"/>
        <w:rPr>
          <w:sz w:val="25"/>
          <w:szCs w:val="25"/>
        </w:rPr>
      </w:pPr>
    </w:p>
    <w:p w14:paraId="0B420059" w14:textId="250AE017" w:rsidR="00147A09" w:rsidRDefault="00147A09" w:rsidP="00147A09">
      <w:pPr>
        <w:spacing w:line="264" w:lineRule="auto"/>
        <w:rPr>
          <w:sz w:val="25"/>
          <w:szCs w:val="25"/>
        </w:rPr>
      </w:pPr>
      <w:r w:rsidRPr="00D404E2">
        <w:rPr>
          <w:sz w:val="25"/>
          <w:szCs w:val="25"/>
        </w:rPr>
        <w:t xml:space="preserve">Written comments </w:t>
      </w:r>
      <w:r>
        <w:rPr>
          <w:sz w:val="25"/>
          <w:szCs w:val="25"/>
        </w:rPr>
        <w:t xml:space="preserve">must be filed with the Commission no later than </w:t>
      </w:r>
      <w:r w:rsidRPr="00F82989">
        <w:rPr>
          <w:b/>
          <w:sz w:val="25"/>
          <w:szCs w:val="25"/>
        </w:rPr>
        <w:t xml:space="preserve">5:00 p.m., </w:t>
      </w:r>
      <w:r w:rsidR="004F6316">
        <w:rPr>
          <w:b/>
          <w:sz w:val="25"/>
          <w:szCs w:val="25"/>
        </w:rPr>
        <w:t xml:space="preserve">May </w:t>
      </w:r>
      <w:r w:rsidR="00DB2501">
        <w:rPr>
          <w:b/>
          <w:sz w:val="25"/>
          <w:szCs w:val="25"/>
        </w:rPr>
        <w:t>15</w:t>
      </w:r>
      <w:r w:rsidR="004F6316">
        <w:rPr>
          <w:b/>
          <w:sz w:val="25"/>
          <w:szCs w:val="25"/>
        </w:rPr>
        <w:t>, 2015</w:t>
      </w:r>
      <w:r w:rsidR="004F6316" w:rsidRPr="004F6316">
        <w:rPr>
          <w:sz w:val="25"/>
          <w:szCs w:val="25"/>
        </w:rPr>
        <w:t>.</w:t>
      </w:r>
      <w:r>
        <w:rPr>
          <w:sz w:val="25"/>
          <w:szCs w:val="25"/>
        </w:rPr>
        <w:t xml:space="preserve">  The Commission requests that comments be provided in electronic format to enhance public access, for ease of providing comments, to reduce the need for paper copies, and to facilitate quotations from the comments.  Comments should be in .pdf Adobe Acrobat or in Word 97 or later version.  Comments may be submitted via the Commission’s </w:t>
      </w:r>
      <w:r w:rsidRPr="001E57C4">
        <w:rPr>
          <w:sz w:val="25"/>
          <w:szCs w:val="25"/>
        </w:rPr>
        <w:t xml:space="preserve">Web portal at </w:t>
      </w:r>
      <w:hyperlink r:id="rId12" w:history="1">
        <w:r w:rsidRPr="001E57C4">
          <w:rPr>
            <w:rStyle w:val="Hyperlink"/>
            <w:sz w:val="25"/>
            <w:szCs w:val="25"/>
          </w:rPr>
          <w:t>www.utc.wa.gov/e-filing</w:t>
        </w:r>
      </w:hyperlink>
      <w:r w:rsidRPr="001E57C4">
        <w:rPr>
          <w:sz w:val="25"/>
          <w:szCs w:val="25"/>
        </w:rPr>
        <w:t xml:space="preserve"> or by e-mail to the Commission’s Records Center at</w:t>
      </w:r>
      <w:r>
        <w:rPr>
          <w:sz w:val="25"/>
          <w:szCs w:val="25"/>
        </w:rPr>
        <w:t xml:space="preserve"> </w:t>
      </w:r>
      <w:hyperlink r:id="rId13" w:history="1">
        <w:r w:rsidRPr="00BD51E2">
          <w:rPr>
            <w:rStyle w:val="Hyperlink"/>
            <w:sz w:val="25"/>
            <w:szCs w:val="25"/>
          </w:rPr>
          <w:t>records@utc.wa.gov</w:t>
        </w:r>
      </w:hyperlink>
      <w:r>
        <w:rPr>
          <w:sz w:val="25"/>
          <w:szCs w:val="25"/>
        </w:rPr>
        <w:t>.</w:t>
      </w:r>
      <w:r w:rsidR="002E1DEF">
        <w:rPr>
          <w:sz w:val="25"/>
          <w:szCs w:val="25"/>
        </w:rPr>
        <w:t xml:space="preserve"> </w:t>
      </w:r>
      <w:r>
        <w:rPr>
          <w:sz w:val="25"/>
          <w:szCs w:val="25"/>
        </w:rPr>
        <w:t xml:space="preserve"> Alternatively, comments may be submitted by mailing or delivering an electronic copy to the Commission’s Records Center on a flash drive</w:t>
      </w:r>
      <w:r w:rsidR="000C53F1">
        <w:rPr>
          <w:sz w:val="25"/>
          <w:szCs w:val="25"/>
        </w:rPr>
        <w:t xml:space="preserve"> or</w:t>
      </w:r>
      <w:r>
        <w:rPr>
          <w:sz w:val="25"/>
          <w:szCs w:val="25"/>
        </w:rPr>
        <w:t xml:space="preserve"> compact disk.  Comment submissions should include:</w:t>
      </w:r>
    </w:p>
    <w:p w14:paraId="7E140A2E" w14:textId="77777777" w:rsidR="00147A09" w:rsidRPr="00651735" w:rsidRDefault="00147A09" w:rsidP="00147A09">
      <w:pPr>
        <w:spacing w:line="264" w:lineRule="auto"/>
        <w:rPr>
          <w:sz w:val="25"/>
          <w:szCs w:val="25"/>
        </w:rPr>
      </w:pPr>
    </w:p>
    <w:p w14:paraId="229F24EE" w14:textId="2D43998A" w:rsidR="00147A09" w:rsidRDefault="00147A09" w:rsidP="006217B8">
      <w:pPr>
        <w:pStyle w:val="ListParagraph"/>
        <w:numPr>
          <w:ilvl w:val="0"/>
          <w:numId w:val="11"/>
        </w:numPr>
        <w:spacing w:after="0" w:line="264" w:lineRule="auto"/>
        <w:contextualSpacing w:val="0"/>
        <w:rPr>
          <w:rFonts w:ascii="Times New Roman" w:hAnsi="Times New Roman"/>
          <w:sz w:val="25"/>
          <w:szCs w:val="25"/>
        </w:rPr>
      </w:pPr>
      <w:r w:rsidRPr="00651735">
        <w:rPr>
          <w:rFonts w:ascii="Times New Roman" w:hAnsi="Times New Roman"/>
          <w:sz w:val="25"/>
          <w:szCs w:val="25"/>
        </w:rPr>
        <w:t>The docket number of this proceeding (</w:t>
      </w:r>
      <w:r w:rsidR="000C53F1">
        <w:rPr>
          <w:rFonts w:ascii="Times New Roman" w:hAnsi="Times New Roman"/>
          <w:sz w:val="25"/>
          <w:szCs w:val="25"/>
        </w:rPr>
        <w:t>A</w:t>
      </w:r>
      <w:r w:rsidR="006217B8">
        <w:rPr>
          <w:rFonts w:ascii="Times New Roman" w:hAnsi="Times New Roman"/>
          <w:sz w:val="25"/>
          <w:szCs w:val="25"/>
        </w:rPr>
        <w:t>-150561</w:t>
      </w:r>
      <w:r w:rsidR="004F6316">
        <w:rPr>
          <w:rFonts w:ascii="Times New Roman" w:hAnsi="Times New Roman"/>
          <w:sz w:val="25"/>
          <w:szCs w:val="25"/>
        </w:rPr>
        <w:t>)</w:t>
      </w:r>
    </w:p>
    <w:p w14:paraId="2886CE3B" w14:textId="06BAF526" w:rsidR="00DA559E" w:rsidRPr="00651735" w:rsidRDefault="00DA559E" w:rsidP="006217B8">
      <w:pPr>
        <w:pStyle w:val="ListParagraph"/>
        <w:numPr>
          <w:ilvl w:val="0"/>
          <w:numId w:val="11"/>
        </w:numPr>
        <w:spacing w:after="0" w:line="264" w:lineRule="auto"/>
        <w:contextualSpacing w:val="0"/>
        <w:rPr>
          <w:rFonts w:ascii="Times New Roman" w:hAnsi="Times New Roman"/>
          <w:sz w:val="25"/>
          <w:szCs w:val="25"/>
        </w:rPr>
      </w:pPr>
      <w:r>
        <w:rPr>
          <w:rFonts w:ascii="Times New Roman" w:hAnsi="Times New Roman"/>
          <w:sz w:val="25"/>
          <w:szCs w:val="25"/>
        </w:rPr>
        <w:t>The commenting party’s name.</w:t>
      </w:r>
    </w:p>
    <w:p w14:paraId="4E589587" w14:textId="77777777" w:rsidR="00147A09" w:rsidRPr="00651735" w:rsidRDefault="00147A09" w:rsidP="00147A09">
      <w:pPr>
        <w:pStyle w:val="ListParagraph"/>
        <w:numPr>
          <w:ilvl w:val="0"/>
          <w:numId w:val="11"/>
        </w:numPr>
        <w:spacing w:after="0" w:line="264" w:lineRule="auto"/>
        <w:contextualSpacing w:val="0"/>
        <w:rPr>
          <w:rFonts w:ascii="Times New Roman" w:hAnsi="Times New Roman"/>
          <w:sz w:val="25"/>
          <w:szCs w:val="25"/>
        </w:rPr>
      </w:pPr>
      <w:r w:rsidRPr="00651735">
        <w:rPr>
          <w:rFonts w:ascii="Times New Roman" w:hAnsi="Times New Roman"/>
          <w:sz w:val="25"/>
          <w:szCs w:val="25"/>
        </w:rPr>
        <w:lastRenderedPageBreak/>
        <w:t>The title and date of the comment or comments.</w:t>
      </w:r>
    </w:p>
    <w:p w14:paraId="376D386E" w14:textId="77777777" w:rsidR="00147A09" w:rsidRPr="00651735" w:rsidRDefault="00147A09" w:rsidP="00147A09">
      <w:pPr>
        <w:spacing w:line="264" w:lineRule="auto"/>
        <w:rPr>
          <w:sz w:val="25"/>
          <w:szCs w:val="25"/>
        </w:rPr>
      </w:pPr>
    </w:p>
    <w:p w14:paraId="741AAC60" w14:textId="77777777" w:rsidR="00147A09" w:rsidRDefault="00147A09" w:rsidP="00147A09">
      <w:pPr>
        <w:spacing w:line="264" w:lineRule="auto"/>
        <w:rPr>
          <w:sz w:val="25"/>
          <w:szCs w:val="25"/>
        </w:rPr>
      </w:pPr>
      <w:r>
        <w:rPr>
          <w:sz w:val="25"/>
          <w:szCs w:val="25"/>
        </w:rPr>
        <w:t xml:space="preserve">Comments delivered by mail or courier should be addressed to:  Steven V. King, Executive Director and Secretary, Washington Utilities and Transportation Commission, P.O. Box 47250, 1300 S. Evergreen Park Drive S.W., Olympia, WA  98504-7250.  The Commission will post on its website all comments that are provided in electronic format.  The website is located at </w:t>
      </w:r>
      <w:hyperlink r:id="rId14" w:history="1">
        <w:r w:rsidRPr="00BD51E2">
          <w:rPr>
            <w:rStyle w:val="Hyperlink"/>
            <w:sz w:val="25"/>
            <w:szCs w:val="25"/>
          </w:rPr>
          <w:t>www.utc.wa.gov</w:t>
        </w:r>
      </w:hyperlink>
      <w:r>
        <w:rPr>
          <w:sz w:val="25"/>
          <w:szCs w:val="25"/>
        </w:rPr>
        <w:t>.</w:t>
      </w:r>
    </w:p>
    <w:p w14:paraId="3E53C59A" w14:textId="77777777" w:rsidR="00147A09" w:rsidRDefault="00147A09" w:rsidP="00147A09">
      <w:pPr>
        <w:spacing w:line="264" w:lineRule="auto"/>
        <w:rPr>
          <w:sz w:val="25"/>
          <w:szCs w:val="25"/>
        </w:rPr>
      </w:pPr>
    </w:p>
    <w:p w14:paraId="5DD37D7E" w14:textId="08A0A00B" w:rsidR="00FF664D" w:rsidRDefault="00DA559E" w:rsidP="00DA559E">
      <w:pPr>
        <w:spacing w:line="264" w:lineRule="auto"/>
        <w:rPr>
          <w:b/>
          <w:sz w:val="25"/>
          <w:szCs w:val="25"/>
          <w:u w:val="single"/>
        </w:rPr>
      </w:pPr>
      <w:r w:rsidRPr="00DA559E">
        <w:rPr>
          <w:b/>
          <w:sz w:val="25"/>
          <w:szCs w:val="25"/>
          <w:u w:val="single"/>
        </w:rPr>
        <w:t>STAKEHOLDER WORKSHOP</w:t>
      </w:r>
    </w:p>
    <w:p w14:paraId="06E8AB5C" w14:textId="77777777" w:rsidR="005D3703" w:rsidRPr="00DA559E" w:rsidRDefault="005D3703" w:rsidP="00DA559E">
      <w:pPr>
        <w:spacing w:line="264" w:lineRule="auto"/>
        <w:rPr>
          <w:b/>
          <w:sz w:val="25"/>
          <w:szCs w:val="25"/>
          <w:u w:val="single"/>
        </w:rPr>
      </w:pPr>
    </w:p>
    <w:p w14:paraId="77F93B63" w14:textId="15286E9C" w:rsidR="00932C10" w:rsidRPr="005D3703" w:rsidRDefault="00304C95" w:rsidP="00AF64F7">
      <w:pPr>
        <w:spacing w:line="264" w:lineRule="auto"/>
        <w:rPr>
          <w:sz w:val="25"/>
          <w:szCs w:val="25"/>
        </w:rPr>
      </w:pPr>
      <w:r w:rsidRPr="005D3703">
        <w:rPr>
          <w:sz w:val="25"/>
          <w:szCs w:val="25"/>
        </w:rPr>
        <w:t>In addition to collecting written comments, the Commission has scheduled a stakeholder workshop to review and discuss the resulting findings</w:t>
      </w:r>
      <w:r w:rsidR="00932C10" w:rsidRPr="005D3703">
        <w:rPr>
          <w:sz w:val="25"/>
          <w:szCs w:val="25"/>
        </w:rPr>
        <w:t xml:space="preserve">.  Interested persons are invited to attend the stakeholder workshop on </w:t>
      </w:r>
      <w:r w:rsidR="00B324AB" w:rsidRPr="005D3703">
        <w:rPr>
          <w:b/>
          <w:sz w:val="25"/>
          <w:szCs w:val="25"/>
        </w:rPr>
        <w:t>Tuesday</w:t>
      </w:r>
      <w:r w:rsidR="00932C10" w:rsidRPr="005D3703">
        <w:rPr>
          <w:b/>
          <w:sz w:val="25"/>
          <w:szCs w:val="25"/>
        </w:rPr>
        <w:t xml:space="preserve">, </w:t>
      </w:r>
      <w:r w:rsidR="00B324AB" w:rsidRPr="005D3703">
        <w:rPr>
          <w:b/>
          <w:sz w:val="25"/>
          <w:szCs w:val="25"/>
        </w:rPr>
        <w:t>June 9, 2015</w:t>
      </w:r>
      <w:r w:rsidR="00932C10" w:rsidRPr="005D3703">
        <w:rPr>
          <w:b/>
          <w:sz w:val="25"/>
          <w:szCs w:val="25"/>
        </w:rPr>
        <w:t>, beginning at 9:30 a.m., in Room 206, Richard Hemstad Building, 1300 S. Evergreen Park Drive S.W., Olympia, Washington.</w:t>
      </w:r>
      <w:r w:rsidR="00932C10" w:rsidRPr="005D3703">
        <w:rPr>
          <w:sz w:val="25"/>
          <w:szCs w:val="25"/>
        </w:rPr>
        <w:t xml:space="preserve">  </w:t>
      </w:r>
    </w:p>
    <w:p w14:paraId="4D635DAE" w14:textId="77777777" w:rsidR="00932C10" w:rsidRPr="005C7CF1" w:rsidRDefault="00932C10" w:rsidP="00AB0760">
      <w:pPr>
        <w:pStyle w:val="NoSpacing"/>
        <w:spacing w:line="264" w:lineRule="auto"/>
        <w:rPr>
          <w:sz w:val="25"/>
          <w:szCs w:val="25"/>
        </w:rPr>
      </w:pPr>
    </w:p>
    <w:p w14:paraId="75A3B7B6" w14:textId="77777777" w:rsidR="00147A09" w:rsidRPr="005C7CF1" w:rsidRDefault="00147A09" w:rsidP="00147A09">
      <w:pPr>
        <w:pStyle w:val="BodyTextIndent2"/>
        <w:tabs>
          <w:tab w:val="left" w:pos="0"/>
        </w:tabs>
        <w:spacing w:line="264" w:lineRule="auto"/>
        <w:ind w:left="0"/>
        <w:rPr>
          <w:sz w:val="25"/>
          <w:szCs w:val="25"/>
        </w:rPr>
      </w:pPr>
      <w:r w:rsidRPr="005C7CF1">
        <w:rPr>
          <w:sz w:val="25"/>
          <w:szCs w:val="25"/>
        </w:rPr>
        <w:t xml:space="preserve">The Commission prefers that interested persons participate in person and share ideas in a workshop setting, but if this imposes a hardship, interested persons may participate in the workshop via the Commission’s teleconference bridge at </w:t>
      </w:r>
      <w:r w:rsidRPr="005C7CF1">
        <w:rPr>
          <w:b/>
          <w:sz w:val="25"/>
          <w:szCs w:val="25"/>
        </w:rPr>
        <w:t>(360) 664-3846.</w:t>
      </w:r>
      <w:r w:rsidRPr="005C7CF1">
        <w:rPr>
          <w:sz w:val="25"/>
          <w:szCs w:val="25"/>
        </w:rPr>
        <w:t xml:space="preserve">  </w:t>
      </w:r>
    </w:p>
    <w:p w14:paraId="24CBCA76" w14:textId="77777777" w:rsidR="00147A09" w:rsidRPr="005C7CF1" w:rsidRDefault="00147A09" w:rsidP="00147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14:paraId="51CB6631" w14:textId="4769E634" w:rsidR="000237FC" w:rsidRPr="005C7CF1" w:rsidRDefault="000237FC" w:rsidP="00AB0760">
      <w:pPr>
        <w:spacing w:line="264" w:lineRule="auto"/>
        <w:rPr>
          <w:sz w:val="25"/>
          <w:szCs w:val="25"/>
        </w:rPr>
      </w:pPr>
      <w:r w:rsidRPr="005C7CF1">
        <w:rPr>
          <w:sz w:val="25"/>
          <w:szCs w:val="25"/>
        </w:rPr>
        <w:t xml:space="preserve">If you have questions regarding this </w:t>
      </w:r>
      <w:r w:rsidR="00B324AB" w:rsidRPr="005C7CF1">
        <w:rPr>
          <w:sz w:val="25"/>
          <w:szCs w:val="25"/>
        </w:rPr>
        <w:t>docket</w:t>
      </w:r>
      <w:r w:rsidRPr="005C7CF1">
        <w:rPr>
          <w:sz w:val="25"/>
          <w:szCs w:val="25"/>
        </w:rPr>
        <w:t xml:space="preserve">, you may contact staff lead, </w:t>
      </w:r>
      <w:r w:rsidR="00B324AB" w:rsidRPr="005C7CF1">
        <w:rPr>
          <w:sz w:val="25"/>
          <w:szCs w:val="25"/>
        </w:rPr>
        <w:t>Christopher S. Hancock</w:t>
      </w:r>
      <w:r w:rsidRPr="005C7CF1">
        <w:rPr>
          <w:sz w:val="25"/>
          <w:szCs w:val="25"/>
        </w:rPr>
        <w:t>, at (360) 664-1</w:t>
      </w:r>
      <w:r w:rsidR="00B324AB" w:rsidRPr="005C7CF1">
        <w:rPr>
          <w:sz w:val="25"/>
          <w:szCs w:val="25"/>
        </w:rPr>
        <w:t>312</w:t>
      </w:r>
      <w:r w:rsidR="003C64D7" w:rsidRPr="005C7CF1">
        <w:rPr>
          <w:sz w:val="25"/>
          <w:szCs w:val="25"/>
        </w:rPr>
        <w:t>, or by email at</w:t>
      </w:r>
      <w:r w:rsidRPr="005C7CF1">
        <w:rPr>
          <w:sz w:val="25"/>
          <w:szCs w:val="25"/>
        </w:rPr>
        <w:t xml:space="preserve"> </w:t>
      </w:r>
      <w:hyperlink r:id="rId15" w:history="1">
        <w:r w:rsidR="00B324AB" w:rsidRPr="005C7CF1">
          <w:rPr>
            <w:rStyle w:val="Hyperlink"/>
            <w:sz w:val="25"/>
            <w:szCs w:val="25"/>
          </w:rPr>
          <w:t>chancock@utc.wa.gov</w:t>
        </w:r>
      </w:hyperlink>
      <w:r w:rsidR="002C50C2" w:rsidRPr="005C7CF1">
        <w:rPr>
          <w:sz w:val="25"/>
          <w:szCs w:val="25"/>
        </w:rPr>
        <w:t>.</w:t>
      </w:r>
      <w:r w:rsidRPr="005C7CF1">
        <w:rPr>
          <w:sz w:val="25"/>
          <w:szCs w:val="25"/>
        </w:rPr>
        <w:t xml:space="preserve"> </w:t>
      </w:r>
    </w:p>
    <w:p w14:paraId="51CB6633" w14:textId="77777777" w:rsidR="00E47331" w:rsidRDefault="00E47331" w:rsidP="00AB0760">
      <w:pPr>
        <w:spacing w:line="264" w:lineRule="auto"/>
        <w:rPr>
          <w:sz w:val="25"/>
          <w:szCs w:val="25"/>
        </w:rPr>
      </w:pPr>
    </w:p>
    <w:p w14:paraId="149B993D" w14:textId="77777777" w:rsidR="007612B7" w:rsidRPr="00AE78C9" w:rsidRDefault="007612B7" w:rsidP="00AB0760">
      <w:pPr>
        <w:spacing w:line="264" w:lineRule="auto"/>
        <w:rPr>
          <w:sz w:val="25"/>
          <w:szCs w:val="25"/>
        </w:rPr>
      </w:pPr>
    </w:p>
    <w:p w14:paraId="51CB6635" w14:textId="77777777" w:rsidR="00E47331" w:rsidRPr="00AE78C9" w:rsidRDefault="00E47331" w:rsidP="00AB0760">
      <w:pPr>
        <w:spacing w:line="264" w:lineRule="auto"/>
        <w:rPr>
          <w:sz w:val="25"/>
          <w:szCs w:val="25"/>
        </w:rPr>
      </w:pPr>
    </w:p>
    <w:p w14:paraId="51CB6636" w14:textId="77777777" w:rsidR="002C50C2" w:rsidRDefault="002C50C2" w:rsidP="00AB0760">
      <w:pPr>
        <w:spacing w:line="264" w:lineRule="auto"/>
        <w:rPr>
          <w:sz w:val="25"/>
          <w:szCs w:val="25"/>
        </w:rPr>
      </w:pPr>
      <w:r>
        <w:rPr>
          <w:sz w:val="25"/>
          <w:szCs w:val="25"/>
        </w:rPr>
        <w:t>STEVEN V. KING</w:t>
      </w:r>
    </w:p>
    <w:p w14:paraId="51CB6639" w14:textId="403810A1" w:rsidR="00E47331" w:rsidRDefault="00E47331" w:rsidP="00214051">
      <w:pPr>
        <w:spacing w:line="264" w:lineRule="auto"/>
        <w:rPr>
          <w:sz w:val="25"/>
          <w:szCs w:val="25"/>
        </w:rPr>
      </w:pPr>
      <w:r w:rsidRPr="00AE78C9">
        <w:rPr>
          <w:sz w:val="25"/>
          <w:szCs w:val="25"/>
        </w:rPr>
        <w:t>Executive Director and Secretary</w:t>
      </w:r>
    </w:p>
    <w:p w14:paraId="7091BA84" w14:textId="4F0EE006" w:rsidR="00147A09" w:rsidRDefault="00147A09">
      <w:pPr>
        <w:rPr>
          <w:sz w:val="25"/>
          <w:szCs w:val="25"/>
        </w:rPr>
      </w:pPr>
    </w:p>
    <w:sectPr w:rsidR="00147A09" w:rsidSect="00A40089">
      <w:headerReference w:type="default" r:id="rId16"/>
      <w:headerReference w:type="first" r:id="rId17"/>
      <w:footerReference w:type="first" r:id="rId18"/>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3442" w14:textId="77777777" w:rsidR="00DD415D" w:rsidRDefault="00DD415D" w:rsidP="00E47331">
      <w:r>
        <w:separator/>
      </w:r>
    </w:p>
  </w:endnote>
  <w:endnote w:type="continuationSeparator" w:id="0">
    <w:p w14:paraId="33147102" w14:textId="77777777" w:rsidR="00DD415D" w:rsidRDefault="00DD415D"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592E8" w14:textId="77777777" w:rsidR="00210ADC" w:rsidRPr="00417016" w:rsidRDefault="00210ADC" w:rsidP="00210ADC">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14:paraId="7ABA42D6" w14:textId="77777777" w:rsidR="00210ADC" w:rsidRDefault="00210ADC" w:rsidP="00210A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C2E8" w14:textId="77777777" w:rsidR="00DD415D" w:rsidRDefault="00DD415D" w:rsidP="00E47331">
      <w:r>
        <w:separator/>
      </w:r>
    </w:p>
  </w:footnote>
  <w:footnote w:type="continuationSeparator" w:id="0">
    <w:p w14:paraId="147BE86A" w14:textId="77777777" w:rsidR="00DD415D" w:rsidRDefault="00DD415D"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0496CED2" w:rsidR="00EF756E" w:rsidRPr="004400BA" w:rsidRDefault="00EF756E">
    <w:pPr>
      <w:pStyle w:val="Header"/>
      <w:rPr>
        <w:b/>
        <w:sz w:val="20"/>
        <w:szCs w:val="20"/>
      </w:rPr>
    </w:pPr>
    <w:r w:rsidRPr="004400BA">
      <w:rPr>
        <w:b/>
        <w:sz w:val="20"/>
        <w:szCs w:val="20"/>
      </w:rPr>
      <w:t xml:space="preserve">DOCKET </w:t>
    </w:r>
    <w:r w:rsidR="005D3703">
      <w:rPr>
        <w:b/>
        <w:sz w:val="20"/>
        <w:szCs w:val="20"/>
      </w:rPr>
      <w:t>A</w:t>
    </w:r>
    <w:r w:rsidR="00123DB7">
      <w:rPr>
        <w:b/>
        <w:sz w:val="20"/>
        <w:szCs w:val="20"/>
      </w:rPr>
      <w:t>-150561</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B603FF">
      <w:rPr>
        <w:b/>
        <w:noProof/>
        <w:sz w:val="20"/>
        <w:szCs w:val="20"/>
      </w:rPr>
      <w:t>4</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3872" w14:textId="0CDFDE99" w:rsidR="000E0E83" w:rsidRPr="000E0E83" w:rsidRDefault="000E0E83" w:rsidP="000E0E83">
    <w:pPr>
      <w:pStyle w:val="Header"/>
      <w:jc w:val="right"/>
      <w:rPr>
        <w:b/>
        <w:sz w:val="20"/>
        <w:szCs w:val="20"/>
      </w:rPr>
    </w:pPr>
    <w:r>
      <w:rPr>
        <w:b/>
        <w:sz w:val="20"/>
        <w:szCs w:val="20"/>
      </w:rPr>
      <w:t>[Service date April 17,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C08A5"/>
    <w:multiLevelType w:val="hybridMultilevel"/>
    <w:tmpl w:val="236679EA"/>
    <w:lvl w:ilvl="0" w:tplc="5DB66B1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415306"/>
    <w:multiLevelType w:val="hybridMultilevel"/>
    <w:tmpl w:val="8EA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4"/>
  </w:num>
  <w:num w:numId="5">
    <w:abstractNumId w:val="6"/>
  </w:num>
  <w:num w:numId="6">
    <w:abstractNumId w:val="10"/>
  </w:num>
  <w:num w:numId="7">
    <w:abstractNumId w:val="7"/>
  </w:num>
  <w:num w:numId="8">
    <w:abstractNumId w:val="1"/>
  </w:num>
  <w:num w:numId="9">
    <w:abstractNumId w:val="13"/>
  </w:num>
  <w:num w:numId="10">
    <w:abstractNumId w:val="3"/>
  </w:num>
  <w:num w:numId="11">
    <w:abstractNumId w:val="12"/>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4532D"/>
    <w:rsid w:val="00050E08"/>
    <w:rsid w:val="00066BD8"/>
    <w:rsid w:val="00070604"/>
    <w:rsid w:val="00071062"/>
    <w:rsid w:val="0007536A"/>
    <w:rsid w:val="0008035C"/>
    <w:rsid w:val="0008562F"/>
    <w:rsid w:val="00095678"/>
    <w:rsid w:val="000978C4"/>
    <w:rsid w:val="000B17DA"/>
    <w:rsid w:val="000C53F1"/>
    <w:rsid w:val="000C6F04"/>
    <w:rsid w:val="000D0186"/>
    <w:rsid w:val="000D0A79"/>
    <w:rsid w:val="000D42A6"/>
    <w:rsid w:val="000E0E83"/>
    <w:rsid w:val="000E1E1E"/>
    <w:rsid w:val="000E6259"/>
    <w:rsid w:val="000E79B6"/>
    <w:rsid w:val="000E7F33"/>
    <w:rsid w:val="000F67FB"/>
    <w:rsid w:val="00123DB7"/>
    <w:rsid w:val="00141AEC"/>
    <w:rsid w:val="0014294B"/>
    <w:rsid w:val="00145B4D"/>
    <w:rsid w:val="00147A09"/>
    <w:rsid w:val="00151FD0"/>
    <w:rsid w:val="001529EB"/>
    <w:rsid w:val="00187B80"/>
    <w:rsid w:val="0019771A"/>
    <w:rsid w:val="001A1C13"/>
    <w:rsid w:val="001A7779"/>
    <w:rsid w:val="001A7ADB"/>
    <w:rsid w:val="001B01A0"/>
    <w:rsid w:val="001B22B6"/>
    <w:rsid w:val="001B2509"/>
    <w:rsid w:val="001C0954"/>
    <w:rsid w:val="001C5AB1"/>
    <w:rsid w:val="001D62A8"/>
    <w:rsid w:val="002025C6"/>
    <w:rsid w:val="00207579"/>
    <w:rsid w:val="00210ADC"/>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E1DEF"/>
    <w:rsid w:val="002E7E8F"/>
    <w:rsid w:val="002F084A"/>
    <w:rsid w:val="00304C95"/>
    <w:rsid w:val="00305A32"/>
    <w:rsid w:val="0032486B"/>
    <w:rsid w:val="00340044"/>
    <w:rsid w:val="00341112"/>
    <w:rsid w:val="00342A7B"/>
    <w:rsid w:val="00343391"/>
    <w:rsid w:val="00360373"/>
    <w:rsid w:val="00361923"/>
    <w:rsid w:val="00361D5E"/>
    <w:rsid w:val="00365A64"/>
    <w:rsid w:val="003A5EE3"/>
    <w:rsid w:val="003B3616"/>
    <w:rsid w:val="003C64D7"/>
    <w:rsid w:val="003D0356"/>
    <w:rsid w:val="003E031F"/>
    <w:rsid w:val="003F11BD"/>
    <w:rsid w:val="00400A29"/>
    <w:rsid w:val="004150A4"/>
    <w:rsid w:val="004212BD"/>
    <w:rsid w:val="00431AEC"/>
    <w:rsid w:val="00433AE3"/>
    <w:rsid w:val="004400BA"/>
    <w:rsid w:val="0044329A"/>
    <w:rsid w:val="00463782"/>
    <w:rsid w:val="0048264B"/>
    <w:rsid w:val="004939B9"/>
    <w:rsid w:val="004B76BE"/>
    <w:rsid w:val="004C2E3B"/>
    <w:rsid w:val="004C48F9"/>
    <w:rsid w:val="004E068E"/>
    <w:rsid w:val="004F6316"/>
    <w:rsid w:val="004F789E"/>
    <w:rsid w:val="00523DD9"/>
    <w:rsid w:val="00524BE7"/>
    <w:rsid w:val="00530AD0"/>
    <w:rsid w:val="00551184"/>
    <w:rsid w:val="0055422A"/>
    <w:rsid w:val="00554557"/>
    <w:rsid w:val="0055515C"/>
    <w:rsid w:val="00555C35"/>
    <w:rsid w:val="00566950"/>
    <w:rsid w:val="005728F8"/>
    <w:rsid w:val="00573B98"/>
    <w:rsid w:val="0058293D"/>
    <w:rsid w:val="00584DD1"/>
    <w:rsid w:val="0058550B"/>
    <w:rsid w:val="0058703D"/>
    <w:rsid w:val="00590BF6"/>
    <w:rsid w:val="005B46D2"/>
    <w:rsid w:val="005B5ED6"/>
    <w:rsid w:val="005C3936"/>
    <w:rsid w:val="005C4A96"/>
    <w:rsid w:val="005C6712"/>
    <w:rsid w:val="005C7CF1"/>
    <w:rsid w:val="005D3703"/>
    <w:rsid w:val="005F37B0"/>
    <w:rsid w:val="0060711C"/>
    <w:rsid w:val="006217B8"/>
    <w:rsid w:val="006269C8"/>
    <w:rsid w:val="00641E5A"/>
    <w:rsid w:val="00655411"/>
    <w:rsid w:val="00685FC5"/>
    <w:rsid w:val="006E2B3A"/>
    <w:rsid w:val="006E374B"/>
    <w:rsid w:val="006E4757"/>
    <w:rsid w:val="006F21F3"/>
    <w:rsid w:val="006F7629"/>
    <w:rsid w:val="00702979"/>
    <w:rsid w:val="00706618"/>
    <w:rsid w:val="00706FAB"/>
    <w:rsid w:val="00715869"/>
    <w:rsid w:val="00717F76"/>
    <w:rsid w:val="00727E37"/>
    <w:rsid w:val="007446B0"/>
    <w:rsid w:val="00750FFA"/>
    <w:rsid w:val="00753FE9"/>
    <w:rsid w:val="00757EA0"/>
    <w:rsid w:val="007612B7"/>
    <w:rsid w:val="0076301A"/>
    <w:rsid w:val="00770E44"/>
    <w:rsid w:val="00771042"/>
    <w:rsid w:val="00780694"/>
    <w:rsid w:val="007844B7"/>
    <w:rsid w:val="00794763"/>
    <w:rsid w:val="007A45D2"/>
    <w:rsid w:val="007B4715"/>
    <w:rsid w:val="007D09D6"/>
    <w:rsid w:val="007E1C8A"/>
    <w:rsid w:val="007E1E39"/>
    <w:rsid w:val="007E5E5E"/>
    <w:rsid w:val="007F1BFD"/>
    <w:rsid w:val="007F40C3"/>
    <w:rsid w:val="007F40E7"/>
    <w:rsid w:val="007F5A9F"/>
    <w:rsid w:val="007F60EA"/>
    <w:rsid w:val="00803F42"/>
    <w:rsid w:val="0080489A"/>
    <w:rsid w:val="00805FAF"/>
    <w:rsid w:val="008335F0"/>
    <w:rsid w:val="00834926"/>
    <w:rsid w:val="0083772A"/>
    <w:rsid w:val="00845C62"/>
    <w:rsid w:val="008627EB"/>
    <w:rsid w:val="00864528"/>
    <w:rsid w:val="00866796"/>
    <w:rsid w:val="00870ADF"/>
    <w:rsid w:val="0087184A"/>
    <w:rsid w:val="00877F50"/>
    <w:rsid w:val="00884169"/>
    <w:rsid w:val="008A2F56"/>
    <w:rsid w:val="008B12EA"/>
    <w:rsid w:val="008B3EA8"/>
    <w:rsid w:val="008C5C45"/>
    <w:rsid w:val="008C628B"/>
    <w:rsid w:val="008F1003"/>
    <w:rsid w:val="00900E2A"/>
    <w:rsid w:val="00911345"/>
    <w:rsid w:val="00920C72"/>
    <w:rsid w:val="00923956"/>
    <w:rsid w:val="00926321"/>
    <w:rsid w:val="0092694A"/>
    <w:rsid w:val="00931DC3"/>
    <w:rsid w:val="00932C10"/>
    <w:rsid w:val="00935AF3"/>
    <w:rsid w:val="00942899"/>
    <w:rsid w:val="0095291E"/>
    <w:rsid w:val="00954799"/>
    <w:rsid w:val="00962853"/>
    <w:rsid w:val="009666B4"/>
    <w:rsid w:val="00980C26"/>
    <w:rsid w:val="00984114"/>
    <w:rsid w:val="00990A7C"/>
    <w:rsid w:val="00995B1A"/>
    <w:rsid w:val="009A0C2B"/>
    <w:rsid w:val="009A20FF"/>
    <w:rsid w:val="009C5E2C"/>
    <w:rsid w:val="009E2A67"/>
    <w:rsid w:val="009E7811"/>
    <w:rsid w:val="009F70E1"/>
    <w:rsid w:val="00A00011"/>
    <w:rsid w:val="00A0205D"/>
    <w:rsid w:val="00A0233D"/>
    <w:rsid w:val="00A243BD"/>
    <w:rsid w:val="00A274D7"/>
    <w:rsid w:val="00A359CC"/>
    <w:rsid w:val="00A40089"/>
    <w:rsid w:val="00A43EAC"/>
    <w:rsid w:val="00A449FD"/>
    <w:rsid w:val="00A46766"/>
    <w:rsid w:val="00A53875"/>
    <w:rsid w:val="00A543A8"/>
    <w:rsid w:val="00A62D81"/>
    <w:rsid w:val="00A732E0"/>
    <w:rsid w:val="00A76304"/>
    <w:rsid w:val="00A84C2A"/>
    <w:rsid w:val="00A950E2"/>
    <w:rsid w:val="00A95706"/>
    <w:rsid w:val="00AB0760"/>
    <w:rsid w:val="00AB4074"/>
    <w:rsid w:val="00AB7EC8"/>
    <w:rsid w:val="00AD3788"/>
    <w:rsid w:val="00AD78DA"/>
    <w:rsid w:val="00AE78C9"/>
    <w:rsid w:val="00AF0870"/>
    <w:rsid w:val="00AF64F7"/>
    <w:rsid w:val="00B07BDA"/>
    <w:rsid w:val="00B320D5"/>
    <w:rsid w:val="00B324AB"/>
    <w:rsid w:val="00B44E2C"/>
    <w:rsid w:val="00B45F8A"/>
    <w:rsid w:val="00B55292"/>
    <w:rsid w:val="00B56852"/>
    <w:rsid w:val="00B603FF"/>
    <w:rsid w:val="00B846EB"/>
    <w:rsid w:val="00BA7E29"/>
    <w:rsid w:val="00BD0B13"/>
    <w:rsid w:val="00BD152B"/>
    <w:rsid w:val="00BE6226"/>
    <w:rsid w:val="00BF497A"/>
    <w:rsid w:val="00C02534"/>
    <w:rsid w:val="00C12DAC"/>
    <w:rsid w:val="00C161A9"/>
    <w:rsid w:val="00C23E1C"/>
    <w:rsid w:val="00C2491F"/>
    <w:rsid w:val="00C409D7"/>
    <w:rsid w:val="00C57372"/>
    <w:rsid w:val="00C67871"/>
    <w:rsid w:val="00C73062"/>
    <w:rsid w:val="00C754FC"/>
    <w:rsid w:val="00CA1F59"/>
    <w:rsid w:val="00CA5BDD"/>
    <w:rsid w:val="00CB06A5"/>
    <w:rsid w:val="00CB0F96"/>
    <w:rsid w:val="00CB3016"/>
    <w:rsid w:val="00CB3376"/>
    <w:rsid w:val="00CC3890"/>
    <w:rsid w:val="00CD123F"/>
    <w:rsid w:val="00D02F83"/>
    <w:rsid w:val="00D24C81"/>
    <w:rsid w:val="00D448A2"/>
    <w:rsid w:val="00D50919"/>
    <w:rsid w:val="00D569CC"/>
    <w:rsid w:val="00D61F17"/>
    <w:rsid w:val="00D8272E"/>
    <w:rsid w:val="00D87428"/>
    <w:rsid w:val="00D902BD"/>
    <w:rsid w:val="00D91623"/>
    <w:rsid w:val="00DA1A6A"/>
    <w:rsid w:val="00DA559E"/>
    <w:rsid w:val="00DA5CCE"/>
    <w:rsid w:val="00DB2501"/>
    <w:rsid w:val="00DB3A38"/>
    <w:rsid w:val="00DB504E"/>
    <w:rsid w:val="00DD0E20"/>
    <w:rsid w:val="00DD2A47"/>
    <w:rsid w:val="00DD415D"/>
    <w:rsid w:val="00DD62A4"/>
    <w:rsid w:val="00DD62E4"/>
    <w:rsid w:val="00DD708B"/>
    <w:rsid w:val="00DE05CE"/>
    <w:rsid w:val="00DE207D"/>
    <w:rsid w:val="00DF660F"/>
    <w:rsid w:val="00E20C6C"/>
    <w:rsid w:val="00E22542"/>
    <w:rsid w:val="00E3456C"/>
    <w:rsid w:val="00E47331"/>
    <w:rsid w:val="00E63911"/>
    <w:rsid w:val="00E64CA8"/>
    <w:rsid w:val="00E71F9D"/>
    <w:rsid w:val="00E73328"/>
    <w:rsid w:val="00E80489"/>
    <w:rsid w:val="00E91B57"/>
    <w:rsid w:val="00E92FB9"/>
    <w:rsid w:val="00E96521"/>
    <w:rsid w:val="00EB296C"/>
    <w:rsid w:val="00ED1E76"/>
    <w:rsid w:val="00ED45B0"/>
    <w:rsid w:val="00EF756E"/>
    <w:rsid w:val="00F417EF"/>
    <w:rsid w:val="00F47FDD"/>
    <w:rsid w:val="00F52239"/>
    <w:rsid w:val="00F6543D"/>
    <w:rsid w:val="00F66B66"/>
    <w:rsid w:val="00F91D42"/>
    <w:rsid w:val="00FB1935"/>
    <w:rsid w:val="00FB26AA"/>
    <w:rsid w:val="00FB4A7D"/>
    <w:rsid w:val="00FB78E2"/>
    <w:rsid w:val="00FC1615"/>
    <w:rsid w:val="00FC467A"/>
    <w:rsid w:val="00FE1E00"/>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F64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ancock@utc.w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BD57092866944AFE654E015002A8A" ma:contentTypeVersion="119" ma:contentTypeDescription="" ma:contentTypeScope="" ma:versionID="7972e24de38cf2a4d1b5dcfbf58bd9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2015-04-06T07:00:00+00:00</OpenedDate>
    <Date1 xmlns="dc463f71-b30c-4ab2-9473-d307f9d35888">2015-04-20T15:20:08+00:00</Date1>
    <IsDocumentOrder xmlns="dc463f71-b30c-4ab2-9473-d307f9d35888" xsi:nil="true"/>
    <IsHighlyConfidential xmlns="dc463f71-b30c-4ab2-9473-d307f9d35888">false</IsHighlyConfidential>
    <CaseCompanyNames xmlns="dc463f71-b30c-4ab2-9473-d307f9d35888" xsi:nil="true"/>
    <DocketNumber xmlns="dc463f71-b30c-4ab2-9473-d307f9d35888">150561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06A95-1090-44D4-BEE7-B24FD74824DD}"/>
</file>

<file path=customXml/itemProps2.xml><?xml version="1.0" encoding="utf-8"?>
<ds:datastoreItem xmlns:ds="http://schemas.openxmlformats.org/officeDocument/2006/customXml" ds:itemID="{BE5DF30C-2D14-4E95-AB00-11F3A2DC46E6}"/>
</file>

<file path=customXml/itemProps3.xml><?xml version="1.0" encoding="utf-8"?>
<ds:datastoreItem xmlns:ds="http://schemas.openxmlformats.org/officeDocument/2006/customXml" ds:itemID="{2EE3BDCD-6D0A-4481-A7B4-23145B577D31}"/>
</file>

<file path=customXml/itemProps4.xml><?xml version="1.0" encoding="utf-8"?>
<ds:datastoreItem xmlns:ds="http://schemas.openxmlformats.org/officeDocument/2006/customXml" ds:itemID="{5DAFA387-3CCF-45A1-8815-EA79E687291A}"/>
</file>

<file path=customXml/itemProps5.xml><?xml version="1.0" encoding="utf-8"?>
<ds:datastoreItem xmlns:ds="http://schemas.openxmlformats.org/officeDocument/2006/customXml" ds:itemID="{A6C75905-B51A-4354-9A1E-698E96BB4DE1}"/>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6655</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2015-04-17T17:21:00Z</dcterms:created>
  <dcterms:modified xsi:type="dcterms:W3CDTF">2015-04-17T17:21:00Z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0x0101006E56B4D1795A2E4DB2F0B01679ED314A001DEBD57092866944AFE654E015002A8A</vt:lpwstr>
  </property>
  <property fmtid="{D5CDD505-2E9C-101B-9397-08002B2CF9AE}" pid="3" name="_docset_NoMedatataSyncRequired">
    <vt:lpwstr>False</vt:lpwstr>
  </property>
</Properties>
</file>