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B6EF1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351C05E4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6805FDB4" w14:textId="77777777">
        <w:trPr>
          <w:trHeight w:val="2842"/>
        </w:trPr>
        <w:tc>
          <w:tcPr>
            <w:tcW w:w="4708" w:type="dxa"/>
          </w:tcPr>
          <w:p w14:paraId="0F1ADCB7" w14:textId="77777777" w:rsidR="00447297" w:rsidRPr="00C53257" w:rsidRDefault="00447297">
            <w:pPr>
              <w:keepLines/>
            </w:pPr>
          </w:p>
          <w:p w14:paraId="149206A4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11570DC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6E9772FF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4323A0FD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48E3E998" w14:textId="77777777" w:rsidR="005B6F78" w:rsidRDefault="005B6F78" w:rsidP="005B6F78">
            <w:pPr>
              <w:keepLines/>
              <w:spacing w:line="264" w:lineRule="auto"/>
            </w:pPr>
            <w:r>
              <w:rPr>
                <w:caps/>
                <w:sz w:val="25"/>
                <w:szCs w:val="25"/>
              </w:rPr>
              <w:t xml:space="preserve">alexander satir </w:t>
            </w:r>
            <w:r>
              <w:rPr>
                <w:sz w:val="25"/>
                <w:szCs w:val="25"/>
              </w:rPr>
              <w:t>d/b/a</w:t>
            </w:r>
            <w:r>
              <w:rPr>
                <w:caps/>
                <w:sz w:val="25"/>
                <w:szCs w:val="25"/>
              </w:rPr>
              <w:t xml:space="preserve"> pro moving delivery llC</w:t>
            </w:r>
          </w:p>
          <w:p w14:paraId="6A854455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159B6219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50F1E2B" w14:textId="77777777" w:rsidR="00447297" w:rsidRPr="00C53257" w:rsidRDefault="00447297">
            <w:pPr>
              <w:keepLines/>
            </w:pPr>
          </w:p>
          <w:p w14:paraId="30051D3B" w14:textId="77777777" w:rsidR="00447297" w:rsidRPr="00C53257" w:rsidRDefault="00447297">
            <w:pPr>
              <w:keepLines/>
            </w:pPr>
          </w:p>
          <w:p w14:paraId="4F3F3075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632D20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6B0CC29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7950467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5AD6D682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EF01310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5B1844D9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4D161239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62C5E2EE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5C9FB693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62C17BD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497B4E9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</w:t>
            </w:r>
            <w:r w:rsidR="003C55F5">
              <w:rPr>
                <w:bCs/>
              </w:rPr>
              <w:t>435</w:t>
            </w:r>
          </w:p>
          <w:p w14:paraId="1B03FCE1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0308F9FE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0A6B25DF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B989004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36D9B62C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592E8089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4202BE6E" w14:textId="77777777">
        <w:trPr>
          <w:trHeight w:val="70"/>
        </w:trPr>
        <w:tc>
          <w:tcPr>
            <w:tcW w:w="4708" w:type="dxa"/>
          </w:tcPr>
          <w:p w14:paraId="48E2DED9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28BF95B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0EE9FFB0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7E506457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6D264A66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5B6F78">
        <w:t>Alexander Satir d/b/a Pro Moving Delivery LLC</w:t>
      </w:r>
      <w:r w:rsidRPr="00C53257">
        <w:rPr>
          <w:color w:val="000000"/>
        </w:rPr>
        <w:t>:</w:t>
      </w:r>
    </w:p>
    <w:p w14:paraId="7101215D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369E5CB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E64658">
        <w:rPr>
          <w:b/>
        </w:rPr>
        <w:t>.</w:t>
      </w:r>
      <w:r w:rsidR="00C20D61">
        <w:rPr>
          <w:b/>
        </w:rPr>
        <w:t>m</w:t>
      </w:r>
      <w:r w:rsidR="00E64658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5B6F78">
            <w:t>Alexander Satir d/b/a Pro Moving Delivery LLC</w:t>
          </w:r>
        </w:sdtContent>
      </w:sdt>
      <w:r w:rsidR="00D60C72" w:rsidRPr="00C53257">
        <w:t xml:space="preserve">.  </w:t>
      </w:r>
      <w:r w:rsidR="005B6F78">
        <w:t xml:space="preserve">Alexander Satir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20A18413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6F5492E2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1A93DAF8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3544211B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11B6C774" w14:textId="77777777" w:rsidR="00E44206" w:rsidRPr="00C53257" w:rsidRDefault="00E44206" w:rsidP="00E44206">
      <w:pPr>
        <w:ind w:right="720"/>
      </w:pPr>
    </w:p>
    <w:p w14:paraId="2C0E5AEC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3DC2E8E6" w14:textId="77777777" w:rsidR="00594BDA" w:rsidRPr="00C53257" w:rsidRDefault="00594BDA" w:rsidP="00ED2163"/>
    <w:p w14:paraId="796D9F3C" w14:textId="77777777"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5278D1">
        <w:t xml:space="preserve">March </w:t>
      </w:r>
      <w:r w:rsidR="00E64658">
        <w:t>20</w:t>
      </w:r>
      <w:r w:rsidR="005278D1">
        <w:t>, 2014</w:t>
      </w:r>
      <w:r w:rsidR="001776FB">
        <w:t>.</w:t>
      </w:r>
    </w:p>
    <w:p w14:paraId="7D82BF46" w14:textId="77777777" w:rsidR="009A0F52" w:rsidRPr="00C53257" w:rsidRDefault="009A0F52" w:rsidP="00ED2163"/>
    <w:p w14:paraId="1BF0D1A6" w14:textId="77777777" w:rsidR="00B51B8E" w:rsidRPr="00C53257" w:rsidRDefault="00B51B8E" w:rsidP="00ED2163"/>
    <w:p w14:paraId="00A79278" w14:textId="77777777" w:rsidR="00B35A44" w:rsidRPr="00C53257" w:rsidRDefault="00B35A44" w:rsidP="00ED2163">
      <w:pPr>
        <w:ind w:left="4800"/>
      </w:pPr>
    </w:p>
    <w:p w14:paraId="37AAABCF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298DF01B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4540FAD3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68E34146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714C055A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0C762F41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A1632" w14:textId="77777777" w:rsidR="003C7872" w:rsidRDefault="003C7872">
      <w:r>
        <w:separator/>
      </w:r>
    </w:p>
  </w:endnote>
  <w:endnote w:type="continuationSeparator" w:id="0">
    <w:p w14:paraId="3EA345B9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8982C" w14:textId="77777777" w:rsidR="00045228" w:rsidRDefault="00045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203BC" w14:textId="77777777" w:rsidR="00E44D69" w:rsidRDefault="00E44D69">
    <w:pPr>
      <w:pStyle w:val="Footer"/>
    </w:pPr>
  </w:p>
  <w:p w14:paraId="05C62382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2A66" w14:textId="77777777" w:rsidR="00045228" w:rsidRDefault="00045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971F" w14:textId="77777777" w:rsidR="003C7872" w:rsidRDefault="003C7872">
      <w:r>
        <w:separator/>
      </w:r>
    </w:p>
  </w:footnote>
  <w:footnote w:type="continuationSeparator" w:id="0">
    <w:p w14:paraId="38FE4E29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8672" w14:textId="77777777" w:rsidR="00045228" w:rsidRDefault="00045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B3F8A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5B6F78">
      <w:rPr>
        <w:b/>
        <w:sz w:val="20"/>
        <w:szCs w:val="20"/>
      </w:rPr>
      <w:t>0</w:t>
    </w:r>
    <w:r w:rsidR="003C55F5">
      <w:rPr>
        <w:b/>
        <w:sz w:val="20"/>
        <w:szCs w:val="20"/>
      </w:rPr>
      <w:t>435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1E7335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4EA15CA9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1F6C9CD5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51B5" w14:textId="4A343DD2" w:rsidR="00045228" w:rsidRPr="00045228" w:rsidRDefault="00045228" w:rsidP="0004522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March 26,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228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E7335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55F5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B6F78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6B49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658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1A8B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E12A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085DD18D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DD18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76FAEB6BDC4849B9394259135757D4" ma:contentTypeVersion="175" ma:contentTypeDescription="" ma:contentTypeScope="" ma:versionID="92396a72aafa87765fc9a2f52b6ad8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2014-03-18T07:00:00+00:00</OpenedDate>
    <Date1 xmlns="dc463f71-b30c-4ab2-9473-d307f9d35888">2014-03-26T07:00:00+00:00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140435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76FD85-534B-4D7A-B575-094BFD5EEAEA}"/>
</file>

<file path=customXml/itemProps2.xml><?xml version="1.0" encoding="utf-8"?>
<ds:datastoreItem xmlns:ds="http://schemas.openxmlformats.org/officeDocument/2006/customXml" ds:itemID="{197C9158-9BB2-475E-B920-9CA2498A7358}"/>
</file>

<file path=customXml/itemProps3.xml><?xml version="1.0" encoding="utf-8"?>
<ds:datastoreItem xmlns:ds="http://schemas.openxmlformats.org/officeDocument/2006/customXml" ds:itemID="{110EB62E-596E-42FD-B0EB-AC7B5E14A02D}"/>
</file>

<file path=customXml/itemProps4.xml><?xml version="1.0" encoding="utf-8"?>
<ds:datastoreItem xmlns:ds="http://schemas.openxmlformats.org/officeDocument/2006/customXml" ds:itemID="{F661D564-BDCB-41B0-AC2D-BACF1E960E3D}"/>
</file>

<file path=customXml/itemProps5.xml><?xml version="1.0" encoding="utf-8"?>
<ds:datastoreItem xmlns:ds="http://schemas.openxmlformats.org/officeDocument/2006/customXml" ds:itemID="{467AA800-4FAF-4D2B-9410-73A542C57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2014-03-20T22:16:00Z</dcterms:created>
  <dcterms:modified xsi:type="dcterms:W3CDTF">2014-04-02T18:33:00Z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0x0101006E56B4D1795A2E4DB2F0B01679ED314A002776FAEB6BDC4849B9394259135757D4</vt:lpwstr>
  </property>
  <property fmtid="{D5CDD505-2E9C-101B-9397-08002B2CF9AE}" pid="3" name="_docset_NoMedatataSyncRequired">
    <vt:lpwstr>False</vt:lpwstr>
  </property>
</Properties>
</file>