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C8897" w14:textId="77777777"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14:paraId="6280E1CB" w14:textId="77777777"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 w14:paraId="625BCD25" w14:textId="77777777">
        <w:trPr>
          <w:trHeight w:val="2842"/>
        </w:trPr>
        <w:tc>
          <w:tcPr>
            <w:tcW w:w="4708" w:type="dxa"/>
          </w:tcPr>
          <w:p w14:paraId="056319E4" w14:textId="77777777" w:rsidR="00447297" w:rsidRPr="00C53257" w:rsidRDefault="00447297">
            <w:pPr>
              <w:keepLines/>
            </w:pPr>
          </w:p>
          <w:p w14:paraId="45E4FDF2" w14:textId="77777777"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CEEF6A4" w14:textId="77777777"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14:paraId="7678E796" w14:textId="77777777"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14:paraId="175968FF" w14:textId="77777777" w:rsidR="009E3D31" w:rsidRPr="00C53257" w:rsidRDefault="009E3D31" w:rsidP="009E3D31">
            <w:pPr>
              <w:tabs>
                <w:tab w:val="left" w:pos="1320"/>
              </w:tabs>
            </w:pPr>
          </w:p>
          <w:p w14:paraId="5C1DA9B8" w14:textId="77777777" w:rsidR="00FF5954" w:rsidRDefault="008659D2" w:rsidP="00FF5954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>Lyle and darcy allen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 w:rsidR="00FF5954">
              <w:rPr>
                <w:sz w:val="25"/>
                <w:szCs w:val="25"/>
              </w:rPr>
              <w:t>d/b/a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>
              <w:rPr>
                <w:caps/>
                <w:sz w:val="25"/>
                <w:szCs w:val="25"/>
              </w:rPr>
              <w:t>Eastside &amp; all city movers</w:t>
            </w:r>
          </w:p>
          <w:p w14:paraId="7904E2B0" w14:textId="77777777"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14:paraId="4B797AE4" w14:textId="77777777"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0E6C4789" w14:textId="77777777" w:rsidR="00447297" w:rsidRPr="00C53257" w:rsidRDefault="00447297">
            <w:pPr>
              <w:keepLines/>
            </w:pPr>
          </w:p>
          <w:p w14:paraId="6B0109EA" w14:textId="77777777" w:rsidR="00447297" w:rsidRPr="00C53257" w:rsidRDefault="00447297">
            <w:pPr>
              <w:keepLines/>
            </w:pPr>
          </w:p>
          <w:p w14:paraId="21E64A39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1ABA3C0F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759ECCA2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681D641A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4A962006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7C575334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3D1FE79A" w14:textId="77777777" w:rsidR="00BB2590" w:rsidRPr="00C53257" w:rsidRDefault="00447297">
            <w:pPr>
              <w:keepLines/>
            </w:pPr>
            <w:r w:rsidRPr="00C53257">
              <w:t>)</w:t>
            </w:r>
          </w:p>
          <w:p w14:paraId="0C04E693" w14:textId="77777777" w:rsidR="004256EF" w:rsidRPr="00C53257" w:rsidRDefault="007D1628">
            <w:pPr>
              <w:keepLines/>
            </w:pPr>
            <w:r w:rsidRPr="00C53257">
              <w:t>)</w:t>
            </w:r>
          </w:p>
          <w:p w14:paraId="330E50E6" w14:textId="77777777"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47424392" w14:textId="77777777"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542724D6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7CBCF5B0" w14:textId="77777777"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F351F5">
              <w:rPr>
                <w:bCs/>
              </w:rPr>
              <w:t>1</w:t>
            </w:r>
            <w:r w:rsidR="005278D1">
              <w:rPr>
                <w:bCs/>
              </w:rPr>
              <w:t>4</w:t>
            </w:r>
            <w:r w:rsidR="00D2110E">
              <w:rPr>
                <w:bCs/>
              </w:rPr>
              <w:t>03</w:t>
            </w:r>
            <w:r w:rsidR="008659D2">
              <w:rPr>
                <w:bCs/>
              </w:rPr>
              <w:t>42</w:t>
            </w:r>
          </w:p>
          <w:p w14:paraId="782A59DE" w14:textId="77777777"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0BC6A04C" w14:textId="77777777"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14:paraId="5E0046D2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4BA9BD81" w14:textId="77777777"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14:paraId="49D7E830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AF3499C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 w14:paraId="0ACECB03" w14:textId="77777777">
        <w:trPr>
          <w:trHeight w:val="70"/>
        </w:trPr>
        <w:tc>
          <w:tcPr>
            <w:tcW w:w="4708" w:type="dxa"/>
          </w:tcPr>
          <w:p w14:paraId="76D9FECC" w14:textId="77777777"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2410C9B4" w14:textId="77777777"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316BFF4" w14:textId="77777777"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3A4EDDA0" w14:textId="77777777"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14:paraId="7E990B0D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8659D2">
        <w:t>Lyle and Darcy Allen</w:t>
      </w:r>
      <w:r w:rsidR="005278D1">
        <w:t xml:space="preserve">, d/b/a </w:t>
      </w:r>
      <w:r w:rsidR="008659D2">
        <w:t>Eastside &amp; All City Movers</w:t>
      </w:r>
      <w:r w:rsidRPr="00C53257">
        <w:rPr>
          <w:color w:val="000000"/>
        </w:rPr>
        <w:t>:</w:t>
      </w:r>
    </w:p>
    <w:p w14:paraId="504A004F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1FACA04" w14:textId="77777777"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</w:t>
      </w:r>
      <w:r w:rsidR="00A82AE9">
        <w:rPr>
          <w:b/>
        </w:rPr>
        <w:t>.</w:t>
      </w:r>
      <w:r w:rsidR="00C20D61">
        <w:rPr>
          <w:b/>
        </w:rPr>
        <w:t>m</w:t>
      </w:r>
      <w:r w:rsidR="00A82AE9">
        <w:rPr>
          <w:b/>
        </w:rPr>
        <w:t>.</w:t>
      </w:r>
      <w:r w:rsidR="000C4ACB" w:rsidRPr="00C53257">
        <w:rPr>
          <w:b/>
        </w:rPr>
        <w:t xml:space="preserve"> on </w:t>
      </w:r>
      <w:r w:rsidR="008B0C06">
        <w:rPr>
          <w:b/>
        </w:rPr>
        <w:t>May 6</w:t>
      </w:r>
      <w:r w:rsidR="005278D1">
        <w:rPr>
          <w:b/>
        </w:rPr>
        <w:t>, 2014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</w:t>
      </w:r>
      <w:proofErr w:type="spellStart"/>
      <w:r w:rsidR="000C4ACB" w:rsidRPr="00C53257">
        <w:rPr>
          <w:b/>
        </w:rPr>
        <w:t>Hemstad</w:t>
      </w:r>
      <w:proofErr w:type="spellEnd"/>
      <w:r w:rsidR="000C4ACB" w:rsidRPr="00C53257">
        <w:rPr>
          <w:b/>
        </w:rPr>
        <w:t xml:space="preserve">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sdt>
            <w:sdtPr>
              <w:id w:val="948589850"/>
              <w:placeholder>
                <w:docPart w:val="483A064E38C0419A8685A0C13460888C"/>
              </w:placeholder>
            </w:sdtPr>
            <w:sdtEndPr/>
            <w:sdtContent>
              <w:r w:rsidR="00B717C8">
                <w:t>Lyle and Darcy Allen</w:t>
              </w:r>
              <w:r w:rsidR="008659D2">
                <w:t xml:space="preserve"> d/b/a Eastside &amp; All City Movers</w:t>
              </w:r>
            </w:sdtContent>
          </w:sdt>
        </w:sdtContent>
      </w:sdt>
      <w:r w:rsidR="00D60C72" w:rsidRPr="00C53257">
        <w:t xml:space="preserve">.  </w:t>
      </w:r>
      <w:r w:rsidR="008659D2">
        <w:t xml:space="preserve">Lyle and Darcy Allen </w:t>
      </w:r>
      <w:r w:rsidR="00D60C72" w:rsidRPr="00C53257">
        <w:t xml:space="preserve">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14:paraId="4D24C3D5" w14:textId="77777777"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1679AE0E" w14:textId="77777777"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14:paraId="5517033C" w14:textId="77777777"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14:paraId="6EE3FED1" w14:textId="77777777"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</w:t>
      </w:r>
      <w:r w:rsidR="009C39CD" w:rsidRPr="00C53257">
        <w:lastRenderedPageBreak/>
        <w:t>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14:paraId="3BB398F4" w14:textId="77777777" w:rsidR="00E44206" w:rsidRPr="00C53257" w:rsidRDefault="00E44206" w:rsidP="00E44206">
      <w:pPr>
        <w:ind w:right="720"/>
      </w:pPr>
    </w:p>
    <w:p w14:paraId="73FF9A3C" w14:textId="77777777"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5278D1">
        <w:t>Lynda Holloway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</w:t>
      </w:r>
      <w:r w:rsidR="005278D1">
        <w:t xml:space="preserve">, Olympia, Washington </w:t>
      </w:r>
      <w:r w:rsidR="00F6709D" w:rsidRPr="00C53257">
        <w:t>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14:paraId="2FCCE895" w14:textId="77777777" w:rsidR="00594BDA" w:rsidRPr="00C53257" w:rsidRDefault="00594BDA" w:rsidP="00ED2163"/>
    <w:p w14:paraId="63036E79" w14:textId="75EB665C" w:rsidR="009A0F52" w:rsidRPr="00C53257" w:rsidRDefault="009A0F52" w:rsidP="00ED2163">
      <w:pPr>
        <w:ind w:firstLine="720"/>
      </w:pPr>
      <w:proofErr w:type="gramStart"/>
      <w:r w:rsidRPr="00C53257">
        <w:t>DATED at Olympia, Washington, and effective</w:t>
      </w:r>
      <w:r w:rsidR="00422222">
        <w:t xml:space="preserve"> </w:t>
      </w:r>
      <w:r w:rsidR="005278D1">
        <w:t>March</w:t>
      </w:r>
      <w:r w:rsidR="00A82AE9">
        <w:t xml:space="preserve"> </w:t>
      </w:r>
      <w:r w:rsidR="00001845">
        <w:t>20</w:t>
      </w:r>
      <w:r w:rsidR="005278D1">
        <w:t>, 2014</w:t>
      </w:r>
      <w:r w:rsidR="001776FB">
        <w:t>.</w:t>
      </w:r>
      <w:proofErr w:type="gramEnd"/>
    </w:p>
    <w:p w14:paraId="15B209B3" w14:textId="77777777" w:rsidR="009A0F52" w:rsidRPr="00C53257" w:rsidRDefault="009A0F52" w:rsidP="00ED2163"/>
    <w:p w14:paraId="6A2AE786" w14:textId="77777777" w:rsidR="00B51B8E" w:rsidRPr="00C53257" w:rsidRDefault="00B51B8E" w:rsidP="00ED2163"/>
    <w:p w14:paraId="0B00F52C" w14:textId="77777777" w:rsidR="00B35A44" w:rsidRPr="00C53257" w:rsidRDefault="00B35A44" w:rsidP="00ED2163">
      <w:pPr>
        <w:ind w:left="4800"/>
      </w:pPr>
    </w:p>
    <w:p w14:paraId="3ECA4544" w14:textId="77777777"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14:paraId="70D028F4" w14:textId="77777777"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14:paraId="7CBFFE04" w14:textId="77777777"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14:paraId="6C80D683" w14:textId="77777777" w:rsidR="007A146D" w:rsidRPr="00C53257" w:rsidRDefault="00AE27C0" w:rsidP="00ED2163">
      <w:pPr>
        <w:ind w:left="4770"/>
      </w:pPr>
      <w:r w:rsidRPr="00C53257">
        <w:t>Administrative Law Division</w:t>
      </w:r>
    </w:p>
    <w:p w14:paraId="25B2518F" w14:textId="77777777" w:rsidR="00F84AA6" w:rsidRPr="00C53257" w:rsidRDefault="009A0F52" w:rsidP="00ED2163">
      <w:pPr>
        <w:ind w:left="4770"/>
      </w:pPr>
      <w:r w:rsidRPr="00C53257">
        <w:t>Washington Utilities and</w:t>
      </w:r>
    </w:p>
    <w:p w14:paraId="44EF9911" w14:textId="77777777"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9F8A1" w14:textId="77777777" w:rsidR="003C7872" w:rsidRDefault="003C7872">
      <w:r>
        <w:separator/>
      </w:r>
    </w:p>
  </w:endnote>
  <w:endnote w:type="continuationSeparator" w:id="0">
    <w:p w14:paraId="3CBC6A6E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EDD00" w14:textId="77777777" w:rsidR="009166F0" w:rsidRDefault="009166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A21AF" w14:textId="77777777" w:rsidR="00E44D69" w:rsidRDefault="00E44D69">
    <w:pPr>
      <w:pStyle w:val="Footer"/>
    </w:pPr>
  </w:p>
  <w:p w14:paraId="361B0720" w14:textId="77777777" w:rsidR="00E44D69" w:rsidRDefault="00E44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7A2A5" w14:textId="77777777" w:rsidR="009166F0" w:rsidRDefault="00916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FEAE8" w14:textId="77777777" w:rsidR="003C7872" w:rsidRDefault="003C7872">
      <w:r>
        <w:separator/>
      </w:r>
    </w:p>
  </w:footnote>
  <w:footnote w:type="continuationSeparator" w:id="0">
    <w:p w14:paraId="2A4BA886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D5F1F" w14:textId="77777777" w:rsidR="009166F0" w:rsidRDefault="009166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20369" w14:textId="77777777"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F351F5">
      <w:rPr>
        <w:b/>
        <w:sz w:val="20"/>
        <w:szCs w:val="20"/>
      </w:rPr>
      <w:t>1</w:t>
    </w:r>
    <w:r w:rsidR="005278D1">
      <w:rPr>
        <w:b/>
        <w:sz w:val="20"/>
        <w:szCs w:val="20"/>
      </w:rPr>
      <w:t>4</w:t>
    </w:r>
    <w:r w:rsidR="00B717C8">
      <w:rPr>
        <w:b/>
        <w:sz w:val="20"/>
        <w:szCs w:val="20"/>
      </w:rPr>
      <w:t>0342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560A0C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41498B6A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3D764B28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7B7B1" w14:textId="6402B240" w:rsidR="009166F0" w:rsidRPr="009166F0" w:rsidRDefault="009166F0" w:rsidP="009166F0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March 27,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1845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656BC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278D1"/>
    <w:rsid w:val="005313F3"/>
    <w:rsid w:val="00533164"/>
    <w:rsid w:val="005407C5"/>
    <w:rsid w:val="0054104C"/>
    <w:rsid w:val="00547670"/>
    <w:rsid w:val="00552394"/>
    <w:rsid w:val="005541AF"/>
    <w:rsid w:val="00556DD5"/>
    <w:rsid w:val="00560A0C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59D2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0C06"/>
    <w:rsid w:val="008B3429"/>
    <w:rsid w:val="008B7FEA"/>
    <w:rsid w:val="008C185C"/>
    <w:rsid w:val="008C1889"/>
    <w:rsid w:val="008C5C26"/>
    <w:rsid w:val="008D011C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166F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2AE9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17C8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0E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1F5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74571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C5F0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14:paraId="57045142" w14:textId="77777777"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  <w:docPart>
      <w:docPartPr>
        <w:name w:val="483A064E38C0419A8685A0C134608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B02E-5220-48D4-888E-9DB954C7B15B}"/>
      </w:docPartPr>
      <w:docPartBody>
        <w:p w14:paraId="57045143" w14:textId="77777777" w:rsidR="0017430D" w:rsidRDefault="00CE2DD6" w:rsidP="00CE2DD6">
          <w:pPr>
            <w:pStyle w:val="483A064E38C0419A8685A0C13460888C"/>
          </w:pPr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7430D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CE2DD6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4514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DD6"/>
    <w:rPr>
      <w:color w:val="808080"/>
    </w:rPr>
  </w:style>
  <w:style w:type="paragraph" w:customStyle="1" w:styleId="483A064E38C0419A8685A0C13460888C">
    <w:name w:val="483A064E38C0419A8685A0C13460888C"/>
    <w:rsid w:val="00CE2D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DD6"/>
    <w:rPr>
      <w:color w:val="808080"/>
    </w:rPr>
  </w:style>
  <w:style w:type="paragraph" w:customStyle="1" w:styleId="483A064E38C0419A8685A0C13460888C">
    <w:name w:val="483A064E38C0419A8685A0C13460888C"/>
    <w:rsid w:val="00CE2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DF3C5552CDBF4ABF277249BD4EA97D" ma:contentTypeVersion="175" ma:contentTypeDescription="" ma:contentTypeScope="" ma:versionID="375b37c59523859e7879fdbe3a1aa6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2014-03-27T07:00:00+00:00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140342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B129B-8293-4228-A02C-7D795D2B1993}"/>
</file>

<file path=customXml/itemProps2.xml><?xml version="1.0" encoding="utf-8"?>
<ds:datastoreItem xmlns:ds="http://schemas.openxmlformats.org/officeDocument/2006/customXml" ds:itemID="{9B194354-ACCB-4DD4-B6FD-061BE54095D0}"/>
</file>

<file path=customXml/itemProps3.xml><?xml version="1.0" encoding="utf-8"?>
<ds:datastoreItem xmlns:ds="http://schemas.openxmlformats.org/officeDocument/2006/customXml" ds:itemID="{B76AA770-2850-49BC-BCD9-3A5700A2DAB8}"/>
</file>

<file path=customXml/itemProps4.xml><?xml version="1.0" encoding="utf-8"?>
<ds:datastoreItem xmlns:ds="http://schemas.openxmlformats.org/officeDocument/2006/customXml" ds:itemID="{5A073876-092F-4899-9C4F-6A394C390BB7}"/>
</file>

<file path=customXml/itemProps5.xml><?xml version="1.0" encoding="utf-8"?>
<ds:datastoreItem xmlns:ds="http://schemas.openxmlformats.org/officeDocument/2006/customXml" ds:itemID="{A00200D3-D8BE-4952-BD45-8748BB885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2014-03-18T20:41:00Z</dcterms:created>
  <dcterms:modified xsi:type="dcterms:W3CDTF">2014-04-02T19:46:00Z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0x0101006E56B4D1795A2E4DB2F0B01679ED314A00A2DF3C5552CDBF4ABF277249BD4EA97D</vt:lpwstr>
  </property>
  <property fmtid="{D5CDD505-2E9C-101B-9397-08002B2CF9AE}" pid="3" name="_docset_NoMedatataSyncRequired">
    <vt:lpwstr>False</vt:lpwstr>
  </property>
</Properties>
</file>