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BBB4" w14:textId="516DCD0D" w:rsidR="000E03CA" w:rsidRPr="00AD4D61" w:rsidRDefault="000E03CA" w:rsidP="000E03CA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21B8">
        <w:rPr>
          <w:rFonts w:ascii="Times New Roman" w:hAnsi="Times New Roman"/>
        </w:rPr>
        <w:t>March</w:t>
      </w:r>
      <w:r>
        <w:rPr>
          <w:rFonts w:ascii="Times New Roman" w:hAnsi="Times New Roman"/>
        </w:rPr>
        <w:t xml:space="preserve"> 27, 201</w:t>
      </w:r>
      <w:r w:rsidR="00F021B8">
        <w:rPr>
          <w:rFonts w:ascii="Times New Roman" w:hAnsi="Times New Roman"/>
        </w:rPr>
        <w:t>4</w:t>
      </w:r>
    </w:p>
    <w:p w14:paraId="13CABBB5" w14:textId="660E98EF" w:rsidR="000E03CA" w:rsidRPr="00AD4D61" w:rsidRDefault="000E03CA" w:rsidP="003A447A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</w:t>
      </w:r>
      <w:r w:rsidR="00025F0A">
        <w:rPr>
          <w:rFonts w:ascii="Times New Roman" w:hAnsi="Times New Roman"/>
        </w:rPr>
        <w:t>s</w:t>
      </w:r>
      <w:r w:rsidRPr="00AD4D61">
        <w:rPr>
          <w:rFonts w:ascii="Times New Roman" w:hAnsi="Times New Roman"/>
        </w:rPr>
        <w:t>:</w:t>
      </w:r>
      <w:r w:rsidRPr="00AD4D61">
        <w:rPr>
          <w:rFonts w:ascii="Times New Roman" w:hAnsi="Times New Roman"/>
        </w:rPr>
        <w:tab/>
      </w:r>
      <w:r w:rsidR="009B5F3F">
        <w:rPr>
          <w:rFonts w:ascii="Times New Roman" w:hAnsi="Times New Roman"/>
        </w:rPr>
        <w:t>A</w:t>
      </w:r>
      <w:r w:rsidR="00910E28">
        <w:rPr>
          <w:rFonts w:ascii="Times New Roman" w:hAnsi="Times New Roman"/>
        </w:rPr>
        <w:t>2</w:t>
      </w:r>
      <w:r w:rsidR="00025F0A">
        <w:rPr>
          <w:rFonts w:ascii="Times New Roman" w:hAnsi="Times New Roman"/>
        </w:rPr>
        <w:t xml:space="preserve"> and A</w:t>
      </w:r>
      <w:r w:rsidR="00910E28">
        <w:rPr>
          <w:rFonts w:ascii="Times New Roman" w:hAnsi="Times New Roman"/>
        </w:rPr>
        <w:t>3</w:t>
      </w:r>
    </w:p>
    <w:p w14:paraId="13CABBB6" w14:textId="77777777" w:rsidR="000E03CA" w:rsidRPr="00AD4D61" w:rsidRDefault="000E03CA" w:rsidP="000E03CA">
      <w:pPr>
        <w:rPr>
          <w:rFonts w:ascii="Times New Roman" w:hAnsi="Times New Roman"/>
        </w:rPr>
      </w:pPr>
    </w:p>
    <w:p w14:paraId="13CABBB7" w14:textId="7C084308" w:rsidR="000E03CA" w:rsidRPr="00AD4D61" w:rsidRDefault="000E03CA" w:rsidP="000E03CA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 w:rsidR="00025F0A"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UE-1</w:t>
      </w:r>
      <w:r w:rsidR="00F021B8">
        <w:rPr>
          <w:rFonts w:ascii="Times New Roman" w:hAnsi="Times New Roman"/>
          <w:b/>
          <w:bCs/>
        </w:rPr>
        <w:t>40196 and U</w:t>
      </w:r>
      <w:r w:rsidR="00A1667F">
        <w:rPr>
          <w:rFonts w:ascii="Times New Roman" w:hAnsi="Times New Roman"/>
          <w:b/>
          <w:bCs/>
        </w:rPr>
        <w:t>G</w:t>
      </w:r>
      <w:r w:rsidR="00F021B8">
        <w:rPr>
          <w:rFonts w:ascii="Times New Roman" w:hAnsi="Times New Roman"/>
          <w:b/>
          <w:bCs/>
        </w:rPr>
        <w:t>-140197</w:t>
      </w:r>
    </w:p>
    <w:p w14:paraId="13CABBB8" w14:textId="77777777" w:rsidR="000E03CA" w:rsidRPr="00AD4D61" w:rsidRDefault="000E03CA" w:rsidP="000E03CA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>Puget Sound Energy</w:t>
      </w:r>
    </w:p>
    <w:p w14:paraId="13CABBB9" w14:textId="77777777" w:rsidR="000E03CA" w:rsidRPr="00AD4D61" w:rsidRDefault="000E03CA" w:rsidP="000E03CA">
      <w:pPr>
        <w:rPr>
          <w:rFonts w:ascii="Times New Roman" w:hAnsi="Times New Roman"/>
        </w:rPr>
      </w:pPr>
    </w:p>
    <w:p w14:paraId="13CABBBA" w14:textId="4CA009C3" w:rsidR="000E03CA" w:rsidRPr="00AD4D61" w:rsidRDefault="000E03CA" w:rsidP="000E03CA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F021B8">
        <w:rPr>
          <w:rFonts w:ascii="Times New Roman" w:hAnsi="Times New Roman"/>
        </w:rPr>
        <w:t>Joanna Huang</w:t>
      </w:r>
      <w:r>
        <w:rPr>
          <w:rFonts w:ascii="Times New Roman" w:hAnsi="Times New Roman"/>
        </w:rPr>
        <w:t>, Regulatory Analyst</w:t>
      </w:r>
      <w:r w:rsidRPr="00AD4D61">
        <w:rPr>
          <w:rFonts w:ascii="Times New Roman" w:hAnsi="Times New Roman"/>
        </w:rPr>
        <w:t xml:space="preserve"> </w:t>
      </w:r>
    </w:p>
    <w:p w14:paraId="13CABBBB" w14:textId="1E22204F" w:rsidR="000E03CA" w:rsidRDefault="00F021B8" w:rsidP="000E03CA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Kristen Russell</w:t>
      </w:r>
      <w:r w:rsidR="000E03CA">
        <w:rPr>
          <w:rFonts w:ascii="Times New Roman" w:hAnsi="Times New Roman"/>
        </w:rPr>
        <w:t>, Regulatory Analyst</w:t>
      </w:r>
    </w:p>
    <w:p w14:paraId="7B9E9323" w14:textId="35AF4DBC" w:rsidR="00F021B8" w:rsidRDefault="00F021B8" w:rsidP="00F021B8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Jing Liu, Regulatory Analyst</w:t>
      </w:r>
    </w:p>
    <w:p w14:paraId="1D203544" w14:textId="77777777" w:rsidR="000911D5" w:rsidRDefault="000911D5" w:rsidP="000E03CA">
      <w:pPr>
        <w:rPr>
          <w:rFonts w:ascii="Times New Roman" w:hAnsi="Times New Roman"/>
          <w:b/>
          <w:bCs/>
          <w:u w:val="single"/>
        </w:rPr>
      </w:pPr>
    </w:p>
    <w:p w14:paraId="0BCE1AE8" w14:textId="77777777" w:rsidR="00371666" w:rsidRDefault="00371666" w:rsidP="000E03CA">
      <w:pPr>
        <w:rPr>
          <w:rFonts w:ascii="Times New Roman" w:hAnsi="Times New Roman"/>
          <w:b/>
          <w:bCs/>
          <w:u w:val="single"/>
        </w:rPr>
      </w:pPr>
    </w:p>
    <w:p w14:paraId="13CABBBC" w14:textId="77777777" w:rsidR="000E03CA" w:rsidRPr="00AD4D61" w:rsidRDefault="000E03CA" w:rsidP="000E03CA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14:paraId="13CABBBD" w14:textId="77777777" w:rsidR="000E03CA" w:rsidRDefault="000E03CA" w:rsidP="000E03CA">
      <w:pPr>
        <w:rPr>
          <w:rFonts w:ascii="Times New Roman" w:hAnsi="Times New Roman"/>
        </w:rPr>
      </w:pPr>
    </w:p>
    <w:p w14:paraId="677B3649" w14:textId="1189DE83" w:rsidR="00F021B8" w:rsidRPr="00AD4D61" w:rsidRDefault="00AB6D1D" w:rsidP="00F021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thereby allowing the proposed tariff revisions </w:t>
      </w:r>
      <w:r w:rsidR="00D12927">
        <w:rPr>
          <w:rFonts w:ascii="Times New Roman" w:hAnsi="Times New Roman"/>
        </w:rPr>
        <w:t xml:space="preserve">in Dockets UE-140196 and UG-140197 </w:t>
      </w:r>
      <w:r>
        <w:rPr>
          <w:rFonts w:ascii="Times New Roman" w:hAnsi="Times New Roman"/>
        </w:rPr>
        <w:t>to go into effect by operation of law.</w:t>
      </w:r>
    </w:p>
    <w:p w14:paraId="13CABBBF" w14:textId="77777777" w:rsidR="000E03CA" w:rsidRDefault="000E03CA" w:rsidP="000E03CA">
      <w:pPr>
        <w:rPr>
          <w:rFonts w:ascii="Times New Roman" w:hAnsi="Times New Roman"/>
          <w:b/>
          <w:u w:val="single"/>
        </w:rPr>
      </w:pPr>
    </w:p>
    <w:p w14:paraId="13CABBC0" w14:textId="77777777" w:rsidR="000E03CA" w:rsidRPr="00AD4D61" w:rsidRDefault="000E03CA" w:rsidP="000E03C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13CABBC1" w14:textId="77777777" w:rsidR="000E03CA" w:rsidRDefault="000E03CA" w:rsidP="000E03CA">
      <w:pPr>
        <w:rPr>
          <w:rFonts w:ascii="Times New Roman" w:hAnsi="Times New Roman"/>
        </w:rPr>
      </w:pPr>
    </w:p>
    <w:p w14:paraId="7DDD339F" w14:textId="0BCBCD03" w:rsidR="00025F0A" w:rsidRDefault="000E03CA" w:rsidP="000E03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4A1467">
        <w:rPr>
          <w:rFonts w:ascii="Times New Roman" w:hAnsi="Times New Roman"/>
        </w:rPr>
        <w:t>February</w:t>
      </w:r>
      <w:r>
        <w:rPr>
          <w:rFonts w:ascii="Times New Roman" w:hAnsi="Times New Roman"/>
        </w:rPr>
        <w:t xml:space="preserve"> </w:t>
      </w:r>
      <w:r w:rsidR="004A1467">
        <w:rPr>
          <w:rFonts w:ascii="Times New Roman" w:hAnsi="Times New Roman"/>
        </w:rPr>
        <w:t>6</w:t>
      </w:r>
      <w:r>
        <w:rPr>
          <w:rFonts w:ascii="Times New Roman" w:hAnsi="Times New Roman"/>
        </w:rPr>
        <w:t>, 201</w:t>
      </w:r>
      <w:r w:rsidR="004A1467">
        <w:rPr>
          <w:rFonts w:ascii="Times New Roman" w:hAnsi="Times New Roman"/>
        </w:rPr>
        <w:t>4</w:t>
      </w:r>
      <w:r w:rsidR="007236D1">
        <w:rPr>
          <w:rFonts w:ascii="Times New Roman" w:hAnsi="Times New Roman"/>
        </w:rPr>
        <w:t>, Puget Sound Energy (PSE or</w:t>
      </w:r>
      <w:r>
        <w:rPr>
          <w:rFonts w:ascii="Times New Roman" w:hAnsi="Times New Roman"/>
        </w:rPr>
        <w:t xml:space="preserve"> company) filed </w:t>
      </w:r>
      <w:r w:rsidR="000019B8">
        <w:rPr>
          <w:rFonts w:ascii="Times New Roman" w:hAnsi="Times New Roman"/>
        </w:rPr>
        <w:t xml:space="preserve">proposed </w:t>
      </w:r>
      <w:r w:rsidR="004A1467">
        <w:rPr>
          <w:rFonts w:ascii="Times New Roman" w:hAnsi="Times New Roman"/>
        </w:rPr>
        <w:t xml:space="preserve">tariff revisions with the Washington Utilities and Transportation Commission (commission) to revise WN U-60, Tariff G for electric service and WN U-2 for natural gas service. </w:t>
      </w:r>
      <w:r w:rsidR="00EA0E40">
        <w:rPr>
          <w:rFonts w:ascii="Times New Roman" w:hAnsi="Times New Roman"/>
        </w:rPr>
        <w:t>The tariff revision</w:t>
      </w:r>
      <w:r w:rsidR="001D2C12">
        <w:rPr>
          <w:rFonts w:ascii="Times New Roman" w:hAnsi="Times New Roman"/>
        </w:rPr>
        <w:t>s</w:t>
      </w:r>
      <w:r w:rsidR="00EA0E40">
        <w:rPr>
          <w:rFonts w:ascii="Times New Roman" w:hAnsi="Times New Roman"/>
        </w:rPr>
        <w:t xml:space="preserve"> would allow PSE to pass through </w:t>
      </w:r>
      <w:r w:rsidR="00AB6D1D">
        <w:rPr>
          <w:rFonts w:ascii="Times New Roman" w:hAnsi="Times New Roman"/>
        </w:rPr>
        <w:t xml:space="preserve">municipal </w:t>
      </w:r>
      <w:r w:rsidR="00EA0E40">
        <w:rPr>
          <w:rFonts w:ascii="Times New Roman" w:hAnsi="Times New Roman"/>
        </w:rPr>
        <w:t xml:space="preserve">tax assessments and other </w:t>
      </w:r>
      <w:r w:rsidR="00DF0B2B">
        <w:rPr>
          <w:rFonts w:ascii="Times New Roman" w:hAnsi="Times New Roman"/>
        </w:rPr>
        <w:t xml:space="preserve">associated </w:t>
      </w:r>
      <w:r w:rsidR="00EA0E40">
        <w:rPr>
          <w:rFonts w:ascii="Times New Roman" w:hAnsi="Times New Roman"/>
        </w:rPr>
        <w:t>fees related to past pe</w:t>
      </w:r>
      <w:r w:rsidR="00131E01">
        <w:rPr>
          <w:rFonts w:ascii="Times New Roman" w:hAnsi="Times New Roman"/>
        </w:rPr>
        <w:t>riods to ratepayers within the C</w:t>
      </w:r>
      <w:r w:rsidR="00EA0E40">
        <w:rPr>
          <w:rFonts w:ascii="Times New Roman" w:hAnsi="Times New Roman"/>
        </w:rPr>
        <w:t xml:space="preserve">ity of </w:t>
      </w:r>
      <w:r w:rsidR="00CF36A1">
        <w:rPr>
          <w:rFonts w:ascii="Times New Roman" w:hAnsi="Times New Roman"/>
        </w:rPr>
        <w:t>Renton</w:t>
      </w:r>
      <w:r w:rsidR="00EA0E40">
        <w:rPr>
          <w:rFonts w:ascii="Times New Roman" w:hAnsi="Times New Roman"/>
        </w:rPr>
        <w:t xml:space="preserve">. </w:t>
      </w:r>
      <w:r w:rsidR="008740F3">
        <w:rPr>
          <w:rFonts w:ascii="Times New Roman" w:hAnsi="Times New Roman"/>
        </w:rPr>
        <w:t>The proposed tariff sheet</w:t>
      </w:r>
      <w:r w:rsidR="000019B8">
        <w:rPr>
          <w:rFonts w:ascii="Times New Roman" w:hAnsi="Times New Roman"/>
        </w:rPr>
        <w:t>s</w:t>
      </w:r>
      <w:r w:rsidR="008740F3">
        <w:rPr>
          <w:rFonts w:ascii="Times New Roman" w:hAnsi="Times New Roman"/>
        </w:rPr>
        <w:t xml:space="preserve"> ha</w:t>
      </w:r>
      <w:r w:rsidR="000019B8">
        <w:rPr>
          <w:rFonts w:ascii="Times New Roman" w:hAnsi="Times New Roman"/>
        </w:rPr>
        <w:t>ve</w:t>
      </w:r>
      <w:r w:rsidR="008740F3">
        <w:rPr>
          <w:rFonts w:ascii="Times New Roman" w:hAnsi="Times New Roman"/>
        </w:rPr>
        <w:t xml:space="preserve"> an effective date of </w:t>
      </w:r>
    </w:p>
    <w:p w14:paraId="13CABBC2" w14:textId="2A12606F" w:rsidR="000E03CA" w:rsidRDefault="00CF36A1" w:rsidP="000E03CA">
      <w:pPr>
        <w:rPr>
          <w:rFonts w:ascii="Times New Roman" w:hAnsi="Times New Roman"/>
        </w:rPr>
      </w:pPr>
      <w:r>
        <w:rPr>
          <w:rFonts w:ascii="Times New Roman" w:hAnsi="Times New Roman"/>
        </w:rPr>
        <w:t>April</w:t>
      </w:r>
      <w:r w:rsidR="008740F3">
        <w:rPr>
          <w:rFonts w:ascii="Times New Roman" w:hAnsi="Times New Roman"/>
        </w:rPr>
        <w:t xml:space="preserve"> 1, 201</w:t>
      </w:r>
      <w:r w:rsidR="00AF322F">
        <w:rPr>
          <w:rFonts w:ascii="Times New Roman" w:hAnsi="Times New Roman"/>
        </w:rPr>
        <w:t>4</w:t>
      </w:r>
      <w:r w:rsidR="008740F3">
        <w:rPr>
          <w:rFonts w:ascii="Times New Roman" w:hAnsi="Times New Roman"/>
        </w:rPr>
        <w:t>, and a</w:t>
      </w:r>
      <w:r w:rsidR="000019B8">
        <w:rPr>
          <w:rFonts w:ascii="Times New Roman" w:hAnsi="Times New Roman"/>
        </w:rPr>
        <w:t>n</w:t>
      </w:r>
      <w:r w:rsidR="008740F3">
        <w:rPr>
          <w:rFonts w:ascii="Times New Roman" w:hAnsi="Times New Roman"/>
        </w:rPr>
        <w:t xml:space="preserve"> end date of </w:t>
      </w:r>
      <w:r>
        <w:rPr>
          <w:rFonts w:ascii="Times New Roman" w:hAnsi="Times New Roman"/>
        </w:rPr>
        <w:t>March</w:t>
      </w:r>
      <w:r w:rsidR="008740F3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1</w:t>
      </w:r>
      <w:r w:rsidR="008740F3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5</w:t>
      </w:r>
      <w:r w:rsidR="008740F3">
        <w:rPr>
          <w:rFonts w:ascii="Times New Roman" w:hAnsi="Times New Roman"/>
        </w:rPr>
        <w:t xml:space="preserve">.  </w:t>
      </w:r>
    </w:p>
    <w:p w14:paraId="13CABBC3" w14:textId="77777777" w:rsidR="002036F1" w:rsidRDefault="002036F1" w:rsidP="002036F1">
      <w:pPr>
        <w:rPr>
          <w:rFonts w:ascii="Times New Roman" w:hAnsi="Times New Roman"/>
        </w:rPr>
      </w:pPr>
    </w:p>
    <w:p w14:paraId="13CABBC4" w14:textId="6A1E6E4C" w:rsidR="002036F1" w:rsidRDefault="002036F1" w:rsidP="002036F1">
      <w:pPr>
        <w:rPr>
          <w:rFonts w:ascii="Times New Roman" w:hAnsi="Times New Roman"/>
        </w:rPr>
      </w:pPr>
      <w:r>
        <w:rPr>
          <w:rFonts w:ascii="Times New Roman" w:hAnsi="Times New Roman"/>
        </w:rPr>
        <w:t>PSE serves approximate</w:t>
      </w:r>
      <w:r w:rsidR="00131E01">
        <w:rPr>
          <w:rFonts w:ascii="Times New Roman" w:hAnsi="Times New Roman"/>
        </w:rPr>
        <w:t xml:space="preserve">ly </w:t>
      </w:r>
      <w:r w:rsidR="000019B8">
        <w:rPr>
          <w:rFonts w:ascii="Times New Roman" w:hAnsi="Times New Roman"/>
        </w:rPr>
        <w:t>43,571</w:t>
      </w:r>
      <w:r w:rsidR="00834990">
        <w:rPr>
          <w:rFonts w:ascii="Times New Roman" w:hAnsi="Times New Roman"/>
        </w:rPr>
        <w:t xml:space="preserve"> </w:t>
      </w:r>
      <w:r w:rsidR="00131E01">
        <w:rPr>
          <w:rFonts w:ascii="Times New Roman" w:hAnsi="Times New Roman"/>
        </w:rPr>
        <w:t>el</w:t>
      </w:r>
      <w:r w:rsidR="000019B8">
        <w:rPr>
          <w:rFonts w:ascii="Times New Roman" w:hAnsi="Times New Roman"/>
        </w:rPr>
        <w:t>e</w:t>
      </w:r>
      <w:r w:rsidR="00131E01">
        <w:rPr>
          <w:rFonts w:ascii="Times New Roman" w:hAnsi="Times New Roman"/>
        </w:rPr>
        <w:t xml:space="preserve">ctric customers and </w:t>
      </w:r>
      <w:r w:rsidR="000019B8">
        <w:rPr>
          <w:rFonts w:ascii="Times New Roman" w:hAnsi="Times New Roman"/>
        </w:rPr>
        <w:t xml:space="preserve">21,924 </w:t>
      </w:r>
      <w:r w:rsidR="00131E01">
        <w:rPr>
          <w:rFonts w:ascii="Times New Roman" w:hAnsi="Times New Roman"/>
        </w:rPr>
        <w:t>natural gas customers within the C</w:t>
      </w:r>
      <w:r>
        <w:rPr>
          <w:rFonts w:ascii="Times New Roman" w:hAnsi="Times New Roman"/>
        </w:rPr>
        <w:t xml:space="preserve">ity of </w:t>
      </w:r>
      <w:r w:rsidR="00131E01">
        <w:rPr>
          <w:rFonts w:ascii="Times New Roman" w:hAnsi="Times New Roman"/>
        </w:rPr>
        <w:t>Renton</w:t>
      </w:r>
      <w:r>
        <w:rPr>
          <w:rFonts w:ascii="Times New Roman" w:hAnsi="Times New Roman"/>
        </w:rPr>
        <w:t xml:space="preserve">. </w:t>
      </w:r>
    </w:p>
    <w:p w14:paraId="13CABBC5" w14:textId="77777777" w:rsidR="002036F1" w:rsidRPr="002036F1" w:rsidRDefault="002036F1" w:rsidP="002036F1">
      <w:pPr>
        <w:rPr>
          <w:rFonts w:ascii="Times New Roman" w:hAnsi="Times New Roman"/>
        </w:rPr>
      </w:pPr>
    </w:p>
    <w:p w14:paraId="13CABBC6" w14:textId="77777777" w:rsidR="002036F1" w:rsidRDefault="002036F1" w:rsidP="002036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14:paraId="13CABBC7" w14:textId="77777777" w:rsidR="002036F1" w:rsidRDefault="002036F1" w:rsidP="002036F1">
      <w:pPr>
        <w:rPr>
          <w:rFonts w:ascii="Times New Roman" w:hAnsi="Times New Roman"/>
          <w:b/>
          <w:u w:val="single"/>
        </w:rPr>
      </w:pPr>
    </w:p>
    <w:p w14:paraId="372153E8" w14:textId="3F32FB05" w:rsidR="007A5C8C" w:rsidRDefault="000A70A9" w:rsidP="002036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F2762">
        <w:rPr>
          <w:rFonts w:ascii="Times New Roman" w:hAnsi="Times New Roman"/>
        </w:rPr>
        <w:t>February 6</w:t>
      </w:r>
      <w:r>
        <w:rPr>
          <w:rFonts w:ascii="Times New Roman" w:hAnsi="Times New Roman"/>
        </w:rPr>
        <w:t>, 201</w:t>
      </w:r>
      <w:r w:rsidR="005F276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="00690455">
        <w:rPr>
          <w:rFonts w:ascii="Times New Roman" w:hAnsi="Times New Roman"/>
        </w:rPr>
        <w:t xml:space="preserve">PSE </w:t>
      </w:r>
      <w:r w:rsidR="00EE117A">
        <w:rPr>
          <w:rFonts w:ascii="Times New Roman" w:hAnsi="Times New Roman"/>
        </w:rPr>
        <w:t>filed proposed</w:t>
      </w:r>
      <w:r w:rsidR="007236D1">
        <w:rPr>
          <w:rFonts w:ascii="Times New Roman" w:hAnsi="Times New Roman"/>
        </w:rPr>
        <w:t xml:space="preserve"> </w:t>
      </w:r>
      <w:r w:rsidR="00CF36A1">
        <w:rPr>
          <w:rFonts w:ascii="Times New Roman" w:hAnsi="Times New Roman"/>
        </w:rPr>
        <w:t>tariff revision</w:t>
      </w:r>
      <w:r w:rsidR="00131E01">
        <w:rPr>
          <w:rFonts w:ascii="Times New Roman" w:hAnsi="Times New Roman"/>
        </w:rPr>
        <w:t>s</w:t>
      </w:r>
      <w:r w:rsidR="00CF36A1">
        <w:rPr>
          <w:rFonts w:ascii="Times New Roman" w:hAnsi="Times New Roman"/>
        </w:rPr>
        <w:t xml:space="preserve"> to incorporate the effect of a recent </w:t>
      </w:r>
      <w:r w:rsidR="00C5693B">
        <w:rPr>
          <w:rFonts w:ascii="Times New Roman" w:hAnsi="Times New Roman"/>
        </w:rPr>
        <w:t xml:space="preserve">municipal </w:t>
      </w:r>
      <w:r w:rsidR="00CF36A1">
        <w:rPr>
          <w:rFonts w:ascii="Times New Roman" w:hAnsi="Times New Roman"/>
        </w:rPr>
        <w:t>tax assessment iss</w:t>
      </w:r>
      <w:r w:rsidR="00C5693B">
        <w:rPr>
          <w:rFonts w:ascii="Times New Roman" w:hAnsi="Times New Roman"/>
        </w:rPr>
        <w:t>u</w:t>
      </w:r>
      <w:r w:rsidR="007236D1">
        <w:rPr>
          <w:rFonts w:ascii="Times New Roman" w:hAnsi="Times New Roman"/>
        </w:rPr>
        <w:t xml:space="preserve">ed by the City of Renton. </w:t>
      </w:r>
      <w:r w:rsidR="00513E69">
        <w:rPr>
          <w:rFonts w:ascii="Times New Roman" w:hAnsi="Times New Roman"/>
        </w:rPr>
        <w:t>PSE propos</w:t>
      </w:r>
      <w:r w:rsidR="000019B8">
        <w:rPr>
          <w:rFonts w:ascii="Times New Roman" w:hAnsi="Times New Roman"/>
        </w:rPr>
        <w:t>es</w:t>
      </w:r>
      <w:r w:rsidR="00513E69">
        <w:rPr>
          <w:rFonts w:ascii="Times New Roman" w:hAnsi="Times New Roman"/>
        </w:rPr>
        <w:t xml:space="preserve"> to add a</w:t>
      </w:r>
      <w:r w:rsidR="000019B8">
        <w:rPr>
          <w:rFonts w:ascii="Times New Roman" w:hAnsi="Times New Roman"/>
        </w:rPr>
        <w:t>n additional tax adjustment</w:t>
      </w:r>
      <w:r w:rsidR="00513E69">
        <w:rPr>
          <w:rFonts w:ascii="Times New Roman" w:hAnsi="Times New Roman"/>
        </w:rPr>
        <w:t xml:space="preserve"> </w:t>
      </w:r>
      <w:r w:rsidR="000019B8">
        <w:rPr>
          <w:rFonts w:ascii="Times New Roman" w:hAnsi="Times New Roman"/>
        </w:rPr>
        <w:t xml:space="preserve">rate </w:t>
      </w:r>
      <w:r w:rsidR="00513E69">
        <w:rPr>
          <w:rFonts w:ascii="Times New Roman" w:hAnsi="Times New Roman"/>
        </w:rPr>
        <w:t>to Electric Tariff Schedule 81</w:t>
      </w:r>
      <w:r w:rsidR="00690455">
        <w:rPr>
          <w:rFonts w:ascii="Times New Roman" w:hAnsi="Times New Roman"/>
        </w:rPr>
        <w:t>a</w:t>
      </w:r>
      <w:r w:rsidR="00513E69">
        <w:rPr>
          <w:rFonts w:ascii="Times New Roman" w:hAnsi="Times New Roman"/>
        </w:rPr>
        <w:t xml:space="preserve">nd </w:t>
      </w:r>
      <w:r w:rsidR="006D2523">
        <w:rPr>
          <w:rFonts w:ascii="Times New Roman" w:hAnsi="Times New Roman"/>
        </w:rPr>
        <w:t xml:space="preserve">Natural </w:t>
      </w:r>
      <w:r w:rsidR="00EE117A">
        <w:rPr>
          <w:rFonts w:ascii="Times New Roman" w:hAnsi="Times New Roman"/>
        </w:rPr>
        <w:t>Gas Tariff</w:t>
      </w:r>
      <w:r w:rsidR="006D2523">
        <w:rPr>
          <w:rFonts w:ascii="Times New Roman" w:hAnsi="Times New Roman"/>
        </w:rPr>
        <w:t xml:space="preserve"> Schedule 1 to recover the tax assessments and other associate</w:t>
      </w:r>
      <w:r w:rsidR="00AF322F">
        <w:rPr>
          <w:rFonts w:ascii="Times New Roman" w:hAnsi="Times New Roman"/>
        </w:rPr>
        <w:t xml:space="preserve">d fees related to past periods </w:t>
      </w:r>
      <w:r w:rsidR="00131E01">
        <w:rPr>
          <w:rFonts w:ascii="Times New Roman" w:hAnsi="Times New Roman"/>
        </w:rPr>
        <w:t>imposed by</w:t>
      </w:r>
      <w:r w:rsidR="006D2523">
        <w:rPr>
          <w:rFonts w:ascii="Times New Roman" w:hAnsi="Times New Roman"/>
        </w:rPr>
        <w:t xml:space="preserve"> </w:t>
      </w:r>
      <w:r w:rsidR="00DC5524">
        <w:rPr>
          <w:rFonts w:ascii="Times New Roman" w:hAnsi="Times New Roman"/>
        </w:rPr>
        <w:t>the City of</w:t>
      </w:r>
      <w:r w:rsidR="00A643C2">
        <w:rPr>
          <w:rFonts w:ascii="Times New Roman" w:hAnsi="Times New Roman"/>
        </w:rPr>
        <w:t xml:space="preserve"> Renton</w:t>
      </w:r>
      <w:r w:rsidR="006D2523">
        <w:rPr>
          <w:rFonts w:ascii="Times New Roman" w:hAnsi="Times New Roman"/>
        </w:rPr>
        <w:t>.</w:t>
      </w:r>
      <w:r w:rsidR="00191652">
        <w:rPr>
          <w:rFonts w:ascii="Times New Roman" w:hAnsi="Times New Roman"/>
        </w:rPr>
        <w:t xml:space="preserve"> </w:t>
      </w:r>
      <w:r w:rsidR="00A473D1">
        <w:rPr>
          <w:rFonts w:ascii="Times New Roman" w:hAnsi="Times New Roman"/>
        </w:rPr>
        <w:t xml:space="preserve">A </w:t>
      </w:r>
      <w:r w:rsidR="00D12927">
        <w:rPr>
          <w:rFonts w:ascii="Times New Roman" w:hAnsi="Times New Roman"/>
        </w:rPr>
        <w:t>third-</w:t>
      </w:r>
      <w:r w:rsidR="00A473D1">
        <w:rPr>
          <w:rFonts w:ascii="Times New Roman" w:hAnsi="Times New Roman"/>
        </w:rPr>
        <w:t xml:space="preserve">party </w:t>
      </w:r>
      <w:r w:rsidR="005F2762">
        <w:rPr>
          <w:rFonts w:ascii="Times New Roman" w:hAnsi="Times New Roman"/>
        </w:rPr>
        <w:t>audit</w:t>
      </w:r>
      <w:r w:rsidR="00A473D1">
        <w:rPr>
          <w:rFonts w:ascii="Times New Roman" w:hAnsi="Times New Roman"/>
        </w:rPr>
        <w:t>or</w:t>
      </w:r>
      <w:r w:rsidR="005F2762">
        <w:rPr>
          <w:rFonts w:ascii="Times New Roman" w:hAnsi="Times New Roman"/>
        </w:rPr>
        <w:t xml:space="preserve"> </w:t>
      </w:r>
      <w:r w:rsidR="00A473D1">
        <w:rPr>
          <w:rFonts w:ascii="Times New Roman" w:hAnsi="Times New Roman"/>
        </w:rPr>
        <w:t xml:space="preserve">determined </w:t>
      </w:r>
      <w:r w:rsidR="005F2762">
        <w:rPr>
          <w:rFonts w:ascii="Times New Roman" w:hAnsi="Times New Roman"/>
        </w:rPr>
        <w:t xml:space="preserve">that </w:t>
      </w:r>
      <w:r w:rsidR="00E50694">
        <w:rPr>
          <w:rFonts w:ascii="Times New Roman" w:hAnsi="Times New Roman"/>
        </w:rPr>
        <w:t xml:space="preserve">PSE had </w:t>
      </w:r>
      <w:r w:rsidR="005F2762">
        <w:rPr>
          <w:rFonts w:ascii="Times New Roman" w:hAnsi="Times New Roman"/>
        </w:rPr>
        <w:t>un</w:t>
      </w:r>
      <w:r w:rsidR="00523416">
        <w:rPr>
          <w:rFonts w:ascii="Times New Roman" w:hAnsi="Times New Roman"/>
        </w:rPr>
        <w:t>der</w:t>
      </w:r>
      <w:r w:rsidR="005F2762">
        <w:rPr>
          <w:rFonts w:ascii="Times New Roman" w:hAnsi="Times New Roman"/>
        </w:rPr>
        <w:t xml:space="preserve">reported gross </w:t>
      </w:r>
      <w:r w:rsidR="00A473D1">
        <w:rPr>
          <w:rFonts w:ascii="Times New Roman" w:hAnsi="Times New Roman"/>
        </w:rPr>
        <w:t xml:space="preserve">receipts by not including the Renton municipal tax on retail sales, or other </w:t>
      </w:r>
      <w:r w:rsidR="005F2762">
        <w:rPr>
          <w:rFonts w:ascii="Times New Roman" w:hAnsi="Times New Roman"/>
        </w:rPr>
        <w:t>various miscellaneous service activities such as reconnection</w:t>
      </w:r>
      <w:r w:rsidR="00A473D1">
        <w:rPr>
          <w:rFonts w:ascii="Times New Roman" w:hAnsi="Times New Roman"/>
        </w:rPr>
        <w:t xml:space="preserve"> charges</w:t>
      </w:r>
      <w:r w:rsidR="005F2762">
        <w:rPr>
          <w:rFonts w:ascii="Times New Roman" w:hAnsi="Times New Roman"/>
        </w:rPr>
        <w:t>, late payment</w:t>
      </w:r>
      <w:r w:rsidR="00A473D1">
        <w:rPr>
          <w:rFonts w:ascii="Times New Roman" w:hAnsi="Times New Roman"/>
        </w:rPr>
        <w:t xml:space="preserve"> fees</w:t>
      </w:r>
      <w:r w:rsidR="005F2762">
        <w:rPr>
          <w:rFonts w:ascii="Times New Roman" w:hAnsi="Times New Roman"/>
        </w:rPr>
        <w:t xml:space="preserve"> and returned checks</w:t>
      </w:r>
      <w:r w:rsidR="00A473D1">
        <w:rPr>
          <w:rFonts w:ascii="Times New Roman" w:hAnsi="Times New Roman"/>
        </w:rPr>
        <w:t xml:space="preserve"> fees</w:t>
      </w:r>
      <w:r w:rsidR="005F2762">
        <w:rPr>
          <w:rFonts w:ascii="Times New Roman" w:hAnsi="Times New Roman"/>
        </w:rPr>
        <w:t>.</w:t>
      </w:r>
    </w:p>
    <w:p w14:paraId="6D24A23C" w14:textId="77777777" w:rsidR="007A5C8C" w:rsidRDefault="007A5C8C" w:rsidP="002036F1">
      <w:pPr>
        <w:rPr>
          <w:rFonts w:ascii="Times New Roman" w:hAnsi="Times New Roman"/>
        </w:rPr>
      </w:pPr>
    </w:p>
    <w:p w14:paraId="62EBB4F1" w14:textId="74F889AD" w:rsidR="007236D1" w:rsidRDefault="00191652" w:rsidP="002036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 </w:t>
      </w:r>
      <w:r w:rsidR="0030716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breakdown of the </w:t>
      </w:r>
      <w:r w:rsidR="005B0A6D">
        <w:rPr>
          <w:rFonts w:ascii="Times New Roman" w:hAnsi="Times New Roman"/>
        </w:rPr>
        <w:t xml:space="preserve">underreported </w:t>
      </w:r>
      <w:r>
        <w:rPr>
          <w:rFonts w:ascii="Times New Roman" w:hAnsi="Times New Roman"/>
        </w:rPr>
        <w:t>tax assessment</w:t>
      </w:r>
      <w:r w:rsidR="00E50694">
        <w:rPr>
          <w:rFonts w:ascii="Times New Roman" w:hAnsi="Times New Roman"/>
        </w:rPr>
        <w:t>,</w:t>
      </w:r>
      <w:r w:rsidR="00886080">
        <w:rPr>
          <w:rFonts w:ascii="Times New Roman" w:hAnsi="Times New Roman"/>
        </w:rPr>
        <w:t xml:space="preserve"> the</w:t>
      </w:r>
      <w:r w:rsidR="00E50694">
        <w:rPr>
          <w:rFonts w:ascii="Times New Roman" w:hAnsi="Times New Roman"/>
        </w:rPr>
        <w:t xml:space="preserve"> </w:t>
      </w:r>
      <w:r w:rsidR="00886080">
        <w:rPr>
          <w:rFonts w:ascii="Times New Roman" w:hAnsi="Times New Roman"/>
        </w:rPr>
        <w:t>interest and penalty</w:t>
      </w:r>
      <w:r w:rsidR="00EE117A">
        <w:rPr>
          <w:rFonts w:ascii="Times New Roman" w:hAnsi="Times New Roman"/>
        </w:rPr>
        <w:t xml:space="preserve"> </w:t>
      </w:r>
      <w:r w:rsidR="00E50694">
        <w:rPr>
          <w:rFonts w:ascii="Times New Roman" w:hAnsi="Times New Roman"/>
        </w:rPr>
        <w:t xml:space="preserve">and the additional tax adjustment rate PSE is proposing </w:t>
      </w:r>
      <w:r w:rsidR="004E6E50">
        <w:rPr>
          <w:rFonts w:ascii="Times New Roman" w:hAnsi="Times New Roman"/>
        </w:rPr>
        <w:t xml:space="preserve">to </w:t>
      </w:r>
      <w:r w:rsidR="005B0A6D">
        <w:rPr>
          <w:rFonts w:ascii="Times New Roman" w:hAnsi="Times New Roman"/>
        </w:rPr>
        <w:t>charge</w:t>
      </w:r>
      <w:r w:rsidR="004E6E50">
        <w:rPr>
          <w:rFonts w:ascii="Times New Roman" w:hAnsi="Times New Roman"/>
        </w:rPr>
        <w:t xml:space="preserve"> to </w:t>
      </w:r>
      <w:r w:rsidR="005B0A6D">
        <w:rPr>
          <w:rFonts w:ascii="Times New Roman" w:hAnsi="Times New Roman"/>
        </w:rPr>
        <w:t xml:space="preserve">customers </w:t>
      </w:r>
      <w:r w:rsidR="00834990">
        <w:rPr>
          <w:rFonts w:ascii="Times New Roman" w:hAnsi="Times New Roman"/>
        </w:rPr>
        <w:t>with</w:t>
      </w:r>
      <w:r w:rsidR="00E50694">
        <w:rPr>
          <w:rFonts w:ascii="Times New Roman" w:hAnsi="Times New Roman"/>
        </w:rPr>
        <w:t>in the City of Renton</w:t>
      </w:r>
      <w:r>
        <w:rPr>
          <w:rFonts w:ascii="Times New Roman" w:hAnsi="Times New Roman"/>
        </w:rPr>
        <w:t>.</w:t>
      </w:r>
    </w:p>
    <w:p w14:paraId="317CBE50" w14:textId="77777777" w:rsidR="00944C1D" w:rsidRDefault="00944C1D" w:rsidP="002036F1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1440"/>
        <w:gridCol w:w="1530"/>
      </w:tblGrid>
      <w:tr w:rsidR="004E6E50" w14:paraId="4AF6B3F6" w14:textId="77777777" w:rsidTr="007236D1">
        <w:trPr>
          <w:cantSplit/>
          <w:trHeight w:val="467"/>
        </w:trPr>
        <w:tc>
          <w:tcPr>
            <w:tcW w:w="519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BCF2975" w14:textId="3C62424A" w:rsidR="004E6E50" w:rsidRPr="007236D1" w:rsidRDefault="004E6E50" w:rsidP="007236D1">
            <w:pPr>
              <w:rPr>
                <w:rFonts w:ascii="Times New Roman" w:hAnsi="Times New Roman"/>
                <w:b/>
              </w:rPr>
            </w:pPr>
            <w:r w:rsidRPr="007236D1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57659DB" w14:textId="2095ECF9" w:rsidR="004E6E50" w:rsidRPr="007236D1" w:rsidRDefault="004E6E50" w:rsidP="007236D1">
            <w:pPr>
              <w:jc w:val="center"/>
              <w:rPr>
                <w:rFonts w:ascii="Times New Roman" w:hAnsi="Times New Roman"/>
                <w:b/>
              </w:rPr>
            </w:pPr>
            <w:r w:rsidRPr="007236D1">
              <w:rPr>
                <w:rFonts w:ascii="Times New Roman" w:hAnsi="Times New Roman"/>
                <w:b/>
              </w:rPr>
              <w:t>Electric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861CCB3" w14:textId="32B0C900" w:rsidR="004E6E50" w:rsidRPr="007236D1" w:rsidRDefault="004E6E50" w:rsidP="007236D1">
            <w:pPr>
              <w:jc w:val="center"/>
              <w:rPr>
                <w:rFonts w:ascii="Times New Roman" w:hAnsi="Times New Roman"/>
                <w:b/>
              </w:rPr>
            </w:pPr>
            <w:r w:rsidRPr="007236D1">
              <w:rPr>
                <w:rFonts w:ascii="Times New Roman" w:hAnsi="Times New Roman"/>
                <w:b/>
              </w:rPr>
              <w:t>Natural Gas</w:t>
            </w:r>
          </w:p>
        </w:tc>
      </w:tr>
      <w:tr w:rsidR="004E6E50" w14:paraId="4014E5FE" w14:textId="77777777" w:rsidTr="007236D1">
        <w:trPr>
          <w:cantSplit/>
          <w:trHeight w:val="20"/>
        </w:trPr>
        <w:tc>
          <w:tcPr>
            <w:tcW w:w="5196" w:type="dxa"/>
            <w:tcBorders>
              <w:top w:val="double" w:sz="4" w:space="0" w:color="auto"/>
            </w:tcBorders>
            <w:vAlign w:val="bottom"/>
          </w:tcPr>
          <w:p w14:paraId="7562C266" w14:textId="431BD5D9" w:rsidR="004E6E50" w:rsidRDefault="004E6E50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assessed amount by type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bottom"/>
          </w:tcPr>
          <w:p w14:paraId="68C8C1AE" w14:textId="1DE7BF4C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$192,853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bottom"/>
          </w:tcPr>
          <w:p w14:paraId="78BB2F5C" w14:textId="5EA29BCD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$15,133</w:t>
            </w:r>
          </w:p>
        </w:tc>
      </w:tr>
      <w:tr w:rsidR="004E6E50" w14:paraId="76A9F672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7CC807A1" w14:textId="1F3FF578" w:rsidR="004E6E50" w:rsidRDefault="004E6E50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Interest &amp; Penalty</w:t>
            </w:r>
          </w:p>
        </w:tc>
        <w:tc>
          <w:tcPr>
            <w:tcW w:w="1440" w:type="dxa"/>
            <w:vAlign w:val="bottom"/>
          </w:tcPr>
          <w:p w14:paraId="20D99AD5" w14:textId="3CCA99E6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167,217 </w:t>
            </w:r>
          </w:p>
        </w:tc>
        <w:tc>
          <w:tcPr>
            <w:tcW w:w="1530" w:type="dxa"/>
            <w:vAlign w:val="bottom"/>
          </w:tcPr>
          <w:p w14:paraId="5715B412" w14:textId="067CB4A1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13,123</w:t>
            </w:r>
          </w:p>
        </w:tc>
      </w:tr>
      <w:tr w:rsidR="004E6E50" w14:paraId="3C96038A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7160606F" w14:textId="792A2B4C" w:rsidR="004E6E50" w:rsidRDefault="004E6E50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Total Assessment</w:t>
            </w:r>
          </w:p>
        </w:tc>
        <w:tc>
          <w:tcPr>
            <w:tcW w:w="1440" w:type="dxa"/>
            <w:vAlign w:val="bottom"/>
          </w:tcPr>
          <w:p w14:paraId="19606741" w14:textId="36F03907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360,071</w:t>
            </w:r>
          </w:p>
        </w:tc>
        <w:tc>
          <w:tcPr>
            <w:tcW w:w="1530" w:type="dxa"/>
            <w:vAlign w:val="bottom"/>
          </w:tcPr>
          <w:p w14:paraId="2265F5DE" w14:textId="38C89CE2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28,255</w:t>
            </w:r>
          </w:p>
        </w:tc>
      </w:tr>
      <w:tr w:rsidR="004E6E50" w14:paraId="3B558230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6212A052" w14:textId="5A4DAA2F" w:rsidR="004E6E50" w:rsidRDefault="00AB6D1D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Grossed-up </w:t>
            </w:r>
            <w:r w:rsidR="004E6E50">
              <w:rPr>
                <w:rFonts w:ascii="Times New Roman" w:hAnsi="Times New Roman"/>
              </w:rPr>
              <w:t>Amount to Pass through</w:t>
            </w:r>
          </w:p>
        </w:tc>
        <w:tc>
          <w:tcPr>
            <w:tcW w:w="1440" w:type="dxa"/>
            <w:vAlign w:val="bottom"/>
          </w:tcPr>
          <w:p w14:paraId="7F9D45CC" w14:textId="7EFA13BD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398,682</w:t>
            </w:r>
          </w:p>
        </w:tc>
        <w:tc>
          <w:tcPr>
            <w:tcW w:w="1530" w:type="dxa"/>
            <w:vAlign w:val="bottom"/>
          </w:tcPr>
          <w:p w14:paraId="4F8BA569" w14:textId="56E73D4D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31,279</w:t>
            </w:r>
          </w:p>
        </w:tc>
      </w:tr>
      <w:tr w:rsidR="004E6E50" w14:paraId="4FC10ED1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5A704B7F" w14:textId="66E781FF" w:rsidR="004E6E50" w:rsidRDefault="00E50694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Additional Tax Adjustment Rate</w:t>
            </w:r>
            <w:r w:rsidR="00C853BE">
              <w:rPr>
                <w:rFonts w:ascii="Times New Roman" w:hAnsi="Times New Roman"/>
              </w:rPr>
              <w:t xml:space="preserve"> proposed by PSE</w:t>
            </w:r>
          </w:p>
        </w:tc>
        <w:tc>
          <w:tcPr>
            <w:tcW w:w="1440" w:type="dxa"/>
            <w:vAlign w:val="bottom"/>
          </w:tcPr>
          <w:p w14:paraId="210D1BBC" w14:textId="0027925C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0.46 %</w:t>
            </w:r>
          </w:p>
        </w:tc>
        <w:tc>
          <w:tcPr>
            <w:tcW w:w="1530" w:type="dxa"/>
            <w:vAlign w:val="bottom"/>
          </w:tcPr>
          <w:p w14:paraId="0EEDB18C" w14:textId="63B256BC" w:rsidR="00C853BE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0.12 %</w:t>
            </w:r>
          </w:p>
        </w:tc>
      </w:tr>
    </w:tbl>
    <w:p w14:paraId="0B789603" w14:textId="77777777" w:rsidR="004E6E50" w:rsidRDefault="004E6E50" w:rsidP="002036F1">
      <w:pPr>
        <w:rPr>
          <w:rFonts w:ascii="Times New Roman" w:hAnsi="Times New Roman"/>
        </w:rPr>
      </w:pPr>
    </w:p>
    <w:p w14:paraId="13CABBC8" w14:textId="7BBE09C1" w:rsidR="00F0651A" w:rsidRPr="00944C1D" w:rsidRDefault="00F0651A" w:rsidP="00944C1D">
      <w:pPr>
        <w:rPr>
          <w:rFonts w:ascii="Times New Roman" w:hAnsi="Times New Roman"/>
        </w:rPr>
      </w:pPr>
      <w:r w:rsidRPr="00944C1D">
        <w:rPr>
          <w:rFonts w:ascii="Times New Roman" w:hAnsi="Times New Roman"/>
        </w:rPr>
        <w:t xml:space="preserve">The </w:t>
      </w:r>
      <w:r w:rsidR="00A81B30">
        <w:rPr>
          <w:rFonts w:ascii="Times New Roman" w:hAnsi="Times New Roman"/>
        </w:rPr>
        <w:t xml:space="preserve">audit period for </w:t>
      </w:r>
      <w:r w:rsidRPr="00944C1D">
        <w:rPr>
          <w:rFonts w:ascii="Times New Roman" w:hAnsi="Times New Roman"/>
        </w:rPr>
        <w:t xml:space="preserve">utility tax amounts </w:t>
      </w:r>
      <w:r w:rsidR="00375133">
        <w:rPr>
          <w:rFonts w:ascii="Times New Roman" w:hAnsi="Times New Roman"/>
        </w:rPr>
        <w:t xml:space="preserve">was </w:t>
      </w:r>
      <w:r w:rsidR="00EE117A">
        <w:rPr>
          <w:rFonts w:ascii="Times New Roman" w:hAnsi="Times New Roman"/>
        </w:rPr>
        <w:t>January</w:t>
      </w:r>
      <w:r w:rsidR="00A81B30">
        <w:rPr>
          <w:rFonts w:ascii="Times New Roman" w:hAnsi="Times New Roman"/>
        </w:rPr>
        <w:t xml:space="preserve"> 1</w:t>
      </w:r>
      <w:r w:rsidRPr="00944C1D">
        <w:rPr>
          <w:rFonts w:ascii="Times New Roman" w:hAnsi="Times New Roman"/>
        </w:rPr>
        <w:t>, 200</w:t>
      </w:r>
      <w:r w:rsidR="00A81B30">
        <w:rPr>
          <w:rFonts w:ascii="Times New Roman" w:hAnsi="Times New Roman"/>
        </w:rPr>
        <w:t>6</w:t>
      </w:r>
      <w:r w:rsidRPr="00944C1D">
        <w:rPr>
          <w:rFonts w:ascii="Times New Roman" w:hAnsi="Times New Roman"/>
        </w:rPr>
        <w:t xml:space="preserve">, to </w:t>
      </w:r>
      <w:r w:rsidR="00A81B30">
        <w:rPr>
          <w:rFonts w:ascii="Times New Roman" w:hAnsi="Times New Roman"/>
        </w:rPr>
        <w:t>December 31</w:t>
      </w:r>
      <w:r w:rsidRPr="00944C1D">
        <w:rPr>
          <w:rFonts w:ascii="Times New Roman" w:hAnsi="Times New Roman"/>
        </w:rPr>
        <w:t>, 2012.</w:t>
      </w:r>
    </w:p>
    <w:p w14:paraId="13CABBC9" w14:textId="34672146" w:rsidR="00F0651A" w:rsidRDefault="00F0651A" w:rsidP="002036F1">
      <w:pPr>
        <w:rPr>
          <w:rFonts w:ascii="Times New Roman" w:hAnsi="Times New Roman"/>
        </w:rPr>
      </w:pPr>
    </w:p>
    <w:p w14:paraId="50663A46" w14:textId="7A4DF045" w:rsidR="00A1331D" w:rsidRPr="00371666" w:rsidRDefault="00A1331D" w:rsidP="00A1331D">
      <w:pPr>
        <w:rPr>
          <w:rFonts w:ascii="Times New Roman" w:hAnsi="Times New Roman"/>
        </w:rPr>
      </w:pPr>
      <w:r w:rsidRPr="00364E3C">
        <w:rPr>
          <w:rFonts w:ascii="Times New Roman" w:hAnsi="Times New Roman"/>
        </w:rPr>
        <w:t>The key discussion</w:t>
      </w:r>
      <w:r w:rsidR="007A5C8C" w:rsidRPr="00364E3C">
        <w:rPr>
          <w:rFonts w:ascii="Times New Roman" w:hAnsi="Times New Roman"/>
        </w:rPr>
        <w:t xml:space="preserve"> between </w:t>
      </w:r>
      <w:r w:rsidR="007236D1" w:rsidRPr="00364E3C">
        <w:rPr>
          <w:rFonts w:ascii="Times New Roman" w:hAnsi="Times New Roman"/>
        </w:rPr>
        <w:t>s</w:t>
      </w:r>
      <w:r w:rsidR="007A5C8C" w:rsidRPr="00364E3C">
        <w:rPr>
          <w:rFonts w:ascii="Times New Roman" w:hAnsi="Times New Roman"/>
        </w:rPr>
        <w:t xml:space="preserve">taff and PSE </w:t>
      </w:r>
      <w:r w:rsidR="00D12927">
        <w:rPr>
          <w:rFonts w:ascii="Times New Roman" w:hAnsi="Times New Roman"/>
        </w:rPr>
        <w:t>was</w:t>
      </w:r>
      <w:r w:rsidR="00D12927" w:rsidRPr="00364E3C">
        <w:rPr>
          <w:rFonts w:ascii="Times New Roman" w:hAnsi="Times New Roman"/>
        </w:rPr>
        <w:t xml:space="preserve"> </w:t>
      </w:r>
      <w:r w:rsidR="007A5C8C" w:rsidRPr="00364E3C">
        <w:rPr>
          <w:rFonts w:ascii="Times New Roman" w:hAnsi="Times New Roman"/>
        </w:rPr>
        <w:t xml:space="preserve">the inclusion of $51,997 </w:t>
      </w:r>
      <w:r w:rsidR="005B0A6D">
        <w:rPr>
          <w:rFonts w:ascii="Times New Roman" w:hAnsi="Times New Roman"/>
        </w:rPr>
        <w:t xml:space="preserve">as a penalty </w:t>
      </w:r>
      <w:r w:rsidR="007A5C8C" w:rsidRPr="00364E3C">
        <w:rPr>
          <w:rFonts w:ascii="Times New Roman" w:hAnsi="Times New Roman"/>
        </w:rPr>
        <w:t>in the</w:t>
      </w:r>
      <w:r w:rsidR="00AF322F" w:rsidRPr="00364E3C">
        <w:rPr>
          <w:rFonts w:ascii="Times New Roman" w:hAnsi="Times New Roman"/>
        </w:rPr>
        <w:t xml:space="preserve"> “Interest &amp; Penalty’ category above. </w:t>
      </w:r>
      <w:r w:rsidR="009C25C9" w:rsidRPr="00364E3C">
        <w:rPr>
          <w:rFonts w:ascii="Times New Roman" w:hAnsi="Times New Roman"/>
        </w:rPr>
        <w:t xml:space="preserve">PSE’s tariff clearly indicates that in no event shall the </w:t>
      </w:r>
      <w:r w:rsidR="007236D1" w:rsidRPr="00364E3C">
        <w:rPr>
          <w:rFonts w:ascii="Times New Roman" w:hAnsi="Times New Roman"/>
        </w:rPr>
        <w:t>c</w:t>
      </w:r>
      <w:r w:rsidR="009C25C9" w:rsidRPr="00364E3C">
        <w:rPr>
          <w:rFonts w:ascii="Times New Roman" w:hAnsi="Times New Roman"/>
        </w:rPr>
        <w:t xml:space="preserve">ompany be entitled to recover any amounts assessed by the taxing jurisdiction that </w:t>
      </w:r>
      <w:r w:rsidR="00396C1C" w:rsidRPr="00364E3C">
        <w:rPr>
          <w:rFonts w:ascii="Times New Roman" w:hAnsi="Times New Roman"/>
        </w:rPr>
        <w:t>a</w:t>
      </w:r>
      <w:r w:rsidR="007236D1" w:rsidRPr="00364E3C">
        <w:rPr>
          <w:rFonts w:ascii="Times New Roman" w:hAnsi="Times New Roman"/>
        </w:rPr>
        <w:t xml:space="preserve">re </w:t>
      </w:r>
      <w:r w:rsidR="007236D1" w:rsidRPr="005B0A6D">
        <w:rPr>
          <w:rFonts w:ascii="Times New Roman" w:hAnsi="Times New Roman"/>
          <w:u w:val="single"/>
        </w:rPr>
        <w:t>punitive</w:t>
      </w:r>
      <w:r w:rsidR="007236D1" w:rsidRPr="00364E3C">
        <w:rPr>
          <w:rFonts w:ascii="Times New Roman" w:hAnsi="Times New Roman"/>
        </w:rPr>
        <w:t xml:space="preserve"> in nature.</w:t>
      </w:r>
      <w:r w:rsidRPr="00364E3C">
        <w:rPr>
          <w:rFonts w:ascii="Times New Roman" w:hAnsi="Times New Roman"/>
        </w:rPr>
        <w:t xml:space="preserve"> </w:t>
      </w:r>
      <w:r w:rsidR="00A473D1">
        <w:rPr>
          <w:rFonts w:ascii="Times New Roman" w:hAnsi="Times New Roman"/>
        </w:rPr>
        <w:t xml:space="preserve">However, </w:t>
      </w:r>
      <w:r w:rsidR="00DA11FE" w:rsidRPr="00371666">
        <w:rPr>
          <w:rFonts w:ascii="Times New Roman" w:hAnsi="Times New Roman"/>
        </w:rPr>
        <w:t>“</w:t>
      </w:r>
      <w:r w:rsidR="00A473D1">
        <w:rPr>
          <w:rFonts w:ascii="Times New Roman" w:hAnsi="Times New Roman"/>
        </w:rPr>
        <w:t>p</w:t>
      </w:r>
      <w:r w:rsidR="00A473D1" w:rsidRPr="00371666">
        <w:rPr>
          <w:rFonts w:ascii="Times New Roman" w:hAnsi="Times New Roman"/>
        </w:rPr>
        <w:t>enalty</w:t>
      </w:r>
      <w:r w:rsidRPr="00371666">
        <w:rPr>
          <w:rFonts w:ascii="Times New Roman" w:hAnsi="Times New Roman"/>
        </w:rPr>
        <w:t xml:space="preserve">” </w:t>
      </w:r>
      <w:r w:rsidR="00DA11FE" w:rsidRPr="00371666">
        <w:rPr>
          <w:rFonts w:ascii="Times New Roman" w:hAnsi="Times New Roman"/>
        </w:rPr>
        <w:t xml:space="preserve">and </w:t>
      </w:r>
      <w:r w:rsidRPr="00371666">
        <w:rPr>
          <w:rFonts w:ascii="Times New Roman" w:hAnsi="Times New Roman"/>
        </w:rPr>
        <w:t xml:space="preserve">“punitive” </w:t>
      </w:r>
      <w:r w:rsidR="00DA11FE" w:rsidRPr="00371666">
        <w:rPr>
          <w:rFonts w:ascii="Times New Roman" w:hAnsi="Times New Roman"/>
        </w:rPr>
        <w:t xml:space="preserve">are not synonymous </w:t>
      </w:r>
      <w:r w:rsidRPr="00371666">
        <w:rPr>
          <w:rFonts w:ascii="Times New Roman" w:hAnsi="Times New Roman"/>
        </w:rPr>
        <w:t xml:space="preserve">in all circumstances. </w:t>
      </w:r>
      <w:r w:rsidR="00DA11FE" w:rsidRPr="00371666">
        <w:rPr>
          <w:rFonts w:ascii="Times New Roman" w:hAnsi="Times New Roman"/>
        </w:rPr>
        <w:t>Staff believes</w:t>
      </w:r>
      <w:r w:rsidRPr="00371666">
        <w:rPr>
          <w:rFonts w:ascii="Times New Roman" w:hAnsi="Times New Roman"/>
        </w:rPr>
        <w:t xml:space="preserve"> if the city had no discretion but to assess the penalty, then the penalty is not “punitive</w:t>
      </w:r>
      <w:r w:rsidR="00371666">
        <w:rPr>
          <w:rFonts w:ascii="Times New Roman" w:hAnsi="Times New Roman"/>
        </w:rPr>
        <w:t>.”</w:t>
      </w:r>
      <w:r w:rsidR="003202B2">
        <w:rPr>
          <w:rFonts w:ascii="Times New Roman" w:hAnsi="Times New Roman"/>
        </w:rPr>
        <w:t> </w:t>
      </w:r>
      <w:r w:rsidRPr="00371666">
        <w:rPr>
          <w:rFonts w:ascii="Times New Roman" w:hAnsi="Times New Roman"/>
        </w:rPr>
        <w:t>B</w:t>
      </w:r>
      <w:r w:rsidR="00364E3C" w:rsidRPr="00371666">
        <w:rPr>
          <w:rFonts w:ascii="Times New Roman" w:hAnsi="Times New Roman"/>
        </w:rPr>
        <w:t xml:space="preserve">y contrast, </w:t>
      </w:r>
      <w:r w:rsidRPr="00371666">
        <w:rPr>
          <w:rFonts w:ascii="Times New Roman" w:hAnsi="Times New Roman"/>
        </w:rPr>
        <w:t>if the city did have discretion not to charge the penalty and chose to charge it anyway, then the penalty is “punitive</w:t>
      </w:r>
      <w:r w:rsidR="00371666">
        <w:rPr>
          <w:rFonts w:ascii="Times New Roman" w:hAnsi="Times New Roman"/>
        </w:rPr>
        <w:t>.</w:t>
      </w:r>
      <w:r w:rsidRPr="00371666">
        <w:rPr>
          <w:rFonts w:ascii="Times New Roman" w:hAnsi="Times New Roman"/>
        </w:rPr>
        <w:t xml:space="preserve">”  </w:t>
      </w:r>
    </w:p>
    <w:p w14:paraId="1D3ED899" w14:textId="77777777" w:rsidR="00DA11FE" w:rsidRDefault="00DA11FE" w:rsidP="002036F1">
      <w:pPr>
        <w:rPr>
          <w:rFonts w:ascii="Times New Roman" w:hAnsi="Times New Roman"/>
        </w:rPr>
      </w:pPr>
    </w:p>
    <w:p w14:paraId="751965C4" w14:textId="682803B9" w:rsidR="00523416" w:rsidRPr="00364E3C" w:rsidDel="00523416" w:rsidRDefault="00523416" w:rsidP="00910E28">
      <w:pPr>
        <w:spacing w:after="240"/>
        <w:ind w:right="245"/>
        <w:textAlignment w:val="baseline"/>
        <w:rPr>
          <w:rFonts w:ascii="Times New Roman" w:hAnsi="Times New Roman"/>
          <w:color w:val="000000"/>
          <w:lang w:val="en"/>
        </w:rPr>
      </w:pPr>
      <w:r>
        <w:rPr>
          <w:rFonts w:ascii="Times New Roman" w:hAnsi="Times New Roman"/>
        </w:rPr>
        <w:t>The</w:t>
      </w:r>
      <w:r w:rsidR="00DA11FE">
        <w:rPr>
          <w:rFonts w:ascii="Times New Roman" w:hAnsi="Times New Roman"/>
        </w:rPr>
        <w:t xml:space="preserve"> </w:t>
      </w:r>
      <w:r w:rsidR="005B0A6D">
        <w:rPr>
          <w:rFonts w:ascii="Times New Roman" w:hAnsi="Times New Roman"/>
        </w:rPr>
        <w:t xml:space="preserve">Renton </w:t>
      </w:r>
      <w:r w:rsidR="00DA11FE">
        <w:rPr>
          <w:rFonts w:ascii="Times New Roman" w:hAnsi="Times New Roman"/>
        </w:rPr>
        <w:t xml:space="preserve">City Ordinance </w:t>
      </w:r>
      <w:r w:rsidR="00364E3C" w:rsidRPr="00364E3C">
        <w:rPr>
          <w:rFonts w:ascii="Times New Roman" w:hAnsi="Times New Roman"/>
        </w:rPr>
        <w:t>states</w:t>
      </w:r>
      <w:r>
        <w:rPr>
          <w:rFonts w:ascii="Times New Roman" w:hAnsi="Times New Roman"/>
        </w:rPr>
        <w:t>,</w:t>
      </w:r>
      <w:r w:rsidR="00DA11FE" w:rsidRPr="00523416">
        <w:rPr>
          <w:rFonts w:ascii="Times New Roman" w:hAnsi="Times New Roman"/>
        </w:rPr>
        <w:t xml:space="preserve"> </w:t>
      </w:r>
      <w:r w:rsidRPr="00523416">
        <w:rPr>
          <w:rFonts w:ascii="Times New Roman" w:hAnsi="Times New Roman"/>
        </w:rPr>
        <w:t>“</w:t>
      </w:r>
      <w:r w:rsidRPr="005B0A6D">
        <w:rPr>
          <w:rFonts w:ascii="Times New Roman" w:hAnsi="Times New Roman"/>
          <w:color w:val="000000"/>
          <w:lang w:val="en"/>
        </w:rPr>
        <w:t xml:space="preserve">A business enterprise who fails to remit the amount of utility tax when due </w:t>
      </w:r>
      <w:r w:rsidRPr="005B0A6D">
        <w:rPr>
          <w:rFonts w:ascii="Times New Roman" w:hAnsi="Times New Roman"/>
          <w:color w:val="000000"/>
          <w:u w:val="single"/>
          <w:lang w:val="en"/>
        </w:rPr>
        <w:t>shall</w:t>
      </w:r>
      <w:r w:rsidRPr="00D12927">
        <w:rPr>
          <w:rFonts w:ascii="Times New Roman" w:hAnsi="Times New Roman"/>
          <w:color w:val="000000"/>
          <w:lang w:val="en"/>
        </w:rPr>
        <w:t>,</w:t>
      </w:r>
      <w:r w:rsidRPr="005B0A6D">
        <w:rPr>
          <w:rFonts w:ascii="Times New Roman" w:hAnsi="Times New Roman"/>
          <w:color w:val="000000"/>
          <w:lang w:val="en"/>
        </w:rPr>
        <w:t xml:space="preserve"> in addition to all other penalties provided by law, pay a penalty of five percent (5%) of the amount of tax due for the first month of delinquency and an additional penalty of five percent (5%) for each succeeding month of delinquency, but not exceeding a total penalty of twenty five percent (25%) of the amount of such taxes due in any event.”</w:t>
      </w:r>
      <w:r>
        <w:rPr>
          <w:rFonts w:ascii="Times New Roman" w:hAnsi="Times New Roman"/>
          <w:color w:val="000000"/>
          <w:lang w:val="en"/>
        </w:rPr>
        <w:t xml:space="preserve"> (emphasis added) PSE believes, and </w:t>
      </w:r>
      <w:r w:rsidR="006B4657">
        <w:rPr>
          <w:rFonts w:ascii="Times New Roman" w:hAnsi="Times New Roman"/>
          <w:color w:val="000000"/>
          <w:lang w:val="en"/>
        </w:rPr>
        <w:t>s</w:t>
      </w:r>
      <w:r>
        <w:rPr>
          <w:rFonts w:ascii="Times New Roman" w:hAnsi="Times New Roman"/>
          <w:color w:val="000000"/>
          <w:lang w:val="en"/>
        </w:rPr>
        <w:t xml:space="preserve">taff concurs, that the penalty is not discretionary, therefore it should not be considered punitive. </w:t>
      </w:r>
    </w:p>
    <w:p w14:paraId="5EF51CE2" w14:textId="23094629" w:rsidR="009C25C9" w:rsidRDefault="009C25C9" w:rsidP="00910E28">
      <w:pPr>
        <w:spacing w:after="240"/>
        <w:ind w:right="245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</w:t>
      </w:r>
      <w:r w:rsidR="00523416">
        <w:rPr>
          <w:rFonts w:ascii="Times New Roman" w:hAnsi="Times New Roman"/>
        </w:rPr>
        <w:t>accepts that</w:t>
      </w:r>
      <w:r>
        <w:rPr>
          <w:rFonts w:ascii="Times New Roman" w:hAnsi="Times New Roman"/>
        </w:rPr>
        <w:t xml:space="preserve"> the penalty </w:t>
      </w:r>
      <w:r w:rsidR="00523416">
        <w:rPr>
          <w:rFonts w:ascii="Times New Roman" w:hAnsi="Times New Roman"/>
        </w:rPr>
        <w:t>may be</w:t>
      </w:r>
      <w:r w:rsidR="00046768">
        <w:rPr>
          <w:rFonts w:ascii="Times New Roman" w:hAnsi="Times New Roman"/>
        </w:rPr>
        <w:t xml:space="preserve"> included in the assessment and be</w:t>
      </w:r>
      <w:r w:rsidR="00523416">
        <w:rPr>
          <w:rFonts w:ascii="Times New Roman" w:hAnsi="Times New Roman"/>
        </w:rPr>
        <w:t xml:space="preserve"> recovered from</w:t>
      </w:r>
      <w:r>
        <w:rPr>
          <w:rFonts w:ascii="Times New Roman" w:hAnsi="Times New Roman"/>
        </w:rPr>
        <w:t xml:space="preserve"> </w:t>
      </w:r>
      <w:r w:rsidR="00D12927">
        <w:rPr>
          <w:rFonts w:ascii="Times New Roman" w:hAnsi="Times New Roman"/>
        </w:rPr>
        <w:t xml:space="preserve">PSE’s </w:t>
      </w:r>
      <w:r w:rsidR="00523416">
        <w:rPr>
          <w:rFonts w:ascii="Times New Roman" w:hAnsi="Times New Roman"/>
        </w:rPr>
        <w:t xml:space="preserve">customers </w:t>
      </w:r>
      <w:r>
        <w:rPr>
          <w:rFonts w:ascii="Times New Roman" w:hAnsi="Times New Roman"/>
        </w:rPr>
        <w:t>in the City of Renton.</w:t>
      </w:r>
    </w:p>
    <w:p w14:paraId="10A2F64B" w14:textId="77777777" w:rsidR="009C25C9" w:rsidRDefault="009C25C9" w:rsidP="000E03CA">
      <w:pPr>
        <w:rPr>
          <w:rFonts w:ascii="Times New Roman" w:hAnsi="Times New Roman"/>
        </w:rPr>
      </w:pPr>
    </w:p>
    <w:p w14:paraId="13CABBCE" w14:textId="77777777" w:rsidR="009D44E7" w:rsidRPr="007248E1" w:rsidRDefault="009D44E7" w:rsidP="009D44E7">
      <w:pPr>
        <w:rPr>
          <w:rFonts w:ascii="Times New Roman" w:hAnsi="Times New Roman"/>
          <w:b/>
          <w:u w:val="single"/>
        </w:rPr>
      </w:pPr>
      <w:r w:rsidRPr="007248E1">
        <w:rPr>
          <w:rFonts w:ascii="Times New Roman" w:hAnsi="Times New Roman"/>
          <w:b/>
          <w:u w:val="single"/>
        </w:rPr>
        <w:t>Conclusion</w:t>
      </w:r>
    </w:p>
    <w:p w14:paraId="13CABBCF" w14:textId="77777777" w:rsidR="00B46546" w:rsidRDefault="00B46546" w:rsidP="000E03CA">
      <w:pPr>
        <w:rPr>
          <w:rFonts w:ascii="Times New Roman" w:hAnsi="Times New Roman"/>
        </w:rPr>
      </w:pPr>
    </w:p>
    <w:p w14:paraId="66ACC59D" w14:textId="03F6C291" w:rsidR="00A1331D" w:rsidRPr="00AD4D61" w:rsidRDefault="00A1331D" w:rsidP="00A133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thereby allowing the proposed tariff revisions </w:t>
      </w:r>
      <w:r w:rsidR="00D12927">
        <w:rPr>
          <w:rFonts w:ascii="Times New Roman" w:hAnsi="Times New Roman"/>
        </w:rPr>
        <w:t xml:space="preserve">in Dockets UE-140196 and UG-140197 </w:t>
      </w:r>
      <w:r>
        <w:rPr>
          <w:rFonts w:ascii="Times New Roman" w:hAnsi="Times New Roman"/>
        </w:rPr>
        <w:t>to go into effect by operation of law.</w:t>
      </w:r>
    </w:p>
    <w:p w14:paraId="13CABBD1" w14:textId="77777777" w:rsidR="00D76BBF" w:rsidRPr="00D76BBF" w:rsidRDefault="00D76BBF" w:rsidP="000E03CA">
      <w:pPr>
        <w:rPr>
          <w:rFonts w:ascii="Times New Roman" w:hAnsi="Times New Roman"/>
        </w:rPr>
      </w:pPr>
    </w:p>
    <w:p w14:paraId="13CABBD2" w14:textId="77777777" w:rsidR="000E03CA" w:rsidRDefault="000E03CA"/>
    <w:sectPr w:rsidR="000E03CA" w:rsidSect="00856AC8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DE820" w14:textId="77777777" w:rsidR="00523416" w:rsidRDefault="00523416" w:rsidP="000E03CA">
      <w:r>
        <w:separator/>
      </w:r>
    </w:p>
  </w:endnote>
  <w:endnote w:type="continuationSeparator" w:id="0">
    <w:p w14:paraId="5F1FD592" w14:textId="77777777" w:rsidR="00523416" w:rsidRDefault="00523416" w:rsidP="000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3C82" w14:textId="77777777" w:rsidR="00523416" w:rsidRDefault="00523416" w:rsidP="000E03CA">
      <w:r>
        <w:separator/>
      </w:r>
    </w:p>
  </w:footnote>
  <w:footnote w:type="continuationSeparator" w:id="0">
    <w:p w14:paraId="7A05843B" w14:textId="77777777" w:rsidR="00523416" w:rsidRDefault="00523416" w:rsidP="000E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CD72" w14:textId="701F4E35" w:rsidR="00523416" w:rsidRPr="00856AC8" w:rsidRDefault="00523416">
    <w:pPr>
      <w:pStyle w:val="Header"/>
      <w:rPr>
        <w:rFonts w:ascii="Times New Roman" w:hAnsi="Times New Roman"/>
        <w:sz w:val="20"/>
        <w:szCs w:val="20"/>
      </w:rPr>
    </w:pPr>
    <w:r w:rsidRPr="00856AC8">
      <w:rPr>
        <w:rFonts w:ascii="Times New Roman" w:hAnsi="Times New Roman"/>
        <w:sz w:val="20"/>
        <w:szCs w:val="20"/>
      </w:rPr>
      <w:t>DOCKET</w:t>
    </w:r>
    <w:r w:rsidR="00025F0A">
      <w:rPr>
        <w:rFonts w:ascii="Times New Roman" w:hAnsi="Times New Roman"/>
        <w:sz w:val="20"/>
        <w:szCs w:val="20"/>
      </w:rPr>
      <w:t>S</w:t>
    </w:r>
    <w:r w:rsidRPr="00856AC8">
      <w:rPr>
        <w:rFonts w:ascii="Times New Roman" w:hAnsi="Times New Roman"/>
        <w:sz w:val="20"/>
        <w:szCs w:val="20"/>
      </w:rPr>
      <w:t xml:space="preserve"> UE-1</w:t>
    </w:r>
    <w:r>
      <w:rPr>
        <w:rFonts w:ascii="Times New Roman" w:hAnsi="Times New Roman"/>
        <w:sz w:val="20"/>
        <w:szCs w:val="20"/>
      </w:rPr>
      <w:t>40196 and UG-140197</w:t>
    </w:r>
  </w:p>
  <w:p w14:paraId="0FDE5DC2" w14:textId="5A73DD84" w:rsidR="00523416" w:rsidRPr="00856AC8" w:rsidRDefault="00523416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</w:t>
    </w:r>
    <w:r w:rsidRPr="00856AC8">
      <w:rPr>
        <w:rFonts w:ascii="Times New Roman" w:hAnsi="Times New Roman"/>
        <w:sz w:val="20"/>
        <w:szCs w:val="20"/>
      </w:rPr>
      <w:t xml:space="preserve"> 27, 201</w:t>
    </w:r>
    <w:r>
      <w:rPr>
        <w:rFonts w:ascii="Times New Roman" w:hAnsi="Times New Roman"/>
        <w:sz w:val="20"/>
        <w:szCs w:val="20"/>
      </w:rPr>
      <w:t>4</w:t>
    </w:r>
  </w:p>
  <w:p w14:paraId="32C476D1" w14:textId="7AEACAE1" w:rsidR="00523416" w:rsidRDefault="00523416">
    <w:pPr>
      <w:pStyle w:val="Header"/>
      <w:rPr>
        <w:rFonts w:ascii="Times New Roman" w:hAnsi="Times New Roman"/>
        <w:sz w:val="20"/>
        <w:szCs w:val="20"/>
      </w:rPr>
    </w:pPr>
    <w:r w:rsidRPr="00856AC8">
      <w:rPr>
        <w:rFonts w:ascii="Times New Roman" w:hAnsi="Times New Roman"/>
        <w:sz w:val="20"/>
        <w:szCs w:val="20"/>
      </w:rPr>
      <w:t>Page 2</w:t>
    </w:r>
  </w:p>
  <w:p w14:paraId="3483B52A" w14:textId="77777777" w:rsidR="00523416" w:rsidRDefault="00523416">
    <w:pPr>
      <w:pStyle w:val="Header"/>
      <w:rPr>
        <w:rFonts w:ascii="Times New Roman" w:hAnsi="Times New Roman"/>
        <w:sz w:val="20"/>
        <w:szCs w:val="20"/>
      </w:rPr>
    </w:pPr>
  </w:p>
  <w:p w14:paraId="5DB88B8A" w14:textId="77777777" w:rsidR="00523416" w:rsidRPr="00856AC8" w:rsidRDefault="0052341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095"/>
    <w:multiLevelType w:val="hybridMultilevel"/>
    <w:tmpl w:val="856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B715A"/>
    <w:multiLevelType w:val="hybridMultilevel"/>
    <w:tmpl w:val="D48479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CA"/>
    <w:rsid w:val="000019B8"/>
    <w:rsid w:val="00025A19"/>
    <w:rsid w:val="00025F0A"/>
    <w:rsid w:val="0004650B"/>
    <w:rsid w:val="00046768"/>
    <w:rsid w:val="000911D5"/>
    <w:rsid w:val="000A70A9"/>
    <w:rsid w:val="000D7EC8"/>
    <w:rsid w:val="000E03CA"/>
    <w:rsid w:val="00131B07"/>
    <w:rsid w:val="00131E01"/>
    <w:rsid w:val="0015380C"/>
    <w:rsid w:val="00154E4E"/>
    <w:rsid w:val="00191652"/>
    <w:rsid w:val="001C269A"/>
    <w:rsid w:val="001D2C12"/>
    <w:rsid w:val="002036F1"/>
    <w:rsid w:val="00205760"/>
    <w:rsid w:val="00252BAB"/>
    <w:rsid w:val="00265484"/>
    <w:rsid w:val="002E3E4D"/>
    <w:rsid w:val="00307163"/>
    <w:rsid w:val="003202B2"/>
    <w:rsid w:val="003367A2"/>
    <w:rsid w:val="0034209B"/>
    <w:rsid w:val="00344CC6"/>
    <w:rsid w:val="00364E3C"/>
    <w:rsid w:val="003705FE"/>
    <w:rsid w:val="00371666"/>
    <w:rsid w:val="00375133"/>
    <w:rsid w:val="00384633"/>
    <w:rsid w:val="00396C1C"/>
    <w:rsid w:val="00397C47"/>
    <w:rsid w:val="003A447A"/>
    <w:rsid w:val="004905B9"/>
    <w:rsid w:val="004A1467"/>
    <w:rsid w:val="004B6F67"/>
    <w:rsid w:val="004E6E50"/>
    <w:rsid w:val="00513E69"/>
    <w:rsid w:val="00523416"/>
    <w:rsid w:val="005530D9"/>
    <w:rsid w:val="005A2E09"/>
    <w:rsid w:val="005B0A6D"/>
    <w:rsid w:val="005F2762"/>
    <w:rsid w:val="00600924"/>
    <w:rsid w:val="00690455"/>
    <w:rsid w:val="006B4657"/>
    <w:rsid w:val="006D2523"/>
    <w:rsid w:val="007236D1"/>
    <w:rsid w:val="007A025C"/>
    <w:rsid w:val="007A5C8C"/>
    <w:rsid w:val="007D4E49"/>
    <w:rsid w:val="00811F53"/>
    <w:rsid w:val="00834990"/>
    <w:rsid w:val="00856AC8"/>
    <w:rsid w:val="008740F3"/>
    <w:rsid w:val="00886080"/>
    <w:rsid w:val="008A264B"/>
    <w:rsid w:val="008B2B7E"/>
    <w:rsid w:val="008C192F"/>
    <w:rsid w:val="008D731B"/>
    <w:rsid w:val="00910E28"/>
    <w:rsid w:val="00944C1D"/>
    <w:rsid w:val="00957947"/>
    <w:rsid w:val="009B5F3F"/>
    <w:rsid w:val="009C25C9"/>
    <w:rsid w:val="009D44E7"/>
    <w:rsid w:val="009E63EA"/>
    <w:rsid w:val="00A1331D"/>
    <w:rsid w:val="00A1667F"/>
    <w:rsid w:val="00A473D1"/>
    <w:rsid w:val="00A643C2"/>
    <w:rsid w:val="00A81B30"/>
    <w:rsid w:val="00A857BC"/>
    <w:rsid w:val="00AB6D1D"/>
    <w:rsid w:val="00AD1099"/>
    <w:rsid w:val="00AF322F"/>
    <w:rsid w:val="00B32FCC"/>
    <w:rsid w:val="00B46546"/>
    <w:rsid w:val="00C5693B"/>
    <w:rsid w:val="00C853BE"/>
    <w:rsid w:val="00CA7938"/>
    <w:rsid w:val="00CC3255"/>
    <w:rsid w:val="00CF36A1"/>
    <w:rsid w:val="00D12927"/>
    <w:rsid w:val="00D439BF"/>
    <w:rsid w:val="00D76BBF"/>
    <w:rsid w:val="00DA11FE"/>
    <w:rsid w:val="00DC5524"/>
    <w:rsid w:val="00DF0B2B"/>
    <w:rsid w:val="00E23EC2"/>
    <w:rsid w:val="00E45F7C"/>
    <w:rsid w:val="00E50694"/>
    <w:rsid w:val="00EA0E40"/>
    <w:rsid w:val="00EE117A"/>
    <w:rsid w:val="00F021B8"/>
    <w:rsid w:val="00F0651A"/>
    <w:rsid w:val="00F311DB"/>
    <w:rsid w:val="00F44817"/>
    <w:rsid w:val="00F6116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B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E03C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3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03C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0E03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2B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2B"/>
    <w:rPr>
      <w:rFonts w:ascii="Palatino Linotype" w:eastAsia="Times New Roman" w:hAnsi="Palatino Linotype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E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E03C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3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03C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0E03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2B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2B"/>
    <w:rPr>
      <w:rFonts w:ascii="Palatino Linotype" w:eastAsia="Times New Roman" w:hAnsi="Palatino Linotype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E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2014-02-06T08:00:00+00:00</OpenedDate>
    <Date1 xmlns="dc463f71-b30c-4ab2-9473-d307f9d35888">2014-03-27T07:00:00+00:00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53BC19065FF4697C45EB8A213F9CA" ma:contentTypeVersion="175" ma:contentTypeDescription="" ma:contentTypeScope="" ma:versionID="c2b7e614e8ad60fcbce9306bf5552a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538F2-C565-40EB-A614-48D5E2AF324C}"/>
</file>

<file path=customXml/itemProps2.xml><?xml version="1.0" encoding="utf-8"?>
<ds:datastoreItem xmlns:ds="http://schemas.openxmlformats.org/officeDocument/2006/customXml" ds:itemID="{8F3C71BF-BFA8-409F-986B-DB8274228C48}"/>
</file>

<file path=customXml/itemProps3.xml><?xml version="1.0" encoding="utf-8"?>
<ds:datastoreItem xmlns:ds="http://schemas.openxmlformats.org/officeDocument/2006/customXml" ds:itemID="{835851B4-8732-4529-AD17-CF86DFED6196}"/>
</file>

<file path=customXml/itemProps4.xml><?xml version="1.0" encoding="utf-8"?>
<ds:datastoreItem xmlns:ds="http://schemas.openxmlformats.org/officeDocument/2006/customXml" ds:itemID="{E8C3F399-E30A-4F83-BD4C-CD2CA008432C}"/>
</file>

<file path=customXml/itemProps5.xml><?xml version="1.0" encoding="utf-8"?>
<ds:datastoreItem xmlns:ds="http://schemas.openxmlformats.org/officeDocument/2006/customXml" ds:itemID="{D28AC6BA-D9D7-4BD6-8428-B0EC66893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Kendra (UTC)</dc:creator>
  <cp:lastModifiedBy>Lisa Wyse</cp:lastModifiedBy>
  <cp:revision>2</cp:revision>
  <dcterms:created xsi:type="dcterms:W3CDTF">2014-03-24T23:51:00Z</dcterms:created>
  <dcterms:modified xsi:type="dcterms:W3CDTF">2014-03-24T23:51:00Z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0x0101006E56B4D1795A2E4DB2F0B01679ED314A00CAE53BC19065FF4697C45EB8A213F9CA</vt:lpwstr>
  </property>
  <property fmtid="{D5CDD505-2E9C-101B-9397-08002B2CF9AE}" pid="3" name="_docset_NoMedatataSyncRequired">
    <vt:lpwstr>False</vt:lpwstr>
  </property>
</Properties>
</file>