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rawings/drawing1.xml" ContentType="application/vnd.openxmlformats-officedocument.drawingml.chartshapes+xml"/>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23.xml" ContentType="application/vnd.openxmlformats-officedocument.drawingml.chart+xml"/>
  <Override PartName="/word/charts/chart26.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7.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27.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5969" w:rsidRDefault="00B7542A">
      <w:r>
        <w:pict>
          <v:group id="_x0000_s1026" editas="canvas" style="width:270.75pt;height:94.5pt;mso-position-horizontal-relative:char;mso-position-vertical-relative:line" coordsize="5415,18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15;height:1890" o:preferrelative="f">
              <v:fill o:detectmouseclick="t"/>
              <v:path o:extrusionok="t" o:connecttype="none"/>
              <o:lock v:ext="edit" text="t"/>
            </v:shape>
            <v:shape id="_x0000_s1028" style="position:absolute;left:2538;top:457;width:739;height:595" coordsize="739,595" path="m,595r,l16,595r,l31,595r15,l62,595r15,l93,595r30,l139,595r31,l200,595r31,l246,595r31,l308,595r31,l354,595r31,l400,595r31,l431,595r31,-16l493,579r15,l523,579r31,-15l569,564r16,-15l600,534r16,l631,518r,-15l646,488r,-15l662,458r,-16l662,442r,-15l662,412r15,-15l662,381r,-15l662,366r,-15l662,336r,l662,336,646,320,631,290,616,275,600,259r-15,l554,244,539,229r-16,l508,214r-15,l477,214,462,198r-16,l446,183r,l431,168r,l446,153r16,l477,137r,l477,137r16,l523,137r16,l569,137r31,l631,137r31,l677,137r16,l708,137r,l739,r,l723,r,l708,,693,,662,,631,,616,,585,,554,,523,,493,,462,,431,,416,,385,,369,,354,r,l354,,339,r,l323,,308,,293,,277,16r-15,l246,16,231,31r-15,l200,46r-15,l170,61,154,76,139,92r-16,15l123,122r-15,15l108,153,93,183r,15l93,198r,31l108,244r,15l123,275r,15l139,290r15,15l170,320r15,l200,336r16,l231,351r15,l262,366r15,l293,366r,15l308,381r15,16l323,397r,15l323,412r,l323,427r-15,15l293,442r,l277,442r-15,l246,442r-30,l185,442r-31,l123,442r-30,l62,442r-16,l31,442r,l31,442,,595xe" fillcolor="#083c90" stroked="f">
              <v:path arrowok="t"/>
            </v:shape>
            <v:shape id="_x0000_s1029" style="position:absolute;left:1108;top:152;width:353;height:321" coordsize="353,321" path="m30,321l307,275,353,,,,30,321xe" fillcolor="#083c90" stroked="f">
              <v:path arrowok="t"/>
            </v:shape>
            <v:shape id="_x0000_s1030" style="position:absolute;left:1138;top:473;width:262;height:76" coordsize="262,76" path="m262,l,45,,76,262,30,262,xe" fillcolor="#083c90" stroked="f">
              <v:path arrowok="t"/>
            </v:shape>
            <v:shape id="_x0000_s1031" style="position:absolute;left:1154;top:564;width:231;height:61" coordsize="231,61" path="m231,l,30,,61,215,30,231,xe" fillcolor="#083c90" stroked="f">
              <v:path arrowok="t"/>
            </v:shape>
            <v:shape id="_x0000_s1032" style="position:absolute;left:969;top:701;width:62;height:351" coordsize="62,351" path="m16,l,15,,351r62,l16,xe" fillcolor="#083c90" stroked="f">
              <v:path arrowok="t"/>
            </v:shape>
            <v:shape id="_x0000_s1033" style="position:absolute;left:1061;top:686;width:62;height:366" coordsize="62,366" path="m16,l,15,,366r62,l16,xe" fillcolor="#083c90" stroked="f">
              <v:path arrowok="t"/>
            </v:shape>
            <v:shape id="_x0000_s1034" style="position:absolute;left:1015;top:152;width:62;height:321" coordsize="62,321" path="m62,l,,31,321r31,l62,xe" fillcolor="#083c90" stroked="f">
              <v:path arrowok="t"/>
            </v:shape>
            <v:shape id="_x0000_s1035" style="position:absolute;left:400;top:640;width:492;height:122" coordsize="492,122" path="m492,l46,61,,122,492,31,492,xe" fillcolor="#083c90" stroked="f">
              <v:path arrowok="t"/>
            </v:shape>
            <v:shape id="_x0000_s1036" style="position:absolute;left:1154;top:640;width:215;height:412" coordsize="215,412" path="m,46l,412r123,l215,,,46xe" fillcolor="#083c90" stroked="f">
              <v:path arrowok="t"/>
            </v:shape>
            <v:shape id="_x0000_s1037" style="position:absolute;left:923;top:152;width:62;height:351" coordsize="62,351" path="m31,351l62,336,62,,,,,16,31,351xe" fillcolor="#083c90" stroked="f">
              <v:path arrowok="t"/>
            </v:shape>
            <v:shape id="_x0000_s1038" style="position:absolute;left:154;top:716;width:769;height:336" coordsize="769,336" path="m754,l215,77,,336r400,l538,199r231,l754,xe" fillcolor="#083c90" stroked="f">
              <v:path arrowok="t"/>
            </v:shape>
            <v:shape id="_x0000_s1039" style="position:absolute;left:554;top:183;width:338;height:396" coordsize="338,396" path="m338,320l338,,,396,338,320xe" fillcolor="#083c90" stroked="f">
              <v:path arrowok="t"/>
            </v:shape>
            <v:shape id="_x0000_s1040" style="position:absolute;left:477;top:564;width:415;height:107" coordsize="415,107" path="m415,l46,46,,107,415,30,415,xe" fillcolor="#083c90" stroked="f">
              <v:path arrowok="t"/>
            </v:shape>
            <v:shape id="_x0000_s1041" style="position:absolute;left:2169;top:457;width:415;height:595" coordsize="415,595" path="m,595r308,l415,,123,,,595xe" fillcolor="#083c90" stroked="f">
              <v:path arrowok="t"/>
            </v:shape>
            <v:shape id="_x0000_s1042" style="position:absolute;left:3307;top:457;width:662;height:595" coordsize="662,595" path="m662,l31,,,137r170,l77,595r293,l462,137r169,l662,xe" fillcolor="#083c90" stroked="f">
              <v:path arrowok="t"/>
            </v:shape>
            <v:shape id="_x0000_s1043" style="position:absolute;left:3769;top:457;width:877;height:595" coordsize="877,595" path="m554,595r323,l769,,354,,,595r308,l338,518r200,l554,595xm400,397l492,198r16,l538,397r-138,xe" fillcolor="#083c90" stroked="f">
              <v:path arrowok="t"/>
              <o:lock v:ext="edit" verticies="t"/>
            </v:shape>
            <v:shape id="_x0000_s1044" style="position:absolute;left:1892;top:457;width:246;height:46" coordsize="246,46" path="m246,l31,,,46,246,xe" fillcolor="#083c90" stroked="f">
              <v:path arrowok="t"/>
            </v:shape>
            <v:shape id="_x0000_s1045" style="position:absolute;left:1446;top:457;width:800;height:595" coordsize="800,595" path="m431,76l292,366r,l292,107,,168,62,595r415,l800,,431,76xe" fillcolor="#083c90" stroked="f">
              <v:path arrowok="t"/>
            </v:shape>
            <v:shape id="_x0000_s1046" style="position:absolute;left:1431;top:457;width:292;height:46" coordsize="292,46" path="m292,r,l,,,46,292,xe" fillcolor="#083c90" stroked="f">
              <v:path arrowok="t"/>
            </v:shape>
            <v:shape id="_x0000_s1047" style="position:absolute;left:1446;top:488;width:277;height:91" coordsize="277,91" path="m,61l,91,277,45,277,,,61xe" fillcolor="#083c90" stroked="f">
              <v:path arrowok="t"/>
            </v:shape>
            <v:shape id="_x0000_s1048" style="position:absolute;left:3200;top:1265;width:384;height:473" coordsize="384,473" path="m384,r,l384,15r,16l384,46,369,76r,31l369,137r-15,31l354,198r-16,31l338,244r,30l323,290r,15l323,320r,l323,320r,15l307,366r,15l292,396r-15,16l277,412r-16,15l246,442r-31,15l200,457r-16,16l154,473r-31,l123,473r-16,l77,473,61,457r-15,l31,442r-16,l15,427,,412,,396,,381,,366,,351,,320r,l,320,,305,,290,15,274r,-30l15,229,31,198r,-30l46,137r,-30l46,76,61,46r,-15l61,15,61,r,l61,,169,r,l169,r,15l154,31r,15l154,76,138,92r,30l138,153r-15,30l123,213r-16,31l107,274r,16l107,305,92,320r,l92,320r,31l92,366r15,15l123,396r15,l138,396r31,l184,396r16,-15l200,366r15,-15l215,320r,l231,320r,-15l231,290r,-16l246,244r,-31l246,183r15,-30l261,122,277,92r,-16l277,46,292,31r,-16l292,r,l292,r92,xe" fillcolor="black" stroked="f">
              <v:path arrowok="t"/>
            </v:shape>
            <v:shape id="_x0000_s1049" style="position:absolute;left:3584;top:1311;width:185;height:427" coordsize="185,427" path="m16,91r31,l62,46,170,,139,91r46,l185,152r-46,l139,152r-16,l123,167r,31l108,228r,31l108,289,93,320r,l93,320r,15l93,350r15,16l108,366r15,l123,366r16,l139,366r-16,15l123,396r,15l123,411r-15,l93,427r-16,l77,427,47,411r-31,l,396,,381,,366,,350r,l,350,,335,,320,16,289r,-30l16,228,31,198r,-31l47,152r,l47,152,,152,16,91xe" fillcolor="black" stroked="f">
              <v:path arrowok="t"/>
            </v:shape>
            <v:shape id="_x0000_s1050" style="position:absolute;left:3754;top:1265;width:200;height:457" coordsize="200,457" path="m92,457l,457,76,137r93,l92,457xm200,l184,61r-92,l107,r93,xe" fillcolor="black" stroked="f">
              <v:path arrowok="t"/>
              <o:lock v:ext="edit" verticies="t"/>
            </v:shape>
            <v:shape id="_x0000_s1051" style="position:absolute;left:3938;top:1265;width:200;height:457" coordsize="200,457" path="m200,l92,457,,457,108,r92,xe" fillcolor="black" stroked="f">
              <v:path arrowok="t"/>
            </v:shape>
            <v:shape id="_x0000_s1052" style="position:absolute;left:4123;top:1265;width:184;height:457" coordsize="184,457" path="m92,457l,457,61,137r93,l92,457xm184,l169,61r-92,l92,r92,xe" fillcolor="black" stroked="f">
              <v:path arrowok="t"/>
              <o:lock v:ext="edit" verticies="t"/>
            </v:shape>
            <v:shape id="_x0000_s1053" style="position:absolute;left:4307;top:1311;width:200;height:427" coordsize="200,427" path="m16,91r46,l62,46,170,,154,91r46,l185,152r-46,l139,152r,l139,167r-16,31l123,228r-15,31l108,289r,31l108,320r,l93,335r15,15l123,366r,l123,366r16,l139,366r,l139,381r-16,15l123,411r,l108,411,93,427r-16,l77,427,47,411r-16,l16,396,,381,,366,,350r,l,350,,335,16,320r,-31l16,259,31,228r,-30l47,167r,-15l47,152r,l16,152r,-61xe" fillcolor="black" stroked="f">
              <v:path arrowok="t"/>
            </v:shape>
            <v:shape id="_x0000_s1054" style="position:absolute;left:4492;top:1265;width:185;height:457" coordsize="185,457" path="m92,457l,457,62,137r92,l92,457xm185,l169,61r-92,l92,r93,xe" fillcolor="black" stroked="f">
              <v:path arrowok="t"/>
              <o:lock v:ext="edit" verticies="t"/>
            </v:shape>
            <v:shape id="_x0000_s1055" style="position:absolute;left:4677;top:1402;width:292;height:336" coordsize="292,336" path="m107,122r16,-15l123,92,138,61r15,l169,46r,l184,61r16,l200,92r,15l200,122r,l169,122r-31,l107,122r,xm276,183r,-30l292,137r,-15l292,107r,-31l292,61r,-15l276,46r,-15l261,16r,l246,,230,,200,,184,r,l153,,138,,123,,92,16r-15,l77,31,61,46,46,61r,15l30,92r,15l15,122r,15l15,153r,l,183r,15l,214r,30l,259r,16l,290r15,l15,305r15,15l46,320r15,16l92,336r15,l107,336r31,l169,320r15,l215,305r,l230,290r16,-31l261,244r,-30l261,214r-15,l200,214r-31,l169,214r,30l153,259r-30,16l123,275r-16,l92,259r,-15l92,214r,-16l107,183r,l107,183r16,l153,183r31,l215,183r31,l276,183r,l276,183xe" fillcolor="black" stroked="f">
              <v:path arrowok="t"/>
              <o:lock v:ext="edit" verticies="t"/>
            </v:shape>
            <v:shape id="_x0000_s1056" style="position:absolute;left:4984;top:1402;width:277;height:336" coordsize="277,336" path="m93,229r,l93,244r,15l93,259r,16l108,275r15,l123,275r16,l154,259r15,-15l169,244r,-15l169,229,154,214r,-16l139,198r-16,l123,183r-15,l93,168r-16,l62,153r,l46,137r,l31,122r,-15l31,92r,l46,61r,-15l62,31,77,16r16,l108,r31,l154,r15,l185,r,l200,r31,l246,r16,16l277,16r,15l277,46r,30l277,92r,l262,92r-46,l185,92r,l200,76r,-15l185,46r,l185,46r-16,l169,46r,l154,46,139,61,123,76r,l123,92r16,l139,107r15,l154,122r15,l185,122r15,15l216,137r15,16l231,168r15,l246,183r16,15l262,214r,15l262,229r-16,15l246,275r-15,15l216,305r-16,l185,320r-31,l139,336r-31,l108,336r-15,l62,336,46,320r-15,l16,305r,l,290,,275,,244,,229r,l31,229r46,l93,229r,xe" fillcolor="black" stroked="f">
              <v:path arrowok="t"/>
            </v:shape>
            <v:shape id="_x0000_s1057" style="position:absolute;left:4615;top:457;width:123;height:107" coordsize="123,107" path="m15,46r,-15l31,16,62,r,l92,16r16,15l108,46r,l108,76,92,92,62,107r,l31,92,15,76r,-30l15,46xm62,107r30,l108,92,123,76r,-30l123,46r,-15l108,16,92,,62,r,l46,,15,16,,31,,46r,l,76,15,92r31,15l62,107r,xm46,61r16,l77,92r15,l92,92r,-16l77,61r,l77,61r,l92,46r,-15l92,31r,l77,16r-15,l62,16r,l46,16r,l46,16r,76l46,92r,-31xm46,46r,-15l46,31r,l62,31r,l62,31r15,l77,31r,l77,31r,15l77,46r-15,l62,46r,l46,46r,l46,46xe" fillcolor="#083c90" stroked="f">
              <v:path arrowok="t"/>
              <o:lock v:ext="edit" verticies="t"/>
            </v:shape>
            <w10:wrap type="none"/>
            <w10:anchorlock/>
          </v:group>
        </w:pict>
      </w:r>
    </w:p>
    <w:p w:rsidR="003A5969" w:rsidRDefault="003A5969">
      <w:pPr>
        <w:pBdr>
          <w:bottom w:val="single" w:sz="6" w:space="1" w:color="auto"/>
        </w:pBdr>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spacing w:before="40" w:after="40"/>
        <w:ind w:right="180"/>
        <w:rPr>
          <w:rFonts w:ascii="Arial" w:hAnsi="Arial"/>
        </w:rPr>
      </w:pPr>
    </w:p>
    <w:p w:rsidR="003A5969" w:rsidRDefault="003A5969">
      <w:pPr>
        <w:pStyle w:val="Heading6"/>
      </w:pPr>
      <w:r>
        <w:t>20</w:t>
      </w:r>
      <w:r w:rsidR="0046124D">
        <w:t>1</w:t>
      </w:r>
      <w:r w:rsidR="00DD56B2">
        <w:t>2</w:t>
      </w:r>
    </w:p>
    <w:p w:rsidR="00E01DA2" w:rsidRPr="00E01DA2" w:rsidRDefault="00E01DA2" w:rsidP="00E01DA2"/>
    <w:p w:rsidR="003A5969" w:rsidRDefault="003A5969">
      <w:pPr>
        <w:pStyle w:val="Heading6"/>
      </w:pPr>
      <w:bookmarkStart w:id="0" w:name="_Toc3183378"/>
      <w:r>
        <w:t>Electric Service</w:t>
      </w:r>
      <w:bookmarkEnd w:id="0"/>
      <w:r w:rsidR="00E01DA2">
        <w:t xml:space="preserve"> </w:t>
      </w:r>
      <w:r>
        <w:t>Reliability</w:t>
      </w:r>
      <w:r w:rsidR="00E01DA2">
        <w:t xml:space="preserve"> </w:t>
      </w:r>
      <w:r>
        <w:t>Report</w:t>
      </w:r>
    </w:p>
    <w:p w:rsidR="003A5969" w:rsidRDefault="003A5969">
      <w:pPr>
        <w:spacing w:before="40" w:after="40"/>
        <w:ind w:right="180"/>
        <w:jc w:val="center"/>
        <w:rPr>
          <w:rFonts w:ascii="Arial" w:hAnsi="Arial"/>
          <w:b/>
          <w:sz w:val="36"/>
        </w:rPr>
      </w:pPr>
    </w:p>
    <w:p w:rsidR="003A5969" w:rsidRDefault="003A5969">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pPr>
        <w:spacing w:before="40" w:after="40"/>
        <w:ind w:right="180"/>
        <w:jc w:val="center"/>
        <w:rPr>
          <w:rFonts w:ascii="Arial" w:hAnsi="Arial"/>
          <w:b/>
          <w:sz w:val="36"/>
        </w:rPr>
      </w:pPr>
    </w:p>
    <w:p w:rsidR="00E94BCB" w:rsidRDefault="00E94BCB" w:rsidP="00E94BCB">
      <w:proofErr w:type="gramStart"/>
      <w:r>
        <w:rPr>
          <w:rFonts w:ascii="Symbol" w:hAnsi="Symbol"/>
        </w:rPr>
        <w:t></w:t>
      </w:r>
      <w:r>
        <w:t xml:space="preserve"> 201</w:t>
      </w:r>
      <w:r w:rsidR="00DD56B2">
        <w:t>3</w:t>
      </w:r>
      <w:r>
        <w:t xml:space="preserve"> Avista Corporation.</w:t>
      </w:r>
      <w:proofErr w:type="gramEnd"/>
      <w:r>
        <w:t xml:space="preserve"> All Right Reserved</w:t>
      </w:r>
    </w:p>
    <w:p w:rsidR="00E94BCB" w:rsidRDefault="00E94BCB" w:rsidP="00E94BCB"/>
    <w:p w:rsidR="00E94BCB" w:rsidRDefault="00E94BCB" w:rsidP="00E94BCB">
      <w:r>
        <w:t xml:space="preserve">Permission of the Copyright owner is granted to users to copy, download, reproduce, transmit or distribute any part of this document provided that: (1) the user includes Avista’s copyright notice on all copies, and (2) the materials are not used in any misleading or inappropriate manner. Furthermore, no portion of the attached work shall be republished in printed or digital form without the written permission of the Copyright owner.  </w:t>
      </w:r>
    </w:p>
    <w:p w:rsidR="003A5969" w:rsidRDefault="003A5969">
      <w:pPr>
        <w:spacing w:before="40" w:after="40"/>
        <w:ind w:right="180"/>
        <w:jc w:val="center"/>
        <w:rPr>
          <w:rFonts w:ascii="Arial" w:hAnsi="Arial"/>
          <w:b/>
          <w:sz w:val="36"/>
        </w:rPr>
      </w:pPr>
      <w:r>
        <w:rPr>
          <w:rFonts w:ascii="Arial" w:hAnsi="Arial"/>
          <w:b/>
          <w:sz w:val="36"/>
        </w:rPr>
        <w:br w:type="page"/>
      </w:r>
    </w:p>
    <w:p w:rsidR="003A5969" w:rsidRPr="00097B04" w:rsidRDefault="007F2584" w:rsidP="008E6501">
      <w:pPr>
        <w:pStyle w:val="TOC1"/>
        <w:jc w:val="center"/>
        <w:rPr>
          <w:sz w:val="28"/>
        </w:rPr>
      </w:pPr>
      <w:r w:rsidRPr="00097B04">
        <w:rPr>
          <w:sz w:val="28"/>
        </w:rPr>
        <w:lastRenderedPageBreak/>
        <w:t xml:space="preserve">Table of </w:t>
      </w:r>
      <w:r w:rsidR="003A5969" w:rsidRPr="00097B04">
        <w:rPr>
          <w:sz w:val="28"/>
        </w:rPr>
        <w:t>Contents</w:t>
      </w:r>
    </w:p>
    <w:p w:rsidR="005741C6" w:rsidRDefault="005741C6" w:rsidP="005741C6">
      <w:pPr>
        <w:pStyle w:val="TOC1"/>
        <w:spacing w:before="0"/>
      </w:pPr>
      <w:bookmarkStart w:id="1" w:name="_Toc3183379"/>
    </w:p>
    <w:p w:rsidR="005E03B6" w:rsidRDefault="00B7542A">
      <w:pPr>
        <w:pStyle w:val="TOC1"/>
        <w:rPr>
          <w:rFonts w:asciiTheme="minorHAnsi" w:eastAsiaTheme="minorEastAsia" w:hAnsiTheme="minorHAnsi" w:cstheme="minorBidi"/>
          <w:b w:val="0"/>
          <w:caps w:val="0"/>
          <w:noProof/>
          <w:sz w:val="22"/>
          <w:szCs w:val="22"/>
        </w:rPr>
      </w:pPr>
      <w:r w:rsidRPr="00B7542A">
        <w:rPr>
          <w:b w:val="0"/>
          <w:caps w:val="0"/>
        </w:rPr>
        <w:fldChar w:fldCharType="begin"/>
      </w:r>
      <w:r w:rsidR="005E03B6">
        <w:rPr>
          <w:b w:val="0"/>
          <w:caps w:val="0"/>
        </w:rPr>
        <w:instrText xml:space="preserve"> TOC \o "1-4" \h \z \u </w:instrText>
      </w:r>
      <w:r w:rsidRPr="00B7542A">
        <w:rPr>
          <w:b w:val="0"/>
          <w:caps w:val="0"/>
        </w:rPr>
        <w:fldChar w:fldCharType="separate"/>
      </w:r>
      <w:hyperlink w:anchor="_Toc354492977" w:history="1">
        <w:r w:rsidR="005E03B6" w:rsidRPr="00B66B49">
          <w:rPr>
            <w:rStyle w:val="Hyperlink"/>
            <w:noProof/>
          </w:rPr>
          <w:t>Introduction</w:t>
        </w:r>
        <w:r w:rsidR="005E03B6">
          <w:rPr>
            <w:noProof/>
            <w:webHidden/>
          </w:rPr>
          <w:tab/>
        </w:r>
        <w:r>
          <w:rPr>
            <w:noProof/>
            <w:webHidden/>
          </w:rPr>
          <w:fldChar w:fldCharType="begin"/>
        </w:r>
        <w:r w:rsidR="005E03B6">
          <w:rPr>
            <w:noProof/>
            <w:webHidden/>
          </w:rPr>
          <w:instrText xml:space="preserve"> PAGEREF _Toc354492977 \h </w:instrText>
        </w:r>
        <w:r>
          <w:rPr>
            <w:noProof/>
            <w:webHidden/>
          </w:rPr>
        </w:r>
        <w:r>
          <w:rPr>
            <w:noProof/>
            <w:webHidden/>
          </w:rPr>
          <w:fldChar w:fldCharType="separate"/>
        </w:r>
        <w:r w:rsidR="00EB71BB">
          <w:rPr>
            <w:noProof/>
            <w:webHidden/>
          </w:rPr>
          <w:t>1</w:t>
        </w:r>
        <w:r>
          <w:rPr>
            <w:noProof/>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2978" w:history="1">
        <w:r w:rsidR="005E03B6" w:rsidRPr="00B66B49">
          <w:rPr>
            <w:rStyle w:val="Hyperlink"/>
            <w:noProof/>
          </w:rPr>
          <w:t>Definitions</w:t>
        </w:r>
        <w:r w:rsidR="005E03B6">
          <w:rPr>
            <w:noProof/>
            <w:webHidden/>
          </w:rPr>
          <w:tab/>
        </w:r>
        <w:r>
          <w:rPr>
            <w:noProof/>
            <w:webHidden/>
          </w:rPr>
          <w:fldChar w:fldCharType="begin"/>
        </w:r>
        <w:r w:rsidR="005E03B6">
          <w:rPr>
            <w:noProof/>
            <w:webHidden/>
          </w:rPr>
          <w:instrText xml:space="preserve"> PAGEREF _Toc354492978 \h </w:instrText>
        </w:r>
        <w:r>
          <w:rPr>
            <w:noProof/>
            <w:webHidden/>
          </w:rPr>
        </w:r>
        <w:r>
          <w:rPr>
            <w:noProof/>
            <w:webHidden/>
          </w:rPr>
          <w:fldChar w:fldCharType="separate"/>
        </w:r>
        <w:r w:rsidR="00EB71BB">
          <w:rPr>
            <w:noProof/>
            <w:webHidden/>
          </w:rPr>
          <w:t>2</w:t>
        </w:r>
        <w:r>
          <w:rPr>
            <w:noProof/>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2979" w:history="1">
        <w:r w:rsidR="005E03B6" w:rsidRPr="00B66B49">
          <w:rPr>
            <w:rStyle w:val="Hyperlink"/>
            <w:noProof/>
          </w:rPr>
          <w:t>Data Collection and Calculation Changes</w:t>
        </w:r>
        <w:r w:rsidR="005E03B6">
          <w:rPr>
            <w:noProof/>
            <w:webHidden/>
          </w:rPr>
          <w:tab/>
        </w:r>
        <w:r>
          <w:rPr>
            <w:noProof/>
            <w:webHidden/>
          </w:rPr>
          <w:fldChar w:fldCharType="begin"/>
        </w:r>
        <w:r w:rsidR="005E03B6">
          <w:rPr>
            <w:noProof/>
            <w:webHidden/>
          </w:rPr>
          <w:instrText xml:space="preserve"> PAGEREF _Toc354492979 \h </w:instrText>
        </w:r>
        <w:r>
          <w:rPr>
            <w:noProof/>
            <w:webHidden/>
          </w:rPr>
        </w:r>
        <w:r>
          <w:rPr>
            <w:noProof/>
            <w:webHidden/>
          </w:rPr>
          <w:fldChar w:fldCharType="separate"/>
        </w:r>
        <w:r w:rsidR="00EB71BB">
          <w:rPr>
            <w:noProof/>
            <w:webHidden/>
          </w:rPr>
          <w:t>3</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0" w:history="1">
        <w:r w:rsidR="005E03B6" w:rsidRPr="00B66B49">
          <w:rPr>
            <w:rStyle w:val="Hyperlink"/>
          </w:rPr>
          <w:t>Data Collection</w:t>
        </w:r>
        <w:r w:rsidR="005E03B6">
          <w:rPr>
            <w:webHidden/>
          </w:rPr>
          <w:tab/>
        </w:r>
        <w:r>
          <w:rPr>
            <w:webHidden/>
          </w:rPr>
          <w:fldChar w:fldCharType="begin"/>
        </w:r>
        <w:r w:rsidR="005E03B6">
          <w:rPr>
            <w:webHidden/>
          </w:rPr>
          <w:instrText xml:space="preserve"> PAGEREF _Toc354492980 \h </w:instrText>
        </w:r>
        <w:r>
          <w:rPr>
            <w:webHidden/>
          </w:rPr>
        </w:r>
        <w:r>
          <w:rPr>
            <w:webHidden/>
          </w:rPr>
          <w:fldChar w:fldCharType="separate"/>
        </w:r>
        <w:r w:rsidR="00EB71BB">
          <w:rPr>
            <w:webHidden/>
          </w:rPr>
          <w:t>3</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1" w:history="1">
        <w:r w:rsidR="005E03B6" w:rsidRPr="00B66B49">
          <w:rPr>
            <w:rStyle w:val="Hyperlink"/>
          </w:rPr>
          <w:t>Interruption Cause Codes</w:t>
        </w:r>
        <w:r w:rsidR="005E03B6">
          <w:rPr>
            <w:webHidden/>
          </w:rPr>
          <w:tab/>
        </w:r>
        <w:r>
          <w:rPr>
            <w:webHidden/>
          </w:rPr>
          <w:fldChar w:fldCharType="begin"/>
        </w:r>
        <w:r w:rsidR="005E03B6">
          <w:rPr>
            <w:webHidden/>
          </w:rPr>
          <w:instrText xml:space="preserve"> PAGEREF _Toc354492981 \h </w:instrText>
        </w:r>
        <w:r>
          <w:rPr>
            <w:webHidden/>
          </w:rPr>
        </w:r>
        <w:r>
          <w:rPr>
            <w:webHidden/>
          </w:rPr>
          <w:fldChar w:fldCharType="separate"/>
        </w:r>
        <w:r w:rsidR="00EB71BB">
          <w:rPr>
            <w:webHidden/>
          </w:rPr>
          <w:t>3</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2" w:history="1">
        <w:r w:rsidR="005E03B6" w:rsidRPr="00B66B49">
          <w:rPr>
            <w:rStyle w:val="Hyperlink"/>
          </w:rPr>
          <w:t>Customers Experiencing Multiple Interruptions</w:t>
        </w:r>
        <w:r w:rsidR="005E03B6">
          <w:rPr>
            <w:webHidden/>
          </w:rPr>
          <w:tab/>
        </w:r>
        <w:r>
          <w:rPr>
            <w:webHidden/>
          </w:rPr>
          <w:fldChar w:fldCharType="begin"/>
        </w:r>
        <w:r w:rsidR="005E03B6">
          <w:rPr>
            <w:webHidden/>
          </w:rPr>
          <w:instrText xml:space="preserve"> PAGEREF _Toc354492982 \h </w:instrText>
        </w:r>
        <w:r>
          <w:rPr>
            <w:webHidden/>
          </w:rPr>
        </w:r>
        <w:r>
          <w:rPr>
            <w:webHidden/>
          </w:rPr>
          <w:fldChar w:fldCharType="separate"/>
        </w:r>
        <w:r w:rsidR="00EB71BB">
          <w:rPr>
            <w:webHidden/>
          </w:rPr>
          <w:t>4</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3" w:history="1">
        <w:r w:rsidR="005E03B6" w:rsidRPr="00B66B49">
          <w:rPr>
            <w:rStyle w:val="Hyperlink"/>
          </w:rPr>
          <w:t>Major Events</w:t>
        </w:r>
        <w:r w:rsidR="005E03B6">
          <w:rPr>
            <w:webHidden/>
          </w:rPr>
          <w:tab/>
        </w:r>
        <w:r>
          <w:rPr>
            <w:webHidden/>
          </w:rPr>
          <w:fldChar w:fldCharType="begin"/>
        </w:r>
        <w:r w:rsidR="005E03B6">
          <w:rPr>
            <w:webHidden/>
          </w:rPr>
          <w:instrText xml:space="preserve"> PAGEREF _Toc354492983 \h </w:instrText>
        </w:r>
        <w:r>
          <w:rPr>
            <w:webHidden/>
          </w:rPr>
        </w:r>
        <w:r>
          <w:rPr>
            <w:webHidden/>
          </w:rPr>
          <w:fldChar w:fldCharType="separate"/>
        </w:r>
        <w:r w:rsidR="00EB71BB">
          <w:rPr>
            <w:webHidden/>
          </w:rPr>
          <w:t>4</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2984" w:history="1">
        <w:r w:rsidR="005E03B6" w:rsidRPr="00B66B49">
          <w:rPr>
            <w:rStyle w:val="Hyperlink"/>
          </w:rPr>
          <w:t>Table 1.1 – 2012 Major Event Days</w:t>
        </w:r>
        <w:r w:rsidR="005E03B6">
          <w:rPr>
            <w:webHidden/>
          </w:rPr>
          <w:tab/>
        </w:r>
        <w:r>
          <w:rPr>
            <w:webHidden/>
          </w:rPr>
          <w:fldChar w:fldCharType="begin"/>
        </w:r>
        <w:r w:rsidR="005E03B6">
          <w:rPr>
            <w:webHidden/>
          </w:rPr>
          <w:instrText xml:space="preserve"> PAGEREF _Toc354492984 \h </w:instrText>
        </w:r>
        <w:r>
          <w:rPr>
            <w:webHidden/>
          </w:rPr>
        </w:r>
        <w:r>
          <w:rPr>
            <w:webHidden/>
          </w:rPr>
          <w:fldChar w:fldCharType="separate"/>
        </w:r>
        <w:r w:rsidR="00EB71BB">
          <w:rPr>
            <w:webHidden/>
          </w:rPr>
          <w:t>5</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5" w:history="1">
        <w:r w:rsidR="005E03B6" w:rsidRPr="00B66B49">
          <w:rPr>
            <w:rStyle w:val="Hyperlink"/>
          </w:rPr>
          <w:t>Customer Complaints</w:t>
        </w:r>
        <w:r w:rsidR="005E03B6">
          <w:rPr>
            <w:webHidden/>
          </w:rPr>
          <w:tab/>
        </w:r>
        <w:r>
          <w:rPr>
            <w:webHidden/>
          </w:rPr>
          <w:fldChar w:fldCharType="begin"/>
        </w:r>
        <w:r w:rsidR="005E03B6">
          <w:rPr>
            <w:webHidden/>
          </w:rPr>
          <w:instrText xml:space="preserve"> PAGEREF _Toc354492985 \h </w:instrText>
        </w:r>
        <w:r>
          <w:rPr>
            <w:webHidden/>
          </w:rPr>
        </w:r>
        <w:r>
          <w:rPr>
            <w:webHidden/>
          </w:rPr>
          <w:fldChar w:fldCharType="separate"/>
        </w:r>
        <w:r w:rsidR="00EB71BB">
          <w:rPr>
            <w:webHidden/>
          </w:rPr>
          <w:t>5</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2986" w:history="1">
        <w:r w:rsidR="005E03B6" w:rsidRPr="00B66B49">
          <w:rPr>
            <w:rStyle w:val="Hyperlink"/>
            <w:noProof/>
          </w:rPr>
          <w:t>System Indices</w:t>
        </w:r>
        <w:r w:rsidR="005E03B6">
          <w:rPr>
            <w:noProof/>
            <w:webHidden/>
          </w:rPr>
          <w:tab/>
        </w:r>
        <w:r>
          <w:rPr>
            <w:noProof/>
            <w:webHidden/>
          </w:rPr>
          <w:fldChar w:fldCharType="begin"/>
        </w:r>
        <w:r w:rsidR="005E03B6">
          <w:rPr>
            <w:noProof/>
            <w:webHidden/>
          </w:rPr>
          <w:instrText xml:space="preserve"> PAGEREF _Toc354492986 \h </w:instrText>
        </w:r>
        <w:r>
          <w:rPr>
            <w:noProof/>
            <w:webHidden/>
          </w:rPr>
        </w:r>
        <w:r>
          <w:rPr>
            <w:noProof/>
            <w:webHidden/>
          </w:rPr>
          <w:fldChar w:fldCharType="separate"/>
        </w:r>
        <w:r w:rsidR="00EB71BB">
          <w:rPr>
            <w:noProof/>
            <w:webHidden/>
          </w:rPr>
          <w:t>6</w:t>
        </w:r>
        <w:r>
          <w:rPr>
            <w:noProof/>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2987" w:history="1">
        <w:r w:rsidR="005E03B6" w:rsidRPr="00B66B49">
          <w:rPr>
            <w:rStyle w:val="Hyperlink"/>
          </w:rPr>
          <w:t>Table 2.1 - Reliability Statistic Target by Indice</w:t>
        </w:r>
        <w:r w:rsidR="005E03B6">
          <w:rPr>
            <w:webHidden/>
          </w:rPr>
          <w:tab/>
        </w:r>
        <w:r>
          <w:rPr>
            <w:webHidden/>
          </w:rPr>
          <w:fldChar w:fldCharType="begin"/>
        </w:r>
        <w:r w:rsidR="005E03B6">
          <w:rPr>
            <w:webHidden/>
          </w:rPr>
          <w:instrText xml:space="preserve"> PAGEREF _Toc354492987 \h </w:instrText>
        </w:r>
        <w:r>
          <w:rPr>
            <w:webHidden/>
          </w:rPr>
        </w:r>
        <w:r>
          <w:rPr>
            <w:webHidden/>
          </w:rPr>
          <w:fldChar w:fldCharType="separate"/>
        </w:r>
        <w:r w:rsidR="00EB71BB">
          <w:rPr>
            <w:webHidden/>
          </w:rPr>
          <w:t>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8" w:history="1">
        <w:r w:rsidR="005E03B6" w:rsidRPr="00B66B49">
          <w:rPr>
            <w:rStyle w:val="Hyperlink"/>
          </w:rPr>
          <w:t>Chart 2.1 – SAIFI - Sustained Interruptions / Customer</w:t>
        </w:r>
        <w:r w:rsidR="005E03B6">
          <w:rPr>
            <w:webHidden/>
          </w:rPr>
          <w:tab/>
        </w:r>
        <w:r>
          <w:rPr>
            <w:webHidden/>
          </w:rPr>
          <w:fldChar w:fldCharType="begin"/>
        </w:r>
        <w:r w:rsidR="005E03B6">
          <w:rPr>
            <w:webHidden/>
          </w:rPr>
          <w:instrText xml:space="preserve"> PAGEREF _Toc354492988 \h </w:instrText>
        </w:r>
        <w:r>
          <w:rPr>
            <w:webHidden/>
          </w:rPr>
        </w:r>
        <w:r>
          <w:rPr>
            <w:webHidden/>
          </w:rPr>
          <w:fldChar w:fldCharType="separate"/>
        </w:r>
        <w:r w:rsidR="00EB71BB">
          <w:rPr>
            <w:webHidden/>
          </w:rPr>
          <w:t>7</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89" w:history="1">
        <w:r w:rsidR="005E03B6" w:rsidRPr="00B66B49">
          <w:rPr>
            <w:rStyle w:val="Hyperlink"/>
          </w:rPr>
          <w:t>Chart 2.2 – Sustained Interruptions / Customer Historic Comparison</w:t>
        </w:r>
        <w:r w:rsidR="005E03B6">
          <w:rPr>
            <w:webHidden/>
          </w:rPr>
          <w:tab/>
        </w:r>
        <w:r>
          <w:rPr>
            <w:webHidden/>
          </w:rPr>
          <w:fldChar w:fldCharType="begin"/>
        </w:r>
        <w:r w:rsidR="005E03B6">
          <w:rPr>
            <w:webHidden/>
          </w:rPr>
          <w:instrText xml:space="preserve"> PAGEREF _Toc354492989 \h </w:instrText>
        </w:r>
        <w:r>
          <w:rPr>
            <w:webHidden/>
          </w:rPr>
        </w:r>
        <w:r>
          <w:rPr>
            <w:webHidden/>
          </w:rPr>
          <w:fldChar w:fldCharType="separate"/>
        </w:r>
        <w:r w:rsidR="00EB71BB">
          <w:rPr>
            <w:webHidden/>
          </w:rPr>
          <w:t>7</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0" w:history="1">
        <w:r w:rsidR="005E03B6" w:rsidRPr="00B66B49">
          <w:rPr>
            <w:rStyle w:val="Hyperlink"/>
          </w:rPr>
          <w:t>Chart 2.3 - SAIFI Linear Trend Line Chart</w:t>
        </w:r>
        <w:r w:rsidR="005E03B6">
          <w:rPr>
            <w:webHidden/>
          </w:rPr>
          <w:tab/>
        </w:r>
        <w:r>
          <w:rPr>
            <w:webHidden/>
          </w:rPr>
          <w:fldChar w:fldCharType="begin"/>
        </w:r>
        <w:r w:rsidR="005E03B6">
          <w:rPr>
            <w:webHidden/>
          </w:rPr>
          <w:instrText xml:space="preserve"> PAGEREF _Toc354492990 \h </w:instrText>
        </w:r>
        <w:r>
          <w:rPr>
            <w:webHidden/>
          </w:rPr>
        </w:r>
        <w:r>
          <w:rPr>
            <w:webHidden/>
          </w:rPr>
          <w:fldChar w:fldCharType="separate"/>
        </w:r>
        <w:r w:rsidR="00EB71BB">
          <w:rPr>
            <w:webHidden/>
          </w:rPr>
          <w:t>8</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1" w:history="1">
        <w:r w:rsidR="005E03B6" w:rsidRPr="00B66B49">
          <w:rPr>
            <w:rStyle w:val="Hyperlink"/>
          </w:rPr>
          <w:t>Chart 2.4 - MAIFI Momentary Interruption Events / Customer</w:t>
        </w:r>
        <w:r w:rsidR="005E03B6">
          <w:rPr>
            <w:webHidden/>
          </w:rPr>
          <w:tab/>
        </w:r>
        <w:r>
          <w:rPr>
            <w:webHidden/>
          </w:rPr>
          <w:fldChar w:fldCharType="begin"/>
        </w:r>
        <w:r w:rsidR="005E03B6">
          <w:rPr>
            <w:webHidden/>
          </w:rPr>
          <w:instrText xml:space="preserve"> PAGEREF _Toc354492991 \h </w:instrText>
        </w:r>
        <w:r>
          <w:rPr>
            <w:webHidden/>
          </w:rPr>
        </w:r>
        <w:r>
          <w:rPr>
            <w:webHidden/>
          </w:rPr>
          <w:fldChar w:fldCharType="separate"/>
        </w:r>
        <w:r w:rsidR="00EB71BB">
          <w:rPr>
            <w:webHidden/>
          </w:rPr>
          <w:t>9</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2" w:history="1">
        <w:r w:rsidR="005E03B6" w:rsidRPr="00B66B49">
          <w:rPr>
            <w:rStyle w:val="Hyperlink"/>
          </w:rPr>
          <w:t>Chart 2.5 – Momentary Interruptions/ Customer Historic Comparison</w:t>
        </w:r>
        <w:r w:rsidR="005E03B6">
          <w:rPr>
            <w:webHidden/>
          </w:rPr>
          <w:tab/>
        </w:r>
        <w:r>
          <w:rPr>
            <w:webHidden/>
          </w:rPr>
          <w:fldChar w:fldCharType="begin"/>
        </w:r>
        <w:r w:rsidR="005E03B6">
          <w:rPr>
            <w:webHidden/>
          </w:rPr>
          <w:instrText xml:space="preserve"> PAGEREF _Toc354492992 \h </w:instrText>
        </w:r>
        <w:r>
          <w:rPr>
            <w:webHidden/>
          </w:rPr>
        </w:r>
        <w:r>
          <w:rPr>
            <w:webHidden/>
          </w:rPr>
          <w:fldChar w:fldCharType="separate"/>
        </w:r>
        <w:r w:rsidR="00EB71BB">
          <w:rPr>
            <w:webHidden/>
          </w:rPr>
          <w:t>9</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3" w:history="1">
        <w:r w:rsidR="005E03B6" w:rsidRPr="00B66B49">
          <w:rPr>
            <w:rStyle w:val="Hyperlink"/>
          </w:rPr>
          <w:t>Chart 2.6 - SAIDI – Average Outage Time / Customer</w:t>
        </w:r>
        <w:r w:rsidR="005E03B6">
          <w:rPr>
            <w:webHidden/>
          </w:rPr>
          <w:tab/>
        </w:r>
        <w:r>
          <w:rPr>
            <w:webHidden/>
          </w:rPr>
          <w:fldChar w:fldCharType="begin"/>
        </w:r>
        <w:r w:rsidR="005E03B6">
          <w:rPr>
            <w:webHidden/>
          </w:rPr>
          <w:instrText xml:space="preserve"> PAGEREF _Toc354492993 \h </w:instrText>
        </w:r>
        <w:r>
          <w:rPr>
            <w:webHidden/>
          </w:rPr>
        </w:r>
        <w:r>
          <w:rPr>
            <w:webHidden/>
          </w:rPr>
          <w:fldChar w:fldCharType="separate"/>
        </w:r>
        <w:r w:rsidR="00EB71BB">
          <w:rPr>
            <w:webHidden/>
          </w:rPr>
          <w:t>10</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4" w:history="1">
        <w:r w:rsidR="005E03B6" w:rsidRPr="00B66B49">
          <w:rPr>
            <w:rStyle w:val="Hyperlink"/>
          </w:rPr>
          <w:t>Chart 2.7 - SAIDI Linear Trend Line Chart</w:t>
        </w:r>
        <w:r w:rsidR="005E03B6">
          <w:rPr>
            <w:webHidden/>
          </w:rPr>
          <w:tab/>
        </w:r>
        <w:r>
          <w:rPr>
            <w:webHidden/>
          </w:rPr>
          <w:fldChar w:fldCharType="begin"/>
        </w:r>
        <w:r w:rsidR="005E03B6">
          <w:rPr>
            <w:webHidden/>
          </w:rPr>
          <w:instrText xml:space="preserve"> PAGEREF _Toc354492994 \h </w:instrText>
        </w:r>
        <w:r>
          <w:rPr>
            <w:webHidden/>
          </w:rPr>
        </w:r>
        <w:r>
          <w:rPr>
            <w:webHidden/>
          </w:rPr>
          <w:fldChar w:fldCharType="separate"/>
        </w:r>
        <w:r w:rsidR="00EB71BB">
          <w:rPr>
            <w:webHidden/>
          </w:rPr>
          <w:t>11</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5" w:history="1">
        <w:r w:rsidR="005E03B6" w:rsidRPr="00B66B49">
          <w:rPr>
            <w:rStyle w:val="Hyperlink"/>
          </w:rPr>
          <w:t>Chart 2.8 - CAIDI – Average Restoration Time</w:t>
        </w:r>
        <w:r w:rsidR="005E03B6">
          <w:rPr>
            <w:webHidden/>
          </w:rPr>
          <w:tab/>
        </w:r>
        <w:r>
          <w:rPr>
            <w:webHidden/>
          </w:rPr>
          <w:fldChar w:fldCharType="begin"/>
        </w:r>
        <w:r w:rsidR="005E03B6">
          <w:rPr>
            <w:webHidden/>
          </w:rPr>
          <w:instrText xml:space="preserve"> PAGEREF _Toc354492995 \h </w:instrText>
        </w:r>
        <w:r>
          <w:rPr>
            <w:webHidden/>
          </w:rPr>
        </w:r>
        <w:r>
          <w:rPr>
            <w:webHidden/>
          </w:rPr>
          <w:fldChar w:fldCharType="separate"/>
        </w:r>
        <w:r w:rsidR="00EB71BB">
          <w:rPr>
            <w:webHidden/>
          </w:rPr>
          <w:t>11</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2996" w:history="1">
        <w:r w:rsidR="005E03B6" w:rsidRPr="00B66B49">
          <w:rPr>
            <w:rStyle w:val="Hyperlink"/>
            <w:noProof/>
          </w:rPr>
          <w:t>OFFICE Indices</w:t>
        </w:r>
        <w:r w:rsidR="005E03B6">
          <w:rPr>
            <w:noProof/>
            <w:webHidden/>
          </w:rPr>
          <w:tab/>
        </w:r>
        <w:r>
          <w:rPr>
            <w:noProof/>
            <w:webHidden/>
          </w:rPr>
          <w:fldChar w:fldCharType="begin"/>
        </w:r>
        <w:r w:rsidR="005E03B6">
          <w:rPr>
            <w:noProof/>
            <w:webHidden/>
          </w:rPr>
          <w:instrText xml:space="preserve"> PAGEREF _Toc354492996 \h </w:instrText>
        </w:r>
        <w:r>
          <w:rPr>
            <w:noProof/>
            <w:webHidden/>
          </w:rPr>
        </w:r>
        <w:r>
          <w:rPr>
            <w:noProof/>
            <w:webHidden/>
          </w:rPr>
          <w:fldChar w:fldCharType="separate"/>
        </w:r>
        <w:r w:rsidR="00EB71BB">
          <w:rPr>
            <w:noProof/>
            <w:webHidden/>
          </w:rPr>
          <w:t>12</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7" w:history="1">
        <w:r w:rsidR="005E03B6" w:rsidRPr="00B66B49">
          <w:rPr>
            <w:rStyle w:val="Hyperlink"/>
          </w:rPr>
          <w:t>Chart 3.1 – SAIFI - Sustained Interruptions / Customer</w:t>
        </w:r>
        <w:r w:rsidR="005E03B6">
          <w:rPr>
            <w:webHidden/>
          </w:rPr>
          <w:tab/>
        </w:r>
        <w:r>
          <w:rPr>
            <w:webHidden/>
          </w:rPr>
          <w:fldChar w:fldCharType="begin"/>
        </w:r>
        <w:r w:rsidR="005E03B6">
          <w:rPr>
            <w:webHidden/>
          </w:rPr>
          <w:instrText xml:space="preserve"> PAGEREF _Toc354492997 \h </w:instrText>
        </w:r>
        <w:r>
          <w:rPr>
            <w:webHidden/>
          </w:rPr>
        </w:r>
        <w:r>
          <w:rPr>
            <w:webHidden/>
          </w:rPr>
          <w:fldChar w:fldCharType="separate"/>
        </w:r>
        <w:r w:rsidR="00EB71BB">
          <w:rPr>
            <w:webHidden/>
          </w:rPr>
          <w:t>12</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8" w:history="1">
        <w:r w:rsidR="005E03B6" w:rsidRPr="00B66B49">
          <w:rPr>
            <w:rStyle w:val="Hyperlink"/>
          </w:rPr>
          <w:t>Chart 3.2 - MAIFI Momentary Interruption Events / Customer</w:t>
        </w:r>
        <w:r w:rsidR="005E03B6">
          <w:rPr>
            <w:webHidden/>
          </w:rPr>
          <w:tab/>
        </w:r>
        <w:r>
          <w:rPr>
            <w:webHidden/>
          </w:rPr>
          <w:fldChar w:fldCharType="begin"/>
        </w:r>
        <w:r w:rsidR="005E03B6">
          <w:rPr>
            <w:webHidden/>
          </w:rPr>
          <w:instrText xml:space="preserve"> PAGEREF _Toc354492998 \h </w:instrText>
        </w:r>
        <w:r>
          <w:rPr>
            <w:webHidden/>
          </w:rPr>
        </w:r>
        <w:r>
          <w:rPr>
            <w:webHidden/>
          </w:rPr>
          <w:fldChar w:fldCharType="separate"/>
        </w:r>
        <w:r w:rsidR="00EB71BB">
          <w:rPr>
            <w:webHidden/>
          </w:rPr>
          <w:t>12</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2999" w:history="1">
        <w:r w:rsidR="005E03B6" w:rsidRPr="00B66B49">
          <w:rPr>
            <w:rStyle w:val="Hyperlink"/>
          </w:rPr>
          <w:t>Chart 3.3 - SAIDI – Average Outage Time / Customer</w:t>
        </w:r>
        <w:r w:rsidR="005E03B6">
          <w:rPr>
            <w:webHidden/>
          </w:rPr>
          <w:tab/>
        </w:r>
        <w:r>
          <w:rPr>
            <w:webHidden/>
          </w:rPr>
          <w:fldChar w:fldCharType="begin"/>
        </w:r>
        <w:r w:rsidR="005E03B6">
          <w:rPr>
            <w:webHidden/>
          </w:rPr>
          <w:instrText xml:space="preserve"> PAGEREF _Toc354492999 \h </w:instrText>
        </w:r>
        <w:r>
          <w:rPr>
            <w:webHidden/>
          </w:rPr>
        </w:r>
        <w:r>
          <w:rPr>
            <w:webHidden/>
          </w:rPr>
          <w:fldChar w:fldCharType="separate"/>
        </w:r>
        <w:r w:rsidR="00EB71BB">
          <w:rPr>
            <w:webHidden/>
          </w:rPr>
          <w:t>12</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00" w:history="1">
        <w:r w:rsidR="005E03B6" w:rsidRPr="00B66B49">
          <w:rPr>
            <w:rStyle w:val="Hyperlink"/>
          </w:rPr>
          <w:t>Chart 3.4 - CAIDI – Average Restoration Time</w:t>
        </w:r>
        <w:r w:rsidR="005E03B6">
          <w:rPr>
            <w:webHidden/>
          </w:rPr>
          <w:tab/>
        </w:r>
        <w:r>
          <w:rPr>
            <w:webHidden/>
          </w:rPr>
          <w:fldChar w:fldCharType="begin"/>
        </w:r>
        <w:r w:rsidR="005E03B6">
          <w:rPr>
            <w:webHidden/>
          </w:rPr>
          <w:instrText xml:space="preserve"> PAGEREF _Toc354493000 \h </w:instrText>
        </w:r>
        <w:r>
          <w:rPr>
            <w:webHidden/>
          </w:rPr>
        </w:r>
        <w:r>
          <w:rPr>
            <w:webHidden/>
          </w:rPr>
          <w:fldChar w:fldCharType="separate"/>
        </w:r>
        <w:r w:rsidR="00EB71BB">
          <w:rPr>
            <w:webHidden/>
          </w:rPr>
          <w:t>13</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01" w:history="1">
        <w:r w:rsidR="005E03B6" w:rsidRPr="00B66B49">
          <w:rPr>
            <w:rStyle w:val="Hyperlink"/>
            <w:noProof/>
          </w:rPr>
          <w:t>Areas of Concern</w:t>
        </w:r>
        <w:r w:rsidR="005E03B6">
          <w:rPr>
            <w:noProof/>
            <w:webHidden/>
          </w:rPr>
          <w:tab/>
        </w:r>
        <w:r>
          <w:rPr>
            <w:noProof/>
            <w:webHidden/>
          </w:rPr>
          <w:fldChar w:fldCharType="begin"/>
        </w:r>
        <w:r w:rsidR="005E03B6">
          <w:rPr>
            <w:noProof/>
            <w:webHidden/>
          </w:rPr>
          <w:instrText xml:space="preserve"> PAGEREF _Toc354493001 \h </w:instrText>
        </w:r>
        <w:r>
          <w:rPr>
            <w:noProof/>
            <w:webHidden/>
          </w:rPr>
        </w:r>
        <w:r>
          <w:rPr>
            <w:noProof/>
            <w:webHidden/>
          </w:rPr>
          <w:fldChar w:fldCharType="separate"/>
        </w:r>
        <w:r w:rsidR="00EB71BB">
          <w:rPr>
            <w:noProof/>
            <w:webHidden/>
          </w:rPr>
          <w:t>14</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02" w:history="1">
        <w:r w:rsidR="005E03B6" w:rsidRPr="00B66B49">
          <w:rPr>
            <w:rStyle w:val="Hyperlink"/>
          </w:rPr>
          <w:t>Cause Information</w:t>
        </w:r>
        <w:r w:rsidR="005E03B6">
          <w:rPr>
            <w:webHidden/>
          </w:rPr>
          <w:tab/>
        </w:r>
        <w:r>
          <w:rPr>
            <w:webHidden/>
          </w:rPr>
          <w:fldChar w:fldCharType="begin"/>
        </w:r>
        <w:r w:rsidR="005E03B6">
          <w:rPr>
            <w:webHidden/>
          </w:rPr>
          <w:instrText xml:space="preserve"> PAGEREF _Toc354493002 \h </w:instrText>
        </w:r>
        <w:r>
          <w:rPr>
            <w:webHidden/>
          </w:rPr>
        </w:r>
        <w:r>
          <w:rPr>
            <w:webHidden/>
          </w:rPr>
          <w:fldChar w:fldCharType="separate"/>
        </w:r>
        <w:r w:rsidR="00EB71BB">
          <w:rPr>
            <w:webHidden/>
          </w:rPr>
          <w:t>14</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03" w:history="1">
        <w:r w:rsidR="005E03B6" w:rsidRPr="00B66B49">
          <w:rPr>
            <w:rStyle w:val="Hyperlink"/>
          </w:rPr>
          <w:t>Colville Area Work Plans</w:t>
        </w:r>
        <w:r w:rsidR="005E03B6">
          <w:rPr>
            <w:webHidden/>
          </w:rPr>
          <w:tab/>
        </w:r>
        <w:r>
          <w:rPr>
            <w:webHidden/>
          </w:rPr>
          <w:fldChar w:fldCharType="begin"/>
        </w:r>
        <w:r w:rsidR="005E03B6">
          <w:rPr>
            <w:webHidden/>
          </w:rPr>
          <w:instrText xml:space="preserve"> PAGEREF _Toc354493003 \h </w:instrText>
        </w:r>
        <w:r>
          <w:rPr>
            <w:webHidden/>
          </w:rPr>
        </w:r>
        <w:r>
          <w:rPr>
            <w:webHidden/>
          </w:rPr>
          <w:fldChar w:fldCharType="separate"/>
        </w:r>
        <w:r w:rsidR="00EB71BB">
          <w:rPr>
            <w:webHidden/>
          </w:rPr>
          <w:t>17</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04" w:history="1">
        <w:r w:rsidR="005E03B6" w:rsidRPr="00B66B49">
          <w:rPr>
            <w:rStyle w:val="Hyperlink"/>
          </w:rPr>
          <w:t>Table 4.1 - Colville Area Major Reliability Projects by Feeder</w:t>
        </w:r>
        <w:r w:rsidR="005E03B6">
          <w:rPr>
            <w:webHidden/>
          </w:rPr>
          <w:tab/>
        </w:r>
        <w:r>
          <w:rPr>
            <w:webHidden/>
          </w:rPr>
          <w:fldChar w:fldCharType="begin"/>
        </w:r>
        <w:r w:rsidR="005E03B6">
          <w:rPr>
            <w:webHidden/>
          </w:rPr>
          <w:instrText xml:space="preserve"> PAGEREF _Toc354493004 \h </w:instrText>
        </w:r>
        <w:r>
          <w:rPr>
            <w:webHidden/>
          </w:rPr>
        </w:r>
        <w:r>
          <w:rPr>
            <w:webHidden/>
          </w:rPr>
          <w:fldChar w:fldCharType="separate"/>
        </w:r>
        <w:r w:rsidR="00EB71BB">
          <w:rPr>
            <w:webHidden/>
          </w:rPr>
          <w:t>18</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05" w:history="1">
        <w:r w:rsidR="005E03B6" w:rsidRPr="00B66B49">
          <w:rPr>
            <w:rStyle w:val="Hyperlink"/>
          </w:rPr>
          <w:t>Table 4.2 - Colville Area Historical &amp; Proposed Future Reliability Projects by Feeder</w:t>
        </w:r>
        <w:r w:rsidR="005E03B6">
          <w:rPr>
            <w:webHidden/>
          </w:rPr>
          <w:tab/>
        </w:r>
        <w:r>
          <w:rPr>
            <w:webHidden/>
          </w:rPr>
          <w:fldChar w:fldCharType="begin"/>
        </w:r>
        <w:r w:rsidR="005E03B6">
          <w:rPr>
            <w:webHidden/>
          </w:rPr>
          <w:instrText xml:space="preserve"> PAGEREF _Toc354493005 \h </w:instrText>
        </w:r>
        <w:r>
          <w:rPr>
            <w:webHidden/>
          </w:rPr>
        </w:r>
        <w:r>
          <w:rPr>
            <w:webHidden/>
          </w:rPr>
          <w:fldChar w:fldCharType="separate"/>
        </w:r>
        <w:r w:rsidR="00EB71BB">
          <w:rPr>
            <w:webHidden/>
          </w:rPr>
          <w:t>18</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06" w:history="1">
        <w:r w:rsidR="005E03B6" w:rsidRPr="00B66B49">
          <w:rPr>
            <w:rStyle w:val="Hyperlink"/>
          </w:rPr>
          <w:t>Avista System Wide Work Plans</w:t>
        </w:r>
        <w:r w:rsidR="005E03B6">
          <w:rPr>
            <w:webHidden/>
          </w:rPr>
          <w:tab/>
        </w:r>
        <w:r>
          <w:rPr>
            <w:webHidden/>
          </w:rPr>
          <w:fldChar w:fldCharType="begin"/>
        </w:r>
        <w:r w:rsidR="005E03B6">
          <w:rPr>
            <w:webHidden/>
          </w:rPr>
          <w:instrText xml:space="preserve"> PAGEREF _Toc354493006 \h </w:instrText>
        </w:r>
        <w:r>
          <w:rPr>
            <w:webHidden/>
          </w:rPr>
        </w:r>
        <w:r>
          <w:rPr>
            <w:webHidden/>
          </w:rPr>
          <w:fldChar w:fldCharType="separate"/>
        </w:r>
        <w:r w:rsidR="00EB71BB">
          <w:rPr>
            <w:webHidden/>
          </w:rPr>
          <w:t>19</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07" w:history="1">
        <w:r w:rsidR="005E03B6" w:rsidRPr="00B66B49">
          <w:rPr>
            <w:rStyle w:val="Hyperlink"/>
          </w:rPr>
          <w:t>Chart 4.1 – Squirrel Related Events</w:t>
        </w:r>
        <w:r w:rsidR="005E03B6">
          <w:rPr>
            <w:webHidden/>
          </w:rPr>
          <w:tab/>
        </w:r>
        <w:r>
          <w:rPr>
            <w:webHidden/>
          </w:rPr>
          <w:fldChar w:fldCharType="begin"/>
        </w:r>
        <w:r w:rsidR="005E03B6">
          <w:rPr>
            <w:webHidden/>
          </w:rPr>
          <w:instrText xml:space="preserve"> PAGEREF _Toc354493007 \h </w:instrText>
        </w:r>
        <w:r>
          <w:rPr>
            <w:webHidden/>
          </w:rPr>
        </w:r>
        <w:r>
          <w:rPr>
            <w:webHidden/>
          </w:rPr>
          <w:fldChar w:fldCharType="separate"/>
        </w:r>
        <w:r w:rsidR="00EB71BB">
          <w:rPr>
            <w:webHidden/>
          </w:rPr>
          <w:t>19</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08" w:history="1">
        <w:r w:rsidR="005E03B6" w:rsidRPr="00B66B49">
          <w:rPr>
            <w:rStyle w:val="Hyperlink"/>
          </w:rPr>
          <w:t>Chart 4.2 – Wood Pole Management Related Events</w:t>
        </w:r>
        <w:r w:rsidR="005E03B6">
          <w:rPr>
            <w:webHidden/>
          </w:rPr>
          <w:tab/>
        </w:r>
        <w:r>
          <w:rPr>
            <w:webHidden/>
          </w:rPr>
          <w:fldChar w:fldCharType="begin"/>
        </w:r>
        <w:r w:rsidR="005E03B6">
          <w:rPr>
            <w:webHidden/>
          </w:rPr>
          <w:instrText xml:space="preserve"> PAGEREF _Toc354493008 \h </w:instrText>
        </w:r>
        <w:r>
          <w:rPr>
            <w:webHidden/>
          </w:rPr>
        </w:r>
        <w:r>
          <w:rPr>
            <w:webHidden/>
          </w:rPr>
          <w:fldChar w:fldCharType="separate"/>
        </w:r>
        <w:r w:rsidR="00EB71BB">
          <w:rPr>
            <w:webHidden/>
          </w:rPr>
          <w:t>20</w:t>
        </w:r>
        <w:r>
          <w:rPr>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09" w:history="1">
        <w:r w:rsidR="005E03B6" w:rsidRPr="00B66B49">
          <w:rPr>
            <w:rStyle w:val="Hyperlink"/>
          </w:rPr>
          <w:t>Chart 4.3 – Wood Pole Management Actions</w:t>
        </w:r>
        <w:r w:rsidR="005E03B6">
          <w:rPr>
            <w:webHidden/>
          </w:rPr>
          <w:tab/>
        </w:r>
        <w:r>
          <w:rPr>
            <w:webHidden/>
          </w:rPr>
          <w:fldChar w:fldCharType="begin"/>
        </w:r>
        <w:r w:rsidR="005E03B6">
          <w:rPr>
            <w:webHidden/>
          </w:rPr>
          <w:instrText xml:space="preserve"> PAGEREF _Toc354493009 \h </w:instrText>
        </w:r>
        <w:r>
          <w:rPr>
            <w:webHidden/>
          </w:rPr>
        </w:r>
        <w:r>
          <w:rPr>
            <w:webHidden/>
          </w:rPr>
          <w:fldChar w:fldCharType="separate"/>
        </w:r>
        <w:r w:rsidR="00EB71BB">
          <w:rPr>
            <w:webHidden/>
          </w:rPr>
          <w:t>20</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0" w:history="1">
        <w:r w:rsidR="005E03B6" w:rsidRPr="00B66B49">
          <w:rPr>
            <w:rStyle w:val="Hyperlink"/>
            <w:rFonts w:cs="Arial"/>
          </w:rPr>
          <w:t>Avista Feeder Upgrade Program</w:t>
        </w:r>
        <w:r w:rsidR="005E03B6">
          <w:rPr>
            <w:webHidden/>
          </w:rPr>
          <w:tab/>
        </w:r>
        <w:r>
          <w:rPr>
            <w:webHidden/>
          </w:rPr>
          <w:fldChar w:fldCharType="begin"/>
        </w:r>
        <w:r w:rsidR="005E03B6">
          <w:rPr>
            <w:webHidden/>
          </w:rPr>
          <w:instrText xml:space="preserve"> PAGEREF _Toc354493010 \h </w:instrText>
        </w:r>
        <w:r>
          <w:rPr>
            <w:webHidden/>
          </w:rPr>
        </w:r>
        <w:r>
          <w:rPr>
            <w:webHidden/>
          </w:rPr>
          <w:fldChar w:fldCharType="separate"/>
        </w:r>
        <w:r w:rsidR="00EB71BB">
          <w:rPr>
            <w:webHidden/>
          </w:rPr>
          <w:t>21</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1" w:history="1">
        <w:r w:rsidR="005E03B6" w:rsidRPr="00B66B49">
          <w:rPr>
            <w:rStyle w:val="Hyperlink"/>
            <w:rFonts w:cs="Arial"/>
          </w:rPr>
          <w:t>Avista System Wide Vegetation Management Plan</w:t>
        </w:r>
        <w:r w:rsidR="005E03B6">
          <w:rPr>
            <w:webHidden/>
          </w:rPr>
          <w:tab/>
        </w:r>
        <w:r>
          <w:rPr>
            <w:webHidden/>
          </w:rPr>
          <w:fldChar w:fldCharType="begin"/>
        </w:r>
        <w:r w:rsidR="005E03B6">
          <w:rPr>
            <w:webHidden/>
          </w:rPr>
          <w:instrText xml:space="preserve"> PAGEREF _Toc354493011 \h </w:instrText>
        </w:r>
        <w:r>
          <w:rPr>
            <w:webHidden/>
          </w:rPr>
        </w:r>
        <w:r>
          <w:rPr>
            <w:webHidden/>
          </w:rPr>
          <w:fldChar w:fldCharType="separate"/>
        </w:r>
        <w:r w:rsidR="00EB71BB">
          <w:rPr>
            <w:webHidden/>
          </w:rPr>
          <w:t>21</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12" w:history="1">
        <w:r w:rsidR="005E03B6" w:rsidRPr="00B66B49">
          <w:rPr>
            <w:rStyle w:val="Hyperlink"/>
            <w:noProof/>
          </w:rPr>
          <w:t>Customers Experiencing Multiple Interruptions</w:t>
        </w:r>
        <w:r w:rsidR="005E03B6">
          <w:rPr>
            <w:noProof/>
            <w:webHidden/>
          </w:rPr>
          <w:tab/>
        </w:r>
        <w:r>
          <w:rPr>
            <w:noProof/>
            <w:webHidden/>
          </w:rPr>
          <w:fldChar w:fldCharType="begin"/>
        </w:r>
        <w:r w:rsidR="005E03B6">
          <w:rPr>
            <w:noProof/>
            <w:webHidden/>
          </w:rPr>
          <w:instrText xml:space="preserve"> PAGEREF _Toc354493012 \h </w:instrText>
        </w:r>
        <w:r>
          <w:rPr>
            <w:noProof/>
            <w:webHidden/>
          </w:rPr>
        </w:r>
        <w:r>
          <w:rPr>
            <w:noProof/>
            <w:webHidden/>
          </w:rPr>
          <w:fldChar w:fldCharType="separate"/>
        </w:r>
        <w:r w:rsidR="00EB71BB">
          <w:rPr>
            <w:noProof/>
            <w:webHidden/>
          </w:rPr>
          <w:t>22</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3" w:history="1">
        <w:r w:rsidR="005E03B6" w:rsidRPr="00B66B49">
          <w:rPr>
            <w:rStyle w:val="Hyperlink"/>
          </w:rPr>
          <w:t>Chart 5.1 - Avista Service Territory - CEMI</w:t>
        </w:r>
        <w:r w:rsidR="005E03B6" w:rsidRPr="00B66B49">
          <w:rPr>
            <w:rStyle w:val="Hyperlink"/>
            <w:i/>
            <w:vertAlign w:val="subscript"/>
          </w:rPr>
          <w:t>n</w:t>
        </w:r>
        <w:r w:rsidR="005E03B6">
          <w:rPr>
            <w:webHidden/>
          </w:rPr>
          <w:tab/>
        </w:r>
        <w:r>
          <w:rPr>
            <w:webHidden/>
          </w:rPr>
          <w:fldChar w:fldCharType="begin"/>
        </w:r>
        <w:r w:rsidR="005E03B6">
          <w:rPr>
            <w:webHidden/>
          </w:rPr>
          <w:instrText xml:space="preserve"> PAGEREF _Toc354493013 \h </w:instrText>
        </w:r>
        <w:r>
          <w:rPr>
            <w:webHidden/>
          </w:rPr>
        </w:r>
        <w:r>
          <w:rPr>
            <w:webHidden/>
          </w:rPr>
          <w:fldChar w:fldCharType="separate"/>
        </w:r>
        <w:r w:rsidR="00EB71BB">
          <w:rPr>
            <w:webHidden/>
          </w:rPr>
          <w:t>22</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4" w:history="1">
        <w:r w:rsidR="005E03B6" w:rsidRPr="00B66B49">
          <w:rPr>
            <w:rStyle w:val="Hyperlink"/>
          </w:rPr>
          <w:t>Chart 5.2 - Colville Office - CEMI</w:t>
        </w:r>
        <w:r w:rsidR="005E03B6" w:rsidRPr="00B66B49">
          <w:rPr>
            <w:rStyle w:val="Hyperlink"/>
            <w:i/>
            <w:vertAlign w:val="subscript"/>
          </w:rPr>
          <w:t>n</w:t>
        </w:r>
        <w:r w:rsidR="005E03B6">
          <w:rPr>
            <w:webHidden/>
          </w:rPr>
          <w:tab/>
        </w:r>
        <w:r>
          <w:rPr>
            <w:webHidden/>
          </w:rPr>
          <w:fldChar w:fldCharType="begin"/>
        </w:r>
        <w:r w:rsidR="005E03B6">
          <w:rPr>
            <w:webHidden/>
          </w:rPr>
          <w:instrText xml:space="preserve"> PAGEREF _Toc354493014 \h </w:instrText>
        </w:r>
        <w:r>
          <w:rPr>
            <w:webHidden/>
          </w:rPr>
        </w:r>
        <w:r>
          <w:rPr>
            <w:webHidden/>
          </w:rPr>
          <w:fldChar w:fldCharType="separate"/>
        </w:r>
        <w:r w:rsidR="00EB71BB">
          <w:rPr>
            <w:webHidden/>
          </w:rPr>
          <w:t>23</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5" w:history="1">
        <w:r w:rsidR="005E03B6" w:rsidRPr="00B66B49">
          <w:rPr>
            <w:rStyle w:val="Hyperlink"/>
          </w:rPr>
          <w:t>Chart 5.3 - Davenport Office - CEMI</w:t>
        </w:r>
        <w:r w:rsidR="005E03B6" w:rsidRPr="00B66B49">
          <w:rPr>
            <w:rStyle w:val="Hyperlink"/>
            <w:i/>
            <w:vertAlign w:val="subscript"/>
          </w:rPr>
          <w:t>n</w:t>
        </w:r>
        <w:r w:rsidR="005E03B6">
          <w:rPr>
            <w:webHidden/>
          </w:rPr>
          <w:tab/>
        </w:r>
        <w:r>
          <w:rPr>
            <w:webHidden/>
          </w:rPr>
          <w:fldChar w:fldCharType="begin"/>
        </w:r>
        <w:r w:rsidR="005E03B6">
          <w:rPr>
            <w:webHidden/>
          </w:rPr>
          <w:instrText xml:space="preserve"> PAGEREF _Toc354493015 \h </w:instrText>
        </w:r>
        <w:r>
          <w:rPr>
            <w:webHidden/>
          </w:rPr>
        </w:r>
        <w:r>
          <w:rPr>
            <w:webHidden/>
          </w:rPr>
          <w:fldChar w:fldCharType="separate"/>
        </w:r>
        <w:r w:rsidR="00EB71BB">
          <w:rPr>
            <w:webHidden/>
          </w:rPr>
          <w:t>24</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6" w:history="1">
        <w:r w:rsidR="005E03B6" w:rsidRPr="00B66B49">
          <w:rPr>
            <w:rStyle w:val="Hyperlink"/>
          </w:rPr>
          <w:t>Chart 5.4 - Deer Park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_Toc354493016 \h </w:instrText>
        </w:r>
        <w:r>
          <w:rPr>
            <w:webHidden/>
          </w:rPr>
        </w:r>
        <w:r>
          <w:rPr>
            <w:webHidden/>
          </w:rPr>
          <w:fldChar w:fldCharType="separate"/>
        </w:r>
        <w:r w:rsidR="00EB71BB">
          <w:rPr>
            <w:webHidden/>
          </w:rPr>
          <w:t>25</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7" w:history="1">
        <w:r w:rsidR="005E03B6" w:rsidRPr="00B66B49">
          <w:rPr>
            <w:rStyle w:val="Hyperlink"/>
          </w:rPr>
          <w:t>Chart 5.5 - Othello Office - CEMI</w:t>
        </w:r>
        <w:r w:rsidR="005E03B6" w:rsidRPr="00B66B49">
          <w:rPr>
            <w:rStyle w:val="Hyperlink"/>
            <w:i/>
            <w:vertAlign w:val="subscript"/>
          </w:rPr>
          <w:t>n</w:t>
        </w:r>
        <w:r w:rsidR="005E03B6">
          <w:rPr>
            <w:webHidden/>
          </w:rPr>
          <w:tab/>
        </w:r>
        <w:r>
          <w:rPr>
            <w:webHidden/>
          </w:rPr>
          <w:fldChar w:fldCharType="begin"/>
        </w:r>
        <w:r w:rsidR="005E03B6">
          <w:rPr>
            <w:webHidden/>
          </w:rPr>
          <w:instrText xml:space="preserve"> PAGEREF _Toc354493017 \h </w:instrText>
        </w:r>
        <w:r>
          <w:rPr>
            <w:webHidden/>
          </w:rPr>
        </w:r>
        <w:r>
          <w:rPr>
            <w:webHidden/>
          </w:rPr>
          <w:fldChar w:fldCharType="separate"/>
        </w:r>
        <w:r w:rsidR="00EB71BB">
          <w:rPr>
            <w:webHidden/>
          </w:rPr>
          <w:t>26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8" w:history="1">
        <w:r w:rsidR="005E03B6" w:rsidRPr="00B66B49">
          <w:rPr>
            <w:rStyle w:val="Hyperlink"/>
          </w:rPr>
          <w:t>Chart 5.6 - Palouse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_Toc354493018 \h </w:instrText>
        </w:r>
        <w:r>
          <w:rPr>
            <w:webHidden/>
          </w:rPr>
        </w:r>
        <w:r>
          <w:rPr>
            <w:webHidden/>
          </w:rPr>
          <w:fldChar w:fldCharType="separate"/>
        </w:r>
        <w:r w:rsidR="00EB71BB">
          <w:rPr>
            <w:webHidden/>
          </w:rPr>
          <w:t>27</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19" w:history="1">
        <w:r w:rsidR="005E03B6" w:rsidRPr="00B66B49">
          <w:rPr>
            <w:rStyle w:val="Hyperlink"/>
          </w:rPr>
          <w:t>Chart 5.7 - Lewis-Clark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_Toc354493019 \h </w:instrText>
        </w:r>
        <w:r>
          <w:rPr>
            <w:webHidden/>
          </w:rPr>
        </w:r>
        <w:r>
          <w:rPr>
            <w:webHidden/>
          </w:rPr>
          <w:fldChar w:fldCharType="separate"/>
        </w:r>
        <w:r w:rsidR="00EB71BB">
          <w:rPr>
            <w:webHidden/>
          </w:rPr>
          <w:t>28</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0" w:history="1">
        <w:r w:rsidR="005E03B6" w:rsidRPr="00B66B49">
          <w:rPr>
            <w:rStyle w:val="Hyperlink"/>
          </w:rPr>
          <w:t>Chart 5.8 - Spokane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_Toc354493020 \h </w:instrText>
        </w:r>
        <w:r>
          <w:rPr>
            <w:webHidden/>
          </w:rPr>
        </w:r>
        <w:r>
          <w:rPr>
            <w:webHidden/>
          </w:rPr>
          <w:fldChar w:fldCharType="separate"/>
        </w:r>
        <w:r w:rsidR="00EB71BB">
          <w:rPr>
            <w:webHidden/>
          </w:rPr>
          <w:t>29</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1" w:history="1">
        <w:r w:rsidR="005E03B6" w:rsidRPr="00B66B49">
          <w:rPr>
            <w:rStyle w:val="Hyperlink"/>
          </w:rPr>
          <w:t>Chart 5.9 - Sandpoint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_Toc354493021 \h </w:instrText>
        </w:r>
        <w:r>
          <w:rPr>
            <w:webHidden/>
          </w:rPr>
        </w:r>
        <w:r>
          <w:rPr>
            <w:webHidden/>
          </w:rPr>
          <w:fldChar w:fldCharType="separate"/>
        </w:r>
        <w:r w:rsidR="00EB71BB">
          <w:rPr>
            <w:webHidden/>
          </w:rPr>
          <w:t>30</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2" w:history="1">
        <w:r w:rsidR="005E03B6" w:rsidRPr="00B66B49">
          <w:rPr>
            <w:rStyle w:val="Hyperlink"/>
          </w:rPr>
          <w:t>Chart 5.10 - Kellogg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_Toc354493022 \h </w:instrText>
        </w:r>
        <w:r>
          <w:rPr>
            <w:webHidden/>
          </w:rPr>
        </w:r>
        <w:r>
          <w:rPr>
            <w:webHidden/>
          </w:rPr>
          <w:fldChar w:fldCharType="separate"/>
        </w:r>
        <w:r w:rsidR="00EB71BB">
          <w:rPr>
            <w:webHidden/>
          </w:rPr>
          <w:t>31</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3" w:history="1">
        <w:r w:rsidR="005E03B6" w:rsidRPr="00B66B49">
          <w:rPr>
            <w:rStyle w:val="Hyperlink"/>
          </w:rPr>
          <w:t>Chart 5.11 - Coeur d’Alene - CEMI</w:t>
        </w:r>
        <w:r w:rsidR="005E03B6" w:rsidRPr="00B66B49">
          <w:rPr>
            <w:rStyle w:val="Hyperlink"/>
            <w:i/>
            <w:vertAlign w:val="subscript"/>
          </w:rPr>
          <w:t>n</w:t>
        </w:r>
        <w:r w:rsidR="005E03B6">
          <w:rPr>
            <w:webHidden/>
          </w:rPr>
          <w:tab/>
        </w:r>
        <w:r>
          <w:rPr>
            <w:webHidden/>
          </w:rPr>
          <w:fldChar w:fldCharType="begin"/>
        </w:r>
        <w:r w:rsidR="005E03B6">
          <w:rPr>
            <w:webHidden/>
          </w:rPr>
          <w:instrText xml:space="preserve"> PAGEREF _Toc354493023 \h </w:instrText>
        </w:r>
        <w:r>
          <w:rPr>
            <w:webHidden/>
          </w:rPr>
        </w:r>
        <w:r>
          <w:rPr>
            <w:webHidden/>
          </w:rPr>
          <w:fldChar w:fldCharType="separate"/>
        </w:r>
        <w:r w:rsidR="00EB71BB">
          <w:rPr>
            <w:webHidden/>
          </w:rPr>
          <w:t>32</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4" w:history="1">
        <w:r w:rsidR="005E03B6" w:rsidRPr="00B66B49">
          <w:rPr>
            <w:rStyle w:val="Hyperlink"/>
          </w:rPr>
          <w:t>Chart 5.12 - Grangeville Office - CEMI</w:t>
        </w:r>
        <w:r w:rsidR="005E03B6" w:rsidRPr="00B66B49">
          <w:rPr>
            <w:rStyle w:val="Hyperlink"/>
            <w:i/>
            <w:iCs/>
            <w:vertAlign w:val="subscript"/>
          </w:rPr>
          <w:t>n</w:t>
        </w:r>
        <w:r w:rsidR="005E03B6">
          <w:rPr>
            <w:webHidden/>
          </w:rPr>
          <w:tab/>
        </w:r>
        <w:r>
          <w:rPr>
            <w:webHidden/>
          </w:rPr>
          <w:fldChar w:fldCharType="begin"/>
        </w:r>
        <w:r w:rsidR="005E03B6">
          <w:rPr>
            <w:webHidden/>
          </w:rPr>
          <w:instrText xml:space="preserve"> PAGEREF _Toc354493024 \h </w:instrText>
        </w:r>
        <w:r>
          <w:rPr>
            <w:webHidden/>
          </w:rPr>
        </w:r>
        <w:r>
          <w:rPr>
            <w:webHidden/>
          </w:rPr>
          <w:fldChar w:fldCharType="separate"/>
        </w:r>
        <w:r w:rsidR="00EB71BB">
          <w:rPr>
            <w:webHidden/>
          </w:rPr>
          <w:t>33</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25" w:history="1">
        <w:r w:rsidR="005E03B6" w:rsidRPr="00B66B49">
          <w:rPr>
            <w:rStyle w:val="Hyperlink"/>
            <w:noProof/>
          </w:rPr>
          <w:t>Monthly Indices</w:t>
        </w:r>
        <w:r w:rsidR="005E03B6">
          <w:rPr>
            <w:noProof/>
            <w:webHidden/>
          </w:rPr>
          <w:tab/>
        </w:r>
        <w:r>
          <w:rPr>
            <w:noProof/>
            <w:webHidden/>
          </w:rPr>
          <w:fldChar w:fldCharType="begin"/>
        </w:r>
        <w:r w:rsidR="005E03B6">
          <w:rPr>
            <w:noProof/>
            <w:webHidden/>
          </w:rPr>
          <w:instrText xml:space="preserve"> PAGEREF _Toc354493025 \h </w:instrText>
        </w:r>
        <w:r>
          <w:rPr>
            <w:noProof/>
            <w:webHidden/>
          </w:rPr>
        </w:r>
        <w:r>
          <w:rPr>
            <w:noProof/>
            <w:webHidden/>
          </w:rPr>
          <w:fldChar w:fldCharType="separate"/>
        </w:r>
        <w:r w:rsidR="00EB71BB">
          <w:rPr>
            <w:noProof/>
            <w:webHidden/>
          </w:rPr>
          <w:t>34</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6" w:history="1">
        <w:r w:rsidR="005E03B6" w:rsidRPr="00B66B49">
          <w:rPr>
            <w:rStyle w:val="Hyperlink"/>
          </w:rPr>
          <w:t>Chart 6.1 – SAIFI - Sustained Interruptions / Customer</w:t>
        </w:r>
        <w:r w:rsidR="005E03B6">
          <w:rPr>
            <w:webHidden/>
          </w:rPr>
          <w:tab/>
        </w:r>
        <w:r>
          <w:rPr>
            <w:webHidden/>
          </w:rPr>
          <w:fldChar w:fldCharType="begin"/>
        </w:r>
        <w:r w:rsidR="005E03B6">
          <w:rPr>
            <w:webHidden/>
          </w:rPr>
          <w:instrText xml:space="preserve"> PAGEREF _Toc354493026 \h </w:instrText>
        </w:r>
        <w:r>
          <w:rPr>
            <w:webHidden/>
          </w:rPr>
        </w:r>
        <w:r>
          <w:rPr>
            <w:webHidden/>
          </w:rPr>
          <w:fldChar w:fldCharType="separate"/>
        </w:r>
        <w:r w:rsidR="00EB71BB">
          <w:rPr>
            <w:webHidden/>
          </w:rPr>
          <w:t>34</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7" w:history="1">
        <w:r w:rsidR="005E03B6" w:rsidRPr="00B66B49">
          <w:rPr>
            <w:rStyle w:val="Hyperlink"/>
          </w:rPr>
          <w:t>Chart 6.2 - MAIFI Momentary Interruption Events / Customer</w:t>
        </w:r>
        <w:r w:rsidR="005E03B6">
          <w:rPr>
            <w:webHidden/>
          </w:rPr>
          <w:tab/>
        </w:r>
        <w:r>
          <w:rPr>
            <w:webHidden/>
          </w:rPr>
          <w:fldChar w:fldCharType="begin"/>
        </w:r>
        <w:r w:rsidR="005E03B6">
          <w:rPr>
            <w:webHidden/>
          </w:rPr>
          <w:instrText xml:space="preserve"> PAGEREF _Toc354493027 \h </w:instrText>
        </w:r>
        <w:r>
          <w:rPr>
            <w:webHidden/>
          </w:rPr>
        </w:r>
        <w:r>
          <w:rPr>
            <w:webHidden/>
          </w:rPr>
          <w:fldChar w:fldCharType="separate"/>
        </w:r>
        <w:r w:rsidR="00EB71BB">
          <w:rPr>
            <w:webHidden/>
          </w:rPr>
          <w:t>34</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8" w:history="1">
        <w:r w:rsidR="005E03B6" w:rsidRPr="00B66B49">
          <w:rPr>
            <w:rStyle w:val="Hyperlink"/>
          </w:rPr>
          <w:t>Chart 6.3 - SAIDI – Average Outage Time / Customer</w:t>
        </w:r>
        <w:r w:rsidR="005E03B6">
          <w:rPr>
            <w:webHidden/>
          </w:rPr>
          <w:tab/>
        </w:r>
        <w:r>
          <w:rPr>
            <w:webHidden/>
          </w:rPr>
          <w:fldChar w:fldCharType="begin"/>
        </w:r>
        <w:r w:rsidR="005E03B6">
          <w:rPr>
            <w:webHidden/>
          </w:rPr>
          <w:instrText xml:space="preserve"> PAGEREF _Toc354493028 \h </w:instrText>
        </w:r>
        <w:r>
          <w:rPr>
            <w:webHidden/>
          </w:rPr>
        </w:r>
        <w:r>
          <w:rPr>
            <w:webHidden/>
          </w:rPr>
          <w:fldChar w:fldCharType="separate"/>
        </w:r>
        <w:r w:rsidR="00EB71BB">
          <w:rPr>
            <w:webHidden/>
          </w:rPr>
          <w:t>35</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29" w:history="1">
        <w:r w:rsidR="005E03B6" w:rsidRPr="00B66B49">
          <w:rPr>
            <w:rStyle w:val="Hyperlink"/>
          </w:rPr>
          <w:t>Chart 6.4 - CAIDI – Average Restoration Time</w:t>
        </w:r>
        <w:r w:rsidR="005E03B6">
          <w:rPr>
            <w:webHidden/>
          </w:rPr>
          <w:tab/>
        </w:r>
        <w:r>
          <w:rPr>
            <w:webHidden/>
          </w:rPr>
          <w:fldChar w:fldCharType="begin"/>
        </w:r>
        <w:r w:rsidR="005E03B6">
          <w:rPr>
            <w:webHidden/>
          </w:rPr>
          <w:instrText xml:space="preserve"> PAGEREF _Toc354493029 \h </w:instrText>
        </w:r>
        <w:r>
          <w:rPr>
            <w:webHidden/>
          </w:rPr>
        </w:r>
        <w:r>
          <w:rPr>
            <w:webHidden/>
          </w:rPr>
          <w:fldChar w:fldCharType="separate"/>
        </w:r>
        <w:r w:rsidR="00EB71BB">
          <w:rPr>
            <w:webHidden/>
          </w:rPr>
          <w:t>35</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30" w:history="1">
        <w:r w:rsidR="005E03B6" w:rsidRPr="00B66B49">
          <w:rPr>
            <w:rStyle w:val="Hyperlink"/>
            <w:noProof/>
          </w:rPr>
          <w:t>Customer Complaints</w:t>
        </w:r>
        <w:r w:rsidR="005E03B6">
          <w:rPr>
            <w:noProof/>
            <w:webHidden/>
          </w:rPr>
          <w:tab/>
        </w:r>
        <w:r>
          <w:rPr>
            <w:noProof/>
            <w:webHidden/>
          </w:rPr>
          <w:fldChar w:fldCharType="begin"/>
        </w:r>
        <w:r w:rsidR="005E03B6">
          <w:rPr>
            <w:noProof/>
            <w:webHidden/>
          </w:rPr>
          <w:instrText xml:space="preserve"> PAGEREF _Toc354493030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1" w:history="1">
        <w:r w:rsidR="005E03B6" w:rsidRPr="00B66B49">
          <w:rPr>
            <w:rStyle w:val="Hyperlink"/>
          </w:rPr>
          <w:t>Table 7.1 - Commission Complaints</w:t>
        </w:r>
        <w:r w:rsidR="005E03B6">
          <w:rPr>
            <w:webHidden/>
          </w:rPr>
          <w:tab/>
        </w:r>
        <w:r>
          <w:rPr>
            <w:webHidden/>
          </w:rPr>
          <w:fldChar w:fldCharType="begin"/>
        </w:r>
        <w:r w:rsidR="005E03B6">
          <w:rPr>
            <w:webHidden/>
          </w:rPr>
          <w:instrText xml:space="preserve"> PAGEREF _Toc354493031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2" w:history="1">
        <w:r w:rsidR="005E03B6" w:rsidRPr="00B66B49">
          <w:rPr>
            <w:rStyle w:val="Hyperlink"/>
          </w:rPr>
          <w:t>Table 7.2 - Customer Complaints</w:t>
        </w:r>
        <w:r w:rsidR="005E03B6">
          <w:rPr>
            <w:webHidden/>
          </w:rPr>
          <w:tab/>
        </w:r>
        <w:r>
          <w:rPr>
            <w:webHidden/>
          </w:rPr>
          <w:fldChar w:fldCharType="begin"/>
        </w:r>
        <w:r w:rsidR="005E03B6">
          <w:rPr>
            <w:webHidden/>
          </w:rPr>
          <w:instrText xml:space="preserve"> PAGEREF _Toc354493032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33" w:history="1">
        <w:r w:rsidR="005E03B6" w:rsidRPr="00B66B49">
          <w:rPr>
            <w:rStyle w:val="Hyperlink"/>
            <w:noProof/>
          </w:rPr>
          <w:t>Sustained Interruption Causes</w:t>
        </w:r>
        <w:r w:rsidR="005E03B6">
          <w:rPr>
            <w:noProof/>
            <w:webHidden/>
          </w:rPr>
          <w:tab/>
        </w:r>
        <w:r>
          <w:rPr>
            <w:noProof/>
            <w:webHidden/>
          </w:rPr>
          <w:fldChar w:fldCharType="begin"/>
        </w:r>
        <w:r w:rsidR="005E03B6">
          <w:rPr>
            <w:noProof/>
            <w:webHidden/>
          </w:rPr>
          <w:instrText xml:space="preserve"> PAGEREF _Toc354493033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4" w:history="1">
        <w:r w:rsidR="005E03B6" w:rsidRPr="00B66B49">
          <w:rPr>
            <w:rStyle w:val="Hyperlink"/>
          </w:rPr>
          <w:t>Table 8.1 - % SAIFI per Cause by Office</w:t>
        </w:r>
        <w:r w:rsidR="005E03B6">
          <w:rPr>
            <w:webHidden/>
          </w:rPr>
          <w:tab/>
        </w:r>
        <w:r>
          <w:rPr>
            <w:webHidden/>
          </w:rPr>
          <w:fldChar w:fldCharType="begin"/>
        </w:r>
        <w:r w:rsidR="005E03B6">
          <w:rPr>
            <w:webHidden/>
          </w:rPr>
          <w:instrText xml:space="preserve"> PAGEREF _Toc354493034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5" w:history="1">
        <w:r w:rsidR="005E03B6" w:rsidRPr="00B66B49">
          <w:rPr>
            <w:rStyle w:val="Hyperlink"/>
          </w:rPr>
          <w:t>Chart 8.1 – % SAIFI per Cause by Office</w:t>
        </w:r>
        <w:r w:rsidR="005E03B6">
          <w:rPr>
            <w:webHidden/>
          </w:rPr>
          <w:tab/>
        </w:r>
        <w:r>
          <w:rPr>
            <w:webHidden/>
          </w:rPr>
          <w:fldChar w:fldCharType="begin"/>
        </w:r>
        <w:r w:rsidR="005E03B6">
          <w:rPr>
            <w:webHidden/>
          </w:rPr>
          <w:instrText xml:space="preserve"> PAGEREF _Toc354493035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6" w:history="1">
        <w:r w:rsidR="005E03B6" w:rsidRPr="00B66B49">
          <w:rPr>
            <w:rStyle w:val="Hyperlink"/>
          </w:rPr>
          <w:t>Table 8.2 - % SAIDI per Cause by Office</w:t>
        </w:r>
        <w:r w:rsidR="005E03B6">
          <w:rPr>
            <w:webHidden/>
          </w:rPr>
          <w:tab/>
        </w:r>
        <w:r>
          <w:rPr>
            <w:webHidden/>
          </w:rPr>
          <w:fldChar w:fldCharType="begin"/>
        </w:r>
        <w:r w:rsidR="005E03B6">
          <w:rPr>
            <w:webHidden/>
          </w:rPr>
          <w:instrText xml:space="preserve"> PAGEREF _Toc354493036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7" w:history="1">
        <w:r w:rsidR="005E03B6" w:rsidRPr="00B66B49">
          <w:rPr>
            <w:rStyle w:val="Hyperlink"/>
          </w:rPr>
          <w:t>Chart 8.2 – % SAIDI per Cause by Office</w:t>
        </w:r>
        <w:r w:rsidR="005E03B6">
          <w:rPr>
            <w:webHidden/>
          </w:rPr>
          <w:tab/>
        </w:r>
        <w:r>
          <w:rPr>
            <w:webHidden/>
          </w:rPr>
          <w:fldChar w:fldCharType="begin"/>
        </w:r>
        <w:r w:rsidR="005E03B6">
          <w:rPr>
            <w:webHidden/>
          </w:rPr>
          <w:instrText xml:space="preserve"> PAGEREF _Toc354493037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8" w:history="1">
        <w:r w:rsidR="005E03B6" w:rsidRPr="00B66B49">
          <w:rPr>
            <w:rStyle w:val="Hyperlink"/>
          </w:rPr>
          <w:t>Table 8.3 - % SAIFI per Cause by Month</w:t>
        </w:r>
        <w:r w:rsidR="005E03B6">
          <w:rPr>
            <w:webHidden/>
          </w:rPr>
          <w:tab/>
        </w:r>
        <w:r>
          <w:rPr>
            <w:webHidden/>
          </w:rPr>
          <w:fldChar w:fldCharType="begin"/>
        </w:r>
        <w:r w:rsidR="005E03B6">
          <w:rPr>
            <w:webHidden/>
          </w:rPr>
          <w:instrText xml:space="preserve"> PAGEREF _Toc354493038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39" w:history="1">
        <w:r w:rsidR="005E03B6" w:rsidRPr="00B66B49">
          <w:rPr>
            <w:rStyle w:val="Hyperlink"/>
          </w:rPr>
          <w:t>Chart 8.3 – % SAIFI per Cause by Month</w:t>
        </w:r>
        <w:r w:rsidR="005E03B6">
          <w:rPr>
            <w:webHidden/>
          </w:rPr>
          <w:tab/>
        </w:r>
        <w:r>
          <w:rPr>
            <w:webHidden/>
          </w:rPr>
          <w:fldChar w:fldCharType="begin"/>
        </w:r>
        <w:r w:rsidR="005E03B6">
          <w:rPr>
            <w:webHidden/>
          </w:rPr>
          <w:instrText xml:space="preserve"> PAGEREF _Toc354493039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0" w:history="1">
        <w:r w:rsidR="005E03B6" w:rsidRPr="00B66B49">
          <w:rPr>
            <w:rStyle w:val="Hyperlink"/>
          </w:rPr>
          <w:t>Table 8.4 - % SAIDI per Cause by Month</w:t>
        </w:r>
        <w:r w:rsidR="005E03B6">
          <w:rPr>
            <w:webHidden/>
          </w:rPr>
          <w:tab/>
        </w:r>
        <w:r>
          <w:rPr>
            <w:webHidden/>
          </w:rPr>
          <w:fldChar w:fldCharType="begin"/>
        </w:r>
        <w:r w:rsidR="005E03B6">
          <w:rPr>
            <w:webHidden/>
          </w:rPr>
          <w:instrText xml:space="preserve"> PAGEREF _Toc354493040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1" w:history="1">
        <w:r w:rsidR="005E03B6" w:rsidRPr="00B66B49">
          <w:rPr>
            <w:rStyle w:val="Hyperlink"/>
          </w:rPr>
          <w:t>Table 8.4.1 Average Outage Time</w:t>
        </w:r>
        <w:r w:rsidR="005E03B6">
          <w:rPr>
            <w:webHidden/>
          </w:rPr>
          <w:tab/>
        </w:r>
        <w:r>
          <w:rPr>
            <w:webHidden/>
          </w:rPr>
          <w:fldChar w:fldCharType="begin"/>
        </w:r>
        <w:r w:rsidR="005E03B6">
          <w:rPr>
            <w:webHidden/>
          </w:rPr>
          <w:instrText xml:space="preserve"> PAGEREF _Toc354493041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2" w:history="1">
        <w:r w:rsidR="005E03B6" w:rsidRPr="00B66B49">
          <w:rPr>
            <w:rStyle w:val="Hyperlink"/>
          </w:rPr>
          <w:t>Chart 8.4 – % SAIDI per Cause by Month</w:t>
        </w:r>
        <w:r w:rsidR="005E03B6">
          <w:rPr>
            <w:webHidden/>
          </w:rPr>
          <w:tab/>
        </w:r>
        <w:r>
          <w:rPr>
            <w:webHidden/>
          </w:rPr>
          <w:fldChar w:fldCharType="begin"/>
        </w:r>
        <w:r w:rsidR="005E03B6">
          <w:rPr>
            <w:webHidden/>
          </w:rPr>
          <w:instrText xml:space="preserve"> PAGEREF _Toc354493042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43" w:history="1">
        <w:r w:rsidR="005E03B6" w:rsidRPr="00B66B49">
          <w:rPr>
            <w:rStyle w:val="Hyperlink"/>
            <w:noProof/>
          </w:rPr>
          <w:t>Momentary Interruption Causes</w:t>
        </w:r>
        <w:r w:rsidR="005E03B6">
          <w:rPr>
            <w:noProof/>
            <w:webHidden/>
          </w:rPr>
          <w:tab/>
        </w:r>
        <w:r>
          <w:rPr>
            <w:noProof/>
            <w:webHidden/>
          </w:rPr>
          <w:fldChar w:fldCharType="begin"/>
        </w:r>
        <w:r w:rsidR="005E03B6">
          <w:rPr>
            <w:noProof/>
            <w:webHidden/>
          </w:rPr>
          <w:instrText xml:space="preserve"> PAGEREF _Toc354493043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4" w:history="1">
        <w:r w:rsidR="005E03B6" w:rsidRPr="00B66B49">
          <w:rPr>
            <w:rStyle w:val="Hyperlink"/>
          </w:rPr>
          <w:t>Table 9.1 - % MAIFI per Cause by Office</w:t>
        </w:r>
        <w:r w:rsidR="005E03B6">
          <w:rPr>
            <w:webHidden/>
          </w:rPr>
          <w:tab/>
        </w:r>
        <w:r>
          <w:rPr>
            <w:webHidden/>
          </w:rPr>
          <w:fldChar w:fldCharType="begin"/>
        </w:r>
        <w:r w:rsidR="005E03B6">
          <w:rPr>
            <w:webHidden/>
          </w:rPr>
          <w:instrText xml:space="preserve"> PAGEREF _Toc354493044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5" w:history="1">
        <w:r w:rsidR="005E03B6" w:rsidRPr="00B66B49">
          <w:rPr>
            <w:rStyle w:val="Hyperlink"/>
          </w:rPr>
          <w:t>Table 9.1.1 - % MAIFI per Cause by Office (Washington only)</w:t>
        </w:r>
        <w:r w:rsidR="005E03B6">
          <w:rPr>
            <w:webHidden/>
          </w:rPr>
          <w:tab/>
        </w:r>
        <w:r>
          <w:rPr>
            <w:webHidden/>
          </w:rPr>
          <w:fldChar w:fldCharType="begin"/>
        </w:r>
        <w:r w:rsidR="005E03B6">
          <w:rPr>
            <w:webHidden/>
          </w:rPr>
          <w:instrText xml:space="preserve"> PAGEREF _Toc354493045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6" w:history="1">
        <w:r w:rsidR="005E03B6" w:rsidRPr="00B66B49">
          <w:rPr>
            <w:rStyle w:val="Hyperlink"/>
          </w:rPr>
          <w:t>Chart 9.1 – % MAIFI per Cause by Office</w:t>
        </w:r>
        <w:r w:rsidR="005E03B6">
          <w:rPr>
            <w:webHidden/>
          </w:rPr>
          <w:tab/>
        </w:r>
        <w:r>
          <w:rPr>
            <w:webHidden/>
          </w:rPr>
          <w:fldChar w:fldCharType="begin"/>
        </w:r>
        <w:r w:rsidR="005E03B6">
          <w:rPr>
            <w:webHidden/>
          </w:rPr>
          <w:instrText xml:space="preserve"> PAGEREF _Toc354493046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7" w:history="1">
        <w:r w:rsidR="005E03B6" w:rsidRPr="00B66B49">
          <w:rPr>
            <w:rStyle w:val="Hyperlink"/>
          </w:rPr>
          <w:t>Table 9.2 - % MAIFI per Cause by Month</w:t>
        </w:r>
        <w:r w:rsidR="005E03B6">
          <w:rPr>
            <w:webHidden/>
          </w:rPr>
          <w:tab/>
        </w:r>
        <w:r>
          <w:rPr>
            <w:webHidden/>
          </w:rPr>
          <w:fldChar w:fldCharType="begin"/>
        </w:r>
        <w:r w:rsidR="005E03B6">
          <w:rPr>
            <w:webHidden/>
          </w:rPr>
          <w:instrText xml:space="preserve"> PAGEREF _Toc354493047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48" w:history="1">
        <w:r w:rsidR="005E03B6" w:rsidRPr="00B66B49">
          <w:rPr>
            <w:rStyle w:val="Hyperlink"/>
          </w:rPr>
          <w:t>Chart 9.2 – % MAIFI per Cause by Month</w:t>
        </w:r>
        <w:r w:rsidR="005E03B6">
          <w:rPr>
            <w:webHidden/>
          </w:rPr>
          <w:tab/>
        </w:r>
        <w:r>
          <w:rPr>
            <w:webHidden/>
          </w:rPr>
          <w:fldChar w:fldCharType="begin"/>
        </w:r>
        <w:r w:rsidR="005E03B6">
          <w:rPr>
            <w:webHidden/>
          </w:rPr>
          <w:instrText xml:space="preserve"> PAGEREF _Toc354493048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49" w:history="1">
        <w:r w:rsidR="005E03B6" w:rsidRPr="00B66B49">
          <w:rPr>
            <w:rStyle w:val="Hyperlink"/>
            <w:noProof/>
          </w:rPr>
          <w:t>Major Event Day Causes</w:t>
        </w:r>
        <w:r w:rsidR="005E03B6">
          <w:rPr>
            <w:noProof/>
            <w:webHidden/>
          </w:rPr>
          <w:tab/>
        </w:r>
        <w:r>
          <w:rPr>
            <w:noProof/>
            <w:webHidden/>
          </w:rPr>
          <w:fldChar w:fldCharType="begin"/>
        </w:r>
        <w:r w:rsidR="005E03B6">
          <w:rPr>
            <w:noProof/>
            <w:webHidden/>
          </w:rPr>
          <w:instrText xml:space="preserve"> PAGEREF _Toc354493049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50" w:history="1">
        <w:r w:rsidR="005E03B6" w:rsidRPr="00B66B49">
          <w:rPr>
            <w:rStyle w:val="Hyperlink"/>
          </w:rPr>
          <w:t>Chart 10.1 – % SAIFI by Cause Code for the Major Event Days</w:t>
        </w:r>
        <w:r w:rsidR="005E03B6">
          <w:rPr>
            <w:webHidden/>
          </w:rPr>
          <w:tab/>
        </w:r>
        <w:r>
          <w:rPr>
            <w:webHidden/>
          </w:rPr>
          <w:fldChar w:fldCharType="begin"/>
        </w:r>
        <w:r w:rsidR="005E03B6">
          <w:rPr>
            <w:webHidden/>
          </w:rPr>
          <w:instrText xml:space="preserve"> PAGEREF _Toc354493050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51" w:history="1">
        <w:r w:rsidR="005E03B6" w:rsidRPr="00B66B49">
          <w:rPr>
            <w:rStyle w:val="Hyperlink"/>
          </w:rPr>
          <w:t>Table 10.1 – % SAIFI by Sub Cause Code for the Major Event Days</w:t>
        </w:r>
        <w:r w:rsidR="005E03B6">
          <w:rPr>
            <w:webHidden/>
          </w:rPr>
          <w:tab/>
        </w:r>
        <w:r>
          <w:rPr>
            <w:webHidden/>
          </w:rPr>
          <w:fldChar w:fldCharType="begin"/>
        </w:r>
        <w:r w:rsidR="005E03B6">
          <w:rPr>
            <w:webHidden/>
          </w:rPr>
          <w:instrText xml:space="preserve"> PAGEREF _Toc354493051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52" w:history="1">
        <w:r w:rsidR="005E03B6" w:rsidRPr="00B66B49">
          <w:rPr>
            <w:rStyle w:val="Hyperlink"/>
          </w:rPr>
          <w:t>Table 10.2 – Yearly Summary of the Major Event Days</w:t>
        </w:r>
        <w:r w:rsidR="005E03B6">
          <w:rPr>
            <w:webHidden/>
          </w:rPr>
          <w:tab/>
        </w:r>
        <w:r>
          <w:rPr>
            <w:webHidden/>
          </w:rPr>
          <w:fldChar w:fldCharType="begin"/>
        </w:r>
        <w:r w:rsidR="005E03B6">
          <w:rPr>
            <w:webHidden/>
          </w:rPr>
          <w:instrText xml:space="preserve"> PAGEREF _Toc354493052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53" w:history="1">
        <w:r w:rsidR="005E03B6" w:rsidRPr="00B66B49">
          <w:rPr>
            <w:rStyle w:val="Hyperlink"/>
            <w:noProof/>
          </w:rPr>
          <w:t>Interruption Cause Codes</w:t>
        </w:r>
        <w:r w:rsidR="005E03B6">
          <w:rPr>
            <w:noProof/>
            <w:webHidden/>
          </w:rPr>
          <w:tab/>
        </w:r>
        <w:r>
          <w:rPr>
            <w:noProof/>
            <w:webHidden/>
          </w:rPr>
          <w:fldChar w:fldCharType="begin"/>
        </w:r>
        <w:r w:rsidR="005E03B6">
          <w:rPr>
            <w:noProof/>
            <w:webHidden/>
          </w:rPr>
          <w:instrText xml:space="preserve"> PAGEREF _Toc354493053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54" w:history="1">
        <w:r w:rsidR="005E03B6" w:rsidRPr="00B66B49">
          <w:rPr>
            <w:rStyle w:val="Hyperlink"/>
          </w:rPr>
          <w:t>Table 11.1 – Interruption Cause Codes</w:t>
        </w:r>
        <w:r w:rsidR="005E03B6">
          <w:rPr>
            <w:webHidden/>
          </w:rPr>
          <w:tab/>
        </w:r>
        <w:r>
          <w:rPr>
            <w:webHidden/>
          </w:rPr>
          <w:fldChar w:fldCharType="begin"/>
        </w:r>
        <w:r w:rsidR="005E03B6">
          <w:rPr>
            <w:webHidden/>
          </w:rPr>
          <w:instrText xml:space="preserve"> PAGEREF _Toc354493054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55" w:history="1">
        <w:r w:rsidR="005E03B6" w:rsidRPr="00B66B49">
          <w:rPr>
            <w:rStyle w:val="Hyperlink"/>
            <w:noProof/>
          </w:rPr>
          <w:t>Office Areas</w:t>
        </w:r>
        <w:r w:rsidR="005E03B6">
          <w:rPr>
            <w:noProof/>
            <w:webHidden/>
          </w:rPr>
          <w:tab/>
        </w:r>
        <w:r>
          <w:rPr>
            <w:noProof/>
            <w:webHidden/>
          </w:rPr>
          <w:fldChar w:fldCharType="begin"/>
        </w:r>
        <w:r w:rsidR="005E03B6">
          <w:rPr>
            <w:noProof/>
            <w:webHidden/>
          </w:rPr>
          <w:instrText xml:space="preserve"> PAGEREF _Toc354493055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56" w:history="1">
        <w:r w:rsidR="005E03B6" w:rsidRPr="00B66B49">
          <w:rPr>
            <w:rStyle w:val="Hyperlink"/>
          </w:rPr>
          <w:t>Chart 12.1 – Office Areas</w:t>
        </w:r>
        <w:r w:rsidR="005E03B6">
          <w:rPr>
            <w:webHidden/>
          </w:rPr>
          <w:tab/>
        </w:r>
        <w:r>
          <w:rPr>
            <w:webHidden/>
          </w:rPr>
          <w:fldChar w:fldCharType="begin"/>
        </w:r>
        <w:r w:rsidR="005E03B6">
          <w:rPr>
            <w:webHidden/>
          </w:rPr>
          <w:instrText xml:space="preserve"> PAGEREF _Toc354493056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57" w:history="1">
        <w:r w:rsidR="005E03B6" w:rsidRPr="00B66B49">
          <w:rPr>
            <w:rStyle w:val="Hyperlink"/>
            <w:noProof/>
          </w:rPr>
          <w:t>Indices Calculations</w:t>
        </w:r>
        <w:r w:rsidR="005E03B6">
          <w:rPr>
            <w:noProof/>
            <w:webHidden/>
          </w:rPr>
          <w:tab/>
        </w:r>
        <w:r>
          <w:rPr>
            <w:noProof/>
            <w:webHidden/>
          </w:rPr>
          <w:fldChar w:fldCharType="begin"/>
        </w:r>
        <w:r w:rsidR="005E03B6">
          <w:rPr>
            <w:noProof/>
            <w:webHidden/>
          </w:rPr>
          <w:instrText xml:space="preserve"> PAGEREF _Toc354493057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58" w:history="1">
        <w:r w:rsidR="005E03B6" w:rsidRPr="00B66B49">
          <w:rPr>
            <w:rStyle w:val="Hyperlink"/>
          </w:rPr>
          <w:t>Sustained Interruption</w:t>
        </w:r>
        <w:r w:rsidR="005E03B6">
          <w:rPr>
            <w:webHidden/>
          </w:rPr>
          <w:tab/>
        </w:r>
        <w:r>
          <w:rPr>
            <w:webHidden/>
          </w:rPr>
          <w:fldChar w:fldCharType="begin"/>
        </w:r>
        <w:r w:rsidR="005E03B6">
          <w:rPr>
            <w:webHidden/>
          </w:rPr>
          <w:instrText xml:space="preserve"> PAGEREF _Toc354493058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59" w:history="1">
        <w:r w:rsidR="005E03B6" w:rsidRPr="00B66B49">
          <w:rPr>
            <w:rStyle w:val="Hyperlink"/>
          </w:rPr>
          <w:t>Momentary Interruption Event</w:t>
        </w:r>
        <w:r w:rsidR="005E03B6">
          <w:rPr>
            <w:webHidden/>
          </w:rPr>
          <w:tab/>
        </w:r>
        <w:r>
          <w:rPr>
            <w:webHidden/>
          </w:rPr>
          <w:fldChar w:fldCharType="begin"/>
        </w:r>
        <w:r w:rsidR="005E03B6">
          <w:rPr>
            <w:webHidden/>
          </w:rPr>
          <w:instrText xml:space="preserve"> PAGEREF _Toc354493059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0" w:history="1">
        <w:r w:rsidR="005E03B6" w:rsidRPr="00B66B49">
          <w:rPr>
            <w:rStyle w:val="Hyperlink"/>
          </w:rPr>
          <w:t>SAIFI – System Average Interruption Frequency Index</w:t>
        </w:r>
        <w:r w:rsidR="005E03B6">
          <w:rPr>
            <w:webHidden/>
          </w:rPr>
          <w:tab/>
        </w:r>
        <w:r>
          <w:rPr>
            <w:webHidden/>
          </w:rPr>
          <w:fldChar w:fldCharType="begin"/>
        </w:r>
        <w:r w:rsidR="005E03B6">
          <w:rPr>
            <w:webHidden/>
          </w:rPr>
          <w:instrText xml:space="preserve"> PAGEREF _Toc354493060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1" w:history="1">
        <w:r w:rsidR="005E03B6" w:rsidRPr="00B66B49">
          <w:rPr>
            <w:rStyle w:val="Hyperlink"/>
          </w:rPr>
          <w:t>MAIFI</w:t>
        </w:r>
        <w:r w:rsidR="005E03B6" w:rsidRPr="00B66B49">
          <w:rPr>
            <w:rStyle w:val="Hyperlink"/>
            <w:vertAlign w:val="subscript"/>
          </w:rPr>
          <w:t>E</w:t>
        </w:r>
        <w:r w:rsidR="005E03B6" w:rsidRPr="00B66B49">
          <w:rPr>
            <w:rStyle w:val="Hyperlink"/>
          </w:rPr>
          <w:t xml:space="preserve"> – Momentary Average Interruption Event Frequency Index</w:t>
        </w:r>
        <w:r w:rsidR="005E03B6">
          <w:rPr>
            <w:webHidden/>
          </w:rPr>
          <w:tab/>
        </w:r>
        <w:r>
          <w:rPr>
            <w:webHidden/>
          </w:rPr>
          <w:fldChar w:fldCharType="begin"/>
        </w:r>
        <w:r w:rsidR="005E03B6">
          <w:rPr>
            <w:webHidden/>
          </w:rPr>
          <w:instrText xml:space="preserve"> PAGEREF _Toc354493061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2" w:history="1">
        <w:r w:rsidR="005E03B6" w:rsidRPr="00B66B49">
          <w:rPr>
            <w:rStyle w:val="Hyperlink"/>
          </w:rPr>
          <w:t>SAIDI – System Average Interruption Duration Index</w:t>
        </w:r>
        <w:r w:rsidR="005E03B6">
          <w:rPr>
            <w:webHidden/>
          </w:rPr>
          <w:tab/>
        </w:r>
        <w:r>
          <w:rPr>
            <w:webHidden/>
          </w:rPr>
          <w:fldChar w:fldCharType="begin"/>
        </w:r>
        <w:r w:rsidR="005E03B6">
          <w:rPr>
            <w:webHidden/>
          </w:rPr>
          <w:instrText xml:space="preserve"> PAGEREF _Toc354493062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3" w:history="1">
        <w:r w:rsidR="005E03B6" w:rsidRPr="00B66B49">
          <w:rPr>
            <w:rStyle w:val="Hyperlink"/>
          </w:rPr>
          <w:t>CAIDI – Customer Average Interruption Duration Index</w:t>
        </w:r>
        <w:r w:rsidR="005E03B6">
          <w:rPr>
            <w:webHidden/>
          </w:rPr>
          <w:tab/>
        </w:r>
        <w:r>
          <w:rPr>
            <w:webHidden/>
          </w:rPr>
          <w:fldChar w:fldCharType="begin"/>
        </w:r>
        <w:r w:rsidR="005E03B6">
          <w:rPr>
            <w:webHidden/>
          </w:rPr>
          <w:instrText xml:space="preserve"> PAGEREF _Toc354493063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4" w:history="1">
        <w:r w:rsidR="005E03B6" w:rsidRPr="00B66B49">
          <w:rPr>
            <w:rStyle w:val="Hyperlink"/>
          </w:rPr>
          <w:t>CEMI</w:t>
        </w:r>
        <w:r w:rsidR="005E03B6" w:rsidRPr="00B66B49">
          <w:rPr>
            <w:rStyle w:val="Hyperlink"/>
            <w:i/>
            <w:vertAlign w:val="subscript"/>
          </w:rPr>
          <w:t>n</w:t>
        </w:r>
        <w:r w:rsidR="005E03B6" w:rsidRPr="00B66B49">
          <w:rPr>
            <w:rStyle w:val="Hyperlink"/>
          </w:rPr>
          <w:t xml:space="preserve"> – Customers Experiencing Multiple Sustained Interruptions more than n.</w:t>
        </w:r>
        <w:r w:rsidR="005E03B6">
          <w:rPr>
            <w:webHidden/>
          </w:rPr>
          <w:tab/>
        </w:r>
        <w:r>
          <w:rPr>
            <w:webHidden/>
          </w:rPr>
          <w:fldChar w:fldCharType="begin"/>
        </w:r>
        <w:r w:rsidR="005E03B6">
          <w:rPr>
            <w:webHidden/>
          </w:rPr>
          <w:instrText xml:space="preserve"> PAGEREF _Toc354493064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5" w:history="1">
        <w:r w:rsidR="005E03B6" w:rsidRPr="00B66B49">
          <w:rPr>
            <w:rStyle w:val="Hyperlink"/>
          </w:rPr>
          <w:t>CEMSMI</w:t>
        </w:r>
        <w:r w:rsidR="005E03B6" w:rsidRPr="00B66B49">
          <w:rPr>
            <w:rStyle w:val="Hyperlink"/>
            <w:i/>
            <w:vertAlign w:val="subscript"/>
          </w:rPr>
          <w:t>n</w:t>
        </w:r>
        <w:r w:rsidR="005E03B6" w:rsidRPr="00B66B49">
          <w:rPr>
            <w:rStyle w:val="Hyperlink"/>
          </w:rPr>
          <w:t xml:space="preserve"> – Customers experiencing multiple sustained interruption and momentary interruption events.</w:t>
        </w:r>
        <w:r w:rsidR="005E03B6">
          <w:rPr>
            <w:webHidden/>
          </w:rPr>
          <w:tab/>
        </w:r>
        <w:r>
          <w:rPr>
            <w:webHidden/>
          </w:rPr>
          <w:fldChar w:fldCharType="begin"/>
        </w:r>
        <w:r w:rsidR="005E03B6">
          <w:rPr>
            <w:webHidden/>
          </w:rPr>
          <w:instrText xml:space="preserve"> PAGEREF _Toc354493065 \h </w:instrText>
        </w:r>
        <w:r>
          <w:rPr>
            <w:webHidden/>
          </w:rPr>
        </w:r>
        <w:r>
          <w:rPr>
            <w:webHidden/>
          </w:rPr>
          <w:fldChar w:fldCharType="separate"/>
        </w:r>
        <w:r w:rsidR="00EB71BB">
          <w:rPr>
            <w:webHidden/>
          </w:rPr>
          <w:t>36</w:t>
        </w:r>
        <w:r>
          <w:rPr>
            <w:webHidden/>
          </w:rPr>
          <w:fldChar w:fldCharType="end"/>
        </w:r>
      </w:hyperlink>
    </w:p>
    <w:p w:rsidR="005E03B6" w:rsidRDefault="00B7542A">
      <w:pPr>
        <w:pStyle w:val="TOC3"/>
        <w:rPr>
          <w:rFonts w:asciiTheme="minorHAnsi" w:eastAsiaTheme="minorEastAsia" w:hAnsiTheme="minorHAnsi" w:cstheme="minorBidi"/>
          <w:sz w:val="22"/>
          <w:szCs w:val="22"/>
        </w:rPr>
      </w:pPr>
      <w:hyperlink w:anchor="_Toc354493066" w:history="1">
        <w:r w:rsidR="005E03B6" w:rsidRPr="00B66B49">
          <w:rPr>
            <w:rStyle w:val="Hyperlink"/>
          </w:rPr>
          <w:t>MED - Major Event Day</w:t>
        </w:r>
        <w:r w:rsidR="005E03B6">
          <w:rPr>
            <w:webHidden/>
          </w:rPr>
          <w:tab/>
        </w:r>
        <w:r>
          <w:rPr>
            <w:webHidden/>
          </w:rPr>
          <w:fldChar w:fldCharType="begin"/>
        </w:r>
        <w:r w:rsidR="005E03B6">
          <w:rPr>
            <w:webHidden/>
          </w:rPr>
          <w:instrText xml:space="preserve"> PAGEREF _Toc354493066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67" w:history="1">
        <w:r w:rsidR="005E03B6" w:rsidRPr="00B66B49">
          <w:rPr>
            <w:rStyle w:val="Hyperlink"/>
            <w:noProof/>
          </w:rPr>
          <w:t>Numbers of Customers Served</w:t>
        </w:r>
        <w:r w:rsidR="005E03B6">
          <w:rPr>
            <w:noProof/>
            <w:webHidden/>
          </w:rPr>
          <w:tab/>
        </w:r>
        <w:r>
          <w:rPr>
            <w:noProof/>
            <w:webHidden/>
          </w:rPr>
          <w:fldChar w:fldCharType="begin"/>
        </w:r>
        <w:r w:rsidR="005E03B6">
          <w:rPr>
            <w:noProof/>
            <w:webHidden/>
          </w:rPr>
          <w:instrText xml:space="preserve"> PAGEREF _Toc354493067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4"/>
        <w:rPr>
          <w:rFonts w:asciiTheme="minorHAnsi" w:eastAsiaTheme="minorEastAsia" w:hAnsiTheme="minorHAnsi" w:cstheme="minorBidi"/>
          <w:sz w:val="22"/>
          <w:szCs w:val="22"/>
        </w:rPr>
      </w:pPr>
      <w:hyperlink w:anchor="_Toc354493068" w:history="1">
        <w:r w:rsidR="005E03B6" w:rsidRPr="00B66B49">
          <w:rPr>
            <w:rStyle w:val="Hyperlink"/>
          </w:rPr>
          <w:t>Table 13.1 – Numbers of Customers Served</w:t>
        </w:r>
        <w:r w:rsidR="005E03B6">
          <w:rPr>
            <w:webHidden/>
          </w:rPr>
          <w:tab/>
        </w:r>
        <w:r>
          <w:rPr>
            <w:webHidden/>
          </w:rPr>
          <w:fldChar w:fldCharType="begin"/>
        </w:r>
        <w:r w:rsidR="005E03B6">
          <w:rPr>
            <w:webHidden/>
          </w:rPr>
          <w:instrText xml:space="preserve"> PAGEREF _Toc354493068 \h </w:instrText>
        </w:r>
        <w:r>
          <w:rPr>
            <w:webHidden/>
          </w:rPr>
        </w:r>
        <w:r>
          <w:rPr>
            <w:webHidden/>
          </w:rPr>
          <w:fldChar w:fldCharType="separate"/>
        </w:r>
        <w:r w:rsidR="00EB71BB">
          <w:rPr>
            <w:webHidden/>
          </w:rPr>
          <w:t>36</w:t>
        </w:r>
        <w:r>
          <w:rPr>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69" w:history="1">
        <w:r w:rsidR="005E03B6" w:rsidRPr="00B66B49">
          <w:rPr>
            <w:rStyle w:val="Hyperlink"/>
            <w:noProof/>
          </w:rPr>
          <w:t>Attachment 1 – SAIDI and SAIFI Historical Summary</w:t>
        </w:r>
        <w:r w:rsidR="005E03B6">
          <w:rPr>
            <w:noProof/>
            <w:webHidden/>
          </w:rPr>
          <w:tab/>
        </w:r>
        <w:r>
          <w:rPr>
            <w:noProof/>
            <w:webHidden/>
          </w:rPr>
          <w:fldChar w:fldCharType="begin"/>
        </w:r>
        <w:r w:rsidR="005E03B6">
          <w:rPr>
            <w:noProof/>
            <w:webHidden/>
          </w:rPr>
          <w:instrText xml:space="preserve"> PAGEREF _Toc354493069 \h </w:instrText>
        </w:r>
        <w:r>
          <w:rPr>
            <w:noProof/>
            <w:webHidden/>
          </w:rPr>
        </w:r>
        <w:r>
          <w:rPr>
            <w:noProof/>
            <w:webHidden/>
          </w:rPr>
          <w:fldChar w:fldCharType="separate"/>
        </w:r>
        <w:r w:rsidR="00EB71BB">
          <w:rPr>
            <w:noProof/>
            <w:webHidden/>
          </w:rPr>
          <w:t>36</w:t>
        </w:r>
        <w:r>
          <w:rPr>
            <w:noProof/>
            <w:webHidden/>
          </w:rPr>
          <w:fldChar w:fldCharType="end"/>
        </w:r>
      </w:hyperlink>
    </w:p>
    <w:p w:rsidR="005E03B6" w:rsidRDefault="00B7542A">
      <w:pPr>
        <w:pStyle w:val="TOC1"/>
        <w:rPr>
          <w:rFonts w:asciiTheme="minorHAnsi" w:eastAsiaTheme="minorEastAsia" w:hAnsiTheme="minorHAnsi" w:cstheme="minorBidi"/>
          <w:b w:val="0"/>
          <w:caps w:val="0"/>
          <w:noProof/>
          <w:sz w:val="22"/>
          <w:szCs w:val="22"/>
        </w:rPr>
      </w:pPr>
      <w:hyperlink w:anchor="_Toc354493070" w:history="1">
        <w:r w:rsidR="005E03B6" w:rsidRPr="00B66B49">
          <w:rPr>
            <w:rStyle w:val="Hyperlink"/>
            <w:noProof/>
          </w:rPr>
          <w:t>Company Contact</w:t>
        </w:r>
        <w:r w:rsidR="005E03B6">
          <w:rPr>
            <w:noProof/>
            <w:webHidden/>
          </w:rPr>
          <w:tab/>
        </w:r>
        <w:r>
          <w:rPr>
            <w:noProof/>
            <w:webHidden/>
          </w:rPr>
          <w:fldChar w:fldCharType="begin"/>
        </w:r>
        <w:r w:rsidR="005E03B6">
          <w:rPr>
            <w:noProof/>
            <w:webHidden/>
          </w:rPr>
          <w:instrText xml:space="preserve"> PAGEREF _Toc354493070 \h </w:instrText>
        </w:r>
        <w:r>
          <w:rPr>
            <w:noProof/>
            <w:webHidden/>
          </w:rPr>
        </w:r>
        <w:r>
          <w:rPr>
            <w:noProof/>
            <w:webHidden/>
          </w:rPr>
          <w:fldChar w:fldCharType="separate"/>
        </w:r>
        <w:r w:rsidR="00EB71BB">
          <w:rPr>
            <w:noProof/>
            <w:webHidden/>
          </w:rPr>
          <w:t>36</w:t>
        </w:r>
        <w:r>
          <w:rPr>
            <w:noProof/>
            <w:webHidden/>
          </w:rPr>
          <w:fldChar w:fldCharType="end"/>
        </w:r>
      </w:hyperlink>
    </w:p>
    <w:p w:rsidR="002D5929" w:rsidRPr="002D5929" w:rsidRDefault="00B7542A" w:rsidP="005741C6">
      <w:pPr>
        <w:sectPr w:rsidR="002D5929" w:rsidRPr="002D5929" w:rsidSect="00F91972">
          <w:headerReference w:type="first" r:id="rId8"/>
          <w:pgSz w:w="12240" w:h="15840" w:code="1"/>
          <w:pgMar w:top="1008" w:right="1008" w:bottom="1008" w:left="1008" w:header="720" w:footer="720" w:gutter="0"/>
          <w:pgNumType w:fmt="lowerRoman"/>
          <w:cols w:space="720"/>
          <w:titlePg/>
        </w:sectPr>
      </w:pPr>
      <w:r>
        <w:rPr>
          <w:rFonts w:ascii="Arial" w:hAnsi="Arial"/>
          <w:b/>
          <w:caps/>
        </w:rPr>
        <w:fldChar w:fldCharType="end"/>
      </w:r>
    </w:p>
    <w:p w:rsidR="003A5969" w:rsidRDefault="003A5969">
      <w:pPr>
        <w:pStyle w:val="Heading1"/>
      </w:pPr>
      <w:bookmarkStart w:id="2" w:name="_Toc98906745"/>
      <w:bookmarkStart w:id="3" w:name="_Toc165342416"/>
      <w:bookmarkStart w:id="4" w:name="_Toc193710975"/>
      <w:bookmarkStart w:id="5" w:name="_Toc227571566"/>
      <w:bookmarkStart w:id="6" w:name="_Toc354492977"/>
      <w:r>
        <w:t>Introduction</w:t>
      </w:r>
      <w:bookmarkEnd w:id="1"/>
      <w:bookmarkEnd w:id="2"/>
      <w:bookmarkEnd w:id="3"/>
      <w:bookmarkEnd w:id="4"/>
      <w:bookmarkEnd w:id="5"/>
      <w:bookmarkEnd w:id="6"/>
    </w:p>
    <w:p w:rsidR="006176A2" w:rsidRPr="006176A2" w:rsidRDefault="006176A2" w:rsidP="006176A2"/>
    <w:p w:rsidR="00775947" w:rsidRDefault="00775947">
      <w:r>
        <w:t>Pursuant to WAC 480-100-398, Avista Corporat</w:t>
      </w:r>
      <w:r w:rsidR="007A32F0">
        <w:t>ion</w:t>
      </w:r>
      <w:r>
        <w:t xml:space="preserve"> dba Avista Utilities (“Avista” or “the Company”) submits its annual Electric Service Reliability Report.  The report describes the Company’s reliability monitoring and reliability metrics for </w:t>
      </w:r>
      <w:r w:rsidR="009D13D7">
        <w:t>201</w:t>
      </w:r>
      <w:r w:rsidR="00660C33">
        <w:t>2</w:t>
      </w:r>
      <w:r>
        <w:t xml:space="preserve">.  All numbers included in this report are based on system-data.  The Company’s system includes 11 geographical divisions with two of those divisions overlapping the Washington and Idaho border leading to a commingling of jurisdictional customers.  A map of Avista’s operating area is included on </w:t>
      </w:r>
      <w:r w:rsidR="00EB78F2" w:rsidRPr="00B77F87">
        <w:t>page 5</w:t>
      </w:r>
      <w:r w:rsidR="00992CA2">
        <w:t>6</w:t>
      </w:r>
      <w:r>
        <w:t xml:space="preserve"> of this report.</w:t>
      </w:r>
    </w:p>
    <w:p w:rsidR="00B0179D" w:rsidRDefault="00B0179D"/>
    <w:p w:rsidR="00B0179D" w:rsidRDefault="00B0179D" w:rsidP="00B0179D">
      <w:r>
        <w:t>WAC 480-100-393 (3</w:t>
      </w:r>
      <w:proofErr w:type="gramStart"/>
      <w:r>
        <w:t>)(</w:t>
      </w:r>
      <w:proofErr w:type="gramEnd"/>
      <w:r>
        <w:t xml:space="preserve">b) requires the establishment of baseline reliability statistics. The Company’s baseline statistics are included in this report and compare the current year data to the baseline year of 2005 and years in between. The Company also provides a statistical target that represents an analysis based on an average over a time period and adding two standard deviations. Year to year variations should be below this target, but may provide information that shows continuing trends.  </w:t>
      </w:r>
    </w:p>
    <w:p w:rsidR="00775947" w:rsidRDefault="00775947"/>
    <w:p w:rsidR="00775947" w:rsidRPr="00E873C2" w:rsidRDefault="00775947" w:rsidP="00775947">
      <w:r w:rsidRPr="00E873C2">
        <w:t>Avista has reported in its previous annual reports that the completion of the transition to the Outage Management Tool (OMT) system had caused an increase in the variability of the data collected from 2001 to 2007.</w:t>
      </w:r>
      <w:r w:rsidRPr="00E873C2">
        <w:rPr>
          <w:color w:val="FF0000"/>
        </w:rPr>
        <w:t xml:space="preserve"> </w:t>
      </w:r>
      <w:r w:rsidRPr="00E873C2">
        <w:t>The 2009 Annual Report (UE-100659)</w:t>
      </w:r>
      <w:r w:rsidRPr="00E873C2">
        <w:rPr>
          <w:color w:val="FF0000"/>
        </w:rPr>
        <w:t xml:space="preserve"> </w:t>
      </w:r>
      <w:r w:rsidRPr="00E873C2">
        <w:t xml:space="preserve">indicated that a gradual increase in the SAIFI and SAIDI </w:t>
      </w:r>
      <w:r w:rsidR="00B0179D" w:rsidRPr="00E873C2">
        <w:t>numbers that cannot be attributed to the transition to the OMT system</w:t>
      </w:r>
      <w:r w:rsidRPr="00E873C2">
        <w:t xml:space="preserve"> was occurring. This trend line is still showing a gradual increase but at a slower rate after including the 201</w:t>
      </w:r>
      <w:r w:rsidR="00E873C2" w:rsidRPr="00E873C2">
        <w:t>2</w:t>
      </w:r>
      <w:r w:rsidRPr="00E873C2">
        <w:t xml:space="preserve"> data. The charts on pages </w:t>
      </w:r>
      <w:r w:rsidR="00A005AA" w:rsidRPr="00E873C2">
        <w:t>8</w:t>
      </w:r>
      <w:r w:rsidRPr="00E873C2">
        <w:t xml:space="preserve"> and 1</w:t>
      </w:r>
      <w:r w:rsidR="00A005AA" w:rsidRPr="00E873C2">
        <w:t>1</w:t>
      </w:r>
      <w:r w:rsidRPr="00E873C2">
        <w:t xml:space="preserve"> show a trend line for SAIFI and SAIDI historical data.</w:t>
      </w:r>
    </w:p>
    <w:p w:rsidR="00775947" w:rsidRPr="00E873C2" w:rsidRDefault="00775947" w:rsidP="00775947"/>
    <w:p w:rsidR="00775947" w:rsidRPr="00E873C2" w:rsidRDefault="00775947" w:rsidP="00775947">
      <w:r w:rsidRPr="00E873C2">
        <w:t>Continued scrutiny will be important over the next year or two to determine if the rate of increase for SAIFI/SAIDI continues to slow, due to the reliability improvement programs implemented in 20</w:t>
      </w:r>
      <w:r w:rsidR="00A119FD" w:rsidRPr="00E873C2">
        <w:t>1</w:t>
      </w:r>
      <w:r w:rsidRPr="00E873C2">
        <w:t>0, 201</w:t>
      </w:r>
      <w:r w:rsidR="00A119FD" w:rsidRPr="00E873C2">
        <w:t>1</w:t>
      </w:r>
      <w:r w:rsidRPr="00E873C2">
        <w:t>, and 201</w:t>
      </w:r>
      <w:r w:rsidR="00A119FD" w:rsidRPr="00E873C2">
        <w:t>2</w:t>
      </w:r>
      <w:r w:rsidRPr="00E873C2">
        <w:t xml:space="preserve">. </w:t>
      </w:r>
    </w:p>
    <w:p w:rsidR="00B0179D" w:rsidRPr="00E873C2" w:rsidRDefault="00B0179D" w:rsidP="00775947"/>
    <w:p w:rsidR="00775947" w:rsidRDefault="00775947" w:rsidP="00775947">
      <w:r w:rsidRPr="00E873C2">
        <w:t xml:space="preserve">The </w:t>
      </w:r>
      <w:r w:rsidR="009D13D7" w:rsidRPr="00E873C2">
        <w:t>201</w:t>
      </w:r>
      <w:r w:rsidR="00E873C2" w:rsidRPr="00E873C2">
        <w:t>2</w:t>
      </w:r>
      <w:r w:rsidR="009D13D7" w:rsidRPr="00E873C2">
        <w:t xml:space="preserve"> </w:t>
      </w:r>
      <w:r w:rsidRPr="00E873C2">
        <w:t xml:space="preserve">SAIFI and SAIDI reliability indices are </w:t>
      </w:r>
      <w:r w:rsidR="00877402" w:rsidRPr="00E873C2">
        <w:t xml:space="preserve">slightly </w:t>
      </w:r>
      <w:r w:rsidR="00EB78F2" w:rsidRPr="00E873C2">
        <w:t>higher</w:t>
      </w:r>
      <w:r w:rsidRPr="00E873C2">
        <w:t xml:space="preserve"> than the 2005 baseline, which may be due to the under reporting that may have occurred during the transition to OMT in 2005. </w:t>
      </w:r>
      <w:r w:rsidR="00B0179D" w:rsidRPr="00E873C2">
        <w:t>On another n</w:t>
      </w:r>
      <w:r w:rsidRPr="00E873C2">
        <w:t>ote both</w:t>
      </w:r>
      <w:r w:rsidR="00B0179D" w:rsidRPr="00E873C2">
        <w:t xml:space="preserve"> the 201</w:t>
      </w:r>
      <w:r w:rsidR="00E873C2" w:rsidRPr="00E873C2">
        <w:t>2</w:t>
      </w:r>
      <w:r w:rsidRPr="00E873C2">
        <w:t xml:space="preserve"> MAIFI and CAIDI </w:t>
      </w:r>
      <w:r w:rsidR="00B0179D" w:rsidRPr="00E873C2">
        <w:t xml:space="preserve">reliability indices </w:t>
      </w:r>
      <w:r w:rsidR="00EB78F2" w:rsidRPr="00E873C2">
        <w:t>are below</w:t>
      </w:r>
      <w:r w:rsidRPr="00E873C2">
        <w:t xml:space="preserve"> the 2005 baseline.</w:t>
      </w:r>
    </w:p>
    <w:p w:rsidR="00B0179D" w:rsidRDefault="00B0179D" w:rsidP="00775947"/>
    <w:p w:rsidR="00B0179D" w:rsidRDefault="00B0179D" w:rsidP="00B0179D">
      <w:r w:rsidRPr="004C3833">
        <w:t xml:space="preserve">Avista added a new section </w:t>
      </w:r>
      <w:r>
        <w:t>beginning in</w:t>
      </w:r>
      <w:r w:rsidRPr="004C3833">
        <w:t xml:space="preserve"> the 2007 annual report</w:t>
      </w:r>
      <w:r>
        <w:t xml:space="preserve"> (UE-080787) </w:t>
      </w:r>
      <w:r w:rsidRPr="004C3833">
        <w:t>which analyzes the areas where customers are experiencing multiple sustained outages. This new section provide</w:t>
      </w:r>
      <w:r w:rsidR="002E54CF">
        <w:t>s analysis of a reliability index</w:t>
      </w:r>
      <w:r w:rsidRPr="004C3833">
        <w:t xml:space="preserve"> called C</w:t>
      </w:r>
      <w:r>
        <w:t>EMI</w:t>
      </w:r>
      <w:r w:rsidRPr="007D56F3">
        <w:rPr>
          <w:i/>
          <w:sz w:val="28"/>
          <w:vertAlign w:val="subscript"/>
        </w:rPr>
        <w:t>n</w:t>
      </w:r>
      <w:r>
        <w:t xml:space="preserve">, which implies Customers Experiencing Multiple sustained Interruptions more than n times. </w:t>
      </w:r>
    </w:p>
    <w:p w:rsidR="00775947" w:rsidRDefault="00775947"/>
    <w:p w:rsidR="00B0179D" w:rsidRDefault="00B0179D" w:rsidP="00B0179D">
      <w:r>
        <w:t>Avista continues to review its annual baseline reliability statistics in light of operational experience under current regulatory protocol.  Avista may modify its baseline statistics as appropriate and will update the Commission accordingly.</w:t>
      </w:r>
    </w:p>
    <w:p w:rsidR="00B0179D" w:rsidRDefault="00B0179D" w:rsidP="00903390"/>
    <w:p w:rsidR="00903390" w:rsidRDefault="00903390" w:rsidP="00903390"/>
    <w:p w:rsidR="00D670B4" w:rsidRDefault="00D670B4" w:rsidP="00903390"/>
    <w:p w:rsidR="00D670B4" w:rsidRPr="00D670B4" w:rsidRDefault="00D670B4" w:rsidP="00903390">
      <w:r>
        <w:t xml:space="preserve"> </w:t>
      </w:r>
    </w:p>
    <w:p w:rsidR="0037482A" w:rsidRDefault="0037482A">
      <w:pPr>
        <w:sectPr w:rsidR="0037482A" w:rsidSect="002A49F9">
          <w:headerReference w:type="even" r:id="rId9"/>
          <w:headerReference w:type="default" r:id="rId10"/>
          <w:footerReference w:type="default" r:id="rId11"/>
          <w:headerReference w:type="first" r:id="rId12"/>
          <w:type w:val="oddPage"/>
          <w:pgSz w:w="12240" w:h="15840" w:code="1"/>
          <w:pgMar w:top="1008" w:right="1008" w:bottom="1008" w:left="1008" w:header="720" w:footer="720" w:gutter="0"/>
          <w:pgNumType w:start="1"/>
          <w:cols w:space="720"/>
        </w:sectPr>
      </w:pPr>
    </w:p>
    <w:p w:rsidR="00E82B35" w:rsidRDefault="00E82B35" w:rsidP="00E82B35">
      <w:pPr>
        <w:pStyle w:val="Heading1"/>
      </w:pPr>
      <w:bookmarkStart w:id="7" w:name="_Toc98906749"/>
      <w:bookmarkStart w:id="8" w:name="_Toc165342420"/>
      <w:bookmarkStart w:id="9" w:name="_Toc193710980"/>
      <w:bookmarkStart w:id="10" w:name="_Toc227571572"/>
      <w:bookmarkStart w:id="11" w:name="_Toc354492978"/>
      <w:bookmarkStart w:id="12" w:name="_Toc98906746"/>
      <w:bookmarkStart w:id="13" w:name="_Toc165342417"/>
      <w:bookmarkStart w:id="14" w:name="_Toc193710976"/>
      <w:bookmarkStart w:id="15" w:name="_Toc227571567"/>
      <w:r>
        <w:t>Definitions</w:t>
      </w:r>
      <w:bookmarkEnd w:id="7"/>
      <w:bookmarkEnd w:id="8"/>
      <w:bookmarkEnd w:id="9"/>
      <w:bookmarkEnd w:id="10"/>
      <w:bookmarkEnd w:id="11"/>
    </w:p>
    <w:p w:rsidR="006176A2" w:rsidRPr="006176A2" w:rsidRDefault="006176A2" w:rsidP="006176A2"/>
    <w:p w:rsidR="00E82B35" w:rsidRPr="004B7F16" w:rsidRDefault="00E82B35" w:rsidP="00E82B35">
      <w:pPr>
        <w:pStyle w:val="Header"/>
        <w:tabs>
          <w:tab w:val="clear" w:pos="4320"/>
          <w:tab w:val="clear" w:pos="8640"/>
        </w:tabs>
        <w:rPr>
          <w:color w:val="000000"/>
        </w:rPr>
      </w:pPr>
      <w:r>
        <w:t>“</w:t>
      </w:r>
      <w:r>
        <w:rPr>
          <w:i/>
          <w:color w:val="000000"/>
        </w:rPr>
        <w:t>Reliability Statistic”</w:t>
      </w:r>
      <w:r>
        <w:rPr>
          <w:color w:val="000000"/>
        </w:rPr>
        <w:t xml:space="preserve"> – Standard Statistics measures and calculation methods are per the IEEE Standard 1366-2003 (or latest version) Titled “IEEE Guide for Electric Power Distribution Reliability Indices”. </w:t>
      </w:r>
      <w:proofErr w:type="gramStart"/>
      <w:r>
        <w:rPr>
          <w:color w:val="000000"/>
        </w:rPr>
        <w:t>Same as Reliability Indices.</w:t>
      </w:r>
      <w:proofErr w:type="gramEnd"/>
    </w:p>
    <w:p w:rsidR="00E82B35" w:rsidRDefault="00E82B35" w:rsidP="00E82B35">
      <w:pPr>
        <w:pStyle w:val="Header"/>
        <w:tabs>
          <w:tab w:val="clear" w:pos="4320"/>
          <w:tab w:val="clear" w:pos="8640"/>
        </w:tabs>
      </w:pPr>
    </w:p>
    <w:p w:rsidR="00E82B35" w:rsidRPr="005471F3" w:rsidRDefault="00E82B35" w:rsidP="00E82B35">
      <w:pPr>
        <w:pStyle w:val="BodyText"/>
        <w:rPr>
          <w:sz w:val="24"/>
        </w:rPr>
      </w:pPr>
      <w:r w:rsidRPr="005471F3">
        <w:rPr>
          <w:i/>
          <w:sz w:val="24"/>
        </w:rPr>
        <w:t>"Major event"</w:t>
      </w:r>
      <w:r w:rsidRPr="005471F3">
        <w:rPr>
          <w:sz w:val="24"/>
        </w:rPr>
        <w:t xml:space="preserve"> – Modified this definition to the IEEE Standard 1366-20</w:t>
      </w:r>
      <w:r w:rsidR="00660C33">
        <w:rPr>
          <w:sz w:val="24"/>
        </w:rPr>
        <w:t>12</w:t>
      </w:r>
      <w:r w:rsidRPr="005471F3">
        <w:rPr>
          <w:sz w:val="24"/>
        </w:rPr>
        <w:t xml:space="preserve"> (or latest version) of Major Event Day (MED), which uses a process “Beta Method” to identify a Major Event Day. The previous definition was “An event that impacts more than 5% of the Company’s customers and causes outages of more than 24 hours in duration in any given division within its territory”.</w:t>
      </w:r>
    </w:p>
    <w:p w:rsidR="00E82B35" w:rsidRDefault="00E82B35" w:rsidP="00E82B35">
      <w:pPr>
        <w:pStyle w:val="BodyText"/>
      </w:pPr>
    </w:p>
    <w:p w:rsidR="00E82B35" w:rsidRDefault="00E82B35" w:rsidP="00E82B35">
      <w:proofErr w:type="gramStart"/>
      <w:r>
        <w:rPr>
          <w:i/>
        </w:rPr>
        <w:t>“Sustained Interruption”</w:t>
      </w:r>
      <w:r>
        <w:t xml:space="preserve"> - An interruption lasting longer than 5 minutes.</w:t>
      </w:r>
      <w:proofErr w:type="gramEnd"/>
      <w:r>
        <w:t xml:space="preserve"> </w:t>
      </w:r>
    </w:p>
    <w:p w:rsidR="00E82B35" w:rsidRDefault="00E82B35" w:rsidP="00E82B35"/>
    <w:p w:rsidR="00E82B35" w:rsidRDefault="00E82B35" w:rsidP="00E82B35">
      <w:proofErr w:type="gramStart"/>
      <w:r>
        <w:rPr>
          <w:i/>
        </w:rPr>
        <w:t xml:space="preserve">“Momentary Event Interruption” – </w:t>
      </w:r>
      <w:r>
        <w:t>An interruption(s) of duration 5 minutes or less.</w:t>
      </w:r>
      <w:proofErr w:type="gramEnd"/>
      <w:r>
        <w:t xml:space="preserve">  Each event consists of one trip and one reclose operation that occur within 5 minutes.  For example, if an interrupting device operates three times and then holds, this would be counted as three events with the number of customers affected as three times the Ni.</w:t>
      </w:r>
    </w:p>
    <w:p w:rsidR="00E82B35" w:rsidRDefault="00E82B35" w:rsidP="00E82B35"/>
    <w:p w:rsidR="00E82B35" w:rsidRDefault="00E82B35" w:rsidP="00E82B35">
      <w:pPr>
        <w:rPr>
          <w:color w:val="000000"/>
        </w:rPr>
      </w:pPr>
      <w:r>
        <w:rPr>
          <w:i/>
          <w:color w:val="000000"/>
        </w:rPr>
        <w:t>"Baseline reliability statistic"</w:t>
      </w:r>
      <w:r>
        <w:rPr>
          <w:color w:val="000000"/>
        </w:rPr>
        <w:t xml:space="preserve"> – Avista will compare its reliability statistics to the year 2005.</w:t>
      </w:r>
    </w:p>
    <w:p w:rsidR="00E82B35" w:rsidRDefault="00E82B35" w:rsidP="00E82B35">
      <w:pPr>
        <w:rPr>
          <w:color w:val="000000"/>
        </w:rPr>
      </w:pPr>
    </w:p>
    <w:p w:rsidR="00E82B35" w:rsidRDefault="00E82B35" w:rsidP="00590A50">
      <w:pPr>
        <w:rPr>
          <w:color w:val="000000"/>
        </w:rPr>
      </w:pPr>
      <w:r w:rsidRPr="006E5748">
        <w:rPr>
          <w:i/>
          <w:color w:val="000000"/>
        </w:rPr>
        <w:t>“Reliability Target”</w:t>
      </w:r>
      <w:r>
        <w:rPr>
          <w:color w:val="000000"/>
        </w:rPr>
        <w:t xml:space="preserve"> - A statistical method was developed in 2004 for baseline statistics. The method is defined as the average over a specific timeframe and 2 times the standard deviation. For 95% of the time, the Reliability Statistic should be below the </w:t>
      </w:r>
      <w:r w:rsidR="000764E0">
        <w:rPr>
          <w:color w:val="000000"/>
        </w:rPr>
        <w:t>target</w:t>
      </w:r>
      <w:r>
        <w:rPr>
          <w:color w:val="000000"/>
        </w:rPr>
        <w:t>.</w:t>
      </w:r>
    </w:p>
    <w:p w:rsidR="00E82B35" w:rsidRDefault="00E82B35" w:rsidP="00E82B35">
      <w:pPr>
        <w:rPr>
          <w:color w:val="000000"/>
        </w:rPr>
      </w:pPr>
    </w:p>
    <w:p w:rsidR="00E82B35" w:rsidRPr="00A10E07" w:rsidRDefault="00E82B35" w:rsidP="00590A50">
      <w:pPr>
        <w:rPr>
          <w:color w:val="000000"/>
        </w:rPr>
      </w:pPr>
      <w:r w:rsidRPr="00E050A5">
        <w:rPr>
          <w:color w:val="000000"/>
        </w:rPr>
        <w:t>“</w:t>
      </w:r>
      <w:r w:rsidRPr="00E050A5">
        <w:rPr>
          <w:i/>
          <w:color w:val="000000"/>
        </w:rPr>
        <w:t xml:space="preserve">Customer Complaint” - </w:t>
      </w:r>
      <w:r w:rsidRPr="00E050A5">
        <w:rPr>
          <w:color w:val="000000"/>
        </w:rPr>
        <w:t>When a customer is not satisfied with the Company as it relates to Electric Reliability and makes a complaint directly to a Company representative.</w:t>
      </w:r>
    </w:p>
    <w:p w:rsidR="00E82B35" w:rsidRDefault="00E82B35" w:rsidP="00590A50">
      <w:pPr>
        <w:rPr>
          <w:color w:val="000000"/>
        </w:rPr>
      </w:pPr>
    </w:p>
    <w:p w:rsidR="00E82B35" w:rsidRDefault="00E82B35" w:rsidP="00590A50">
      <w:pPr>
        <w:rPr>
          <w:color w:val="000000"/>
        </w:rPr>
      </w:pPr>
      <w:r w:rsidRPr="00E45B66">
        <w:rPr>
          <w:i/>
          <w:color w:val="000000"/>
        </w:rPr>
        <w:t>“Commission Complaint”</w:t>
      </w:r>
      <w:r w:rsidRPr="00E050A5">
        <w:rPr>
          <w:color w:val="000000"/>
        </w:rPr>
        <w:t xml:space="preserve"> – When a customer is not satisfied with the Company as it relates to Electric Reliability and files a complaint directly with the Commission.</w:t>
      </w:r>
    </w:p>
    <w:p w:rsidR="00C15044" w:rsidRDefault="00C15044" w:rsidP="00E82B35">
      <w:pPr>
        <w:rPr>
          <w:color w:val="000000"/>
        </w:rPr>
      </w:pPr>
    </w:p>
    <w:p w:rsidR="00E82B35" w:rsidRPr="00E82B35" w:rsidRDefault="00E82B35" w:rsidP="00E82B35">
      <w:pPr>
        <w:rPr>
          <w:color w:val="000000"/>
        </w:rPr>
      </w:pPr>
      <w:r>
        <w:rPr>
          <w:color w:val="000000"/>
        </w:rPr>
        <w:br w:type="page"/>
      </w:r>
    </w:p>
    <w:p w:rsidR="003A5969" w:rsidRDefault="003A5969">
      <w:pPr>
        <w:pStyle w:val="Heading1"/>
      </w:pPr>
      <w:bookmarkStart w:id="16" w:name="_Toc354492979"/>
      <w:r>
        <w:t>Data Collection and Calculation Changes</w:t>
      </w:r>
      <w:bookmarkEnd w:id="12"/>
      <w:bookmarkEnd w:id="13"/>
      <w:bookmarkEnd w:id="14"/>
      <w:bookmarkEnd w:id="15"/>
      <w:bookmarkEnd w:id="16"/>
    </w:p>
    <w:p w:rsidR="003A5969" w:rsidRDefault="003A5969"/>
    <w:p w:rsidR="003A5969" w:rsidRDefault="003A5969">
      <w:r>
        <w:t>WAC 480-100-398 (2) requires the Company to report changes made in data collection or calculation of reliability information after initial baselines are set.  This section addresses changes that the Compa</w:t>
      </w:r>
      <w:r w:rsidR="005331BB">
        <w:t>ny has made to data collection.</w:t>
      </w:r>
    </w:p>
    <w:p w:rsidR="00775947" w:rsidRDefault="00775947"/>
    <w:p w:rsidR="003A5969" w:rsidRDefault="003A5969">
      <w:pPr>
        <w:pStyle w:val="Heading3"/>
      </w:pPr>
      <w:bookmarkStart w:id="17" w:name="_Toc98906747"/>
      <w:bookmarkStart w:id="18" w:name="_Toc165342418"/>
      <w:bookmarkStart w:id="19" w:name="_Toc193710977"/>
      <w:bookmarkStart w:id="20" w:name="_Toc227571568"/>
      <w:bookmarkStart w:id="21" w:name="_Toc354492980"/>
      <w:bookmarkStart w:id="22" w:name="OLE_LINK1"/>
      <w:r>
        <w:t>Data Collection</w:t>
      </w:r>
      <w:bookmarkEnd w:id="17"/>
      <w:bookmarkEnd w:id="18"/>
      <w:bookmarkEnd w:id="19"/>
      <w:bookmarkEnd w:id="20"/>
      <w:bookmarkEnd w:id="21"/>
    </w:p>
    <w:p w:rsidR="003A5969" w:rsidRDefault="003A5969" w:rsidP="0062034C">
      <w:pPr>
        <w:ind w:left="720"/>
      </w:pPr>
      <w:r>
        <w:t xml:space="preserve">Since Avista’s Electric Service Reliability Monitoring and Reporting Plan was filed in </w:t>
      </w:r>
      <w:r w:rsidRPr="004A5738">
        <w:t>2001</w:t>
      </w:r>
      <w:r w:rsidR="00D670B4" w:rsidRPr="004A5738">
        <w:t xml:space="preserve"> (</w:t>
      </w:r>
      <w:r w:rsidR="004A5738" w:rsidRPr="004A5738">
        <w:t>UE-011428</w:t>
      </w:r>
      <w:r w:rsidR="00D670B4" w:rsidRPr="004A5738">
        <w:t>)</w:t>
      </w:r>
      <w:r w:rsidRPr="004A5738">
        <w:t>,</w:t>
      </w:r>
      <w:r>
        <w:t xml:space="preserve"> there have been several improvements in the methods used to collect outage data. In late 2001, centralizing the distribution trouble dispatch and data collection function for Avista’s entire service territory began.  The distribution dispatch office is located in the Spokane</w:t>
      </w:r>
      <w:r w:rsidR="000E1617">
        <w:t xml:space="preserve"> main complex.  At</w:t>
      </w:r>
      <w:r>
        <w:t xml:space="preserve"> the end of September 2005, 100% of the Company’s feeders, accounting for 100% of the customers, are served from offices th</w:t>
      </w:r>
      <w:r w:rsidR="00525675">
        <w:t xml:space="preserve">at employ central dispatching. </w:t>
      </w:r>
    </w:p>
    <w:p w:rsidR="003A5969" w:rsidRDefault="003A5969">
      <w:pPr>
        <w:pStyle w:val="CommentText"/>
      </w:pPr>
    </w:p>
    <w:p w:rsidR="003A5969" w:rsidRDefault="000E1617">
      <w:bookmarkStart w:id="23" w:name="OLE_LINK3"/>
      <w:bookmarkStart w:id="24" w:name="OLE_LINK4"/>
      <w:r>
        <w:t>The data collected for 20</w:t>
      </w:r>
      <w:r w:rsidR="0046124D">
        <w:t>1</w:t>
      </w:r>
      <w:r w:rsidR="00660C33">
        <w:t>2</w:t>
      </w:r>
      <w:r>
        <w:t xml:space="preserve"> represents the </w:t>
      </w:r>
      <w:r w:rsidR="00660C33">
        <w:t>six</w:t>
      </w:r>
      <w:r w:rsidR="0046124D">
        <w:t>th</w:t>
      </w:r>
      <w:r>
        <w:t xml:space="preserve"> full year of outage data collected through the Outage Management Tool (OMT). </w:t>
      </w:r>
      <w:r w:rsidR="00142CEE">
        <w:t>For 20</w:t>
      </w:r>
      <w:r w:rsidR="00AC7984">
        <w:t>1</w:t>
      </w:r>
      <w:r w:rsidR="00660C33">
        <w:t>2</w:t>
      </w:r>
      <w:r w:rsidR="00142CEE">
        <w:t>, all data was collected</w:t>
      </w:r>
      <w:r w:rsidR="003A5969">
        <w:t xml:space="preserve"> us</w:t>
      </w:r>
      <w:r w:rsidR="00142CEE">
        <w:t>ing</w:t>
      </w:r>
      <w:r w:rsidR="003A5969">
        <w:t xml:space="preserve"> the “Outage Management Tool” (OMT) based on the Company’s Geographic Information System (GIS).  The OMT system automates the logging of restoration times and customer counts.  </w:t>
      </w:r>
    </w:p>
    <w:p w:rsidR="003A5969" w:rsidRDefault="003A5969"/>
    <w:p w:rsidR="00685FE8" w:rsidRDefault="002A17DA">
      <w:r w:rsidRPr="00E873C2">
        <w:t>Avista discover</w:t>
      </w:r>
      <w:r w:rsidR="0019699D" w:rsidRPr="00E873C2">
        <w:t>ed</w:t>
      </w:r>
      <w:r w:rsidRPr="00E873C2">
        <w:t xml:space="preserve"> a software coding error that has been within the OMT system since 2002 that cause</w:t>
      </w:r>
      <w:r w:rsidR="0019699D" w:rsidRPr="00E873C2">
        <w:t>d</w:t>
      </w:r>
      <w:r w:rsidRPr="00E873C2">
        <w:t xml:space="preserve"> a small increase in the SAIDI and CAIDI for 200</w:t>
      </w:r>
      <w:r w:rsidR="001E2221" w:rsidRPr="00E873C2">
        <w:t>8</w:t>
      </w:r>
      <w:r w:rsidRPr="00E873C2">
        <w:t xml:space="preserve">. Previous years were also evaluated to determine the overall impact to the Avista baseline statistics and at this time Avista is not proposing a change to the baseline numbers. The software error </w:t>
      </w:r>
      <w:r w:rsidR="00843AB9" w:rsidRPr="00E873C2">
        <w:t>only occurred during very specific outage conditions when a group of customers with an initial outage starting time were “rolled” up into another group of customers that were determined to be part of the first group outage. The second group may have had a later outage starting time. When the first group of customer outage information was rolled up, the original outage starting time was lost and the second group outage starting time was used for both groups of customers instead of using the first outage starting time.</w:t>
      </w:r>
      <w:r w:rsidR="00F41DDC" w:rsidRPr="00E873C2">
        <w:t xml:space="preserve"> The number of customers was counted correctly.</w:t>
      </w:r>
    </w:p>
    <w:p w:rsidR="00843AB9" w:rsidRDefault="00843AB9"/>
    <w:p w:rsidR="00843AB9" w:rsidRDefault="00843AB9">
      <w:r>
        <w:t>Even as good as the OMT system is at quantifying the number of customers</w:t>
      </w:r>
      <w:r w:rsidR="00C1569E">
        <w:t xml:space="preserve"> and duration of the outage duration, there still are areas where the data collection is not precise. Determining </w:t>
      </w:r>
      <w:r w:rsidR="00874E04">
        <w:t xml:space="preserve">the exact starting time of an outage is dependent on when a customer calls in, how well the Avista Distribution Dispatcher determines where the outage is and defines </w:t>
      </w:r>
      <w:r w:rsidR="00113F29">
        <w:t>the device that has opened to remove the faulted section.</w:t>
      </w:r>
    </w:p>
    <w:p w:rsidR="00113F29" w:rsidRDefault="00113F29"/>
    <w:p w:rsidR="00113F29" w:rsidRDefault="00113F29">
      <w:r>
        <w:t>As AMR/AMI metering is implemented in the future and the customer meter provides outage information to the OMT system through an interface, the SAIDI and CAIDI numbers are expected to increase. This is similar to the above discussion.</w:t>
      </w:r>
    </w:p>
    <w:p w:rsidR="00685FE8" w:rsidRDefault="00685FE8"/>
    <w:p w:rsidR="003A5969" w:rsidRDefault="00142CEE">
      <w:r>
        <w:t>U</w:t>
      </w:r>
      <w:r w:rsidR="003A5969">
        <w:t>s</w:t>
      </w:r>
      <w:r>
        <w:t xml:space="preserve">e of </w:t>
      </w:r>
      <w:r w:rsidR="003A5969">
        <w:t xml:space="preserve">the OMT system and GIS data </w:t>
      </w:r>
      <w:r>
        <w:t>has improved the</w:t>
      </w:r>
      <w:r w:rsidR="003A5969">
        <w:t xml:space="preserve"> track</w:t>
      </w:r>
      <w:r>
        <w:t>ing of the</w:t>
      </w:r>
      <w:r w:rsidR="003A5969">
        <w:t xml:space="preserve"> numbers of customers without power, </w:t>
      </w:r>
      <w:r>
        <w:t xml:space="preserve">allowed for better </w:t>
      </w:r>
      <w:r w:rsidR="003A5969">
        <w:t>prioritiz</w:t>
      </w:r>
      <w:r>
        <w:t>ation of the</w:t>
      </w:r>
      <w:r w:rsidR="003A5969">
        <w:t xml:space="preserve"> restoration</w:t>
      </w:r>
      <w:r>
        <w:t xml:space="preserve"> of service</w:t>
      </w:r>
      <w:r w:rsidR="00085A4C">
        <w:t>,</w:t>
      </w:r>
      <w:r w:rsidR="003A5969">
        <w:t xml:space="preserve"> and </w:t>
      </w:r>
      <w:r>
        <w:t xml:space="preserve">the </w:t>
      </w:r>
      <w:r w:rsidR="00113C8A">
        <w:t xml:space="preserve">improved </w:t>
      </w:r>
      <w:r w:rsidR="003A5969">
        <w:t>dispatch</w:t>
      </w:r>
      <w:r>
        <w:t>ing of crews.</w:t>
      </w:r>
    </w:p>
    <w:bookmarkEnd w:id="23"/>
    <w:bookmarkEnd w:id="24"/>
    <w:p w:rsidR="00F41DDC" w:rsidRDefault="00F41DDC"/>
    <w:p w:rsidR="003A5969" w:rsidRDefault="003A5969">
      <w:pPr>
        <w:pStyle w:val="Heading3"/>
      </w:pPr>
      <w:bookmarkStart w:id="25" w:name="_Toc98906748"/>
      <w:bookmarkStart w:id="26" w:name="_Toc165342419"/>
      <w:bookmarkStart w:id="27" w:name="_Toc193710978"/>
      <w:bookmarkStart w:id="28" w:name="_Toc227571570"/>
      <w:bookmarkStart w:id="29" w:name="_Toc354492981"/>
      <w:r>
        <w:t>Interruption Cause Codes</w:t>
      </w:r>
      <w:bookmarkEnd w:id="25"/>
      <w:bookmarkEnd w:id="26"/>
      <w:bookmarkEnd w:id="27"/>
      <w:bookmarkEnd w:id="28"/>
      <w:bookmarkEnd w:id="29"/>
    </w:p>
    <w:p w:rsidR="001677DA" w:rsidRDefault="003A5969" w:rsidP="001677DA">
      <w:pPr>
        <w:autoSpaceDE w:val="0"/>
        <w:autoSpaceDN w:val="0"/>
        <w:adjustRightInd w:val="0"/>
        <w:spacing w:before="120"/>
        <w:rPr>
          <w:szCs w:val="24"/>
        </w:rPr>
      </w:pPr>
      <w:r>
        <w:rPr>
          <w:szCs w:val="24"/>
        </w:rPr>
        <w:t>Cause code information is provided in this report to give readers a better understanding of outage sources. Further</w:t>
      </w:r>
      <w:r w:rsidR="001A06BE">
        <w:rPr>
          <w:szCs w:val="24"/>
        </w:rPr>
        <w:t>,</w:t>
      </w:r>
      <w:r>
        <w:rPr>
          <w:szCs w:val="24"/>
        </w:rPr>
        <w:t xml:space="preserve"> the Company uses cause information to analyze past outages and, if possible, reduce the frequency and duration of future outages</w:t>
      </w:r>
      <w:r w:rsidR="001677DA">
        <w:rPr>
          <w:szCs w:val="24"/>
        </w:rPr>
        <w:t xml:space="preserve">. </w:t>
      </w:r>
    </w:p>
    <w:p w:rsidR="008472F3" w:rsidRDefault="00E873C2" w:rsidP="001677DA">
      <w:pPr>
        <w:autoSpaceDE w:val="0"/>
        <w:autoSpaceDN w:val="0"/>
        <w:adjustRightInd w:val="0"/>
        <w:spacing w:before="120"/>
        <w:rPr>
          <w:szCs w:val="24"/>
        </w:rPr>
      </w:pPr>
      <w:r w:rsidRPr="00E873C2">
        <w:rPr>
          <w:szCs w:val="24"/>
        </w:rPr>
        <w:t>Since</w:t>
      </w:r>
      <w:r w:rsidR="008472F3" w:rsidRPr="00E873C2">
        <w:rPr>
          <w:szCs w:val="24"/>
        </w:rPr>
        <w:t xml:space="preserve"> 2011, Avista </w:t>
      </w:r>
      <w:r w:rsidRPr="00E873C2">
        <w:rPr>
          <w:szCs w:val="24"/>
        </w:rPr>
        <w:t>has</w:t>
      </w:r>
      <w:r w:rsidR="008472F3" w:rsidRPr="00E873C2">
        <w:rPr>
          <w:szCs w:val="24"/>
        </w:rPr>
        <w:t xml:space="preserve"> stop</w:t>
      </w:r>
      <w:r w:rsidRPr="00E873C2">
        <w:rPr>
          <w:szCs w:val="24"/>
        </w:rPr>
        <w:t>ped</w:t>
      </w:r>
      <w:r w:rsidR="008472F3" w:rsidRPr="00E873C2">
        <w:rPr>
          <w:szCs w:val="24"/>
        </w:rPr>
        <w:t xml:space="preserve"> using the subcategory “protected” under the “Animal” category. Almost all birds are considered protected, so there is little differentiation between the “Bird” and “Protected” subcategories. Avista will include additional information in the Remarks section as reported from the field personnel.</w:t>
      </w:r>
      <w:r w:rsidR="008472F3">
        <w:rPr>
          <w:szCs w:val="24"/>
        </w:rPr>
        <w:t xml:space="preserve"> </w:t>
      </w:r>
    </w:p>
    <w:p w:rsidR="00504A7A" w:rsidRDefault="00504A7A" w:rsidP="001677DA">
      <w:pPr>
        <w:autoSpaceDE w:val="0"/>
        <w:autoSpaceDN w:val="0"/>
        <w:adjustRightInd w:val="0"/>
        <w:spacing w:before="120"/>
        <w:rPr>
          <w:szCs w:val="24"/>
        </w:rPr>
      </w:pPr>
    </w:p>
    <w:p w:rsidR="007700A7" w:rsidRDefault="007700A7" w:rsidP="007700A7">
      <w:pPr>
        <w:pStyle w:val="Heading3"/>
      </w:pPr>
      <w:bookmarkStart w:id="30" w:name="_Toc193710979"/>
      <w:bookmarkStart w:id="31" w:name="_Toc227571571"/>
      <w:bookmarkStart w:id="32" w:name="_Toc354492982"/>
      <w:r>
        <w:t>Customers Experiencing Multiple Interruptions</w:t>
      </w:r>
      <w:bookmarkEnd w:id="30"/>
      <w:bookmarkEnd w:id="31"/>
      <w:bookmarkEnd w:id="32"/>
    </w:p>
    <w:p w:rsidR="007700A7" w:rsidRDefault="007700A7" w:rsidP="007700A7"/>
    <w:p w:rsidR="003A5969" w:rsidRDefault="007700A7">
      <w:r w:rsidRPr="001677DA">
        <w:rPr>
          <w:szCs w:val="24"/>
        </w:rPr>
        <w:t>The IEEE</w:t>
      </w:r>
      <w:r w:rsidR="00660C33">
        <w:t xml:space="preserve"> Standard 1366P-20</w:t>
      </w:r>
      <w:r w:rsidR="00992CA2">
        <w:t>03</w:t>
      </w:r>
      <w:r>
        <w:t xml:space="preserve"> provides for two methods to analyze data associated with customers experiencing multiple momentary interruptions </w:t>
      </w:r>
      <w:r w:rsidR="00445BCD">
        <w:t>and/</w:t>
      </w:r>
      <w:r>
        <w:t xml:space="preserve">or sustained </w:t>
      </w:r>
      <w:r w:rsidR="00E603F7">
        <w:t>interruptions</w:t>
      </w:r>
      <w:r>
        <w:t xml:space="preserve">. Avista’s Outage Management Tool (OMT) and Geographical Information System (GIS) provide the ability to geospatially </w:t>
      </w:r>
      <w:r w:rsidR="00445BCD">
        <w:t xml:space="preserve">associate an outage to individual customer service points. This association allows for graphically showing Customers Experiencing Multiple </w:t>
      </w:r>
      <w:r w:rsidR="00E42B41">
        <w:t>s</w:t>
      </w:r>
      <w:r w:rsidR="008C2F15">
        <w:t xml:space="preserve">ustained </w:t>
      </w:r>
      <w:r w:rsidR="00445BCD">
        <w:t>Interruptions (CEMI</w:t>
      </w:r>
      <w:r w:rsidR="00445BCD" w:rsidRPr="00E42B41">
        <w:rPr>
          <w:i/>
          <w:sz w:val="28"/>
          <w:vertAlign w:val="subscript"/>
        </w:rPr>
        <w:t>n</w:t>
      </w:r>
      <w:r w:rsidR="00445BCD">
        <w:t>) with Major Event Day data included onto GIS produced areas</w:t>
      </w:r>
      <w:r w:rsidR="008C2F15">
        <w:t>. Data can be exported to MS Excel to also create graphs representing different values of n</w:t>
      </w:r>
      <w:r w:rsidR="005362CE">
        <w:t xml:space="preserve">. </w:t>
      </w:r>
      <w:r w:rsidR="00FE4C79">
        <w:t>201</w:t>
      </w:r>
      <w:r w:rsidR="00992CA2">
        <w:t>2</w:t>
      </w:r>
      <w:r w:rsidR="00FE4C79">
        <w:t xml:space="preserve"> </w:t>
      </w:r>
      <w:r w:rsidR="007A32F0">
        <w:t>information is provided in the Customer Experiencing Multiple Interruptions (page 2</w:t>
      </w:r>
      <w:r w:rsidR="00992CA2">
        <w:t>2</w:t>
      </w:r>
      <w:r w:rsidR="007A32F0">
        <w:t xml:space="preserve">) </w:t>
      </w:r>
      <w:r w:rsidR="001A4BF7">
        <w:t xml:space="preserve">to summarize the analysis Avista performed on the </w:t>
      </w:r>
      <w:r w:rsidR="00FE4C79">
        <w:t>201</w:t>
      </w:r>
      <w:r w:rsidR="00CF5710">
        <w:t>2</w:t>
      </w:r>
      <w:r w:rsidR="00FE4C79">
        <w:t xml:space="preserve"> </w:t>
      </w:r>
      <w:r w:rsidR="001A4BF7">
        <w:t>outage data.</w:t>
      </w:r>
      <w:r w:rsidR="00FE796E">
        <w:t xml:space="preserve"> The calculation for</w:t>
      </w:r>
      <w:r w:rsidR="00FE796E" w:rsidRPr="00FE796E">
        <w:rPr>
          <w:color w:val="FF0000"/>
        </w:rPr>
        <w:t xml:space="preserve"> </w:t>
      </w:r>
      <w:r w:rsidR="00FE796E" w:rsidRPr="002254DB">
        <w:t>CEMI</w:t>
      </w:r>
      <w:r w:rsidR="00FE796E" w:rsidRPr="002254DB">
        <w:rPr>
          <w:sz w:val="28"/>
          <w:vertAlign w:val="subscript"/>
        </w:rPr>
        <w:t>n</w:t>
      </w:r>
      <w:r w:rsidR="00FE796E" w:rsidRPr="002254DB">
        <w:t xml:space="preserve"> and C</w:t>
      </w:r>
      <w:r w:rsidR="00E42B41">
        <w:t>ustomers Experiencing Multiple S</w:t>
      </w:r>
      <w:r w:rsidR="00FE796E" w:rsidRPr="002254DB">
        <w:t>ustained and Momentary Interruptions CEMS</w:t>
      </w:r>
      <w:r w:rsidR="002254DB" w:rsidRPr="002254DB">
        <w:t>M</w:t>
      </w:r>
      <w:r w:rsidR="00FE796E" w:rsidRPr="002254DB">
        <w:t>I</w:t>
      </w:r>
      <w:r w:rsidR="00FE796E" w:rsidRPr="002254DB">
        <w:rPr>
          <w:sz w:val="28"/>
          <w:vertAlign w:val="subscript"/>
        </w:rPr>
        <w:t>n</w:t>
      </w:r>
      <w:r w:rsidR="00FE796E" w:rsidRPr="002254DB">
        <w:t xml:space="preserve"> </w:t>
      </w:r>
      <w:r w:rsidR="00FE796E">
        <w:t xml:space="preserve">is provided in the Indices </w:t>
      </w:r>
      <w:r w:rsidR="007A32F0">
        <w:t>Calculations s</w:t>
      </w:r>
      <w:r w:rsidR="00FE796E">
        <w:t>ection</w:t>
      </w:r>
      <w:r w:rsidR="007A32F0">
        <w:t xml:space="preserve"> (page 5</w:t>
      </w:r>
      <w:r w:rsidR="00992CA2">
        <w:t>7</w:t>
      </w:r>
      <w:r w:rsidR="007A32F0">
        <w:t>)</w:t>
      </w:r>
      <w:r w:rsidR="00FE796E">
        <w:t>.</w:t>
      </w:r>
    </w:p>
    <w:p w:rsidR="005B0A17" w:rsidRDefault="005B0A17" w:rsidP="00C1046C">
      <w:pPr>
        <w:rPr>
          <w:color w:val="000000"/>
        </w:rPr>
      </w:pPr>
    </w:p>
    <w:p w:rsidR="003A5969" w:rsidRDefault="003A5969">
      <w:pPr>
        <w:pStyle w:val="Heading3"/>
      </w:pPr>
      <w:bookmarkStart w:id="33" w:name="_Toc98906752"/>
      <w:bookmarkStart w:id="34" w:name="_Toc165342425"/>
      <w:bookmarkStart w:id="35" w:name="_Toc193710983"/>
      <w:bookmarkStart w:id="36" w:name="_Toc227571575"/>
      <w:bookmarkStart w:id="37" w:name="_Toc354492983"/>
      <w:bookmarkEnd w:id="22"/>
      <w:r>
        <w:t>Major Events</w:t>
      </w:r>
      <w:bookmarkEnd w:id="33"/>
      <w:bookmarkEnd w:id="34"/>
      <w:bookmarkEnd w:id="35"/>
      <w:bookmarkEnd w:id="36"/>
      <w:bookmarkEnd w:id="37"/>
    </w:p>
    <w:p w:rsidR="006F2B11" w:rsidRPr="006F2B11" w:rsidRDefault="006F2B11" w:rsidP="006F2B11"/>
    <w:p w:rsidR="003A5969" w:rsidRDefault="003A5969">
      <w:r>
        <w:t>Major Events and Major Event Days as used in this report are defined per the IEEE Guide for Electric Power Distribution Reliability Indices, IEEE P1366-20</w:t>
      </w:r>
      <w:r w:rsidR="00660C33">
        <w:t>12</w:t>
      </w:r>
      <w:r>
        <w:t xml:space="preserve">. The following definitions are taken from this IEEE Guide.  </w:t>
      </w:r>
    </w:p>
    <w:p w:rsidR="003A5969" w:rsidRDefault="003A5969"/>
    <w:p w:rsidR="003A5969" w:rsidRDefault="003A5969">
      <w:pPr>
        <w:ind w:left="720" w:right="1314"/>
        <w:rPr>
          <w:sz w:val="20"/>
        </w:rPr>
      </w:pPr>
      <w:r>
        <w:rPr>
          <w:b/>
          <w:bCs/>
          <w:sz w:val="20"/>
        </w:rPr>
        <w:t>Major Event</w:t>
      </w:r>
      <w:r>
        <w:rPr>
          <w:sz w:val="20"/>
        </w:rPr>
        <w:t xml:space="preserve"> – Designates an event that exceeds reasonable design and or operation limits of the electric power system. A Major Event includes at least one Major Event Day (MED).</w:t>
      </w:r>
    </w:p>
    <w:p w:rsidR="003A5969" w:rsidRDefault="003A5969">
      <w:pPr>
        <w:ind w:left="720" w:right="1314"/>
        <w:rPr>
          <w:sz w:val="20"/>
        </w:rPr>
      </w:pPr>
    </w:p>
    <w:p w:rsidR="003A5969" w:rsidRDefault="003A5969">
      <w:pPr>
        <w:ind w:left="720" w:right="1314"/>
        <w:rPr>
          <w:sz w:val="20"/>
        </w:rPr>
      </w:pPr>
      <w:r>
        <w:rPr>
          <w:b/>
          <w:bCs/>
          <w:sz w:val="20"/>
        </w:rPr>
        <w:t>Major Event Day</w:t>
      </w:r>
      <w:r>
        <w:rPr>
          <w:sz w:val="20"/>
        </w:rPr>
        <w:t xml:space="preserve"> – A day in which the daily system SAIDI exceeds a threshold value, T</w:t>
      </w:r>
      <w:r>
        <w:rPr>
          <w:sz w:val="20"/>
          <w:vertAlign w:val="subscript"/>
        </w:rPr>
        <w:t>MED</w:t>
      </w:r>
      <w:r>
        <w:rPr>
          <w:sz w:val="20"/>
        </w:rPr>
        <w:t>. For the purposes of calculating daily system SAIDI, any interruption that spans multiple calendar days is accrued to the day on which the interruption began. Statistically, days having a daily system SAIDI greater than T</w:t>
      </w:r>
      <w:r>
        <w:rPr>
          <w:sz w:val="20"/>
          <w:vertAlign w:val="subscript"/>
        </w:rPr>
        <w:t>MED</w:t>
      </w:r>
      <w:r>
        <w:rPr>
          <w:sz w:val="20"/>
        </w:rPr>
        <w:t xml:space="preserve"> are days on which the energy delivery system experienced stresses beyond that normally expected (such as severe weather).  Activities that occur on major event days should be separately analyzed and reported.  </w:t>
      </w:r>
    </w:p>
    <w:p w:rsidR="003A5969" w:rsidRDefault="003A5969">
      <w:pPr>
        <w:ind w:left="720" w:right="1314"/>
        <w:rPr>
          <w:sz w:val="20"/>
        </w:rPr>
      </w:pPr>
    </w:p>
    <w:p w:rsidR="003A5969" w:rsidRDefault="003A5969">
      <w:r>
        <w:t>The Company will use the process defined in IEEE P1366 to calculate the threshold value of T</w:t>
      </w:r>
      <w:r>
        <w:rPr>
          <w:vertAlign w:val="subscript"/>
        </w:rPr>
        <w:t>MED</w:t>
      </w:r>
      <w:r>
        <w:t xml:space="preserve"> and to determine MED’s.  All indices will be reported both including and excluding MED’s. The comparisons of service reliability to the baseline statistics in subsequent years will be made using the indices calculated without MED’s.  </w:t>
      </w:r>
    </w:p>
    <w:p w:rsidR="003A5969" w:rsidRDefault="003A5969">
      <w:pPr>
        <w:pStyle w:val="CommentText"/>
      </w:pPr>
    </w:p>
    <w:p w:rsidR="00C15044" w:rsidRDefault="00C15044">
      <w:r>
        <w:br w:type="page"/>
      </w:r>
    </w:p>
    <w:p w:rsidR="003A5969" w:rsidRPr="008774F9" w:rsidRDefault="00473AE9" w:rsidP="00425628">
      <w:pPr>
        <w:pStyle w:val="Heading4"/>
      </w:pPr>
      <w:bookmarkStart w:id="38" w:name="_Toc354492984"/>
      <w:r w:rsidRPr="008774F9">
        <w:t xml:space="preserve">Table 1.1 </w:t>
      </w:r>
      <w:r w:rsidR="00CF4B81" w:rsidRPr="008774F9">
        <w:t>–</w:t>
      </w:r>
      <w:r w:rsidRPr="008774F9">
        <w:t xml:space="preserve"> </w:t>
      </w:r>
      <w:r w:rsidR="00CF4B81" w:rsidRPr="008774F9">
        <w:t>201</w:t>
      </w:r>
      <w:r w:rsidR="00CF5710">
        <w:t>2</w:t>
      </w:r>
      <w:r w:rsidR="00CF4B81" w:rsidRPr="008774F9">
        <w:t xml:space="preserve"> </w:t>
      </w:r>
      <w:r w:rsidRPr="008774F9">
        <w:t>M</w:t>
      </w:r>
      <w:r w:rsidR="003A5969" w:rsidRPr="008774F9">
        <w:t xml:space="preserve">ajor </w:t>
      </w:r>
      <w:r w:rsidRPr="008774F9">
        <w:t>E</w:t>
      </w:r>
      <w:r w:rsidR="003A5969" w:rsidRPr="008774F9">
        <w:t xml:space="preserve">vent </w:t>
      </w:r>
      <w:r w:rsidRPr="008774F9">
        <w:t>D</w:t>
      </w:r>
      <w:r w:rsidR="00CF4B81" w:rsidRPr="008774F9">
        <w:t>ays</w:t>
      </w:r>
      <w:bookmarkEnd w:id="38"/>
    </w:p>
    <w:p w:rsidR="003A5969" w:rsidRDefault="003A5969" w:rsidP="00425628">
      <w:pPr>
        <w:pStyle w:val="Heading4"/>
      </w:pPr>
    </w:p>
    <w:tbl>
      <w:tblPr>
        <w:tblW w:w="0" w:type="auto"/>
        <w:jc w:val="center"/>
        <w:tblLook w:val="0000"/>
      </w:tblPr>
      <w:tblGrid>
        <w:gridCol w:w="2808"/>
        <w:gridCol w:w="1440"/>
        <w:gridCol w:w="3960"/>
      </w:tblGrid>
      <w:tr w:rsidR="003A5969" w:rsidTr="005A0459">
        <w:trPr>
          <w:jc w:val="center"/>
        </w:trPr>
        <w:tc>
          <w:tcPr>
            <w:tcW w:w="2808" w:type="dxa"/>
            <w:tcBorders>
              <w:top w:val="single" w:sz="18" w:space="0" w:color="auto"/>
              <w:left w:val="single" w:sz="18" w:space="0" w:color="auto"/>
              <w:bottom w:val="single" w:sz="18" w:space="0" w:color="auto"/>
              <w:right w:val="single" w:sz="6" w:space="0" w:color="auto"/>
            </w:tcBorders>
            <w:vAlign w:val="center"/>
          </w:tcPr>
          <w:p w:rsidR="003A5969" w:rsidRPr="005F3315" w:rsidRDefault="003A5969" w:rsidP="005F3315">
            <w:pPr>
              <w:pStyle w:val="Heading9"/>
            </w:pPr>
            <w:r w:rsidRPr="005F3315">
              <w:t>Major Event Days</w:t>
            </w:r>
          </w:p>
        </w:tc>
        <w:tc>
          <w:tcPr>
            <w:tcW w:w="1440" w:type="dxa"/>
            <w:tcBorders>
              <w:top w:val="single" w:sz="18" w:space="0" w:color="auto"/>
              <w:left w:val="single" w:sz="6" w:space="0" w:color="auto"/>
              <w:bottom w:val="single" w:sz="18" w:space="0" w:color="auto"/>
              <w:right w:val="single" w:sz="6" w:space="0" w:color="auto"/>
            </w:tcBorders>
            <w:vAlign w:val="center"/>
          </w:tcPr>
          <w:p w:rsidR="003A5969" w:rsidRPr="005F3315" w:rsidRDefault="003A5969" w:rsidP="005F3315">
            <w:pPr>
              <w:pStyle w:val="Heading9"/>
            </w:pPr>
            <w:r w:rsidRPr="005F3315">
              <w:t xml:space="preserve">SAIDI </w:t>
            </w:r>
            <w:r w:rsidRPr="005F3315">
              <w:rPr>
                <w:sz w:val="20"/>
              </w:rPr>
              <w:t>(Customer-Minutes)</w:t>
            </w:r>
          </w:p>
        </w:tc>
        <w:tc>
          <w:tcPr>
            <w:tcW w:w="3960" w:type="dxa"/>
            <w:tcBorders>
              <w:top w:val="single" w:sz="18" w:space="0" w:color="auto"/>
              <w:left w:val="single" w:sz="6" w:space="0" w:color="auto"/>
              <w:bottom w:val="single" w:sz="18" w:space="0" w:color="auto"/>
              <w:right w:val="single" w:sz="18" w:space="0" w:color="auto"/>
            </w:tcBorders>
            <w:vAlign w:val="center"/>
          </w:tcPr>
          <w:p w:rsidR="003A5969" w:rsidRPr="005F3315" w:rsidRDefault="003A5969" w:rsidP="005F3315">
            <w:pPr>
              <w:pStyle w:val="Heading9"/>
            </w:pPr>
            <w:r w:rsidRPr="005F3315">
              <w:t>Cause</w:t>
            </w:r>
          </w:p>
        </w:tc>
      </w:tr>
      <w:tr w:rsidR="003A5969" w:rsidTr="00513E44">
        <w:trPr>
          <w:jc w:val="center"/>
        </w:trPr>
        <w:tc>
          <w:tcPr>
            <w:tcW w:w="2808" w:type="dxa"/>
            <w:tcBorders>
              <w:top w:val="single" w:sz="18" w:space="0" w:color="auto"/>
              <w:left w:val="single" w:sz="18" w:space="0" w:color="auto"/>
              <w:bottom w:val="single" w:sz="6" w:space="0" w:color="auto"/>
              <w:right w:val="single" w:sz="6" w:space="0" w:color="auto"/>
            </w:tcBorders>
          </w:tcPr>
          <w:p w:rsidR="003A5969" w:rsidRPr="00513E44" w:rsidRDefault="003A5969" w:rsidP="00CF5710">
            <w:pPr>
              <w:rPr>
                <w:rFonts w:ascii="Tahoma" w:hAnsi="Tahoma" w:cs="Tahoma"/>
                <w:color w:val="000000"/>
              </w:rPr>
            </w:pPr>
            <w:r w:rsidRPr="00513E44">
              <w:rPr>
                <w:rFonts w:ascii="Tahoma" w:hAnsi="Tahoma" w:cs="Tahoma"/>
                <w:color w:val="000000"/>
              </w:rPr>
              <w:t>20</w:t>
            </w:r>
            <w:r w:rsidR="00FC087B" w:rsidRPr="00513E44">
              <w:rPr>
                <w:rFonts w:ascii="Tahoma" w:hAnsi="Tahoma" w:cs="Tahoma"/>
                <w:color w:val="000000"/>
              </w:rPr>
              <w:t>1</w:t>
            </w:r>
            <w:r w:rsidR="00CF5710">
              <w:rPr>
                <w:rFonts w:ascii="Tahoma" w:hAnsi="Tahoma" w:cs="Tahoma"/>
                <w:color w:val="000000"/>
              </w:rPr>
              <w:t>2</w:t>
            </w:r>
            <w:r w:rsidRPr="00513E44">
              <w:rPr>
                <w:rFonts w:ascii="Tahoma" w:hAnsi="Tahoma" w:cs="Tahoma"/>
                <w:color w:val="000000"/>
              </w:rPr>
              <w:t xml:space="preserve"> Major Event Day Threshold</w:t>
            </w:r>
          </w:p>
        </w:tc>
        <w:tc>
          <w:tcPr>
            <w:tcW w:w="1440" w:type="dxa"/>
            <w:tcBorders>
              <w:top w:val="single" w:sz="18" w:space="0" w:color="auto"/>
              <w:left w:val="single" w:sz="6" w:space="0" w:color="auto"/>
              <w:bottom w:val="single" w:sz="6" w:space="0" w:color="auto"/>
              <w:right w:val="single" w:sz="6" w:space="0" w:color="auto"/>
            </w:tcBorders>
          </w:tcPr>
          <w:p w:rsidR="003A5969" w:rsidRPr="00513E44" w:rsidRDefault="001F0BB7" w:rsidP="00513E44">
            <w:pPr>
              <w:jc w:val="center"/>
              <w:rPr>
                <w:rFonts w:ascii="Tahoma" w:hAnsi="Tahoma" w:cs="Tahoma"/>
                <w:color w:val="000000"/>
              </w:rPr>
            </w:pPr>
            <w:r>
              <w:rPr>
                <w:rFonts w:ascii="Tahoma" w:hAnsi="Tahoma" w:cs="Tahoma"/>
                <w:color w:val="000000"/>
              </w:rPr>
              <w:t>9.49</w:t>
            </w:r>
          </w:p>
        </w:tc>
        <w:tc>
          <w:tcPr>
            <w:tcW w:w="3960" w:type="dxa"/>
            <w:tcBorders>
              <w:top w:val="single" w:sz="18" w:space="0" w:color="auto"/>
              <w:left w:val="single" w:sz="6" w:space="0" w:color="auto"/>
              <w:bottom w:val="single" w:sz="6" w:space="0" w:color="auto"/>
              <w:right w:val="single" w:sz="18" w:space="0" w:color="auto"/>
            </w:tcBorders>
          </w:tcPr>
          <w:p w:rsidR="003A5969" w:rsidRPr="00513E44" w:rsidRDefault="003A5969" w:rsidP="00513E44">
            <w:pPr>
              <w:jc w:val="center"/>
              <w:rPr>
                <w:rFonts w:ascii="Tahoma" w:hAnsi="Tahoma" w:cs="Tahoma"/>
              </w:rPr>
            </w:pPr>
          </w:p>
        </w:tc>
      </w:tr>
      <w:tr w:rsidR="003A5969" w:rsidTr="001F0BB7">
        <w:trPr>
          <w:trHeight w:val="318"/>
          <w:jc w:val="center"/>
        </w:trPr>
        <w:tc>
          <w:tcPr>
            <w:tcW w:w="2808" w:type="dxa"/>
            <w:tcBorders>
              <w:top w:val="single" w:sz="6" w:space="0" w:color="auto"/>
              <w:left w:val="single" w:sz="18" w:space="0" w:color="auto"/>
              <w:bottom w:val="single" w:sz="6" w:space="0" w:color="auto"/>
              <w:right w:val="single" w:sz="6" w:space="0" w:color="auto"/>
            </w:tcBorders>
          </w:tcPr>
          <w:p w:rsidR="003A5969" w:rsidRPr="00513E44" w:rsidRDefault="001F0BB7" w:rsidP="005F3315">
            <w:pPr>
              <w:rPr>
                <w:rFonts w:ascii="Tahoma" w:hAnsi="Tahoma" w:cs="Tahoma"/>
                <w:color w:val="000000"/>
              </w:rPr>
            </w:pPr>
            <w:r>
              <w:rPr>
                <w:rFonts w:ascii="Tahoma" w:hAnsi="Tahoma" w:cs="Tahoma"/>
                <w:color w:val="000000"/>
              </w:rPr>
              <w:t>January 19, 2012</w:t>
            </w:r>
          </w:p>
        </w:tc>
        <w:tc>
          <w:tcPr>
            <w:tcW w:w="1440" w:type="dxa"/>
            <w:tcBorders>
              <w:top w:val="single" w:sz="6" w:space="0" w:color="auto"/>
              <w:left w:val="single" w:sz="6" w:space="0" w:color="auto"/>
              <w:bottom w:val="single" w:sz="6" w:space="0" w:color="auto"/>
              <w:right w:val="single" w:sz="6" w:space="0" w:color="auto"/>
            </w:tcBorders>
          </w:tcPr>
          <w:p w:rsidR="003A5969" w:rsidRPr="00513E44" w:rsidRDefault="001F0BB7" w:rsidP="00513E44">
            <w:pPr>
              <w:jc w:val="center"/>
              <w:rPr>
                <w:rFonts w:ascii="Tahoma" w:hAnsi="Tahoma" w:cs="Tahoma"/>
                <w:color w:val="000000"/>
              </w:rPr>
            </w:pPr>
            <w:r>
              <w:rPr>
                <w:rFonts w:ascii="Tahoma" w:hAnsi="Tahoma" w:cs="Tahoma"/>
                <w:color w:val="000000"/>
              </w:rPr>
              <w:t>9.93</w:t>
            </w:r>
          </w:p>
        </w:tc>
        <w:tc>
          <w:tcPr>
            <w:tcW w:w="3960" w:type="dxa"/>
            <w:tcBorders>
              <w:top w:val="single" w:sz="6" w:space="0" w:color="auto"/>
              <w:left w:val="single" w:sz="6" w:space="0" w:color="auto"/>
              <w:bottom w:val="single" w:sz="6" w:space="0" w:color="auto"/>
              <w:right w:val="single" w:sz="18" w:space="0" w:color="auto"/>
            </w:tcBorders>
          </w:tcPr>
          <w:p w:rsidR="003A5969" w:rsidRPr="00513E44" w:rsidRDefault="001F0BB7" w:rsidP="00513E44">
            <w:pPr>
              <w:jc w:val="center"/>
              <w:rPr>
                <w:rFonts w:ascii="Tahoma" w:hAnsi="Tahoma" w:cs="Tahoma"/>
                <w:color w:val="000000"/>
              </w:rPr>
            </w:pPr>
            <w:r>
              <w:rPr>
                <w:rFonts w:ascii="Tahoma" w:hAnsi="Tahoma" w:cs="Tahoma"/>
                <w:color w:val="000000"/>
              </w:rPr>
              <w:t>Snow Storm</w:t>
            </w:r>
          </w:p>
        </w:tc>
      </w:tr>
      <w:tr w:rsidR="003A5969" w:rsidTr="00513E44">
        <w:trPr>
          <w:jc w:val="center"/>
        </w:trPr>
        <w:tc>
          <w:tcPr>
            <w:tcW w:w="2808" w:type="dxa"/>
            <w:tcBorders>
              <w:top w:val="single" w:sz="6" w:space="0" w:color="auto"/>
              <w:left w:val="single" w:sz="18" w:space="0" w:color="auto"/>
              <w:bottom w:val="single" w:sz="18" w:space="0" w:color="auto"/>
              <w:right w:val="single" w:sz="6" w:space="0" w:color="auto"/>
            </w:tcBorders>
          </w:tcPr>
          <w:p w:rsidR="003A5969" w:rsidRPr="00513E44" w:rsidRDefault="001F0BB7" w:rsidP="005F3315">
            <w:pPr>
              <w:rPr>
                <w:rFonts w:ascii="Tahoma" w:hAnsi="Tahoma" w:cs="Tahoma"/>
                <w:color w:val="000000"/>
              </w:rPr>
            </w:pPr>
            <w:r>
              <w:rPr>
                <w:rFonts w:ascii="Tahoma" w:hAnsi="Tahoma" w:cs="Tahoma"/>
                <w:color w:val="000000"/>
              </w:rPr>
              <w:t>December 17, 2012</w:t>
            </w:r>
          </w:p>
        </w:tc>
        <w:tc>
          <w:tcPr>
            <w:tcW w:w="1440" w:type="dxa"/>
            <w:tcBorders>
              <w:top w:val="single" w:sz="6" w:space="0" w:color="auto"/>
              <w:left w:val="single" w:sz="6" w:space="0" w:color="auto"/>
              <w:bottom w:val="single" w:sz="18" w:space="0" w:color="auto"/>
              <w:right w:val="single" w:sz="6" w:space="0" w:color="auto"/>
            </w:tcBorders>
            <w:vAlign w:val="bottom"/>
          </w:tcPr>
          <w:p w:rsidR="003A5969" w:rsidRPr="00513E44" w:rsidRDefault="001F0BB7" w:rsidP="00513E44">
            <w:pPr>
              <w:jc w:val="center"/>
              <w:rPr>
                <w:rFonts w:ascii="Tahoma" w:hAnsi="Tahoma" w:cs="Tahoma"/>
                <w:color w:val="000000"/>
              </w:rPr>
            </w:pPr>
            <w:r>
              <w:rPr>
                <w:rFonts w:ascii="Tahoma" w:hAnsi="Tahoma" w:cs="Tahoma"/>
                <w:color w:val="000000"/>
              </w:rPr>
              <w:t>14.35</w:t>
            </w:r>
          </w:p>
        </w:tc>
        <w:tc>
          <w:tcPr>
            <w:tcW w:w="3960" w:type="dxa"/>
            <w:tcBorders>
              <w:top w:val="single" w:sz="6" w:space="0" w:color="auto"/>
              <w:left w:val="single" w:sz="6" w:space="0" w:color="auto"/>
              <w:bottom w:val="single" w:sz="18" w:space="0" w:color="auto"/>
              <w:right w:val="single" w:sz="18" w:space="0" w:color="auto"/>
            </w:tcBorders>
          </w:tcPr>
          <w:p w:rsidR="003A5969" w:rsidRPr="00513E44" w:rsidRDefault="001F0BB7" w:rsidP="00513E44">
            <w:pPr>
              <w:jc w:val="center"/>
              <w:rPr>
                <w:rFonts w:ascii="Tahoma" w:hAnsi="Tahoma" w:cs="Tahoma"/>
                <w:color w:val="000000"/>
              </w:rPr>
            </w:pPr>
            <w:r>
              <w:rPr>
                <w:rFonts w:ascii="Tahoma" w:hAnsi="Tahoma" w:cs="Tahoma"/>
                <w:color w:val="000000"/>
              </w:rPr>
              <w:t>Wind and Snow Storm</w:t>
            </w:r>
          </w:p>
        </w:tc>
      </w:tr>
      <w:tr w:rsidR="003A5969" w:rsidTr="00513E44">
        <w:trPr>
          <w:jc w:val="center"/>
        </w:trPr>
        <w:tc>
          <w:tcPr>
            <w:tcW w:w="2808" w:type="dxa"/>
            <w:tcBorders>
              <w:top w:val="single" w:sz="18" w:space="0" w:color="auto"/>
            </w:tcBorders>
          </w:tcPr>
          <w:p w:rsidR="003A5969" w:rsidRPr="006943A3" w:rsidRDefault="003A5969" w:rsidP="005F3315">
            <w:pPr>
              <w:rPr>
                <w:color w:val="000000"/>
              </w:rPr>
            </w:pPr>
          </w:p>
        </w:tc>
        <w:tc>
          <w:tcPr>
            <w:tcW w:w="1440" w:type="dxa"/>
            <w:tcBorders>
              <w:top w:val="single" w:sz="18" w:space="0" w:color="auto"/>
            </w:tcBorders>
            <w:vAlign w:val="bottom"/>
          </w:tcPr>
          <w:p w:rsidR="003A5969" w:rsidRPr="006943A3" w:rsidRDefault="003A5969" w:rsidP="005F3315">
            <w:pPr>
              <w:rPr>
                <w:color w:val="000000"/>
              </w:rPr>
            </w:pPr>
          </w:p>
        </w:tc>
        <w:tc>
          <w:tcPr>
            <w:tcW w:w="3960" w:type="dxa"/>
            <w:tcBorders>
              <w:top w:val="single" w:sz="18" w:space="0" w:color="auto"/>
            </w:tcBorders>
          </w:tcPr>
          <w:p w:rsidR="003A5969" w:rsidRPr="006943A3" w:rsidRDefault="003A5969" w:rsidP="005F3315">
            <w:pPr>
              <w:rPr>
                <w:color w:val="000000"/>
              </w:rPr>
            </w:pPr>
          </w:p>
        </w:tc>
      </w:tr>
    </w:tbl>
    <w:p w:rsidR="00212395" w:rsidRDefault="001F0BB7" w:rsidP="005F3315">
      <w:bookmarkStart w:id="39" w:name="_Toc98906753"/>
      <w:bookmarkStart w:id="40" w:name="_Toc165342426"/>
      <w:r>
        <w:t>A</w:t>
      </w:r>
      <w:r w:rsidR="007C33D7">
        <w:t>dditional analysis of the 20</w:t>
      </w:r>
      <w:r w:rsidR="00FC087B">
        <w:t>1</w:t>
      </w:r>
      <w:r>
        <w:t>2</w:t>
      </w:r>
      <w:r w:rsidR="007C33D7">
        <w:t xml:space="preserve"> Major Event Days is provided in </w:t>
      </w:r>
      <w:r w:rsidR="00CC6A3A" w:rsidRPr="00F70D6A">
        <w:t>this Annual Report</w:t>
      </w:r>
      <w:r w:rsidR="0061584F">
        <w:t xml:space="preserve"> as was done in previous years</w:t>
      </w:r>
      <w:r w:rsidR="00CC6A3A" w:rsidRPr="00F70D6A">
        <w:t xml:space="preserve"> </w:t>
      </w:r>
      <w:r w:rsidR="00E55F82">
        <w:t xml:space="preserve">in the Major Event Day Causes section </w:t>
      </w:r>
      <w:r w:rsidR="007C33D7" w:rsidRPr="00AD686A">
        <w:t xml:space="preserve">on </w:t>
      </w:r>
      <w:r w:rsidR="00EB78F2" w:rsidRPr="00877402">
        <w:t>page 5</w:t>
      </w:r>
      <w:r w:rsidR="00992CA2">
        <w:t>1</w:t>
      </w:r>
      <w:r w:rsidR="00F70D6A" w:rsidRPr="00F70D6A">
        <w:t>.</w:t>
      </w:r>
    </w:p>
    <w:p w:rsidR="00212395" w:rsidRDefault="00212395" w:rsidP="00425628">
      <w:pPr>
        <w:pStyle w:val="Heading4"/>
      </w:pPr>
    </w:p>
    <w:p w:rsidR="00212395" w:rsidRDefault="00212395" w:rsidP="00212395">
      <w:pPr>
        <w:pStyle w:val="Heading3"/>
      </w:pPr>
      <w:bookmarkStart w:id="41" w:name="_Toc354492985"/>
      <w:r>
        <w:t>Customer Complaints</w:t>
      </w:r>
      <w:bookmarkEnd w:id="41"/>
    </w:p>
    <w:p w:rsidR="00212395" w:rsidRDefault="00212395" w:rsidP="005471F3"/>
    <w:bookmarkEnd w:id="39"/>
    <w:bookmarkEnd w:id="40"/>
    <w:p w:rsidR="003A5969" w:rsidRDefault="005471F3" w:rsidP="005471F3">
      <w:r w:rsidRPr="005471F3">
        <w:t xml:space="preserve">The Company tracks reliability complaints in two areas, Commission Complaints and Customer Complaints, which are defined in the Definitions section. </w:t>
      </w:r>
      <w:r w:rsidRPr="005471F3">
        <w:rPr>
          <w:color w:val="000000"/>
        </w:rPr>
        <w:t xml:space="preserve">See the Customer </w:t>
      </w:r>
      <w:r w:rsidRPr="005471F3">
        <w:t xml:space="preserve">Complaints section on Page </w:t>
      </w:r>
      <w:r w:rsidR="00992CA2">
        <w:t>36</w:t>
      </w:r>
      <w:r w:rsidRPr="005471F3">
        <w:t xml:space="preserve"> for a summary of results for this year.</w:t>
      </w:r>
      <w:r w:rsidR="003A5969">
        <w:t xml:space="preserve">  </w:t>
      </w:r>
    </w:p>
    <w:p w:rsidR="00C15044" w:rsidRDefault="00C15044"/>
    <w:p w:rsidR="00C15044" w:rsidRDefault="00C15044">
      <w:pPr>
        <w:rPr>
          <w:rFonts w:ascii="Arial" w:hAnsi="Arial"/>
          <w:b/>
          <w:kern w:val="28"/>
          <w:sz w:val="28"/>
          <w:u w:val="single"/>
        </w:rPr>
      </w:pPr>
      <w:bookmarkStart w:id="42" w:name="_Toc98906754"/>
      <w:bookmarkStart w:id="43" w:name="_Toc165342428"/>
      <w:bookmarkStart w:id="44" w:name="_Toc193710985"/>
      <w:bookmarkStart w:id="45" w:name="_Toc227571577"/>
      <w:r>
        <w:br w:type="page"/>
      </w:r>
    </w:p>
    <w:p w:rsidR="003A5969" w:rsidRDefault="003A5969">
      <w:pPr>
        <w:pStyle w:val="Heading1"/>
      </w:pPr>
      <w:bookmarkStart w:id="46" w:name="_Toc354492986"/>
      <w:r>
        <w:t>System Indices</w:t>
      </w:r>
      <w:bookmarkEnd w:id="42"/>
      <w:bookmarkEnd w:id="43"/>
      <w:bookmarkEnd w:id="44"/>
      <w:bookmarkEnd w:id="45"/>
      <w:bookmarkEnd w:id="46"/>
    </w:p>
    <w:p w:rsidR="006176A2" w:rsidRPr="006176A2" w:rsidRDefault="006176A2" w:rsidP="006176A2"/>
    <w:p w:rsidR="00903390" w:rsidRDefault="003A5969" w:rsidP="00163C99">
      <w:pPr>
        <w:spacing w:before="120"/>
      </w:pPr>
      <w:r>
        <w:t xml:space="preserve">The charts below show indices for Avista’s </w:t>
      </w:r>
      <w:smartTag w:uri="urn:schemas-microsoft-com:office:smarttags" w:element="State">
        <w:r>
          <w:t>Washington</w:t>
        </w:r>
      </w:smartTag>
      <w:r>
        <w:t xml:space="preserve"> and </w:t>
      </w:r>
      <w:smartTag w:uri="urn:schemas-microsoft-com:office:smarttags" w:element="place">
        <w:smartTag w:uri="urn:schemas-microsoft-com:office:smarttags" w:element="State">
          <w:r>
            <w:t>Idaho</w:t>
          </w:r>
        </w:smartTag>
      </w:smartTag>
      <w:r>
        <w:t xml:space="preserve"> (“system”) electric service territory by year.  Breakdown by division is included later in this report.</w:t>
      </w:r>
      <w:r w:rsidR="00163C99">
        <w:t xml:space="preserve">  </w:t>
      </w:r>
      <w:r w:rsidR="008B1516">
        <w:t xml:space="preserve">Each chart shows </w:t>
      </w:r>
      <w:r w:rsidR="00B47C0E">
        <w:t>seven</w:t>
      </w:r>
      <w:r w:rsidR="008B1516">
        <w:t xml:space="preserve"> years of data along with the baseline reliability statistic which is highlighted in green. The </w:t>
      </w:r>
      <w:r w:rsidR="00903390">
        <w:t xml:space="preserve">Company </w:t>
      </w:r>
      <w:r w:rsidR="008B1516">
        <w:t xml:space="preserve">also has calculated a reliability target that is the average over the previous five years plus </w:t>
      </w:r>
      <w:r w:rsidR="00B47C0E">
        <w:t>two</w:t>
      </w:r>
      <w:r w:rsidR="008B1516">
        <w:t xml:space="preserve"> standard deviations. This target is shown in yellow on the reliability ind</w:t>
      </w:r>
      <w:r w:rsidR="00BF2451">
        <w:t>ex</w:t>
      </w:r>
      <w:r w:rsidR="008B1516">
        <w:t xml:space="preserve"> charts. </w:t>
      </w:r>
    </w:p>
    <w:p w:rsidR="00903390" w:rsidRDefault="00903390" w:rsidP="00903390"/>
    <w:p w:rsidR="00473AE9" w:rsidRDefault="00903390" w:rsidP="00903390">
      <w:r>
        <w:t xml:space="preserve">The </w:t>
      </w:r>
      <w:r w:rsidR="008B1516">
        <w:t>reliability target</w:t>
      </w:r>
      <w:r w:rsidR="00473AE9">
        <w:t>s</w:t>
      </w:r>
      <w:r w:rsidR="008B1516">
        <w:t xml:space="preserve"> </w:t>
      </w:r>
      <w:r>
        <w:t xml:space="preserve">have been adjusted by removing Major Event Days, MED’s, as defined in the </w:t>
      </w:r>
      <w:r w:rsidR="00473AE9">
        <w:t>previous</w:t>
      </w:r>
      <w:r>
        <w:t xml:space="preserve"> section</w:t>
      </w:r>
      <w:r w:rsidR="00473AE9">
        <w:t>.</w:t>
      </w:r>
      <w:r w:rsidR="008B1516">
        <w:t xml:space="preserve"> </w:t>
      </w:r>
    </w:p>
    <w:p w:rsidR="00473AE9" w:rsidRDefault="00473AE9" w:rsidP="00903390"/>
    <w:p w:rsidR="00903390" w:rsidRPr="00473AE9" w:rsidRDefault="00473AE9" w:rsidP="008708C0">
      <w:pPr>
        <w:pStyle w:val="Heading4"/>
      </w:pPr>
      <w:bookmarkStart w:id="47" w:name="_Toc354492987"/>
      <w:r w:rsidRPr="00473AE9">
        <w:t xml:space="preserve">Table </w:t>
      </w:r>
      <w:r>
        <w:t>2.1</w:t>
      </w:r>
      <w:r w:rsidRPr="00473AE9">
        <w:t xml:space="preserve"> - Reliability</w:t>
      </w:r>
      <w:r w:rsidR="00903390" w:rsidRPr="00473AE9">
        <w:t xml:space="preserve"> </w:t>
      </w:r>
      <w:r w:rsidRPr="00473AE9">
        <w:t>S</w:t>
      </w:r>
      <w:r w:rsidR="00903390" w:rsidRPr="00473AE9">
        <w:t xml:space="preserve">tatistic </w:t>
      </w:r>
      <w:r w:rsidR="0054756F">
        <w:t>Target by Ind</w:t>
      </w:r>
      <w:bookmarkEnd w:id="47"/>
      <w:r w:rsidR="00BF2451">
        <w:t>ex</w:t>
      </w:r>
    </w:p>
    <w:p w:rsidR="00903390" w:rsidRDefault="00903390" w:rsidP="00903390"/>
    <w:tbl>
      <w:tblPr>
        <w:tblW w:w="0" w:type="auto"/>
        <w:jc w:val="center"/>
        <w:tblInd w:w="-29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2094"/>
        <w:gridCol w:w="2722"/>
        <w:gridCol w:w="2406"/>
        <w:gridCol w:w="2795"/>
      </w:tblGrid>
      <w:tr w:rsidR="008B1516" w:rsidTr="00513E44">
        <w:trPr>
          <w:jc w:val="center"/>
        </w:trPr>
        <w:tc>
          <w:tcPr>
            <w:tcW w:w="2094" w:type="dxa"/>
          </w:tcPr>
          <w:p w:rsidR="008B1516" w:rsidRDefault="008B1516" w:rsidP="00985DD1">
            <w:pPr>
              <w:pStyle w:val="Heading9"/>
            </w:pPr>
          </w:p>
          <w:p w:rsidR="008B1516" w:rsidRDefault="008B1516" w:rsidP="00BF2451">
            <w:pPr>
              <w:pStyle w:val="Heading9"/>
              <w:ind w:left="-119"/>
            </w:pPr>
            <w:r>
              <w:t>Ind</w:t>
            </w:r>
            <w:r w:rsidR="00BF2451">
              <w:t>ex</w:t>
            </w:r>
          </w:p>
        </w:tc>
        <w:tc>
          <w:tcPr>
            <w:tcW w:w="2722" w:type="dxa"/>
          </w:tcPr>
          <w:p w:rsidR="008B1516" w:rsidRDefault="008B1516" w:rsidP="00985DD1">
            <w:pPr>
              <w:pStyle w:val="Heading9"/>
            </w:pPr>
            <w:r>
              <w:t>200</w:t>
            </w:r>
            <w:r w:rsidR="00660C33">
              <w:t>6</w:t>
            </w:r>
            <w:r>
              <w:t>-20</w:t>
            </w:r>
            <w:r w:rsidR="00946DD1">
              <w:t>1</w:t>
            </w:r>
            <w:r w:rsidR="00660C33">
              <w:t>1</w:t>
            </w:r>
            <w:r>
              <w:t xml:space="preserve"> </w:t>
            </w:r>
          </w:p>
          <w:p w:rsidR="008B1516" w:rsidRDefault="008B1516" w:rsidP="00985DD1">
            <w:pPr>
              <w:pStyle w:val="Heading9"/>
            </w:pPr>
            <w:r>
              <w:t>Average</w:t>
            </w:r>
          </w:p>
          <w:p w:rsidR="008B1516" w:rsidRDefault="008B1516" w:rsidP="00985DD1">
            <w:pPr>
              <w:jc w:val="center"/>
              <w:rPr>
                <w:sz w:val="16"/>
              </w:rPr>
            </w:pPr>
            <w:r>
              <w:rPr>
                <w:sz w:val="16"/>
              </w:rPr>
              <w:t>(Excluding Major Events)</w:t>
            </w:r>
          </w:p>
        </w:tc>
        <w:tc>
          <w:tcPr>
            <w:tcW w:w="2406" w:type="dxa"/>
          </w:tcPr>
          <w:p w:rsidR="008B1516" w:rsidRDefault="008B1516" w:rsidP="00985DD1">
            <w:pPr>
              <w:pStyle w:val="Heading9"/>
            </w:pPr>
            <w:r>
              <w:t xml:space="preserve">2005 </w:t>
            </w:r>
          </w:p>
          <w:p w:rsidR="008B1516" w:rsidRDefault="008B1516" w:rsidP="00985DD1">
            <w:pPr>
              <w:pStyle w:val="Heading9"/>
            </w:pPr>
            <w:r>
              <w:t>Baseline</w:t>
            </w:r>
          </w:p>
        </w:tc>
        <w:tc>
          <w:tcPr>
            <w:tcW w:w="2795" w:type="dxa"/>
          </w:tcPr>
          <w:p w:rsidR="008B1516" w:rsidRDefault="008B1516" w:rsidP="00985DD1">
            <w:pPr>
              <w:pStyle w:val="Heading9"/>
            </w:pPr>
            <w:r>
              <w:t>Reliability</w:t>
            </w:r>
          </w:p>
          <w:p w:rsidR="008B1516" w:rsidRDefault="008B1516" w:rsidP="00985DD1">
            <w:pPr>
              <w:pStyle w:val="Heading9"/>
            </w:pPr>
            <w:r>
              <w:t>Target</w:t>
            </w:r>
          </w:p>
          <w:p w:rsidR="008B1516" w:rsidRDefault="008B1516" w:rsidP="00985DD1">
            <w:pPr>
              <w:jc w:val="center"/>
              <w:rPr>
                <w:sz w:val="16"/>
              </w:rPr>
            </w:pPr>
            <w:r>
              <w:rPr>
                <w:sz w:val="16"/>
              </w:rPr>
              <w:t>(Ave + 2 Standard Deviations)</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SAIFI</w:t>
            </w:r>
          </w:p>
        </w:tc>
        <w:tc>
          <w:tcPr>
            <w:tcW w:w="2722" w:type="dxa"/>
          </w:tcPr>
          <w:p w:rsidR="008B1516" w:rsidRDefault="008B1516" w:rsidP="008B1516">
            <w:pPr>
              <w:spacing w:before="120" w:after="120"/>
              <w:jc w:val="center"/>
              <w:rPr>
                <w:rFonts w:ascii="Tahoma" w:hAnsi="Tahoma" w:cs="Tahoma"/>
              </w:rPr>
            </w:pPr>
            <w:r>
              <w:rPr>
                <w:rFonts w:ascii="Tahoma" w:hAnsi="Tahoma" w:cs="Tahoma"/>
              </w:rPr>
              <w:t>1.2</w:t>
            </w:r>
            <w:r w:rsidR="00660C33">
              <w:rPr>
                <w:rFonts w:ascii="Tahoma" w:hAnsi="Tahoma" w:cs="Tahoma"/>
              </w:rPr>
              <w:t>8</w:t>
            </w:r>
          </w:p>
        </w:tc>
        <w:tc>
          <w:tcPr>
            <w:tcW w:w="2406" w:type="dxa"/>
          </w:tcPr>
          <w:p w:rsidR="008B1516" w:rsidRDefault="00C42FB4" w:rsidP="008B1516">
            <w:pPr>
              <w:spacing w:before="120" w:after="120"/>
              <w:jc w:val="center"/>
              <w:rPr>
                <w:rFonts w:ascii="Tahoma" w:hAnsi="Tahoma" w:cs="Tahoma"/>
              </w:rPr>
            </w:pPr>
            <w:r>
              <w:rPr>
                <w:rFonts w:ascii="Tahoma" w:hAnsi="Tahoma" w:cs="Tahoma"/>
              </w:rPr>
              <w:t>0.97</w:t>
            </w:r>
          </w:p>
        </w:tc>
        <w:tc>
          <w:tcPr>
            <w:tcW w:w="2795" w:type="dxa"/>
          </w:tcPr>
          <w:p w:rsidR="008B1516" w:rsidRDefault="008B1516" w:rsidP="00660C33">
            <w:pPr>
              <w:spacing w:before="120" w:after="120"/>
              <w:jc w:val="center"/>
              <w:rPr>
                <w:rFonts w:ascii="Tahoma" w:hAnsi="Tahoma" w:cs="Tahoma"/>
              </w:rPr>
            </w:pPr>
            <w:r>
              <w:rPr>
                <w:rFonts w:ascii="Tahoma" w:hAnsi="Tahoma" w:cs="Tahoma"/>
              </w:rPr>
              <w:t>1.</w:t>
            </w:r>
            <w:r w:rsidR="009E2579">
              <w:rPr>
                <w:rFonts w:ascii="Tahoma" w:hAnsi="Tahoma" w:cs="Tahoma"/>
              </w:rPr>
              <w:t>6</w:t>
            </w:r>
            <w:r w:rsidR="00660C33">
              <w:rPr>
                <w:rFonts w:ascii="Tahoma" w:hAnsi="Tahoma" w:cs="Tahoma"/>
              </w:rPr>
              <w:t>0</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MAIFI</w:t>
            </w:r>
          </w:p>
        </w:tc>
        <w:tc>
          <w:tcPr>
            <w:tcW w:w="2722" w:type="dxa"/>
          </w:tcPr>
          <w:p w:rsidR="008B1516" w:rsidRDefault="00660C33" w:rsidP="008B1516">
            <w:pPr>
              <w:spacing w:before="120" w:after="120"/>
              <w:jc w:val="center"/>
              <w:rPr>
                <w:rFonts w:ascii="Tahoma" w:hAnsi="Tahoma" w:cs="Tahoma"/>
              </w:rPr>
            </w:pPr>
            <w:r>
              <w:rPr>
                <w:rFonts w:ascii="Tahoma" w:hAnsi="Tahoma" w:cs="Tahoma"/>
              </w:rPr>
              <w:t>3.77</w:t>
            </w:r>
          </w:p>
        </w:tc>
        <w:tc>
          <w:tcPr>
            <w:tcW w:w="2406" w:type="dxa"/>
          </w:tcPr>
          <w:p w:rsidR="008B1516" w:rsidRDefault="00C42FB4" w:rsidP="00985DD1">
            <w:pPr>
              <w:spacing w:before="120" w:after="120"/>
              <w:jc w:val="center"/>
              <w:rPr>
                <w:rFonts w:ascii="Tahoma" w:hAnsi="Tahoma" w:cs="Tahoma"/>
              </w:rPr>
            </w:pPr>
            <w:r>
              <w:rPr>
                <w:rFonts w:ascii="Tahoma" w:hAnsi="Tahoma" w:cs="Tahoma"/>
              </w:rPr>
              <w:t>3.58</w:t>
            </w:r>
          </w:p>
        </w:tc>
        <w:tc>
          <w:tcPr>
            <w:tcW w:w="2795" w:type="dxa"/>
          </w:tcPr>
          <w:p w:rsidR="008B1516" w:rsidRDefault="009E2579" w:rsidP="00660C33">
            <w:pPr>
              <w:spacing w:before="120" w:after="120"/>
              <w:jc w:val="center"/>
              <w:rPr>
                <w:rFonts w:ascii="Tahoma" w:hAnsi="Tahoma" w:cs="Tahoma"/>
              </w:rPr>
            </w:pPr>
            <w:r>
              <w:rPr>
                <w:rFonts w:ascii="Tahoma" w:hAnsi="Tahoma" w:cs="Tahoma"/>
              </w:rPr>
              <w:t>5</w:t>
            </w:r>
            <w:r w:rsidR="008B1516">
              <w:rPr>
                <w:rFonts w:ascii="Tahoma" w:hAnsi="Tahoma" w:cs="Tahoma"/>
              </w:rPr>
              <w:t>.</w:t>
            </w:r>
            <w:r w:rsidR="00660C33">
              <w:rPr>
                <w:rFonts w:ascii="Tahoma" w:hAnsi="Tahoma" w:cs="Tahoma"/>
              </w:rPr>
              <w:t>52</w:t>
            </w:r>
          </w:p>
        </w:tc>
      </w:tr>
      <w:tr w:rsidR="008B1516" w:rsidTr="00513E44">
        <w:trPr>
          <w:jc w:val="center"/>
        </w:trPr>
        <w:tc>
          <w:tcPr>
            <w:tcW w:w="2094" w:type="dxa"/>
          </w:tcPr>
          <w:p w:rsidR="008B1516" w:rsidRDefault="008B1516" w:rsidP="00985DD1">
            <w:pPr>
              <w:spacing w:before="120" w:after="120"/>
              <w:jc w:val="center"/>
              <w:rPr>
                <w:rFonts w:ascii="Tahoma" w:hAnsi="Tahoma" w:cs="Tahoma"/>
              </w:rPr>
            </w:pPr>
            <w:r>
              <w:rPr>
                <w:rFonts w:ascii="Tahoma" w:hAnsi="Tahoma" w:cs="Tahoma"/>
              </w:rPr>
              <w:t>SAIDI</w:t>
            </w:r>
          </w:p>
        </w:tc>
        <w:tc>
          <w:tcPr>
            <w:tcW w:w="2722" w:type="dxa"/>
          </w:tcPr>
          <w:p w:rsidR="008B1516" w:rsidRDefault="009E2579" w:rsidP="00660C33">
            <w:pPr>
              <w:spacing w:before="120" w:after="120"/>
              <w:jc w:val="center"/>
              <w:rPr>
                <w:rFonts w:ascii="Tahoma" w:hAnsi="Tahoma" w:cs="Tahoma"/>
              </w:rPr>
            </w:pPr>
            <w:r>
              <w:rPr>
                <w:rFonts w:ascii="Tahoma" w:hAnsi="Tahoma" w:cs="Tahoma"/>
              </w:rPr>
              <w:t>14</w:t>
            </w:r>
            <w:r w:rsidR="00660C33">
              <w:rPr>
                <w:rFonts w:ascii="Tahoma" w:hAnsi="Tahoma" w:cs="Tahoma"/>
              </w:rPr>
              <w:t>9</w:t>
            </w:r>
          </w:p>
        </w:tc>
        <w:tc>
          <w:tcPr>
            <w:tcW w:w="2406" w:type="dxa"/>
          </w:tcPr>
          <w:p w:rsidR="008B1516" w:rsidRDefault="00C42FB4" w:rsidP="008B1516">
            <w:pPr>
              <w:spacing w:before="120" w:after="120"/>
              <w:jc w:val="center"/>
              <w:rPr>
                <w:rFonts w:ascii="Tahoma" w:hAnsi="Tahoma" w:cs="Tahoma"/>
              </w:rPr>
            </w:pPr>
            <w:r>
              <w:rPr>
                <w:rFonts w:ascii="Tahoma" w:hAnsi="Tahoma" w:cs="Tahoma"/>
              </w:rPr>
              <w:t>108</w:t>
            </w:r>
          </w:p>
        </w:tc>
        <w:tc>
          <w:tcPr>
            <w:tcW w:w="2795" w:type="dxa"/>
          </w:tcPr>
          <w:p w:rsidR="008B1516" w:rsidRDefault="009E2579" w:rsidP="00660C33">
            <w:pPr>
              <w:spacing w:before="120" w:after="120"/>
              <w:jc w:val="center"/>
              <w:rPr>
                <w:rFonts w:ascii="Tahoma" w:hAnsi="Tahoma" w:cs="Tahoma"/>
              </w:rPr>
            </w:pPr>
            <w:r>
              <w:rPr>
                <w:rFonts w:ascii="Tahoma" w:hAnsi="Tahoma" w:cs="Tahoma"/>
              </w:rPr>
              <w:t>20</w:t>
            </w:r>
            <w:r w:rsidR="00660C33">
              <w:rPr>
                <w:rFonts w:ascii="Tahoma" w:hAnsi="Tahoma" w:cs="Tahoma"/>
              </w:rPr>
              <w:t>0</w:t>
            </w:r>
          </w:p>
        </w:tc>
      </w:tr>
      <w:tr w:rsidR="00C42FB4" w:rsidTr="00513E44">
        <w:trPr>
          <w:jc w:val="center"/>
        </w:trPr>
        <w:tc>
          <w:tcPr>
            <w:tcW w:w="2094" w:type="dxa"/>
          </w:tcPr>
          <w:p w:rsidR="00C42FB4" w:rsidRDefault="00C42FB4" w:rsidP="00985DD1">
            <w:pPr>
              <w:spacing w:before="120" w:after="120"/>
              <w:jc w:val="center"/>
              <w:rPr>
                <w:rFonts w:ascii="Tahoma" w:hAnsi="Tahoma" w:cs="Tahoma"/>
              </w:rPr>
            </w:pPr>
            <w:r>
              <w:t>CAIDI</w:t>
            </w:r>
          </w:p>
        </w:tc>
        <w:tc>
          <w:tcPr>
            <w:tcW w:w="2722" w:type="dxa"/>
          </w:tcPr>
          <w:p w:rsidR="00C42FB4" w:rsidRDefault="00C42FB4" w:rsidP="00985DD1">
            <w:pPr>
              <w:spacing w:before="120" w:after="120"/>
              <w:jc w:val="center"/>
              <w:rPr>
                <w:rFonts w:ascii="Tahoma" w:hAnsi="Tahoma" w:cs="Tahoma"/>
              </w:rPr>
            </w:pPr>
            <w:r>
              <w:rPr>
                <w:rFonts w:ascii="Tahoma" w:hAnsi="Tahoma" w:cs="Tahoma"/>
              </w:rPr>
              <w:t>116</w:t>
            </w:r>
          </w:p>
        </w:tc>
        <w:tc>
          <w:tcPr>
            <w:tcW w:w="2406" w:type="dxa"/>
          </w:tcPr>
          <w:p w:rsidR="00C42FB4" w:rsidRDefault="00C42FB4" w:rsidP="008B1516">
            <w:pPr>
              <w:spacing w:before="120" w:after="120"/>
              <w:jc w:val="center"/>
              <w:rPr>
                <w:rFonts w:ascii="Tahoma" w:hAnsi="Tahoma" w:cs="Tahoma"/>
              </w:rPr>
            </w:pPr>
            <w:r>
              <w:rPr>
                <w:rFonts w:ascii="Tahoma" w:hAnsi="Tahoma" w:cs="Tahoma"/>
              </w:rPr>
              <w:t>112</w:t>
            </w:r>
          </w:p>
        </w:tc>
        <w:tc>
          <w:tcPr>
            <w:tcW w:w="2795" w:type="dxa"/>
          </w:tcPr>
          <w:p w:rsidR="00C42FB4" w:rsidRDefault="009E2579" w:rsidP="00660C33">
            <w:pPr>
              <w:spacing w:before="120" w:after="120"/>
              <w:jc w:val="center"/>
              <w:rPr>
                <w:rFonts w:ascii="Tahoma" w:hAnsi="Tahoma" w:cs="Tahoma"/>
              </w:rPr>
            </w:pPr>
            <w:r>
              <w:rPr>
                <w:rFonts w:ascii="Tahoma" w:hAnsi="Tahoma" w:cs="Tahoma"/>
              </w:rPr>
              <w:t>12</w:t>
            </w:r>
            <w:r w:rsidR="00660C33">
              <w:rPr>
                <w:rFonts w:ascii="Tahoma" w:hAnsi="Tahoma" w:cs="Tahoma"/>
              </w:rPr>
              <w:t>9</w:t>
            </w:r>
          </w:p>
        </w:tc>
      </w:tr>
    </w:tbl>
    <w:p w:rsidR="00903390" w:rsidRDefault="00903390" w:rsidP="00903390">
      <w:bookmarkStart w:id="48" w:name="_Toc165342423"/>
    </w:p>
    <w:p w:rsidR="00903390" w:rsidRDefault="00903390" w:rsidP="00903390"/>
    <w:p w:rsidR="00903390" w:rsidRDefault="00903390" w:rsidP="00903390">
      <w:r w:rsidRPr="001028D9">
        <w:t xml:space="preserve">Additional </w:t>
      </w:r>
      <w:r w:rsidR="00B32E88" w:rsidRPr="001028D9">
        <w:t>comparisons of the Reliability Indices are</w:t>
      </w:r>
      <w:r w:rsidR="00154358">
        <w:t xml:space="preserve"> </w:t>
      </w:r>
      <w:r w:rsidRPr="001028D9">
        <w:t xml:space="preserve">provided in the </w:t>
      </w:r>
      <w:r w:rsidR="00B47C0E">
        <w:t xml:space="preserve">Office </w:t>
      </w:r>
      <w:r w:rsidR="00E74274">
        <w:t xml:space="preserve">Indices section (page 12) </w:t>
      </w:r>
      <w:r w:rsidR="00B47C0E">
        <w:t>and Monthly</w:t>
      </w:r>
      <w:r w:rsidRPr="001028D9">
        <w:t xml:space="preserve"> Indices section</w:t>
      </w:r>
      <w:r w:rsidR="00E74274">
        <w:t xml:space="preserve"> (page 3</w:t>
      </w:r>
      <w:r w:rsidR="00992CA2">
        <w:t>4</w:t>
      </w:r>
      <w:r w:rsidR="00E74274">
        <w:t>)</w:t>
      </w:r>
      <w:r w:rsidRPr="001028D9">
        <w:t xml:space="preserve"> of this report.</w:t>
      </w:r>
      <w:bookmarkEnd w:id="48"/>
    </w:p>
    <w:p w:rsidR="00903390" w:rsidRDefault="00903390" w:rsidP="00903390"/>
    <w:p w:rsidR="003A5969" w:rsidRDefault="00B050A9" w:rsidP="00AF1F3B">
      <w:r>
        <w:t>T</w:t>
      </w:r>
      <w:r w:rsidR="003A5969">
        <w:t xml:space="preserve">he Company </w:t>
      </w:r>
      <w:r>
        <w:t>continues to use the</w:t>
      </w:r>
      <w:r w:rsidR="003A5969">
        <w:t xml:space="preserve"> definition of major events as described above to be consistent with IEEE Standards.  Therefore, the following charts show statistics including the effect of maj</w:t>
      </w:r>
      <w:r w:rsidR="0062552D">
        <w:t xml:space="preserve">or events per this definition. </w:t>
      </w:r>
      <w:r w:rsidR="0062034C">
        <w:t>Both the Baseline Statistic is shown for the year 2005 (green bar), along with the Avista Target Statistic which is shown as the yellow bar.</w:t>
      </w:r>
      <w:r w:rsidR="003A5969">
        <w:t xml:space="preserve">  </w:t>
      </w:r>
    </w:p>
    <w:p w:rsidR="00C81663" w:rsidRDefault="00C81663" w:rsidP="00D314F6"/>
    <w:p w:rsidR="00C15044" w:rsidRDefault="00C81663" w:rsidP="00D314F6">
      <w:r w:rsidRPr="00C81663">
        <w:t xml:space="preserve">Refer </w:t>
      </w:r>
      <w:r w:rsidRPr="00473073">
        <w:t>to Attachment 1</w:t>
      </w:r>
      <w:r w:rsidRPr="00C81663">
        <w:t xml:space="preserve"> – SAIDI and SAIFI Historical Summary for additional historical information.</w:t>
      </w:r>
    </w:p>
    <w:p w:rsidR="00C15044" w:rsidRDefault="00C15044" w:rsidP="00D314F6"/>
    <w:p w:rsidR="003A5969" w:rsidRDefault="00473AE9" w:rsidP="00C15044">
      <w:pPr>
        <w:pStyle w:val="Heading3"/>
      </w:pPr>
      <w:bookmarkStart w:id="49" w:name="_Toc98906755"/>
      <w:bookmarkStart w:id="50" w:name="_Toc165342429"/>
      <w:bookmarkStart w:id="51" w:name="_Toc193710986"/>
      <w:bookmarkStart w:id="52" w:name="_Toc227571578"/>
      <w:bookmarkStart w:id="53" w:name="_Toc354492988"/>
      <w:r>
        <w:t>Chart 2</w:t>
      </w:r>
      <w:r w:rsidR="003A5969">
        <w:t>.1 – SAIFI - Sustained Interruptions / Customer</w:t>
      </w:r>
      <w:bookmarkEnd w:id="49"/>
      <w:bookmarkEnd w:id="50"/>
      <w:bookmarkEnd w:id="51"/>
      <w:bookmarkEnd w:id="52"/>
      <w:bookmarkEnd w:id="53"/>
      <w:r w:rsidR="003A5969">
        <w:t xml:space="preserve"> </w:t>
      </w:r>
    </w:p>
    <w:p w:rsidR="00705BA0" w:rsidRDefault="00B7542A" w:rsidP="00C15044">
      <w:pPr>
        <w:jc w:val="center"/>
      </w:pPr>
      <w:bookmarkStart w:id="54" w:name="_Toc98906756"/>
      <w:bookmarkStart w:id="55" w:name="_Toc165342430"/>
      <w:bookmarkStart w:id="56" w:name="_Toc193710987"/>
      <w:bookmarkStart w:id="57" w:name="_Toc227571579"/>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2" type="#_x0000_t106" style="position:absolute;left:0;text-align:left;margin-left:-4.15pt;margin-top:62.8pt;width:168.75pt;height:39pt;z-index:251658240" adj="18406,87812" fillcolor="#396">
            <v:textbox style="mso-next-textbox:#_x0000_s1062">
              <w:txbxContent>
                <w:p w:rsidR="00055DBE" w:rsidRDefault="00055DBE">
                  <w:r>
                    <w:t>Baseline Year 2005</w:t>
                  </w:r>
                </w:p>
              </w:txbxContent>
            </v:textbox>
          </v:shape>
        </w:pict>
      </w:r>
      <w:r w:rsidR="00077BF6" w:rsidRPr="00077BF6">
        <w:rPr>
          <w:noProof/>
        </w:rPr>
        <w:drawing>
          <wp:inline distT="0" distB="0" distL="0" distR="0">
            <wp:extent cx="5638800" cy="3771900"/>
            <wp:effectExtent l="0" t="0" r="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93E3B" w:rsidRDefault="00693E3B">
      <w:pPr>
        <w:pStyle w:val="Heading3"/>
      </w:pPr>
    </w:p>
    <w:p w:rsidR="003A5969" w:rsidRDefault="003A5969">
      <w:pPr>
        <w:pStyle w:val="Heading3"/>
      </w:pPr>
      <w:bookmarkStart w:id="58" w:name="_Toc354492989"/>
      <w:r>
        <w:t xml:space="preserve">Chart </w:t>
      </w:r>
      <w:r w:rsidR="00473AE9">
        <w:t>2</w:t>
      </w:r>
      <w:r>
        <w:t>.2 – Sustained Interruptions / Customer Historic Comparison</w:t>
      </w:r>
      <w:bookmarkEnd w:id="54"/>
      <w:bookmarkEnd w:id="55"/>
      <w:bookmarkEnd w:id="56"/>
      <w:bookmarkEnd w:id="57"/>
      <w:bookmarkEnd w:id="58"/>
    </w:p>
    <w:p w:rsidR="00693E3B" w:rsidRPr="00693E3B" w:rsidRDefault="00693E3B" w:rsidP="00693E3B"/>
    <w:p w:rsidR="003A5969" w:rsidRPr="00970AFD" w:rsidRDefault="00077BF6" w:rsidP="00D12345">
      <w:pPr>
        <w:spacing w:after="120"/>
        <w:jc w:val="center"/>
      </w:pPr>
      <w:r w:rsidRPr="00077BF6">
        <w:rPr>
          <w:noProof/>
        </w:rPr>
        <w:drawing>
          <wp:inline distT="0" distB="0" distL="0" distR="0">
            <wp:extent cx="5511800" cy="3536950"/>
            <wp:effectExtent l="19050" t="0" r="12700" b="635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A5969" w:rsidRDefault="003A5969"/>
    <w:p w:rsidR="003A5969" w:rsidRPr="008968C7" w:rsidRDefault="003A5969">
      <w:bookmarkStart w:id="59" w:name="_Toc97619593"/>
      <w:r w:rsidRPr="007D1A62">
        <w:t>SAIFI for 20</w:t>
      </w:r>
      <w:r w:rsidR="00D23436" w:rsidRPr="007D1A62">
        <w:t>1</w:t>
      </w:r>
      <w:r w:rsidR="00C11661">
        <w:t>2</w:t>
      </w:r>
      <w:r w:rsidRPr="007D1A62">
        <w:t xml:space="preserve"> was</w:t>
      </w:r>
      <w:r w:rsidR="00473073">
        <w:t xml:space="preserve"> slightly</w:t>
      </w:r>
      <w:r w:rsidRPr="007D1A62">
        <w:t xml:space="preserve"> </w:t>
      </w:r>
      <w:r w:rsidR="009A24F1" w:rsidRPr="007D1A62">
        <w:t>over</w:t>
      </w:r>
      <w:r w:rsidR="00676452" w:rsidRPr="007D1A62">
        <w:t xml:space="preserve"> the </w:t>
      </w:r>
      <w:r w:rsidR="00D23436" w:rsidRPr="007D1A62">
        <w:t xml:space="preserve">2005 </w:t>
      </w:r>
      <w:r w:rsidRPr="007D1A62">
        <w:t>baseline</w:t>
      </w:r>
      <w:r w:rsidR="00D23436" w:rsidRPr="007D1A62">
        <w:t xml:space="preserve"> statistic </w:t>
      </w:r>
      <w:r w:rsidR="009A24F1" w:rsidRPr="007D1A62">
        <w:t xml:space="preserve">and </w:t>
      </w:r>
      <w:r w:rsidR="00D23436" w:rsidRPr="007D1A62">
        <w:t xml:space="preserve">does </w:t>
      </w:r>
      <w:r w:rsidR="009A24F1" w:rsidRPr="007D1A62">
        <w:t xml:space="preserve">represent </w:t>
      </w:r>
      <w:r w:rsidR="00D23436" w:rsidRPr="007D1A62">
        <w:t xml:space="preserve">an </w:t>
      </w:r>
      <w:r w:rsidR="009A24F1" w:rsidRPr="007D1A62">
        <w:t>increasing trend</w:t>
      </w:r>
      <w:r w:rsidR="00D23436" w:rsidRPr="007D1A62">
        <w:t>, but at a slower rate than previously reported in the 20</w:t>
      </w:r>
      <w:r w:rsidR="00473073">
        <w:t>1</w:t>
      </w:r>
      <w:r w:rsidR="00B7084A">
        <w:t>1</w:t>
      </w:r>
      <w:r w:rsidR="00D23436" w:rsidRPr="007D1A62">
        <w:t xml:space="preserve"> Annual Report </w:t>
      </w:r>
      <w:r w:rsidR="00D23436" w:rsidRPr="00943BB8">
        <w:t>(</w:t>
      </w:r>
      <w:r w:rsidR="00EB78F2" w:rsidRPr="00943BB8">
        <w:t>UE-</w:t>
      </w:r>
      <w:r w:rsidR="00943BB8" w:rsidRPr="00943BB8">
        <w:t>120586</w:t>
      </w:r>
      <w:r w:rsidR="00D23436" w:rsidRPr="00943BB8">
        <w:t>)</w:t>
      </w:r>
      <w:r w:rsidR="00206916" w:rsidRPr="00943BB8">
        <w:t>.</w:t>
      </w:r>
      <w:r w:rsidR="00D23436" w:rsidRPr="007D1A62">
        <w:t xml:space="preserve"> The 201</w:t>
      </w:r>
      <w:r w:rsidR="00B7084A">
        <w:t>2</w:t>
      </w:r>
      <w:r w:rsidR="00D23436" w:rsidRPr="007D1A62">
        <w:t xml:space="preserve"> SAIFI number is </w:t>
      </w:r>
      <w:r w:rsidR="00B7084A">
        <w:t>slightly lower than 2010 and slightly higher</w:t>
      </w:r>
      <w:r w:rsidR="00D23436" w:rsidRPr="007D1A62">
        <w:t xml:space="preserve"> than </w:t>
      </w:r>
      <w:r w:rsidR="00B7084A">
        <w:t>2011</w:t>
      </w:r>
      <w:r w:rsidR="00D23436" w:rsidRPr="007D1A62">
        <w:t xml:space="preserve"> and may represent </w:t>
      </w:r>
      <w:r w:rsidR="00B7084A">
        <w:t>gains</w:t>
      </w:r>
      <w:r w:rsidR="00D23436" w:rsidRPr="007D1A62">
        <w:t xml:space="preserve"> due to Company expenditures specifically targeting reliability.</w:t>
      </w:r>
      <w:r w:rsidR="00206916" w:rsidRPr="007D1A62">
        <w:t xml:space="preserve"> </w:t>
      </w:r>
      <w:r w:rsidR="00D12345">
        <w:t>An increase in weather related outages is the main factor in the increased level over last year.</w:t>
      </w:r>
      <w:r w:rsidR="00D12345" w:rsidRPr="00E27887">
        <w:t xml:space="preserve"> </w:t>
      </w:r>
      <w:r w:rsidR="00206916" w:rsidRPr="007D1A62">
        <w:t>Using a simple linear regression to establish a trend li</w:t>
      </w:r>
      <w:r w:rsidR="00D23436" w:rsidRPr="007D1A62">
        <w:t xml:space="preserve">ne, it would look like about a </w:t>
      </w:r>
      <w:r w:rsidR="00B7084A">
        <w:t>0.63</w:t>
      </w:r>
      <w:r w:rsidR="00206916" w:rsidRPr="007D1A62">
        <w:t xml:space="preserve">% growth in </w:t>
      </w:r>
      <w:r w:rsidR="00154358">
        <w:t xml:space="preserve">the </w:t>
      </w:r>
      <w:r w:rsidR="00206916" w:rsidRPr="007D1A62">
        <w:t xml:space="preserve">number of </w:t>
      </w:r>
      <w:r w:rsidR="00D168ED" w:rsidRPr="007D1A62">
        <w:t xml:space="preserve">customers </w:t>
      </w:r>
      <w:r w:rsidR="00206916" w:rsidRPr="007D1A62">
        <w:t xml:space="preserve">affected. </w:t>
      </w:r>
      <w:r w:rsidR="00E753AD" w:rsidRPr="007D1A62">
        <w:t>The R</w:t>
      </w:r>
      <w:r w:rsidR="00E753AD" w:rsidRPr="007D1A62">
        <w:rPr>
          <w:vertAlign w:val="superscript"/>
        </w:rPr>
        <w:t>2</w:t>
      </w:r>
      <w:r w:rsidR="00E753AD" w:rsidRPr="007D1A62">
        <w:t xml:space="preserve"> coefficient of determination shows </w:t>
      </w:r>
      <w:r w:rsidR="009A24F1" w:rsidRPr="007D1A62">
        <w:t xml:space="preserve">a much </w:t>
      </w:r>
      <w:r w:rsidR="00937DE1">
        <w:t>weaker</w:t>
      </w:r>
      <w:r w:rsidR="00937DE1" w:rsidRPr="007D1A62">
        <w:t xml:space="preserve"> </w:t>
      </w:r>
      <w:r w:rsidR="00E753AD" w:rsidRPr="007D1A62">
        <w:t xml:space="preserve">correlation to the data </w:t>
      </w:r>
      <w:r w:rsidR="009A24F1" w:rsidRPr="007D1A62">
        <w:t>than last year</w:t>
      </w:r>
      <w:r w:rsidR="00E753AD" w:rsidRPr="007D1A62">
        <w:t xml:space="preserve">. </w:t>
      </w:r>
      <w:r w:rsidR="00D168ED" w:rsidRPr="007D1A62">
        <w:t>A chart of this</w:t>
      </w:r>
      <w:r w:rsidR="00D168ED">
        <w:t xml:space="preserve"> analysis has been provided just after this discussion</w:t>
      </w:r>
      <w:r w:rsidR="00D168ED" w:rsidRPr="00E27887">
        <w:t>.</w:t>
      </w:r>
      <w:r w:rsidR="00D12345">
        <w:t xml:space="preserve"> </w:t>
      </w:r>
    </w:p>
    <w:p w:rsidR="003A5969" w:rsidRPr="008968C7" w:rsidRDefault="003A5969"/>
    <w:p w:rsidR="004536E4" w:rsidRPr="00C254B4" w:rsidRDefault="003A5969">
      <w:r w:rsidRPr="00C254B4">
        <w:t xml:space="preserve">There were </w:t>
      </w:r>
      <w:r w:rsidR="00D12345">
        <w:t>103</w:t>
      </w:r>
      <w:r w:rsidR="000141B3">
        <w:t>,</w:t>
      </w:r>
      <w:r w:rsidR="00D12345">
        <w:t xml:space="preserve">066 </w:t>
      </w:r>
      <w:r w:rsidRPr="00C254B4">
        <w:t xml:space="preserve">customers affected by sustained outages caused by </w:t>
      </w:r>
      <w:r w:rsidR="008968C7" w:rsidRPr="00C254B4">
        <w:t>weather</w:t>
      </w:r>
      <w:r w:rsidRPr="00C254B4">
        <w:t xml:space="preserve"> in 20</w:t>
      </w:r>
      <w:r w:rsidR="00CB4B9F" w:rsidRPr="00C254B4">
        <w:t>1</w:t>
      </w:r>
      <w:r w:rsidR="00CF5710">
        <w:t>2</w:t>
      </w:r>
      <w:r w:rsidRPr="00C254B4">
        <w:t>.  This compares to the 200</w:t>
      </w:r>
      <w:r w:rsidR="00D12345">
        <w:t>6</w:t>
      </w:r>
      <w:r w:rsidR="008968C7" w:rsidRPr="00C254B4">
        <w:t>–</w:t>
      </w:r>
      <w:r w:rsidRPr="00C254B4">
        <w:t>20</w:t>
      </w:r>
      <w:r w:rsidR="00937DE1">
        <w:t>1</w:t>
      </w:r>
      <w:r w:rsidR="00D12345">
        <w:t>1</w:t>
      </w:r>
      <w:r w:rsidRPr="00C254B4">
        <w:t xml:space="preserve"> average of </w:t>
      </w:r>
      <w:r w:rsidR="00937DE1">
        <w:t>9</w:t>
      </w:r>
      <w:r w:rsidR="00D12345">
        <w:t>6</w:t>
      </w:r>
      <w:r w:rsidR="00937DE1">
        <w:t>,</w:t>
      </w:r>
      <w:r w:rsidR="00D12345">
        <w:t>732 customers and the 2011 level of</w:t>
      </w:r>
      <w:r w:rsidRPr="00C254B4">
        <w:t xml:space="preserve"> </w:t>
      </w:r>
      <w:r w:rsidR="00D12345">
        <w:t>56,460 customers.</w:t>
      </w:r>
    </w:p>
    <w:p w:rsidR="004536E4" w:rsidRPr="00C254B4" w:rsidRDefault="004536E4"/>
    <w:p w:rsidR="004536E4" w:rsidRPr="00C254B4" w:rsidRDefault="00D12345">
      <w:r>
        <w:t>24</w:t>
      </w:r>
      <w:r w:rsidR="00937DE1">
        <w:t>,</w:t>
      </w:r>
      <w:r>
        <w:t>266</w:t>
      </w:r>
      <w:r w:rsidR="008968C7" w:rsidRPr="00C254B4">
        <w:t xml:space="preserve"> customers were affected by sustained outages associated with </w:t>
      </w:r>
      <w:r w:rsidR="004B5844" w:rsidRPr="00C254B4">
        <w:t>animal</w:t>
      </w:r>
      <w:r w:rsidR="008968C7" w:rsidRPr="00C254B4">
        <w:t xml:space="preserve"> related inci</w:t>
      </w:r>
      <w:r w:rsidR="004B5844" w:rsidRPr="00C254B4">
        <w:t>dents. This compares to the 200</w:t>
      </w:r>
      <w:r>
        <w:t>6</w:t>
      </w:r>
      <w:r w:rsidR="008968C7" w:rsidRPr="00C254B4">
        <w:t>-20</w:t>
      </w:r>
      <w:r w:rsidR="00937DE1">
        <w:t>1</w:t>
      </w:r>
      <w:r>
        <w:t>1</w:t>
      </w:r>
      <w:r w:rsidR="008968C7" w:rsidRPr="00C254B4">
        <w:t xml:space="preserve"> average of </w:t>
      </w:r>
      <w:r w:rsidR="00937DE1">
        <w:t>3</w:t>
      </w:r>
      <w:r>
        <w:t>1</w:t>
      </w:r>
      <w:r w:rsidR="00937DE1">
        <w:t>,</w:t>
      </w:r>
      <w:r>
        <w:t>910</w:t>
      </w:r>
      <w:r w:rsidR="00176A8B" w:rsidRPr="00C254B4">
        <w:t xml:space="preserve"> customers. The vast majority of the </w:t>
      </w:r>
      <w:r w:rsidR="004B5844" w:rsidRPr="00C254B4">
        <w:t>animal</w:t>
      </w:r>
      <w:r w:rsidR="009010B4" w:rsidRPr="00C254B4">
        <w:t xml:space="preserve"> related reasons were associated with </w:t>
      </w:r>
      <w:r w:rsidR="004B5844" w:rsidRPr="00C254B4">
        <w:t>squirrel caused</w:t>
      </w:r>
      <w:r w:rsidR="009010B4" w:rsidRPr="00C254B4">
        <w:t xml:space="preserve"> incidents.</w:t>
      </w:r>
      <w:r w:rsidR="008968C7" w:rsidRPr="00C254B4">
        <w:t xml:space="preserve"> </w:t>
      </w:r>
    </w:p>
    <w:p w:rsidR="004536E4" w:rsidRPr="00C254B4" w:rsidRDefault="004536E4">
      <w:pPr>
        <w:rPr>
          <w:highlight w:val="yellow"/>
        </w:rPr>
      </w:pPr>
    </w:p>
    <w:p w:rsidR="009D3BB2" w:rsidRDefault="00267BC2">
      <w:r w:rsidRPr="00C254B4">
        <w:t>P</w:t>
      </w:r>
      <w:r w:rsidR="00D12345">
        <w:t>ublic outages</w:t>
      </w:r>
      <w:r w:rsidR="00444F29" w:rsidRPr="00C254B4">
        <w:t xml:space="preserve"> affected </w:t>
      </w:r>
      <w:r w:rsidR="00937DE1">
        <w:t>50,</w:t>
      </w:r>
      <w:r w:rsidR="00D12345">
        <w:t>938</w:t>
      </w:r>
      <w:r w:rsidR="00444F29" w:rsidRPr="00C254B4">
        <w:t xml:space="preserve"> customers as compared to the 200</w:t>
      </w:r>
      <w:r w:rsidR="00D12345">
        <w:t>6</w:t>
      </w:r>
      <w:r w:rsidR="00444F29" w:rsidRPr="00C254B4">
        <w:t>-20</w:t>
      </w:r>
      <w:r w:rsidR="00BE2899">
        <w:t>1</w:t>
      </w:r>
      <w:r w:rsidR="00D12345">
        <w:t>1</w:t>
      </w:r>
      <w:r w:rsidR="00444F29" w:rsidRPr="00C254B4">
        <w:t xml:space="preserve"> average of </w:t>
      </w:r>
      <w:r w:rsidR="00D12345">
        <w:t>39,947</w:t>
      </w:r>
      <w:r w:rsidR="00D168ED" w:rsidRPr="00C254B4">
        <w:t xml:space="preserve"> </w:t>
      </w:r>
      <w:r w:rsidR="00444F29" w:rsidRPr="00C254B4">
        <w:t>customers.</w:t>
      </w:r>
      <w:r w:rsidR="002A73B8" w:rsidRPr="00C254B4">
        <w:t xml:space="preserve"> </w:t>
      </w:r>
    </w:p>
    <w:p w:rsidR="00D12345" w:rsidRDefault="00D12345">
      <w:pPr>
        <w:rPr>
          <w:highlight w:val="yellow"/>
        </w:rPr>
      </w:pPr>
    </w:p>
    <w:p w:rsidR="000302F5" w:rsidRDefault="000302F5">
      <w:r w:rsidRPr="000302F5">
        <w:t>Out</w:t>
      </w:r>
      <w:r>
        <w:t xml:space="preserve">ages associated with Tree causes affected </w:t>
      </w:r>
      <w:r w:rsidR="00D12345">
        <w:t>39,588</w:t>
      </w:r>
      <w:r>
        <w:t xml:space="preserve"> cu</w:t>
      </w:r>
      <w:r w:rsidR="0019699D">
        <w:t>stomers as compared to the 200</w:t>
      </w:r>
      <w:r w:rsidR="00D12345">
        <w:t>6</w:t>
      </w:r>
      <w:r>
        <w:t>–20</w:t>
      </w:r>
      <w:r w:rsidR="00BE2899">
        <w:t>1</w:t>
      </w:r>
      <w:r w:rsidR="00D12345">
        <w:t>1</w:t>
      </w:r>
      <w:r>
        <w:t xml:space="preserve"> average of </w:t>
      </w:r>
      <w:r w:rsidR="00BE2899">
        <w:t>5</w:t>
      </w:r>
      <w:r w:rsidR="00D12345">
        <w:t>8</w:t>
      </w:r>
      <w:r w:rsidR="00BE2899">
        <w:t>,</w:t>
      </w:r>
      <w:r w:rsidR="00D12345">
        <w:t>126</w:t>
      </w:r>
      <w:r w:rsidR="0065200F">
        <w:t>.</w:t>
      </w:r>
    </w:p>
    <w:p w:rsidR="0065200F" w:rsidRPr="000302F5" w:rsidRDefault="0065200F"/>
    <w:p w:rsidR="00E753AD" w:rsidRDefault="00C95D2D" w:rsidP="00E753AD">
      <w:pPr>
        <w:pStyle w:val="Heading3"/>
      </w:pPr>
      <w:bookmarkStart w:id="60" w:name="_Toc227571580"/>
      <w:bookmarkStart w:id="61" w:name="_Toc354492990"/>
      <w:r>
        <w:t xml:space="preserve">Chart </w:t>
      </w:r>
      <w:r w:rsidR="00473AE9">
        <w:t>2</w:t>
      </w:r>
      <w:r>
        <w:t xml:space="preserve">.3 - </w:t>
      </w:r>
      <w:r w:rsidR="00E753AD">
        <w:t xml:space="preserve">SAIFI Linear Trend </w:t>
      </w:r>
      <w:r w:rsidR="00BF35C6">
        <w:t>L</w:t>
      </w:r>
      <w:r w:rsidR="00E753AD">
        <w:t>ine Chart</w:t>
      </w:r>
      <w:bookmarkEnd w:id="60"/>
      <w:bookmarkEnd w:id="61"/>
    </w:p>
    <w:p w:rsidR="00C2228F" w:rsidRPr="00C2228F" w:rsidRDefault="00C2228F" w:rsidP="00C2228F"/>
    <w:p w:rsidR="00E753AD" w:rsidRDefault="00077BF6" w:rsidP="00C15044">
      <w:pPr>
        <w:jc w:val="center"/>
      </w:pPr>
      <w:r w:rsidRPr="00077BF6">
        <w:rPr>
          <w:noProof/>
        </w:rPr>
        <w:drawing>
          <wp:inline distT="0" distB="0" distL="0" distR="0">
            <wp:extent cx="6203950" cy="3651250"/>
            <wp:effectExtent l="19050" t="0" r="25400" b="635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A5969" w:rsidRDefault="003A5969" w:rsidP="00C95D2D">
      <w:pPr>
        <w:pStyle w:val="Heading3"/>
      </w:pPr>
      <w:r>
        <w:br w:type="page"/>
      </w:r>
      <w:bookmarkStart w:id="62" w:name="_Toc98906757"/>
      <w:bookmarkStart w:id="63" w:name="_Toc165342432"/>
      <w:bookmarkStart w:id="64" w:name="_Toc193710988"/>
      <w:bookmarkStart w:id="65" w:name="_Toc354492991"/>
      <w:r w:rsidR="00C95D2D">
        <w:t xml:space="preserve">Chart </w:t>
      </w:r>
      <w:r w:rsidR="00473AE9">
        <w:t>2</w:t>
      </w:r>
      <w:r w:rsidR="00C95D2D">
        <w:t>.4</w:t>
      </w:r>
      <w:r>
        <w:t xml:space="preserve"> - MAIFI Momentary Interruption Events / Customer</w:t>
      </w:r>
      <w:bookmarkEnd w:id="59"/>
      <w:bookmarkEnd w:id="62"/>
      <w:bookmarkEnd w:id="63"/>
      <w:bookmarkEnd w:id="64"/>
      <w:bookmarkEnd w:id="65"/>
    </w:p>
    <w:p w:rsidR="001528CB" w:rsidRPr="00167986" w:rsidRDefault="00B7542A" w:rsidP="00C15044">
      <w:pPr>
        <w:jc w:val="center"/>
      </w:pPr>
      <w:bookmarkStart w:id="66" w:name="_Toc98906758"/>
      <w:r>
        <w:rPr>
          <w:noProof/>
        </w:rPr>
        <w:pict>
          <v:shape id="_x0000_s1072" type="#_x0000_t106" style="position:absolute;left:0;text-align:left;margin-left:24.2pt;margin-top:49.95pt;width:168.75pt;height:39pt;z-index:251659264" adj="13331,87535" fillcolor="#396">
            <v:textbox style="mso-next-textbox:#_x0000_s1072">
              <w:txbxContent>
                <w:p w:rsidR="00055DBE" w:rsidRDefault="00055DBE" w:rsidP="000F4A20">
                  <w:r>
                    <w:t>Baseline Year 2005</w:t>
                  </w:r>
                </w:p>
              </w:txbxContent>
            </v:textbox>
          </v:shape>
        </w:pict>
      </w:r>
      <w:r w:rsidR="00077BF6" w:rsidRPr="00077BF6">
        <w:rPr>
          <w:noProof/>
        </w:rPr>
        <w:drawing>
          <wp:inline distT="0" distB="0" distL="0" distR="0">
            <wp:extent cx="5657850" cy="4343400"/>
            <wp:effectExtent l="0" t="0" r="0" b="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28CB" w:rsidRDefault="001528CB">
      <w:pPr>
        <w:rPr>
          <w:rFonts w:ascii="Arial" w:hAnsi="Arial"/>
        </w:rPr>
      </w:pPr>
    </w:p>
    <w:p w:rsidR="003A5969" w:rsidRDefault="00C95D2D">
      <w:bookmarkStart w:id="67" w:name="_Toc193710989"/>
      <w:bookmarkStart w:id="68" w:name="_Toc227571581"/>
      <w:bookmarkStart w:id="69" w:name="_Toc354492992"/>
      <w:r>
        <w:rPr>
          <w:rStyle w:val="Heading3Char"/>
        </w:rPr>
        <w:t xml:space="preserve">Chart </w:t>
      </w:r>
      <w:r w:rsidR="00473AE9">
        <w:rPr>
          <w:rStyle w:val="Heading3Char"/>
        </w:rPr>
        <w:t>2</w:t>
      </w:r>
      <w:r>
        <w:rPr>
          <w:rStyle w:val="Heading3Char"/>
        </w:rPr>
        <w:t>.5</w:t>
      </w:r>
      <w:r w:rsidR="003A5969" w:rsidRPr="00E25B75">
        <w:rPr>
          <w:rStyle w:val="Heading3Char"/>
        </w:rPr>
        <w:t xml:space="preserve"> – Momentary Interruptions/ Customer Historic </w:t>
      </w:r>
      <w:r w:rsidR="001528CB" w:rsidRPr="00E25B75">
        <w:rPr>
          <w:rStyle w:val="Heading3Char"/>
        </w:rPr>
        <w:t>C</w:t>
      </w:r>
      <w:r w:rsidR="003A5969" w:rsidRPr="00E25B75">
        <w:rPr>
          <w:rStyle w:val="Heading3Char"/>
        </w:rPr>
        <w:t>omparison</w:t>
      </w:r>
      <w:bookmarkEnd w:id="66"/>
      <w:bookmarkEnd w:id="67"/>
      <w:bookmarkEnd w:id="68"/>
      <w:bookmarkEnd w:id="69"/>
      <w:r w:rsidR="00F83353" w:rsidRPr="00F83353">
        <w:t xml:space="preserve"> </w:t>
      </w:r>
    </w:p>
    <w:p w:rsidR="00280413" w:rsidRPr="00FD5546" w:rsidRDefault="00280413"/>
    <w:p w:rsidR="00075AF4" w:rsidRDefault="00BD618C" w:rsidP="00BD618C">
      <w:pPr>
        <w:spacing w:after="120"/>
        <w:jc w:val="center"/>
        <w:rPr>
          <w:rFonts w:ascii="Arial" w:hAnsi="Arial"/>
        </w:rPr>
      </w:pPr>
      <w:r w:rsidRPr="00BD618C">
        <w:rPr>
          <w:rFonts w:ascii="Arial" w:hAnsi="Arial"/>
          <w:noProof/>
        </w:rPr>
        <w:drawing>
          <wp:inline distT="0" distB="0" distL="0" distR="0">
            <wp:extent cx="5530850" cy="3378200"/>
            <wp:effectExtent l="19050" t="0" r="1270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686A" w:rsidRDefault="003A5969">
      <w:bookmarkStart w:id="70" w:name="_Toc97619594"/>
      <w:r w:rsidRPr="002E059C">
        <w:t>The 20</w:t>
      </w:r>
      <w:r w:rsidR="00D7236F" w:rsidRPr="002E059C">
        <w:t>1</w:t>
      </w:r>
      <w:r w:rsidR="00EE46D6">
        <w:t>2</w:t>
      </w:r>
      <w:r w:rsidRPr="002E059C">
        <w:t xml:space="preserve"> </w:t>
      </w:r>
      <w:r w:rsidR="00BA1878" w:rsidRPr="002E059C">
        <w:t>results for MAIFI show</w:t>
      </w:r>
      <w:r w:rsidRPr="002E059C">
        <w:t xml:space="preserve"> a</w:t>
      </w:r>
      <w:r w:rsidR="00D7236F" w:rsidRPr="002E059C">
        <w:t xml:space="preserve"> </w:t>
      </w:r>
      <w:r w:rsidR="00C11661">
        <w:t xml:space="preserve">similar level to the 2011 data, a </w:t>
      </w:r>
      <w:r w:rsidR="008A1C1E" w:rsidRPr="002E059C">
        <w:t xml:space="preserve">decrease over </w:t>
      </w:r>
      <w:r w:rsidR="00D7236F" w:rsidRPr="002E059C">
        <w:t xml:space="preserve">both </w:t>
      </w:r>
      <w:r w:rsidR="008A1C1E" w:rsidRPr="002E059C">
        <w:t>200</w:t>
      </w:r>
      <w:r w:rsidR="00CA2D2F">
        <w:t>9</w:t>
      </w:r>
      <w:r w:rsidR="008A1C1E" w:rsidRPr="002E059C">
        <w:t xml:space="preserve"> and </w:t>
      </w:r>
      <w:r w:rsidR="00D7236F" w:rsidRPr="002E059C">
        <w:t>20</w:t>
      </w:r>
      <w:r w:rsidR="00CA2D2F">
        <w:t>1</w:t>
      </w:r>
      <w:r w:rsidR="00D7236F" w:rsidRPr="002E059C">
        <w:t xml:space="preserve">0 data and also </w:t>
      </w:r>
      <w:r w:rsidR="00C11661">
        <w:t xml:space="preserve">a decrease from </w:t>
      </w:r>
      <w:r w:rsidR="00D7236F" w:rsidRPr="002E059C">
        <w:t xml:space="preserve">the 2005 baseline year </w:t>
      </w:r>
      <w:r w:rsidR="00C11661">
        <w:t>data</w:t>
      </w:r>
      <w:r w:rsidR="00D7236F" w:rsidRPr="002E059C">
        <w:t>.</w:t>
      </w:r>
      <w:r w:rsidR="00E674C0">
        <w:t xml:space="preserve"> There was a</w:t>
      </w:r>
      <w:r w:rsidR="00C11661">
        <w:t>n</w:t>
      </w:r>
      <w:r w:rsidR="00E674C0">
        <w:t xml:space="preserve"> </w:t>
      </w:r>
      <w:r w:rsidR="00C11661">
        <w:t>increase</w:t>
      </w:r>
      <w:r w:rsidR="00E674C0">
        <w:t xml:space="preserve"> in weather related momentary outages</w:t>
      </w:r>
      <w:r w:rsidR="00BA1846">
        <w:t xml:space="preserve"> </w:t>
      </w:r>
      <w:r w:rsidR="00C11661">
        <w:t>and</w:t>
      </w:r>
      <w:r w:rsidR="00D7236F">
        <w:t xml:space="preserve"> a corresponding de</w:t>
      </w:r>
      <w:r w:rsidR="00BA1846">
        <w:t>crease in the</w:t>
      </w:r>
      <w:r w:rsidR="00C11661">
        <w:t xml:space="preserve"> number of undetermined outages. This shift may be due to accuracy improvement efforts in Distribution Dispatch</w:t>
      </w:r>
      <w:r w:rsidR="00BA1846">
        <w:t xml:space="preserve">. </w:t>
      </w:r>
      <w:r w:rsidR="00D7236F">
        <w:t>The</w:t>
      </w:r>
      <w:r w:rsidR="002E059C">
        <w:t xml:space="preserve"> overall</w:t>
      </w:r>
      <w:r w:rsidR="00D7236F">
        <w:t xml:space="preserve"> improvements in the MAIFI numbers </w:t>
      </w:r>
      <w:r w:rsidR="002E059C">
        <w:t>may</w:t>
      </w:r>
      <w:r w:rsidR="00044FC2">
        <w:t xml:space="preserve"> </w:t>
      </w:r>
      <w:r w:rsidR="002E059C">
        <w:t xml:space="preserve">be </w:t>
      </w:r>
      <w:r w:rsidR="00D7236F">
        <w:t xml:space="preserve">due to tree trimming efforts along with Overhead Equipment replacement and Underground Equipment replacement. </w:t>
      </w:r>
      <w:r w:rsidR="00AD686A">
        <w:t xml:space="preserve">Some of the Urban areas have had the instantaneous trip function blocked, which reduces the total feeder customer momentary impacts, but may increase both SAIFI and SAIDI numbers for a </w:t>
      </w:r>
      <w:r w:rsidR="00B32E88">
        <w:t>few customers</w:t>
      </w:r>
      <w:r w:rsidR="00AD686A">
        <w:t xml:space="preserve"> located downstream of a fuse</w:t>
      </w:r>
      <w:r w:rsidR="00C11661">
        <w:t>d</w:t>
      </w:r>
      <w:r w:rsidR="00AD686A">
        <w:t xml:space="preserve"> lateral. </w:t>
      </w:r>
    </w:p>
    <w:p w:rsidR="00AD686A" w:rsidRDefault="00AD686A"/>
    <w:p w:rsidR="003A5969" w:rsidRPr="003F7B8B" w:rsidRDefault="003A5969">
      <w:r w:rsidRPr="00827CB2">
        <w:t xml:space="preserve">Distribution Dispatch </w:t>
      </w:r>
      <w:r w:rsidR="00BA1878" w:rsidRPr="00827CB2">
        <w:t>continues to mak</w:t>
      </w:r>
      <w:r w:rsidRPr="00827CB2">
        <w:t>e improvements in correlating the momentary outages with subsequent sustained outages, which reduces the undetermined causes.</w:t>
      </w:r>
      <w:r w:rsidRPr="003F7B8B">
        <w:t xml:space="preserve">  </w:t>
      </w:r>
    </w:p>
    <w:p w:rsidR="003A5969" w:rsidRPr="003F7B8B" w:rsidRDefault="003A5969"/>
    <w:p w:rsidR="003A5969" w:rsidRDefault="00827CB2">
      <w:r w:rsidRPr="00827CB2">
        <w:t>All other categories showed a slight decrease that would be consistent with previous years</w:t>
      </w:r>
      <w:r w:rsidR="003A5969" w:rsidRPr="00827CB2">
        <w:t>.</w:t>
      </w:r>
      <w:r w:rsidR="003A5969">
        <w:t xml:space="preserve">   </w:t>
      </w:r>
    </w:p>
    <w:p w:rsidR="003A5969" w:rsidRDefault="003A5969"/>
    <w:p w:rsidR="003A5969" w:rsidRDefault="00473AE9" w:rsidP="00837843">
      <w:pPr>
        <w:pStyle w:val="Heading3"/>
      </w:pPr>
      <w:bookmarkStart w:id="71" w:name="_Toc98906759"/>
      <w:bookmarkStart w:id="72" w:name="_Toc193710990"/>
      <w:bookmarkStart w:id="73" w:name="_Toc227571582"/>
      <w:bookmarkStart w:id="74" w:name="_Toc354492993"/>
      <w:r>
        <w:t>Chart 2</w:t>
      </w:r>
      <w:r w:rsidR="003A5969">
        <w:t>.</w:t>
      </w:r>
      <w:r w:rsidR="0076481F">
        <w:t>6</w:t>
      </w:r>
      <w:r w:rsidR="003A5969">
        <w:t xml:space="preserve"> - SAIDI – Average Outage Time / Customer</w:t>
      </w:r>
      <w:bookmarkEnd w:id="70"/>
      <w:bookmarkEnd w:id="71"/>
      <w:bookmarkEnd w:id="72"/>
      <w:bookmarkEnd w:id="73"/>
      <w:bookmarkEnd w:id="74"/>
    </w:p>
    <w:p w:rsidR="00520139" w:rsidRPr="00BF35C6" w:rsidRDefault="00B7542A" w:rsidP="007C5580">
      <w:bookmarkStart w:id="75" w:name="_Toc97619595"/>
      <w:bookmarkStart w:id="76" w:name="_Toc98906760"/>
      <w:bookmarkStart w:id="77" w:name="_Toc165342433"/>
      <w:r>
        <w:rPr>
          <w:noProof/>
        </w:rPr>
        <w:pict>
          <v:shape id="_x0000_s1073" type="#_x0000_t106" style="position:absolute;margin-left:229.3pt;margin-top:81.6pt;width:168.75pt;height:39pt;z-index:251660288" adj="-10496,96314" fillcolor="#396">
            <v:textbox style="mso-next-textbox:#_x0000_s1073">
              <w:txbxContent>
                <w:p w:rsidR="00055DBE" w:rsidRDefault="00055DBE" w:rsidP="000F4A20">
                  <w:r>
                    <w:t>Baseline Year 2005</w:t>
                  </w:r>
                </w:p>
              </w:txbxContent>
            </v:textbox>
          </v:shape>
        </w:pict>
      </w:r>
      <w:r w:rsidR="00476359">
        <w:rPr>
          <w:noProof/>
        </w:rPr>
        <w:tab/>
      </w:r>
      <w:r w:rsidR="00077BF6" w:rsidRPr="00077BF6">
        <w:rPr>
          <w:noProof/>
        </w:rPr>
        <w:drawing>
          <wp:inline distT="0" distB="0" distL="0" distR="0">
            <wp:extent cx="6642100" cy="4572000"/>
            <wp:effectExtent l="0" t="0" r="0" b="0"/>
            <wp:docPr id="2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732D" w:rsidRDefault="0060732D" w:rsidP="00BF35C6">
      <w:pPr>
        <w:pStyle w:val="Heading3"/>
      </w:pPr>
      <w:bookmarkStart w:id="78" w:name="_Toc227571583"/>
      <w:bookmarkStart w:id="79" w:name="_Toc193710991"/>
    </w:p>
    <w:p w:rsidR="005C4A15" w:rsidRDefault="005C4A15">
      <w:pPr>
        <w:rPr>
          <w:rFonts w:ascii="Arial" w:hAnsi="Arial"/>
          <w:b/>
        </w:rPr>
      </w:pPr>
      <w:r>
        <w:br w:type="page"/>
      </w:r>
    </w:p>
    <w:p w:rsidR="00BF35C6" w:rsidRDefault="00473AE9" w:rsidP="00BF35C6">
      <w:pPr>
        <w:pStyle w:val="Heading3"/>
      </w:pPr>
      <w:bookmarkStart w:id="80" w:name="_Toc354492994"/>
      <w:r>
        <w:t>Chart 2</w:t>
      </w:r>
      <w:r w:rsidR="00C95D2D">
        <w:t>.</w:t>
      </w:r>
      <w:r w:rsidR="0076481F">
        <w:t>7</w:t>
      </w:r>
      <w:r w:rsidR="00C95D2D">
        <w:t xml:space="preserve"> - </w:t>
      </w:r>
      <w:r w:rsidR="00BF35C6">
        <w:t>SAI</w:t>
      </w:r>
      <w:r w:rsidR="00B9570B">
        <w:t>D</w:t>
      </w:r>
      <w:r w:rsidR="00BF35C6">
        <w:t>I Linear Trend Line Chart</w:t>
      </w:r>
      <w:bookmarkEnd w:id="78"/>
      <w:bookmarkEnd w:id="80"/>
    </w:p>
    <w:p w:rsidR="0060732D" w:rsidRPr="0060732D" w:rsidRDefault="0060732D" w:rsidP="0060732D"/>
    <w:p w:rsidR="00BF35C6" w:rsidRDefault="00BF35C6" w:rsidP="00C95D2D">
      <w:pPr>
        <w:jc w:val="center"/>
      </w:pPr>
    </w:p>
    <w:p w:rsidR="003B697F" w:rsidRDefault="003B697F" w:rsidP="003B697F">
      <w:pPr>
        <w:spacing w:after="120"/>
        <w:jc w:val="center"/>
      </w:pPr>
      <w:r w:rsidRPr="003B697F">
        <w:rPr>
          <w:noProof/>
        </w:rPr>
        <w:drawing>
          <wp:inline distT="0" distB="0" distL="0" distR="0">
            <wp:extent cx="5943600" cy="3180715"/>
            <wp:effectExtent l="19050" t="0" r="19050" b="635"/>
            <wp:docPr id="3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B697F" w:rsidRDefault="003B697F" w:rsidP="00C95D2D">
      <w:pPr>
        <w:jc w:val="center"/>
      </w:pPr>
    </w:p>
    <w:p w:rsidR="005C4A15" w:rsidRDefault="005C4A15" w:rsidP="00BF35C6">
      <w:pPr>
        <w:rPr>
          <w:rStyle w:val="Heading3Char"/>
        </w:rPr>
      </w:pPr>
    </w:p>
    <w:p w:rsidR="00C95D2D" w:rsidRDefault="00473AE9" w:rsidP="00BF35C6">
      <w:bookmarkStart w:id="81" w:name="_Toc227571584"/>
      <w:bookmarkStart w:id="82" w:name="_Toc354492995"/>
      <w:r>
        <w:rPr>
          <w:rStyle w:val="Heading3Char"/>
        </w:rPr>
        <w:t>Chart 2</w:t>
      </w:r>
      <w:r w:rsidR="003A5969" w:rsidRPr="007C5580">
        <w:rPr>
          <w:rStyle w:val="Heading3Char"/>
        </w:rPr>
        <w:t>.</w:t>
      </w:r>
      <w:r w:rsidR="0076481F">
        <w:rPr>
          <w:rStyle w:val="Heading3Char"/>
        </w:rPr>
        <w:t>8</w:t>
      </w:r>
      <w:r w:rsidR="003A5969" w:rsidRPr="007C5580">
        <w:rPr>
          <w:rStyle w:val="Heading3Char"/>
        </w:rPr>
        <w:t xml:space="preserve"> - CAIDI – Average Restoration Time</w:t>
      </w:r>
      <w:bookmarkEnd w:id="75"/>
      <w:bookmarkEnd w:id="76"/>
      <w:bookmarkEnd w:id="77"/>
      <w:bookmarkEnd w:id="79"/>
      <w:bookmarkEnd w:id="81"/>
      <w:bookmarkEnd w:id="82"/>
      <w:r w:rsidR="003A5969" w:rsidRPr="00E25B75">
        <w:t xml:space="preserve"> </w:t>
      </w:r>
    </w:p>
    <w:p w:rsidR="003A5969" w:rsidRPr="00BF35C6" w:rsidRDefault="00B7542A" w:rsidP="00C95D2D">
      <w:pPr>
        <w:jc w:val="center"/>
      </w:pPr>
      <w:r>
        <w:rPr>
          <w:noProof/>
        </w:rPr>
        <w:pict>
          <v:shape id="_x0000_s1074" type="#_x0000_t106" style="position:absolute;left:0;text-align:left;margin-left:202.85pt;margin-top:39.55pt;width:168.75pt;height:39pt;z-index:251661312" adj="-10080,88338" fillcolor="#396">
            <v:textbox style="mso-next-textbox:#_x0000_s1074">
              <w:txbxContent>
                <w:p w:rsidR="00055DBE" w:rsidRDefault="00055DBE" w:rsidP="000F4A20">
                  <w:r>
                    <w:t>Baseline Year 2005</w:t>
                  </w:r>
                </w:p>
              </w:txbxContent>
            </v:textbox>
          </v:shape>
        </w:pict>
      </w:r>
      <w:r w:rsidR="003B697F" w:rsidRPr="003B697F">
        <w:rPr>
          <w:noProof/>
        </w:rPr>
        <w:drawing>
          <wp:inline distT="0" distB="0" distL="0" distR="0">
            <wp:extent cx="5943600" cy="4236085"/>
            <wp:effectExtent l="0" t="0" r="0" b="0"/>
            <wp:docPr id="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A5969" w:rsidRDefault="003A5969">
      <w:pPr>
        <w:pStyle w:val="Heading1"/>
      </w:pPr>
      <w:bookmarkStart w:id="83" w:name="_Toc3183396"/>
      <w:bookmarkStart w:id="84" w:name="_Toc97619596"/>
      <w:bookmarkStart w:id="85" w:name="_Toc98906761"/>
      <w:bookmarkStart w:id="86" w:name="_Toc165342434"/>
      <w:bookmarkStart w:id="87" w:name="_Toc193710992"/>
      <w:bookmarkStart w:id="88" w:name="_Toc227571585"/>
      <w:bookmarkStart w:id="89" w:name="_Toc354492996"/>
      <w:r>
        <w:t>OFFICE Indices</w:t>
      </w:r>
      <w:bookmarkEnd w:id="83"/>
      <w:bookmarkEnd w:id="84"/>
      <w:bookmarkEnd w:id="85"/>
      <w:bookmarkEnd w:id="86"/>
      <w:bookmarkEnd w:id="87"/>
      <w:bookmarkEnd w:id="88"/>
      <w:bookmarkEnd w:id="89"/>
      <w:r>
        <w:t xml:space="preserve"> </w:t>
      </w:r>
    </w:p>
    <w:p w:rsidR="003A5969" w:rsidRDefault="00473AE9">
      <w:pPr>
        <w:pStyle w:val="Heading3"/>
      </w:pPr>
      <w:bookmarkStart w:id="90" w:name="_Toc3183397"/>
      <w:bookmarkStart w:id="91" w:name="_Toc97619597"/>
      <w:bookmarkStart w:id="92" w:name="_Toc98906762"/>
      <w:bookmarkStart w:id="93" w:name="_Toc165342435"/>
      <w:bookmarkStart w:id="94" w:name="_Toc193710993"/>
      <w:bookmarkStart w:id="95" w:name="_Toc227571586"/>
      <w:bookmarkStart w:id="96" w:name="_Toc354492997"/>
      <w:r>
        <w:t>Chart 3</w:t>
      </w:r>
      <w:r w:rsidR="003A5969">
        <w:t>.1 – SAIFI - Sustained Interruptions / Customer</w:t>
      </w:r>
      <w:bookmarkEnd w:id="90"/>
      <w:bookmarkEnd w:id="91"/>
      <w:bookmarkEnd w:id="92"/>
      <w:bookmarkEnd w:id="93"/>
      <w:bookmarkEnd w:id="94"/>
      <w:bookmarkEnd w:id="95"/>
      <w:bookmarkEnd w:id="96"/>
      <w:r w:rsidR="003A5969">
        <w:t xml:space="preserve">  </w:t>
      </w:r>
    </w:p>
    <w:p w:rsidR="003A5969" w:rsidRPr="00B20C25" w:rsidRDefault="003B697F" w:rsidP="00C95D2D">
      <w:pPr>
        <w:jc w:val="center"/>
      </w:pPr>
      <w:r w:rsidRPr="003B697F">
        <w:rPr>
          <w:noProof/>
        </w:rPr>
        <w:drawing>
          <wp:inline distT="0" distB="0" distL="0" distR="0">
            <wp:extent cx="5130800" cy="3387725"/>
            <wp:effectExtent l="0" t="0" r="0" b="0"/>
            <wp:docPr id="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A5969" w:rsidRDefault="003A5969">
      <w:pPr>
        <w:pStyle w:val="Heading3"/>
      </w:pPr>
      <w:bookmarkStart w:id="97" w:name="_Toc3183398"/>
      <w:bookmarkStart w:id="98" w:name="_Toc97619598"/>
      <w:bookmarkStart w:id="99" w:name="_Toc98906763"/>
      <w:bookmarkStart w:id="100" w:name="_Toc165342436"/>
      <w:bookmarkStart w:id="101" w:name="_Toc193710994"/>
      <w:bookmarkStart w:id="102" w:name="_Toc227571587"/>
      <w:bookmarkStart w:id="103" w:name="_Toc354492998"/>
      <w:r>
        <w:t xml:space="preserve">Chart </w:t>
      </w:r>
      <w:r w:rsidR="00473AE9">
        <w:t>3</w:t>
      </w:r>
      <w:r>
        <w:t>.2 - MAIFI Momentary Interruption Events / Customer</w:t>
      </w:r>
      <w:bookmarkEnd w:id="97"/>
      <w:bookmarkEnd w:id="98"/>
      <w:bookmarkEnd w:id="99"/>
      <w:bookmarkEnd w:id="100"/>
      <w:bookmarkEnd w:id="101"/>
      <w:bookmarkEnd w:id="102"/>
      <w:bookmarkEnd w:id="103"/>
    </w:p>
    <w:p w:rsidR="003A5969" w:rsidRPr="00461F71" w:rsidRDefault="003B697F" w:rsidP="00C95D2D">
      <w:pPr>
        <w:jc w:val="center"/>
      </w:pPr>
      <w:bookmarkStart w:id="104" w:name="_Toc70235383"/>
      <w:bookmarkStart w:id="105" w:name="_Toc70242999"/>
      <w:bookmarkStart w:id="106" w:name="_Toc70243047"/>
      <w:bookmarkStart w:id="107" w:name="_Toc70244129"/>
      <w:bookmarkStart w:id="108" w:name="_Toc70244199"/>
      <w:bookmarkStart w:id="109" w:name="_Toc70244251"/>
      <w:bookmarkStart w:id="110" w:name="_Toc70244303"/>
      <w:bookmarkStart w:id="111" w:name="_Toc70244436"/>
      <w:r w:rsidRPr="003B697F">
        <w:rPr>
          <w:noProof/>
        </w:rPr>
        <w:drawing>
          <wp:inline distT="0" distB="0" distL="0" distR="0">
            <wp:extent cx="4972050" cy="3448050"/>
            <wp:effectExtent l="0" t="0" r="0" b="0"/>
            <wp:docPr id="3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A5969" w:rsidRDefault="00473AE9">
      <w:pPr>
        <w:pStyle w:val="Heading3"/>
      </w:pPr>
      <w:bookmarkStart w:id="112" w:name="_Toc3183399"/>
      <w:bookmarkStart w:id="113" w:name="_Toc97619600"/>
      <w:bookmarkStart w:id="114" w:name="_Toc98906765"/>
      <w:bookmarkStart w:id="115" w:name="_Toc165342437"/>
      <w:bookmarkStart w:id="116" w:name="_Toc193710995"/>
      <w:bookmarkStart w:id="117" w:name="_Toc227571588"/>
      <w:bookmarkStart w:id="118" w:name="_Toc354492999"/>
      <w:bookmarkEnd w:id="104"/>
      <w:bookmarkEnd w:id="105"/>
      <w:bookmarkEnd w:id="106"/>
      <w:bookmarkEnd w:id="107"/>
      <w:bookmarkEnd w:id="108"/>
      <w:bookmarkEnd w:id="109"/>
      <w:bookmarkEnd w:id="110"/>
      <w:bookmarkEnd w:id="111"/>
      <w:r>
        <w:t>Chart 3</w:t>
      </w:r>
      <w:r w:rsidR="003A5969">
        <w:t>.3 - SAIDI – Average Outage Time / Customer</w:t>
      </w:r>
      <w:bookmarkEnd w:id="112"/>
      <w:bookmarkEnd w:id="113"/>
      <w:bookmarkEnd w:id="114"/>
      <w:bookmarkEnd w:id="115"/>
      <w:bookmarkEnd w:id="116"/>
      <w:bookmarkEnd w:id="117"/>
      <w:bookmarkEnd w:id="118"/>
    </w:p>
    <w:p w:rsidR="003A5969" w:rsidRPr="00622EB3" w:rsidRDefault="003A5969" w:rsidP="00977697"/>
    <w:p w:rsidR="003A5969" w:rsidRDefault="00977697">
      <w:r w:rsidRPr="00977697">
        <w:rPr>
          <w:noProof/>
        </w:rPr>
        <w:drawing>
          <wp:inline distT="0" distB="0" distL="0" distR="0">
            <wp:extent cx="5974080" cy="3718560"/>
            <wp:effectExtent l="0" t="0" r="0" b="0"/>
            <wp:docPr id="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A5969" w:rsidRDefault="00473AE9">
      <w:pPr>
        <w:pStyle w:val="Heading3"/>
      </w:pPr>
      <w:bookmarkStart w:id="119" w:name="_Toc3183400"/>
      <w:bookmarkStart w:id="120" w:name="_Toc97619601"/>
      <w:bookmarkStart w:id="121" w:name="_Toc98906766"/>
      <w:bookmarkStart w:id="122" w:name="_Toc165342438"/>
      <w:bookmarkStart w:id="123" w:name="_Toc193710996"/>
      <w:bookmarkStart w:id="124" w:name="_Toc227571589"/>
      <w:bookmarkStart w:id="125" w:name="_Toc354493000"/>
      <w:r>
        <w:t>Chart 3</w:t>
      </w:r>
      <w:r w:rsidR="003A5969">
        <w:t>.4 - CAIDI – Average Restoration Time</w:t>
      </w:r>
      <w:bookmarkEnd w:id="119"/>
      <w:bookmarkEnd w:id="120"/>
      <w:bookmarkEnd w:id="121"/>
      <w:bookmarkEnd w:id="122"/>
      <w:bookmarkEnd w:id="123"/>
      <w:bookmarkEnd w:id="124"/>
      <w:bookmarkEnd w:id="125"/>
      <w:r w:rsidR="003A5969">
        <w:t xml:space="preserve"> </w:t>
      </w:r>
    </w:p>
    <w:p w:rsidR="003A5969" w:rsidRPr="00622EB3" w:rsidRDefault="003B697F" w:rsidP="00C95D2D">
      <w:pPr>
        <w:jc w:val="center"/>
      </w:pPr>
      <w:r w:rsidRPr="003B697F">
        <w:rPr>
          <w:noProof/>
        </w:rPr>
        <w:drawing>
          <wp:inline distT="0" distB="0" distL="0" distR="0">
            <wp:extent cx="5324475" cy="3651250"/>
            <wp:effectExtent l="0" t="0" r="0" b="0"/>
            <wp:docPr id="3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5969" w:rsidRDefault="003A5969"/>
    <w:p w:rsidR="003A5969" w:rsidRDefault="003A5969">
      <w:pPr>
        <w:pStyle w:val="Heading1"/>
      </w:pPr>
      <w:r>
        <w:br w:type="page"/>
      </w:r>
      <w:bookmarkStart w:id="126" w:name="_Toc97619602"/>
      <w:bookmarkStart w:id="127" w:name="_Toc98906767"/>
      <w:bookmarkStart w:id="128" w:name="_Toc165342439"/>
      <w:bookmarkStart w:id="129" w:name="_Toc193710997"/>
      <w:bookmarkStart w:id="130" w:name="_Toc227571590"/>
      <w:bookmarkStart w:id="131" w:name="_Toc354493001"/>
      <w:bookmarkStart w:id="132" w:name="_Toc3183401"/>
      <w:r>
        <w:t>Areas of Concern</w:t>
      </w:r>
      <w:bookmarkEnd w:id="126"/>
      <w:bookmarkEnd w:id="127"/>
      <w:bookmarkEnd w:id="128"/>
      <w:bookmarkEnd w:id="129"/>
      <w:bookmarkEnd w:id="130"/>
      <w:bookmarkEnd w:id="131"/>
    </w:p>
    <w:p w:rsidR="006176A2" w:rsidRPr="006176A2" w:rsidRDefault="006176A2" w:rsidP="006176A2"/>
    <w:p w:rsidR="00AC2CFD" w:rsidRPr="00461F71" w:rsidRDefault="00AC2CFD" w:rsidP="00AC2CFD">
      <w:r w:rsidRPr="008C0704">
        <w:t>As in previous</w:t>
      </w:r>
      <w:r>
        <w:t xml:space="preserve"> years, </w:t>
      </w:r>
      <w:r w:rsidRPr="00E63BE8">
        <w:t xml:space="preserve">Colville </w:t>
      </w:r>
      <w:r w:rsidR="00461F71">
        <w:t>continues to have</w:t>
      </w:r>
      <w:r w:rsidRPr="00E63BE8">
        <w:t xml:space="preserve"> the lowest reliability of </w:t>
      </w:r>
      <w:smartTag w:uri="urn:schemas-microsoft-com:office:smarttags" w:element="place">
        <w:smartTag w:uri="urn:schemas-microsoft-com:office:smarttags" w:element="State">
          <w:r w:rsidRPr="00E63BE8">
            <w:t>Washington</w:t>
          </w:r>
        </w:smartTag>
      </w:smartTag>
      <w:r w:rsidRPr="00E63BE8">
        <w:t xml:space="preserve">’s operating areas. </w:t>
      </w:r>
      <w:r>
        <w:t>However, t</w:t>
      </w:r>
      <w:r w:rsidRPr="00E63BE8">
        <w:t xml:space="preserve">he </w:t>
      </w:r>
      <w:smartTag w:uri="urn:schemas-microsoft-com:office:smarttags" w:element="place">
        <w:r w:rsidRPr="00E63BE8">
          <w:t>Colville</w:t>
        </w:r>
      </w:smartTag>
      <w:r w:rsidRPr="00E63BE8">
        <w:t xml:space="preserve"> area continues to show improvement over previous years as work plans are implemented.  </w:t>
      </w:r>
      <w:smartTag w:uri="urn:schemas-microsoft-com:office:smarttags" w:element="place">
        <w:r w:rsidRPr="00E63BE8">
          <w:t>Colville</w:t>
        </w:r>
      </w:smartTag>
      <w:r w:rsidRPr="00E63BE8">
        <w:t xml:space="preserve"> was judged lowest based on its performance in the yearly indices for SAIFI, SAIDI, CAIDI, and MAIFI.  Within the Colville area</w:t>
      </w:r>
      <w:r>
        <w:t>,</w:t>
      </w:r>
      <w:r w:rsidRPr="00E63BE8">
        <w:t xml:space="preserve"> </w:t>
      </w:r>
      <w:r w:rsidR="00E873C2">
        <w:t>f</w:t>
      </w:r>
      <w:r w:rsidR="004C4722">
        <w:t>ive</w:t>
      </w:r>
      <w:r w:rsidR="00585A46" w:rsidRPr="00E63BE8">
        <w:t xml:space="preserve"> feeders </w:t>
      </w:r>
      <w:r w:rsidR="00585A46">
        <w:t xml:space="preserve">were </w:t>
      </w:r>
      <w:r w:rsidR="001F6138">
        <w:t>identified as the A</w:t>
      </w:r>
      <w:r w:rsidR="00585A46" w:rsidRPr="00E63BE8">
        <w:t xml:space="preserve">reas of </w:t>
      </w:r>
      <w:r w:rsidR="001F6138">
        <w:t>C</w:t>
      </w:r>
      <w:r w:rsidR="00585A46" w:rsidRPr="00E63BE8">
        <w:t xml:space="preserve">oncern </w:t>
      </w:r>
      <w:r w:rsidR="00585A46" w:rsidRPr="00EA2D21">
        <w:t>for 20</w:t>
      </w:r>
      <w:r w:rsidR="00EA2D21">
        <w:t>1</w:t>
      </w:r>
      <w:r w:rsidR="00E873C2">
        <w:t>2</w:t>
      </w:r>
      <w:r w:rsidR="00585A46" w:rsidRPr="00E63BE8">
        <w:t xml:space="preserve">. </w:t>
      </w:r>
      <w:r w:rsidR="00E873C2">
        <w:t>Additionally two feeders in the Deer Park area are included as areas of concern.</w:t>
      </w:r>
      <w:r w:rsidR="004C4722">
        <w:t xml:space="preserve"> </w:t>
      </w:r>
      <w:r w:rsidR="00585A46" w:rsidRPr="00E63BE8">
        <w:t>These feeders are Gifford 34F1, Gifford 34F2, Colville 34F1</w:t>
      </w:r>
      <w:r w:rsidR="004C4722">
        <w:t xml:space="preserve">, </w:t>
      </w:r>
      <w:r w:rsidR="00D26383">
        <w:t>Spirit 12F1</w:t>
      </w:r>
      <w:r w:rsidR="004C4722">
        <w:t xml:space="preserve"> and Valley 12F1</w:t>
      </w:r>
      <w:r w:rsidR="00E873C2">
        <w:t xml:space="preserve"> in the Colville Area, and Deer Park 12F1 and Deer Park 12F2 in the Deer Park area</w:t>
      </w:r>
      <w:r w:rsidR="00585A46" w:rsidRPr="00E63BE8">
        <w:t xml:space="preserve">. </w:t>
      </w:r>
      <w:r w:rsidR="004C4722">
        <w:t>Deer Park 12F1, Deer Park 12F2, and Valley 12F1 are new areas of concern for 2012 while the remaining feeders were</w:t>
      </w:r>
      <w:r w:rsidR="00D26383">
        <w:t xml:space="preserve"> also identified</w:t>
      </w:r>
      <w:r w:rsidR="001A1000">
        <w:t xml:space="preserve"> </w:t>
      </w:r>
      <w:r w:rsidR="00D26383">
        <w:t xml:space="preserve">in the </w:t>
      </w:r>
      <w:r w:rsidR="001A1000" w:rsidRPr="00E63BE8">
        <w:t>2</w:t>
      </w:r>
      <w:r w:rsidR="001A1000" w:rsidRPr="00E6539F">
        <w:t>0</w:t>
      </w:r>
      <w:r w:rsidR="00C30187">
        <w:t>1</w:t>
      </w:r>
      <w:r w:rsidR="00E873C2">
        <w:t>1</w:t>
      </w:r>
      <w:r w:rsidR="001A1000">
        <w:t xml:space="preserve"> report </w:t>
      </w:r>
      <w:r w:rsidR="00BB0AD7" w:rsidRPr="00943BB8">
        <w:t>(</w:t>
      </w:r>
      <w:r w:rsidR="00C30187" w:rsidRPr="00943BB8">
        <w:t>UE-</w:t>
      </w:r>
      <w:r w:rsidR="00943BB8" w:rsidRPr="00943BB8">
        <w:t>120586</w:t>
      </w:r>
      <w:r w:rsidR="00BB0AD7" w:rsidRPr="00943BB8">
        <w:t>)</w:t>
      </w:r>
      <w:r w:rsidR="004C4722" w:rsidRPr="00943BB8">
        <w:t>.</w:t>
      </w:r>
    </w:p>
    <w:p w:rsidR="00AC2CFD" w:rsidRDefault="00AC2CFD" w:rsidP="00AC2CFD">
      <w:pPr>
        <w:pStyle w:val="Heading3"/>
      </w:pPr>
      <w:bookmarkStart w:id="133" w:name="_Toc98906768"/>
      <w:bookmarkStart w:id="134" w:name="_Toc165342440"/>
      <w:bookmarkStart w:id="135" w:name="_Toc193710998"/>
      <w:bookmarkStart w:id="136" w:name="_Toc227571591"/>
      <w:bookmarkStart w:id="137" w:name="_Toc354493002"/>
      <w:r w:rsidRPr="00E63BE8">
        <w:t>Cause Information</w:t>
      </w:r>
      <w:bookmarkEnd w:id="133"/>
      <w:bookmarkEnd w:id="134"/>
      <w:bookmarkEnd w:id="135"/>
      <w:bookmarkEnd w:id="136"/>
      <w:bookmarkEnd w:id="137"/>
    </w:p>
    <w:p w:rsidR="00E3255C" w:rsidRPr="00E3255C" w:rsidRDefault="00E3255C" w:rsidP="00E3255C"/>
    <w:p w:rsidR="00AC2CFD" w:rsidRPr="00795FC9" w:rsidRDefault="00AC2CFD" w:rsidP="00AC2CFD">
      <w:pPr>
        <w:rPr>
          <w:color w:val="800000"/>
        </w:rPr>
      </w:pPr>
      <w:r w:rsidRPr="00E63BE8">
        <w:t>Generally rural areas have a greater number of outages per customer.  Colville</w:t>
      </w:r>
      <w:r w:rsidR="00E873C2">
        <w:t xml:space="preserve"> and Deer Park</w:t>
      </w:r>
      <w:r w:rsidRPr="00E63BE8">
        <w:t xml:space="preserve"> </w:t>
      </w:r>
      <w:r w:rsidR="00E873C2">
        <w:t>are</w:t>
      </w:r>
      <w:r w:rsidRPr="00E63BE8">
        <w:t xml:space="preserve"> predominately rural and forested area</w:t>
      </w:r>
      <w:r w:rsidR="00E873C2">
        <w:t>s</w:t>
      </w:r>
      <w:r w:rsidRPr="00E63BE8">
        <w:t xml:space="preserve">. </w:t>
      </w:r>
      <w:r>
        <w:t>There are approximately</w:t>
      </w:r>
      <w:r w:rsidRPr="00E63BE8">
        <w:t xml:space="preserve"> </w:t>
      </w:r>
      <w:r w:rsidRPr="00AC2CFD">
        <w:t>2</w:t>
      </w:r>
      <w:r w:rsidR="00426ACC">
        <w:t>,</w:t>
      </w:r>
      <w:r w:rsidR="004C4722">
        <w:t>071</w:t>
      </w:r>
      <w:r w:rsidRPr="009E3E4F">
        <w:rPr>
          <w:color w:val="FF0000"/>
        </w:rPr>
        <w:t xml:space="preserve"> </w:t>
      </w:r>
      <w:r w:rsidRPr="00E63BE8">
        <w:t>miles of distribution line exposed to weather, underground cable failures and tree</w:t>
      </w:r>
      <w:r>
        <w:t xml:space="preserve"> problem</w:t>
      </w:r>
      <w:r w:rsidRPr="00E63BE8">
        <w:t>s.  Unlike most of the</w:t>
      </w:r>
      <w:r w:rsidR="004C4722">
        <w:t xml:space="preserve"> Company’s system, lines in these</w:t>
      </w:r>
      <w:r w:rsidRPr="00E63BE8">
        <w:t xml:space="preserve"> area</w:t>
      </w:r>
      <w:r w:rsidR="004C4722">
        <w:t>s</w:t>
      </w:r>
      <w:r w:rsidRPr="00E63BE8">
        <w:t xml:space="preserve"> are built on the narrow, cross-country rights-of-way</w:t>
      </w:r>
      <w:r w:rsidR="008E6645">
        <w:t>, typical of PUD construction practices prior to Avista acquiring the system</w:t>
      </w:r>
      <w:r>
        <w:t>.</w:t>
      </w:r>
      <w:r w:rsidRPr="00E63BE8">
        <w:t xml:space="preserve"> These conditions make patrolling, tree trimming</w:t>
      </w:r>
      <w:r>
        <w:t>, right</w:t>
      </w:r>
      <w:r w:rsidR="008F4304">
        <w:t>s-of-</w:t>
      </w:r>
      <w:r>
        <w:t>way clearing</w:t>
      </w:r>
      <w:r w:rsidRPr="00E63BE8">
        <w:t xml:space="preserve"> and other maintenance difficult.</w:t>
      </w:r>
      <w:r w:rsidR="008E6645">
        <w:t xml:space="preserve"> </w:t>
      </w:r>
      <w:r w:rsidR="00F86C50">
        <w:t>W</w:t>
      </w:r>
      <w:r w:rsidR="008E6645">
        <w:t>hen cost effective</w:t>
      </w:r>
      <w:r w:rsidR="00C27F62">
        <w:t>,</w:t>
      </w:r>
      <w:r w:rsidR="008E6645">
        <w:t xml:space="preserve"> Avista moves sections of these </w:t>
      </w:r>
      <w:r w:rsidR="00F86C50">
        <w:t xml:space="preserve">overhead </w:t>
      </w:r>
      <w:r w:rsidR="008E6645">
        <w:t>lines to road rights</w:t>
      </w:r>
      <w:r w:rsidR="008F4304">
        <w:t>-</w:t>
      </w:r>
      <w:r w:rsidR="008E6645">
        <w:t>of</w:t>
      </w:r>
      <w:r w:rsidR="008F4304">
        <w:t>-</w:t>
      </w:r>
      <w:r w:rsidR="008E6645">
        <w:t>way and/or converts them to underground.</w:t>
      </w:r>
    </w:p>
    <w:p w:rsidR="00AC2CFD" w:rsidRDefault="00AC2CFD" w:rsidP="00AC2CFD">
      <w:bookmarkStart w:id="138" w:name="_Toc165342441"/>
    </w:p>
    <w:p w:rsidR="00AC2CFD" w:rsidRDefault="00AC2CFD" w:rsidP="00AC2CFD">
      <w:r w:rsidRPr="00E63BE8">
        <w:t>Further, when outages occur in rural areas, the time required to repair damage is longer. More time is required for first responders to arrive and assess the damage</w:t>
      </w:r>
      <w:r>
        <w:t xml:space="preserve"> and m</w:t>
      </w:r>
      <w:r w:rsidRPr="00E63BE8">
        <w:t>ore time is required for the crew to reach the site.  Often the damage is off road and additional time is required to transport materials and equipment to the site.</w:t>
      </w:r>
      <w:bookmarkEnd w:id="138"/>
      <w:r w:rsidRPr="00795FC9">
        <w:rPr>
          <w:color w:val="800000"/>
        </w:rPr>
        <w:t xml:space="preserve"> </w:t>
      </w:r>
      <w:r w:rsidRPr="006F1960">
        <w:t xml:space="preserve"> </w:t>
      </w:r>
    </w:p>
    <w:p w:rsidR="00B6439F" w:rsidRPr="006F1960" w:rsidRDefault="00B6439F" w:rsidP="00AC2CFD"/>
    <w:p w:rsidR="00B6439F" w:rsidRPr="00B6439F" w:rsidRDefault="00B6439F" w:rsidP="00B6439F">
      <w:r w:rsidRPr="00B6439F">
        <w:t xml:space="preserve">Snow loading on green healthy trees growing beyond the rights-of-way often causes them to bend or break and contact distribution lines. These trees are not cut as part of our vegetation management program because they are outside our rights-of-way and are considered healthy marketable timber.   </w:t>
      </w:r>
    </w:p>
    <w:p w:rsidR="00AC2CFD" w:rsidRPr="00795FC9" w:rsidRDefault="00AC2CFD" w:rsidP="00AC2CFD"/>
    <w:p w:rsidR="00AC2CFD" w:rsidRPr="00B6439F" w:rsidRDefault="00AC2CFD" w:rsidP="00AC2CFD">
      <w:r w:rsidRPr="00E63BE8">
        <w:t xml:space="preserve">Listed below is a summary of the specific cause data for each feeder.  This is a compilation of data from </w:t>
      </w:r>
      <w:r>
        <w:t xml:space="preserve">the Avista Outage Management Tool and </w:t>
      </w:r>
      <w:r w:rsidRPr="00E63BE8">
        <w:t xml:space="preserve">the </w:t>
      </w:r>
      <w:r>
        <w:t xml:space="preserve">reporting from </w:t>
      </w:r>
      <w:r w:rsidRPr="00E63BE8">
        <w:t>our local servicemen</w:t>
      </w:r>
      <w:r>
        <w:t xml:space="preserve"> to Distribution Dispatch</w:t>
      </w:r>
      <w:r w:rsidRPr="00E63BE8">
        <w:t xml:space="preserve">. Data from the reporting system is shown as a percentage of total customer-outages, (SAIFI) for that feeder. </w:t>
      </w:r>
      <w:r w:rsidRPr="00B6439F">
        <w:t xml:space="preserve"> </w:t>
      </w:r>
    </w:p>
    <w:p w:rsidR="00B6439F" w:rsidRPr="00B6439F" w:rsidRDefault="00B6439F" w:rsidP="00AC2CFD"/>
    <w:p w:rsidR="00B6439F" w:rsidRPr="00B6439F" w:rsidRDefault="00B6439F" w:rsidP="00AC2CFD">
      <w:r w:rsidRPr="00B6439F">
        <w:t xml:space="preserve">Planned </w:t>
      </w:r>
      <w:r>
        <w:t xml:space="preserve">maintenance and equipment related outages were a major contributor to the Deer Park feeders becoming areas of concern in 2012. It is expected that the planned maintenance on these feeders will diminish and the reliability indices will normalize in the future. </w:t>
      </w:r>
    </w:p>
    <w:p w:rsidR="00AC2CFD" w:rsidRPr="00795FC9" w:rsidRDefault="00AC2CFD" w:rsidP="00AC2CFD"/>
    <w:p w:rsidR="00AC2CFD" w:rsidRDefault="00AC2CFD" w:rsidP="00AC2CFD">
      <w:pPr>
        <w:rPr>
          <w:szCs w:val="24"/>
        </w:rPr>
      </w:pPr>
    </w:p>
    <w:p w:rsidR="00B6439F" w:rsidRDefault="00B6439F">
      <w:pPr>
        <w:rPr>
          <w:color w:val="800000"/>
        </w:rPr>
      </w:pPr>
      <w:r>
        <w:rPr>
          <w:color w:val="800000"/>
        </w:rPr>
        <w:br w:type="page"/>
      </w:r>
    </w:p>
    <w:p w:rsidR="00AC2CFD" w:rsidRPr="00795FC9" w:rsidRDefault="00AC2CFD" w:rsidP="00AC2CFD">
      <w:pPr>
        <w:rPr>
          <w:color w:val="800000"/>
        </w:rPr>
      </w:pPr>
    </w:p>
    <w:p w:rsidR="00AC2CFD" w:rsidRDefault="00AC2CFD" w:rsidP="00E3255C">
      <w:r>
        <w:t>Gifford 34F1</w:t>
      </w:r>
    </w:p>
    <w:p w:rsidR="00C16F8D" w:rsidRDefault="00C16F8D" w:rsidP="00C16F8D">
      <w:pPr>
        <w:pStyle w:val="ListParagraph"/>
        <w:numPr>
          <w:ilvl w:val="0"/>
          <w:numId w:val="37"/>
        </w:numPr>
      </w:pPr>
      <w:r>
        <w:t>6.6%</w:t>
      </w:r>
      <w:r>
        <w:tab/>
        <w:t>ANIMAL</w:t>
      </w:r>
    </w:p>
    <w:p w:rsidR="00C16F8D" w:rsidRDefault="00C16F8D" w:rsidP="00C16F8D">
      <w:pPr>
        <w:pStyle w:val="ListParagraph"/>
        <w:numPr>
          <w:ilvl w:val="0"/>
          <w:numId w:val="37"/>
        </w:numPr>
      </w:pPr>
      <w:r>
        <w:t>1.6%</w:t>
      </w:r>
      <w:r>
        <w:tab/>
        <w:t>POLE FIRE</w:t>
      </w:r>
    </w:p>
    <w:p w:rsidR="00C16F8D" w:rsidRDefault="00C16F8D" w:rsidP="00C16F8D">
      <w:pPr>
        <w:pStyle w:val="ListParagraph"/>
        <w:numPr>
          <w:ilvl w:val="0"/>
          <w:numId w:val="37"/>
        </w:numPr>
      </w:pPr>
      <w:r>
        <w:t>2.5%</w:t>
      </w:r>
      <w:r>
        <w:tab/>
        <w:t>PUBLIC</w:t>
      </w:r>
    </w:p>
    <w:p w:rsidR="00C16F8D" w:rsidRDefault="00C16F8D" w:rsidP="00C16F8D">
      <w:pPr>
        <w:pStyle w:val="ListParagraph"/>
        <w:numPr>
          <w:ilvl w:val="0"/>
          <w:numId w:val="37"/>
        </w:numPr>
      </w:pPr>
      <w:r>
        <w:t>12.3%</w:t>
      </w:r>
      <w:r>
        <w:tab/>
        <w:t>TREE</w:t>
      </w:r>
    </w:p>
    <w:p w:rsidR="00C16F8D" w:rsidRDefault="00C16F8D" w:rsidP="00C16F8D">
      <w:pPr>
        <w:pStyle w:val="ListParagraph"/>
        <w:numPr>
          <w:ilvl w:val="0"/>
          <w:numId w:val="37"/>
        </w:numPr>
      </w:pPr>
      <w:r>
        <w:t>17.2%</w:t>
      </w:r>
      <w:r>
        <w:tab/>
        <w:t>UNDETERMINED</w:t>
      </w:r>
    </w:p>
    <w:p w:rsidR="00C16F8D" w:rsidRDefault="00C16F8D" w:rsidP="00C16F8D">
      <w:pPr>
        <w:pStyle w:val="ListParagraph"/>
        <w:numPr>
          <w:ilvl w:val="0"/>
          <w:numId w:val="37"/>
        </w:numPr>
      </w:pPr>
      <w:r>
        <w:t>27.9%</w:t>
      </w:r>
      <w:r>
        <w:tab/>
        <w:t>WEATHER</w:t>
      </w:r>
    </w:p>
    <w:p w:rsidR="00C16F8D" w:rsidRDefault="00C16F8D" w:rsidP="00C16F8D">
      <w:pPr>
        <w:pStyle w:val="ListParagraph"/>
        <w:numPr>
          <w:ilvl w:val="0"/>
          <w:numId w:val="37"/>
        </w:numPr>
      </w:pPr>
      <w:r>
        <w:t>10.7%</w:t>
      </w:r>
      <w:r>
        <w:tab/>
        <w:t>EQUIPMENT OH</w:t>
      </w:r>
    </w:p>
    <w:p w:rsidR="00C16F8D" w:rsidRDefault="00C16F8D" w:rsidP="00C16F8D">
      <w:pPr>
        <w:pStyle w:val="ListParagraph"/>
        <w:numPr>
          <w:ilvl w:val="0"/>
          <w:numId w:val="37"/>
        </w:numPr>
      </w:pPr>
      <w:r>
        <w:t>1.6%</w:t>
      </w:r>
      <w:r>
        <w:tab/>
        <w:t>EQUIPMENT UG</w:t>
      </w:r>
    </w:p>
    <w:p w:rsidR="00AC2CFD" w:rsidRDefault="00C16F8D" w:rsidP="00C16F8D">
      <w:pPr>
        <w:pStyle w:val="ListParagraph"/>
        <w:numPr>
          <w:ilvl w:val="0"/>
          <w:numId w:val="37"/>
        </w:numPr>
      </w:pPr>
      <w:r>
        <w:t>19.7%</w:t>
      </w:r>
      <w:r>
        <w:tab/>
        <w:t>PLANNED</w:t>
      </w:r>
    </w:p>
    <w:p w:rsidR="00AC2CFD" w:rsidRDefault="00AC2CFD" w:rsidP="00AC2CFD"/>
    <w:p w:rsidR="00BA2C8F" w:rsidRDefault="00BA2C8F" w:rsidP="00BA2C8F">
      <w:r>
        <w:t>Gifford 34F2</w:t>
      </w:r>
    </w:p>
    <w:p w:rsidR="00BA2C8F" w:rsidRDefault="00BA2C8F" w:rsidP="00BA2C8F"/>
    <w:p w:rsidR="00C16F8D" w:rsidRDefault="00C16F8D" w:rsidP="00C16F8D">
      <w:pPr>
        <w:pStyle w:val="ListParagraph"/>
        <w:numPr>
          <w:ilvl w:val="0"/>
          <w:numId w:val="38"/>
        </w:numPr>
      </w:pPr>
      <w:r>
        <w:t>1.2%</w:t>
      </w:r>
      <w:r>
        <w:tab/>
        <w:t>ANIMAL</w:t>
      </w:r>
    </w:p>
    <w:p w:rsidR="00C16F8D" w:rsidRDefault="00C16F8D" w:rsidP="00C16F8D">
      <w:pPr>
        <w:pStyle w:val="ListParagraph"/>
        <w:numPr>
          <w:ilvl w:val="0"/>
          <w:numId w:val="38"/>
        </w:numPr>
      </w:pPr>
      <w:r>
        <w:t>4.7%</w:t>
      </w:r>
      <w:r>
        <w:tab/>
        <w:t>PUBLIC</w:t>
      </w:r>
    </w:p>
    <w:p w:rsidR="00C16F8D" w:rsidRDefault="00C16F8D" w:rsidP="00C16F8D">
      <w:pPr>
        <w:pStyle w:val="ListParagraph"/>
        <w:numPr>
          <w:ilvl w:val="0"/>
          <w:numId w:val="38"/>
        </w:numPr>
      </w:pPr>
      <w:r>
        <w:t>12.9%</w:t>
      </w:r>
      <w:r>
        <w:tab/>
        <w:t>TREE</w:t>
      </w:r>
    </w:p>
    <w:p w:rsidR="00C16F8D" w:rsidRDefault="00C16F8D" w:rsidP="00C16F8D">
      <w:pPr>
        <w:pStyle w:val="ListParagraph"/>
        <w:numPr>
          <w:ilvl w:val="0"/>
          <w:numId w:val="38"/>
        </w:numPr>
      </w:pPr>
      <w:r>
        <w:t>4.7%</w:t>
      </w:r>
      <w:r>
        <w:tab/>
        <w:t>UNDETERMINED</w:t>
      </w:r>
    </w:p>
    <w:p w:rsidR="00C16F8D" w:rsidRDefault="00C16F8D" w:rsidP="00C16F8D">
      <w:pPr>
        <w:pStyle w:val="ListParagraph"/>
        <w:numPr>
          <w:ilvl w:val="0"/>
          <w:numId w:val="38"/>
        </w:numPr>
      </w:pPr>
      <w:r>
        <w:t>49.4%</w:t>
      </w:r>
      <w:r>
        <w:tab/>
        <w:t>WEATHER</w:t>
      </w:r>
    </w:p>
    <w:p w:rsidR="00C16F8D" w:rsidRDefault="00C16F8D" w:rsidP="00C16F8D">
      <w:pPr>
        <w:pStyle w:val="ListParagraph"/>
        <w:numPr>
          <w:ilvl w:val="0"/>
          <w:numId w:val="38"/>
        </w:numPr>
      </w:pPr>
      <w:r>
        <w:t>14.1%</w:t>
      </w:r>
      <w:r>
        <w:tab/>
        <w:t>EQUIPMENT OH</w:t>
      </w:r>
    </w:p>
    <w:p w:rsidR="00BA2C8F" w:rsidRDefault="00C16F8D" w:rsidP="00C16F8D">
      <w:pPr>
        <w:pStyle w:val="ListParagraph"/>
        <w:numPr>
          <w:ilvl w:val="0"/>
          <w:numId w:val="38"/>
        </w:numPr>
      </w:pPr>
      <w:r>
        <w:t>12.9%</w:t>
      </w:r>
      <w:r>
        <w:tab/>
        <w:t>PLANNED</w:t>
      </w:r>
    </w:p>
    <w:p w:rsidR="00C16F8D" w:rsidRDefault="00C16F8D" w:rsidP="00C16F8D">
      <w:pPr>
        <w:pStyle w:val="ListParagraph"/>
      </w:pPr>
    </w:p>
    <w:p w:rsidR="00AC2CFD" w:rsidRDefault="00AC2CFD" w:rsidP="00E3255C">
      <w:r>
        <w:t xml:space="preserve">Colville 34F1 </w:t>
      </w:r>
    </w:p>
    <w:p w:rsidR="00AC2CFD" w:rsidRDefault="00AC2CFD" w:rsidP="00AC2CFD"/>
    <w:p w:rsidR="004C4722" w:rsidRDefault="004C4722" w:rsidP="004C4722">
      <w:pPr>
        <w:pStyle w:val="ListParagraph"/>
        <w:numPr>
          <w:ilvl w:val="0"/>
          <w:numId w:val="36"/>
        </w:numPr>
      </w:pPr>
      <w:r>
        <w:t>4.1%</w:t>
      </w:r>
      <w:r>
        <w:tab/>
        <w:t>ANIMAL</w:t>
      </w:r>
      <w:r>
        <w:tab/>
      </w:r>
    </w:p>
    <w:p w:rsidR="004C4722" w:rsidRDefault="004C4722" w:rsidP="004C4722">
      <w:pPr>
        <w:pStyle w:val="ListParagraph"/>
        <w:numPr>
          <w:ilvl w:val="0"/>
          <w:numId w:val="36"/>
        </w:numPr>
      </w:pPr>
      <w:r>
        <w:t>1.4%</w:t>
      </w:r>
      <w:r>
        <w:tab/>
        <w:t>COMPANY</w:t>
      </w:r>
      <w:r>
        <w:tab/>
      </w:r>
    </w:p>
    <w:p w:rsidR="004C4722" w:rsidRDefault="004C4722" w:rsidP="004C4722">
      <w:pPr>
        <w:pStyle w:val="ListParagraph"/>
        <w:numPr>
          <w:ilvl w:val="0"/>
          <w:numId w:val="36"/>
        </w:numPr>
      </w:pPr>
      <w:r>
        <w:t>2.7%</w:t>
      </w:r>
      <w:r>
        <w:tab/>
        <w:t>PUBLIC</w:t>
      </w:r>
      <w:r>
        <w:tab/>
      </w:r>
    </w:p>
    <w:p w:rsidR="004C4722" w:rsidRDefault="004C4722" w:rsidP="004C4722">
      <w:pPr>
        <w:pStyle w:val="ListParagraph"/>
        <w:numPr>
          <w:ilvl w:val="0"/>
          <w:numId w:val="36"/>
        </w:numPr>
      </w:pPr>
      <w:r>
        <w:t>17.6%</w:t>
      </w:r>
      <w:r>
        <w:tab/>
        <w:t>TREE</w:t>
      </w:r>
      <w:r>
        <w:tab/>
      </w:r>
    </w:p>
    <w:p w:rsidR="004C4722" w:rsidRDefault="004C4722" w:rsidP="004C4722">
      <w:pPr>
        <w:pStyle w:val="ListParagraph"/>
        <w:numPr>
          <w:ilvl w:val="0"/>
          <w:numId w:val="36"/>
        </w:numPr>
      </w:pPr>
      <w:r>
        <w:t>12.8%</w:t>
      </w:r>
      <w:r>
        <w:tab/>
        <w:t>UNDETERMINED</w:t>
      </w:r>
      <w:r>
        <w:tab/>
      </w:r>
    </w:p>
    <w:p w:rsidR="004C4722" w:rsidRDefault="004C4722" w:rsidP="004C4722">
      <w:pPr>
        <w:pStyle w:val="ListParagraph"/>
        <w:numPr>
          <w:ilvl w:val="0"/>
          <w:numId w:val="36"/>
        </w:numPr>
      </w:pPr>
      <w:r>
        <w:t>44.6%</w:t>
      </w:r>
      <w:r>
        <w:tab/>
        <w:t>WEATHER</w:t>
      </w:r>
      <w:r>
        <w:tab/>
      </w:r>
    </w:p>
    <w:p w:rsidR="004C4722" w:rsidRDefault="004C4722" w:rsidP="004C4722">
      <w:pPr>
        <w:pStyle w:val="ListParagraph"/>
        <w:numPr>
          <w:ilvl w:val="0"/>
          <w:numId w:val="36"/>
        </w:numPr>
      </w:pPr>
      <w:r>
        <w:t>9.5%</w:t>
      </w:r>
      <w:r>
        <w:tab/>
        <w:t>EQUIPMENT OH</w:t>
      </w:r>
      <w:r>
        <w:tab/>
      </w:r>
    </w:p>
    <w:p w:rsidR="004C4722" w:rsidRDefault="004C4722" w:rsidP="004C4722">
      <w:pPr>
        <w:pStyle w:val="ListParagraph"/>
        <w:numPr>
          <w:ilvl w:val="0"/>
          <w:numId w:val="36"/>
        </w:numPr>
      </w:pPr>
      <w:r>
        <w:t>4.7%</w:t>
      </w:r>
      <w:r>
        <w:tab/>
        <w:t>EQUIPMENT UG</w:t>
      </w:r>
      <w:r>
        <w:tab/>
      </w:r>
    </w:p>
    <w:p w:rsidR="004C4722" w:rsidRDefault="004C4722" w:rsidP="004C4722">
      <w:pPr>
        <w:pStyle w:val="ListParagraph"/>
        <w:numPr>
          <w:ilvl w:val="0"/>
          <w:numId w:val="36"/>
        </w:numPr>
      </w:pPr>
      <w:r>
        <w:t>2.7%</w:t>
      </w:r>
      <w:r>
        <w:tab/>
        <w:t>PLANNED</w:t>
      </w:r>
      <w:r>
        <w:tab/>
      </w:r>
    </w:p>
    <w:p w:rsidR="00AC2CFD" w:rsidRDefault="00AC2CFD" w:rsidP="00AC2CFD"/>
    <w:p w:rsidR="00D26383" w:rsidRDefault="00D26383" w:rsidP="00D26383">
      <w:bookmarkStart w:id="139" w:name="_Toc98906769"/>
      <w:bookmarkStart w:id="140" w:name="_Toc165342443"/>
      <w:bookmarkStart w:id="141" w:name="_Toc193710999"/>
      <w:bookmarkStart w:id="142" w:name="_Toc227571592"/>
      <w:bookmarkStart w:id="143" w:name="OLE_LINK2"/>
      <w:bookmarkStart w:id="144" w:name="OLE_LINK7"/>
      <w:r>
        <w:t>Spirit 12F1</w:t>
      </w:r>
    </w:p>
    <w:p w:rsidR="00D26383" w:rsidRDefault="00D26383" w:rsidP="00D26383"/>
    <w:p w:rsidR="00C16F8D" w:rsidRDefault="00C16F8D" w:rsidP="00C16F8D">
      <w:pPr>
        <w:numPr>
          <w:ilvl w:val="0"/>
          <w:numId w:val="20"/>
        </w:numPr>
      </w:pPr>
      <w:r>
        <w:t>5.5%</w:t>
      </w:r>
      <w:r>
        <w:tab/>
        <w:t>ANIMAL</w:t>
      </w:r>
    </w:p>
    <w:p w:rsidR="00C16F8D" w:rsidRDefault="00C16F8D" w:rsidP="00C16F8D">
      <w:pPr>
        <w:numPr>
          <w:ilvl w:val="0"/>
          <w:numId w:val="20"/>
        </w:numPr>
      </w:pPr>
      <w:r>
        <w:t>5.5%</w:t>
      </w:r>
      <w:r>
        <w:tab/>
        <w:t>PUBLIC</w:t>
      </w:r>
    </w:p>
    <w:p w:rsidR="00C16F8D" w:rsidRDefault="00C16F8D" w:rsidP="00C16F8D">
      <w:pPr>
        <w:numPr>
          <w:ilvl w:val="0"/>
          <w:numId w:val="20"/>
        </w:numPr>
      </w:pPr>
      <w:r>
        <w:t>9.1%</w:t>
      </w:r>
      <w:r>
        <w:tab/>
        <w:t>TREE</w:t>
      </w:r>
    </w:p>
    <w:p w:rsidR="00C16F8D" w:rsidRDefault="00C16F8D" w:rsidP="00C16F8D">
      <w:pPr>
        <w:numPr>
          <w:ilvl w:val="0"/>
          <w:numId w:val="20"/>
        </w:numPr>
      </w:pPr>
      <w:r>
        <w:t>12.7%</w:t>
      </w:r>
      <w:r>
        <w:tab/>
        <w:t>UNDETERMINED</w:t>
      </w:r>
    </w:p>
    <w:p w:rsidR="00C16F8D" w:rsidRDefault="00C16F8D" w:rsidP="00C16F8D">
      <w:pPr>
        <w:numPr>
          <w:ilvl w:val="0"/>
          <w:numId w:val="20"/>
        </w:numPr>
      </w:pPr>
      <w:r>
        <w:t>32.7%</w:t>
      </w:r>
      <w:r>
        <w:tab/>
        <w:t>WEATHER</w:t>
      </w:r>
    </w:p>
    <w:p w:rsidR="00C16F8D" w:rsidRDefault="00C16F8D" w:rsidP="00C16F8D">
      <w:pPr>
        <w:numPr>
          <w:ilvl w:val="0"/>
          <w:numId w:val="20"/>
        </w:numPr>
      </w:pPr>
      <w:r>
        <w:t>16.4%</w:t>
      </w:r>
      <w:r>
        <w:tab/>
        <w:t>EQUIPMENT OH</w:t>
      </w:r>
    </w:p>
    <w:p w:rsidR="00C16F8D" w:rsidRDefault="00C16F8D" w:rsidP="00C16F8D">
      <w:pPr>
        <w:numPr>
          <w:ilvl w:val="0"/>
          <w:numId w:val="20"/>
        </w:numPr>
      </w:pPr>
      <w:r>
        <w:t>1.8%</w:t>
      </w:r>
      <w:r>
        <w:tab/>
        <w:t>EQUIPMENT UG</w:t>
      </w:r>
    </w:p>
    <w:p w:rsidR="004C4722" w:rsidRPr="00C16F8D" w:rsidRDefault="00C16F8D" w:rsidP="00C16F8D">
      <w:pPr>
        <w:numPr>
          <w:ilvl w:val="0"/>
          <w:numId w:val="20"/>
        </w:numPr>
        <w:rPr>
          <w:color w:val="000000"/>
        </w:rPr>
      </w:pPr>
      <w:r>
        <w:t>16.4%</w:t>
      </w:r>
      <w:r>
        <w:tab/>
        <w:t>PLANNED</w:t>
      </w:r>
    </w:p>
    <w:p w:rsidR="00C16F8D" w:rsidRDefault="00C16F8D"/>
    <w:p w:rsidR="00B6439F" w:rsidRDefault="00B6439F" w:rsidP="00C16F8D"/>
    <w:p w:rsidR="00B6439F" w:rsidRDefault="00B6439F" w:rsidP="00C16F8D"/>
    <w:p w:rsidR="00C16F8D" w:rsidRDefault="00C16F8D" w:rsidP="00C16F8D">
      <w:r>
        <w:t>Valley 12F1</w:t>
      </w:r>
    </w:p>
    <w:p w:rsidR="00C16F8D" w:rsidRDefault="00C16F8D" w:rsidP="00C16F8D"/>
    <w:p w:rsidR="00C16F8D" w:rsidRPr="00C16F8D" w:rsidRDefault="00C16F8D" w:rsidP="00C16F8D">
      <w:pPr>
        <w:pStyle w:val="ListParagraph"/>
        <w:numPr>
          <w:ilvl w:val="0"/>
          <w:numId w:val="40"/>
        </w:numPr>
        <w:rPr>
          <w:color w:val="000000"/>
        </w:rPr>
      </w:pPr>
      <w:r w:rsidRPr="00C16F8D">
        <w:rPr>
          <w:color w:val="000000"/>
        </w:rPr>
        <w:t>11.8%</w:t>
      </w:r>
      <w:r w:rsidRPr="00C16F8D">
        <w:rPr>
          <w:color w:val="000000"/>
        </w:rPr>
        <w:tab/>
        <w:t>ANIMAL</w:t>
      </w:r>
    </w:p>
    <w:p w:rsidR="00C16F8D" w:rsidRPr="00C16F8D" w:rsidRDefault="00C16F8D" w:rsidP="00C16F8D">
      <w:pPr>
        <w:pStyle w:val="ListParagraph"/>
        <w:numPr>
          <w:ilvl w:val="0"/>
          <w:numId w:val="40"/>
        </w:numPr>
        <w:rPr>
          <w:color w:val="000000"/>
        </w:rPr>
      </w:pPr>
      <w:r w:rsidRPr="00C16F8D">
        <w:rPr>
          <w:color w:val="000000"/>
        </w:rPr>
        <w:t>11.8%</w:t>
      </w:r>
      <w:r w:rsidRPr="00C16F8D">
        <w:rPr>
          <w:color w:val="000000"/>
        </w:rPr>
        <w:tab/>
        <w:t>PUBLIC</w:t>
      </w:r>
    </w:p>
    <w:p w:rsidR="00C16F8D" w:rsidRPr="00C16F8D" w:rsidRDefault="00C16F8D" w:rsidP="00C16F8D">
      <w:pPr>
        <w:pStyle w:val="ListParagraph"/>
        <w:numPr>
          <w:ilvl w:val="0"/>
          <w:numId w:val="40"/>
        </w:numPr>
        <w:rPr>
          <w:color w:val="000000"/>
        </w:rPr>
      </w:pPr>
      <w:r w:rsidRPr="00C16F8D">
        <w:rPr>
          <w:color w:val="000000"/>
        </w:rPr>
        <w:t>19.6%</w:t>
      </w:r>
      <w:r w:rsidRPr="00C16F8D">
        <w:rPr>
          <w:color w:val="000000"/>
        </w:rPr>
        <w:tab/>
        <w:t>TREE</w:t>
      </w:r>
    </w:p>
    <w:p w:rsidR="00C16F8D" w:rsidRPr="00C16F8D" w:rsidRDefault="00C16F8D" w:rsidP="00C16F8D">
      <w:pPr>
        <w:pStyle w:val="ListParagraph"/>
        <w:numPr>
          <w:ilvl w:val="0"/>
          <w:numId w:val="40"/>
        </w:numPr>
        <w:rPr>
          <w:color w:val="000000"/>
        </w:rPr>
      </w:pPr>
      <w:r w:rsidRPr="00C16F8D">
        <w:rPr>
          <w:color w:val="000000"/>
        </w:rPr>
        <w:t>13.7%</w:t>
      </w:r>
      <w:r w:rsidRPr="00C16F8D">
        <w:rPr>
          <w:color w:val="000000"/>
        </w:rPr>
        <w:tab/>
        <w:t>UNDETERMINED</w:t>
      </w:r>
    </w:p>
    <w:p w:rsidR="00C16F8D" w:rsidRPr="00C16F8D" w:rsidRDefault="00C16F8D" w:rsidP="00C16F8D">
      <w:pPr>
        <w:pStyle w:val="ListParagraph"/>
        <w:numPr>
          <w:ilvl w:val="0"/>
          <w:numId w:val="40"/>
        </w:numPr>
        <w:rPr>
          <w:color w:val="000000"/>
        </w:rPr>
      </w:pPr>
      <w:r w:rsidRPr="00C16F8D">
        <w:rPr>
          <w:color w:val="000000"/>
        </w:rPr>
        <w:t>27.5%</w:t>
      </w:r>
      <w:r w:rsidRPr="00C16F8D">
        <w:rPr>
          <w:color w:val="000000"/>
        </w:rPr>
        <w:tab/>
        <w:t>WEATHER</w:t>
      </w:r>
    </w:p>
    <w:p w:rsidR="00C16F8D" w:rsidRPr="00C16F8D" w:rsidRDefault="00C16F8D" w:rsidP="00C16F8D">
      <w:pPr>
        <w:pStyle w:val="ListParagraph"/>
        <w:numPr>
          <w:ilvl w:val="0"/>
          <w:numId w:val="40"/>
        </w:numPr>
        <w:rPr>
          <w:color w:val="000000"/>
        </w:rPr>
      </w:pPr>
      <w:r w:rsidRPr="00C16F8D">
        <w:rPr>
          <w:color w:val="000000"/>
        </w:rPr>
        <w:t>3.9%</w:t>
      </w:r>
      <w:r w:rsidRPr="00C16F8D">
        <w:rPr>
          <w:color w:val="000000"/>
        </w:rPr>
        <w:tab/>
        <w:t>EQUIPMENT OH</w:t>
      </w:r>
    </w:p>
    <w:p w:rsidR="00C16F8D" w:rsidRPr="00C16F8D" w:rsidRDefault="00C16F8D" w:rsidP="00C16F8D">
      <w:pPr>
        <w:pStyle w:val="ListParagraph"/>
        <w:numPr>
          <w:ilvl w:val="0"/>
          <w:numId w:val="40"/>
        </w:numPr>
        <w:rPr>
          <w:color w:val="000000"/>
        </w:rPr>
      </w:pPr>
      <w:r w:rsidRPr="00C16F8D">
        <w:rPr>
          <w:color w:val="000000"/>
        </w:rPr>
        <w:t>2.0%</w:t>
      </w:r>
      <w:r w:rsidRPr="00C16F8D">
        <w:rPr>
          <w:color w:val="000000"/>
        </w:rPr>
        <w:tab/>
        <w:t>EQUIPMENT UG</w:t>
      </w:r>
    </w:p>
    <w:p w:rsidR="00C16F8D" w:rsidRPr="00C16F8D" w:rsidRDefault="00C16F8D" w:rsidP="00C16F8D">
      <w:pPr>
        <w:pStyle w:val="ListParagraph"/>
        <w:numPr>
          <w:ilvl w:val="0"/>
          <w:numId w:val="40"/>
        </w:numPr>
        <w:rPr>
          <w:color w:val="000000"/>
        </w:rPr>
      </w:pPr>
      <w:r w:rsidRPr="00C16F8D">
        <w:rPr>
          <w:color w:val="000000"/>
        </w:rPr>
        <w:t>9.8%</w:t>
      </w:r>
      <w:r w:rsidRPr="00C16F8D">
        <w:rPr>
          <w:color w:val="000000"/>
        </w:rPr>
        <w:tab/>
        <w:t>PLANNED</w:t>
      </w:r>
    </w:p>
    <w:p w:rsidR="00C16F8D" w:rsidRDefault="00C16F8D" w:rsidP="004C4722"/>
    <w:p w:rsidR="004C4722" w:rsidRDefault="004C4722" w:rsidP="004C4722">
      <w:r>
        <w:t>Deer Park 12F1</w:t>
      </w:r>
    </w:p>
    <w:p w:rsidR="004C4722" w:rsidRDefault="004C4722" w:rsidP="004C4722"/>
    <w:p w:rsidR="00C16F8D" w:rsidRDefault="00C16F8D" w:rsidP="00C16F8D">
      <w:pPr>
        <w:pStyle w:val="ListParagraph"/>
        <w:numPr>
          <w:ilvl w:val="0"/>
          <w:numId w:val="39"/>
        </w:numPr>
      </w:pPr>
      <w:r>
        <w:t>12.2%</w:t>
      </w:r>
      <w:r>
        <w:tab/>
        <w:t>PUBLIC</w:t>
      </w:r>
    </w:p>
    <w:p w:rsidR="00C16F8D" w:rsidRDefault="00C16F8D" w:rsidP="00C16F8D">
      <w:pPr>
        <w:pStyle w:val="ListParagraph"/>
        <w:numPr>
          <w:ilvl w:val="0"/>
          <w:numId w:val="39"/>
        </w:numPr>
      </w:pPr>
      <w:r>
        <w:t>6.1%</w:t>
      </w:r>
      <w:r>
        <w:tab/>
        <w:t>TREE</w:t>
      </w:r>
    </w:p>
    <w:p w:rsidR="00C16F8D" w:rsidRDefault="00C16F8D" w:rsidP="00C16F8D">
      <w:pPr>
        <w:pStyle w:val="ListParagraph"/>
        <w:numPr>
          <w:ilvl w:val="0"/>
          <w:numId w:val="39"/>
        </w:numPr>
      </w:pPr>
      <w:r>
        <w:t>6.1%</w:t>
      </w:r>
      <w:r>
        <w:tab/>
        <w:t>UNDETERMINED</w:t>
      </w:r>
    </w:p>
    <w:p w:rsidR="00C16F8D" w:rsidRDefault="00C16F8D" w:rsidP="00C16F8D">
      <w:pPr>
        <w:pStyle w:val="ListParagraph"/>
        <w:numPr>
          <w:ilvl w:val="0"/>
          <w:numId w:val="39"/>
        </w:numPr>
      </w:pPr>
      <w:r>
        <w:t>8.2%</w:t>
      </w:r>
      <w:r>
        <w:tab/>
        <w:t>WEATHER</w:t>
      </w:r>
    </w:p>
    <w:p w:rsidR="00C16F8D" w:rsidRDefault="00C16F8D" w:rsidP="00C16F8D">
      <w:pPr>
        <w:pStyle w:val="ListParagraph"/>
        <w:numPr>
          <w:ilvl w:val="0"/>
          <w:numId w:val="39"/>
        </w:numPr>
      </w:pPr>
      <w:r>
        <w:t>12.2%</w:t>
      </w:r>
      <w:r>
        <w:tab/>
        <w:t>EQUIPMENT OH</w:t>
      </w:r>
    </w:p>
    <w:p w:rsidR="00C16F8D" w:rsidRDefault="00C16F8D" w:rsidP="00C16F8D">
      <w:pPr>
        <w:pStyle w:val="ListParagraph"/>
        <w:numPr>
          <w:ilvl w:val="0"/>
          <w:numId w:val="39"/>
        </w:numPr>
      </w:pPr>
      <w:r>
        <w:t>10.2%</w:t>
      </w:r>
      <w:r>
        <w:tab/>
        <w:t>EQUIPMENT UG</w:t>
      </w:r>
    </w:p>
    <w:p w:rsidR="00C16F8D" w:rsidRDefault="00C16F8D" w:rsidP="00C16F8D">
      <w:pPr>
        <w:pStyle w:val="ListParagraph"/>
        <w:numPr>
          <w:ilvl w:val="0"/>
          <w:numId w:val="39"/>
        </w:numPr>
      </w:pPr>
      <w:r>
        <w:t>44.9%</w:t>
      </w:r>
      <w:r>
        <w:tab/>
        <w:t>PLANNED</w:t>
      </w:r>
    </w:p>
    <w:p w:rsidR="00C16F8D" w:rsidRDefault="00C16F8D" w:rsidP="00C16F8D"/>
    <w:p w:rsidR="004C4722" w:rsidRDefault="004C4722" w:rsidP="00C16F8D">
      <w:r>
        <w:t>Deer Park 12F2</w:t>
      </w:r>
    </w:p>
    <w:p w:rsidR="004C4722" w:rsidRDefault="004C4722" w:rsidP="004C4722"/>
    <w:p w:rsidR="00C16F8D" w:rsidRPr="00C16F8D" w:rsidRDefault="00C16F8D" w:rsidP="00C16F8D">
      <w:pPr>
        <w:pStyle w:val="ListParagraph"/>
        <w:numPr>
          <w:ilvl w:val="0"/>
          <w:numId w:val="39"/>
        </w:numPr>
      </w:pPr>
      <w:r w:rsidRPr="00C16F8D">
        <w:t>4.3%</w:t>
      </w:r>
      <w:r w:rsidRPr="00C16F8D">
        <w:tab/>
        <w:t>ANIMAL</w:t>
      </w:r>
    </w:p>
    <w:p w:rsidR="00C16F8D" w:rsidRPr="00C16F8D" w:rsidRDefault="00C16F8D" w:rsidP="00C16F8D">
      <w:pPr>
        <w:pStyle w:val="ListParagraph"/>
        <w:numPr>
          <w:ilvl w:val="0"/>
          <w:numId w:val="39"/>
        </w:numPr>
      </w:pPr>
      <w:r w:rsidRPr="00C16F8D">
        <w:t>4.3%</w:t>
      </w:r>
      <w:r w:rsidRPr="00C16F8D">
        <w:tab/>
        <w:t>COMPANY</w:t>
      </w:r>
    </w:p>
    <w:p w:rsidR="00C16F8D" w:rsidRPr="00C16F8D" w:rsidRDefault="00C16F8D" w:rsidP="00C16F8D">
      <w:pPr>
        <w:pStyle w:val="ListParagraph"/>
        <w:numPr>
          <w:ilvl w:val="0"/>
          <w:numId w:val="39"/>
        </w:numPr>
      </w:pPr>
      <w:r w:rsidRPr="00C16F8D">
        <w:t>4.3%</w:t>
      </w:r>
      <w:r w:rsidRPr="00C16F8D">
        <w:tab/>
        <w:t>PUBLIC</w:t>
      </w:r>
    </w:p>
    <w:p w:rsidR="00C16F8D" w:rsidRPr="00C16F8D" w:rsidRDefault="00C16F8D" w:rsidP="00C16F8D">
      <w:pPr>
        <w:pStyle w:val="ListParagraph"/>
        <w:numPr>
          <w:ilvl w:val="0"/>
          <w:numId w:val="39"/>
        </w:numPr>
      </w:pPr>
      <w:r w:rsidRPr="00C16F8D">
        <w:t>4.3%</w:t>
      </w:r>
      <w:r w:rsidRPr="00C16F8D">
        <w:tab/>
        <w:t>TREE</w:t>
      </w:r>
    </w:p>
    <w:p w:rsidR="00C16F8D" w:rsidRPr="00C16F8D" w:rsidRDefault="00C16F8D" w:rsidP="00C16F8D">
      <w:pPr>
        <w:pStyle w:val="ListParagraph"/>
        <w:numPr>
          <w:ilvl w:val="0"/>
          <w:numId w:val="39"/>
        </w:numPr>
      </w:pPr>
      <w:r w:rsidRPr="00C16F8D">
        <w:t>13.0%</w:t>
      </w:r>
      <w:r w:rsidRPr="00C16F8D">
        <w:tab/>
        <w:t>UNDETERMINED</w:t>
      </w:r>
    </w:p>
    <w:p w:rsidR="00C16F8D" w:rsidRPr="00C16F8D" w:rsidRDefault="00C16F8D" w:rsidP="00C16F8D">
      <w:pPr>
        <w:pStyle w:val="ListParagraph"/>
        <w:numPr>
          <w:ilvl w:val="0"/>
          <w:numId w:val="39"/>
        </w:numPr>
      </w:pPr>
      <w:r w:rsidRPr="00C16F8D">
        <w:t>17.4%</w:t>
      </w:r>
      <w:r w:rsidRPr="00C16F8D">
        <w:tab/>
        <w:t>WEATHER</w:t>
      </w:r>
    </w:p>
    <w:p w:rsidR="00C16F8D" w:rsidRPr="00C16F8D" w:rsidRDefault="00C16F8D" w:rsidP="00C16F8D">
      <w:pPr>
        <w:pStyle w:val="ListParagraph"/>
        <w:numPr>
          <w:ilvl w:val="0"/>
          <w:numId w:val="39"/>
        </w:numPr>
      </w:pPr>
      <w:r w:rsidRPr="00C16F8D">
        <w:t>13.0%</w:t>
      </w:r>
      <w:r w:rsidRPr="00C16F8D">
        <w:tab/>
        <w:t>EQUIPMENT OH</w:t>
      </w:r>
    </w:p>
    <w:p w:rsidR="00C16F8D" w:rsidRPr="00C16F8D" w:rsidRDefault="00C16F8D" w:rsidP="00C16F8D">
      <w:pPr>
        <w:pStyle w:val="ListParagraph"/>
        <w:numPr>
          <w:ilvl w:val="0"/>
          <w:numId w:val="39"/>
        </w:numPr>
      </w:pPr>
      <w:r w:rsidRPr="00C16F8D">
        <w:t>4.3%</w:t>
      </w:r>
      <w:r w:rsidRPr="00C16F8D">
        <w:tab/>
        <w:t>EQUIPMENT SUB</w:t>
      </w:r>
    </w:p>
    <w:p w:rsidR="0019699D" w:rsidRDefault="00C16F8D" w:rsidP="00C16F8D">
      <w:pPr>
        <w:pStyle w:val="ListParagraph"/>
        <w:numPr>
          <w:ilvl w:val="0"/>
          <w:numId w:val="39"/>
        </w:numPr>
      </w:pPr>
      <w:r w:rsidRPr="00C16F8D">
        <w:t>34.8%</w:t>
      </w:r>
      <w:r w:rsidRPr="00C16F8D">
        <w:tab/>
        <w:t>PLANNED</w:t>
      </w:r>
    </w:p>
    <w:p w:rsidR="0019699D" w:rsidRDefault="0019699D" w:rsidP="00B80812">
      <w:pPr>
        <w:pStyle w:val="Heading3"/>
      </w:pPr>
    </w:p>
    <w:p w:rsidR="0019699D" w:rsidRDefault="0019699D">
      <w:pPr>
        <w:rPr>
          <w:rFonts w:ascii="Arial" w:hAnsi="Arial"/>
        </w:rPr>
      </w:pPr>
      <w:r>
        <w:br w:type="page"/>
      </w:r>
    </w:p>
    <w:p w:rsidR="00AC2CFD" w:rsidRDefault="00B21935" w:rsidP="00B80812">
      <w:pPr>
        <w:pStyle w:val="Heading3"/>
      </w:pPr>
      <w:bookmarkStart w:id="145" w:name="_Toc354493003"/>
      <w:r>
        <w:t xml:space="preserve">Colville Area </w:t>
      </w:r>
      <w:r w:rsidR="00AC2CFD" w:rsidRPr="00980946">
        <w:t>Work Plans</w:t>
      </w:r>
      <w:bookmarkEnd w:id="139"/>
      <w:bookmarkEnd w:id="140"/>
      <w:bookmarkEnd w:id="141"/>
      <w:bookmarkEnd w:id="142"/>
      <w:bookmarkEnd w:id="145"/>
    </w:p>
    <w:p w:rsidR="00E3255C" w:rsidRPr="00E3255C" w:rsidRDefault="00E3255C" w:rsidP="00E3255C"/>
    <w:bookmarkEnd w:id="143"/>
    <w:bookmarkEnd w:id="144"/>
    <w:p w:rsidR="00AC2CFD" w:rsidRPr="006F4B93" w:rsidRDefault="00AC2CFD" w:rsidP="00AC2CFD">
      <w:r w:rsidRPr="00980946">
        <w:t>The improvement work that has been accomplished or planned for each feeder is listed below.  The Company’s reliability working group is continuing to study these feeders to develop additional work plans. Each of the identified feeders also had planned outages that correspond to the maintenance and replacement activities in the area.</w:t>
      </w:r>
      <w:r w:rsidRPr="006F4B93">
        <w:t xml:space="preserve"> </w:t>
      </w:r>
    </w:p>
    <w:p w:rsidR="00AC2CFD" w:rsidRPr="006F4B93" w:rsidRDefault="00AC2CFD" w:rsidP="00AC2CFD"/>
    <w:p w:rsidR="00050F48" w:rsidRPr="00185AC8" w:rsidRDefault="00050F48" w:rsidP="00185AC8">
      <w:r w:rsidRPr="00050F48">
        <w:t>Gifford 34F1</w:t>
      </w:r>
    </w:p>
    <w:p w:rsidR="00996F5A" w:rsidRDefault="003215B5" w:rsidP="00996F5A">
      <w:pPr>
        <w:numPr>
          <w:ilvl w:val="0"/>
          <w:numId w:val="30"/>
        </w:numPr>
      </w:pPr>
      <w:r>
        <w:t xml:space="preserve">Storm damage to lines led an effort to </w:t>
      </w:r>
      <w:proofErr w:type="spellStart"/>
      <w:r>
        <w:t>reconductor</w:t>
      </w:r>
      <w:proofErr w:type="spellEnd"/>
      <w:r>
        <w:t xml:space="preserve"> sections to 2/0 ACSR in 2012.</w:t>
      </w:r>
    </w:p>
    <w:p w:rsidR="003215B5" w:rsidRDefault="003215B5" w:rsidP="00996F5A">
      <w:pPr>
        <w:numPr>
          <w:ilvl w:val="0"/>
          <w:numId w:val="30"/>
        </w:numPr>
      </w:pPr>
      <w:r>
        <w:t>A recloser is budgeted to be installed in 2013/2014 that will allow for better sectionalizing between the northern and southern sections of the feeder during outage events.</w:t>
      </w:r>
    </w:p>
    <w:p w:rsidR="00BA2C8F" w:rsidRDefault="00BA2C8F" w:rsidP="00BA2C8F"/>
    <w:p w:rsidR="00BA2C8F" w:rsidRPr="00050F48" w:rsidRDefault="00BA2C8F" w:rsidP="00BA2C8F">
      <w:r w:rsidRPr="00050F48">
        <w:t>Gifford 34F2</w:t>
      </w:r>
    </w:p>
    <w:p w:rsidR="00BA2C8F" w:rsidRPr="00240659" w:rsidRDefault="00BA2C8F" w:rsidP="00BA2C8F">
      <w:pPr>
        <w:pStyle w:val="ListParagraph"/>
        <w:numPr>
          <w:ilvl w:val="0"/>
          <w:numId w:val="33"/>
        </w:numPr>
        <w:contextualSpacing w:val="0"/>
      </w:pPr>
      <w:r>
        <w:t xml:space="preserve">Due to Cultural review issues on some of the Tribal lands only 3,000 feet was replaced in 2010. </w:t>
      </w:r>
      <w:r w:rsidR="00EB78F2" w:rsidRPr="00240659">
        <w:t>Continued work and negotiations for the remaining 5,000 feet</w:t>
      </w:r>
      <w:r w:rsidR="00240659" w:rsidRPr="00240659">
        <w:t xml:space="preserve"> occurred in 2011</w:t>
      </w:r>
      <w:r w:rsidR="003215B5">
        <w:t>.</w:t>
      </w:r>
      <w:r w:rsidR="00240659" w:rsidRPr="00240659">
        <w:t xml:space="preserve"> </w:t>
      </w:r>
      <w:r w:rsidR="003215B5">
        <w:t>F</w:t>
      </w:r>
      <w:r w:rsidR="00240659" w:rsidRPr="00240659">
        <w:t xml:space="preserve">inal work </w:t>
      </w:r>
      <w:r w:rsidR="003215B5">
        <w:t xml:space="preserve">was </w:t>
      </w:r>
      <w:r w:rsidR="00240659" w:rsidRPr="00240659">
        <w:t>completed</w:t>
      </w:r>
      <w:r w:rsidR="00EB78F2" w:rsidRPr="00240659">
        <w:t xml:space="preserve"> in 201</w:t>
      </w:r>
      <w:r w:rsidR="00240659" w:rsidRPr="00240659">
        <w:t>2</w:t>
      </w:r>
      <w:r w:rsidR="00EB78F2" w:rsidRPr="00240659">
        <w:t>.</w:t>
      </w:r>
    </w:p>
    <w:p w:rsidR="000C028A" w:rsidRPr="00050F48" w:rsidRDefault="000C028A" w:rsidP="00BA2C8F">
      <w:pPr>
        <w:pStyle w:val="ListParagraph"/>
        <w:numPr>
          <w:ilvl w:val="0"/>
          <w:numId w:val="33"/>
        </w:numPr>
        <w:contextualSpacing w:val="0"/>
      </w:pPr>
      <w:r>
        <w:t xml:space="preserve">Vegetation Management work planned for 2012 was re-prioritized to 2011 after circuit assessment showed a large number of dead or dying trees within radius of contact of our lines.  Line clearance crews trimmed 651 trees and removed 867 trees in 2011.  No </w:t>
      </w:r>
      <w:r w:rsidR="003215B5">
        <w:t xml:space="preserve">additional </w:t>
      </w:r>
      <w:r>
        <w:t>work is planned for 201</w:t>
      </w:r>
      <w:r w:rsidR="003215B5">
        <w:t>3</w:t>
      </w:r>
      <w:r>
        <w:t>.</w:t>
      </w:r>
    </w:p>
    <w:p w:rsidR="00050F48" w:rsidRPr="00050F48" w:rsidRDefault="00050F48" w:rsidP="00050F48"/>
    <w:p w:rsidR="00050F48" w:rsidRPr="00050F48" w:rsidRDefault="00050F48" w:rsidP="00050F48">
      <w:r w:rsidRPr="00050F48">
        <w:t>Colville 34F1</w:t>
      </w:r>
    </w:p>
    <w:p w:rsidR="000C028A" w:rsidRDefault="000C028A" w:rsidP="000C028A">
      <w:pPr>
        <w:pStyle w:val="ListParagraph"/>
        <w:numPr>
          <w:ilvl w:val="0"/>
          <w:numId w:val="31"/>
        </w:numPr>
        <w:contextualSpacing w:val="0"/>
      </w:pPr>
      <w:r>
        <w:t>Vegetation Management crews were called to trim 3 trees and remove 59 trees as “unplanned” work on this circuit in 2011.  A fall 2011 assessment of this circuit showed a significantly high mortality rate of trees within radius of contact of these lines.  A line clearance crew began Risk Tree mitigation work on this circuit in February, 2012.</w:t>
      </w:r>
    </w:p>
    <w:p w:rsidR="0041461F" w:rsidRDefault="0041461F" w:rsidP="00050F48">
      <w:pPr>
        <w:pStyle w:val="ListParagraph"/>
        <w:numPr>
          <w:ilvl w:val="0"/>
          <w:numId w:val="31"/>
        </w:numPr>
        <w:contextualSpacing w:val="0"/>
      </w:pPr>
      <w:r>
        <w:t xml:space="preserve">$100k </w:t>
      </w:r>
      <w:r w:rsidR="007F1C4E">
        <w:t xml:space="preserve">was </w:t>
      </w:r>
      <w:r>
        <w:t>budgeted in 2011 to replace outage prone overhead sections with URD cable.</w:t>
      </w:r>
    </w:p>
    <w:p w:rsidR="0041461F" w:rsidRDefault="0041461F" w:rsidP="00050F48">
      <w:pPr>
        <w:pStyle w:val="ListParagraph"/>
        <w:numPr>
          <w:ilvl w:val="0"/>
          <w:numId w:val="31"/>
        </w:numPr>
        <w:contextualSpacing w:val="0"/>
      </w:pPr>
      <w:r>
        <w:t xml:space="preserve">$62k </w:t>
      </w:r>
      <w:r w:rsidR="007F1C4E">
        <w:t xml:space="preserve">was </w:t>
      </w:r>
      <w:r>
        <w:t xml:space="preserve">budgeted to install </w:t>
      </w:r>
      <w:r w:rsidR="000C028A">
        <w:t>w</w:t>
      </w:r>
      <w:r>
        <w:t xml:space="preserve">ild </w:t>
      </w:r>
      <w:r w:rsidR="000C028A">
        <w:t>l</w:t>
      </w:r>
      <w:r>
        <w:t xml:space="preserve">ife </w:t>
      </w:r>
      <w:r w:rsidR="000C028A">
        <w:t>g</w:t>
      </w:r>
      <w:r>
        <w:t>uards in 2011.</w:t>
      </w:r>
      <w:r w:rsidR="000C028A" w:rsidRPr="00673BD2">
        <w:t xml:space="preserve">  Approximately 65% of the CLV12F1 feeder was completed in 2011. </w:t>
      </w:r>
      <w:r w:rsidR="000C028A">
        <w:t xml:space="preserve">Remaining work </w:t>
      </w:r>
      <w:r w:rsidR="003215B5">
        <w:t>was completed in</w:t>
      </w:r>
      <w:r w:rsidR="000C028A">
        <w:t xml:space="preserve"> 2012.</w:t>
      </w:r>
      <w:r w:rsidR="000C028A" w:rsidRPr="00673BD2">
        <w:t xml:space="preserve"> </w:t>
      </w:r>
    </w:p>
    <w:p w:rsidR="003215B5" w:rsidRDefault="003215B5" w:rsidP="00050F48">
      <w:pPr>
        <w:pStyle w:val="ListParagraph"/>
        <w:numPr>
          <w:ilvl w:val="0"/>
          <w:numId w:val="31"/>
        </w:numPr>
        <w:contextualSpacing w:val="0"/>
      </w:pPr>
      <w:r>
        <w:t>$250k is budgeted in 2013to replace overhead line sections with URD cable to reduce tree exposure.</w:t>
      </w:r>
    </w:p>
    <w:p w:rsidR="003215B5" w:rsidRPr="00050F48" w:rsidRDefault="003215B5" w:rsidP="00050F48">
      <w:pPr>
        <w:pStyle w:val="ListParagraph"/>
        <w:numPr>
          <w:ilvl w:val="0"/>
          <w:numId w:val="31"/>
        </w:numPr>
        <w:contextualSpacing w:val="0"/>
      </w:pPr>
      <w:r>
        <w:t xml:space="preserve">$50k is budgeted in 2013 to install a recloser to allow for better outage sectionalizing. </w:t>
      </w:r>
    </w:p>
    <w:p w:rsidR="00050F48" w:rsidRPr="00050F48" w:rsidRDefault="00050F48" w:rsidP="00050F48"/>
    <w:p w:rsidR="00050F48" w:rsidRPr="00050F48" w:rsidRDefault="003215B5" w:rsidP="00050F48">
      <w:r>
        <w:t>Spirit 12F1</w:t>
      </w:r>
    </w:p>
    <w:p w:rsidR="000B1272" w:rsidRDefault="003215B5" w:rsidP="000B1272">
      <w:pPr>
        <w:pStyle w:val="ListParagraph"/>
        <w:numPr>
          <w:ilvl w:val="0"/>
          <w:numId w:val="32"/>
        </w:numPr>
        <w:contextualSpacing w:val="0"/>
      </w:pPr>
      <w:r>
        <w:t>Feeder is scheduled to be part of the feeder upgrade program for 2013/2014.</w:t>
      </w:r>
    </w:p>
    <w:p w:rsidR="004C349E" w:rsidRDefault="004C349E" w:rsidP="004C349E"/>
    <w:p w:rsidR="004C349E" w:rsidRDefault="004C349E" w:rsidP="004C349E">
      <w:r>
        <w:t>Valley 12F1</w:t>
      </w:r>
    </w:p>
    <w:p w:rsidR="004C349E" w:rsidRDefault="004C349E" w:rsidP="004C349E">
      <w:pPr>
        <w:pStyle w:val="ListParagraph"/>
        <w:numPr>
          <w:ilvl w:val="0"/>
          <w:numId w:val="32"/>
        </w:numPr>
      </w:pPr>
      <w:r>
        <w:t>No work scheduled for 2013.</w:t>
      </w:r>
    </w:p>
    <w:p w:rsidR="000B1272" w:rsidRDefault="000B1272">
      <w:r>
        <w:br w:type="page"/>
      </w:r>
    </w:p>
    <w:p w:rsidR="00155ABE" w:rsidRPr="00FD177C" w:rsidRDefault="00473AE9" w:rsidP="008774F9">
      <w:pPr>
        <w:pStyle w:val="Heading4"/>
      </w:pPr>
      <w:bookmarkStart w:id="146" w:name="_Toc354493004"/>
      <w:r>
        <w:t>Table 4</w:t>
      </w:r>
      <w:r w:rsidR="001F6138">
        <w:t xml:space="preserve">.1 - </w:t>
      </w:r>
      <w:r w:rsidR="00BA2C8F" w:rsidRPr="00FD177C">
        <w:t>Colville Area Major Reliability Projects by Feeder</w:t>
      </w:r>
      <w:bookmarkEnd w:id="146"/>
    </w:p>
    <w:p w:rsidR="00BA2C8F" w:rsidRDefault="00BA2C8F" w:rsidP="008774F9">
      <w:pPr>
        <w:pStyle w:val="Heading4"/>
      </w:pPr>
    </w:p>
    <w:tbl>
      <w:tblPr>
        <w:tblStyle w:val="TableGrid"/>
        <w:tblW w:w="0" w:type="auto"/>
        <w:tblLook w:val="01E0"/>
      </w:tblPr>
      <w:tblGrid>
        <w:gridCol w:w="1818"/>
        <w:gridCol w:w="3960"/>
        <w:gridCol w:w="2250"/>
        <w:gridCol w:w="2250"/>
      </w:tblGrid>
      <w:tr w:rsidR="00AC2CFD" w:rsidTr="007F1C4E">
        <w:tc>
          <w:tcPr>
            <w:tcW w:w="1818" w:type="dxa"/>
          </w:tcPr>
          <w:p w:rsidR="00AC2CFD" w:rsidRPr="00FD177C" w:rsidRDefault="00AC2CFD" w:rsidP="0011345B">
            <w:pPr>
              <w:rPr>
                <w:b/>
              </w:rPr>
            </w:pPr>
            <w:r w:rsidRPr="00FD177C">
              <w:rPr>
                <w:b/>
              </w:rPr>
              <w:t>Feeder</w:t>
            </w:r>
          </w:p>
        </w:tc>
        <w:tc>
          <w:tcPr>
            <w:tcW w:w="3960" w:type="dxa"/>
          </w:tcPr>
          <w:p w:rsidR="00AC2CFD" w:rsidRPr="00FD177C" w:rsidRDefault="00AC2CFD" w:rsidP="00DF7A71">
            <w:pPr>
              <w:rPr>
                <w:b/>
              </w:rPr>
            </w:pPr>
            <w:r w:rsidRPr="00FD177C">
              <w:rPr>
                <w:b/>
              </w:rPr>
              <w:t>Decisions/ basis</w:t>
            </w:r>
          </w:p>
        </w:tc>
        <w:tc>
          <w:tcPr>
            <w:tcW w:w="2250" w:type="dxa"/>
          </w:tcPr>
          <w:p w:rsidR="00AC2CFD" w:rsidRPr="00FD177C" w:rsidRDefault="00AC2CFD" w:rsidP="004C349E">
            <w:pPr>
              <w:rPr>
                <w:b/>
              </w:rPr>
            </w:pPr>
            <w:r w:rsidRPr="00FD177C">
              <w:rPr>
                <w:b/>
              </w:rPr>
              <w:t>20</w:t>
            </w:r>
            <w:r w:rsidR="000C2B19" w:rsidRPr="00FD177C">
              <w:rPr>
                <w:b/>
              </w:rPr>
              <w:t>1</w:t>
            </w:r>
            <w:r w:rsidR="004C349E">
              <w:rPr>
                <w:b/>
              </w:rPr>
              <w:t>3</w:t>
            </w:r>
          </w:p>
        </w:tc>
        <w:tc>
          <w:tcPr>
            <w:tcW w:w="2250" w:type="dxa"/>
          </w:tcPr>
          <w:p w:rsidR="00AC2CFD" w:rsidRPr="00FD177C" w:rsidRDefault="00AC2CFD" w:rsidP="004C349E">
            <w:pPr>
              <w:rPr>
                <w:b/>
              </w:rPr>
            </w:pPr>
            <w:r w:rsidRPr="00FD177C">
              <w:rPr>
                <w:b/>
              </w:rPr>
              <w:t>20</w:t>
            </w:r>
            <w:r w:rsidR="009508E5" w:rsidRPr="00FD177C">
              <w:rPr>
                <w:b/>
              </w:rPr>
              <w:t>1</w:t>
            </w:r>
            <w:r w:rsidR="004C349E">
              <w:rPr>
                <w:b/>
              </w:rPr>
              <w:t>4</w:t>
            </w:r>
            <w:r w:rsidR="00FD177C">
              <w:rPr>
                <w:b/>
              </w:rPr>
              <w:t xml:space="preserve"> and B</w:t>
            </w:r>
            <w:r w:rsidRPr="00FD177C">
              <w:rPr>
                <w:b/>
              </w:rPr>
              <w:t>eyond</w:t>
            </w:r>
          </w:p>
        </w:tc>
      </w:tr>
      <w:tr w:rsidR="00413BFD" w:rsidTr="007F1C4E">
        <w:tc>
          <w:tcPr>
            <w:tcW w:w="1818" w:type="dxa"/>
          </w:tcPr>
          <w:p w:rsidR="00413BFD" w:rsidRDefault="00413BFD" w:rsidP="00545189">
            <w:r>
              <w:t>Gifford 34F1</w:t>
            </w:r>
          </w:p>
        </w:tc>
        <w:tc>
          <w:tcPr>
            <w:tcW w:w="3960" w:type="dxa"/>
          </w:tcPr>
          <w:p w:rsidR="00413BFD" w:rsidRDefault="00413BFD" w:rsidP="00545189">
            <w:r>
              <w:t>Reliability improvements</w:t>
            </w:r>
          </w:p>
        </w:tc>
        <w:tc>
          <w:tcPr>
            <w:tcW w:w="2250" w:type="dxa"/>
          </w:tcPr>
          <w:p w:rsidR="00413BFD" w:rsidRDefault="004C349E" w:rsidP="004C349E">
            <w:r>
              <w:t>Reconfigure to install recloser</w:t>
            </w:r>
          </w:p>
        </w:tc>
        <w:tc>
          <w:tcPr>
            <w:tcW w:w="2250" w:type="dxa"/>
          </w:tcPr>
          <w:p w:rsidR="00413BFD" w:rsidRDefault="007F1C4E" w:rsidP="00545189">
            <w:r>
              <w:t>No work planned in the next 5 years.</w:t>
            </w:r>
          </w:p>
        </w:tc>
      </w:tr>
      <w:tr w:rsidR="00413BFD" w:rsidTr="007F1C4E">
        <w:tc>
          <w:tcPr>
            <w:tcW w:w="1818" w:type="dxa"/>
          </w:tcPr>
          <w:p w:rsidR="00413BFD" w:rsidRDefault="00413BFD" w:rsidP="0011345B">
            <w:r>
              <w:t>Gifford 34F2</w:t>
            </w:r>
          </w:p>
        </w:tc>
        <w:tc>
          <w:tcPr>
            <w:tcW w:w="3960" w:type="dxa"/>
          </w:tcPr>
          <w:p w:rsidR="00413BFD" w:rsidRDefault="00413BFD" w:rsidP="0011345B">
            <w:r>
              <w:t>Reliability improvements</w:t>
            </w:r>
          </w:p>
        </w:tc>
        <w:tc>
          <w:tcPr>
            <w:tcW w:w="2250" w:type="dxa"/>
          </w:tcPr>
          <w:p w:rsidR="00413BFD" w:rsidRDefault="004C349E" w:rsidP="004C349E">
            <w:r>
              <w:t>No work planned</w:t>
            </w:r>
          </w:p>
        </w:tc>
        <w:tc>
          <w:tcPr>
            <w:tcW w:w="2250" w:type="dxa"/>
          </w:tcPr>
          <w:p w:rsidR="00413BFD" w:rsidRDefault="007F1C4E" w:rsidP="0011345B">
            <w:r>
              <w:t>No work planned in the next 5 years.</w:t>
            </w:r>
          </w:p>
        </w:tc>
      </w:tr>
      <w:tr w:rsidR="00413BFD" w:rsidTr="007F1C4E">
        <w:tc>
          <w:tcPr>
            <w:tcW w:w="1818" w:type="dxa"/>
          </w:tcPr>
          <w:p w:rsidR="00413BFD" w:rsidRDefault="00413BFD" w:rsidP="00545189">
            <w:r>
              <w:t>Colville 34F1</w:t>
            </w:r>
          </w:p>
        </w:tc>
        <w:tc>
          <w:tcPr>
            <w:tcW w:w="3960" w:type="dxa"/>
          </w:tcPr>
          <w:p w:rsidR="00413BFD" w:rsidRDefault="00413BFD" w:rsidP="00545189">
            <w:r>
              <w:t>Reliability improvements</w:t>
            </w:r>
          </w:p>
        </w:tc>
        <w:tc>
          <w:tcPr>
            <w:tcW w:w="2250" w:type="dxa"/>
          </w:tcPr>
          <w:p w:rsidR="00413BFD" w:rsidRDefault="004C349E" w:rsidP="00545189">
            <w:r>
              <w:t>Underground Cable conversion, install recloser</w:t>
            </w:r>
          </w:p>
        </w:tc>
        <w:tc>
          <w:tcPr>
            <w:tcW w:w="2250" w:type="dxa"/>
          </w:tcPr>
          <w:p w:rsidR="00413BFD" w:rsidRDefault="007F1C4E" w:rsidP="00545189">
            <w:r>
              <w:t>No work planned in the next 5 years.</w:t>
            </w:r>
          </w:p>
        </w:tc>
      </w:tr>
      <w:tr w:rsidR="00FD177C" w:rsidTr="007F1C4E">
        <w:tc>
          <w:tcPr>
            <w:tcW w:w="1818" w:type="dxa"/>
          </w:tcPr>
          <w:p w:rsidR="00FD177C" w:rsidRDefault="00FD177C" w:rsidP="0011345B">
            <w:r>
              <w:t>SPI12F1</w:t>
            </w:r>
          </w:p>
        </w:tc>
        <w:tc>
          <w:tcPr>
            <w:tcW w:w="3960" w:type="dxa"/>
          </w:tcPr>
          <w:p w:rsidR="00FD177C" w:rsidRDefault="004C349E" w:rsidP="00413BFD">
            <w:r>
              <w:t>Reliability Improvements</w:t>
            </w:r>
          </w:p>
        </w:tc>
        <w:tc>
          <w:tcPr>
            <w:tcW w:w="2250" w:type="dxa"/>
          </w:tcPr>
          <w:p w:rsidR="00FD177C" w:rsidRDefault="004C349E" w:rsidP="0011345B">
            <w:r>
              <w:t>Feeder Upgrade Program Feeder</w:t>
            </w:r>
          </w:p>
        </w:tc>
        <w:tc>
          <w:tcPr>
            <w:tcW w:w="2250" w:type="dxa"/>
          </w:tcPr>
          <w:p w:rsidR="00FD177C" w:rsidRDefault="004C349E" w:rsidP="0011345B">
            <w:r>
              <w:t>Finish feeder upgrade in 2014</w:t>
            </w:r>
          </w:p>
        </w:tc>
      </w:tr>
      <w:tr w:rsidR="00FD177C" w:rsidTr="007F1C4E">
        <w:tc>
          <w:tcPr>
            <w:tcW w:w="1818" w:type="dxa"/>
          </w:tcPr>
          <w:p w:rsidR="00FD177C" w:rsidRDefault="004C349E" w:rsidP="0011345B">
            <w:r>
              <w:t>Valley</w:t>
            </w:r>
            <w:r w:rsidR="00FD177C">
              <w:t xml:space="preserve"> 12F1</w:t>
            </w:r>
          </w:p>
        </w:tc>
        <w:tc>
          <w:tcPr>
            <w:tcW w:w="3960" w:type="dxa"/>
          </w:tcPr>
          <w:p w:rsidR="00FD177C" w:rsidRDefault="00FD177C" w:rsidP="005C4EC7">
            <w:r>
              <w:t>Reliability Improvements</w:t>
            </w:r>
          </w:p>
        </w:tc>
        <w:tc>
          <w:tcPr>
            <w:tcW w:w="2250" w:type="dxa"/>
          </w:tcPr>
          <w:p w:rsidR="00FD177C" w:rsidRDefault="007F1C4E" w:rsidP="0011345B">
            <w:r>
              <w:t>No work planned.</w:t>
            </w:r>
          </w:p>
        </w:tc>
        <w:tc>
          <w:tcPr>
            <w:tcW w:w="2250" w:type="dxa"/>
          </w:tcPr>
          <w:p w:rsidR="00FD177C" w:rsidRDefault="004C349E" w:rsidP="0011345B">
            <w:r>
              <w:t>No work planned in the next 5 years.</w:t>
            </w:r>
          </w:p>
        </w:tc>
      </w:tr>
    </w:tbl>
    <w:p w:rsidR="00AC2CFD" w:rsidRDefault="00AC2CFD" w:rsidP="00AC2CFD"/>
    <w:p w:rsidR="007F3BE9" w:rsidRDefault="007F3BE9" w:rsidP="00AC2CFD"/>
    <w:p w:rsidR="00BA2C8F" w:rsidRDefault="001F6138" w:rsidP="008708C0">
      <w:pPr>
        <w:pStyle w:val="Heading4"/>
      </w:pPr>
      <w:bookmarkStart w:id="147" w:name="_Toc354493005"/>
      <w:r>
        <w:t xml:space="preserve">Table </w:t>
      </w:r>
      <w:r w:rsidR="00473AE9">
        <w:t>4</w:t>
      </w:r>
      <w:r>
        <w:t xml:space="preserve">.2 - </w:t>
      </w:r>
      <w:r w:rsidR="008D2F9E">
        <w:t>Colville Area Historical</w:t>
      </w:r>
      <w:r>
        <w:t xml:space="preserve"> &amp; Proposed Future</w:t>
      </w:r>
      <w:r w:rsidR="00FD177C" w:rsidRPr="00FD177C">
        <w:t xml:space="preserve"> Reliability Projects by Feeder</w:t>
      </w:r>
      <w:bookmarkEnd w:id="147"/>
    </w:p>
    <w:p w:rsidR="00FD177C" w:rsidRPr="00FD177C" w:rsidRDefault="00FD177C" w:rsidP="00FD177C">
      <w:pPr>
        <w:rPr>
          <w:b/>
        </w:rPr>
      </w:pPr>
    </w:p>
    <w:tbl>
      <w:tblPr>
        <w:tblW w:w="11499" w:type="dxa"/>
        <w:jc w:val="center"/>
        <w:tblInd w:w="-565" w:type="dxa"/>
        <w:tblLayout w:type="fixed"/>
        <w:tblLook w:val="04A0"/>
      </w:tblPr>
      <w:tblGrid>
        <w:gridCol w:w="1216"/>
        <w:gridCol w:w="1080"/>
        <w:gridCol w:w="1904"/>
        <w:gridCol w:w="1727"/>
        <w:gridCol w:w="1584"/>
        <w:gridCol w:w="928"/>
        <w:gridCol w:w="1199"/>
        <w:gridCol w:w="1861"/>
      </w:tblGrid>
      <w:tr w:rsidR="0046431A" w:rsidTr="0046431A">
        <w:trPr>
          <w:trHeight w:val="1115"/>
          <w:jc w:val="center"/>
        </w:trPr>
        <w:tc>
          <w:tcPr>
            <w:tcW w:w="1216" w:type="dxa"/>
            <w:tcBorders>
              <w:top w:val="single" w:sz="4" w:space="0" w:color="auto"/>
              <w:left w:val="single" w:sz="4" w:space="0" w:color="auto"/>
              <w:bottom w:val="single" w:sz="4" w:space="0" w:color="auto"/>
              <w:right w:val="single" w:sz="4" w:space="0" w:color="auto"/>
            </w:tcBorders>
            <w:vAlign w:val="bottom"/>
            <w:hideMark/>
          </w:tcPr>
          <w:p w:rsidR="0046431A" w:rsidRDefault="0046431A" w:rsidP="0046431A">
            <w:pPr>
              <w:jc w:val="center"/>
              <w:rPr>
                <w:b/>
                <w:bCs/>
                <w:color w:val="000000"/>
              </w:rPr>
            </w:pPr>
            <w:bookmarkStart w:id="148" w:name="_Toc227571593"/>
          </w:p>
          <w:p w:rsidR="0046431A" w:rsidRDefault="0046431A" w:rsidP="0046431A">
            <w:pPr>
              <w:jc w:val="center"/>
              <w:rPr>
                <w:b/>
                <w:bCs/>
                <w:color w:val="000000"/>
                <w:sz w:val="22"/>
                <w:szCs w:val="22"/>
              </w:rPr>
            </w:pPr>
            <w:r>
              <w:rPr>
                <w:b/>
                <w:bCs/>
                <w:color w:val="000000"/>
              </w:rPr>
              <w:t>Feeder Name</w:t>
            </w:r>
          </w:p>
        </w:tc>
        <w:tc>
          <w:tcPr>
            <w:tcW w:w="1080" w:type="dxa"/>
            <w:tcBorders>
              <w:top w:val="single" w:sz="4" w:space="0" w:color="auto"/>
              <w:left w:val="single" w:sz="4" w:space="0" w:color="auto"/>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Last WPM Insp.</w:t>
            </w:r>
          </w:p>
        </w:tc>
        <w:tc>
          <w:tcPr>
            <w:tcW w:w="1904" w:type="dxa"/>
            <w:tcBorders>
              <w:top w:val="single" w:sz="4" w:space="0" w:color="auto"/>
              <w:left w:val="single" w:sz="4" w:space="0" w:color="auto"/>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Proposed WPM Inspection</w:t>
            </w:r>
          </w:p>
        </w:tc>
        <w:tc>
          <w:tcPr>
            <w:tcW w:w="1727" w:type="dxa"/>
            <w:tcBorders>
              <w:top w:val="single" w:sz="4" w:space="0" w:color="auto"/>
              <w:left w:val="single" w:sz="4" w:space="0" w:color="auto"/>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Proposed WPM Follow-up</w:t>
            </w:r>
          </w:p>
        </w:tc>
        <w:tc>
          <w:tcPr>
            <w:tcW w:w="1584" w:type="dxa"/>
            <w:tcBorders>
              <w:top w:val="single" w:sz="4" w:space="0" w:color="auto"/>
              <w:left w:val="single" w:sz="4" w:space="0" w:color="auto"/>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Transformer Change-outs</w:t>
            </w:r>
          </w:p>
        </w:tc>
        <w:tc>
          <w:tcPr>
            <w:tcW w:w="928" w:type="dxa"/>
            <w:tcBorders>
              <w:top w:val="single" w:sz="4" w:space="0" w:color="auto"/>
              <w:left w:val="nil"/>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Last Veg. Mgmt.</w:t>
            </w:r>
          </w:p>
        </w:tc>
        <w:tc>
          <w:tcPr>
            <w:tcW w:w="1199" w:type="dxa"/>
            <w:tcBorders>
              <w:top w:val="single" w:sz="4" w:space="0" w:color="auto"/>
              <w:left w:val="nil"/>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Veg. Mgmt. Proposed Year</w:t>
            </w:r>
          </w:p>
        </w:tc>
        <w:tc>
          <w:tcPr>
            <w:tcW w:w="1861" w:type="dxa"/>
            <w:tcBorders>
              <w:top w:val="single" w:sz="4" w:space="0" w:color="auto"/>
              <w:left w:val="nil"/>
              <w:bottom w:val="single" w:sz="4" w:space="0" w:color="auto"/>
              <w:right w:val="single" w:sz="4" w:space="0" w:color="auto"/>
            </w:tcBorders>
            <w:vAlign w:val="bottom"/>
            <w:hideMark/>
          </w:tcPr>
          <w:p w:rsidR="0046431A" w:rsidRDefault="0046431A" w:rsidP="0046431A">
            <w:pPr>
              <w:jc w:val="center"/>
              <w:rPr>
                <w:b/>
                <w:bCs/>
                <w:color w:val="000000"/>
                <w:sz w:val="22"/>
                <w:szCs w:val="22"/>
              </w:rPr>
            </w:pPr>
            <w:r>
              <w:rPr>
                <w:b/>
                <w:bCs/>
                <w:color w:val="000000"/>
              </w:rPr>
              <w:t>Wildlife Guards Proposed Year</w:t>
            </w:r>
          </w:p>
        </w:tc>
      </w:tr>
      <w:tr w:rsidR="0046431A" w:rsidTr="0046431A">
        <w:trPr>
          <w:trHeight w:val="285"/>
          <w:jc w:val="center"/>
        </w:trPr>
        <w:tc>
          <w:tcPr>
            <w:tcW w:w="1216"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GIF34F1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2011-2014</w:t>
            </w:r>
          </w:p>
        </w:tc>
        <w:tc>
          <w:tcPr>
            <w:tcW w:w="1904" w:type="dxa"/>
            <w:tcBorders>
              <w:top w:val="single" w:sz="4" w:space="0" w:color="auto"/>
              <w:left w:val="single" w:sz="4" w:space="0" w:color="auto"/>
              <w:bottom w:val="single" w:sz="4" w:space="0" w:color="auto"/>
              <w:right w:val="single" w:sz="4" w:space="0" w:color="auto"/>
            </w:tcBorders>
            <w:vAlign w:val="center"/>
            <w:hideMark/>
          </w:tcPr>
          <w:p w:rsidR="0046431A" w:rsidRDefault="0046431A" w:rsidP="0046431A">
            <w:pPr>
              <w:rPr>
                <w:szCs w:val="24"/>
              </w:rPr>
            </w:pPr>
            <w:r>
              <w:rPr>
                <w:szCs w:val="24"/>
              </w:rPr>
              <w:t>25% per year for 4 yrs</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25% was completed in 2012/</w:t>
            </w:r>
          </w:p>
          <w:p w:rsidR="0046431A" w:rsidRDefault="0046431A" w:rsidP="0046431A">
            <w:pPr>
              <w:rPr>
                <w:szCs w:val="24"/>
              </w:rPr>
            </w:pPr>
            <w:r>
              <w:rPr>
                <w:szCs w:val="24"/>
              </w:rPr>
              <w:t>25% in 2013</w:t>
            </w:r>
          </w:p>
          <w:p w:rsidR="0046431A" w:rsidRDefault="0046431A" w:rsidP="0046431A">
            <w:pPr>
              <w:rPr>
                <w:rFonts w:ascii="Calibri" w:hAnsi="Calibri"/>
                <w:szCs w:val="24"/>
              </w:rPr>
            </w:pPr>
            <w:r>
              <w:rPr>
                <w:rFonts w:ascii="Calibri" w:hAnsi="Calibri"/>
                <w:szCs w:val="24"/>
              </w:rPr>
              <w:t>25% IN 2014</w:t>
            </w:r>
          </w:p>
          <w:p w:rsidR="0046431A" w:rsidRDefault="0046431A" w:rsidP="0046431A">
            <w:pPr>
              <w:rPr>
                <w:rFonts w:ascii="Calibri" w:hAnsi="Calibri"/>
                <w:szCs w:val="24"/>
              </w:rPr>
            </w:pPr>
            <w:r>
              <w:rPr>
                <w:rFonts w:ascii="Calibri" w:hAnsi="Calibri"/>
                <w:szCs w:val="24"/>
              </w:rPr>
              <w:t>25% IN 2015</w:t>
            </w:r>
          </w:p>
        </w:tc>
        <w:tc>
          <w:tcPr>
            <w:tcW w:w="1584" w:type="dxa"/>
            <w:tcBorders>
              <w:top w:val="nil"/>
              <w:left w:val="single" w:sz="4" w:space="0" w:color="auto"/>
              <w:bottom w:val="single" w:sz="4" w:space="0" w:color="auto"/>
              <w:right w:val="single" w:sz="4" w:space="0" w:color="auto"/>
            </w:tcBorders>
            <w:noWrap/>
            <w:vAlign w:val="center"/>
            <w:hideMark/>
          </w:tcPr>
          <w:p w:rsidR="0046431A" w:rsidRPr="0046431A" w:rsidRDefault="0046431A" w:rsidP="0046431A">
            <w:pPr>
              <w:rPr>
                <w:rFonts w:ascii="Calibri" w:hAnsi="Calibri"/>
                <w:szCs w:val="24"/>
              </w:rPr>
            </w:pPr>
            <w:r w:rsidRPr="0046431A">
              <w:rPr>
                <w:rFonts w:ascii="Calibri" w:hAnsi="Calibri"/>
                <w:szCs w:val="24"/>
              </w:rPr>
              <w:t>18 in 2014</w:t>
            </w:r>
          </w:p>
        </w:tc>
        <w:tc>
          <w:tcPr>
            <w:tcW w:w="928"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2009</w:t>
            </w:r>
          </w:p>
        </w:tc>
        <w:tc>
          <w:tcPr>
            <w:tcW w:w="1199"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2015</w:t>
            </w:r>
          </w:p>
        </w:tc>
        <w:tc>
          <w:tcPr>
            <w:tcW w:w="1861"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Last 2011</w:t>
            </w:r>
          </w:p>
          <w:p w:rsidR="0046431A" w:rsidRDefault="0046431A" w:rsidP="0046431A">
            <w:pPr>
              <w:rPr>
                <w:szCs w:val="24"/>
              </w:rPr>
            </w:pPr>
            <w:r>
              <w:rPr>
                <w:szCs w:val="24"/>
              </w:rPr>
              <w:t>N/A on Proposed</w:t>
            </w:r>
          </w:p>
        </w:tc>
      </w:tr>
      <w:tr w:rsidR="0046431A" w:rsidTr="0046431A">
        <w:trPr>
          <w:trHeight w:val="285"/>
          <w:jc w:val="center"/>
        </w:trPr>
        <w:tc>
          <w:tcPr>
            <w:tcW w:w="1216"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GIF34F2</w:t>
            </w:r>
          </w:p>
        </w:tc>
        <w:tc>
          <w:tcPr>
            <w:tcW w:w="1080"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1995</w:t>
            </w:r>
          </w:p>
        </w:tc>
        <w:tc>
          <w:tcPr>
            <w:tcW w:w="1904" w:type="dxa"/>
            <w:tcBorders>
              <w:top w:val="single" w:sz="4" w:space="0" w:color="auto"/>
              <w:left w:val="single" w:sz="4" w:space="0" w:color="auto"/>
              <w:bottom w:val="single" w:sz="4" w:space="0" w:color="auto"/>
              <w:right w:val="single" w:sz="4" w:space="0" w:color="auto"/>
            </w:tcBorders>
            <w:vAlign w:val="center"/>
          </w:tcPr>
          <w:p w:rsidR="0046431A" w:rsidRDefault="0046431A" w:rsidP="0046431A">
            <w:pPr>
              <w:rPr>
                <w:szCs w:val="24"/>
              </w:rPr>
            </w:pPr>
          </w:p>
          <w:p w:rsidR="0046431A" w:rsidRDefault="0046431A" w:rsidP="0046431A">
            <w:pPr>
              <w:rPr>
                <w:rFonts w:ascii="Calibri" w:hAnsi="Calibri"/>
                <w:szCs w:val="24"/>
              </w:rPr>
            </w:pPr>
          </w:p>
          <w:p w:rsidR="0046431A" w:rsidRDefault="0046431A" w:rsidP="0046431A">
            <w:pPr>
              <w:rPr>
                <w:rFonts w:ascii="Calibri" w:hAnsi="Calibri"/>
                <w:szCs w:val="24"/>
              </w:rPr>
            </w:pPr>
            <w:r>
              <w:rPr>
                <w:rFonts w:ascii="Calibri" w:hAnsi="Calibri"/>
                <w:szCs w:val="24"/>
              </w:rPr>
              <w:t>Past 2018 Plan AM will need to project</w:t>
            </w:r>
          </w:p>
          <w:p w:rsidR="0046431A" w:rsidRDefault="0046431A" w:rsidP="0046431A">
            <w:pPr>
              <w:rPr>
                <w:rFonts w:ascii="Calibri" w:hAnsi="Calibri"/>
                <w:szCs w:val="24"/>
              </w:rPr>
            </w:pP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46431A" w:rsidRDefault="00674DC9" w:rsidP="0046431A">
            <w:pPr>
              <w:rPr>
                <w:szCs w:val="24"/>
              </w:rPr>
            </w:pPr>
            <w:r>
              <w:rPr>
                <w:szCs w:val="24"/>
              </w:rPr>
              <w:t>N/A</w:t>
            </w:r>
          </w:p>
        </w:tc>
        <w:tc>
          <w:tcPr>
            <w:tcW w:w="1584" w:type="dxa"/>
            <w:tcBorders>
              <w:top w:val="nil"/>
              <w:left w:val="single" w:sz="4" w:space="0" w:color="auto"/>
              <w:bottom w:val="single" w:sz="4" w:space="0" w:color="auto"/>
              <w:right w:val="single" w:sz="4" w:space="0" w:color="auto"/>
            </w:tcBorders>
            <w:noWrap/>
            <w:vAlign w:val="center"/>
            <w:hideMark/>
          </w:tcPr>
          <w:p w:rsidR="0046431A" w:rsidRPr="0046431A" w:rsidRDefault="0046431A" w:rsidP="0046431A">
            <w:pPr>
              <w:rPr>
                <w:rFonts w:ascii="Calibri" w:hAnsi="Calibri"/>
                <w:szCs w:val="24"/>
              </w:rPr>
            </w:pPr>
            <w:r w:rsidRPr="0046431A">
              <w:rPr>
                <w:rFonts w:ascii="Calibri" w:hAnsi="Calibri"/>
                <w:szCs w:val="24"/>
              </w:rPr>
              <w:t>69 in 2013/2014</w:t>
            </w:r>
          </w:p>
        </w:tc>
        <w:tc>
          <w:tcPr>
            <w:tcW w:w="928"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2011</w:t>
            </w:r>
          </w:p>
        </w:tc>
        <w:tc>
          <w:tcPr>
            <w:tcW w:w="1199"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2016</w:t>
            </w:r>
          </w:p>
        </w:tc>
        <w:tc>
          <w:tcPr>
            <w:tcW w:w="1861"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N/A</w:t>
            </w:r>
          </w:p>
        </w:tc>
      </w:tr>
      <w:tr w:rsidR="0046431A" w:rsidTr="0046431A">
        <w:trPr>
          <w:trHeight w:val="285"/>
          <w:jc w:val="center"/>
        </w:trPr>
        <w:tc>
          <w:tcPr>
            <w:tcW w:w="1216"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CLV34F1</w:t>
            </w:r>
          </w:p>
        </w:tc>
        <w:tc>
          <w:tcPr>
            <w:tcW w:w="1080"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2007</w:t>
            </w:r>
          </w:p>
        </w:tc>
        <w:tc>
          <w:tcPr>
            <w:tcW w:w="1904" w:type="dxa"/>
            <w:tcBorders>
              <w:top w:val="nil"/>
              <w:left w:val="single" w:sz="4" w:space="0" w:color="auto"/>
              <w:bottom w:val="single" w:sz="4" w:space="0" w:color="auto"/>
              <w:right w:val="single" w:sz="4" w:space="0" w:color="auto"/>
            </w:tcBorders>
            <w:vAlign w:val="center"/>
          </w:tcPr>
          <w:p w:rsidR="0046431A" w:rsidRDefault="0046431A" w:rsidP="0046431A">
            <w:pPr>
              <w:tabs>
                <w:tab w:val="left" w:pos="795"/>
              </w:tabs>
              <w:rPr>
                <w:rFonts w:ascii="Calibri" w:hAnsi="Calibri"/>
                <w:szCs w:val="24"/>
              </w:rPr>
            </w:pPr>
            <w:r>
              <w:rPr>
                <w:rFonts w:ascii="Calibri" w:hAnsi="Calibri"/>
                <w:szCs w:val="24"/>
              </w:rPr>
              <w:t>2027</w:t>
            </w:r>
          </w:p>
          <w:p w:rsidR="0046431A" w:rsidRDefault="0046431A" w:rsidP="0046431A">
            <w:pPr>
              <w:tabs>
                <w:tab w:val="left" w:pos="795"/>
              </w:tabs>
              <w:rPr>
                <w:rFonts w:ascii="Calibri" w:hAnsi="Calibri"/>
                <w:szCs w:val="24"/>
              </w:rPr>
            </w:pPr>
            <w:r>
              <w:rPr>
                <w:rFonts w:ascii="Calibri" w:hAnsi="Calibri"/>
                <w:szCs w:val="24"/>
              </w:rPr>
              <w:t>20 year cycle</w:t>
            </w:r>
          </w:p>
        </w:tc>
        <w:tc>
          <w:tcPr>
            <w:tcW w:w="1727"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2028</w:t>
            </w:r>
          </w:p>
        </w:tc>
        <w:tc>
          <w:tcPr>
            <w:tcW w:w="1584" w:type="dxa"/>
            <w:tcBorders>
              <w:top w:val="nil"/>
              <w:left w:val="single" w:sz="4" w:space="0" w:color="auto"/>
              <w:bottom w:val="single" w:sz="4" w:space="0" w:color="auto"/>
              <w:right w:val="single" w:sz="4" w:space="0" w:color="auto"/>
            </w:tcBorders>
            <w:noWrap/>
            <w:vAlign w:val="center"/>
            <w:hideMark/>
          </w:tcPr>
          <w:p w:rsidR="0046431A" w:rsidRPr="0046431A" w:rsidRDefault="0046431A" w:rsidP="0046431A">
            <w:pPr>
              <w:rPr>
                <w:rFonts w:ascii="Calibri" w:hAnsi="Calibri"/>
                <w:szCs w:val="24"/>
              </w:rPr>
            </w:pPr>
            <w:r w:rsidRPr="0046431A">
              <w:rPr>
                <w:rFonts w:ascii="Calibri" w:hAnsi="Calibri"/>
                <w:szCs w:val="24"/>
              </w:rPr>
              <w:t>49 in 2015</w:t>
            </w:r>
          </w:p>
        </w:tc>
        <w:tc>
          <w:tcPr>
            <w:tcW w:w="928"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2007</w:t>
            </w:r>
          </w:p>
        </w:tc>
        <w:tc>
          <w:tcPr>
            <w:tcW w:w="1199"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2013</w:t>
            </w:r>
          </w:p>
        </w:tc>
        <w:tc>
          <w:tcPr>
            <w:tcW w:w="1861"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Last 2011</w:t>
            </w:r>
          </w:p>
          <w:p w:rsidR="0046431A" w:rsidRDefault="0046431A" w:rsidP="0046431A">
            <w:pPr>
              <w:rPr>
                <w:szCs w:val="24"/>
              </w:rPr>
            </w:pPr>
            <w:r>
              <w:rPr>
                <w:szCs w:val="24"/>
              </w:rPr>
              <w:t>N/A on Proposed</w:t>
            </w:r>
          </w:p>
        </w:tc>
      </w:tr>
      <w:tr w:rsidR="0046431A" w:rsidTr="0046431A">
        <w:trPr>
          <w:trHeight w:val="285"/>
          <w:jc w:val="center"/>
        </w:trPr>
        <w:tc>
          <w:tcPr>
            <w:tcW w:w="1216"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VAL12F1</w:t>
            </w:r>
          </w:p>
        </w:tc>
        <w:tc>
          <w:tcPr>
            <w:tcW w:w="1080"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2010</w:t>
            </w:r>
          </w:p>
        </w:tc>
        <w:tc>
          <w:tcPr>
            <w:tcW w:w="1904" w:type="dxa"/>
            <w:tcBorders>
              <w:top w:val="nil"/>
              <w:left w:val="single" w:sz="4" w:space="0" w:color="auto"/>
              <w:bottom w:val="single" w:sz="4" w:space="0" w:color="auto"/>
              <w:right w:val="single" w:sz="4" w:space="0" w:color="auto"/>
            </w:tcBorders>
            <w:vAlign w:val="center"/>
          </w:tcPr>
          <w:p w:rsidR="0046431A" w:rsidRDefault="0046431A" w:rsidP="0046431A">
            <w:pPr>
              <w:rPr>
                <w:szCs w:val="24"/>
              </w:rPr>
            </w:pPr>
            <w:r>
              <w:rPr>
                <w:szCs w:val="24"/>
              </w:rPr>
              <w:t>2030</w:t>
            </w:r>
          </w:p>
          <w:p w:rsidR="0046431A" w:rsidRDefault="0046431A" w:rsidP="0046431A">
            <w:pPr>
              <w:rPr>
                <w:szCs w:val="24"/>
              </w:rPr>
            </w:pPr>
            <w:r>
              <w:rPr>
                <w:szCs w:val="24"/>
              </w:rPr>
              <w:t>20 year cycle</w:t>
            </w:r>
          </w:p>
        </w:tc>
        <w:tc>
          <w:tcPr>
            <w:tcW w:w="1727" w:type="dxa"/>
            <w:tcBorders>
              <w:top w:val="nil"/>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Completed in 2011 (except for W</w:t>
            </w:r>
            <w:r w:rsidR="00674DC9">
              <w:rPr>
                <w:szCs w:val="24"/>
              </w:rPr>
              <w:t>S</w:t>
            </w:r>
            <w:r>
              <w:rPr>
                <w:szCs w:val="24"/>
              </w:rPr>
              <w:t>DOT ROW poles)</w:t>
            </w:r>
          </w:p>
        </w:tc>
        <w:tc>
          <w:tcPr>
            <w:tcW w:w="1584" w:type="dxa"/>
            <w:tcBorders>
              <w:top w:val="nil"/>
              <w:left w:val="single" w:sz="4" w:space="0" w:color="auto"/>
              <w:bottom w:val="single" w:sz="4" w:space="0" w:color="auto"/>
              <w:right w:val="single" w:sz="4" w:space="0" w:color="auto"/>
            </w:tcBorders>
            <w:noWrap/>
            <w:vAlign w:val="center"/>
            <w:hideMark/>
          </w:tcPr>
          <w:p w:rsidR="0046431A" w:rsidRPr="0046431A" w:rsidRDefault="0046431A" w:rsidP="0046431A">
            <w:pPr>
              <w:rPr>
                <w:rFonts w:ascii="Calibri" w:hAnsi="Calibri"/>
                <w:szCs w:val="24"/>
              </w:rPr>
            </w:pPr>
            <w:r w:rsidRPr="0046431A">
              <w:rPr>
                <w:rFonts w:ascii="Calibri" w:hAnsi="Calibri"/>
                <w:szCs w:val="24"/>
              </w:rPr>
              <w:t>188 in 2013/2014</w:t>
            </w:r>
          </w:p>
        </w:tc>
        <w:tc>
          <w:tcPr>
            <w:tcW w:w="928"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2010</w:t>
            </w:r>
          </w:p>
        </w:tc>
        <w:tc>
          <w:tcPr>
            <w:tcW w:w="1199"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2016</w:t>
            </w:r>
          </w:p>
        </w:tc>
        <w:tc>
          <w:tcPr>
            <w:tcW w:w="1861" w:type="dxa"/>
            <w:tcBorders>
              <w:top w:val="nil"/>
              <w:left w:val="nil"/>
              <w:bottom w:val="single" w:sz="4" w:space="0" w:color="auto"/>
              <w:right w:val="single" w:sz="4" w:space="0" w:color="auto"/>
            </w:tcBorders>
            <w:noWrap/>
            <w:vAlign w:val="center"/>
            <w:hideMark/>
          </w:tcPr>
          <w:p w:rsidR="0046431A" w:rsidRDefault="0046431A" w:rsidP="0046431A">
            <w:pPr>
              <w:rPr>
                <w:szCs w:val="24"/>
              </w:rPr>
            </w:pPr>
            <w:r>
              <w:rPr>
                <w:szCs w:val="24"/>
              </w:rPr>
              <w:t>N/A</w:t>
            </w:r>
          </w:p>
        </w:tc>
      </w:tr>
      <w:tr w:rsidR="0046431A" w:rsidTr="0046431A">
        <w:trPr>
          <w:trHeight w:val="285"/>
          <w:jc w:val="center"/>
        </w:trPr>
        <w:tc>
          <w:tcPr>
            <w:tcW w:w="1216"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SPI12F1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46431A">
            <w:pPr>
              <w:rPr>
                <w:szCs w:val="24"/>
              </w:rPr>
            </w:pPr>
            <w:r>
              <w:rPr>
                <w:szCs w:val="24"/>
              </w:rPr>
              <w:t>2013</w:t>
            </w:r>
          </w:p>
        </w:tc>
        <w:tc>
          <w:tcPr>
            <w:tcW w:w="1904" w:type="dxa"/>
            <w:tcBorders>
              <w:top w:val="single" w:sz="4" w:space="0" w:color="auto"/>
              <w:left w:val="single" w:sz="4" w:space="0" w:color="auto"/>
              <w:bottom w:val="single" w:sz="4" w:space="0" w:color="auto"/>
              <w:right w:val="single" w:sz="4" w:space="0" w:color="auto"/>
            </w:tcBorders>
            <w:vAlign w:val="center"/>
          </w:tcPr>
          <w:p w:rsidR="0046431A" w:rsidRDefault="0046431A" w:rsidP="0046431A">
            <w:pPr>
              <w:rPr>
                <w:szCs w:val="24"/>
              </w:rPr>
            </w:pPr>
            <w:r>
              <w:rPr>
                <w:szCs w:val="24"/>
              </w:rPr>
              <w:t>2033</w:t>
            </w:r>
          </w:p>
          <w:p w:rsidR="0046431A" w:rsidRDefault="0046431A" w:rsidP="0046431A">
            <w:pPr>
              <w:rPr>
                <w:szCs w:val="24"/>
              </w:rPr>
            </w:pPr>
            <w:r>
              <w:rPr>
                <w:szCs w:val="24"/>
              </w:rPr>
              <w:t>20 year cycle</w:t>
            </w:r>
          </w:p>
        </w:tc>
        <w:tc>
          <w:tcPr>
            <w:tcW w:w="1727" w:type="dxa"/>
            <w:tcBorders>
              <w:top w:val="single" w:sz="4" w:space="0" w:color="auto"/>
              <w:left w:val="single" w:sz="4" w:space="0" w:color="auto"/>
              <w:bottom w:val="single" w:sz="4" w:space="0" w:color="auto"/>
              <w:right w:val="single" w:sz="4" w:space="0" w:color="auto"/>
            </w:tcBorders>
            <w:noWrap/>
            <w:vAlign w:val="center"/>
            <w:hideMark/>
          </w:tcPr>
          <w:p w:rsidR="0046431A" w:rsidRDefault="0046431A" w:rsidP="00674DC9">
            <w:pPr>
              <w:rPr>
                <w:szCs w:val="24"/>
              </w:rPr>
            </w:pPr>
            <w:r>
              <w:rPr>
                <w:szCs w:val="24"/>
              </w:rPr>
              <w:t xml:space="preserve">Feeder Upgrade </w:t>
            </w:r>
            <w:r w:rsidR="00674DC9">
              <w:rPr>
                <w:szCs w:val="24"/>
              </w:rPr>
              <w:t>Project</w:t>
            </w:r>
          </w:p>
        </w:tc>
        <w:tc>
          <w:tcPr>
            <w:tcW w:w="1584" w:type="dxa"/>
            <w:tcBorders>
              <w:top w:val="single" w:sz="4" w:space="0" w:color="auto"/>
              <w:left w:val="single" w:sz="4" w:space="0" w:color="auto"/>
              <w:bottom w:val="single" w:sz="4" w:space="0" w:color="auto"/>
              <w:right w:val="single" w:sz="4" w:space="0" w:color="auto"/>
            </w:tcBorders>
            <w:noWrap/>
            <w:vAlign w:val="center"/>
            <w:hideMark/>
          </w:tcPr>
          <w:p w:rsidR="0046431A" w:rsidRPr="0046431A" w:rsidRDefault="0046431A" w:rsidP="0046431A">
            <w:pPr>
              <w:rPr>
                <w:rFonts w:ascii="Calibri" w:hAnsi="Calibri"/>
                <w:szCs w:val="24"/>
              </w:rPr>
            </w:pPr>
            <w:r w:rsidRPr="0046431A">
              <w:rPr>
                <w:rFonts w:ascii="Calibri" w:hAnsi="Calibri"/>
                <w:szCs w:val="24"/>
              </w:rPr>
              <w:t>6 in 2013</w:t>
            </w:r>
          </w:p>
        </w:tc>
        <w:tc>
          <w:tcPr>
            <w:tcW w:w="928" w:type="dxa"/>
            <w:tcBorders>
              <w:top w:val="single" w:sz="4" w:space="0" w:color="auto"/>
              <w:left w:val="nil"/>
              <w:bottom w:val="single" w:sz="4" w:space="0" w:color="auto"/>
              <w:right w:val="single" w:sz="4" w:space="0" w:color="auto"/>
            </w:tcBorders>
            <w:noWrap/>
            <w:vAlign w:val="center"/>
            <w:hideMark/>
          </w:tcPr>
          <w:p w:rsidR="0046431A" w:rsidRDefault="0046431A" w:rsidP="0046431A">
            <w:pPr>
              <w:rPr>
                <w:szCs w:val="24"/>
              </w:rPr>
            </w:pPr>
            <w:r>
              <w:rPr>
                <w:szCs w:val="24"/>
              </w:rPr>
              <w:t>2011</w:t>
            </w:r>
          </w:p>
        </w:tc>
        <w:tc>
          <w:tcPr>
            <w:tcW w:w="1199" w:type="dxa"/>
            <w:tcBorders>
              <w:top w:val="single" w:sz="4" w:space="0" w:color="auto"/>
              <w:left w:val="nil"/>
              <w:bottom w:val="single" w:sz="4" w:space="0" w:color="auto"/>
              <w:right w:val="single" w:sz="4" w:space="0" w:color="auto"/>
            </w:tcBorders>
            <w:noWrap/>
            <w:vAlign w:val="center"/>
            <w:hideMark/>
          </w:tcPr>
          <w:p w:rsidR="0046431A" w:rsidRDefault="0046431A" w:rsidP="0046431A">
            <w:pPr>
              <w:rPr>
                <w:szCs w:val="24"/>
              </w:rPr>
            </w:pPr>
            <w:r>
              <w:rPr>
                <w:szCs w:val="24"/>
              </w:rPr>
              <w:t>2016</w:t>
            </w:r>
          </w:p>
        </w:tc>
        <w:tc>
          <w:tcPr>
            <w:tcW w:w="1861" w:type="dxa"/>
            <w:tcBorders>
              <w:top w:val="single" w:sz="4" w:space="0" w:color="auto"/>
              <w:left w:val="nil"/>
              <w:bottom w:val="single" w:sz="4" w:space="0" w:color="auto"/>
              <w:right w:val="single" w:sz="4" w:space="0" w:color="auto"/>
            </w:tcBorders>
            <w:noWrap/>
            <w:vAlign w:val="center"/>
            <w:hideMark/>
          </w:tcPr>
          <w:p w:rsidR="0046431A" w:rsidRDefault="0046431A" w:rsidP="0046431A">
            <w:pPr>
              <w:rPr>
                <w:szCs w:val="24"/>
              </w:rPr>
            </w:pPr>
            <w:r>
              <w:rPr>
                <w:szCs w:val="24"/>
              </w:rPr>
              <w:t>N/A</w:t>
            </w:r>
          </w:p>
        </w:tc>
      </w:tr>
    </w:tbl>
    <w:p w:rsidR="000B1272" w:rsidRDefault="000B1272" w:rsidP="000B1272">
      <w:pPr>
        <w:rPr>
          <w:rFonts w:ascii="Arial" w:hAnsi="Arial"/>
        </w:rPr>
      </w:pPr>
      <w:r>
        <w:br w:type="page"/>
      </w:r>
    </w:p>
    <w:p w:rsidR="00004CE2" w:rsidRDefault="00004CE2" w:rsidP="00004CE2">
      <w:pPr>
        <w:pStyle w:val="Heading3"/>
      </w:pPr>
      <w:bookmarkStart w:id="149" w:name="_Toc354493006"/>
      <w:bookmarkStart w:id="150" w:name="_Toc193711000"/>
      <w:bookmarkStart w:id="151" w:name="_Toc227571595"/>
      <w:bookmarkEnd w:id="148"/>
      <w:r>
        <w:t xml:space="preserve">Avista System Wide </w:t>
      </w:r>
      <w:r w:rsidRPr="00980946">
        <w:t>Work Plans</w:t>
      </w:r>
      <w:bookmarkEnd w:id="149"/>
    </w:p>
    <w:p w:rsidR="00004CE2" w:rsidRPr="00D265D4" w:rsidRDefault="00004CE2" w:rsidP="00004CE2"/>
    <w:p w:rsidR="00004CE2" w:rsidRDefault="00004CE2" w:rsidP="00004CE2">
      <w:pPr>
        <w:autoSpaceDE w:val="0"/>
        <w:autoSpaceDN w:val="0"/>
        <w:adjustRightInd w:val="0"/>
      </w:pPr>
      <w:r>
        <w:t>Material records show that some wildlife guards were installed on new distribution transformers installations starting in the mid 1980’s. With the recognition of increases in animal caused outages, new materials and improvements have been made in the construction standards for new distribution transformer installations to reduce these types of outages. Initial indications show that the outage reduction on a feeder after wildlife guards are installed is significant.</w:t>
      </w:r>
    </w:p>
    <w:p w:rsidR="00004CE2" w:rsidRDefault="00004CE2" w:rsidP="00004CE2">
      <w:pPr>
        <w:autoSpaceDE w:val="0"/>
        <w:autoSpaceDN w:val="0"/>
        <w:adjustRightInd w:val="0"/>
      </w:pPr>
    </w:p>
    <w:p w:rsidR="00004CE2" w:rsidRDefault="00004CE2" w:rsidP="00004CE2">
      <w:pPr>
        <w:autoSpaceDE w:val="0"/>
        <w:autoSpaceDN w:val="0"/>
        <w:adjustRightInd w:val="0"/>
      </w:pPr>
      <w:r>
        <w:t xml:space="preserve">2009 was the start of the multiyear wildlife guard installation program to reduce the squirrel and bird related outages on approximately sixty feeders in Washington and Idaho. Most of the wildlife guards were installed with a hot stick on existing transformers that do not have an existing wildlife guard. </w:t>
      </w:r>
    </w:p>
    <w:p w:rsidR="00004CE2" w:rsidRDefault="00004CE2" w:rsidP="00004CE2">
      <w:pPr>
        <w:autoSpaceDE w:val="0"/>
        <w:autoSpaceDN w:val="0"/>
        <w:adjustRightInd w:val="0"/>
      </w:pPr>
    </w:p>
    <w:p w:rsidR="00004CE2" w:rsidRPr="0075102C" w:rsidRDefault="00004CE2" w:rsidP="00004CE2">
      <w:pPr>
        <w:autoSpaceDE w:val="0"/>
        <w:autoSpaceDN w:val="0"/>
        <w:adjustRightInd w:val="0"/>
      </w:pPr>
      <w:r w:rsidRPr="0075102C">
        <w:t xml:space="preserve">Avista installed a total of </w:t>
      </w:r>
      <w:r>
        <w:t>413</w:t>
      </w:r>
      <w:r w:rsidRPr="0075102C">
        <w:t xml:space="preserve"> wildlife guards on </w:t>
      </w:r>
      <w:r>
        <w:t>8</w:t>
      </w:r>
      <w:r w:rsidRPr="0075102C">
        <w:t xml:space="preserve"> feeders in 201</w:t>
      </w:r>
      <w:r>
        <w:t>2 all in Washington</w:t>
      </w:r>
      <w:r w:rsidRPr="0075102C">
        <w:t>.</w:t>
      </w:r>
      <w:r>
        <w:t xml:space="preserve">  The chart below shows the effectiveness of the wildlife guard program in reducing squirrel related outages.</w:t>
      </w:r>
      <w:r w:rsidRPr="0075102C">
        <w:t xml:space="preserve"> </w:t>
      </w:r>
    </w:p>
    <w:p w:rsidR="00004CE2" w:rsidRPr="0075102C" w:rsidRDefault="00004CE2" w:rsidP="00004CE2">
      <w:pPr>
        <w:autoSpaceDE w:val="0"/>
        <w:autoSpaceDN w:val="0"/>
        <w:adjustRightInd w:val="0"/>
      </w:pPr>
    </w:p>
    <w:p w:rsidR="00004CE2" w:rsidRDefault="00004CE2" w:rsidP="00004CE2">
      <w:pPr>
        <w:autoSpaceDE w:val="0"/>
        <w:autoSpaceDN w:val="0"/>
        <w:adjustRightInd w:val="0"/>
      </w:pPr>
    </w:p>
    <w:p w:rsidR="00004CE2" w:rsidRPr="007604DD" w:rsidRDefault="00004CE2" w:rsidP="00004CE2">
      <w:pPr>
        <w:pStyle w:val="Heading4"/>
      </w:pPr>
      <w:bookmarkStart w:id="152" w:name="_Toc354493007"/>
      <w:r>
        <w:t>Chart 4</w:t>
      </w:r>
      <w:r w:rsidRPr="007604DD">
        <w:t xml:space="preserve">.1 – Squirrel Related </w:t>
      </w:r>
      <w:r>
        <w:t>Events</w:t>
      </w:r>
      <w:bookmarkEnd w:id="152"/>
    </w:p>
    <w:p w:rsidR="00004CE2" w:rsidRPr="00FD177C" w:rsidRDefault="00004CE2" w:rsidP="00004CE2"/>
    <w:p w:rsidR="00004CE2" w:rsidRDefault="00004CE2" w:rsidP="00004CE2">
      <w:pPr>
        <w:autoSpaceDE w:val="0"/>
        <w:autoSpaceDN w:val="0"/>
        <w:adjustRightInd w:val="0"/>
        <w:jc w:val="center"/>
      </w:pPr>
    </w:p>
    <w:p w:rsidR="00004CE2" w:rsidRDefault="00004CE2" w:rsidP="00004CE2">
      <w:pPr>
        <w:autoSpaceDE w:val="0"/>
        <w:autoSpaceDN w:val="0"/>
        <w:adjustRightInd w:val="0"/>
        <w:spacing w:after="120"/>
        <w:jc w:val="center"/>
      </w:pPr>
      <w:r w:rsidRPr="00B309ED">
        <w:rPr>
          <w:noProof/>
        </w:rPr>
        <w:drawing>
          <wp:inline distT="0" distB="0" distL="0" distR="0">
            <wp:extent cx="5943600" cy="431165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4CE2" w:rsidRDefault="00004CE2" w:rsidP="00004CE2">
      <w:pPr>
        <w:autoSpaceDE w:val="0"/>
        <w:autoSpaceDN w:val="0"/>
        <w:adjustRightInd w:val="0"/>
      </w:pPr>
    </w:p>
    <w:p w:rsidR="004F4BAA" w:rsidRDefault="004F4BAA" w:rsidP="00004CE2">
      <w:pPr>
        <w:autoSpaceDE w:val="0"/>
        <w:autoSpaceDN w:val="0"/>
        <w:adjustRightInd w:val="0"/>
        <w:spacing w:after="120"/>
        <w:jc w:val="center"/>
      </w:pPr>
    </w:p>
    <w:p w:rsidR="004F4BAA" w:rsidRDefault="004F4BAA" w:rsidP="00004CE2">
      <w:pPr>
        <w:autoSpaceDE w:val="0"/>
        <w:autoSpaceDN w:val="0"/>
        <w:adjustRightInd w:val="0"/>
        <w:spacing w:after="120"/>
        <w:jc w:val="center"/>
      </w:pPr>
    </w:p>
    <w:p w:rsidR="004F4BAA" w:rsidRDefault="004F4BAA" w:rsidP="00004CE2">
      <w:pPr>
        <w:autoSpaceDE w:val="0"/>
        <w:autoSpaceDN w:val="0"/>
        <w:adjustRightInd w:val="0"/>
        <w:spacing w:after="120"/>
        <w:jc w:val="center"/>
      </w:pPr>
    </w:p>
    <w:p w:rsidR="004F4BAA" w:rsidRPr="004F4BAA" w:rsidRDefault="004F4BAA" w:rsidP="004F4BAA">
      <w:pPr>
        <w:pStyle w:val="Heading4"/>
      </w:pPr>
      <w:bookmarkStart w:id="153" w:name="_Toc354493008"/>
      <w:r w:rsidRPr="004F4BAA">
        <w:t>Chart 4.2 – Wood Pole Management Related Events</w:t>
      </w:r>
      <w:bookmarkEnd w:id="153"/>
    </w:p>
    <w:p w:rsidR="004F4BAA" w:rsidRDefault="004F4BAA" w:rsidP="00004CE2">
      <w:pPr>
        <w:autoSpaceDE w:val="0"/>
        <w:autoSpaceDN w:val="0"/>
        <w:adjustRightInd w:val="0"/>
        <w:spacing w:after="120"/>
        <w:jc w:val="center"/>
      </w:pPr>
    </w:p>
    <w:p w:rsidR="00004CE2" w:rsidRDefault="00004CE2" w:rsidP="00004CE2">
      <w:pPr>
        <w:autoSpaceDE w:val="0"/>
        <w:autoSpaceDN w:val="0"/>
        <w:adjustRightInd w:val="0"/>
        <w:spacing w:after="120"/>
        <w:jc w:val="center"/>
      </w:pPr>
      <w:r w:rsidRPr="00B309ED">
        <w:rPr>
          <w:noProof/>
        </w:rPr>
        <w:drawing>
          <wp:inline distT="0" distB="0" distL="0" distR="0">
            <wp:extent cx="5601462" cy="3304032"/>
            <wp:effectExtent l="19050" t="0" r="18288"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4CE2" w:rsidRDefault="004F4BAA" w:rsidP="00004CE2">
      <w:pPr>
        <w:autoSpaceDE w:val="0"/>
        <w:autoSpaceDN w:val="0"/>
        <w:adjustRightInd w:val="0"/>
      </w:pPr>
      <w:r>
        <w:t>A</w:t>
      </w:r>
      <w:r w:rsidR="00004CE2" w:rsidRPr="00252FDF">
        <w:t xml:space="preserve">sset Management in conjunction with the Wood Pole Management Program </w:t>
      </w:r>
      <w:r w:rsidR="00004CE2">
        <w:t xml:space="preserve">over the last three years has </w:t>
      </w:r>
      <w:r w:rsidR="00004CE2" w:rsidRPr="00252FDF">
        <w:t>stubbed</w:t>
      </w:r>
      <w:r w:rsidR="00004CE2">
        <w:t>/reinforced or</w:t>
      </w:r>
      <w:r w:rsidR="00004CE2" w:rsidRPr="00252FDF">
        <w:t xml:space="preserve"> replaced numerous poles</w:t>
      </w:r>
      <w:r w:rsidR="00004CE2">
        <w:t xml:space="preserve">, </w:t>
      </w:r>
      <w:r w:rsidR="00004CE2" w:rsidRPr="00252FDF">
        <w:t>replaced numerous pole top transformers and associated cutouts/arresters.</w:t>
      </w:r>
      <w:r w:rsidR="00004CE2">
        <w:t xml:space="preserve"> The impacts of the program are shown in the chart above.  Below is a chart that summarizes the Wood Pole Management activities.</w:t>
      </w:r>
    </w:p>
    <w:p w:rsidR="00004CE2" w:rsidRDefault="00004CE2" w:rsidP="00004CE2">
      <w:pPr>
        <w:autoSpaceDE w:val="0"/>
        <w:autoSpaceDN w:val="0"/>
        <w:adjustRightInd w:val="0"/>
      </w:pPr>
    </w:p>
    <w:p w:rsidR="004F4BAA" w:rsidRPr="004F4BAA" w:rsidRDefault="004F4BAA" w:rsidP="004F4BAA">
      <w:pPr>
        <w:pStyle w:val="Heading4"/>
      </w:pPr>
      <w:bookmarkStart w:id="154" w:name="_Toc354493009"/>
      <w:r w:rsidRPr="004F4BAA">
        <w:t>Chart 4.3 – Wood Pole Management Actions</w:t>
      </w:r>
      <w:bookmarkEnd w:id="154"/>
    </w:p>
    <w:p w:rsidR="004F4BAA" w:rsidRDefault="004F4BAA" w:rsidP="004F4BAA">
      <w:pPr>
        <w:pStyle w:val="Heading4"/>
      </w:pPr>
    </w:p>
    <w:p w:rsidR="00004CE2" w:rsidRDefault="00004CE2" w:rsidP="00004CE2">
      <w:pPr>
        <w:autoSpaceDE w:val="0"/>
        <w:autoSpaceDN w:val="0"/>
        <w:adjustRightInd w:val="0"/>
        <w:spacing w:after="120"/>
        <w:jc w:val="center"/>
      </w:pPr>
      <w:r w:rsidRPr="0042351D">
        <w:rPr>
          <w:noProof/>
        </w:rPr>
        <w:drawing>
          <wp:inline distT="0" distB="0" distL="0" distR="0">
            <wp:extent cx="5528310" cy="3304032"/>
            <wp:effectExtent l="19050" t="0" r="1524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4CE2" w:rsidRPr="00BE76A7" w:rsidRDefault="00BE76A7" w:rsidP="00BE76A7">
      <w:pPr>
        <w:pStyle w:val="Heading3"/>
        <w:rPr>
          <w:rFonts w:cs="Arial"/>
        </w:rPr>
      </w:pPr>
      <w:bookmarkStart w:id="155" w:name="_Toc354493010"/>
      <w:r w:rsidRPr="00BE76A7">
        <w:rPr>
          <w:rFonts w:cs="Arial"/>
        </w:rPr>
        <w:t>Avista Feeder Upgrade Program</w:t>
      </w:r>
      <w:bookmarkEnd w:id="155"/>
    </w:p>
    <w:p w:rsidR="00BE76A7" w:rsidRPr="00BE76A7" w:rsidRDefault="00BE76A7" w:rsidP="00BE76A7"/>
    <w:p w:rsidR="00BE76A7" w:rsidRPr="00BE76A7" w:rsidRDefault="00BE76A7" w:rsidP="00BE76A7">
      <w:pPr>
        <w:pStyle w:val="Style1"/>
        <w:rPr>
          <w:rFonts w:ascii="Times New Roman" w:hAnsi="Times New Roman" w:cs="Times New Roman"/>
          <w:b w:val="0"/>
          <w:sz w:val="24"/>
          <w:szCs w:val="24"/>
        </w:rPr>
      </w:pPr>
      <w:r w:rsidRPr="00BE76A7">
        <w:rPr>
          <w:rFonts w:ascii="Times New Roman" w:hAnsi="Times New Roman" w:cs="Times New Roman"/>
          <w:b w:val="0"/>
          <w:sz w:val="24"/>
          <w:szCs w:val="24"/>
        </w:rPr>
        <w:t>Feeder Upgrade Program Overview</w:t>
      </w:r>
    </w:p>
    <w:p w:rsidR="00BE76A7" w:rsidRPr="00BE76A7" w:rsidRDefault="00BE76A7" w:rsidP="00BE76A7">
      <w:pPr>
        <w:autoSpaceDE w:val="0"/>
        <w:autoSpaceDN w:val="0"/>
        <w:adjustRightInd w:val="0"/>
      </w:pPr>
      <w:r w:rsidRPr="00BE76A7">
        <w:t xml:space="preserve">Avista </w:t>
      </w:r>
      <w:r>
        <w:t>has initiated</w:t>
      </w:r>
      <w:r w:rsidRPr="00BE76A7">
        <w:t xml:space="preserve"> a Feeder Upgrade Program that is designed to reduce energy losses, improve operation, and increase the long-term reliability of its overhead and underground electric distribution system. The program will include replacing the following item: poles, transformers, cross arms, arresters, air switches with steel arms, grounds, cutouts, riser wire, insulators, and conductors to address concerns related to age, capacity, high electrical resistance, strength, and mechanical ability.  Changes, including the addition of wildlife guards, smart grid devices, switch capacitor banks, balancing feeders, removing unauthorized attachments, replacing open wire secondary, and reconfigurations are included in the Program.</w:t>
      </w:r>
    </w:p>
    <w:p w:rsidR="00BE76A7" w:rsidRPr="00BE76A7" w:rsidRDefault="00BE76A7" w:rsidP="00BE76A7">
      <w:pPr>
        <w:pStyle w:val="Style1"/>
        <w:rPr>
          <w:rFonts w:ascii="Times New Roman" w:hAnsi="Times New Roman" w:cs="Times New Roman"/>
          <w:b w:val="0"/>
          <w:sz w:val="24"/>
          <w:szCs w:val="24"/>
        </w:rPr>
      </w:pPr>
    </w:p>
    <w:p w:rsidR="00BE76A7" w:rsidRPr="00BE76A7" w:rsidRDefault="00BE76A7" w:rsidP="00BE76A7">
      <w:pPr>
        <w:pStyle w:val="Style1"/>
        <w:rPr>
          <w:rFonts w:ascii="Times New Roman" w:hAnsi="Times New Roman" w:cs="Times New Roman"/>
          <w:b w:val="0"/>
          <w:sz w:val="24"/>
          <w:szCs w:val="24"/>
        </w:rPr>
      </w:pPr>
      <w:r w:rsidRPr="00BE76A7">
        <w:rPr>
          <w:rFonts w:ascii="Times New Roman" w:hAnsi="Times New Roman" w:cs="Times New Roman"/>
          <w:b w:val="0"/>
          <w:sz w:val="24"/>
          <w:szCs w:val="24"/>
        </w:rPr>
        <w:t>Feeder Upgrade Program Objectives</w:t>
      </w:r>
    </w:p>
    <w:p w:rsidR="00BE76A7" w:rsidRPr="00BE76A7" w:rsidRDefault="00BE76A7" w:rsidP="00BE76A7">
      <w:pPr>
        <w:pStyle w:val="NoSpacing"/>
        <w:numPr>
          <w:ilvl w:val="0"/>
          <w:numId w:val="41"/>
        </w:numPr>
        <w:rPr>
          <w:rFonts w:ascii="Times New Roman" w:eastAsia="Times New Roman" w:hAnsi="Times New Roman"/>
          <w:sz w:val="24"/>
          <w:szCs w:val="20"/>
        </w:rPr>
      </w:pPr>
      <w:r w:rsidRPr="00BE76A7">
        <w:rPr>
          <w:rFonts w:ascii="Times New Roman" w:eastAsia="Times New Roman" w:hAnsi="Times New Roman"/>
          <w:sz w:val="24"/>
          <w:szCs w:val="20"/>
        </w:rPr>
        <w:t>Safety – Focus on safe practices for crew work by designing work plans to avoid safety risks.</w:t>
      </w:r>
    </w:p>
    <w:p w:rsidR="00BE76A7" w:rsidRPr="00BE76A7" w:rsidRDefault="00BE76A7" w:rsidP="00BE76A7">
      <w:pPr>
        <w:pStyle w:val="NoSpacing"/>
        <w:numPr>
          <w:ilvl w:val="0"/>
          <w:numId w:val="41"/>
        </w:numPr>
        <w:rPr>
          <w:rFonts w:ascii="Times New Roman" w:eastAsia="Times New Roman" w:hAnsi="Times New Roman"/>
          <w:sz w:val="24"/>
          <w:szCs w:val="20"/>
        </w:rPr>
      </w:pPr>
      <w:r w:rsidRPr="00BE76A7">
        <w:rPr>
          <w:rFonts w:ascii="Times New Roman" w:eastAsia="Times New Roman" w:hAnsi="Times New Roman"/>
          <w:sz w:val="24"/>
          <w:szCs w:val="20"/>
        </w:rPr>
        <w:t>Reliability – Replacing aging and failed infrastructure that has a high likelihood of creating an unplanned crew call-out.</w:t>
      </w:r>
    </w:p>
    <w:p w:rsidR="00BE76A7" w:rsidRPr="00BE76A7" w:rsidRDefault="00BE76A7" w:rsidP="00BE76A7">
      <w:pPr>
        <w:pStyle w:val="NoSpacing"/>
        <w:numPr>
          <w:ilvl w:val="0"/>
          <w:numId w:val="41"/>
        </w:numPr>
        <w:rPr>
          <w:rFonts w:ascii="Times New Roman" w:eastAsia="Times New Roman" w:hAnsi="Times New Roman"/>
          <w:sz w:val="24"/>
          <w:szCs w:val="20"/>
        </w:rPr>
      </w:pPr>
      <w:r w:rsidRPr="00BE76A7">
        <w:rPr>
          <w:rFonts w:ascii="Times New Roman" w:eastAsia="Times New Roman" w:hAnsi="Times New Roman"/>
          <w:sz w:val="24"/>
          <w:szCs w:val="20"/>
        </w:rPr>
        <w:t>Energy Savings – Replace equipment that has high energy losses with new equipment that is more energy efficient and improve the overall feeder energy performance.</w:t>
      </w:r>
    </w:p>
    <w:p w:rsidR="00BE76A7" w:rsidRPr="00BE76A7" w:rsidRDefault="00BE76A7" w:rsidP="00004CE2">
      <w:pPr>
        <w:pStyle w:val="NoSpacing"/>
        <w:numPr>
          <w:ilvl w:val="0"/>
          <w:numId w:val="41"/>
        </w:numPr>
        <w:rPr>
          <w:rFonts w:ascii="Times New Roman" w:eastAsia="Times New Roman" w:hAnsi="Times New Roman"/>
          <w:sz w:val="24"/>
          <w:szCs w:val="20"/>
        </w:rPr>
      </w:pPr>
      <w:r w:rsidRPr="00BE76A7">
        <w:rPr>
          <w:rFonts w:ascii="Times New Roman" w:eastAsia="Times New Roman" w:hAnsi="Times New Roman"/>
          <w:sz w:val="24"/>
          <w:szCs w:val="20"/>
        </w:rPr>
        <w:t>Operational Ability – Replace conductor and equipment that hinders outage detection and install smart grid devices that enable isolation of outages.</w:t>
      </w:r>
      <w:bookmarkStart w:id="156" w:name="_Toc227571594"/>
    </w:p>
    <w:p w:rsidR="00004CE2" w:rsidRPr="00BE76A7" w:rsidRDefault="00004CE2" w:rsidP="00004CE2">
      <w:pPr>
        <w:pStyle w:val="Heading3"/>
        <w:rPr>
          <w:rFonts w:cs="Arial"/>
        </w:rPr>
      </w:pPr>
      <w:bookmarkStart w:id="157" w:name="_Toc354493011"/>
      <w:r w:rsidRPr="00BE76A7">
        <w:rPr>
          <w:rFonts w:cs="Arial"/>
        </w:rPr>
        <w:t>Avista System Wide Vegetation Management Plan</w:t>
      </w:r>
      <w:bookmarkEnd w:id="156"/>
      <w:bookmarkEnd w:id="157"/>
    </w:p>
    <w:p w:rsidR="00004CE2" w:rsidRPr="00BE76A7" w:rsidRDefault="00004CE2" w:rsidP="00004CE2"/>
    <w:p w:rsidR="00004CE2" w:rsidRPr="00BE76A7" w:rsidRDefault="00004CE2" w:rsidP="00004CE2">
      <w:pPr>
        <w:autoSpaceDE w:val="0"/>
        <w:autoSpaceDN w:val="0"/>
        <w:adjustRightInd w:val="0"/>
      </w:pPr>
      <w:r w:rsidRPr="00BE76A7">
        <w:t xml:space="preserve">Avista has an annual vegetation management plan and budget to accomplish the plan. The budget is allocated into distribution, transmission, administration, and gas line re-clearing. </w:t>
      </w:r>
    </w:p>
    <w:p w:rsidR="00004CE2" w:rsidRPr="00BE76A7" w:rsidRDefault="00004CE2" w:rsidP="00004CE2">
      <w:pPr>
        <w:autoSpaceDE w:val="0"/>
        <w:autoSpaceDN w:val="0"/>
        <w:adjustRightInd w:val="0"/>
      </w:pPr>
    </w:p>
    <w:p w:rsidR="00004CE2" w:rsidRPr="00BE76A7" w:rsidRDefault="00004CE2" w:rsidP="00004CE2">
      <w:pPr>
        <w:autoSpaceDE w:val="0"/>
        <w:autoSpaceDN w:val="0"/>
        <w:adjustRightInd w:val="0"/>
        <w:rPr>
          <w:u w:val="single"/>
        </w:rPr>
      </w:pPr>
      <w:r w:rsidRPr="00BE76A7">
        <w:rPr>
          <w:u w:val="single"/>
        </w:rPr>
        <w:t>Distribution</w:t>
      </w:r>
    </w:p>
    <w:p w:rsidR="00004CE2" w:rsidRPr="00BE76A7" w:rsidRDefault="00004CE2" w:rsidP="00004CE2">
      <w:pPr>
        <w:autoSpaceDE w:val="0"/>
        <w:autoSpaceDN w:val="0"/>
        <w:adjustRightInd w:val="0"/>
      </w:pPr>
      <w:r w:rsidRPr="00BE76A7">
        <w:t xml:space="preserve">Avista’s distribution system is managed by Avista’s Utility Arborist. Every distribution circuit is scheduled to be line clearance pruned on a regular maintenance cycle of five years. The program also identifies risk trees system wide every two years.  Risk tree management includes:  </w:t>
      </w:r>
    </w:p>
    <w:p w:rsidR="00004CE2" w:rsidRPr="00BE76A7" w:rsidRDefault="00004CE2" w:rsidP="00004CE2">
      <w:pPr>
        <w:pStyle w:val="ListParagraph"/>
        <w:numPr>
          <w:ilvl w:val="0"/>
          <w:numId w:val="32"/>
        </w:numPr>
        <w:autoSpaceDE w:val="0"/>
        <w:autoSpaceDN w:val="0"/>
        <w:adjustRightInd w:val="0"/>
      </w:pPr>
      <w:r w:rsidRPr="00BE76A7">
        <w:t>Improved mid-cycle (two to three years after planned maintenance work is completed) Risk Tree assessment and mitigation on circuits in our more heavily vegetated areas (such as the Colville Division).</w:t>
      </w:r>
    </w:p>
    <w:p w:rsidR="00004CE2" w:rsidRPr="00BE76A7" w:rsidRDefault="00004CE2" w:rsidP="00004CE2">
      <w:pPr>
        <w:pStyle w:val="ListParagraph"/>
        <w:numPr>
          <w:ilvl w:val="0"/>
          <w:numId w:val="32"/>
        </w:numPr>
        <w:autoSpaceDE w:val="0"/>
        <w:autoSpaceDN w:val="0"/>
        <w:adjustRightInd w:val="0"/>
      </w:pPr>
      <w:r w:rsidRPr="00BE76A7">
        <w:t>Herbicide program to assess and address needed work on each circuit over a five year cycle (three years after line clearance work performed).</w:t>
      </w:r>
    </w:p>
    <w:p w:rsidR="00004CE2" w:rsidRPr="00074917" w:rsidRDefault="00004CE2" w:rsidP="00004CE2">
      <w:pPr>
        <w:autoSpaceDE w:val="0"/>
        <w:autoSpaceDN w:val="0"/>
        <w:adjustRightInd w:val="0"/>
      </w:pPr>
      <w:r>
        <w:t xml:space="preserve">  </w:t>
      </w:r>
    </w:p>
    <w:p w:rsidR="00004CE2" w:rsidRDefault="00004CE2" w:rsidP="00004CE2">
      <w:pPr>
        <w:autoSpaceDE w:val="0"/>
        <w:autoSpaceDN w:val="0"/>
        <w:adjustRightInd w:val="0"/>
        <w:rPr>
          <w:u w:val="single"/>
        </w:rPr>
      </w:pPr>
      <w:r w:rsidRPr="004C0ABC">
        <w:rPr>
          <w:u w:val="single"/>
        </w:rPr>
        <w:t>Transmission</w:t>
      </w:r>
    </w:p>
    <w:p w:rsidR="00004CE2" w:rsidRDefault="00004CE2" w:rsidP="00004CE2">
      <w:r>
        <w:t xml:space="preserve">The transmission system is managed by Avista’s forester.  All 230 kV lines are patrolled annually for hazard trees and other issues, and mitigation is done in that same year.  Approximately one third of the 115 kV transmission </w:t>
      </w:r>
      <w:proofErr w:type="gramStart"/>
      <w:r>
        <w:t>system</w:t>
      </w:r>
      <w:proofErr w:type="gramEnd"/>
      <w:r>
        <w:t xml:space="preserve"> is patrolled annually for hazard tree identification and assessment of right-of-way clearing needs.  Right-of-way clearing maintenance is scheduled and performed approximately every ten to fifteen years (for each line).  Interim spot work is done as identified and needed. Engineering specifications for various voltages, line configurations are followed when clearing the right-of-way.  Currently, the work is bid to a variety of contractors.</w:t>
      </w:r>
    </w:p>
    <w:p w:rsidR="00D3349D" w:rsidRDefault="00D3349D" w:rsidP="00074917">
      <w:pPr>
        <w:autoSpaceDE w:val="0"/>
        <w:autoSpaceDN w:val="0"/>
        <w:adjustRightInd w:val="0"/>
        <w:rPr>
          <w:rFonts w:ascii="Arial" w:hAnsi="Arial"/>
          <w:b/>
          <w:kern w:val="28"/>
          <w:sz w:val="28"/>
          <w:u w:val="single"/>
        </w:rPr>
      </w:pPr>
      <w:r>
        <w:br w:type="page"/>
      </w:r>
    </w:p>
    <w:p w:rsidR="005A498B" w:rsidRPr="00980946" w:rsidRDefault="005A498B" w:rsidP="005A498B">
      <w:pPr>
        <w:pStyle w:val="Heading1"/>
      </w:pPr>
      <w:bookmarkStart w:id="158" w:name="_Toc354493012"/>
      <w:r>
        <w:t>Customers Experiencing Multiple Interruptions</w:t>
      </w:r>
      <w:bookmarkEnd w:id="150"/>
      <w:bookmarkEnd w:id="151"/>
      <w:bookmarkEnd w:id="158"/>
      <w:r w:rsidRPr="00980946">
        <w:t xml:space="preserve">  </w:t>
      </w:r>
    </w:p>
    <w:p w:rsidR="005A498B" w:rsidRPr="004C0ABC" w:rsidRDefault="005A498B" w:rsidP="00AC2CFD">
      <w:pPr>
        <w:autoSpaceDE w:val="0"/>
        <w:autoSpaceDN w:val="0"/>
        <w:adjustRightInd w:val="0"/>
      </w:pPr>
    </w:p>
    <w:p w:rsidR="005A498B" w:rsidRDefault="008E687D" w:rsidP="005A498B">
      <w:r>
        <w:t xml:space="preserve">Avista has used the data from the OMT system integrated with the GIS system to geospatially display reliability data for specific conditions. </w:t>
      </w:r>
      <w:r w:rsidR="00C16785">
        <w:t>The specific conditions imply looking at the number of sustained interruptions for each service point (meter point). This would be similar to the SAIFI indice, but would be related to a certain number of sustained interruptions. Avista includes all sustained interruptions including those classified under Major Event Days. This provides a view of what each customer on a specific feeder experiences on an annual basis. Momentary Interruptions are not included in the CEMI</w:t>
      </w:r>
      <w:r w:rsidR="00C16785" w:rsidRPr="00C16785">
        <w:rPr>
          <w:i/>
          <w:sz w:val="28"/>
          <w:vertAlign w:val="subscript"/>
        </w:rPr>
        <w:t>n</w:t>
      </w:r>
      <w:r w:rsidR="00C16785">
        <w:t xml:space="preserve"> indice because </w:t>
      </w:r>
      <w:r w:rsidR="005A36F7">
        <w:t>by IEEE definition is only applies to sustained outages. Other Momentary Indices are not included because of the lack of indication at many rural substations and line locations</w:t>
      </w:r>
      <w:r w:rsidR="00C16785">
        <w:t>.</w:t>
      </w:r>
    </w:p>
    <w:p w:rsidR="00492D24" w:rsidRDefault="00492D24" w:rsidP="007637E6"/>
    <w:p w:rsidR="00DD4720" w:rsidRDefault="007406E8" w:rsidP="00DD4720">
      <w:r>
        <w:t xml:space="preserve">The first chart below provides a view of the percentage of customers served from the Avista system that have sustained interruptions. </w:t>
      </w:r>
      <w:r w:rsidR="005C5F39" w:rsidRPr="005C5F39">
        <w:t>7</w:t>
      </w:r>
      <w:r w:rsidR="00EE46D6">
        <w:t>2</w:t>
      </w:r>
      <w:r w:rsidR="00EB78F2" w:rsidRPr="005C5F39">
        <w:t xml:space="preserve"> %</w:t>
      </w:r>
      <w:r w:rsidRPr="005C5F39">
        <w:t xml:space="preserve"> of Avista customer</w:t>
      </w:r>
      <w:r w:rsidR="000A1DA2" w:rsidRPr="005C5F39">
        <w:t>s</w:t>
      </w:r>
      <w:r w:rsidRPr="005C5F39">
        <w:t xml:space="preserve"> had </w:t>
      </w:r>
      <w:r w:rsidR="000F1ED1" w:rsidRPr="005C5F39">
        <w:t>one</w:t>
      </w:r>
      <w:r w:rsidRPr="005C5F39">
        <w:t xml:space="preserve"> or fewer sustained interruptions </w:t>
      </w:r>
      <w:r w:rsidR="00EB78F2" w:rsidRPr="005C5F39">
        <w:t xml:space="preserve">and </w:t>
      </w:r>
      <w:r w:rsidR="00EE46D6">
        <w:t>3.1</w:t>
      </w:r>
      <w:r w:rsidR="00EB78F2" w:rsidRPr="005C5F39">
        <w:t>%</w:t>
      </w:r>
      <w:r w:rsidR="000A1DA2" w:rsidRPr="005C5F39">
        <w:t xml:space="preserve"> of Avista c</w:t>
      </w:r>
      <w:r w:rsidRPr="005C5F39">
        <w:t xml:space="preserve">ustomers had </w:t>
      </w:r>
      <w:r w:rsidR="00EB78F2" w:rsidRPr="005C5F39">
        <w:t>six or more sustained interruptions during 201</w:t>
      </w:r>
      <w:r w:rsidR="00EE46D6">
        <w:t>2</w:t>
      </w:r>
      <w:r w:rsidR="00EB78F2" w:rsidRPr="005C5F39">
        <w:t>.</w:t>
      </w:r>
    </w:p>
    <w:p w:rsidR="00107998" w:rsidRDefault="00107998" w:rsidP="00DD4720"/>
    <w:p w:rsidR="00107998" w:rsidRDefault="008525D7" w:rsidP="00DD4720">
      <w:r>
        <w:t>The remaining geographic plots show the sustained interruptions by color designation according to the legend on each plot for each office area. Note the office area is designated as the area in white for each plot and that there is overlap between adjacent office area plots. The adjacent office areas are shown in light yellow.</w:t>
      </w:r>
    </w:p>
    <w:p w:rsidR="008525D7" w:rsidRDefault="008525D7" w:rsidP="00DD4720"/>
    <w:p w:rsidR="00DD4720" w:rsidRDefault="008525D7" w:rsidP="00DD4720">
      <w:r>
        <w:t>The plots provide a quick visual indication of varying sustained interruptions, but significant additional analysis is required to determine underlying cause(s) of the interruptions and potential mitigation.</w:t>
      </w:r>
    </w:p>
    <w:p w:rsidR="00DD4720" w:rsidRDefault="00473AE9" w:rsidP="001E023F">
      <w:pPr>
        <w:pStyle w:val="Heading3"/>
      </w:pPr>
      <w:bookmarkStart w:id="159" w:name="_Toc354493013"/>
      <w:bookmarkStart w:id="160" w:name="_Toc193711001"/>
      <w:bookmarkStart w:id="161" w:name="_Toc227571596"/>
      <w:r>
        <w:t>Chart 5</w:t>
      </w:r>
      <w:r w:rsidR="001F6138">
        <w:t xml:space="preserve">.1 - </w:t>
      </w:r>
      <w:r w:rsidR="00DD4720">
        <w:t>Avista Service Territory</w:t>
      </w:r>
      <w:r w:rsidR="000E4745">
        <w:t xml:space="preserve"> - </w:t>
      </w:r>
      <w:r w:rsidR="00DD4720" w:rsidRPr="00264A85">
        <w:t>CEMI</w:t>
      </w:r>
      <w:r w:rsidR="00DD4720" w:rsidRPr="00264A85">
        <w:rPr>
          <w:i/>
          <w:sz w:val="28"/>
          <w:vertAlign w:val="subscript"/>
        </w:rPr>
        <w:t>n</w:t>
      </w:r>
      <w:bookmarkEnd w:id="159"/>
      <w:r w:rsidR="00DD4720" w:rsidRPr="00264A85">
        <w:t xml:space="preserve"> </w:t>
      </w:r>
      <w:bookmarkEnd w:id="160"/>
      <w:bookmarkEnd w:id="161"/>
    </w:p>
    <w:p w:rsidR="00492D24" w:rsidRDefault="00492D24" w:rsidP="00DD4720"/>
    <w:p w:rsidR="00E50C85" w:rsidRPr="00E50C85" w:rsidRDefault="003B697F" w:rsidP="003B697F">
      <w:pPr>
        <w:spacing w:after="120"/>
        <w:jc w:val="center"/>
        <w:sectPr w:rsidR="00E50C85" w:rsidRPr="00E50C85" w:rsidSect="00D3349D">
          <w:pgSz w:w="12240" w:h="15840" w:code="1"/>
          <w:pgMar w:top="1008" w:right="1008" w:bottom="1008" w:left="1008" w:header="720" w:footer="720" w:gutter="0"/>
          <w:cols w:space="720"/>
        </w:sectPr>
      </w:pPr>
      <w:r w:rsidRPr="003B697F">
        <w:rPr>
          <w:noProof/>
        </w:rPr>
        <w:drawing>
          <wp:inline distT="0" distB="0" distL="0" distR="0">
            <wp:extent cx="4784725" cy="3581400"/>
            <wp:effectExtent l="19050" t="0" r="15875" b="0"/>
            <wp:docPr id="4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E023F" w:rsidRDefault="00473AE9" w:rsidP="001E023F">
      <w:pPr>
        <w:pStyle w:val="Heading3"/>
      </w:pPr>
      <w:bookmarkStart w:id="162" w:name="_Toc193711002"/>
      <w:bookmarkStart w:id="163" w:name="_Toc227571597"/>
      <w:bookmarkStart w:id="164" w:name="_Toc354493014"/>
      <w:r>
        <w:t>Chart 5</w:t>
      </w:r>
      <w:r w:rsidR="007604DD">
        <w:t xml:space="preserve">.2 - </w:t>
      </w:r>
      <w:r w:rsidR="001E023F">
        <w:t>Colville Office - CEMI</w:t>
      </w:r>
      <w:r w:rsidR="001E023F" w:rsidRPr="001E023F">
        <w:rPr>
          <w:i/>
          <w:sz w:val="28"/>
          <w:vertAlign w:val="subscript"/>
        </w:rPr>
        <w:t>n</w:t>
      </w:r>
      <w:bookmarkEnd w:id="162"/>
      <w:bookmarkEnd w:id="163"/>
      <w:bookmarkEnd w:id="164"/>
    </w:p>
    <w:p w:rsidR="00C006E1" w:rsidRPr="00FD1CD9" w:rsidRDefault="00F95D3B" w:rsidP="002E54CF">
      <w:pPr>
        <w:spacing w:before="120" w:after="120"/>
        <w:jc w:val="center"/>
      </w:pPr>
      <w:bookmarkStart w:id="165" w:name="OLE_LINK10"/>
      <w:bookmarkStart w:id="166" w:name="OLE_LINK11"/>
      <w:r>
        <w:rPr>
          <w:noProof/>
        </w:rPr>
        <w:drawing>
          <wp:inline distT="0" distB="0" distL="0" distR="0">
            <wp:extent cx="5153477" cy="8134597"/>
            <wp:effectExtent l="19050" t="0" r="90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srcRect/>
                    <a:stretch>
                      <a:fillRect/>
                    </a:stretch>
                  </pic:blipFill>
                  <pic:spPr bwMode="auto">
                    <a:xfrm>
                      <a:off x="0" y="0"/>
                      <a:ext cx="5153589" cy="8134774"/>
                    </a:xfrm>
                    <a:prstGeom prst="rect">
                      <a:avLst/>
                    </a:prstGeom>
                    <a:noFill/>
                    <a:ln w="9525">
                      <a:noFill/>
                      <a:miter lim="800000"/>
                      <a:headEnd/>
                      <a:tailEnd/>
                    </a:ln>
                  </pic:spPr>
                </pic:pic>
              </a:graphicData>
            </a:graphic>
          </wp:inline>
        </w:drawing>
      </w:r>
    </w:p>
    <w:p w:rsidR="0087607F" w:rsidRDefault="00473AE9" w:rsidP="007637E6">
      <w:pPr>
        <w:pStyle w:val="Heading3"/>
      </w:pPr>
      <w:bookmarkStart w:id="167" w:name="_Toc193711003"/>
      <w:bookmarkStart w:id="168" w:name="_Toc227571598"/>
      <w:bookmarkStart w:id="169" w:name="_Toc354493015"/>
      <w:r>
        <w:t>Chart 5</w:t>
      </w:r>
      <w:r w:rsidR="007604DD">
        <w:t xml:space="preserve">.3 - </w:t>
      </w:r>
      <w:r w:rsidR="0087607F">
        <w:t>Davenport Office - CEMI</w:t>
      </w:r>
      <w:bookmarkEnd w:id="165"/>
      <w:bookmarkEnd w:id="166"/>
      <w:r w:rsidR="004145C5" w:rsidRPr="00DD4720">
        <w:rPr>
          <w:i/>
          <w:sz w:val="28"/>
          <w:vertAlign w:val="subscript"/>
        </w:rPr>
        <w:t>n</w:t>
      </w:r>
      <w:bookmarkEnd w:id="167"/>
      <w:bookmarkEnd w:id="168"/>
      <w:bookmarkEnd w:id="169"/>
    </w:p>
    <w:p w:rsidR="00E32D28" w:rsidRDefault="00F95D3B" w:rsidP="00E32D28">
      <w:pPr>
        <w:jc w:val="center"/>
      </w:pPr>
      <w:r>
        <w:rPr>
          <w:noProof/>
        </w:rPr>
        <w:drawing>
          <wp:inline distT="0" distB="0" distL="0" distR="0">
            <wp:extent cx="5240703" cy="8277101"/>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240769" cy="8277206"/>
                    </a:xfrm>
                    <a:prstGeom prst="rect">
                      <a:avLst/>
                    </a:prstGeom>
                    <a:noFill/>
                    <a:ln w="9525">
                      <a:noFill/>
                      <a:miter lim="800000"/>
                      <a:headEnd/>
                      <a:tailEnd/>
                    </a:ln>
                  </pic:spPr>
                </pic:pic>
              </a:graphicData>
            </a:graphic>
          </wp:inline>
        </w:drawing>
      </w:r>
      <w:r w:rsidR="0087607F">
        <w:br w:type="page"/>
      </w:r>
      <w:bookmarkStart w:id="170" w:name="_Toc193711004"/>
      <w:bookmarkStart w:id="171" w:name="_Toc227571599"/>
    </w:p>
    <w:p w:rsidR="00FF54FA" w:rsidRDefault="00473AE9" w:rsidP="00E32D28">
      <w:pPr>
        <w:rPr>
          <w:rStyle w:val="Heading3Char"/>
          <w:iCs/>
          <w:sz w:val="28"/>
        </w:rPr>
      </w:pPr>
      <w:bookmarkStart w:id="172" w:name="_Toc354493016"/>
      <w:r>
        <w:rPr>
          <w:rStyle w:val="Heading3Char"/>
        </w:rPr>
        <w:t>Chart 5</w:t>
      </w:r>
      <w:r w:rsidR="007604DD">
        <w:rPr>
          <w:rStyle w:val="Heading3Char"/>
        </w:rPr>
        <w:t xml:space="preserve">.4 - </w:t>
      </w:r>
      <w:r w:rsidR="00C006E1" w:rsidRPr="000C5DC0">
        <w:rPr>
          <w:rStyle w:val="Heading3Char"/>
        </w:rPr>
        <w:t>Deer Park Office - CEMI</w:t>
      </w:r>
      <w:r w:rsidR="004145C5" w:rsidRPr="000C5DC0">
        <w:rPr>
          <w:rStyle w:val="Heading3Char"/>
          <w:i/>
          <w:iCs/>
          <w:sz w:val="28"/>
          <w:vertAlign w:val="subscript"/>
        </w:rPr>
        <w:t>n</w:t>
      </w:r>
      <w:bookmarkEnd w:id="170"/>
      <w:bookmarkEnd w:id="171"/>
      <w:bookmarkEnd w:id="172"/>
    </w:p>
    <w:p w:rsidR="00FF54FA" w:rsidRPr="00FF54FA" w:rsidRDefault="00F95D3B" w:rsidP="00E32D28">
      <w:pPr>
        <w:jc w:val="center"/>
        <w:rPr>
          <w:rFonts w:ascii="Arial" w:hAnsi="Arial"/>
          <w:iCs/>
          <w:sz w:val="28"/>
        </w:rPr>
      </w:pPr>
      <w:r>
        <w:rPr>
          <w:rFonts w:ascii="Arial" w:hAnsi="Arial"/>
          <w:iCs/>
          <w:noProof/>
          <w:sz w:val="28"/>
        </w:rPr>
        <w:drawing>
          <wp:inline distT="0" distB="0" distL="0" distR="0">
            <wp:extent cx="5265719" cy="8320937"/>
            <wp:effectExtent l="1905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267889" cy="8324366"/>
                    </a:xfrm>
                    <a:prstGeom prst="rect">
                      <a:avLst/>
                    </a:prstGeom>
                    <a:noFill/>
                    <a:ln w="9525">
                      <a:noFill/>
                      <a:miter lim="800000"/>
                      <a:headEnd/>
                      <a:tailEnd/>
                    </a:ln>
                  </pic:spPr>
                </pic:pic>
              </a:graphicData>
            </a:graphic>
          </wp:inline>
        </w:drawing>
      </w:r>
    </w:p>
    <w:p w:rsidR="000E3347" w:rsidRPr="00285E7C" w:rsidRDefault="000E3347" w:rsidP="007637E6">
      <w:pPr>
        <w:sectPr w:rsidR="000E3347" w:rsidRPr="00285E7C" w:rsidSect="002A49F9">
          <w:pgSz w:w="12240" w:h="15840" w:code="1"/>
          <w:pgMar w:top="1008" w:right="1008" w:bottom="1008" w:left="1008" w:header="720" w:footer="720" w:gutter="0"/>
          <w:cols w:space="720"/>
        </w:sectPr>
      </w:pPr>
    </w:p>
    <w:p w:rsidR="00C006E1" w:rsidRPr="00A8789C" w:rsidRDefault="00473AE9" w:rsidP="00A8789C">
      <w:pPr>
        <w:pStyle w:val="Heading3"/>
        <w:rPr>
          <w:i/>
          <w:iCs/>
          <w:sz w:val="28"/>
        </w:rPr>
      </w:pPr>
      <w:bookmarkStart w:id="173" w:name="_Toc193711005"/>
      <w:bookmarkStart w:id="174" w:name="_Toc227571600"/>
      <w:bookmarkStart w:id="175" w:name="_Toc354493017"/>
      <w:r>
        <w:t>Chart 5</w:t>
      </w:r>
      <w:r w:rsidR="007604DD">
        <w:t xml:space="preserve">.5 - </w:t>
      </w:r>
      <w:r w:rsidR="00C006E1" w:rsidRPr="00A8789C">
        <w:t>Othello Office - CEMI</w:t>
      </w:r>
      <w:r w:rsidR="007F737E" w:rsidRPr="00DD4720">
        <w:rPr>
          <w:i/>
          <w:sz w:val="28"/>
          <w:vertAlign w:val="subscript"/>
        </w:rPr>
        <w:t>n</w:t>
      </w:r>
      <w:bookmarkEnd w:id="173"/>
      <w:bookmarkEnd w:id="174"/>
      <w:bookmarkEnd w:id="175"/>
    </w:p>
    <w:p w:rsidR="00E32D28" w:rsidRDefault="00F95D3B" w:rsidP="00E32D28">
      <w:pPr>
        <w:jc w:val="center"/>
      </w:pPr>
      <w:r>
        <w:rPr>
          <w:noProof/>
        </w:rPr>
        <w:drawing>
          <wp:inline distT="0" distB="0" distL="0" distR="0">
            <wp:extent cx="8778240" cy="5655020"/>
            <wp:effectExtent l="1905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8778240" cy="5655020"/>
                    </a:xfrm>
                    <a:prstGeom prst="rect">
                      <a:avLst/>
                    </a:prstGeom>
                    <a:noFill/>
                    <a:ln w="9525">
                      <a:noFill/>
                      <a:miter lim="800000"/>
                      <a:headEnd/>
                      <a:tailEnd/>
                    </a:ln>
                  </pic:spPr>
                </pic:pic>
              </a:graphicData>
            </a:graphic>
          </wp:inline>
        </w:drawing>
      </w:r>
      <w:r w:rsidR="0087607F">
        <w:br w:type="page"/>
      </w:r>
      <w:bookmarkStart w:id="176" w:name="_Toc193711006"/>
      <w:bookmarkStart w:id="177" w:name="_Toc227571601"/>
    </w:p>
    <w:p w:rsidR="004145C5" w:rsidRPr="00A8789C" w:rsidRDefault="00473AE9" w:rsidP="00E32D28">
      <w:pPr>
        <w:rPr>
          <w:rFonts w:ascii="Arial" w:hAnsi="Arial"/>
          <w:i/>
          <w:iCs/>
          <w:sz w:val="28"/>
        </w:rPr>
      </w:pPr>
      <w:bookmarkStart w:id="178" w:name="_Toc354493018"/>
      <w:r>
        <w:rPr>
          <w:rStyle w:val="Heading3Char"/>
        </w:rPr>
        <w:t>Chart 5</w:t>
      </w:r>
      <w:r w:rsidR="007604DD">
        <w:rPr>
          <w:rStyle w:val="Heading3Char"/>
        </w:rPr>
        <w:t xml:space="preserve">.6 - </w:t>
      </w:r>
      <w:r w:rsidR="00446366" w:rsidRPr="006B3142">
        <w:rPr>
          <w:rStyle w:val="Heading3Char"/>
        </w:rPr>
        <w:t>Palouse Office - CEMI</w:t>
      </w:r>
      <w:r w:rsidR="004145C5" w:rsidRPr="006B3142">
        <w:rPr>
          <w:rStyle w:val="Heading3Char"/>
          <w:i/>
          <w:iCs/>
          <w:sz w:val="28"/>
          <w:vertAlign w:val="subscript"/>
        </w:rPr>
        <w:t>n</w:t>
      </w:r>
      <w:bookmarkEnd w:id="176"/>
      <w:bookmarkEnd w:id="177"/>
      <w:bookmarkEnd w:id="178"/>
    </w:p>
    <w:p w:rsidR="00E32D28" w:rsidRDefault="00F95D3B" w:rsidP="00E32D28">
      <w:pPr>
        <w:jc w:val="center"/>
      </w:pPr>
      <w:r>
        <w:rPr>
          <w:noProof/>
        </w:rPr>
        <w:drawing>
          <wp:inline distT="0" distB="0" distL="0" distR="0">
            <wp:extent cx="8778240" cy="5665655"/>
            <wp:effectExtent l="19050" t="0" r="3810" b="0"/>
            <wp:docPr id="1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8778240" cy="5665655"/>
                    </a:xfrm>
                    <a:prstGeom prst="rect">
                      <a:avLst/>
                    </a:prstGeom>
                    <a:noFill/>
                    <a:ln w="9525">
                      <a:noFill/>
                      <a:miter lim="800000"/>
                      <a:headEnd/>
                      <a:tailEnd/>
                    </a:ln>
                  </pic:spPr>
                </pic:pic>
              </a:graphicData>
            </a:graphic>
          </wp:inline>
        </w:drawing>
      </w:r>
      <w:r w:rsidR="00446366">
        <w:br w:type="page"/>
      </w:r>
      <w:bookmarkStart w:id="179" w:name="_Toc193711007"/>
      <w:bookmarkStart w:id="180" w:name="_Toc227571602"/>
    </w:p>
    <w:p w:rsidR="004145C5" w:rsidRDefault="00473AE9" w:rsidP="00E32D28">
      <w:pPr>
        <w:rPr>
          <w:rStyle w:val="Heading3Char"/>
          <w:i/>
          <w:iCs/>
          <w:sz w:val="28"/>
          <w:vertAlign w:val="subscript"/>
        </w:rPr>
      </w:pPr>
      <w:bookmarkStart w:id="181" w:name="_Toc354493019"/>
      <w:r>
        <w:rPr>
          <w:rStyle w:val="Heading3Char"/>
        </w:rPr>
        <w:t>Chart 5</w:t>
      </w:r>
      <w:r w:rsidR="007604DD">
        <w:rPr>
          <w:rStyle w:val="Heading3Char"/>
        </w:rPr>
        <w:t xml:space="preserve">.7 - </w:t>
      </w:r>
      <w:r w:rsidR="00446366" w:rsidRPr="0024730D">
        <w:rPr>
          <w:rStyle w:val="Heading3Char"/>
        </w:rPr>
        <w:t>Lewis-Clark Office - CEMI</w:t>
      </w:r>
      <w:r w:rsidR="004145C5" w:rsidRPr="0024730D">
        <w:rPr>
          <w:rStyle w:val="Heading3Char"/>
          <w:i/>
          <w:iCs/>
          <w:sz w:val="28"/>
          <w:vertAlign w:val="subscript"/>
        </w:rPr>
        <w:t>n</w:t>
      </w:r>
      <w:bookmarkEnd w:id="179"/>
      <w:bookmarkEnd w:id="180"/>
      <w:bookmarkEnd w:id="181"/>
    </w:p>
    <w:p w:rsidR="00C2228F" w:rsidRPr="00A8789C" w:rsidRDefault="00C2228F" w:rsidP="00E32D28">
      <w:pPr>
        <w:rPr>
          <w:rFonts w:ascii="Arial" w:hAnsi="Arial"/>
          <w:i/>
          <w:iCs/>
          <w:sz w:val="28"/>
        </w:rPr>
      </w:pPr>
    </w:p>
    <w:p w:rsidR="00E32D28" w:rsidRDefault="00F95D3B" w:rsidP="00E32D28">
      <w:pPr>
        <w:jc w:val="center"/>
      </w:pPr>
      <w:r>
        <w:rPr>
          <w:noProof/>
        </w:rPr>
        <w:drawing>
          <wp:inline distT="0" distB="0" distL="0" distR="0">
            <wp:extent cx="8778240" cy="5649574"/>
            <wp:effectExtent l="19050" t="0" r="381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8778240" cy="5649574"/>
                    </a:xfrm>
                    <a:prstGeom prst="rect">
                      <a:avLst/>
                    </a:prstGeom>
                    <a:noFill/>
                    <a:ln w="9525">
                      <a:noFill/>
                      <a:miter lim="800000"/>
                      <a:headEnd/>
                      <a:tailEnd/>
                    </a:ln>
                  </pic:spPr>
                </pic:pic>
              </a:graphicData>
            </a:graphic>
          </wp:inline>
        </w:drawing>
      </w:r>
      <w:r w:rsidR="00446366">
        <w:br w:type="page"/>
      </w:r>
      <w:bookmarkStart w:id="182" w:name="_Toc193711008"/>
      <w:bookmarkStart w:id="183" w:name="_Toc227571603"/>
    </w:p>
    <w:p w:rsidR="004145C5" w:rsidRDefault="007604DD" w:rsidP="00E32D28">
      <w:pPr>
        <w:rPr>
          <w:rStyle w:val="Heading3Char"/>
          <w:i/>
          <w:iCs/>
          <w:sz w:val="28"/>
          <w:vertAlign w:val="subscript"/>
        </w:rPr>
      </w:pPr>
      <w:bookmarkStart w:id="184" w:name="_Toc354493020"/>
      <w:r>
        <w:rPr>
          <w:rStyle w:val="Heading3Char"/>
        </w:rPr>
        <w:t>Cha</w:t>
      </w:r>
      <w:r w:rsidR="00473AE9">
        <w:rPr>
          <w:rStyle w:val="Heading3Char"/>
        </w:rPr>
        <w:t>rt 5</w:t>
      </w:r>
      <w:r>
        <w:rPr>
          <w:rStyle w:val="Heading3Char"/>
        </w:rPr>
        <w:t xml:space="preserve">.8 - </w:t>
      </w:r>
      <w:r w:rsidR="006D45A7" w:rsidRPr="004D708F">
        <w:rPr>
          <w:rStyle w:val="Heading3Char"/>
        </w:rPr>
        <w:t>Spokane Office - CEMI</w:t>
      </w:r>
      <w:r w:rsidR="004145C5" w:rsidRPr="00D639E7">
        <w:rPr>
          <w:rStyle w:val="Heading3Char"/>
          <w:i/>
          <w:iCs/>
          <w:sz w:val="28"/>
          <w:vertAlign w:val="subscript"/>
        </w:rPr>
        <w:t>n</w:t>
      </w:r>
      <w:bookmarkEnd w:id="182"/>
      <w:bookmarkEnd w:id="183"/>
      <w:bookmarkEnd w:id="184"/>
    </w:p>
    <w:p w:rsidR="00C2228F" w:rsidRPr="00A8789C" w:rsidRDefault="00C2228F" w:rsidP="00E32D28">
      <w:pPr>
        <w:rPr>
          <w:rFonts w:ascii="Arial" w:hAnsi="Arial"/>
          <w:i/>
          <w:iCs/>
          <w:sz w:val="28"/>
        </w:rPr>
      </w:pPr>
    </w:p>
    <w:p w:rsidR="00E32D28" w:rsidRDefault="00F95D3B" w:rsidP="00E32D28">
      <w:pPr>
        <w:jc w:val="center"/>
      </w:pPr>
      <w:r>
        <w:rPr>
          <w:noProof/>
        </w:rPr>
        <w:drawing>
          <wp:inline distT="0" distB="0" distL="0" distR="0">
            <wp:extent cx="8778240" cy="5655020"/>
            <wp:effectExtent l="19050" t="0" r="3810" b="0"/>
            <wp:docPr id="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8778240" cy="5655020"/>
                    </a:xfrm>
                    <a:prstGeom prst="rect">
                      <a:avLst/>
                    </a:prstGeom>
                    <a:noFill/>
                    <a:ln w="9525">
                      <a:noFill/>
                      <a:miter lim="800000"/>
                      <a:headEnd/>
                      <a:tailEnd/>
                    </a:ln>
                  </pic:spPr>
                </pic:pic>
              </a:graphicData>
            </a:graphic>
          </wp:inline>
        </w:drawing>
      </w:r>
      <w:r w:rsidR="00007930">
        <w:br w:type="page"/>
      </w:r>
      <w:bookmarkStart w:id="185" w:name="_Toc193711009"/>
      <w:bookmarkStart w:id="186" w:name="_Toc227571604"/>
    </w:p>
    <w:p w:rsidR="006C7F78" w:rsidRDefault="00473AE9" w:rsidP="00E32D28">
      <w:pPr>
        <w:rPr>
          <w:rStyle w:val="Heading3Char"/>
          <w:i/>
          <w:iCs/>
          <w:sz w:val="28"/>
          <w:vertAlign w:val="subscript"/>
        </w:rPr>
      </w:pPr>
      <w:bookmarkStart w:id="187" w:name="_Toc354493021"/>
      <w:r>
        <w:rPr>
          <w:rStyle w:val="Heading3Char"/>
        </w:rPr>
        <w:t>Chart 5</w:t>
      </w:r>
      <w:r w:rsidR="007604DD">
        <w:rPr>
          <w:rStyle w:val="Heading3Char"/>
        </w:rPr>
        <w:t xml:space="preserve">.9 - </w:t>
      </w:r>
      <w:r w:rsidR="006C7F78" w:rsidRPr="00D639E7">
        <w:rPr>
          <w:rStyle w:val="Heading3Char"/>
        </w:rPr>
        <w:t>Sandpoint Office - CEMI</w:t>
      </w:r>
      <w:r w:rsidR="006C7F78" w:rsidRPr="00D639E7">
        <w:rPr>
          <w:rStyle w:val="Heading3Char"/>
          <w:i/>
          <w:iCs/>
          <w:sz w:val="28"/>
          <w:vertAlign w:val="subscript"/>
        </w:rPr>
        <w:t>n</w:t>
      </w:r>
      <w:bookmarkEnd w:id="185"/>
      <w:bookmarkEnd w:id="186"/>
      <w:bookmarkEnd w:id="187"/>
    </w:p>
    <w:p w:rsidR="00C2228F" w:rsidRPr="00A8789C" w:rsidRDefault="00C2228F" w:rsidP="00E32D28">
      <w:pPr>
        <w:rPr>
          <w:rFonts w:ascii="Arial" w:hAnsi="Arial"/>
          <w:i/>
          <w:iCs/>
          <w:sz w:val="28"/>
        </w:rPr>
      </w:pPr>
    </w:p>
    <w:p w:rsidR="00E32D28" w:rsidRDefault="00F95D3B" w:rsidP="00E32D28">
      <w:pPr>
        <w:jc w:val="center"/>
      </w:pPr>
      <w:r>
        <w:rPr>
          <w:noProof/>
        </w:rPr>
        <w:drawing>
          <wp:inline distT="0" distB="0" distL="0" distR="0">
            <wp:extent cx="8597182" cy="5685367"/>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8598637" cy="5686329"/>
                    </a:xfrm>
                    <a:prstGeom prst="rect">
                      <a:avLst/>
                    </a:prstGeom>
                    <a:noFill/>
                    <a:ln w="9525">
                      <a:noFill/>
                      <a:miter lim="800000"/>
                      <a:headEnd/>
                      <a:tailEnd/>
                    </a:ln>
                  </pic:spPr>
                </pic:pic>
              </a:graphicData>
            </a:graphic>
          </wp:inline>
        </w:drawing>
      </w:r>
      <w:r w:rsidR="006C7F78">
        <w:br w:type="page"/>
      </w:r>
      <w:bookmarkStart w:id="188" w:name="_Toc193711010"/>
      <w:bookmarkStart w:id="189" w:name="_Toc227571605"/>
    </w:p>
    <w:p w:rsidR="004145C5" w:rsidRDefault="00473AE9" w:rsidP="00E32D28">
      <w:pPr>
        <w:rPr>
          <w:rStyle w:val="Heading3Char"/>
          <w:i/>
          <w:iCs/>
          <w:sz w:val="28"/>
          <w:vertAlign w:val="subscript"/>
        </w:rPr>
      </w:pPr>
      <w:bookmarkStart w:id="190" w:name="_Toc354493022"/>
      <w:r>
        <w:rPr>
          <w:rStyle w:val="Heading3Char"/>
        </w:rPr>
        <w:t>Chart 5</w:t>
      </w:r>
      <w:r w:rsidR="007604DD">
        <w:rPr>
          <w:rStyle w:val="Heading3Char"/>
        </w:rPr>
        <w:t xml:space="preserve">.10 - </w:t>
      </w:r>
      <w:r w:rsidR="005A7CA7" w:rsidRPr="00D639E7">
        <w:rPr>
          <w:rStyle w:val="Heading3Char"/>
        </w:rPr>
        <w:t>Kellogg</w:t>
      </w:r>
      <w:r w:rsidR="006C7F78" w:rsidRPr="00D639E7">
        <w:rPr>
          <w:rStyle w:val="Heading3Char"/>
        </w:rPr>
        <w:t xml:space="preserve"> Office - CEMI</w:t>
      </w:r>
      <w:r w:rsidR="004145C5" w:rsidRPr="00D639E7">
        <w:rPr>
          <w:rStyle w:val="Heading3Char"/>
          <w:i/>
          <w:iCs/>
          <w:sz w:val="28"/>
          <w:vertAlign w:val="subscript"/>
        </w:rPr>
        <w:t>n</w:t>
      </w:r>
      <w:bookmarkEnd w:id="188"/>
      <w:bookmarkEnd w:id="189"/>
      <w:bookmarkEnd w:id="190"/>
    </w:p>
    <w:p w:rsidR="00C2228F" w:rsidRPr="00A8789C" w:rsidRDefault="00C2228F" w:rsidP="00E32D28">
      <w:pPr>
        <w:rPr>
          <w:rFonts w:ascii="Arial" w:hAnsi="Arial"/>
          <w:i/>
          <w:iCs/>
          <w:sz w:val="28"/>
        </w:rPr>
      </w:pPr>
    </w:p>
    <w:p w:rsidR="00FD03A8" w:rsidRPr="007B3164" w:rsidRDefault="00F95D3B" w:rsidP="00E32D28">
      <w:pPr>
        <w:jc w:val="center"/>
        <w:sectPr w:rsidR="00FD03A8" w:rsidRPr="007B3164" w:rsidSect="002A49F9">
          <w:pgSz w:w="15840" w:h="12240" w:orient="landscape" w:code="1"/>
          <w:pgMar w:top="1008" w:right="1008" w:bottom="1008" w:left="1008" w:header="720" w:footer="720" w:gutter="0"/>
          <w:cols w:space="720"/>
        </w:sectPr>
      </w:pPr>
      <w:bookmarkStart w:id="191" w:name="_Toc98906770"/>
      <w:bookmarkStart w:id="192" w:name="_Toc165342445"/>
      <w:r>
        <w:rPr>
          <w:noProof/>
        </w:rPr>
        <w:drawing>
          <wp:inline distT="0" distB="0" distL="0" distR="0">
            <wp:extent cx="8778240" cy="5785739"/>
            <wp:effectExtent l="19050" t="0" r="3810"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8778240" cy="5785739"/>
                    </a:xfrm>
                    <a:prstGeom prst="rect">
                      <a:avLst/>
                    </a:prstGeom>
                    <a:noFill/>
                    <a:ln w="9525">
                      <a:noFill/>
                      <a:miter lim="800000"/>
                      <a:headEnd/>
                      <a:tailEnd/>
                    </a:ln>
                  </pic:spPr>
                </pic:pic>
              </a:graphicData>
            </a:graphic>
          </wp:inline>
        </w:drawing>
      </w:r>
    </w:p>
    <w:p w:rsidR="005A7CA7" w:rsidRDefault="007604DD" w:rsidP="005A7CA7">
      <w:pPr>
        <w:pStyle w:val="Heading3"/>
      </w:pPr>
      <w:bookmarkStart w:id="193" w:name="_Toc193711011"/>
      <w:bookmarkStart w:id="194" w:name="_Toc227571606"/>
      <w:bookmarkStart w:id="195" w:name="_Toc354493023"/>
      <w:r>
        <w:t xml:space="preserve">Chart </w:t>
      </w:r>
      <w:r w:rsidR="00473AE9">
        <w:t>5</w:t>
      </w:r>
      <w:r>
        <w:t xml:space="preserve">.11 - </w:t>
      </w:r>
      <w:r w:rsidR="005A7CA7">
        <w:t>Coeur d’Alene - CEMI</w:t>
      </w:r>
      <w:r w:rsidR="005A7CA7" w:rsidRPr="001E023F">
        <w:rPr>
          <w:i/>
          <w:sz w:val="28"/>
          <w:vertAlign w:val="subscript"/>
        </w:rPr>
        <w:t>n</w:t>
      </w:r>
      <w:bookmarkEnd w:id="193"/>
      <w:bookmarkEnd w:id="194"/>
      <w:bookmarkEnd w:id="195"/>
    </w:p>
    <w:p w:rsidR="00CA4E12" w:rsidRDefault="00F95D3B" w:rsidP="006176A2">
      <w:pPr>
        <w:jc w:val="center"/>
      </w:pPr>
      <w:r>
        <w:rPr>
          <w:noProof/>
        </w:rPr>
        <w:drawing>
          <wp:inline distT="0" distB="0" distL="0" distR="0">
            <wp:extent cx="5240761" cy="825198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a:stretch>
                      <a:fillRect/>
                    </a:stretch>
                  </pic:blipFill>
                  <pic:spPr bwMode="auto">
                    <a:xfrm>
                      <a:off x="0" y="0"/>
                      <a:ext cx="5241801" cy="8253625"/>
                    </a:xfrm>
                    <a:prstGeom prst="rect">
                      <a:avLst/>
                    </a:prstGeom>
                    <a:noFill/>
                    <a:ln w="9525">
                      <a:noFill/>
                      <a:miter lim="800000"/>
                      <a:headEnd/>
                      <a:tailEnd/>
                    </a:ln>
                  </pic:spPr>
                </pic:pic>
              </a:graphicData>
            </a:graphic>
          </wp:inline>
        </w:drawing>
      </w:r>
    </w:p>
    <w:p w:rsidR="004145C5" w:rsidRDefault="005A7CA7" w:rsidP="007604DD">
      <w:pPr>
        <w:pStyle w:val="Heading3"/>
        <w:rPr>
          <w:i/>
          <w:iCs/>
          <w:sz w:val="28"/>
          <w:vertAlign w:val="subscript"/>
        </w:rPr>
      </w:pPr>
      <w:r>
        <w:br w:type="page"/>
      </w:r>
      <w:bookmarkStart w:id="196" w:name="_Toc193711012"/>
      <w:bookmarkStart w:id="197" w:name="_Toc227571607"/>
      <w:bookmarkStart w:id="198" w:name="_Toc354493024"/>
      <w:r w:rsidR="007604DD">
        <w:t xml:space="preserve">Chart </w:t>
      </w:r>
      <w:r w:rsidR="00473AE9">
        <w:t>5</w:t>
      </w:r>
      <w:r w:rsidR="007604DD">
        <w:t xml:space="preserve">.12 - </w:t>
      </w:r>
      <w:r w:rsidRPr="007604DD">
        <w:t>Grangeville Office - CEMI</w:t>
      </w:r>
      <w:r w:rsidR="004145C5" w:rsidRPr="007604DD">
        <w:rPr>
          <w:i/>
          <w:iCs/>
          <w:sz w:val="28"/>
          <w:vertAlign w:val="subscript"/>
        </w:rPr>
        <w:t>n</w:t>
      </w:r>
      <w:bookmarkEnd w:id="196"/>
      <w:bookmarkEnd w:id="197"/>
      <w:bookmarkEnd w:id="198"/>
    </w:p>
    <w:p w:rsidR="00CA4E12" w:rsidRDefault="00F95D3B" w:rsidP="00CA4E12">
      <w:pPr>
        <w:jc w:val="center"/>
      </w:pPr>
      <w:r>
        <w:rPr>
          <w:noProof/>
        </w:rPr>
        <w:drawing>
          <wp:inline distT="0" distB="0" distL="0" distR="0">
            <wp:extent cx="5149590" cy="8122723"/>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print"/>
                    <a:srcRect/>
                    <a:stretch>
                      <a:fillRect/>
                    </a:stretch>
                  </pic:blipFill>
                  <pic:spPr bwMode="auto">
                    <a:xfrm>
                      <a:off x="0" y="0"/>
                      <a:ext cx="5149689" cy="8122879"/>
                    </a:xfrm>
                    <a:prstGeom prst="rect">
                      <a:avLst/>
                    </a:prstGeom>
                    <a:noFill/>
                    <a:ln w="9525">
                      <a:noFill/>
                      <a:miter lim="800000"/>
                      <a:headEnd/>
                      <a:tailEnd/>
                    </a:ln>
                  </pic:spPr>
                </pic:pic>
              </a:graphicData>
            </a:graphic>
          </wp:inline>
        </w:drawing>
      </w:r>
    </w:p>
    <w:p w:rsidR="003A5969" w:rsidRDefault="005A7CA7" w:rsidP="00CA4E12">
      <w:r>
        <w:br w:type="page"/>
      </w:r>
      <w:bookmarkStart w:id="199" w:name="_Toc193711013"/>
      <w:bookmarkStart w:id="200" w:name="_Toc227571608"/>
      <w:bookmarkStart w:id="201" w:name="_Toc354493025"/>
      <w:r w:rsidR="003A5969" w:rsidRPr="007637E6">
        <w:rPr>
          <w:rStyle w:val="Heading1Char"/>
        </w:rPr>
        <w:t>Monthly Indices</w:t>
      </w:r>
      <w:bookmarkEnd w:id="132"/>
      <w:bookmarkEnd w:id="191"/>
      <w:bookmarkEnd w:id="192"/>
      <w:bookmarkEnd w:id="199"/>
      <w:bookmarkEnd w:id="200"/>
      <w:bookmarkEnd w:id="201"/>
    </w:p>
    <w:p w:rsidR="003A5969" w:rsidRDefault="003A5969"/>
    <w:p w:rsidR="003A5969" w:rsidRDefault="003A5969">
      <w:r>
        <w:t>Each of the following indices, reported by month, shows the variations from month to month. These variations are partially due to inclement weather and, in some cases, reflect incidents of winter snowst</w:t>
      </w:r>
      <w:r w:rsidR="00074917">
        <w:t xml:space="preserve">orms, seasonal windstorms, and </w:t>
      </w:r>
      <w:r>
        <w:t xml:space="preserve">mid- and late summer lightning storms. They also reflect varying degrees of animal activity causing disruptions in different months of the year. </w:t>
      </w:r>
    </w:p>
    <w:p w:rsidR="003A5969" w:rsidRDefault="003A5969">
      <w:pPr>
        <w:pStyle w:val="Heading3"/>
      </w:pPr>
      <w:bookmarkStart w:id="202" w:name="_Toc3183402"/>
      <w:bookmarkStart w:id="203" w:name="_Toc98906771"/>
      <w:bookmarkStart w:id="204" w:name="_Toc165342446"/>
      <w:bookmarkStart w:id="205" w:name="_Toc193711014"/>
      <w:bookmarkStart w:id="206" w:name="_Toc227571609"/>
      <w:bookmarkStart w:id="207" w:name="_Toc354493026"/>
      <w:r>
        <w:t xml:space="preserve">Chart </w:t>
      </w:r>
      <w:r w:rsidR="00473AE9">
        <w:t>6</w:t>
      </w:r>
      <w:r>
        <w:t>.1 – SAIFI - Sustained Interruptions / Customer</w:t>
      </w:r>
      <w:bookmarkEnd w:id="202"/>
      <w:bookmarkEnd w:id="203"/>
      <w:bookmarkEnd w:id="204"/>
      <w:bookmarkEnd w:id="205"/>
      <w:bookmarkEnd w:id="206"/>
      <w:bookmarkEnd w:id="207"/>
      <w:r>
        <w:t xml:space="preserve">  </w:t>
      </w:r>
    </w:p>
    <w:p w:rsidR="003A5969" w:rsidRPr="00EE31FB" w:rsidRDefault="00C63E9F">
      <w:r w:rsidRPr="00C63E9F">
        <w:rPr>
          <w:noProof/>
        </w:rPr>
        <w:drawing>
          <wp:inline distT="0" distB="0" distL="0" distR="0">
            <wp:extent cx="5943600" cy="2936240"/>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5969" w:rsidRDefault="00473AE9">
      <w:pPr>
        <w:pStyle w:val="Heading3"/>
      </w:pPr>
      <w:bookmarkStart w:id="208" w:name="_Toc3183403"/>
      <w:bookmarkStart w:id="209" w:name="_Toc98906772"/>
      <w:bookmarkStart w:id="210" w:name="_Toc165342447"/>
      <w:bookmarkStart w:id="211" w:name="_Toc193711015"/>
      <w:bookmarkStart w:id="212" w:name="_Toc227571610"/>
      <w:bookmarkStart w:id="213" w:name="_Toc354493027"/>
      <w:r>
        <w:t>Chart 6</w:t>
      </w:r>
      <w:r w:rsidR="003A5969">
        <w:t>.2 - MAIFI Momentary Interruption Events / Customer</w:t>
      </w:r>
      <w:bookmarkEnd w:id="208"/>
      <w:bookmarkEnd w:id="209"/>
      <w:bookmarkEnd w:id="210"/>
      <w:bookmarkEnd w:id="211"/>
      <w:bookmarkEnd w:id="212"/>
      <w:bookmarkEnd w:id="213"/>
    </w:p>
    <w:p w:rsidR="003A5969" w:rsidRPr="00296171" w:rsidRDefault="00C63E9F">
      <w:r w:rsidRPr="00C63E9F">
        <w:rPr>
          <w:noProof/>
        </w:rPr>
        <w:drawing>
          <wp:inline distT="0" distB="0" distL="0" distR="0">
            <wp:extent cx="5943600" cy="328168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A5969" w:rsidRDefault="007604DD">
      <w:pPr>
        <w:pStyle w:val="Heading3"/>
      </w:pPr>
      <w:bookmarkStart w:id="214" w:name="_Toc3183404"/>
      <w:bookmarkStart w:id="215" w:name="_Toc98906773"/>
      <w:bookmarkStart w:id="216" w:name="_Toc165342448"/>
      <w:bookmarkStart w:id="217" w:name="_Toc193711016"/>
      <w:bookmarkStart w:id="218" w:name="_Toc227571611"/>
      <w:bookmarkStart w:id="219" w:name="_Toc354493028"/>
      <w:r>
        <w:t xml:space="preserve">Chart </w:t>
      </w:r>
      <w:r w:rsidR="00473AE9">
        <w:t>6</w:t>
      </w:r>
      <w:r w:rsidR="003A5969">
        <w:t>.3 - SAIDI – Average Outage Time / Customer</w:t>
      </w:r>
      <w:bookmarkEnd w:id="214"/>
      <w:bookmarkEnd w:id="215"/>
      <w:bookmarkEnd w:id="216"/>
      <w:bookmarkEnd w:id="217"/>
      <w:bookmarkEnd w:id="218"/>
      <w:bookmarkEnd w:id="219"/>
    </w:p>
    <w:p w:rsidR="003A5969" w:rsidRPr="00296171" w:rsidRDefault="00C63E9F">
      <w:r w:rsidRPr="00C63E9F">
        <w:rPr>
          <w:noProof/>
        </w:rPr>
        <w:drawing>
          <wp:inline distT="0" distB="0" distL="0" distR="0">
            <wp:extent cx="5943600" cy="3331845"/>
            <wp:effectExtent l="0" t="0" r="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A5969" w:rsidRDefault="003A5969">
      <w:pPr>
        <w:pStyle w:val="Heading3"/>
      </w:pPr>
      <w:bookmarkStart w:id="220" w:name="_Toc3183405"/>
      <w:bookmarkStart w:id="221" w:name="_Toc98906774"/>
      <w:bookmarkStart w:id="222" w:name="_Toc165342449"/>
      <w:bookmarkStart w:id="223" w:name="_Toc193711017"/>
      <w:bookmarkStart w:id="224" w:name="_Toc227571612"/>
      <w:bookmarkStart w:id="225" w:name="_Toc354493029"/>
      <w:r>
        <w:t xml:space="preserve">Chart </w:t>
      </w:r>
      <w:r w:rsidR="00473AE9">
        <w:t>6</w:t>
      </w:r>
      <w:r>
        <w:t>.4 - CAIDI – Average Restoration Time</w:t>
      </w:r>
      <w:bookmarkEnd w:id="220"/>
      <w:bookmarkEnd w:id="221"/>
      <w:bookmarkEnd w:id="222"/>
      <w:bookmarkEnd w:id="223"/>
      <w:bookmarkEnd w:id="224"/>
      <w:bookmarkEnd w:id="225"/>
      <w:r>
        <w:t xml:space="preserve"> </w:t>
      </w:r>
    </w:p>
    <w:p w:rsidR="003A5969" w:rsidRPr="00296171" w:rsidRDefault="00C63E9F">
      <w:r w:rsidRPr="00C63E9F">
        <w:rPr>
          <w:noProof/>
        </w:rPr>
        <w:drawing>
          <wp:inline distT="0" distB="0" distL="0" distR="0">
            <wp:extent cx="5943600" cy="3451860"/>
            <wp:effectExtent l="0" t="0" r="0" b="0"/>
            <wp:docPr id="1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A5969" w:rsidRDefault="003A5969"/>
    <w:p w:rsidR="003A5969" w:rsidRDefault="003A5969">
      <w:pPr>
        <w:pStyle w:val="Heading1"/>
        <w:sectPr w:rsidR="003A5969" w:rsidSect="002A49F9">
          <w:pgSz w:w="12240" w:h="15840" w:code="1"/>
          <w:pgMar w:top="1008" w:right="1008" w:bottom="1008" w:left="1008" w:header="720" w:footer="720" w:gutter="0"/>
          <w:cols w:space="720"/>
        </w:sectPr>
      </w:pPr>
    </w:p>
    <w:p w:rsidR="003A5969" w:rsidRDefault="003A5969">
      <w:pPr>
        <w:pStyle w:val="Heading1"/>
      </w:pPr>
      <w:bookmarkStart w:id="226" w:name="_Toc3183406"/>
      <w:bookmarkStart w:id="227" w:name="_Toc97619608"/>
      <w:bookmarkStart w:id="228" w:name="_Toc98906775"/>
      <w:bookmarkStart w:id="229" w:name="_Toc165342450"/>
      <w:bookmarkStart w:id="230" w:name="_Toc193711018"/>
      <w:bookmarkStart w:id="231" w:name="_Toc227571613"/>
      <w:bookmarkStart w:id="232" w:name="_Toc354493030"/>
      <w:r>
        <w:t>Customer Complaints</w:t>
      </w:r>
      <w:bookmarkEnd w:id="226"/>
      <w:bookmarkEnd w:id="227"/>
      <w:bookmarkEnd w:id="228"/>
      <w:bookmarkEnd w:id="229"/>
      <w:bookmarkEnd w:id="230"/>
      <w:bookmarkEnd w:id="231"/>
      <w:bookmarkEnd w:id="232"/>
    </w:p>
    <w:p w:rsidR="003A5969" w:rsidRPr="00E061B7" w:rsidRDefault="00473AE9" w:rsidP="00E061B7">
      <w:pPr>
        <w:pStyle w:val="Heading3"/>
      </w:pPr>
      <w:bookmarkStart w:id="233" w:name="_Toc3183407"/>
      <w:bookmarkStart w:id="234" w:name="_Toc98906776"/>
      <w:bookmarkStart w:id="235" w:name="_Toc165342451"/>
      <w:bookmarkStart w:id="236" w:name="_Toc193711019"/>
      <w:bookmarkStart w:id="237" w:name="_Toc227571614"/>
      <w:bookmarkStart w:id="238" w:name="_Toc354493031"/>
      <w:r w:rsidRPr="00E061B7">
        <w:t>Table 7</w:t>
      </w:r>
      <w:r w:rsidR="007604DD" w:rsidRPr="00E061B7">
        <w:t xml:space="preserve">.1 - </w:t>
      </w:r>
      <w:r w:rsidR="003A5969" w:rsidRPr="00E061B7">
        <w:t xml:space="preserve">Commission </w:t>
      </w:r>
      <w:bookmarkEnd w:id="233"/>
      <w:bookmarkEnd w:id="234"/>
      <w:bookmarkEnd w:id="235"/>
      <w:bookmarkEnd w:id="236"/>
      <w:bookmarkEnd w:id="237"/>
      <w:r w:rsidR="00A27417" w:rsidRPr="00E061B7">
        <w:t>Complaints</w:t>
      </w:r>
      <w:bookmarkEnd w:id="238"/>
      <w:r w:rsidR="00A27417" w:rsidRPr="00E061B7">
        <w:t xml:space="preserve"> </w:t>
      </w:r>
    </w:p>
    <w:p w:rsidR="003A5969" w:rsidRDefault="00CB1AAA">
      <w:r>
        <w:t>There were no c</w:t>
      </w:r>
      <w:r w:rsidR="003A5969">
        <w:t xml:space="preserve">omplaints made to the Commission during </w:t>
      </w:r>
      <w:r>
        <w:t>2012</w:t>
      </w:r>
      <w:r w:rsidR="003A5969">
        <w:t xml:space="preserve">. </w:t>
      </w:r>
    </w:p>
    <w:p w:rsidR="00ED7E11" w:rsidRDefault="00ED7E11"/>
    <w:p w:rsidR="003A5969" w:rsidRPr="004247F3" w:rsidRDefault="007604DD">
      <w:pPr>
        <w:pStyle w:val="Heading3"/>
        <w:rPr>
          <w:color w:val="FF0000"/>
        </w:rPr>
      </w:pPr>
      <w:bookmarkStart w:id="239" w:name="_Toc3183408"/>
      <w:bookmarkStart w:id="240" w:name="_Toc98906777"/>
      <w:bookmarkStart w:id="241" w:name="_Toc165342452"/>
      <w:bookmarkStart w:id="242" w:name="_Toc193711020"/>
      <w:bookmarkStart w:id="243" w:name="_Toc227571615"/>
      <w:bookmarkStart w:id="244" w:name="_Toc354493032"/>
      <w:r>
        <w:t xml:space="preserve">Table </w:t>
      </w:r>
      <w:r w:rsidR="00473AE9">
        <w:t>7</w:t>
      </w:r>
      <w:r>
        <w:t xml:space="preserve">.2 - </w:t>
      </w:r>
      <w:r w:rsidR="003A5969">
        <w:t>Customer Complaints</w:t>
      </w:r>
      <w:bookmarkEnd w:id="239"/>
      <w:bookmarkEnd w:id="240"/>
      <w:bookmarkEnd w:id="241"/>
      <w:bookmarkEnd w:id="242"/>
      <w:bookmarkEnd w:id="243"/>
      <w:bookmarkEnd w:id="244"/>
    </w:p>
    <w:p w:rsidR="003A5969" w:rsidRDefault="003A5969">
      <w:r>
        <w:t xml:space="preserve">The following is a list of complaints made to our Customer Service Representatives.  </w:t>
      </w:r>
    </w:p>
    <w:p w:rsidR="00B751D1" w:rsidRDefault="00B751D1" w:rsidP="00B751D1">
      <w:pPr>
        <w:pStyle w:val="CommentTex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0"/>
        <w:gridCol w:w="3758"/>
        <w:gridCol w:w="1492"/>
        <w:gridCol w:w="6950"/>
      </w:tblGrid>
      <w:tr w:rsidR="00471803" w:rsidTr="00877074">
        <w:trPr>
          <w:jc w:val="center"/>
        </w:trPr>
        <w:tc>
          <w:tcPr>
            <w:tcW w:w="655" w:type="pct"/>
            <w:tcBorders>
              <w:top w:val="single" w:sz="18" w:space="0" w:color="auto"/>
              <w:left w:val="single" w:sz="18" w:space="0" w:color="auto"/>
              <w:bottom w:val="single" w:sz="18" w:space="0" w:color="auto"/>
              <w:right w:val="single" w:sz="8" w:space="0" w:color="auto"/>
            </w:tcBorders>
          </w:tcPr>
          <w:p w:rsidR="00471803" w:rsidRDefault="00471803" w:rsidP="008513D6">
            <w:pPr>
              <w:rPr>
                <w:b/>
                <w:bCs/>
                <w:sz w:val="28"/>
              </w:rPr>
            </w:pPr>
            <w:r>
              <w:rPr>
                <w:b/>
                <w:bCs/>
                <w:sz w:val="28"/>
              </w:rPr>
              <w:t>Customer / Feeder</w:t>
            </w:r>
          </w:p>
        </w:tc>
        <w:tc>
          <w:tcPr>
            <w:tcW w:w="1338" w:type="pct"/>
            <w:tcBorders>
              <w:top w:val="single" w:sz="18" w:space="0" w:color="auto"/>
              <w:left w:val="single" w:sz="8" w:space="0" w:color="auto"/>
              <w:bottom w:val="single" w:sz="18" w:space="0" w:color="auto"/>
              <w:right w:val="single" w:sz="8" w:space="0" w:color="auto"/>
            </w:tcBorders>
          </w:tcPr>
          <w:p w:rsidR="00471803" w:rsidRDefault="00471803" w:rsidP="008513D6">
            <w:pPr>
              <w:rPr>
                <w:b/>
                <w:bCs/>
                <w:sz w:val="28"/>
              </w:rPr>
            </w:pPr>
            <w:r>
              <w:rPr>
                <w:b/>
                <w:bCs/>
                <w:sz w:val="28"/>
              </w:rPr>
              <w:t>Complaint</w:t>
            </w:r>
          </w:p>
        </w:tc>
        <w:tc>
          <w:tcPr>
            <w:tcW w:w="531" w:type="pct"/>
            <w:tcBorders>
              <w:top w:val="single" w:sz="18" w:space="0" w:color="auto"/>
              <w:left w:val="single" w:sz="8" w:space="0" w:color="auto"/>
              <w:bottom w:val="single" w:sz="18" w:space="0" w:color="auto"/>
              <w:right w:val="single" w:sz="8" w:space="0" w:color="auto"/>
            </w:tcBorders>
          </w:tcPr>
          <w:p w:rsidR="00471803" w:rsidRDefault="00471803" w:rsidP="008513D6">
            <w:pPr>
              <w:rPr>
                <w:b/>
                <w:bCs/>
                <w:sz w:val="28"/>
              </w:rPr>
            </w:pPr>
            <w:r>
              <w:rPr>
                <w:b/>
                <w:bCs/>
                <w:sz w:val="28"/>
              </w:rPr>
              <w:t>Complaint Category</w:t>
            </w:r>
          </w:p>
        </w:tc>
        <w:tc>
          <w:tcPr>
            <w:tcW w:w="2475" w:type="pct"/>
            <w:tcBorders>
              <w:top w:val="single" w:sz="18" w:space="0" w:color="auto"/>
              <w:left w:val="single" w:sz="8" w:space="0" w:color="auto"/>
              <w:bottom w:val="single" w:sz="18" w:space="0" w:color="auto"/>
              <w:right w:val="single" w:sz="18" w:space="0" w:color="auto"/>
            </w:tcBorders>
          </w:tcPr>
          <w:p w:rsidR="00471803" w:rsidRDefault="00471803" w:rsidP="008513D6">
            <w:pPr>
              <w:rPr>
                <w:b/>
                <w:bCs/>
                <w:sz w:val="28"/>
              </w:rPr>
            </w:pPr>
            <w:r>
              <w:rPr>
                <w:b/>
                <w:bCs/>
                <w:sz w:val="28"/>
              </w:rPr>
              <w:t>Resolution</w:t>
            </w:r>
          </w:p>
        </w:tc>
      </w:tr>
      <w:tr w:rsidR="00471803" w:rsidTr="00F8779F">
        <w:trPr>
          <w:trHeight w:val="1008"/>
          <w:jc w:val="center"/>
        </w:trPr>
        <w:tc>
          <w:tcPr>
            <w:tcW w:w="655" w:type="pct"/>
            <w:tcBorders>
              <w:left w:val="single" w:sz="18" w:space="0" w:color="auto"/>
            </w:tcBorders>
          </w:tcPr>
          <w:p w:rsidR="00471803" w:rsidRDefault="00747E3F" w:rsidP="00E37F09">
            <w:pPr>
              <w:spacing w:before="120" w:after="120"/>
              <w:rPr>
                <w:sz w:val="20"/>
              </w:rPr>
            </w:pPr>
            <w:r>
              <w:rPr>
                <w:sz w:val="20"/>
              </w:rPr>
              <w:t>Medical Lake WA</w:t>
            </w:r>
          </w:p>
          <w:p w:rsidR="00471803" w:rsidRDefault="00747E3F" w:rsidP="003E329B">
            <w:pPr>
              <w:spacing w:before="120" w:after="120"/>
              <w:rPr>
                <w:sz w:val="20"/>
              </w:rPr>
            </w:pPr>
            <w:r>
              <w:rPr>
                <w:sz w:val="20"/>
              </w:rPr>
              <w:t>SLK12F1</w:t>
            </w:r>
          </w:p>
        </w:tc>
        <w:tc>
          <w:tcPr>
            <w:tcW w:w="1338" w:type="pct"/>
            <w:vAlign w:val="center"/>
          </w:tcPr>
          <w:p w:rsidR="00471803" w:rsidRPr="00954795" w:rsidRDefault="00F84529" w:rsidP="00F8779F">
            <w:pPr>
              <w:pStyle w:val="Footer"/>
              <w:rPr>
                <w:sz w:val="20"/>
              </w:rPr>
            </w:pPr>
            <w:r>
              <w:rPr>
                <w:sz w:val="20"/>
              </w:rPr>
              <w:t>C</w:t>
            </w:r>
            <w:r w:rsidR="00747E3F">
              <w:rPr>
                <w:sz w:val="20"/>
              </w:rPr>
              <w:t>ustomer</w:t>
            </w:r>
            <w:r w:rsidR="00F60DB2">
              <w:rPr>
                <w:sz w:val="20"/>
              </w:rPr>
              <w:t xml:space="preserve"> </w:t>
            </w:r>
            <w:r>
              <w:rPr>
                <w:sz w:val="20"/>
              </w:rPr>
              <w:t xml:space="preserve">called </w:t>
            </w:r>
            <w:r w:rsidR="00747E3F">
              <w:rPr>
                <w:sz w:val="20"/>
              </w:rPr>
              <w:t>and was upset with poor electric quality and continuous outages.</w:t>
            </w:r>
          </w:p>
        </w:tc>
        <w:tc>
          <w:tcPr>
            <w:tcW w:w="531" w:type="pct"/>
          </w:tcPr>
          <w:p w:rsidR="00471803" w:rsidRDefault="00471803" w:rsidP="004E45B0">
            <w:pPr>
              <w:spacing w:before="120" w:after="120"/>
              <w:rPr>
                <w:sz w:val="20"/>
              </w:rPr>
            </w:pPr>
            <w:r>
              <w:rPr>
                <w:sz w:val="20"/>
              </w:rPr>
              <w:t>Outages</w:t>
            </w:r>
          </w:p>
        </w:tc>
        <w:tc>
          <w:tcPr>
            <w:tcW w:w="2475" w:type="pct"/>
            <w:tcBorders>
              <w:right w:val="single" w:sz="18" w:space="0" w:color="auto"/>
            </w:tcBorders>
            <w:vAlign w:val="center"/>
          </w:tcPr>
          <w:p w:rsidR="00F84529" w:rsidRDefault="00F84529" w:rsidP="00F8779F">
            <w:pPr>
              <w:rPr>
                <w:sz w:val="20"/>
              </w:rPr>
            </w:pPr>
            <w:r>
              <w:rPr>
                <w:sz w:val="20"/>
              </w:rPr>
              <w:t xml:space="preserve">There were </w:t>
            </w:r>
            <w:r w:rsidR="007F2840">
              <w:rPr>
                <w:sz w:val="20"/>
              </w:rPr>
              <w:t>2 Sustained Outages in 2012</w:t>
            </w:r>
            <w:r>
              <w:rPr>
                <w:sz w:val="20"/>
              </w:rPr>
              <w:t>.</w:t>
            </w:r>
            <w:r w:rsidR="007F2840">
              <w:rPr>
                <w:sz w:val="20"/>
              </w:rPr>
              <w:t xml:space="preserve"> Both outages resulting from lightning </w:t>
            </w:r>
            <w:r w:rsidR="00203005">
              <w:rPr>
                <w:sz w:val="20"/>
              </w:rPr>
              <w:t>storms, one causing a</w:t>
            </w:r>
            <w:r w:rsidR="007F2840">
              <w:rPr>
                <w:sz w:val="20"/>
              </w:rPr>
              <w:t xml:space="preserve"> pole fire.</w:t>
            </w:r>
          </w:p>
          <w:p w:rsidR="00F84529" w:rsidRDefault="00F84529" w:rsidP="00F8779F">
            <w:pPr>
              <w:rPr>
                <w:sz w:val="20"/>
              </w:rPr>
            </w:pPr>
          </w:p>
          <w:p w:rsidR="00747E3F" w:rsidRDefault="00F84529" w:rsidP="00F8779F">
            <w:pPr>
              <w:rPr>
                <w:sz w:val="20"/>
              </w:rPr>
            </w:pPr>
            <w:r>
              <w:rPr>
                <w:sz w:val="20"/>
              </w:rPr>
              <w:t>No Resolution Documented.</w:t>
            </w:r>
          </w:p>
        </w:tc>
      </w:tr>
      <w:tr w:rsidR="00471803" w:rsidTr="00F8779F">
        <w:trPr>
          <w:trHeight w:val="746"/>
          <w:jc w:val="center"/>
        </w:trPr>
        <w:tc>
          <w:tcPr>
            <w:tcW w:w="655" w:type="pct"/>
            <w:tcBorders>
              <w:left w:val="single" w:sz="18" w:space="0" w:color="auto"/>
            </w:tcBorders>
          </w:tcPr>
          <w:p w:rsidR="00471803" w:rsidRDefault="00747E3F" w:rsidP="00E37F09">
            <w:pPr>
              <w:spacing w:before="120" w:after="120"/>
              <w:rPr>
                <w:sz w:val="20"/>
              </w:rPr>
            </w:pPr>
            <w:r>
              <w:rPr>
                <w:sz w:val="20"/>
              </w:rPr>
              <w:t>Deer Park WA</w:t>
            </w:r>
          </w:p>
          <w:p w:rsidR="00471803" w:rsidRDefault="00747E3F" w:rsidP="00E37F09">
            <w:pPr>
              <w:spacing w:before="120" w:after="120"/>
              <w:rPr>
                <w:sz w:val="20"/>
              </w:rPr>
            </w:pPr>
            <w:r>
              <w:rPr>
                <w:sz w:val="20"/>
              </w:rPr>
              <w:t>DEP12F1</w:t>
            </w:r>
          </w:p>
        </w:tc>
        <w:tc>
          <w:tcPr>
            <w:tcW w:w="1338" w:type="pct"/>
            <w:vAlign w:val="center"/>
          </w:tcPr>
          <w:p w:rsidR="00471803" w:rsidRDefault="00F84529" w:rsidP="00F8779F">
            <w:pPr>
              <w:rPr>
                <w:sz w:val="20"/>
              </w:rPr>
            </w:pPr>
            <w:r>
              <w:rPr>
                <w:sz w:val="20"/>
              </w:rPr>
              <w:t xml:space="preserve">Customer called and was upset about </w:t>
            </w:r>
            <w:r w:rsidR="00747E3F">
              <w:rPr>
                <w:sz w:val="20"/>
              </w:rPr>
              <w:t>constant power outages in the Deer Park area.</w:t>
            </w:r>
          </w:p>
        </w:tc>
        <w:tc>
          <w:tcPr>
            <w:tcW w:w="531" w:type="pct"/>
          </w:tcPr>
          <w:p w:rsidR="00471803" w:rsidRDefault="00471803" w:rsidP="004E45B0">
            <w:pPr>
              <w:spacing w:before="120" w:after="120"/>
              <w:rPr>
                <w:sz w:val="20"/>
              </w:rPr>
            </w:pPr>
            <w:r>
              <w:rPr>
                <w:sz w:val="20"/>
              </w:rPr>
              <w:t>Outages</w:t>
            </w:r>
          </w:p>
        </w:tc>
        <w:tc>
          <w:tcPr>
            <w:tcW w:w="2475" w:type="pct"/>
            <w:tcBorders>
              <w:right w:val="single" w:sz="18" w:space="0" w:color="auto"/>
            </w:tcBorders>
            <w:vAlign w:val="center"/>
          </w:tcPr>
          <w:p w:rsidR="00471803" w:rsidRDefault="007F2840" w:rsidP="00F8779F">
            <w:pPr>
              <w:spacing w:before="120" w:after="120"/>
              <w:rPr>
                <w:sz w:val="20"/>
              </w:rPr>
            </w:pPr>
            <w:r>
              <w:rPr>
                <w:sz w:val="20"/>
              </w:rPr>
              <w:t xml:space="preserve">There were 6 sustained outages in 2012. Two of these were for planned maintenance, and one was a public </w:t>
            </w:r>
            <w:r w:rsidR="005A5DC3">
              <w:rPr>
                <w:sz w:val="20"/>
              </w:rPr>
              <w:t>caused outage</w:t>
            </w:r>
            <w:r>
              <w:rPr>
                <w:sz w:val="20"/>
              </w:rPr>
              <w:t xml:space="preserve">. </w:t>
            </w:r>
          </w:p>
          <w:p w:rsidR="00747E3F" w:rsidRDefault="00203005" w:rsidP="00F8779F">
            <w:pPr>
              <w:spacing w:before="120" w:after="120"/>
              <w:rPr>
                <w:sz w:val="20"/>
              </w:rPr>
            </w:pPr>
            <w:r>
              <w:rPr>
                <w:sz w:val="20"/>
              </w:rPr>
              <w:t>Area Manager contacted customer to explained equipment failures and planned maintenance work</w:t>
            </w:r>
            <w:r w:rsidR="005A5DC3">
              <w:rPr>
                <w:sz w:val="20"/>
              </w:rPr>
              <w:t>.</w:t>
            </w:r>
          </w:p>
        </w:tc>
      </w:tr>
      <w:tr w:rsidR="00471803" w:rsidTr="00F8779F">
        <w:trPr>
          <w:jc w:val="center"/>
        </w:trPr>
        <w:tc>
          <w:tcPr>
            <w:tcW w:w="655" w:type="pct"/>
            <w:tcBorders>
              <w:left w:val="single" w:sz="18" w:space="0" w:color="auto"/>
            </w:tcBorders>
          </w:tcPr>
          <w:p w:rsidR="00471803" w:rsidRDefault="00F84529" w:rsidP="00E37F09">
            <w:pPr>
              <w:spacing w:before="120" w:after="120"/>
              <w:rPr>
                <w:sz w:val="20"/>
              </w:rPr>
            </w:pPr>
            <w:r>
              <w:rPr>
                <w:sz w:val="20"/>
              </w:rPr>
              <w:t>S</w:t>
            </w:r>
            <w:r w:rsidR="00747E3F">
              <w:rPr>
                <w:sz w:val="20"/>
              </w:rPr>
              <w:t>pragu</w:t>
            </w:r>
            <w:r>
              <w:rPr>
                <w:sz w:val="20"/>
              </w:rPr>
              <w:t>e</w:t>
            </w:r>
            <w:r w:rsidR="00471803">
              <w:rPr>
                <w:sz w:val="20"/>
              </w:rPr>
              <w:t xml:space="preserve"> WA</w:t>
            </w:r>
          </w:p>
          <w:p w:rsidR="00471803" w:rsidRDefault="00747E3F" w:rsidP="00E37F09">
            <w:pPr>
              <w:spacing w:before="120" w:after="120"/>
              <w:rPr>
                <w:sz w:val="20"/>
              </w:rPr>
            </w:pPr>
            <w:r>
              <w:rPr>
                <w:sz w:val="20"/>
              </w:rPr>
              <w:t>SPR761</w:t>
            </w:r>
          </w:p>
        </w:tc>
        <w:tc>
          <w:tcPr>
            <w:tcW w:w="1338" w:type="pct"/>
            <w:vAlign w:val="center"/>
          </w:tcPr>
          <w:p w:rsidR="00471803" w:rsidRPr="0005598B" w:rsidRDefault="00F60DB2" w:rsidP="00F8779F">
            <w:pPr>
              <w:rPr>
                <w:sz w:val="20"/>
              </w:rPr>
            </w:pPr>
            <w:r>
              <w:rPr>
                <w:sz w:val="20"/>
              </w:rPr>
              <w:t xml:space="preserve">Customer </w:t>
            </w:r>
            <w:r w:rsidR="00747E3F">
              <w:rPr>
                <w:sz w:val="20"/>
              </w:rPr>
              <w:t>feels lines from substation are very old and would like to see the town’s system upgraded to protect from outages.</w:t>
            </w:r>
          </w:p>
        </w:tc>
        <w:tc>
          <w:tcPr>
            <w:tcW w:w="531" w:type="pct"/>
          </w:tcPr>
          <w:p w:rsidR="00471803" w:rsidRDefault="00471803" w:rsidP="004E45B0">
            <w:pPr>
              <w:spacing w:before="120" w:after="120"/>
              <w:rPr>
                <w:sz w:val="20"/>
              </w:rPr>
            </w:pPr>
            <w:r>
              <w:rPr>
                <w:sz w:val="20"/>
              </w:rPr>
              <w:t>Outages</w:t>
            </w:r>
          </w:p>
        </w:tc>
        <w:tc>
          <w:tcPr>
            <w:tcW w:w="2475" w:type="pct"/>
            <w:tcBorders>
              <w:right w:val="single" w:sz="18" w:space="0" w:color="auto"/>
            </w:tcBorders>
            <w:vAlign w:val="center"/>
          </w:tcPr>
          <w:p w:rsidR="00747E3F" w:rsidRDefault="005A5DC3" w:rsidP="00F8779F">
            <w:pPr>
              <w:spacing w:before="120" w:after="120"/>
              <w:rPr>
                <w:sz w:val="20"/>
              </w:rPr>
            </w:pPr>
            <w:r>
              <w:rPr>
                <w:sz w:val="20"/>
              </w:rPr>
              <w:t>There were 4 sustained outages in 2012. Three of these outages were whole feeder outages due to lightning storms, all within one week.</w:t>
            </w:r>
          </w:p>
          <w:p w:rsidR="005A5DC3" w:rsidRDefault="00203005" w:rsidP="00F8779F">
            <w:pPr>
              <w:spacing w:before="120" w:after="120"/>
              <w:rPr>
                <w:sz w:val="20"/>
              </w:rPr>
            </w:pPr>
            <w:r>
              <w:rPr>
                <w:sz w:val="20"/>
              </w:rPr>
              <w:t>Referred customer to Operations Director</w:t>
            </w:r>
            <w:r w:rsidR="005A5DC3">
              <w:rPr>
                <w:sz w:val="20"/>
              </w:rPr>
              <w:t>.</w:t>
            </w:r>
          </w:p>
        </w:tc>
      </w:tr>
      <w:tr w:rsidR="00471803" w:rsidTr="00F8779F">
        <w:trPr>
          <w:trHeight w:val="602"/>
          <w:jc w:val="center"/>
        </w:trPr>
        <w:tc>
          <w:tcPr>
            <w:tcW w:w="655" w:type="pct"/>
            <w:tcBorders>
              <w:left w:val="single" w:sz="18" w:space="0" w:color="auto"/>
            </w:tcBorders>
          </w:tcPr>
          <w:p w:rsidR="00471803" w:rsidRDefault="00747E3F" w:rsidP="00E37F09">
            <w:pPr>
              <w:spacing w:before="120" w:after="120"/>
              <w:rPr>
                <w:sz w:val="20"/>
              </w:rPr>
            </w:pPr>
            <w:r>
              <w:rPr>
                <w:sz w:val="20"/>
              </w:rPr>
              <w:t>St. Maries WA</w:t>
            </w:r>
          </w:p>
          <w:p w:rsidR="00471803" w:rsidRDefault="00747E3F" w:rsidP="00E37F09">
            <w:pPr>
              <w:spacing w:before="120" w:after="120"/>
              <w:rPr>
                <w:sz w:val="20"/>
              </w:rPr>
            </w:pPr>
            <w:r>
              <w:rPr>
                <w:sz w:val="20"/>
              </w:rPr>
              <w:t>STM633</w:t>
            </w:r>
          </w:p>
        </w:tc>
        <w:tc>
          <w:tcPr>
            <w:tcW w:w="1338" w:type="pct"/>
            <w:vAlign w:val="center"/>
          </w:tcPr>
          <w:p w:rsidR="00471803" w:rsidRDefault="00471803" w:rsidP="00F8779F">
            <w:pPr>
              <w:pStyle w:val="Footer"/>
              <w:rPr>
                <w:sz w:val="20"/>
              </w:rPr>
            </w:pPr>
            <w:r>
              <w:rPr>
                <w:sz w:val="20"/>
              </w:rPr>
              <w:t xml:space="preserve">Customer </w:t>
            </w:r>
            <w:r w:rsidR="00747E3F">
              <w:rPr>
                <w:sz w:val="20"/>
              </w:rPr>
              <w:t>unhappy with service in the St. Maries area. Commented on dim and flickering lights.</w:t>
            </w:r>
          </w:p>
        </w:tc>
        <w:tc>
          <w:tcPr>
            <w:tcW w:w="531" w:type="pct"/>
          </w:tcPr>
          <w:p w:rsidR="00471803" w:rsidRDefault="00F60DB2" w:rsidP="004E45B0">
            <w:pPr>
              <w:spacing w:before="120" w:after="120"/>
              <w:rPr>
                <w:sz w:val="20"/>
              </w:rPr>
            </w:pPr>
            <w:r>
              <w:rPr>
                <w:sz w:val="20"/>
              </w:rPr>
              <w:t>O</w:t>
            </w:r>
            <w:r w:rsidR="00471803">
              <w:rPr>
                <w:sz w:val="20"/>
              </w:rPr>
              <w:t>utages</w:t>
            </w:r>
          </w:p>
        </w:tc>
        <w:tc>
          <w:tcPr>
            <w:tcW w:w="2475" w:type="pct"/>
            <w:tcBorders>
              <w:right w:val="single" w:sz="18" w:space="0" w:color="auto"/>
            </w:tcBorders>
            <w:vAlign w:val="center"/>
          </w:tcPr>
          <w:p w:rsidR="005A5DC3" w:rsidRDefault="005A5DC3" w:rsidP="00F8779F">
            <w:pPr>
              <w:spacing w:before="120" w:after="120"/>
              <w:rPr>
                <w:sz w:val="20"/>
              </w:rPr>
            </w:pPr>
            <w:r>
              <w:rPr>
                <w:sz w:val="20"/>
              </w:rPr>
              <w:t xml:space="preserve">There were 7 sustained outages in 2012. Four were weather related. </w:t>
            </w:r>
          </w:p>
          <w:p w:rsidR="00747E3F" w:rsidRDefault="00203005" w:rsidP="00F8779F">
            <w:pPr>
              <w:spacing w:before="120" w:after="120"/>
              <w:rPr>
                <w:sz w:val="20"/>
              </w:rPr>
            </w:pPr>
            <w:r>
              <w:rPr>
                <w:sz w:val="20"/>
              </w:rPr>
              <w:t>Area Manager contacted customer to explain outages</w:t>
            </w:r>
            <w:r w:rsidR="005A5DC3">
              <w:rPr>
                <w:sz w:val="20"/>
              </w:rPr>
              <w:t>.</w:t>
            </w:r>
          </w:p>
        </w:tc>
      </w:tr>
      <w:tr w:rsidR="00747E3F" w:rsidTr="00F8779F">
        <w:trPr>
          <w:trHeight w:val="602"/>
          <w:jc w:val="center"/>
        </w:trPr>
        <w:tc>
          <w:tcPr>
            <w:tcW w:w="655" w:type="pct"/>
            <w:tcBorders>
              <w:left w:val="single" w:sz="18" w:space="0" w:color="auto"/>
            </w:tcBorders>
          </w:tcPr>
          <w:p w:rsidR="00747E3F" w:rsidRDefault="00747E3F" w:rsidP="00E37F09">
            <w:pPr>
              <w:spacing w:before="120" w:after="120"/>
              <w:rPr>
                <w:sz w:val="20"/>
              </w:rPr>
            </w:pPr>
            <w:r>
              <w:rPr>
                <w:sz w:val="20"/>
              </w:rPr>
              <w:t>Springdale WA</w:t>
            </w:r>
          </w:p>
          <w:p w:rsidR="00747E3F" w:rsidRDefault="00747E3F" w:rsidP="00E37F09">
            <w:pPr>
              <w:spacing w:before="120" w:after="120"/>
              <w:rPr>
                <w:sz w:val="20"/>
              </w:rPr>
            </w:pPr>
            <w:r>
              <w:rPr>
                <w:sz w:val="20"/>
              </w:rPr>
              <w:t>VAL12F1</w:t>
            </w:r>
          </w:p>
        </w:tc>
        <w:tc>
          <w:tcPr>
            <w:tcW w:w="1338" w:type="pct"/>
            <w:vAlign w:val="center"/>
          </w:tcPr>
          <w:p w:rsidR="00747E3F" w:rsidRDefault="00747E3F" w:rsidP="00F8779F">
            <w:pPr>
              <w:pStyle w:val="Footer"/>
              <w:rPr>
                <w:sz w:val="20"/>
              </w:rPr>
            </w:pPr>
            <w:r>
              <w:rPr>
                <w:sz w:val="20"/>
              </w:rPr>
              <w:t>Customer called and is upset about outages happening too often.</w:t>
            </w:r>
          </w:p>
        </w:tc>
        <w:tc>
          <w:tcPr>
            <w:tcW w:w="531" w:type="pct"/>
          </w:tcPr>
          <w:p w:rsidR="00747E3F" w:rsidRDefault="00747E3F" w:rsidP="004E45B0">
            <w:pPr>
              <w:spacing w:before="120" w:after="120"/>
              <w:rPr>
                <w:sz w:val="20"/>
              </w:rPr>
            </w:pPr>
            <w:r>
              <w:rPr>
                <w:sz w:val="20"/>
              </w:rPr>
              <w:t>Outages</w:t>
            </w:r>
          </w:p>
        </w:tc>
        <w:tc>
          <w:tcPr>
            <w:tcW w:w="2475" w:type="pct"/>
            <w:tcBorders>
              <w:right w:val="single" w:sz="18" w:space="0" w:color="auto"/>
            </w:tcBorders>
            <w:vAlign w:val="center"/>
          </w:tcPr>
          <w:p w:rsidR="005A5DC3" w:rsidRDefault="005A5DC3" w:rsidP="00F8779F">
            <w:pPr>
              <w:spacing w:before="120" w:after="120"/>
              <w:rPr>
                <w:sz w:val="20"/>
              </w:rPr>
            </w:pPr>
            <w:r>
              <w:rPr>
                <w:sz w:val="20"/>
              </w:rPr>
              <w:t>There were 4 sustained outages</w:t>
            </w:r>
            <w:r w:rsidR="003E2AE3">
              <w:rPr>
                <w:sz w:val="20"/>
              </w:rPr>
              <w:t xml:space="preserve"> in 2012. Two were tree related</w:t>
            </w:r>
            <w:r>
              <w:rPr>
                <w:sz w:val="20"/>
              </w:rPr>
              <w:t>, one was planned maintenance and one was a car hit pole.</w:t>
            </w:r>
          </w:p>
          <w:p w:rsidR="005A5DC3" w:rsidRDefault="00203005" w:rsidP="00F8779F">
            <w:pPr>
              <w:spacing w:before="120" w:after="120"/>
              <w:rPr>
                <w:sz w:val="20"/>
              </w:rPr>
            </w:pPr>
            <w:r>
              <w:rPr>
                <w:sz w:val="20"/>
              </w:rPr>
              <w:t>Customer contacted by Area Manager to explain events</w:t>
            </w:r>
            <w:r w:rsidR="005A5DC3">
              <w:rPr>
                <w:sz w:val="20"/>
              </w:rPr>
              <w:t>.</w:t>
            </w:r>
          </w:p>
        </w:tc>
      </w:tr>
    </w:tbl>
    <w:p w:rsidR="00FC249C" w:rsidRDefault="00FC249C">
      <w:r>
        <w:br w:type="page"/>
      </w:r>
    </w:p>
    <w:p w:rsidR="003A5969" w:rsidRDefault="003A5969">
      <w:pPr>
        <w:pStyle w:val="Heading1"/>
      </w:pPr>
      <w:bookmarkStart w:id="245" w:name="_Toc3183409"/>
      <w:bookmarkStart w:id="246" w:name="_Toc97619611"/>
      <w:bookmarkStart w:id="247" w:name="_Toc98906778"/>
      <w:bookmarkStart w:id="248" w:name="_Toc165342453"/>
      <w:bookmarkStart w:id="249" w:name="_Toc193711021"/>
      <w:bookmarkStart w:id="250" w:name="_Toc227571616"/>
      <w:bookmarkStart w:id="251" w:name="_Toc354493033"/>
      <w:r>
        <w:t>Sustained Interruption Causes</w:t>
      </w:r>
      <w:bookmarkEnd w:id="245"/>
      <w:bookmarkEnd w:id="246"/>
      <w:bookmarkEnd w:id="247"/>
      <w:bookmarkEnd w:id="248"/>
      <w:bookmarkEnd w:id="249"/>
      <w:bookmarkEnd w:id="250"/>
      <w:bookmarkEnd w:id="251"/>
    </w:p>
    <w:p w:rsidR="003A5969" w:rsidRDefault="00473AE9">
      <w:pPr>
        <w:pStyle w:val="Heading3"/>
      </w:pPr>
      <w:bookmarkStart w:id="252" w:name="_Toc98906779"/>
      <w:bookmarkStart w:id="253" w:name="_Toc165342454"/>
      <w:bookmarkStart w:id="254" w:name="_Toc193711022"/>
      <w:bookmarkStart w:id="255" w:name="_Toc227571617"/>
      <w:bookmarkStart w:id="256" w:name="_Toc354493034"/>
      <w:bookmarkStart w:id="257" w:name="_Toc3183410"/>
      <w:r>
        <w:t>Table 8</w:t>
      </w:r>
      <w:r w:rsidR="003A5969">
        <w:t>.1 - % SAIFI per Cause by Office</w:t>
      </w:r>
      <w:bookmarkEnd w:id="252"/>
      <w:bookmarkEnd w:id="253"/>
      <w:bookmarkEnd w:id="254"/>
      <w:bookmarkEnd w:id="255"/>
      <w:bookmarkEnd w:id="256"/>
    </w:p>
    <w:p w:rsidR="00C2228F" w:rsidRPr="00C2228F" w:rsidRDefault="00C2228F" w:rsidP="00C2228F"/>
    <w:p w:rsidR="003A5969" w:rsidRDefault="003A5969">
      <w:r>
        <w:t xml:space="preserve">The following table lists the percentage SAIFI contribution by causes for outages excluding major event days. </w:t>
      </w:r>
    </w:p>
    <w:p w:rsidR="003A5969" w:rsidRDefault="003A5969"/>
    <w:p w:rsidR="003A5969" w:rsidRDefault="003A5969">
      <w:pPr>
        <w:pStyle w:val="CommentText"/>
      </w:pPr>
    </w:p>
    <w:tbl>
      <w:tblPr>
        <w:tblW w:w="13410" w:type="dxa"/>
        <w:tblInd w:w="98" w:type="dxa"/>
        <w:tblLook w:val="04A0"/>
      </w:tblPr>
      <w:tblGrid>
        <w:gridCol w:w="2028"/>
        <w:gridCol w:w="895"/>
        <w:gridCol w:w="895"/>
        <w:gridCol w:w="895"/>
        <w:gridCol w:w="895"/>
        <w:gridCol w:w="895"/>
        <w:gridCol w:w="895"/>
        <w:gridCol w:w="895"/>
        <w:gridCol w:w="895"/>
        <w:gridCol w:w="895"/>
        <w:gridCol w:w="895"/>
        <w:gridCol w:w="895"/>
        <w:gridCol w:w="1537"/>
      </w:tblGrid>
      <w:tr w:rsidR="00C047B5" w:rsidRPr="00C047B5" w:rsidTr="00C047B5">
        <w:trPr>
          <w:trHeight w:val="660"/>
        </w:trPr>
        <w:tc>
          <w:tcPr>
            <w:tcW w:w="20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047B5" w:rsidRPr="00C047B5" w:rsidRDefault="00C047B5" w:rsidP="00C047B5">
            <w:pPr>
              <w:rPr>
                <w:rFonts w:ascii="Arial" w:hAnsi="Arial" w:cs="Arial"/>
                <w:b/>
                <w:bCs/>
                <w:szCs w:val="24"/>
              </w:rPr>
            </w:pPr>
            <w:r w:rsidRPr="00C047B5">
              <w:rPr>
                <w:rFonts w:ascii="Arial" w:hAnsi="Arial" w:cs="Arial"/>
                <w:b/>
                <w:bCs/>
                <w:szCs w:val="24"/>
              </w:rPr>
              <w:t>Reason</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CDC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COC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GRC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KEC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LCC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OTC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PAC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SPC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DPC</w:t>
            </w:r>
          </w:p>
        </w:tc>
        <w:tc>
          <w:tcPr>
            <w:tcW w:w="1537" w:type="dxa"/>
            <w:tcBorders>
              <w:top w:val="single" w:sz="8" w:space="0" w:color="auto"/>
              <w:left w:val="nil"/>
              <w:bottom w:val="single" w:sz="8" w:space="0" w:color="auto"/>
              <w:right w:val="single" w:sz="8" w:space="0" w:color="auto"/>
            </w:tcBorders>
            <w:shd w:val="clear" w:color="auto" w:fill="auto"/>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All Offices</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ANIMAL</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5.8%</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MISCELLANEOUS</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POLE FIRE</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5.1%</w:t>
            </w:r>
          </w:p>
        </w:tc>
      </w:tr>
      <w:tr w:rsidR="00C047B5" w:rsidRPr="00C047B5" w:rsidTr="00C047B5">
        <w:trPr>
          <w:trHeight w:val="255"/>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WEATHER</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21.8%</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30.4%</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8.5%</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29.8%</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54.5%</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10.5%</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28.3%</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21.3%</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50.9%</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12.7%</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11.9%</w:t>
            </w:r>
          </w:p>
        </w:tc>
        <w:tc>
          <w:tcPr>
            <w:tcW w:w="1537"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24.7%</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UNDETERMINED</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23.1%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37.4%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23.3%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20.5%</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14.4%</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TREE</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7.6%</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9.5%</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PUBLIC</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17.8%</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12.2%</w:t>
            </w:r>
          </w:p>
        </w:tc>
      </w:tr>
      <w:tr w:rsidR="00C047B5" w:rsidRPr="00C047B5" w:rsidTr="00C047B5">
        <w:trPr>
          <w:trHeight w:val="255"/>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COMPANY</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4.8%</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3.5%</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10.3%</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w:t>
            </w:r>
          </w:p>
        </w:tc>
        <w:tc>
          <w:tcPr>
            <w:tcW w:w="1537"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3.9%</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OH</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23.6%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19.0%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11.8%</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10.4%</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UG</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SUB</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12.9%</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3.3%</w:t>
            </w:r>
          </w:p>
        </w:tc>
      </w:tr>
      <w:tr w:rsidR="00C047B5" w:rsidRPr="00C047B5" w:rsidTr="00C047B5">
        <w:trPr>
          <w:trHeight w:val="270"/>
        </w:trPr>
        <w:tc>
          <w:tcPr>
            <w:tcW w:w="2028" w:type="dxa"/>
            <w:tcBorders>
              <w:top w:val="nil"/>
              <w:left w:val="single" w:sz="8" w:space="0" w:color="auto"/>
              <w:bottom w:val="single" w:sz="8"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PLANNED</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6.6%</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11.2%</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4.6%</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9.3%</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9.7%</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5.2%</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16.5%</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11.4%</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10.7%</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15.1%</w:t>
            </w:r>
          </w:p>
        </w:tc>
        <w:tc>
          <w:tcPr>
            <w:tcW w:w="1537"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9.6%</w:t>
            </w:r>
          </w:p>
        </w:tc>
      </w:tr>
    </w:tbl>
    <w:p w:rsidR="00C047B5" w:rsidRDefault="00C047B5">
      <w:pPr>
        <w:pStyle w:val="CommentText"/>
      </w:pPr>
    </w:p>
    <w:p w:rsidR="003A5969" w:rsidRDefault="003A5969">
      <w:pPr>
        <w:pStyle w:val="Footer"/>
        <w:tabs>
          <w:tab w:val="clear" w:pos="4320"/>
          <w:tab w:val="clear" w:pos="8640"/>
        </w:tabs>
      </w:pPr>
    </w:p>
    <w:tbl>
      <w:tblPr>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3A5969" w:rsidRDefault="00124209" w:rsidP="00E32D28">
      <w:r>
        <w:br w:type="page"/>
      </w:r>
      <w:bookmarkStart w:id="258" w:name="_Toc98906780"/>
      <w:bookmarkStart w:id="259" w:name="_Toc193711023"/>
      <w:bookmarkStart w:id="260" w:name="_Toc227571618"/>
      <w:bookmarkStart w:id="261" w:name="_Toc354493035"/>
      <w:r w:rsidR="00473AE9">
        <w:rPr>
          <w:rStyle w:val="Heading3Char"/>
        </w:rPr>
        <w:t>Chart 8</w:t>
      </w:r>
      <w:r w:rsidR="003A5969" w:rsidRPr="00910029">
        <w:rPr>
          <w:rStyle w:val="Heading3Char"/>
        </w:rPr>
        <w:t>.1 – % SAIFI per Cause by Office</w:t>
      </w:r>
      <w:bookmarkEnd w:id="258"/>
      <w:bookmarkEnd w:id="259"/>
      <w:bookmarkEnd w:id="260"/>
      <w:bookmarkEnd w:id="261"/>
      <w:r w:rsidR="003A5969">
        <w:t xml:space="preserve">  </w:t>
      </w:r>
    </w:p>
    <w:p w:rsidR="00E32D28" w:rsidRDefault="00E32D28" w:rsidP="00E32D28"/>
    <w:p w:rsidR="003A5969" w:rsidRDefault="003A5969">
      <w:r>
        <w:t xml:space="preserve">The following chart shows the percentage SAIFI contribution by causes for outages excluding major event days. </w:t>
      </w:r>
    </w:p>
    <w:p w:rsidR="00555991" w:rsidRDefault="00555991"/>
    <w:p w:rsidR="003A5969" w:rsidRPr="00FC65D2" w:rsidRDefault="00C047B5" w:rsidP="00E32D28">
      <w:pPr>
        <w:jc w:val="center"/>
      </w:pPr>
      <w:r w:rsidRPr="00C047B5">
        <w:rPr>
          <w:noProof/>
        </w:rPr>
        <w:drawing>
          <wp:inline distT="0" distB="0" distL="0" distR="0">
            <wp:extent cx="7131050" cy="5422900"/>
            <wp:effectExtent l="19050" t="0" r="0" b="0"/>
            <wp:docPr id="5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A5969" w:rsidRDefault="003A5969">
      <w:pPr>
        <w:pStyle w:val="Heading3"/>
      </w:pPr>
      <w:r>
        <w:br w:type="page"/>
      </w:r>
      <w:bookmarkStart w:id="262" w:name="_Toc98906781"/>
      <w:bookmarkStart w:id="263" w:name="_Toc165342455"/>
      <w:bookmarkStart w:id="264" w:name="_Toc193711024"/>
      <w:bookmarkStart w:id="265" w:name="_Toc227571619"/>
      <w:bookmarkStart w:id="266" w:name="_Toc354493036"/>
      <w:r w:rsidR="00473AE9">
        <w:t>Table 8</w:t>
      </w:r>
      <w:r>
        <w:t>.2 - % SAIDI per Cause by Office</w:t>
      </w:r>
      <w:bookmarkEnd w:id="262"/>
      <w:bookmarkEnd w:id="263"/>
      <w:bookmarkEnd w:id="264"/>
      <w:bookmarkEnd w:id="265"/>
      <w:bookmarkEnd w:id="266"/>
    </w:p>
    <w:p w:rsidR="00E32D28" w:rsidRPr="00E32D28" w:rsidRDefault="00E32D28" w:rsidP="00E32D28"/>
    <w:p w:rsidR="003A5969" w:rsidRDefault="003A5969">
      <w:r>
        <w:t xml:space="preserve">The following table lists the percentage SAIDI contribution by causes for outages excluding major event days. </w:t>
      </w:r>
    </w:p>
    <w:p w:rsidR="003A5969" w:rsidRDefault="003A5969"/>
    <w:tbl>
      <w:tblPr>
        <w:tblW w:w="13410" w:type="dxa"/>
        <w:tblInd w:w="98" w:type="dxa"/>
        <w:tblLook w:val="04A0"/>
      </w:tblPr>
      <w:tblGrid>
        <w:gridCol w:w="2028"/>
        <w:gridCol w:w="895"/>
        <w:gridCol w:w="895"/>
        <w:gridCol w:w="895"/>
        <w:gridCol w:w="895"/>
        <w:gridCol w:w="895"/>
        <w:gridCol w:w="895"/>
        <w:gridCol w:w="895"/>
        <w:gridCol w:w="895"/>
        <w:gridCol w:w="895"/>
        <w:gridCol w:w="895"/>
        <w:gridCol w:w="895"/>
        <w:gridCol w:w="1537"/>
      </w:tblGrid>
      <w:tr w:rsidR="00C047B5" w:rsidRPr="00C047B5" w:rsidTr="00C047B5">
        <w:trPr>
          <w:trHeight w:val="660"/>
        </w:trPr>
        <w:tc>
          <w:tcPr>
            <w:tcW w:w="202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047B5" w:rsidRPr="00C047B5" w:rsidRDefault="00C047B5" w:rsidP="00C047B5">
            <w:pPr>
              <w:rPr>
                <w:rFonts w:ascii="Arial" w:hAnsi="Arial" w:cs="Arial"/>
                <w:b/>
                <w:bCs/>
                <w:szCs w:val="24"/>
              </w:rPr>
            </w:pPr>
            <w:r w:rsidRPr="00C047B5">
              <w:rPr>
                <w:rFonts w:ascii="Arial" w:hAnsi="Arial" w:cs="Arial"/>
                <w:b/>
                <w:bCs/>
                <w:szCs w:val="24"/>
              </w:rPr>
              <w:t>Reason</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CDC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COC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GRC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KEC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LCC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OTC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PAC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SAC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SPC</w:t>
            </w:r>
          </w:p>
        </w:tc>
        <w:tc>
          <w:tcPr>
            <w:tcW w:w="895" w:type="dxa"/>
            <w:tcBorders>
              <w:top w:val="single" w:sz="8" w:space="0" w:color="auto"/>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DPC</w:t>
            </w:r>
          </w:p>
        </w:tc>
        <w:tc>
          <w:tcPr>
            <w:tcW w:w="1537" w:type="dxa"/>
            <w:tcBorders>
              <w:top w:val="single" w:sz="8" w:space="0" w:color="auto"/>
              <w:left w:val="nil"/>
              <w:bottom w:val="single" w:sz="8" w:space="0" w:color="auto"/>
              <w:right w:val="single" w:sz="8" w:space="0" w:color="auto"/>
            </w:tcBorders>
            <w:shd w:val="clear" w:color="auto" w:fill="auto"/>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All Offices</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ANIMAL</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1.9%</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3.3%</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MISCELLANEOUS</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POLE FIRE</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5.2%</w:t>
            </w:r>
          </w:p>
        </w:tc>
      </w:tr>
      <w:tr w:rsidR="00C047B5" w:rsidRPr="00C047B5" w:rsidTr="00C047B5">
        <w:trPr>
          <w:trHeight w:val="255"/>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WEATHER</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28.9%</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54.4%</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52.0%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43.2%</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18.4%</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35.2%</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27.1%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59.1%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20.8%</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18.9%</w:t>
            </w:r>
          </w:p>
        </w:tc>
        <w:tc>
          <w:tcPr>
            <w:tcW w:w="1537"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37.1%</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UNDETERMINED</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9.3%</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8.4%</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TREE</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10.2%</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PUBLIC</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20.8%</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22.9%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16.7%</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11.5%</w:t>
            </w:r>
          </w:p>
        </w:tc>
      </w:tr>
      <w:tr w:rsidR="00C047B5" w:rsidRPr="00C047B5" w:rsidTr="00C047B5">
        <w:trPr>
          <w:trHeight w:val="255"/>
        </w:trPr>
        <w:tc>
          <w:tcPr>
            <w:tcW w:w="2028" w:type="dxa"/>
            <w:tcBorders>
              <w:top w:val="nil"/>
              <w:left w:val="single" w:sz="8" w:space="0" w:color="auto"/>
              <w:bottom w:val="single" w:sz="4"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COMPANY</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0.6%</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w:t>
            </w:r>
          </w:p>
        </w:tc>
        <w:tc>
          <w:tcPr>
            <w:tcW w:w="895"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2.4%</w:t>
            </w:r>
          </w:p>
        </w:tc>
        <w:tc>
          <w:tcPr>
            <w:tcW w:w="1537" w:type="dxa"/>
            <w:tcBorders>
              <w:top w:val="nil"/>
              <w:left w:val="nil"/>
              <w:bottom w:val="single" w:sz="4"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OH</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36.2%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10.1%</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18.4%</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10.2%</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UG</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0.4%</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2.6%</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1.9%</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r>
      <w:tr w:rsidR="00C047B5" w:rsidRPr="00C047B5" w:rsidTr="00C047B5">
        <w:trPr>
          <w:trHeight w:val="255"/>
        </w:trPr>
        <w:tc>
          <w:tcPr>
            <w:tcW w:w="2028" w:type="dxa"/>
            <w:tcBorders>
              <w:top w:val="nil"/>
              <w:left w:val="single" w:sz="8" w:space="0" w:color="auto"/>
              <w:bottom w:val="nil"/>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SUB</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14.3%</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2.5%</w:t>
            </w:r>
          </w:p>
        </w:tc>
        <w:tc>
          <w:tcPr>
            <w:tcW w:w="895"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24.3%</w:t>
            </w:r>
          </w:p>
        </w:tc>
        <w:tc>
          <w:tcPr>
            <w:tcW w:w="1537" w:type="dxa"/>
            <w:tcBorders>
              <w:top w:val="nil"/>
              <w:left w:val="nil"/>
              <w:bottom w:val="nil"/>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2.5%</w:t>
            </w:r>
          </w:p>
        </w:tc>
      </w:tr>
      <w:tr w:rsidR="00C047B5" w:rsidRPr="00C047B5" w:rsidTr="00C047B5">
        <w:trPr>
          <w:trHeight w:val="270"/>
        </w:trPr>
        <w:tc>
          <w:tcPr>
            <w:tcW w:w="2028" w:type="dxa"/>
            <w:tcBorders>
              <w:top w:val="nil"/>
              <w:left w:val="single" w:sz="8" w:space="0" w:color="auto"/>
              <w:bottom w:val="single" w:sz="8" w:space="0" w:color="auto"/>
              <w:right w:val="single" w:sz="8"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PLANNED</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6.4%</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6.8%</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4.5%</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15.4%</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4.0%</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24.1%</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18.2%</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0.4%</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10.8%</w:t>
            </w:r>
          </w:p>
        </w:tc>
        <w:tc>
          <w:tcPr>
            <w:tcW w:w="895"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3.7%</w:t>
            </w:r>
          </w:p>
        </w:tc>
        <w:tc>
          <w:tcPr>
            <w:tcW w:w="1537" w:type="dxa"/>
            <w:tcBorders>
              <w:top w:val="nil"/>
              <w:left w:val="nil"/>
              <w:bottom w:val="single" w:sz="8" w:space="0" w:color="auto"/>
              <w:right w:val="single" w:sz="8"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8.9%</w:t>
            </w:r>
          </w:p>
        </w:tc>
      </w:tr>
    </w:tbl>
    <w:p w:rsidR="003A5969" w:rsidRDefault="003A5969">
      <w:pPr>
        <w:pStyle w:val="CommentText"/>
      </w:pPr>
    </w:p>
    <w:p w:rsidR="003A5969" w:rsidRDefault="003A5969"/>
    <w:p w:rsidR="003A5969" w:rsidRDefault="003A5969"/>
    <w:tbl>
      <w:tblPr>
        <w:tblpPr w:leftFromText="180" w:rightFromText="180" w:vertAnchor="text" w:horzAnchor="margin" w:tblpY="-6"/>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3A5969" w:rsidRDefault="003A5969"/>
    <w:p w:rsidR="00B360B0" w:rsidRDefault="00B360B0"/>
    <w:p w:rsidR="003A5969" w:rsidRDefault="003A5969">
      <w:pPr>
        <w:pStyle w:val="Heading3"/>
      </w:pPr>
      <w:r>
        <w:br w:type="page"/>
      </w:r>
      <w:bookmarkStart w:id="267" w:name="_Toc97619615"/>
      <w:bookmarkStart w:id="268" w:name="_Toc98906782"/>
      <w:bookmarkStart w:id="269" w:name="_Toc165342456"/>
      <w:bookmarkStart w:id="270" w:name="_Toc193711025"/>
      <w:bookmarkStart w:id="271" w:name="_Toc227571620"/>
      <w:bookmarkStart w:id="272" w:name="_Toc354493037"/>
      <w:r w:rsidR="007604DD">
        <w:t xml:space="preserve">Chart </w:t>
      </w:r>
      <w:r w:rsidR="00473AE9">
        <w:t>8</w:t>
      </w:r>
      <w:r>
        <w:t>.2 – % SAIDI per Cause by Office</w:t>
      </w:r>
      <w:bookmarkEnd w:id="267"/>
      <w:bookmarkEnd w:id="268"/>
      <w:bookmarkEnd w:id="269"/>
      <w:bookmarkEnd w:id="270"/>
      <w:bookmarkEnd w:id="271"/>
      <w:bookmarkEnd w:id="272"/>
    </w:p>
    <w:p w:rsidR="00E32D28" w:rsidRPr="00E32D28" w:rsidRDefault="00E32D28" w:rsidP="00E32D28"/>
    <w:p w:rsidR="003A5969" w:rsidRDefault="003A5969">
      <w:r>
        <w:t xml:space="preserve">The following chart shows the percentage SAIDI contribution by causes for outages excluding major event days. </w:t>
      </w:r>
    </w:p>
    <w:p w:rsidR="003A5969" w:rsidRDefault="003A5969"/>
    <w:p w:rsidR="003A5969" w:rsidRPr="003A79C3" w:rsidRDefault="00C047B5" w:rsidP="00E32D28">
      <w:pPr>
        <w:jc w:val="center"/>
        <w:sectPr w:rsidR="003A5969" w:rsidRPr="003A79C3" w:rsidSect="002A49F9">
          <w:pgSz w:w="15840" w:h="12240" w:orient="landscape" w:code="1"/>
          <w:pgMar w:top="1008" w:right="1008" w:bottom="1008" w:left="1008" w:header="720" w:footer="720" w:gutter="0"/>
          <w:cols w:space="720"/>
        </w:sectPr>
      </w:pPr>
      <w:r w:rsidRPr="00C047B5">
        <w:rPr>
          <w:noProof/>
        </w:rPr>
        <w:drawing>
          <wp:inline distT="0" distB="0" distL="0" distR="0">
            <wp:extent cx="6623050" cy="5359400"/>
            <wp:effectExtent l="19050" t="0" r="6350" b="0"/>
            <wp:docPr id="5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A5969" w:rsidRDefault="003A5969">
      <w:pPr>
        <w:pStyle w:val="Heading3"/>
      </w:pPr>
      <w:bookmarkStart w:id="273" w:name="_Toc98906783"/>
      <w:bookmarkStart w:id="274" w:name="_Toc165342457"/>
      <w:bookmarkStart w:id="275" w:name="_Toc193711026"/>
      <w:bookmarkStart w:id="276" w:name="_Toc227571621"/>
      <w:bookmarkStart w:id="277" w:name="_Toc354493038"/>
      <w:r>
        <w:t xml:space="preserve">Table </w:t>
      </w:r>
      <w:r w:rsidR="00473AE9">
        <w:t>8</w:t>
      </w:r>
      <w:r>
        <w:t xml:space="preserve">.3 - % SAIFI per </w:t>
      </w:r>
      <w:bookmarkEnd w:id="257"/>
      <w:r>
        <w:t>Cause by Month</w:t>
      </w:r>
      <w:bookmarkEnd w:id="273"/>
      <w:bookmarkEnd w:id="274"/>
      <w:bookmarkEnd w:id="275"/>
      <w:bookmarkEnd w:id="276"/>
      <w:bookmarkEnd w:id="277"/>
    </w:p>
    <w:p w:rsidR="00E32D28" w:rsidRPr="00E32D28" w:rsidRDefault="00E32D28" w:rsidP="00E32D28"/>
    <w:p w:rsidR="003A5969" w:rsidRDefault="003A5969">
      <w:r>
        <w:t>The following table lists the percentage SAIFI contributi</w:t>
      </w:r>
      <w:r w:rsidR="00565968">
        <w:t>on by causes for all outages, ex</w:t>
      </w:r>
      <w:r>
        <w:t xml:space="preserve">cluding major event days. </w:t>
      </w:r>
    </w:p>
    <w:p w:rsidR="003A5969" w:rsidRDefault="003A5969"/>
    <w:p w:rsidR="003A5969" w:rsidRDefault="003A5969"/>
    <w:tbl>
      <w:tblPr>
        <w:tblW w:w="13854" w:type="dxa"/>
        <w:tblInd w:w="93" w:type="dxa"/>
        <w:tblLook w:val="04A0"/>
      </w:tblPr>
      <w:tblGrid>
        <w:gridCol w:w="2028"/>
        <w:gridCol w:w="895"/>
        <w:gridCol w:w="895"/>
        <w:gridCol w:w="895"/>
        <w:gridCol w:w="895"/>
        <w:gridCol w:w="895"/>
        <w:gridCol w:w="910"/>
        <w:gridCol w:w="895"/>
        <w:gridCol w:w="895"/>
        <w:gridCol w:w="895"/>
        <w:gridCol w:w="895"/>
        <w:gridCol w:w="895"/>
        <w:gridCol w:w="895"/>
        <w:gridCol w:w="1071"/>
      </w:tblGrid>
      <w:tr w:rsidR="00C047B5" w:rsidRPr="00C047B5" w:rsidTr="00C047B5">
        <w:trPr>
          <w:trHeight w:val="315"/>
        </w:trPr>
        <w:tc>
          <w:tcPr>
            <w:tcW w:w="2028"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C047B5" w:rsidRPr="00C047B5" w:rsidRDefault="00C047B5" w:rsidP="00C047B5">
            <w:pPr>
              <w:rPr>
                <w:rFonts w:ascii="Arial" w:hAnsi="Arial" w:cs="Arial"/>
                <w:b/>
                <w:bCs/>
                <w:szCs w:val="24"/>
              </w:rPr>
            </w:pPr>
            <w:r w:rsidRPr="00C047B5">
              <w:rPr>
                <w:rFonts w:ascii="Arial" w:hAnsi="Arial" w:cs="Arial"/>
                <w:b/>
                <w:bCs/>
                <w:szCs w:val="24"/>
              </w:rPr>
              <w:t>Reason</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Jan</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Feb</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Mar</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Apr</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May</w:t>
            </w:r>
          </w:p>
        </w:tc>
        <w:tc>
          <w:tcPr>
            <w:tcW w:w="910"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June</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July</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Aug</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Sept</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Oct</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Nov</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Dec</w:t>
            </w:r>
          </w:p>
        </w:tc>
        <w:tc>
          <w:tcPr>
            <w:tcW w:w="1071" w:type="dxa"/>
            <w:tcBorders>
              <w:top w:val="single" w:sz="12" w:space="0" w:color="auto"/>
              <w:left w:val="nil"/>
              <w:bottom w:val="single" w:sz="12" w:space="0" w:color="auto"/>
              <w:right w:val="single" w:sz="12"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Yearly</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ANIMAL</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6.7%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4.1%</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31.3%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13.7%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2.2%</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5.8%</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MISCELLANEOUS</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POLE FIRE</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5.1%</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17.6%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5.1%</w:t>
            </w:r>
          </w:p>
        </w:tc>
      </w:tr>
      <w:tr w:rsidR="00C047B5" w:rsidRPr="00C047B5" w:rsidTr="00C047B5">
        <w:trPr>
          <w:trHeight w:val="315"/>
        </w:trPr>
        <w:tc>
          <w:tcPr>
            <w:tcW w:w="2028" w:type="dxa"/>
            <w:tcBorders>
              <w:top w:val="nil"/>
              <w:left w:val="single" w:sz="12" w:space="0" w:color="auto"/>
              <w:bottom w:val="single" w:sz="4"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WEATHER</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9.2%</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47.8%</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21.6%</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11.2%</w:t>
            </w:r>
          </w:p>
        </w:tc>
        <w:tc>
          <w:tcPr>
            <w:tcW w:w="910"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57.5%</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12.4%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29.7%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4.3%</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32.9%</w:t>
            </w:r>
          </w:p>
        </w:tc>
        <w:tc>
          <w:tcPr>
            <w:tcW w:w="1071" w:type="dxa"/>
            <w:tcBorders>
              <w:top w:val="nil"/>
              <w:left w:val="nil"/>
              <w:bottom w:val="single" w:sz="4" w:space="0" w:color="auto"/>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24.7%</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UNDETERMINED</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19.4%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20.4%</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13.3%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15.1%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20.1%</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14.4%</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TREE</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8.8%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19.7%</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19.7%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6.9%</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9.5%</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PUBLIC</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31.6%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25.8%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17.5%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31.1%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7.5%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9.8%</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12.2%</w:t>
            </w:r>
          </w:p>
        </w:tc>
      </w:tr>
      <w:tr w:rsidR="00C047B5" w:rsidRPr="00C047B5" w:rsidTr="00C047B5">
        <w:trPr>
          <w:trHeight w:val="345"/>
        </w:trPr>
        <w:tc>
          <w:tcPr>
            <w:tcW w:w="2028" w:type="dxa"/>
            <w:tcBorders>
              <w:top w:val="nil"/>
              <w:left w:val="single" w:sz="12" w:space="0" w:color="auto"/>
              <w:bottom w:val="single" w:sz="4"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COMPANY</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11.3%</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15.1%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3.9%</w:t>
            </w:r>
          </w:p>
        </w:tc>
        <w:tc>
          <w:tcPr>
            <w:tcW w:w="910"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1.8%</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4.8%</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4.6%</w:t>
            </w:r>
          </w:p>
        </w:tc>
        <w:tc>
          <w:tcPr>
            <w:tcW w:w="1071" w:type="dxa"/>
            <w:tcBorders>
              <w:top w:val="nil"/>
              <w:left w:val="nil"/>
              <w:bottom w:val="single" w:sz="4" w:space="0" w:color="auto"/>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3.9%</w:t>
            </w:r>
          </w:p>
        </w:tc>
      </w:tr>
      <w:tr w:rsidR="00C047B5" w:rsidRPr="00C047B5" w:rsidTr="00C047B5">
        <w:trPr>
          <w:trHeight w:val="34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OH</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18.9%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12.4%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18.5%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12.0%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14.4%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16.9%</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10.4%</w:t>
            </w:r>
          </w:p>
        </w:tc>
      </w:tr>
      <w:tr w:rsidR="00C047B5" w:rsidRPr="00C047B5" w:rsidTr="00C047B5">
        <w:trPr>
          <w:trHeight w:val="34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UG</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0.8%</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6.6%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0.1%</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w:t>
            </w:r>
          </w:p>
        </w:tc>
      </w:tr>
      <w:tr w:rsidR="00C047B5" w:rsidRPr="00C047B5" w:rsidTr="00C047B5">
        <w:trPr>
          <w:trHeight w:val="34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SUB</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15.2%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2.2%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14.4%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3.3%</w:t>
            </w:r>
          </w:p>
        </w:tc>
      </w:tr>
      <w:tr w:rsidR="00C047B5" w:rsidRPr="00C047B5" w:rsidTr="00C047B5">
        <w:trPr>
          <w:trHeight w:val="345"/>
        </w:trPr>
        <w:tc>
          <w:tcPr>
            <w:tcW w:w="2028" w:type="dxa"/>
            <w:tcBorders>
              <w:top w:val="nil"/>
              <w:left w:val="single" w:sz="12" w:space="0" w:color="auto"/>
              <w:bottom w:val="single" w:sz="12"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PLANNED</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11.2%</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8.8%</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17.1%</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5.6%</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18.7%</w:t>
            </w:r>
          </w:p>
        </w:tc>
        <w:tc>
          <w:tcPr>
            <w:tcW w:w="910"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11.2%</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4.8%</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5.5%</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16.1%</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8.5%</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10.0%</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6.4%</w:t>
            </w:r>
          </w:p>
        </w:tc>
        <w:tc>
          <w:tcPr>
            <w:tcW w:w="1071" w:type="dxa"/>
            <w:tcBorders>
              <w:top w:val="nil"/>
              <w:left w:val="nil"/>
              <w:bottom w:val="single" w:sz="12" w:space="0" w:color="auto"/>
              <w:right w:val="single" w:sz="12" w:space="0" w:color="auto"/>
            </w:tcBorders>
            <w:shd w:val="clear" w:color="auto" w:fill="auto"/>
            <w:noWrap/>
            <w:vAlign w:val="bottom"/>
            <w:hideMark/>
          </w:tcPr>
          <w:p w:rsidR="00C047B5" w:rsidRPr="00C047B5" w:rsidRDefault="00C047B5" w:rsidP="00C047B5">
            <w:pPr>
              <w:jc w:val="right"/>
              <w:rPr>
                <w:rFonts w:ascii="Arial" w:hAnsi="Arial" w:cs="Arial"/>
                <w:sz w:val="20"/>
              </w:rPr>
            </w:pPr>
            <w:r w:rsidRPr="00C047B5">
              <w:rPr>
                <w:rFonts w:ascii="Arial" w:hAnsi="Arial" w:cs="Arial"/>
                <w:sz w:val="20"/>
              </w:rPr>
              <w:t>9.6%</w:t>
            </w:r>
          </w:p>
        </w:tc>
      </w:tr>
    </w:tbl>
    <w:p w:rsidR="003A5969" w:rsidRDefault="003A5969">
      <w:pPr>
        <w:pStyle w:val="Footer"/>
        <w:tabs>
          <w:tab w:val="clear" w:pos="4320"/>
          <w:tab w:val="clear" w:pos="8640"/>
        </w:tabs>
      </w:pPr>
    </w:p>
    <w:p w:rsidR="003A5969" w:rsidRDefault="003A5969">
      <w:pPr>
        <w:pStyle w:val="Heading3"/>
      </w:pPr>
      <w:r>
        <w:br w:type="page"/>
      </w:r>
      <w:bookmarkStart w:id="278" w:name="_Toc3183411"/>
      <w:bookmarkStart w:id="279" w:name="_Toc98906784"/>
      <w:bookmarkStart w:id="280" w:name="_Toc165342458"/>
      <w:bookmarkStart w:id="281" w:name="_Toc193711027"/>
      <w:bookmarkStart w:id="282" w:name="_Toc227571622"/>
      <w:bookmarkStart w:id="283" w:name="_Toc354493039"/>
      <w:r>
        <w:t xml:space="preserve">Chart </w:t>
      </w:r>
      <w:bookmarkEnd w:id="278"/>
      <w:r w:rsidR="00473AE9">
        <w:t>8</w:t>
      </w:r>
      <w:r>
        <w:t>.3 – % SAIFI per Cause by Month</w:t>
      </w:r>
      <w:bookmarkEnd w:id="279"/>
      <w:bookmarkEnd w:id="280"/>
      <w:bookmarkEnd w:id="281"/>
      <w:bookmarkEnd w:id="282"/>
      <w:bookmarkEnd w:id="283"/>
    </w:p>
    <w:p w:rsidR="00E32D28" w:rsidRPr="00E32D28" w:rsidRDefault="00E32D28" w:rsidP="00E32D28"/>
    <w:p w:rsidR="003A5969" w:rsidRDefault="003A5969">
      <w:r>
        <w:t>The following chart shows the percentage SAIFI contributi</w:t>
      </w:r>
      <w:r w:rsidR="00565968">
        <w:t>on by causes for all outages, ex</w:t>
      </w:r>
      <w:r>
        <w:t xml:space="preserve">cluding major event days. </w:t>
      </w:r>
    </w:p>
    <w:p w:rsidR="003A5969" w:rsidRPr="003A79C3" w:rsidRDefault="003A5969" w:rsidP="00E32D28">
      <w:pPr>
        <w:jc w:val="center"/>
      </w:pPr>
    </w:p>
    <w:p w:rsidR="003A5969" w:rsidRDefault="00C047B5">
      <w:pPr>
        <w:pStyle w:val="Heading3"/>
      </w:pPr>
      <w:r w:rsidRPr="00C047B5">
        <w:rPr>
          <w:noProof/>
        </w:rPr>
        <w:drawing>
          <wp:inline distT="0" distB="0" distL="0" distR="0">
            <wp:extent cx="8591550" cy="5207000"/>
            <wp:effectExtent l="19050" t="0" r="0" b="0"/>
            <wp:docPr id="58"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3A5969">
        <w:br w:type="page"/>
      </w:r>
      <w:bookmarkStart w:id="284" w:name="_Toc98906785"/>
      <w:bookmarkStart w:id="285" w:name="_Toc165342459"/>
      <w:bookmarkStart w:id="286" w:name="_Toc193711028"/>
      <w:bookmarkStart w:id="287" w:name="_Toc227571623"/>
      <w:bookmarkStart w:id="288" w:name="_Toc354493040"/>
      <w:r w:rsidR="007604DD">
        <w:t xml:space="preserve">Table </w:t>
      </w:r>
      <w:r w:rsidR="00473AE9">
        <w:t>8</w:t>
      </w:r>
      <w:r w:rsidR="003A5969">
        <w:t>.4 - % SAIDI per Cause by Month</w:t>
      </w:r>
      <w:bookmarkEnd w:id="284"/>
      <w:bookmarkEnd w:id="285"/>
      <w:bookmarkEnd w:id="286"/>
      <w:bookmarkEnd w:id="287"/>
      <w:bookmarkEnd w:id="288"/>
    </w:p>
    <w:p w:rsidR="00E32D28" w:rsidRPr="00E32D28" w:rsidRDefault="00E32D28" w:rsidP="00E32D28"/>
    <w:p w:rsidR="003A5969" w:rsidRDefault="003A5969">
      <w:r>
        <w:t xml:space="preserve">The following table lists the percentage SAIDI contribution by causes for outages excluding major event days. </w:t>
      </w:r>
    </w:p>
    <w:p w:rsidR="00124209" w:rsidRDefault="00124209"/>
    <w:tbl>
      <w:tblPr>
        <w:tblW w:w="13854" w:type="dxa"/>
        <w:tblInd w:w="93" w:type="dxa"/>
        <w:tblLook w:val="04A0"/>
      </w:tblPr>
      <w:tblGrid>
        <w:gridCol w:w="2028"/>
        <w:gridCol w:w="895"/>
        <w:gridCol w:w="895"/>
        <w:gridCol w:w="895"/>
        <w:gridCol w:w="895"/>
        <w:gridCol w:w="895"/>
        <w:gridCol w:w="910"/>
        <w:gridCol w:w="895"/>
        <w:gridCol w:w="895"/>
        <w:gridCol w:w="895"/>
        <w:gridCol w:w="895"/>
        <w:gridCol w:w="895"/>
        <w:gridCol w:w="895"/>
        <w:gridCol w:w="1071"/>
      </w:tblGrid>
      <w:tr w:rsidR="00C047B5" w:rsidRPr="00C047B5" w:rsidTr="00C047B5">
        <w:trPr>
          <w:trHeight w:val="360"/>
        </w:trPr>
        <w:tc>
          <w:tcPr>
            <w:tcW w:w="2028"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rsidR="00C047B5" w:rsidRPr="00C047B5" w:rsidRDefault="00C047B5" w:rsidP="00C047B5">
            <w:pPr>
              <w:rPr>
                <w:rFonts w:ascii="Arial" w:hAnsi="Arial" w:cs="Arial"/>
                <w:b/>
                <w:bCs/>
                <w:szCs w:val="24"/>
              </w:rPr>
            </w:pPr>
            <w:r w:rsidRPr="00C047B5">
              <w:rPr>
                <w:rFonts w:ascii="Arial" w:hAnsi="Arial" w:cs="Arial"/>
                <w:b/>
                <w:bCs/>
                <w:szCs w:val="24"/>
              </w:rPr>
              <w:t>REASON</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Jan</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Feb</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Mar</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Apr</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May</w:t>
            </w:r>
          </w:p>
        </w:tc>
        <w:tc>
          <w:tcPr>
            <w:tcW w:w="910"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June</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Jul</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Aug</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Sept</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Oct</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Nov</w:t>
            </w:r>
          </w:p>
        </w:tc>
        <w:tc>
          <w:tcPr>
            <w:tcW w:w="895" w:type="dxa"/>
            <w:tcBorders>
              <w:top w:val="single" w:sz="12" w:space="0" w:color="auto"/>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Dec</w:t>
            </w:r>
          </w:p>
        </w:tc>
        <w:tc>
          <w:tcPr>
            <w:tcW w:w="1071" w:type="dxa"/>
            <w:tcBorders>
              <w:top w:val="single" w:sz="12" w:space="0" w:color="auto"/>
              <w:left w:val="nil"/>
              <w:bottom w:val="single" w:sz="12" w:space="0" w:color="auto"/>
              <w:right w:val="single" w:sz="12" w:space="0" w:color="auto"/>
            </w:tcBorders>
            <w:shd w:val="clear" w:color="auto" w:fill="auto"/>
            <w:noWrap/>
            <w:vAlign w:val="bottom"/>
            <w:hideMark/>
          </w:tcPr>
          <w:p w:rsidR="00C047B5" w:rsidRPr="00C047B5" w:rsidRDefault="00C047B5" w:rsidP="00C047B5">
            <w:pPr>
              <w:jc w:val="center"/>
              <w:rPr>
                <w:rFonts w:ascii="Arial" w:hAnsi="Arial" w:cs="Arial"/>
                <w:b/>
                <w:bCs/>
                <w:szCs w:val="24"/>
              </w:rPr>
            </w:pPr>
            <w:r w:rsidRPr="00C047B5">
              <w:rPr>
                <w:rFonts w:ascii="Arial" w:hAnsi="Arial" w:cs="Arial"/>
                <w:b/>
                <w:bCs/>
                <w:szCs w:val="24"/>
              </w:rPr>
              <w:t>Yearly</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ANIMAL</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5.7%</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3.3%</w:t>
            </w:r>
          </w:p>
        </w:tc>
      </w:tr>
      <w:tr w:rsidR="00C047B5" w:rsidRPr="00C047B5" w:rsidTr="00C047B5">
        <w:trPr>
          <w:trHeight w:val="28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MISCELLANEOUS</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POLE FIRE</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6.9%</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5.2%</w:t>
            </w:r>
          </w:p>
        </w:tc>
      </w:tr>
      <w:tr w:rsidR="00C047B5" w:rsidRPr="00C047B5" w:rsidTr="00C047B5">
        <w:trPr>
          <w:trHeight w:val="315"/>
        </w:trPr>
        <w:tc>
          <w:tcPr>
            <w:tcW w:w="2028" w:type="dxa"/>
            <w:tcBorders>
              <w:top w:val="nil"/>
              <w:left w:val="single" w:sz="12" w:space="0" w:color="auto"/>
              <w:bottom w:val="single" w:sz="4"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WEATHER</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62.3%</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21.4%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20.9%</w:t>
            </w:r>
          </w:p>
        </w:tc>
        <w:tc>
          <w:tcPr>
            <w:tcW w:w="910"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62.2%</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25.8%</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22.9%</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33.7%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5.4%</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71.4%</w:t>
            </w:r>
          </w:p>
        </w:tc>
        <w:tc>
          <w:tcPr>
            <w:tcW w:w="1071" w:type="dxa"/>
            <w:tcBorders>
              <w:top w:val="nil"/>
              <w:left w:val="nil"/>
              <w:bottom w:val="single" w:sz="4" w:space="0" w:color="auto"/>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37.1%</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UNDETERMINED</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11.6%</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23.1%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5.7%</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8.4%</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TREE</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18.0%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9.1%</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4.3%</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10.2%</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PUBLIC</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5.7%</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5.0%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6.1%</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11.5%</w:t>
            </w:r>
          </w:p>
        </w:tc>
      </w:tr>
      <w:tr w:rsidR="00C047B5" w:rsidRPr="00C047B5" w:rsidTr="00C047B5">
        <w:trPr>
          <w:trHeight w:val="315"/>
        </w:trPr>
        <w:tc>
          <w:tcPr>
            <w:tcW w:w="2028" w:type="dxa"/>
            <w:tcBorders>
              <w:top w:val="nil"/>
              <w:left w:val="single" w:sz="12" w:space="0" w:color="auto"/>
              <w:bottom w:val="single" w:sz="4"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COMPANY</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2.9%</w:t>
            </w:r>
          </w:p>
        </w:tc>
        <w:tc>
          <w:tcPr>
            <w:tcW w:w="910"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0.6%</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2.7%</w:t>
            </w:r>
          </w:p>
        </w:tc>
        <w:tc>
          <w:tcPr>
            <w:tcW w:w="895" w:type="dxa"/>
            <w:tcBorders>
              <w:top w:val="nil"/>
              <w:left w:val="nil"/>
              <w:bottom w:val="single" w:sz="4"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0.5%</w:t>
            </w:r>
          </w:p>
        </w:tc>
        <w:tc>
          <w:tcPr>
            <w:tcW w:w="1071" w:type="dxa"/>
            <w:tcBorders>
              <w:top w:val="nil"/>
              <w:left w:val="nil"/>
              <w:bottom w:val="single" w:sz="4" w:space="0" w:color="auto"/>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OH</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23.6%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11.6%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15.9%</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4.8%</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7.9%</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10.2%</w:t>
            </w:r>
          </w:p>
        </w:tc>
      </w:tr>
      <w:tr w:rsidR="00C047B5" w:rsidRPr="00C047B5" w:rsidTr="00C047B5">
        <w:trPr>
          <w:trHeight w:val="31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UG</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1.6%</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0.9%</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3.6%</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4.1%</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0.2%</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0.5%</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0.1%</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w:t>
            </w:r>
          </w:p>
        </w:tc>
      </w:tr>
      <w:tr w:rsidR="00C047B5" w:rsidRPr="00C047B5" w:rsidTr="00C047B5">
        <w:trPr>
          <w:trHeight w:val="345"/>
        </w:trPr>
        <w:tc>
          <w:tcPr>
            <w:tcW w:w="2028" w:type="dxa"/>
            <w:tcBorders>
              <w:top w:val="nil"/>
              <w:left w:val="single" w:sz="12" w:space="0" w:color="auto"/>
              <w:bottom w:val="nil"/>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EQUIPMENT SUB</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910"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7.4%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13.0%</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0.4%</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14.3%</w:t>
            </w:r>
          </w:p>
        </w:tc>
        <w:tc>
          <w:tcPr>
            <w:tcW w:w="895" w:type="dxa"/>
            <w:tcBorders>
              <w:top w:val="nil"/>
              <w:left w:val="nil"/>
              <w:bottom w:val="nil"/>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0.0%</w:t>
            </w:r>
          </w:p>
        </w:tc>
        <w:tc>
          <w:tcPr>
            <w:tcW w:w="1071" w:type="dxa"/>
            <w:tcBorders>
              <w:top w:val="nil"/>
              <w:left w:val="nil"/>
              <w:bottom w:val="nil"/>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2.5%</w:t>
            </w:r>
          </w:p>
        </w:tc>
      </w:tr>
      <w:tr w:rsidR="00C047B5" w:rsidRPr="00C047B5" w:rsidTr="00C047B5">
        <w:trPr>
          <w:trHeight w:val="345"/>
        </w:trPr>
        <w:tc>
          <w:tcPr>
            <w:tcW w:w="2028" w:type="dxa"/>
            <w:tcBorders>
              <w:top w:val="nil"/>
              <w:left w:val="single" w:sz="12" w:space="0" w:color="auto"/>
              <w:bottom w:val="single" w:sz="12" w:space="0" w:color="auto"/>
              <w:right w:val="single" w:sz="4" w:space="0" w:color="auto"/>
            </w:tcBorders>
            <w:shd w:val="clear" w:color="auto" w:fill="auto"/>
            <w:noWrap/>
            <w:vAlign w:val="bottom"/>
            <w:hideMark/>
          </w:tcPr>
          <w:p w:rsidR="00C047B5" w:rsidRPr="00C047B5" w:rsidRDefault="00C047B5" w:rsidP="00C047B5">
            <w:pPr>
              <w:rPr>
                <w:rFonts w:ascii="Arial" w:hAnsi="Arial" w:cs="Arial"/>
                <w:sz w:val="20"/>
              </w:rPr>
            </w:pPr>
            <w:r w:rsidRPr="00C047B5">
              <w:rPr>
                <w:rFonts w:ascii="Arial" w:hAnsi="Arial" w:cs="Arial"/>
                <w:sz w:val="20"/>
              </w:rPr>
              <w:t>PLANNED</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17.6%</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6.2%</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10.7%</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6.1%</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19.7%</w:t>
            </w:r>
          </w:p>
        </w:tc>
        <w:tc>
          <w:tcPr>
            <w:tcW w:w="910"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13.1%</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4.5%</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4.4%</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9.1%</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10.6%</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13.3%</w:t>
            </w:r>
          </w:p>
        </w:tc>
        <w:tc>
          <w:tcPr>
            <w:tcW w:w="895" w:type="dxa"/>
            <w:tcBorders>
              <w:top w:val="nil"/>
              <w:left w:val="nil"/>
              <w:bottom w:val="single" w:sz="12" w:space="0" w:color="auto"/>
              <w:right w:val="single" w:sz="4"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2.8%</w:t>
            </w:r>
          </w:p>
        </w:tc>
        <w:tc>
          <w:tcPr>
            <w:tcW w:w="1071" w:type="dxa"/>
            <w:tcBorders>
              <w:top w:val="nil"/>
              <w:left w:val="nil"/>
              <w:bottom w:val="single" w:sz="12" w:space="0" w:color="auto"/>
              <w:right w:val="single" w:sz="12" w:space="0" w:color="auto"/>
            </w:tcBorders>
            <w:shd w:val="clear" w:color="auto" w:fill="auto"/>
            <w:noWrap/>
            <w:vAlign w:val="bottom"/>
            <w:hideMark/>
          </w:tcPr>
          <w:p w:rsidR="00C047B5" w:rsidRPr="00C047B5" w:rsidRDefault="00C047B5" w:rsidP="00C047B5">
            <w:pPr>
              <w:jc w:val="center"/>
              <w:rPr>
                <w:rFonts w:ascii="Arial" w:hAnsi="Arial" w:cs="Arial"/>
                <w:sz w:val="20"/>
              </w:rPr>
            </w:pPr>
            <w:r w:rsidRPr="00C047B5">
              <w:rPr>
                <w:rFonts w:ascii="Arial" w:hAnsi="Arial" w:cs="Arial"/>
                <w:sz w:val="20"/>
              </w:rPr>
              <w:t>8.9%</w:t>
            </w:r>
          </w:p>
        </w:tc>
      </w:tr>
    </w:tbl>
    <w:p w:rsidR="001B5294" w:rsidRDefault="001B5294"/>
    <w:p w:rsidR="003A5969" w:rsidRDefault="001B5294">
      <w:r>
        <w:br w:type="page"/>
      </w:r>
    </w:p>
    <w:tbl>
      <w:tblPr>
        <w:tblW w:w="14112" w:type="dxa"/>
        <w:jc w:val="center"/>
        <w:tblInd w:w="-72" w:type="dxa"/>
        <w:tblLook w:val="0000"/>
      </w:tblPr>
      <w:tblGrid>
        <w:gridCol w:w="1967"/>
        <w:gridCol w:w="828"/>
        <w:gridCol w:w="979"/>
        <w:gridCol w:w="891"/>
        <w:gridCol w:w="891"/>
        <w:gridCol w:w="938"/>
        <w:gridCol w:w="979"/>
        <w:gridCol w:w="891"/>
        <w:gridCol w:w="891"/>
        <w:gridCol w:w="891"/>
        <w:gridCol w:w="891"/>
        <w:gridCol w:w="979"/>
        <w:gridCol w:w="938"/>
        <w:gridCol w:w="1158"/>
      </w:tblGrid>
      <w:tr w:rsidR="00864FAE" w:rsidTr="003A64CF">
        <w:trPr>
          <w:trHeight w:val="270"/>
          <w:jc w:val="center"/>
        </w:trPr>
        <w:tc>
          <w:tcPr>
            <w:tcW w:w="14112" w:type="dxa"/>
            <w:gridSpan w:val="14"/>
            <w:tcBorders>
              <w:top w:val="nil"/>
              <w:left w:val="nil"/>
              <w:bottom w:val="single" w:sz="18" w:space="0" w:color="auto"/>
              <w:right w:val="nil"/>
            </w:tcBorders>
            <w:shd w:val="clear" w:color="auto" w:fill="auto"/>
            <w:noWrap/>
            <w:vAlign w:val="bottom"/>
          </w:tcPr>
          <w:p w:rsidR="00864FAE" w:rsidRDefault="00E31D71" w:rsidP="00417C4A">
            <w:pPr>
              <w:rPr>
                <w:rFonts w:ascii="Arial" w:hAnsi="Arial" w:cs="Arial"/>
                <w:sz w:val="20"/>
              </w:rPr>
            </w:pPr>
            <w:bookmarkStart w:id="289" w:name="_Toc165342460"/>
            <w:bookmarkStart w:id="290" w:name="_Toc193711029"/>
            <w:bookmarkStart w:id="291" w:name="_Toc227571624"/>
            <w:bookmarkStart w:id="292" w:name="_Toc354493041"/>
            <w:r w:rsidRPr="00514646">
              <w:rPr>
                <w:rStyle w:val="Heading3Char"/>
              </w:rPr>
              <w:t xml:space="preserve">Table </w:t>
            </w:r>
            <w:r w:rsidR="00473AE9">
              <w:rPr>
                <w:rStyle w:val="Heading3Char"/>
              </w:rPr>
              <w:t>8</w:t>
            </w:r>
            <w:r w:rsidRPr="00430572">
              <w:rPr>
                <w:rStyle w:val="Heading3Char"/>
              </w:rPr>
              <w:t>.4.1</w:t>
            </w:r>
            <w:r w:rsidRPr="00556A82">
              <w:rPr>
                <w:rStyle w:val="Heading3Char"/>
              </w:rPr>
              <w:t xml:space="preserve"> </w:t>
            </w:r>
            <w:r w:rsidR="00864FAE" w:rsidRPr="00556A82">
              <w:rPr>
                <w:rStyle w:val="Heading3Char"/>
              </w:rPr>
              <w:t>Ave</w:t>
            </w:r>
            <w:r w:rsidR="00473AE9">
              <w:rPr>
                <w:rStyle w:val="Heading3Char"/>
              </w:rPr>
              <w:t>rage</w:t>
            </w:r>
            <w:r w:rsidR="00864FAE" w:rsidRPr="00556A82">
              <w:rPr>
                <w:rStyle w:val="Heading3Char"/>
              </w:rPr>
              <w:t xml:space="preserve"> Outage</w:t>
            </w:r>
            <w:r w:rsidR="00864FAE" w:rsidRPr="00514646">
              <w:rPr>
                <w:rStyle w:val="Heading3Char"/>
              </w:rPr>
              <w:t xml:space="preserve"> Time</w:t>
            </w:r>
            <w:bookmarkEnd w:id="289"/>
            <w:bookmarkEnd w:id="290"/>
            <w:bookmarkEnd w:id="291"/>
            <w:bookmarkEnd w:id="292"/>
            <w:r w:rsidR="001E5CD7">
              <w:rPr>
                <w:rStyle w:val="Heading3Char"/>
              </w:rPr>
              <w:t xml:space="preserve"> </w:t>
            </w:r>
            <w:r>
              <w:rPr>
                <w:rFonts w:ascii="Arial" w:hAnsi="Arial" w:cs="Arial"/>
                <w:sz w:val="20"/>
              </w:rPr>
              <w:t>(HH:MM</w:t>
            </w:r>
            <w:r w:rsidR="0040433C" w:rsidRPr="0040433C">
              <w:rPr>
                <w:rFonts w:ascii="Arial" w:hAnsi="Arial" w:cs="Arial"/>
                <w:sz w:val="20"/>
              </w:rPr>
              <w:t>)</w:t>
            </w:r>
          </w:p>
          <w:p w:rsidR="00E32D28" w:rsidRDefault="00E32D28" w:rsidP="00417C4A">
            <w:pPr>
              <w:rPr>
                <w:rFonts w:ascii="Arial" w:hAnsi="Arial" w:cs="Arial"/>
                <w:sz w:val="20"/>
              </w:rPr>
            </w:pPr>
          </w:p>
        </w:tc>
      </w:tr>
      <w:tr w:rsidR="00761945" w:rsidTr="003A64CF">
        <w:trPr>
          <w:trHeight w:val="330"/>
          <w:jc w:val="center"/>
        </w:trPr>
        <w:tc>
          <w:tcPr>
            <w:tcW w:w="1967" w:type="dxa"/>
            <w:tcBorders>
              <w:top w:val="single" w:sz="18" w:space="0" w:color="auto"/>
              <w:left w:val="single" w:sz="18" w:space="0" w:color="auto"/>
              <w:bottom w:val="single" w:sz="18" w:space="0" w:color="auto"/>
              <w:right w:val="single" w:sz="6" w:space="0" w:color="auto"/>
            </w:tcBorders>
            <w:shd w:val="clear" w:color="auto" w:fill="auto"/>
            <w:noWrap/>
            <w:vAlign w:val="bottom"/>
          </w:tcPr>
          <w:p w:rsidR="00556A82" w:rsidRDefault="00556A82">
            <w:pPr>
              <w:rPr>
                <w:rFonts w:ascii="Arial" w:hAnsi="Arial" w:cs="Arial"/>
                <w:b/>
                <w:bCs/>
                <w:szCs w:val="24"/>
              </w:rPr>
            </w:pPr>
            <w:r>
              <w:rPr>
                <w:rFonts w:ascii="Arial" w:hAnsi="Arial" w:cs="Arial"/>
                <w:b/>
                <w:bCs/>
              </w:rPr>
              <w:t>Reason</w:t>
            </w:r>
          </w:p>
        </w:tc>
        <w:tc>
          <w:tcPr>
            <w:tcW w:w="82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Jan</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Feb</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Mar</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Apr</w:t>
            </w:r>
          </w:p>
        </w:tc>
        <w:tc>
          <w:tcPr>
            <w:tcW w:w="93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May</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June</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July</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Aug</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Sept</w:t>
            </w:r>
          </w:p>
        </w:tc>
        <w:tc>
          <w:tcPr>
            <w:tcW w:w="891"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Oct</w:t>
            </w:r>
          </w:p>
        </w:tc>
        <w:tc>
          <w:tcPr>
            <w:tcW w:w="979"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Nov</w:t>
            </w:r>
          </w:p>
        </w:tc>
        <w:tc>
          <w:tcPr>
            <w:tcW w:w="938"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Dec</w:t>
            </w:r>
          </w:p>
        </w:tc>
        <w:tc>
          <w:tcPr>
            <w:tcW w:w="1158" w:type="dxa"/>
            <w:tcBorders>
              <w:top w:val="single" w:sz="18" w:space="0" w:color="auto"/>
              <w:left w:val="single" w:sz="6" w:space="0" w:color="auto"/>
              <w:bottom w:val="single" w:sz="18" w:space="0" w:color="auto"/>
              <w:right w:val="single" w:sz="18" w:space="0" w:color="auto"/>
            </w:tcBorders>
            <w:shd w:val="clear" w:color="auto" w:fill="auto"/>
            <w:noWrap/>
            <w:vAlign w:val="bottom"/>
          </w:tcPr>
          <w:p w:rsidR="00556A82" w:rsidRDefault="00556A82">
            <w:pPr>
              <w:jc w:val="center"/>
              <w:rPr>
                <w:rFonts w:ascii="Arial" w:hAnsi="Arial" w:cs="Arial"/>
                <w:b/>
                <w:bCs/>
                <w:szCs w:val="24"/>
              </w:rPr>
            </w:pPr>
            <w:r>
              <w:rPr>
                <w:rFonts w:ascii="Arial" w:hAnsi="Arial" w:cs="Arial"/>
                <w:b/>
                <w:bCs/>
              </w:rPr>
              <w:t>Yearly</w:t>
            </w:r>
          </w:p>
        </w:tc>
      </w:tr>
      <w:tr w:rsidR="008F019F" w:rsidTr="008F019F">
        <w:trPr>
          <w:trHeight w:val="270"/>
          <w:jc w:val="center"/>
        </w:trPr>
        <w:tc>
          <w:tcPr>
            <w:tcW w:w="1967" w:type="dxa"/>
            <w:tcBorders>
              <w:top w:val="single" w:sz="18"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ANIMAL</w:t>
            </w:r>
          </w:p>
        </w:tc>
        <w:tc>
          <w:tcPr>
            <w:tcW w:w="828"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1:19</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0:09</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3:19</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1:24</w:t>
            </w:r>
          </w:p>
        </w:tc>
        <w:tc>
          <w:tcPr>
            <w:tcW w:w="938"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2:34</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0:51</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2:01</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1:50</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1:59</w:t>
            </w:r>
          </w:p>
        </w:tc>
        <w:tc>
          <w:tcPr>
            <w:tcW w:w="891"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1:29</w:t>
            </w:r>
          </w:p>
        </w:tc>
        <w:tc>
          <w:tcPr>
            <w:tcW w:w="979"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1:25</w:t>
            </w:r>
          </w:p>
        </w:tc>
        <w:tc>
          <w:tcPr>
            <w:tcW w:w="938" w:type="dxa"/>
            <w:tcBorders>
              <w:top w:val="single" w:sz="18"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1:48</w:t>
            </w:r>
          </w:p>
        </w:tc>
        <w:tc>
          <w:tcPr>
            <w:tcW w:w="1158" w:type="dxa"/>
            <w:tcBorders>
              <w:top w:val="single" w:sz="18"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1:08</w:t>
            </w:r>
          </w:p>
        </w:tc>
      </w:tr>
      <w:tr w:rsidR="008F019F" w:rsidTr="008F019F">
        <w:trPr>
          <w:trHeight w:val="324"/>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COMPANY</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0:06</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0:11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1:02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1:35</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1:22</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0:29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0:26</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0:29</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0:24</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0:36</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EQUIPMENT OH</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1:16</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2:28</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3:17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1:52</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1:42</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1:58</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EQUIPMENT SUB</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3:11</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0:48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0:24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1:57</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1:33</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EQUIPMENT UG</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2:44</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4:42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3:27</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3:42</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7:00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5:39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4:23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3:54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5:51</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2:56</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2:40</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MISCELLANEOUS</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2:42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1:50</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PLANNED</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1:39</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2:38</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1:36</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1:52</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POLE FIRE</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3:35</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1:55</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2:31</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4:04</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2:19</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5:33</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2:05</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PUBLIC</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1:24</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5:48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2:13</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1:21</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2:37</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1:26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2:58</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2:00</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2:14</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1:54</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TREE</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2:00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2:51</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0:51</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4:05</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3:17</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2:02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1:34</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3:10</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3:42</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2:16</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2:10</w:t>
            </w:r>
          </w:p>
        </w:tc>
      </w:tr>
      <w:tr w:rsidR="008F019F" w:rsidTr="008F019F">
        <w:trPr>
          <w:trHeight w:val="255"/>
          <w:jc w:val="center"/>
        </w:trPr>
        <w:tc>
          <w:tcPr>
            <w:tcW w:w="1967" w:type="dxa"/>
            <w:tcBorders>
              <w:top w:val="single" w:sz="6" w:space="0" w:color="auto"/>
              <w:left w:val="single" w:sz="18" w:space="0" w:color="auto"/>
              <w:bottom w:val="single" w:sz="6"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UNDETERMINED</w:t>
            </w:r>
          </w:p>
        </w:tc>
        <w:tc>
          <w:tcPr>
            <w:tcW w:w="82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0:52</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0:51</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1:58</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0:53</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1:03</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1:42</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0:30</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0:56</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2:39</w:t>
            </w:r>
          </w:p>
        </w:tc>
        <w:tc>
          <w:tcPr>
            <w:tcW w:w="891"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1:19</w:t>
            </w:r>
          </w:p>
        </w:tc>
        <w:tc>
          <w:tcPr>
            <w:tcW w:w="979"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2:14</w:t>
            </w:r>
          </w:p>
        </w:tc>
        <w:tc>
          <w:tcPr>
            <w:tcW w:w="938" w:type="dxa"/>
            <w:tcBorders>
              <w:top w:val="single" w:sz="6" w:space="0" w:color="auto"/>
              <w:left w:val="single" w:sz="6" w:space="0" w:color="auto"/>
              <w:bottom w:val="single" w:sz="6"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1:02</w:t>
            </w:r>
          </w:p>
        </w:tc>
        <w:tc>
          <w:tcPr>
            <w:tcW w:w="1158" w:type="dxa"/>
            <w:tcBorders>
              <w:top w:val="single" w:sz="6" w:space="0" w:color="auto"/>
              <w:left w:val="single" w:sz="6" w:space="0" w:color="auto"/>
              <w:bottom w:val="single" w:sz="6"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1:11</w:t>
            </w:r>
          </w:p>
        </w:tc>
      </w:tr>
      <w:tr w:rsidR="008F019F" w:rsidTr="008F019F">
        <w:trPr>
          <w:trHeight w:val="270"/>
          <w:jc w:val="center"/>
        </w:trPr>
        <w:tc>
          <w:tcPr>
            <w:tcW w:w="1967" w:type="dxa"/>
            <w:tcBorders>
              <w:top w:val="single" w:sz="6" w:space="0" w:color="auto"/>
              <w:left w:val="single" w:sz="18" w:space="0" w:color="auto"/>
              <w:bottom w:val="single" w:sz="18" w:space="0" w:color="auto"/>
              <w:right w:val="single" w:sz="6" w:space="0" w:color="auto"/>
            </w:tcBorders>
            <w:shd w:val="clear" w:color="auto" w:fill="auto"/>
            <w:noWrap/>
            <w:vAlign w:val="center"/>
          </w:tcPr>
          <w:p w:rsidR="008F019F" w:rsidRPr="0040433C" w:rsidRDefault="008F019F" w:rsidP="00761945">
            <w:pPr>
              <w:jc w:val="center"/>
              <w:rPr>
                <w:rFonts w:ascii="Arial" w:hAnsi="Arial" w:cs="Arial"/>
                <w:sz w:val="20"/>
              </w:rPr>
            </w:pPr>
            <w:r w:rsidRPr="0040433C">
              <w:rPr>
                <w:rFonts w:ascii="Arial" w:hAnsi="Arial" w:cs="Arial"/>
                <w:sz w:val="20"/>
              </w:rPr>
              <w:t>WEATHER</w:t>
            </w:r>
          </w:p>
        </w:tc>
        <w:tc>
          <w:tcPr>
            <w:tcW w:w="828"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2:13</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2:29</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1:52</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2:17</w:t>
            </w:r>
          </w:p>
        </w:tc>
        <w:tc>
          <w:tcPr>
            <w:tcW w:w="938"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3:28</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1:51</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2:43</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3:26</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4:20</w:t>
            </w:r>
          </w:p>
        </w:tc>
        <w:tc>
          <w:tcPr>
            <w:tcW w:w="891"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2:23</w:t>
            </w:r>
          </w:p>
        </w:tc>
        <w:tc>
          <w:tcPr>
            <w:tcW w:w="979"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2:30</w:t>
            </w:r>
          </w:p>
        </w:tc>
        <w:tc>
          <w:tcPr>
            <w:tcW w:w="938" w:type="dxa"/>
            <w:tcBorders>
              <w:top w:val="single" w:sz="6" w:space="0" w:color="auto"/>
              <w:left w:val="single" w:sz="6" w:space="0" w:color="auto"/>
              <w:bottom w:val="single" w:sz="18" w:space="0" w:color="auto"/>
              <w:right w:val="single" w:sz="6"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7:53</w:t>
            </w:r>
          </w:p>
        </w:tc>
        <w:tc>
          <w:tcPr>
            <w:tcW w:w="1158" w:type="dxa"/>
            <w:tcBorders>
              <w:top w:val="single" w:sz="6" w:space="0" w:color="auto"/>
              <w:left w:val="single" w:sz="6" w:space="0" w:color="auto"/>
              <w:bottom w:val="single" w:sz="18" w:space="0" w:color="auto"/>
              <w:right w:val="single" w:sz="18" w:space="0" w:color="auto"/>
            </w:tcBorders>
            <w:shd w:val="clear" w:color="auto" w:fill="auto"/>
            <w:noWrap/>
            <w:vAlign w:val="bottom"/>
          </w:tcPr>
          <w:p w:rsidR="008F019F" w:rsidRDefault="008F019F">
            <w:pPr>
              <w:jc w:val="right"/>
              <w:rPr>
                <w:rFonts w:ascii="Arial" w:hAnsi="Arial" w:cs="Arial"/>
                <w:sz w:val="20"/>
              </w:rPr>
            </w:pPr>
            <w:r>
              <w:rPr>
                <w:rFonts w:ascii="Arial" w:hAnsi="Arial" w:cs="Arial"/>
                <w:sz w:val="20"/>
              </w:rPr>
              <w:t>3:01</w:t>
            </w:r>
          </w:p>
        </w:tc>
      </w:tr>
    </w:tbl>
    <w:p w:rsidR="003A5969" w:rsidRDefault="003A5969">
      <w:pPr>
        <w:pStyle w:val="Heading3"/>
      </w:pPr>
      <w:r>
        <w:br w:type="page"/>
      </w:r>
      <w:bookmarkStart w:id="293" w:name="_Toc98906786"/>
      <w:bookmarkStart w:id="294" w:name="_Toc165342461"/>
      <w:bookmarkStart w:id="295" w:name="_Toc193711030"/>
      <w:bookmarkStart w:id="296" w:name="_Toc227571625"/>
      <w:bookmarkStart w:id="297" w:name="_Toc354493042"/>
      <w:r w:rsidR="00473AE9">
        <w:t>Chart 8</w:t>
      </w:r>
      <w:r>
        <w:t>.4 – % SAIDI per Cause by Month</w:t>
      </w:r>
      <w:bookmarkEnd w:id="293"/>
      <w:bookmarkEnd w:id="294"/>
      <w:bookmarkEnd w:id="295"/>
      <w:bookmarkEnd w:id="296"/>
      <w:bookmarkEnd w:id="297"/>
    </w:p>
    <w:p w:rsidR="00E32D28" w:rsidRPr="00E32D28" w:rsidRDefault="00E32D28" w:rsidP="00E32D28"/>
    <w:p w:rsidR="003A5969" w:rsidRDefault="003A5969">
      <w:r>
        <w:t>The following chart shows the percentage SAI</w:t>
      </w:r>
      <w:r w:rsidR="00603F99">
        <w:t>D</w:t>
      </w:r>
      <w:r>
        <w:t>I contribution by causes for outa</w:t>
      </w:r>
      <w:r w:rsidR="0042345C">
        <w:t>ges excluding major event days.</w:t>
      </w:r>
    </w:p>
    <w:p w:rsidR="0042345C" w:rsidRDefault="0042345C"/>
    <w:p w:rsidR="003A5969" w:rsidRPr="0042345C" w:rsidRDefault="00C047B5" w:rsidP="00E32D28">
      <w:pPr>
        <w:jc w:val="center"/>
      </w:pPr>
      <w:r w:rsidRPr="00C047B5">
        <w:rPr>
          <w:noProof/>
        </w:rPr>
        <w:drawing>
          <wp:inline distT="0" distB="0" distL="0" distR="0">
            <wp:extent cx="7042150" cy="5321300"/>
            <wp:effectExtent l="19050" t="0" r="6350" b="0"/>
            <wp:docPr id="5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2345C">
        <w:br w:type="page"/>
      </w:r>
    </w:p>
    <w:p w:rsidR="003A5969" w:rsidRDefault="003A5969">
      <w:pPr>
        <w:pStyle w:val="Heading1"/>
      </w:pPr>
      <w:bookmarkStart w:id="298" w:name="_Toc98906787"/>
      <w:bookmarkStart w:id="299" w:name="_Toc165342462"/>
      <w:bookmarkStart w:id="300" w:name="_Toc193711031"/>
      <w:bookmarkStart w:id="301" w:name="_Toc227571626"/>
      <w:bookmarkStart w:id="302" w:name="_Toc354493043"/>
      <w:bookmarkStart w:id="303" w:name="_Toc3183413"/>
      <w:r w:rsidRPr="00545189">
        <w:t>Momentary Interruption</w:t>
      </w:r>
      <w:r>
        <w:t xml:space="preserve"> Causes</w:t>
      </w:r>
      <w:bookmarkEnd w:id="298"/>
      <w:bookmarkEnd w:id="299"/>
      <w:bookmarkEnd w:id="300"/>
      <w:bookmarkEnd w:id="301"/>
      <w:bookmarkEnd w:id="302"/>
    </w:p>
    <w:p w:rsidR="0047125F" w:rsidRPr="0047125F" w:rsidRDefault="0047125F" w:rsidP="0047125F"/>
    <w:p w:rsidR="003A5969" w:rsidRDefault="003A5969">
      <w:r>
        <w:t>The cause for many momentary interruptions is unknown. Because faults are temporary</w:t>
      </w:r>
      <w:r w:rsidR="00F714F8">
        <w:t>,</w:t>
      </w:r>
      <w:r>
        <w:t xml:space="preserve"> the cause goes unnoticed even after the line is patrolled.   Momentary outages are recorded using our SCADA system (System Control and Data Acquisition). On average, about </w:t>
      </w:r>
      <w:r w:rsidR="006C3644" w:rsidRPr="009C71AB">
        <w:t>88%</w:t>
      </w:r>
      <w:r>
        <w:t xml:space="preserve"> of Avista’s customers are served from SCADA controlled stations.  </w:t>
      </w:r>
    </w:p>
    <w:p w:rsidR="003A5969" w:rsidRDefault="003A5969"/>
    <w:p w:rsidR="003A5969" w:rsidRDefault="00473AE9">
      <w:pPr>
        <w:pStyle w:val="Heading3"/>
      </w:pPr>
      <w:bookmarkStart w:id="304" w:name="_Toc98906788"/>
      <w:bookmarkStart w:id="305" w:name="_Toc165342463"/>
      <w:bookmarkStart w:id="306" w:name="_Toc193711032"/>
      <w:bookmarkStart w:id="307" w:name="_Toc227571627"/>
      <w:bookmarkStart w:id="308" w:name="_Toc354493044"/>
      <w:r>
        <w:t>Table 9</w:t>
      </w:r>
      <w:r w:rsidR="003A5969">
        <w:t>.1 - % MAIFI per Cause by Office</w:t>
      </w:r>
      <w:bookmarkEnd w:id="304"/>
      <w:bookmarkEnd w:id="305"/>
      <w:bookmarkEnd w:id="306"/>
      <w:bookmarkEnd w:id="307"/>
      <w:bookmarkEnd w:id="308"/>
    </w:p>
    <w:p w:rsidR="00E32D28" w:rsidRPr="00E32D28" w:rsidRDefault="00E32D28" w:rsidP="00E32D28"/>
    <w:p w:rsidR="003A5969" w:rsidRDefault="003A5969">
      <w:r>
        <w:t xml:space="preserve">The following table lists the percentage MAIFI contribution by causes for outages excluding major event days. </w:t>
      </w:r>
    </w:p>
    <w:p w:rsidR="003A5969" w:rsidRDefault="003A5969"/>
    <w:tbl>
      <w:tblPr>
        <w:tblW w:w="13925" w:type="dxa"/>
        <w:jc w:val="center"/>
        <w:tblInd w:w="-175" w:type="dxa"/>
        <w:tblLayout w:type="fixed"/>
        <w:tblCellMar>
          <w:left w:w="0" w:type="dxa"/>
          <w:right w:w="0" w:type="dxa"/>
        </w:tblCellMar>
        <w:tblLook w:val="0000"/>
      </w:tblPr>
      <w:tblGrid>
        <w:gridCol w:w="1909"/>
        <w:gridCol w:w="1001"/>
        <w:gridCol w:w="1001"/>
        <w:gridCol w:w="1001"/>
        <w:gridCol w:w="1001"/>
        <w:gridCol w:w="1001"/>
        <w:gridCol w:w="1002"/>
        <w:gridCol w:w="1001"/>
        <w:gridCol w:w="1001"/>
        <w:gridCol w:w="1001"/>
        <w:gridCol w:w="1001"/>
        <w:gridCol w:w="893"/>
        <w:gridCol w:w="1112"/>
      </w:tblGrid>
      <w:tr w:rsidR="003A5969" w:rsidTr="003A64CF">
        <w:trPr>
          <w:trHeight w:val="270"/>
          <w:jc w:val="center"/>
        </w:trPr>
        <w:tc>
          <w:tcPr>
            <w:tcW w:w="1909" w:type="dxa"/>
            <w:tcBorders>
              <w:top w:val="single" w:sz="18" w:space="0" w:color="000000"/>
              <w:left w:val="single" w:sz="18" w:space="0" w:color="000000"/>
              <w:bottom w:val="single" w:sz="18" w:space="0" w:color="000000"/>
              <w:right w:val="single" w:sz="6" w:space="0" w:color="000000"/>
            </w:tcBorders>
            <w:noWrap/>
            <w:vAlign w:val="bottom"/>
          </w:tcPr>
          <w:p w:rsidR="003A5969" w:rsidRDefault="003A5969">
            <w:pPr>
              <w:rPr>
                <w:rFonts w:ascii="Arial" w:eastAsia="Arial Unicode MS" w:hAnsi="Arial" w:cs="Arial"/>
                <w:b/>
                <w:bCs/>
                <w:szCs w:val="24"/>
              </w:rPr>
            </w:pPr>
            <w:r>
              <w:rPr>
                <w:rFonts w:ascii="Arial" w:hAnsi="Arial" w:cs="Arial"/>
                <w:b/>
                <w:bCs/>
              </w:rPr>
              <w:t>REASON</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CDC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COC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DAC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GRC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KEC</w:t>
            </w:r>
          </w:p>
        </w:tc>
        <w:tc>
          <w:tcPr>
            <w:tcW w:w="1002"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LCC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OTC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PAC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SAC</w:t>
            </w:r>
          </w:p>
        </w:tc>
        <w:tc>
          <w:tcPr>
            <w:tcW w:w="1001"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SPC</w:t>
            </w:r>
          </w:p>
        </w:tc>
        <w:tc>
          <w:tcPr>
            <w:tcW w:w="893" w:type="dxa"/>
            <w:tcBorders>
              <w:top w:val="single" w:sz="18" w:space="0" w:color="000000"/>
              <w:left w:val="single" w:sz="6" w:space="0" w:color="000000"/>
              <w:bottom w:val="single" w:sz="18" w:space="0" w:color="000000"/>
              <w:right w:val="single" w:sz="6" w:space="0" w:color="000000"/>
            </w:tcBorders>
            <w:vAlign w:val="bottom"/>
          </w:tcPr>
          <w:p w:rsidR="003A5969" w:rsidRDefault="003A5969">
            <w:pPr>
              <w:jc w:val="center"/>
              <w:rPr>
                <w:rFonts w:ascii="Arial" w:hAnsi="Arial" w:cs="Arial"/>
                <w:b/>
                <w:bCs/>
              </w:rPr>
            </w:pPr>
            <w:r>
              <w:rPr>
                <w:rFonts w:ascii="Arial" w:hAnsi="Arial" w:cs="Arial"/>
                <w:b/>
                <w:bCs/>
              </w:rPr>
              <w:t>DPC</w:t>
            </w:r>
          </w:p>
        </w:tc>
        <w:tc>
          <w:tcPr>
            <w:tcW w:w="1112" w:type="dxa"/>
            <w:tcBorders>
              <w:top w:val="single" w:sz="18" w:space="0" w:color="000000"/>
              <w:left w:val="single" w:sz="6" w:space="0" w:color="000000"/>
              <w:bottom w:val="single" w:sz="18" w:space="0" w:color="000000"/>
              <w:right w:val="single" w:sz="18"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All Offices</w:t>
            </w:r>
          </w:p>
        </w:tc>
      </w:tr>
      <w:tr w:rsidR="009A3FD0" w:rsidTr="009A3FD0">
        <w:trPr>
          <w:trHeight w:val="255"/>
          <w:jc w:val="center"/>
        </w:trPr>
        <w:tc>
          <w:tcPr>
            <w:tcW w:w="1909" w:type="dxa"/>
            <w:tcBorders>
              <w:top w:val="single" w:sz="18"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ANIMAL</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1.1%</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0.1%</w:t>
            </w:r>
          </w:p>
        </w:tc>
        <w:tc>
          <w:tcPr>
            <w:tcW w:w="1002"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2.4%</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1.3%</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18"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0.7%</w:t>
            </w:r>
          </w:p>
        </w:tc>
        <w:tc>
          <w:tcPr>
            <w:tcW w:w="893" w:type="dxa"/>
            <w:tcBorders>
              <w:top w:val="single" w:sz="18"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18"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0.9%</w:t>
            </w:r>
          </w:p>
        </w:tc>
      </w:tr>
      <w:tr w:rsidR="009A3FD0" w:rsidTr="009A3FD0">
        <w:trPr>
          <w:trHeight w:val="180"/>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POLE FIRE</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0.5%</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0.1%</w:t>
            </w:r>
          </w:p>
        </w:tc>
      </w:tr>
      <w:tr w:rsidR="009A3FD0" w:rsidTr="009A3FD0">
        <w:trPr>
          <w:trHeight w:val="297"/>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WEATHER</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32.3%</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43.4%</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35.6%</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31.7%</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27.7%</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32.2%</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25.6%</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34.7%</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30.8%</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33.3%</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TREE</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3.9%</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8.3%</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0.7%</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0.9%</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2.1%</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0.8%</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PUBLIC</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1.9%</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0.9%</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6.6%</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0.4%</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MISC</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6.6%</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0.1%</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COMPANY</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1.3%</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4.1%</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0.8%</w:t>
            </w:r>
          </w:p>
        </w:tc>
      </w:tr>
      <w:tr w:rsidR="009A3FD0" w:rsidTr="009A3FD0">
        <w:trPr>
          <w:trHeight w:val="22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UNDETERMINED</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54.6%</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43.7%</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68.0%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58.4%</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52.8%</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61.4%</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54.2%</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65.9%</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52.6%</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49.4%</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54.6%</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EQUIPMENT UG</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0.7%</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3.0%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4.3%</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1.6%</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0.8%</w:t>
            </w:r>
          </w:p>
        </w:tc>
      </w:tr>
      <w:tr w:rsidR="009A3FD0" w:rsidTr="009A3FD0">
        <w:trPr>
          <w:trHeight w:val="255"/>
          <w:jc w:val="center"/>
        </w:trPr>
        <w:tc>
          <w:tcPr>
            <w:tcW w:w="1909" w:type="dxa"/>
            <w:tcBorders>
              <w:top w:val="single" w:sz="6" w:space="0" w:color="000000"/>
              <w:left w:val="single" w:sz="18" w:space="0" w:color="000000"/>
              <w:bottom w:val="single" w:sz="6"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EQUIPMENT OH</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2"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6"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5.3%</w:t>
            </w:r>
          </w:p>
        </w:tc>
        <w:tc>
          <w:tcPr>
            <w:tcW w:w="893" w:type="dxa"/>
            <w:tcBorders>
              <w:top w:val="single" w:sz="6" w:space="0" w:color="000000"/>
              <w:left w:val="single" w:sz="6" w:space="0" w:color="000000"/>
              <w:bottom w:val="single" w:sz="6"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6"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0.8%</w:t>
            </w:r>
          </w:p>
        </w:tc>
      </w:tr>
      <w:tr w:rsidR="009A3FD0" w:rsidTr="009A3FD0">
        <w:trPr>
          <w:trHeight w:val="270"/>
          <w:jc w:val="center"/>
        </w:trPr>
        <w:tc>
          <w:tcPr>
            <w:tcW w:w="1909" w:type="dxa"/>
            <w:tcBorders>
              <w:top w:val="single" w:sz="6" w:space="0" w:color="000000"/>
              <w:left w:val="single" w:sz="18" w:space="0" w:color="000000"/>
              <w:bottom w:val="single" w:sz="12" w:space="0" w:color="000000"/>
              <w:right w:val="single" w:sz="6" w:space="0" w:color="000000"/>
            </w:tcBorders>
            <w:noWrap/>
            <w:vAlign w:val="center"/>
          </w:tcPr>
          <w:p w:rsidR="009A3FD0" w:rsidRDefault="009A3FD0" w:rsidP="008F073A">
            <w:pPr>
              <w:jc w:val="center"/>
              <w:rPr>
                <w:rFonts w:ascii="Arial" w:hAnsi="Arial" w:cs="Arial"/>
                <w:sz w:val="20"/>
              </w:rPr>
            </w:pPr>
            <w:r>
              <w:rPr>
                <w:rFonts w:ascii="Arial" w:hAnsi="Arial" w:cs="Arial"/>
                <w:sz w:val="20"/>
              </w:rPr>
              <w:t>PLANNED</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1.8%</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4.1%</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2.3%</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2.2%</w:t>
            </w:r>
          </w:p>
        </w:tc>
        <w:tc>
          <w:tcPr>
            <w:tcW w:w="1002"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1.6%</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1001" w:type="dxa"/>
            <w:tcBorders>
              <w:top w:val="single" w:sz="6" w:space="0" w:color="000000"/>
              <w:left w:val="single" w:sz="6" w:space="0" w:color="000000"/>
              <w:bottom w:val="single" w:sz="12" w:space="0" w:color="000000"/>
              <w:right w:val="single" w:sz="6" w:space="0" w:color="000000"/>
            </w:tcBorders>
            <w:noWrap/>
            <w:vAlign w:val="bottom"/>
          </w:tcPr>
          <w:p w:rsidR="009A3FD0" w:rsidRDefault="009A3FD0">
            <w:pPr>
              <w:jc w:val="center"/>
              <w:rPr>
                <w:rFonts w:ascii="Arial" w:hAnsi="Arial" w:cs="Arial"/>
                <w:sz w:val="20"/>
              </w:rPr>
            </w:pPr>
            <w:r>
              <w:rPr>
                <w:rFonts w:ascii="Arial" w:hAnsi="Arial" w:cs="Arial"/>
                <w:sz w:val="20"/>
              </w:rPr>
              <w:t>0.0%</w:t>
            </w:r>
          </w:p>
        </w:tc>
        <w:tc>
          <w:tcPr>
            <w:tcW w:w="893" w:type="dxa"/>
            <w:tcBorders>
              <w:top w:val="single" w:sz="6" w:space="0" w:color="000000"/>
              <w:left w:val="single" w:sz="6" w:space="0" w:color="000000"/>
              <w:bottom w:val="single" w:sz="12" w:space="0" w:color="000000"/>
              <w:right w:val="single" w:sz="6" w:space="0" w:color="000000"/>
            </w:tcBorders>
            <w:vAlign w:val="bottom"/>
          </w:tcPr>
          <w:p w:rsidR="009A3FD0" w:rsidRDefault="009A3FD0">
            <w:pPr>
              <w:jc w:val="center"/>
              <w:rPr>
                <w:rFonts w:ascii="Arial" w:hAnsi="Arial" w:cs="Arial"/>
                <w:sz w:val="20"/>
              </w:rPr>
            </w:pPr>
            <w:r>
              <w:rPr>
                <w:rFonts w:ascii="Arial" w:hAnsi="Arial" w:cs="Arial"/>
                <w:sz w:val="20"/>
              </w:rPr>
              <w:t>0.0%</w:t>
            </w:r>
          </w:p>
        </w:tc>
        <w:tc>
          <w:tcPr>
            <w:tcW w:w="1112" w:type="dxa"/>
            <w:tcBorders>
              <w:top w:val="single" w:sz="6" w:space="0" w:color="000000"/>
              <w:left w:val="single" w:sz="6" w:space="0" w:color="000000"/>
              <w:bottom w:val="single" w:sz="12" w:space="0" w:color="000000"/>
              <w:right w:val="single" w:sz="18" w:space="0" w:color="000000"/>
            </w:tcBorders>
            <w:noWrap/>
            <w:vAlign w:val="bottom"/>
          </w:tcPr>
          <w:p w:rsidR="009A3FD0" w:rsidRDefault="009A3FD0">
            <w:pPr>
              <w:jc w:val="center"/>
              <w:rPr>
                <w:rFonts w:ascii="Arial" w:hAnsi="Arial" w:cs="Arial"/>
                <w:sz w:val="20"/>
              </w:rPr>
            </w:pPr>
            <w:r>
              <w:rPr>
                <w:rFonts w:ascii="Arial" w:hAnsi="Arial" w:cs="Arial"/>
                <w:sz w:val="20"/>
              </w:rPr>
              <w:t>1.2%</w:t>
            </w:r>
          </w:p>
        </w:tc>
      </w:tr>
    </w:tbl>
    <w:p w:rsidR="003A5969" w:rsidRDefault="003A5969">
      <w:pPr>
        <w:pStyle w:val="Heading3"/>
      </w:pPr>
    </w:p>
    <w:tbl>
      <w:tblPr>
        <w:tblW w:w="0" w:type="auto"/>
        <w:tblLayout w:type="fixed"/>
        <w:tblLook w:val="0000"/>
      </w:tblPr>
      <w:tblGrid>
        <w:gridCol w:w="1188"/>
        <w:gridCol w:w="3420"/>
        <w:gridCol w:w="1170"/>
        <w:gridCol w:w="5670"/>
      </w:tblGrid>
      <w:tr w:rsidR="003A5969">
        <w:tc>
          <w:tcPr>
            <w:tcW w:w="1188" w:type="dxa"/>
          </w:tcPr>
          <w:p w:rsidR="003A5969" w:rsidRDefault="003A5969">
            <w:pPr>
              <w:pStyle w:val="Footer"/>
              <w:tabs>
                <w:tab w:val="clear" w:pos="4320"/>
                <w:tab w:val="clear" w:pos="8640"/>
              </w:tabs>
            </w:pPr>
            <w:r>
              <w:t>CDC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Coeur d’Alene</w:t>
                </w:r>
              </w:smartTag>
            </w:smartTag>
          </w:p>
        </w:tc>
        <w:tc>
          <w:tcPr>
            <w:tcW w:w="1170" w:type="dxa"/>
          </w:tcPr>
          <w:p w:rsidR="003A5969" w:rsidRDefault="003A5969">
            <w:pPr>
              <w:pStyle w:val="Footer"/>
              <w:tabs>
                <w:tab w:val="clear" w:pos="4320"/>
                <w:tab w:val="clear" w:pos="8640"/>
              </w:tabs>
            </w:pPr>
            <w:r>
              <w:t>LCC</w:t>
            </w:r>
          </w:p>
        </w:tc>
        <w:tc>
          <w:tcPr>
            <w:tcW w:w="5670" w:type="dxa"/>
          </w:tcPr>
          <w:p w:rsidR="003A5969" w:rsidRDefault="003A5969">
            <w:pPr>
              <w:pStyle w:val="Footer"/>
              <w:tabs>
                <w:tab w:val="clear" w:pos="4320"/>
                <w:tab w:val="clear" w:pos="8640"/>
              </w:tabs>
            </w:pPr>
            <w:r>
              <w:t>Lewiston-Clarkston</w:t>
            </w:r>
          </w:p>
        </w:tc>
      </w:tr>
      <w:tr w:rsidR="003A5969">
        <w:tc>
          <w:tcPr>
            <w:tcW w:w="1188" w:type="dxa"/>
          </w:tcPr>
          <w:p w:rsidR="003A5969" w:rsidRDefault="003A5969">
            <w:pPr>
              <w:pStyle w:val="Footer"/>
              <w:tabs>
                <w:tab w:val="clear" w:pos="4320"/>
                <w:tab w:val="clear" w:pos="8640"/>
              </w:tabs>
            </w:pPr>
            <w:r>
              <w:t>COC</w:t>
            </w:r>
          </w:p>
        </w:tc>
        <w:tc>
          <w:tcPr>
            <w:tcW w:w="3420" w:type="dxa"/>
          </w:tcPr>
          <w:p w:rsidR="003A5969" w:rsidRDefault="003A5969">
            <w:pPr>
              <w:pStyle w:val="Footer"/>
              <w:tabs>
                <w:tab w:val="clear" w:pos="4320"/>
                <w:tab w:val="clear" w:pos="8640"/>
              </w:tabs>
            </w:pPr>
            <w:smartTag w:uri="urn:schemas-microsoft-com:office:smarttags" w:element="place">
              <w:r>
                <w:t>Colville</w:t>
              </w:r>
            </w:smartTag>
          </w:p>
        </w:tc>
        <w:tc>
          <w:tcPr>
            <w:tcW w:w="1170" w:type="dxa"/>
          </w:tcPr>
          <w:p w:rsidR="003A5969" w:rsidRDefault="003A5969">
            <w:pPr>
              <w:pStyle w:val="Footer"/>
              <w:tabs>
                <w:tab w:val="clear" w:pos="4320"/>
                <w:tab w:val="clear" w:pos="8640"/>
              </w:tabs>
            </w:pPr>
            <w:r>
              <w:t>OTC</w:t>
            </w:r>
          </w:p>
        </w:tc>
        <w:tc>
          <w:tcPr>
            <w:tcW w:w="5670" w:type="dxa"/>
          </w:tcPr>
          <w:p w:rsidR="003A5969" w:rsidRDefault="003A5969">
            <w:pPr>
              <w:pStyle w:val="Footer"/>
              <w:tabs>
                <w:tab w:val="clear" w:pos="4320"/>
                <w:tab w:val="clear" w:pos="8640"/>
              </w:tabs>
            </w:pPr>
            <w:r>
              <w:t>Othello</w:t>
            </w:r>
          </w:p>
        </w:tc>
      </w:tr>
      <w:tr w:rsidR="003A5969">
        <w:tc>
          <w:tcPr>
            <w:tcW w:w="1188" w:type="dxa"/>
          </w:tcPr>
          <w:p w:rsidR="003A5969" w:rsidRDefault="003A5969">
            <w:pPr>
              <w:pStyle w:val="Footer"/>
              <w:tabs>
                <w:tab w:val="clear" w:pos="4320"/>
                <w:tab w:val="clear" w:pos="8640"/>
              </w:tabs>
            </w:pPr>
            <w:r>
              <w:t>DAC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3A5969" w:rsidRDefault="003A5969">
            <w:pPr>
              <w:pStyle w:val="Footer"/>
              <w:tabs>
                <w:tab w:val="clear" w:pos="4320"/>
                <w:tab w:val="clear" w:pos="8640"/>
              </w:tabs>
            </w:pPr>
            <w:r>
              <w:t>PAC</w:t>
            </w:r>
          </w:p>
        </w:tc>
        <w:tc>
          <w:tcPr>
            <w:tcW w:w="5670" w:type="dxa"/>
          </w:tcPr>
          <w:p w:rsidR="003A5969" w:rsidRDefault="003A5969">
            <w:pPr>
              <w:pStyle w:val="Footer"/>
              <w:tabs>
                <w:tab w:val="clear" w:pos="4320"/>
                <w:tab w:val="clear" w:pos="8640"/>
              </w:tabs>
            </w:pPr>
            <w:r>
              <w:t>Palouse</w:t>
            </w:r>
          </w:p>
        </w:tc>
      </w:tr>
      <w:tr w:rsidR="003A5969">
        <w:tc>
          <w:tcPr>
            <w:tcW w:w="1188" w:type="dxa"/>
          </w:tcPr>
          <w:p w:rsidR="003A5969" w:rsidRDefault="003A5969">
            <w:pPr>
              <w:pStyle w:val="Footer"/>
              <w:tabs>
                <w:tab w:val="clear" w:pos="4320"/>
                <w:tab w:val="clear" w:pos="8640"/>
              </w:tabs>
            </w:pPr>
            <w:r>
              <w:t>DPC</w:t>
            </w:r>
          </w:p>
        </w:tc>
        <w:tc>
          <w:tcPr>
            <w:tcW w:w="342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3A5969" w:rsidRDefault="003A5969">
            <w:pPr>
              <w:pStyle w:val="Footer"/>
              <w:tabs>
                <w:tab w:val="clear" w:pos="4320"/>
                <w:tab w:val="clear" w:pos="8640"/>
              </w:tabs>
            </w:pPr>
            <w:r>
              <w:t>SAC</w:t>
            </w:r>
          </w:p>
        </w:tc>
        <w:tc>
          <w:tcPr>
            <w:tcW w:w="5670" w:type="dxa"/>
          </w:tcPr>
          <w:p w:rsidR="003A5969" w:rsidRDefault="003A5969">
            <w:pPr>
              <w:pStyle w:val="Footer"/>
              <w:tabs>
                <w:tab w:val="clear" w:pos="4320"/>
                <w:tab w:val="clear" w:pos="8640"/>
              </w:tabs>
            </w:pPr>
            <w:r>
              <w:t>Sandpoint</w:t>
            </w:r>
          </w:p>
        </w:tc>
      </w:tr>
      <w:tr w:rsidR="003A5969">
        <w:tc>
          <w:tcPr>
            <w:tcW w:w="1188" w:type="dxa"/>
          </w:tcPr>
          <w:p w:rsidR="003A5969" w:rsidRDefault="003A5969">
            <w:pPr>
              <w:pStyle w:val="Footer"/>
              <w:tabs>
                <w:tab w:val="clear" w:pos="4320"/>
                <w:tab w:val="clear" w:pos="8640"/>
              </w:tabs>
            </w:pPr>
            <w:r>
              <w:t>GRC</w:t>
            </w:r>
          </w:p>
        </w:tc>
        <w:tc>
          <w:tcPr>
            <w:tcW w:w="3420" w:type="dxa"/>
          </w:tcPr>
          <w:p w:rsidR="003A5969" w:rsidRDefault="003A5969">
            <w:pPr>
              <w:pStyle w:val="Footer"/>
              <w:tabs>
                <w:tab w:val="clear" w:pos="4320"/>
                <w:tab w:val="clear" w:pos="8640"/>
              </w:tabs>
            </w:pPr>
            <w:r>
              <w:t>Grangeville</w:t>
            </w:r>
          </w:p>
        </w:tc>
        <w:tc>
          <w:tcPr>
            <w:tcW w:w="1170" w:type="dxa"/>
          </w:tcPr>
          <w:p w:rsidR="003A5969" w:rsidRDefault="003A5969">
            <w:pPr>
              <w:pStyle w:val="Footer"/>
              <w:tabs>
                <w:tab w:val="clear" w:pos="4320"/>
                <w:tab w:val="clear" w:pos="8640"/>
              </w:tabs>
            </w:pPr>
            <w:r>
              <w:t>SPC</w:t>
            </w:r>
          </w:p>
        </w:tc>
        <w:tc>
          <w:tcPr>
            <w:tcW w:w="5670" w:type="dxa"/>
          </w:tcPr>
          <w:p w:rsidR="003A5969" w:rsidRDefault="003A5969">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3A5969">
        <w:tc>
          <w:tcPr>
            <w:tcW w:w="1188" w:type="dxa"/>
          </w:tcPr>
          <w:p w:rsidR="003A5969" w:rsidRDefault="003A5969">
            <w:pPr>
              <w:pStyle w:val="Footer"/>
              <w:tabs>
                <w:tab w:val="clear" w:pos="4320"/>
                <w:tab w:val="clear" w:pos="8640"/>
              </w:tabs>
            </w:pPr>
            <w:r>
              <w:t>KEC</w:t>
            </w:r>
          </w:p>
        </w:tc>
        <w:tc>
          <w:tcPr>
            <w:tcW w:w="3420" w:type="dxa"/>
          </w:tcPr>
          <w:p w:rsidR="003A5969" w:rsidRDefault="003A5969">
            <w:pPr>
              <w:pStyle w:val="Footer"/>
              <w:tabs>
                <w:tab w:val="clear" w:pos="4320"/>
                <w:tab w:val="clear" w:pos="8640"/>
              </w:tabs>
            </w:pPr>
            <w:r>
              <w:t>Kellogg/ St. Maries</w:t>
            </w:r>
          </w:p>
        </w:tc>
        <w:tc>
          <w:tcPr>
            <w:tcW w:w="1170" w:type="dxa"/>
          </w:tcPr>
          <w:p w:rsidR="003A5969" w:rsidRDefault="003A5969">
            <w:pPr>
              <w:pStyle w:val="Footer"/>
              <w:tabs>
                <w:tab w:val="clear" w:pos="4320"/>
                <w:tab w:val="clear" w:pos="8640"/>
              </w:tabs>
            </w:pPr>
          </w:p>
        </w:tc>
        <w:tc>
          <w:tcPr>
            <w:tcW w:w="5670" w:type="dxa"/>
          </w:tcPr>
          <w:p w:rsidR="003A5969" w:rsidRDefault="003A5969">
            <w:pPr>
              <w:pStyle w:val="Footer"/>
              <w:tabs>
                <w:tab w:val="clear" w:pos="4320"/>
                <w:tab w:val="clear" w:pos="8640"/>
              </w:tabs>
            </w:pPr>
          </w:p>
        </w:tc>
      </w:tr>
    </w:tbl>
    <w:p w:rsidR="00E31D71" w:rsidRDefault="00E31D71">
      <w:pPr>
        <w:pStyle w:val="Heading3"/>
      </w:pPr>
    </w:p>
    <w:p w:rsidR="00E31D71" w:rsidRDefault="00E31D71" w:rsidP="00E31D71">
      <w:pPr>
        <w:pStyle w:val="Heading3"/>
      </w:pPr>
      <w:r>
        <w:br w:type="page"/>
      </w:r>
      <w:bookmarkStart w:id="309" w:name="_Toc165342464"/>
      <w:bookmarkStart w:id="310" w:name="_Toc193711033"/>
      <w:bookmarkStart w:id="311" w:name="_Toc227571628"/>
      <w:bookmarkStart w:id="312" w:name="_Toc354493045"/>
      <w:r>
        <w:t xml:space="preserve">Table </w:t>
      </w:r>
      <w:r w:rsidR="00473AE9">
        <w:t>9</w:t>
      </w:r>
      <w:r>
        <w:t>.1.1</w:t>
      </w:r>
      <w:r w:rsidRPr="0000720D">
        <w:t xml:space="preserve"> </w:t>
      </w:r>
      <w:r>
        <w:t>- % MAIFI per Cause by Office (Washington only)</w:t>
      </w:r>
      <w:bookmarkEnd w:id="309"/>
      <w:bookmarkEnd w:id="310"/>
      <w:bookmarkEnd w:id="311"/>
      <w:bookmarkEnd w:id="312"/>
    </w:p>
    <w:p w:rsidR="00E32D28" w:rsidRPr="00E32D28" w:rsidRDefault="00E32D28" w:rsidP="00E32D28"/>
    <w:p w:rsidR="00E31D71" w:rsidRDefault="00E31D71" w:rsidP="00E31D71">
      <w:pPr>
        <w:autoSpaceDE w:val="0"/>
        <w:autoSpaceDN w:val="0"/>
        <w:adjustRightInd w:val="0"/>
        <w:spacing w:line="240" w:lineRule="atLeast"/>
      </w:pPr>
      <w:r>
        <w:t>The following table lists the percentage MAIFI contribution by causes for outages excluding major event days.</w:t>
      </w:r>
    </w:p>
    <w:p w:rsidR="00E31D71" w:rsidRDefault="00E31D71" w:rsidP="00E31D71">
      <w:pPr>
        <w:autoSpaceDE w:val="0"/>
        <w:autoSpaceDN w:val="0"/>
        <w:adjustRightInd w:val="0"/>
        <w:spacing w:line="240" w:lineRule="atLeast"/>
      </w:pPr>
    </w:p>
    <w:tbl>
      <w:tblPr>
        <w:tblW w:w="14080" w:type="dxa"/>
        <w:jc w:val="center"/>
        <w:tblInd w:w="98" w:type="dxa"/>
        <w:tblBorders>
          <w:top w:val="single" w:sz="18" w:space="0" w:color="auto"/>
          <w:left w:val="single" w:sz="18" w:space="0" w:color="auto"/>
          <w:bottom w:val="single" w:sz="18" w:space="0" w:color="auto"/>
          <w:right w:val="single" w:sz="18" w:space="0" w:color="auto"/>
        </w:tblBorders>
        <w:tblLook w:val="0000"/>
      </w:tblPr>
      <w:tblGrid>
        <w:gridCol w:w="3640"/>
        <w:gridCol w:w="1300"/>
        <w:gridCol w:w="1300"/>
        <w:gridCol w:w="1300"/>
        <w:gridCol w:w="1300"/>
        <w:gridCol w:w="1300"/>
        <w:gridCol w:w="1300"/>
        <w:gridCol w:w="1300"/>
        <w:gridCol w:w="1340"/>
      </w:tblGrid>
      <w:tr w:rsidR="00E31D71" w:rsidTr="003A64CF">
        <w:trPr>
          <w:trHeight w:val="675"/>
          <w:jc w:val="center"/>
        </w:trPr>
        <w:tc>
          <w:tcPr>
            <w:tcW w:w="3640" w:type="dxa"/>
            <w:tcBorders>
              <w:top w:val="single" w:sz="18" w:space="0" w:color="auto"/>
              <w:bottom w:val="single" w:sz="18" w:space="0" w:color="auto"/>
              <w:right w:val="single" w:sz="6" w:space="0" w:color="auto"/>
            </w:tcBorders>
            <w:shd w:val="clear" w:color="auto" w:fill="auto"/>
            <w:noWrap/>
            <w:vAlign w:val="bottom"/>
          </w:tcPr>
          <w:p w:rsidR="00E31D71" w:rsidRDefault="00E31D71" w:rsidP="00417C4A">
            <w:pPr>
              <w:rPr>
                <w:rFonts w:ascii="Arial" w:hAnsi="Arial" w:cs="Arial"/>
                <w:b/>
                <w:bCs/>
                <w:sz w:val="22"/>
                <w:szCs w:val="22"/>
              </w:rPr>
            </w:pPr>
            <w:r>
              <w:rPr>
                <w:rFonts w:ascii="Arial" w:hAnsi="Arial" w:cs="Arial"/>
                <w:b/>
                <w:bCs/>
                <w:sz w:val="22"/>
                <w:szCs w:val="22"/>
              </w:rPr>
              <w:t>REASON</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COC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DAC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OTC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SPC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DPC</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PAC-WA</w:t>
            </w:r>
          </w:p>
        </w:tc>
        <w:tc>
          <w:tcPr>
            <w:tcW w:w="1300" w:type="dxa"/>
            <w:tcBorders>
              <w:top w:val="single" w:sz="18" w:space="0" w:color="auto"/>
              <w:left w:val="single" w:sz="6" w:space="0" w:color="auto"/>
              <w:bottom w:val="single" w:sz="18" w:space="0" w:color="auto"/>
              <w:right w:val="single" w:sz="6" w:space="0" w:color="auto"/>
            </w:tcBorders>
            <w:shd w:val="clear" w:color="auto" w:fill="auto"/>
            <w:noWrap/>
            <w:vAlign w:val="bottom"/>
          </w:tcPr>
          <w:p w:rsidR="00E31D71" w:rsidRDefault="00E31D71" w:rsidP="00417C4A">
            <w:pPr>
              <w:jc w:val="center"/>
              <w:rPr>
                <w:rFonts w:ascii="Arial" w:hAnsi="Arial" w:cs="Arial"/>
                <w:b/>
                <w:bCs/>
                <w:sz w:val="22"/>
                <w:szCs w:val="22"/>
              </w:rPr>
            </w:pPr>
            <w:r>
              <w:rPr>
                <w:rFonts w:ascii="Arial" w:hAnsi="Arial" w:cs="Arial"/>
                <w:b/>
                <w:bCs/>
                <w:sz w:val="22"/>
                <w:szCs w:val="22"/>
              </w:rPr>
              <w:t>LCC-WA</w:t>
            </w:r>
          </w:p>
        </w:tc>
        <w:tc>
          <w:tcPr>
            <w:tcW w:w="1340" w:type="dxa"/>
            <w:tcBorders>
              <w:top w:val="single" w:sz="18" w:space="0" w:color="auto"/>
              <w:left w:val="single" w:sz="6" w:space="0" w:color="auto"/>
              <w:bottom w:val="single" w:sz="18" w:space="0" w:color="auto"/>
            </w:tcBorders>
            <w:shd w:val="clear" w:color="auto" w:fill="auto"/>
            <w:noWrap/>
            <w:vAlign w:val="bottom"/>
          </w:tcPr>
          <w:p w:rsidR="00E31D71" w:rsidRDefault="00AC6706" w:rsidP="00417C4A">
            <w:pPr>
              <w:jc w:val="center"/>
              <w:rPr>
                <w:rFonts w:ascii="Arial" w:hAnsi="Arial" w:cs="Arial"/>
                <w:b/>
                <w:bCs/>
                <w:sz w:val="22"/>
                <w:szCs w:val="22"/>
              </w:rPr>
            </w:pPr>
            <w:r>
              <w:rPr>
                <w:rFonts w:ascii="Arial" w:hAnsi="Arial" w:cs="Arial"/>
                <w:b/>
                <w:bCs/>
                <w:sz w:val="22"/>
                <w:szCs w:val="22"/>
              </w:rPr>
              <w:t>All WA Offices</w:t>
            </w:r>
          </w:p>
        </w:tc>
      </w:tr>
      <w:tr w:rsidR="009A3FD0" w:rsidTr="009A3FD0">
        <w:trPr>
          <w:trHeight w:val="255"/>
          <w:jc w:val="center"/>
        </w:trPr>
        <w:tc>
          <w:tcPr>
            <w:tcW w:w="3640" w:type="dxa"/>
            <w:tcBorders>
              <w:top w:val="single" w:sz="18"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ANIMAL</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2.59%</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2.09%</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0.95%</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1.27%</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3.99%</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1.88%</w:t>
            </w:r>
          </w:p>
        </w:tc>
        <w:tc>
          <w:tcPr>
            <w:tcW w:w="1300" w:type="dxa"/>
            <w:tcBorders>
              <w:top w:val="single" w:sz="18"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14.51%</w:t>
            </w:r>
          </w:p>
        </w:tc>
        <w:tc>
          <w:tcPr>
            <w:tcW w:w="1340" w:type="dxa"/>
            <w:tcBorders>
              <w:top w:val="single" w:sz="18"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7.59%</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COMPANY</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4.82%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3.50%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1.31%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0.13%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0.28%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10.25%</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6.13%</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MISCELLANEOUS</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0.01%</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POLE FIRE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0.23%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1.50%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49.52%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1.23%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11.70%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10.32%</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6.69%</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PUBLIC</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6.56%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15.78%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17.77%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2.78%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3.55%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11.62%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13.71%</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11.65%</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TREE</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18.89%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17.49%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7.63%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6.14%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0.13%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5.69%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3.56%</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8.89%</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UNDETERMINED</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15.32%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20.93%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20.54%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5.07%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37.36%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3.52%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11.68%</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13.47%</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WEATHER</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30.37%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8.51%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11.91%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24.98%</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28.33%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29.36%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12.67%</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19.63%</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EQUIPMENT OH</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9.75%</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23.63%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11.83%</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4.17%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8.71%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19.76%</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7.21%</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10.40%</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EQUIPMENT UG</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0.27%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0.21%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4.31%</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0.09%</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2.04%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0.62%</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0.65%</w:t>
            </w:r>
          </w:p>
        </w:tc>
      </w:tr>
      <w:tr w:rsidR="009A3FD0" w:rsidTr="009A3FD0">
        <w:trPr>
          <w:trHeight w:val="255"/>
          <w:jc w:val="center"/>
        </w:trPr>
        <w:tc>
          <w:tcPr>
            <w:tcW w:w="3640" w:type="dxa"/>
            <w:tcBorders>
              <w:top w:val="single" w:sz="6" w:space="0" w:color="auto"/>
              <w:bottom w:val="single" w:sz="6"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EQUIPMENT SUB</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1.74%</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12.87%</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0.02%</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0.00%</w:t>
            </w:r>
          </w:p>
        </w:tc>
        <w:tc>
          <w:tcPr>
            <w:tcW w:w="1300" w:type="dxa"/>
            <w:tcBorders>
              <w:top w:val="single" w:sz="6" w:space="0" w:color="auto"/>
              <w:left w:val="single" w:sz="6" w:space="0" w:color="auto"/>
              <w:bottom w:val="single" w:sz="6"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4.79%</w:t>
            </w:r>
          </w:p>
        </w:tc>
        <w:tc>
          <w:tcPr>
            <w:tcW w:w="1340" w:type="dxa"/>
            <w:tcBorders>
              <w:top w:val="single" w:sz="6" w:space="0" w:color="auto"/>
              <w:left w:val="single" w:sz="6" w:space="0" w:color="auto"/>
              <w:bottom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3.48%</w:t>
            </w:r>
          </w:p>
        </w:tc>
      </w:tr>
      <w:tr w:rsidR="009A3FD0" w:rsidTr="009A3FD0">
        <w:trPr>
          <w:trHeight w:val="255"/>
          <w:jc w:val="center"/>
        </w:trPr>
        <w:tc>
          <w:tcPr>
            <w:tcW w:w="3640" w:type="dxa"/>
            <w:tcBorders>
              <w:top w:val="single" w:sz="6" w:space="0" w:color="auto"/>
              <w:bottom w:val="single" w:sz="18" w:space="0" w:color="auto"/>
              <w:right w:val="single" w:sz="6" w:space="0" w:color="auto"/>
            </w:tcBorders>
            <w:shd w:val="clear" w:color="auto" w:fill="auto"/>
            <w:noWrap/>
            <w:vAlign w:val="center"/>
          </w:tcPr>
          <w:p w:rsidR="009A3FD0" w:rsidRDefault="009A3FD0" w:rsidP="007F7814">
            <w:pPr>
              <w:rPr>
                <w:rFonts w:ascii="Arial" w:hAnsi="Arial" w:cs="Arial"/>
                <w:sz w:val="20"/>
              </w:rPr>
            </w:pPr>
            <w:r>
              <w:rPr>
                <w:rFonts w:ascii="Arial" w:hAnsi="Arial" w:cs="Arial"/>
                <w:sz w:val="20"/>
              </w:rPr>
              <w:t>PLANNED</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11.20%</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4.61%</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15.09%</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1.77%</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16.46%</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14.14%</w:t>
            </w:r>
          </w:p>
        </w:tc>
        <w:tc>
          <w:tcPr>
            <w:tcW w:w="1300" w:type="dxa"/>
            <w:tcBorders>
              <w:top w:val="single" w:sz="6" w:space="0" w:color="auto"/>
              <w:left w:val="single" w:sz="6" w:space="0" w:color="auto"/>
              <w:bottom w:val="single" w:sz="18" w:space="0" w:color="auto"/>
              <w:right w:val="single" w:sz="6"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10.67%</w:t>
            </w:r>
          </w:p>
        </w:tc>
        <w:tc>
          <w:tcPr>
            <w:tcW w:w="1340" w:type="dxa"/>
            <w:tcBorders>
              <w:top w:val="single" w:sz="6" w:space="0" w:color="auto"/>
              <w:left w:val="single" w:sz="6" w:space="0" w:color="auto"/>
              <w:bottom w:val="single" w:sz="18" w:space="0" w:color="auto"/>
            </w:tcBorders>
            <w:shd w:val="clear" w:color="auto" w:fill="auto"/>
            <w:noWrap/>
            <w:vAlign w:val="bottom"/>
          </w:tcPr>
          <w:p w:rsidR="009A3FD0" w:rsidRDefault="009A3FD0">
            <w:pPr>
              <w:jc w:val="right"/>
              <w:rPr>
                <w:rFonts w:ascii="Arial" w:hAnsi="Arial" w:cs="Arial"/>
                <w:sz w:val="20"/>
              </w:rPr>
            </w:pPr>
            <w:r>
              <w:rPr>
                <w:rFonts w:ascii="Arial" w:hAnsi="Arial" w:cs="Arial"/>
                <w:sz w:val="20"/>
              </w:rPr>
              <w:t>11.42%</w:t>
            </w:r>
          </w:p>
        </w:tc>
      </w:tr>
    </w:tbl>
    <w:p w:rsidR="00E31D71" w:rsidRDefault="00E31D71">
      <w:pPr>
        <w:pStyle w:val="Heading3"/>
      </w:pPr>
    </w:p>
    <w:tbl>
      <w:tblPr>
        <w:tblW w:w="0" w:type="auto"/>
        <w:tblLayout w:type="fixed"/>
        <w:tblLook w:val="0000"/>
      </w:tblPr>
      <w:tblGrid>
        <w:gridCol w:w="1188"/>
        <w:gridCol w:w="3420"/>
        <w:gridCol w:w="1170"/>
        <w:gridCol w:w="5670"/>
      </w:tblGrid>
      <w:tr w:rsidR="00E31D71" w:rsidTr="00417C4A">
        <w:tc>
          <w:tcPr>
            <w:tcW w:w="1188" w:type="dxa"/>
          </w:tcPr>
          <w:p w:rsidR="00E31D71" w:rsidRDefault="00E31D71" w:rsidP="00417C4A">
            <w:pPr>
              <w:pStyle w:val="Footer"/>
              <w:tabs>
                <w:tab w:val="clear" w:pos="4320"/>
                <w:tab w:val="clear" w:pos="8640"/>
              </w:tabs>
            </w:pPr>
            <w:r>
              <w:t>COC</w:t>
            </w:r>
          </w:p>
        </w:tc>
        <w:tc>
          <w:tcPr>
            <w:tcW w:w="3420" w:type="dxa"/>
          </w:tcPr>
          <w:p w:rsidR="00E31D71" w:rsidRDefault="00E31D71" w:rsidP="00417C4A">
            <w:pPr>
              <w:pStyle w:val="Footer"/>
              <w:tabs>
                <w:tab w:val="clear" w:pos="4320"/>
                <w:tab w:val="clear" w:pos="8640"/>
              </w:tabs>
            </w:pPr>
            <w:smartTag w:uri="urn:schemas-microsoft-com:office:smarttags" w:element="place">
              <w:r>
                <w:t>Colville</w:t>
              </w:r>
            </w:smartTag>
          </w:p>
        </w:tc>
        <w:tc>
          <w:tcPr>
            <w:tcW w:w="1170" w:type="dxa"/>
          </w:tcPr>
          <w:p w:rsidR="00E31D71" w:rsidRDefault="00E31D71" w:rsidP="00417C4A">
            <w:pPr>
              <w:pStyle w:val="Footer"/>
              <w:tabs>
                <w:tab w:val="clear" w:pos="4320"/>
                <w:tab w:val="clear" w:pos="8640"/>
              </w:tabs>
            </w:pPr>
            <w:r>
              <w:t>OTC</w:t>
            </w:r>
          </w:p>
        </w:tc>
        <w:tc>
          <w:tcPr>
            <w:tcW w:w="5670" w:type="dxa"/>
          </w:tcPr>
          <w:p w:rsidR="00E31D71" w:rsidRDefault="00E31D71" w:rsidP="00417C4A">
            <w:pPr>
              <w:pStyle w:val="Footer"/>
              <w:tabs>
                <w:tab w:val="clear" w:pos="4320"/>
                <w:tab w:val="clear" w:pos="8640"/>
              </w:tabs>
            </w:pPr>
            <w:r>
              <w:t>Othello</w:t>
            </w:r>
          </w:p>
        </w:tc>
      </w:tr>
      <w:tr w:rsidR="00E31D71" w:rsidTr="00417C4A">
        <w:tc>
          <w:tcPr>
            <w:tcW w:w="1188" w:type="dxa"/>
          </w:tcPr>
          <w:p w:rsidR="00E31D71" w:rsidRDefault="00E31D71" w:rsidP="00417C4A">
            <w:pPr>
              <w:pStyle w:val="Footer"/>
              <w:tabs>
                <w:tab w:val="clear" w:pos="4320"/>
                <w:tab w:val="clear" w:pos="8640"/>
              </w:tabs>
            </w:pPr>
            <w:r>
              <w:t>DAC</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Davenport</w:t>
                </w:r>
              </w:smartTag>
            </w:smartTag>
          </w:p>
        </w:tc>
        <w:tc>
          <w:tcPr>
            <w:tcW w:w="1170" w:type="dxa"/>
          </w:tcPr>
          <w:p w:rsidR="00E31D71" w:rsidRDefault="00E31D71" w:rsidP="00417C4A">
            <w:pPr>
              <w:pStyle w:val="Footer"/>
              <w:tabs>
                <w:tab w:val="clear" w:pos="4320"/>
                <w:tab w:val="clear" w:pos="8640"/>
              </w:tabs>
            </w:pPr>
            <w:r>
              <w:t>PAC-WA</w:t>
            </w:r>
          </w:p>
        </w:tc>
        <w:tc>
          <w:tcPr>
            <w:tcW w:w="5670" w:type="dxa"/>
          </w:tcPr>
          <w:p w:rsidR="00E31D71" w:rsidRDefault="00E31D71" w:rsidP="00417C4A">
            <w:pPr>
              <w:pStyle w:val="Footer"/>
              <w:tabs>
                <w:tab w:val="clear" w:pos="4320"/>
                <w:tab w:val="clear" w:pos="8640"/>
              </w:tabs>
            </w:pPr>
            <w:r>
              <w:t xml:space="preserve">Palouse </w:t>
            </w:r>
            <w:smartTag w:uri="urn:schemas-microsoft-com:office:smarttags" w:element="place">
              <w:smartTag w:uri="urn:schemas-microsoft-com:office:smarttags" w:element="State">
                <w:r>
                  <w:t>Washington</w:t>
                </w:r>
              </w:smartTag>
            </w:smartTag>
          </w:p>
        </w:tc>
      </w:tr>
      <w:tr w:rsidR="00E31D71" w:rsidTr="00417C4A">
        <w:tc>
          <w:tcPr>
            <w:tcW w:w="1188" w:type="dxa"/>
          </w:tcPr>
          <w:p w:rsidR="00E31D71" w:rsidRDefault="00E31D71" w:rsidP="00417C4A">
            <w:pPr>
              <w:pStyle w:val="Footer"/>
              <w:tabs>
                <w:tab w:val="clear" w:pos="4320"/>
                <w:tab w:val="clear" w:pos="8640"/>
              </w:tabs>
            </w:pPr>
            <w:r>
              <w:t>DPC</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Deer Park</w:t>
                </w:r>
              </w:smartTag>
            </w:smartTag>
          </w:p>
        </w:tc>
        <w:tc>
          <w:tcPr>
            <w:tcW w:w="1170" w:type="dxa"/>
          </w:tcPr>
          <w:p w:rsidR="00E31D71" w:rsidRDefault="00E31D71" w:rsidP="00417C4A">
            <w:pPr>
              <w:pStyle w:val="Footer"/>
              <w:tabs>
                <w:tab w:val="clear" w:pos="4320"/>
                <w:tab w:val="clear" w:pos="8640"/>
              </w:tabs>
            </w:pPr>
            <w:r>
              <w:t>SPC</w:t>
            </w:r>
          </w:p>
        </w:tc>
        <w:tc>
          <w:tcPr>
            <w:tcW w:w="567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Spokane</w:t>
                </w:r>
              </w:smartTag>
            </w:smartTag>
          </w:p>
        </w:tc>
      </w:tr>
      <w:tr w:rsidR="00E31D71" w:rsidTr="00417C4A">
        <w:tc>
          <w:tcPr>
            <w:tcW w:w="1188" w:type="dxa"/>
          </w:tcPr>
          <w:p w:rsidR="00E31D71" w:rsidRDefault="00E31D71" w:rsidP="00417C4A">
            <w:pPr>
              <w:pStyle w:val="Footer"/>
              <w:tabs>
                <w:tab w:val="clear" w:pos="4320"/>
                <w:tab w:val="clear" w:pos="8640"/>
              </w:tabs>
            </w:pPr>
            <w:r>
              <w:t>LCC-WA</w:t>
            </w:r>
          </w:p>
        </w:tc>
        <w:tc>
          <w:tcPr>
            <w:tcW w:w="3420" w:type="dxa"/>
          </w:tcPr>
          <w:p w:rsidR="00E31D71" w:rsidRDefault="00E31D71" w:rsidP="00417C4A">
            <w:pPr>
              <w:pStyle w:val="Footer"/>
              <w:tabs>
                <w:tab w:val="clear" w:pos="4320"/>
                <w:tab w:val="clear" w:pos="8640"/>
              </w:tabs>
            </w:pPr>
            <w:smartTag w:uri="urn:schemas-microsoft-com:office:smarttags" w:element="place">
              <w:smartTag w:uri="urn:schemas-microsoft-com:office:smarttags" w:element="City">
                <w:r>
                  <w:t>Lewiston-Clarkston</w:t>
                </w:r>
              </w:smartTag>
              <w:r>
                <w:t xml:space="preserve"> </w:t>
              </w:r>
              <w:smartTag w:uri="urn:schemas-microsoft-com:office:smarttags" w:element="State">
                <w:r>
                  <w:t>Washington</w:t>
                </w:r>
              </w:smartTag>
            </w:smartTag>
          </w:p>
        </w:tc>
        <w:tc>
          <w:tcPr>
            <w:tcW w:w="1170" w:type="dxa"/>
          </w:tcPr>
          <w:p w:rsidR="00E31D71" w:rsidRDefault="00E31D71" w:rsidP="00417C4A">
            <w:pPr>
              <w:pStyle w:val="Footer"/>
              <w:tabs>
                <w:tab w:val="clear" w:pos="4320"/>
                <w:tab w:val="clear" w:pos="8640"/>
              </w:tabs>
            </w:pPr>
          </w:p>
        </w:tc>
        <w:tc>
          <w:tcPr>
            <w:tcW w:w="5670" w:type="dxa"/>
          </w:tcPr>
          <w:p w:rsidR="00E31D71" w:rsidRDefault="00E31D71" w:rsidP="00417C4A">
            <w:pPr>
              <w:pStyle w:val="Footer"/>
              <w:tabs>
                <w:tab w:val="clear" w:pos="4320"/>
                <w:tab w:val="clear" w:pos="8640"/>
              </w:tabs>
            </w:pPr>
          </w:p>
        </w:tc>
      </w:tr>
    </w:tbl>
    <w:p w:rsidR="003A5969" w:rsidRDefault="003A5969">
      <w:pPr>
        <w:pStyle w:val="Heading3"/>
      </w:pPr>
      <w:r>
        <w:br w:type="page"/>
      </w:r>
      <w:bookmarkStart w:id="313" w:name="_Toc98906789"/>
      <w:bookmarkStart w:id="314" w:name="_Toc165342465"/>
      <w:bookmarkStart w:id="315" w:name="_Toc193711034"/>
      <w:bookmarkStart w:id="316" w:name="_Toc227571629"/>
      <w:bookmarkStart w:id="317" w:name="_Toc354493046"/>
      <w:r>
        <w:t xml:space="preserve">Chart </w:t>
      </w:r>
      <w:r w:rsidR="00473AE9">
        <w:t>9</w:t>
      </w:r>
      <w:r>
        <w:t>.1 – % MAIFI per Cause by Office</w:t>
      </w:r>
      <w:bookmarkEnd w:id="313"/>
      <w:bookmarkEnd w:id="314"/>
      <w:bookmarkEnd w:id="315"/>
      <w:bookmarkEnd w:id="316"/>
      <w:bookmarkEnd w:id="317"/>
    </w:p>
    <w:p w:rsidR="00E32D28" w:rsidRPr="00E32D28" w:rsidRDefault="00E32D28" w:rsidP="00E32D28"/>
    <w:p w:rsidR="003A5969" w:rsidRDefault="003A5969">
      <w:r>
        <w:t xml:space="preserve">The following chart shows the percentage MAIFI contribution by causes for outages excluding major event days. </w:t>
      </w:r>
    </w:p>
    <w:p w:rsidR="00A50C53" w:rsidRPr="0025187F" w:rsidRDefault="009A3FD0" w:rsidP="00E32D28">
      <w:pPr>
        <w:pStyle w:val="CommentText"/>
        <w:jc w:val="center"/>
      </w:pPr>
      <w:bookmarkStart w:id="318" w:name="_Hlt34017820"/>
      <w:bookmarkStart w:id="319" w:name="_Ref34017796"/>
      <w:bookmarkStart w:id="320" w:name="_Toc98906790"/>
      <w:bookmarkEnd w:id="318"/>
      <w:r w:rsidRPr="009A3FD0">
        <w:rPr>
          <w:noProof/>
        </w:rPr>
        <w:drawing>
          <wp:inline distT="0" distB="0" distL="0" distR="0">
            <wp:extent cx="6102350" cy="5499100"/>
            <wp:effectExtent l="19050" t="0" r="0" b="0"/>
            <wp:docPr id="6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A5969" w:rsidRDefault="00A50C53" w:rsidP="00910029">
      <w:pPr>
        <w:pStyle w:val="Heading3"/>
      </w:pPr>
      <w:r>
        <w:br w:type="page"/>
      </w:r>
      <w:bookmarkStart w:id="321" w:name="_Toc193711035"/>
      <w:bookmarkStart w:id="322" w:name="_Toc227571630"/>
      <w:bookmarkStart w:id="323" w:name="_Toc354493047"/>
      <w:r w:rsidR="007604DD">
        <w:t xml:space="preserve">Table </w:t>
      </w:r>
      <w:r w:rsidR="00473AE9">
        <w:t>9</w:t>
      </w:r>
      <w:r w:rsidR="003A5969">
        <w:t>.2 - % MAIFI per Cause by Month</w:t>
      </w:r>
      <w:bookmarkEnd w:id="319"/>
      <w:bookmarkEnd w:id="320"/>
      <w:bookmarkEnd w:id="321"/>
      <w:bookmarkEnd w:id="322"/>
      <w:bookmarkEnd w:id="323"/>
    </w:p>
    <w:p w:rsidR="00910029" w:rsidRPr="00910029" w:rsidRDefault="00910029" w:rsidP="00910029"/>
    <w:p w:rsidR="003A5969" w:rsidRDefault="003A5969">
      <w:r>
        <w:t xml:space="preserve">The following table lists the percentage MAIFI contribution by causes for outages excluding major event days. </w:t>
      </w:r>
    </w:p>
    <w:p w:rsidR="003A5969" w:rsidRDefault="003A5969">
      <w:pPr>
        <w:pStyle w:val="CommentText"/>
      </w:pPr>
    </w:p>
    <w:tbl>
      <w:tblPr>
        <w:tblW w:w="13683" w:type="dxa"/>
        <w:jc w:val="center"/>
        <w:tblInd w:w="-10" w:type="dxa"/>
        <w:tblLayout w:type="fixed"/>
        <w:tblCellMar>
          <w:left w:w="0" w:type="dxa"/>
          <w:right w:w="0" w:type="dxa"/>
        </w:tblCellMar>
        <w:tblLook w:val="0000"/>
      </w:tblPr>
      <w:tblGrid>
        <w:gridCol w:w="2240"/>
        <w:gridCol w:w="868"/>
        <w:gridCol w:w="869"/>
        <w:gridCol w:w="868"/>
        <w:gridCol w:w="869"/>
        <w:gridCol w:w="869"/>
        <w:gridCol w:w="868"/>
        <w:gridCol w:w="869"/>
        <w:gridCol w:w="868"/>
        <w:gridCol w:w="869"/>
        <w:gridCol w:w="869"/>
        <w:gridCol w:w="868"/>
        <w:gridCol w:w="869"/>
        <w:gridCol w:w="1020"/>
      </w:tblGrid>
      <w:tr w:rsidR="003A5969" w:rsidTr="003A64CF">
        <w:trPr>
          <w:trHeight w:val="539"/>
          <w:jc w:val="center"/>
        </w:trPr>
        <w:tc>
          <w:tcPr>
            <w:tcW w:w="2240" w:type="dxa"/>
            <w:tcBorders>
              <w:top w:val="single" w:sz="18" w:space="0" w:color="000000"/>
              <w:left w:val="single" w:sz="18" w:space="0" w:color="000000"/>
              <w:bottom w:val="single" w:sz="18" w:space="0" w:color="000000"/>
              <w:right w:val="single" w:sz="6" w:space="0" w:color="000000"/>
            </w:tcBorders>
            <w:noWrap/>
            <w:vAlign w:val="bottom"/>
          </w:tcPr>
          <w:p w:rsidR="003A5969" w:rsidRDefault="003A5969">
            <w:pPr>
              <w:rPr>
                <w:rFonts w:ascii="Arial" w:eastAsia="Arial Unicode MS" w:hAnsi="Arial" w:cs="Arial"/>
                <w:b/>
                <w:bCs/>
                <w:szCs w:val="24"/>
              </w:rPr>
            </w:pPr>
            <w:r>
              <w:rPr>
                <w:rFonts w:ascii="Arial" w:hAnsi="Arial" w:cs="Arial"/>
                <w:b/>
                <w:bCs/>
              </w:rPr>
              <w:t>RE</w:t>
            </w:r>
            <w:r w:rsidR="00910029">
              <w:rPr>
                <w:rFonts w:ascii="Arial" w:hAnsi="Arial" w:cs="Arial"/>
                <w:b/>
                <w:bCs/>
              </w:rPr>
              <w:t>A</w:t>
            </w:r>
            <w:r>
              <w:rPr>
                <w:rFonts w:ascii="Arial" w:hAnsi="Arial" w:cs="Arial"/>
                <w:b/>
                <w:bCs/>
              </w:rPr>
              <w:t>SON</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Jan</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Feb</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Mar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Apr</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May</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June</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Jul</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Aug</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Sept</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Oct</w:t>
            </w:r>
          </w:p>
        </w:tc>
        <w:tc>
          <w:tcPr>
            <w:tcW w:w="868"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Nov</w:t>
            </w:r>
          </w:p>
        </w:tc>
        <w:tc>
          <w:tcPr>
            <w:tcW w:w="869" w:type="dxa"/>
            <w:tcBorders>
              <w:top w:val="single" w:sz="18" w:space="0" w:color="000000"/>
              <w:left w:val="single" w:sz="6" w:space="0" w:color="000000"/>
              <w:bottom w:val="single" w:sz="18" w:space="0" w:color="000000"/>
              <w:right w:val="single" w:sz="6"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Dec</w:t>
            </w:r>
          </w:p>
        </w:tc>
        <w:tc>
          <w:tcPr>
            <w:tcW w:w="1020" w:type="dxa"/>
            <w:tcBorders>
              <w:top w:val="single" w:sz="18" w:space="0" w:color="000000"/>
              <w:left w:val="single" w:sz="6" w:space="0" w:color="000000"/>
              <w:bottom w:val="single" w:sz="18" w:space="0" w:color="000000"/>
              <w:right w:val="single" w:sz="18" w:space="0" w:color="000000"/>
            </w:tcBorders>
            <w:noWrap/>
            <w:vAlign w:val="bottom"/>
          </w:tcPr>
          <w:p w:rsidR="003A5969" w:rsidRDefault="003A5969">
            <w:pPr>
              <w:jc w:val="center"/>
              <w:rPr>
                <w:rFonts w:ascii="Arial" w:eastAsia="Arial Unicode MS" w:hAnsi="Arial" w:cs="Arial"/>
                <w:b/>
                <w:bCs/>
                <w:szCs w:val="24"/>
              </w:rPr>
            </w:pPr>
            <w:r>
              <w:rPr>
                <w:rFonts w:ascii="Arial" w:hAnsi="Arial" w:cs="Arial"/>
                <w:b/>
                <w:bCs/>
              </w:rPr>
              <w:t>Yearly</w:t>
            </w:r>
          </w:p>
        </w:tc>
      </w:tr>
      <w:tr w:rsidR="00596751" w:rsidTr="001F0BB7">
        <w:trPr>
          <w:trHeight w:val="225"/>
          <w:jc w:val="center"/>
        </w:trPr>
        <w:tc>
          <w:tcPr>
            <w:tcW w:w="2240" w:type="dxa"/>
            <w:tcBorders>
              <w:top w:val="single" w:sz="18"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ANIMAL</w:t>
            </w:r>
          </w:p>
        </w:tc>
        <w:tc>
          <w:tcPr>
            <w:tcW w:w="868"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3.0%</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2.3%</w:t>
            </w:r>
          </w:p>
        </w:tc>
        <w:tc>
          <w:tcPr>
            <w:tcW w:w="868"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0.5%</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1.6%</w:t>
            </w:r>
          </w:p>
        </w:tc>
        <w:tc>
          <w:tcPr>
            <w:tcW w:w="868"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4.1%</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18"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18"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0.9%</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POLE FIRE</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1.9%</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0.1%</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WEATHER</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23.1%</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24.3%</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11.1%</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10.4%</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5.9%</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72.6%</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39.2%</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3.3%</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2.4%</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40.7%</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4.9%</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54.9%</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33.3%</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TREE</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2.5%</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0.8%</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PUBLIC</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2.3%</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0.4%</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COMPANY</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3.4%</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4.3%</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1.5%</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1.2%</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0.8%</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UNDETERMINED</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70.5%</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54.4%</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81.0%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87.3%</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86.1%</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24.8%</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58.2%</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80.3%</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79.1%</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55.7%</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31.7%</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54.6%</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EQUIPMENT OH</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6.8%</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1.2%</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0.8%</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PLANNED</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12.5%</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2.2%</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0.2%</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0.1%</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1.2%</w:t>
            </w:r>
          </w:p>
        </w:tc>
      </w:tr>
      <w:tr w:rsidR="00596751" w:rsidTr="001F0BB7">
        <w:trPr>
          <w:trHeight w:val="315"/>
          <w:jc w:val="center"/>
        </w:trPr>
        <w:tc>
          <w:tcPr>
            <w:tcW w:w="2240" w:type="dxa"/>
            <w:tcBorders>
              <w:top w:val="single" w:sz="6" w:space="0" w:color="000000"/>
              <w:left w:val="single" w:sz="18" w:space="0" w:color="000000"/>
              <w:bottom w:val="single" w:sz="6"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EQUIPMENT SUB</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12.0%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6"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6"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0.8%</w:t>
            </w:r>
          </w:p>
        </w:tc>
      </w:tr>
      <w:tr w:rsidR="00596751" w:rsidTr="001F0BB7">
        <w:trPr>
          <w:trHeight w:val="345"/>
          <w:jc w:val="center"/>
        </w:trPr>
        <w:tc>
          <w:tcPr>
            <w:tcW w:w="2240" w:type="dxa"/>
            <w:tcBorders>
              <w:top w:val="single" w:sz="6" w:space="0" w:color="000000"/>
              <w:left w:val="single" w:sz="18" w:space="0" w:color="000000"/>
              <w:bottom w:val="single" w:sz="18" w:space="0" w:color="000000"/>
              <w:right w:val="single" w:sz="6" w:space="0" w:color="000000"/>
            </w:tcBorders>
            <w:noWrap/>
            <w:vAlign w:val="bottom"/>
          </w:tcPr>
          <w:p w:rsidR="00596751" w:rsidRDefault="00596751">
            <w:pPr>
              <w:rPr>
                <w:rFonts w:ascii="Arial" w:hAnsi="Arial" w:cs="Arial"/>
                <w:sz w:val="20"/>
              </w:rPr>
            </w:pPr>
            <w:r>
              <w:rPr>
                <w:rFonts w:ascii="Arial" w:hAnsi="Arial" w:cs="Arial"/>
                <w:sz w:val="20"/>
              </w:rPr>
              <w:t>MISCELLANIOUS</w:t>
            </w:r>
          </w:p>
        </w:tc>
        <w:tc>
          <w:tcPr>
            <w:tcW w:w="868"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1.9%</w:t>
            </w:r>
          </w:p>
        </w:tc>
        <w:tc>
          <w:tcPr>
            <w:tcW w:w="868"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8"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869" w:type="dxa"/>
            <w:tcBorders>
              <w:top w:val="single" w:sz="6" w:space="0" w:color="000000"/>
              <w:left w:val="single" w:sz="6" w:space="0" w:color="000000"/>
              <w:bottom w:val="single" w:sz="18" w:space="0" w:color="000000"/>
              <w:right w:val="single" w:sz="6" w:space="0" w:color="000000"/>
            </w:tcBorders>
            <w:noWrap/>
            <w:vAlign w:val="bottom"/>
          </w:tcPr>
          <w:p w:rsidR="00596751" w:rsidRDefault="00596751">
            <w:pPr>
              <w:jc w:val="right"/>
              <w:rPr>
                <w:rFonts w:ascii="Arial" w:hAnsi="Arial" w:cs="Arial"/>
                <w:sz w:val="20"/>
              </w:rPr>
            </w:pPr>
            <w:r>
              <w:rPr>
                <w:rFonts w:ascii="Arial" w:hAnsi="Arial" w:cs="Arial"/>
                <w:sz w:val="20"/>
              </w:rPr>
              <w:t>0.0%</w:t>
            </w:r>
          </w:p>
        </w:tc>
        <w:tc>
          <w:tcPr>
            <w:tcW w:w="1020" w:type="dxa"/>
            <w:tcBorders>
              <w:top w:val="single" w:sz="6" w:space="0" w:color="000000"/>
              <w:left w:val="single" w:sz="6" w:space="0" w:color="000000"/>
              <w:bottom w:val="single" w:sz="18" w:space="0" w:color="000000"/>
              <w:right w:val="single" w:sz="18" w:space="0" w:color="000000"/>
            </w:tcBorders>
            <w:noWrap/>
            <w:vAlign w:val="bottom"/>
          </w:tcPr>
          <w:p w:rsidR="00596751" w:rsidRDefault="00596751">
            <w:pPr>
              <w:jc w:val="right"/>
              <w:rPr>
                <w:rFonts w:ascii="Arial" w:hAnsi="Arial" w:cs="Arial"/>
                <w:sz w:val="20"/>
              </w:rPr>
            </w:pPr>
            <w:r>
              <w:rPr>
                <w:rFonts w:ascii="Arial" w:hAnsi="Arial" w:cs="Arial"/>
                <w:sz w:val="20"/>
              </w:rPr>
              <w:t>0.1%</w:t>
            </w:r>
          </w:p>
        </w:tc>
      </w:tr>
    </w:tbl>
    <w:p w:rsidR="003A5969" w:rsidRDefault="003A5969">
      <w:pPr>
        <w:pStyle w:val="Heading3"/>
      </w:pPr>
      <w:r>
        <w:br w:type="page"/>
      </w:r>
      <w:bookmarkStart w:id="324" w:name="_Toc98906791"/>
      <w:bookmarkStart w:id="325" w:name="_Toc165342466"/>
      <w:bookmarkStart w:id="326" w:name="_Toc193711036"/>
      <w:bookmarkStart w:id="327" w:name="_Toc227571631"/>
      <w:bookmarkStart w:id="328" w:name="_Toc354493048"/>
      <w:r>
        <w:t xml:space="preserve">Chart </w:t>
      </w:r>
      <w:r w:rsidR="00473AE9">
        <w:t>9</w:t>
      </w:r>
      <w:r>
        <w:t>.2 – % MAIFI per Cause by Month</w:t>
      </w:r>
      <w:bookmarkEnd w:id="324"/>
      <w:bookmarkEnd w:id="325"/>
      <w:bookmarkEnd w:id="326"/>
      <w:bookmarkEnd w:id="327"/>
      <w:bookmarkEnd w:id="328"/>
    </w:p>
    <w:p w:rsidR="00E32D28" w:rsidRPr="00E32D28" w:rsidRDefault="00E32D28" w:rsidP="00E32D28"/>
    <w:p w:rsidR="003A5969" w:rsidRDefault="003A5969">
      <w:r>
        <w:t xml:space="preserve">The following chart shows the percentage MAIFI contribution by causes for outages excluding major event days. </w:t>
      </w:r>
    </w:p>
    <w:p w:rsidR="00C1797A" w:rsidRDefault="00596751" w:rsidP="008B064F">
      <w:pPr>
        <w:jc w:val="center"/>
      </w:pPr>
      <w:r w:rsidRPr="00596751">
        <w:rPr>
          <w:noProof/>
        </w:rPr>
        <w:drawing>
          <wp:inline distT="0" distB="0" distL="0" distR="0">
            <wp:extent cx="7435850" cy="5562600"/>
            <wp:effectExtent l="19050" t="0" r="0" b="0"/>
            <wp:docPr id="6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bookmarkEnd w:id="303"/>
    <w:p w:rsidR="003A5969" w:rsidRPr="006F45FF" w:rsidRDefault="003A5969">
      <w:pPr>
        <w:sectPr w:rsidR="003A5969" w:rsidRPr="006F45FF" w:rsidSect="002A49F9">
          <w:pgSz w:w="15840" w:h="12240" w:orient="landscape" w:code="1"/>
          <w:pgMar w:top="1008" w:right="1008" w:bottom="1008" w:left="1008" w:header="720" w:footer="720" w:gutter="0"/>
          <w:cols w:space="720"/>
        </w:sectPr>
      </w:pPr>
    </w:p>
    <w:p w:rsidR="00983C7D" w:rsidRDefault="00983C7D">
      <w:pPr>
        <w:pStyle w:val="Heading1"/>
        <w:rPr>
          <w:b w:val="0"/>
          <w:u w:val="none"/>
        </w:rPr>
      </w:pPr>
      <w:bookmarkStart w:id="329" w:name="_Ref162252485"/>
      <w:bookmarkStart w:id="330" w:name="_Toc165342468"/>
      <w:bookmarkStart w:id="331" w:name="_Toc193711038"/>
      <w:bookmarkStart w:id="332" w:name="_Toc227571633"/>
      <w:bookmarkStart w:id="333" w:name="_Toc354493049"/>
      <w:bookmarkStart w:id="334" w:name="_Toc3183414"/>
      <w:bookmarkStart w:id="335" w:name="_Toc98906792"/>
      <w:r w:rsidRPr="00983C7D">
        <w:rPr>
          <w:szCs w:val="28"/>
        </w:rPr>
        <w:t xml:space="preserve">Major Event Day </w:t>
      </w:r>
      <w:r w:rsidR="002C0E29">
        <w:rPr>
          <w:szCs w:val="28"/>
        </w:rPr>
        <w:t>Causes</w:t>
      </w:r>
      <w:bookmarkEnd w:id="329"/>
      <w:bookmarkEnd w:id="330"/>
      <w:bookmarkEnd w:id="331"/>
      <w:bookmarkEnd w:id="332"/>
      <w:bookmarkEnd w:id="333"/>
    </w:p>
    <w:p w:rsidR="00FF4F82" w:rsidRDefault="00FF4F82" w:rsidP="00FF4F82">
      <w:pPr>
        <w:pStyle w:val="Heading3"/>
      </w:pPr>
      <w:bookmarkStart w:id="336" w:name="_Ref162252640"/>
      <w:bookmarkStart w:id="337" w:name="_Toc165342469"/>
      <w:bookmarkStart w:id="338" w:name="_Toc193711039"/>
      <w:bookmarkStart w:id="339" w:name="_Toc227571634"/>
      <w:bookmarkStart w:id="340" w:name="_Toc354493050"/>
      <w:r>
        <w:t xml:space="preserve">Chart </w:t>
      </w:r>
      <w:r w:rsidR="00473AE9">
        <w:t>10</w:t>
      </w:r>
      <w:r>
        <w:t xml:space="preserve">.1 – % SAIFI </w:t>
      </w:r>
      <w:r w:rsidR="00071AE0">
        <w:t>by Cause Code for the Major Event Days</w:t>
      </w:r>
      <w:bookmarkEnd w:id="336"/>
      <w:bookmarkEnd w:id="337"/>
      <w:bookmarkEnd w:id="338"/>
      <w:bookmarkEnd w:id="339"/>
      <w:bookmarkEnd w:id="340"/>
      <w:r>
        <w:t xml:space="preserve">  </w:t>
      </w:r>
    </w:p>
    <w:p w:rsidR="00AC06AE" w:rsidRDefault="00AC06AE" w:rsidP="002D5929"/>
    <w:p w:rsidR="00FF4F82" w:rsidRDefault="00F953DE" w:rsidP="002D5929">
      <w:r>
        <w:t>The following chart shows the percentage SAIFI contribution by causes for outages during major event days.</w:t>
      </w:r>
    </w:p>
    <w:p w:rsidR="00F953DE" w:rsidRPr="00FF4F82" w:rsidRDefault="00F953DE" w:rsidP="002D5929">
      <w:pPr>
        <w:rPr>
          <w:szCs w:val="24"/>
        </w:rPr>
      </w:pPr>
    </w:p>
    <w:p w:rsidR="00FF4F82" w:rsidRPr="00FF4F82" w:rsidRDefault="00923693" w:rsidP="00F953DE">
      <w:pPr>
        <w:spacing w:after="120"/>
      </w:pPr>
      <w:r w:rsidRPr="00923693">
        <w:rPr>
          <w:noProof/>
        </w:rPr>
        <w:drawing>
          <wp:inline distT="0" distB="0" distL="0" distR="0">
            <wp:extent cx="6576822" cy="4706112"/>
            <wp:effectExtent l="19050" t="0" r="14478"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953DE" w:rsidRDefault="00F953DE">
      <w:pPr>
        <w:rPr>
          <w:rFonts w:ascii="Arial" w:hAnsi="Arial"/>
          <w:b/>
        </w:rPr>
      </w:pPr>
      <w:bookmarkStart w:id="341" w:name="_Ref162255187"/>
      <w:bookmarkStart w:id="342" w:name="_Toc165342470"/>
      <w:bookmarkStart w:id="343" w:name="_Toc193711040"/>
      <w:bookmarkStart w:id="344" w:name="_Toc227571635"/>
      <w:r>
        <w:br w:type="page"/>
      </w:r>
    </w:p>
    <w:p w:rsidR="00071AE0" w:rsidRDefault="00AC7377" w:rsidP="007604DD">
      <w:pPr>
        <w:pStyle w:val="Heading3"/>
      </w:pPr>
      <w:bookmarkStart w:id="345" w:name="_Toc354493051"/>
      <w:r>
        <w:t>Table</w:t>
      </w:r>
      <w:r w:rsidR="007604DD">
        <w:t xml:space="preserve"> </w:t>
      </w:r>
      <w:r w:rsidR="00473AE9">
        <w:t>10</w:t>
      </w:r>
      <w:r w:rsidR="00071AE0">
        <w:t>.</w:t>
      </w:r>
      <w:r w:rsidR="002C0E29">
        <w:t>1</w:t>
      </w:r>
      <w:r w:rsidR="00071AE0">
        <w:t xml:space="preserve"> – % SAIFI by Sub Cause Code for the Major Event Days</w:t>
      </w:r>
      <w:bookmarkEnd w:id="341"/>
      <w:bookmarkEnd w:id="342"/>
      <w:bookmarkEnd w:id="343"/>
      <w:bookmarkEnd w:id="344"/>
      <w:bookmarkEnd w:id="345"/>
    </w:p>
    <w:p w:rsidR="00AC06AE" w:rsidRDefault="00AC06AE" w:rsidP="00AC06AE"/>
    <w:p w:rsidR="001B35AC" w:rsidRDefault="00F953DE" w:rsidP="001B35AC">
      <w:r>
        <w:t>The following table shows the SAIFI contribution and Customer hours by cause for the 2012 major event days.</w:t>
      </w:r>
    </w:p>
    <w:p w:rsidR="00F953DE" w:rsidRDefault="00F953DE" w:rsidP="001B35AC"/>
    <w:tbl>
      <w:tblPr>
        <w:tblW w:w="8908" w:type="dxa"/>
        <w:jc w:val="center"/>
        <w:tblInd w:w="103" w:type="dxa"/>
        <w:tblLook w:val="04A0"/>
      </w:tblPr>
      <w:tblGrid>
        <w:gridCol w:w="3866"/>
        <w:gridCol w:w="2541"/>
        <w:gridCol w:w="2501"/>
      </w:tblGrid>
      <w:tr w:rsidR="00F953DE" w:rsidRPr="00F953DE" w:rsidTr="00F953DE">
        <w:trPr>
          <w:trHeight w:val="320"/>
          <w:jc w:val="center"/>
        </w:trPr>
        <w:tc>
          <w:tcPr>
            <w:tcW w:w="38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Reason</w:t>
            </w:r>
          </w:p>
        </w:tc>
        <w:tc>
          <w:tcPr>
            <w:tcW w:w="2541" w:type="dxa"/>
            <w:tcBorders>
              <w:top w:val="single" w:sz="4" w:space="0" w:color="auto"/>
              <w:left w:val="nil"/>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Sum of Ni</w:t>
            </w:r>
          </w:p>
        </w:tc>
        <w:tc>
          <w:tcPr>
            <w:tcW w:w="2501" w:type="dxa"/>
            <w:tcBorders>
              <w:top w:val="single" w:sz="4" w:space="0" w:color="auto"/>
              <w:left w:val="nil"/>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 xml:space="preserve">Sum of </w:t>
            </w:r>
            <w:proofErr w:type="spellStart"/>
            <w:r w:rsidRPr="00F953DE">
              <w:rPr>
                <w:rFonts w:ascii="Arial" w:hAnsi="Arial" w:cs="Arial"/>
                <w:sz w:val="20"/>
              </w:rPr>
              <w:t>ri</w:t>
            </w:r>
            <w:proofErr w:type="spellEnd"/>
            <w:r w:rsidRPr="00F953DE">
              <w:rPr>
                <w:rFonts w:ascii="Arial" w:hAnsi="Arial" w:cs="Arial"/>
                <w:sz w:val="20"/>
              </w:rPr>
              <w:t xml:space="preserve"> x Ni</w:t>
            </w:r>
            <w:r>
              <w:rPr>
                <w:rFonts w:ascii="Arial" w:hAnsi="Arial" w:cs="Arial"/>
                <w:sz w:val="20"/>
              </w:rPr>
              <w:t xml:space="preserve"> (hours)</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ANIMAL</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0:00</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COMPANY</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0:00</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EQUIPMENT OH</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18</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55:12</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EQUIPMENT SUB</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0:00</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EQUIPMENT UG</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3</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20:04</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MISCELLANEOUS</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0:00</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PLANNED</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316</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279:02</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POLE FIRE</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0:00</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PUBLIC</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82</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70:24</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TREE</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626</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1912:32</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UNDETERMINED</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2248</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15031:51</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WEATHER</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38783</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130509:26</w:t>
            </w:r>
          </w:p>
        </w:tc>
      </w:tr>
      <w:tr w:rsidR="00F953DE" w:rsidRPr="00F953DE" w:rsidTr="00F953DE">
        <w:trPr>
          <w:trHeight w:val="320"/>
          <w:jc w:val="center"/>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rsidR="00F953DE" w:rsidRPr="00F953DE" w:rsidRDefault="00F953DE" w:rsidP="00F953DE">
            <w:pPr>
              <w:rPr>
                <w:rFonts w:ascii="Arial" w:hAnsi="Arial" w:cs="Arial"/>
                <w:sz w:val="20"/>
              </w:rPr>
            </w:pPr>
            <w:r w:rsidRPr="00F953DE">
              <w:rPr>
                <w:rFonts w:ascii="Arial" w:hAnsi="Arial" w:cs="Arial"/>
                <w:sz w:val="20"/>
              </w:rPr>
              <w:t>Total</w:t>
            </w:r>
          </w:p>
        </w:tc>
        <w:tc>
          <w:tcPr>
            <w:tcW w:w="254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42076</w:t>
            </w:r>
          </w:p>
        </w:tc>
        <w:tc>
          <w:tcPr>
            <w:tcW w:w="2501" w:type="dxa"/>
            <w:tcBorders>
              <w:top w:val="nil"/>
              <w:left w:val="nil"/>
              <w:bottom w:val="single" w:sz="4" w:space="0" w:color="auto"/>
              <w:right w:val="single" w:sz="4" w:space="0" w:color="auto"/>
            </w:tcBorders>
            <w:shd w:val="clear" w:color="auto" w:fill="auto"/>
            <w:noWrap/>
            <w:vAlign w:val="bottom"/>
            <w:hideMark/>
          </w:tcPr>
          <w:p w:rsidR="00F953DE" w:rsidRPr="00F953DE" w:rsidRDefault="00F953DE" w:rsidP="00F953DE">
            <w:pPr>
              <w:jc w:val="right"/>
              <w:rPr>
                <w:rFonts w:ascii="Arial" w:hAnsi="Arial" w:cs="Arial"/>
                <w:sz w:val="20"/>
              </w:rPr>
            </w:pPr>
            <w:r w:rsidRPr="00F953DE">
              <w:rPr>
                <w:rFonts w:ascii="Arial" w:hAnsi="Arial" w:cs="Arial"/>
                <w:sz w:val="20"/>
              </w:rPr>
              <w:t>147803:17</w:t>
            </w:r>
          </w:p>
        </w:tc>
      </w:tr>
    </w:tbl>
    <w:p w:rsidR="00F953DE" w:rsidRPr="00FF4F82" w:rsidRDefault="00F953DE" w:rsidP="001B35AC">
      <w:pPr>
        <w:rPr>
          <w:szCs w:val="24"/>
        </w:rPr>
      </w:pPr>
    </w:p>
    <w:p w:rsidR="00C5275E" w:rsidRPr="00A24FD3" w:rsidRDefault="00C5275E" w:rsidP="005314FD">
      <w:pPr>
        <w:pStyle w:val="Heading3"/>
        <w:rPr>
          <w:szCs w:val="24"/>
        </w:rPr>
      </w:pPr>
      <w:r>
        <w:rPr>
          <w:szCs w:val="24"/>
        </w:rPr>
        <w:br w:type="page"/>
      </w:r>
      <w:bookmarkStart w:id="346" w:name="_Ref162255524"/>
      <w:bookmarkStart w:id="347" w:name="_Toc165342473"/>
      <w:bookmarkStart w:id="348" w:name="_Toc193711041"/>
      <w:bookmarkStart w:id="349" w:name="_Toc227571636"/>
      <w:bookmarkStart w:id="350" w:name="_Toc354493052"/>
      <w:r w:rsidR="007604DD">
        <w:t xml:space="preserve">Table </w:t>
      </w:r>
      <w:r w:rsidR="00473AE9">
        <w:t>10</w:t>
      </w:r>
      <w:r>
        <w:t>.2 – Yearly Summary of the Major Event Days</w:t>
      </w:r>
      <w:bookmarkEnd w:id="346"/>
      <w:bookmarkEnd w:id="347"/>
      <w:bookmarkEnd w:id="348"/>
      <w:bookmarkEnd w:id="349"/>
      <w:bookmarkEnd w:id="350"/>
    </w:p>
    <w:p w:rsidR="00AC06AE" w:rsidRDefault="00AC06AE" w:rsidP="00AC06AE"/>
    <w:p w:rsidR="00C5275E" w:rsidRDefault="004E510C" w:rsidP="00AC06AE">
      <w:r w:rsidRPr="004E510C">
        <w:t xml:space="preserve">Table </w:t>
      </w:r>
      <w:r w:rsidR="00157FCE">
        <w:t>10</w:t>
      </w:r>
      <w:r w:rsidRPr="004E510C">
        <w:t xml:space="preserve">.2 </w:t>
      </w:r>
      <w:r>
        <w:t>i</w:t>
      </w:r>
      <w:r w:rsidRPr="004E510C">
        <w:t>s provided as an initial review of Major Event Day information. The main premise of the IEEE Major Event Day calculation is that using the 2.5b</w:t>
      </w:r>
      <w:r w:rsidR="00157FCE">
        <w:t xml:space="preserve"> </w:t>
      </w:r>
      <w:r w:rsidRPr="004E510C">
        <w:t xml:space="preserve">method should classify 2.3 days each year as MED’s. </w:t>
      </w:r>
      <w:r w:rsidR="00C5275E" w:rsidRPr="00FF4F82">
        <w:t>The following t</w:t>
      </w:r>
      <w:r w:rsidR="00C5275E">
        <w:t>able</w:t>
      </w:r>
      <w:r w:rsidR="00C5275E" w:rsidRPr="00FF4F82">
        <w:t xml:space="preserve"> shows the </w:t>
      </w:r>
      <w:r w:rsidR="00C5275E">
        <w:t xml:space="preserve">previous major event days, the </w:t>
      </w:r>
      <w:r w:rsidR="00CB580D">
        <w:t xml:space="preserve">daily </w:t>
      </w:r>
      <w:r w:rsidR="00C5275E" w:rsidRPr="00FF4F82">
        <w:t>SAI</w:t>
      </w:r>
      <w:r w:rsidR="00C5275E">
        <w:t>D</w:t>
      </w:r>
      <w:r w:rsidR="00C5275E" w:rsidRPr="00FF4F82">
        <w:t>I</w:t>
      </w:r>
      <w:r w:rsidR="00C5275E">
        <w:t xml:space="preserve"> value and the relation</w:t>
      </w:r>
      <w:r w:rsidR="00A26B0D">
        <w:t xml:space="preserve">ship of the yearly </w:t>
      </w:r>
      <w:r w:rsidR="00A26B0D" w:rsidRPr="00A26B0D">
        <w:rPr>
          <w:sz w:val="20"/>
        </w:rPr>
        <w:t>T</w:t>
      </w:r>
      <w:r w:rsidR="00A26B0D" w:rsidRPr="00A26B0D">
        <w:rPr>
          <w:sz w:val="20"/>
          <w:vertAlign w:val="subscript"/>
        </w:rPr>
        <w:t>MED</w:t>
      </w:r>
      <w:r w:rsidR="00C5275E">
        <w:t>.</w:t>
      </w:r>
    </w:p>
    <w:p w:rsidR="00C5275E" w:rsidRPr="00AC7377" w:rsidRDefault="00C5275E" w:rsidP="00C5275E"/>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1E0"/>
      </w:tblPr>
      <w:tblGrid>
        <w:gridCol w:w="2467"/>
        <w:gridCol w:w="2467"/>
        <w:gridCol w:w="2467"/>
        <w:gridCol w:w="2467"/>
      </w:tblGrid>
      <w:tr w:rsidR="00C5275E" w:rsidTr="005F7868">
        <w:trPr>
          <w:trHeight w:val="287"/>
          <w:jc w:val="center"/>
        </w:trPr>
        <w:tc>
          <w:tcPr>
            <w:tcW w:w="2467" w:type="dxa"/>
            <w:tcBorders>
              <w:top w:val="single" w:sz="18" w:space="0" w:color="auto"/>
              <w:bottom w:val="single" w:sz="18" w:space="0" w:color="auto"/>
            </w:tcBorders>
            <w:vAlign w:val="bottom"/>
          </w:tcPr>
          <w:p w:rsidR="00C5275E" w:rsidRPr="00C5275E" w:rsidRDefault="00C5275E" w:rsidP="00AC06AE">
            <w:r w:rsidRPr="00C5275E">
              <w:t>Year</w:t>
            </w:r>
          </w:p>
        </w:tc>
        <w:tc>
          <w:tcPr>
            <w:tcW w:w="2467" w:type="dxa"/>
            <w:tcBorders>
              <w:top w:val="single" w:sz="18" w:space="0" w:color="auto"/>
              <w:bottom w:val="single" w:sz="18" w:space="0" w:color="auto"/>
            </w:tcBorders>
            <w:vAlign w:val="bottom"/>
          </w:tcPr>
          <w:p w:rsidR="00C5275E" w:rsidRPr="00C5275E" w:rsidRDefault="00C5275E" w:rsidP="00AC06AE">
            <w:r w:rsidRPr="00C5275E">
              <w:t>Date</w:t>
            </w:r>
          </w:p>
        </w:tc>
        <w:tc>
          <w:tcPr>
            <w:tcW w:w="2467" w:type="dxa"/>
            <w:tcBorders>
              <w:top w:val="single" w:sz="18" w:space="0" w:color="auto"/>
              <w:bottom w:val="single" w:sz="18" w:space="0" w:color="auto"/>
            </w:tcBorders>
            <w:vAlign w:val="bottom"/>
          </w:tcPr>
          <w:p w:rsidR="00C5275E" w:rsidRPr="00C5275E" w:rsidRDefault="00C5275E" w:rsidP="00AC06AE">
            <w:r w:rsidRPr="00C5275E">
              <w:t>SAIDI</w:t>
            </w:r>
          </w:p>
        </w:tc>
        <w:tc>
          <w:tcPr>
            <w:tcW w:w="2467" w:type="dxa"/>
            <w:tcBorders>
              <w:top w:val="single" w:sz="18" w:space="0" w:color="auto"/>
              <w:bottom w:val="single" w:sz="18" w:space="0" w:color="auto"/>
            </w:tcBorders>
            <w:vAlign w:val="bottom"/>
          </w:tcPr>
          <w:p w:rsidR="00C5275E" w:rsidRPr="00A26B0D" w:rsidRDefault="00A26B0D" w:rsidP="00AC06AE">
            <w:r w:rsidRPr="00A26B0D">
              <w:t>T</w:t>
            </w:r>
            <w:r w:rsidRPr="00A26B0D">
              <w:rPr>
                <w:sz w:val="20"/>
                <w:vertAlign w:val="subscript"/>
              </w:rPr>
              <w:t>MED</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2004</w:t>
            </w:r>
          </w:p>
        </w:tc>
        <w:tc>
          <w:tcPr>
            <w:tcW w:w="2467" w:type="dxa"/>
            <w:vAlign w:val="bottom"/>
          </w:tcPr>
          <w:p w:rsidR="00C5275E" w:rsidRDefault="00C5275E" w:rsidP="00AC06AE">
            <w:pPr>
              <w:rPr>
                <w:rFonts w:ascii="Arial" w:hAnsi="Arial" w:cs="Arial"/>
                <w:sz w:val="20"/>
              </w:rPr>
            </w:pPr>
            <w:r>
              <w:rPr>
                <w:rFonts w:ascii="Arial" w:hAnsi="Arial" w:cs="Arial"/>
                <w:sz w:val="20"/>
              </w:rPr>
              <w:t>05-21-2004</w:t>
            </w:r>
          </w:p>
        </w:tc>
        <w:tc>
          <w:tcPr>
            <w:tcW w:w="2467" w:type="dxa"/>
            <w:vAlign w:val="bottom"/>
          </w:tcPr>
          <w:p w:rsidR="00C5275E" w:rsidRDefault="00C5275E" w:rsidP="00AC06AE">
            <w:pPr>
              <w:rPr>
                <w:rFonts w:ascii="Arial" w:hAnsi="Arial" w:cs="Arial"/>
                <w:sz w:val="20"/>
              </w:rPr>
            </w:pPr>
            <w:r>
              <w:rPr>
                <w:rFonts w:ascii="Arial" w:hAnsi="Arial" w:cs="Arial"/>
                <w:sz w:val="20"/>
              </w:rPr>
              <w:t>7.11</w:t>
            </w:r>
          </w:p>
        </w:tc>
        <w:tc>
          <w:tcPr>
            <w:tcW w:w="2467" w:type="dxa"/>
            <w:vAlign w:val="bottom"/>
          </w:tcPr>
          <w:p w:rsidR="00C5275E" w:rsidRDefault="00C5275E" w:rsidP="00AC06AE">
            <w:pPr>
              <w:rPr>
                <w:rFonts w:ascii="Arial" w:hAnsi="Arial" w:cs="Arial"/>
                <w:sz w:val="20"/>
              </w:rPr>
            </w:pPr>
            <w:r>
              <w:rPr>
                <w:rFonts w:ascii="Arial" w:hAnsi="Arial" w:cs="Arial"/>
                <w:sz w:val="20"/>
              </w:rPr>
              <w:t>6.35</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08-02-2004</w:t>
            </w:r>
          </w:p>
        </w:tc>
        <w:tc>
          <w:tcPr>
            <w:tcW w:w="2467" w:type="dxa"/>
            <w:vAlign w:val="bottom"/>
          </w:tcPr>
          <w:p w:rsidR="00C5275E" w:rsidRDefault="00C5275E" w:rsidP="00AC06AE">
            <w:pPr>
              <w:rPr>
                <w:rFonts w:ascii="Arial" w:hAnsi="Arial" w:cs="Arial"/>
                <w:sz w:val="20"/>
              </w:rPr>
            </w:pPr>
            <w:r>
              <w:rPr>
                <w:rFonts w:ascii="Arial" w:hAnsi="Arial" w:cs="Arial"/>
                <w:sz w:val="20"/>
              </w:rPr>
              <w:t>7.36</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12-08-2004</w:t>
            </w:r>
          </w:p>
        </w:tc>
        <w:tc>
          <w:tcPr>
            <w:tcW w:w="2467" w:type="dxa"/>
            <w:vAlign w:val="bottom"/>
          </w:tcPr>
          <w:p w:rsidR="00C5275E" w:rsidRDefault="00565968" w:rsidP="00AC06AE">
            <w:pPr>
              <w:rPr>
                <w:rFonts w:ascii="Arial" w:hAnsi="Arial" w:cs="Arial"/>
                <w:sz w:val="20"/>
              </w:rPr>
            </w:pPr>
            <w:r>
              <w:rPr>
                <w:rFonts w:ascii="Arial" w:hAnsi="Arial" w:cs="Arial"/>
                <w:sz w:val="20"/>
              </w:rPr>
              <w:t>31.00</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2005</w:t>
            </w:r>
          </w:p>
        </w:tc>
        <w:tc>
          <w:tcPr>
            <w:tcW w:w="2467" w:type="dxa"/>
            <w:vAlign w:val="bottom"/>
          </w:tcPr>
          <w:p w:rsidR="00C5275E" w:rsidRDefault="00C5275E" w:rsidP="00AC06AE">
            <w:pPr>
              <w:rPr>
                <w:rFonts w:ascii="Arial" w:hAnsi="Arial" w:cs="Arial"/>
                <w:sz w:val="20"/>
              </w:rPr>
            </w:pPr>
            <w:r>
              <w:rPr>
                <w:rFonts w:ascii="Arial" w:hAnsi="Arial" w:cs="Arial"/>
                <w:sz w:val="20"/>
              </w:rPr>
              <w:t>06-21-2005</w:t>
            </w:r>
          </w:p>
        </w:tc>
        <w:tc>
          <w:tcPr>
            <w:tcW w:w="2467" w:type="dxa"/>
            <w:vAlign w:val="bottom"/>
          </w:tcPr>
          <w:p w:rsidR="00C5275E" w:rsidRDefault="00C5275E" w:rsidP="00AC06AE">
            <w:pPr>
              <w:rPr>
                <w:rFonts w:ascii="Arial" w:hAnsi="Arial" w:cs="Arial"/>
                <w:sz w:val="20"/>
              </w:rPr>
            </w:pPr>
            <w:r>
              <w:rPr>
                <w:rFonts w:ascii="Arial" w:hAnsi="Arial" w:cs="Arial"/>
                <w:sz w:val="20"/>
              </w:rPr>
              <w:t>39.53</w:t>
            </w:r>
          </w:p>
        </w:tc>
        <w:tc>
          <w:tcPr>
            <w:tcW w:w="2467" w:type="dxa"/>
            <w:vAlign w:val="bottom"/>
          </w:tcPr>
          <w:p w:rsidR="00C5275E" w:rsidRDefault="00C5275E" w:rsidP="00AC06AE">
            <w:pPr>
              <w:rPr>
                <w:rFonts w:ascii="Arial" w:hAnsi="Arial" w:cs="Arial"/>
                <w:sz w:val="20"/>
              </w:rPr>
            </w:pPr>
            <w:r>
              <w:rPr>
                <w:rFonts w:ascii="Arial" w:hAnsi="Arial" w:cs="Arial"/>
                <w:sz w:val="20"/>
              </w:rPr>
              <w:t>4.916</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06-22-2005</w:t>
            </w:r>
          </w:p>
        </w:tc>
        <w:tc>
          <w:tcPr>
            <w:tcW w:w="2467" w:type="dxa"/>
            <w:vAlign w:val="bottom"/>
          </w:tcPr>
          <w:p w:rsidR="00C5275E" w:rsidRDefault="00C5275E" w:rsidP="00AC06AE">
            <w:pPr>
              <w:rPr>
                <w:rFonts w:ascii="Arial" w:hAnsi="Arial" w:cs="Arial"/>
                <w:sz w:val="20"/>
              </w:rPr>
            </w:pPr>
            <w:r>
              <w:rPr>
                <w:rFonts w:ascii="Arial" w:hAnsi="Arial" w:cs="Arial"/>
                <w:sz w:val="20"/>
              </w:rPr>
              <w:t>9.03</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08-12-2005</w:t>
            </w:r>
          </w:p>
        </w:tc>
        <w:tc>
          <w:tcPr>
            <w:tcW w:w="2467" w:type="dxa"/>
            <w:vAlign w:val="bottom"/>
          </w:tcPr>
          <w:p w:rsidR="00C5275E" w:rsidRDefault="00C5275E" w:rsidP="00AC06AE">
            <w:pPr>
              <w:rPr>
                <w:rFonts w:ascii="Arial" w:hAnsi="Arial" w:cs="Arial"/>
                <w:sz w:val="20"/>
              </w:rPr>
            </w:pPr>
            <w:r>
              <w:rPr>
                <w:rFonts w:ascii="Arial" w:hAnsi="Arial" w:cs="Arial"/>
                <w:sz w:val="20"/>
              </w:rPr>
              <w:t>19.60</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2006</w:t>
            </w:r>
          </w:p>
        </w:tc>
        <w:tc>
          <w:tcPr>
            <w:tcW w:w="2467" w:type="dxa"/>
            <w:vAlign w:val="bottom"/>
          </w:tcPr>
          <w:p w:rsidR="00C5275E" w:rsidRDefault="00C5275E" w:rsidP="00AC06AE">
            <w:pPr>
              <w:rPr>
                <w:rFonts w:ascii="Arial" w:hAnsi="Arial" w:cs="Arial"/>
                <w:sz w:val="20"/>
              </w:rPr>
            </w:pPr>
            <w:r>
              <w:rPr>
                <w:rFonts w:ascii="Arial" w:hAnsi="Arial" w:cs="Arial"/>
                <w:sz w:val="20"/>
              </w:rPr>
              <w:t>01-11-2006</w:t>
            </w:r>
          </w:p>
        </w:tc>
        <w:tc>
          <w:tcPr>
            <w:tcW w:w="2467" w:type="dxa"/>
            <w:vAlign w:val="bottom"/>
          </w:tcPr>
          <w:p w:rsidR="00C5275E" w:rsidRDefault="00C5275E" w:rsidP="00AC06AE">
            <w:pPr>
              <w:rPr>
                <w:rFonts w:ascii="Arial" w:hAnsi="Arial" w:cs="Arial"/>
                <w:sz w:val="20"/>
              </w:rPr>
            </w:pPr>
            <w:r>
              <w:rPr>
                <w:rFonts w:ascii="Arial" w:hAnsi="Arial" w:cs="Arial"/>
                <w:sz w:val="20"/>
              </w:rPr>
              <w:t>12.10</w:t>
            </w:r>
          </w:p>
        </w:tc>
        <w:tc>
          <w:tcPr>
            <w:tcW w:w="2467" w:type="dxa"/>
            <w:vAlign w:val="bottom"/>
          </w:tcPr>
          <w:p w:rsidR="00C5275E" w:rsidRDefault="00C5275E" w:rsidP="00AC06AE">
            <w:pPr>
              <w:rPr>
                <w:rFonts w:ascii="Arial" w:hAnsi="Arial" w:cs="Arial"/>
                <w:sz w:val="20"/>
              </w:rPr>
            </w:pPr>
            <w:r>
              <w:rPr>
                <w:rFonts w:ascii="Arial" w:hAnsi="Arial" w:cs="Arial"/>
                <w:sz w:val="20"/>
              </w:rPr>
              <w:t>7.058</w:t>
            </w: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03-09-2006</w:t>
            </w:r>
          </w:p>
        </w:tc>
        <w:tc>
          <w:tcPr>
            <w:tcW w:w="2467" w:type="dxa"/>
            <w:vAlign w:val="bottom"/>
          </w:tcPr>
          <w:p w:rsidR="00C5275E" w:rsidRDefault="00C5275E" w:rsidP="00AC06AE">
            <w:pPr>
              <w:rPr>
                <w:rFonts w:ascii="Arial" w:hAnsi="Arial" w:cs="Arial"/>
                <w:sz w:val="20"/>
              </w:rPr>
            </w:pPr>
            <w:r>
              <w:rPr>
                <w:rFonts w:ascii="Arial" w:hAnsi="Arial" w:cs="Arial"/>
                <w:sz w:val="20"/>
              </w:rPr>
              <w:t>8.58</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11-13-2006</w:t>
            </w:r>
          </w:p>
        </w:tc>
        <w:tc>
          <w:tcPr>
            <w:tcW w:w="2467" w:type="dxa"/>
            <w:vAlign w:val="bottom"/>
          </w:tcPr>
          <w:p w:rsidR="00C5275E" w:rsidRDefault="00C5275E" w:rsidP="00AC06AE">
            <w:pPr>
              <w:rPr>
                <w:rFonts w:ascii="Arial" w:hAnsi="Arial" w:cs="Arial"/>
                <w:sz w:val="20"/>
              </w:rPr>
            </w:pPr>
            <w:r>
              <w:rPr>
                <w:rFonts w:ascii="Arial" w:hAnsi="Arial" w:cs="Arial"/>
                <w:sz w:val="20"/>
              </w:rPr>
              <w:t>30.79</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12-14-2006</w:t>
            </w:r>
          </w:p>
        </w:tc>
        <w:tc>
          <w:tcPr>
            <w:tcW w:w="2467" w:type="dxa"/>
            <w:vAlign w:val="bottom"/>
          </w:tcPr>
          <w:p w:rsidR="00C5275E" w:rsidRDefault="00565968" w:rsidP="00AC06AE">
            <w:pPr>
              <w:rPr>
                <w:rFonts w:ascii="Arial" w:hAnsi="Arial" w:cs="Arial"/>
                <w:sz w:val="20"/>
              </w:rPr>
            </w:pPr>
            <w:r>
              <w:rPr>
                <w:rFonts w:ascii="Arial" w:hAnsi="Arial" w:cs="Arial"/>
                <w:sz w:val="20"/>
              </w:rPr>
              <w:t>29.26</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p>
        </w:tc>
        <w:tc>
          <w:tcPr>
            <w:tcW w:w="2467" w:type="dxa"/>
            <w:vAlign w:val="bottom"/>
          </w:tcPr>
          <w:p w:rsidR="00C5275E" w:rsidRDefault="00C5275E" w:rsidP="00AC06AE">
            <w:pPr>
              <w:rPr>
                <w:rFonts w:ascii="Arial" w:hAnsi="Arial" w:cs="Arial"/>
                <w:sz w:val="20"/>
              </w:rPr>
            </w:pPr>
            <w:r>
              <w:rPr>
                <w:rFonts w:ascii="Arial" w:hAnsi="Arial" w:cs="Arial"/>
                <w:sz w:val="20"/>
              </w:rPr>
              <w:t>12-15-2006</w:t>
            </w:r>
          </w:p>
        </w:tc>
        <w:tc>
          <w:tcPr>
            <w:tcW w:w="2467" w:type="dxa"/>
            <w:vAlign w:val="bottom"/>
          </w:tcPr>
          <w:p w:rsidR="00C5275E" w:rsidRDefault="00565968" w:rsidP="00AC06AE">
            <w:pPr>
              <w:rPr>
                <w:rFonts w:ascii="Arial" w:hAnsi="Arial" w:cs="Arial"/>
                <w:sz w:val="20"/>
              </w:rPr>
            </w:pPr>
            <w:r>
              <w:rPr>
                <w:rFonts w:ascii="Arial" w:hAnsi="Arial" w:cs="Arial"/>
                <w:sz w:val="20"/>
              </w:rPr>
              <w:t>158.31</w:t>
            </w:r>
          </w:p>
        </w:tc>
        <w:tc>
          <w:tcPr>
            <w:tcW w:w="2467" w:type="dxa"/>
            <w:vAlign w:val="bottom"/>
          </w:tcPr>
          <w:p w:rsidR="00C5275E" w:rsidRDefault="00C5275E" w:rsidP="00AC06AE">
            <w:pPr>
              <w:rPr>
                <w:rFonts w:ascii="Arial" w:hAnsi="Arial" w:cs="Arial"/>
                <w:sz w:val="20"/>
              </w:rPr>
            </w:pPr>
          </w:p>
        </w:tc>
      </w:tr>
      <w:tr w:rsidR="00C5275E" w:rsidTr="005F7868">
        <w:trPr>
          <w:trHeight w:val="306"/>
          <w:jc w:val="center"/>
        </w:trPr>
        <w:tc>
          <w:tcPr>
            <w:tcW w:w="2467" w:type="dxa"/>
            <w:vAlign w:val="bottom"/>
          </w:tcPr>
          <w:p w:rsidR="00C5275E" w:rsidRDefault="00C5275E" w:rsidP="00AC06AE">
            <w:pPr>
              <w:rPr>
                <w:rFonts w:ascii="Arial" w:hAnsi="Arial" w:cs="Arial"/>
                <w:sz w:val="20"/>
              </w:rPr>
            </w:pPr>
            <w:r>
              <w:rPr>
                <w:rFonts w:ascii="Arial" w:hAnsi="Arial" w:cs="Arial"/>
                <w:sz w:val="20"/>
              </w:rPr>
              <w:t>2007</w:t>
            </w:r>
          </w:p>
        </w:tc>
        <w:tc>
          <w:tcPr>
            <w:tcW w:w="2467" w:type="dxa"/>
            <w:vAlign w:val="bottom"/>
          </w:tcPr>
          <w:p w:rsidR="008A74FF" w:rsidRDefault="008A74FF" w:rsidP="00AC06AE">
            <w:pPr>
              <w:rPr>
                <w:rFonts w:ascii="Arial" w:hAnsi="Arial" w:cs="Arial"/>
                <w:sz w:val="20"/>
              </w:rPr>
            </w:pPr>
            <w:r>
              <w:rPr>
                <w:rFonts w:ascii="Arial" w:hAnsi="Arial" w:cs="Arial"/>
                <w:sz w:val="20"/>
              </w:rPr>
              <w:t>01-06-2007</w:t>
            </w:r>
          </w:p>
        </w:tc>
        <w:tc>
          <w:tcPr>
            <w:tcW w:w="2467" w:type="dxa"/>
            <w:vAlign w:val="bottom"/>
          </w:tcPr>
          <w:p w:rsidR="00C5275E" w:rsidRDefault="008A74FF" w:rsidP="00AC06AE">
            <w:pPr>
              <w:rPr>
                <w:rFonts w:ascii="Arial" w:hAnsi="Arial" w:cs="Arial"/>
                <w:sz w:val="20"/>
              </w:rPr>
            </w:pPr>
            <w:r>
              <w:rPr>
                <w:rFonts w:ascii="Arial" w:hAnsi="Arial" w:cs="Arial"/>
                <w:sz w:val="20"/>
              </w:rPr>
              <w:t>9.98</w:t>
            </w:r>
          </w:p>
        </w:tc>
        <w:tc>
          <w:tcPr>
            <w:tcW w:w="2467" w:type="dxa"/>
            <w:vAlign w:val="bottom"/>
          </w:tcPr>
          <w:p w:rsidR="00C5275E" w:rsidRDefault="00565968" w:rsidP="00AC06AE">
            <w:pPr>
              <w:rPr>
                <w:rFonts w:ascii="Arial" w:hAnsi="Arial" w:cs="Arial"/>
                <w:sz w:val="20"/>
              </w:rPr>
            </w:pPr>
            <w:r>
              <w:rPr>
                <w:rFonts w:ascii="Arial" w:hAnsi="Arial" w:cs="Arial"/>
                <w:sz w:val="20"/>
              </w:rPr>
              <w:t>8.017</w:t>
            </w: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06-29-2007</w:t>
            </w:r>
          </w:p>
        </w:tc>
        <w:tc>
          <w:tcPr>
            <w:tcW w:w="2467" w:type="dxa"/>
            <w:vAlign w:val="bottom"/>
          </w:tcPr>
          <w:p w:rsidR="00BD24C3" w:rsidRDefault="008A74FF" w:rsidP="00AC06AE">
            <w:pPr>
              <w:rPr>
                <w:rFonts w:ascii="Arial" w:hAnsi="Arial" w:cs="Arial"/>
                <w:sz w:val="20"/>
              </w:rPr>
            </w:pPr>
            <w:r>
              <w:rPr>
                <w:rFonts w:ascii="Arial" w:hAnsi="Arial" w:cs="Arial"/>
                <w:sz w:val="20"/>
              </w:rPr>
              <w:t>32.64</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07-13-2007</w:t>
            </w:r>
          </w:p>
        </w:tc>
        <w:tc>
          <w:tcPr>
            <w:tcW w:w="2467" w:type="dxa"/>
            <w:vAlign w:val="bottom"/>
          </w:tcPr>
          <w:p w:rsidR="00BD24C3" w:rsidRDefault="008A74FF" w:rsidP="00AC06AE">
            <w:pPr>
              <w:rPr>
                <w:rFonts w:ascii="Arial" w:hAnsi="Arial" w:cs="Arial"/>
                <w:sz w:val="20"/>
              </w:rPr>
            </w:pPr>
            <w:r>
              <w:rPr>
                <w:rFonts w:ascii="Arial" w:hAnsi="Arial" w:cs="Arial"/>
                <w:sz w:val="20"/>
              </w:rPr>
              <w:t>12.79</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p>
        </w:tc>
        <w:tc>
          <w:tcPr>
            <w:tcW w:w="2467" w:type="dxa"/>
            <w:vAlign w:val="bottom"/>
          </w:tcPr>
          <w:p w:rsidR="00BD24C3" w:rsidRDefault="008A74FF" w:rsidP="00AC06AE">
            <w:pPr>
              <w:rPr>
                <w:rFonts w:ascii="Arial" w:hAnsi="Arial" w:cs="Arial"/>
                <w:sz w:val="20"/>
              </w:rPr>
            </w:pPr>
            <w:r>
              <w:rPr>
                <w:rFonts w:ascii="Arial" w:hAnsi="Arial" w:cs="Arial"/>
                <w:sz w:val="20"/>
              </w:rPr>
              <w:t>08-31-2007</w:t>
            </w:r>
          </w:p>
        </w:tc>
        <w:tc>
          <w:tcPr>
            <w:tcW w:w="2467" w:type="dxa"/>
            <w:vAlign w:val="bottom"/>
          </w:tcPr>
          <w:p w:rsidR="00BD24C3" w:rsidRDefault="008A74FF" w:rsidP="00AC06AE">
            <w:pPr>
              <w:rPr>
                <w:rFonts w:ascii="Arial" w:hAnsi="Arial" w:cs="Arial"/>
                <w:sz w:val="20"/>
              </w:rPr>
            </w:pPr>
            <w:r>
              <w:rPr>
                <w:rFonts w:ascii="Arial" w:hAnsi="Arial" w:cs="Arial"/>
                <w:sz w:val="20"/>
              </w:rPr>
              <w:t>21.30</w:t>
            </w:r>
          </w:p>
        </w:tc>
        <w:tc>
          <w:tcPr>
            <w:tcW w:w="2467" w:type="dxa"/>
            <w:vAlign w:val="bottom"/>
          </w:tcPr>
          <w:p w:rsidR="00BD24C3" w:rsidRDefault="00BD24C3" w:rsidP="00AC06AE">
            <w:pPr>
              <w:rPr>
                <w:rFonts w:ascii="Arial" w:hAnsi="Arial" w:cs="Arial"/>
                <w:sz w:val="20"/>
              </w:rPr>
            </w:pPr>
          </w:p>
        </w:tc>
      </w:tr>
      <w:tr w:rsidR="00BD24C3" w:rsidTr="005F7868">
        <w:trPr>
          <w:trHeight w:val="306"/>
          <w:jc w:val="center"/>
        </w:trPr>
        <w:tc>
          <w:tcPr>
            <w:tcW w:w="2467" w:type="dxa"/>
            <w:vAlign w:val="bottom"/>
          </w:tcPr>
          <w:p w:rsidR="00BD24C3" w:rsidRDefault="00BD24C3" w:rsidP="00AC06AE">
            <w:pPr>
              <w:rPr>
                <w:rFonts w:ascii="Arial" w:hAnsi="Arial" w:cs="Arial"/>
                <w:sz w:val="20"/>
              </w:rPr>
            </w:pPr>
            <w:r>
              <w:rPr>
                <w:rFonts w:ascii="Arial" w:hAnsi="Arial" w:cs="Arial"/>
                <w:sz w:val="20"/>
              </w:rPr>
              <w:t>2008</w:t>
            </w:r>
          </w:p>
        </w:tc>
        <w:tc>
          <w:tcPr>
            <w:tcW w:w="2467" w:type="dxa"/>
            <w:vAlign w:val="bottom"/>
          </w:tcPr>
          <w:p w:rsidR="00BD24C3" w:rsidRDefault="005719B9" w:rsidP="00AC06AE">
            <w:pPr>
              <w:rPr>
                <w:rFonts w:ascii="Arial" w:hAnsi="Arial" w:cs="Arial"/>
                <w:sz w:val="20"/>
              </w:rPr>
            </w:pPr>
            <w:r>
              <w:rPr>
                <w:rFonts w:ascii="Arial" w:hAnsi="Arial" w:cs="Arial"/>
                <w:sz w:val="20"/>
              </w:rPr>
              <w:t>01-27-2008</w:t>
            </w:r>
          </w:p>
        </w:tc>
        <w:tc>
          <w:tcPr>
            <w:tcW w:w="2467" w:type="dxa"/>
            <w:vAlign w:val="bottom"/>
          </w:tcPr>
          <w:p w:rsidR="00BD24C3" w:rsidRDefault="005719B9" w:rsidP="00AC06AE">
            <w:pPr>
              <w:rPr>
                <w:rFonts w:ascii="Arial" w:hAnsi="Arial" w:cs="Arial"/>
                <w:sz w:val="20"/>
              </w:rPr>
            </w:pPr>
            <w:r>
              <w:rPr>
                <w:rFonts w:ascii="Arial" w:hAnsi="Arial" w:cs="Arial"/>
                <w:sz w:val="20"/>
              </w:rPr>
              <w:t>17.57</w:t>
            </w:r>
          </w:p>
        </w:tc>
        <w:tc>
          <w:tcPr>
            <w:tcW w:w="2467" w:type="dxa"/>
            <w:vAlign w:val="bottom"/>
          </w:tcPr>
          <w:p w:rsidR="00BD24C3" w:rsidRDefault="00BD24C3" w:rsidP="00AC06AE">
            <w:pPr>
              <w:rPr>
                <w:rFonts w:ascii="Arial" w:hAnsi="Arial" w:cs="Arial"/>
                <w:sz w:val="20"/>
              </w:rPr>
            </w:pPr>
            <w:r>
              <w:rPr>
                <w:rFonts w:ascii="Arial" w:hAnsi="Arial" w:cs="Arial"/>
                <w:sz w:val="20"/>
              </w:rPr>
              <w:t>9.224</w:t>
            </w:r>
          </w:p>
        </w:tc>
      </w:tr>
      <w:tr w:rsidR="00503D37" w:rsidTr="005F7868">
        <w:trPr>
          <w:trHeight w:val="306"/>
          <w:jc w:val="center"/>
        </w:trPr>
        <w:tc>
          <w:tcPr>
            <w:tcW w:w="2467" w:type="dxa"/>
            <w:vAlign w:val="bottom"/>
          </w:tcPr>
          <w:p w:rsidR="00503D37" w:rsidRDefault="00503D37" w:rsidP="00AC06AE">
            <w:pPr>
              <w:rPr>
                <w:rFonts w:ascii="Arial" w:hAnsi="Arial" w:cs="Arial"/>
                <w:sz w:val="20"/>
              </w:rPr>
            </w:pPr>
          </w:p>
        </w:tc>
        <w:tc>
          <w:tcPr>
            <w:tcW w:w="2467" w:type="dxa"/>
            <w:vAlign w:val="bottom"/>
          </w:tcPr>
          <w:p w:rsidR="00503D37" w:rsidRDefault="005719B9" w:rsidP="00AC06AE">
            <w:pPr>
              <w:rPr>
                <w:rFonts w:ascii="Arial" w:hAnsi="Arial" w:cs="Arial"/>
                <w:sz w:val="20"/>
              </w:rPr>
            </w:pPr>
            <w:r>
              <w:rPr>
                <w:rFonts w:ascii="Arial" w:hAnsi="Arial" w:cs="Arial"/>
                <w:sz w:val="20"/>
              </w:rPr>
              <w:t>07-10-2008</w:t>
            </w:r>
          </w:p>
        </w:tc>
        <w:tc>
          <w:tcPr>
            <w:tcW w:w="2467" w:type="dxa"/>
            <w:vAlign w:val="bottom"/>
          </w:tcPr>
          <w:p w:rsidR="00503D37" w:rsidRDefault="005719B9" w:rsidP="00AC06AE">
            <w:pPr>
              <w:rPr>
                <w:rFonts w:ascii="Arial" w:hAnsi="Arial" w:cs="Arial"/>
                <w:sz w:val="20"/>
              </w:rPr>
            </w:pPr>
            <w:r>
              <w:rPr>
                <w:rFonts w:ascii="Arial" w:hAnsi="Arial" w:cs="Arial"/>
                <w:sz w:val="20"/>
              </w:rPr>
              <w:t>36.74</w:t>
            </w:r>
          </w:p>
        </w:tc>
        <w:tc>
          <w:tcPr>
            <w:tcW w:w="2467" w:type="dxa"/>
            <w:vAlign w:val="bottom"/>
          </w:tcPr>
          <w:p w:rsidR="00503D37" w:rsidRDefault="00503D37" w:rsidP="00AC06AE">
            <w:pPr>
              <w:rPr>
                <w:rFonts w:ascii="Arial" w:hAnsi="Arial" w:cs="Arial"/>
                <w:sz w:val="20"/>
              </w:rPr>
            </w:pPr>
          </w:p>
        </w:tc>
      </w:tr>
      <w:tr w:rsidR="00503D37" w:rsidTr="005F7868">
        <w:trPr>
          <w:trHeight w:val="306"/>
          <w:jc w:val="center"/>
        </w:trPr>
        <w:tc>
          <w:tcPr>
            <w:tcW w:w="2467" w:type="dxa"/>
            <w:vAlign w:val="bottom"/>
          </w:tcPr>
          <w:p w:rsidR="00503D37" w:rsidRDefault="00503D37" w:rsidP="00AC06AE">
            <w:pPr>
              <w:rPr>
                <w:rFonts w:ascii="Arial" w:hAnsi="Arial" w:cs="Arial"/>
                <w:sz w:val="20"/>
              </w:rPr>
            </w:pPr>
          </w:p>
        </w:tc>
        <w:tc>
          <w:tcPr>
            <w:tcW w:w="2467" w:type="dxa"/>
            <w:vAlign w:val="bottom"/>
          </w:tcPr>
          <w:p w:rsidR="00503D37" w:rsidRDefault="005719B9" w:rsidP="00AC06AE">
            <w:pPr>
              <w:rPr>
                <w:rFonts w:ascii="Arial" w:hAnsi="Arial" w:cs="Arial"/>
                <w:sz w:val="20"/>
              </w:rPr>
            </w:pPr>
            <w:r>
              <w:rPr>
                <w:rFonts w:ascii="Arial" w:hAnsi="Arial" w:cs="Arial"/>
                <w:sz w:val="20"/>
              </w:rPr>
              <w:t>08-18-2008</w:t>
            </w:r>
          </w:p>
        </w:tc>
        <w:tc>
          <w:tcPr>
            <w:tcW w:w="2467" w:type="dxa"/>
            <w:vAlign w:val="bottom"/>
          </w:tcPr>
          <w:p w:rsidR="00503D37" w:rsidRDefault="005719B9" w:rsidP="00AC06AE">
            <w:pPr>
              <w:rPr>
                <w:rFonts w:ascii="Arial" w:hAnsi="Arial" w:cs="Arial"/>
                <w:sz w:val="20"/>
              </w:rPr>
            </w:pPr>
            <w:r>
              <w:rPr>
                <w:rFonts w:ascii="Arial" w:hAnsi="Arial" w:cs="Arial"/>
                <w:sz w:val="20"/>
              </w:rPr>
              <w:t>9.49</w:t>
            </w:r>
          </w:p>
        </w:tc>
        <w:tc>
          <w:tcPr>
            <w:tcW w:w="2467" w:type="dxa"/>
            <w:vAlign w:val="bottom"/>
          </w:tcPr>
          <w:p w:rsidR="00503D37" w:rsidRDefault="00503D37" w:rsidP="00AC06AE">
            <w:pPr>
              <w:rPr>
                <w:rFonts w:ascii="Arial" w:hAnsi="Arial" w:cs="Arial"/>
                <w:sz w:val="20"/>
              </w:rPr>
            </w:pPr>
          </w:p>
        </w:tc>
      </w:tr>
      <w:tr w:rsidR="00503D37" w:rsidTr="005F7868">
        <w:trPr>
          <w:trHeight w:val="306"/>
          <w:jc w:val="center"/>
        </w:trPr>
        <w:tc>
          <w:tcPr>
            <w:tcW w:w="2467" w:type="dxa"/>
            <w:vAlign w:val="bottom"/>
          </w:tcPr>
          <w:p w:rsidR="00503D37" w:rsidRDefault="001B2E67" w:rsidP="00AC06AE">
            <w:pPr>
              <w:rPr>
                <w:rFonts w:ascii="Arial" w:hAnsi="Arial" w:cs="Arial"/>
                <w:sz w:val="20"/>
              </w:rPr>
            </w:pPr>
            <w:r>
              <w:rPr>
                <w:rFonts w:ascii="Arial" w:hAnsi="Arial" w:cs="Arial"/>
                <w:sz w:val="20"/>
              </w:rPr>
              <w:t>2009</w:t>
            </w:r>
          </w:p>
        </w:tc>
        <w:tc>
          <w:tcPr>
            <w:tcW w:w="2467" w:type="dxa"/>
            <w:vAlign w:val="bottom"/>
          </w:tcPr>
          <w:p w:rsidR="00503D37" w:rsidRDefault="00B941C3" w:rsidP="00AC06AE">
            <w:pPr>
              <w:rPr>
                <w:rFonts w:ascii="Arial" w:hAnsi="Arial" w:cs="Arial"/>
                <w:sz w:val="20"/>
              </w:rPr>
            </w:pPr>
            <w:r>
              <w:rPr>
                <w:rFonts w:ascii="Arial" w:hAnsi="Arial" w:cs="Arial"/>
                <w:sz w:val="20"/>
              </w:rPr>
              <w:t>None</w:t>
            </w:r>
          </w:p>
        </w:tc>
        <w:tc>
          <w:tcPr>
            <w:tcW w:w="2467" w:type="dxa"/>
            <w:vAlign w:val="bottom"/>
          </w:tcPr>
          <w:p w:rsidR="00503D37" w:rsidRDefault="00503D37" w:rsidP="00AC06AE">
            <w:pPr>
              <w:rPr>
                <w:rFonts w:ascii="Arial" w:hAnsi="Arial" w:cs="Arial"/>
                <w:sz w:val="20"/>
              </w:rPr>
            </w:pPr>
          </w:p>
        </w:tc>
        <w:tc>
          <w:tcPr>
            <w:tcW w:w="2467" w:type="dxa"/>
            <w:vAlign w:val="bottom"/>
          </w:tcPr>
          <w:p w:rsidR="00503D37" w:rsidRPr="002F3A6A" w:rsidRDefault="001B2E67" w:rsidP="00AC06AE">
            <w:pPr>
              <w:rPr>
                <w:rFonts w:ascii="Arial" w:hAnsi="Arial" w:cs="Arial"/>
                <w:sz w:val="20"/>
              </w:rPr>
            </w:pPr>
            <w:r>
              <w:rPr>
                <w:rFonts w:ascii="Arial" w:hAnsi="Arial" w:cs="Arial"/>
                <w:sz w:val="20"/>
              </w:rPr>
              <w:t>9.925</w:t>
            </w:r>
          </w:p>
        </w:tc>
      </w:tr>
      <w:tr w:rsidR="00E37F09" w:rsidTr="005F7868">
        <w:trPr>
          <w:trHeight w:val="306"/>
          <w:jc w:val="center"/>
        </w:trPr>
        <w:tc>
          <w:tcPr>
            <w:tcW w:w="2467" w:type="dxa"/>
            <w:vAlign w:val="bottom"/>
          </w:tcPr>
          <w:p w:rsidR="00E37F09" w:rsidRDefault="00E37F09" w:rsidP="00AC06AE">
            <w:pPr>
              <w:rPr>
                <w:rFonts w:ascii="Arial" w:hAnsi="Arial" w:cs="Arial"/>
                <w:sz w:val="20"/>
              </w:rPr>
            </w:pPr>
            <w:r>
              <w:rPr>
                <w:rFonts w:ascii="Arial" w:hAnsi="Arial" w:cs="Arial"/>
                <w:sz w:val="20"/>
              </w:rPr>
              <w:t>2010</w:t>
            </w:r>
          </w:p>
        </w:tc>
        <w:tc>
          <w:tcPr>
            <w:tcW w:w="2467" w:type="dxa"/>
            <w:vAlign w:val="bottom"/>
          </w:tcPr>
          <w:p w:rsidR="00E37F09" w:rsidRDefault="00E37F09" w:rsidP="001D443D">
            <w:pPr>
              <w:rPr>
                <w:rFonts w:ascii="Arial" w:hAnsi="Arial" w:cs="Arial"/>
                <w:sz w:val="20"/>
              </w:rPr>
            </w:pPr>
            <w:r>
              <w:rPr>
                <w:rFonts w:ascii="Arial" w:hAnsi="Arial" w:cs="Arial"/>
                <w:sz w:val="20"/>
              </w:rPr>
              <w:t>5/3/2010</w:t>
            </w:r>
          </w:p>
        </w:tc>
        <w:tc>
          <w:tcPr>
            <w:tcW w:w="2467" w:type="dxa"/>
            <w:vAlign w:val="bottom"/>
          </w:tcPr>
          <w:p w:rsidR="00E37F09" w:rsidRDefault="00E37F09" w:rsidP="001D443D">
            <w:pPr>
              <w:rPr>
                <w:rFonts w:ascii="Arial" w:hAnsi="Arial" w:cs="Arial"/>
                <w:sz w:val="20"/>
              </w:rPr>
            </w:pPr>
            <w:r>
              <w:rPr>
                <w:rFonts w:ascii="Arial" w:hAnsi="Arial" w:cs="Arial"/>
                <w:sz w:val="20"/>
              </w:rPr>
              <w:t>21.04</w:t>
            </w:r>
          </w:p>
        </w:tc>
        <w:tc>
          <w:tcPr>
            <w:tcW w:w="2467" w:type="dxa"/>
            <w:vAlign w:val="bottom"/>
          </w:tcPr>
          <w:p w:rsidR="00E37F09" w:rsidRDefault="00E37F09" w:rsidP="00AC06AE">
            <w:pPr>
              <w:rPr>
                <w:rFonts w:ascii="Arial" w:hAnsi="Arial" w:cs="Arial"/>
                <w:sz w:val="20"/>
              </w:rPr>
            </w:pPr>
            <w:r>
              <w:rPr>
                <w:rFonts w:ascii="Arial" w:hAnsi="Arial" w:cs="Arial"/>
                <w:sz w:val="20"/>
              </w:rPr>
              <w:t>11.110</w:t>
            </w:r>
          </w:p>
        </w:tc>
      </w:tr>
      <w:tr w:rsidR="00E37F09" w:rsidTr="005F7868">
        <w:trPr>
          <w:trHeight w:val="306"/>
          <w:jc w:val="center"/>
        </w:trPr>
        <w:tc>
          <w:tcPr>
            <w:tcW w:w="2467" w:type="dxa"/>
            <w:vAlign w:val="bottom"/>
          </w:tcPr>
          <w:p w:rsidR="00E37F09" w:rsidRDefault="00E37F09" w:rsidP="00AC06AE">
            <w:pPr>
              <w:rPr>
                <w:rFonts w:ascii="Arial" w:hAnsi="Arial" w:cs="Arial"/>
                <w:sz w:val="20"/>
              </w:rPr>
            </w:pPr>
          </w:p>
        </w:tc>
        <w:tc>
          <w:tcPr>
            <w:tcW w:w="2467" w:type="dxa"/>
            <w:vAlign w:val="bottom"/>
          </w:tcPr>
          <w:p w:rsidR="00E37F09" w:rsidRDefault="00E37F09" w:rsidP="001D443D">
            <w:pPr>
              <w:rPr>
                <w:rFonts w:ascii="Arial" w:hAnsi="Arial" w:cs="Arial"/>
                <w:sz w:val="20"/>
              </w:rPr>
            </w:pPr>
            <w:r>
              <w:rPr>
                <w:rFonts w:ascii="Arial" w:hAnsi="Arial" w:cs="Arial"/>
                <w:sz w:val="20"/>
              </w:rPr>
              <w:t>11/16/2010</w:t>
            </w:r>
          </w:p>
        </w:tc>
        <w:tc>
          <w:tcPr>
            <w:tcW w:w="2467" w:type="dxa"/>
            <w:vAlign w:val="bottom"/>
          </w:tcPr>
          <w:p w:rsidR="00E37F09" w:rsidRDefault="00E37F09" w:rsidP="001D443D">
            <w:pPr>
              <w:rPr>
                <w:rFonts w:ascii="Arial" w:hAnsi="Arial" w:cs="Arial"/>
                <w:sz w:val="20"/>
              </w:rPr>
            </w:pPr>
            <w:r>
              <w:rPr>
                <w:rFonts w:ascii="Arial" w:hAnsi="Arial" w:cs="Arial"/>
                <w:sz w:val="20"/>
              </w:rPr>
              <w:t>68.67</w:t>
            </w:r>
          </w:p>
        </w:tc>
        <w:tc>
          <w:tcPr>
            <w:tcW w:w="2467" w:type="dxa"/>
            <w:vAlign w:val="bottom"/>
          </w:tcPr>
          <w:p w:rsidR="00E37F09" w:rsidRDefault="00E37F09" w:rsidP="00AC06AE">
            <w:pPr>
              <w:rPr>
                <w:rFonts w:ascii="Arial" w:hAnsi="Arial" w:cs="Arial"/>
                <w:sz w:val="20"/>
              </w:rPr>
            </w:pPr>
          </w:p>
        </w:tc>
      </w:tr>
      <w:tr w:rsidR="001D443D" w:rsidTr="005F7868">
        <w:trPr>
          <w:trHeight w:val="306"/>
          <w:jc w:val="center"/>
        </w:trPr>
        <w:tc>
          <w:tcPr>
            <w:tcW w:w="2467" w:type="dxa"/>
            <w:vAlign w:val="bottom"/>
          </w:tcPr>
          <w:p w:rsidR="001D443D" w:rsidRDefault="001D443D" w:rsidP="00AC06AE">
            <w:pPr>
              <w:rPr>
                <w:rFonts w:ascii="Arial" w:hAnsi="Arial" w:cs="Arial"/>
                <w:sz w:val="20"/>
              </w:rPr>
            </w:pPr>
            <w:r>
              <w:rPr>
                <w:rFonts w:ascii="Arial" w:hAnsi="Arial" w:cs="Arial"/>
                <w:sz w:val="20"/>
              </w:rPr>
              <w:t>2011</w:t>
            </w:r>
          </w:p>
        </w:tc>
        <w:tc>
          <w:tcPr>
            <w:tcW w:w="2467" w:type="dxa"/>
            <w:vAlign w:val="bottom"/>
          </w:tcPr>
          <w:p w:rsidR="001D443D" w:rsidRDefault="009843BF" w:rsidP="001D443D">
            <w:pPr>
              <w:rPr>
                <w:rFonts w:ascii="Arial" w:hAnsi="Arial" w:cs="Arial"/>
                <w:sz w:val="20"/>
              </w:rPr>
            </w:pPr>
            <w:r>
              <w:rPr>
                <w:rFonts w:ascii="Arial" w:hAnsi="Arial" w:cs="Arial"/>
                <w:sz w:val="20"/>
              </w:rPr>
              <w:t>None</w:t>
            </w:r>
          </w:p>
        </w:tc>
        <w:tc>
          <w:tcPr>
            <w:tcW w:w="2467" w:type="dxa"/>
            <w:vAlign w:val="bottom"/>
          </w:tcPr>
          <w:p w:rsidR="001D443D" w:rsidRDefault="001D443D" w:rsidP="001D443D">
            <w:pPr>
              <w:rPr>
                <w:rFonts w:ascii="Arial" w:hAnsi="Arial" w:cs="Arial"/>
                <w:sz w:val="20"/>
              </w:rPr>
            </w:pPr>
          </w:p>
        </w:tc>
        <w:tc>
          <w:tcPr>
            <w:tcW w:w="2467" w:type="dxa"/>
            <w:vAlign w:val="bottom"/>
          </w:tcPr>
          <w:p w:rsidR="001D443D" w:rsidRDefault="001D443D" w:rsidP="00AC06AE">
            <w:pPr>
              <w:rPr>
                <w:rFonts w:ascii="Arial" w:hAnsi="Arial" w:cs="Arial"/>
                <w:sz w:val="20"/>
              </w:rPr>
            </w:pPr>
            <w:r>
              <w:rPr>
                <w:rFonts w:ascii="Arial" w:hAnsi="Arial" w:cs="Arial"/>
                <w:sz w:val="20"/>
              </w:rPr>
              <w:t>10.848</w:t>
            </w:r>
          </w:p>
        </w:tc>
      </w:tr>
      <w:tr w:rsidR="009843BF" w:rsidTr="005F7868">
        <w:trPr>
          <w:trHeight w:val="306"/>
          <w:jc w:val="center"/>
        </w:trPr>
        <w:tc>
          <w:tcPr>
            <w:tcW w:w="2467" w:type="dxa"/>
            <w:vAlign w:val="bottom"/>
          </w:tcPr>
          <w:p w:rsidR="00183E43" w:rsidRDefault="00183E43" w:rsidP="00AC06AE">
            <w:pPr>
              <w:rPr>
                <w:rFonts w:ascii="Arial" w:hAnsi="Arial" w:cs="Arial"/>
                <w:sz w:val="20"/>
              </w:rPr>
            </w:pPr>
            <w:r>
              <w:rPr>
                <w:rFonts w:ascii="Arial" w:hAnsi="Arial" w:cs="Arial"/>
                <w:sz w:val="20"/>
              </w:rPr>
              <w:t>2012</w:t>
            </w:r>
          </w:p>
        </w:tc>
        <w:tc>
          <w:tcPr>
            <w:tcW w:w="2467" w:type="dxa"/>
            <w:vAlign w:val="bottom"/>
          </w:tcPr>
          <w:p w:rsidR="009843BF" w:rsidRDefault="00183E43" w:rsidP="001D443D">
            <w:pPr>
              <w:rPr>
                <w:rFonts w:ascii="Arial" w:hAnsi="Arial" w:cs="Arial"/>
                <w:sz w:val="20"/>
              </w:rPr>
            </w:pPr>
            <w:r>
              <w:rPr>
                <w:rFonts w:ascii="Arial" w:hAnsi="Arial" w:cs="Arial"/>
                <w:sz w:val="20"/>
              </w:rPr>
              <w:t>1/19/2012</w:t>
            </w:r>
          </w:p>
        </w:tc>
        <w:tc>
          <w:tcPr>
            <w:tcW w:w="2467" w:type="dxa"/>
            <w:vAlign w:val="bottom"/>
          </w:tcPr>
          <w:p w:rsidR="009843BF" w:rsidRDefault="00183E43" w:rsidP="001D443D">
            <w:pPr>
              <w:rPr>
                <w:rFonts w:ascii="Arial" w:hAnsi="Arial" w:cs="Arial"/>
                <w:sz w:val="20"/>
              </w:rPr>
            </w:pPr>
            <w:r>
              <w:rPr>
                <w:rFonts w:ascii="Arial" w:hAnsi="Arial" w:cs="Arial"/>
                <w:sz w:val="20"/>
              </w:rPr>
              <w:t>9.93</w:t>
            </w:r>
          </w:p>
        </w:tc>
        <w:tc>
          <w:tcPr>
            <w:tcW w:w="2467" w:type="dxa"/>
            <w:vAlign w:val="bottom"/>
          </w:tcPr>
          <w:p w:rsidR="00183E43" w:rsidRDefault="00183E43" w:rsidP="00183E43">
            <w:pPr>
              <w:rPr>
                <w:rFonts w:ascii="Arial" w:hAnsi="Arial" w:cs="Arial"/>
                <w:sz w:val="20"/>
              </w:rPr>
            </w:pPr>
            <w:r>
              <w:rPr>
                <w:rFonts w:ascii="Arial" w:hAnsi="Arial" w:cs="Arial"/>
                <w:sz w:val="20"/>
              </w:rPr>
              <w:t>9.489</w:t>
            </w:r>
          </w:p>
        </w:tc>
      </w:tr>
      <w:tr w:rsidR="00183E43" w:rsidTr="005F7868">
        <w:trPr>
          <w:trHeight w:val="306"/>
          <w:jc w:val="center"/>
        </w:trPr>
        <w:tc>
          <w:tcPr>
            <w:tcW w:w="2467" w:type="dxa"/>
            <w:vAlign w:val="bottom"/>
          </w:tcPr>
          <w:p w:rsidR="00183E43" w:rsidRDefault="00183E43" w:rsidP="00AC06AE">
            <w:pPr>
              <w:rPr>
                <w:rFonts w:ascii="Arial" w:hAnsi="Arial" w:cs="Arial"/>
                <w:sz w:val="20"/>
              </w:rPr>
            </w:pPr>
          </w:p>
        </w:tc>
        <w:tc>
          <w:tcPr>
            <w:tcW w:w="2467" w:type="dxa"/>
            <w:vAlign w:val="bottom"/>
          </w:tcPr>
          <w:p w:rsidR="00183E43" w:rsidRDefault="00183E43" w:rsidP="001D443D">
            <w:pPr>
              <w:rPr>
                <w:rFonts w:ascii="Arial" w:hAnsi="Arial" w:cs="Arial"/>
                <w:sz w:val="20"/>
              </w:rPr>
            </w:pPr>
            <w:r>
              <w:rPr>
                <w:rFonts w:ascii="Arial" w:hAnsi="Arial" w:cs="Arial"/>
                <w:sz w:val="20"/>
              </w:rPr>
              <w:t>12/17/2012</w:t>
            </w:r>
          </w:p>
        </w:tc>
        <w:tc>
          <w:tcPr>
            <w:tcW w:w="2467" w:type="dxa"/>
            <w:vAlign w:val="bottom"/>
          </w:tcPr>
          <w:p w:rsidR="00183E43" w:rsidRDefault="00183E43" w:rsidP="001D443D">
            <w:pPr>
              <w:rPr>
                <w:rFonts w:ascii="Arial" w:hAnsi="Arial" w:cs="Arial"/>
                <w:sz w:val="20"/>
              </w:rPr>
            </w:pPr>
            <w:r>
              <w:rPr>
                <w:rFonts w:ascii="Arial" w:hAnsi="Arial" w:cs="Arial"/>
                <w:sz w:val="20"/>
              </w:rPr>
              <w:t>14.35</w:t>
            </w:r>
          </w:p>
        </w:tc>
        <w:tc>
          <w:tcPr>
            <w:tcW w:w="2467" w:type="dxa"/>
            <w:vAlign w:val="bottom"/>
          </w:tcPr>
          <w:p w:rsidR="00183E43" w:rsidRDefault="00183E43" w:rsidP="00AC06AE">
            <w:pPr>
              <w:rPr>
                <w:rFonts w:ascii="Arial" w:hAnsi="Arial" w:cs="Arial"/>
                <w:sz w:val="20"/>
              </w:rPr>
            </w:pPr>
          </w:p>
        </w:tc>
      </w:tr>
      <w:tr w:rsidR="00183E43" w:rsidTr="005F7868">
        <w:trPr>
          <w:trHeight w:val="306"/>
          <w:jc w:val="center"/>
        </w:trPr>
        <w:tc>
          <w:tcPr>
            <w:tcW w:w="2467" w:type="dxa"/>
            <w:vAlign w:val="bottom"/>
          </w:tcPr>
          <w:p w:rsidR="00183E43" w:rsidRDefault="00183E43" w:rsidP="00AC06AE">
            <w:pPr>
              <w:rPr>
                <w:rFonts w:ascii="Arial" w:hAnsi="Arial" w:cs="Arial"/>
                <w:sz w:val="20"/>
              </w:rPr>
            </w:pPr>
            <w:r>
              <w:rPr>
                <w:rFonts w:ascii="Arial" w:hAnsi="Arial" w:cs="Arial"/>
                <w:sz w:val="20"/>
              </w:rPr>
              <w:t>2013</w:t>
            </w:r>
          </w:p>
        </w:tc>
        <w:tc>
          <w:tcPr>
            <w:tcW w:w="2467" w:type="dxa"/>
            <w:vAlign w:val="bottom"/>
          </w:tcPr>
          <w:p w:rsidR="00183E43" w:rsidRDefault="00183E43" w:rsidP="001D443D">
            <w:pPr>
              <w:rPr>
                <w:rFonts w:ascii="Arial" w:hAnsi="Arial" w:cs="Arial"/>
                <w:sz w:val="20"/>
              </w:rPr>
            </w:pPr>
          </w:p>
        </w:tc>
        <w:tc>
          <w:tcPr>
            <w:tcW w:w="2467" w:type="dxa"/>
            <w:vAlign w:val="bottom"/>
          </w:tcPr>
          <w:p w:rsidR="00183E43" w:rsidRDefault="00183E43" w:rsidP="001D443D">
            <w:pPr>
              <w:rPr>
                <w:rFonts w:ascii="Arial" w:hAnsi="Arial" w:cs="Arial"/>
                <w:sz w:val="20"/>
              </w:rPr>
            </w:pPr>
          </w:p>
        </w:tc>
        <w:tc>
          <w:tcPr>
            <w:tcW w:w="2467" w:type="dxa"/>
            <w:vAlign w:val="bottom"/>
          </w:tcPr>
          <w:p w:rsidR="00183E43" w:rsidRDefault="00183E43" w:rsidP="00AC06AE">
            <w:pPr>
              <w:rPr>
                <w:rFonts w:ascii="Arial" w:hAnsi="Arial" w:cs="Arial"/>
                <w:sz w:val="20"/>
              </w:rPr>
            </w:pPr>
            <w:r>
              <w:rPr>
                <w:rFonts w:ascii="Arial" w:hAnsi="Arial" w:cs="Arial"/>
                <w:sz w:val="20"/>
              </w:rPr>
              <w:t>8.956</w:t>
            </w:r>
          </w:p>
        </w:tc>
      </w:tr>
    </w:tbl>
    <w:p w:rsidR="003A5969" w:rsidRDefault="00983C7D" w:rsidP="005314FD">
      <w:pPr>
        <w:pStyle w:val="Heading1"/>
      </w:pPr>
      <w:r>
        <w:br w:type="page"/>
      </w:r>
      <w:bookmarkStart w:id="351" w:name="_Ref162238252"/>
      <w:bookmarkStart w:id="352" w:name="_Toc165342474"/>
      <w:bookmarkStart w:id="353" w:name="_Toc193711042"/>
      <w:bookmarkStart w:id="354" w:name="_Toc227571637"/>
      <w:bookmarkStart w:id="355" w:name="_Toc354493053"/>
      <w:r w:rsidR="003A5969">
        <w:t>Interruption Cause Codes</w:t>
      </w:r>
      <w:bookmarkEnd w:id="334"/>
      <w:bookmarkEnd w:id="335"/>
      <w:bookmarkEnd w:id="351"/>
      <w:bookmarkEnd w:id="352"/>
      <w:bookmarkEnd w:id="353"/>
      <w:bookmarkEnd w:id="354"/>
      <w:bookmarkEnd w:id="355"/>
      <w:r w:rsidR="003A5969">
        <w:t xml:space="preserve"> </w:t>
      </w:r>
    </w:p>
    <w:p w:rsidR="00473AE9" w:rsidRDefault="00473AE9" w:rsidP="00473AE9"/>
    <w:p w:rsidR="00473AE9" w:rsidRPr="00473AE9" w:rsidRDefault="00473AE9" w:rsidP="008708C0">
      <w:pPr>
        <w:pStyle w:val="Heading4"/>
      </w:pPr>
      <w:bookmarkStart w:id="356" w:name="_Toc354493054"/>
      <w:r w:rsidRPr="00473AE9">
        <w:t>Table 1</w:t>
      </w:r>
      <w:r>
        <w:t>1</w:t>
      </w:r>
      <w:r w:rsidRPr="00473AE9">
        <w:t>.1</w:t>
      </w:r>
      <w:r>
        <w:t xml:space="preserve"> – Interruption Cause Codes</w:t>
      </w:r>
      <w:bookmarkEnd w:id="356"/>
    </w:p>
    <w:p w:rsidR="003A5969" w:rsidRDefault="003A5969"/>
    <w:p w:rsidR="003A5969" w:rsidRDefault="003A5969">
      <w:pPr>
        <w:rPr>
          <w:sz w:val="16"/>
        </w:rPr>
      </w:pPr>
    </w:p>
    <w:tbl>
      <w:tblPr>
        <w:tblW w:w="0" w:type="auto"/>
        <w:jc w:val="center"/>
        <w:tblLayout w:type="fixed"/>
        <w:tblCellMar>
          <w:left w:w="30" w:type="dxa"/>
          <w:right w:w="30" w:type="dxa"/>
        </w:tblCellMar>
        <w:tblLook w:val="0000"/>
      </w:tblPr>
      <w:tblGrid>
        <w:gridCol w:w="1515"/>
        <w:gridCol w:w="1515"/>
        <w:gridCol w:w="1515"/>
        <w:gridCol w:w="1515"/>
        <w:gridCol w:w="3504"/>
      </w:tblGrid>
      <w:tr w:rsidR="003A5969" w:rsidTr="005F7868">
        <w:trPr>
          <w:trHeight w:val="348"/>
          <w:jc w:val="center"/>
        </w:trPr>
        <w:tc>
          <w:tcPr>
            <w:tcW w:w="1515" w:type="dxa"/>
            <w:tcBorders>
              <w:top w:val="single" w:sz="12" w:space="0" w:color="auto"/>
              <w:left w:val="single" w:sz="12" w:space="0" w:color="auto"/>
              <w:bottom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bottom"/>
          </w:tcPr>
          <w:p w:rsidR="003A5969" w:rsidRDefault="00517CB0">
            <w:pPr>
              <w:pStyle w:val="Heading7"/>
            </w:pPr>
            <w:r>
              <w:t xml:space="preserve">Proposed </w:t>
            </w:r>
            <w:r w:rsidR="003A5969">
              <w:br/>
            </w:r>
            <w:r w:rsidR="003A5969">
              <w:rPr>
                <w:b w:val="0"/>
                <w:sz w:val="16"/>
              </w:rPr>
              <w:t>(Changes Only)</w:t>
            </w:r>
          </w:p>
        </w:tc>
        <w:tc>
          <w:tcPr>
            <w:tcW w:w="1515" w:type="dxa"/>
            <w:tcBorders>
              <w:top w:val="single" w:sz="12" w:space="0" w:color="auto"/>
              <w:left w:val="single" w:sz="12" w:space="0" w:color="auto"/>
              <w:bottom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Definition</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ANIMAL</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Bird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Outages caused by animal contacts. Specific animal called out in sub category. </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Squirrel</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Underground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PUBLIC</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Car Hit Pad</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Underground outage due to car, truck, construction equipment etc. contact with pad transformer, junction enclosure etc</w:t>
            </w:r>
            <w:r w:rsidR="00B32E88">
              <w:rPr>
                <w:rFonts w:ascii="Arial" w:hAnsi="Arial" w:cs="Arial"/>
                <w:snapToGrid w:val="0"/>
                <w:color w:val="000000"/>
                <w:sz w:val="16"/>
              </w:rPr>
              <w:t>...</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Car Hit Pole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Overhead outage due to car, truck, construction equipment etc. contact with pole, guy, neutral etc.</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Dig in by a customer, a customer’s contractor, or another utility.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Fire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or required for a house/structure or field/forest fire.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Homeowner, tree service, logger etc. fells a tree into the line.</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Other public caused outages</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COMPANY</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Dig 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Dig in by company or contract crew.</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w:t>
            </w:r>
          </w:p>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Other company caused outages</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OH</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Arrestors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Capacitor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Conductor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Conductor -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Connector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proofErr w:type="spellStart"/>
            <w:r>
              <w:rPr>
                <w:rFonts w:ascii="Arial" w:hAnsi="Arial" w:cs="Arial"/>
                <w:snapToGrid w:val="0"/>
                <w:color w:val="000000"/>
                <w:sz w:val="16"/>
              </w:rPr>
              <w:t>Crossarm</w:t>
            </w:r>
            <w:proofErr w:type="spellEnd"/>
            <w:r>
              <w:rPr>
                <w:rFonts w:ascii="Arial" w:hAnsi="Arial" w:cs="Arial"/>
                <w:snapToGrid w:val="0"/>
                <w:color w:val="000000"/>
                <w:sz w:val="16"/>
              </w:rPr>
              <w:t>- rotten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Cutout / Fuse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Insulator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Insulator Pin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cs="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Pole - Rotten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D30DEB" w:rsidP="00503D37">
            <w:pPr>
              <w:rPr>
                <w:rFonts w:ascii="Arial" w:hAnsi="Arial"/>
                <w:snapToGrid w:val="0"/>
                <w:color w:val="000000"/>
                <w:sz w:val="16"/>
              </w:rPr>
            </w:pPr>
            <w:r>
              <w:rPr>
                <w:rFonts w:ascii="Arial" w:hAnsi="Arial"/>
                <w:snapToGrid w:val="0"/>
                <w:color w:val="000000"/>
                <w:sz w:val="16"/>
              </w:rPr>
              <w:t>Recloser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Regulator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Switch / Disconnect</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Transformer - OH</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5435ED" w:rsidP="005435ED">
            <w:pPr>
              <w:jc w:val="both"/>
              <w:rPr>
                <w:rFonts w:ascii="Arial" w:hAnsi="Arial"/>
                <w:snapToGrid w:val="0"/>
                <w:color w:val="000000"/>
                <w:sz w:val="16"/>
              </w:rPr>
            </w:pPr>
            <w:r>
              <w:rPr>
                <w:rFonts w:ascii="Arial" w:hAnsi="Arial" w:cs="Arial"/>
                <w:snapToGrid w:val="0"/>
                <w:color w:val="000000"/>
                <w:sz w:val="16"/>
              </w:rPr>
              <w:t>Wildlife Guard</w:t>
            </w:r>
          </w:p>
        </w:tc>
        <w:tc>
          <w:tcPr>
            <w:tcW w:w="1515" w:type="dxa"/>
            <w:tcBorders>
              <w:left w:val="nil"/>
              <w:bottom w:val="single" w:sz="6" w:space="0" w:color="auto"/>
              <w:right w:val="single" w:sz="12" w:space="0" w:color="auto"/>
            </w:tcBorders>
            <w:vAlign w:val="center"/>
          </w:tcPr>
          <w:p w:rsidR="003A5969" w:rsidRDefault="003A5969" w:rsidP="005435ED">
            <w:pPr>
              <w:jc w:val="both"/>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503D37">
            <w:pPr>
              <w:rPr>
                <w:rFonts w:ascii="Arial" w:hAnsi="Arial" w:cs="Arial"/>
                <w:snapToGrid w:val="0"/>
                <w:color w:val="000000"/>
                <w:sz w:val="16"/>
              </w:rPr>
            </w:pPr>
            <w:r>
              <w:rPr>
                <w:rFonts w:ascii="Arial" w:hAnsi="Arial" w:cs="Arial"/>
                <w:snapToGrid w:val="0"/>
                <w:color w:val="000000"/>
                <w:sz w:val="16"/>
              </w:rPr>
              <w:t>Wildlife guard failed or caused an outage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UG</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URD Cable - </w:t>
            </w:r>
            <w:proofErr w:type="spellStart"/>
            <w:r>
              <w:rPr>
                <w:rFonts w:ascii="Arial" w:hAnsi="Arial"/>
                <w:snapToGrid w:val="0"/>
                <w:color w:val="000000"/>
                <w:sz w:val="16"/>
              </w:rPr>
              <w:t>Pri</w:t>
            </w:r>
            <w:proofErr w:type="spellEnd"/>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caused by equipment failure. Specific equipment called out in sub category.</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URD Cable-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Connector - Sec</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Elbow</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Junctions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Primary Splice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Termination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Transformer - UG</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12"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12" w:space="0" w:color="auto"/>
            </w:tcBorders>
            <w:vAlign w:val="center"/>
          </w:tcPr>
          <w:p w:rsidR="003A5969" w:rsidRDefault="003A5969" w:rsidP="00503D37">
            <w:pPr>
              <w:rPr>
                <w:rFonts w:ascii="Arial" w:hAnsi="Arial" w:cs="Arial"/>
                <w:snapToGrid w:val="0"/>
                <w:color w:val="000000"/>
                <w:sz w:val="16"/>
              </w:rPr>
            </w:pPr>
            <w:r>
              <w:rPr>
                <w:rFonts w:ascii="Arial" w:hAnsi="Arial" w:cs="Arial"/>
                <w:snapToGrid w:val="0"/>
                <w:color w:val="000000"/>
                <w:sz w:val="16"/>
              </w:rPr>
              <w:t>Other</w:t>
            </w:r>
          </w:p>
          <w:p w:rsidR="00E525FD" w:rsidRDefault="00E525FD" w:rsidP="00503D37">
            <w:pPr>
              <w:rPr>
                <w:rFonts w:ascii="Arial" w:hAnsi="Arial"/>
                <w:snapToGrid w:val="0"/>
                <w:color w:val="000000"/>
                <w:sz w:val="16"/>
              </w:rPr>
            </w:pPr>
          </w:p>
        </w:tc>
        <w:tc>
          <w:tcPr>
            <w:tcW w:w="1515" w:type="dxa"/>
            <w:tcBorders>
              <w:left w:val="nil"/>
              <w:bottom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bottom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348"/>
          <w:jc w:val="center"/>
        </w:trPr>
        <w:tc>
          <w:tcPr>
            <w:tcW w:w="1515" w:type="dxa"/>
            <w:tcBorders>
              <w:top w:val="single" w:sz="12" w:space="0" w:color="auto"/>
              <w:left w:val="single" w:sz="12" w:space="0" w:color="auto"/>
              <w:bottom w:val="single" w:sz="12" w:space="0" w:color="auto"/>
            </w:tcBorders>
            <w:vAlign w:val="center"/>
          </w:tcPr>
          <w:p w:rsidR="003A5969" w:rsidRDefault="0047125F" w:rsidP="00503D37">
            <w:pPr>
              <w:rPr>
                <w:rFonts w:ascii="Arial" w:hAnsi="Arial"/>
                <w:b/>
                <w:snapToGrid w:val="0"/>
                <w:color w:val="000000"/>
              </w:rPr>
            </w:pPr>
            <w:r>
              <w:br w:type="page"/>
            </w:r>
            <w:r w:rsidR="003A5969">
              <w:rPr>
                <w:rFonts w:ascii="Arial" w:hAnsi="Arial"/>
                <w:b/>
                <w:snapToGrid w:val="0"/>
                <w:color w:val="000000"/>
              </w:rPr>
              <w:t>MAIN CATEGORY</w:t>
            </w:r>
          </w:p>
        </w:tc>
        <w:tc>
          <w:tcPr>
            <w:tcW w:w="1515" w:type="dxa"/>
            <w:tcBorders>
              <w:top w:val="single" w:sz="12" w:space="0" w:color="auto"/>
              <w:bottom w:val="single" w:sz="12" w:space="0" w:color="auto"/>
              <w:right w:val="single" w:sz="12" w:space="0" w:color="auto"/>
            </w:tcBorders>
            <w:vAlign w:val="center"/>
          </w:tcPr>
          <w:p w:rsidR="003A5969" w:rsidRDefault="00517CB0" w:rsidP="00503D37">
            <w:pPr>
              <w:pStyle w:val="Heading7"/>
            </w:pPr>
            <w:r>
              <w:t xml:space="preserve">Proposed </w:t>
            </w:r>
            <w:r w:rsidR="003A5969">
              <w:br/>
            </w:r>
            <w:r w:rsidR="003A5969">
              <w:rPr>
                <w:b w:val="0"/>
                <w:sz w:val="16"/>
              </w:rPr>
              <w:t>(Changes Only)</w:t>
            </w:r>
          </w:p>
        </w:tc>
        <w:tc>
          <w:tcPr>
            <w:tcW w:w="1515" w:type="dxa"/>
            <w:tcBorders>
              <w:top w:val="single" w:sz="12" w:space="0" w:color="auto"/>
              <w:left w:val="single" w:sz="12" w:space="0" w:color="auto"/>
              <w:bottom w:val="single" w:sz="12" w:space="0" w:color="auto"/>
            </w:tcBorders>
            <w:vAlign w:val="center"/>
          </w:tcPr>
          <w:p w:rsidR="003A5969" w:rsidRDefault="003A5969" w:rsidP="00503D37">
            <w:pPr>
              <w:rPr>
                <w:rFonts w:ascii="Arial" w:hAnsi="Arial"/>
                <w:b/>
                <w:snapToGrid w:val="0"/>
                <w:color w:val="000000"/>
              </w:rPr>
            </w:pPr>
            <w:r>
              <w:rPr>
                <w:rFonts w:ascii="Arial" w:hAnsi="Arial"/>
                <w:b/>
                <w:snapToGrid w:val="0"/>
                <w:color w:val="000000"/>
              </w:rPr>
              <w:t>SUB CATEGORY</w:t>
            </w:r>
          </w:p>
        </w:tc>
        <w:tc>
          <w:tcPr>
            <w:tcW w:w="1515" w:type="dxa"/>
            <w:tcBorders>
              <w:top w:val="single" w:sz="12" w:space="0" w:color="auto"/>
              <w:left w:val="nil"/>
              <w:bottom w:val="single" w:sz="12" w:space="0" w:color="auto"/>
              <w:right w:val="single" w:sz="12" w:space="0" w:color="auto"/>
            </w:tcBorders>
            <w:vAlign w:val="center"/>
          </w:tcPr>
          <w:p w:rsidR="003A5969" w:rsidRDefault="003A5969" w:rsidP="00503D37">
            <w:pPr>
              <w:rPr>
                <w:rFonts w:ascii="Arial" w:hAnsi="Arial"/>
                <w:b/>
                <w:snapToGrid w:val="0"/>
                <w:color w:val="000000"/>
              </w:rPr>
            </w:pPr>
            <w:r>
              <w:rPr>
                <w:rFonts w:ascii="Arial" w:hAnsi="Arial"/>
                <w:b/>
                <w:snapToGrid w:val="0"/>
                <w:color w:val="000000"/>
                <w:sz w:val="20"/>
              </w:rPr>
              <w:t xml:space="preserve">Proposed </w:t>
            </w:r>
            <w:r>
              <w:rPr>
                <w:rFonts w:ascii="Arial" w:hAnsi="Arial"/>
                <w:b/>
                <w:snapToGrid w:val="0"/>
                <w:color w:val="000000"/>
                <w:sz w:val="20"/>
              </w:rPr>
              <w:br/>
            </w:r>
            <w:r>
              <w:rPr>
                <w:rFonts w:ascii="Arial" w:hAnsi="Arial"/>
                <w:bCs/>
                <w:snapToGrid w:val="0"/>
                <w:color w:val="000000"/>
                <w:sz w:val="16"/>
              </w:rPr>
              <w:t>(</w:t>
            </w:r>
            <w:r>
              <w:rPr>
                <w:bCs/>
                <w:sz w:val="16"/>
              </w:rPr>
              <w:t>C</w:t>
            </w:r>
            <w:r>
              <w:rPr>
                <w:rFonts w:ascii="Arial" w:hAnsi="Arial"/>
                <w:bCs/>
                <w:snapToGrid w:val="0"/>
                <w:color w:val="000000"/>
                <w:sz w:val="16"/>
              </w:rPr>
              <w:t xml:space="preserve">hanges </w:t>
            </w:r>
            <w:r>
              <w:rPr>
                <w:bCs/>
                <w:sz w:val="16"/>
              </w:rPr>
              <w:t>Only</w:t>
            </w:r>
            <w:r>
              <w:rPr>
                <w:rFonts w:ascii="Arial" w:hAnsi="Arial"/>
                <w:bCs/>
                <w:snapToGrid w:val="0"/>
                <w:color w:val="000000"/>
                <w:sz w:val="16"/>
              </w:rPr>
              <w:t>)</w:t>
            </w:r>
          </w:p>
        </w:tc>
        <w:tc>
          <w:tcPr>
            <w:tcW w:w="3504" w:type="dxa"/>
            <w:tcBorders>
              <w:top w:val="single" w:sz="12" w:space="0" w:color="auto"/>
              <w:left w:val="single" w:sz="12" w:space="0" w:color="auto"/>
              <w:bottom w:val="single" w:sz="12" w:space="0" w:color="auto"/>
              <w:right w:val="single" w:sz="12" w:space="0" w:color="auto"/>
            </w:tcBorders>
            <w:vAlign w:val="bottom"/>
          </w:tcPr>
          <w:p w:rsidR="003A5969" w:rsidRDefault="003A5969">
            <w:pPr>
              <w:rPr>
                <w:rFonts w:ascii="Arial" w:hAnsi="Arial"/>
                <w:b/>
                <w:snapToGrid w:val="0"/>
                <w:color w:val="000000"/>
              </w:rPr>
            </w:pPr>
            <w:r>
              <w:rPr>
                <w:rFonts w:ascii="Arial" w:hAnsi="Arial"/>
                <w:b/>
                <w:snapToGrid w:val="0"/>
                <w:color w:val="000000"/>
              </w:rPr>
              <w:t>Definition</w:t>
            </w:r>
          </w:p>
        </w:tc>
      </w:tr>
      <w:tr w:rsidR="003A5969" w:rsidTr="005F7868">
        <w:trPr>
          <w:trHeight w:val="233"/>
          <w:jc w:val="center"/>
        </w:trPr>
        <w:tc>
          <w:tcPr>
            <w:tcW w:w="1515" w:type="dxa"/>
            <w:tcBorders>
              <w:top w:val="single" w:sz="12"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EQUIPMENT SUB</w:t>
            </w:r>
          </w:p>
        </w:tc>
        <w:tc>
          <w:tcPr>
            <w:tcW w:w="1515" w:type="dxa"/>
            <w:tcBorders>
              <w:top w:val="single" w:sz="12"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12"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High side fuse</w:t>
            </w:r>
          </w:p>
        </w:tc>
        <w:tc>
          <w:tcPr>
            <w:tcW w:w="1515" w:type="dxa"/>
            <w:tcBorders>
              <w:top w:val="single" w:sz="12" w:space="0" w:color="auto"/>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12" w:space="0" w:color="auto"/>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Bus Insulator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High side PCB</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 xml:space="preserve">High side </w:t>
            </w:r>
            <w:proofErr w:type="spellStart"/>
            <w:r>
              <w:rPr>
                <w:rFonts w:ascii="Arial" w:hAnsi="Arial" w:cs="Arial"/>
                <w:snapToGrid w:val="0"/>
                <w:color w:val="000000"/>
                <w:sz w:val="16"/>
              </w:rPr>
              <w:t>Swt</w:t>
            </w:r>
            <w:proofErr w:type="spellEnd"/>
            <w:r>
              <w:rPr>
                <w:rFonts w:ascii="Arial" w:hAnsi="Arial" w:cs="Arial"/>
                <w:snapToGrid w:val="0"/>
                <w:color w:val="000000"/>
                <w:sz w:val="16"/>
              </w:rPr>
              <w:t xml:space="preserve"> / Disc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Low side OCB/Recloser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 xml:space="preserve">Low side </w:t>
            </w:r>
            <w:proofErr w:type="spellStart"/>
            <w:r>
              <w:rPr>
                <w:rFonts w:ascii="Arial" w:hAnsi="Arial" w:cs="Arial"/>
                <w:snapToGrid w:val="0"/>
                <w:color w:val="000000"/>
                <w:sz w:val="16"/>
              </w:rPr>
              <w:t>Swt</w:t>
            </w:r>
            <w:proofErr w:type="spellEnd"/>
            <w:r>
              <w:rPr>
                <w:rFonts w:ascii="Arial" w:hAnsi="Arial" w:cs="Arial"/>
                <w:snapToGrid w:val="0"/>
                <w:color w:val="000000"/>
                <w:sz w:val="16"/>
              </w:rPr>
              <w:t xml:space="preserve"> / Disc</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Relay Misoperation</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Regulator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Transformer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Other</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top w:val="single" w:sz="6" w:space="0" w:color="auto"/>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MISCELLANEOUS</w:t>
            </w:r>
          </w:p>
        </w:tc>
        <w:tc>
          <w:tcPr>
            <w:tcW w:w="1515" w:type="dxa"/>
            <w:tcBorders>
              <w:top w:val="single" w:sz="6" w:space="0" w:color="auto"/>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6" w:space="0" w:color="auto"/>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SEE REMARKS</w:t>
            </w:r>
          </w:p>
        </w:tc>
        <w:tc>
          <w:tcPr>
            <w:tcW w:w="1515" w:type="dxa"/>
            <w:tcBorders>
              <w:top w:val="single" w:sz="6" w:space="0" w:color="auto"/>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6" w:space="0" w:color="auto"/>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For causes not specifically listed elsewhere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NOT OUR PROBLEM</w:t>
            </w:r>
          </w:p>
          <w:p w:rsidR="003A5969" w:rsidRDefault="003A5969" w:rsidP="00503D37">
            <w:pPr>
              <w:rPr>
                <w:rFonts w:ascii="Arial" w:hAnsi="Arial"/>
                <w:snapToGrid w:val="0"/>
                <w:color w:val="000000"/>
                <w:sz w:val="16"/>
              </w:rPr>
            </w:pPr>
            <w:r>
              <w:rPr>
                <w:rFonts w:ascii="Arial" w:hAnsi="Arial"/>
                <w:snapToGrid w:val="0"/>
                <w:color w:val="000000"/>
                <w:sz w:val="16"/>
              </w:rPr>
              <w:t>(</w:t>
            </w:r>
            <w:r>
              <w:rPr>
                <w:rFonts w:ascii="Arial" w:hAnsi="Arial"/>
                <w:i/>
                <w:iCs/>
                <w:snapToGrid w:val="0"/>
                <w:color w:val="000000"/>
                <w:sz w:val="16"/>
              </w:rPr>
              <w:t>Outages in this category are not included in reported statistics</w:t>
            </w:r>
            <w:r>
              <w:rPr>
                <w:rFonts w:ascii="Arial" w:hAnsi="Arial"/>
                <w:snapToGrid w:val="0"/>
                <w:color w:val="000000"/>
                <w:sz w:val="16"/>
              </w:rPr>
              <w:t>)</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Customer Equipment</w:t>
            </w:r>
          </w:p>
          <w:p w:rsidR="003A5969" w:rsidRDefault="003A5969" w:rsidP="00503D37">
            <w:pPr>
              <w:rPr>
                <w:rFonts w:ascii="Arial" w:hAnsi="Arial"/>
                <w:snapToGrid w:val="0"/>
                <w:color w:val="000000"/>
                <w:sz w:val="16"/>
              </w:rPr>
            </w:pPr>
            <w:r>
              <w:rPr>
                <w:rFonts w:ascii="Arial" w:hAnsi="Arial"/>
                <w:snapToGrid w:val="0"/>
                <w:color w:val="000000"/>
                <w:sz w:val="16"/>
              </w:rPr>
              <w:t>SEE REMARKS</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Customer equipment causing an outage to their service. If a customer causes an outage to another customer this is covered under Public.</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Other Utility</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when another utility’s facilities cause an outage on our system.</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POLE FIRE</w:t>
            </w: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Used when water and contamination causes insulator leakage current and fire. If insulator is leaking due to material failure list under equipment failure. If cracked due to gunfire use customer caused other.</w:t>
            </w:r>
          </w:p>
        </w:tc>
      </w:tr>
      <w:tr w:rsidR="003A5969" w:rsidTr="005F7868">
        <w:trPr>
          <w:trHeight w:val="233"/>
          <w:jc w:val="center"/>
        </w:trPr>
        <w:tc>
          <w:tcPr>
            <w:tcW w:w="1515" w:type="dxa"/>
            <w:tcBorders>
              <w:top w:val="single" w:sz="6"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PLANNED</w:t>
            </w:r>
          </w:p>
        </w:tc>
        <w:tc>
          <w:tcPr>
            <w:tcW w:w="1515" w:type="dxa"/>
            <w:tcBorders>
              <w:top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top w:val="single" w:sz="6" w:space="0" w:color="auto"/>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Maintenance / Upgrade</w:t>
            </w:r>
          </w:p>
        </w:tc>
        <w:tc>
          <w:tcPr>
            <w:tcW w:w="1515" w:type="dxa"/>
            <w:tcBorders>
              <w:top w:val="single" w:sz="6" w:space="0" w:color="auto"/>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top w:val="single" w:sz="6" w:space="0" w:color="auto"/>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 normally prearranged, needed for normal construction work</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Forced</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 scheduled to repair outage damage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 xml:space="preserve">TREE </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 fell</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For outages when a tree falls into distribution primary/secondary or transmission during normal weather</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Tree growth</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Tree growth causes a tree to contact distribution primary/secondary or transmission during normal weather.</w:t>
            </w:r>
          </w:p>
        </w:tc>
      </w:tr>
      <w:tr w:rsidR="003A5969" w:rsidTr="005F7868">
        <w:trPr>
          <w:trHeight w:val="435"/>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Service</w:t>
            </w:r>
          </w:p>
        </w:tc>
        <w:tc>
          <w:tcPr>
            <w:tcW w:w="1515" w:type="dxa"/>
            <w:tcBorders>
              <w:left w:val="nil"/>
              <w:right w:val="single" w:sz="12" w:space="0" w:color="auto"/>
            </w:tcBorders>
            <w:vAlign w:val="center"/>
          </w:tcPr>
          <w:p w:rsidR="003A5969" w:rsidRDefault="003A5969" w:rsidP="00503D37">
            <w:pPr>
              <w:rPr>
                <w:rFonts w:ascii="Arial" w:hAnsi="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For outages when a tree falls or grows into a service.  </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cs="Arial"/>
                <w:snapToGrid w:val="0"/>
                <w:color w:val="000000"/>
                <w:sz w:val="16"/>
              </w:rPr>
              <w:t>Weather</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When snow and wind storms causes a tree or branch to fall into, or contact the line. Includes snow loading and unloading.</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UNDETERMINED</w:t>
            </w: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Use when the cause </w:t>
            </w:r>
            <w:r w:rsidR="00C21D18">
              <w:rPr>
                <w:rFonts w:ascii="Arial" w:hAnsi="Arial" w:cs="Arial"/>
                <w:snapToGrid w:val="0"/>
                <w:color w:val="000000"/>
                <w:sz w:val="16"/>
              </w:rPr>
              <w:t>cannot</w:t>
            </w:r>
            <w:r>
              <w:rPr>
                <w:rFonts w:ascii="Arial" w:hAnsi="Arial" w:cs="Arial"/>
                <w:snapToGrid w:val="0"/>
                <w:color w:val="000000"/>
                <w:sz w:val="16"/>
              </w:rPr>
              <w:t xml:space="preserve"> be determined</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WEATHER</w:t>
            </w: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Snow / Ice</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Outages caused by snow or ice loading or unloading </w:t>
            </w:r>
            <w:r>
              <w:rPr>
                <w:rFonts w:ascii="Arial" w:hAnsi="Arial" w:cs="Arial"/>
                <w:snapToGrid w:val="0"/>
                <w:sz w:val="16"/>
              </w:rPr>
              <w:t>on a structure or conductor. Use weather tree for snow and ice loading on a tree.</w:t>
            </w: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p>
        </w:tc>
      </w:tr>
      <w:tr w:rsidR="003A5969" w:rsidTr="005F7868">
        <w:trPr>
          <w:trHeight w:val="233"/>
          <w:jc w:val="center"/>
        </w:trPr>
        <w:tc>
          <w:tcPr>
            <w:tcW w:w="1515" w:type="dxa"/>
            <w:tcBorders>
              <w:left w:val="single" w:sz="12" w:space="0" w:color="auto"/>
            </w:tcBorders>
            <w:vAlign w:val="center"/>
          </w:tcPr>
          <w:p w:rsidR="003A5969" w:rsidRDefault="003A5969" w:rsidP="00503D37">
            <w:pPr>
              <w:rPr>
                <w:rFonts w:ascii="Arial" w:hAnsi="Arial"/>
                <w:snapToGrid w:val="0"/>
                <w:color w:val="000000"/>
                <w:sz w:val="16"/>
              </w:rPr>
            </w:pPr>
          </w:p>
        </w:tc>
        <w:tc>
          <w:tcPr>
            <w:tcW w:w="1515" w:type="dxa"/>
            <w:tcBorders>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Lightning</w:t>
            </w:r>
          </w:p>
        </w:tc>
        <w:tc>
          <w:tcPr>
            <w:tcW w:w="1515" w:type="dxa"/>
            <w:tcBorders>
              <w:left w:val="nil"/>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 xml:space="preserve">Lightning flashovers without equipment damage. Equipment failures reported under the equipment type. </w:t>
            </w:r>
          </w:p>
        </w:tc>
      </w:tr>
      <w:tr w:rsidR="003A5969" w:rsidTr="005F7868">
        <w:trPr>
          <w:trHeight w:val="233"/>
          <w:jc w:val="center"/>
        </w:trPr>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p>
        </w:tc>
        <w:tc>
          <w:tcPr>
            <w:tcW w:w="1515" w:type="dxa"/>
            <w:tcBorders>
              <w:bottom w:val="single" w:sz="6" w:space="0" w:color="auto"/>
              <w:right w:val="single" w:sz="12" w:space="0" w:color="auto"/>
            </w:tcBorders>
            <w:vAlign w:val="center"/>
          </w:tcPr>
          <w:p w:rsidR="003A5969" w:rsidRDefault="003A5969" w:rsidP="00503D37">
            <w:pPr>
              <w:rPr>
                <w:rFonts w:ascii="Arial" w:hAnsi="Arial"/>
                <w:snapToGrid w:val="0"/>
                <w:color w:val="000000"/>
                <w:sz w:val="16"/>
              </w:rPr>
            </w:pPr>
          </w:p>
        </w:tc>
        <w:tc>
          <w:tcPr>
            <w:tcW w:w="1515" w:type="dxa"/>
            <w:tcBorders>
              <w:left w:val="single" w:sz="12" w:space="0" w:color="auto"/>
              <w:bottom w:val="single" w:sz="6" w:space="0" w:color="auto"/>
            </w:tcBorders>
            <w:vAlign w:val="center"/>
          </w:tcPr>
          <w:p w:rsidR="003A5969" w:rsidRDefault="003A5969" w:rsidP="00503D37">
            <w:pPr>
              <w:rPr>
                <w:rFonts w:ascii="Arial" w:hAnsi="Arial"/>
                <w:snapToGrid w:val="0"/>
                <w:color w:val="000000"/>
                <w:sz w:val="16"/>
              </w:rPr>
            </w:pPr>
            <w:r>
              <w:rPr>
                <w:rFonts w:ascii="Arial" w:hAnsi="Arial"/>
                <w:snapToGrid w:val="0"/>
                <w:color w:val="000000"/>
                <w:sz w:val="16"/>
              </w:rPr>
              <w:t>Wind</w:t>
            </w:r>
          </w:p>
        </w:tc>
        <w:tc>
          <w:tcPr>
            <w:tcW w:w="1515" w:type="dxa"/>
            <w:tcBorders>
              <w:left w:val="nil"/>
              <w:bottom w:val="single" w:sz="6" w:space="0" w:color="auto"/>
              <w:right w:val="single" w:sz="12" w:space="0" w:color="auto"/>
            </w:tcBorders>
            <w:vAlign w:val="center"/>
          </w:tcPr>
          <w:p w:rsidR="003A5969" w:rsidRDefault="003A5969" w:rsidP="00503D37">
            <w:pPr>
              <w:rPr>
                <w:rFonts w:ascii="Arial" w:hAnsi="Arial" w:cs="Arial"/>
                <w:snapToGrid w:val="0"/>
                <w:color w:val="000000"/>
                <w:sz w:val="16"/>
              </w:rPr>
            </w:pPr>
          </w:p>
        </w:tc>
        <w:tc>
          <w:tcPr>
            <w:tcW w:w="3504" w:type="dxa"/>
            <w:tcBorders>
              <w:left w:val="single" w:sz="12" w:space="0" w:color="auto"/>
              <w:bottom w:val="single" w:sz="6" w:space="0" w:color="auto"/>
              <w:right w:val="single" w:sz="12" w:space="0" w:color="auto"/>
            </w:tcBorders>
          </w:tcPr>
          <w:p w:rsidR="003A5969" w:rsidRDefault="003A5969">
            <w:pPr>
              <w:rPr>
                <w:rFonts w:ascii="Arial" w:hAnsi="Arial" w:cs="Arial"/>
                <w:snapToGrid w:val="0"/>
                <w:color w:val="000000"/>
                <w:sz w:val="16"/>
              </w:rPr>
            </w:pPr>
            <w:r>
              <w:rPr>
                <w:rFonts w:ascii="Arial" w:hAnsi="Arial" w:cs="Arial"/>
                <w:snapToGrid w:val="0"/>
                <w:color w:val="000000"/>
                <w:sz w:val="16"/>
              </w:rPr>
              <w:t>Outages when wind causes conductors to blow into each other, another structure, building etc.</w:t>
            </w:r>
          </w:p>
        </w:tc>
      </w:tr>
    </w:tbl>
    <w:p w:rsidR="003A5969" w:rsidRDefault="003A5969" w:rsidP="00A35AC3">
      <w:pPr>
        <w:pStyle w:val="Heading1"/>
      </w:pPr>
      <w:r>
        <w:br w:type="page"/>
      </w:r>
      <w:bookmarkStart w:id="357" w:name="_Toc98906793"/>
      <w:bookmarkStart w:id="358" w:name="_Toc165342475"/>
      <w:bookmarkStart w:id="359" w:name="_Toc193711043"/>
      <w:bookmarkStart w:id="360" w:name="_Toc227571638"/>
      <w:bookmarkStart w:id="361" w:name="_Toc354493055"/>
      <w:r w:rsidRPr="00A35AC3">
        <w:t>Office Areas</w:t>
      </w:r>
      <w:bookmarkStart w:id="362" w:name="_Toc3183386"/>
      <w:bookmarkEnd w:id="357"/>
      <w:bookmarkEnd w:id="358"/>
      <w:bookmarkEnd w:id="359"/>
      <w:bookmarkEnd w:id="360"/>
      <w:bookmarkEnd w:id="361"/>
    </w:p>
    <w:p w:rsidR="00473AE9" w:rsidRDefault="00473AE9" w:rsidP="00473AE9"/>
    <w:p w:rsidR="00473AE9" w:rsidRPr="00473AE9" w:rsidRDefault="00473AE9" w:rsidP="008708C0">
      <w:pPr>
        <w:pStyle w:val="Heading4"/>
      </w:pPr>
      <w:bookmarkStart w:id="363" w:name="_Toc354493056"/>
      <w:r w:rsidRPr="00473AE9">
        <w:t>Chart 1</w:t>
      </w:r>
      <w:r>
        <w:t>2</w:t>
      </w:r>
      <w:r w:rsidRPr="00473AE9">
        <w:t>.1 – Office Areas</w:t>
      </w:r>
      <w:bookmarkEnd w:id="363"/>
    </w:p>
    <w:p w:rsidR="003A5969" w:rsidRPr="001E023F" w:rsidRDefault="00B7542A" w:rsidP="00E32D28">
      <w:pPr>
        <w:pStyle w:val="Heading1"/>
      </w:pPr>
      <w:bookmarkStart w:id="364" w:name="_Toc98906735"/>
      <w:bookmarkStart w:id="365" w:name="_Toc98906794"/>
      <w:bookmarkStart w:id="366" w:name="_Toc165342476"/>
      <w:bookmarkStart w:id="367" w:name="_Toc193711044"/>
      <w:bookmarkStart w:id="368" w:name="_Toc227571639"/>
      <w:r>
        <w:rPr>
          <w:noProof/>
        </w:rPr>
        <w:pict>
          <v:group id="_x0000_s1058" style="position:absolute;margin-left:8.15pt;margin-top:3.25pt;width:492.35pt;height:617.7pt;z-index:251655680" coordorigin="1675,1695" coordsize="9181,12615">
            <v:shape id="_x0000_s1059" type="#_x0000_t75" style="position:absolute;left:1675;top:1695;width:9181;height:12615;mso-wrap-edited:f" wrapcoords="-106 -51 -106 21626 21706 21626 21706 -51 -106 -51" strokeweight="1.5pt">
              <v:imagedata r:id="rId51" o:title="commission_report"/>
            </v:shape>
            <v:shapetype id="_x0000_t202" coordsize="21600,21600" o:spt="202" path="m,l,21600r21600,l21600,xe">
              <v:stroke joinstyle="miter"/>
              <v:path gradientshapeok="t" o:connecttype="rect"/>
            </v:shapetype>
            <v:shape id="_x0000_s1060" type="#_x0000_t202" style="position:absolute;left:8718;top:3180;width:1951;height:2117" fillcolor="#ddd" strokeweight="1.5pt">
              <v:textbox style="mso-next-textbox:#_x0000_s1060" inset=",0,,0">
                <w:txbxContent>
                  <w:p w:rsidR="00055DBE" w:rsidRPr="00A35AC3" w:rsidRDefault="00055DBE" w:rsidP="00CE6EE9">
                    <w:pPr>
                      <w:rPr>
                        <w:sz w:val="16"/>
                      </w:rPr>
                    </w:pPr>
                    <w:smartTag w:uri="urn:schemas-microsoft-com:office:smarttags" w:element="place">
                      <w:smartTag w:uri="urn:schemas-microsoft-com:office:smarttags" w:element="City">
                        <w:r w:rsidRPr="00A35AC3">
                          <w:rPr>
                            <w:sz w:val="16"/>
                          </w:rPr>
                          <w:t>Coeur d’Alene</w:t>
                        </w:r>
                      </w:smartTag>
                    </w:smartTag>
                    <w:r w:rsidRPr="00A35AC3">
                      <w:rPr>
                        <w:sz w:val="16"/>
                      </w:rPr>
                      <w:t xml:space="preserve"> –CDC Colville – COC</w:t>
                    </w:r>
                  </w:p>
                  <w:p w:rsidR="00055DBE" w:rsidRPr="00A35AC3" w:rsidRDefault="00055DBE" w:rsidP="00CE6EE9">
                    <w:pPr>
                      <w:rPr>
                        <w:sz w:val="16"/>
                      </w:rPr>
                    </w:pPr>
                    <w:smartTag w:uri="urn:schemas-microsoft-com:office:smarttags" w:element="City">
                      <w:smartTag w:uri="urn:schemas-microsoft-com:office:smarttags" w:element="place">
                        <w:r w:rsidRPr="00A35AC3">
                          <w:rPr>
                            <w:sz w:val="16"/>
                          </w:rPr>
                          <w:t>Davenport</w:t>
                        </w:r>
                      </w:smartTag>
                    </w:smartTag>
                    <w:r w:rsidRPr="00A35AC3">
                      <w:rPr>
                        <w:sz w:val="16"/>
                      </w:rPr>
                      <w:t xml:space="preserve"> – DAC</w:t>
                    </w:r>
                  </w:p>
                  <w:p w:rsidR="00055DBE" w:rsidRPr="00A35AC3" w:rsidRDefault="00055DBE" w:rsidP="00CE6EE9">
                    <w:pPr>
                      <w:rPr>
                        <w:sz w:val="16"/>
                      </w:rPr>
                    </w:pPr>
                    <w:smartTag w:uri="urn:schemas-microsoft-com:office:smarttags" w:element="City">
                      <w:smartTag w:uri="urn:schemas-microsoft-com:office:smarttags" w:element="place">
                        <w:r w:rsidRPr="00A35AC3">
                          <w:rPr>
                            <w:sz w:val="16"/>
                          </w:rPr>
                          <w:t>Deer Park</w:t>
                        </w:r>
                      </w:smartTag>
                    </w:smartTag>
                    <w:r w:rsidRPr="00A35AC3">
                      <w:rPr>
                        <w:sz w:val="16"/>
                      </w:rPr>
                      <w:t xml:space="preserve"> - DPC</w:t>
                    </w:r>
                  </w:p>
                  <w:p w:rsidR="00055DBE" w:rsidRPr="00A35AC3" w:rsidRDefault="00055DBE" w:rsidP="00CE6EE9">
                    <w:pPr>
                      <w:rPr>
                        <w:sz w:val="16"/>
                      </w:rPr>
                    </w:pPr>
                    <w:r w:rsidRPr="00A35AC3">
                      <w:rPr>
                        <w:sz w:val="16"/>
                      </w:rPr>
                      <w:t>Grangeville – GRC</w:t>
                    </w:r>
                  </w:p>
                  <w:p w:rsidR="00055DBE" w:rsidRPr="00A35AC3" w:rsidRDefault="00055DBE" w:rsidP="00CE6EE9">
                    <w:pPr>
                      <w:rPr>
                        <w:sz w:val="16"/>
                      </w:rPr>
                    </w:pPr>
                    <w:r w:rsidRPr="00A35AC3">
                      <w:rPr>
                        <w:sz w:val="16"/>
                      </w:rPr>
                      <w:t>Kellogg – KEC</w:t>
                    </w:r>
                  </w:p>
                  <w:p w:rsidR="00055DBE" w:rsidRPr="00A35AC3" w:rsidRDefault="00055DBE" w:rsidP="00CE6EE9">
                    <w:pPr>
                      <w:rPr>
                        <w:sz w:val="16"/>
                      </w:rPr>
                    </w:pPr>
                    <w:r w:rsidRPr="00A35AC3">
                      <w:rPr>
                        <w:sz w:val="16"/>
                      </w:rPr>
                      <w:t>Lewis-Clark – LCC</w:t>
                    </w:r>
                  </w:p>
                  <w:p w:rsidR="00055DBE" w:rsidRPr="00A35AC3" w:rsidRDefault="00055DBE" w:rsidP="00CE6EE9">
                    <w:pPr>
                      <w:rPr>
                        <w:sz w:val="16"/>
                      </w:rPr>
                    </w:pPr>
                    <w:r w:rsidRPr="00A35AC3">
                      <w:rPr>
                        <w:sz w:val="16"/>
                      </w:rPr>
                      <w:t>Othello – OTC</w:t>
                    </w:r>
                  </w:p>
                  <w:p w:rsidR="00055DBE" w:rsidRDefault="00055DBE" w:rsidP="00CE6EE9">
                    <w:pPr>
                      <w:rPr>
                        <w:sz w:val="16"/>
                      </w:rPr>
                    </w:pPr>
                    <w:r w:rsidRPr="00A35AC3">
                      <w:rPr>
                        <w:sz w:val="16"/>
                      </w:rPr>
                      <w:t>Palouse – PAC</w:t>
                    </w:r>
                  </w:p>
                  <w:p w:rsidR="00055DBE" w:rsidRPr="00A35AC3" w:rsidRDefault="00055DBE" w:rsidP="00CE6EE9">
                    <w:pPr>
                      <w:rPr>
                        <w:sz w:val="16"/>
                      </w:rPr>
                    </w:pPr>
                    <w:r w:rsidRPr="00A35AC3">
                      <w:rPr>
                        <w:sz w:val="16"/>
                      </w:rPr>
                      <w:t xml:space="preserve"> Sandpoint – SAC</w:t>
                    </w:r>
                  </w:p>
                  <w:p w:rsidR="00055DBE" w:rsidRPr="00A35AC3" w:rsidRDefault="00055DBE" w:rsidP="00CE6EE9">
                    <w:pPr>
                      <w:rPr>
                        <w:sz w:val="16"/>
                      </w:rPr>
                    </w:pPr>
                    <w:smartTag w:uri="urn:schemas-microsoft-com:office:smarttags" w:element="City">
                      <w:smartTag w:uri="urn:schemas-microsoft-com:office:smarttags" w:element="place">
                        <w:r w:rsidRPr="00A35AC3">
                          <w:rPr>
                            <w:sz w:val="16"/>
                          </w:rPr>
                          <w:t>Spokane</w:t>
                        </w:r>
                      </w:smartTag>
                    </w:smartTag>
                    <w:r w:rsidRPr="00A35AC3">
                      <w:rPr>
                        <w:sz w:val="16"/>
                      </w:rPr>
                      <w:t xml:space="preserve"> - SPC</w:t>
                    </w:r>
                  </w:p>
                </w:txbxContent>
              </v:textbox>
            </v:shape>
            <v:rect id="_x0000_s1061" style="position:absolute;left:1675;top:2040;width:9181;height:11880" filled="f" strokeweight="2pt"/>
            <w10:wrap type="topAndBottom"/>
          </v:group>
        </w:pict>
      </w:r>
      <w:r w:rsidR="003A5969">
        <w:br w:type="page"/>
      </w:r>
      <w:bookmarkStart w:id="369" w:name="_Toc98906795"/>
      <w:bookmarkStart w:id="370" w:name="_Toc165342477"/>
      <w:bookmarkStart w:id="371" w:name="_Toc193711045"/>
      <w:bookmarkStart w:id="372" w:name="_Toc227571640"/>
      <w:bookmarkStart w:id="373" w:name="_Toc354493057"/>
      <w:r w:rsidR="003A5969" w:rsidRPr="001E023F">
        <w:t>Indices Calculations</w:t>
      </w:r>
      <w:bookmarkEnd w:id="362"/>
      <w:bookmarkEnd w:id="364"/>
      <w:bookmarkEnd w:id="365"/>
      <w:bookmarkEnd w:id="366"/>
      <w:bookmarkEnd w:id="367"/>
      <w:bookmarkEnd w:id="368"/>
      <w:bookmarkEnd w:id="369"/>
      <w:bookmarkEnd w:id="370"/>
      <w:bookmarkEnd w:id="371"/>
      <w:bookmarkEnd w:id="372"/>
      <w:bookmarkEnd w:id="373"/>
    </w:p>
    <w:p w:rsidR="003A5969" w:rsidRDefault="003A5969">
      <w:pPr>
        <w:pStyle w:val="Heading3"/>
      </w:pPr>
      <w:bookmarkStart w:id="374" w:name="_Toc3183387"/>
      <w:bookmarkStart w:id="375" w:name="_Toc98906796"/>
      <w:bookmarkStart w:id="376" w:name="_Toc165342478"/>
      <w:bookmarkStart w:id="377" w:name="_Toc193711046"/>
      <w:bookmarkStart w:id="378" w:name="_Toc227571641"/>
      <w:bookmarkStart w:id="379" w:name="_Toc354493058"/>
      <w:r>
        <w:t>Sustained Interruption</w:t>
      </w:r>
      <w:bookmarkEnd w:id="374"/>
      <w:bookmarkEnd w:id="375"/>
      <w:bookmarkEnd w:id="376"/>
      <w:bookmarkEnd w:id="377"/>
      <w:bookmarkEnd w:id="378"/>
      <w:bookmarkEnd w:id="379"/>
    </w:p>
    <w:p w:rsidR="003A5969" w:rsidRDefault="003A5969">
      <w:pPr>
        <w:numPr>
          <w:ilvl w:val="0"/>
          <w:numId w:val="3"/>
        </w:numPr>
      </w:pPr>
      <w:r>
        <w:t xml:space="preserve">An interruption lasting longer than 5 minutes.  </w:t>
      </w:r>
    </w:p>
    <w:p w:rsidR="003A5969" w:rsidRDefault="003A5969">
      <w:pPr>
        <w:pStyle w:val="Heading3"/>
      </w:pPr>
      <w:bookmarkStart w:id="380" w:name="_Toc3183388"/>
      <w:bookmarkStart w:id="381" w:name="_Toc98906797"/>
      <w:bookmarkStart w:id="382" w:name="_Toc165342479"/>
      <w:bookmarkStart w:id="383" w:name="_Toc193711047"/>
      <w:bookmarkStart w:id="384" w:name="_Toc227571642"/>
      <w:bookmarkStart w:id="385" w:name="_Toc354493059"/>
      <w:r>
        <w:t>Momentary Interruption Event</w:t>
      </w:r>
      <w:bookmarkEnd w:id="380"/>
      <w:bookmarkEnd w:id="381"/>
      <w:bookmarkEnd w:id="382"/>
      <w:bookmarkEnd w:id="383"/>
      <w:bookmarkEnd w:id="384"/>
      <w:bookmarkEnd w:id="385"/>
    </w:p>
    <w:p w:rsidR="003A5969" w:rsidRDefault="003A5969">
      <w:pPr>
        <w:numPr>
          <w:ilvl w:val="0"/>
          <w:numId w:val="4"/>
        </w:numPr>
      </w:pPr>
      <w:r>
        <w:t xml:space="preserve">An interruption lasting 5 minutes or less. The event includes all momentary interruptions occurring within 5 minutes of the first interruption. For example, when an interrupting device operates two, three, or four times and then holds, it is considered a single event.  </w:t>
      </w:r>
    </w:p>
    <w:p w:rsidR="003A5969" w:rsidRDefault="003A5969">
      <w:pPr>
        <w:pStyle w:val="Heading3"/>
      </w:pPr>
      <w:bookmarkStart w:id="386" w:name="_Toc3183389"/>
      <w:bookmarkStart w:id="387" w:name="_Toc98906798"/>
      <w:bookmarkStart w:id="388" w:name="_Toc165342480"/>
      <w:bookmarkStart w:id="389" w:name="_Toc193711048"/>
      <w:bookmarkStart w:id="390" w:name="_Toc227571643"/>
      <w:bookmarkStart w:id="391" w:name="_Toc354493060"/>
      <w:r>
        <w:t>SAIFI – System Average Interruption Frequency Index</w:t>
      </w:r>
      <w:bookmarkEnd w:id="386"/>
      <w:bookmarkEnd w:id="387"/>
      <w:bookmarkEnd w:id="388"/>
      <w:bookmarkEnd w:id="389"/>
      <w:bookmarkEnd w:id="390"/>
      <w:bookmarkEnd w:id="391"/>
    </w:p>
    <w:p w:rsidR="003A5969" w:rsidRDefault="003A5969">
      <w:pPr>
        <w:numPr>
          <w:ilvl w:val="0"/>
          <w:numId w:val="5"/>
        </w:numPr>
        <w:tabs>
          <w:tab w:val="clear" w:pos="360"/>
          <w:tab w:val="num" w:pos="720"/>
        </w:tabs>
        <w:ind w:left="720"/>
      </w:pPr>
      <w:r>
        <w:t xml:space="preserve">The average number of sustained interruptions per customer  </w:t>
      </w:r>
    </w:p>
    <w:p w:rsidR="003A5969" w:rsidRDefault="003A5969">
      <w:pPr>
        <w:numPr>
          <w:ilvl w:val="0"/>
          <w:numId w:val="6"/>
        </w:numPr>
        <w:tabs>
          <w:tab w:val="clear" w:pos="360"/>
          <w:tab w:val="num" w:pos="720"/>
        </w:tabs>
        <w:ind w:left="720"/>
      </w:pPr>
      <w:r>
        <w:t>=</w:t>
      </w:r>
      <w:r>
        <w:tab/>
      </w:r>
      <w:r>
        <w:rPr>
          <w:u w:val="single"/>
        </w:rPr>
        <w:t xml:space="preserve">The number of customers which had </w:t>
      </w:r>
      <w:r>
        <w:rPr>
          <w:b/>
          <w:i/>
          <w:u w:val="single"/>
        </w:rPr>
        <w:t>sustained interruptions</w:t>
      </w:r>
      <w:r>
        <w:rPr>
          <w:u w:val="single"/>
        </w:rPr>
        <w:t xml:space="preserve"> </w:t>
      </w:r>
    </w:p>
    <w:p w:rsidR="003A5969" w:rsidRDefault="003A5969">
      <w:pPr>
        <w:ind w:left="360" w:firstLine="360"/>
      </w:pPr>
      <w:r>
        <w:tab/>
        <w:t xml:space="preserve">                    Total number of customers served  </w:t>
      </w:r>
    </w:p>
    <w:p w:rsidR="003A5969" w:rsidRDefault="003A5969">
      <w:pPr>
        <w:numPr>
          <w:ilvl w:val="0"/>
          <w:numId w:val="11"/>
        </w:numPr>
        <w:tabs>
          <w:tab w:val="clear" w:pos="360"/>
          <w:tab w:val="num" w:pos="720"/>
        </w:tabs>
        <w:ind w:left="720"/>
      </w:pPr>
      <w:r>
        <w:t xml:space="preserve">=    </w:t>
      </w:r>
      <w:r w:rsidRPr="00B8013D">
        <w:rPr>
          <w:position w:val="-14"/>
          <w:u w:val="single"/>
        </w:rPr>
        <w:object w:dxaOrig="620" w:dyaOrig="400">
          <v:shape id="_x0000_i1026" type="#_x0000_t75" style="width:30.95pt;height:19.5pt" o:ole="" fillcolor="window">
            <v:imagedata r:id="rId52" o:title=""/>
          </v:shape>
          <o:OLEObject Type="Embed" ProgID="Equation.3" ShapeID="_x0000_i1026" DrawAspect="Content" ObjectID="_1428731222" r:id="rId53"/>
        </w:object>
      </w:r>
    </w:p>
    <w:p w:rsidR="003A5969" w:rsidRDefault="003A5969">
      <w:pPr>
        <w:ind w:left="360" w:firstLine="360"/>
      </w:pPr>
      <w:r>
        <w:t xml:space="preserve">        </w:t>
      </w:r>
      <w:r w:rsidRPr="00B8013D">
        <w:rPr>
          <w:position w:val="-10"/>
        </w:rPr>
        <w:object w:dxaOrig="360" w:dyaOrig="340">
          <v:shape id="_x0000_i1027" type="#_x0000_t75" style="width:18.15pt;height:17.5pt" o:ole="" fillcolor="window">
            <v:imagedata r:id="rId54" o:title=""/>
          </v:shape>
          <o:OLEObject Type="Embed" ProgID="Equation.3" ShapeID="_x0000_i1027" DrawAspect="Content" ObjectID="_1428731223" r:id="rId55"/>
        </w:object>
      </w:r>
    </w:p>
    <w:p w:rsidR="003A5969" w:rsidRDefault="003A5969">
      <w:pPr>
        <w:pStyle w:val="Heading3"/>
      </w:pPr>
      <w:bookmarkStart w:id="392" w:name="_Toc3183390"/>
      <w:bookmarkStart w:id="393" w:name="_Toc98906799"/>
      <w:bookmarkStart w:id="394" w:name="_Toc165342481"/>
      <w:bookmarkStart w:id="395" w:name="_Toc193711049"/>
      <w:bookmarkStart w:id="396" w:name="_Toc227571644"/>
      <w:bookmarkStart w:id="397" w:name="_Toc354493061"/>
      <w:r>
        <w:t>MAIFI</w:t>
      </w:r>
      <w:r>
        <w:rPr>
          <w:vertAlign w:val="subscript"/>
        </w:rPr>
        <w:t>E</w:t>
      </w:r>
      <w:r>
        <w:t xml:space="preserve"> – Momentary Average Interruption Event Frequency Index</w:t>
      </w:r>
      <w:bookmarkEnd w:id="392"/>
      <w:bookmarkEnd w:id="393"/>
      <w:bookmarkEnd w:id="394"/>
      <w:bookmarkEnd w:id="395"/>
      <w:bookmarkEnd w:id="396"/>
      <w:bookmarkEnd w:id="397"/>
      <w:r>
        <w:t xml:space="preserve"> </w:t>
      </w:r>
    </w:p>
    <w:p w:rsidR="003A5969" w:rsidRDefault="003A5969">
      <w:pPr>
        <w:numPr>
          <w:ilvl w:val="0"/>
          <w:numId w:val="7"/>
        </w:numPr>
        <w:tabs>
          <w:tab w:val="clear" w:pos="360"/>
          <w:tab w:val="num" w:pos="720"/>
        </w:tabs>
        <w:ind w:left="720"/>
      </w:pPr>
      <w:r>
        <w:t xml:space="preserve">The average number of momentary interruption events per customer  </w:t>
      </w:r>
    </w:p>
    <w:p w:rsidR="003A5969" w:rsidRDefault="003A5969">
      <w:pPr>
        <w:numPr>
          <w:ilvl w:val="0"/>
          <w:numId w:val="8"/>
        </w:numPr>
        <w:tabs>
          <w:tab w:val="clear" w:pos="360"/>
          <w:tab w:val="num" w:pos="720"/>
        </w:tabs>
        <w:ind w:left="720"/>
      </w:pPr>
      <w:r>
        <w:t>=</w:t>
      </w:r>
      <w:r>
        <w:tab/>
      </w:r>
      <w:r>
        <w:rPr>
          <w:u w:val="single"/>
        </w:rPr>
        <w:t xml:space="preserve">The number of customers which had </w:t>
      </w:r>
      <w:r>
        <w:rPr>
          <w:b/>
          <w:i/>
          <w:u w:val="single"/>
        </w:rPr>
        <w:t>momentary interruption</w:t>
      </w:r>
      <w:r>
        <w:rPr>
          <w:u w:val="single"/>
        </w:rPr>
        <w:t xml:space="preserve"> </w:t>
      </w:r>
      <w:r>
        <w:rPr>
          <w:b/>
          <w:i/>
          <w:u w:val="single"/>
        </w:rPr>
        <w:t>events</w:t>
      </w:r>
      <w:r>
        <w:rPr>
          <w:u w:val="single"/>
        </w:rPr>
        <w:t xml:space="preserve"> </w:t>
      </w:r>
    </w:p>
    <w:p w:rsidR="003A5969" w:rsidRDefault="003A5969">
      <w:pPr>
        <w:ind w:left="360" w:firstLine="360"/>
      </w:pPr>
      <w:r>
        <w:tab/>
      </w:r>
      <w:r>
        <w:tab/>
        <w:t xml:space="preserve">             Total number of customers served</w:t>
      </w:r>
      <w:r>
        <w:tab/>
      </w:r>
      <w:r>
        <w:tab/>
      </w:r>
      <w:r>
        <w:tab/>
      </w:r>
      <w:r>
        <w:tab/>
      </w:r>
    </w:p>
    <w:p w:rsidR="003A5969" w:rsidRDefault="003A5969">
      <w:pPr>
        <w:numPr>
          <w:ilvl w:val="0"/>
          <w:numId w:val="12"/>
        </w:numPr>
        <w:tabs>
          <w:tab w:val="clear" w:pos="360"/>
          <w:tab w:val="num" w:pos="720"/>
        </w:tabs>
        <w:ind w:left="720"/>
      </w:pPr>
      <w:r>
        <w:t xml:space="preserve">= </w:t>
      </w:r>
      <w:r w:rsidRPr="00B8013D">
        <w:rPr>
          <w:position w:val="-14"/>
          <w:u w:val="single"/>
        </w:rPr>
        <w:object w:dxaOrig="1020" w:dyaOrig="400">
          <v:shape id="_x0000_i1028" type="#_x0000_t75" style="width:52.5pt;height:19.5pt" o:ole="" fillcolor="window">
            <v:imagedata r:id="rId56" o:title=""/>
          </v:shape>
          <o:OLEObject Type="Embed" ProgID="Equation.3" ShapeID="_x0000_i1028" DrawAspect="Content" ObjectID="_1428731224" r:id="rId57"/>
        </w:object>
      </w:r>
    </w:p>
    <w:p w:rsidR="003A5969" w:rsidRDefault="003A5969">
      <w:pPr>
        <w:ind w:left="360" w:firstLine="360"/>
      </w:pPr>
      <w:r>
        <w:t xml:space="preserve">          </w:t>
      </w:r>
      <w:r w:rsidRPr="00B8013D">
        <w:rPr>
          <w:position w:val="-10"/>
        </w:rPr>
        <w:object w:dxaOrig="360" w:dyaOrig="340">
          <v:shape id="_x0000_i1029" type="#_x0000_t75" style="width:18.15pt;height:17.5pt" o:ole="" fillcolor="window">
            <v:imagedata r:id="rId54" o:title=""/>
          </v:shape>
          <o:OLEObject Type="Embed" ProgID="Equation.3" ShapeID="_x0000_i1029" DrawAspect="Content" ObjectID="_1428731225" r:id="rId58"/>
        </w:object>
      </w:r>
    </w:p>
    <w:p w:rsidR="003A5969" w:rsidRDefault="003A5969">
      <w:pPr>
        <w:numPr>
          <w:ilvl w:val="0"/>
          <w:numId w:val="18"/>
        </w:numPr>
        <w:tabs>
          <w:tab w:val="clear" w:pos="360"/>
          <w:tab w:val="num" w:pos="720"/>
        </w:tabs>
        <w:ind w:left="720"/>
      </w:pPr>
      <w:r>
        <w:t>MAIFI can be calculated by one of two methods. Using the number of momentary interruptions or the number momentary events. This report calculates MAIFI</w:t>
      </w:r>
      <w:r>
        <w:rPr>
          <w:vertAlign w:val="subscript"/>
        </w:rPr>
        <w:t>E</w:t>
      </w:r>
      <w:r>
        <w:t xml:space="preserve"> using momentary events.  The event includes all momentary interruptions occurring within 5 minutes of the first interruption. For example, when an automatic interrupting device opens and then recloses two, or three times before it remains closed, it is considered a single event. </w:t>
      </w:r>
    </w:p>
    <w:p w:rsidR="003A5969" w:rsidRDefault="003A5969">
      <w:pPr>
        <w:pStyle w:val="Heading3"/>
      </w:pPr>
      <w:bookmarkStart w:id="398" w:name="_Toc3183391"/>
      <w:bookmarkStart w:id="399" w:name="_Toc98906800"/>
      <w:bookmarkStart w:id="400" w:name="_Toc165342482"/>
      <w:bookmarkStart w:id="401" w:name="_Toc193711050"/>
      <w:bookmarkStart w:id="402" w:name="_Toc227571645"/>
      <w:bookmarkStart w:id="403" w:name="_Toc354493062"/>
      <w:r>
        <w:t>SAIDI – System Average Interruption Duration Index</w:t>
      </w:r>
      <w:bookmarkEnd w:id="398"/>
      <w:bookmarkEnd w:id="399"/>
      <w:bookmarkEnd w:id="400"/>
      <w:bookmarkEnd w:id="401"/>
      <w:bookmarkEnd w:id="402"/>
      <w:bookmarkEnd w:id="403"/>
      <w:r>
        <w:t xml:space="preserve"> </w:t>
      </w:r>
    </w:p>
    <w:p w:rsidR="003A5969" w:rsidRDefault="003A5969">
      <w:pPr>
        <w:numPr>
          <w:ilvl w:val="0"/>
          <w:numId w:val="9"/>
        </w:numPr>
        <w:tabs>
          <w:tab w:val="clear" w:pos="360"/>
          <w:tab w:val="num" w:pos="720"/>
        </w:tabs>
        <w:ind w:left="720"/>
      </w:pPr>
      <w:r>
        <w:t>Average sustained outage time per customer</w:t>
      </w:r>
    </w:p>
    <w:p w:rsidR="003A5969" w:rsidRDefault="003A5969">
      <w:pPr>
        <w:numPr>
          <w:ilvl w:val="0"/>
          <w:numId w:val="10"/>
        </w:numPr>
        <w:tabs>
          <w:tab w:val="clear" w:pos="360"/>
          <w:tab w:val="num" w:pos="720"/>
        </w:tabs>
        <w:ind w:left="720"/>
        <w:rPr>
          <w:sz w:val="22"/>
          <w:u w:val="single"/>
        </w:rPr>
      </w:pPr>
      <w:r>
        <w:t>=</w:t>
      </w:r>
      <w:r>
        <w:tab/>
      </w:r>
      <w:r>
        <w:rPr>
          <w:sz w:val="22"/>
          <w:u w:val="single"/>
        </w:rPr>
        <w:t xml:space="preserve">Outage duration multiplied by the customers effected for all </w:t>
      </w:r>
      <w:r>
        <w:rPr>
          <w:b/>
          <w:i/>
          <w:sz w:val="22"/>
          <w:u w:val="single"/>
        </w:rPr>
        <w:t>sustained interruptions</w:t>
      </w:r>
      <w:r>
        <w:rPr>
          <w:sz w:val="22"/>
          <w:u w:val="single"/>
        </w:rPr>
        <w:t xml:space="preserve"> </w:t>
      </w:r>
      <w:r>
        <w:rPr>
          <w:sz w:val="22"/>
        </w:rPr>
        <w:t xml:space="preserve"> </w:t>
      </w:r>
    </w:p>
    <w:p w:rsidR="003A5969" w:rsidRDefault="003A5969">
      <w:pPr>
        <w:ind w:left="360" w:firstLine="360"/>
      </w:pPr>
      <w:r>
        <w:rPr>
          <w:sz w:val="22"/>
        </w:rPr>
        <w:tab/>
        <w:t xml:space="preserve">                                Total number of customers served</w:t>
      </w:r>
    </w:p>
    <w:p w:rsidR="003A5969" w:rsidRDefault="003A5969">
      <w:pPr>
        <w:numPr>
          <w:ilvl w:val="0"/>
          <w:numId w:val="13"/>
        </w:numPr>
        <w:tabs>
          <w:tab w:val="clear" w:pos="360"/>
          <w:tab w:val="num" w:pos="720"/>
        </w:tabs>
        <w:ind w:left="720"/>
      </w:pPr>
      <w:r>
        <w:t xml:space="preserve">=     </w:t>
      </w:r>
      <w:r w:rsidRPr="00B8013D">
        <w:rPr>
          <w:position w:val="-14"/>
          <w:u w:val="single"/>
        </w:rPr>
        <w:object w:dxaOrig="760" w:dyaOrig="400">
          <v:shape id="_x0000_i1030" type="#_x0000_t75" style="width:38.35pt;height:19.5pt" o:ole="" fillcolor="window">
            <v:imagedata r:id="rId59" o:title=""/>
          </v:shape>
          <o:OLEObject Type="Embed" ProgID="Equation.3" ShapeID="_x0000_i1030" DrawAspect="Content" ObjectID="_1428731226" r:id="rId60"/>
        </w:object>
      </w:r>
    </w:p>
    <w:p w:rsidR="003A5969" w:rsidRDefault="003A5969">
      <w:pPr>
        <w:ind w:left="360" w:firstLine="360"/>
      </w:pPr>
      <w:r>
        <w:t xml:space="preserve">          </w:t>
      </w:r>
      <w:r w:rsidRPr="00B8013D">
        <w:rPr>
          <w:position w:val="-10"/>
        </w:rPr>
        <w:object w:dxaOrig="360" w:dyaOrig="340">
          <v:shape id="_x0000_i1031" type="#_x0000_t75" style="width:18.15pt;height:17.5pt" o:ole="" fillcolor="window">
            <v:imagedata r:id="rId54" o:title=""/>
          </v:shape>
          <o:OLEObject Type="Embed" ProgID="Equation.3" ShapeID="_x0000_i1031" DrawAspect="Content" ObjectID="_1428731227" r:id="rId61"/>
        </w:object>
      </w:r>
    </w:p>
    <w:p w:rsidR="003A5969" w:rsidRDefault="003A5969">
      <w:pPr>
        <w:pStyle w:val="Heading3"/>
      </w:pPr>
      <w:bookmarkStart w:id="404" w:name="_Toc3183392"/>
      <w:r>
        <w:rPr>
          <w:u w:val="single"/>
        </w:rPr>
        <w:br w:type="page"/>
      </w:r>
      <w:bookmarkStart w:id="405" w:name="_Toc98906801"/>
      <w:bookmarkStart w:id="406" w:name="_Toc165342483"/>
      <w:bookmarkStart w:id="407" w:name="_Toc193711051"/>
      <w:bookmarkStart w:id="408" w:name="_Toc227571646"/>
      <w:bookmarkStart w:id="409" w:name="_Toc354493063"/>
      <w:r>
        <w:t>CAIDI – Customer Average Interruption Duration Index</w:t>
      </w:r>
      <w:bookmarkEnd w:id="404"/>
      <w:bookmarkEnd w:id="405"/>
      <w:bookmarkEnd w:id="406"/>
      <w:bookmarkEnd w:id="407"/>
      <w:bookmarkEnd w:id="408"/>
      <w:bookmarkEnd w:id="409"/>
    </w:p>
    <w:p w:rsidR="003A5969" w:rsidRDefault="003A5969">
      <w:pPr>
        <w:numPr>
          <w:ilvl w:val="0"/>
          <w:numId w:val="16"/>
        </w:numPr>
        <w:tabs>
          <w:tab w:val="clear" w:pos="360"/>
          <w:tab w:val="num" w:pos="720"/>
        </w:tabs>
        <w:ind w:left="720"/>
      </w:pPr>
      <w:r>
        <w:t>Average restoration time</w:t>
      </w:r>
    </w:p>
    <w:p w:rsidR="003A5969" w:rsidRDefault="003A5969">
      <w:pPr>
        <w:numPr>
          <w:ilvl w:val="0"/>
          <w:numId w:val="15"/>
        </w:numPr>
        <w:tabs>
          <w:tab w:val="num" w:pos="720"/>
        </w:tabs>
        <w:ind w:left="720"/>
        <w:rPr>
          <w:sz w:val="22"/>
        </w:rPr>
      </w:pPr>
      <w:r>
        <w:t>=</w:t>
      </w:r>
      <w:r>
        <w:tab/>
      </w:r>
      <w:r>
        <w:rPr>
          <w:sz w:val="22"/>
          <w:u w:val="single"/>
        </w:rPr>
        <w:t xml:space="preserve">Outage duration multiplied by the customers effected for all </w:t>
      </w:r>
      <w:r>
        <w:rPr>
          <w:b/>
          <w:i/>
          <w:sz w:val="22"/>
          <w:u w:val="single"/>
        </w:rPr>
        <w:t>sustained interruptions</w:t>
      </w:r>
    </w:p>
    <w:p w:rsidR="003A5969" w:rsidRDefault="003A5969">
      <w:pPr>
        <w:ind w:left="360" w:firstLine="360"/>
      </w:pPr>
      <w:r>
        <w:rPr>
          <w:sz w:val="22"/>
        </w:rPr>
        <w:tab/>
        <w:t xml:space="preserve">                       The number of customers which had </w:t>
      </w:r>
      <w:r>
        <w:rPr>
          <w:b/>
          <w:i/>
          <w:sz w:val="22"/>
        </w:rPr>
        <w:t>sustained interruptions</w:t>
      </w:r>
    </w:p>
    <w:p w:rsidR="003A5969" w:rsidRDefault="003A5969">
      <w:pPr>
        <w:numPr>
          <w:ilvl w:val="0"/>
          <w:numId w:val="14"/>
        </w:numPr>
        <w:tabs>
          <w:tab w:val="clear" w:pos="360"/>
          <w:tab w:val="num" w:pos="720"/>
        </w:tabs>
        <w:ind w:left="720"/>
      </w:pPr>
      <w:r>
        <w:t xml:space="preserve">=   </w:t>
      </w:r>
      <w:r w:rsidRPr="00B8013D">
        <w:rPr>
          <w:position w:val="-14"/>
          <w:u w:val="single"/>
        </w:rPr>
        <w:object w:dxaOrig="760" w:dyaOrig="400">
          <v:shape id="_x0000_i1032" type="#_x0000_t75" style="width:38.35pt;height:19.5pt" o:ole="" fillcolor="window">
            <v:imagedata r:id="rId62" o:title=""/>
          </v:shape>
          <o:OLEObject Type="Embed" ProgID="Equation.3" ShapeID="_x0000_i1032" DrawAspect="Content" ObjectID="_1428731228" r:id="rId63"/>
        </w:object>
      </w:r>
    </w:p>
    <w:p w:rsidR="003A5969" w:rsidRDefault="003A5969">
      <w:pPr>
        <w:ind w:left="360"/>
      </w:pPr>
      <w:r>
        <w:t xml:space="preserve">             </w:t>
      </w:r>
      <w:r w:rsidRPr="00B8013D">
        <w:rPr>
          <w:position w:val="-14"/>
        </w:rPr>
        <w:object w:dxaOrig="620" w:dyaOrig="400">
          <v:shape id="_x0000_i1033" type="#_x0000_t75" style="width:30.95pt;height:19.5pt" o:ole="" fillcolor="window">
            <v:imagedata r:id="rId64" o:title=""/>
          </v:shape>
          <o:OLEObject Type="Embed" ProgID="Equation.3" ShapeID="_x0000_i1033" DrawAspect="Content" ObjectID="_1428731229" r:id="rId65"/>
        </w:object>
      </w:r>
    </w:p>
    <w:p w:rsidR="003A5969" w:rsidRDefault="003A5969"/>
    <w:p w:rsidR="00DE6E06" w:rsidRDefault="003A5969" w:rsidP="00DE6E06">
      <w:bookmarkStart w:id="410" w:name="_Toc98906802"/>
      <w:bookmarkStart w:id="411" w:name="_Toc165342484"/>
      <w:r>
        <w:t>Quantities</w:t>
      </w:r>
      <w:bookmarkEnd w:id="410"/>
      <w:bookmarkEnd w:id="411"/>
    </w:p>
    <w:p w:rsidR="003A5969" w:rsidRDefault="003A5969">
      <w:pPr>
        <w:rPr>
          <w:i/>
        </w:rPr>
      </w:pPr>
      <w:r>
        <w:rPr>
          <w:i/>
        </w:rPr>
        <w:t xml:space="preserve">i = </w:t>
      </w:r>
      <w:proofErr w:type="gramStart"/>
      <w:r>
        <w:rPr>
          <w:i/>
        </w:rPr>
        <w:t>An</w:t>
      </w:r>
      <w:proofErr w:type="gramEnd"/>
      <w:r>
        <w:rPr>
          <w:i/>
        </w:rPr>
        <w:t xml:space="preserve"> interruption event;</w:t>
      </w:r>
    </w:p>
    <w:p w:rsidR="003A5969" w:rsidRDefault="003A5969">
      <w:pPr>
        <w:rPr>
          <w:i/>
        </w:rPr>
      </w:pPr>
      <w:proofErr w:type="spellStart"/>
      <w:proofErr w:type="gramStart"/>
      <w:r>
        <w:rPr>
          <w:i/>
        </w:rPr>
        <w:t>r</w:t>
      </w:r>
      <w:r>
        <w:rPr>
          <w:i/>
          <w:vertAlign w:val="subscript"/>
        </w:rPr>
        <w:t>i</w:t>
      </w:r>
      <w:proofErr w:type="spellEnd"/>
      <w:r>
        <w:rPr>
          <w:i/>
          <w:vertAlign w:val="subscript"/>
        </w:rPr>
        <w:t xml:space="preserve">  </w:t>
      </w:r>
      <w:r>
        <w:rPr>
          <w:i/>
        </w:rPr>
        <w:t>=</w:t>
      </w:r>
      <w:proofErr w:type="gramEnd"/>
      <w:r>
        <w:rPr>
          <w:i/>
        </w:rPr>
        <w:t xml:space="preserve"> Restoration time for each interruption event; </w:t>
      </w:r>
    </w:p>
    <w:p w:rsidR="003A5969" w:rsidRDefault="003A5969">
      <w:pPr>
        <w:rPr>
          <w:i/>
        </w:rPr>
      </w:pPr>
      <w:r>
        <w:rPr>
          <w:i/>
        </w:rPr>
        <w:t>T = Total;</w:t>
      </w:r>
    </w:p>
    <w:p w:rsidR="003A5969" w:rsidRDefault="003A5969">
      <w:pPr>
        <w:rPr>
          <w:i/>
        </w:rPr>
      </w:pPr>
      <w:proofErr w:type="gramStart"/>
      <w:r>
        <w:rPr>
          <w:i/>
        </w:rPr>
        <w:t>ID</w:t>
      </w:r>
      <w:r>
        <w:rPr>
          <w:i/>
          <w:vertAlign w:val="subscript"/>
        </w:rPr>
        <w:t xml:space="preserve">E  </w:t>
      </w:r>
      <w:r>
        <w:rPr>
          <w:i/>
        </w:rPr>
        <w:t>=</w:t>
      </w:r>
      <w:proofErr w:type="gramEnd"/>
      <w:r>
        <w:rPr>
          <w:i/>
        </w:rPr>
        <w:t xml:space="preserve"> Number of interrupting device events;</w:t>
      </w:r>
    </w:p>
    <w:p w:rsidR="003A5969" w:rsidRDefault="003A5969">
      <w:pPr>
        <w:rPr>
          <w:i/>
        </w:rPr>
      </w:pPr>
      <w:r>
        <w:rPr>
          <w:i/>
        </w:rPr>
        <w:t>N</w:t>
      </w:r>
      <w:r>
        <w:rPr>
          <w:i/>
          <w:vertAlign w:val="subscript"/>
        </w:rPr>
        <w:t xml:space="preserve">i </w:t>
      </w:r>
      <w:r>
        <w:rPr>
          <w:i/>
        </w:rPr>
        <w:t>= Number of interrupted customers for each interruption event during the reporting period;</w:t>
      </w:r>
    </w:p>
    <w:p w:rsidR="003A5969" w:rsidRDefault="003A5969">
      <w:pPr>
        <w:rPr>
          <w:i/>
        </w:rPr>
      </w:pPr>
      <w:r>
        <w:rPr>
          <w:i/>
        </w:rPr>
        <w:t>N</w:t>
      </w:r>
      <w:r>
        <w:rPr>
          <w:i/>
          <w:vertAlign w:val="subscript"/>
        </w:rPr>
        <w:t xml:space="preserve">T </w:t>
      </w:r>
      <w:r>
        <w:rPr>
          <w:i/>
        </w:rPr>
        <w:t>= Total number of customers served for the area being indexed;</w:t>
      </w:r>
    </w:p>
    <w:p w:rsidR="00E75899" w:rsidRDefault="00E75899" w:rsidP="002D5929">
      <w:pPr>
        <w:pStyle w:val="Heading3"/>
      </w:pPr>
      <w:bookmarkStart w:id="412" w:name="_Toc193711052"/>
      <w:bookmarkStart w:id="413" w:name="_Toc227571647"/>
      <w:bookmarkStart w:id="414" w:name="_Toc354493064"/>
      <w:bookmarkStart w:id="415" w:name="_Toc165342485"/>
      <w:bookmarkStart w:id="416" w:name="_Toc3183393"/>
      <w:r>
        <w:t>CEMI</w:t>
      </w:r>
      <w:r w:rsidRPr="00C44B45">
        <w:rPr>
          <w:i/>
          <w:sz w:val="28"/>
          <w:vertAlign w:val="subscript"/>
        </w:rPr>
        <w:t>n</w:t>
      </w:r>
      <w:r>
        <w:t xml:space="preserve"> – Customers Experiencing Multiple Sustained Interruptions more than n.</w:t>
      </w:r>
      <w:bookmarkEnd w:id="412"/>
      <w:bookmarkEnd w:id="413"/>
      <w:bookmarkEnd w:id="414"/>
    </w:p>
    <w:p w:rsidR="00E75899" w:rsidRDefault="00E75899" w:rsidP="00E75899">
      <w:pPr>
        <w:numPr>
          <w:ilvl w:val="0"/>
          <w:numId w:val="16"/>
        </w:numPr>
        <w:tabs>
          <w:tab w:val="clear" w:pos="360"/>
          <w:tab w:val="num" w:pos="720"/>
        </w:tabs>
        <w:ind w:left="720"/>
      </w:pPr>
      <w:r>
        <w:t>CEMI</w:t>
      </w:r>
      <w:r w:rsidR="00C44B45" w:rsidRPr="00C44B45">
        <w:rPr>
          <w:i/>
          <w:sz w:val="28"/>
          <w:vertAlign w:val="subscript"/>
        </w:rPr>
        <w:t>n</w:t>
      </w:r>
    </w:p>
    <w:p w:rsidR="00E75899" w:rsidRDefault="00E75899" w:rsidP="00E75899">
      <w:pPr>
        <w:numPr>
          <w:ilvl w:val="0"/>
          <w:numId w:val="15"/>
        </w:numPr>
        <w:tabs>
          <w:tab w:val="num" w:pos="720"/>
        </w:tabs>
        <w:ind w:left="720"/>
        <w:rPr>
          <w:sz w:val="22"/>
        </w:rPr>
      </w:pPr>
      <w:r>
        <w:t>=</w:t>
      </w:r>
      <w:r>
        <w:tab/>
      </w:r>
      <w:r>
        <w:rPr>
          <w:sz w:val="22"/>
          <w:u w:val="single"/>
        </w:rPr>
        <w:t>Total Number of Customer</w:t>
      </w:r>
      <w:r w:rsidR="00A16828">
        <w:rPr>
          <w:sz w:val="22"/>
          <w:u w:val="single"/>
        </w:rPr>
        <w:t>s</w:t>
      </w:r>
      <w:r>
        <w:rPr>
          <w:sz w:val="22"/>
          <w:u w:val="single"/>
        </w:rPr>
        <w:t xml:space="preserve"> that experience more than </w:t>
      </w:r>
      <w:r w:rsidRPr="00C44B45">
        <w:rPr>
          <w:i/>
          <w:sz w:val="22"/>
          <w:u w:val="single"/>
        </w:rPr>
        <w:t>n</w:t>
      </w:r>
      <w:r>
        <w:rPr>
          <w:sz w:val="22"/>
          <w:u w:val="single"/>
        </w:rPr>
        <w:t xml:space="preserve"> </w:t>
      </w:r>
      <w:r w:rsidRPr="00E75899">
        <w:rPr>
          <w:b/>
          <w:sz w:val="22"/>
          <w:u w:val="single"/>
        </w:rPr>
        <w:t>sustained interruptions</w:t>
      </w:r>
    </w:p>
    <w:p w:rsidR="00E75899" w:rsidRDefault="00E75899" w:rsidP="00E75899">
      <w:pPr>
        <w:ind w:left="360" w:firstLine="360"/>
      </w:pPr>
      <w:r>
        <w:rPr>
          <w:sz w:val="22"/>
        </w:rPr>
        <w:tab/>
        <w:t xml:space="preserve">                       Total Number of Customers Served</w:t>
      </w:r>
    </w:p>
    <w:p w:rsidR="00E75899" w:rsidRDefault="00E75899" w:rsidP="00E75899">
      <w:pPr>
        <w:numPr>
          <w:ilvl w:val="0"/>
          <w:numId w:val="14"/>
        </w:numPr>
        <w:tabs>
          <w:tab w:val="clear" w:pos="360"/>
          <w:tab w:val="num" w:pos="720"/>
        </w:tabs>
        <w:ind w:left="720"/>
      </w:pPr>
      <w:r>
        <w:t xml:space="preserve">=   </w:t>
      </w:r>
      <w:r w:rsidRPr="00E75899">
        <w:rPr>
          <w:u w:val="single"/>
        </w:rPr>
        <w:t>CN</w:t>
      </w:r>
      <w:r w:rsidRPr="00E75899">
        <w:rPr>
          <w:sz w:val="28"/>
          <w:u w:val="single"/>
          <w:vertAlign w:val="subscript"/>
        </w:rPr>
        <w:t>(k&gt;n)</w:t>
      </w:r>
      <w:r>
        <w:t xml:space="preserve"> </w:t>
      </w:r>
    </w:p>
    <w:p w:rsidR="00E75899" w:rsidRPr="00E75899" w:rsidRDefault="00E75899" w:rsidP="00E75899">
      <w:pPr>
        <w:ind w:left="360"/>
        <w:rPr>
          <w:sz w:val="28"/>
        </w:rPr>
      </w:pPr>
      <w:r>
        <w:t xml:space="preserve">             N</w:t>
      </w:r>
      <w:r w:rsidRPr="00E75899">
        <w:rPr>
          <w:i/>
          <w:sz w:val="28"/>
          <w:vertAlign w:val="subscript"/>
        </w:rPr>
        <w:t>T</w:t>
      </w:r>
    </w:p>
    <w:p w:rsidR="00E75899" w:rsidRPr="00C44B45" w:rsidRDefault="00C44B45" w:rsidP="002D5929">
      <w:pPr>
        <w:pStyle w:val="Heading3"/>
      </w:pPr>
      <w:bookmarkStart w:id="417" w:name="_Toc193711053"/>
      <w:bookmarkStart w:id="418" w:name="_Toc227571648"/>
      <w:bookmarkStart w:id="419" w:name="_Toc354493065"/>
      <w:r>
        <w:t>CEMSMI</w:t>
      </w:r>
      <w:bookmarkStart w:id="420" w:name="OLE_LINK8"/>
      <w:bookmarkStart w:id="421" w:name="OLE_LINK9"/>
      <w:r w:rsidRPr="00C44B45">
        <w:rPr>
          <w:i/>
          <w:sz w:val="28"/>
          <w:vertAlign w:val="subscript"/>
        </w:rPr>
        <w:t>n</w:t>
      </w:r>
      <w:bookmarkEnd w:id="420"/>
      <w:bookmarkEnd w:id="421"/>
      <w:r>
        <w:t xml:space="preserve"> – Customers experiencing multiple sustained interruption and momentary interruption events.</w:t>
      </w:r>
      <w:bookmarkEnd w:id="417"/>
      <w:bookmarkEnd w:id="418"/>
      <w:bookmarkEnd w:id="419"/>
      <w:r>
        <w:t xml:space="preserve"> </w:t>
      </w:r>
    </w:p>
    <w:p w:rsidR="00C44B45" w:rsidRDefault="00C44B45" w:rsidP="00C44B45">
      <w:pPr>
        <w:numPr>
          <w:ilvl w:val="0"/>
          <w:numId w:val="16"/>
        </w:numPr>
        <w:tabs>
          <w:tab w:val="clear" w:pos="360"/>
          <w:tab w:val="num" w:pos="720"/>
        </w:tabs>
        <w:ind w:left="720"/>
      </w:pPr>
      <w:r>
        <w:t>CEMSMIn</w:t>
      </w:r>
    </w:p>
    <w:p w:rsidR="00C44B45" w:rsidRDefault="00C44B45" w:rsidP="00C44B45">
      <w:pPr>
        <w:numPr>
          <w:ilvl w:val="0"/>
          <w:numId w:val="15"/>
        </w:numPr>
        <w:tabs>
          <w:tab w:val="num" w:pos="720"/>
        </w:tabs>
        <w:ind w:left="720"/>
        <w:rPr>
          <w:sz w:val="22"/>
        </w:rPr>
      </w:pPr>
      <w:r>
        <w:t>=</w:t>
      </w:r>
      <w:r>
        <w:tab/>
      </w:r>
      <w:r>
        <w:rPr>
          <w:sz w:val="22"/>
          <w:u w:val="single"/>
        </w:rPr>
        <w:t>Total Number of Customer</w:t>
      </w:r>
      <w:r w:rsidR="00A16828">
        <w:rPr>
          <w:sz w:val="22"/>
          <w:u w:val="single"/>
        </w:rPr>
        <w:t>s</w:t>
      </w:r>
      <w:r>
        <w:rPr>
          <w:sz w:val="22"/>
          <w:u w:val="single"/>
        </w:rPr>
        <w:t xml:space="preserve"> experiencing more than </w:t>
      </w:r>
      <w:r w:rsidRPr="00C44B45">
        <w:rPr>
          <w:i/>
          <w:sz w:val="22"/>
          <w:u w:val="single"/>
        </w:rPr>
        <w:t>n</w:t>
      </w:r>
      <w:r>
        <w:rPr>
          <w:sz w:val="22"/>
          <w:u w:val="single"/>
        </w:rPr>
        <w:t xml:space="preserve"> </w:t>
      </w:r>
      <w:r w:rsidRPr="00E75899">
        <w:rPr>
          <w:b/>
          <w:sz w:val="22"/>
          <w:u w:val="single"/>
        </w:rPr>
        <w:t>interruptions</w:t>
      </w:r>
    </w:p>
    <w:p w:rsidR="00C44B45" w:rsidRDefault="00C44B45" w:rsidP="00C44B45">
      <w:pPr>
        <w:ind w:left="360" w:firstLine="360"/>
      </w:pPr>
      <w:r>
        <w:rPr>
          <w:sz w:val="22"/>
        </w:rPr>
        <w:tab/>
        <w:t xml:space="preserve">                       Total Number of Customers Served</w:t>
      </w:r>
    </w:p>
    <w:p w:rsidR="00C44B45" w:rsidRDefault="00C44B45" w:rsidP="00C44B45">
      <w:pPr>
        <w:numPr>
          <w:ilvl w:val="0"/>
          <w:numId w:val="14"/>
        </w:numPr>
        <w:tabs>
          <w:tab w:val="clear" w:pos="360"/>
          <w:tab w:val="num" w:pos="720"/>
        </w:tabs>
        <w:ind w:left="720"/>
      </w:pPr>
      <w:r>
        <w:t xml:space="preserve">=   </w:t>
      </w:r>
      <w:r w:rsidRPr="00E75899">
        <w:rPr>
          <w:u w:val="single"/>
        </w:rPr>
        <w:t>CN</w:t>
      </w:r>
      <w:r>
        <w:rPr>
          <w:u w:val="single"/>
        </w:rPr>
        <w:t>T</w:t>
      </w:r>
      <w:r w:rsidRPr="00E75899">
        <w:rPr>
          <w:sz w:val="28"/>
          <w:u w:val="single"/>
          <w:vertAlign w:val="subscript"/>
        </w:rPr>
        <w:t>(k&gt;n)</w:t>
      </w:r>
      <w:r>
        <w:t xml:space="preserve"> </w:t>
      </w:r>
    </w:p>
    <w:p w:rsidR="00C44B45" w:rsidRPr="00E75899" w:rsidRDefault="00C44B45" w:rsidP="00C44B45">
      <w:pPr>
        <w:ind w:left="360"/>
        <w:rPr>
          <w:sz w:val="28"/>
        </w:rPr>
      </w:pPr>
      <w:r>
        <w:t xml:space="preserve">             N</w:t>
      </w:r>
      <w:r w:rsidRPr="00E75899">
        <w:rPr>
          <w:i/>
          <w:sz w:val="28"/>
          <w:vertAlign w:val="subscript"/>
        </w:rPr>
        <w:t>T</w:t>
      </w:r>
    </w:p>
    <w:p w:rsidR="005B1688" w:rsidRDefault="001E023F" w:rsidP="002D5929">
      <w:pPr>
        <w:pStyle w:val="Heading3"/>
      </w:pPr>
      <w:r>
        <w:br w:type="page"/>
      </w:r>
      <w:bookmarkStart w:id="422" w:name="_Toc193711054"/>
      <w:bookmarkStart w:id="423" w:name="_Toc227571649"/>
      <w:bookmarkStart w:id="424" w:name="_Toc354493066"/>
      <w:r w:rsidR="005B1688">
        <w:t>MED - Major Event Day</w:t>
      </w:r>
      <w:bookmarkEnd w:id="415"/>
      <w:bookmarkEnd w:id="422"/>
      <w:bookmarkEnd w:id="423"/>
      <w:bookmarkEnd w:id="424"/>
      <w:r w:rsidR="005B1688">
        <w:t xml:space="preserve"> </w:t>
      </w:r>
    </w:p>
    <w:p w:rsidR="005B1688" w:rsidRDefault="004E510C" w:rsidP="002D5929">
      <w:r w:rsidRPr="00404E24">
        <w:t>A major event day is a day in which the daily system SAIDI exceeds a threshold value. Its purpose is to allow major events to be studied separately from daily operation, and in the process, to better reveal trends in daily operation that would be hidden by the large statistical effect of major events.</w:t>
      </w:r>
    </w:p>
    <w:p w:rsidR="004E510C" w:rsidRPr="005B1688" w:rsidRDefault="004E510C" w:rsidP="005B1688"/>
    <w:p w:rsidR="00502178" w:rsidRPr="005201D2" w:rsidRDefault="00502178" w:rsidP="00502178">
      <w:pPr>
        <w:autoSpaceDE w:val="0"/>
        <w:autoSpaceDN w:val="0"/>
        <w:adjustRightInd w:val="0"/>
        <w:rPr>
          <w:rFonts w:ascii="Arial" w:hAnsi="Arial" w:cs="Arial"/>
          <w:sz w:val="22"/>
          <w:szCs w:val="22"/>
        </w:rPr>
      </w:pPr>
      <w:r w:rsidRPr="005201D2">
        <w:rPr>
          <w:rFonts w:ascii="Arial" w:hAnsi="Arial" w:cs="Arial"/>
          <w:sz w:val="22"/>
          <w:szCs w:val="22"/>
        </w:rPr>
        <w:t>T</w:t>
      </w:r>
      <w:r w:rsidRPr="005201D2">
        <w:rPr>
          <w:rFonts w:ascii="Arial" w:hAnsi="Arial" w:cs="Arial"/>
          <w:sz w:val="22"/>
          <w:szCs w:val="22"/>
          <w:vertAlign w:val="subscript"/>
        </w:rPr>
        <w:t>MED</w:t>
      </w:r>
      <w:r w:rsidRPr="005201D2">
        <w:rPr>
          <w:rFonts w:ascii="Arial" w:hAnsi="Arial" w:cs="Arial"/>
          <w:sz w:val="22"/>
          <w:szCs w:val="22"/>
        </w:rPr>
        <w:t xml:space="preserve"> is calculated (taken from the IEEE 1366-2003 Standard) </w:t>
      </w:r>
    </w:p>
    <w:p w:rsidR="00502178" w:rsidRPr="005201D2" w:rsidRDefault="00502178" w:rsidP="00502178">
      <w:pPr>
        <w:autoSpaceDE w:val="0"/>
        <w:autoSpaceDN w:val="0"/>
        <w:adjustRightInd w:val="0"/>
        <w:rPr>
          <w:rFonts w:ascii="Arial" w:hAnsi="Arial" w:cs="Arial"/>
          <w:sz w:val="22"/>
          <w:szCs w:val="22"/>
        </w:rPr>
      </w:pPr>
      <w:r w:rsidRPr="005201D2">
        <w:rPr>
          <w:rFonts w:ascii="Arial" w:hAnsi="Arial" w:cs="Arial"/>
          <w:sz w:val="22"/>
          <w:szCs w:val="22"/>
        </w:rPr>
        <w:t>The major event day identification threshold value, T</w:t>
      </w:r>
      <w:r w:rsidRPr="005201D2">
        <w:rPr>
          <w:rFonts w:ascii="Arial" w:hAnsi="Arial" w:cs="Arial"/>
          <w:sz w:val="22"/>
          <w:szCs w:val="22"/>
          <w:vertAlign w:val="subscript"/>
        </w:rPr>
        <w:t>MED</w:t>
      </w:r>
      <w:r w:rsidRPr="005201D2">
        <w:rPr>
          <w:rFonts w:ascii="Arial" w:hAnsi="Arial" w:cs="Arial"/>
          <w:sz w:val="22"/>
          <w:szCs w:val="22"/>
        </w:rPr>
        <w:t>, is calculated at the end of each reporting period (typically one year) for use during the next reporting period as follows:</w:t>
      </w:r>
    </w:p>
    <w:p w:rsidR="00502178" w:rsidRPr="005201D2" w:rsidRDefault="00502178" w:rsidP="00502178">
      <w:pPr>
        <w:autoSpaceDE w:val="0"/>
        <w:autoSpaceDN w:val="0"/>
        <w:adjustRightInd w:val="0"/>
        <w:ind w:left="720"/>
        <w:rPr>
          <w:rFonts w:ascii="Arial" w:hAnsi="Arial" w:cs="Arial"/>
          <w:sz w:val="22"/>
          <w:szCs w:val="22"/>
        </w:rPr>
      </w:pPr>
      <w:r w:rsidRPr="005201D2">
        <w:rPr>
          <w:rFonts w:ascii="Arial" w:hAnsi="Arial" w:cs="Arial"/>
          <w:sz w:val="22"/>
          <w:szCs w:val="22"/>
        </w:rPr>
        <w:t>a) Collect values of daily SAIDI for five sequential years ending on the last day of the last complete reporting period. If fewer than five years of historical data are available, use all available historical data until five years of historical data are available.</w:t>
      </w:r>
    </w:p>
    <w:p w:rsidR="00502178" w:rsidRPr="005201D2" w:rsidRDefault="00502178" w:rsidP="00502178">
      <w:pPr>
        <w:autoSpaceDE w:val="0"/>
        <w:autoSpaceDN w:val="0"/>
        <w:adjustRightInd w:val="0"/>
        <w:ind w:left="720"/>
        <w:rPr>
          <w:rFonts w:ascii="Arial" w:hAnsi="Arial" w:cs="Arial"/>
          <w:sz w:val="22"/>
          <w:szCs w:val="22"/>
        </w:rPr>
      </w:pPr>
      <w:r w:rsidRPr="005201D2">
        <w:rPr>
          <w:rFonts w:ascii="Arial" w:hAnsi="Arial" w:cs="Arial"/>
          <w:sz w:val="22"/>
          <w:szCs w:val="22"/>
        </w:rPr>
        <w:t>b) Only those days that have a SAIDI/Day value will be used to calculate the T</w:t>
      </w:r>
      <w:r w:rsidRPr="005201D2">
        <w:rPr>
          <w:rFonts w:ascii="Arial" w:hAnsi="Arial" w:cs="Arial"/>
          <w:sz w:val="22"/>
          <w:szCs w:val="22"/>
          <w:vertAlign w:val="subscript"/>
        </w:rPr>
        <w:t>MED</w:t>
      </w:r>
      <w:r w:rsidRPr="005201D2">
        <w:rPr>
          <w:rFonts w:ascii="Arial" w:hAnsi="Arial" w:cs="Arial"/>
          <w:sz w:val="22"/>
          <w:szCs w:val="22"/>
        </w:rPr>
        <w:t xml:space="preserve"> (do not include days that did not have any interruptions).</w:t>
      </w:r>
    </w:p>
    <w:p w:rsidR="00502178" w:rsidRPr="005201D2" w:rsidRDefault="00502178" w:rsidP="00502178">
      <w:pPr>
        <w:autoSpaceDE w:val="0"/>
        <w:autoSpaceDN w:val="0"/>
        <w:adjustRightInd w:val="0"/>
        <w:ind w:firstLine="720"/>
        <w:rPr>
          <w:rFonts w:ascii="Arial" w:hAnsi="Arial" w:cs="Arial"/>
          <w:sz w:val="22"/>
          <w:szCs w:val="22"/>
        </w:rPr>
      </w:pPr>
      <w:r w:rsidRPr="005201D2">
        <w:rPr>
          <w:rFonts w:ascii="Arial" w:hAnsi="Arial" w:cs="Arial"/>
          <w:sz w:val="22"/>
          <w:szCs w:val="22"/>
        </w:rPr>
        <w:t>c) Take the natural logarithm (ln) of each daily SAIDI value in the data set.</w:t>
      </w:r>
    </w:p>
    <w:p w:rsidR="00502178" w:rsidRPr="005201D2" w:rsidRDefault="00502178" w:rsidP="00502178">
      <w:pPr>
        <w:autoSpaceDE w:val="0"/>
        <w:autoSpaceDN w:val="0"/>
        <w:adjustRightInd w:val="0"/>
        <w:ind w:left="720"/>
        <w:rPr>
          <w:rFonts w:ascii="Arial" w:hAnsi="Arial" w:cs="Arial"/>
          <w:sz w:val="22"/>
          <w:szCs w:val="22"/>
        </w:rPr>
      </w:pPr>
      <w:r w:rsidRPr="005201D2">
        <w:rPr>
          <w:rFonts w:ascii="Arial" w:hAnsi="Arial" w:cs="Arial"/>
          <w:sz w:val="22"/>
          <w:szCs w:val="22"/>
        </w:rPr>
        <w:t xml:space="preserve">d) Find </w:t>
      </w:r>
      <w:r w:rsidRPr="005201D2">
        <w:rPr>
          <w:rFonts w:ascii="GreekC" w:hAnsi="GreekC" w:cs="GreekC"/>
          <w:sz w:val="22"/>
          <w:szCs w:val="22"/>
        </w:rPr>
        <w:t>a</w:t>
      </w:r>
      <w:proofErr w:type="gramStart"/>
      <w:r w:rsidRPr="005201D2">
        <w:rPr>
          <w:rFonts w:ascii="Arial" w:hAnsi="Arial" w:cs="Arial"/>
          <w:sz w:val="22"/>
          <w:szCs w:val="22"/>
        </w:rPr>
        <w:t>(</w:t>
      </w:r>
      <w:proofErr w:type="gramEnd"/>
      <w:r w:rsidRPr="005201D2">
        <w:rPr>
          <w:rFonts w:ascii="Arial" w:hAnsi="Arial" w:cs="Arial"/>
          <w:sz w:val="22"/>
          <w:szCs w:val="22"/>
        </w:rPr>
        <w:t>Alpha), the average of the logarithms (also known as the log-average) of the data set.</w:t>
      </w:r>
    </w:p>
    <w:p w:rsidR="00502178" w:rsidRPr="005201D2" w:rsidRDefault="00502178" w:rsidP="00502178">
      <w:pPr>
        <w:autoSpaceDE w:val="0"/>
        <w:autoSpaceDN w:val="0"/>
        <w:adjustRightInd w:val="0"/>
        <w:ind w:left="720"/>
        <w:rPr>
          <w:rFonts w:ascii="Arial" w:hAnsi="Arial" w:cs="Arial"/>
          <w:sz w:val="22"/>
          <w:szCs w:val="22"/>
        </w:rPr>
      </w:pPr>
      <w:r w:rsidRPr="005201D2">
        <w:rPr>
          <w:rFonts w:ascii="Arial" w:hAnsi="Arial" w:cs="Arial"/>
          <w:sz w:val="22"/>
          <w:szCs w:val="22"/>
        </w:rPr>
        <w:t xml:space="preserve">e) Find </w:t>
      </w:r>
      <w:r w:rsidRPr="005201D2">
        <w:rPr>
          <w:rFonts w:ascii="GreekC" w:hAnsi="GreekC" w:cs="GreekC"/>
          <w:sz w:val="22"/>
          <w:szCs w:val="22"/>
        </w:rPr>
        <w:t>b</w:t>
      </w:r>
      <w:proofErr w:type="gramStart"/>
      <w:r w:rsidRPr="005201D2">
        <w:rPr>
          <w:rFonts w:ascii="Arial" w:hAnsi="Arial" w:cs="Arial"/>
          <w:sz w:val="22"/>
          <w:szCs w:val="22"/>
        </w:rPr>
        <w:t>(</w:t>
      </w:r>
      <w:proofErr w:type="gramEnd"/>
      <w:r w:rsidRPr="005201D2">
        <w:rPr>
          <w:rFonts w:ascii="Arial" w:hAnsi="Arial" w:cs="Arial"/>
          <w:sz w:val="22"/>
          <w:szCs w:val="22"/>
        </w:rPr>
        <w:t>Beta), the standard deviation of the logarithms (also known as the log-standard deviation) of the data set.</w:t>
      </w:r>
    </w:p>
    <w:p w:rsidR="00502178" w:rsidRPr="005201D2" w:rsidRDefault="00502178" w:rsidP="00502178">
      <w:pPr>
        <w:autoSpaceDE w:val="0"/>
        <w:autoSpaceDN w:val="0"/>
        <w:adjustRightInd w:val="0"/>
        <w:ind w:firstLine="720"/>
        <w:rPr>
          <w:rFonts w:ascii="Arial" w:hAnsi="Arial" w:cs="Arial"/>
          <w:sz w:val="22"/>
          <w:szCs w:val="22"/>
        </w:rPr>
      </w:pPr>
      <w:r w:rsidRPr="005201D2">
        <w:rPr>
          <w:rFonts w:ascii="Arial" w:hAnsi="Arial" w:cs="Arial"/>
          <w:sz w:val="22"/>
          <w:szCs w:val="22"/>
        </w:rPr>
        <w:t>f) Compute the major event day threshold, TMED, using equation (25).</w:t>
      </w:r>
    </w:p>
    <w:p w:rsidR="00502178" w:rsidRPr="005201D2" w:rsidRDefault="00502178" w:rsidP="00502178">
      <w:pPr>
        <w:autoSpaceDE w:val="0"/>
        <w:autoSpaceDN w:val="0"/>
        <w:adjustRightInd w:val="0"/>
        <w:ind w:firstLine="720"/>
        <w:rPr>
          <w:rFonts w:ascii="Arial" w:hAnsi="Arial" w:cs="Arial"/>
          <w:sz w:val="22"/>
          <w:szCs w:val="22"/>
        </w:rPr>
      </w:pPr>
    </w:p>
    <w:p w:rsidR="00502178" w:rsidRDefault="00502178" w:rsidP="00502178">
      <w:pPr>
        <w:autoSpaceDE w:val="0"/>
        <w:autoSpaceDN w:val="0"/>
        <w:adjustRightInd w:val="0"/>
        <w:ind w:left="720" w:firstLine="720"/>
        <w:rPr>
          <w:sz w:val="20"/>
        </w:rPr>
      </w:pPr>
      <w:r w:rsidRPr="005201D2">
        <w:rPr>
          <w:sz w:val="22"/>
          <w:szCs w:val="22"/>
        </w:rPr>
        <w:t>T</w:t>
      </w:r>
      <w:r w:rsidRPr="005201D2">
        <w:rPr>
          <w:i/>
          <w:iCs/>
          <w:sz w:val="22"/>
          <w:szCs w:val="22"/>
          <w:vertAlign w:val="subscript"/>
        </w:rPr>
        <w:t>MED</w:t>
      </w:r>
      <w:r w:rsidRPr="005201D2">
        <w:rPr>
          <w:i/>
          <w:iCs/>
          <w:sz w:val="22"/>
          <w:szCs w:val="22"/>
        </w:rPr>
        <w:t xml:space="preserve"> = e</w:t>
      </w:r>
      <w:r w:rsidRPr="005201D2">
        <w:rPr>
          <w:rFonts w:ascii="Symbol" w:hAnsi="Symbol" w:cs="Symbol"/>
          <w:sz w:val="22"/>
          <w:szCs w:val="22"/>
          <w:vertAlign w:val="superscript"/>
        </w:rPr>
        <w:t></w:t>
      </w:r>
      <w:r w:rsidRPr="005201D2">
        <w:rPr>
          <w:rFonts w:ascii="GreekC" w:hAnsi="GreekC" w:cs="GreekC"/>
          <w:sz w:val="22"/>
          <w:szCs w:val="22"/>
          <w:vertAlign w:val="superscript"/>
        </w:rPr>
        <w:t>a</w:t>
      </w:r>
      <w:r w:rsidRPr="005201D2">
        <w:rPr>
          <w:rFonts w:ascii="Symbol" w:hAnsi="Symbol" w:cs="Symbol"/>
          <w:sz w:val="22"/>
          <w:szCs w:val="22"/>
          <w:vertAlign w:val="superscript"/>
        </w:rPr>
        <w:t></w:t>
      </w:r>
      <w:r w:rsidRPr="005201D2">
        <w:rPr>
          <w:rFonts w:ascii="Symbol" w:hAnsi="Symbol" w:cs="Symbol"/>
          <w:sz w:val="22"/>
          <w:szCs w:val="22"/>
          <w:vertAlign w:val="superscript"/>
        </w:rPr>
        <w:t></w:t>
      </w:r>
      <w:r w:rsidRPr="005201D2">
        <w:rPr>
          <w:sz w:val="22"/>
          <w:szCs w:val="22"/>
          <w:vertAlign w:val="superscript"/>
        </w:rPr>
        <w:t xml:space="preserve">2.5 </w:t>
      </w:r>
      <w:r w:rsidRPr="005201D2">
        <w:rPr>
          <w:rFonts w:ascii="GreekC" w:hAnsi="GreekC" w:cs="GreekC"/>
          <w:sz w:val="22"/>
          <w:szCs w:val="22"/>
          <w:vertAlign w:val="superscript"/>
        </w:rPr>
        <w:t>b</w:t>
      </w:r>
      <w:r w:rsidRPr="005201D2">
        <w:rPr>
          <w:rFonts w:ascii="Symbol" w:hAnsi="Symbol" w:cs="Symbol"/>
          <w:sz w:val="22"/>
          <w:szCs w:val="22"/>
          <w:vertAlign w:val="superscript"/>
        </w:rPr>
        <w:t></w:t>
      </w:r>
      <w:r w:rsidRPr="005201D2">
        <w:rPr>
          <w:rFonts w:ascii="Symbol" w:hAnsi="Symbol" w:cs="Symbol"/>
          <w:sz w:val="22"/>
          <w:szCs w:val="22"/>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Pr>
          <w:rFonts w:ascii="Symbol" w:hAnsi="Symbol" w:cs="Symbol"/>
          <w:sz w:val="18"/>
          <w:szCs w:val="18"/>
        </w:rPr>
        <w:tab/>
      </w:r>
      <w:r w:rsidRPr="00837519">
        <w:rPr>
          <w:rFonts w:ascii="Arial" w:hAnsi="Arial" w:cs="Arial"/>
          <w:sz w:val="20"/>
        </w:rPr>
        <w:t>(25)</w:t>
      </w:r>
    </w:p>
    <w:p w:rsidR="00502178" w:rsidRPr="00837519" w:rsidRDefault="00502178" w:rsidP="00502178">
      <w:pPr>
        <w:autoSpaceDE w:val="0"/>
        <w:autoSpaceDN w:val="0"/>
        <w:adjustRightInd w:val="0"/>
        <w:rPr>
          <w:rFonts w:ascii="Arial" w:hAnsi="Arial" w:cs="Arial"/>
          <w:sz w:val="20"/>
        </w:rPr>
      </w:pPr>
    </w:p>
    <w:p w:rsidR="003C7217" w:rsidRDefault="00502178" w:rsidP="002D5929">
      <w:pPr>
        <w:autoSpaceDE w:val="0"/>
        <w:autoSpaceDN w:val="0"/>
        <w:adjustRightInd w:val="0"/>
        <w:jc w:val="both"/>
      </w:pPr>
      <w:r w:rsidRPr="00837519">
        <w:t>g) Any day with daily SAIDI greater than the threshold value TMED that occurs during the subsequent</w:t>
      </w:r>
      <w:r>
        <w:t xml:space="preserve"> </w:t>
      </w:r>
      <w:r w:rsidRPr="00837519">
        <w:t>reporting period is classified as a major event day.</w:t>
      </w:r>
      <w:r w:rsidR="005B1688">
        <w:t xml:space="preserve"> </w:t>
      </w:r>
      <w:r w:rsidRPr="005B1688">
        <w:t>Activities that occur on days classified as</w:t>
      </w:r>
      <w:r w:rsidR="003C7217">
        <w:t xml:space="preserve"> major event days </w:t>
      </w:r>
      <w:r w:rsidRPr="005B1688">
        <w:t>shoul</w:t>
      </w:r>
      <w:r w:rsidR="003C7217">
        <w:t xml:space="preserve">d be separately analyzed and </w:t>
      </w:r>
      <w:r w:rsidRPr="005B1688">
        <w:t>reported.</w:t>
      </w:r>
    </w:p>
    <w:p w:rsidR="002D5929" w:rsidRDefault="003A5969" w:rsidP="007604DD">
      <w:pPr>
        <w:pStyle w:val="Heading1"/>
        <w:rPr>
          <w:rStyle w:val="Heading3Char"/>
        </w:rPr>
      </w:pPr>
      <w:r>
        <w:br w:type="page"/>
      </w:r>
      <w:bookmarkStart w:id="425" w:name="_Toc98906803"/>
      <w:bookmarkStart w:id="426" w:name="_Toc165342486"/>
      <w:bookmarkStart w:id="427" w:name="_Toc193711055"/>
      <w:bookmarkStart w:id="428" w:name="_Toc227571650"/>
      <w:bookmarkStart w:id="429" w:name="_Toc354493067"/>
      <w:r w:rsidRPr="007604DD">
        <w:t>Numbers of Customers Served</w:t>
      </w:r>
      <w:bookmarkEnd w:id="416"/>
      <w:bookmarkEnd w:id="425"/>
      <w:bookmarkEnd w:id="426"/>
      <w:bookmarkEnd w:id="427"/>
      <w:bookmarkEnd w:id="428"/>
      <w:bookmarkEnd w:id="429"/>
    </w:p>
    <w:p w:rsidR="002D5929" w:rsidRDefault="002D5929" w:rsidP="002D5929">
      <w:pPr>
        <w:autoSpaceDE w:val="0"/>
        <w:autoSpaceDN w:val="0"/>
        <w:adjustRightInd w:val="0"/>
        <w:jc w:val="both"/>
      </w:pPr>
    </w:p>
    <w:p w:rsidR="003A5969" w:rsidRDefault="003A5969" w:rsidP="002D5929">
      <w:r>
        <w:t>The following numbers of customers were based on the customers served at the beginning of the year. These numbers were used to calculate indices for this report.</w:t>
      </w:r>
    </w:p>
    <w:p w:rsidR="00473AE9" w:rsidRDefault="00473AE9" w:rsidP="002D5929"/>
    <w:p w:rsidR="00473AE9" w:rsidRPr="00473AE9" w:rsidRDefault="00473AE9" w:rsidP="008708C0">
      <w:pPr>
        <w:pStyle w:val="Heading4"/>
      </w:pPr>
      <w:bookmarkStart w:id="430" w:name="_Toc354493068"/>
      <w:r w:rsidRPr="00473AE9">
        <w:t>Table 1</w:t>
      </w:r>
      <w:r>
        <w:t>3</w:t>
      </w:r>
      <w:r w:rsidRPr="00473AE9">
        <w:t>.1 – Numbers of Customers Served</w:t>
      </w:r>
      <w:bookmarkEnd w:id="430"/>
    </w:p>
    <w:p w:rsidR="003A5969" w:rsidRDefault="003A5969"/>
    <w:tbl>
      <w:tblPr>
        <w:tblW w:w="7373" w:type="dxa"/>
        <w:jc w:val="center"/>
        <w:tblInd w:w="113" w:type="dxa"/>
        <w:tblCellMar>
          <w:left w:w="0" w:type="dxa"/>
          <w:right w:w="0" w:type="dxa"/>
        </w:tblCellMar>
        <w:tblLook w:val="0000"/>
      </w:tblPr>
      <w:tblGrid>
        <w:gridCol w:w="3076"/>
        <w:gridCol w:w="2197"/>
        <w:gridCol w:w="2100"/>
      </w:tblGrid>
      <w:tr w:rsidR="003A5969" w:rsidTr="0066095D">
        <w:trPr>
          <w:trHeight w:val="435"/>
          <w:jc w:val="center"/>
        </w:trPr>
        <w:tc>
          <w:tcPr>
            <w:tcW w:w="3076" w:type="dxa"/>
            <w:tcBorders>
              <w:top w:val="single" w:sz="18" w:space="0" w:color="auto"/>
              <w:left w:val="single" w:sz="18" w:space="0" w:color="auto"/>
              <w:bottom w:val="single" w:sz="18" w:space="0" w:color="auto"/>
              <w:right w:val="single" w:sz="6" w:space="0" w:color="auto"/>
            </w:tcBorders>
            <w:noWrap/>
            <w:vAlign w:val="center"/>
          </w:tcPr>
          <w:p w:rsidR="003A5969" w:rsidRDefault="003A5969">
            <w:pPr>
              <w:rPr>
                <w:rFonts w:ascii="Arial" w:eastAsia="Arial Unicode MS" w:hAnsi="Arial" w:cs="Arial"/>
                <w:b/>
                <w:bCs/>
                <w:sz w:val="32"/>
              </w:rPr>
            </w:pPr>
            <w:r>
              <w:rPr>
                <w:rFonts w:ascii="Arial" w:hAnsi="Arial" w:cs="Arial"/>
                <w:b/>
                <w:bCs/>
                <w:sz w:val="32"/>
              </w:rPr>
              <w:t>Office</w:t>
            </w:r>
          </w:p>
        </w:tc>
        <w:tc>
          <w:tcPr>
            <w:tcW w:w="2197" w:type="dxa"/>
            <w:tcBorders>
              <w:top w:val="single" w:sz="18" w:space="0" w:color="auto"/>
              <w:left w:val="single" w:sz="6" w:space="0" w:color="auto"/>
              <w:bottom w:val="single" w:sz="18" w:space="0" w:color="auto"/>
              <w:right w:val="single" w:sz="6" w:space="0" w:color="auto"/>
            </w:tcBorders>
            <w:noWrap/>
            <w:vAlign w:val="center"/>
          </w:tcPr>
          <w:p w:rsidR="003A5969" w:rsidRDefault="003A5969">
            <w:pPr>
              <w:jc w:val="center"/>
              <w:rPr>
                <w:rFonts w:ascii="Arial" w:eastAsia="Arial Unicode MS" w:hAnsi="Arial" w:cs="Arial"/>
                <w:b/>
                <w:bCs/>
                <w:sz w:val="32"/>
              </w:rPr>
            </w:pPr>
            <w:r>
              <w:rPr>
                <w:rFonts w:ascii="Arial" w:hAnsi="Arial" w:cs="Arial"/>
                <w:b/>
                <w:bCs/>
                <w:sz w:val="32"/>
              </w:rPr>
              <w:t>Customers</w:t>
            </w:r>
          </w:p>
        </w:tc>
        <w:tc>
          <w:tcPr>
            <w:tcW w:w="2100" w:type="dxa"/>
            <w:tcBorders>
              <w:top w:val="single" w:sz="18" w:space="0" w:color="auto"/>
              <w:left w:val="single" w:sz="6" w:space="0" w:color="auto"/>
              <w:bottom w:val="single" w:sz="18" w:space="0" w:color="auto"/>
              <w:right w:val="single" w:sz="18" w:space="0" w:color="auto"/>
            </w:tcBorders>
            <w:noWrap/>
            <w:vAlign w:val="center"/>
          </w:tcPr>
          <w:p w:rsidR="003A5969" w:rsidRDefault="003A5969">
            <w:pPr>
              <w:jc w:val="center"/>
              <w:rPr>
                <w:rFonts w:ascii="Arial" w:eastAsia="Arial Unicode MS" w:hAnsi="Arial" w:cs="Arial"/>
                <w:b/>
                <w:bCs/>
                <w:sz w:val="32"/>
              </w:rPr>
            </w:pPr>
            <w:r>
              <w:rPr>
                <w:rFonts w:ascii="Arial" w:hAnsi="Arial" w:cs="Arial"/>
                <w:b/>
                <w:bCs/>
                <w:sz w:val="32"/>
              </w:rPr>
              <w:t>% of Total</w:t>
            </w:r>
          </w:p>
        </w:tc>
      </w:tr>
      <w:tr w:rsidR="00DE4621" w:rsidTr="00EE46D6">
        <w:trPr>
          <w:trHeight w:val="288"/>
          <w:jc w:val="center"/>
        </w:trPr>
        <w:tc>
          <w:tcPr>
            <w:tcW w:w="0" w:type="auto"/>
            <w:tcBorders>
              <w:top w:val="single" w:sz="18"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Coeur d'Alene</w:t>
            </w:r>
          </w:p>
        </w:tc>
        <w:tc>
          <w:tcPr>
            <w:tcW w:w="2197" w:type="dxa"/>
            <w:tcBorders>
              <w:top w:val="single" w:sz="18"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50662</w:t>
            </w:r>
          </w:p>
        </w:tc>
        <w:tc>
          <w:tcPr>
            <w:tcW w:w="2100" w:type="dxa"/>
            <w:tcBorders>
              <w:top w:val="single" w:sz="18"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13.9%</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Colville</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19258</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5.3%</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Davenport</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5903</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1.6%</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Deer Park</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10738</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2.9%</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Grangeville</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10208</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2.8%</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Kellogg/St. Maries</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14377</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3.9%</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Lewis-Clark</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29536</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8.1%</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Othello</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6750</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1.8%</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Palouse</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38917</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10.6%</w:t>
            </w:r>
          </w:p>
        </w:tc>
      </w:tr>
      <w:tr w:rsidR="00DE4621" w:rsidTr="00EE46D6">
        <w:trPr>
          <w:trHeight w:val="288"/>
          <w:jc w:val="center"/>
        </w:trPr>
        <w:tc>
          <w:tcPr>
            <w:tcW w:w="0" w:type="auto"/>
            <w:tcBorders>
              <w:top w:val="single" w:sz="6" w:space="0" w:color="auto"/>
              <w:left w:val="single" w:sz="18" w:space="0" w:color="auto"/>
              <w:bottom w:val="single" w:sz="6"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Sandpoint</w:t>
            </w:r>
          </w:p>
        </w:tc>
        <w:tc>
          <w:tcPr>
            <w:tcW w:w="2197" w:type="dxa"/>
            <w:tcBorders>
              <w:top w:val="single" w:sz="6" w:space="0" w:color="auto"/>
              <w:left w:val="single" w:sz="6" w:space="0" w:color="auto"/>
              <w:bottom w:val="single" w:sz="6"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14736</w:t>
            </w:r>
          </w:p>
        </w:tc>
        <w:tc>
          <w:tcPr>
            <w:tcW w:w="2100" w:type="dxa"/>
            <w:tcBorders>
              <w:top w:val="single" w:sz="6" w:space="0" w:color="auto"/>
              <w:left w:val="single" w:sz="6" w:space="0" w:color="auto"/>
              <w:bottom w:val="single" w:sz="6"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4.0%</w:t>
            </w:r>
          </w:p>
        </w:tc>
      </w:tr>
      <w:tr w:rsidR="00DE4621" w:rsidTr="00EE46D6">
        <w:trPr>
          <w:trHeight w:val="288"/>
          <w:jc w:val="center"/>
        </w:trPr>
        <w:tc>
          <w:tcPr>
            <w:tcW w:w="0" w:type="auto"/>
            <w:tcBorders>
              <w:top w:val="single" w:sz="6" w:space="0" w:color="auto"/>
              <w:left w:val="single" w:sz="18" w:space="0" w:color="auto"/>
              <w:bottom w:val="single" w:sz="18" w:space="0" w:color="auto"/>
              <w:right w:val="single" w:sz="6" w:space="0" w:color="auto"/>
            </w:tcBorders>
            <w:noWrap/>
            <w:vAlign w:val="bottom"/>
          </w:tcPr>
          <w:p w:rsidR="00DE4621" w:rsidRPr="00DE4621" w:rsidRDefault="00DE4621">
            <w:pPr>
              <w:rPr>
                <w:rFonts w:ascii="Arial" w:eastAsia="Arial Unicode MS" w:hAnsi="Arial" w:cs="Arial"/>
                <w:szCs w:val="24"/>
              </w:rPr>
            </w:pPr>
            <w:r w:rsidRPr="00DE4621">
              <w:rPr>
                <w:rFonts w:ascii="Arial" w:hAnsi="Arial" w:cs="Arial"/>
                <w:szCs w:val="24"/>
              </w:rPr>
              <w:t>Spokane</w:t>
            </w:r>
          </w:p>
        </w:tc>
        <w:tc>
          <w:tcPr>
            <w:tcW w:w="2197" w:type="dxa"/>
            <w:tcBorders>
              <w:top w:val="single" w:sz="6" w:space="0" w:color="auto"/>
              <w:left w:val="single" w:sz="6" w:space="0" w:color="auto"/>
              <w:bottom w:val="single" w:sz="18" w:space="0" w:color="auto"/>
              <w:right w:val="single" w:sz="6"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164473</w:t>
            </w:r>
          </w:p>
        </w:tc>
        <w:tc>
          <w:tcPr>
            <w:tcW w:w="2100" w:type="dxa"/>
            <w:tcBorders>
              <w:top w:val="single" w:sz="6" w:space="0" w:color="auto"/>
              <w:left w:val="single" w:sz="6" w:space="0" w:color="auto"/>
              <w:bottom w:val="single" w:sz="18" w:space="0" w:color="auto"/>
              <w:right w:val="single" w:sz="18" w:space="0" w:color="auto"/>
            </w:tcBorders>
            <w:noWrap/>
            <w:vAlign w:val="bottom"/>
          </w:tcPr>
          <w:p w:rsidR="00DE4621" w:rsidRPr="00DE4621" w:rsidRDefault="00DE4621" w:rsidP="00DE4621">
            <w:pPr>
              <w:jc w:val="center"/>
              <w:rPr>
                <w:rFonts w:ascii="Arial" w:hAnsi="Arial" w:cs="Arial"/>
                <w:szCs w:val="24"/>
              </w:rPr>
            </w:pPr>
            <w:r w:rsidRPr="00DE4621">
              <w:rPr>
                <w:rFonts w:ascii="Arial" w:hAnsi="Arial" w:cs="Arial"/>
                <w:szCs w:val="24"/>
              </w:rPr>
              <w:t>45.0%</w:t>
            </w:r>
          </w:p>
        </w:tc>
      </w:tr>
      <w:tr w:rsidR="00E37F09" w:rsidTr="008B064F">
        <w:trPr>
          <w:trHeight w:val="288"/>
          <w:jc w:val="center"/>
        </w:trPr>
        <w:tc>
          <w:tcPr>
            <w:tcW w:w="0" w:type="auto"/>
            <w:tcBorders>
              <w:top w:val="single" w:sz="18" w:space="0" w:color="auto"/>
              <w:left w:val="single" w:sz="18" w:space="0" w:color="auto"/>
              <w:bottom w:val="single" w:sz="18" w:space="0" w:color="auto"/>
              <w:right w:val="single" w:sz="6" w:space="0" w:color="auto"/>
            </w:tcBorders>
            <w:noWrap/>
            <w:vAlign w:val="bottom"/>
          </w:tcPr>
          <w:p w:rsidR="00E37F09" w:rsidRPr="00DE4621" w:rsidRDefault="00E37F09">
            <w:pPr>
              <w:rPr>
                <w:rFonts w:ascii="Arial" w:eastAsia="Arial Unicode MS" w:hAnsi="Arial" w:cs="Arial"/>
                <w:b/>
                <w:bCs/>
                <w:szCs w:val="24"/>
              </w:rPr>
            </w:pPr>
            <w:r w:rsidRPr="00DE4621">
              <w:rPr>
                <w:rFonts w:ascii="Arial" w:hAnsi="Arial" w:cs="Arial"/>
                <w:b/>
                <w:bCs/>
                <w:szCs w:val="24"/>
              </w:rPr>
              <w:t>System Total</w:t>
            </w:r>
          </w:p>
        </w:tc>
        <w:tc>
          <w:tcPr>
            <w:tcW w:w="2197" w:type="dxa"/>
            <w:tcBorders>
              <w:top w:val="single" w:sz="18" w:space="0" w:color="auto"/>
              <w:left w:val="single" w:sz="6" w:space="0" w:color="auto"/>
              <w:bottom w:val="single" w:sz="18" w:space="0" w:color="auto"/>
              <w:right w:val="single" w:sz="6" w:space="0" w:color="auto"/>
            </w:tcBorders>
            <w:noWrap/>
            <w:vAlign w:val="bottom"/>
          </w:tcPr>
          <w:p w:rsidR="00E37F09" w:rsidRPr="00DE4621" w:rsidRDefault="00DE4621" w:rsidP="00DE4621">
            <w:pPr>
              <w:jc w:val="center"/>
              <w:rPr>
                <w:rFonts w:ascii="Arial" w:hAnsi="Arial" w:cs="Arial"/>
                <w:b/>
                <w:bCs/>
                <w:szCs w:val="24"/>
              </w:rPr>
            </w:pPr>
            <w:r w:rsidRPr="00DE4621">
              <w:rPr>
                <w:rFonts w:ascii="Arial" w:hAnsi="Arial" w:cs="Arial"/>
                <w:b/>
                <w:bCs/>
                <w:szCs w:val="24"/>
              </w:rPr>
              <w:t>365558</w:t>
            </w:r>
          </w:p>
        </w:tc>
        <w:tc>
          <w:tcPr>
            <w:tcW w:w="2100" w:type="dxa"/>
            <w:tcBorders>
              <w:top w:val="single" w:sz="18" w:space="0" w:color="auto"/>
              <w:left w:val="single" w:sz="6" w:space="0" w:color="auto"/>
              <w:bottom w:val="single" w:sz="18" w:space="0" w:color="auto"/>
              <w:right w:val="single" w:sz="18" w:space="0" w:color="auto"/>
            </w:tcBorders>
            <w:noWrap/>
            <w:vAlign w:val="bottom"/>
          </w:tcPr>
          <w:p w:rsidR="00E37F09" w:rsidRDefault="00E37F09">
            <w:pPr>
              <w:jc w:val="center"/>
              <w:rPr>
                <w:rFonts w:ascii="Arial" w:eastAsia="Arial Unicode MS" w:hAnsi="Arial" w:cs="Arial"/>
                <w:sz w:val="20"/>
              </w:rPr>
            </w:pPr>
          </w:p>
        </w:tc>
      </w:tr>
    </w:tbl>
    <w:p w:rsidR="003A5969" w:rsidRDefault="003A5969"/>
    <w:p w:rsidR="00085A4C" w:rsidRDefault="00085A4C" w:rsidP="00085A4C">
      <w:pPr>
        <w:pStyle w:val="Default"/>
        <w:rPr>
          <w:b/>
          <w:bCs/>
          <w:sz w:val="23"/>
          <w:szCs w:val="23"/>
        </w:rPr>
      </w:pPr>
    </w:p>
    <w:p w:rsidR="007E28BD" w:rsidRDefault="002A4EB3">
      <w:pPr>
        <w:pStyle w:val="Heading1"/>
      </w:pPr>
      <w:bookmarkStart w:id="431" w:name="_Toc354493069"/>
      <w:r w:rsidRPr="002A4EB3">
        <w:t>Attachment 1 – SAIDI and SAIFI Historical Summary</w:t>
      </w:r>
      <w:bookmarkEnd w:id="431"/>
      <w:r w:rsidRPr="002A4EB3">
        <w:t xml:space="preserve"> </w:t>
      </w:r>
    </w:p>
    <w:p w:rsidR="00085A4C" w:rsidRDefault="00085A4C" w:rsidP="00085A4C">
      <w:pPr>
        <w:rPr>
          <w:sz w:val="23"/>
          <w:szCs w:val="23"/>
        </w:rPr>
      </w:pPr>
    </w:p>
    <w:p w:rsidR="00085A4C" w:rsidRDefault="00085A4C" w:rsidP="00085A4C">
      <w:pPr>
        <w:rPr>
          <w:sz w:val="23"/>
          <w:szCs w:val="23"/>
        </w:rPr>
      </w:pPr>
      <w:r w:rsidRPr="00085A4C">
        <w:rPr>
          <w:sz w:val="23"/>
          <w:szCs w:val="23"/>
        </w:rPr>
        <w:t>See attachment.</w:t>
      </w:r>
    </w:p>
    <w:p w:rsidR="00085A4C" w:rsidRDefault="00085A4C" w:rsidP="00085A4C">
      <w:pPr>
        <w:rPr>
          <w:sz w:val="23"/>
          <w:szCs w:val="23"/>
        </w:rPr>
      </w:pPr>
    </w:p>
    <w:p w:rsidR="00085A4C" w:rsidRDefault="00085A4C" w:rsidP="00085A4C">
      <w:pPr>
        <w:rPr>
          <w:sz w:val="23"/>
          <w:szCs w:val="23"/>
        </w:rPr>
      </w:pPr>
    </w:p>
    <w:p w:rsidR="007E28BD" w:rsidRDefault="002A4EB3">
      <w:pPr>
        <w:pStyle w:val="Heading1"/>
      </w:pPr>
      <w:bookmarkStart w:id="432" w:name="_Toc354493070"/>
      <w:r w:rsidRPr="002A4EB3">
        <w:t>Company Contact</w:t>
      </w:r>
      <w:bookmarkEnd w:id="432"/>
    </w:p>
    <w:p w:rsidR="00085A4C" w:rsidRDefault="00085A4C" w:rsidP="00085A4C">
      <w:pPr>
        <w:autoSpaceDE w:val="0"/>
        <w:autoSpaceDN w:val="0"/>
        <w:adjustRightInd w:val="0"/>
        <w:jc w:val="both"/>
        <w:rPr>
          <w:rStyle w:val="Heading1Char"/>
        </w:rPr>
      </w:pPr>
    </w:p>
    <w:p w:rsidR="00085A4C" w:rsidRDefault="00085A4C" w:rsidP="00085A4C">
      <w:pPr>
        <w:autoSpaceDE w:val="0"/>
        <w:autoSpaceDN w:val="0"/>
        <w:adjustRightInd w:val="0"/>
        <w:rPr>
          <w:color w:val="000000"/>
          <w:sz w:val="23"/>
          <w:szCs w:val="23"/>
        </w:rPr>
      </w:pPr>
      <w:r w:rsidRPr="00085A4C">
        <w:rPr>
          <w:color w:val="000000"/>
          <w:sz w:val="23"/>
          <w:szCs w:val="23"/>
        </w:rPr>
        <w:t xml:space="preserve">For further information regarding this document, please contact: </w:t>
      </w:r>
    </w:p>
    <w:p w:rsidR="00085A4C" w:rsidRPr="00085A4C" w:rsidRDefault="00085A4C" w:rsidP="00085A4C">
      <w:pPr>
        <w:autoSpaceDE w:val="0"/>
        <w:autoSpaceDN w:val="0"/>
        <w:adjustRightInd w:val="0"/>
        <w:rPr>
          <w:color w:val="000000"/>
          <w:sz w:val="23"/>
          <w:szCs w:val="23"/>
        </w:rPr>
      </w:pP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b/>
          <w:bCs/>
          <w:color w:val="000000"/>
          <w:sz w:val="23"/>
          <w:szCs w:val="23"/>
        </w:rPr>
        <w:t xml:space="preserve">WUTC Electric Service Reliability Report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b/>
          <w:bCs/>
          <w:color w:val="000000"/>
          <w:sz w:val="23"/>
          <w:szCs w:val="23"/>
        </w:rPr>
        <w:t xml:space="preserve">Avista Utilities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E. 1411 Mission Avenue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Spokane, WA 99220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(509) 495 - </w:t>
      </w:r>
      <w:r w:rsidR="001049BF">
        <w:rPr>
          <w:rFonts w:ascii="Arial" w:hAnsi="Arial" w:cs="Arial"/>
          <w:color w:val="000000"/>
          <w:sz w:val="23"/>
          <w:szCs w:val="23"/>
        </w:rPr>
        <w:t>4580</w:t>
      </w:r>
      <w:r w:rsidRPr="00085A4C">
        <w:rPr>
          <w:rFonts w:ascii="Arial" w:hAnsi="Arial" w:cs="Arial"/>
          <w:color w:val="000000"/>
          <w:sz w:val="23"/>
          <w:szCs w:val="23"/>
        </w:rPr>
        <w:t xml:space="preserve"> (phone) </w:t>
      </w:r>
    </w:p>
    <w:p w:rsidR="00085A4C" w:rsidRPr="00085A4C" w:rsidRDefault="00085A4C" w:rsidP="00085A4C">
      <w:pPr>
        <w:autoSpaceDE w:val="0"/>
        <w:autoSpaceDN w:val="0"/>
        <w:adjustRightInd w:val="0"/>
        <w:rPr>
          <w:rFonts w:ascii="Arial" w:hAnsi="Arial" w:cs="Arial"/>
          <w:color w:val="000000"/>
          <w:sz w:val="23"/>
          <w:szCs w:val="23"/>
        </w:rPr>
      </w:pPr>
      <w:r w:rsidRPr="00085A4C">
        <w:rPr>
          <w:rFonts w:ascii="Arial" w:hAnsi="Arial" w:cs="Arial"/>
          <w:color w:val="000000"/>
          <w:sz w:val="23"/>
          <w:szCs w:val="23"/>
        </w:rPr>
        <w:t xml:space="preserve">(509) 495 - 4975 (phone) </w:t>
      </w:r>
    </w:p>
    <w:p w:rsidR="00085A4C" w:rsidRPr="00085A4C" w:rsidRDefault="00085A4C" w:rsidP="00085A4C">
      <w:pPr>
        <w:autoSpaceDE w:val="0"/>
        <w:autoSpaceDN w:val="0"/>
        <w:adjustRightInd w:val="0"/>
        <w:jc w:val="both"/>
        <w:rPr>
          <w:rStyle w:val="Heading1Char"/>
        </w:rPr>
      </w:pPr>
      <w:r w:rsidRPr="00085A4C">
        <w:rPr>
          <w:rFonts w:ascii="Arial" w:hAnsi="Arial" w:cs="Arial"/>
          <w:color w:val="000000"/>
          <w:sz w:val="23"/>
          <w:szCs w:val="23"/>
        </w:rPr>
        <w:t>(509) 495 - 4060 (</w:t>
      </w:r>
      <w:r>
        <w:rPr>
          <w:rFonts w:ascii="Arial" w:hAnsi="Arial" w:cs="Arial"/>
          <w:color w:val="000000"/>
          <w:sz w:val="23"/>
          <w:szCs w:val="23"/>
        </w:rPr>
        <w:t>fax)</w:t>
      </w:r>
    </w:p>
    <w:sectPr w:rsidR="00085A4C" w:rsidRPr="00085A4C" w:rsidSect="002A49F9">
      <w:pgSz w:w="12240" w:h="15840" w:code="1"/>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5DBE" w:rsidRDefault="00055DBE">
      <w:r>
        <w:separator/>
      </w:r>
    </w:p>
  </w:endnote>
  <w:endnote w:type="continuationSeparator" w:id="0">
    <w:p w:rsidR="00055DBE" w:rsidRDefault="00055DB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GreekC">
    <w:altName w:val="Courier New"/>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E" w:rsidRDefault="00B7542A">
    <w:pPr>
      <w:pStyle w:val="Footer"/>
      <w:framePr w:wrap="around" w:vAnchor="text" w:hAnchor="margin" w:xAlign="right" w:y="1"/>
      <w:rPr>
        <w:rStyle w:val="PageNumber"/>
      </w:rPr>
    </w:pPr>
    <w:r>
      <w:rPr>
        <w:rStyle w:val="PageNumber"/>
      </w:rPr>
      <w:fldChar w:fldCharType="begin"/>
    </w:r>
    <w:r w:rsidR="00055DBE">
      <w:rPr>
        <w:rStyle w:val="PageNumber"/>
      </w:rPr>
      <w:instrText xml:space="preserve">PAGE  </w:instrText>
    </w:r>
    <w:r>
      <w:rPr>
        <w:rStyle w:val="PageNumber"/>
      </w:rPr>
      <w:fldChar w:fldCharType="separate"/>
    </w:r>
    <w:r w:rsidR="00EB71BB">
      <w:rPr>
        <w:rStyle w:val="PageNumber"/>
        <w:noProof/>
      </w:rPr>
      <w:t>1</w:t>
    </w:r>
    <w:r>
      <w:rPr>
        <w:rStyle w:val="PageNumber"/>
      </w:rPr>
      <w:fldChar w:fldCharType="end"/>
    </w:r>
  </w:p>
  <w:p w:rsidR="00055DBE" w:rsidRDefault="00055DBE">
    <w:pPr>
      <w:pStyle w:val="Footer"/>
      <w:tabs>
        <w:tab w:val="clear" w:pos="8640"/>
        <w:tab w:val="right" w:pos="9450"/>
      </w:tabs>
      <w:ind w:right="360"/>
      <w:rPr>
        <w:rFonts w:ascii="Tahoma" w:hAnsi="Tahoma"/>
        <w:color w:val="999999"/>
        <w:sz w:val="20"/>
      </w:rPr>
    </w:pPr>
    <w:r>
      <w:rPr>
        <w:rFonts w:ascii="Tahoma" w:hAnsi="Tahoma"/>
        <w:color w:val="999999"/>
        <w:sz w:val="20"/>
      </w:rPr>
      <w:t xml:space="preserve">Avista Utilities </w:t>
    </w:r>
  </w:p>
  <w:p w:rsidR="00055DBE" w:rsidRDefault="00055DBE">
    <w:pPr>
      <w:pStyle w:val="Footer"/>
      <w:tabs>
        <w:tab w:val="clear" w:pos="8640"/>
        <w:tab w:val="right" w:pos="9450"/>
      </w:tabs>
      <w:ind w:right="360"/>
      <w:rPr>
        <w:rFonts w:ascii="Tahoma" w:hAnsi="Tahoma" w:cs="Tahoma"/>
        <w:color w:val="999999"/>
        <w:sz w:val="20"/>
      </w:rPr>
    </w:pPr>
    <w:r>
      <w:rPr>
        <w:rFonts w:ascii="Tahoma" w:hAnsi="Tahoma" w:cs="Tahoma"/>
        <w:color w:val="999999"/>
        <w:sz w:val="20"/>
      </w:rPr>
      <w:t xml:space="preserve">2012 </w:t>
    </w:r>
    <w:r w:rsidR="00153AE4">
      <w:rPr>
        <w:rFonts w:ascii="Tahoma" w:hAnsi="Tahoma" w:cs="Tahoma"/>
        <w:color w:val="999999"/>
        <w:sz w:val="20"/>
      </w:rPr>
      <w:t xml:space="preserve">Electric </w:t>
    </w:r>
    <w:r>
      <w:rPr>
        <w:rFonts w:ascii="Tahoma" w:hAnsi="Tahoma" w:cs="Tahoma"/>
        <w:color w:val="999999"/>
        <w:sz w:val="20"/>
      </w:rPr>
      <w:t>Service Reliability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5DBE" w:rsidRDefault="00055DBE">
      <w:r>
        <w:separator/>
      </w:r>
    </w:p>
  </w:footnote>
  <w:footnote w:type="continuationSeparator" w:id="0">
    <w:p w:rsidR="00055DBE" w:rsidRDefault="00055D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E" w:rsidRDefault="00055DB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E" w:rsidRDefault="00055DB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E" w:rsidRDefault="00055DBE">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5DBE" w:rsidRDefault="00055DB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52BEE"/>
    <w:multiLevelType w:val="singleLevel"/>
    <w:tmpl w:val="B030A8F2"/>
    <w:lvl w:ilvl="0">
      <w:start w:val="1"/>
      <w:numFmt w:val="bullet"/>
      <w:lvlText w:val=""/>
      <w:lvlJc w:val="left"/>
      <w:pPr>
        <w:tabs>
          <w:tab w:val="num" w:pos="810"/>
        </w:tabs>
        <w:ind w:left="810" w:hanging="360"/>
      </w:pPr>
      <w:rPr>
        <w:rFonts w:ascii="Symbol" w:hAnsi="Symbol" w:hint="default"/>
        <w:sz w:val="24"/>
      </w:rPr>
    </w:lvl>
  </w:abstractNum>
  <w:abstractNum w:abstractNumId="1">
    <w:nsid w:val="09524F0D"/>
    <w:multiLevelType w:val="hybridMultilevel"/>
    <w:tmpl w:val="C6DC5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7407C7"/>
    <w:multiLevelType w:val="multilevel"/>
    <w:tmpl w:val="CC8A50F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
    <w:nsid w:val="0DAF203C"/>
    <w:multiLevelType w:val="multilevel"/>
    <w:tmpl w:val="CC8A50FA"/>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
    <w:nsid w:val="108B4CFF"/>
    <w:multiLevelType w:val="hybridMultilevel"/>
    <w:tmpl w:val="427CF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B44BC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7EF4F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183269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9D40133"/>
    <w:multiLevelType w:val="hybridMultilevel"/>
    <w:tmpl w:val="5F48C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2014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24B56549"/>
    <w:multiLevelType w:val="hybridMultilevel"/>
    <w:tmpl w:val="B75A8C9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9FB3CFF"/>
    <w:multiLevelType w:val="hybridMultilevel"/>
    <w:tmpl w:val="A386FA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EEA7DB4"/>
    <w:multiLevelType w:val="multilevel"/>
    <w:tmpl w:val="4712100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sz w:val="28"/>
        <w:szCs w:val="2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30503A24"/>
    <w:multiLevelType w:val="hybridMultilevel"/>
    <w:tmpl w:val="290E514E"/>
    <w:lvl w:ilvl="0" w:tplc="04090001">
      <w:start w:val="1"/>
      <w:numFmt w:val="bullet"/>
      <w:lvlText w:val=""/>
      <w:lvlJc w:val="left"/>
      <w:pPr>
        <w:tabs>
          <w:tab w:val="num" w:pos="720"/>
        </w:tabs>
        <w:ind w:left="720" w:hanging="360"/>
      </w:pPr>
      <w:rPr>
        <w:rFonts w:ascii="Symbol" w:hAnsi="Symbol" w:hint="default"/>
      </w:rPr>
    </w:lvl>
    <w:lvl w:ilvl="1" w:tplc="A1AE0C48">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1153631"/>
    <w:multiLevelType w:val="hybridMultilevel"/>
    <w:tmpl w:val="59AC7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010B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37F3184F"/>
    <w:multiLevelType w:val="hybridMultilevel"/>
    <w:tmpl w:val="9BB273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B777A43"/>
    <w:multiLevelType w:val="hybridMultilevel"/>
    <w:tmpl w:val="73B8E0A0"/>
    <w:lvl w:ilvl="0" w:tplc="04090001">
      <w:start w:val="1"/>
      <w:numFmt w:val="bullet"/>
      <w:lvlText w:val=""/>
      <w:lvlJc w:val="left"/>
      <w:pPr>
        <w:tabs>
          <w:tab w:val="num" w:pos="720"/>
        </w:tabs>
        <w:ind w:left="720" w:hanging="360"/>
      </w:pPr>
      <w:rPr>
        <w:rFonts w:ascii="Symbol" w:hAnsi="Symbol" w:hint="default"/>
      </w:rPr>
    </w:lvl>
    <w:lvl w:ilvl="1" w:tplc="A1AE0C48">
      <w:start w:val="1"/>
      <w:numFmt w:val="bullet"/>
      <w:lvlText w:val=""/>
      <w:lvlJc w:val="left"/>
      <w:pPr>
        <w:tabs>
          <w:tab w:val="num" w:pos="1440"/>
        </w:tabs>
        <w:ind w:left="1440" w:hanging="360"/>
      </w:pPr>
      <w:rPr>
        <w:rFonts w:ascii="Wingdings" w:hAnsi="Wingdings" w:hint="default"/>
        <w:sz w:val="28"/>
        <w:szCs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EA167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2CC5B75"/>
    <w:multiLevelType w:val="hybridMultilevel"/>
    <w:tmpl w:val="7488119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44FE18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73B67B9"/>
    <w:multiLevelType w:val="multilevel"/>
    <w:tmpl w:val="E1D083AC"/>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22">
    <w:nsid w:val="4BE734B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4F9706D3"/>
    <w:multiLevelType w:val="hybridMultilevel"/>
    <w:tmpl w:val="12688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2D7332"/>
    <w:multiLevelType w:val="hybridMultilevel"/>
    <w:tmpl w:val="3F4EF3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2542A0F"/>
    <w:multiLevelType w:val="hybridMultilevel"/>
    <w:tmpl w:val="8B20CB1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55450CE4"/>
    <w:multiLevelType w:val="hybridMultilevel"/>
    <w:tmpl w:val="85E64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CA665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89C1ADA"/>
    <w:multiLevelType w:val="hybridMultilevel"/>
    <w:tmpl w:val="A5EE3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8A46A5"/>
    <w:multiLevelType w:val="hybridMultilevel"/>
    <w:tmpl w:val="26225A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B7560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5C0B5B03"/>
    <w:multiLevelType w:val="hybridMultilevel"/>
    <w:tmpl w:val="64DA9A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61F113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688923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BC81BC8"/>
    <w:multiLevelType w:val="hybridMultilevel"/>
    <w:tmpl w:val="E1D6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3E617F"/>
    <w:multiLevelType w:val="hybridMultilevel"/>
    <w:tmpl w:val="1F66D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012C07"/>
    <w:multiLevelType w:val="hybridMultilevel"/>
    <w:tmpl w:val="8D8A87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73F7F33"/>
    <w:multiLevelType w:val="hybridMultilevel"/>
    <w:tmpl w:val="1FF2CB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3B2A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7A777F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CDA7A7A"/>
    <w:multiLevelType w:val="hybridMultilevel"/>
    <w:tmpl w:val="FBC0A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32"/>
  </w:num>
  <w:num w:numId="4">
    <w:abstractNumId w:val="7"/>
  </w:num>
  <w:num w:numId="5">
    <w:abstractNumId w:val="20"/>
  </w:num>
  <w:num w:numId="6">
    <w:abstractNumId w:val="38"/>
  </w:num>
  <w:num w:numId="7">
    <w:abstractNumId w:val="5"/>
  </w:num>
  <w:num w:numId="8">
    <w:abstractNumId w:val="22"/>
  </w:num>
  <w:num w:numId="9">
    <w:abstractNumId w:val="39"/>
  </w:num>
  <w:num w:numId="10">
    <w:abstractNumId w:val="15"/>
  </w:num>
  <w:num w:numId="11">
    <w:abstractNumId w:val="33"/>
  </w:num>
  <w:num w:numId="12">
    <w:abstractNumId w:val="18"/>
  </w:num>
  <w:num w:numId="13">
    <w:abstractNumId w:val="30"/>
  </w:num>
  <w:num w:numId="14">
    <w:abstractNumId w:val="9"/>
  </w:num>
  <w:num w:numId="15">
    <w:abstractNumId w:val="0"/>
  </w:num>
  <w:num w:numId="16">
    <w:abstractNumId w:val="6"/>
  </w:num>
  <w:num w:numId="17">
    <w:abstractNumId w:val="21"/>
  </w:num>
  <w:num w:numId="18">
    <w:abstractNumId w:val="27"/>
  </w:num>
  <w:num w:numId="19">
    <w:abstractNumId w:val="36"/>
  </w:num>
  <w:num w:numId="20">
    <w:abstractNumId w:val="13"/>
  </w:num>
  <w:num w:numId="21">
    <w:abstractNumId w:val="37"/>
  </w:num>
  <w:num w:numId="22">
    <w:abstractNumId w:val="10"/>
  </w:num>
  <w:num w:numId="23">
    <w:abstractNumId w:val="8"/>
  </w:num>
  <w:num w:numId="24">
    <w:abstractNumId w:val="28"/>
  </w:num>
  <w:num w:numId="25">
    <w:abstractNumId w:val="12"/>
  </w:num>
  <w:num w:numId="26">
    <w:abstractNumId w:val="17"/>
  </w:num>
  <w:num w:numId="27">
    <w:abstractNumId w:val="24"/>
  </w:num>
  <w:num w:numId="28">
    <w:abstractNumId w:val="4"/>
  </w:num>
  <w:num w:numId="29">
    <w:abstractNumId w:val="40"/>
  </w:num>
  <w:num w:numId="3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num>
  <w:num w:numId="3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34"/>
  </w:num>
  <w:num w:numId="38">
    <w:abstractNumId w:val="14"/>
  </w:num>
  <w:num w:numId="39">
    <w:abstractNumId w:val="26"/>
  </w:num>
  <w:num w:numId="40">
    <w:abstractNumId w:val="1"/>
  </w:num>
  <w:num w:numId="41">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activeWritingStyle w:appName="MSWord" w:lang="en-US" w:vendorID="64" w:dllVersion="131078" w:nlCheck="1" w:checkStyle="1"/>
  <w:proofState w:spelling="clean" w:grammar="clean"/>
  <w:stylePaneFormatFilter w:val="3F01"/>
  <w:defaultTabStop w:val="720"/>
  <w:drawingGridHorizontalSpacing w:val="120"/>
  <w:displayHorizontalDrawingGridEvery w:val="0"/>
  <w:displayVerticalDrawingGridEvery w:val="0"/>
  <w:noPunctuationKerning/>
  <w:characterSpacingControl w:val="doNotCompress"/>
  <w:hdrShapeDefaults>
    <o:shapedefaults v:ext="edit" spidmax="99332" fillcolor="#9cf">
      <v:fill color="#9cf"/>
      <o:colormru v:ext="edit" colors="#ddd,#060,#393,#396"/>
    </o:shapedefaults>
  </w:hdrShapeDefaults>
  <w:footnotePr>
    <w:footnote w:id="-1"/>
    <w:footnote w:id="0"/>
  </w:footnotePr>
  <w:endnotePr>
    <w:endnote w:id="-1"/>
    <w:endnote w:id="0"/>
  </w:endnotePr>
  <w:compat/>
  <w:rsids>
    <w:rsidRoot w:val="000B34F1"/>
    <w:rsid w:val="000003FD"/>
    <w:rsid w:val="00004AC6"/>
    <w:rsid w:val="00004CE2"/>
    <w:rsid w:val="00007199"/>
    <w:rsid w:val="00007930"/>
    <w:rsid w:val="00011BF3"/>
    <w:rsid w:val="00013286"/>
    <w:rsid w:val="000141B3"/>
    <w:rsid w:val="00017611"/>
    <w:rsid w:val="00017692"/>
    <w:rsid w:val="0002338F"/>
    <w:rsid w:val="00023DFA"/>
    <w:rsid w:val="00024540"/>
    <w:rsid w:val="00024A59"/>
    <w:rsid w:val="00026159"/>
    <w:rsid w:val="000302F5"/>
    <w:rsid w:val="00037E07"/>
    <w:rsid w:val="00044FC2"/>
    <w:rsid w:val="000478D4"/>
    <w:rsid w:val="00050F48"/>
    <w:rsid w:val="00051715"/>
    <w:rsid w:val="00052835"/>
    <w:rsid w:val="00054FC2"/>
    <w:rsid w:val="0005598B"/>
    <w:rsid w:val="00055DBE"/>
    <w:rsid w:val="0006092D"/>
    <w:rsid w:val="00064394"/>
    <w:rsid w:val="00064538"/>
    <w:rsid w:val="00064C31"/>
    <w:rsid w:val="00066018"/>
    <w:rsid w:val="00067BA3"/>
    <w:rsid w:val="00070829"/>
    <w:rsid w:val="00071AE0"/>
    <w:rsid w:val="0007200C"/>
    <w:rsid w:val="00074917"/>
    <w:rsid w:val="00075AF4"/>
    <w:rsid w:val="0007647B"/>
    <w:rsid w:val="000764E0"/>
    <w:rsid w:val="000779D3"/>
    <w:rsid w:val="00077BF6"/>
    <w:rsid w:val="00081545"/>
    <w:rsid w:val="00084F4C"/>
    <w:rsid w:val="00084F8B"/>
    <w:rsid w:val="00085A4C"/>
    <w:rsid w:val="00086366"/>
    <w:rsid w:val="00087D7E"/>
    <w:rsid w:val="00090298"/>
    <w:rsid w:val="00091A1F"/>
    <w:rsid w:val="0009232F"/>
    <w:rsid w:val="00095FFC"/>
    <w:rsid w:val="000967E6"/>
    <w:rsid w:val="00097188"/>
    <w:rsid w:val="00097B04"/>
    <w:rsid w:val="00097F5C"/>
    <w:rsid w:val="000A1DA2"/>
    <w:rsid w:val="000B1272"/>
    <w:rsid w:val="000B34F1"/>
    <w:rsid w:val="000B6CE2"/>
    <w:rsid w:val="000B703A"/>
    <w:rsid w:val="000C028A"/>
    <w:rsid w:val="000C2B19"/>
    <w:rsid w:val="000C2B6E"/>
    <w:rsid w:val="000C4EED"/>
    <w:rsid w:val="000C5DC0"/>
    <w:rsid w:val="000D06BF"/>
    <w:rsid w:val="000D0791"/>
    <w:rsid w:val="000D0CA4"/>
    <w:rsid w:val="000D1343"/>
    <w:rsid w:val="000D2D55"/>
    <w:rsid w:val="000D34D6"/>
    <w:rsid w:val="000D41A5"/>
    <w:rsid w:val="000E1617"/>
    <w:rsid w:val="000E1DC4"/>
    <w:rsid w:val="000E3347"/>
    <w:rsid w:val="000E4745"/>
    <w:rsid w:val="000E5B55"/>
    <w:rsid w:val="000E70E1"/>
    <w:rsid w:val="000F1C87"/>
    <w:rsid w:val="000F1ED1"/>
    <w:rsid w:val="000F27E9"/>
    <w:rsid w:val="000F40CC"/>
    <w:rsid w:val="000F4206"/>
    <w:rsid w:val="000F4A20"/>
    <w:rsid w:val="000F5A54"/>
    <w:rsid w:val="00100AF1"/>
    <w:rsid w:val="001028D9"/>
    <w:rsid w:val="001049BF"/>
    <w:rsid w:val="00107998"/>
    <w:rsid w:val="0011345B"/>
    <w:rsid w:val="001138B8"/>
    <w:rsid w:val="00113C8A"/>
    <w:rsid w:val="00113DD3"/>
    <w:rsid w:val="00113F29"/>
    <w:rsid w:val="00114ED5"/>
    <w:rsid w:val="00116E47"/>
    <w:rsid w:val="0012070C"/>
    <w:rsid w:val="00123F5F"/>
    <w:rsid w:val="00124209"/>
    <w:rsid w:val="001260FC"/>
    <w:rsid w:val="001305B8"/>
    <w:rsid w:val="00132E0F"/>
    <w:rsid w:val="001332C7"/>
    <w:rsid w:val="001338F6"/>
    <w:rsid w:val="001350F0"/>
    <w:rsid w:val="001409B1"/>
    <w:rsid w:val="00141B92"/>
    <w:rsid w:val="00142CEE"/>
    <w:rsid w:val="0014331F"/>
    <w:rsid w:val="00144130"/>
    <w:rsid w:val="00144889"/>
    <w:rsid w:val="00146D55"/>
    <w:rsid w:val="00146E26"/>
    <w:rsid w:val="001528CB"/>
    <w:rsid w:val="00153AE4"/>
    <w:rsid w:val="001541BE"/>
    <w:rsid w:val="00154358"/>
    <w:rsid w:val="001550FE"/>
    <w:rsid w:val="0015554C"/>
    <w:rsid w:val="00155ABE"/>
    <w:rsid w:val="001563FC"/>
    <w:rsid w:val="00157FCE"/>
    <w:rsid w:val="0016218C"/>
    <w:rsid w:val="001621EC"/>
    <w:rsid w:val="00163C99"/>
    <w:rsid w:val="00164C19"/>
    <w:rsid w:val="00165F24"/>
    <w:rsid w:val="0016699D"/>
    <w:rsid w:val="001677DA"/>
    <w:rsid w:val="00167986"/>
    <w:rsid w:val="001705A0"/>
    <w:rsid w:val="00170881"/>
    <w:rsid w:val="0017520A"/>
    <w:rsid w:val="00176A8B"/>
    <w:rsid w:val="00177E2E"/>
    <w:rsid w:val="00183E43"/>
    <w:rsid w:val="00184AE2"/>
    <w:rsid w:val="00185AC8"/>
    <w:rsid w:val="001907C2"/>
    <w:rsid w:val="001916FC"/>
    <w:rsid w:val="001929DA"/>
    <w:rsid w:val="00193D7B"/>
    <w:rsid w:val="0019699D"/>
    <w:rsid w:val="001A06BE"/>
    <w:rsid w:val="001A1000"/>
    <w:rsid w:val="001A4BF7"/>
    <w:rsid w:val="001A605D"/>
    <w:rsid w:val="001A765E"/>
    <w:rsid w:val="001B20DD"/>
    <w:rsid w:val="001B2CE9"/>
    <w:rsid w:val="001B2E67"/>
    <w:rsid w:val="001B35AC"/>
    <w:rsid w:val="001B5294"/>
    <w:rsid w:val="001B636B"/>
    <w:rsid w:val="001C0CBD"/>
    <w:rsid w:val="001D443D"/>
    <w:rsid w:val="001D4A4D"/>
    <w:rsid w:val="001D6C2A"/>
    <w:rsid w:val="001E023F"/>
    <w:rsid w:val="001E04A5"/>
    <w:rsid w:val="001E2221"/>
    <w:rsid w:val="001E2A7C"/>
    <w:rsid w:val="001E4136"/>
    <w:rsid w:val="001E5CD7"/>
    <w:rsid w:val="001E5F4F"/>
    <w:rsid w:val="001F0BB7"/>
    <w:rsid w:val="001F6138"/>
    <w:rsid w:val="001F6B0E"/>
    <w:rsid w:val="0020239C"/>
    <w:rsid w:val="00203005"/>
    <w:rsid w:val="00206916"/>
    <w:rsid w:val="002104DF"/>
    <w:rsid w:val="00212395"/>
    <w:rsid w:val="00213DFF"/>
    <w:rsid w:val="002156BB"/>
    <w:rsid w:val="00220549"/>
    <w:rsid w:val="0022545B"/>
    <w:rsid w:val="002254DB"/>
    <w:rsid w:val="0023368C"/>
    <w:rsid w:val="0023514D"/>
    <w:rsid w:val="00235C7E"/>
    <w:rsid w:val="00236853"/>
    <w:rsid w:val="00240659"/>
    <w:rsid w:val="002413F4"/>
    <w:rsid w:val="00241A76"/>
    <w:rsid w:val="00244431"/>
    <w:rsid w:val="002471D1"/>
    <w:rsid w:val="0024730D"/>
    <w:rsid w:val="00250E5C"/>
    <w:rsid w:val="0025187F"/>
    <w:rsid w:val="00252219"/>
    <w:rsid w:val="00252FDF"/>
    <w:rsid w:val="00256FD4"/>
    <w:rsid w:val="002605CE"/>
    <w:rsid w:val="00264A85"/>
    <w:rsid w:val="00264DB5"/>
    <w:rsid w:val="00267BC2"/>
    <w:rsid w:val="00270E21"/>
    <w:rsid w:val="00270F5A"/>
    <w:rsid w:val="00280413"/>
    <w:rsid w:val="002816D2"/>
    <w:rsid w:val="00285E7C"/>
    <w:rsid w:val="002877C9"/>
    <w:rsid w:val="00290055"/>
    <w:rsid w:val="0029215A"/>
    <w:rsid w:val="00294D37"/>
    <w:rsid w:val="00296171"/>
    <w:rsid w:val="00297EE5"/>
    <w:rsid w:val="00297F9C"/>
    <w:rsid w:val="002A0517"/>
    <w:rsid w:val="002A17DA"/>
    <w:rsid w:val="002A2920"/>
    <w:rsid w:val="002A3FBD"/>
    <w:rsid w:val="002A49F9"/>
    <w:rsid w:val="002A4EB3"/>
    <w:rsid w:val="002A5DC6"/>
    <w:rsid w:val="002A6A88"/>
    <w:rsid w:val="002A73B8"/>
    <w:rsid w:val="002C0943"/>
    <w:rsid w:val="002C0E29"/>
    <w:rsid w:val="002C31A7"/>
    <w:rsid w:val="002C442F"/>
    <w:rsid w:val="002D2D34"/>
    <w:rsid w:val="002D5929"/>
    <w:rsid w:val="002D64FC"/>
    <w:rsid w:val="002D6D86"/>
    <w:rsid w:val="002D7299"/>
    <w:rsid w:val="002D7A71"/>
    <w:rsid w:val="002E059C"/>
    <w:rsid w:val="002E26B7"/>
    <w:rsid w:val="002E2BDE"/>
    <w:rsid w:val="002E3E2D"/>
    <w:rsid w:val="002E54CF"/>
    <w:rsid w:val="002F0B57"/>
    <w:rsid w:val="002F3A6A"/>
    <w:rsid w:val="002F4833"/>
    <w:rsid w:val="002F5EA2"/>
    <w:rsid w:val="002F77D4"/>
    <w:rsid w:val="00301A40"/>
    <w:rsid w:val="00307977"/>
    <w:rsid w:val="0031443C"/>
    <w:rsid w:val="00317734"/>
    <w:rsid w:val="003215B5"/>
    <w:rsid w:val="00321A92"/>
    <w:rsid w:val="003232E5"/>
    <w:rsid w:val="003250D0"/>
    <w:rsid w:val="003313C3"/>
    <w:rsid w:val="00334E80"/>
    <w:rsid w:val="00335E0A"/>
    <w:rsid w:val="00336CA1"/>
    <w:rsid w:val="0033755E"/>
    <w:rsid w:val="00341B3E"/>
    <w:rsid w:val="00344256"/>
    <w:rsid w:val="003464E2"/>
    <w:rsid w:val="00353B05"/>
    <w:rsid w:val="00355537"/>
    <w:rsid w:val="0035744F"/>
    <w:rsid w:val="00360004"/>
    <w:rsid w:val="00361919"/>
    <w:rsid w:val="00361ED6"/>
    <w:rsid w:val="003627D5"/>
    <w:rsid w:val="003630DB"/>
    <w:rsid w:val="00367FB7"/>
    <w:rsid w:val="00371A53"/>
    <w:rsid w:val="003736EB"/>
    <w:rsid w:val="00374574"/>
    <w:rsid w:val="0037482A"/>
    <w:rsid w:val="00381E10"/>
    <w:rsid w:val="003820C1"/>
    <w:rsid w:val="00383172"/>
    <w:rsid w:val="0038355B"/>
    <w:rsid w:val="003855E6"/>
    <w:rsid w:val="00387375"/>
    <w:rsid w:val="00387432"/>
    <w:rsid w:val="003932FE"/>
    <w:rsid w:val="00394755"/>
    <w:rsid w:val="003A089B"/>
    <w:rsid w:val="003A1ADB"/>
    <w:rsid w:val="003A3D3C"/>
    <w:rsid w:val="003A5969"/>
    <w:rsid w:val="003A64CF"/>
    <w:rsid w:val="003A7875"/>
    <w:rsid w:val="003A79C3"/>
    <w:rsid w:val="003A7A41"/>
    <w:rsid w:val="003B26A9"/>
    <w:rsid w:val="003B4F27"/>
    <w:rsid w:val="003B697F"/>
    <w:rsid w:val="003C0447"/>
    <w:rsid w:val="003C09ED"/>
    <w:rsid w:val="003C7217"/>
    <w:rsid w:val="003C7260"/>
    <w:rsid w:val="003D06CE"/>
    <w:rsid w:val="003D0ED0"/>
    <w:rsid w:val="003D2CE9"/>
    <w:rsid w:val="003D7AA9"/>
    <w:rsid w:val="003E2AE3"/>
    <w:rsid w:val="003E3264"/>
    <w:rsid w:val="003E329B"/>
    <w:rsid w:val="003E3EA6"/>
    <w:rsid w:val="003F0400"/>
    <w:rsid w:val="003F1947"/>
    <w:rsid w:val="003F6A92"/>
    <w:rsid w:val="003F6D0F"/>
    <w:rsid w:val="003F761B"/>
    <w:rsid w:val="003F7B8B"/>
    <w:rsid w:val="0040433C"/>
    <w:rsid w:val="00406DF6"/>
    <w:rsid w:val="00407716"/>
    <w:rsid w:val="00410324"/>
    <w:rsid w:val="00411B81"/>
    <w:rsid w:val="00413BFD"/>
    <w:rsid w:val="004145C5"/>
    <w:rsid w:val="0041461F"/>
    <w:rsid w:val="00415F9F"/>
    <w:rsid w:val="00416B14"/>
    <w:rsid w:val="00417C4A"/>
    <w:rsid w:val="0042345C"/>
    <w:rsid w:val="004247F3"/>
    <w:rsid w:val="0042539C"/>
    <w:rsid w:val="00425628"/>
    <w:rsid w:val="00425CA1"/>
    <w:rsid w:val="00426340"/>
    <w:rsid w:val="00426ACC"/>
    <w:rsid w:val="00430572"/>
    <w:rsid w:val="00433353"/>
    <w:rsid w:val="00444F29"/>
    <w:rsid w:val="00445BCD"/>
    <w:rsid w:val="00446366"/>
    <w:rsid w:val="004464C8"/>
    <w:rsid w:val="004470FF"/>
    <w:rsid w:val="004536E4"/>
    <w:rsid w:val="0046124D"/>
    <w:rsid w:val="0046151C"/>
    <w:rsid w:val="00461F71"/>
    <w:rsid w:val="0046431A"/>
    <w:rsid w:val="00464CF0"/>
    <w:rsid w:val="00466447"/>
    <w:rsid w:val="0047125F"/>
    <w:rsid w:val="00471803"/>
    <w:rsid w:val="00473073"/>
    <w:rsid w:val="00473AE9"/>
    <w:rsid w:val="0047462A"/>
    <w:rsid w:val="00474F65"/>
    <w:rsid w:val="00476359"/>
    <w:rsid w:val="004763BE"/>
    <w:rsid w:val="00476808"/>
    <w:rsid w:val="00480A6F"/>
    <w:rsid w:val="00487300"/>
    <w:rsid w:val="00492D24"/>
    <w:rsid w:val="00497F45"/>
    <w:rsid w:val="004A0FA1"/>
    <w:rsid w:val="004A10FB"/>
    <w:rsid w:val="004A5738"/>
    <w:rsid w:val="004A6A15"/>
    <w:rsid w:val="004B1449"/>
    <w:rsid w:val="004B1EC0"/>
    <w:rsid w:val="004B249D"/>
    <w:rsid w:val="004B5844"/>
    <w:rsid w:val="004B782D"/>
    <w:rsid w:val="004C00BD"/>
    <w:rsid w:val="004C06FD"/>
    <w:rsid w:val="004C1041"/>
    <w:rsid w:val="004C25D5"/>
    <w:rsid w:val="004C349E"/>
    <w:rsid w:val="004C3833"/>
    <w:rsid w:val="004C4722"/>
    <w:rsid w:val="004C4D14"/>
    <w:rsid w:val="004C72ED"/>
    <w:rsid w:val="004D0521"/>
    <w:rsid w:val="004D3D24"/>
    <w:rsid w:val="004D4A23"/>
    <w:rsid w:val="004D708F"/>
    <w:rsid w:val="004E45B0"/>
    <w:rsid w:val="004E46D5"/>
    <w:rsid w:val="004E510C"/>
    <w:rsid w:val="004E5C75"/>
    <w:rsid w:val="004E6D17"/>
    <w:rsid w:val="004F4BAA"/>
    <w:rsid w:val="004F4F23"/>
    <w:rsid w:val="004F5B57"/>
    <w:rsid w:val="004F7CC2"/>
    <w:rsid w:val="00501D2C"/>
    <w:rsid w:val="00502178"/>
    <w:rsid w:val="00502E37"/>
    <w:rsid w:val="00503D37"/>
    <w:rsid w:val="005048A7"/>
    <w:rsid w:val="00504A7A"/>
    <w:rsid w:val="005064B9"/>
    <w:rsid w:val="00513E44"/>
    <w:rsid w:val="00514606"/>
    <w:rsid w:val="00514646"/>
    <w:rsid w:val="00517A36"/>
    <w:rsid w:val="00517CB0"/>
    <w:rsid w:val="00520139"/>
    <w:rsid w:val="005201D2"/>
    <w:rsid w:val="00525675"/>
    <w:rsid w:val="005314FD"/>
    <w:rsid w:val="0053260E"/>
    <w:rsid w:val="005331BB"/>
    <w:rsid w:val="005353B0"/>
    <w:rsid w:val="005362CE"/>
    <w:rsid w:val="00536307"/>
    <w:rsid w:val="00540FCE"/>
    <w:rsid w:val="005435ED"/>
    <w:rsid w:val="00545189"/>
    <w:rsid w:val="005471F3"/>
    <w:rsid w:val="0054756F"/>
    <w:rsid w:val="00547F9C"/>
    <w:rsid w:val="00551002"/>
    <w:rsid w:val="00553BB8"/>
    <w:rsid w:val="005548CA"/>
    <w:rsid w:val="00555991"/>
    <w:rsid w:val="00556A82"/>
    <w:rsid w:val="00560F37"/>
    <w:rsid w:val="0056136B"/>
    <w:rsid w:val="00561AB8"/>
    <w:rsid w:val="00565968"/>
    <w:rsid w:val="005710ED"/>
    <w:rsid w:val="005719B9"/>
    <w:rsid w:val="00573B1F"/>
    <w:rsid w:val="005741C6"/>
    <w:rsid w:val="00574E16"/>
    <w:rsid w:val="00576323"/>
    <w:rsid w:val="00577BE8"/>
    <w:rsid w:val="00585A46"/>
    <w:rsid w:val="00590A50"/>
    <w:rsid w:val="00593A50"/>
    <w:rsid w:val="00593CF5"/>
    <w:rsid w:val="00594A7C"/>
    <w:rsid w:val="00596751"/>
    <w:rsid w:val="005A0459"/>
    <w:rsid w:val="005A36F7"/>
    <w:rsid w:val="005A375E"/>
    <w:rsid w:val="005A3AA9"/>
    <w:rsid w:val="005A498B"/>
    <w:rsid w:val="005A5C74"/>
    <w:rsid w:val="005A5DC3"/>
    <w:rsid w:val="005A7CA7"/>
    <w:rsid w:val="005B05CA"/>
    <w:rsid w:val="005B0A17"/>
    <w:rsid w:val="005B1688"/>
    <w:rsid w:val="005B1F05"/>
    <w:rsid w:val="005B429D"/>
    <w:rsid w:val="005B438A"/>
    <w:rsid w:val="005B70A3"/>
    <w:rsid w:val="005C3DE9"/>
    <w:rsid w:val="005C41D7"/>
    <w:rsid w:val="005C4A15"/>
    <w:rsid w:val="005C4EC7"/>
    <w:rsid w:val="005C5F39"/>
    <w:rsid w:val="005D1CC2"/>
    <w:rsid w:val="005D517C"/>
    <w:rsid w:val="005D7A00"/>
    <w:rsid w:val="005D7D7F"/>
    <w:rsid w:val="005E03B6"/>
    <w:rsid w:val="005E5945"/>
    <w:rsid w:val="005E70A5"/>
    <w:rsid w:val="005E78E0"/>
    <w:rsid w:val="005F3315"/>
    <w:rsid w:val="005F4C99"/>
    <w:rsid w:val="005F7868"/>
    <w:rsid w:val="00603F99"/>
    <w:rsid w:val="0060620C"/>
    <w:rsid w:val="0060732D"/>
    <w:rsid w:val="00611F9C"/>
    <w:rsid w:val="006137BD"/>
    <w:rsid w:val="0061584F"/>
    <w:rsid w:val="006176A2"/>
    <w:rsid w:val="0062034C"/>
    <w:rsid w:val="00622EB3"/>
    <w:rsid w:val="00623B03"/>
    <w:rsid w:val="0062552D"/>
    <w:rsid w:val="00625928"/>
    <w:rsid w:val="00627C81"/>
    <w:rsid w:val="00630AB8"/>
    <w:rsid w:val="006317C1"/>
    <w:rsid w:val="00631EC8"/>
    <w:rsid w:val="00641382"/>
    <w:rsid w:val="006426A6"/>
    <w:rsid w:val="00642D0D"/>
    <w:rsid w:val="006472C9"/>
    <w:rsid w:val="006472DB"/>
    <w:rsid w:val="00647E80"/>
    <w:rsid w:val="0065200F"/>
    <w:rsid w:val="0066095D"/>
    <w:rsid w:val="00660C33"/>
    <w:rsid w:val="00660FDB"/>
    <w:rsid w:val="00661E23"/>
    <w:rsid w:val="00666DD5"/>
    <w:rsid w:val="00674C70"/>
    <w:rsid w:val="00674DC9"/>
    <w:rsid w:val="00675C52"/>
    <w:rsid w:val="00676452"/>
    <w:rsid w:val="0067795F"/>
    <w:rsid w:val="00682864"/>
    <w:rsid w:val="00685FE8"/>
    <w:rsid w:val="00686491"/>
    <w:rsid w:val="00690219"/>
    <w:rsid w:val="00693E3B"/>
    <w:rsid w:val="006943A3"/>
    <w:rsid w:val="00695C8C"/>
    <w:rsid w:val="006A1945"/>
    <w:rsid w:val="006A1A52"/>
    <w:rsid w:val="006A2FE7"/>
    <w:rsid w:val="006B3142"/>
    <w:rsid w:val="006B33BB"/>
    <w:rsid w:val="006B3B7E"/>
    <w:rsid w:val="006B4FC5"/>
    <w:rsid w:val="006C3644"/>
    <w:rsid w:val="006C3D40"/>
    <w:rsid w:val="006C647A"/>
    <w:rsid w:val="006C7F78"/>
    <w:rsid w:val="006D1294"/>
    <w:rsid w:val="006D1306"/>
    <w:rsid w:val="006D2DE9"/>
    <w:rsid w:val="006D2F88"/>
    <w:rsid w:val="006D45A7"/>
    <w:rsid w:val="006D4BFD"/>
    <w:rsid w:val="006D6303"/>
    <w:rsid w:val="006E05CF"/>
    <w:rsid w:val="006E370B"/>
    <w:rsid w:val="006F1960"/>
    <w:rsid w:val="006F2B11"/>
    <w:rsid w:val="006F45FF"/>
    <w:rsid w:val="006F4B93"/>
    <w:rsid w:val="00702DE9"/>
    <w:rsid w:val="00703A18"/>
    <w:rsid w:val="00704665"/>
    <w:rsid w:val="00705BA0"/>
    <w:rsid w:val="00710EA0"/>
    <w:rsid w:val="007122A8"/>
    <w:rsid w:val="007144BD"/>
    <w:rsid w:val="00715F4B"/>
    <w:rsid w:val="00724ADE"/>
    <w:rsid w:val="007276F0"/>
    <w:rsid w:val="0073341D"/>
    <w:rsid w:val="00737CDE"/>
    <w:rsid w:val="007406E8"/>
    <w:rsid w:val="0074725B"/>
    <w:rsid w:val="00747E3F"/>
    <w:rsid w:val="00750075"/>
    <w:rsid w:val="0075102C"/>
    <w:rsid w:val="00751F8C"/>
    <w:rsid w:val="00756860"/>
    <w:rsid w:val="00756DCF"/>
    <w:rsid w:val="00757656"/>
    <w:rsid w:val="007604DD"/>
    <w:rsid w:val="00761945"/>
    <w:rsid w:val="0076225D"/>
    <w:rsid w:val="00763737"/>
    <w:rsid w:val="007637E6"/>
    <w:rsid w:val="0076481F"/>
    <w:rsid w:val="0076515B"/>
    <w:rsid w:val="00765FBF"/>
    <w:rsid w:val="007700A7"/>
    <w:rsid w:val="007700F5"/>
    <w:rsid w:val="00774414"/>
    <w:rsid w:val="0077543A"/>
    <w:rsid w:val="00775947"/>
    <w:rsid w:val="00776C52"/>
    <w:rsid w:val="00777E7E"/>
    <w:rsid w:val="00790CF7"/>
    <w:rsid w:val="007955FA"/>
    <w:rsid w:val="00795FC9"/>
    <w:rsid w:val="007A22F7"/>
    <w:rsid w:val="007A32F0"/>
    <w:rsid w:val="007A5B56"/>
    <w:rsid w:val="007B1936"/>
    <w:rsid w:val="007B2125"/>
    <w:rsid w:val="007B3164"/>
    <w:rsid w:val="007B5027"/>
    <w:rsid w:val="007B555B"/>
    <w:rsid w:val="007B7F9D"/>
    <w:rsid w:val="007C1FDD"/>
    <w:rsid w:val="007C26C9"/>
    <w:rsid w:val="007C33D7"/>
    <w:rsid w:val="007C4B23"/>
    <w:rsid w:val="007C5580"/>
    <w:rsid w:val="007C6A5E"/>
    <w:rsid w:val="007D0E43"/>
    <w:rsid w:val="007D1A62"/>
    <w:rsid w:val="007D44B4"/>
    <w:rsid w:val="007D56F3"/>
    <w:rsid w:val="007D684A"/>
    <w:rsid w:val="007E1750"/>
    <w:rsid w:val="007E2831"/>
    <w:rsid w:val="007E28BD"/>
    <w:rsid w:val="007E5069"/>
    <w:rsid w:val="007F1C4E"/>
    <w:rsid w:val="007F2584"/>
    <w:rsid w:val="007F2840"/>
    <w:rsid w:val="007F3BE9"/>
    <w:rsid w:val="007F482B"/>
    <w:rsid w:val="007F491E"/>
    <w:rsid w:val="007F5545"/>
    <w:rsid w:val="007F737E"/>
    <w:rsid w:val="007F7814"/>
    <w:rsid w:val="00801164"/>
    <w:rsid w:val="00801575"/>
    <w:rsid w:val="00802590"/>
    <w:rsid w:val="00810A3A"/>
    <w:rsid w:val="00811F2B"/>
    <w:rsid w:val="008134AE"/>
    <w:rsid w:val="0081407F"/>
    <w:rsid w:val="00817173"/>
    <w:rsid w:val="00817588"/>
    <w:rsid w:val="00827CB2"/>
    <w:rsid w:val="00833D66"/>
    <w:rsid w:val="00835B46"/>
    <w:rsid w:val="008368B5"/>
    <w:rsid w:val="00837254"/>
    <w:rsid w:val="00837843"/>
    <w:rsid w:val="00843514"/>
    <w:rsid w:val="00843AB9"/>
    <w:rsid w:val="00845FF6"/>
    <w:rsid w:val="008472F3"/>
    <w:rsid w:val="008513D6"/>
    <w:rsid w:val="00852354"/>
    <w:rsid w:val="008525D7"/>
    <w:rsid w:val="00856B1E"/>
    <w:rsid w:val="00864FAE"/>
    <w:rsid w:val="0086551B"/>
    <w:rsid w:val="00866291"/>
    <w:rsid w:val="008676CB"/>
    <w:rsid w:val="008708C0"/>
    <w:rsid w:val="00871450"/>
    <w:rsid w:val="00872AD5"/>
    <w:rsid w:val="0087421E"/>
    <w:rsid w:val="00874E04"/>
    <w:rsid w:val="00875AB3"/>
    <w:rsid w:val="0087607F"/>
    <w:rsid w:val="00877074"/>
    <w:rsid w:val="00877402"/>
    <w:rsid w:val="008774F9"/>
    <w:rsid w:val="008828F5"/>
    <w:rsid w:val="00886FF7"/>
    <w:rsid w:val="00891CFD"/>
    <w:rsid w:val="008968C7"/>
    <w:rsid w:val="008A1C1E"/>
    <w:rsid w:val="008A74FF"/>
    <w:rsid w:val="008B044A"/>
    <w:rsid w:val="008B064F"/>
    <w:rsid w:val="008B1516"/>
    <w:rsid w:val="008B3588"/>
    <w:rsid w:val="008B6ECC"/>
    <w:rsid w:val="008B7289"/>
    <w:rsid w:val="008C0704"/>
    <w:rsid w:val="008C265E"/>
    <w:rsid w:val="008C2F15"/>
    <w:rsid w:val="008D0A01"/>
    <w:rsid w:val="008D0FA5"/>
    <w:rsid w:val="008D26B8"/>
    <w:rsid w:val="008D2F9E"/>
    <w:rsid w:val="008E323E"/>
    <w:rsid w:val="008E6501"/>
    <w:rsid w:val="008E6645"/>
    <w:rsid w:val="008E687D"/>
    <w:rsid w:val="008E7EBC"/>
    <w:rsid w:val="008F019F"/>
    <w:rsid w:val="008F073A"/>
    <w:rsid w:val="008F2858"/>
    <w:rsid w:val="008F3E85"/>
    <w:rsid w:val="008F4304"/>
    <w:rsid w:val="00900DE3"/>
    <w:rsid w:val="009010B4"/>
    <w:rsid w:val="00902824"/>
    <w:rsid w:val="009029E5"/>
    <w:rsid w:val="00903390"/>
    <w:rsid w:val="009060FE"/>
    <w:rsid w:val="009065F4"/>
    <w:rsid w:val="0090747A"/>
    <w:rsid w:val="00910029"/>
    <w:rsid w:val="009117BA"/>
    <w:rsid w:val="009158A6"/>
    <w:rsid w:val="0092193B"/>
    <w:rsid w:val="00922EA9"/>
    <w:rsid w:val="00923693"/>
    <w:rsid w:val="00924EB7"/>
    <w:rsid w:val="009301CC"/>
    <w:rsid w:val="009313B9"/>
    <w:rsid w:val="00937DE1"/>
    <w:rsid w:val="00943BB8"/>
    <w:rsid w:val="00943D5C"/>
    <w:rsid w:val="00945264"/>
    <w:rsid w:val="00945F37"/>
    <w:rsid w:val="00946DD1"/>
    <w:rsid w:val="00950465"/>
    <w:rsid w:val="009508E5"/>
    <w:rsid w:val="009509DF"/>
    <w:rsid w:val="009540CB"/>
    <w:rsid w:val="009543C5"/>
    <w:rsid w:val="00954795"/>
    <w:rsid w:val="009551C1"/>
    <w:rsid w:val="00956A6E"/>
    <w:rsid w:val="009570B9"/>
    <w:rsid w:val="00962AA3"/>
    <w:rsid w:val="009631B7"/>
    <w:rsid w:val="0096387E"/>
    <w:rsid w:val="0096472A"/>
    <w:rsid w:val="00965407"/>
    <w:rsid w:val="00966479"/>
    <w:rsid w:val="00970AFD"/>
    <w:rsid w:val="00977629"/>
    <w:rsid w:val="00977697"/>
    <w:rsid w:val="00980946"/>
    <w:rsid w:val="00982694"/>
    <w:rsid w:val="00983C7D"/>
    <w:rsid w:val="00983CE5"/>
    <w:rsid w:val="00983E8E"/>
    <w:rsid w:val="009843BF"/>
    <w:rsid w:val="00985DD1"/>
    <w:rsid w:val="00986D8B"/>
    <w:rsid w:val="00992CA2"/>
    <w:rsid w:val="00992E28"/>
    <w:rsid w:val="009965D8"/>
    <w:rsid w:val="00996C79"/>
    <w:rsid w:val="00996F5A"/>
    <w:rsid w:val="009A24F1"/>
    <w:rsid w:val="009A2BF5"/>
    <w:rsid w:val="009A3FD0"/>
    <w:rsid w:val="009A59AA"/>
    <w:rsid w:val="009B03E5"/>
    <w:rsid w:val="009B5716"/>
    <w:rsid w:val="009C02AF"/>
    <w:rsid w:val="009C0F82"/>
    <w:rsid w:val="009C194B"/>
    <w:rsid w:val="009C1C14"/>
    <w:rsid w:val="009C29D3"/>
    <w:rsid w:val="009C46C5"/>
    <w:rsid w:val="009C71AB"/>
    <w:rsid w:val="009D0ABB"/>
    <w:rsid w:val="009D13D7"/>
    <w:rsid w:val="009D3BB2"/>
    <w:rsid w:val="009E208D"/>
    <w:rsid w:val="009E2345"/>
    <w:rsid w:val="009E2579"/>
    <w:rsid w:val="009E6B50"/>
    <w:rsid w:val="009F0A34"/>
    <w:rsid w:val="009F5F20"/>
    <w:rsid w:val="009F62D4"/>
    <w:rsid w:val="009F7B65"/>
    <w:rsid w:val="00A005AA"/>
    <w:rsid w:val="00A0089F"/>
    <w:rsid w:val="00A03554"/>
    <w:rsid w:val="00A04DCD"/>
    <w:rsid w:val="00A119FD"/>
    <w:rsid w:val="00A11DF2"/>
    <w:rsid w:val="00A16828"/>
    <w:rsid w:val="00A17807"/>
    <w:rsid w:val="00A24FD3"/>
    <w:rsid w:val="00A26B0D"/>
    <w:rsid w:val="00A27128"/>
    <w:rsid w:val="00A27417"/>
    <w:rsid w:val="00A32619"/>
    <w:rsid w:val="00A32D63"/>
    <w:rsid w:val="00A331C4"/>
    <w:rsid w:val="00A3487D"/>
    <w:rsid w:val="00A35AC3"/>
    <w:rsid w:val="00A36F79"/>
    <w:rsid w:val="00A41CE0"/>
    <w:rsid w:val="00A440E6"/>
    <w:rsid w:val="00A50C53"/>
    <w:rsid w:val="00A514A7"/>
    <w:rsid w:val="00A52412"/>
    <w:rsid w:val="00A524EA"/>
    <w:rsid w:val="00A56D35"/>
    <w:rsid w:val="00A6209D"/>
    <w:rsid w:val="00A622A3"/>
    <w:rsid w:val="00A627B5"/>
    <w:rsid w:val="00A6299A"/>
    <w:rsid w:val="00A66591"/>
    <w:rsid w:val="00A7067D"/>
    <w:rsid w:val="00A7338C"/>
    <w:rsid w:val="00A77319"/>
    <w:rsid w:val="00A82499"/>
    <w:rsid w:val="00A843DF"/>
    <w:rsid w:val="00A86415"/>
    <w:rsid w:val="00A8789C"/>
    <w:rsid w:val="00A908DE"/>
    <w:rsid w:val="00A94320"/>
    <w:rsid w:val="00AA100E"/>
    <w:rsid w:val="00AA1911"/>
    <w:rsid w:val="00AA32CB"/>
    <w:rsid w:val="00AA62C1"/>
    <w:rsid w:val="00AB1C1D"/>
    <w:rsid w:val="00AB372A"/>
    <w:rsid w:val="00AB4216"/>
    <w:rsid w:val="00AB4582"/>
    <w:rsid w:val="00AB5950"/>
    <w:rsid w:val="00AC028F"/>
    <w:rsid w:val="00AC06AE"/>
    <w:rsid w:val="00AC2CFD"/>
    <w:rsid w:val="00AC5085"/>
    <w:rsid w:val="00AC6706"/>
    <w:rsid w:val="00AC7377"/>
    <w:rsid w:val="00AC7984"/>
    <w:rsid w:val="00AD24A2"/>
    <w:rsid w:val="00AD5B2D"/>
    <w:rsid w:val="00AD686A"/>
    <w:rsid w:val="00AE2443"/>
    <w:rsid w:val="00AE2849"/>
    <w:rsid w:val="00AE3336"/>
    <w:rsid w:val="00AE3C90"/>
    <w:rsid w:val="00AE77E9"/>
    <w:rsid w:val="00AF1F3B"/>
    <w:rsid w:val="00AF5119"/>
    <w:rsid w:val="00AF6FAB"/>
    <w:rsid w:val="00B0055B"/>
    <w:rsid w:val="00B01159"/>
    <w:rsid w:val="00B0179D"/>
    <w:rsid w:val="00B018B3"/>
    <w:rsid w:val="00B02D3B"/>
    <w:rsid w:val="00B031BD"/>
    <w:rsid w:val="00B03549"/>
    <w:rsid w:val="00B03AA1"/>
    <w:rsid w:val="00B050A9"/>
    <w:rsid w:val="00B05B86"/>
    <w:rsid w:val="00B05D05"/>
    <w:rsid w:val="00B06F11"/>
    <w:rsid w:val="00B10909"/>
    <w:rsid w:val="00B1170C"/>
    <w:rsid w:val="00B11C71"/>
    <w:rsid w:val="00B11F28"/>
    <w:rsid w:val="00B14C89"/>
    <w:rsid w:val="00B1580D"/>
    <w:rsid w:val="00B179C8"/>
    <w:rsid w:val="00B20C25"/>
    <w:rsid w:val="00B21935"/>
    <w:rsid w:val="00B26618"/>
    <w:rsid w:val="00B27CB4"/>
    <w:rsid w:val="00B3062F"/>
    <w:rsid w:val="00B31946"/>
    <w:rsid w:val="00B32098"/>
    <w:rsid w:val="00B326DD"/>
    <w:rsid w:val="00B32E88"/>
    <w:rsid w:val="00B360B0"/>
    <w:rsid w:val="00B369C1"/>
    <w:rsid w:val="00B41C5A"/>
    <w:rsid w:val="00B42CDF"/>
    <w:rsid w:val="00B43328"/>
    <w:rsid w:val="00B44D6F"/>
    <w:rsid w:val="00B47C0E"/>
    <w:rsid w:val="00B47E62"/>
    <w:rsid w:val="00B504A3"/>
    <w:rsid w:val="00B50D2F"/>
    <w:rsid w:val="00B51664"/>
    <w:rsid w:val="00B560AF"/>
    <w:rsid w:val="00B56783"/>
    <w:rsid w:val="00B57AB7"/>
    <w:rsid w:val="00B603D9"/>
    <w:rsid w:val="00B63A17"/>
    <w:rsid w:val="00B6439F"/>
    <w:rsid w:val="00B652E6"/>
    <w:rsid w:val="00B7084A"/>
    <w:rsid w:val="00B71306"/>
    <w:rsid w:val="00B7220E"/>
    <w:rsid w:val="00B72EC5"/>
    <w:rsid w:val="00B737BD"/>
    <w:rsid w:val="00B751D1"/>
    <w:rsid w:val="00B7542A"/>
    <w:rsid w:val="00B77F87"/>
    <w:rsid w:val="00B8013D"/>
    <w:rsid w:val="00B80812"/>
    <w:rsid w:val="00B81D19"/>
    <w:rsid w:val="00B85549"/>
    <w:rsid w:val="00B905EB"/>
    <w:rsid w:val="00B93E4C"/>
    <w:rsid w:val="00B941C3"/>
    <w:rsid w:val="00B9570B"/>
    <w:rsid w:val="00B9736F"/>
    <w:rsid w:val="00BA1846"/>
    <w:rsid w:val="00BA1878"/>
    <w:rsid w:val="00BA2C8F"/>
    <w:rsid w:val="00BA5202"/>
    <w:rsid w:val="00BA5389"/>
    <w:rsid w:val="00BB038A"/>
    <w:rsid w:val="00BB0AD7"/>
    <w:rsid w:val="00BB5D62"/>
    <w:rsid w:val="00BB6289"/>
    <w:rsid w:val="00BB7C26"/>
    <w:rsid w:val="00BC160D"/>
    <w:rsid w:val="00BC2DD0"/>
    <w:rsid w:val="00BC3AC6"/>
    <w:rsid w:val="00BC7CD6"/>
    <w:rsid w:val="00BD24C3"/>
    <w:rsid w:val="00BD3D24"/>
    <w:rsid w:val="00BD618C"/>
    <w:rsid w:val="00BE2092"/>
    <w:rsid w:val="00BE2899"/>
    <w:rsid w:val="00BE2F6B"/>
    <w:rsid w:val="00BE4280"/>
    <w:rsid w:val="00BE76A7"/>
    <w:rsid w:val="00BF1838"/>
    <w:rsid w:val="00BF2451"/>
    <w:rsid w:val="00BF35C6"/>
    <w:rsid w:val="00BF5A17"/>
    <w:rsid w:val="00BF7ECF"/>
    <w:rsid w:val="00C006E1"/>
    <w:rsid w:val="00C00994"/>
    <w:rsid w:val="00C03D6B"/>
    <w:rsid w:val="00C047B5"/>
    <w:rsid w:val="00C07B5A"/>
    <w:rsid w:val="00C1046C"/>
    <w:rsid w:val="00C11162"/>
    <w:rsid w:val="00C11661"/>
    <w:rsid w:val="00C11D11"/>
    <w:rsid w:val="00C12D5A"/>
    <w:rsid w:val="00C1434F"/>
    <w:rsid w:val="00C15044"/>
    <w:rsid w:val="00C1569E"/>
    <w:rsid w:val="00C16785"/>
    <w:rsid w:val="00C16F8D"/>
    <w:rsid w:val="00C1797A"/>
    <w:rsid w:val="00C21443"/>
    <w:rsid w:val="00C21D18"/>
    <w:rsid w:val="00C2228F"/>
    <w:rsid w:val="00C2390B"/>
    <w:rsid w:val="00C2466B"/>
    <w:rsid w:val="00C254B4"/>
    <w:rsid w:val="00C264D8"/>
    <w:rsid w:val="00C27F62"/>
    <w:rsid w:val="00C30187"/>
    <w:rsid w:val="00C34537"/>
    <w:rsid w:val="00C36A43"/>
    <w:rsid w:val="00C37091"/>
    <w:rsid w:val="00C42C61"/>
    <w:rsid w:val="00C42FB4"/>
    <w:rsid w:val="00C4312D"/>
    <w:rsid w:val="00C44B45"/>
    <w:rsid w:val="00C47876"/>
    <w:rsid w:val="00C52742"/>
    <w:rsid w:val="00C5275E"/>
    <w:rsid w:val="00C5337D"/>
    <w:rsid w:val="00C538C7"/>
    <w:rsid w:val="00C5591A"/>
    <w:rsid w:val="00C620D9"/>
    <w:rsid w:val="00C63E9F"/>
    <w:rsid w:val="00C719D9"/>
    <w:rsid w:val="00C7389E"/>
    <w:rsid w:val="00C753FC"/>
    <w:rsid w:val="00C76C93"/>
    <w:rsid w:val="00C80844"/>
    <w:rsid w:val="00C81663"/>
    <w:rsid w:val="00C94179"/>
    <w:rsid w:val="00C955C8"/>
    <w:rsid w:val="00C95D2D"/>
    <w:rsid w:val="00CA111E"/>
    <w:rsid w:val="00CA2D09"/>
    <w:rsid w:val="00CA2D2F"/>
    <w:rsid w:val="00CA336B"/>
    <w:rsid w:val="00CA4E12"/>
    <w:rsid w:val="00CA4E56"/>
    <w:rsid w:val="00CB1AAA"/>
    <w:rsid w:val="00CB4B9F"/>
    <w:rsid w:val="00CB580D"/>
    <w:rsid w:val="00CC5265"/>
    <w:rsid w:val="00CC6A3A"/>
    <w:rsid w:val="00CD148A"/>
    <w:rsid w:val="00CD1669"/>
    <w:rsid w:val="00CD2917"/>
    <w:rsid w:val="00CD2A3C"/>
    <w:rsid w:val="00CD4D37"/>
    <w:rsid w:val="00CD6102"/>
    <w:rsid w:val="00CD623A"/>
    <w:rsid w:val="00CE2451"/>
    <w:rsid w:val="00CE6EE9"/>
    <w:rsid w:val="00CE7105"/>
    <w:rsid w:val="00CF0900"/>
    <w:rsid w:val="00CF4B81"/>
    <w:rsid w:val="00CF5710"/>
    <w:rsid w:val="00D019A5"/>
    <w:rsid w:val="00D0568C"/>
    <w:rsid w:val="00D063F8"/>
    <w:rsid w:val="00D12345"/>
    <w:rsid w:val="00D13728"/>
    <w:rsid w:val="00D168ED"/>
    <w:rsid w:val="00D175AF"/>
    <w:rsid w:val="00D17F80"/>
    <w:rsid w:val="00D23436"/>
    <w:rsid w:val="00D26383"/>
    <w:rsid w:val="00D265D4"/>
    <w:rsid w:val="00D30DEB"/>
    <w:rsid w:val="00D314F6"/>
    <w:rsid w:val="00D31802"/>
    <w:rsid w:val="00D3349D"/>
    <w:rsid w:val="00D40A69"/>
    <w:rsid w:val="00D40CBA"/>
    <w:rsid w:val="00D4121E"/>
    <w:rsid w:val="00D477A4"/>
    <w:rsid w:val="00D536F3"/>
    <w:rsid w:val="00D56428"/>
    <w:rsid w:val="00D5768D"/>
    <w:rsid w:val="00D61853"/>
    <w:rsid w:val="00D639E7"/>
    <w:rsid w:val="00D64BC1"/>
    <w:rsid w:val="00D670B4"/>
    <w:rsid w:val="00D7236F"/>
    <w:rsid w:val="00D76AFB"/>
    <w:rsid w:val="00D76E2B"/>
    <w:rsid w:val="00D776FB"/>
    <w:rsid w:val="00D77DCC"/>
    <w:rsid w:val="00D805BD"/>
    <w:rsid w:val="00D868ED"/>
    <w:rsid w:val="00D87A3E"/>
    <w:rsid w:val="00D90B48"/>
    <w:rsid w:val="00D9124D"/>
    <w:rsid w:val="00DA4051"/>
    <w:rsid w:val="00DA4695"/>
    <w:rsid w:val="00DC1437"/>
    <w:rsid w:val="00DC5DC1"/>
    <w:rsid w:val="00DC72B4"/>
    <w:rsid w:val="00DD0B0D"/>
    <w:rsid w:val="00DD0F65"/>
    <w:rsid w:val="00DD1501"/>
    <w:rsid w:val="00DD1763"/>
    <w:rsid w:val="00DD305E"/>
    <w:rsid w:val="00DD3A16"/>
    <w:rsid w:val="00DD3E5C"/>
    <w:rsid w:val="00DD4720"/>
    <w:rsid w:val="00DD56B2"/>
    <w:rsid w:val="00DE2FDF"/>
    <w:rsid w:val="00DE4135"/>
    <w:rsid w:val="00DE4621"/>
    <w:rsid w:val="00DE5BA4"/>
    <w:rsid w:val="00DE5BAB"/>
    <w:rsid w:val="00DE6E06"/>
    <w:rsid w:val="00DF7A71"/>
    <w:rsid w:val="00E00548"/>
    <w:rsid w:val="00E01DA2"/>
    <w:rsid w:val="00E020E1"/>
    <w:rsid w:val="00E02FC1"/>
    <w:rsid w:val="00E040E5"/>
    <w:rsid w:val="00E061B7"/>
    <w:rsid w:val="00E069D9"/>
    <w:rsid w:val="00E14652"/>
    <w:rsid w:val="00E246D8"/>
    <w:rsid w:val="00E25B75"/>
    <w:rsid w:val="00E27887"/>
    <w:rsid w:val="00E31409"/>
    <w:rsid w:val="00E31D71"/>
    <w:rsid w:val="00E31F28"/>
    <w:rsid w:val="00E3255C"/>
    <w:rsid w:val="00E327DE"/>
    <w:rsid w:val="00E32D28"/>
    <w:rsid w:val="00E32E27"/>
    <w:rsid w:val="00E335C2"/>
    <w:rsid w:val="00E35FA6"/>
    <w:rsid w:val="00E361DD"/>
    <w:rsid w:val="00E373B6"/>
    <w:rsid w:val="00E37F09"/>
    <w:rsid w:val="00E41E9E"/>
    <w:rsid w:val="00E42B41"/>
    <w:rsid w:val="00E45623"/>
    <w:rsid w:val="00E45B66"/>
    <w:rsid w:val="00E5047D"/>
    <w:rsid w:val="00E50C85"/>
    <w:rsid w:val="00E51FC0"/>
    <w:rsid w:val="00E525FD"/>
    <w:rsid w:val="00E54E06"/>
    <w:rsid w:val="00E55EBA"/>
    <w:rsid w:val="00E55F82"/>
    <w:rsid w:val="00E562FB"/>
    <w:rsid w:val="00E603F7"/>
    <w:rsid w:val="00E63A5E"/>
    <w:rsid w:val="00E63BE8"/>
    <w:rsid w:val="00E63C60"/>
    <w:rsid w:val="00E65379"/>
    <w:rsid w:val="00E6539F"/>
    <w:rsid w:val="00E674C0"/>
    <w:rsid w:val="00E724FF"/>
    <w:rsid w:val="00E73BA7"/>
    <w:rsid w:val="00E74274"/>
    <w:rsid w:val="00E742C3"/>
    <w:rsid w:val="00E753AD"/>
    <w:rsid w:val="00E75899"/>
    <w:rsid w:val="00E75C2E"/>
    <w:rsid w:val="00E8199D"/>
    <w:rsid w:val="00E82B35"/>
    <w:rsid w:val="00E849AF"/>
    <w:rsid w:val="00E873C2"/>
    <w:rsid w:val="00E93C6A"/>
    <w:rsid w:val="00E94BCB"/>
    <w:rsid w:val="00EA08E8"/>
    <w:rsid w:val="00EA2D21"/>
    <w:rsid w:val="00EA3E49"/>
    <w:rsid w:val="00EA43CE"/>
    <w:rsid w:val="00EA46D1"/>
    <w:rsid w:val="00EA4770"/>
    <w:rsid w:val="00EB2FC3"/>
    <w:rsid w:val="00EB3263"/>
    <w:rsid w:val="00EB56C1"/>
    <w:rsid w:val="00EB5EDF"/>
    <w:rsid w:val="00EB71BB"/>
    <w:rsid w:val="00EB78F2"/>
    <w:rsid w:val="00EC1F61"/>
    <w:rsid w:val="00ED1B6A"/>
    <w:rsid w:val="00ED2FE7"/>
    <w:rsid w:val="00ED448D"/>
    <w:rsid w:val="00ED7E11"/>
    <w:rsid w:val="00ED7EC0"/>
    <w:rsid w:val="00EE258D"/>
    <w:rsid w:val="00EE31FB"/>
    <w:rsid w:val="00EE46D6"/>
    <w:rsid w:val="00EF0FF2"/>
    <w:rsid w:val="00EF258D"/>
    <w:rsid w:val="00F00E1D"/>
    <w:rsid w:val="00F036EE"/>
    <w:rsid w:val="00F04DCE"/>
    <w:rsid w:val="00F05B2A"/>
    <w:rsid w:val="00F07DEB"/>
    <w:rsid w:val="00F108BA"/>
    <w:rsid w:val="00F1280C"/>
    <w:rsid w:val="00F14563"/>
    <w:rsid w:val="00F152DE"/>
    <w:rsid w:val="00F2143D"/>
    <w:rsid w:val="00F22E3B"/>
    <w:rsid w:val="00F25EF8"/>
    <w:rsid w:val="00F372D7"/>
    <w:rsid w:val="00F41DDC"/>
    <w:rsid w:val="00F4683C"/>
    <w:rsid w:val="00F50467"/>
    <w:rsid w:val="00F5106F"/>
    <w:rsid w:val="00F5574C"/>
    <w:rsid w:val="00F5739C"/>
    <w:rsid w:val="00F60DB2"/>
    <w:rsid w:val="00F610FF"/>
    <w:rsid w:val="00F62182"/>
    <w:rsid w:val="00F64384"/>
    <w:rsid w:val="00F64892"/>
    <w:rsid w:val="00F6597C"/>
    <w:rsid w:val="00F70D6A"/>
    <w:rsid w:val="00F714F8"/>
    <w:rsid w:val="00F7159F"/>
    <w:rsid w:val="00F72DE9"/>
    <w:rsid w:val="00F775C0"/>
    <w:rsid w:val="00F81926"/>
    <w:rsid w:val="00F82ACA"/>
    <w:rsid w:val="00F83353"/>
    <w:rsid w:val="00F84529"/>
    <w:rsid w:val="00F86C50"/>
    <w:rsid w:val="00F8779F"/>
    <w:rsid w:val="00F91972"/>
    <w:rsid w:val="00F953DE"/>
    <w:rsid w:val="00F9562F"/>
    <w:rsid w:val="00F95D3B"/>
    <w:rsid w:val="00F97C19"/>
    <w:rsid w:val="00FA0BDD"/>
    <w:rsid w:val="00FA13E8"/>
    <w:rsid w:val="00FA2FE5"/>
    <w:rsid w:val="00FA6694"/>
    <w:rsid w:val="00FA6B11"/>
    <w:rsid w:val="00FB109B"/>
    <w:rsid w:val="00FB3E84"/>
    <w:rsid w:val="00FB4B51"/>
    <w:rsid w:val="00FC030F"/>
    <w:rsid w:val="00FC087B"/>
    <w:rsid w:val="00FC0C7A"/>
    <w:rsid w:val="00FC249C"/>
    <w:rsid w:val="00FC4BBA"/>
    <w:rsid w:val="00FC5BD1"/>
    <w:rsid w:val="00FC65D2"/>
    <w:rsid w:val="00FC7617"/>
    <w:rsid w:val="00FD03A8"/>
    <w:rsid w:val="00FD177C"/>
    <w:rsid w:val="00FD1CD9"/>
    <w:rsid w:val="00FD5546"/>
    <w:rsid w:val="00FE0715"/>
    <w:rsid w:val="00FE332E"/>
    <w:rsid w:val="00FE3DB5"/>
    <w:rsid w:val="00FE4C79"/>
    <w:rsid w:val="00FE796E"/>
    <w:rsid w:val="00FF3834"/>
    <w:rsid w:val="00FF476F"/>
    <w:rsid w:val="00FF4F35"/>
    <w:rsid w:val="00FF4F82"/>
    <w:rsid w:val="00FF54FA"/>
    <w:rsid w:val="00FF5C62"/>
    <w:rsid w:val="00FF6900"/>
    <w:rsid w:val="00FF7153"/>
    <w:rsid w:val="00FF7A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99332" fillcolor="#9cf">
      <v:fill color="#9cf"/>
      <o:colormru v:ext="edit" colors="#ddd,#060,#393,#396"/>
    </o:shapedefaults>
    <o:shapelayout v:ext="edit">
      <o:idmap v:ext="edit" data="1"/>
      <o:rules v:ext="edit">
        <o:r id="V:Rule1" type="callout" idref="#_x0000_s1062"/>
        <o:r id="V:Rule2" type="callout" idref="#_x0000_s1072"/>
        <o:r id="V:Rule3" type="callout" idref="#_x0000_s1073"/>
        <o:r id="V:Rule4" type="callout"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013D"/>
    <w:rPr>
      <w:sz w:val="24"/>
    </w:rPr>
  </w:style>
  <w:style w:type="paragraph" w:styleId="Heading1">
    <w:name w:val="heading 1"/>
    <w:basedOn w:val="Normal"/>
    <w:next w:val="Normal"/>
    <w:link w:val="Heading1Char"/>
    <w:qFormat/>
    <w:rsid w:val="00B8013D"/>
    <w:pPr>
      <w:keepNext/>
      <w:spacing w:before="240" w:after="60"/>
      <w:outlineLvl w:val="0"/>
    </w:pPr>
    <w:rPr>
      <w:rFonts w:ascii="Arial" w:hAnsi="Arial"/>
      <w:b/>
      <w:kern w:val="28"/>
      <w:sz w:val="28"/>
      <w:u w:val="single"/>
    </w:rPr>
  </w:style>
  <w:style w:type="paragraph" w:styleId="Heading2">
    <w:name w:val="heading 2"/>
    <w:basedOn w:val="Normal"/>
    <w:next w:val="Normal"/>
    <w:qFormat/>
    <w:rsid w:val="00B8013D"/>
    <w:pPr>
      <w:keepNext/>
      <w:jc w:val="center"/>
      <w:outlineLvl w:val="1"/>
    </w:pPr>
    <w:rPr>
      <w:rFonts w:ascii="Arial" w:hAnsi="Arial"/>
      <w:b/>
      <w:snapToGrid w:val="0"/>
      <w:color w:val="000000"/>
    </w:rPr>
  </w:style>
  <w:style w:type="paragraph" w:styleId="Heading3">
    <w:name w:val="heading 3"/>
    <w:basedOn w:val="Normal"/>
    <w:next w:val="Normal"/>
    <w:link w:val="Heading3Char"/>
    <w:qFormat/>
    <w:rsid w:val="00E3255C"/>
    <w:pPr>
      <w:keepNext/>
      <w:spacing w:before="240" w:after="60"/>
      <w:outlineLvl w:val="2"/>
    </w:pPr>
    <w:rPr>
      <w:rFonts w:ascii="Arial" w:hAnsi="Arial"/>
      <w:b/>
    </w:rPr>
  </w:style>
  <w:style w:type="paragraph" w:styleId="Heading4">
    <w:name w:val="heading 4"/>
    <w:basedOn w:val="Normal"/>
    <w:next w:val="Normal"/>
    <w:link w:val="Heading4Char"/>
    <w:qFormat/>
    <w:rsid w:val="00D868ED"/>
    <w:pPr>
      <w:keepNext/>
      <w:outlineLvl w:val="3"/>
    </w:pPr>
    <w:rPr>
      <w:rFonts w:ascii="Arial" w:hAnsi="Arial"/>
      <w:b/>
      <w:snapToGrid w:val="0"/>
      <w:color w:val="000000"/>
      <w:sz w:val="22"/>
    </w:rPr>
  </w:style>
  <w:style w:type="paragraph" w:styleId="Heading5">
    <w:name w:val="heading 5"/>
    <w:basedOn w:val="Normal"/>
    <w:next w:val="Normal"/>
    <w:qFormat/>
    <w:rsid w:val="00B8013D"/>
    <w:pPr>
      <w:keepNext/>
      <w:outlineLvl w:val="4"/>
    </w:pPr>
    <w:rPr>
      <w:rFonts w:ascii="Arial" w:hAnsi="Arial"/>
      <w:b/>
      <w:snapToGrid w:val="0"/>
      <w:color w:val="000000"/>
      <w:sz w:val="22"/>
    </w:rPr>
  </w:style>
  <w:style w:type="paragraph" w:styleId="Heading6">
    <w:name w:val="heading 6"/>
    <w:basedOn w:val="Normal"/>
    <w:next w:val="Normal"/>
    <w:qFormat/>
    <w:rsid w:val="00B8013D"/>
    <w:pPr>
      <w:keepNext/>
      <w:spacing w:before="40" w:after="40"/>
      <w:ind w:right="180"/>
      <w:jc w:val="center"/>
      <w:outlineLvl w:val="5"/>
    </w:pPr>
    <w:rPr>
      <w:rFonts w:ascii="Arial" w:hAnsi="Arial"/>
      <w:b/>
      <w:sz w:val="40"/>
    </w:rPr>
  </w:style>
  <w:style w:type="paragraph" w:styleId="Heading7">
    <w:name w:val="heading 7"/>
    <w:basedOn w:val="Normal"/>
    <w:next w:val="Normal"/>
    <w:qFormat/>
    <w:rsid w:val="00B8013D"/>
    <w:pPr>
      <w:keepNext/>
      <w:outlineLvl w:val="6"/>
    </w:pPr>
    <w:rPr>
      <w:rFonts w:ascii="Arial" w:hAnsi="Arial"/>
      <w:b/>
      <w:snapToGrid w:val="0"/>
      <w:color w:val="000000"/>
      <w:sz w:val="20"/>
    </w:rPr>
  </w:style>
  <w:style w:type="paragraph" w:styleId="Heading8">
    <w:name w:val="heading 8"/>
    <w:basedOn w:val="Normal"/>
    <w:next w:val="Normal"/>
    <w:qFormat/>
    <w:rsid w:val="00B8013D"/>
    <w:pPr>
      <w:keepNext/>
      <w:outlineLvl w:val="7"/>
    </w:pPr>
    <w:rPr>
      <w:rFonts w:ascii="Arial" w:hAnsi="Arial"/>
      <w:b/>
      <w:snapToGrid w:val="0"/>
      <w:color w:val="000000"/>
      <w:sz w:val="28"/>
    </w:rPr>
  </w:style>
  <w:style w:type="paragraph" w:styleId="Heading9">
    <w:name w:val="heading 9"/>
    <w:basedOn w:val="Normal"/>
    <w:next w:val="Normal"/>
    <w:qFormat/>
    <w:rsid w:val="00B8013D"/>
    <w:pPr>
      <w:keepNext/>
      <w:jc w:val="center"/>
      <w:outlineLvl w:val="8"/>
    </w:pPr>
    <w:rPr>
      <w:rFonts w:ascii="Tahoma" w:hAnsi="Tahoma" w:cs="Tahoma"/>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8013D"/>
    <w:pPr>
      <w:tabs>
        <w:tab w:val="center" w:pos="4320"/>
        <w:tab w:val="right" w:pos="8640"/>
      </w:tabs>
    </w:pPr>
  </w:style>
  <w:style w:type="character" w:styleId="PageNumber">
    <w:name w:val="page number"/>
    <w:basedOn w:val="DefaultParagraphFont"/>
    <w:rsid w:val="00B8013D"/>
  </w:style>
  <w:style w:type="paragraph" w:styleId="Header">
    <w:name w:val="header"/>
    <w:basedOn w:val="Normal"/>
    <w:rsid w:val="00B8013D"/>
    <w:pPr>
      <w:tabs>
        <w:tab w:val="center" w:pos="4320"/>
        <w:tab w:val="right" w:pos="8640"/>
      </w:tabs>
    </w:pPr>
  </w:style>
  <w:style w:type="character" w:styleId="CommentReference">
    <w:name w:val="annotation reference"/>
    <w:basedOn w:val="DefaultParagraphFont"/>
    <w:semiHidden/>
    <w:rsid w:val="00B8013D"/>
    <w:rPr>
      <w:sz w:val="16"/>
    </w:rPr>
  </w:style>
  <w:style w:type="paragraph" w:styleId="CommentText">
    <w:name w:val="annotation text"/>
    <w:basedOn w:val="Normal"/>
    <w:semiHidden/>
    <w:rsid w:val="00B8013D"/>
  </w:style>
  <w:style w:type="paragraph" w:styleId="DocumentMap">
    <w:name w:val="Document Map"/>
    <w:basedOn w:val="Normal"/>
    <w:semiHidden/>
    <w:rsid w:val="00B8013D"/>
    <w:pPr>
      <w:shd w:val="clear" w:color="auto" w:fill="000080"/>
    </w:pPr>
    <w:rPr>
      <w:rFonts w:ascii="Tahoma" w:hAnsi="Tahoma"/>
    </w:rPr>
  </w:style>
  <w:style w:type="paragraph" w:styleId="TOC1">
    <w:name w:val="toc 1"/>
    <w:basedOn w:val="Normal"/>
    <w:next w:val="Normal"/>
    <w:autoRedefine/>
    <w:uiPriority w:val="39"/>
    <w:qFormat/>
    <w:rsid w:val="008E6501"/>
    <w:pPr>
      <w:tabs>
        <w:tab w:val="right" w:leader="dot" w:pos="10170"/>
      </w:tabs>
      <w:spacing w:before="360"/>
      <w:ind w:right="36"/>
    </w:pPr>
    <w:rPr>
      <w:rFonts w:ascii="Arial" w:hAnsi="Arial"/>
      <w:b/>
      <w:caps/>
    </w:rPr>
  </w:style>
  <w:style w:type="paragraph" w:styleId="TableofFigures">
    <w:name w:val="table of figures"/>
    <w:basedOn w:val="Normal"/>
    <w:next w:val="Normal"/>
    <w:semiHidden/>
    <w:rsid w:val="00B8013D"/>
    <w:pPr>
      <w:ind w:left="400" w:hanging="400"/>
    </w:pPr>
  </w:style>
  <w:style w:type="paragraph" w:styleId="TOC2">
    <w:name w:val="toc 2"/>
    <w:basedOn w:val="Heading3"/>
    <w:next w:val="Normal"/>
    <w:autoRedefine/>
    <w:uiPriority w:val="39"/>
    <w:qFormat/>
    <w:rsid w:val="00B8013D"/>
  </w:style>
  <w:style w:type="paragraph" w:styleId="TOC3">
    <w:name w:val="toc 3"/>
    <w:basedOn w:val="Normal"/>
    <w:next w:val="Normal"/>
    <w:autoRedefine/>
    <w:uiPriority w:val="39"/>
    <w:qFormat/>
    <w:rsid w:val="00F91972"/>
    <w:pPr>
      <w:tabs>
        <w:tab w:val="right" w:leader="dot" w:pos="10170"/>
      </w:tabs>
      <w:ind w:left="360" w:right="36"/>
    </w:pPr>
    <w:rPr>
      <w:noProof/>
      <w:sz w:val="20"/>
    </w:rPr>
  </w:style>
  <w:style w:type="paragraph" w:styleId="TOC4">
    <w:name w:val="toc 4"/>
    <w:basedOn w:val="Normal"/>
    <w:next w:val="Normal"/>
    <w:autoRedefine/>
    <w:uiPriority w:val="39"/>
    <w:rsid w:val="005741C6"/>
    <w:pPr>
      <w:tabs>
        <w:tab w:val="right" w:leader="dot" w:pos="10170"/>
      </w:tabs>
      <w:ind w:left="400"/>
    </w:pPr>
    <w:rPr>
      <w:noProof/>
      <w:sz w:val="20"/>
    </w:rPr>
  </w:style>
  <w:style w:type="paragraph" w:styleId="TOC5">
    <w:name w:val="toc 5"/>
    <w:basedOn w:val="Normal"/>
    <w:next w:val="Normal"/>
    <w:autoRedefine/>
    <w:uiPriority w:val="39"/>
    <w:rsid w:val="00B8013D"/>
    <w:pPr>
      <w:ind w:left="600"/>
    </w:pPr>
  </w:style>
  <w:style w:type="paragraph" w:styleId="TOC6">
    <w:name w:val="toc 6"/>
    <w:basedOn w:val="Normal"/>
    <w:next w:val="Normal"/>
    <w:autoRedefine/>
    <w:uiPriority w:val="39"/>
    <w:rsid w:val="00B8013D"/>
    <w:pPr>
      <w:ind w:left="800"/>
    </w:pPr>
  </w:style>
  <w:style w:type="paragraph" w:styleId="TOC7">
    <w:name w:val="toc 7"/>
    <w:basedOn w:val="Normal"/>
    <w:next w:val="Normal"/>
    <w:autoRedefine/>
    <w:uiPriority w:val="39"/>
    <w:rsid w:val="00B8013D"/>
    <w:pPr>
      <w:ind w:left="1000"/>
    </w:pPr>
  </w:style>
  <w:style w:type="paragraph" w:styleId="TOC8">
    <w:name w:val="toc 8"/>
    <w:basedOn w:val="Normal"/>
    <w:next w:val="Normal"/>
    <w:autoRedefine/>
    <w:uiPriority w:val="39"/>
    <w:rsid w:val="00B8013D"/>
    <w:pPr>
      <w:ind w:left="1200"/>
    </w:pPr>
  </w:style>
  <w:style w:type="paragraph" w:styleId="TOC9">
    <w:name w:val="toc 9"/>
    <w:basedOn w:val="Normal"/>
    <w:next w:val="Normal"/>
    <w:autoRedefine/>
    <w:uiPriority w:val="39"/>
    <w:rsid w:val="00B8013D"/>
    <w:pPr>
      <w:ind w:left="1400"/>
    </w:pPr>
  </w:style>
  <w:style w:type="paragraph" w:styleId="FootnoteText">
    <w:name w:val="footnote text"/>
    <w:basedOn w:val="Normal"/>
    <w:semiHidden/>
    <w:rsid w:val="00B8013D"/>
  </w:style>
  <w:style w:type="character" w:styleId="FootnoteReference">
    <w:name w:val="footnote reference"/>
    <w:basedOn w:val="DefaultParagraphFont"/>
    <w:semiHidden/>
    <w:rsid w:val="00B8013D"/>
    <w:rPr>
      <w:vertAlign w:val="superscript"/>
    </w:rPr>
  </w:style>
  <w:style w:type="paragraph" w:styleId="BodyTextIndent">
    <w:name w:val="Body Text Indent"/>
    <w:basedOn w:val="Normal"/>
    <w:rsid w:val="00B8013D"/>
    <w:pPr>
      <w:ind w:left="720"/>
    </w:pPr>
    <w:rPr>
      <w:sz w:val="16"/>
    </w:rPr>
  </w:style>
  <w:style w:type="character" w:styleId="LineNumber">
    <w:name w:val="line number"/>
    <w:basedOn w:val="DefaultParagraphFont"/>
    <w:rsid w:val="00B8013D"/>
  </w:style>
  <w:style w:type="paragraph" w:styleId="BodyTextIndent2">
    <w:name w:val="Body Text Indent 2"/>
    <w:basedOn w:val="Normal"/>
    <w:rsid w:val="00B8013D"/>
    <w:pPr>
      <w:ind w:left="720"/>
    </w:pPr>
  </w:style>
  <w:style w:type="paragraph" w:styleId="BodyTextIndent3">
    <w:name w:val="Body Text Indent 3"/>
    <w:basedOn w:val="Normal"/>
    <w:rsid w:val="00B8013D"/>
    <w:pPr>
      <w:ind w:left="720"/>
    </w:pPr>
    <w:rPr>
      <w:color w:val="FF0000"/>
    </w:rPr>
  </w:style>
  <w:style w:type="paragraph" w:styleId="PlainText">
    <w:name w:val="Plain Text"/>
    <w:basedOn w:val="Normal"/>
    <w:rsid w:val="00B8013D"/>
    <w:rPr>
      <w:rFonts w:ascii="Courier New" w:hAnsi="Courier New"/>
      <w:sz w:val="20"/>
    </w:rPr>
  </w:style>
  <w:style w:type="paragraph" w:styleId="BodyText">
    <w:name w:val="Body Text"/>
    <w:basedOn w:val="Normal"/>
    <w:rsid w:val="00B8013D"/>
    <w:rPr>
      <w:sz w:val="22"/>
      <w:szCs w:val="24"/>
    </w:rPr>
  </w:style>
  <w:style w:type="paragraph" w:styleId="BlockText">
    <w:name w:val="Block Text"/>
    <w:basedOn w:val="Normal"/>
    <w:rsid w:val="00B8013D"/>
    <w:pPr>
      <w:ind w:left="720" w:right="1404"/>
    </w:pPr>
  </w:style>
  <w:style w:type="paragraph" w:customStyle="1" w:styleId="xl24">
    <w:name w:val="xl24"/>
    <w:basedOn w:val="Normal"/>
    <w:rsid w:val="00B8013D"/>
    <w:pPr>
      <w:pBdr>
        <w:top w:val="single" w:sz="8"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25">
    <w:name w:val="xl25"/>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szCs w:val="24"/>
    </w:rPr>
  </w:style>
  <w:style w:type="paragraph" w:customStyle="1" w:styleId="xl26">
    <w:name w:val="xl26"/>
    <w:basedOn w:val="Normal"/>
    <w:rsid w:val="00B8013D"/>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szCs w:val="24"/>
    </w:rPr>
  </w:style>
  <w:style w:type="paragraph" w:customStyle="1" w:styleId="xl27">
    <w:name w:val="xl27"/>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8">
    <w:name w:val="xl28"/>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29">
    <w:name w:val="xl29"/>
    <w:basedOn w:val="Normal"/>
    <w:rsid w:val="00B8013D"/>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0">
    <w:name w:val="xl30"/>
    <w:basedOn w:val="Normal"/>
    <w:rsid w:val="00B8013D"/>
    <w:pPr>
      <w:pBdr>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1">
    <w:name w:val="xl31"/>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2">
    <w:name w:val="xl32"/>
    <w:basedOn w:val="Normal"/>
    <w:rsid w:val="00B8013D"/>
    <w:pPr>
      <w:pBdr>
        <w:top w:val="single" w:sz="4" w:space="0" w:color="auto"/>
        <w:left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3">
    <w:name w:val="xl33"/>
    <w:basedOn w:val="Normal"/>
    <w:rsid w:val="00B8013D"/>
    <w:pPr>
      <w:pBdr>
        <w:top w:val="single" w:sz="4" w:space="0" w:color="auto"/>
        <w:left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4">
    <w:name w:val="xl34"/>
    <w:basedOn w:val="Normal"/>
    <w:rsid w:val="00B8013D"/>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5">
    <w:name w:val="xl35"/>
    <w:basedOn w:val="Normal"/>
    <w:rsid w:val="00B8013D"/>
    <w:pPr>
      <w:pBdr>
        <w:left w:val="single" w:sz="8"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customStyle="1" w:styleId="xl36">
    <w:name w:val="xl36"/>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7">
    <w:name w:val="xl37"/>
    <w:basedOn w:val="Normal"/>
    <w:rsid w:val="00B8013D"/>
    <w:pPr>
      <w:pBdr>
        <w:left w:val="single" w:sz="8"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szCs w:val="24"/>
    </w:rPr>
  </w:style>
  <w:style w:type="paragraph" w:customStyle="1" w:styleId="xl38">
    <w:name w:val="xl38"/>
    <w:basedOn w:val="Normal"/>
    <w:rsid w:val="00B8013D"/>
    <w:pPr>
      <w:pBdr>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rPr>
  </w:style>
  <w:style w:type="paragraph" w:styleId="BodyText2">
    <w:name w:val="Body Text 2"/>
    <w:basedOn w:val="Normal"/>
    <w:rsid w:val="00B8013D"/>
    <w:pPr>
      <w:autoSpaceDE w:val="0"/>
      <w:autoSpaceDN w:val="0"/>
      <w:adjustRightInd w:val="0"/>
      <w:spacing w:before="120"/>
    </w:pPr>
    <w:rPr>
      <w:color w:val="FF0000"/>
      <w:szCs w:val="24"/>
    </w:rPr>
  </w:style>
  <w:style w:type="paragraph" w:styleId="BalloonText">
    <w:name w:val="Balloon Text"/>
    <w:basedOn w:val="Normal"/>
    <w:semiHidden/>
    <w:rsid w:val="000B34F1"/>
    <w:rPr>
      <w:rFonts w:ascii="Tahoma" w:hAnsi="Tahoma" w:cs="Tahoma"/>
      <w:sz w:val="16"/>
      <w:szCs w:val="16"/>
    </w:rPr>
  </w:style>
  <w:style w:type="paragraph" w:styleId="CommentSubject">
    <w:name w:val="annotation subject"/>
    <w:basedOn w:val="CommentText"/>
    <w:next w:val="CommentText"/>
    <w:semiHidden/>
    <w:rsid w:val="00795FC9"/>
    <w:rPr>
      <w:b/>
      <w:bCs/>
      <w:sz w:val="20"/>
    </w:rPr>
  </w:style>
  <w:style w:type="table" w:styleId="TableGrid">
    <w:name w:val="Table Grid"/>
    <w:basedOn w:val="TableNormal"/>
    <w:rsid w:val="00AC73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A24FD3"/>
    <w:rPr>
      <w:color w:val="0000FF"/>
      <w:u w:val="single"/>
    </w:rPr>
  </w:style>
  <w:style w:type="character" w:customStyle="1" w:styleId="Heading1Char">
    <w:name w:val="Heading 1 Char"/>
    <w:basedOn w:val="DefaultParagraphFont"/>
    <w:link w:val="Heading1"/>
    <w:rsid w:val="00514646"/>
    <w:rPr>
      <w:rFonts w:ascii="Arial" w:hAnsi="Arial"/>
      <w:b/>
      <w:kern w:val="28"/>
      <w:sz w:val="28"/>
      <w:u w:val="single"/>
      <w:lang w:val="en-US" w:eastAsia="en-US" w:bidi="ar-SA"/>
    </w:rPr>
  </w:style>
  <w:style w:type="character" w:customStyle="1" w:styleId="Heading3Char">
    <w:name w:val="Heading 3 Char"/>
    <w:basedOn w:val="DefaultParagraphFont"/>
    <w:link w:val="Heading3"/>
    <w:rsid w:val="00E3255C"/>
    <w:rPr>
      <w:rFonts w:ascii="Arial" w:hAnsi="Arial"/>
      <w:b/>
      <w:sz w:val="24"/>
    </w:rPr>
  </w:style>
  <w:style w:type="paragraph" w:styleId="ListParagraph">
    <w:name w:val="List Paragraph"/>
    <w:basedOn w:val="Normal"/>
    <w:uiPriority w:val="34"/>
    <w:qFormat/>
    <w:rsid w:val="001677DA"/>
    <w:pPr>
      <w:ind w:left="720"/>
      <w:contextualSpacing/>
    </w:pPr>
  </w:style>
  <w:style w:type="character" w:customStyle="1" w:styleId="FooterChar">
    <w:name w:val="Footer Char"/>
    <w:basedOn w:val="DefaultParagraphFont"/>
    <w:link w:val="Footer"/>
    <w:rsid w:val="004E45B0"/>
    <w:rPr>
      <w:sz w:val="24"/>
    </w:rPr>
  </w:style>
  <w:style w:type="paragraph" w:customStyle="1" w:styleId="Default">
    <w:name w:val="Default"/>
    <w:rsid w:val="00085A4C"/>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7F491E"/>
    <w:pPr>
      <w:keepLines/>
      <w:spacing w:before="480" w:after="0" w:line="276" w:lineRule="auto"/>
      <w:outlineLvl w:val="9"/>
    </w:pPr>
    <w:rPr>
      <w:rFonts w:asciiTheme="majorHAnsi" w:eastAsiaTheme="majorEastAsia" w:hAnsiTheme="majorHAnsi" w:cstheme="majorBidi"/>
      <w:bCs/>
      <w:color w:val="365F91" w:themeColor="accent1" w:themeShade="BF"/>
      <w:kern w:val="0"/>
      <w:szCs w:val="28"/>
      <w:u w:val="none"/>
    </w:rPr>
  </w:style>
  <w:style w:type="character" w:customStyle="1" w:styleId="Heading4Char">
    <w:name w:val="Heading 4 Char"/>
    <w:basedOn w:val="DefaultParagraphFont"/>
    <w:link w:val="Heading4"/>
    <w:rsid w:val="00004CE2"/>
    <w:rPr>
      <w:rFonts w:ascii="Arial" w:hAnsi="Arial"/>
      <w:b/>
      <w:snapToGrid w:val="0"/>
      <w:color w:val="000000"/>
      <w:sz w:val="22"/>
    </w:rPr>
  </w:style>
  <w:style w:type="paragraph" w:styleId="NoSpacing">
    <w:name w:val="No Spacing"/>
    <w:link w:val="NoSpacingChar"/>
    <w:uiPriority w:val="1"/>
    <w:qFormat/>
    <w:rsid w:val="00BE76A7"/>
    <w:rPr>
      <w:rFonts w:ascii="Calibri" w:eastAsia="Calibri" w:hAnsi="Calibri"/>
      <w:sz w:val="22"/>
      <w:szCs w:val="22"/>
    </w:rPr>
  </w:style>
  <w:style w:type="paragraph" w:customStyle="1" w:styleId="Style1">
    <w:name w:val="Style1"/>
    <w:basedOn w:val="NoSpacing"/>
    <w:link w:val="Style1Char"/>
    <w:qFormat/>
    <w:rsid w:val="00BE76A7"/>
    <w:pPr>
      <w:spacing w:after="120"/>
    </w:pPr>
    <w:rPr>
      <w:rFonts w:ascii="Arial" w:hAnsi="Arial" w:cs="Arial"/>
      <w:b/>
      <w:sz w:val="28"/>
      <w:szCs w:val="28"/>
      <w:u w:val="single"/>
    </w:rPr>
  </w:style>
  <w:style w:type="character" w:customStyle="1" w:styleId="NoSpacingChar">
    <w:name w:val="No Spacing Char"/>
    <w:basedOn w:val="DefaultParagraphFont"/>
    <w:link w:val="NoSpacing"/>
    <w:uiPriority w:val="1"/>
    <w:rsid w:val="00BE76A7"/>
    <w:rPr>
      <w:rFonts w:ascii="Calibri" w:eastAsia="Calibri" w:hAnsi="Calibri"/>
      <w:sz w:val="22"/>
      <w:szCs w:val="22"/>
    </w:rPr>
  </w:style>
  <w:style w:type="character" w:customStyle="1" w:styleId="Style1Char">
    <w:name w:val="Style1 Char"/>
    <w:basedOn w:val="NoSpacingChar"/>
    <w:link w:val="Style1"/>
    <w:rsid w:val="00BE76A7"/>
    <w:rPr>
      <w:rFonts w:ascii="Arial" w:hAnsi="Arial" w:cs="Arial"/>
      <w:b/>
      <w:sz w:val="28"/>
      <w:szCs w:val="28"/>
      <w:u w:val="single"/>
    </w:rPr>
  </w:style>
</w:styles>
</file>

<file path=word/webSettings.xml><?xml version="1.0" encoding="utf-8"?>
<w:webSettings xmlns:r="http://schemas.openxmlformats.org/officeDocument/2006/relationships" xmlns:w="http://schemas.openxmlformats.org/wordprocessingml/2006/main">
  <w:divs>
    <w:div w:id="58527486">
      <w:bodyDiv w:val="1"/>
      <w:marLeft w:val="0"/>
      <w:marRight w:val="0"/>
      <w:marTop w:val="0"/>
      <w:marBottom w:val="0"/>
      <w:divBdr>
        <w:top w:val="none" w:sz="0" w:space="0" w:color="auto"/>
        <w:left w:val="none" w:sz="0" w:space="0" w:color="auto"/>
        <w:bottom w:val="none" w:sz="0" w:space="0" w:color="auto"/>
        <w:right w:val="none" w:sz="0" w:space="0" w:color="auto"/>
      </w:divBdr>
      <w:divsChild>
        <w:div w:id="1922253722">
          <w:marLeft w:val="0"/>
          <w:marRight w:val="0"/>
          <w:marTop w:val="0"/>
          <w:marBottom w:val="0"/>
          <w:divBdr>
            <w:top w:val="none" w:sz="0" w:space="0" w:color="auto"/>
            <w:left w:val="none" w:sz="0" w:space="0" w:color="auto"/>
            <w:bottom w:val="none" w:sz="0" w:space="0" w:color="auto"/>
            <w:right w:val="none" w:sz="0" w:space="0" w:color="auto"/>
          </w:divBdr>
          <w:divsChild>
            <w:div w:id="8076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7375">
      <w:bodyDiv w:val="1"/>
      <w:marLeft w:val="0"/>
      <w:marRight w:val="0"/>
      <w:marTop w:val="0"/>
      <w:marBottom w:val="0"/>
      <w:divBdr>
        <w:top w:val="none" w:sz="0" w:space="0" w:color="auto"/>
        <w:left w:val="none" w:sz="0" w:space="0" w:color="auto"/>
        <w:bottom w:val="none" w:sz="0" w:space="0" w:color="auto"/>
        <w:right w:val="none" w:sz="0" w:space="0" w:color="auto"/>
      </w:divBdr>
    </w:div>
    <w:div w:id="103430956">
      <w:bodyDiv w:val="1"/>
      <w:marLeft w:val="0"/>
      <w:marRight w:val="0"/>
      <w:marTop w:val="0"/>
      <w:marBottom w:val="0"/>
      <w:divBdr>
        <w:top w:val="none" w:sz="0" w:space="0" w:color="auto"/>
        <w:left w:val="none" w:sz="0" w:space="0" w:color="auto"/>
        <w:bottom w:val="none" w:sz="0" w:space="0" w:color="auto"/>
        <w:right w:val="none" w:sz="0" w:space="0" w:color="auto"/>
      </w:divBdr>
    </w:div>
    <w:div w:id="207570424">
      <w:bodyDiv w:val="1"/>
      <w:marLeft w:val="0"/>
      <w:marRight w:val="0"/>
      <w:marTop w:val="0"/>
      <w:marBottom w:val="0"/>
      <w:divBdr>
        <w:top w:val="none" w:sz="0" w:space="0" w:color="auto"/>
        <w:left w:val="none" w:sz="0" w:space="0" w:color="auto"/>
        <w:bottom w:val="none" w:sz="0" w:space="0" w:color="auto"/>
        <w:right w:val="none" w:sz="0" w:space="0" w:color="auto"/>
      </w:divBdr>
      <w:divsChild>
        <w:div w:id="85420403">
          <w:marLeft w:val="0"/>
          <w:marRight w:val="0"/>
          <w:marTop w:val="0"/>
          <w:marBottom w:val="0"/>
          <w:divBdr>
            <w:top w:val="none" w:sz="0" w:space="0" w:color="auto"/>
            <w:left w:val="none" w:sz="0" w:space="0" w:color="auto"/>
            <w:bottom w:val="none" w:sz="0" w:space="0" w:color="auto"/>
            <w:right w:val="none" w:sz="0" w:space="0" w:color="auto"/>
          </w:divBdr>
        </w:div>
      </w:divsChild>
    </w:div>
    <w:div w:id="305012810">
      <w:bodyDiv w:val="1"/>
      <w:marLeft w:val="0"/>
      <w:marRight w:val="0"/>
      <w:marTop w:val="0"/>
      <w:marBottom w:val="0"/>
      <w:divBdr>
        <w:top w:val="none" w:sz="0" w:space="0" w:color="auto"/>
        <w:left w:val="none" w:sz="0" w:space="0" w:color="auto"/>
        <w:bottom w:val="none" w:sz="0" w:space="0" w:color="auto"/>
        <w:right w:val="none" w:sz="0" w:space="0" w:color="auto"/>
      </w:divBdr>
    </w:div>
    <w:div w:id="456605150">
      <w:bodyDiv w:val="1"/>
      <w:marLeft w:val="0"/>
      <w:marRight w:val="0"/>
      <w:marTop w:val="0"/>
      <w:marBottom w:val="0"/>
      <w:divBdr>
        <w:top w:val="none" w:sz="0" w:space="0" w:color="auto"/>
        <w:left w:val="none" w:sz="0" w:space="0" w:color="auto"/>
        <w:bottom w:val="none" w:sz="0" w:space="0" w:color="auto"/>
        <w:right w:val="none" w:sz="0" w:space="0" w:color="auto"/>
      </w:divBdr>
    </w:div>
    <w:div w:id="458956217">
      <w:bodyDiv w:val="1"/>
      <w:marLeft w:val="0"/>
      <w:marRight w:val="0"/>
      <w:marTop w:val="0"/>
      <w:marBottom w:val="0"/>
      <w:divBdr>
        <w:top w:val="none" w:sz="0" w:space="0" w:color="auto"/>
        <w:left w:val="none" w:sz="0" w:space="0" w:color="auto"/>
        <w:bottom w:val="none" w:sz="0" w:space="0" w:color="auto"/>
        <w:right w:val="none" w:sz="0" w:space="0" w:color="auto"/>
      </w:divBdr>
    </w:div>
    <w:div w:id="466169375">
      <w:bodyDiv w:val="1"/>
      <w:marLeft w:val="0"/>
      <w:marRight w:val="0"/>
      <w:marTop w:val="0"/>
      <w:marBottom w:val="0"/>
      <w:divBdr>
        <w:top w:val="none" w:sz="0" w:space="0" w:color="auto"/>
        <w:left w:val="none" w:sz="0" w:space="0" w:color="auto"/>
        <w:bottom w:val="none" w:sz="0" w:space="0" w:color="auto"/>
        <w:right w:val="none" w:sz="0" w:space="0" w:color="auto"/>
      </w:divBdr>
    </w:div>
    <w:div w:id="533201559">
      <w:bodyDiv w:val="1"/>
      <w:marLeft w:val="0"/>
      <w:marRight w:val="0"/>
      <w:marTop w:val="0"/>
      <w:marBottom w:val="0"/>
      <w:divBdr>
        <w:top w:val="none" w:sz="0" w:space="0" w:color="auto"/>
        <w:left w:val="none" w:sz="0" w:space="0" w:color="auto"/>
        <w:bottom w:val="none" w:sz="0" w:space="0" w:color="auto"/>
        <w:right w:val="none" w:sz="0" w:space="0" w:color="auto"/>
      </w:divBdr>
    </w:div>
    <w:div w:id="572619477">
      <w:bodyDiv w:val="1"/>
      <w:marLeft w:val="0"/>
      <w:marRight w:val="0"/>
      <w:marTop w:val="0"/>
      <w:marBottom w:val="0"/>
      <w:divBdr>
        <w:top w:val="none" w:sz="0" w:space="0" w:color="auto"/>
        <w:left w:val="none" w:sz="0" w:space="0" w:color="auto"/>
        <w:bottom w:val="none" w:sz="0" w:space="0" w:color="auto"/>
        <w:right w:val="none" w:sz="0" w:space="0" w:color="auto"/>
      </w:divBdr>
    </w:div>
    <w:div w:id="573470855">
      <w:bodyDiv w:val="1"/>
      <w:marLeft w:val="0"/>
      <w:marRight w:val="0"/>
      <w:marTop w:val="0"/>
      <w:marBottom w:val="0"/>
      <w:divBdr>
        <w:top w:val="none" w:sz="0" w:space="0" w:color="auto"/>
        <w:left w:val="none" w:sz="0" w:space="0" w:color="auto"/>
        <w:bottom w:val="none" w:sz="0" w:space="0" w:color="auto"/>
        <w:right w:val="none" w:sz="0" w:space="0" w:color="auto"/>
      </w:divBdr>
    </w:div>
    <w:div w:id="607395880">
      <w:bodyDiv w:val="1"/>
      <w:marLeft w:val="0"/>
      <w:marRight w:val="0"/>
      <w:marTop w:val="0"/>
      <w:marBottom w:val="0"/>
      <w:divBdr>
        <w:top w:val="none" w:sz="0" w:space="0" w:color="auto"/>
        <w:left w:val="none" w:sz="0" w:space="0" w:color="auto"/>
        <w:bottom w:val="none" w:sz="0" w:space="0" w:color="auto"/>
        <w:right w:val="none" w:sz="0" w:space="0" w:color="auto"/>
      </w:divBdr>
    </w:div>
    <w:div w:id="678192266">
      <w:bodyDiv w:val="1"/>
      <w:marLeft w:val="0"/>
      <w:marRight w:val="0"/>
      <w:marTop w:val="0"/>
      <w:marBottom w:val="0"/>
      <w:divBdr>
        <w:top w:val="none" w:sz="0" w:space="0" w:color="auto"/>
        <w:left w:val="none" w:sz="0" w:space="0" w:color="auto"/>
        <w:bottom w:val="none" w:sz="0" w:space="0" w:color="auto"/>
        <w:right w:val="none" w:sz="0" w:space="0" w:color="auto"/>
      </w:divBdr>
    </w:div>
    <w:div w:id="750003638">
      <w:bodyDiv w:val="1"/>
      <w:marLeft w:val="0"/>
      <w:marRight w:val="0"/>
      <w:marTop w:val="0"/>
      <w:marBottom w:val="0"/>
      <w:divBdr>
        <w:top w:val="none" w:sz="0" w:space="0" w:color="auto"/>
        <w:left w:val="none" w:sz="0" w:space="0" w:color="auto"/>
        <w:bottom w:val="none" w:sz="0" w:space="0" w:color="auto"/>
        <w:right w:val="none" w:sz="0" w:space="0" w:color="auto"/>
      </w:divBdr>
    </w:div>
    <w:div w:id="812603469">
      <w:bodyDiv w:val="1"/>
      <w:marLeft w:val="0"/>
      <w:marRight w:val="0"/>
      <w:marTop w:val="0"/>
      <w:marBottom w:val="0"/>
      <w:divBdr>
        <w:top w:val="none" w:sz="0" w:space="0" w:color="auto"/>
        <w:left w:val="none" w:sz="0" w:space="0" w:color="auto"/>
        <w:bottom w:val="none" w:sz="0" w:space="0" w:color="auto"/>
        <w:right w:val="none" w:sz="0" w:space="0" w:color="auto"/>
      </w:divBdr>
    </w:div>
    <w:div w:id="842016822">
      <w:bodyDiv w:val="1"/>
      <w:marLeft w:val="0"/>
      <w:marRight w:val="0"/>
      <w:marTop w:val="0"/>
      <w:marBottom w:val="0"/>
      <w:divBdr>
        <w:top w:val="none" w:sz="0" w:space="0" w:color="auto"/>
        <w:left w:val="none" w:sz="0" w:space="0" w:color="auto"/>
        <w:bottom w:val="none" w:sz="0" w:space="0" w:color="auto"/>
        <w:right w:val="none" w:sz="0" w:space="0" w:color="auto"/>
      </w:divBdr>
      <w:divsChild>
        <w:div w:id="1543707157">
          <w:marLeft w:val="0"/>
          <w:marRight w:val="0"/>
          <w:marTop w:val="0"/>
          <w:marBottom w:val="0"/>
          <w:divBdr>
            <w:top w:val="none" w:sz="0" w:space="0" w:color="auto"/>
            <w:left w:val="none" w:sz="0" w:space="0" w:color="auto"/>
            <w:bottom w:val="none" w:sz="0" w:space="0" w:color="auto"/>
            <w:right w:val="none" w:sz="0" w:space="0" w:color="auto"/>
          </w:divBdr>
        </w:div>
      </w:divsChild>
    </w:div>
    <w:div w:id="895970069">
      <w:bodyDiv w:val="1"/>
      <w:marLeft w:val="0"/>
      <w:marRight w:val="0"/>
      <w:marTop w:val="0"/>
      <w:marBottom w:val="0"/>
      <w:divBdr>
        <w:top w:val="none" w:sz="0" w:space="0" w:color="auto"/>
        <w:left w:val="none" w:sz="0" w:space="0" w:color="auto"/>
        <w:bottom w:val="none" w:sz="0" w:space="0" w:color="auto"/>
        <w:right w:val="none" w:sz="0" w:space="0" w:color="auto"/>
      </w:divBdr>
    </w:div>
    <w:div w:id="906916719">
      <w:bodyDiv w:val="1"/>
      <w:marLeft w:val="0"/>
      <w:marRight w:val="0"/>
      <w:marTop w:val="0"/>
      <w:marBottom w:val="0"/>
      <w:divBdr>
        <w:top w:val="none" w:sz="0" w:space="0" w:color="auto"/>
        <w:left w:val="none" w:sz="0" w:space="0" w:color="auto"/>
        <w:bottom w:val="none" w:sz="0" w:space="0" w:color="auto"/>
        <w:right w:val="none" w:sz="0" w:space="0" w:color="auto"/>
      </w:divBdr>
    </w:div>
    <w:div w:id="949774811">
      <w:bodyDiv w:val="1"/>
      <w:marLeft w:val="0"/>
      <w:marRight w:val="0"/>
      <w:marTop w:val="0"/>
      <w:marBottom w:val="0"/>
      <w:divBdr>
        <w:top w:val="none" w:sz="0" w:space="0" w:color="auto"/>
        <w:left w:val="none" w:sz="0" w:space="0" w:color="auto"/>
        <w:bottom w:val="none" w:sz="0" w:space="0" w:color="auto"/>
        <w:right w:val="none" w:sz="0" w:space="0" w:color="auto"/>
      </w:divBdr>
    </w:div>
    <w:div w:id="1037662893">
      <w:bodyDiv w:val="1"/>
      <w:marLeft w:val="0"/>
      <w:marRight w:val="0"/>
      <w:marTop w:val="0"/>
      <w:marBottom w:val="0"/>
      <w:divBdr>
        <w:top w:val="none" w:sz="0" w:space="0" w:color="auto"/>
        <w:left w:val="none" w:sz="0" w:space="0" w:color="auto"/>
        <w:bottom w:val="none" w:sz="0" w:space="0" w:color="auto"/>
        <w:right w:val="none" w:sz="0" w:space="0" w:color="auto"/>
      </w:divBdr>
    </w:div>
    <w:div w:id="1046022750">
      <w:bodyDiv w:val="1"/>
      <w:marLeft w:val="0"/>
      <w:marRight w:val="0"/>
      <w:marTop w:val="0"/>
      <w:marBottom w:val="0"/>
      <w:divBdr>
        <w:top w:val="none" w:sz="0" w:space="0" w:color="auto"/>
        <w:left w:val="none" w:sz="0" w:space="0" w:color="auto"/>
        <w:bottom w:val="none" w:sz="0" w:space="0" w:color="auto"/>
        <w:right w:val="none" w:sz="0" w:space="0" w:color="auto"/>
      </w:divBdr>
      <w:divsChild>
        <w:div w:id="1933929344">
          <w:marLeft w:val="0"/>
          <w:marRight w:val="0"/>
          <w:marTop w:val="0"/>
          <w:marBottom w:val="0"/>
          <w:divBdr>
            <w:top w:val="none" w:sz="0" w:space="0" w:color="auto"/>
            <w:left w:val="none" w:sz="0" w:space="0" w:color="auto"/>
            <w:bottom w:val="none" w:sz="0" w:space="0" w:color="auto"/>
            <w:right w:val="none" w:sz="0" w:space="0" w:color="auto"/>
          </w:divBdr>
        </w:div>
      </w:divsChild>
    </w:div>
    <w:div w:id="1113209347">
      <w:bodyDiv w:val="1"/>
      <w:marLeft w:val="0"/>
      <w:marRight w:val="0"/>
      <w:marTop w:val="0"/>
      <w:marBottom w:val="0"/>
      <w:divBdr>
        <w:top w:val="none" w:sz="0" w:space="0" w:color="auto"/>
        <w:left w:val="none" w:sz="0" w:space="0" w:color="auto"/>
        <w:bottom w:val="none" w:sz="0" w:space="0" w:color="auto"/>
        <w:right w:val="none" w:sz="0" w:space="0" w:color="auto"/>
      </w:divBdr>
    </w:div>
    <w:div w:id="1145779456">
      <w:bodyDiv w:val="1"/>
      <w:marLeft w:val="0"/>
      <w:marRight w:val="0"/>
      <w:marTop w:val="0"/>
      <w:marBottom w:val="0"/>
      <w:divBdr>
        <w:top w:val="none" w:sz="0" w:space="0" w:color="auto"/>
        <w:left w:val="none" w:sz="0" w:space="0" w:color="auto"/>
        <w:bottom w:val="none" w:sz="0" w:space="0" w:color="auto"/>
        <w:right w:val="none" w:sz="0" w:space="0" w:color="auto"/>
      </w:divBdr>
    </w:div>
    <w:div w:id="1204363441">
      <w:bodyDiv w:val="1"/>
      <w:marLeft w:val="0"/>
      <w:marRight w:val="0"/>
      <w:marTop w:val="0"/>
      <w:marBottom w:val="0"/>
      <w:divBdr>
        <w:top w:val="none" w:sz="0" w:space="0" w:color="auto"/>
        <w:left w:val="none" w:sz="0" w:space="0" w:color="auto"/>
        <w:bottom w:val="none" w:sz="0" w:space="0" w:color="auto"/>
        <w:right w:val="none" w:sz="0" w:space="0" w:color="auto"/>
      </w:divBdr>
    </w:div>
    <w:div w:id="1230651114">
      <w:bodyDiv w:val="1"/>
      <w:marLeft w:val="0"/>
      <w:marRight w:val="0"/>
      <w:marTop w:val="0"/>
      <w:marBottom w:val="0"/>
      <w:divBdr>
        <w:top w:val="none" w:sz="0" w:space="0" w:color="auto"/>
        <w:left w:val="none" w:sz="0" w:space="0" w:color="auto"/>
        <w:bottom w:val="none" w:sz="0" w:space="0" w:color="auto"/>
        <w:right w:val="none" w:sz="0" w:space="0" w:color="auto"/>
      </w:divBdr>
    </w:div>
    <w:div w:id="1249339859">
      <w:bodyDiv w:val="1"/>
      <w:marLeft w:val="0"/>
      <w:marRight w:val="0"/>
      <w:marTop w:val="0"/>
      <w:marBottom w:val="0"/>
      <w:divBdr>
        <w:top w:val="none" w:sz="0" w:space="0" w:color="auto"/>
        <w:left w:val="none" w:sz="0" w:space="0" w:color="auto"/>
        <w:bottom w:val="none" w:sz="0" w:space="0" w:color="auto"/>
        <w:right w:val="none" w:sz="0" w:space="0" w:color="auto"/>
      </w:divBdr>
    </w:div>
    <w:div w:id="1363046364">
      <w:bodyDiv w:val="1"/>
      <w:marLeft w:val="0"/>
      <w:marRight w:val="0"/>
      <w:marTop w:val="0"/>
      <w:marBottom w:val="0"/>
      <w:divBdr>
        <w:top w:val="none" w:sz="0" w:space="0" w:color="auto"/>
        <w:left w:val="none" w:sz="0" w:space="0" w:color="auto"/>
        <w:bottom w:val="none" w:sz="0" w:space="0" w:color="auto"/>
        <w:right w:val="none" w:sz="0" w:space="0" w:color="auto"/>
      </w:divBdr>
    </w:div>
    <w:div w:id="1366979087">
      <w:bodyDiv w:val="1"/>
      <w:marLeft w:val="0"/>
      <w:marRight w:val="0"/>
      <w:marTop w:val="0"/>
      <w:marBottom w:val="0"/>
      <w:divBdr>
        <w:top w:val="none" w:sz="0" w:space="0" w:color="auto"/>
        <w:left w:val="none" w:sz="0" w:space="0" w:color="auto"/>
        <w:bottom w:val="none" w:sz="0" w:space="0" w:color="auto"/>
        <w:right w:val="none" w:sz="0" w:space="0" w:color="auto"/>
      </w:divBdr>
    </w:div>
    <w:div w:id="1367559074">
      <w:bodyDiv w:val="1"/>
      <w:marLeft w:val="0"/>
      <w:marRight w:val="0"/>
      <w:marTop w:val="0"/>
      <w:marBottom w:val="0"/>
      <w:divBdr>
        <w:top w:val="none" w:sz="0" w:space="0" w:color="auto"/>
        <w:left w:val="none" w:sz="0" w:space="0" w:color="auto"/>
        <w:bottom w:val="none" w:sz="0" w:space="0" w:color="auto"/>
        <w:right w:val="none" w:sz="0" w:space="0" w:color="auto"/>
      </w:divBdr>
    </w:div>
    <w:div w:id="1384406889">
      <w:bodyDiv w:val="1"/>
      <w:marLeft w:val="0"/>
      <w:marRight w:val="0"/>
      <w:marTop w:val="0"/>
      <w:marBottom w:val="0"/>
      <w:divBdr>
        <w:top w:val="none" w:sz="0" w:space="0" w:color="auto"/>
        <w:left w:val="none" w:sz="0" w:space="0" w:color="auto"/>
        <w:bottom w:val="none" w:sz="0" w:space="0" w:color="auto"/>
        <w:right w:val="none" w:sz="0" w:space="0" w:color="auto"/>
      </w:divBdr>
    </w:div>
    <w:div w:id="1394430426">
      <w:bodyDiv w:val="1"/>
      <w:marLeft w:val="0"/>
      <w:marRight w:val="0"/>
      <w:marTop w:val="0"/>
      <w:marBottom w:val="0"/>
      <w:divBdr>
        <w:top w:val="none" w:sz="0" w:space="0" w:color="auto"/>
        <w:left w:val="none" w:sz="0" w:space="0" w:color="auto"/>
        <w:bottom w:val="none" w:sz="0" w:space="0" w:color="auto"/>
        <w:right w:val="none" w:sz="0" w:space="0" w:color="auto"/>
      </w:divBdr>
    </w:div>
    <w:div w:id="1404330559">
      <w:bodyDiv w:val="1"/>
      <w:marLeft w:val="0"/>
      <w:marRight w:val="0"/>
      <w:marTop w:val="0"/>
      <w:marBottom w:val="0"/>
      <w:divBdr>
        <w:top w:val="none" w:sz="0" w:space="0" w:color="auto"/>
        <w:left w:val="none" w:sz="0" w:space="0" w:color="auto"/>
        <w:bottom w:val="none" w:sz="0" w:space="0" w:color="auto"/>
        <w:right w:val="none" w:sz="0" w:space="0" w:color="auto"/>
      </w:divBdr>
    </w:div>
    <w:div w:id="1537503205">
      <w:bodyDiv w:val="1"/>
      <w:marLeft w:val="0"/>
      <w:marRight w:val="0"/>
      <w:marTop w:val="0"/>
      <w:marBottom w:val="0"/>
      <w:divBdr>
        <w:top w:val="none" w:sz="0" w:space="0" w:color="auto"/>
        <w:left w:val="none" w:sz="0" w:space="0" w:color="auto"/>
        <w:bottom w:val="none" w:sz="0" w:space="0" w:color="auto"/>
        <w:right w:val="none" w:sz="0" w:space="0" w:color="auto"/>
      </w:divBdr>
    </w:div>
    <w:div w:id="1561940095">
      <w:bodyDiv w:val="1"/>
      <w:marLeft w:val="0"/>
      <w:marRight w:val="0"/>
      <w:marTop w:val="0"/>
      <w:marBottom w:val="0"/>
      <w:divBdr>
        <w:top w:val="none" w:sz="0" w:space="0" w:color="auto"/>
        <w:left w:val="none" w:sz="0" w:space="0" w:color="auto"/>
        <w:bottom w:val="none" w:sz="0" w:space="0" w:color="auto"/>
        <w:right w:val="none" w:sz="0" w:space="0" w:color="auto"/>
      </w:divBdr>
    </w:div>
    <w:div w:id="1712221432">
      <w:bodyDiv w:val="1"/>
      <w:marLeft w:val="0"/>
      <w:marRight w:val="0"/>
      <w:marTop w:val="0"/>
      <w:marBottom w:val="0"/>
      <w:divBdr>
        <w:top w:val="none" w:sz="0" w:space="0" w:color="auto"/>
        <w:left w:val="none" w:sz="0" w:space="0" w:color="auto"/>
        <w:bottom w:val="none" w:sz="0" w:space="0" w:color="auto"/>
        <w:right w:val="none" w:sz="0" w:space="0" w:color="auto"/>
      </w:divBdr>
    </w:div>
    <w:div w:id="1718969878">
      <w:bodyDiv w:val="1"/>
      <w:marLeft w:val="0"/>
      <w:marRight w:val="0"/>
      <w:marTop w:val="0"/>
      <w:marBottom w:val="0"/>
      <w:divBdr>
        <w:top w:val="none" w:sz="0" w:space="0" w:color="auto"/>
        <w:left w:val="none" w:sz="0" w:space="0" w:color="auto"/>
        <w:bottom w:val="none" w:sz="0" w:space="0" w:color="auto"/>
        <w:right w:val="none" w:sz="0" w:space="0" w:color="auto"/>
      </w:divBdr>
    </w:div>
    <w:div w:id="1740244352">
      <w:bodyDiv w:val="1"/>
      <w:marLeft w:val="0"/>
      <w:marRight w:val="0"/>
      <w:marTop w:val="0"/>
      <w:marBottom w:val="0"/>
      <w:divBdr>
        <w:top w:val="none" w:sz="0" w:space="0" w:color="auto"/>
        <w:left w:val="none" w:sz="0" w:space="0" w:color="auto"/>
        <w:bottom w:val="none" w:sz="0" w:space="0" w:color="auto"/>
        <w:right w:val="none" w:sz="0" w:space="0" w:color="auto"/>
      </w:divBdr>
    </w:div>
    <w:div w:id="1800024691">
      <w:bodyDiv w:val="1"/>
      <w:marLeft w:val="0"/>
      <w:marRight w:val="0"/>
      <w:marTop w:val="0"/>
      <w:marBottom w:val="0"/>
      <w:divBdr>
        <w:top w:val="none" w:sz="0" w:space="0" w:color="auto"/>
        <w:left w:val="none" w:sz="0" w:space="0" w:color="auto"/>
        <w:bottom w:val="none" w:sz="0" w:space="0" w:color="auto"/>
        <w:right w:val="none" w:sz="0" w:space="0" w:color="auto"/>
      </w:divBdr>
    </w:div>
    <w:div w:id="1827479990">
      <w:bodyDiv w:val="1"/>
      <w:marLeft w:val="0"/>
      <w:marRight w:val="0"/>
      <w:marTop w:val="0"/>
      <w:marBottom w:val="0"/>
      <w:divBdr>
        <w:top w:val="none" w:sz="0" w:space="0" w:color="auto"/>
        <w:left w:val="none" w:sz="0" w:space="0" w:color="auto"/>
        <w:bottom w:val="none" w:sz="0" w:space="0" w:color="auto"/>
        <w:right w:val="none" w:sz="0" w:space="0" w:color="auto"/>
      </w:divBdr>
    </w:div>
    <w:div w:id="1900435026">
      <w:bodyDiv w:val="1"/>
      <w:marLeft w:val="0"/>
      <w:marRight w:val="0"/>
      <w:marTop w:val="0"/>
      <w:marBottom w:val="0"/>
      <w:divBdr>
        <w:top w:val="none" w:sz="0" w:space="0" w:color="auto"/>
        <w:left w:val="none" w:sz="0" w:space="0" w:color="auto"/>
        <w:bottom w:val="none" w:sz="0" w:space="0" w:color="auto"/>
        <w:right w:val="none" w:sz="0" w:space="0" w:color="auto"/>
      </w:divBdr>
    </w:div>
    <w:div w:id="1914897142">
      <w:bodyDiv w:val="1"/>
      <w:marLeft w:val="0"/>
      <w:marRight w:val="0"/>
      <w:marTop w:val="0"/>
      <w:marBottom w:val="0"/>
      <w:divBdr>
        <w:top w:val="none" w:sz="0" w:space="0" w:color="auto"/>
        <w:left w:val="none" w:sz="0" w:space="0" w:color="auto"/>
        <w:bottom w:val="none" w:sz="0" w:space="0" w:color="auto"/>
        <w:right w:val="none" w:sz="0" w:space="0" w:color="auto"/>
      </w:divBdr>
    </w:div>
    <w:div w:id="1919440444">
      <w:bodyDiv w:val="1"/>
      <w:marLeft w:val="0"/>
      <w:marRight w:val="0"/>
      <w:marTop w:val="0"/>
      <w:marBottom w:val="0"/>
      <w:divBdr>
        <w:top w:val="none" w:sz="0" w:space="0" w:color="auto"/>
        <w:left w:val="none" w:sz="0" w:space="0" w:color="auto"/>
        <w:bottom w:val="none" w:sz="0" w:space="0" w:color="auto"/>
        <w:right w:val="none" w:sz="0" w:space="0" w:color="auto"/>
      </w:divBdr>
    </w:div>
    <w:div w:id="1920627687">
      <w:bodyDiv w:val="1"/>
      <w:marLeft w:val="0"/>
      <w:marRight w:val="0"/>
      <w:marTop w:val="0"/>
      <w:marBottom w:val="0"/>
      <w:divBdr>
        <w:top w:val="none" w:sz="0" w:space="0" w:color="auto"/>
        <w:left w:val="none" w:sz="0" w:space="0" w:color="auto"/>
        <w:bottom w:val="none" w:sz="0" w:space="0" w:color="auto"/>
        <w:right w:val="none" w:sz="0" w:space="0" w:color="auto"/>
      </w:divBdr>
    </w:div>
    <w:div w:id="212002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4.xml"/><Relationship Id="rId21" Type="http://schemas.openxmlformats.org/officeDocument/2006/relationships/chart" Target="charts/chart9.xm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oleObject" Target="embeddings/oleObject7.bin"/><Relationship Id="rId68"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oleObject" Target="embeddings/oleObject1.bin"/><Relationship Id="rId58" Type="http://schemas.openxmlformats.org/officeDocument/2006/relationships/oleObject" Target="embeddings/oleObject4.bin"/><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6.bin"/><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image" Target="media/image15.wmf"/><Relationship Id="rId64" Type="http://schemas.openxmlformats.org/officeDocument/2006/relationships/image" Target="media/image18.wmf"/><Relationship Id="rId69"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chart" Target="charts/chart23.xml"/><Relationship Id="rId59" Type="http://schemas.openxmlformats.org/officeDocument/2006/relationships/image" Target="media/image16.wmf"/><Relationship Id="rId67"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chart" Target="charts/chart18.xml"/><Relationship Id="rId54" Type="http://schemas.openxmlformats.org/officeDocument/2006/relationships/image" Target="media/image14.wmf"/><Relationship Id="rId62" Type="http://schemas.openxmlformats.org/officeDocument/2006/relationships/image" Target="media/image17.wmf"/><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8.png"/><Relationship Id="rId49" Type="http://schemas.openxmlformats.org/officeDocument/2006/relationships/chart" Target="charts/chart26.xml"/><Relationship Id="rId57" Type="http://schemas.openxmlformats.org/officeDocument/2006/relationships/oleObject" Target="embeddings/oleObject3.bin"/><Relationship Id="rId10" Type="http://schemas.openxmlformats.org/officeDocument/2006/relationships/header" Target="header3.xml"/><Relationship Id="rId31" Type="http://schemas.openxmlformats.org/officeDocument/2006/relationships/image" Target="media/image3.png"/><Relationship Id="rId44" Type="http://schemas.openxmlformats.org/officeDocument/2006/relationships/chart" Target="charts/chart21.xml"/><Relationship Id="rId52" Type="http://schemas.openxmlformats.org/officeDocument/2006/relationships/image" Target="media/image13.wmf"/><Relationship Id="rId60" Type="http://schemas.openxmlformats.org/officeDocument/2006/relationships/oleObject" Target="embeddings/oleObject5.bin"/><Relationship Id="rId65"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6.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chart" Target="charts/chart27.xml"/><Relationship Id="rId55" Type="http://schemas.openxmlformats.org/officeDocument/2006/relationships/oleObject" Target="embeddings/oleObject2.bin"/></Relationships>
</file>

<file path=word/charts/_rels/chart1.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01m134\c01m134\A_Reports%20&amp;%20Documentation\2013%20input%20for%20Mark%20Weiss'%20annual%20report%20to%20WUTC%20Staff.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01M19\c01M19\Reliability\2012%20Outage%20Data%20Analysis\2012%20CEMI%20Graph%20Final%20Report.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01m81\c01m81\WUTC%20Reporting\2012\2012%20SAIFI%20MAIFI%20SAIDI%20Tyler%20Rollup.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01m81\c01m81\WUTC%20Reporting\2012\2012%20SAIFI%20MAIFI%20SAIDI%20Tyler%20Rollup.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01m81\c01m81\WUTC%20Reporting\2012\2012%20WUTC%20Data%20dornquast%20re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2450" b="1" i="0" u="none" strike="noStrike" baseline="0">
                <a:solidFill>
                  <a:srgbClr val="000000"/>
                </a:solidFill>
                <a:latin typeface="Arial"/>
                <a:ea typeface="Arial"/>
                <a:cs typeface="Arial"/>
              </a:defRPr>
            </a:pPr>
            <a:r>
              <a:rPr lang="en-US"/>
              <a:t>SAIFI</a:t>
            </a:r>
          </a:p>
        </c:rich>
      </c:tx>
      <c:layout>
        <c:manualLayout>
          <c:xMode val="edge"/>
          <c:yMode val="edge"/>
          <c:x val="5.4023728452862324E-2"/>
          <c:y val="4.3947612609029886E-2"/>
        </c:manualLayout>
      </c:layout>
      <c:spPr>
        <a:noFill/>
        <a:ln w="25400">
          <a:noFill/>
        </a:ln>
      </c:spPr>
    </c:title>
    <c:plotArea>
      <c:layout>
        <c:manualLayout>
          <c:layoutTarget val="inner"/>
          <c:xMode val="edge"/>
          <c:yMode val="edge"/>
          <c:x val="0.19921259323252241"/>
          <c:y val="0.37239896274745826"/>
          <c:w val="0.71919122641572131"/>
          <c:h val="0.53662459228204595"/>
        </c:manualLayout>
      </c:layout>
      <c:barChart>
        <c:barDir val="col"/>
        <c:grouping val="stacked"/>
        <c:ser>
          <c:idx val="0"/>
          <c:order val="0"/>
          <c:tx>
            <c:v>Excluding Major Events</c:v>
          </c:tx>
          <c:spPr>
            <a:gradFill flip="none" rotWithShape="1">
              <a:gsLst>
                <a:gs pos="0">
                  <a:srgbClr val="9999FF">
                    <a:gamma/>
                    <a:shade val="46275"/>
                    <a:invGamma/>
                  </a:srgbClr>
                </a:gs>
                <a:gs pos="50000">
                  <a:srgbClr val="9999FF"/>
                </a:gs>
                <a:gs pos="100000">
                  <a:srgbClr val="9999FF">
                    <a:gamma/>
                    <a:shade val="46275"/>
                    <a:invGamma/>
                  </a:srgbClr>
                </a:gs>
              </a:gsLst>
              <a:lin ang="0" scaled="1"/>
              <a:tileRect/>
            </a:gradFill>
            <a:ln w="12700">
              <a:solidFill>
                <a:srgbClr val="000000"/>
              </a:solidFill>
              <a:prstDash val="solid"/>
            </a:ln>
          </c:spPr>
          <c:dPt>
            <c:idx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w="12700">
                <a:solidFill>
                  <a:srgbClr val="000000"/>
                </a:solidFill>
                <a:prstDash val="solid"/>
              </a:ln>
            </c:spPr>
          </c:dPt>
          <c:dPt>
            <c:idx val="5"/>
            <c:spPr>
              <a:gradFill flip="none" rotWithShape="1">
                <a:gsLst>
                  <a:gs pos="0">
                    <a:srgbClr val="9999FF">
                      <a:gamma/>
                      <a:shade val="46275"/>
                      <a:invGamma/>
                    </a:srgbClr>
                  </a:gs>
                  <a:gs pos="50000">
                    <a:srgbClr val="9999FF"/>
                  </a:gs>
                  <a:gs pos="100000">
                    <a:srgbClr val="9999FF">
                      <a:gamma/>
                      <a:shade val="46275"/>
                      <a:invGamma/>
                    </a:srgbClr>
                  </a:gs>
                </a:gsLst>
                <a:lin ang="0" scaled="1"/>
                <a:tileRect/>
              </a:gradFill>
              <a:ln w="12700">
                <a:solidFill>
                  <a:srgbClr val="000000"/>
                </a:solidFill>
              </a:ln>
            </c:spPr>
          </c:dPt>
          <c:dPt>
            <c:idx val="6"/>
            <c:spPr>
              <a:gradFill flip="none" rotWithShape="1">
                <a:gsLst>
                  <a:gs pos="0">
                    <a:srgbClr val="9999FF">
                      <a:gamma/>
                      <a:shade val="46275"/>
                      <a:invGamma/>
                    </a:srgbClr>
                  </a:gs>
                  <a:gs pos="50000">
                    <a:srgbClr val="9999FF"/>
                  </a:gs>
                  <a:gs pos="100000">
                    <a:srgbClr val="9999FF">
                      <a:gamma/>
                      <a:shade val="46275"/>
                      <a:invGamma/>
                    </a:srgbClr>
                  </a:gs>
                </a:gsLst>
                <a:lin ang="0" scaled="1"/>
                <a:tileRect/>
              </a:gradFill>
              <a:ln w="12700">
                <a:solidFill>
                  <a:srgbClr val="000000"/>
                </a:solidFill>
              </a:ln>
              <a:effectLst/>
            </c:spPr>
          </c:dPt>
          <c:dPt>
            <c:idx val="8"/>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12700">
                <a:solidFill>
                  <a:srgbClr val="000000"/>
                </a:solidFill>
                <a:prstDash val="solid"/>
              </a:ln>
              <a:effectLst/>
            </c:spPr>
          </c:dPt>
          <c:dLbls>
            <c:spPr>
              <a:noFill/>
              <a:ln w="25400">
                <a:noFill/>
              </a:ln>
            </c:spPr>
            <c:txPr>
              <a:bodyPr/>
              <a:lstStyle/>
              <a:p>
                <a:pPr>
                  <a:defRPr sz="1000" b="1" i="0" u="none" strike="noStrike" baseline="0">
                    <a:solidFill>
                      <a:srgbClr val="000000"/>
                    </a:solidFill>
                    <a:latin typeface="Arial"/>
                    <a:ea typeface="Arial"/>
                    <a:cs typeface="Arial"/>
                  </a:defRPr>
                </a:pPr>
                <a:endParaRPr lang="en-US"/>
              </a:p>
            </c:txPr>
            <c:showVal val="1"/>
          </c:dLbls>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12'!$D$6:$D$14</c:f>
              <c:numCache>
                <c:formatCode>General</c:formatCode>
                <c:ptCount val="9"/>
                <c:pt idx="0" formatCode="0.00">
                  <c:v>0.97000000000000064</c:v>
                </c:pt>
                <c:pt idx="1">
                  <c:v>1.29</c:v>
                </c:pt>
                <c:pt idx="2" formatCode="0.00">
                  <c:v>1.1399999999999972</c:v>
                </c:pt>
                <c:pt idx="3" formatCode="0.00">
                  <c:v>1.4</c:v>
                </c:pt>
                <c:pt idx="4" formatCode="0.00">
                  <c:v>1.52</c:v>
                </c:pt>
                <c:pt idx="5" formatCode="0.00">
                  <c:v>1.23</c:v>
                </c:pt>
                <c:pt idx="6" formatCode="0.00">
                  <c:v>1.08</c:v>
                </c:pt>
                <c:pt idx="7">
                  <c:v>1.1399999999999972</c:v>
                </c:pt>
                <c:pt idx="8" formatCode="0.00">
                  <c:v>1.6042436296336433</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12'!$E$6:$E$14</c:f>
              <c:numCache>
                <c:formatCode>General</c:formatCode>
                <c:ptCount val="9"/>
                <c:pt idx="0" formatCode="0.00">
                  <c:v>0.2</c:v>
                </c:pt>
                <c:pt idx="1">
                  <c:v>0.62000000000000111</c:v>
                </c:pt>
                <c:pt idx="2" formatCode="0.00">
                  <c:v>0.26</c:v>
                </c:pt>
                <c:pt idx="3" formatCode="0.00">
                  <c:v>0.20000000000000021</c:v>
                </c:pt>
                <c:pt idx="4" formatCode="0.00">
                  <c:v>0</c:v>
                </c:pt>
                <c:pt idx="5" formatCode="0.00">
                  <c:v>0.26</c:v>
                </c:pt>
                <c:pt idx="6" formatCode="0.00">
                  <c:v>0</c:v>
                </c:pt>
                <c:pt idx="7">
                  <c:v>0.1100000000000001</c:v>
                </c:pt>
              </c:numCache>
            </c:numRef>
          </c:val>
        </c:ser>
        <c:gapWidth val="250"/>
        <c:overlap val="100"/>
        <c:axId val="80331904"/>
        <c:axId val="80333440"/>
      </c:barChart>
      <c:catAx>
        <c:axId val="80331904"/>
        <c:scaling>
          <c:orientation val="minMax"/>
        </c:scaling>
        <c:axPos val="b"/>
        <c:numFmt formatCode="General" sourceLinked="1"/>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80333440"/>
        <c:crosses val="autoZero"/>
        <c:auto val="1"/>
        <c:lblAlgn val="ctr"/>
        <c:lblOffset val="100"/>
        <c:tickLblSkip val="1"/>
        <c:tickMarkSkip val="1"/>
      </c:catAx>
      <c:valAx>
        <c:axId val="80333440"/>
        <c:scaling>
          <c:orientation val="minMax"/>
          <c:max val="2"/>
        </c:scaling>
        <c:axPos val="l"/>
        <c:majorGridlines>
          <c:spPr>
            <a:ln w="3175">
              <a:solidFill>
                <a:srgbClr val="000000"/>
              </a:solidFill>
              <a:prstDash val="solid"/>
            </a:ln>
          </c:spPr>
        </c:majorGridlines>
        <c:title>
          <c:tx>
            <c:rich>
              <a:bodyPr/>
              <a:lstStyle/>
              <a:p>
                <a:pPr>
                  <a:defRPr sz="1100" b="0" i="0" u="none" strike="noStrike" baseline="0">
                    <a:solidFill>
                      <a:srgbClr val="000000"/>
                    </a:solidFill>
                    <a:latin typeface="Arial"/>
                    <a:ea typeface="Arial"/>
                    <a:cs typeface="Arial"/>
                  </a:defRPr>
                </a:pPr>
                <a:r>
                  <a:rPr lang="en-US"/>
                  <a:t>Sustained Interuptions / Customers</a:t>
                </a:r>
              </a:p>
            </c:rich>
          </c:tx>
          <c:layout>
            <c:manualLayout>
              <c:xMode val="edge"/>
              <c:yMode val="edge"/>
              <c:x val="9.9606299212598448E-2"/>
              <c:y val="0.36258066226570468"/>
            </c:manualLayout>
          </c:layout>
          <c:spPr>
            <a:noFill/>
            <a:ln w="25400">
              <a:noFill/>
            </a:ln>
          </c:spPr>
        </c:title>
        <c:numFmt formatCode="0.0" sourceLinked="0"/>
        <c:tickLblPos val="nextTo"/>
        <c:spPr>
          <a:ln w="3175">
            <a:solidFill>
              <a:srgbClr val="000000"/>
            </a:solidFill>
            <a:prstDash val="solid"/>
          </a:ln>
        </c:spPr>
        <c:txPr>
          <a:bodyPr rot="0" vert="horz"/>
          <a:lstStyle/>
          <a:p>
            <a:pPr>
              <a:defRPr sz="1100" b="0" i="0" u="none" strike="noStrike" baseline="0">
                <a:solidFill>
                  <a:srgbClr val="000000"/>
                </a:solidFill>
                <a:latin typeface="Arial"/>
                <a:ea typeface="Arial"/>
                <a:cs typeface="Arial"/>
              </a:defRPr>
            </a:pPr>
            <a:endParaRPr lang="en-US"/>
          </a:p>
        </c:txPr>
        <c:crossAx val="80331904"/>
        <c:crosses val="autoZero"/>
        <c:crossBetween val="between"/>
      </c:valAx>
      <c:spPr>
        <a:noFill/>
        <a:ln w="25400">
          <a:noFill/>
        </a:ln>
      </c:spPr>
    </c:plotArea>
    <c:legend>
      <c:legendPos val="t"/>
      <c:layout>
        <c:manualLayout>
          <c:xMode val="edge"/>
          <c:yMode val="edge"/>
          <c:x val="0.20596563098531684"/>
          <c:y val="7.4017073623372884E-2"/>
          <c:w val="0.2633657870468909"/>
          <c:h val="0.13878231130199703"/>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728465365996141"/>
          <c:y val="0.11570247933884299"/>
          <c:w val="0.63642251949695428"/>
          <c:h val="0.56198347107438062"/>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numFmt formatCode="0.0" sourceLinked="0"/>
            <c:spPr>
              <a:noFill/>
              <a:ln w="25400">
                <a:noFill/>
              </a:ln>
            </c:spPr>
            <c:txPr>
              <a:bodyPr/>
              <a:lstStyle/>
              <a:p>
                <a:pPr>
                  <a:defRPr sz="1075" b="1" i="0" u="none" strike="noStrike" baseline="0">
                    <a:solidFill>
                      <a:srgbClr val="000000"/>
                    </a:solidFill>
                    <a:latin typeface="Arial"/>
                    <a:ea typeface="Arial"/>
                    <a:cs typeface="Arial"/>
                  </a:defRPr>
                </a:pPr>
                <a:endParaRPr lang="en-US"/>
              </a:p>
            </c:txPr>
            <c:showVal val="1"/>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Office!$B$46:$M$46</c:f>
              <c:numCache>
                <c:formatCode>0.00</c:formatCode>
                <c:ptCount val="12"/>
                <c:pt idx="0">
                  <c:v>4.237475820141329</c:v>
                </c:pt>
                <c:pt idx="1">
                  <c:v>4.1900508879426726</c:v>
                </c:pt>
                <c:pt idx="2">
                  <c:v>3.8953074707775706</c:v>
                </c:pt>
                <c:pt idx="3">
                  <c:v>3.4795120134103183</c:v>
                </c:pt>
                <c:pt idx="4">
                  <c:v>5.686520376175535</c:v>
                </c:pt>
                <c:pt idx="5">
                  <c:v>1.2727968282673714</c:v>
                </c:pt>
                <c:pt idx="6">
                  <c:v>5.3005146262188347</c:v>
                </c:pt>
                <c:pt idx="7">
                  <c:v>3.9663703703703712</c:v>
                </c:pt>
                <c:pt idx="8">
                  <c:v>3.0671428938510172</c:v>
                </c:pt>
                <c:pt idx="9">
                  <c:v>4.9895494028230418</c:v>
                </c:pt>
                <c:pt idx="10">
                  <c:v>0.92713697688982388</c:v>
                </c:pt>
                <c:pt idx="11">
                  <c:v>2.6282641878990476</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Office!$B$47:$M$47</c:f>
              <c:numCache>
                <c:formatCode>0.00</c:formatCode>
                <c:ptCount val="12"/>
                <c:pt idx="0">
                  <c:v>6.3420315029016031E-2</c:v>
                </c:pt>
                <c:pt idx="1">
                  <c:v>0.28383009658323743</c:v>
                </c:pt>
                <c:pt idx="2">
                  <c:v>7.8095883449093739E-2</c:v>
                </c:pt>
                <c:pt idx="3">
                  <c:v>0</c:v>
                </c:pt>
                <c:pt idx="4">
                  <c:v>0.57523510971786718</c:v>
                </c:pt>
                <c:pt idx="5">
                  <c:v>0.13486819225151292</c:v>
                </c:pt>
                <c:pt idx="6">
                  <c:v>0</c:v>
                </c:pt>
                <c:pt idx="7">
                  <c:v>0.16474074074074091</c:v>
                </c:pt>
                <c:pt idx="8">
                  <c:v>0.29401032967597751</c:v>
                </c:pt>
                <c:pt idx="9">
                  <c:v>0.47855591748099885</c:v>
                </c:pt>
                <c:pt idx="10">
                  <c:v>1.8252235929301475E-2</c:v>
                </c:pt>
                <c:pt idx="11">
                  <c:v>0.10821538579377289</c:v>
                </c:pt>
              </c:numCache>
            </c:numRef>
          </c:val>
        </c:ser>
        <c:overlap val="100"/>
        <c:axId val="46217088"/>
        <c:axId val="46218624"/>
      </c:barChart>
      <c:catAx>
        <c:axId val="46217088"/>
        <c:scaling>
          <c:orientation val="minMax"/>
        </c:scaling>
        <c:axPos val="b"/>
        <c:numFmt formatCode="General" sourceLinked="1"/>
        <c:tickLblPos val="nextTo"/>
        <c:spPr>
          <a:ln w="3175">
            <a:solidFill>
              <a:srgbClr val="000000"/>
            </a:solidFill>
            <a:prstDash val="solid"/>
          </a:ln>
        </c:spPr>
        <c:txPr>
          <a:bodyPr rot="-2700000" vert="horz"/>
          <a:lstStyle/>
          <a:p>
            <a:pPr>
              <a:defRPr sz="1075" b="0" i="0" u="none" strike="noStrike" baseline="0">
                <a:solidFill>
                  <a:srgbClr val="000000"/>
                </a:solidFill>
                <a:latin typeface="Arial"/>
                <a:ea typeface="Arial"/>
                <a:cs typeface="Arial"/>
              </a:defRPr>
            </a:pPr>
            <a:endParaRPr lang="en-US"/>
          </a:p>
        </c:txPr>
        <c:crossAx val="46218624"/>
        <c:crosses val="autoZero"/>
        <c:auto val="1"/>
        <c:lblAlgn val="ctr"/>
        <c:lblOffset val="100"/>
        <c:tickLblSkip val="1"/>
        <c:tickMarkSkip val="1"/>
      </c:catAx>
      <c:valAx>
        <c:axId val="46218624"/>
        <c:scaling>
          <c:orientation val="minMax"/>
          <c:max val="15"/>
          <c:min val="0"/>
        </c:scaling>
        <c:axPos val="l"/>
        <c:title>
          <c:tx>
            <c:rich>
              <a:bodyPr/>
              <a:lstStyle/>
              <a:p>
                <a:pPr>
                  <a:defRPr sz="1075" b="0" i="0" u="none" strike="noStrike" baseline="0">
                    <a:solidFill>
                      <a:srgbClr val="000000"/>
                    </a:solidFill>
                    <a:latin typeface="Arial"/>
                    <a:ea typeface="Arial"/>
                    <a:cs typeface="Arial"/>
                  </a:defRPr>
                </a:pPr>
                <a:r>
                  <a:rPr lang="en-US"/>
                  <a:t>Momentary Interruptions/Customer</a:t>
                </a:r>
              </a:p>
            </c:rich>
          </c:tx>
          <c:layout>
            <c:manualLayout>
              <c:xMode val="edge"/>
              <c:yMode val="edge"/>
              <c:x val="9.5844448015427533E-3"/>
              <c:y val="0.14600539721267244"/>
            </c:manualLayout>
          </c:layout>
          <c:spPr>
            <a:noFill/>
            <a:ln w="25400">
              <a:noFill/>
            </a:ln>
          </c:spPr>
        </c:title>
        <c:numFmt formatCode="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46217088"/>
        <c:crosses val="autoZero"/>
        <c:crossBetween val="between"/>
      </c:valAx>
      <c:spPr>
        <a:noFill/>
        <a:ln w="25400">
          <a:noFill/>
        </a:ln>
      </c:spPr>
    </c:plotArea>
    <c:legend>
      <c:legendPos val="r"/>
      <c:layout>
        <c:manualLayout>
          <c:xMode val="edge"/>
          <c:yMode val="edge"/>
          <c:x val="0.26453714714232129"/>
          <c:y val="7.4380096854091041E-2"/>
          <c:w val="0.29904204831538911"/>
          <c:h val="0.11845743225758754"/>
        </c:manualLayout>
      </c:layout>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5317245898623867"/>
          <c:y val="0.14538703071672454"/>
          <c:w val="0.58077248811070359"/>
          <c:h val="0.53960955631399843"/>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1050" b="1" i="0" u="none" strike="noStrike" baseline="0">
                    <a:solidFill>
                      <a:srgbClr val="000000"/>
                    </a:solidFill>
                    <a:latin typeface="Arial"/>
                    <a:ea typeface="Arial"/>
                    <a:cs typeface="Arial"/>
                  </a:defRPr>
                </a:pPr>
                <a:endParaRPr lang="en-US"/>
              </a:p>
            </c:txPr>
            <c:showVal val="1"/>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Office!$B$49:$M$49</c:f>
              <c:numCache>
                <c:formatCode>0</c:formatCode>
                <c:ptCount val="12"/>
                <c:pt idx="0">
                  <c:v>58.566222217813404</c:v>
                </c:pt>
                <c:pt idx="1">
                  <c:v>702.20585990243569</c:v>
                </c:pt>
                <c:pt idx="2">
                  <c:v>274.57356146593224</c:v>
                </c:pt>
                <c:pt idx="3">
                  <c:v>214.35171509281676</c:v>
                </c:pt>
                <c:pt idx="4">
                  <c:v>218.69295977011438</c:v>
                </c:pt>
                <c:pt idx="5">
                  <c:v>321.70980617189872</c:v>
                </c:pt>
                <c:pt idx="6">
                  <c:v>104.09337531599984</c:v>
                </c:pt>
                <c:pt idx="7">
                  <c:v>119.37951358015194</c:v>
                </c:pt>
                <c:pt idx="8">
                  <c:v>143.71049755455795</c:v>
                </c:pt>
                <c:pt idx="9">
                  <c:v>248.09845050669676</c:v>
                </c:pt>
                <c:pt idx="10">
                  <c:v>61.723087072026395</c:v>
                </c:pt>
                <c:pt idx="11">
                  <c:v>138.28496057167695</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Office!$B$50:$M$50</c:f>
              <c:numCache>
                <c:formatCode>0</c:formatCode>
                <c:ptCount val="12"/>
                <c:pt idx="0">
                  <c:v>7.7813272275077878</c:v>
                </c:pt>
                <c:pt idx="1">
                  <c:v>148.73372191643361</c:v>
                </c:pt>
                <c:pt idx="2">
                  <c:v>7.1652408379920285</c:v>
                </c:pt>
                <c:pt idx="3">
                  <c:v>0.55529272986896605</c:v>
                </c:pt>
                <c:pt idx="4">
                  <c:v>95.239968652037675</c:v>
                </c:pt>
                <c:pt idx="5">
                  <c:v>84.226886694024898</c:v>
                </c:pt>
                <c:pt idx="6">
                  <c:v>2.2751895991333992E-2</c:v>
                </c:pt>
                <c:pt idx="7">
                  <c:v>3.4446913580239921E-2</c:v>
                </c:pt>
                <c:pt idx="8">
                  <c:v>73.302179424587351</c:v>
                </c:pt>
                <c:pt idx="9">
                  <c:v>7.6454940282302131</c:v>
                </c:pt>
                <c:pt idx="10">
                  <c:v>2.5586797427743972</c:v>
                </c:pt>
                <c:pt idx="11">
                  <c:v>24.283515839711754</c:v>
                </c:pt>
              </c:numCache>
            </c:numRef>
          </c:val>
        </c:ser>
        <c:overlap val="100"/>
        <c:axId val="46338432"/>
        <c:axId val="46339968"/>
      </c:barChart>
      <c:catAx>
        <c:axId val="46338432"/>
        <c:scaling>
          <c:orientation val="minMax"/>
        </c:scaling>
        <c:axPos val="b"/>
        <c:numFmt formatCode="General" sourceLinked="1"/>
        <c:tickLblPos val="nextTo"/>
        <c:spPr>
          <a:ln w="3175">
            <a:solidFill>
              <a:srgbClr val="000000"/>
            </a:solidFill>
            <a:prstDash val="solid"/>
          </a:ln>
        </c:spPr>
        <c:txPr>
          <a:bodyPr rot="-2700000" vert="horz"/>
          <a:lstStyle/>
          <a:p>
            <a:pPr>
              <a:defRPr sz="1050" b="0" i="0" u="none" strike="noStrike" baseline="0">
                <a:solidFill>
                  <a:srgbClr val="000000"/>
                </a:solidFill>
                <a:latin typeface="Arial"/>
                <a:ea typeface="Arial"/>
                <a:cs typeface="Arial"/>
              </a:defRPr>
            </a:pPr>
            <a:endParaRPr lang="en-US"/>
          </a:p>
        </c:txPr>
        <c:crossAx val="46339968"/>
        <c:crosses val="autoZero"/>
        <c:auto val="1"/>
        <c:lblAlgn val="ctr"/>
        <c:lblOffset val="100"/>
        <c:tickLblSkip val="1"/>
        <c:tickMarkSkip val="1"/>
      </c:catAx>
      <c:valAx>
        <c:axId val="46339968"/>
        <c:scaling>
          <c:orientation val="minMax"/>
          <c:max val="1100"/>
          <c:min val="0"/>
        </c:scaling>
        <c:axPos val="l"/>
        <c:title>
          <c:tx>
            <c:rich>
              <a:bodyPr/>
              <a:lstStyle/>
              <a:p>
                <a:pPr>
                  <a:defRPr sz="1050" b="0" i="0" u="none" strike="noStrike" baseline="0">
                    <a:solidFill>
                      <a:srgbClr val="000000"/>
                    </a:solidFill>
                    <a:latin typeface="Arial"/>
                    <a:ea typeface="Arial"/>
                    <a:cs typeface="Arial"/>
                  </a:defRPr>
                </a:pPr>
                <a:r>
                  <a:rPr lang="en-US"/>
                  <a:t>Average Outage Time / Customer
(Minutes)</a:t>
                </a:r>
              </a:p>
            </c:rich>
          </c:tx>
          <c:layout>
            <c:manualLayout>
              <c:xMode val="edge"/>
              <c:yMode val="edge"/>
              <c:x val="0.13734483788328891"/>
              <c:y val="0.11183614868654262"/>
            </c:manualLayout>
          </c:layout>
          <c:spPr>
            <a:noFill/>
            <a:ln w="25400">
              <a:noFill/>
            </a:ln>
          </c:spPr>
        </c:title>
        <c:numFmt formatCode="0" sourceLinked="0"/>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338432"/>
        <c:crosses val="autoZero"/>
        <c:crossBetween val="between"/>
        <c:majorUnit val="100"/>
      </c:valAx>
      <c:spPr>
        <a:solidFill>
          <a:srgbClr val="FFFFFF"/>
        </a:solidFill>
        <a:ln w="25400">
          <a:noFill/>
        </a:ln>
      </c:spPr>
    </c:plotArea>
    <c:legend>
      <c:legendPos val="r"/>
      <c:layout>
        <c:manualLayout>
          <c:xMode val="edge"/>
          <c:yMode val="edge"/>
          <c:x val="0.33943786966749245"/>
          <c:y val="1.3979406420351299E-2"/>
          <c:w val="0.30412078729679975"/>
          <c:h val="0.16775437258376891"/>
        </c:manualLayout>
      </c:layout>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30232558139535276"/>
          <c:y val="0.16971279373368145"/>
          <c:w val="0.61001788908765353"/>
          <c:h val="0.46736292428198584"/>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900" b="1" i="0" u="none" strike="noStrike" baseline="0">
                    <a:solidFill>
                      <a:srgbClr val="000000"/>
                    </a:solidFill>
                    <a:latin typeface="Arial"/>
                    <a:ea typeface="Arial"/>
                    <a:cs typeface="Arial"/>
                  </a:defRPr>
                </a:pPr>
                <a:endParaRPr lang="en-US"/>
              </a:p>
            </c:txPr>
            <c:showVal val="1"/>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Office!$B$52:$M$52</c:f>
              <c:numCache>
                <c:formatCode>0</c:formatCode>
                <c:ptCount val="12"/>
                <c:pt idx="0">
                  <c:v>112.56428354637379</c:v>
                </c:pt>
                <c:pt idx="1">
                  <c:v>199.00637867351119</c:v>
                </c:pt>
                <c:pt idx="2">
                  <c:v>168.02899993089397</c:v>
                </c:pt>
                <c:pt idx="3">
                  <c:v>91.192896856840846</c:v>
                </c:pt>
                <c:pt idx="4">
                  <c:v>130.97199960887815</c:v>
                </c:pt>
                <c:pt idx="5">
                  <c:v>109.96984910086756</c:v>
                </c:pt>
                <c:pt idx="6">
                  <c:v>108.15048309178873</c:v>
                </c:pt>
                <c:pt idx="7">
                  <c:v>150.36606021011858</c:v>
                </c:pt>
                <c:pt idx="8">
                  <c:v>99.467896799237849</c:v>
                </c:pt>
                <c:pt idx="9">
                  <c:v>128.86777464457782</c:v>
                </c:pt>
                <c:pt idx="10">
                  <c:v>92.424196323686459</c:v>
                </c:pt>
                <c:pt idx="11">
                  <c:v>121.36408046734564</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Office!$B$53:$M$53</c:f>
              <c:numCache>
                <c:formatCode>0</c:formatCode>
                <c:ptCount val="12"/>
                <c:pt idx="0">
                  <c:v>1.3471828355859261</c:v>
                </c:pt>
                <c:pt idx="1">
                  <c:v>19.346645532588489</c:v>
                </c:pt>
                <c:pt idx="2">
                  <c:v>2.1443501151584599</c:v>
                </c:pt>
                <c:pt idx="3">
                  <c:v>0.16746776566979804</c:v>
                </c:pt>
                <c:pt idx="4">
                  <c:v>29.467938977951107</c:v>
                </c:pt>
                <c:pt idx="5">
                  <c:v>6.4179905874976555</c:v>
                </c:pt>
                <c:pt idx="6">
                  <c:v>-1.8202303667834523E-2</c:v>
                </c:pt>
                <c:pt idx="7">
                  <c:v>1.5326605682190585E-2</c:v>
                </c:pt>
                <c:pt idx="8">
                  <c:v>16.260104488803819</c:v>
                </c:pt>
                <c:pt idx="9">
                  <c:v>1.9469973595414842</c:v>
                </c:pt>
                <c:pt idx="10">
                  <c:v>0.88444060689859494</c:v>
                </c:pt>
                <c:pt idx="11">
                  <c:v>8.2217841513414509</c:v>
                </c:pt>
              </c:numCache>
            </c:numRef>
          </c:val>
        </c:ser>
        <c:overlap val="100"/>
        <c:axId val="46402176"/>
        <c:axId val="46416256"/>
      </c:barChart>
      <c:catAx>
        <c:axId val="46402176"/>
        <c:scaling>
          <c:orientation val="minMax"/>
        </c:scaling>
        <c:axPos val="b"/>
        <c:numFmt formatCode="General" sourceLinked="1"/>
        <c:tickLblPos val="nextTo"/>
        <c:spPr>
          <a:ln w="3175">
            <a:solidFill>
              <a:srgbClr val="000000"/>
            </a:solidFill>
            <a:prstDash val="solid"/>
          </a:ln>
        </c:spPr>
        <c:txPr>
          <a:bodyPr rot="-2700000" vert="horz"/>
          <a:lstStyle/>
          <a:p>
            <a:pPr>
              <a:defRPr sz="1125" b="0" i="0" u="none" strike="noStrike" baseline="0">
                <a:solidFill>
                  <a:srgbClr val="000000"/>
                </a:solidFill>
                <a:latin typeface="Arial"/>
                <a:ea typeface="Arial"/>
                <a:cs typeface="Arial"/>
              </a:defRPr>
            </a:pPr>
            <a:endParaRPr lang="en-US"/>
          </a:p>
        </c:txPr>
        <c:crossAx val="46416256"/>
        <c:crosses val="autoZero"/>
        <c:auto val="1"/>
        <c:lblAlgn val="ctr"/>
        <c:lblOffset val="100"/>
        <c:tickLblSkip val="1"/>
        <c:tickMarkSkip val="1"/>
      </c:catAx>
      <c:valAx>
        <c:axId val="46416256"/>
        <c:scaling>
          <c:orientation val="minMax"/>
          <c:max val="250"/>
          <c:min val="0"/>
        </c:scaling>
        <c:axPos val="l"/>
        <c:title>
          <c:tx>
            <c:rich>
              <a:bodyPr/>
              <a:lstStyle/>
              <a:p>
                <a:pPr>
                  <a:defRPr sz="1125" b="0" i="0" u="none" strike="noStrike" baseline="0">
                    <a:solidFill>
                      <a:srgbClr val="000000"/>
                    </a:solidFill>
                    <a:latin typeface="Arial"/>
                    <a:ea typeface="Arial"/>
                    <a:cs typeface="Arial"/>
                  </a:defRPr>
                </a:pPr>
                <a:r>
                  <a:rPr lang="en-US"/>
                  <a:t>Average Restoration Time / Customer
(Minutes)</a:t>
                </a:r>
              </a:p>
            </c:rich>
          </c:tx>
          <c:layout>
            <c:manualLayout>
              <c:xMode val="edge"/>
              <c:yMode val="edge"/>
              <c:x val="4.4722616504056914E-2"/>
              <c:y val="8.6161836153460097E-2"/>
            </c:manualLayout>
          </c:layout>
          <c:spPr>
            <a:noFill/>
            <a:ln w="25400">
              <a:noFill/>
            </a:ln>
          </c:spPr>
        </c:title>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46402176"/>
        <c:crosses val="autoZero"/>
        <c:crossBetween val="between"/>
      </c:valAx>
      <c:spPr>
        <a:noFill/>
        <a:ln w="25400">
          <a:noFill/>
        </a:ln>
      </c:spPr>
    </c:plotArea>
    <c:legend>
      <c:legendPos val="r"/>
      <c:layout>
        <c:manualLayout>
          <c:xMode val="edge"/>
          <c:yMode val="edge"/>
          <c:x val="0.15205725470274542"/>
          <c:y val="1.3054950577986259E-2"/>
          <c:w val="0.33631500047313811"/>
          <c:h val="0.12532640866700173"/>
        </c:manualLayout>
      </c:layout>
      <c:spPr>
        <a:solidFill>
          <a:srgbClr val="FFFFFF"/>
        </a:solid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75" b="0" i="0" u="none" strike="noStrike" baseline="0">
          <a:solidFill>
            <a:srgbClr val="000000"/>
          </a:solidFill>
          <a:latin typeface="Arial"/>
          <a:ea typeface="Arial"/>
          <a:cs typeface="Arial"/>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smoothMarker"/>
        <c:ser>
          <c:idx val="0"/>
          <c:order val="0"/>
          <c:tx>
            <c:strRef>
              <c:f>Sheet1!$B$2</c:f>
              <c:strCache>
                <c:ptCount val="1"/>
                <c:pt idx="0">
                  <c:v>Squirrel Outages</c:v>
                </c:pt>
              </c:strCache>
            </c:strRef>
          </c:tx>
          <c:spPr>
            <a:ln w="63500"/>
          </c:spPr>
          <c:marker>
            <c:symbol val="none"/>
          </c:marker>
          <c:xVal>
            <c:numRef>
              <c:f>Sheet1!$A$3:$A$9</c:f>
              <c:numCache>
                <c:formatCode>General</c:formatCode>
                <c:ptCount val="7"/>
                <c:pt idx="0">
                  <c:v>2006</c:v>
                </c:pt>
                <c:pt idx="1">
                  <c:v>2007</c:v>
                </c:pt>
                <c:pt idx="2">
                  <c:v>2008</c:v>
                </c:pt>
                <c:pt idx="3">
                  <c:v>2009</c:v>
                </c:pt>
                <c:pt idx="4">
                  <c:v>2010</c:v>
                </c:pt>
                <c:pt idx="5">
                  <c:v>2011</c:v>
                </c:pt>
                <c:pt idx="6">
                  <c:v>2012</c:v>
                </c:pt>
              </c:numCache>
            </c:numRef>
          </c:xVal>
          <c:yVal>
            <c:numRef>
              <c:f>Sheet1!$B$3:$B$9</c:f>
              <c:numCache>
                <c:formatCode>General</c:formatCode>
                <c:ptCount val="7"/>
                <c:pt idx="0">
                  <c:v>902</c:v>
                </c:pt>
                <c:pt idx="1">
                  <c:v>801</c:v>
                </c:pt>
                <c:pt idx="2">
                  <c:v>747</c:v>
                </c:pt>
                <c:pt idx="3">
                  <c:v>700</c:v>
                </c:pt>
                <c:pt idx="4">
                  <c:v>390</c:v>
                </c:pt>
                <c:pt idx="5">
                  <c:v>395</c:v>
                </c:pt>
                <c:pt idx="6">
                  <c:v>358</c:v>
                </c:pt>
              </c:numCache>
            </c:numRef>
          </c:yVal>
          <c:smooth val="1"/>
        </c:ser>
        <c:axId val="46432640"/>
        <c:axId val="46434560"/>
      </c:scatterChart>
      <c:valAx>
        <c:axId val="46432640"/>
        <c:scaling>
          <c:orientation val="minMax"/>
        </c:scaling>
        <c:axPos val="b"/>
        <c:title>
          <c:tx>
            <c:rich>
              <a:bodyPr/>
              <a:lstStyle/>
              <a:p>
                <a:pPr>
                  <a:defRPr sz="1800"/>
                </a:pPr>
                <a:r>
                  <a:rPr lang="en-US" sz="1800"/>
                  <a:t>Year</a:t>
                </a:r>
              </a:p>
            </c:rich>
          </c:tx>
        </c:title>
        <c:numFmt formatCode="General" sourceLinked="1"/>
        <c:tickLblPos val="nextTo"/>
        <c:txPr>
          <a:bodyPr/>
          <a:lstStyle/>
          <a:p>
            <a:pPr>
              <a:defRPr sz="1600" b="1"/>
            </a:pPr>
            <a:endParaRPr lang="en-US"/>
          </a:p>
        </c:txPr>
        <c:crossAx val="46434560"/>
        <c:crosses val="autoZero"/>
        <c:crossBetween val="midCat"/>
      </c:valAx>
      <c:valAx>
        <c:axId val="46434560"/>
        <c:scaling>
          <c:orientation val="minMax"/>
        </c:scaling>
        <c:axPos val="l"/>
        <c:majorGridlines/>
        <c:title>
          <c:tx>
            <c:rich>
              <a:bodyPr rot="-5400000" vert="horz"/>
              <a:lstStyle/>
              <a:p>
                <a:pPr>
                  <a:defRPr sz="1800"/>
                </a:pPr>
                <a:r>
                  <a:rPr lang="en-US" sz="1800"/>
                  <a:t>Number of Events in Outage Management Tracking (OMT)</a:t>
                </a:r>
              </a:p>
            </c:rich>
          </c:tx>
        </c:title>
        <c:numFmt formatCode="General" sourceLinked="1"/>
        <c:tickLblPos val="nextTo"/>
        <c:txPr>
          <a:bodyPr/>
          <a:lstStyle/>
          <a:p>
            <a:pPr>
              <a:defRPr sz="1600" b="1"/>
            </a:pPr>
            <a:endParaRPr lang="en-US"/>
          </a:p>
        </c:txPr>
        <c:crossAx val="46432640"/>
        <c:crosses val="autoZero"/>
        <c:crossBetween val="midCat"/>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view3D>
      <c:rAngAx val="1"/>
    </c:view3D>
    <c:plotArea>
      <c:layout/>
      <c:bar3DChart>
        <c:barDir val="col"/>
        <c:grouping val="clustered"/>
        <c:ser>
          <c:idx val="1"/>
          <c:order val="0"/>
          <c:tx>
            <c:strRef>
              <c:f>'Annual WPM Related Events '!$B$16</c:f>
              <c:strCache>
                <c:ptCount val="1"/>
                <c:pt idx="0">
                  <c:v>WPM Related Events</c:v>
                </c:pt>
              </c:strCache>
            </c:strRef>
          </c:tx>
          <c:cat>
            <c:numRef>
              <c:f>'Annual WPM Related Events '!$A$17:$A$24</c:f>
              <c:numCache>
                <c:formatCode>General</c:formatCode>
                <c:ptCount val="8"/>
                <c:pt idx="0">
                  <c:v>2005</c:v>
                </c:pt>
                <c:pt idx="1">
                  <c:v>2006</c:v>
                </c:pt>
                <c:pt idx="2">
                  <c:v>2007</c:v>
                </c:pt>
                <c:pt idx="3">
                  <c:v>2008</c:v>
                </c:pt>
                <c:pt idx="4">
                  <c:v>2009</c:v>
                </c:pt>
                <c:pt idx="5">
                  <c:v>2010</c:v>
                </c:pt>
                <c:pt idx="6">
                  <c:v>2011</c:v>
                </c:pt>
                <c:pt idx="7">
                  <c:v>2012</c:v>
                </c:pt>
              </c:numCache>
            </c:numRef>
          </c:cat>
          <c:val>
            <c:numRef>
              <c:f>'Annual WPM Related Events '!$B$17:$B$24</c:f>
              <c:numCache>
                <c:formatCode>General</c:formatCode>
                <c:ptCount val="8"/>
                <c:pt idx="0">
                  <c:v>1238</c:v>
                </c:pt>
                <c:pt idx="1">
                  <c:v>1727</c:v>
                </c:pt>
                <c:pt idx="2">
                  <c:v>1508</c:v>
                </c:pt>
                <c:pt idx="3">
                  <c:v>1511</c:v>
                </c:pt>
                <c:pt idx="4">
                  <c:v>1320</c:v>
                </c:pt>
                <c:pt idx="5">
                  <c:v>1004</c:v>
                </c:pt>
                <c:pt idx="6">
                  <c:v>1004</c:v>
                </c:pt>
                <c:pt idx="7">
                  <c:v>1013</c:v>
                </c:pt>
              </c:numCache>
            </c:numRef>
          </c:val>
        </c:ser>
        <c:shape val="cylinder"/>
        <c:axId val="46455040"/>
        <c:axId val="46461312"/>
        <c:axId val="0"/>
      </c:bar3DChart>
      <c:catAx>
        <c:axId val="46455040"/>
        <c:scaling>
          <c:orientation val="minMax"/>
        </c:scaling>
        <c:axPos val="b"/>
        <c:title>
          <c:tx>
            <c:rich>
              <a:bodyPr/>
              <a:lstStyle/>
              <a:p>
                <a:pPr>
                  <a:defRPr sz="1800"/>
                </a:pPr>
                <a:r>
                  <a:rPr lang="en-US" sz="1800"/>
                  <a:t>Year</a:t>
                </a:r>
              </a:p>
            </c:rich>
          </c:tx>
        </c:title>
        <c:numFmt formatCode="General" sourceLinked="1"/>
        <c:tickLblPos val="nextTo"/>
        <c:txPr>
          <a:bodyPr/>
          <a:lstStyle/>
          <a:p>
            <a:pPr>
              <a:defRPr sz="1600" b="1"/>
            </a:pPr>
            <a:endParaRPr lang="en-US"/>
          </a:p>
        </c:txPr>
        <c:crossAx val="46461312"/>
        <c:crosses val="autoZero"/>
        <c:auto val="1"/>
        <c:lblAlgn val="ctr"/>
        <c:lblOffset val="100"/>
      </c:catAx>
      <c:valAx>
        <c:axId val="46461312"/>
        <c:scaling>
          <c:orientation val="minMax"/>
        </c:scaling>
        <c:axPos val="l"/>
        <c:majorGridlines/>
        <c:title>
          <c:tx>
            <c:rich>
              <a:bodyPr rot="-5400000" vert="horz"/>
              <a:lstStyle/>
              <a:p>
                <a:pPr>
                  <a:defRPr sz="1800"/>
                </a:pPr>
                <a:r>
                  <a:rPr lang="en-US" sz="1800"/>
                  <a:t>Number of Events in Outage Management Tracking (OMT)</a:t>
                </a:r>
              </a:p>
            </c:rich>
          </c:tx>
        </c:title>
        <c:numFmt formatCode="General" sourceLinked="1"/>
        <c:tickLblPos val="nextTo"/>
        <c:txPr>
          <a:bodyPr/>
          <a:lstStyle/>
          <a:p>
            <a:pPr>
              <a:defRPr sz="1600" b="1"/>
            </a:pPr>
            <a:endParaRPr lang="en-US"/>
          </a:p>
        </c:txPr>
        <c:crossAx val="46455040"/>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US"/>
  <c:style val="26"/>
  <c:chart>
    <c:autoTitleDeleted val="1"/>
    <c:plotArea>
      <c:layout/>
      <c:barChart>
        <c:barDir val="col"/>
        <c:grouping val="clustered"/>
        <c:ser>
          <c:idx val="0"/>
          <c:order val="0"/>
          <c:tx>
            <c:strRef>
              <c:f>Sheet1!$A$14</c:f>
              <c:strCache>
                <c:ptCount val="1"/>
                <c:pt idx="0">
                  <c:v>2009</c:v>
                </c:pt>
              </c:strCache>
            </c:strRef>
          </c:tx>
          <c:dLbls>
            <c:txPr>
              <a:bodyPr rot="-2700000"/>
              <a:lstStyle/>
              <a:p>
                <a:pPr>
                  <a:defRPr/>
                </a:pPr>
                <a:endParaRPr lang="en-US"/>
              </a:p>
            </c:txPr>
            <c:showVal val="1"/>
          </c:dLbls>
          <c:cat>
            <c:strRef>
              <c:f>Sheet1!$B$13:$F$13</c:f>
              <c:strCache>
                <c:ptCount val="5"/>
                <c:pt idx="0">
                  <c:v>Poles Replaced</c:v>
                </c:pt>
                <c:pt idx="1">
                  <c:v>Pole Reinforced</c:v>
                </c:pt>
                <c:pt idx="2">
                  <c:v>Crossarms Replaced</c:v>
                </c:pt>
                <c:pt idx="3">
                  <c:v>Cutouts Replaced</c:v>
                </c:pt>
                <c:pt idx="4">
                  <c:v>Transformers Replaced</c:v>
                </c:pt>
              </c:strCache>
            </c:strRef>
          </c:cat>
          <c:val>
            <c:numRef>
              <c:f>Sheet1!$B$14:$F$14</c:f>
              <c:numCache>
                <c:formatCode>General</c:formatCode>
                <c:ptCount val="5"/>
                <c:pt idx="0">
                  <c:v>351</c:v>
                </c:pt>
                <c:pt idx="1">
                  <c:v>372</c:v>
                </c:pt>
                <c:pt idx="2">
                  <c:v>546</c:v>
                </c:pt>
                <c:pt idx="3">
                  <c:v>1036</c:v>
                </c:pt>
                <c:pt idx="4">
                  <c:v>418</c:v>
                </c:pt>
              </c:numCache>
            </c:numRef>
          </c:val>
        </c:ser>
        <c:ser>
          <c:idx val="1"/>
          <c:order val="1"/>
          <c:tx>
            <c:strRef>
              <c:f>Sheet1!$A$15</c:f>
              <c:strCache>
                <c:ptCount val="1"/>
                <c:pt idx="0">
                  <c:v>2010</c:v>
                </c:pt>
              </c:strCache>
            </c:strRef>
          </c:tx>
          <c:dLbls>
            <c:txPr>
              <a:bodyPr rot="-2700000"/>
              <a:lstStyle/>
              <a:p>
                <a:pPr>
                  <a:defRPr/>
                </a:pPr>
                <a:endParaRPr lang="en-US"/>
              </a:p>
            </c:txPr>
            <c:showVal val="1"/>
          </c:dLbls>
          <c:cat>
            <c:strRef>
              <c:f>Sheet1!$B$13:$F$13</c:f>
              <c:strCache>
                <c:ptCount val="5"/>
                <c:pt idx="0">
                  <c:v>Poles Replaced</c:v>
                </c:pt>
                <c:pt idx="1">
                  <c:v>Pole Reinforced</c:v>
                </c:pt>
                <c:pt idx="2">
                  <c:v>Crossarms Replaced</c:v>
                </c:pt>
                <c:pt idx="3">
                  <c:v>Cutouts Replaced</c:v>
                </c:pt>
                <c:pt idx="4">
                  <c:v>Transformers Replaced</c:v>
                </c:pt>
              </c:strCache>
            </c:strRef>
          </c:cat>
          <c:val>
            <c:numRef>
              <c:f>Sheet1!$B$15:$F$15</c:f>
              <c:numCache>
                <c:formatCode>General</c:formatCode>
                <c:ptCount val="5"/>
                <c:pt idx="0">
                  <c:v>631</c:v>
                </c:pt>
                <c:pt idx="1">
                  <c:v>784</c:v>
                </c:pt>
                <c:pt idx="2">
                  <c:v>997</c:v>
                </c:pt>
                <c:pt idx="3">
                  <c:v>2113</c:v>
                </c:pt>
                <c:pt idx="4">
                  <c:v>294</c:v>
                </c:pt>
              </c:numCache>
            </c:numRef>
          </c:val>
        </c:ser>
        <c:ser>
          <c:idx val="2"/>
          <c:order val="2"/>
          <c:tx>
            <c:strRef>
              <c:f>Sheet1!$A$16</c:f>
              <c:strCache>
                <c:ptCount val="1"/>
                <c:pt idx="0">
                  <c:v>2011</c:v>
                </c:pt>
              </c:strCache>
            </c:strRef>
          </c:tx>
          <c:dLbls>
            <c:txPr>
              <a:bodyPr rot="-2700000"/>
              <a:lstStyle/>
              <a:p>
                <a:pPr>
                  <a:defRPr/>
                </a:pPr>
                <a:endParaRPr lang="en-US"/>
              </a:p>
            </c:txPr>
            <c:showVal val="1"/>
          </c:dLbls>
          <c:cat>
            <c:strRef>
              <c:f>Sheet1!$B$13:$F$13</c:f>
              <c:strCache>
                <c:ptCount val="5"/>
                <c:pt idx="0">
                  <c:v>Poles Replaced</c:v>
                </c:pt>
                <c:pt idx="1">
                  <c:v>Pole Reinforced</c:v>
                </c:pt>
                <c:pt idx="2">
                  <c:v>Crossarms Replaced</c:v>
                </c:pt>
                <c:pt idx="3">
                  <c:v>Cutouts Replaced</c:v>
                </c:pt>
                <c:pt idx="4">
                  <c:v>Transformers Replaced</c:v>
                </c:pt>
              </c:strCache>
            </c:strRef>
          </c:cat>
          <c:val>
            <c:numRef>
              <c:f>Sheet1!$B$16:$F$16</c:f>
              <c:numCache>
                <c:formatCode>General</c:formatCode>
                <c:ptCount val="5"/>
                <c:pt idx="0">
                  <c:v>908</c:v>
                </c:pt>
                <c:pt idx="1">
                  <c:v>751</c:v>
                </c:pt>
                <c:pt idx="2">
                  <c:v>968</c:v>
                </c:pt>
                <c:pt idx="3">
                  <c:v>2015</c:v>
                </c:pt>
                <c:pt idx="4">
                  <c:v>698</c:v>
                </c:pt>
              </c:numCache>
            </c:numRef>
          </c:val>
        </c:ser>
        <c:ser>
          <c:idx val="3"/>
          <c:order val="3"/>
          <c:tx>
            <c:strRef>
              <c:f>Sheet1!$A$17</c:f>
              <c:strCache>
                <c:ptCount val="1"/>
                <c:pt idx="0">
                  <c:v>2012</c:v>
                </c:pt>
              </c:strCache>
            </c:strRef>
          </c:tx>
          <c:dLbls>
            <c:txPr>
              <a:bodyPr rot="-2700000"/>
              <a:lstStyle/>
              <a:p>
                <a:pPr>
                  <a:defRPr/>
                </a:pPr>
                <a:endParaRPr lang="en-US"/>
              </a:p>
            </c:txPr>
            <c:showVal val="1"/>
          </c:dLbls>
          <c:cat>
            <c:strRef>
              <c:f>Sheet1!$B$13:$F$13</c:f>
              <c:strCache>
                <c:ptCount val="5"/>
                <c:pt idx="0">
                  <c:v>Poles Replaced</c:v>
                </c:pt>
                <c:pt idx="1">
                  <c:v>Pole Reinforced</c:v>
                </c:pt>
                <c:pt idx="2">
                  <c:v>Crossarms Replaced</c:v>
                </c:pt>
                <c:pt idx="3">
                  <c:v>Cutouts Replaced</c:v>
                </c:pt>
                <c:pt idx="4">
                  <c:v>Transformers Replaced</c:v>
                </c:pt>
              </c:strCache>
            </c:strRef>
          </c:cat>
          <c:val>
            <c:numRef>
              <c:f>Sheet1!$B$17:$F$17</c:f>
              <c:numCache>
                <c:formatCode>General</c:formatCode>
                <c:ptCount val="5"/>
                <c:pt idx="0">
                  <c:v>780</c:v>
                </c:pt>
                <c:pt idx="1">
                  <c:v>684</c:v>
                </c:pt>
                <c:pt idx="2">
                  <c:v>941</c:v>
                </c:pt>
                <c:pt idx="3">
                  <c:v>602</c:v>
                </c:pt>
                <c:pt idx="4">
                  <c:v>788</c:v>
                </c:pt>
              </c:numCache>
            </c:numRef>
          </c:val>
        </c:ser>
        <c:axId val="46526464"/>
        <c:axId val="46528000"/>
      </c:barChart>
      <c:catAx>
        <c:axId val="46526464"/>
        <c:scaling>
          <c:orientation val="minMax"/>
        </c:scaling>
        <c:axPos val="b"/>
        <c:numFmt formatCode="General" sourceLinked="1"/>
        <c:majorTickMark val="none"/>
        <c:tickLblPos val="nextTo"/>
        <c:crossAx val="46528000"/>
        <c:crosses val="autoZero"/>
        <c:auto val="1"/>
        <c:lblAlgn val="ctr"/>
        <c:lblOffset val="100"/>
      </c:catAx>
      <c:valAx>
        <c:axId val="46528000"/>
        <c:scaling>
          <c:orientation val="minMax"/>
        </c:scaling>
        <c:axPos val="l"/>
        <c:majorGridlines/>
        <c:numFmt formatCode="General" sourceLinked="1"/>
        <c:majorTickMark val="none"/>
        <c:tickLblPos val="nextTo"/>
        <c:crossAx val="46526464"/>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351606147674514"/>
          <c:y val="0.11618963897644662"/>
          <c:w val="0.74345678304964047"/>
          <c:h val="0.77587360191076082"/>
        </c:manualLayout>
      </c:layout>
      <c:barChart>
        <c:barDir val="col"/>
        <c:grouping val="clustered"/>
        <c:ser>
          <c:idx val="0"/>
          <c:order val="0"/>
          <c:spPr>
            <a:solidFill>
              <a:srgbClr val="9999FF"/>
            </a:solidFill>
            <a:ln>
              <a:solidFill>
                <a:srgbClr val="000000"/>
              </a:solidFill>
            </a:ln>
          </c:spPr>
          <c:dLbls>
            <c:showVal val="1"/>
          </c:dLbls>
          <c:cat>
            <c:strRef>
              <c:f>'Avista - Total'!$D$2:$D$8</c:f>
              <c:strCache>
                <c:ptCount val="7"/>
                <c:pt idx="0">
                  <c:v>0</c:v>
                </c:pt>
                <c:pt idx="1">
                  <c:v>1</c:v>
                </c:pt>
                <c:pt idx="2">
                  <c:v>2</c:v>
                </c:pt>
                <c:pt idx="3">
                  <c:v>3</c:v>
                </c:pt>
                <c:pt idx="4">
                  <c:v>4</c:v>
                </c:pt>
                <c:pt idx="5">
                  <c:v>5</c:v>
                </c:pt>
                <c:pt idx="6">
                  <c:v>6 and Above</c:v>
                </c:pt>
              </c:strCache>
            </c:strRef>
          </c:cat>
          <c:val>
            <c:numRef>
              <c:f>'Avista - Total'!$E$2:$E$8</c:f>
              <c:numCache>
                <c:formatCode>0.0%</c:formatCode>
                <c:ptCount val="7"/>
                <c:pt idx="0">
                  <c:v>0.43981256052391243</c:v>
                </c:pt>
                <c:pt idx="1">
                  <c:v>0.27694374080173323</c:v>
                </c:pt>
                <c:pt idx="2">
                  <c:v>0.12953895141126753</c:v>
                </c:pt>
                <c:pt idx="3">
                  <c:v>6.0365249837235319E-2</c:v>
                </c:pt>
                <c:pt idx="4">
                  <c:v>4.0124959650725739E-2</c:v>
                </c:pt>
                <c:pt idx="5">
                  <c:v>2.2666717730155012E-2</c:v>
                </c:pt>
                <c:pt idx="6">
                  <c:v>3.0547820044972352E-2</c:v>
                </c:pt>
              </c:numCache>
            </c:numRef>
          </c:val>
        </c:ser>
        <c:axId val="46542848"/>
        <c:axId val="46544384"/>
      </c:barChart>
      <c:catAx>
        <c:axId val="46542848"/>
        <c:scaling>
          <c:orientation val="minMax"/>
        </c:scaling>
        <c:axPos val="b"/>
        <c:tickLblPos val="nextTo"/>
        <c:crossAx val="46544384"/>
        <c:crosses val="autoZero"/>
        <c:auto val="1"/>
        <c:lblAlgn val="ctr"/>
        <c:lblOffset val="100"/>
      </c:catAx>
      <c:valAx>
        <c:axId val="46544384"/>
        <c:scaling>
          <c:orientation val="minMax"/>
        </c:scaling>
        <c:axPos val="l"/>
        <c:majorGridlines/>
        <c:numFmt formatCode="0.0%" sourceLinked="1"/>
        <c:tickLblPos val="nextTo"/>
        <c:crossAx val="46542848"/>
        <c:crosses val="autoZero"/>
        <c:crossBetween val="between"/>
      </c:valAx>
    </c:plotArea>
    <c:plotVisOnly val="1"/>
  </c:chart>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lang val="en-US"/>
  <c:chart>
    <c:plotArea>
      <c:layout>
        <c:manualLayout>
          <c:layoutTarget val="inner"/>
          <c:xMode val="edge"/>
          <c:yMode val="edge"/>
          <c:x val="0.20248960793443321"/>
          <c:y val="0.15392120160183392"/>
          <c:w val="0.73240922018837884"/>
          <c:h val="0.65634323701914254"/>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numFmt formatCode="0.00" sourceLinked="0"/>
            <c:spPr>
              <a:noFill/>
              <a:ln w="25400">
                <a:noFill/>
              </a:ln>
            </c:spPr>
            <c:txPr>
              <a:bodyPr/>
              <a:lstStyle/>
              <a:p>
                <a:pPr>
                  <a:defRPr sz="1100" b="1" i="0" u="none" strike="noStrike" baseline="0">
                    <a:solidFill>
                      <a:srgbClr val="000000"/>
                    </a:solidFill>
                    <a:latin typeface="Arial"/>
                    <a:ea typeface="Arial"/>
                    <a:cs typeface="Arial"/>
                  </a:defRPr>
                </a:pPr>
                <a:endParaRPr lang="en-US"/>
              </a:p>
            </c:txPr>
            <c:dLblPos val="ct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Monthly!$B$51:$M$51</c:f>
              <c:numCache>
                <c:formatCode>0.000</c:formatCode>
                <c:ptCount val="12"/>
                <c:pt idx="0">
                  <c:v>9.731286146839703E-2</c:v>
                </c:pt>
                <c:pt idx="1">
                  <c:v>0.11439658325564261</c:v>
                </c:pt>
                <c:pt idx="2">
                  <c:v>5.1746186276370176E-2</c:v>
                </c:pt>
                <c:pt idx="3">
                  <c:v>5.9773775442012483E-2</c:v>
                </c:pt>
                <c:pt idx="4">
                  <c:v>5.5098577914916985E-2</c:v>
                </c:pt>
                <c:pt idx="5">
                  <c:v>0.10753779347177422</c:v>
                </c:pt>
                <c:pt idx="6">
                  <c:v>0.14223875958759283</c:v>
                </c:pt>
                <c:pt idx="7">
                  <c:v>9.5079767120160821E-2</c:v>
                </c:pt>
                <c:pt idx="8">
                  <c:v>9.3696458675379235E-2</c:v>
                </c:pt>
                <c:pt idx="9">
                  <c:v>0.19123482967155347</c:v>
                </c:pt>
                <c:pt idx="10">
                  <c:v>6.9833700473845101E-2</c:v>
                </c:pt>
                <c:pt idx="11">
                  <c:v>6.7542853685568213E-2</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dLbls>
            <c:dLbl>
              <c:idx val="0"/>
              <c:showVal val="1"/>
            </c:dLbl>
            <c:dLbl>
              <c:idx val="11"/>
              <c:showVal val="1"/>
            </c:dLbl>
            <c:delete val="1"/>
            <c:numFmt formatCode="#,##0.00" sourceLinked="0"/>
            <c:txPr>
              <a:bodyPr/>
              <a:lstStyle/>
              <a:p>
                <a:pPr>
                  <a:defRPr sz="1100" b="1"/>
                </a:pPr>
                <a:endParaRPr lang="en-US"/>
              </a:p>
            </c:txPr>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Monthly!$B$52:$M$52</c:f>
              <c:numCache>
                <c:formatCode>0.000</c:formatCode>
                <c:ptCount val="12"/>
                <c:pt idx="0">
                  <c:v>4.2923813531121714E-2</c:v>
                </c:pt>
                <c:pt idx="1">
                  <c:v>0</c:v>
                </c:pt>
                <c:pt idx="2">
                  <c:v>0</c:v>
                </c:pt>
                <c:pt idx="3">
                  <c:v>0</c:v>
                </c:pt>
                <c:pt idx="4">
                  <c:v>0</c:v>
                </c:pt>
                <c:pt idx="5">
                  <c:v>0</c:v>
                </c:pt>
                <c:pt idx="6">
                  <c:v>0</c:v>
                </c:pt>
                <c:pt idx="7">
                  <c:v>0</c:v>
                </c:pt>
                <c:pt idx="8">
                  <c:v>0</c:v>
                </c:pt>
                <c:pt idx="9">
                  <c:v>0</c:v>
                </c:pt>
                <c:pt idx="10">
                  <c:v>0</c:v>
                </c:pt>
                <c:pt idx="11">
                  <c:v>7.2790075380684854E-2</c:v>
                </c:pt>
              </c:numCache>
            </c:numRef>
          </c:val>
        </c:ser>
        <c:overlap val="100"/>
        <c:axId val="46681088"/>
        <c:axId val="46695168"/>
      </c:barChart>
      <c:catAx>
        <c:axId val="46681088"/>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695168"/>
        <c:crosses val="autoZero"/>
        <c:auto val="1"/>
        <c:lblAlgn val="ctr"/>
        <c:lblOffset val="100"/>
        <c:tickLblSkip val="1"/>
        <c:tickMarkSkip val="1"/>
      </c:catAx>
      <c:valAx>
        <c:axId val="46695168"/>
        <c:scaling>
          <c:orientation val="minMax"/>
          <c:max val="0.25"/>
          <c:min val="0"/>
        </c:scaling>
        <c:axPos val="l"/>
        <c:title>
          <c:tx>
            <c:rich>
              <a:bodyPr/>
              <a:lstStyle/>
              <a:p>
                <a:pPr>
                  <a:defRPr sz="1050" b="0" i="0" u="none" strike="noStrike" baseline="0">
                    <a:solidFill>
                      <a:srgbClr val="000000"/>
                    </a:solidFill>
                    <a:latin typeface="Arial"/>
                    <a:ea typeface="Arial"/>
                    <a:cs typeface="Arial"/>
                  </a:defRPr>
                </a:pPr>
                <a:r>
                  <a:rPr lang="en-US"/>
                  <a:t>Sustained Interruptions/Customer</a:t>
                </a:r>
              </a:p>
            </c:rich>
          </c:tx>
          <c:layout>
            <c:manualLayout>
              <c:xMode val="edge"/>
              <c:yMode val="edge"/>
              <c:x val="2.0105424321959754E-2"/>
              <c:y val="0.20910052415554867"/>
            </c:manualLayout>
          </c:layout>
          <c:spPr>
            <a:noFill/>
            <a:ln w="25400">
              <a:noFill/>
            </a:ln>
          </c:spPr>
        </c:title>
        <c:numFmt formatCode="0.00" sourceLinked="0"/>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681088"/>
        <c:crosses val="autoZero"/>
        <c:crossBetween val="between"/>
      </c:valAx>
      <c:spPr>
        <a:noFill/>
        <a:ln w="25400">
          <a:noFill/>
        </a:ln>
      </c:spPr>
    </c:plotArea>
    <c:legend>
      <c:legendPos val="r"/>
      <c:layout>
        <c:manualLayout>
          <c:xMode val="edge"/>
          <c:yMode val="edge"/>
          <c:x val="0.53997229512977563"/>
          <c:y val="1.4520900021028528E-2"/>
          <c:w val="0.23524160441483291"/>
          <c:h val="0.18549505490014453"/>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7138599105812224"/>
          <c:y val="0.11590296495956855"/>
          <c:w val="0.77347242921013415"/>
          <c:h val="0.71967654986522756"/>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numFmt formatCode="0.00" sourceLinked="0"/>
            <c:spPr>
              <a:noFill/>
              <a:ln w="25400">
                <a:noFill/>
              </a:ln>
            </c:spPr>
            <c:txPr>
              <a:bodyPr/>
              <a:lstStyle/>
              <a:p>
                <a:pPr>
                  <a:defRPr sz="1100" b="1" i="0" u="none" strike="noStrike" baseline="0">
                    <a:solidFill>
                      <a:srgbClr val="000000"/>
                    </a:solidFill>
                    <a:latin typeface="Arial"/>
                    <a:ea typeface="Arial"/>
                    <a:cs typeface="Arial"/>
                  </a:defRPr>
                </a:pPr>
                <a:endParaRPr lang="en-US"/>
              </a:p>
            </c:txP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Monthly!$B$54:$M$54</c:f>
              <c:numCache>
                <c:formatCode>0.000</c:formatCode>
                <c:ptCount val="12"/>
                <c:pt idx="0">
                  <c:v>0.11566713693653566</c:v>
                </c:pt>
                <c:pt idx="1">
                  <c:v>0.24143270053159768</c:v>
                </c:pt>
                <c:pt idx="2">
                  <c:v>0.16257311871426569</c:v>
                </c:pt>
                <c:pt idx="3">
                  <c:v>0.13429917414010756</c:v>
                </c:pt>
                <c:pt idx="4">
                  <c:v>0.17723398813599903</c:v>
                </c:pt>
                <c:pt idx="5">
                  <c:v>0.49296382772172131</c:v>
                </c:pt>
                <c:pt idx="6">
                  <c:v>0.38886642960665146</c:v>
                </c:pt>
                <c:pt idx="7">
                  <c:v>0.17323806930842842</c:v>
                </c:pt>
                <c:pt idx="8">
                  <c:v>0.15895946603744043</c:v>
                </c:pt>
                <c:pt idx="9">
                  <c:v>0.27439834333000601</c:v>
                </c:pt>
                <c:pt idx="10">
                  <c:v>0.15539531545207802</c:v>
                </c:pt>
                <c:pt idx="11">
                  <c:v>0.16723731577659179</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dLbls>
            <c:dLbl>
              <c:idx val="0"/>
              <c:showVal val="1"/>
            </c:dLbl>
            <c:dLbl>
              <c:idx val="11"/>
              <c:showVal val="1"/>
            </c:dLbl>
            <c:delete val="1"/>
            <c:numFmt formatCode="#,##0.00" sourceLinked="0"/>
            <c:txPr>
              <a:bodyPr/>
              <a:lstStyle/>
              <a:p>
                <a:pPr>
                  <a:defRPr sz="1100" b="1"/>
                </a:pPr>
                <a:endParaRPr lang="en-US"/>
              </a:p>
            </c:txPr>
          </c:dLbls>
          <c:val>
            <c:numRef>
              <c:f>Monthly!$B$55:$M$55</c:f>
              <c:numCache>
                <c:formatCode>0.000</c:formatCode>
                <c:ptCount val="12"/>
                <c:pt idx="0">
                  <c:v>4.0258950940677274E-2</c:v>
                </c:pt>
                <c:pt idx="1">
                  <c:v>0</c:v>
                </c:pt>
                <c:pt idx="2">
                  <c:v>0</c:v>
                </c:pt>
                <c:pt idx="3">
                  <c:v>0</c:v>
                </c:pt>
                <c:pt idx="4">
                  <c:v>0</c:v>
                </c:pt>
                <c:pt idx="5">
                  <c:v>0</c:v>
                </c:pt>
                <c:pt idx="6">
                  <c:v>0</c:v>
                </c:pt>
                <c:pt idx="7">
                  <c:v>0</c:v>
                </c:pt>
                <c:pt idx="8">
                  <c:v>0</c:v>
                </c:pt>
                <c:pt idx="9">
                  <c:v>0</c:v>
                </c:pt>
                <c:pt idx="10">
                  <c:v>0</c:v>
                </c:pt>
                <c:pt idx="11">
                  <c:v>6.853289551483549E-2</c:v>
                </c:pt>
              </c:numCache>
            </c:numRef>
          </c:val>
        </c:ser>
        <c:overlap val="100"/>
        <c:axId val="46753664"/>
        <c:axId val="46755200"/>
      </c:barChart>
      <c:catAx>
        <c:axId val="46753664"/>
        <c:scaling>
          <c:orientation val="minMax"/>
        </c:scaling>
        <c:axPos val="b"/>
        <c:numFmt formatCode="General" sourceLinked="1"/>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46755200"/>
        <c:crosses val="autoZero"/>
        <c:auto val="1"/>
        <c:lblAlgn val="ctr"/>
        <c:lblOffset val="100"/>
        <c:tickLblSkip val="1"/>
        <c:tickMarkSkip val="1"/>
      </c:catAx>
      <c:valAx>
        <c:axId val="46755200"/>
        <c:scaling>
          <c:orientation val="minMax"/>
          <c:max val="1.1000000000000001"/>
          <c:min val="0"/>
        </c:scaling>
        <c:axPos val="l"/>
        <c:title>
          <c:tx>
            <c:rich>
              <a:bodyPr/>
              <a:lstStyle/>
              <a:p>
                <a:pPr>
                  <a:defRPr sz="1075" b="0" i="0" u="none" strike="noStrike" baseline="0">
                    <a:solidFill>
                      <a:srgbClr val="000000"/>
                    </a:solidFill>
                    <a:latin typeface="Arial"/>
                    <a:ea typeface="Arial"/>
                    <a:cs typeface="Arial"/>
                  </a:defRPr>
                </a:pPr>
                <a:r>
                  <a:rPr lang="en-US"/>
                  <a:t>Momentary Interruptions/Customer</a:t>
                </a:r>
              </a:p>
            </c:rich>
          </c:tx>
          <c:layout>
            <c:manualLayout>
              <c:xMode val="edge"/>
              <c:yMode val="edge"/>
              <c:x val="7.4515002171491379E-3"/>
              <c:y val="0.18598381813843584"/>
            </c:manualLayout>
          </c:layout>
          <c:spPr>
            <a:noFill/>
            <a:ln w="25400">
              <a:noFill/>
            </a:ln>
          </c:spPr>
        </c:title>
        <c:numFmt formatCode="0.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46753664"/>
        <c:crosses val="autoZero"/>
        <c:crossBetween val="between"/>
      </c:valAx>
      <c:spPr>
        <a:noFill/>
        <a:ln w="25400">
          <a:noFill/>
        </a:ln>
      </c:spPr>
    </c:plotArea>
    <c:legend>
      <c:legendPos val="r"/>
      <c:layout>
        <c:manualLayout>
          <c:xMode val="edge"/>
          <c:yMode val="edge"/>
          <c:x val="0.27719828546611525"/>
          <c:y val="0.15633413591896117"/>
          <c:w val="0.23248883098245893"/>
          <c:h val="0.11590290883061106"/>
        </c:manualLayout>
      </c:layout>
      <c:spPr>
        <a:solidFill>
          <a:srgbClr val="FFFFFF"/>
        </a:solidFill>
        <a:ln w="25400">
          <a:noFill/>
        </a:ln>
      </c:spPr>
      <c:txPr>
        <a:bodyPr/>
        <a:lstStyle/>
        <a:p>
          <a:pPr>
            <a:defRPr sz="820"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087336244541484"/>
          <c:y val="0.10667859211903755"/>
          <c:w val="0.7379912663755509"/>
          <c:h val="0.7233328929046946"/>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Monthly!$B$57:$M$57</c:f>
              <c:numCache>
                <c:formatCode>0</c:formatCode>
                <c:ptCount val="12"/>
                <c:pt idx="0">
                  <c:v>8.9317542166156549</c:v>
                </c:pt>
                <c:pt idx="1">
                  <c:v>13.1168310777797</c:v>
                </c:pt>
                <c:pt idx="2">
                  <c:v>5.8648278014746085</c:v>
                </c:pt>
                <c:pt idx="3">
                  <c:v>5.3806199311920935</c:v>
                </c:pt>
                <c:pt idx="4">
                  <c:v>6.164819551126028</c:v>
                </c:pt>
                <c:pt idx="5">
                  <c:v>9.6441261643304212</c:v>
                </c:pt>
                <c:pt idx="6">
                  <c:v>21.547732712540427</c:v>
                </c:pt>
                <c:pt idx="7">
                  <c:v>9.4125889318823859</c:v>
                </c:pt>
                <c:pt idx="8">
                  <c:v>11.783709274216852</c:v>
                </c:pt>
                <c:pt idx="9">
                  <c:v>24.14853354637561</c:v>
                </c:pt>
                <c:pt idx="10">
                  <c:v>8.2700339089326498</c:v>
                </c:pt>
                <c:pt idx="11">
                  <c:v>14.756023991998058</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dLbls>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txPr>
              <a:bodyPr/>
              <a:lstStyle/>
              <a:p>
                <a:pPr>
                  <a:defRPr sz="1100" b="1"/>
                </a:pPr>
                <a:endParaRPr lang="en-US"/>
              </a:p>
            </c:txP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Monthly!$B$58:$M$58</c:f>
              <c:numCache>
                <c:formatCode>0</c:formatCode>
                <c:ptCount val="12"/>
                <c:pt idx="0">
                  <c:v>9.9830559841153335</c:v>
                </c:pt>
                <c:pt idx="1">
                  <c:v>0</c:v>
                </c:pt>
                <c:pt idx="2">
                  <c:v>0</c:v>
                </c:pt>
                <c:pt idx="3">
                  <c:v>0</c:v>
                </c:pt>
                <c:pt idx="4">
                  <c:v>0</c:v>
                </c:pt>
                <c:pt idx="5">
                  <c:v>0</c:v>
                </c:pt>
                <c:pt idx="6">
                  <c:v>0</c:v>
                </c:pt>
                <c:pt idx="7">
                  <c:v>0</c:v>
                </c:pt>
                <c:pt idx="8">
                  <c:v>0</c:v>
                </c:pt>
                <c:pt idx="9">
                  <c:v>0</c:v>
                </c:pt>
                <c:pt idx="10">
                  <c:v>0</c:v>
                </c:pt>
                <c:pt idx="11">
                  <c:v>14.429817538957698</c:v>
                </c:pt>
              </c:numCache>
            </c:numRef>
          </c:val>
        </c:ser>
        <c:overlap val="100"/>
        <c:axId val="46600960"/>
        <c:axId val="46602496"/>
      </c:barChart>
      <c:catAx>
        <c:axId val="46600960"/>
        <c:scaling>
          <c:orientation val="minMax"/>
        </c:scaling>
        <c:axPos val="b"/>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46602496"/>
        <c:crosses val="autoZero"/>
        <c:auto val="1"/>
        <c:lblAlgn val="ctr"/>
        <c:lblOffset val="100"/>
        <c:tickLblSkip val="1"/>
        <c:tickMarkSkip val="1"/>
      </c:catAx>
      <c:valAx>
        <c:axId val="46602496"/>
        <c:scaling>
          <c:orientation val="minMax"/>
          <c:max val="60"/>
          <c:min val="0"/>
        </c:scaling>
        <c:axPos val="l"/>
        <c:title>
          <c:tx>
            <c:rich>
              <a:bodyPr/>
              <a:lstStyle/>
              <a:p>
                <a:pPr>
                  <a:defRPr sz="1125" b="0" i="0" u="none" strike="noStrike" baseline="0">
                    <a:solidFill>
                      <a:srgbClr val="000000"/>
                    </a:solidFill>
                    <a:latin typeface="Arial"/>
                    <a:ea typeface="Arial"/>
                    <a:cs typeface="Arial"/>
                  </a:defRPr>
                </a:pPr>
                <a:r>
                  <a:rPr lang="en-US"/>
                  <a:t>Average Outage Time/Customer
(Minutes)</a:t>
                </a:r>
              </a:p>
            </c:rich>
          </c:tx>
          <c:layout>
            <c:manualLayout>
              <c:xMode val="edge"/>
              <c:yMode val="edge"/>
              <c:x val="7.2779564526265234E-3"/>
              <c:y val="0.18733808141356401"/>
            </c:manualLayout>
          </c:layout>
          <c:spPr>
            <a:noFill/>
            <a:ln w="25400">
              <a:noFill/>
            </a:ln>
          </c:spPr>
        </c:title>
        <c:numFmt formatCode="0"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46600960"/>
        <c:crosses val="autoZero"/>
        <c:crossBetween val="between"/>
      </c:valAx>
      <c:spPr>
        <a:noFill/>
        <a:ln w="25400">
          <a:noFill/>
        </a:ln>
      </c:spPr>
    </c:plotArea>
    <c:legend>
      <c:legendPos val="r"/>
      <c:layout>
        <c:manualLayout>
          <c:xMode val="edge"/>
          <c:yMode val="edge"/>
          <c:x val="0.32459960814757338"/>
          <c:y val="0.18733808141356401"/>
          <c:w val="0.21874183996231256"/>
          <c:h val="0.15901490015291844"/>
        </c:manualLayout>
      </c:layout>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25" b="1" i="0" u="none" strike="noStrike" baseline="0">
                <a:solidFill>
                  <a:srgbClr val="000000"/>
                </a:solidFill>
                <a:latin typeface="Arial"/>
                <a:ea typeface="Arial"/>
                <a:cs typeface="Arial"/>
              </a:defRPr>
            </a:pPr>
            <a:r>
              <a:rPr lang="en-US"/>
              <a:t>Sustained Outage 2012 vs 2006-2011 Average</a:t>
            </a:r>
          </a:p>
        </c:rich>
      </c:tx>
      <c:layout>
        <c:manualLayout>
          <c:xMode val="edge"/>
          <c:yMode val="edge"/>
          <c:x val="0.12978288459176623"/>
          <c:y val="3.2422891582996612E-2"/>
        </c:manualLayout>
      </c:layout>
      <c:spPr>
        <a:noFill/>
        <a:ln w="25400">
          <a:noFill/>
        </a:ln>
      </c:spPr>
    </c:title>
    <c:plotArea>
      <c:layout>
        <c:manualLayout>
          <c:layoutTarget val="inner"/>
          <c:xMode val="edge"/>
          <c:yMode val="edge"/>
          <c:x val="0.19034818870111841"/>
          <c:y val="0.1594120554663338"/>
          <c:w val="0.80119283062379976"/>
          <c:h val="0.748426090918206"/>
        </c:manualLayout>
      </c:layout>
      <c:barChart>
        <c:barDir val="col"/>
        <c:grouping val="clustered"/>
        <c:ser>
          <c:idx val="0"/>
          <c:order val="0"/>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cat>
            <c:strRef>
              <c:f>'Yearly Average calcs'!$Q$26:$Q$37</c:f>
              <c:strCache>
                <c:ptCount val="12"/>
                <c:pt idx="0">
                  <c:v>ANIMAL</c:v>
                </c:pt>
                <c:pt idx="1">
                  <c:v>PUBLIC</c:v>
                </c:pt>
                <c:pt idx="2">
                  <c:v>MISCELLANEOUS</c:v>
                </c:pt>
                <c:pt idx="3">
                  <c:v>POLE FIRE</c:v>
                </c:pt>
                <c:pt idx="4">
                  <c:v>PLANNED</c:v>
                </c:pt>
                <c:pt idx="5">
                  <c:v>TREE</c:v>
                </c:pt>
                <c:pt idx="6">
                  <c:v>UNDETERMINED</c:v>
                </c:pt>
                <c:pt idx="7">
                  <c:v>WEATHER</c:v>
                </c:pt>
                <c:pt idx="8">
                  <c:v>COMPANY</c:v>
                </c:pt>
                <c:pt idx="9">
                  <c:v>EQUIPMENT OH</c:v>
                </c:pt>
                <c:pt idx="10">
                  <c:v>EQUIPMENT SUB</c:v>
                </c:pt>
                <c:pt idx="11">
                  <c:v>EQUIPMENT UG</c:v>
                </c:pt>
              </c:strCache>
            </c:strRef>
          </c:cat>
          <c:val>
            <c:numRef>
              <c:f>'Yearly Average calcs'!$P$26:$P$37</c:f>
              <c:numCache>
                <c:formatCode>0</c:formatCode>
                <c:ptCount val="12"/>
                <c:pt idx="0">
                  <c:v>-7644.3333333333285</c:v>
                </c:pt>
                <c:pt idx="1">
                  <c:v>10991.5</c:v>
                </c:pt>
                <c:pt idx="2">
                  <c:v>-1440.8333333333292</c:v>
                </c:pt>
                <c:pt idx="3">
                  <c:v>-10329.166666666661</c:v>
                </c:pt>
                <c:pt idx="4">
                  <c:v>-422.83333333333576</c:v>
                </c:pt>
                <c:pt idx="5">
                  <c:v>-18538</c:v>
                </c:pt>
                <c:pt idx="6">
                  <c:v>-259.5</c:v>
                </c:pt>
                <c:pt idx="7">
                  <c:v>6333.6666666666988</c:v>
                </c:pt>
                <c:pt idx="8">
                  <c:v>-4898.5</c:v>
                </c:pt>
                <c:pt idx="9">
                  <c:v>-5441.3333333333285</c:v>
                </c:pt>
                <c:pt idx="10">
                  <c:v>-4737.8333333333285</c:v>
                </c:pt>
                <c:pt idx="11">
                  <c:v>-1487.3333333333289</c:v>
                </c:pt>
              </c:numCache>
            </c:numRef>
          </c:val>
        </c:ser>
        <c:axId val="20265984"/>
        <c:axId val="20296448"/>
      </c:barChart>
      <c:catAx>
        <c:axId val="20265984"/>
        <c:scaling>
          <c:orientation val="minMax"/>
        </c:scaling>
        <c:axPos val="b"/>
        <c:numFmt formatCode="General" sourceLinked="1"/>
        <c:tickLblPos val="nextTo"/>
        <c:spPr>
          <a:ln w="3175">
            <a:solidFill>
              <a:srgbClr val="000000"/>
            </a:solidFill>
            <a:prstDash val="solid"/>
          </a:ln>
        </c:spPr>
        <c:txPr>
          <a:bodyPr rot="-2700000" vert="horz"/>
          <a:lstStyle/>
          <a:p>
            <a:pPr>
              <a:defRPr sz="875" b="0" i="0" u="none" strike="noStrike" baseline="0">
                <a:solidFill>
                  <a:srgbClr val="000000"/>
                </a:solidFill>
                <a:latin typeface="Arial"/>
                <a:ea typeface="Arial"/>
                <a:cs typeface="Arial"/>
              </a:defRPr>
            </a:pPr>
            <a:endParaRPr lang="en-US"/>
          </a:p>
        </c:txPr>
        <c:crossAx val="20296448"/>
        <c:crosses val="autoZero"/>
        <c:auto val="1"/>
        <c:lblAlgn val="ctr"/>
        <c:lblOffset val="100"/>
        <c:tickLblSkip val="1"/>
        <c:tickMarkSkip val="1"/>
      </c:catAx>
      <c:valAx>
        <c:axId val="20296448"/>
        <c:scaling>
          <c:orientation val="minMax"/>
        </c:scaling>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 Customers Affected</a:t>
                </a:r>
              </a:p>
            </c:rich>
          </c:tx>
          <c:layout>
            <c:manualLayout>
              <c:xMode val="edge"/>
              <c:yMode val="edge"/>
              <c:x val="2.5956504137156163E-2"/>
              <c:y val="0.30261272896443625"/>
            </c:manualLayout>
          </c:layout>
          <c:spPr>
            <a:noFill/>
            <a:ln w="25400">
              <a:noFill/>
            </a:ln>
          </c:spPr>
        </c:title>
        <c:numFmt formatCode="0"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0265984"/>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016380420615867"/>
          <c:y val="9.9437532588393385E-2"/>
          <c:w val="0.73063948078931895"/>
          <c:h val="0.7092731829573935"/>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1100" b="1" i="0" u="none" strike="noStrike" baseline="0">
                    <a:solidFill>
                      <a:srgbClr val="000000"/>
                    </a:solidFill>
                    <a:latin typeface="Arial"/>
                    <a:ea typeface="Arial"/>
                    <a:cs typeface="Arial"/>
                  </a:defRPr>
                </a:pPr>
                <a:endParaRPr lang="en-US"/>
              </a:p>
            </c:txPr>
            <c:showVal val="1"/>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Monthly!$B$60:$M$60</c:f>
              <c:numCache>
                <c:formatCode>0</c:formatCode>
                <c:ptCount val="12"/>
                <c:pt idx="0">
                  <c:v>91.783902783665312</c:v>
                </c:pt>
                <c:pt idx="1">
                  <c:v>114.66103885696869</c:v>
                </c:pt>
                <c:pt idx="2">
                  <c:v>113.33835831207458</c:v>
                </c:pt>
                <c:pt idx="3">
                  <c:v>90.016397515527871</c:v>
                </c:pt>
                <c:pt idx="4">
                  <c:v>111.88709009233847</c:v>
                </c:pt>
                <c:pt idx="5">
                  <c:v>89.681272536633827</c:v>
                </c:pt>
                <c:pt idx="6">
                  <c:v>151.48988064164772</c:v>
                </c:pt>
                <c:pt idx="7">
                  <c:v>98.996760477829582</c:v>
                </c:pt>
                <c:pt idx="8">
                  <c:v>125.7647240974466</c:v>
                </c:pt>
                <c:pt idx="9">
                  <c:v>126.27685860285389</c:v>
                </c:pt>
                <c:pt idx="10">
                  <c:v>118.42468396802278</c:v>
                </c:pt>
                <c:pt idx="11">
                  <c:v>218.46906351768442</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dLbls>
            <c:dLbl>
              <c:idx val="0"/>
              <c:showVal val="1"/>
            </c:dLbl>
            <c:dLbl>
              <c:idx val="11"/>
              <c:showVal val="1"/>
            </c:dLbl>
            <c:delete val="1"/>
            <c:txPr>
              <a:bodyPr/>
              <a:lstStyle/>
              <a:p>
                <a:pPr>
                  <a:defRPr sz="1100" b="1"/>
                </a:pPr>
                <a:endParaRPr lang="en-US"/>
              </a:p>
            </c:txPr>
          </c:dLbls>
          <c:cat>
            <c:strRef>
              <c:f>Monthly!$B$48:$M$48</c:f>
              <c:strCache>
                <c:ptCount val="12"/>
                <c:pt idx="0">
                  <c:v>Jan</c:v>
                </c:pt>
                <c:pt idx="1">
                  <c:v>Feb</c:v>
                </c:pt>
                <c:pt idx="2">
                  <c:v>Mar</c:v>
                </c:pt>
                <c:pt idx="3">
                  <c:v>Apr</c:v>
                </c:pt>
                <c:pt idx="4">
                  <c:v>May</c:v>
                </c:pt>
                <c:pt idx="5">
                  <c:v>Jun</c:v>
                </c:pt>
                <c:pt idx="6">
                  <c:v>Jul</c:v>
                </c:pt>
                <c:pt idx="7">
                  <c:v>Aug</c:v>
                </c:pt>
                <c:pt idx="8">
                  <c:v>Sep</c:v>
                </c:pt>
                <c:pt idx="9">
                  <c:v>Oct</c:v>
                </c:pt>
                <c:pt idx="10">
                  <c:v>Nov </c:v>
                </c:pt>
                <c:pt idx="11">
                  <c:v>Dec</c:v>
                </c:pt>
              </c:strCache>
            </c:strRef>
          </c:cat>
          <c:val>
            <c:numRef>
              <c:f>Monthly!$B$61:$M$61</c:f>
              <c:numCache>
                <c:formatCode>0</c:formatCode>
                <c:ptCount val="12"/>
                <c:pt idx="0">
                  <c:v>43.093868675162319</c:v>
                </c:pt>
                <c:pt idx="1">
                  <c:v>0</c:v>
                </c:pt>
                <c:pt idx="2">
                  <c:v>0</c:v>
                </c:pt>
                <c:pt idx="3">
                  <c:v>0</c:v>
                </c:pt>
                <c:pt idx="4">
                  <c:v>0</c:v>
                </c:pt>
                <c:pt idx="5">
                  <c:v>0</c:v>
                </c:pt>
                <c:pt idx="6">
                  <c:v>0</c:v>
                </c:pt>
                <c:pt idx="7">
                  <c:v>0</c:v>
                </c:pt>
                <c:pt idx="8">
                  <c:v>0</c:v>
                </c:pt>
                <c:pt idx="9">
                  <c:v>0</c:v>
                </c:pt>
                <c:pt idx="10">
                  <c:v>0</c:v>
                </c:pt>
                <c:pt idx="11">
                  <c:v>-10.493346591140844</c:v>
                </c:pt>
              </c:numCache>
            </c:numRef>
          </c:val>
        </c:ser>
        <c:overlap val="100"/>
        <c:axId val="46648704"/>
        <c:axId val="46797952"/>
      </c:barChart>
      <c:catAx>
        <c:axId val="46648704"/>
        <c:scaling>
          <c:orientation val="minMax"/>
        </c:scaling>
        <c:axPos val="b"/>
        <c:numFmt formatCode="General" sourceLinked="1"/>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797952"/>
        <c:crosses val="autoZero"/>
        <c:auto val="1"/>
        <c:lblAlgn val="ctr"/>
        <c:lblOffset val="100"/>
        <c:tickLblSkip val="1"/>
        <c:tickMarkSkip val="1"/>
      </c:catAx>
      <c:valAx>
        <c:axId val="46797952"/>
        <c:scaling>
          <c:orientation val="minMax"/>
          <c:max val="300"/>
          <c:min val="0"/>
        </c:scaling>
        <c:axPos val="l"/>
        <c:title>
          <c:tx>
            <c:rich>
              <a:bodyPr/>
              <a:lstStyle/>
              <a:p>
                <a:pPr>
                  <a:defRPr sz="1050" b="0" i="0" u="none" strike="noStrike" baseline="0">
                    <a:solidFill>
                      <a:srgbClr val="000000"/>
                    </a:solidFill>
                    <a:latin typeface="Arial"/>
                    <a:ea typeface="Arial"/>
                    <a:cs typeface="Arial"/>
                  </a:defRPr>
                </a:pPr>
                <a:r>
                  <a:rPr lang="en-US"/>
                  <a:t>Average Restoration Time
(Minutes)</a:t>
                </a:r>
              </a:p>
            </c:rich>
          </c:tx>
          <c:layout>
            <c:manualLayout>
              <c:xMode val="edge"/>
              <c:yMode val="edge"/>
              <c:x val="1.4612870147225981E-2"/>
              <c:y val="0.26817040177670098"/>
            </c:manualLayout>
          </c:layout>
          <c:spPr>
            <a:noFill/>
            <a:ln w="25400">
              <a:noFill/>
            </a:ln>
          </c:spPr>
        </c:title>
        <c:numFmt formatCode="0" sourceLinked="0"/>
        <c:tickLblPos val="nextTo"/>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648704"/>
        <c:crosses val="autoZero"/>
        <c:crossBetween val="between"/>
      </c:valAx>
      <c:spPr>
        <a:noFill/>
        <a:ln w="25400">
          <a:noFill/>
        </a:ln>
      </c:spPr>
    </c:plotArea>
    <c:legend>
      <c:legendPos val="r"/>
      <c:layout>
        <c:manualLayout>
          <c:xMode val="edge"/>
          <c:yMode val="edge"/>
          <c:x val="0.29517822966064583"/>
          <c:y val="0.13032586311326469"/>
          <c:w val="0.227959530446565"/>
          <c:h val="0.10776929806851124"/>
        </c:manualLayout>
      </c:layout>
      <c:spPr>
        <a:solidFill>
          <a:srgbClr val="FFFFFF"/>
        </a:solid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2006526564110015"/>
          <c:y val="9.196478384520132E-2"/>
          <c:w val="0.54714553626219908"/>
          <c:h val="0.83661673686138072"/>
        </c:manualLayout>
      </c:layout>
      <c:bar3DChart>
        <c:barDir val="col"/>
        <c:grouping val="standard"/>
        <c:ser>
          <c:idx val="0"/>
          <c:order val="0"/>
          <c:tx>
            <c:strRef>
              <c:f>Office!$P$23</c:f>
              <c:strCache>
                <c:ptCount val="1"/>
                <c:pt idx="0">
                  <c:v>ANIMAL</c:v>
                </c:pt>
              </c:strCache>
            </c:strRef>
          </c:tx>
          <c:spPr>
            <a:solidFill>
              <a:srgbClr val="9999FF"/>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Office!$Q$23:$AB$23</c:f>
              <c:numCache>
                <c:formatCode>0.0%</c:formatCode>
                <c:ptCount val="12"/>
                <c:pt idx="0">
                  <c:v>8.790166546530595E-2</c:v>
                </c:pt>
                <c:pt idx="1">
                  <c:v>2.5944402748958838E-2</c:v>
                </c:pt>
                <c:pt idx="2">
                  <c:v>2.0941322828115377E-2</c:v>
                </c:pt>
                <c:pt idx="3">
                  <c:v>5.2566735112936573E-2</c:v>
                </c:pt>
                <c:pt idx="4">
                  <c:v>2.2349556575287097E-3</c:v>
                </c:pt>
                <c:pt idx="5">
                  <c:v>4.4920500914591419E-2</c:v>
                </c:pt>
                <c:pt idx="6">
                  <c:v>3.9932823287926855E-2</c:v>
                </c:pt>
                <c:pt idx="7">
                  <c:v>1.0635459832464831E-2</c:v>
                </c:pt>
                <c:pt idx="8">
                  <c:v>2.5484666901656679E-2</c:v>
                </c:pt>
                <c:pt idx="9">
                  <c:v>0.14513970447655206</c:v>
                </c:pt>
                <c:pt idx="10">
                  <c:v>9.5087163232963727E-3</c:v>
                </c:pt>
                <c:pt idx="11">
                  <c:v>5.8258207790648817E-2</c:v>
                </c:pt>
              </c:numCache>
            </c:numRef>
          </c:val>
        </c:ser>
        <c:ser>
          <c:idx val="1"/>
          <c:order val="1"/>
          <c:tx>
            <c:strRef>
              <c:f>Office!$P$24</c:f>
              <c:strCache>
                <c:ptCount val="1"/>
                <c:pt idx="0">
                  <c:v>MISCELLANEOUS</c:v>
                </c:pt>
              </c:strCache>
            </c:strRef>
          </c:tx>
          <c:spPr>
            <a:solidFill>
              <a:srgbClr val="993366"/>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Office!$Q$24:$AB$24</c:f>
              <c:numCache>
                <c:formatCode>0.0%</c:formatCode>
                <c:ptCount val="12"/>
                <c:pt idx="0">
                  <c:v>2.428013202321797E-3</c:v>
                </c:pt>
                <c:pt idx="1">
                  <c:v>2.9432107486056712E-5</c:v>
                </c:pt>
                <c:pt idx="2">
                  <c:v>0</c:v>
                </c:pt>
                <c:pt idx="3">
                  <c:v>0</c:v>
                </c:pt>
                <c:pt idx="4">
                  <c:v>3.0433438740816543E-3</c:v>
                </c:pt>
                <c:pt idx="5">
                  <c:v>0</c:v>
                </c:pt>
                <c:pt idx="6">
                  <c:v>0</c:v>
                </c:pt>
                <c:pt idx="7">
                  <c:v>1.7785049887064985E-5</c:v>
                </c:pt>
                <c:pt idx="8">
                  <c:v>0</c:v>
                </c:pt>
                <c:pt idx="9">
                  <c:v>6.3729640655869039E-5</c:v>
                </c:pt>
                <c:pt idx="10">
                  <c:v>0</c:v>
                </c:pt>
                <c:pt idx="11">
                  <c:v>4.8496488806194299E-4</c:v>
                </c:pt>
              </c:numCache>
            </c:numRef>
          </c:val>
        </c:ser>
        <c:ser>
          <c:idx val="2"/>
          <c:order val="2"/>
          <c:tx>
            <c:strRef>
              <c:f>Office!$P$25</c:f>
              <c:strCache>
                <c:ptCount val="1"/>
                <c:pt idx="0">
                  <c:v>POLE FIRE</c:v>
                </c:pt>
              </c:strCache>
            </c:strRef>
          </c:tx>
          <c:spPr>
            <a:solidFill>
              <a:srgbClr val="FFFFCC"/>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Office!$Q$25:$AB$25</c:f>
              <c:numCache>
                <c:formatCode>0.0%</c:formatCode>
                <c:ptCount val="12"/>
                <c:pt idx="0">
                  <c:v>5.0153647710459416E-2</c:v>
                </c:pt>
                <c:pt idx="1">
                  <c:v>2.2809883301693852E-3</c:v>
                </c:pt>
                <c:pt idx="2">
                  <c:v>1.5032137673647111E-2</c:v>
                </c:pt>
                <c:pt idx="3">
                  <c:v>6.2129656790847754E-2</c:v>
                </c:pt>
                <c:pt idx="4">
                  <c:v>8.3691956537245687E-3</c:v>
                </c:pt>
                <c:pt idx="5">
                  <c:v>8.4494160686647279E-2</c:v>
                </c:pt>
                <c:pt idx="6">
                  <c:v>1.2315730546743795E-2</c:v>
                </c:pt>
                <c:pt idx="7">
                  <c:v>7.4590499226350498E-2</c:v>
                </c:pt>
                <c:pt idx="8">
                  <c:v>1.0222065562213638E-3</c:v>
                </c:pt>
                <c:pt idx="9">
                  <c:v>0.10315097551871376</c:v>
                </c:pt>
                <c:pt idx="10">
                  <c:v>0</c:v>
                </c:pt>
                <c:pt idx="11">
                  <c:v>5.0546785907208513E-2</c:v>
                </c:pt>
              </c:numCache>
            </c:numRef>
          </c:val>
        </c:ser>
        <c:ser>
          <c:idx val="3"/>
          <c:order val="3"/>
          <c:tx>
            <c:strRef>
              <c:f>Office!$P$26</c:f>
              <c:strCache>
                <c:ptCount val="1"/>
                <c:pt idx="0">
                  <c:v>WEATHER</c:v>
                </c:pt>
              </c:strCache>
            </c:strRef>
          </c:tx>
          <c:spPr>
            <a:solidFill>
              <a:srgbClr val="CCFFFF"/>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Office!$Q$26:$AB$26</c:f>
              <c:numCache>
                <c:formatCode>0.0%</c:formatCode>
                <c:ptCount val="12"/>
                <c:pt idx="0">
                  <c:v>0.21836943738381612</c:v>
                </c:pt>
                <c:pt idx="1">
                  <c:v>0.30368048504113138</c:v>
                </c:pt>
                <c:pt idx="2">
                  <c:v>8.5113000207339834E-2</c:v>
                </c:pt>
                <c:pt idx="3">
                  <c:v>0.29821061894983947</c:v>
                </c:pt>
                <c:pt idx="4">
                  <c:v>0.54513897144487633</c:v>
                </c:pt>
                <c:pt idx="5">
                  <c:v>0.10538905304629242</c:v>
                </c:pt>
                <c:pt idx="6">
                  <c:v>0.28326180257510725</c:v>
                </c:pt>
                <c:pt idx="7">
                  <c:v>0.21269141159941002</c:v>
                </c:pt>
                <c:pt idx="8">
                  <c:v>0.50902361649630024</c:v>
                </c:pt>
                <c:pt idx="9">
                  <c:v>0.12674915103014445</c:v>
                </c:pt>
                <c:pt idx="10">
                  <c:v>0.11909667194928725</c:v>
                </c:pt>
                <c:pt idx="11">
                  <c:v>0.24744253046035708</c:v>
                </c:pt>
              </c:numCache>
            </c:numRef>
          </c:val>
        </c:ser>
        <c:ser>
          <c:idx val="4"/>
          <c:order val="4"/>
          <c:tx>
            <c:strRef>
              <c:f>Office!$P$27</c:f>
              <c:strCache>
                <c:ptCount val="1"/>
                <c:pt idx="0">
                  <c:v>UNDETERMINED</c:v>
                </c:pt>
              </c:strCache>
            </c:strRef>
          </c:tx>
          <c:spPr>
            <a:solidFill>
              <a:srgbClr val="660066"/>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Office!$Q$27:$AB$27</c:f>
              <c:numCache>
                <c:formatCode>0.0%</c:formatCode>
                <c:ptCount val="12"/>
                <c:pt idx="0">
                  <c:v>1.4492203801358168E-2</c:v>
                </c:pt>
                <c:pt idx="1">
                  <c:v>0.15316468735743874</c:v>
                </c:pt>
                <c:pt idx="2">
                  <c:v>0.20930955836616241</c:v>
                </c:pt>
                <c:pt idx="3">
                  <c:v>0.23109416251100073</c:v>
                </c:pt>
                <c:pt idx="4">
                  <c:v>0.12934211464847001</c:v>
                </c:pt>
                <c:pt idx="5">
                  <c:v>0.16522442662164064</c:v>
                </c:pt>
                <c:pt idx="6">
                  <c:v>0.37357715991789603</c:v>
                </c:pt>
                <c:pt idx="7">
                  <c:v>0.11234816013658919</c:v>
                </c:pt>
                <c:pt idx="8">
                  <c:v>0.23274585830102257</c:v>
                </c:pt>
                <c:pt idx="9">
                  <c:v>0.11683463979096663</c:v>
                </c:pt>
                <c:pt idx="10">
                  <c:v>0.20542789223454833</c:v>
                </c:pt>
                <c:pt idx="11">
                  <c:v>0.14362883380349353</c:v>
                </c:pt>
              </c:numCache>
            </c:numRef>
          </c:val>
        </c:ser>
        <c:ser>
          <c:idx val="5"/>
          <c:order val="5"/>
          <c:tx>
            <c:strRef>
              <c:f>Office!$P$28</c:f>
              <c:strCache>
                <c:ptCount val="1"/>
                <c:pt idx="0">
                  <c:v>TREE</c:v>
                </c:pt>
              </c:strCache>
            </c:strRef>
          </c:tx>
          <c:spPr>
            <a:solidFill>
              <a:srgbClr val="FF8080"/>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Office!$Q$28:$AB$28</c:f>
              <c:numCache>
                <c:formatCode>0.0%</c:formatCode>
                <c:ptCount val="12"/>
                <c:pt idx="0">
                  <c:v>6.0434766114040833E-2</c:v>
                </c:pt>
                <c:pt idx="1">
                  <c:v>0.18892469795299743</c:v>
                </c:pt>
                <c:pt idx="2">
                  <c:v>0.17489114658925994</c:v>
                </c:pt>
                <c:pt idx="3">
                  <c:v>0.11991786447638604</c:v>
                </c:pt>
                <c:pt idx="4">
                  <c:v>9.004018164958745E-2</c:v>
                </c:pt>
                <c:pt idx="5">
                  <c:v>6.8805403123680872E-2</c:v>
                </c:pt>
                <c:pt idx="6">
                  <c:v>1.3062138458667717E-3</c:v>
                </c:pt>
                <c:pt idx="7">
                  <c:v>9.5416792644103354E-2</c:v>
                </c:pt>
                <c:pt idx="8">
                  <c:v>0.15763130066972186</c:v>
                </c:pt>
                <c:pt idx="9">
                  <c:v>3.5615764892251385E-2</c:v>
                </c:pt>
                <c:pt idx="10">
                  <c:v>7.634706814580032E-2</c:v>
                </c:pt>
                <c:pt idx="11">
                  <c:v>9.5043514795030315E-2</c:v>
                </c:pt>
              </c:numCache>
            </c:numRef>
          </c:val>
        </c:ser>
        <c:ser>
          <c:idx val="6"/>
          <c:order val="6"/>
          <c:tx>
            <c:strRef>
              <c:f>Office!$P$29</c:f>
              <c:strCache>
                <c:ptCount val="1"/>
                <c:pt idx="0">
                  <c:v>PUBLIC</c:v>
                </c:pt>
              </c:strCache>
            </c:strRef>
          </c:tx>
          <c:spPr>
            <a:solidFill>
              <a:srgbClr val="0066CC"/>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Office!$Q$29:$AB$29</c:f>
              <c:numCache>
                <c:formatCode>0.0%</c:formatCode>
                <c:ptCount val="12"/>
                <c:pt idx="0">
                  <c:v>0.29246177776091747</c:v>
                </c:pt>
                <c:pt idx="1">
                  <c:v>6.564831574764908E-2</c:v>
                </c:pt>
                <c:pt idx="2">
                  <c:v>0.15778561061579929</c:v>
                </c:pt>
                <c:pt idx="3">
                  <c:v>1.4315048401290673E-2</c:v>
                </c:pt>
                <c:pt idx="4">
                  <c:v>6.4338191588007423E-2</c:v>
                </c:pt>
                <c:pt idx="5">
                  <c:v>0.13595750668355117</c:v>
                </c:pt>
                <c:pt idx="6">
                  <c:v>3.5454375816383742E-2</c:v>
                </c:pt>
                <c:pt idx="7">
                  <c:v>0.17619648923115241</c:v>
                </c:pt>
                <c:pt idx="8">
                  <c:v>2.7881565033486082E-2</c:v>
                </c:pt>
                <c:pt idx="9">
                  <c:v>0.13709156128515368</c:v>
                </c:pt>
                <c:pt idx="10">
                  <c:v>0.17769413629160091</c:v>
                </c:pt>
                <c:pt idx="11">
                  <c:v>0.12229277954504564</c:v>
                </c:pt>
              </c:numCache>
            </c:numRef>
          </c:val>
        </c:ser>
        <c:ser>
          <c:idx val="7"/>
          <c:order val="7"/>
          <c:tx>
            <c:strRef>
              <c:f>Office!$P$30</c:f>
              <c:strCache>
                <c:ptCount val="1"/>
                <c:pt idx="0">
                  <c:v>COMPANY</c:v>
                </c:pt>
              </c:strCache>
            </c:strRef>
          </c:tx>
          <c:spPr>
            <a:solidFill>
              <a:srgbClr val="CCCCFF"/>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Office!$Q$30:$AB$30</c:f>
              <c:numCache>
                <c:formatCode>0.0%</c:formatCode>
                <c:ptCount val="12"/>
                <c:pt idx="0">
                  <c:v>5.3112788800789134E-4</c:v>
                </c:pt>
                <c:pt idx="1">
                  <c:v>4.8180359954674547E-2</c:v>
                </c:pt>
                <c:pt idx="2">
                  <c:v>3.5040431266846361E-2</c:v>
                </c:pt>
                <c:pt idx="3">
                  <c:v>0</c:v>
                </c:pt>
                <c:pt idx="4">
                  <c:v>1.9591526189400646E-2</c:v>
                </c:pt>
                <c:pt idx="5">
                  <c:v>0</c:v>
                </c:pt>
                <c:pt idx="6">
                  <c:v>1.3062138458667717E-3</c:v>
                </c:pt>
                <c:pt idx="7">
                  <c:v>1.4050189410781324E-3</c:v>
                </c:pt>
                <c:pt idx="8">
                  <c:v>1.0574550581600301E-4</c:v>
                </c:pt>
                <c:pt idx="9">
                  <c:v>0.10253188758091404</c:v>
                </c:pt>
                <c:pt idx="10">
                  <c:v>1.3074484944532517E-2</c:v>
                </c:pt>
                <c:pt idx="11">
                  <c:v>3.8727567372906786E-2</c:v>
                </c:pt>
              </c:numCache>
            </c:numRef>
          </c:val>
        </c:ser>
        <c:ser>
          <c:idx val="8"/>
          <c:order val="8"/>
          <c:tx>
            <c:strRef>
              <c:f>Office!$P$31</c:f>
              <c:strCache>
                <c:ptCount val="1"/>
                <c:pt idx="0">
                  <c:v>EQUIPMENT OH</c:v>
                </c:pt>
              </c:strCache>
            </c:strRef>
          </c:tx>
          <c:spPr>
            <a:solidFill>
              <a:srgbClr val="000080"/>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Office!$Q$31:$AB$31</c:f>
              <c:numCache>
                <c:formatCode>0.0%</c:formatCode>
                <c:ptCount val="12"/>
                <c:pt idx="0">
                  <c:v>0.18285974429985963</c:v>
                </c:pt>
                <c:pt idx="1">
                  <c:v>9.7508572101305327E-2</c:v>
                </c:pt>
                <c:pt idx="2">
                  <c:v>0.23626373626373626</c:v>
                </c:pt>
                <c:pt idx="3">
                  <c:v>0.12373129950132018</c:v>
                </c:pt>
                <c:pt idx="4">
                  <c:v>3.9682350983142746E-2</c:v>
                </c:pt>
                <c:pt idx="5">
                  <c:v>9.8986914309835375E-2</c:v>
                </c:pt>
                <c:pt idx="6">
                  <c:v>8.7143123717111359E-2</c:v>
                </c:pt>
                <c:pt idx="7">
                  <c:v>0.19035338894125597</c:v>
                </c:pt>
                <c:pt idx="8">
                  <c:v>3.0983433204088827E-2</c:v>
                </c:pt>
                <c:pt idx="9">
                  <c:v>7.2096432050547055E-2</c:v>
                </c:pt>
                <c:pt idx="10">
                  <c:v>0.11834389857369255</c:v>
                </c:pt>
                <c:pt idx="11">
                  <c:v>0.10388812196146689</c:v>
                </c:pt>
              </c:numCache>
            </c:numRef>
          </c:val>
        </c:ser>
        <c:ser>
          <c:idx val="9"/>
          <c:order val="9"/>
          <c:tx>
            <c:strRef>
              <c:f>Office!$P$32</c:f>
              <c:strCache>
                <c:ptCount val="1"/>
                <c:pt idx="0">
                  <c:v>EQUIPMENT UG</c:v>
                </c:pt>
              </c:strCache>
            </c:strRef>
          </c:tx>
          <c:spPr>
            <a:solidFill>
              <a:srgbClr val="FF00FF"/>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Office!$Q$32:$AB$32</c:f>
              <c:numCache>
                <c:formatCode>0.0%</c:formatCode>
                <c:ptCount val="12"/>
                <c:pt idx="0">
                  <c:v>2.435600743579043E-2</c:v>
                </c:pt>
                <c:pt idx="1">
                  <c:v>2.663605727488123E-3</c:v>
                </c:pt>
                <c:pt idx="2">
                  <c:v>2.0733982998134013E-3</c:v>
                </c:pt>
                <c:pt idx="3">
                  <c:v>4.8694631856849831E-3</c:v>
                </c:pt>
                <c:pt idx="4">
                  <c:v>1.711880929170931E-3</c:v>
                </c:pt>
                <c:pt idx="5">
                  <c:v>6.7644575770367088E-2</c:v>
                </c:pt>
                <c:pt idx="6">
                  <c:v>9.330098899048377E-4</c:v>
                </c:pt>
                <c:pt idx="7">
                  <c:v>1.2236114322300672E-2</c:v>
                </c:pt>
                <c:pt idx="8">
                  <c:v>4.7585477617201419E-3</c:v>
                </c:pt>
                <c:pt idx="9">
                  <c:v>6.1999836123781292E-3</c:v>
                </c:pt>
                <c:pt idx="10">
                  <c:v>9.1125198098257238E-4</c:v>
                </c:pt>
                <c:pt idx="11">
                  <c:v>1.0690834883860521E-2</c:v>
                </c:pt>
              </c:numCache>
            </c:numRef>
          </c:val>
        </c:ser>
        <c:ser>
          <c:idx val="10"/>
          <c:order val="10"/>
          <c:tx>
            <c:strRef>
              <c:f>Office!$P$33</c:f>
              <c:strCache>
                <c:ptCount val="1"/>
                <c:pt idx="0">
                  <c:v>EQUIPMENT SUB</c:v>
                </c:pt>
              </c:strCache>
            </c:strRef>
          </c:tx>
          <c:spPr>
            <a:solidFill>
              <a:srgbClr val="FFFF00"/>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Office!$Q$33:$AB$33</c:f>
              <c:numCache>
                <c:formatCode>0.0%</c:formatCode>
                <c:ptCount val="12"/>
                <c:pt idx="0">
                  <c:v>0</c:v>
                </c:pt>
                <c:pt idx="1">
                  <c:v>0</c:v>
                </c:pt>
                <c:pt idx="2">
                  <c:v>1.7416545718432552E-2</c:v>
                </c:pt>
                <c:pt idx="3">
                  <c:v>0</c:v>
                </c:pt>
                <c:pt idx="4">
                  <c:v>0</c:v>
                </c:pt>
                <c:pt idx="5">
                  <c:v>0.17609399183903243</c:v>
                </c:pt>
                <c:pt idx="6">
                  <c:v>1.8660197798096712E-4</c:v>
                </c:pt>
                <c:pt idx="7">
                  <c:v>1.7785049887064985E-5</c:v>
                </c:pt>
                <c:pt idx="8">
                  <c:v>0</c:v>
                </c:pt>
                <c:pt idx="9">
                  <c:v>4.7860960132557764E-2</c:v>
                </c:pt>
                <c:pt idx="10">
                  <c:v>0.1287242472266244</c:v>
                </c:pt>
                <c:pt idx="11">
                  <c:v>3.2847968309225269E-2</c:v>
                </c:pt>
              </c:numCache>
            </c:numRef>
          </c:val>
        </c:ser>
        <c:ser>
          <c:idx val="11"/>
          <c:order val="11"/>
          <c:tx>
            <c:strRef>
              <c:f>Office!$P$34</c:f>
              <c:strCache>
                <c:ptCount val="1"/>
                <c:pt idx="0">
                  <c:v>PLANNED</c:v>
                </c:pt>
              </c:strCache>
            </c:strRef>
          </c:tx>
          <c:spPr>
            <a:solidFill>
              <a:srgbClr val="00FFFF"/>
            </a:solidFill>
            <a:ln w="12700">
              <a:solidFill>
                <a:srgbClr val="000000"/>
              </a:solidFill>
              <a:prstDash val="solid"/>
            </a:ln>
          </c:spPr>
          <c:cat>
            <c:strRef>
              <c:f>Office!$Q$22:$AB$22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Office!$Q$34:$AB$34</c:f>
              <c:numCache>
                <c:formatCode>0.0%</c:formatCode>
                <c:ptCount val="12"/>
                <c:pt idx="0">
                  <c:v>6.6011608938123814E-2</c:v>
                </c:pt>
                <c:pt idx="1">
                  <c:v>0.1119744529307021</c:v>
                </c:pt>
                <c:pt idx="2">
                  <c:v>4.613311217084802E-2</c:v>
                </c:pt>
                <c:pt idx="3">
                  <c:v>9.3165151070695243E-2</c:v>
                </c:pt>
                <c:pt idx="4">
                  <c:v>9.6507287382011017E-2</c:v>
                </c:pt>
                <c:pt idx="5">
                  <c:v>5.2483467004362017E-2</c:v>
                </c:pt>
                <c:pt idx="6">
                  <c:v>0.16458294457921271</c:v>
                </c:pt>
                <c:pt idx="7">
                  <c:v>0.11409109502552156</c:v>
                </c:pt>
                <c:pt idx="8">
                  <c:v>1.0363059569968322E-2</c:v>
                </c:pt>
                <c:pt idx="9">
                  <c:v>0.10666520998916622</c:v>
                </c:pt>
                <c:pt idx="10">
                  <c:v>0.15087163232963538</c:v>
                </c:pt>
                <c:pt idx="11">
                  <c:v>9.6147890282696449E-2</c:v>
                </c:pt>
              </c:numCache>
            </c:numRef>
          </c:val>
        </c:ser>
        <c:shape val="box"/>
        <c:axId val="46892928"/>
        <c:axId val="46894464"/>
        <c:axId val="46876864"/>
      </c:bar3DChart>
      <c:catAx>
        <c:axId val="46892928"/>
        <c:scaling>
          <c:orientation val="minMax"/>
        </c:scaling>
        <c:axPos val="b"/>
        <c:numFmt formatCode="General" sourceLinked="1"/>
        <c:tickLblPos val="low"/>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46894464"/>
        <c:crosses val="autoZero"/>
        <c:auto val="1"/>
        <c:lblAlgn val="ctr"/>
        <c:lblOffset val="100"/>
        <c:tickLblSkip val="1"/>
        <c:tickMarkSkip val="1"/>
        <c:noMultiLvlLbl val="1"/>
      </c:catAx>
      <c:valAx>
        <c:axId val="46894464"/>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46892928"/>
        <c:crosses val="autoZero"/>
        <c:crossBetween val="between"/>
        <c:majorUnit val="0.2"/>
      </c:valAx>
      <c:serAx>
        <c:axId val="46876864"/>
        <c:scaling>
          <c:orientation val="maxMin"/>
        </c:scaling>
        <c:axPos val="b"/>
        <c:title>
          <c:tx>
            <c:rich>
              <a:bodyPr/>
              <a:lstStyle/>
              <a:p>
                <a:pPr>
                  <a:defRPr sz="1375" b="1" i="0" u="none" strike="noStrike" baseline="0">
                    <a:solidFill>
                      <a:srgbClr val="000000"/>
                    </a:solidFill>
                    <a:latin typeface="Arial"/>
                    <a:ea typeface="Arial"/>
                    <a:cs typeface="Arial"/>
                  </a:defRPr>
                </a:pPr>
                <a:r>
                  <a:rPr lang="en-US"/>
                  <a:t>% SAIFI</a:t>
                </a:r>
              </a:p>
            </c:rich>
          </c:tx>
          <c:layout>
            <c:manualLayout>
              <c:xMode val="edge"/>
              <c:yMode val="edge"/>
              <c:x val="0.12249780795041212"/>
              <c:y val="0.78929298133608117"/>
            </c:manualLayout>
          </c:layout>
          <c:spPr>
            <a:noFill/>
            <a:ln w="25400">
              <a:noFill/>
            </a:ln>
          </c:spPr>
        </c:title>
        <c:numFmt formatCode="General" sourceLinked="1"/>
        <c:tickLblPos val="low"/>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46894464"/>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2929692513268071"/>
          <c:y val="2.6066350710900472E-2"/>
          <c:w val="0.56835732781724213"/>
          <c:h val="0.94786729857820062"/>
        </c:manualLayout>
      </c:layout>
      <c:bar3DChart>
        <c:barDir val="col"/>
        <c:grouping val="standard"/>
        <c:ser>
          <c:idx val="0"/>
          <c:order val="0"/>
          <c:tx>
            <c:strRef>
              <c:f>Office!$AD$23</c:f>
              <c:strCache>
                <c:ptCount val="1"/>
                <c:pt idx="0">
                  <c:v>ANIMAL</c:v>
                </c:pt>
              </c:strCache>
            </c:strRef>
          </c:tx>
          <c:spPr>
            <a:solidFill>
              <a:srgbClr val="9999FF"/>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Office!$AE$23:$AP$23</c:f>
              <c:numCache>
                <c:formatCode>0.0%</c:formatCode>
                <c:ptCount val="12"/>
                <c:pt idx="0">
                  <c:v>1.2667979505368177E-2</c:v>
                </c:pt>
                <c:pt idx="1">
                  <c:v>1.3501288951264919E-2</c:v>
                </c:pt>
                <c:pt idx="2">
                  <c:v>3.3715987534773492E-2</c:v>
                </c:pt>
                <c:pt idx="3">
                  <c:v>3.6127609749015625E-2</c:v>
                </c:pt>
                <c:pt idx="4">
                  <c:v>1.8406828648252853E-3</c:v>
                </c:pt>
                <c:pt idx="5">
                  <c:v>2.8771337683768505E-2</c:v>
                </c:pt>
                <c:pt idx="6">
                  <c:v>2.7600057854001082E-2</c:v>
                </c:pt>
                <c:pt idx="7">
                  <c:v>7.259101245172146E-3</c:v>
                </c:pt>
                <c:pt idx="8">
                  <c:v>2.2173050002127378E-2</c:v>
                </c:pt>
                <c:pt idx="9">
                  <c:v>9.9689406232444544E-2</c:v>
                </c:pt>
                <c:pt idx="10">
                  <c:v>1.9232349578435982E-2</c:v>
                </c:pt>
                <c:pt idx="11">
                  <c:v>3.2692250547204656E-2</c:v>
                </c:pt>
              </c:numCache>
            </c:numRef>
          </c:val>
        </c:ser>
        <c:ser>
          <c:idx val="1"/>
          <c:order val="1"/>
          <c:tx>
            <c:strRef>
              <c:f>Office!$AD$24</c:f>
              <c:strCache>
                <c:ptCount val="1"/>
                <c:pt idx="0">
                  <c:v>MISCELLANEOUS</c:v>
                </c:pt>
              </c:strCache>
            </c:strRef>
          </c:tx>
          <c:spPr>
            <a:solidFill>
              <a:srgbClr val="993366"/>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Office!$AE$24:$AP$24</c:f>
              <c:numCache>
                <c:formatCode>0.0%</c:formatCode>
                <c:ptCount val="12"/>
                <c:pt idx="0">
                  <c:v>3.5806223687229518E-3</c:v>
                </c:pt>
                <c:pt idx="1">
                  <c:v>6.3594977725650631E-6</c:v>
                </c:pt>
                <c:pt idx="2">
                  <c:v>0</c:v>
                </c:pt>
                <c:pt idx="3">
                  <c:v>0</c:v>
                </c:pt>
                <c:pt idx="4">
                  <c:v>2.3149592106234992E-3</c:v>
                </c:pt>
                <c:pt idx="5">
                  <c:v>0</c:v>
                </c:pt>
                <c:pt idx="6">
                  <c:v>0</c:v>
                </c:pt>
                <c:pt idx="7">
                  <c:v>9.8698654074036058E-5</c:v>
                </c:pt>
                <c:pt idx="8">
                  <c:v>0</c:v>
                </c:pt>
                <c:pt idx="9">
                  <c:v>2.9354454276913552E-5</c:v>
                </c:pt>
                <c:pt idx="10">
                  <c:v>0</c:v>
                </c:pt>
                <c:pt idx="11">
                  <c:v>4.4048828952728989E-4</c:v>
                </c:pt>
              </c:numCache>
            </c:numRef>
          </c:val>
        </c:ser>
        <c:ser>
          <c:idx val="2"/>
          <c:order val="2"/>
          <c:tx>
            <c:strRef>
              <c:f>Office!$AD$25</c:f>
              <c:strCache>
                <c:ptCount val="1"/>
                <c:pt idx="0">
                  <c:v>POLE FIRE</c:v>
                </c:pt>
              </c:strCache>
            </c:strRef>
          </c:tx>
          <c:spPr>
            <a:solidFill>
              <a:srgbClr val="FFFFCC"/>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Office!$AE$25:$AP$25</c:f>
              <c:numCache>
                <c:formatCode>0.0%</c:formatCode>
                <c:ptCount val="12"/>
                <c:pt idx="0">
                  <c:v>7.2315157995579554E-2</c:v>
                </c:pt>
                <c:pt idx="1">
                  <c:v>1.0690402027938447E-3</c:v>
                </c:pt>
                <c:pt idx="2">
                  <c:v>2.1891553988965015E-2</c:v>
                </c:pt>
                <c:pt idx="3">
                  <c:v>6.8783609674485879E-2</c:v>
                </c:pt>
                <c:pt idx="4">
                  <c:v>7.2510539341223649E-3</c:v>
                </c:pt>
                <c:pt idx="5">
                  <c:v>0.11461780617083638</c:v>
                </c:pt>
                <c:pt idx="6">
                  <c:v>2.8583207288954655E-2</c:v>
                </c:pt>
                <c:pt idx="7">
                  <c:v>7.2423305200654695E-2</c:v>
                </c:pt>
                <c:pt idx="8">
                  <c:v>9.8468843222584914E-4</c:v>
                </c:pt>
                <c:pt idx="9">
                  <c:v>0.13910748517277757</c:v>
                </c:pt>
                <c:pt idx="10">
                  <c:v>0</c:v>
                </c:pt>
                <c:pt idx="11">
                  <c:v>5.237973411680881E-2</c:v>
                </c:pt>
              </c:numCache>
            </c:numRef>
          </c:val>
        </c:ser>
        <c:ser>
          <c:idx val="3"/>
          <c:order val="3"/>
          <c:tx>
            <c:strRef>
              <c:f>Office!$AD$26</c:f>
              <c:strCache>
                <c:ptCount val="1"/>
                <c:pt idx="0">
                  <c:v>WEATHER</c:v>
                </c:pt>
              </c:strCache>
            </c:strRef>
          </c:tx>
          <c:spPr>
            <a:solidFill>
              <a:srgbClr val="CCFFFF"/>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Office!$AE$26:$AP$26</c:f>
              <c:numCache>
                <c:formatCode>0.0%</c:formatCode>
                <c:ptCount val="12"/>
                <c:pt idx="0">
                  <c:v>0.28946414282002031</c:v>
                </c:pt>
                <c:pt idx="1">
                  <c:v>0.54447786832968881</c:v>
                </c:pt>
                <c:pt idx="2">
                  <c:v>0.1811088142224983</c:v>
                </c:pt>
                <c:pt idx="3">
                  <c:v>0.519693163161281</c:v>
                </c:pt>
                <c:pt idx="4">
                  <c:v>0.43189815185550662</c:v>
                </c:pt>
                <c:pt idx="5">
                  <c:v>0.18422765560574342</c:v>
                </c:pt>
                <c:pt idx="6">
                  <c:v>0.35194427035640596</c:v>
                </c:pt>
                <c:pt idx="7">
                  <c:v>0.27086714390538008</c:v>
                </c:pt>
                <c:pt idx="8">
                  <c:v>0.59077585087725148</c:v>
                </c:pt>
                <c:pt idx="9">
                  <c:v>0.20832687921155182</c:v>
                </c:pt>
                <c:pt idx="10">
                  <c:v>0.18882334973706474</c:v>
                </c:pt>
                <c:pt idx="11">
                  <c:v>0.37086182493341313</c:v>
                </c:pt>
              </c:numCache>
            </c:numRef>
          </c:val>
        </c:ser>
        <c:ser>
          <c:idx val="4"/>
          <c:order val="4"/>
          <c:tx>
            <c:strRef>
              <c:f>Office!$AD$27</c:f>
              <c:strCache>
                <c:ptCount val="1"/>
                <c:pt idx="0">
                  <c:v>UNDETERMINED</c:v>
                </c:pt>
              </c:strCache>
            </c:strRef>
          </c:tx>
          <c:spPr>
            <a:solidFill>
              <a:srgbClr val="660066"/>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Office!$AE$27:$AP$27</c:f>
              <c:numCache>
                <c:formatCode>0.0%</c:formatCode>
                <c:ptCount val="12"/>
                <c:pt idx="0">
                  <c:v>2.7158209544352649E-2</c:v>
                </c:pt>
                <c:pt idx="1">
                  <c:v>7.4347853191978702E-2</c:v>
                </c:pt>
                <c:pt idx="2">
                  <c:v>0.13553748262803891</c:v>
                </c:pt>
                <c:pt idx="3">
                  <c:v>7.4080863479972461E-2</c:v>
                </c:pt>
                <c:pt idx="4">
                  <c:v>0.14909793534841906</c:v>
                </c:pt>
                <c:pt idx="5">
                  <c:v>8.7542249932773833E-2</c:v>
                </c:pt>
                <c:pt idx="6">
                  <c:v>0.16022644909432593</c:v>
                </c:pt>
                <c:pt idx="7">
                  <c:v>4.7614951494371484E-2</c:v>
                </c:pt>
                <c:pt idx="8">
                  <c:v>0.16592515676809624</c:v>
                </c:pt>
                <c:pt idx="9">
                  <c:v>6.1375430733540494E-2</c:v>
                </c:pt>
                <c:pt idx="10">
                  <c:v>9.2771266749415146E-2</c:v>
                </c:pt>
                <c:pt idx="11">
                  <c:v>8.4438113129384582E-2</c:v>
                </c:pt>
              </c:numCache>
            </c:numRef>
          </c:val>
        </c:ser>
        <c:ser>
          <c:idx val="5"/>
          <c:order val="5"/>
          <c:tx>
            <c:strRef>
              <c:f>Office!$AD$28</c:f>
              <c:strCache>
                <c:ptCount val="1"/>
                <c:pt idx="0">
                  <c:v>TREE</c:v>
                </c:pt>
              </c:strCache>
            </c:strRef>
          </c:tx>
          <c:spPr>
            <a:solidFill>
              <a:srgbClr val="FF8080"/>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Office!$AE$28:$AP$28</c:f>
              <c:numCache>
                <c:formatCode>0.0%</c:formatCode>
                <c:ptCount val="12"/>
                <c:pt idx="0">
                  <c:v>0.12209021841593316</c:v>
                </c:pt>
                <c:pt idx="1">
                  <c:v>0.17085178744661383</c:v>
                </c:pt>
                <c:pt idx="2">
                  <c:v>0.14484759368538141</c:v>
                </c:pt>
                <c:pt idx="3">
                  <c:v>0.11381258513564968</c:v>
                </c:pt>
                <c:pt idx="4">
                  <c:v>0.12702350967933407</c:v>
                </c:pt>
                <c:pt idx="5">
                  <c:v>3.8999644798835074E-2</c:v>
                </c:pt>
                <c:pt idx="6">
                  <c:v>7.1977111774906811E-4</c:v>
                </c:pt>
                <c:pt idx="7">
                  <c:v>3.1031324705398145E-2</c:v>
                </c:pt>
                <c:pt idx="8">
                  <c:v>0.14131446952331381</c:v>
                </c:pt>
                <c:pt idx="9">
                  <c:v>5.0632467164442044E-2</c:v>
                </c:pt>
                <c:pt idx="10">
                  <c:v>4.3103549961936535E-2</c:v>
                </c:pt>
                <c:pt idx="11">
                  <c:v>0.10233102774674589</c:v>
                </c:pt>
              </c:numCache>
            </c:numRef>
          </c:val>
        </c:ser>
        <c:ser>
          <c:idx val="6"/>
          <c:order val="6"/>
          <c:tx>
            <c:strRef>
              <c:f>Office!$AD$29</c:f>
              <c:strCache>
                <c:ptCount val="1"/>
                <c:pt idx="0">
                  <c:v>PUBLIC</c:v>
                </c:pt>
              </c:strCache>
            </c:strRef>
          </c:tx>
          <c:spPr>
            <a:solidFill>
              <a:srgbClr val="0066CC"/>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Office!$AE$29:$AP$29</c:f>
              <c:numCache>
                <c:formatCode>0.0%</c:formatCode>
                <c:ptCount val="12"/>
                <c:pt idx="0">
                  <c:v>0.18701691067192563</c:v>
                </c:pt>
                <c:pt idx="1">
                  <c:v>4.5207406867112922E-2</c:v>
                </c:pt>
                <c:pt idx="2">
                  <c:v>7.6243651519264072E-2</c:v>
                </c:pt>
                <c:pt idx="3">
                  <c:v>2.9073284850571392E-2</c:v>
                </c:pt>
                <c:pt idx="4">
                  <c:v>7.0432498494224532E-2</c:v>
                </c:pt>
                <c:pt idx="5">
                  <c:v>0.20849124960707163</c:v>
                </c:pt>
                <c:pt idx="6">
                  <c:v>8.3419404239307188E-2</c:v>
                </c:pt>
                <c:pt idx="7">
                  <c:v>0.22894711369117579</c:v>
                </c:pt>
                <c:pt idx="8">
                  <c:v>4.2882023302779307E-2</c:v>
                </c:pt>
                <c:pt idx="9">
                  <c:v>0.15928632807201454</c:v>
                </c:pt>
                <c:pt idx="10">
                  <c:v>0.16684912411049879</c:v>
                </c:pt>
                <c:pt idx="11">
                  <c:v>0.11526964657345525</c:v>
                </c:pt>
              </c:numCache>
            </c:numRef>
          </c:val>
        </c:ser>
        <c:ser>
          <c:idx val="7"/>
          <c:order val="7"/>
          <c:tx>
            <c:strRef>
              <c:f>Office!$AD$30</c:f>
              <c:strCache>
                <c:ptCount val="1"/>
                <c:pt idx="0">
                  <c:v>COMPANY</c:v>
                </c:pt>
              </c:strCache>
            </c:strRef>
          </c:tx>
          <c:spPr>
            <a:solidFill>
              <a:srgbClr val="CCCCFF"/>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Office!$AE$30:$AP$30</c:f>
              <c:numCache>
                <c:formatCode>0.0%</c:formatCode>
                <c:ptCount val="12"/>
                <c:pt idx="0">
                  <c:v>2.1200403087402972E-4</c:v>
                </c:pt>
                <c:pt idx="1">
                  <c:v>5.968758397794904E-3</c:v>
                </c:pt>
                <c:pt idx="2">
                  <c:v>3.0916992169664338E-3</c:v>
                </c:pt>
                <c:pt idx="3">
                  <c:v>0</c:v>
                </c:pt>
                <c:pt idx="4">
                  <c:v>9.6796797636874727E-4</c:v>
                </c:pt>
                <c:pt idx="5">
                  <c:v>0</c:v>
                </c:pt>
                <c:pt idx="6">
                  <c:v>5.3217559941619405E-4</c:v>
                </c:pt>
                <c:pt idx="7">
                  <c:v>8.3500491761911066E-4</c:v>
                </c:pt>
                <c:pt idx="8">
                  <c:v>5.1696142691856955E-5</c:v>
                </c:pt>
                <c:pt idx="9">
                  <c:v>4.3327826286681172E-2</c:v>
                </c:pt>
                <c:pt idx="10">
                  <c:v>2.3512966522704255E-2</c:v>
                </c:pt>
                <c:pt idx="11">
                  <c:v>1.1673232445102167E-2</c:v>
                </c:pt>
              </c:numCache>
            </c:numRef>
          </c:val>
        </c:ser>
        <c:ser>
          <c:idx val="8"/>
          <c:order val="8"/>
          <c:tx>
            <c:strRef>
              <c:f>Office!$AD$31</c:f>
              <c:strCache>
                <c:ptCount val="1"/>
                <c:pt idx="0">
                  <c:v>EQUIPMENT OH</c:v>
                </c:pt>
              </c:strCache>
            </c:strRef>
          </c:tx>
          <c:spPr>
            <a:solidFill>
              <a:srgbClr val="000080"/>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Office!$AE$31:$AP$31</c:f>
              <c:numCache>
                <c:formatCode>0.0%</c:formatCode>
                <c:ptCount val="12"/>
                <c:pt idx="0">
                  <c:v>0.18245985757151312</c:v>
                </c:pt>
                <c:pt idx="1">
                  <c:v>7.1942596234912323E-2</c:v>
                </c:pt>
                <c:pt idx="2">
                  <c:v>0.36211321548480846</c:v>
                </c:pt>
                <c:pt idx="3">
                  <c:v>0.10144426076052022</c:v>
                </c:pt>
                <c:pt idx="4">
                  <c:v>5.2085162487328106E-2</c:v>
                </c:pt>
                <c:pt idx="5">
                  <c:v>0.11950076509953349</c:v>
                </c:pt>
                <c:pt idx="6">
                  <c:v>0.10281891119190749</c:v>
                </c:pt>
                <c:pt idx="7">
                  <c:v>0.13338958600350237</c:v>
                </c:pt>
                <c:pt idx="8">
                  <c:v>1.9850511896205857E-2</c:v>
                </c:pt>
                <c:pt idx="9">
                  <c:v>8.6428964934485764E-2</c:v>
                </c:pt>
                <c:pt idx="10">
                  <c:v>0.18354157802026524</c:v>
                </c:pt>
                <c:pt idx="11">
                  <c:v>0.10162500424401733</c:v>
                </c:pt>
              </c:numCache>
            </c:numRef>
          </c:val>
        </c:ser>
        <c:ser>
          <c:idx val="9"/>
          <c:order val="9"/>
          <c:tx>
            <c:strRef>
              <c:f>Office!$AD$32</c:f>
              <c:strCache>
                <c:ptCount val="1"/>
                <c:pt idx="0">
                  <c:v>EQUIPMENT UG</c:v>
                </c:pt>
              </c:strCache>
            </c:strRef>
          </c:tx>
          <c:spPr>
            <a:solidFill>
              <a:srgbClr val="FF00FF"/>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Office!$AE$32:$AP$32</c:f>
              <c:numCache>
                <c:formatCode>0.0%</c:formatCode>
                <c:ptCount val="12"/>
                <c:pt idx="0">
                  <c:v>3.8661756545025551E-2</c:v>
                </c:pt>
                <c:pt idx="1">
                  <c:v>4.3545132746236441E-3</c:v>
                </c:pt>
                <c:pt idx="2">
                  <c:v>3.1293039240186619E-3</c:v>
                </c:pt>
                <c:pt idx="3">
                  <c:v>1.2472882166079708E-2</c:v>
                </c:pt>
                <c:pt idx="4">
                  <c:v>3.2499089512148575E-3</c:v>
                </c:pt>
                <c:pt idx="5">
                  <c:v>3.4576782073457511E-2</c:v>
                </c:pt>
                <c:pt idx="6">
                  <c:v>2.6761007425598025E-3</c:v>
                </c:pt>
                <c:pt idx="7">
                  <c:v>2.5867561318323996E-2</c:v>
                </c:pt>
                <c:pt idx="8">
                  <c:v>1.233021384341915E-2</c:v>
                </c:pt>
                <c:pt idx="9">
                  <c:v>1.8783760967484769E-2</c:v>
                </c:pt>
                <c:pt idx="10">
                  <c:v>2.1085494578545849E-3</c:v>
                </c:pt>
                <c:pt idx="11">
                  <c:v>1.415006910471016E-2</c:v>
                </c:pt>
              </c:numCache>
            </c:numRef>
          </c:val>
        </c:ser>
        <c:ser>
          <c:idx val="10"/>
          <c:order val="10"/>
          <c:tx>
            <c:strRef>
              <c:f>Office!$AD$33</c:f>
              <c:strCache>
                <c:ptCount val="1"/>
                <c:pt idx="0">
                  <c:v>EQUIPMENT SUB</c:v>
                </c:pt>
              </c:strCache>
            </c:strRef>
          </c:tx>
          <c:spPr>
            <a:solidFill>
              <a:srgbClr val="FFFF00"/>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Office!$AE$33:$AP$33</c:f>
              <c:numCache>
                <c:formatCode>0.0%</c:formatCode>
                <c:ptCount val="12"/>
                <c:pt idx="0">
                  <c:v>0</c:v>
                </c:pt>
                <c:pt idx="1">
                  <c:v>0</c:v>
                </c:pt>
                <c:pt idx="2">
                  <c:v>1.7413539816936694E-2</c:v>
                </c:pt>
                <c:pt idx="3">
                  <c:v>0</c:v>
                </c:pt>
                <c:pt idx="4">
                  <c:v>0</c:v>
                </c:pt>
                <c:pt idx="5">
                  <c:v>0.14334637812012724</c:v>
                </c:pt>
                <c:pt idx="6">
                  <c:v>2.370280749828825E-4</c:v>
                </c:pt>
                <c:pt idx="7">
                  <c:v>2.3253188337551381E-5</c:v>
                </c:pt>
                <c:pt idx="8">
                  <c:v>0</c:v>
                </c:pt>
                <c:pt idx="9">
                  <c:v>2.4912179697967315E-2</c:v>
                </c:pt>
                <c:pt idx="10">
                  <c:v>0.24260063662993281</c:v>
                </c:pt>
                <c:pt idx="11">
                  <c:v>2.5332008636978712E-2</c:v>
                </c:pt>
              </c:numCache>
            </c:numRef>
          </c:val>
        </c:ser>
        <c:ser>
          <c:idx val="11"/>
          <c:order val="11"/>
          <c:tx>
            <c:strRef>
              <c:f>Office!$AD$34</c:f>
              <c:strCache>
                <c:ptCount val="1"/>
                <c:pt idx="0">
                  <c:v>PLANNED</c:v>
                </c:pt>
              </c:strCache>
            </c:strRef>
          </c:tx>
          <c:spPr>
            <a:solidFill>
              <a:srgbClr val="00FFFF"/>
            </a:solidFill>
            <a:ln w="12700">
              <a:solidFill>
                <a:srgbClr val="000000"/>
              </a:solidFill>
              <a:prstDash val="solid"/>
            </a:ln>
          </c:spPr>
          <c:cat>
            <c:strRef>
              <c:f>Office!$AE$22:$AP$22</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Office!$AE$34:$AP$34</c:f>
              <c:numCache>
                <c:formatCode>0.0%</c:formatCode>
                <c:ptCount val="12"/>
                <c:pt idx="0">
                  <c:v>6.4373140530686115E-2</c:v>
                </c:pt>
                <c:pt idx="1">
                  <c:v>6.8272527605443403E-2</c:v>
                </c:pt>
                <c:pt idx="2">
                  <c:v>2.0907157978350417E-2</c:v>
                </c:pt>
                <c:pt idx="3">
                  <c:v>4.4511741022424112E-2</c:v>
                </c:pt>
                <c:pt idx="4">
                  <c:v>0.153838169198034</c:v>
                </c:pt>
                <c:pt idx="5">
                  <c:v>3.9926130907854032E-2</c:v>
                </c:pt>
                <c:pt idx="6">
                  <c:v>0.24124262444039124</c:v>
                </c:pt>
                <c:pt idx="7">
                  <c:v>0.18164295567599134</c:v>
                </c:pt>
                <c:pt idx="8">
                  <c:v>3.712339211889831E-3</c:v>
                </c:pt>
                <c:pt idx="9">
                  <c:v>0.10809991707233382</c:v>
                </c:pt>
                <c:pt idx="10">
                  <c:v>3.7456629231893135E-2</c:v>
                </c:pt>
                <c:pt idx="11">
                  <c:v>8.880660023265359E-2</c:v>
                </c:pt>
              </c:numCache>
            </c:numRef>
          </c:val>
        </c:ser>
        <c:shape val="box"/>
        <c:axId val="46982656"/>
        <c:axId val="46984192"/>
        <c:axId val="46973824"/>
      </c:bar3DChart>
      <c:catAx>
        <c:axId val="46982656"/>
        <c:scaling>
          <c:orientation val="minMax"/>
        </c:scaling>
        <c:axPos val="b"/>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984192"/>
        <c:crosses val="autoZero"/>
        <c:auto val="1"/>
        <c:lblAlgn val="ctr"/>
        <c:lblOffset val="100"/>
        <c:tickLblSkip val="1"/>
        <c:tickMarkSkip val="1"/>
        <c:noMultiLvlLbl val="1"/>
      </c:catAx>
      <c:valAx>
        <c:axId val="46984192"/>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982656"/>
        <c:crosses val="autoZero"/>
        <c:crossBetween val="between"/>
        <c:majorUnit val="0.2"/>
      </c:valAx>
      <c:serAx>
        <c:axId val="46973824"/>
        <c:scaling>
          <c:orientation val="maxMin"/>
        </c:scaling>
        <c:axPos val="b"/>
        <c:title>
          <c:tx>
            <c:rich>
              <a:bodyPr/>
              <a:lstStyle/>
              <a:p>
                <a:pPr>
                  <a:defRPr sz="1675" b="1" i="0" u="none" strike="noStrike" baseline="0">
                    <a:solidFill>
                      <a:srgbClr val="000000"/>
                    </a:solidFill>
                    <a:latin typeface="Arial"/>
                    <a:ea typeface="Arial"/>
                    <a:cs typeface="Arial"/>
                  </a:defRPr>
                </a:pPr>
                <a:r>
                  <a:rPr lang="en-US"/>
                  <a:t>% SAIDI</a:t>
                </a:r>
              </a:p>
            </c:rich>
          </c:tx>
          <c:layout>
            <c:manualLayout>
              <c:xMode val="edge"/>
              <c:yMode val="edge"/>
              <c:x val="6.2055007629165812E-2"/>
              <c:y val="0.85390636050733149"/>
            </c:manualLayout>
          </c:layout>
          <c:spPr>
            <a:noFill/>
            <a:ln w="25400">
              <a:noFill/>
            </a:ln>
          </c:spPr>
        </c:title>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6984192"/>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925" b="0" i="0" u="none" strike="noStrike" baseline="0">
          <a:solidFill>
            <a:srgbClr val="000000"/>
          </a:solidFill>
          <a:latin typeface="Arial"/>
          <a:ea typeface="Arial"/>
          <a:cs typeface="Arial"/>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3728008580005371"/>
          <c:y val="8.6552041923645365E-2"/>
          <c:w val="0.54912034320021452"/>
          <c:h val="0.79432438475087386"/>
        </c:manualLayout>
      </c:layout>
      <c:bar3DChart>
        <c:barDir val="col"/>
        <c:grouping val="standard"/>
        <c:ser>
          <c:idx val="0"/>
          <c:order val="0"/>
          <c:tx>
            <c:strRef>
              <c:f>Monthly!$Q$25</c:f>
              <c:strCache>
                <c:ptCount val="1"/>
                <c:pt idx="0">
                  <c:v>ANIMAL</c:v>
                </c:pt>
              </c:strCache>
            </c:strRef>
          </c:tx>
          <c:spPr>
            <a:solidFill>
              <a:srgbClr val="9999FF"/>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Monthly!$R$25:$AD$25</c:f>
              <c:numCache>
                <c:formatCode>0.0%</c:formatCode>
                <c:ptCount val="13"/>
                <c:pt idx="0">
                  <c:v>2.3173661155857003E-3</c:v>
                </c:pt>
                <c:pt idx="1">
                  <c:v>5.7696468495324192E-2</c:v>
                </c:pt>
                <c:pt idx="2">
                  <c:v>1.5093537414966015E-2</c:v>
                </c:pt>
                <c:pt idx="3">
                  <c:v>6.7218771566597654E-2</c:v>
                </c:pt>
                <c:pt idx="4">
                  <c:v>4.1477414524581993E-2</c:v>
                </c:pt>
                <c:pt idx="5">
                  <c:v>0.31250799171419152</c:v>
                </c:pt>
                <c:pt idx="6">
                  <c:v>1.7265714119989947E-2</c:v>
                </c:pt>
                <c:pt idx="7">
                  <c:v>1.7672750412171347E-2</c:v>
                </c:pt>
                <c:pt idx="8">
                  <c:v>2.180804226592321E-2</c:v>
                </c:pt>
                <c:pt idx="9">
                  <c:v>1.055553158750018E-2</c:v>
                </c:pt>
                <c:pt idx="10">
                  <c:v>0.13688811877289053</c:v>
                </c:pt>
                <c:pt idx="11">
                  <c:v>2.1620521172638379E-2</c:v>
                </c:pt>
                <c:pt idx="12">
                  <c:v>5.8258207790648817E-2</c:v>
                </c:pt>
              </c:numCache>
            </c:numRef>
          </c:val>
        </c:ser>
        <c:ser>
          <c:idx val="1"/>
          <c:order val="1"/>
          <c:tx>
            <c:strRef>
              <c:f>Monthly!$Q$26</c:f>
              <c:strCache>
                <c:ptCount val="1"/>
                <c:pt idx="0">
                  <c:v>MISCELLANEOUS</c:v>
                </c:pt>
              </c:strCache>
            </c:strRef>
          </c:tx>
          <c:spPr>
            <a:solidFill>
              <a:srgbClr val="993366"/>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Monthly!$R$26:$AD$26</c:f>
              <c:numCache>
                <c:formatCode>0.0%</c:formatCode>
                <c:ptCount val="13"/>
                <c:pt idx="0">
                  <c:v>2.2608449908153246E-4</c:v>
                </c:pt>
                <c:pt idx="1">
                  <c:v>1.5866528836214209E-3</c:v>
                </c:pt>
                <c:pt idx="2">
                  <c:v>0</c:v>
                </c:pt>
                <c:pt idx="3">
                  <c:v>0</c:v>
                </c:pt>
                <c:pt idx="4">
                  <c:v>0</c:v>
                </c:pt>
                <c:pt idx="5">
                  <c:v>0</c:v>
                </c:pt>
                <c:pt idx="6">
                  <c:v>0</c:v>
                </c:pt>
                <c:pt idx="7">
                  <c:v>0</c:v>
                </c:pt>
                <c:pt idx="8">
                  <c:v>0</c:v>
                </c:pt>
                <c:pt idx="9">
                  <c:v>1.8407466528610696E-3</c:v>
                </c:pt>
                <c:pt idx="10">
                  <c:v>0</c:v>
                </c:pt>
                <c:pt idx="11">
                  <c:v>0</c:v>
                </c:pt>
                <c:pt idx="12">
                  <c:v>4.8496488806194299E-4</c:v>
                </c:pt>
              </c:numCache>
            </c:numRef>
          </c:val>
        </c:ser>
        <c:ser>
          <c:idx val="2"/>
          <c:order val="2"/>
          <c:tx>
            <c:strRef>
              <c:f>Monthly!$Q$27</c:f>
              <c:strCache>
                <c:ptCount val="1"/>
                <c:pt idx="0">
                  <c:v>POLE FIRE</c:v>
                </c:pt>
              </c:strCache>
            </c:strRef>
          </c:tx>
          <c:spPr>
            <a:solidFill>
              <a:srgbClr val="FFFFCC"/>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Monthly!$R$27:$AD$27</c:f>
              <c:numCache>
                <c:formatCode>0.0%</c:formatCode>
                <c:ptCount val="13"/>
                <c:pt idx="0">
                  <c:v>3.956478733926805E-4</c:v>
                </c:pt>
                <c:pt idx="1">
                  <c:v>1.6828136644469617E-3</c:v>
                </c:pt>
                <c:pt idx="2">
                  <c:v>1.0841836734693877E-2</c:v>
                </c:pt>
                <c:pt idx="3">
                  <c:v>1.0674028065332446E-2</c:v>
                </c:pt>
                <c:pt idx="4">
                  <c:v>5.0811080608934404E-2</c:v>
                </c:pt>
                <c:pt idx="5">
                  <c:v>9.538910058051811E-3</c:v>
                </c:pt>
                <c:pt idx="6">
                  <c:v>4.2787262427253919E-2</c:v>
                </c:pt>
                <c:pt idx="7">
                  <c:v>9.5623752639342863E-2</c:v>
                </c:pt>
                <c:pt idx="8">
                  <c:v>0</c:v>
                </c:pt>
                <c:pt idx="9">
                  <c:v>0.17597825618016363</c:v>
                </c:pt>
                <c:pt idx="10">
                  <c:v>5.4345685818926674E-2</c:v>
                </c:pt>
                <c:pt idx="11">
                  <c:v>2.8501628664495188E-4</c:v>
                </c:pt>
                <c:pt idx="12">
                  <c:v>5.0546785907208513E-2</c:v>
                </c:pt>
              </c:numCache>
            </c:numRef>
          </c:val>
        </c:ser>
        <c:ser>
          <c:idx val="3"/>
          <c:order val="3"/>
          <c:tx>
            <c:strRef>
              <c:f>Monthly!$Q$28</c:f>
              <c:strCache>
                <c:ptCount val="1"/>
                <c:pt idx="0">
                  <c:v>WEATHER</c:v>
                </c:pt>
              </c:strCache>
            </c:strRef>
          </c:tx>
          <c:spPr>
            <a:solidFill>
              <a:srgbClr val="CCFFFF"/>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Monthly!$R$28:$AD$28</c:f>
              <c:numCache>
                <c:formatCode>0.0%</c:formatCode>
                <c:ptCount val="13"/>
                <c:pt idx="0">
                  <c:v>9.2355517874805684E-2</c:v>
                </c:pt>
                <c:pt idx="1">
                  <c:v>0.47787100031252316</c:v>
                </c:pt>
                <c:pt idx="2">
                  <c:v>0.21550807823129287</c:v>
                </c:pt>
                <c:pt idx="3">
                  <c:v>0.10729238555325542</c:v>
                </c:pt>
                <c:pt idx="4">
                  <c:v>0.11190416770651362</c:v>
                </c:pt>
                <c:pt idx="5">
                  <c:v>9.3829117970488207E-2</c:v>
                </c:pt>
                <c:pt idx="6">
                  <c:v>0.57489221012741465</c:v>
                </c:pt>
                <c:pt idx="7">
                  <c:v>0.12402742024122891</c:v>
                </c:pt>
                <c:pt idx="8">
                  <c:v>0.11041972409744626</c:v>
                </c:pt>
                <c:pt idx="9">
                  <c:v>0.29716553777125848</c:v>
                </c:pt>
                <c:pt idx="10">
                  <c:v>4.2649549088331386E-2</c:v>
                </c:pt>
                <c:pt idx="11">
                  <c:v>0.32943811074918627</c:v>
                </c:pt>
                <c:pt idx="12">
                  <c:v>0.24744253046035708</c:v>
                </c:pt>
              </c:numCache>
            </c:numRef>
          </c:val>
        </c:ser>
        <c:ser>
          <c:idx val="4"/>
          <c:order val="4"/>
          <c:tx>
            <c:strRef>
              <c:f>Monthly!$Q$29</c:f>
              <c:strCache>
                <c:ptCount val="1"/>
                <c:pt idx="0">
                  <c:v>UNDETERMINED</c:v>
                </c:pt>
              </c:strCache>
            </c:strRef>
          </c:tx>
          <c:spPr>
            <a:solidFill>
              <a:srgbClr val="660066"/>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Monthly!$R$29:$AD$29</c:f>
              <c:numCache>
                <c:formatCode>0.0%</c:formatCode>
                <c:ptCount val="13"/>
                <c:pt idx="0">
                  <c:v>0.10869012293344671</c:v>
                </c:pt>
                <c:pt idx="1">
                  <c:v>3.0579128302521841E-2</c:v>
                </c:pt>
                <c:pt idx="2">
                  <c:v>4.1985544217687056E-2</c:v>
                </c:pt>
                <c:pt idx="3">
                  <c:v>0.19365079365079366</c:v>
                </c:pt>
                <c:pt idx="4">
                  <c:v>0.20419266284002996</c:v>
                </c:pt>
                <c:pt idx="5">
                  <c:v>4.8359460910927583E-2</c:v>
                </c:pt>
                <c:pt idx="6">
                  <c:v>0.13342742793062778</c:v>
                </c:pt>
                <c:pt idx="7">
                  <c:v>0.40265525120758972</c:v>
                </c:pt>
                <c:pt idx="8">
                  <c:v>9.844437921925471E-2</c:v>
                </c:pt>
                <c:pt idx="9">
                  <c:v>0.15111379553331344</c:v>
                </c:pt>
                <c:pt idx="10">
                  <c:v>0.16197377229945262</c:v>
                </c:pt>
                <c:pt idx="11">
                  <c:v>0.20069218241042397</c:v>
                </c:pt>
                <c:pt idx="12">
                  <c:v>0.14362883380349353</c:v>
                </c:pt>
              </c:numCache>
            </c:numRef>
          </c:val>
        </c:ser>
        <c:ser>
          <c:idx val="5"/>
          <c:order val="5"/>
          <c:tx>
            <c:strRef>
              <c:f>Monthly!$Q$30</c:f>
              <c:strCache>
                <c:ptCount val="1"/>
                <c:pt idx="0">
                  <c:v>TREE</c:v>
                </c:pt>
              </c:strCache>
            </c:strRef>
          </c:tx>
          <c:spPr>
            <a:solidFill>
              <a:srgbClr val="FF8080"/>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Monthly!$R$30:$AD$30</c:f>
              <c:numCache>
                <c:formatCode>0.0%</c:formatCode>
                <c:ptCount val="13"/>
                <c:pt idx="0">
                  <c:v>0.16798078281757839</c:v>
                </c:pt>
                <c:pt idx="1">
                  <c:v>8.8299636993052641E-2</c:v>
                </c:pt>
                <c:pt idx="2">
                  <c:v>0.16916454081632692</c:v>
                </c:pt>
                <c:pt idx="3">
                  <c:v>4.7941108810673976E-2</c:v>
                </c:pt>
                <c:pt idx="4">
                  <c:v>0.19700524082855003</c:v>
                </c:pt>
                <c:pt idx="5">
                  <c:v>3.7823184921873088E-2</c:v>
                </c:pt>
                <c:pt idx="6">
                  <c:v>9.2302933044604699E-2</c:v>
                </c:pt>
                <c:pt idx="7">
                  <c:v>5.4290920660631251E-2</c:v>
                </c:pt>
                <c:pt idx="8">
                  <c:v>0.19694746110948103</c:v>
                </c:pt>
                <c:pt idx="9">
                  <c:v>5.5768871248400298E-2</c:v>
                </c:pt>
                <c:pt idx="10">
                  <c:v>5.4621352341196396E-2</c:v>
                </c:pt>
                <c:pt idx="11">
                  <c:v>6.8973941368078176E-2</c:v>
                </c:pt>
                <c:pt idx="12">
                  <c:v>9.5043514795030315E-2</c:v>
                </c:pt>
              </c:numCache>
            </c:numRef>
          </c:val>
        </c:ser>
        <c:ser>
          <c:idx val="6"/>
          <c:order val="6"/>
          <c:tx>
            <c:strRef>
              <c:f>Monthly!$Q$31</c:f>
              <c:strCache>
                <c:ptCount val="1"/>
                <c:pt idx="0">
                  <c:v>PUBLIC</c:v>
                </c:pt>
              </c:strCache>
            </c:strRef>
          </c:tx>
          <c:spPr>
            <a:solidFill>
              <a:srgbClr val="0066CC"/>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Monthly!$R$31:$AD$31</c:f>
              <c:numCache>
                <c:formatCode>0.0%</c:formatCode>
                <c:ptCount val="13"/>
                <c:pt idx="0">
                  <c:v>0.31564222128020442</c:v>
                </c:pt>
                <c:pt idx="1">
                  <c:v>2.2838185446065907E-3</c:v>
                </c:pt>
                <c:pt idx="2">
                  <c:v>0.25754676870748361</c:v>
                </c:pt>
                <c:pt idx="3">
                  <c:v>0.17543133195307148</c:v>
                </c:pt>
                <c:pt idx="4">
                  <c:v>4.0329423508859485E-2</c:v>
                </c:pt>
                <c:pt idx="5">
                  <c:v>0.31102472956039251</c:v>
                </c:pt>
                <c:pt idx="6">
                  <c:v>4.6170801028595727E-2</c:v>
                </c:pt>
                <c:pt idx="7">
                  <c:v>3.4795939027564948E-2</c:v>
                </c:pt>
                <c:pt idx="8">
                  <c:v>0.16366304666862339</c:v>
                </c:pt>
                <c:pt idx="9">
                  <c:v>7.4866617771833968E-2</c:v>
                </c:pt>
                <c:pt idx="10">
                  <c:v>4.9344307486315117E-2</c:v>
                </c:pt>
                <c:pt idx="11">
                  <c:v>9.8493485342019765E-2</c:v>
                </c:pt>
                <c:pt idx="12">
                  <c:v>0.12229277954504564</c:v>
                </c:pt>
              </c:numCache>
            </c:numRef>
          </c:val>
        </c:ser>
        <c:ser>
          <c:idx val="7"/>
          <c:order val="7"/>
          <c:tx>
            <c:strRef>
              <c:f>Monthly!$Q$32</c:f>
              <c:strCache>
                <c:ptCount val="1"/>
                <c:pt idx="0">
                  <c:v>COMPANY</c:v>
                </c:pt>
              </c:strCache>
            </c:strRef>
          </c:tx>
          <c:spPr>
            <a:solidFill>
              <a:srgbClr val="CCCCFF"/>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Monthly!$R$32:$AD$32</c:f>
              <c:numCache>
                <c:formatCode>0.0%</c:formatCode>
                <c:ptCount val="13"/>
                <c:pt idx="0">
                  <c:v>9.5238095238095247E-3</c:v>
                </c:pt>
                <c:pt idx="1">
                  <c:v>0.11279659590835879</c:v>
                </c:pt>
                <c:pt idx="2">
                  <c:v>8.503401360544251E-4</c:v>
                </c:pt>
                <c:pt idx="3">
                  <c:v>0.15054060271451575</c:v>
                </c:pt>
                <c:pt idx="4">
                  <c:v>3.9480908410282012E-2</c:v>
                </c:pt>
                <c:pt idx="5">
                  <c:v>1.7671278418535701E-2</c:v>
                </c:pt>
                <c:pt idx="6">
                  <c:v>1.7401055664043678E-4</c:v>
                </c:pt>
                <c:pt idx="7">
                  <c:v>7.2600005784861019E-3</c:v>
                </c:pt>
                <c:pt idx="8">
                  <c:v>4.8165541532139707E-2</c:v>
                </c:pt>
                <c:pt idx="9">
                  <c:v>7.1328932798366334E-3</c:v>
                </c:pt>
                <c:pt idx="10">
                  <c:v>0.11026660890796676</c:v>
                </c:pt>
                <c:pt idx="11">
                  <c:v>4.6213355048859824E-2</c:v>
                </c:pt>
                <c:pt idx="12">
                  <c:v>3.8727567372906786E-2</c:v>
                </c:pt>
              </c:numCache>
            </c:numRef>
          </c:val>
        </c:ser>
        <c:ser>
          <c:idx val="8"/>
          <c:order val="8"/>
          <c:tx>
            <c:strRef>
              <c:f>Monthly!$Q$33</c:f>
              <c:strCache>
                <c:ptCount val="1"/>
                <c:pt idx="0">
                  <c:v>EQUIPMENT OH</c:v>
                </c:pt>
              </c:strCache>
            </c:strRef>
          </c:tx>
          <c:spPr>
            <a:solidFill>
              <a:srgbClr val="000080"/>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Monthly!$R$33:$AD$33</c:f>
              <c:numCache>
                <c:formatCode>0.0%</c:formatCode>
                <c:ptCount val="13"/>
                <c:pt idx="0">
                  <c:v>0.18886533842023526</c:v>
                </c:pt>
                <c:pt idx="1">
                  <c:v>0.12378296511767675</c:v>
                </c:pt>
                <c:pt idx="2">
                  <c:v>0.11277636054421769</c:v>
                </c:pt>
                <c:pt idx="3">
                  <c:v>0.18513917644352426</c:v>
                </c:pt>
                <c:pt idx="4">
                  <c:v>0.11989019216371352</c:v>
                </c:pt>
                <c:pt idx="5">
                  <c:v>5.5622330767460287E-2</c:v>
                </c:pt>
                <c:pt idx="6">
                  <c:v>3.7122252083293082E-2</c:v>
                </c:pt>
                <c:pt idx="7">
                  <c:v>4.2923668758858072E-2</c:v>
                </c:pt>
                <c:pt idx="8">
                  <c:v>3.8567654828294683E-2</c:v>
                </c:pt>
                <c:pt idx="9">
                  <c:v>0.11759207328472612</c:v>
                </c:pt>
                <c:pt idx="10">
                  <c:v>0.14429173394242575</c:v>
                </c:pt>
                <c:pt idx="11">
                  <c:v>0.16929967426710096</c:v>
                </c:pt>
                <c:pt idx="12">
                  <c:v>0.10388812196146689</c:v>
                </c:pt>
              </c:numCache>
            </c:numRef>
          </c:val>
        </c:ser>
        <c:ser>
          <c:idx val="9"/>
          <c:order val="9"/>
          <c:tx>
            <c:strRef>
              <c:f>Monthly!$Q$34</c:f>
              <c:strCache>
                <c:ptCount val="1"/>
                <c:pt idx="0">
                  <c:v>EQUIPMENT UG</c:v>
                </c:pt>
              </c:strCache>
            </c:strRef>
          </c:tx>
          <c:spPr>
            <a:solidFill>
              <a:srgbClr val="FF00FF"/>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Monthly!$R$34:$AD$34</c:f>
              <c:numCache>
                <c:formatCode>0.0%</c:formatCode>
                <c:ptCount val="13"/>
                <c:pt idx="0">
                  <c:v>1.9499788045782183E-3</c:v>
                </c:pt>
                <c:pt idx="1">
                  <c:v>1.5554006298531165E-2</c:v>
                </c:pt>
                <c:pt idx="2">
                  <c:v>4.889455782312941E-3</c:v>
                </c:pt>
                <c:pt idx="3">
                  <c:v>6.4412238325282055E-3</c:v>
                </c:pt>
                <c:pt idx="4">
                  <c:v>8.285500374344933E-3</c:v>
                </c:pt>
                <c:pt idx="5">
                  <c:v>2.0203053474158049E-3</c:v>
                </c:pt>
                <c:pt idx="6">
                  <c:v>7.7531370236461131E-3</c:v>
                </c:pt>
                <c:pt idx="7">
                  <c:v>1.3710120614352301E-2</c:v>
                </c:pt>
                <c:pt idx="8">
                  <c:v>6.5658937481655411E-2</c:v>
                </c:pt>
                <c:pt idx="9">
                  <c:v>1.1504666580381667E-3</c:v>
                </c:pt>
                <c:pt idx="10">
                  <c:v>1.6933800653723507E-3</c:v>
                </c:pt>
                <c:pt idx="11">
                  <c:v>1.0179153094462571E-3</c:v>
                </c:pt>
                <c:pt idx="12">
                  <c:v>1.0690834883860521E-2</c:v>
                </c:pt>
              </c:numCache>
            </c:numRef>
          </c:val>
        </c:ser>
        <c:ser>
          <c:idx val="10"/>
          <c:order val="10"/>
          <c:tx>
            <c:strRef>
              <c:f>Monthly!$Q$35</c:f>
              <c:strCache>
                <c:ptCount val="1"/>
                <c:pt idx="0">
                  <c:v>EQUIPMENT SUB</c:v>
                </c:pt>
              </c:strCache>
            </c:strRef>
          </c:tx>
          <c:spPr>
            <a:solidFill>
              <a:srgbClr val="FFFF00"/>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Monthly!$R$35:$AD$35</c:f>
              <c:numCache>
                <c:formatCode>0.0%</c:formatCode>
                <c:ptCount val="13"/>
                <c:pt idx="0">
                  <c:v>0</c:v>
                </c:pt>
                <c:pt idx="1">
                  <c:v>0</c:v>
                </c:pt>
                <c:pt idx="2">
                  <c:v>0</c:v>
                </c:pt>
                <c:pt idx="3">
                  <c:v>0</c:v>
                </c:pt>
                <c:pt idx="4">
                  <c:v>4.9912652857499709E-5</c:v>
                </c:pt>
                <c:pt idx="5">
                  <c:v>0</c:v>
                </c:pt>
                <c:pt idx="6">
                  <c:v>0</c:v>
                </c:pt>
                <c:pt idx="7">
                  <c:v>0.15205507187689854</c:v>
                </c:pt>
                <c:pt idx="8">
                  <c:v>9.5362488993249492E-2</c:v>
                </c:pt>
                <c:pt idx="9">
                  <c:v>2.1786962336597781E-2</c:v>
                </c:pt>
                <c:pt idx="10">
                  <c:v>0.1441342102154137</c:v>
                </c:pt>
                <c:pt idx="11">
                  <c:v>0</c:v>
                </c:pt>
                <c:pt idx="12">
                  <c:v>3.2847968309225269E-2</c:v>
                </c:pt>
              </c:numCache>
            </c:numRef>
          </c:val>
        </c:ser>
        <c:ser>
          <c:idx val="11"/>
          <c:order val="11"/>
          <c:tx>
            <c:strRef>
              <c:f>Monthly!$Q$36</c:f>
              <c:strCache>
                <c:ptCount val="1"/>
                <c:pt idx="0">
                  <c:v>PLANNED</c:v>
                </c:pt>
              </c:strCache>
            </c:strRef>
          </c:tx>
          <c:spPr>
            <a:solidFill>
              <a:srgbClr val="00FFFF"/>
            </a:solidFill>
            <a:ln w="12700">
              <a:solidFill>
                <a:srgbClr val="000000"/>
              </a:solidFill>
              <a:prstDash val="solid"/>
            </a:ln>
          </c:spPr>
          <c:cat>
            <c:strRef>
              <c:f>Monthly!$R$24:$AD$24</c:f>
              <c:strCache>
                <c:ptCount val="13"/>
                <c:pt idx="0">
                  <c:v>Jan</c:v>
                </c:pt>
                <c:pt idx="1">
                  <c:v>Feb</c:v>
                </c:pt>
                <c:pt idx="2">
                  <c:v>Mar</c:v>
                </c:pt>
                <c:pt idx="3">
                  <c:v>Apr</c:v>
                </c:pt>
                <c:pt idx="4">
                  <c:v>May</c:v>
                </c:pt>
                <c:pt idx="5">
                  <c:v>June</c:v>
                </c:pt>
                <c:pt idx="6">
                  <c:v>July</c:v>
                </c:pt>
                <c:pt idx="7">
                  <c:v>Aug</c:v>
                </c:pt>
                <c:pt idx="8">
                  <c:v>Sept</c:v>
                </c:pt>
                <c:pt idx="9">
                  <c:v>Oct</c:v>
                </c:pt>
                <c:pt idx="10">
                  <c:v>Nov</c:v>
                </c:pt>
                <c:pt idx="11">
                  <c:v>Dec</c:v>
                </c:pt>
                <c:pt idx="12">
                  <c:v>Yearly</c:v>
                </c:pt>
              </c:strCache>
            </c:strRef>
          </c:cat>
          <c:val>
            <c:numRef>
              <c:f>Monthly!$R$36:$AD$36</c:f>
              <c:numCache>
                <c:formatCode>0.0%</c:formatCode>
                <c:ptCount val="13"/>
                <c:pt idx="0">
                  <c:v>0.11205312985728416</c:v>
                </c:pt>
                <c:pt idx="1">
                  <c:v>8.7866913479337463E-2</c:v>
                </c:pt>
                <c:pt idx="2">
                  <c:v>0.1713435374149663</c:v>
                </c:pt>
                <c:pt idx="3">
                  <c:v>5.5670577409707843E-2</c:v>
                </c:pt>
                <c:pt idx="4">
                  <c:v>0.1865734963813333</c:v>
                </c:pt>
                <c:pt idx="5">
                  <c:v>0.11160269033066517</c:v>
                </c:pt>
                <c:pt idx="6">
                  <c:v>4.8104251657933923E-2</c:v>
                </c:pt>
                <c:pt idx="7">
                  <c:v>5.4985103982876822E-2</c:v>
                </c:pt>
                <c:pt idx="8">
                  <c:v>0.16096272380393309</c:v>
                </c:pt>
                <c:pt idx="9">
                  <c:v>8.5048247695471493E-2</c:v>
                </c:pt>
                <c:pt idx="10">
                  <c:v>9.9791281061709924E-2</c:v>
                </c:pt>
                <c:pt idx="11">
                  <c:v>6.3965798045602623E-2</c:v>
                </c:pt>
                <c:pt idx="12">
                  <c:v>9.6147890282696449E-2</c:v>
                </c:pt>
              </c:numCache>
            </c:numRef>
          </c:val>
        </c:ser>
        <c:shape val="box"/>
        <c:axId val="47072000"/>
        <c:axId val="47073536"/>
        <c:axId val="47050240"/>
      </c:bar3DChart>
      <c:catAx>
        <c:axId val="47072000"/>
        <c:scaling>
          <c:orientation val="minMax"/>
        </c:scaling>
        <c:axPos val="b"/>
        <c:numFmt formatCode="General" sourceLinked="1"/>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7073536"/>
        <c:crosses val="autoZero"/>
        <c:auto val="1"/>
        <c:lblAlgn val="ctr"/>
        <c:lblOffset val="100"/>
        <c:tickLblSkip val="1"/>
        <c:tickMarkSkip val="1"/>
        <c:noMultiLvlLbl val="1"/>
      </c:catAx>
      <c:valAx>
        <c:axId val="47073536"/>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7072000"/>
        <c:crosses val="autoZero"/>
        <c:crossBetween val="between"/>
        <c:majorUnit val="0.2"/>
      </c:valAx>
      <c:serAx>
        <c:axId val="47050240"/>
        <c:scaling>
          <c:orientation val="maxMin"/>
        </c:scaling>
        <c:axPos val="b"/>
        <c:title>
          <c:tx>
            <c:rich>
              <a:bodyPr/>
              <a:lstStyle/>
              <a:p>
                <a:pPr>
                  <a:defRPr sz="1450" b="1" i="0" u="none" strike="noStrike" baseline="0">
                    <a:solidFill>
                      <a:srgbClr val="000000"/>
                    </a:solidFill>
                    <a:latin typeface="Arial"/>
                    <a:ea typeface="Arial"/>
                    <a:cs typeface="Arial"/>
                  </a:defRPr>
                </a:pPr>
                <a:r>
                  <a:rPr lang="en-US"/>
                  <a:t>% SAIFI</a:t>
                </a:r>
              </a:p>
            </c:rich>
          </c:tx>
          <c:layout>
            <c:manualLayout>
              <c:xMode val="edge"/>
              <c:yMode val="edge"/>
              <c:x val="4.8000201897840022E-3"/>
              <c:y val="0.55979636166168889"/>
            </c:manualLayout>
          </c:layout>
          <c:spPr>
            <a:noFill/>
            <a:ln w="25400">
              <a:noFill/>
            </a:ln>
          </c:spPr>
        </c:title>
        <c:numFmt formatCode="General" sourceLinked="1"/>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7073536"/>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3117408906882588"/>
          <c:y val="0.10752166582862591"/>
          <c:w val="0.53522267206478091"/>
          <c:h val="0.81322724718270278"/>
        </c:manualLayout>
      </c:layout>
      <c:bar3DChart>
        <c:barDir val="col"/>
        <c:grouping val="standard"/>
        <c:ser>
          <c:idx val="0"/>
          <c:order val="0"/>
          <c:tx>
            <c:strRef>
              <c:f>Monthly!$AH$22</c:f>
              <c:strCache>
                <c:ptCount val="1"/>
                <c:pt idx="0">
                  <c:v>ANIMAL</c:v>
                </c:pt>
              </c:strCache>
            </c:strRef>
          </c:tx>
          <c:spPr>
            <a:solidFill>
              <a:srgbClr val="9999FF"/>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Monthly!$AI$22:$AU$22</c:f>
              <c:numCache>
                <c:formatCode>0.0%</c:formatCode>
                <c:ptCount val="13"/>
                <c:pt idx="0">
                  <c:v>2.0035264775553709E-3</c:v>
                </c:pt>
                <c:pt idx="1">
                  <c:v>4.7524347430941824E-3</c:v>
                </c:pt>
                <c:pt idx="2">
                  <c:v>2.6503176641585642E-2</c:v>
                </c:pt>
                <c:pt idx="3">
                  <c:v>6.3003116166652898E-2</c:v>
                </c:pt>
                <c:pt idx="4">
                  <c:v>5.7206589310674683E-2</c:v>
                </c:pt>
                <c:pt idx="5">
                  <c:v>0.17973587823543621</c:v>
                </c:pt>
                <c:pt idx="6">
                  <c:v>1.3827839463451685E-2</c:v>
                </c:pt>
                <c:pt idx="7">
                  <c:v>1.980152602615258E-2</c:v>
                </c:pt>
                <c:pt idx="8">
                  <c:v>2.0782046712683491E-2</c:v>
                </c:pt>
                <c:pt idx="9">
                  <c:v>7.4916822202077864E-3</c:v>
                </c:pt>
                <c:pt idx="10">
                  <c:v>9.8698810194432038E-2</c:v>
                </c:pt>
                <c:pt idx="11">
                  <c:v>1.0694851993976085E-2</c:v>
                </c:pt>
                <c:pt idx="12">
                  <c:v>3.2692250547204656E-2</c:v>
                </c:pt>
              </c:numCache>
            </c:numRef>
          </c:val>
        </c:ser>
        <c:ser>
          <c:idx val="1"/>
          <c:order val="1"/>
          <c:tx>
            <c:strRef>
              <c:f>Monthly!$AH$23</c:f>
              <c:strCache>
                <c:ptCount val="1"/>
                <c:pt idx="0">
                  <c:v>MISCELLANEOUS</c:v>
                </c:pt>
              </c:strCache>
            </c:strRef>
          </c:tx>
          <c:spPr>
            <a:solidFill>
              <a:srgbClr val="993366"/>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Monthly!$AI$23:$AU$23</c:f>
              <c:numCache>
                <c:formatCode>0.0%</c:formatCode>
                <c:ptCount val="13"/>
                <c:pt idx="0">
                  <c:v>2.5525179804724142E-4</c:v>
                </c:pt>
                <c:pt idx="1">
                  <c:v>2.2498953204280951E-3</c:v>
                </c:pt>
                <c:pt idx="2">
                  <c:v>0</c:v>
                </c:pt>
                <c:pt idx="3">
                  <c:v>0</c:v>
                </c:pt>
                <c:pt idx="4">
                  <c:v>0</c:v>
                </c:pt>
                <c:pt idx="5">
                  <c:v>0</c:v>
                </c:pt>
                <c:pt idx="6">
                  <c:v>0</c:v>
                </c:pt>
                <c:pt idx="7">
                  <c:v>0</c:v>
                </c:pt>
                <c:pt idx="8">
                  <c:v>0</c:v>
                </c:pt>
                <c:pt idx="9">
                  <c:v>1.2193719357249514E-3</c:v>
                </c:pt>
                <c:pt idx="10">
                  <c:v>0</c:v>
                </c:pt>
                <c:pt idx="11">
                  <c:v>0</c:v>
                </c:pt>
                <c:pt idx="12">
                  <c:v>4.4048828952728989E-4</c:v>
                </c:pt>
              </c:numCache>
            </c:numRef>
          </c:val>
        </c:ser>
        <c:ser>
          <c:idx val="2"/>
          <c:order val="2"/>
          <c:tx>
            <c:strRef>
              <c:f>Monthly!$AH$24</c:f>
              <c:strCache>
                <c:ptCount val="1"/>
                <c:pt idx="0">
                  <c:v>POLE FIRE</c:v>
                </c:pt>
              </c:strCache>
            </c:strRef>
          </c:tx>
          <c:spPr>
            <a:solidFill>
              <a:srgbClr val="FFFFCC"/>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Monthly!$AI$24:$AU$24</c:f>
              <c:numCache>
                <c:formatCode>0.0%</c:formatCode>
                <c:ptCount val="13"/>
                <c:pt idx="0">
                  <c:v>9.2678879628732742E-4</c:v>
                </c:pt>
                <c:pt idx="1">
                  <c:v>2.5096679699491472E-3</c:v>
                </c:pt>
                <c:pt idx="2">
                  <c:v>1.1145214126277557E-2</c:v>
                </c:pt>
                <c:pt idx="3">
                  <c:v>1.3740307724012588E-2</c:v>
                </c:pt>
                <c:pt idx="4">
                  <c:v>6.8618232706655041E-2</c:v>
                </c:pt>
                <c:pt idx="5">
                  <c:v>2.6044719657781001E-2</c:v>
                </c:pt>
                <c:pt idx="6">
                  <c:v>4.3159772524825495E-2</c:v>
                </c:pt>
                <c:pt idx="7">
                  <c:v>0.13210559762053267</c:v>
                </c:pt>
                <c:pt idx="8">
                  <c:v>0</c:v>
                </c:pt>
                <c:pt idx="9">
                  <c:v>0.15389288398577591</c:v>
                </c:pt>
                <c:pt idx="10">
                  <c:v>6.4215215828366923E-2</c:v>
                </c:pt>
                <c:pt idx="11">
                  <c:v>4.3532253235512063E-4</c:v>
                </c:pt>
                <c:pt idx="12">
                  <c:v>5.2379734116808796E-2</c:v>
                </c:pt>
              </c:numCache>
            </c:numRef>
          </c:val>
        </c:ser>
        <c:ser>
          <c:idx val="3"/>
          <c:order val="3"/>
          <c:tx>
            <c:strRef>
              <c:f>Monthly!$AH$25</c:f>
              <c:strCache>
                <c:ptCount val="1"/>
                <c:pt idx="0">
                  <c:v>WEATHER</c:v>
                </c:pt>
              </c:strCache>
            </c:strRef>
          </c:tx>
          <c:spPr>
            <a:solidFill>
              <a:srgbClr val="CCFFFF"/>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Monthly!$AI$25:$AU$25</c:f>
              <c:numCache>
                <c:formatCode>0.0%</c:formatCode>
                <c:ptCount val="13"/>
                <c:pt idx="0">
                  <c:v>0.1341330648252739</c:v>
                </c:pt>
                <c:pt idx="1">
                  <c:v>0.62252302463115083</c:v>
                </c:pt>
                <c:pt idx="2">
                  <c:v>0.21448910191674234</c:v>
                </c:pt>
                <c:pt idx="3">
                  <c:v>0.16410219767234091</c:v>
                </c:pt>
                <c:pt idx="4">
                  <c:v>0.20883873959623298</c:v>
                </c:pt>
                <c:pt idx="5">
                  <c:v>0.11674341455024001</c:v>
                </c:pt>
                <c:pt idx="6">
                  <c:v>0.62178934421710064</c:v>
                </c:pt>
                <c:pt idx="7">
                  <c:v>0.25829326406855579</c:v>
                </c:pt>
                <c:pt idx="8">
                  <c:v>0.22857954896258187</c:v>
                </c:pt>
                <c:pt idx="9">
                  <c:v>0.33668108028277016</c:v>
                </c:pt>
                <c:pt idx="10">
                  <c:v>5.4099851088635922E-2</c:v>
                </c:pt>
                <c:pt idx="11">
                  <c:v>0.71423991858445279</c:v>
                </c:pt>
                <c:pt idx="12">
                  <c:v>0.37086182493341313</c:v>
                </c:pt>
              </c:numCache>
            </c:numRef>
          </c:val>
        </c:ser>
        <c:ser>
          <c:idx val="4"/>
          <c:order val="4"/>
          <c:tx>
            <c:strRef>
              <c:f>Monthly!$AH$26</c:f>
              <c:strCache>
                <c:ptCount val="1"/>
                <c:pt idx="0">
                  <c:v>UNDETERMINED</c:v>
                </c:pt>
              </c:strCache>
            </c:strRef>
          </c:tx>
          <c:spPr>
            <a:solidFill>
              <a:srgbClr val="660066"/>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Monthly!$AI$26:$AU$26</c:f>
              <c:numCache>
                <c:formatCode>0.0%</c:formatCode>
                <c:ptCount val="13"/>
                <c:pt idx="0">
                  <c:v>6.2279899207253776E-2</c:v>
                </c:pt>
                <c:pt idx="1">
                  <c:v>1.3734823646065115E-2</c:v>
                </c:pt>
                <c:pt idx="2">
                  <c:v>4.4051355672419391E-2</c:v>
                </c:pt>
                <c:pt idx="3">
                  <c:v>0.11467225458603179</c:v>
                </c:pt>
                <c:pt idx="4">
                  <c:v>0.11570811308246705</c:v>
                </c:pt>
                <c:pt idx="5">
                  <c:v>5.5477535859688842E-2</c:v>
                </c:pt>
                <c:pt idx="6">
                  <c:v>2.6720847344776019E-2</c:v>
                </c:pt>
                <c:pt idx="7">
                  <c:v>0.23148376314601571</c:v>
                </c:pt>
                <c:pt idx="8">
                  <c:v>0.12512613907919223</c:v>
                </c:pt>
                <c:pt idx="9">
                  <c:v>9.4545910354984428E-2</c:v>
                </c:pt>
                <c:pt idx="10">
                  <c:v>0.18373662108874889</c:v>
                </c:pt>
                <c:pt idx="11">
                  <c:v>5.7389696434540415E-2</c:v>
                </c:pt>
                <c:pt idx="12">
                  <c:v>8.4438113129384582E-2</c:v>
                </c:pt>
              </c:numCache>
            </c:numRef>
          </c:val>
        </c:ser>
        <c:ser>
          <c:idx val="5"/>
          <c:order val="5"/>
          <c:tx>
            <c:strRef>
              <c:f>Monthly!$AH$27</c:f>
              <c:strCache>
                <c:ptCount val="1"/>
                <c:pt idx="0">
                  <c:v>TREE</c:v>
                </c:pt>
              </c:strCache>
            </c:strRef>
          </c:tx>
          <c:spPr>
            <a:solidFill>
              <a:srgbClr val="FF8080"/>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Monthly!$AI$27:$AU$27</c:f>
              <c:numCache>
                <c:formatCode>0.0%</c:formatCode>
                <c:ptCount val="13"/>
                <c:pt idx="0">
                  <c:v>9.3007412401370226E-2</c:v>
                </c:pt>
                <c:pt idx="1">
                  <c:v>0.13656927843383743</c:v>
                </c:pt>
                <c:pt idx="2">
                  <c:v>0.18019346615573228</c:v>
                </c:pt>
                <c:pt idx="3">
                  <c:v>9.1151963520283291E-2</c:v>
                </c:pt>
                <c:pt idx="4">
                  <c:v>9.1356314702531444E-2</c:v>
                </c:pt>
                <c:pt idx="5">
                  <c:v>0.10338835889105696</c:v>
                </c:pt>
                <c:pt idx="6">
                  <c:v>0.120202576112385</c:v>
                </c:pt>
                <c:pt idx="7">
                  <c:v>6.7412197983121397E-2</c:v>
                </c:pt>
                <c:pt idx="8">
                  <c:v>0.14850162988196344</c:v>
                </c:pt>
                <c:pt idx="9">
                  <c:v>8.4333108568700896E-2</c:v>
                </c:pt>
                <c:pt idx="10">
                  <c:v>0.10278569776956628</c:v>
                </c:pt>
                <c:pt idx="11">
                  <c:v>4.3068925137337594E-2</c:v>
                </c:pt>
                <c:pt idx="12">
                  <c:v>0.10233102774674589</c:v>
                </c:pt>
              </c:numCache>
            </c:numRef>
          </c:val>
        </c:ser>
        <c:ser>
          <c:idx val="6"/>
          <c:order val="6"/>
          <c:tx>
            <c:strRef>
              <c:f>Monthly!$AH$28</c:f>
              <c:strCache>
                <c:ptCount val="1"/>
                <c:pt idx="0">
                  <c:v>PUBLIC</c:v>
                </c:pt>
              </c:strCache>
            </c:strRef>
          </c:tx>
          <c:spPr>
            <a:solidFill>
              <a:srgbClr val="0066CC"/>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Monthly!$AI$28:$AU$28</c:f>
              <c:numCache>
                <c:formatCode>0.0%</c:formatCode>
                <c:ptCount val="13"/>
                <c:pt idx="0">
                  <c:v>0.29164152893179029</c:v>
                </c:pt>
                <c:pt idx="1">
                  <c:v>6.9390117905962596E-3</c:v>
                </c:pt>
                <c:pt idx="2">
                  <c:v>0.30320009211401355</c:v>
                </c:pt>
                <c:pt idx="3">
                  <c:v>0.15884905870995394</c:v>
                </c:pt>
                <c:pt idx="4">
                  <c:v>5.6814201150278319E-2</c:v>
                </c:pt>
                <c:pt idx="5">
                  <c:v>0.2994778041379425</c:v>
                </c:pt>
                <c:pt idx="6">
                  <c:v>6.3016705191240821E-2</c:v>
                </c:pt>
                <c:pt idx="7">
                  <c:v>4.9428112714985477E-2</c:v>
                </c:pt>
                <c:pt idx="8">
                  <c:v>0.150317628869922</c:v>
                </c:pt>
                <c:pt idx="9">
                  <c:v>0.10576032770013415</c:v>
                </c:pt>
                <c:pt idx="10">
                  <c:v>5.0214521485069968E-2</c:v>
                </c:pt>
                <c:pt idx="11">
                  <c:v>6.0589714331099116E-2</c:v>
                </c:pt>
                <c:pt idx="12">
                  <c:v>0.11526964657345527</c:v>
                </c:pt>
              </c:numCache>
            </c:numRef>
          </c:val>
        </c:ser>
        <c:ser>
          <c:idx val="7"/>
          <c:order val="7"/>
          <c:tx>
            <c:strRef>
              <c:f>Monthly!$AH$29</c:f>
              <c:strCache>
                <c:ptCount val="1"/>
                <c:pt idx="0">
                  <c:v>COMPANY</c:v>
                </c:pt>
              </c:strCache>
            </c:strRef>
          </c:tx>
          <c:spPr>
            <a:solidFill>
              <a:srgbClr val="CCCCFF"/>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Monthly!$AI$29:$AU$29</c:f>
              <c:numCache>
                <c:formatCode>0.0%</c:formatCode>
                <c:ptCount val="13"/>
                <c:pt idx="0">
                  <c:v>6.9616925860652905E-4</c:v>
                </c:pt>
                <c:pt idx="1">
                  <c:v>1.0959302795088709E-2</c:v>
                </c:pt>
                <c:pt idx="2">
                  <c:v>4.6563436668603357E-4</c:v>
                </c:pt>
                <c:pt idx="3">
                  <c:v>0.16045672020290858</c:v>
                </c:pt>
                <c:pt idx="4">
                  <c:v>2.9130226095833493E-2</c:v>
                </c:pt>
                <c:pt idx="5">
                  <c:v>5.7816130617746311E-3</c:v>
                </c:pt>
                <c:pt idx="6">
                  <c:v>1.1831210941648527E-4</c:v>
                </c:pt>
                <c:pt idx="7">
                  <c:v>6.4219902033971286E-4</c:v>
                </c:pt>
                <c:pt idx="8">
                  <c:v>1.9632169185609151E-3</c:v>
                </c:pt>
                <c:pt idx="9">
                  <c:v>1.4837958163561313E-3</c:v>
                </c:pt>
                <c:pt idx="10">
                  <c:v>2.7364763230487567E-2</c:v>
                </c:pt>
                <c:pt idx="11">
                  <c:v>5.2565880700596824E-3</c:v>
                </c:pt>
                <c:pt idx="12">
                  <c:v>1.1673232445102167E-2</c:v>
                </c:pt>
              </c:numCache>
            </c:numRef>
          </c:val>
        </c:ser>
        <c:ser>
          <c:idx val="8"/>
          <c:order val="8"/>
          <c:tx>
            <c:strRef>
              <c:f>Monthly!$AH$30</c:f>
              <c:strCache>
                <c:ptCount val="1"/>
                <c:pt idx="0">
                  <c:v>EQUIPMENT OH</c:v>
                </c:pt>
              </c:strCache>
            </c:strRef>
          </c:tx>
          <c:spPr>
            <a:solidFill>
              <a:srgbClr val="000080"/>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Monthly!$AI$30:$AU$30</c:f>
              <c:numCache>
                <c:formatCode>0.0%</c:formatCode>
                <c:ptCount val="13"/>
                <c:pt idx="0">
                  <c:v>0.23641409219005297</c:v>
                </c:pt>
                <c:pt idx="1">
                  <c:v>0.11566884954199459</c:v>
                </c:pt>
                <c:pt idx="2">
                  <c:v>0.10104472080471955</c:v>
                </c:pt>
                <c:pt idx="3">
                  <c:v>0.15794397605855004</c:v>
                </c:pt>
                <c:pt idx="4">
                  <c:v>0.15903017938263891</c:v>
                </c:pt>
                <c:pt idx="5">
                  <c:v>7.2944195271892359E-2</c:v>
                </c:pt>
                <c:pt idx="6">
                  <c:v>4.8427915934085804E-2</c:v>
                </c:pt>
                <c:pt idx="7">
                  <c:v>8.6773592706161751E-2</c:v>
                </c:pt>
                <c:pt idx="8">
                  <c:v>6.2912793808790807E-2</c:v>
                </c:pt>
                <c:pt idx="9">
                  <c:v>0.1022820489063181</c:v>
                </c:pt>
                <c:pt idx="10">
                  <c:v>0.13711588594059021</c:v>
                </c:pt>
                <c:pt idx="11">
                  <c:v>7.9114209192664861E-2</c:v>
                </c:pt>
                <c:pt idx="12">
                  <c:v>0.10162500424401733</c:v>
                </c:pt>
              </c:numCache>
            </c:numRef>
          </c:val>
        </c:ser>
        <c:ser>
          <c:idx val="9"/>
          <c:order val="9"/>
          <c:tx>
            <c:strRef>
              <c:f>Monthly!$AH$31</c:f>
              <c:strCache>
                <c:ptCount val="1"/>
                <c:pt idx="0">
                  <c:v>EQUIPMENT UG</c:v>
                </c:pt>
              </c:strCache>
            </c:strRef>
          </c:tx>
          <c:spPr>
            <a:solidFill>
              <a:srgbClr val="FF00FF"/>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Monthly!$AI$31:$AU$31</c:f>
              <c:numCache>
                <c:formatCode>0.0%</c:formatCode>
                <c:ptCount val="13"/>
                <c:pt idx="0">
                  <c:v>2.8268597803036383E-3</c:v>
                </c:pt>
                <c:pt idx="1">
                  <c:v>2.227830369955467E-2</c:v>
                </c:pt>
                <c:pt idx="2">
                  <c:v>1.2195493939473298E-2</c:v>
                </c:pt>
                <c:pt idx="3">
                  <c:v>1.4812525019085095E-2</c:v>
                </c:pt>
                <c:pt idx="4">
                  <c:v>1.6497522135235761E-2</c:v>
                </c:pt>
                <c:pt idx="5">
                  <c:v>9.4714656079713296E-3</c:v>
                </c:pt>
                <c:pt idx="6">
                  <c:v>1.7389072245596403E-2</c:v>
                </c:pt>
                <c:pt idx="7">
                  <c:v>3.6442194053377397E-2</c:v>
                </c:pt>
                <c:pt idx="8">
                  <c:v>4.0935079844897929E-2</c:v>
                </c:pt>
                <c:pt idx="9">
                  <c:v>2.1389611049123297E-3</c:v>
                </c:pt>
                <c:pt idx="10">
                  <c:v>5.0278369144554375E-3</c:v>
                </c:pt>
                <c:pt idx="11">
                  <c:v>8.2079664948304552E-4</c:v>
                </c:pt>
                <c:pt idx="12">
                  <c:v>1.4150069104710165E-2</c:v>
                </c:pt>
              </c:numCache>
            </c:numRef>
          </c:val>
        </c:ser>
        <c:ser>
          <c:idx val="10"/>
          <c:order val="10"/>
          <c:tx>
            <c:strRef>
              <c:f>Monthly!$AH$32</c:f>
              <c:strCache>
                <c:ptCount val="1"/>
                <c:pt idx="0">
                  <c:v>EQUIPMENT SUB</c:v>
                </c:pt>
              </c:strCache>
            </c:strRef>
          </c:tx>
          <c:spPr>
            <a:solidFill>
              <a:srgbClr val="FFFF00"/>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Monthly!$AI$32:$AU$32</c:f>
              <c:numCache>
                <c:formatCode>0.0%</c:formatCode>
                <c:ptCount val="13"/>
                <c:pt idx="0">
                  <c:v>0</c:v>
                </c:pt>
                <c:pt idx="1">
                  <c:v>0</c:v>
                </c:pt>
                <c:pt idx="2">
                  <c:v>0</c:v>
                </c:pt>
                <c:pt idx="3">
                  <c:v>0</c:v>
                </c:pt>
                <c:pt idx="4">
                  <c:v>8.5204796084291322E-5</c:v>
                </c:pt>
                <c:pt idx="5">
                  <c:v>0</c:v>
                </c:pt>
                <c:pt idx="6">
                  <c:v>0</c:v>
                </c:pt>
                <c:pt idx="7">
                  <c:v>7.3891746515456769E-2</c:v>
                </c:pt>
                <c:pt idx="8">
                  <c:v>0.13032007542281718</c:v>
                </c:pt>
                <c:pt idx="9">
                  <c:v>4.302063584554581E-3</c:v>
                </c:pt>
                <c:pt idx="10">
                  <c:v>0.14342336407553821</c:v>
                </c:pt>
                <c:pt idx="11">
                  <c:v>0</c:v>
                </c:pt>
                <c:pt idx="12">
                  <c:v>2.5332008636978712E-2</c:v>
                </c:pt>
              </c:numCache>
            </c:numRef>
          </c:val>
        </c:ser>
        <c:ser>
          <c:idx val="11"/>
          <c:order val="11"/>
          <c:tx>
            <c:strRef>
              <c:f>Monthly!$AH$33</c:f>
              <c:strCache>
                <c:ptCount val="1"/>
                <c:pt idx="0">
                  <c:v>PLANNED</c:v>
                </c:pt>
              </c:strCache>
            </c:strRef>
          </c:tx>
          <c:spPr>
            <a:solidFill>
              <a:srgbClr val="00FFFF"/>
            </a:solidFill>
            <a:ln w="12700">
              <a:solidFill>
                <a:srgbClr val="000000"/>
              </a:solidFill>
              <a:prstDash val="solid"/>
            </a:ln>
          </c:spPr>
          <c:cat>
            <c:strRef>
              <c:f>Monthly!$AI$21:$AU$21</c:f>
              <c:strCache>
                <c:ptCount val="13"/>
                <c:pt idx="0">
                  <c:v>Jan</c:v>
                </c:pt>
                <c:pt idx="1">
                  <c:v>Feb</c:v>
                </c:pt>
                <c:pt idx="2">
                  <c:v>Mar</c:v>
                </c:pt>
                <c:pt idx="3">
                  <c:v>Apr</c:v>
                </c:pt>
                <c:pt idx="4">
                  <c:v>May</c:v>
                </c:pt>
                <c:pt idx="5">
                  <c:v>June</c:v>
                </c:pt>
                <c:pt idx="6">
                  <c:v>Jul</c:v>
                </c:pt>
                <c:pt idx="7">
                  <c:v>Aug</c:v>
                </c:pt>
                <c:pt idx="8">
                  <c:v>Sept</c:v>
                </c:pt>
                <c:pt idx="9">
                  <c:v>Oct</c:v>
                </c:pt>
                <c:pt idx="10">
                  <c:v>Nov</c:v>
                </c:pt>
                <c:pt idx="11">
                  <c:v>Dec</c:v>
                </c:pt>
                <c:pt idx="12">
                  <c:v>Yearly</c:v>
                </c:pt>
              </c:strCache>
            </c:strRef>
          </c:cat>
          <c:val>
            <c:numRef>
              <c:f>Monthly!$AI$33:$AU$33</c:f>
              <c:numCache>
                <c:formatCode>0.0%</c:formatCode>
                <c:ptCount val="13"/>
                <c:pt idx="0">
                  <c:v>0.17581540633345921</c:v>
                </c:pt>
                <c:pt idx="1">
                  <c:v>6.181540742824139E-2</c:v>
                </c:pt>
                <c:pt idx="2">
                  <c:v>0.106711744262352</c:v>
                </c:pt>
                <c:pt idx="3">
                  <c:v>6.1267880340181873E-2</c:v>
                </c:pt>
                <c:pt idx="4">
                  <c:v>0.19671467704136938</c:v>
                </c:pt>
                <c:pt idx="5">
                  <c:v>0.13093501472621771</c:v>
                </c:pt>
                <c:pt idx="6">
                  <c:v>4.5347614857122708E-2</c:v>
                </c:pt>
                <c:pt idx="7">
                  <c:v>4.3725806145301152E-2</c:v>
                </c:pt>
                <c:pt idx="8">
                  <c:v>9.0561840498591173E-2</c:v>
                </c:pt>
                <c:pt idx="9">
                  <c:v>0.10586876553956268</c:v>
                </c:pt>
                <c:pt idx="10">
                  <c:v>0.13331743238410959</c:v>
                </c:pt>
                <c:pt idx="11">
                  <c:v>2.8389977074032891E-2</c:v>
                </c:pt>
                <c:pt idx="12">
                  <c:v>8.880660023265359E-2</c:v>
                </c:pt>
              </c:numCache>
            </c:numRef>
          </c:val>
        </c:ser>
        <c:shape val="box"/>
        <c:axId val="48128384"/>
        <c:axId val="48129920"/>
        <c:axId val="48117952"/>
      </c:bar3DChart>
      <c:catAx>
        <c:axId val="48128384"/>
        <c:scaling>
          <c:orientation val="minMax"/>
        </c:scaling>
        <c:axPos val="b"/>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29920"/>
        <c:crosses val="autoZero"/>
        <c:auto val="1"/>
        <c:lblAlgn val="ctr"/>
        <c:lblOffset val="100"/>
        <c:tickLblSkip val="1"/>
        <c:tickMarkSkip val="1"/>
        <c:noMultiLvlLbl val="1"/>
      </c:catAx>
      <c:valAx>
        <c:axId val="48129920"/>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48128384"/>
        <c:crosses val="autoZero"/>
        <c:crossBetween val="between"/>
        <c:majorUnit val="0.2"/>
      </c:valAx>
      <c:serAx>
        <c:axId val="48117952"/>
        <c:scaling>
          <c:orientation val="maxMin"/>
        </c:scaling>
        <c:axPos val="b"/>
        <c:title>
          <c:tx>
            <c:rich>
              <a:bodyPr/>
              <a:lstStyle/>
              <a:p>
                <a:pPr>
                  <a:defRPr sz="1575" b="1" i="0" u="none" strike="noStrike" baseline="0">
                    <a:solidFill>
                      <a:srgbClr val="000000"/>
                    </a:solidFill>
                    <a:latin typeface="Arial"/>
                    <a:ea typeface="Arial"/>
                    <a:cs typeface="Arial"/>
                  </a:defRPr>
                </a:pPr>
                <a:r>
                  <a:rPr lang="en-US"/>
                  <a:t>% SAIDI</a:t>
                </a:r>
              </a:p>
            </c:rich>
          </c:tx>
          <c:layout>
            <c:manualLayout>
              <c:xMode val="edge"/>
              <c:yMode val="edge"/>
              <c:x val="4.0485936824807217E-3"/>
              <c:y val="0.56486739469578784"/>
            </c:manualLayout>
          </c:layout>
          <c:spPr>
            <a:noFill/>
            <a:ln w="25400">
              <a:noFill/>
            </a:ln>
          </c:spPr>
        </c:title>
        <c:numFmt formatCode="General" sourceLinked="1"/>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129920"/>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5970946184918494"/>
          <c:y val="4.8365512282929853E-2"/>
          <c:w val="0.65276610636436405"/>
          <c:h val="0.89818746629274049"/>
        </c:manualLayout>
      </c:layout>
      <c:bar3DChart>
        <c:barDir val="col"/>
        <c:grouping val="standard"/>
        <c:ser>
          <c:idx val="2"/>
          <c:order val="0"/>
          <c:tx>
            <c:strRef>
              <c:f>Office!$AS$27</c:f>
              <c:strCache>
                <c:ptCount val="1"/>
                <c:pt idx="0">
                  <c:v>ANIMAL</c:v>
                </c:pt>
              </c:strCache>
            </c:strRef>
          </c:tx>
          <c:spPr>
            <a:solidFill>
              <a:srgbClr val="FFFFCC"/>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Office!$AT$27:$BE$27</c:f>
              <c:numCache>
                <c:formatCode>0.0%</c:formatCode>
                <c:ptCount val="12"/>
                <c:pt idx="0">
                  <c:v>1.1192440261802421E-2</c:v>
                </c:pt>
                <c:pt idx="1">
                  <c:v>0</c:v>
                </c:pt>
                <c:pt idx="2">
                  <c:v>5.260942760942781E-5</c:v>
                </c:pt>
                <c:pt idx="3">
                  <c:v>1.8116538752923389E-4</c:v>
                </c:pt>
                <c:pt idx="4">
                  <c:v>1.2899607403252945E-3</c:v>
                </c:pt>
                <c:pt idx="5">
                  <c:v>2.3855413651672281E-2</c:v>
                </c:pt>
                <c:pt idx="6">
                  <c:v>0</c:v>
                </c:pt>
                <c:pt idx="7">
                  <c:v>1.2514142695512076E-2</c:v>
                </c:pt>
                <c:pt idx="8">
                  <c:v>0</c:v>
                </c:pt>
                <c:pt idx="9">
                  <c:v>6.8941041440135414E-3</c:v>
                </c:pt>
                <c:pt idx="10">
                  <c:v>0</c:v>
                </c:pt>
                <c:pt idx="11">
                  <c:v>9.0838324861147752E-3</c:v>
                </c:pt>
              </c:numCache>
            </c:numRef>
          </c:val>
        </c:ser>
        <c:ser>
          <c:idx val="3"/>
          <c:order val="1"/>
          <c:tx>
            <c:strRef>
              <c:f>Office!$AS$28</c:f>
              <c:strCache>
                <c:ptCount val="1"/>
                <c:pt idx="0">
                  <c:v>POLE FIRE</c:v>
                </c:pt>
              </c:strCache>
            </c:strRef>
          </c:tx>
          <c:spPr>
            <a:solidFill>
              <a:srgbClr val="CCFFFF"/>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Office!$AT$28:$BE$28</c:f>
              <c:numCache>
                <c:formatCode>0.0%</c:formatCode>
                <c:ptCount val="12"/>
                <c:pt idx="0">
                  <c:v>0</c:v>
                </c:pt>
                <c:pt idx="1">
                  <c:v>0</c:v>
                </c:pt>
                <c:pt idx="2">
                  <c:v>0</c:v>
                </c:pt>
                <c:pt idx="3">
                  <c:v>0</c:v>
                </c:pt>
                <c:pt idx="4">
                  <c:v>0</c:v>
                </c:pt>
                <c:pt idx="5">
                  <c:v>5.4886791823668991E-3</c:v>
                </c:pt>
                <c:pt idx="6">
                  <c:v>0</c:v>
                </c:pt>
                <c:pt idx="7">
                  <c:v>0</c:v>
                </c:pt>
                <c:pt idx="8">
                  <c:v>0</c:v>
                </c:pt>
                <c:pt idx="9">
                  <c:v>0</c:v>
                </c:pt>
                <c:pt idx="10">
                  <c:v>0</c:v>
                </c:pt>
                <c:pt idx="11">
                  <c:v>9.0104786502018328E-4</c:v>
                </c:pt>
              </c:numCache>
            </c:numRef>
          </c:val>
        </c:ser>
        <c:ser>
          <c:idx val="4"/>
          <c:order val="2"/>
          <c:tx>
            <c:strRef>
              <c:f>Office!$AS$29</c:f>
              <c:strCache>
                <c:ptCount val="1"/>
                <c:pt idx="0">
                  <c:v>WEATHER</c:v>
                </c:pt>
              </c:strCache>
            </c:strRef>
          </c:tx>
          <c:spPr>
            <a:solidFill>
              <a:srgbClr val="660066"/>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Office!$AT$29:$BE$29</c:f>
              <c:numCache>
                <c:formatCode>0.0%</c:formatCode>
                <c:ptCount val="12"/>
                <c:pt idx="0">
                  <c:v>0.32333178420665454</c:v>
                </c:pt>
                <c:pt idx="1">
                  <c:v>0.43448012333153341</c:v>
                </c:pt>
                <c:pt idx="2">
                  <c:v>0.19970538720538741</c:v>
                </c:pt>
                <c:pt idx="3">
                  <c:v>0.35594057775289173</c:v>
                </c:pt>
                <c:pt idx="4">
                  <c:v>0.31654514862591127</c:v>
                </c:pt>
                <c:pt idx="5">
                  <c:v>0.27690153056120576</c:v>
                </c:pt>
                <c:pt idx="6">
                  <c:v>0.32243800936362177</c:v>
                </c:pt>
                <c:pt idx="7">
                  <c:v>0.25568279219666135</c:v>
                </c:pt>
                <c:pt idx="8">
                  <c:v>0.34703876136855888</c:v>
                </c:pt>
                <c:pt idx="9">
                  <c:v>0.30825631267367432</c:v>
                </c:pt>
                <c:pt idx="10">
                  <c:v>0</c:v>
                </c:pt>
                <c:pt idx="11">
                  <c:v>0.33292678520792718</c:v>
                </c:pt>
              </c:numCache>
            </c:numRef>
          </c:val>
        </c:ser>
        <c:ser>
          <c:idx val="5"/>
          <c:order val="3"/>
          <c:tx>
            <c:strRef>
              <c:f>Office!$AS$30</c:f>
              <c:strCache>
                <c:ptCount val="1"/>
                <c:pt idx="0">
                  <c:v>TREE</c:v>
                </c:pt>
              </c:strCache>
            </c:strRef>
          </c:tx>
          <c:spPr>
            <a:solidFill>
              <a:srgbClr val="FF8080"/>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Office!$AT$30:$BE$30</c:f>
              <c:numCache>
                <c:formatCode>0.0%</c:formatCode>
                <c:ptCount val="12"/>
                <c:pt idx="0">
                  <c:v>0</c:v>
                </c:pt>
                <c:pt idx="1">
                  <c:v>3.9081338199834052E-2</c:v>
                </c:pt>
                <c:pt idx="2">
                  <c:v>8.3438552188552548E-2</c:v>
                </c:pt>
                <c:pt idx="3">
                  <c:v>6.5219539510524074E-3</c:v>
                </c:pt>
                <c:pt idx="4">
                  <c:v>0</c:v>
                </c:pt>
                <c:pt idx="5">
                  <c:v>0</c:v>
                </c:pt>
                <c:pt idx="6">
                  <c:v>0</c:v>
                </c:pt>
                <c:pt idx="7">
                  <c:v>8.9056125072856807E-3</c:v>
                </c:pt>
                <c:pt idx="8">
                  <c:v>2.0734084019055871E-2</c:v>
                </c:pt>
                <c:pt idx="9">
                  <c:v>0</c:v>
                </c:pt>
                <c:pt idx="10">
                  <c:v>0</c:v>
                </c:pt>
                <c:pt idx="11">
                  <c:v>8.2320521228271704E-3</c:v>
                </c:pt>
              </c:numCache>
            </c:numRef>
          </c:val>
        </c:ser>
        <c:ser>
          <c:idx val="6"/>
          <c:order val="4"/>
          <c:tx>
            <c:strRef>
              <c:f>Office!$AS$31</c:f>
              <c:strCache>
                <c:ptCount val="1"/>
                <c:pt idx="0">
                  <c:v>PUBLIC</c:v>
                </c:pt>
              </c:strCache>
            </c:strRef>
          </c:tx>
          <c:spPr>
            <a:solidFill>
              <a:srgbClr val="0066CC"/>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Office!$AT$31:$BE$31</c:f>
              <c:numCache>
                <c:formatCode>0.0%</c:formatCode>
                <c:ptCount val="12"/>
                <c:pt idx="0">
                  <c:v>9.682041748964054E-5</c:v>
                </c:pt>
                <c:pt idx="1">
                  <c:v>1.9329845967348783E-2</c:v>
                </c:pt>
                <c:pt idx="2">
                  <c:v>0</c:v>
                </c:pt>
                <c:pt idx="3">
                  <c:v>9.1241476991995776E-3</c:v>
                </c:pt>
                <c:pt idx="4">
                  <c:v>6.6068424004486981E-2</c:v>
                </c:pt>
                <c:pt idx="5">
                  <c:v>0</c:v>
                </c:pt>
                <c:pt idx="6">
                  <c:v>0</c:v>
                </c:pt>
                <c:pt idx="7">
                  <c:v>0</c:v>
                </c:pt>
                <c:pt idx="8">
                  <c:v>0</c:v>
                </c:pt>
                <c:pt idx="9">
                  <c:v>1.5102090129273907E-5</c:v>
                </c:pt>
                <c:pt idx="10">
                  <c:v>0</c:v>
                </c:pt>
                <c:pt idx="11">
                  <c:v>3.5286479574241202E-3</c:v>
                </c:pt>
              </c:numCache>
            </c:numRef>
          </c:val>
        </c:ser>
        <c:ser>
          <c:idx val="7"/>
          <c:order val="5"/>
          <c:tx>
            <c:strRef>
              <c:f>Office!$AS$33</c:f>
              <c:strCache>
                <c:ptCount val="1"/>
                <c:pt idx="0">
                  <c:v>COMPANY</c:v>
                </c:pt>
              </c:strCache>
            </c:strRef>
          </c:tx>
          <c:spPr>
            <a:solidFill>
              <a:srgbClr val="CCCCFF"/>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Office!$AT$33:$BE$33</c:f>
              <c:numCache>
                <c:formatCode>0.0%</c:formatCode>
                <c:ptCount val="12"/>
                <c:pt idx="0">
                  <c:v>0</c:v>
                </c:pt>
                <c:pt idx="1">
                  <c:v>0</c:v>
                </c:pt>
                <c:pt idx="2">
                  <c:v>0</c:v>
                </c:pt>
                <c:pt idx="3">
                  <c:v>0</c:v>
                </c:pt>
                <c:pt idx="4">
                  <c:v>0</c:v>
                </c:pt>
                <c:pt idx="5">
                  <c:v>1.2771349494814765E-2</c:v>
                </c:pt>
                <c:pt idx="6">
                  <c:v>0</c:v>
                </c:pt>
                <c:pt idx="7">
                  <c:v>1.7142661226728885E-5</c:v>
                </c:pt>
                <c:pt idx="8">
                  <c:v>0</c:v>
                </c:pt>
                <c:pt idx="9">
                  <c:v>4.1062583061495711E-2</c:v>
                </c:pt>
                <c:pt idx="10">
                  <c:v>0</c:v>
                </c:pt>
                <c:pt idx="11">
                  <c:v>8.0524994498462881E-3</c:v>
                </c:pt>
              </c:numCache>
            </c:numRef>
          </c:val>
        </c:ser>
        <c:ser>
          <c:idx val="8"/>
          <c:order val="6"/>
          <c:tx>
            <c:strRef>
              <c:f>Office!$AS$34</c:f>
              <c:strCache>
                <c:ptCount val="1"/>
                <c:pt idx="0">
                  <c:v>UNDETERMINED</c:v>
                </c:pt>
              </c:strCache>
            </c:strRef>
          </c:tx>
          <c:spPr>
            <a:solidFill>
              <a:srgbClr val="000080"/>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Office!$AT$34:$BE$34</c:f>
              <c:numCache>
                <c:formatCode>0.0%</c:formatCode>
                <c:ptCount val="12"/>
                <c:pt idx="0">
                  <c:v>0.54613976995468749</c:v>
                </c:pt>
                <c:pt idx="1">
                  <c:v>0.4368387071271404</c:v>
                </c:pt>
                <c:pt idx="2">
                  <c:v>0.67955597643097865</c:v>
                </c:pt>
                <c:pt idx="3">
                  <c:v>0.58415955729767122</c:v>
                </c:pt>
                <c:pt idx="4">
                  <c:v>0.52809871003925968</c:v>
                </c:pt>
                <c:pt idx="5">
                  <c:v>0.614311914368603</c:v>
                </c:pt>
                <c:pt idx="6">
                  <c:v>0.5415293913646605</c:v>
                </c:pt>
                <c:pt idx="7">
                  <c:v>0.65857818767785514</c:v>
                </c:pt>
                <c:pt idx="8">
                  <c:v>0.52612061498484264</c:v>
                </c:pt>
                <c:pt idx="9">
                  <c:v>0.49390630663283874</c:v>
                </c:pt>
                <c:pt idx="10">
                  <c:v>0</c:v>
                </c:pt>
                <c:pt idx="11">
                  <c:v>0.5461390153725556</c:v>
                </c:pt>
              </c:numCache>
            </c:numRef>
          </c:val>
        </c:ser>
        <c:ser>
          <c:idx val="10"/>
          <c:order val="7"/>
          <c:tx>
            <c:strRef>
              <c:f>Office!$AS$35</c:f>
              <c:strCache>
                <c:ptCount val="1"/>
                <c:pt idx="0">
                  <c:v>EQUIPMENT OH</c:v>
                </c:pt>
              </c:strCache>
            </c:strRef>
          </c:tx>
          <c:spPr>
            <a:solidFill>
              <a:srgbClr val="FFFF00"/>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Office!$AT$35:$BE$35</c:f>
              <c:numCache>
                <c:formatCode>0.0%</c:formatCode>
                <c:ptCount val="12"/>
                <c:pt idx="0">
                  <c:v>6.5983114519189813E-3</c:v>
                </c:pt>
                <c:pt idx="1">
                  <c:v>0</c:v>
                </c:pt>
                <c:pt idx="2">
                  <c:v>0</c:v>
                </c:pt>
                <c:pt idx="3">
                  <c:v>0</c:v>
                </c:pt>
                <c:pt idx="4">
                  <c:v>0</c:v>
                </c:pt>
                <c:pt idx="5">
                  <c:v>0</c:v>
                </c:pt>
                <c:pt idx="6">
                  <c:v>2.9954915900815011E-2</c:v>
                </c:pt>
                <c:pt idx="7">
                  <c:v>0</c:v>
                </c:pt>
                <c:pt idx="8">
                  <c:v>4.3389995669120815E-2</c:v>
                </c:pt>
                <c:pt idx="9">
                  <c:v>1.5993113446901051E-2</c:v>
                </c:pt>
                <c:pt idx="10">
                  <c:v>0</c:v>
                </c:pt>
                <c:pt idx="11">
                  <c:v>8.0787754507702699E-3</c:v>
                </c:pt>
              </c:numCache>
            </c:numRef>
          </c:val>
        </c:ser>
        <c:ser>
          <c:idx val="9"/>
          <c:order val="8"/>
          <c:tx>
            <c:strRef>
              <c:f>Office!$AS$37</c:f>
              <c:strCache>
                <c:ptCount val="1"/>
                <c:pt idx="0">
                  <c:v>PLANNED</c:v>
                </c:pt>
              </c:strCache>
            </c:strRef>
          </c:tx>
          <c:spPr>
            <a:solidFill>
              <a:srgbClr val="FF00FF"/>
            </a:solidFill>
            <a:ln w="12700">
              <a:solidFill>
                <a:srgbClr val="000000"/>
              </a:solidFill>
              <a:prstDash val="solid"/>
            </a:ln>
          </c:spPr>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Office!$AT$37:$BE$37</c:f>
              <c:numCache>
                <c:formatCode>0.0%</c:formatCode>
                <c:ptCount val="12"/>
                <c:pt idx="0">
                  <c:v>1.7897254172959988E-2</c:v>
                </c:pt>
                <c:pt idx="1">
                  <c:v>4.1070981513446687E-2</c:v>
                </c:pt>
                <c:pt idx="2">
                  <c:v>0</c:v>
                </c:pt>
                <c:pt idx="3">
                  <c:v>2.3073882538950614E-2</c:v>
                </c:pt>
                <c:pt idx="4">
                  <c:v>2.1929332585530079E-2</c:v>
                </c:pt>
                <c:pt idx="5">
                  <c:v>1.5832471906365709E-2</c:v>
                </c:pt>
                <c:pt idx="6">
                  <c:v>0</c:v>
                </c:pt>
                <c:pt idx="7">
                  <c:v>0</c:v>
                </c:pt>
                <c:pt idx="8">
                  <c:v>5.4135989605889994E-5</c:v>
                </c:pt>
                <c:pt idx="9">
                  <c:v>1.5102090129273893E-4</c:v>
                </c:pt>
                <c:pt idx="10">
                  <c:v>0</c:v>
                </c:pt>
                <c:pt idx="11">
                  <c:v>1.204754642367205E-2</c:v>
                </c:pt>
              </c:numCache>
            </c:numRef>
          </c:val>
        </c:ser>
        <c:ser>
          <c:idx val="0"/>
          <c:order val="9"/>
          <c:tx>
            <c:strRef>
              <c:f>Office!$AS$36</c:f>
              <c:strCache>
                <c:ptCount val="1"/>
                <c:pt idx="0">
                  <c:v>EQUIPMENT SUB</c:v>
                </c:pt>
              </c:strCache>
            </c:strRef>
          </c:tx>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Office!$AT$36:$BE$36</c:f>
              <c:numCache>
                <c:formatCode>0.0%</c:formatCode>
                <c:ptCount val="12"/>
                <c:pt idx="0">
                  <c:v>0</c:v>
                </c:pt>
                <c:pt idx="1">
                  <c:v>0</c:v>
                </c:pt>
                <c:pt idx="2">
                  <c:v>0</c:v>
                </c:pt>
                <c:pt idx="3">
                  <c:v>0</c:v>
                </c:pt>
                <c:pt idx="4">
                  <c:v>0</c:v>
                </c:pt>
                <c:pt idx="5">
                  <c:v>0</c:v>
                </c:pt>
                <c:pt idx="6">
                  <c:v>0</c:v>
                </c:pt>
                <c:pt idx="7">
                  <c:v>0</c:v>
                </c:pt>
                <c:pt idx="8">
                  <c:v>0</c:v>
                </c:pt>
                <c:pt idx="9">
                  <c:v>5.3046091579074542E-2</c:v>
                </c:pt>
                <c:pt idx="10">
                  <c:v>0</c:v>
                </c:pt>
                <c:pt idx="11">
                  <c:v>7.6912044371406987E-3</c:v>
                </c:pt>
              </c:numCache>
            </c:numRef>
          </c:val>
        </c:ser>
        <c:ser>
          <c:idx val="1"/>
          <c:order val="10"/>
          <c:tx>
            <c:strRef>
              <c:f>Office!$AS$32</c:f>
              <c:strCache>
                <c:ptCount val="1"/>
                <c:pt idx="0">
                  <c:v>MISCELLANIOUS</c:v>
                </c:pt>
              </c:strCache>
            </c:strRef>
          </c:tx>
          <c:cat>
            <c:strRef>
              <c:f>Office!$AT$26:$BE$26</c:f>
              <c:strCache>
                <c:ptCount val="12"/>
                <c:pt idx="0">
                  <c:v>CDC</c:v>
                </c:pt>
                <c:pt idx="1">
                  <c:v>COC</c:v>
                </c:pt>
                <c:pt idx="2">
                  <c:v>DAC</c:v>
                </c:pt>
                <c:pt idx="3">
                  <c:v>GRC</c:v>
                </c:pt>
                <c:pt idx="4">
                  <c:v>KEC</c:v>
                </c:pt>
                <c:pt idx="5">
                  <c:v>LCC</c:v>
                </c:pt>
                <c:pt idx="6">
                  <c:v>OTC</c:v>
                </c:pt>
                <c:pt idx="7">
                  <c:v>PAC</c:v>
                </c:pt>
                <c:pt idx="8">
                  <c:v>SAC</c:v>
                </c:pt>
                <c:pt idx="9">
                  <c:v>SPC</c:v>
                </c:pt>
                <c:pt idx="10">
                  <c:v>DPC</c:v>
                </c:pt>
                <c:pt idx="11">
                  <c:v>All Offices</c:v>
                </c:pt>
              </c:strCache>
            </c:strRef>
          </c:cat>
          <c:val>
            <c:numRef>
              <c:f>Office!$AT$32:$BE$32</c:f>
              <c:numCache>
                <c:formatCode>0.0%</c:formatCode>
                <c:ptCount val="12"/>
                <c:pt idx="0">
                  <c:v>0</c:v>
                </c:pt>
                <c:pt idx="1">
                  <c:v>0</c:v>
                </c:pt>
                <c:pt idx="2">
                  <c:v>0</c:v>
                </c:pt>
                <c:pt idx="3">
                  <c:v>0</c:v>
                </c:pt>
                <c:pt idx="4">
                  <c:v>6.6068424004486981E-2</c:v>
                </c:pt>
                <c:pt idx="5">
                  <c:v>0</c:v>
                </c:pt>
                <c:pt idx="6">
                  <c:v>0</c:v>
                </c:pt>
                <c:pt idx="7">
                  <c:v>0</c:v>
                </c:pt>
                <c:pt idx="8">
                  <c:v>0</c:v>
                </c:pt>
                <c:pt idx="9">
                  <c:v>0</c:v>
                </c:pt>
                <c:pt idx="10">
                  <c:v>0</c:v>
                </c:pt>
                <c:pt idx="11">
                  <c:v>1.2897137120215989E-3</c:v>
                </c:pt>
              </c:numCache>
            </c:numRef>
          </c:val>
        </c:ser>
        <c:shape val="box"/>
        <c:axId val="48216320"/>
        <c:axId val="48230400"/>
        <c:axId val="48210368"/>
      </c:bar3DChart>
      <c:catAx>
        <c:axId val="48216320"/>
        <c:scaling>
          <c:orientation val="minMax"/>
        </c:scaling>
        <c:axPos val="b"/>
        <c:numFmt formatCode="0.0%" sourceLinked="1"/>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8230400"/>
        <c:crosses val="autoZero"/>
        <c:lblAlgn val="ctr"/>
        <c:lblOffset val="100"/>
        <c:tickLblSkip val="1"/>
        <c:tickMarkSkip val="1"/>
        <c:noMultiLvlLbl val="1"/>
      </c:catAx>
      <c:valAx>
        <c:axId val="48230400"/>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216320"/>
        <c:crosses val="autoZero"/>
        <c:crossBetween val="between"/>
        <c:majorUnit val="0.2"/>
      </c:valAx>
      <c:serAx>
        <c:axId val="48210368"/>
        <c:scaling>
          <c:orientation val="maxMin"/>
        </c:scaling>
        <c:axPos val="b"/>
        <c:title>
          <c:tx>
            <c:rich>
              <a:bodyPr/>
              <a:lstStyle/>
              <a:p>
                <a:pPr>
                  <a:defRPr sz="1600" b="1" i="0" u="none" strike="noStrike" baseline="0">
                    <a:solidFill>
                      <a:srgbClr val="000000"/>
                    </a:solidFill>
                    <a:latin typeface="Arial"/>
                    <a:ea typeface="Arial"/>
                    <a:cs typeface="Arial"/>
                  </a:defRPr>
                </a:pPr>
                <a:r>
                  <a:rPr lang="en-US"/>
                  <a:t>% MAIFI</a:t>
                </a:r>
              </a:p>
            </c:rich>
          </c:tx>
          <c:layout>
            <c:manualLayout>
              <c:xMode val="edge"/>
              <c:yMode val="edge"/>
              <c:x val="6.1552381997877891E-3"/>
              <c:y val="0.5467989788947617"/>
            </c:manualLayout>
          </c:layout>
          <c:spPr>
            <a:noFill/>
            <a:ln w="25400">
              <a:noFill/>
            </a:ln>
          </c:spPr>
        </c:title>
        <c:numFmt formatCode="General" sourceLinked="1"/>
        <c:tickLblPos val="low"/>
        <c:spPr>
          <a:ln w="3175">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n-US"/>
          </a:p>
        </c:txPr>
        <c:crossAx val="48230400"/>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view3D>
      <c:rotX val="43"/>
      <c:hPercent val="100"/>
      <c:rotY val="42"/>
      <c:depthPercent val="100"/>
      <c:perspective val="30"/>
    </c:view3D>
    <c:floor>
      <c:spPr>
        <a:solidFill>
          <a:srgbClr val="C0C0C0"/>
        </a:solidFill>
        <a:ln w="3175">
          <a:solidFill>
            <a:srgbClr val="000000"/>
          </a:solidFill>
          <a:prstDash val="solid"/>
        </a:ln>
      </c:spPr>
    </c:floor>
    <c:sideWall>
      <c:spPr>
        <a:noFill/>
        <a:ln w="12700">
          <a:solidFill>
            <a:srgbClr val="808080"/>
          </a:solidFill>
          <a:prstDash val="solid"/>
        </a:ln>
      </c:spPr>
    </c:sideWall>
    <c:backWall>
      <c:spPr>
        <a:noFill/>
        <a:ln w="12700">
          <a:solidFill>
            <a:srgbClr val="808080"/>
          </a:solidFill>
          <a:prstDash val="solid"/>
        </a:ln>
      </c:spPr>
    </c:backWall>
    <c:plotArea>
      <c:layout>
        <c:manualLayout>
          <c:layoutTarget val="inner"/>
          <c:xMode val="edge"/>
          <c:yMode val="edge"/>
          <c:x val="0.14156683721927754"/>
          <c:y val="0.13505973116996794"/>
          <c:w val="0.59480519480519478"/>
          <c:h val="0.84984776902887482"/>
        </c:manualLayout>
      </c:layout>
      <c:bar3DChart>
        <c:barDir val="col"/>
        <c:grouping val="standard"/>
        <c:ser>
          <c:idx val="0"/>
          <c:order val="0"/>
          <c:tx>
            <c:strRef>
              <c:f>Monthly!$AY$24</c:f>
              <c:strCache>
                <c:ptCount val="1"/>
                <c:pt idx="0">
                  <c:v>ANIMAL</c:v>
                </c:pt>
              </c:strCache>
            </c:strRef>
          </c:tx>
          <c:spPr>
            <a:solidFill>
              <a:srgbClr val="9999FF"/>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Monthly!$AZ$24:$BL$24</c:f>
              <c:numCache>
                <c:formatCode>0.0%</c:formatCode>
                <c:ptCount val="13"/>
                <c:pt idx="0">
                  <c:v>3.0424353592719385E-2</c:v>
                </c:pt>
                <c:pt idx="1">
                  <c:v>1.2802785886208888E-5</c:v>
                </c:pt>
                <c:pt idx="2">
                  <c:v>0</c:v>
                </c:pt>
                <c:pt idx="3">
                  <c:v>4.7653579198176813E-4</c:v>
                </c:pt>
                <c:pt idx="4">
                  <c:v>2.3099179433666982E-2</c:v>
                </c:pt>
                <c:pt idx="5">
                  <c:v>5.2509590333174212E-3</c:v>
                </c:pt>
                <c:pt idx="6">
                  <c:v>1.6343705799151387E-2</c:v>
                </c:pt>
                <c:pt idx="7">
                  <c:v>1.7125047093879529E-5</c:v>
                </c:pt>
                <c:pt idx="8">
                  <c:v>4.1120091868733818E-2</c:v>
                </c:pt>
                <c:pt idx="9">
                  <c:v>0</c:v>
                </c:pt>
                <c:pt idx="10">
                  <c:v>0</c:v>
                </c:pt>
                <c:pt idx="11">
                  <c:v>0</c:v>
                </c:pt>
                <c:pt idx="12">
                  <c:v>9.0838324861147752E-3</c:v>
                </c:pt>
              </c:numCache>
            </c:numRef>
          </c:val>
        </c:ser>
        <c:ser>
          <c:idx val="1"/>
          <c:order val="1"/>
          <c:tx>
            <c:strRef>
              <c:f>Monthly!$AY$25</c:f>
              <c:strCache>
                <c:ptCount val="1"/>
                <c:pt idx="0">
                  <c:v>POLE FIRE</c:v>
                </c:pt>
              </c:strCache>
            </c:strRef>
          </c:tx>
          <c:spPr>
            <a:solidFill>
              <a:srgbClr val="993366"/>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Monthly!$AZ$25:$BL$25</c:f>
              <c:numCache>
                <c:formatCode>0.0%</c:formatCode>
                <c:ptCount val="13"/>
                <c:pt idx="0">
                  <c:v>0</c:v>
                </c:pt>
                <c:pt idx="1">
                  <c:v>0</c:v>
                </c:pt>
                <c:pt idx="2">
                  <c:v>0</c:v>
                </c:pt>
                <c:pt idx="3">
                  <c:v>0</c:v>
                </c:pt>
                <c:pt idx="4">
                  <c:v>0</c:v>
                </c:pt>
                <c:pt idx="5">
                  <c:v>0</c:v>
                </c:pt>
                <c:pt idx="6">
                  <c:v>0</c:v>
                </c:pt>
                <c:pt idx="7">
                  <c:v>0</c:v>
                </c:pt>
                <c:pt idx="8">
                  <c:v>0</c:v>
                </c:pt>
                <c:pt idx="9">
                  <c:v>0</c:v>
                </c:pt>
                <c:pt idx="10">
                  <c:v>1.9141760669845381E-2</c:v>
                </c:pt>
                <c:pt idx="11">
                  <c:v>0</c:v>
                </c:pt>
                <c:pt idx="12">
                  <c:v>9.0104786502018328E-4</c:v>
                </c:pt>
              </c:numCache>
            </c:numRef>
          </c:val>
        </c:ser>
        <c:ser>
          <c:idx val="2"/>
          <c:order val="2"/>
          <c:tx>
            <c:strRef>
              <c:f>Monthly!$AY$26</c:f>
              <c:strCache>
                <c:ptCount val="1"/>
                <c:pt idx="0">
                  <c:v>WEATHER</c:v>
                </c:pt>
              </c:strCache>
            </c:strRef>
          </c:tx>
          <c:spPr>
            <a:solidFill>
              <a:srgbClr val="FFFFCC"/>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Monthly!$AZ$26:$BL$26</c:f>
              <c:numCache>
                <c:formatCode>0.0%</c:formatCode>
                <c:ptCount val="13"/>
                <c:pt idx="0">
                  <c:v>0.23099580232106992</c:v>
                </c:pt>
                <c:pt idx="1">
                  <c:v>0.24294566497669928</c:v>
                </c:pt>
                <c:pt idx="2">
                  <c:v>0.11063778204928409</c:v>
                </c:pt>
                <c:pt idx="3">
                  <c:v>0.10419558686418758</c:v>
                </c:pt>
                <c:pt idx="4">
                  <c:v>5.9289474932410151E-2</c:v>
                </c:pt>
                <c:pt idx="5">
                  <c:v>0.72559856907052844</c:v>
                </c:pt>
                <c:pt idx="6">
                  <c:v>0.39177510608203681</c:v>
                </c:pt>
                <c:pt idx="7">
                  <c:v>3.3222591362126248E-2</c:v>
                </c:pt>
                <c:pt idx="8">
                  <c:v>2.3695949825537792E-2</c:v>
                </c:pt>
                <c:pt idx="9">
                  <c:v>0.40701259684815327</c:v>
                </c:pt>
                <c:pt idx="10">
                  <c:v>4.9494127224095949E-2</c:v>
                </c:pt>
                <c:pt idx="11">
                  <c:v>0.54924592182209908</c:v>
                </c:pt>
                <c:pt idx="12">
                  <c:v>0.33292678520792718</c:v>
                </c:pt>
              </c:numCache>
            </c:numRef>
          </c:val>
        </c:ser>
        <c:ser>
          <c:idx val="3"/>
          <c:order val="3"/>
          <c:tx>
            <c:strRef>
              <c:f>Monthly!$AY$27</c:f>
              <c:strCache>
                <c:ptCount val="1"/>
                <c:pt idx="0">
                  <c:v>TREE</c:v>
                </c:pt>
              </c:strCache>
            </c:strRef>
          </c:tx>
          <c:spPr>
            <a:solidFill>
              <a:srgbClr val="CCFFFF"/>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Monthly!$AZ$27:$BL$27</c:f>
              <c:numCache>
                <c:formatCode>0.0%</c:formatCode>
                <c:ptCount val="13"/>
                <c:pt idx="0">
                  <c:v>1.7637306430561925E-5</c:v>
                </c:pt>
                <c:pt idx="1">
                  <c:v>1.961386797767194E-2</c:v>
                </c:pt>
                <c:pt idx="2">
                  <c:v>2.4832458829030079E-2</c:v>
                </c:pt>
                <c:pt idx="3">
                  <c:v>0</c:v>
                </c:pt>
                <c:pt idx="4">
                  <c:v>0</c:v>
                </c:pt>
                <c:pt idx="5">
                  <c:v>0</c:v>
                </c:pt>
                <c:pt idx="6">
                  <c:v>1.0608203677510621E-4</c:v>
                </c:pt>
                <c:pt idx="7">
                  <c:v>0</c:v>
                </c:pt>
                <c:pt idx="8">
                  <c:v>0.10019433770593172</c:v>
                </c:pt>
                <c:pt idx="9">
                  <c:v>0</c:v>
                </c:pt>
                <c:pt idx="10">
                  <c:v>0</c:v>
                </c:pt>
                <c:pt idx="11">
                  <c:v>0</c:v>
                </c:pt>
                <c:pt idx="12">
                  <c:v>8.2320521228271704E-3</c:v>
                </c:pt>
              </c:numCache>
            </c:numRef>
          </c:val>
        </c:ser>
        <c:ser>
          <c:idx val="4"/>
          <c:order val="4"/>
          <c:tx>
            <c:strRef>
              <c:f>Monthly!$AY$28</c:f>
              <c:strCache>
                <c:ptCount val="1"/>
                <c:pt idx="0">
                  <c:v>PUBLIC</c:v>
                </c:pt>
              </c:strCache>
            </c:strRef>
          </c:tx>
          <c:spPr>
            <a:solidFill>
              <a:srgbClr val="660066"/>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Monthly!$AZ$28:$BL$28</c:f>
              <c:numCache>
                <c:formatCode>0.0%</c:formatCode>
                <c:ptCount val="13"/>
                <c:pt idx="0">
                  <c:v>1.410984514444954E-4</c:v>
                </c:pt>
                <c:pt idx="1">
                  <c:v>0</c:v>
                </c:pt>
                <c:pt idx="2">
                  <c:v>1.731691689611582E-5</c:v>
                </c:pt>
                <c:pt idx="3">
                  <c:v>0</c:v>
                </c:pt>
                <c:pt idx="4">
                  <c:v>2.3194042593558787E-2</c:v>
                </c:pt>
                <c:pt idx="5">
                  <c:v>9.9727962363334657E-3</c:v>
                </c:pt>
                <c:pt idx="6">
                  <c:v>0</c:v>
                </c:pt>
                <c:pt idx="7">
                  <c:v>0</c:v>
                </c:pt>
                <c:pt idx="8">
                  <c:v>0</c:v>
                </c:pt>
                <c:pt idx="9">
                  <c:v>0</c:v>
                </c:pt>
                <c:pt idx="10">
                  <c:v>0</c:v>
                </c:pt>
                <c:pt idx="11">
                  <c:v>1.8187414309298017E-4</c:v>
                </c:pt>
                <c:pt idx="12">
                  <c:v>3.5286479574241202E-3</c:v>
                </c:pt>
              </c:numCache>
            </c:numRef>
          </c:val>
        </c:ser>
        <c:ser>
          <c:idx val="5"/>
          <c:order val="5"/>
          <c:tx>
            <c:strRef>
              <c:f>Monthly!$AY$29</c:f>
              <c:strCache>
                <c:ptCount val="1"/>
                <c:pt idx="0">
                  <c:v>COMPANY</c:v>
                </c:pt>
              </c:strCache>
            </c:strRef>
          </c:tx>
          <c:spPr>
            <a:solidFill>
              <a:srgbClr val="FF8080"/>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Monthly!$AZ$29:$BL$29</c:f>
              <c:numCache>
                <c:formatCode>0.0%</c:formatCode>
                <c:ptCount val="13"/>
                <c:pt idx="0">
                  <c:v>3.3775441814526089E-2</c:v>
                </c:pt>
                <c:pt idx="1">
                  <c:v>0</c:v>
                </c:pt>
                <c:pt idx="2">
                  <c:v>4.2738150899613914E-2</c:v>
                </c:pt>
                <c:pt idx="3">
                  <c:v>0</c:v>
                </c:pt>
                <c:pt idx="4">
                  <c:v>1.516229505604832E-2</c:v>
                </c:pt>
                <c:pt idx="5">
                  <c:v>1.1514151133298445E-2</c:v>
                </c:pt>
                <c:pt idx="6">
                  <c:v>0</c:v>
                </c:pt>
                <c:pt idx="7">
                  <c:v>0</c:v>
                </c:pt>
                <c:pt idx="8">
                  <c:v>0</c:v>
                </c:pt>
                <c:pt idx="9">
                  <c:v>0</c:v>
                </c:pt>
                <c:pt idx="10">
                  <c:v>0</c:v>
                </c:pt>
                <c:pt idx="11">
                  <c:v>1.5389350569406008E-4</c:v>
                </c:pt>
                <c:pt idx="12">
                  <c:v>8.0524994498462881E-3</c:v>
                </c:pt>
              </c:numCache>
            </c:numRef>
          </c:val>
        </c:ser>
        <c:ser>
          <c:idx val="6"/>
          <c:order val="6"/>
          <c:tx>
            <c:strRef>
              <c:f>Monthly!$AY$30</c:f>
              <c:strCache>
                <c:ptCount val="1"/>
                <c:pt idx="0">
                  <c:v>UNDETERMINED</c:v>
                </c:pt>
              </c:strCache>
            </c:strRef>
          </c:tx>
          <c:spPr>
            <a:solidFill>
              <a:srgbClr val="0066CC"/>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Monthly!$AZ$30:$BL$30</c:f>
              <c:numCache>
                <c:formatCode>0.0%</c:formatCode>
                <c:ptCount val="13"/>
                <c:pt idx="0">
                  <c:v>0.70464566651381366</c:v>
                </c:pt>
                <c:pt idx="1">
                  <c:v>0.54420801966508081</c:v>
                </c:pt>
                <c:pt idx="2">
                  <c:v>0.80979098481306389</c:v>
                </c:pt>
                <c:pt idx="3">
                  <c:v>0.8731378845954626</c:v>
                </c:pt>
                <c:pt idx="4">
                  <c:v>0.86063020759221565</c:v>
                </c:pt>
                <c:pt idx="5">
                  <c:v>0.24758875731137131</c:v>
                </c:pt>
                <c:pt idx="6">
                  <c:v>0.58213578500707075</c:v>
                </c:pt>
                <c:pt idx="7">
                  <c:v>0.80299345823201063</c:v>
                </c:pt>
                <c:pt idx="8">
                  <c:v>0.79117530144428261</c:v>
                </c:pt>
                <c:pt idx="9">
                  <c:v>0.55733147103779068</c:v>
                </c:pt>
                <c:pt idx="10">
                  <c:v>0</c:v>
                </c:pt>
                <c:pt idx="11">
                  <c:v>0.31700663141106417</c:v>
                </c:pt>
                <c:pt idx="12">
                  <c:v>0.5461390153725556</c:v>
                </c:pt>
              </c:numCache>
            </c:numRef>
          </c:val>
        </c:ser>
        <c:ser>
          <c:idx val="7"/>
          <c:order val="7"/>
          <c:tx>
            <c:strRef>
              <c:f>Monthly!$AY$31</c:f>
              <c:strCache>
                <c:ptCount val="1"/>
                <c:pt idx="0">
                  <c:v>EQUIPMENT OH</c:v>
                </c:pt>
              </c:strCache>
            </c:strRef>
          </c:tx>
          <c:spPr>
            <a:solidFill>
              <a:srgbClr val="CCCCFF"/>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Monthly!$AZ$31:$BL$31</c:f>
              <c:numCache>
                <c:formatCode>0.0%</c:formatCode>
                <c:ptCount val="13"/>
                <c:pt idx="0">
                  <c:v>0</c:v>
                </c:pt>
                <c:pt idx="1">
                  <c:v>6.8162032058175934E-2</c:v>
                </c:pt>
                <c:pt idx="2">
                  <c:v>1.1948672658319942E-2</c:v>
                </c:pt>
                <c:pt idx="3">
                  <c:v>0</c:v>
                </c:pt>
                <c:pt idx="4">
                  <c:v>0</c:v>
                </c:pt>
                <c:pt idx="5">
                  <c:v>0</c:v>
                </c:pt>
                <c:pt idx="6">
                  <c:v>9.6393210749646397E-3</c:v>
                </c:pt>
                <c:pt idx="7">
                  <c:v>0</c:v>
                </c:pt>
                <c:pt idx="8">
                  <c:v>4.4167660439026871E-5</c:v>
                </c:pt>
                <c:pt idx="9">
                  <c:v>0</c:v>
                </c:pt>
                <c:pt idx="10">
                  <c:v>0</c:v>
                </c:pt>
                <c:pt idx="11">
                  <c:v>0</c:v>
                </c:pt>
                <c:pt idx="12">
                  <c:v>8.0787754507702699E-3</c:v>
                </c:pt>
              </c:numCache>
            </c:numRef>
          </c:val>
        </c:ser>
        <c:ser>
          <c:idx val="8"/>
          <c:order val="8"/>
          <c:tx>
            <c:strRef>
              <c:f>Monthly!$AY$32</c:f>
              <c:strCache>
                <c:ptCount val="1"/>
                <c:pt idx="0">
                  <c:v>PLANNED</c:v>
                </c:pt>
              </c:strCache>
            </c:strRef>
          </c:tx>
          <c:spPr>
            <a:solidFill>
              <a:srgbClr val="000080"/>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Monthly!$AZ$32:$BL$32</c:f>
              <c:numCache>
                <c:formatCode>0.0%</c:formatCode>
                <c:ptCount val="13"/>
                <c:pt idx="0">
                  <c:v>0</c:v>
                </c:pt>
                <c:pt idx="1">
                  <c:v>0.12505761253648795</c:v>
                </c:pt>
                <c:pt idx="2">
                  <c:v>3.4633833792231722E-5</c:v>
                </c:pt>
                <c:pt idx="3">
                  <c:v>2.2189992748368411E-2</c:v>
                </c:pt>
                <c:pt idx="4">
                  <c:v>0</c:v>
                </c:pt>
                <c:pt idx="5">
                  <c:v>7.4767215151288981E-5</c:v>
                </c:pt>
                <c:pt idx="6">
                  <c:v>0</c:v>
                </c:pt>
                <c:pt idx="7">
                  <c:v>1.5583792855430379E-3</c:v>
                </c:pt>
                <c:pt idx="8">
                  <c:v>0</c:v>
                </c:pt>
                <c:pt idx="9">
                  <c:v>0</c:v>
                </c:pt>
                <c:pt idx="10">
                  <c:v>4.1865333178276582E-4</c:v>
                </c:pt>
                <c:pt idx="11">
                  <c:v>5.7360306667785909E-4</c:v>
                </c:pt>
                <c:pt idx="12">
                  <c:v>1.204754642367205E-2</c:v>
                </c:pt>
              </c:numCache>
            </c:numRef>
          </c:val>
        </c:ser>
        <c:ser>
          <c:idx val="9"/>
          <c:order val="9"/>
          <c:tx>
            <c:strRef>
              <c:f>Monthly!$AY$33</c:f>
              <c:strCache>
                <c:ptCount val="1"/>
                <c:pt idx="0">
                  <c:v>EQUIPMENT SUB</c:v>
                </c:pt>
              </c:strCache>
            </c:strRef>
          </c:tx>
          <c:spPr>
            <a:solidFill>
              <a:srgbClr val="FF00FF"/>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Monthly!$AZ$33:$BL$33</c:f>
              <c:numCache>
                <c:formatCode>0.0%</c:formatCode>
                <c:ptCount val="13"/>
                <c:pt idx="0">
                  <c:v>0</c:v>
                </c:pt>
                <c:pt idx="1">
                  <c:v>0</c:v>
                </c:pt>
                <c:pt idx="2">
                  <c:v>0</c:v>
                </c:pt>
                <c:pt idx="3">
                  <c:v>0</c:v>
                </c:pt>
                <c:pt idx="4">
                  <c:v>0</c:v>
                </c:pt>
                <c:pt idx="5">
                  <c:v>0</c:v>
                </c:pt>
                <c:pt idx="6">
                  <c:v>0</c:v>
                </c:pt>
                <c:pt idx="7">
                  <c:v>0.12030345583450354</c:v>
                </c:pt>
                <c:pt idx="8">
                  <c:v>0</c:v>
                </c:pt>
                <c:pt idx="9">
                  <c:v>0</c:v>
                </c:pt>
                <c:pt idx="10">
                  <c:v>0</c:v>
                </c:pt>
                <c:pt idx="11">
                  <c:v>0</c:v>
                </c:pt>
                <c:pt idx="12">
                  <c:v>7.6912044371406987E-3</c:v>
                </c:pt>
              </c:numCache>
            </c:numRef>
          </c:val>
        </c:ser>
        <c:ser>
          <c:idx val="10"/>
          <c:order val="10"/>
          <c:tx>
            <c:strRef>
              <c:f>Monthly!$AY$34</c:f>
              <c:strCache>
                <c:ptCount val="1"/>
                <c:pt idx="0">
                  <c:v>MISCELLANIOUS</c:v>
                </c:pt>
              </c:strCache>
            </c:strRef>
          </c:tx>
          <c:spPr>
            <a:solidFill>
              <a:srgbClr val="FFFF00"/>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Monthly!$AZ$34:$BL$34</c:f>
              <c:numCache>
                <c:formatCode>0.0%</c:formatCode>
                <c:ptCount val="13"/>
                <c:pt idx="0">
                  <c:v>0</c:v>
                </c:pt>
                <c:pt idx="1">
                  <c:v>0</c:v>
                </c:pt>
                <c:pt idx="2">
                  <c:v>0</c:v>
                </c:pt>
                <c:pt idx="3">
                  <c:v>0</c:v>
                </c:pt>
                <c:pt idx="4">
                  <c:v>1.8624800392101109E-2</c:v>
                </c:pt>
                <c:pt idx="5">
                  <c:v>0</c:v>
                </c:pt>
                <c:pt idx="6">
                  <c:v>0</c:v>
                </c:pt>
                <c:pt idx="7">
                  <c:v>0</c:v>
                </c:pt>
                <c:pt idx="8">
                  <c:v>0</c:v>
                </c:pt>
                <c:pt idx="9">
                  <c:v>0</c:v>
                </c:pt>
                <c:pt idx="10">
                  <c:v>0</c:v>
                </c:pt>
                <c:pt idx="11">
                  <c:v>0</c:v>
                </c:pt>
                <c:pt idx="12">
                  <c:v>1.2897137120215989E-3</c:v>
                </c:pt>
              </c:numCache>
            </c:numRef>
          </c:val>
        </c:ser>
        <c:ser>
          <c:idx val="11"/>
          <c:order val="11"/>
          <c:tx>
            <c:strRef>
              <c:f>Monthly!$AY$35</c:f>
              <c:strCache>
                <c:ptCount val="1"/>
                <c:pt idx="0">
                  <c:v>FIRE</c:v>
                </c:pt>
              </c:strCache>
            </c:strRef>
          </c:tx>
          <c:spPr>
            <a:solidFill>
              <a:srgbClr val="00FFFF"/>
            </a:solidFill>
            <a:ln w="12700">
              <a:solidFill>
                <a:srgbClr val="000000"/>
              </a:solidFill>
              <a:prstDash val="solid"/>
            </a:ln>
          </c:spPr>
          <c:cat>
            <c:strRef>
              <c:f>Monthly!$AZ$23:$BL$23</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Yearly</c:v>
                </c:pt>
              </c:strCache>
            </c:strRef>
          </c:cat>
          <c:val>
            <c:numRef>
              <c:f>Monthly!$AZ$35:$BL$35</c:f>
              <c:numCache>
                <c:formatCode>0.0%</c:formatCode>
                <c:ptCount val="13"/>
                <c:pt idx="0">
                  <c:v>0</c:v>
                </c:pt>
                <c:pt idx="1">
                  <c:v>0</c:v>
                </c:pt>
                <c:pt idx="2">
                  <c:v>0</c:v>
                </c:pt>
                <c:pt idx="3">
                  <c:v>0</c:v>
                </c:pt>
                <c:pt idx="4">
                  <c:v>0</c:v>
                </c:pt>
                <c:pt idx="5">
                  <c:v>0</c:v>
                </c:pt>
                <c:pt idx="6">
                  <c:v>0</c:v>
                </c:pt>
                <c:pt idx="7">
                  <c:v>4.1904990238723287E-2</c:v>
                </c:pt>
                <c:pt idx="8">
                  <c:v>0</c:v>
                </c:pt>
                <c:pt idx="9">
                  <c:v>0</c:v>
                </c:pt>
                <c:pt idx="10">
                  <c:v>0</c:v>
                </c:pt>
                <c:pt idx="11">
                  <c:v>0</c:v>
                </c:pt>
                <c:pt idx="12">
                  <c:v>2.6790572608801802E-3</c:v>
                </c:pt>
              </c:numCache>
            </c:numRef>
          </c:val>
        </c:ser>
        <c:shape val="box"/>
        <c:axId val="48387584"/>
        <c:axId val="48389120"/>
        <c:axId val="48282688"/>
      </c:bar3DChart>
      <c:catAx>
        <c:axId val="48387584"/>
        <c:scaling>
          <c:orientation val="minMax"/>
        </c:scaling>
        <c:axPos val="b"/>
        <c:numFmt formatCode="General" sourceLinked="1"/>
        <c:minorTickMark val="out"/>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8389120"/>
        <c:crosses val="autoZero"/>
        <c:auto val="1"/>
        <c:lblAlgn val="ctr"/>
        <c:lblOffset val="100"/>
        <c:tickLblSkip val="1"/>
        <c:tickMarkSkip val="1"/>
        <c:noMultiLvlLbl val="1"/>
      </c:catAx>
      <c:valAx>
        <c:axId val="48389120"/>
        <c:scaling>
          <c:orientation val="minMax"/>
          <c:max val="1"/>
          <c:min val="0"/>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1075" b="0" i="0" u="none" strike="noStrike" baseline="0">
                <a:solidFill>
                  <a:srgbClr val="000000"/>
                </a:solidFill>
                <a:latin typeface="Arial"/>
                <a:ea typeface="Arial"/>
                <a:cs typeface="Arial"/>
              </a:defRPr>
            </a:pPr>
            <a:endParaRPr lang="en-US"/>
          </a:p>
        </c:txPr>
        <c:crossAx val="48387584"/>
        <c:crosses val="autoZero"/>
        <c:crossBetween val="between"/>
        <c:majorUnit val="0.2"/>
      </c:valAx>
      <c:serAx>
        <c:axId val="48282688"/>
        <c:scaling>
          <c:orientation val="maxMin"/>
        </c:scaling>
        <c:axPos val="b"/>
        <c:title>
          <c:tx>
            <c:rich>
              <a:bodyPr/>
              <a:lstStyle/>
              <a:p>
                <a:pPr>
                  <a:defRPr sz="1675" b="1" i="0" u="none" strike="noStrike" baseline="0">
                    <a:solidFill>
                      <a:srgbClr val="000000"/>
                    </a:solidFill>
                    <a:latin typeface="Arial"/>
                    <a:ea typeface="Arial"/>
                    <a:cs typeface="Arial"/>
                  </a:defRPr>
                </a:pPr>
                <a:r>
                  <a:rPr lang="en-US"/>
                  <a:t>% MAIFI</a:t>
                </a:r>
              </a:p>
            </c:rich>
          </c:tx>
          <c:layout>
            <c:manualLayout>
              <c:xMode val="edge"/>
              <c:yMode val="edge"/>
              <c:x val="1.1255348917961131E-2"/>
              <c:y val="0.59820099294817064"/>
            </c:manualLayout>
          </c:layout>
          <c:spPr>
            <a:noFill/>
            <a:ln w="25400">
              <a:noFill/>
            </a:ln>
          </c:spPr>
        </c:title>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Arial"/>
                <a:ea typeface="Arial"/>
                <a:cs typeface="Arial"/>
              </a:defRPr>
            </a:pPr>
            <a:endParaRPr lang="en-US"/>
          </a:p>
        </c:txPr>
        <c:crossAx val="48389120"/>
        <c:crosses val="autoZero"/>
        <c:tickLblSkip val="1"/>
        <c:tickMarkSkip val="1"/>
      </c:serAx>
      <c:spPr>
        <a:noFill/>
        <a:ln w="25400">
          <a:noFill/>
        </a:ln>
      </c:spPr>
    </c:plotArea>
    <c:plotVisOnly val="1"/>
    <c:dispBlanksAs val="gap"/>
  </c:chart>
  <c:spPr>
    <a:solidFill>
      <a:srgbClr val="FFFFFF"/>
    </a:solidFill>
    <a:ln w="9525">
      <a:noFill/>
    </a:ln>
  </c:spPr>
  <c:txPr>
    <a:bodyPr/>
    <a:lstStyle/>
    <a:p>
      <a:pPr>
        <a:defRPr sz="1050" b="0" i="0" u="none" strike="noStrike" baseline="0">
          <a:solidFill>
            <a:srgbClr val="000000"/>
          </a:solidFill>
          <a:latin typeface="Arial"/>
          <a:ea typeface="Arial"/>
          <a:cs typeface="Arial"/>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US"/>
  <c:chart>
    <c:title>
      <c:tx>
        <c:rich>
          <a:bodyPr/>
          <a:lstStyle/>
          <a:p>
            <a:pPr>
              <a:defRPr sz="1200" b="1" i="0" u="none" strike="noStrike" baseline="0">
                <a:solidFill>
                  <a:srgbClr val="000000"/>
                </a:solidFill>
                <a:latin typeface="Arial"/>
                <a:ea typeface="Arial"/>
                <a:cs typeface="Arial"/>
              </a:defRPr>
            </a:pPr>
            <a:r>
              <a:rPr lang="en-US"/>
              <a:t>% SAIFI (MED)</a:t>
            </a:r>
          </a:p>
        </c:rich>
      </c:tx>
      <c:layout>
        <c:manualLayout>
          <c:xMode val="edge"/>
          <c:yMode val="edge"/>
          <c:x val="0.11450397208144115"/>
          <c:y val="7.2757028366106813E-2"/>
        </c:manualLayout>
      </c:layout>
      <c:spPr>
        <a:noFill/>
        <a:ln w="25400">
          <a:noFill/>
        </a:ln>
      </c:spPr>
    </c:title>
    <c:view3D>
      <c:hPercent val="100"/>
      <c:rotY val="184"/>
      <c:depthPercent val="100"/>
      <c:perspective val="0"/>
    </c:view3D>
    <c:plotArea>
      <c:layout>
        <c:manualLayout>
          <c:layoutTarget val="inner"/>
          <c:xMode val="edge"/>
          <c:yMode val="edge"/>
          <c:x val="4.1920490785426014E-2"/>
          <c:y val="0.32329222341525532"/>
          <c:w val="0.92671750204611525"/>
          <c:h val="0.62573644913703952"/>
        </c:manualLayout>
      </c:layout>
      <c:pie3DChart>
        <c:varyColors val="1"/>
        <c:ser>
          <c:idx val="0"/>
          <c:order val="0"/>
          <c:tx>
            <c:strRef>
              <c:f>'Yearly 12'!$AR$11</c:f>
              <c:strCache>
                <c:ptCount val="1"/>
                <c:pt idx="0">
                  <c:v>Sum of Ni</c:v>
                </c:pt>
              </c:strCache>
            </c:strRef>
          </c:tx>
          <c:spPr>
            <a:solidFill>
              <a:srgbClr val="9999FF"/>
            </a:solidFill>
            <a:ln w="12700">
              <a:solidFill>
                <a:srgbClr val="000000"/>
              </a:solidFill>
              <a:prstDash val="solid"/>
            </a:ln>
          </c:spPr>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Pt>
            <c:idx val="3"/>
            <c:spPr>
              <a:solidFill>
                <a:srgbClr val="CCFFFF"/>
              </a:solidFill>
              <a:ln w="12700">
                <a:solidFill>
                  <a:srgbClr val="000000"/>
                </a:solidFill>
                <a:prstDash val="solid"/>
              </a:ln>
            </c:spPr>
          </c:dPt>
          <c:dPt>
            <c:idx val="4"/>
            <c:spPr>
              <a:solidFill>
                <a:srgbClr val="660066"/>
              </a:solidFill>
              <a:ln w="12700">
                <a:solidFill>
                  <a:srgbClr val="000000"/>
                </a:solidFill>
                <a:prstDash val="solid"/>
              </a:ln>
            </c:spPr>
          </c:dPt>
          <c:dPt>
            <c:idx val="5"/>
            <c:spPr>
              <a:solidFill>
                <a:srgbClr val="FF8080"/>
              </a:solidFill>
              <a:ln w="12700">
                <a:solidFill>
                  <a:srgbClr val="000000"/>
                </a:solidFill>
                <a:prstDash val="solid"/>
              </a:ln>
            </c:spPr>
          </c:dPt>
          <c:dPt>
            <c:idx val="6"/>
            <c:spPr>
              <a:solidFill>
                <a:srgbClr val="0066CC"/>
              </a:solidFill>
              <a:ln w="12700">
                <a:solidFill>
                  <a:srgbClr val="000000"/>
                </a:solidFill>
                <a:prstDash val="solid"/>
              </a:ln>
            </c:spPr>
          </c:dPt>
          <c:dLbls>
            <c:dLbl>
              <c:idx val="0"/>
              <c:layout>
                <c:manualLayout>
                  <c:x val="0.15681003584229458"/>
                  <c:y val="4.7348236300007972E-2"/>
                </c:manualLayout>
              </c:layout>
              <c:dLblPos val="bestFit"/>
              <c:showPercent val="1"/>
            </c:dLbl>
            <c:dLbl>
              <c:idx val="1"/>
              <c:layout>
                <c:manualLayout>
                  <c:x val="7.3924731182795703E-2"/>
                  <c:y val="4.4191670643442434E-2"/>
                </c:manualLayout>
              </c:layout>
              <c:dLblPos val="bestFit"/>
              <c:showPercent val="1"/>
            </c:dLbl>
            <c:dLbl>
              <c:idx val="2"/>
              <c:layout>
                <c:manualLayout>
                  <c:x val="2.9121863799283155E-2"/>
                  <c:y val="4.4191670643442434E-2"/>
                </c:manualLayout>
              </c:layout>
              <c:dLblPos val="bestFit"/>
              <c:showPercent val="1"/>
            </c:dLbl>
            <c:dLbl>
              <c:idx val="3"/>
              <c:layout>
                <c:manualLayout>
                  <c:x val="-1.1200716845878141E-2"/>
                  <c:y val="4.4191670643442434E-2"/>
                </c:manualLayout>
              </c:layout>
              <c:dLblPos val="bestFit"/>
              <c:showPercent val="1"/>
            </c:dLbl>
            <c:dLbl>
              <c:idx val="4"/>
              <c:layout>
                <c:manualLayout>
                  <c:x val="-5.824372759856631E-2"/>
                  <c:y val="4.7348484848484945E-2"/>
                </c:manualLayout>
              </c:layout>
              <c:dLblPos val="bestFit"/>
              <c:showPercent val="1"/>
            </c:dLbl>
            <c:dLbl>
              <c:idx val="5"/>
              <c:layout>
                <c:manualLayout>
                  <c:x val="-2.6881720430107576E-2"/>
                  <c:y val="6.3131313131313135E-2"/>
                </c:manualLayout>
              </c:layout>
              <c:dLblPos val="bestFit"/>
              <c:showPercent val="1"/>
            </c:dLbl>
            <c:dLbl>
              <c:idx val="6"/>
              <c:layout>
                <c:manualLayout>
                  <c:x val="0.14336917562724036"/>
                  <c:y val="1.5782828282828325E-2"/>
                </c:manualLayout>
              </c:layout>
              <c:dLblPos val="bestFit"/>
              <c:showPercent val="1"/>
            </c:dLbl>
            <c:dLblPos val="outEnd"/>
            <c:showPercent val="1"/>
            <c:showLeaderLines val="1"/>
          </c:dLbls>
          <c:cat>
            <c:strRef>
              <c:f>('Yearly 12'!$AQ$14,'Yearly 12'!$AQ$16,'Yearly 12'!$AQ$18,'Yearly 12'!$AQ$20:$AQ$23)</c:f>
              <c:strCache>
                <c:ptCount val="7"/>
                <c:pt idx="0">
                  <c:v>EQUIPMENT OH</c:v>
                </c:pt>
                <c:pt idx="1">
                  <c:v>EQUIPMENT UG</c:v>
                </c:pt>
                <c:pt idx="2">
                  <c:v>PLANNED</c:v>
                </c:pt>
                <c:pt idx="3">
                  <c:v>PUBLIC</c:v>
                </c:pt>
                <c:pt idx="4">
                  <c:v>TREE</c:v>
                </c:pt>
                <c:pt idx="5">
                  <c:v>UNDETERMINED</c:v>
                </c:pt>
                <c:pt idx="6">
                  <c:v>WEATHER</c:v>
                </c:pt>
              </c:strCache>
            </c:strRef>
          </c:cat>
          <c:val>
            <c:numRef>
              <c:f>('Yearly 12'!$AR$14,'Yearly 12'!$AR$16,'Yearly 12'!$AR$18,'Yearly 12'!$AR$20:$AR$23)</c:f>
              <c:numCache>
                <c:formatCode>General</c:formatCode>
                <c:ptCount val="7"/>
                <c:pt idx="0">
                  <c:v>18</c:v>
                </c:pt>
                <c:pt idx="1">
                  <c:v>3</c:v>
                </c:pt>
                <c:pt idx="2">
                  <c:v>316</c:v>
                </c:pt>
                <c:pt idx="3">
                  <c:v>82</c:v>
                </c:pt>
                <c:pt idx="4">
                  <c:v>626</c:v>
                </c:pt>
                <c:pt idx="5">
                  <c:v>2248</c:v>
                </c:pt>
                <c:pt idx="6">
                  <c:v>38783</c:v>
                </c:pt>
              </c:numCache>
            </c:numRef>
          </c:val>
        </c:ser>
        <c:dLbls>
          <c:showVal val="1"/>
        </c:dLbls>
      </c:pie3DChart>
    </c:plotArea>
    <c:legend>
      <c:legendPos val="r"/>
      <c:layout>
        <c:manualLayout>
          <c:xMode val="edge"/>
          <c:yMode val="edge"/>
          <c:x val="0.39763761888634891"/>
          <c:y val="0.10534578064105626"/>
          <c:w val="0.55307922699178835"/>
          <c:h val="0.22305635091068166"/>
        </c:manualLayout>
      </c:layout>
      <c:spPr>
        <a:solidFill>
          <a:srgbClr val="FFFFFF"/>
        </a:solid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en-US"/>
        </a:p>
      </c:txPr>
    </c:legend>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800" b="1" i="0" u="none" strike="noStrike" baseline="0">
                <a:solidFill>
                  <a:srgbClr val="000000"/>
                </a:solidFill>
                <a:latin typeface="Calibri"/>
                <a:ea typeface="Calibri"/>
                <a:cs typeface="Calibri"/>
              </a:defRPr>
            </a:pPr>
            <a:r>
              <a:rPr lang="en-US"/>
              <a:t>Linear Trend for SAIFI without MED's</a:t>
            </a:r>
          </a:p>
        </c:rich>
      </c:tx>
      <c:layout/>
    </c:title>
    <c:plotArea>
      <c:layout>
        <c:manualLayout>
          <c:layoutTarget val="inner"/>
          <c:xMode val="edge"/>
          <c:yMode val="edge"/>
          <c:x val="0.10558573928259021"/>
          <c:y val="0.18248665546020326"/>
          <c:w val="0.73898253855187712"/>
          <c:h val="0.66713881270459863"/>
        </c:manualLayout>
      </c:layout>
      <c:lineChart>
        <c:grouping val="standard"/>
        <c:ser>
          <c:idx val="0"/>
          <c:order val="0"/>
          <c:trendline>
            <c:spPr>
              <a:ln>
                <a:solidFill>
                  <a:srgbClr val="FFFF00"/>
                </a:solidFill>
              </a:ln>
            </c:spPr>
            <c:trendlineType val="linear"/>
            <c:dispRSqr val="1"/>
            <c:dispEq val="1"/>
            <c:trendlineLbl>
              <c:layout>
                <c:manualLayout>
                  <c:x val="-0.39885821964562429"/>
                  <c:y val="4.4291706527338553E-3"/>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cat>
            <c:numRef>
              <c:f>'Yearly 12'!$B$6:$B$13</c:f>
              <c:numCache>
                <c:formatCode>General</c:formatCode>
                <c:ptCount val="8"/>
                <c:pt idx="0">
                  <c:v>2005</c:v>
                </c:pt>
                <c:pt idx="1">
                  <c:v>2006</c:v>
                </c:pt>
                <c:pt idx="2">
                  <c:v>2007</c:v>
                </c:pt>
                <c:pt idx="3">
                  <c:v>2008</c:v>
                </c:pt>
                <c:pt idx="4">
                  <c:v>2009</c:v>
                </c:pt>
                <c:pt idx="5">
                  <c:v>2010</c:v>
                </c:pt>
                <c:pt idx="6">
                  <c:v>2011</c:v>
                </c:pt>
                <c:pt idx="7">
                  <c:v>2012</c:v>
                </c:pt>
              </c:numCache>
            </c:numRef>
          </c:cat>
          <c:val>
            <c:numRef>
              <c:f>'Yearly 12'!$D$6:$D$13</c:f>
              <c:numCache>
                <c:formatCode>General</c:formatCode>
                <c:ptCount val="8"/>
                <c:pt idx="0" formatCode="0.00">
                  <c:v>0.97000000000000064</c:v>
                </c:pt>
                <c:pt idx="1">
                  <c:v>1.29</c:v>
                </c:pt>
                <c:pt idx="2" formatCode="0.00">
                  <c:v>1.1399999999999972</c:v>
                </c:pt>
                <c:pt idx="3" formatCode="0.00">
                  <c:v>1.4</c:v>
                </c:pt>
                <c:pt idx="4" formatCode="0.00">
                  <c:v>1.52</c:v>
                </c:pt>
                <c:pt idx="5" formatCode="0.00">
                  <c:v>1.23</c:v>
                </c:pt>
                <c:pt idx="6" formatCode="0.00">
                  <c:v>1.08</c:v>
                </c:pt>
                <c:pt idx="7">
                  <c:v>1.1399999999999972</c:v>
                </c:pt>
              </c:numCache>
            </c:numRef>
          </c:val>
        </c:ser>
        <c:marker val="1"/>
        <c:axId val="45814912"/>
        <c:axId val="45816448"/>
      </c:lineChart>
      <c:catAx>
        <c:axId val="4581491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5816448"/>
        <c:crosses val="autoZero"/>
        <c:auto val="1"/>
        <c:lblAlgn val="ctr"/>
        <c:lblOffset val="100"/>
      </c:catAx>
      <c:valAx>
        <c:axId val="45816448"/>
        <c:scaling>
          <c:orientation val="minMax"/>
        </c:scaling>
        <c:axPos val="l"/>
        <c:majorGridlines/>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5814912"/>
        <c:crosses val="autoZero"/>
        <c:crossBetween val="between"/>
      </c:valAx>
      <c:spPr>
        <a:solidFill>
          <a:srgbClr val="00B050">
            <a:alpha val="30000"/>
          </a:srgbClr>
        </a:solidFill>
      </c:spPr>
    </c:plotArea>
    <c:legend>
      <c:legendPos val="r"/>
      <c:layout>
        <c:manualLayout>
          <c:xMode val="edge"/>
          <c:yMode val="edge"/>
          <c:x val="0.74009940567774168"/>
          <c:y val="7.2292213473315894E-2"/>
          <c:w val="0.25044061302681986"/>
          <c:h val="0.11935920888676795"/>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050" b="1" i="0" u="none" strike="noStrike" baseline="0">
                <a:solidFill>
                  <a:srgbClr val="000000"/>
                </a:solidFill>
                <a:latin typeface="Arial"/>
                <a:ea typeface="Arial"/>
                <a:cs typeface="Arial"/>
              </a:defRPr>
            </a:pPr>
            <a:r>
              <a:rPr lang="en-US"/>
              <a:t>MAIFI</a:t>
            </a:r>
          </a:p>
        </c:rich>
      </c:tx>
      <c:layout>
        <c:manualLayout>
          <c:xMode val="edge"/>
          <c:yMode val="edge"/>
          <c:x val="9.0756382724887688E-2"/>
          <c:y val="2.1474651194916424E-2"/>
        </c:manualLayout>
      </c:layout>
      <c:spPr>
        <a:noFill/>
        <a:ln w="25400">
          <a:noFill/>
        </a:ln>
      </c:spPr>
    </c:title>
    <c:plotArea>
      <c:layout>
        <c:manualLayout>
          <c:layoutTarget val="inner"/>
          <c:xMode val="edge"/>
          <c:yMode val="edge"/>
          <c:x val="0.17246604275475674"/>
          <c:y val="0.29045511246578049"/>
          <c:w val="0.74686179379092754"/>
          <c:h val="0.55085936838540361"/>
        </c:manualLayout>
      </c:layout>
      <c:barChart>
        <c:barDir val="col"/>
        <c:grouping val="stacked"/>
        <c:ser>
          <c:idx val="0"/>
          <c:order val="0"/>
          <c:tx>
            <c:v>Excluding Major Events</c:v>
          </c:tx>
          <c:spPr>
            <a:gradFill flip="none" rotWithShape="1">
              <a:gsLst>
                <a:gs pos="50000">
                  <a:srgbClr val="9999FF"/>
                </a:gs>
                <a:gs pos="100000">
                  <a:srgbClr val="9999FF">
                    <a:gamma/>
                    <a:shade val="46275"/>
                    <a:invGamma/>
                  </a:srgbClr>
                </a:gs>
              </a:gsLst>
              <a:lin ang="10800000" scaled="1"/>
              <a:tileRect/>
            </a:gradFill>
            <a:ln w="12700">
              <a:solidFill>
                <a:schemeClr val="tx1"/>
              </a:solidFill>
              <a:prstDash val="solid"/>
            </a:ln>
          </c:spPr>
          <c:dPt>
            <c:idx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w="12700">
                <a:solidFill>
                  <a:schemeClr val="tx1"/>
                </a:solidFill>
                <a:prstDash val="solid"/>
              </a:ln>
            </c:spPr>
          </c:dPt>
          <c:dPt>
            <c:idx val="1"/>
            <c:spPr>
              <a:gradFill flip="none" rotWithShape="1">
                <a:gsLst>
                  <a:gs pos="50000">
                    <a:srgbClr val="9999FF"/>
                  </a:gs>
                  <a:gs pos="100000">
                    <a:srgbClr val="9999FF">
                      <a:gamma/>
                      <a:shade val="46275"/>
                      <a:invGamma/>
                    </a:srgbClr>
                  </a:gs>
                </a:gsLst>
                <a:lin ang="10800000" scaled="1"/>
                <a:tileRect/>
              </a:gradFill>
              <a:ln w="12700">
                <a:solidFill>
                  <a:schemeClr val="tx1"/>
                </a:solidFill>
                <a:prstDash val="solid"/>
              </a:ln>
              <a:effectLst/>
            </c:spPr>
          </c:dPt>
          <c:dPt>
            <c:idx val="6"/>
            <c:spPr>
              <a:gradFill flip="none" rotWithShape="1">
                <a:gsLst>
                  <a:gs pos="50000">
                    <a:srgbClr val="9999FF"/>
                  </a:gs>
                  <a:gs pos="100000">
                    <a:srgbClr val="9999FF">
                      <a:gamma/>
                      <a:shade val="46275"/>
                      <a:invGamma/>
                    </a:srgbClr>
                  </a:gs>
                </a:gsLst>
                <a:lin ang="10800000" scaled="1"/>
                <a:tileRect/>
              </a:gradFill>
              <a:ln>
                <a:solidFill>
                  <a:schemeClr val="tx1"/>
                </a:solidFill>
              </a:ln>
            </c:spPr>
          </c:dPt>
          <c:dPt>
            <c:idx val="7"/>
            <c:spPr>
              <a:gradFill flip="none" rotWithShape="1">
                <a:gsLst>
                  <a:gs pos="50000">
                    <a:srgbClr val="9999FF"/>
                  </a:gs>
                  <a:gs pos="100000">
                    <a:srgbClr val="9999FF">
                      <a:gamma/>
                      <a:shade val="46275"/>
                      <a:invGamma/>
                    </a:srgbClr>
                  </a:gs>
                </a:gsLst>
                <a:lin ang="10800000" scaled="1"/>
                <a:tileRect/>
              </a:gradFill>
              <a:ln w="12700">
                <a:solidFill>
                  <a:schemeClr val="tx1"/>
                </a:solidFill>
                <a:prstDash val="solid"/>
              </a:ln>
              <a:effectLst/>
            </c:spPr>
          </c:dPt>
          <c:dPt>
            <c:idx val="8"/>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12700">
                <a:solidFill>
                  <a:schemeClr val="tx1"/>
                </a:solidFill>
                <a:prstDash val="solid"/>
              </a:ln>
            </c:spPr>
          </c:dPt>
          <c:dLbls>
            <c:spPr>
              <a:noFill/>
              <a:ln w="25400">
                <a:noFill/>
              </a:ln>
            </c:spPr>
            <c:txPr>
              <a:bodyPr/>
              <a:lstStyle/>
              <a:p>
                <a:pPr>
                  <a:defRPr sz="1000" b="1" i="0" u="none" strike="noStrike" baseline="0">
                    <a:solidFill>
                      <a:srgbClr val="000000"/>
                    </a:solidFill>
                    <a:latin typeface="Arial"/>
                    <a:ea typeface="Arial"/>
                    <a:cs typeface="Arial"/>
                  </a:defRPr>
                </a:pPr>
                <a:endParaRPr lang="en-US"/>
              </a:p>
            </c:txPr>
            <c:showVal val="1"/>
          </c:dLbls>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12'!$G$6:$G$14</c:f>
              <c:numCache>
                <c:formatCode>General</c:formatCode>
                <c:ptCount val="9"/>
                <c:pt idx="0" formatCode="0.00">
                  <c:v>3.58</c:v>
                </c:pt>
                <c:pt idx="1">
                  <c:v>4.59</c:v>
                </c:pt>
                <c:pt idx="2" formatCode="0.00">
                  <c:v>4.22</c:v>
                </c:pt>
                <c:pt idx="3" formatCode="0.00">
                  <c:v>4.22</c:v>
                </c:pt>
                <c:pt idx="4" formatCode="0.00">
                  <c:v>4.2300000000000004</c:v>
                </c:pt>
                <c:pt idx="5" formatCode="0.00">
                  <c:v>2.9299999999999997</c:v>
                </c:pt>
                <c:pt idx="6" formatCode="0.00">
                  <c:v>2.42</c:v>
                </c:pt>
                <c:pt idx="7">
                  <c:v>2.63</c:v>
                </c:pt>
                <c:pt idx="8" formatCode="0.00">
                  <c:v>5.5158077012903179</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12'!$H$6:$H$14</c:f>
              <c:numCache>
                <c:formatCode>General</c:formatCode>
                <c:ptCount val="9"/>
                <c:pt idx="0" formatCode="0.00">
                  <c:v>0.62000000000000133</c:v>
                </c:pt>
                <c:pt idx="1">
                  <c:v>0.78000000000000025</c:v>
                </c:pt>
                <c:pt idx="2" formatCode="0.00">
                  <c:v>0.47000000000000081</c:v>
                </c:pt>
                <c:pt idx="3" formatCode="0.00">
                  <c:v>1.0100000000000007</c:v>
                </c:pt>
                <c:pt idx="4" formatCode="0.00">
                  <c:v>0</c:v>
                </c:pt>
                <c:pt idx="5" formatCode="0.00">
                  <c:v>0.41000000000000031</c:v>
                </c:pt>
                <c:pt idx="6" formatCode="0.00">
                  <c:v>0</c:v>
                </c:pt>
                <c:pt idx="7">
                  <c:v>0.11000000000000032</c:v>
                </c:pt>
              </c:numCache>
            </c:numRef>
          </c:val>
        </c:ser>
        <c:gapWidth val="250"/>
        <c:overlap val="100"/>
        <c:axId val="46085632"/>
        <c:axId val="46087168"/>
      </c:barChart>
      <c:catAx>
        <c:axId val="46085632"/>
        <c:scaling>
          <c:orientation val="minMax"/>
        </c:scaling>
        <c:axPos val="b"/>
        <c:numFmt formatCode="General" sourceLinked="1"/>
        <c:tickLblPos val="nextTo"/>
        <c:spPr>
          <a:ln w="3175">
            <a:solidFill>
              <a:srgbClr val="000000"/>
            </a:solidFill>
            <a:prstDash val="solid"/>
          </a:ln>
        </c:spPr>
        <c:txPr>
          <a:bodyPr rot="-2700000" vert="horz"/>
          <a:lstStyle/>
          <a:p>
            <a:pPr>
              <a:defRPr sz="1125" b="0" i="0" u="none" strike="noStrike" baseline="0">
                <a:solidFill>
                  <a:srgbClr val="000000"/>
                </a:solidFill>
                <a:latin typeface="Arial"/>
                <a:ea typeface="Arial"/>
                <a:cs typeface="Arial"/>
              </a:defRPr>
            </a:pPr>
            <a:endParaRPr lang="en-US"/>
          </a:p>
        </c:txPr>
        <c:crossAx val="46087168"/>
        <c:crosses val="autoZero"/>
        <c:auto val="1"/>
        <c:lblAlgn val="ctr"/>
        <c:lblOffset val="100"/>
        <c:tickLblSkip val="1"/>
        <c:tickMarkSkip val="1"/>
      </c:catAx>
      <c:valAx>
        <c:axId val="46087168"/>
        <c:scaling>
          <c:orientation val="minMax"/>
          <c:max val="6"/>
          <c:min val="0"/>
        </c:scaling>
        <c:axPos val="l"/>
        <c:majorGridlines>
          <c:spPr>
            <a:ln w="3175">
              <a:solidFill>
                <a:srgbClr val="000000"/>
              </a:solidFill>
              <a:prstDash val="solid"/>
            </a:ln>
          </c:spPr>
        </c:majorGridlines>
        <c:title>
          <c:tx>
            <c:rich>
              <a:bodyPr/>
              <a:lstStyle/>
              <a:p>
                <a:pPr>
                  <a:defRPr sz="1125" b="0" i="0" u="none" strike="noStrike" baseline="0">
                    <a:solidFill>
                      <a:srgbClr val="000000"/>
                    </a:solidFill>
                    <a:latin typeface="Arial"/>
                    <a:ea typeface="Arial"/>
                    <a:cs typeface="Arial"/>
                  </a:defRPr>
                </a:pPr>
                <a:r>
                  <a:rPr lang="en-US"/>
                  <a:t>Momentary Interuptions / Customer</a:t>
                </a:r>
              </a:p>
            </c:rich>
          </c:tx>
          <c:layout>
            <c:manualLayout>
              <c:xMode val="edge"/>
              <c:yMode val="edge"/>
              <c:x val="4.8614933234355812E-2"/>
              <c:y val="0.33566238430722756"/>
            </c:manualLayout>
          </c:layout>
          <c:spPr>
            <a:noFill/>
            <a:ln w="25400">
              <a:noFill/>
            </a:ln>
          </c:spPr>
        </c:title>
        <c:numFmt formatCode="0.0"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a:ea typeface="Arial"/>
                <a:cs typeface="Arial"/>
              </a:defRPr>
            </a:pPr>
            <a:endParaRPr lang="en-US"/>
          </a:p>
        </c:txPr>
        <c:crossAx val="46085632"/>
        <c:crosses val="autoZero"/>
        <c:crossBetween val="between"/>
      </c:valAx>
      <c:spPr>
        <a:noFill/>
        <a:ln w="25400">
          <a:noFill/>
        </a:ln>
      </c:spPr>
    </c:plotArea>
    <c:legend>
      <c:legendPos val="t"/>
      <c:layout>
        <c:manualLayout>
          <c:xMode val="edge"/>
          <c:yMode val="edge"/>
          <c:x val="0.24873953887077352"/>
          <c:y val="2.7917069576829441E-2"/>
          <c:w val="0.26218492890409045"/>
          <c:h val="0.12240525855320772"/>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25" b="1" i="0" u="none" strike="noStrike" baseline="0">
                <a:solidFill>
                  <a:srgbClr val="000000"/>
                </a:solidFill>
                <a:latin typeface="Arial"/>
                <a:ea typeface="Arial"/>
                <a:cs typeface="Arial"/>
              </a:defRPr>
            </a:pPr>
            <a:r>
              <a:rPr lang="en-US"/>
              <a:t>Momentary Outage 2012 vs 2006-2011 Average</a:t>
            </a:r>
          </a:p>
        </c:rich>
      </c:tx>
      <c:layout>
        <c:manualLayout>
          <c:xMode val="edge"/>
          <c:yMode val="edge"/>
          <c:x val="0.12066673013023657"/>
          <c:y val="3.3845216861704497E-2"/>
        </c:manualLayout>
      </c:layout>
      <c:spPr>
        <a:noFill/>
        <a:ln w="25400">
          <a:noFill/>
        </a:ln>
      </c:spPr>
    </c:title>
    <c:plotArea>
      <c:layout>
        <c:manualLayout>
          <c:layoutTarget val="inner"/>
          <c:xMode val="edge"/>
          <c:yMode val="edge"/>
          <c:x val="0.20685731087740453"/>
          <c:y val="0.20871232187500327"/>
          <c:w val="0.76881967209435342"/>
          <c:h val="0.70510919552365869"/>
        </c:manualLayout>
      </c:layout>
      <c:barChart>
        <c:barDir val="col"/>
        <c:grouping val="clustered"/>
        <c:ser>
          <c:idx val="0"/>
          <c:order val="0"/>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cat>
            <c:strRef>
              <c:f>'Yearly Average calcs'!$Q$65:$Q$76</c:f>
              <c:strCache>
                <c:ptCount val="12"/>
                <c:pt idx="0">
                  <c:v>ANIMAL</c:v>
                </c:pt>
                <c:pt idx="1">
                  <c:v>PUBLIC</c:v>
                </c:pt>
                <c:pt idx="2">
                  <c:v>MISCELLANEOUS</c:v>
                </c:pt>
                <c:pt idx="3">
                  <c:v>POLE FIRE</c:v>
                </c:pt>
                <c:pt idx="4">
                  <c:v>PLANNED</c:v>
                </c:pt>
                <c:pt idx="5">
                  <c:v>TREE</c:v>
                </c:pt>
                <c:pt idx="6">
                  <c:v>UNDETERMINED</c:v>
                </c:pt>
                <c:pt idx="7">
                  <c:v>WEATHER</c:v>
                </c:pt>
                <c:pt idx="8">
                  <c:v>COMPANY</c:v>
                </c:pt>
                <c:pt idx="9">
                  <c:v>EQUIPMENT OH</c:v>
                </c:pt>
                <c:pt idx="10">
                  <c:v>EQUIPMENT SUB</c:v>
                </c:pt>
                <c:pt idx="11">
                  <c:v>EQUIPMENT UG</c:v>
                </c:pt>
              </c:strCache>
            </c:strRef>
          </c:cat>
          <c:val>
            <c:numRef>
              <c:f>'Yearly Average calcs'!$P$65:$P$76</c:f>
              <c:numCache>
                <c:formatCode>0</c:formatCode>
                <c:ptCount val="12"/>
                <c:pt idx="0">
                  <c:v>-26630.83333333331</c:v>
                </c:pt>
                <c:pt idx="1">
                  <c:v>-17063</c:v>
                </c:pt>
                <c:pt idx="2">
                  <c:v>523</c:v>
                </c:pt>
                <c:pt idx="3">
                  <c:v>-7629</c:v>
                </c:pt>
                <c:pt idx="4">
                  <c:v>-4374.3333333333294</c:v>
                </c:pt>
                <c:pt idx="5">
                  <c:v>-7555.8333333333294</c:v>
                </c:pt>
                <c:pt idx="6">
                  <c:v>-323850.33333333378</c:v>
                </c:pt>
                <c:pt idx="7">
                  <c:v>45758.833333333336</c:v>
                </c:pt>
                <c:pt idx="8">
                  <c:v>-6470</c:v>
                </c:pt>
                <c:pt idx="9">
                  <c:v>-31307.166666666657</c:v>
                </c:pt>
                <c:pt idx="10">
                  <c:v>277.5</c:v>
                </c:pt>
                <c:pt idx="11">
                  <c:v>-14207</c:v>
                </c:pt>
              </c:numCache>
            </c:numRef>
          </c:val>
        </c:ser>
        <c:axId val="46115840"/>
        <c:axId val="46129920"/>
      </c:barChart>
      <c:catAx>
        <c:axId val="46115840"/>
        <c:scaling>
          <c:orientation val="minMax"/>
        </c:scaling>
        <c:axPos val="b"/>
        <c:numFmt formatCode="General" sourceLinked="1"/>
        <c:tickLblPos val="nextTo"/>
        <c:spPr>
          <a:ln w="3175">
            <a:solidFill>
              <a:srgbClr val="000000"/>
            </a:solidFill>
            <a:prstDash val="solid"/>
          </a:ln>
        </c:spPr>
        <c:txPr>
          <a:bodyPr rot="-2700000" vert="horz"/>
          <a:lstStyle/>
          <a:p>
            <a:pPr>
              <a:defRPr sz="875" b="0" i="0" u="none" strike="noStrike" baseline="0">
                <a:solidFill>
                  <a:srgbClr val="000000"/>
                </a:solidFill>
                <a:latin typeface="Arial"/>
                <a:ea typeface="Arial"/>
                <a:cs typeface="Arial"/>
              </a:defRPr>
            </a:pPr>
            <a:endParaRPr lang="en-US"/>
          </a:p>
        </c:txPr>
        <c:crossAx val="46129920"/>
        <c:crosses val="autoZero"/>
        <c:auto val="1"/>
        <c:lblAlgn val="ctr"/>
        <c:lblOffset val="100"/>
        <c:tickLblSkip val="1"/>
        <c:tickMarkSkip val="1"/>
      </c:catAx>
      <c:valAx>
        <c:axId val="46129920"/>
        <c:scaling>
          <c:orientation val="minMax"/>
        </c:scaling>
        <c:axPos val="l"/>
        <c:majorGridlines>
          <c:spPr>
            <a:ln w="3175">
              <a:solidFill>
                <a:srgbClr val="000000"/>
              </a:solidFill>
              <a:prstDash val="solid"/>
            </a:ln>
          </c:spPr>
        </c:majorGridlines>
        <c:title>
          <c:tx>
            <c:rich>
              <a:bodyPr/>
              <a:lstStyle/>
              <a:p>
                <a:pPr>
                  <a:defRPr sz="1175" b="1" i="0" u="none" strike="noStrike" baseline="0">
                    <a:solidFill>
                      <a:srgbClr val="000000"/>
                    </a:solidFill>
                    <a:latin typeface="Arial"/>
                    <a:ea typeface="Arial"/>
                    <a:cs typeface="Arial"/>
                  </a:defRPr>
                </a:pPr>
                <a:r>
                  <a:rPr lang="en-US"/>
                  <a:t># Customers Affected</a:t>
                </a:r>
              </a:p>
            </c:rich>
          </c:tx>
          <c:layout>
            <c:manualLayout>
              <c:xMode val="edge"/>
              <c:yMode val="edge"/>
              <c:x val="2.7581086043001111E-2"/>
              <c:y val="0.32152985020518848"/>
            </c:manualLayout>
          </c:layout>
          <c:spPr>
            <a:noFill/>
            <a:ln w="25400">
              <a:noFill/>
            </a:ln>
          </c:spPr>
        </c:title>
        <c:numFmt formatCode="0" sourceLinked="1"/>
        <c:tickLblPos val="nextTo"/>
        <c:spPr>
          <a:ln w="3175">
            <a:solidFill>
              <a:srgbClr val="000000"/>
            </a:solidFill>
            <a:prstDash val="solid"/>
          </a:ln>
        </c:spPr>
        <c:txPr>
          <a:bodyPr rot="0" vert="horz"/>
          <a:lstStyle/>
          <a:p>
            <a:pPr>
              <a:defRPr sz="1175" b="0" i="0" u="none" strike="noStrike" baseline="0">
                <a:solidFill>
                  <a:srgbClr val="000000"/>
                </a:solidFill>
                <a:latin typeface="Arial"/>
                <a:ea typeface="Arial"/>
                <a:cs typeface="Arial"/>
              </a:defRPr>
            </a:pPr>
            <a:endParaRPr lang="en-US"/>
          </a:p>
        </c:txPr>
        <c:crossAx val="46115840"/>
        <c:crosses val="autoZero"/>
        <c:crossBetween val="between"/>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400" b="1" i="0" u="none" strike="noStrike" baseline="0">
                <a:solidFill>
                  <a:srgbClr val="000000"/>
                </a:solidFill>
                <a:latin typeface="Arial"/>
                <a:ea typeface="Arial"/>
                <a:cs typeface="Arial"/>
              </a:defRPr>
            </a:pPr>
            <a:r>
              <a:rPr lang="en-US"/>
              <a:t>SAIDI</a:t>
            </a:r>
          </a:p>
        </c:rich>
      </c:tx>
      <c:layout>
        <c:manualLayout>
          <c:xMode val="edge"/>
          <c:yMode val="edge"/>
          <c:x val="8.3807654884260965E-2"/>
          <c:y val="3.4695598782800006E-2"/>
        </c:manualLayout>
      </c:layout>
      <c:spPr>
        <a:noFill/>
        <a:ln w="25400">
          <a:noFill/>
        </a:ln>
      </c:spPr>
    </c:title>
    <c:plotArea>
      <c:layout>
        <c:manualLayout>
          <c:layoutTarget val="inner"/>
          <c:xMode val="edge"/>
          <c:yMode val="edge"/>
          <c:x val="0.24203402553955369"/>
          <c:y val="0.20957321511281676"/>
          <c:w val="0.71302109257068857"/>
          <c:h val="0.59073751075232839"/>
        </c:manualLayout>
      </c:layout>
      <c:barChart>
        <c:barDir val="col"/>
        <c:grouping val="stacked"/>
        <c:ser>
          <c:idx val="0"/>
          <c:order val="0"/>
          <c:tx>
            <c:v>Excluding Major Events</c:v>
          </c:tx>
          <c:spPr>
            <a:gradFill flip="none" rotWithShape="1">
              <a:gsLst>
                <a:gs pos="0">
                  <a:srgbClr val="4F81BD">
                    <a:lumMod val="75000"/>
                  </a:srgbClr>
                </a:gs>
                <a:gs pos="50000">
                  <a:srgbClr val="9999FF"/>
                </a:gs>
                <a:gs pos="100000">
                  <a:srgbClr val="9999FF">
                    <a:gamma/>
                    <a:shade val="46275"/>
                    <a:invGamma/>
                  </a:srgbClr>
                </a:gs>
              </a:gsLst>
              <a:lin ang="0" scaled="1"/>
              <a:tileRect/>
            </a:gradFill>
            <a:ln w="12700">
              <a:solidFill>
                <a:srgbClr val="000000"/>
              </a:solidFill>
              <a:prstDash val="solid"/>
            </a:ln>
          </c:spPr>
          <c:dPt>
            <c:idx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w="12700">
                <a:solidFill>
                  <a:srgbClr val="000000"/>
                </a:solidFill>
                <a:prstDash val="solid"/>
              </a:ln>
            </c:spPr>
          </c:dPt>
          <c:dPt>
            <c:idx val="6"/>
            <c:spPr>
              <a:gradFill flip="none" rotWithShape="1">
                <a:gsLst>
                  <a:gs pos="0">
                    <a:srgbClr val="4F81BD">
                      <a:lumMod val="75000"/>
                    </a:srgbClr>
                  </a:gs>
                  <a:gs pos="50000">
                    <a:srgbClr val="9999FF"/>
                  </a:gs>
                  <a:gs pos="100000">
                    <a:srgbClr val="9999FF">
                      <a:gamma/>
                      <a:shade val="46275"/>
                      <a:invGamma/>
                    </a:srgbClr>
                  </a:gs>
                </a:gsLst>
                <a:lin ang="0" scaled="1"/>
                <a:tileRect/>
              </a:gradFill>
              <a:ln w="12700">
                <a:solidFill>
                  <a:srgbClr val="000000"/>
                </a:solidFill>
              </a:ln>
              <a:effectLst/>
            </c:spPr>
          </c:dPt>
          <c:dPt>
            <c:idx val="8"/>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12700">
                <a:solidFill>
                  <a:srgbClr val="000000"/>
                </a:solidFill>
                <a:prstDash val="solid"/>
              </a:ln>
            </c:spPr>
          </c:dPt>
          <c:dLbls>
            <c:spPr>
              <a:noFill/>
              <a:ln w="25400">
                <a:noFill/>
              </a:ln>
            </c:spPr>
            <c:txPr>
              <a:bodyPr/>
              <a:lstStyle/>
              <a:p>
                <a:pPr>
                  <a:defRPr sz="1000" b="1" i="0" u="none" strike="noStrike" baseline="0">
                    <a:solidFill>
                      <a:srgbClr val="000000"/>
                    </a:solidFill>
                    <a:latin typeface="Arial"/>
                    <a:ea typeface="Arial"/>
                    <a:cs typeface="Arial"/>
                  </a:defRPr>
                </a:pPr>
                <a:endParaRPr lang="en-US"/>
              </a:p>
            </c:txPr>
            <c:showVal val="1"/>
          </c:dLbls>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12'!$J$6:$J$14</c:f>
              <c:numCache>
                <c:formatCode>General</c:formatCode>
                <c:ptCount val="9"/>
                <c:pt idx="0" formatCode="0">
                  <c:v>108</c:v>
                </c:pt>
                <c:pt idx="1">
                  <c:v>143</c:v>
                </c:pt>
                <c:pt idx="2" formatCode="0">
                  <c:v>132</c:v>
                </c:pt>
                <c:pt idx="3" formatCode="0">
                  <c:v>159</c:v>
                </c:pt>
                <c:pt idx="4" formatCode="0">
                  <c:v>193</c:v>
                </c:pt>
                <c:pt idx="5" formatCode="0">
                  <c:v>146</c:v>
                </c:pt>
                <c:pt idx="6" formatCode="0">
                  <c:v>118</c:v>
                </c:pt>
                <c:pt idx="7">
                  <c:v>138</c:v>
                </c:pt>
                <c:pt idx="8" formatCode="0">
                  <c:v>200.11007653549837</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12'!$K$6:$K$14</c:f>
              <c:numCache>
                <c:formatCode>General</c:formatCode>
                <c:ptCount val="9"/>
                <c:pt idx="0" formatCode="0">
                  <c:v>68</c:v>
                </c:pt>
                <c:pt idx="1">
                  <c:v>231</c:v>
                </c:pt>
                <c:pt idx="2" formatCode="0.00">
                  <c:v>77</c:v>
                </c:pt>
                <c:pt idx="3" formatCode="0.00">
                  <c:v>68</c:v>
                </c:pt>
                <c:pt idx="4" formatCode="0.00">
                  <c:v>0</c:v>
                </c:pt>
                <c:pt idx="5" formatCode="0.00">
                  <c:v>90</c:v>
                </c:pt>
                <c:pt idx="6" formatCode="0.00">
                  <c:v>0</c:v>
                </c:pt>
                <c:pt idx="7">
                  <c:v>25</c:v>
                </c:pt>
                <c:pt idx="8" formatCode="[h]:mm:ss">
                  <c:v>0.13896533092743021</c:v>
                </c:pt>
              </c:numCache>
            </c:numRef>
          </c:val>
        </c:ser>
        <c:gapWidth val="250"/>
        <c:overlap val="100"/>
        <c:axId val="46172800"/>
        <c:axId val="46186880"/>
      </c:barChart>
      <c:catAx>
        <c:axId val="46172800"/>
        <c:scaling>
          <c:orientation val="minMax"/>
        </c:scaling>
        <c:axPos val="b"/>
        <c:numFmt formatCode="General" sourceLinked="1"/>
        <c:tickLblPos val="nextTo"/>
        <c:spPr>
          <a:ln w="3175">
            <a:solidFill>
              <a:srgbClr val="000000"/>
            </a:solidFill>
            <a:prstDash val="solid"/>
          </a:ln>
        </c:spPr>
        <c:txPr>
          <a:bodyPr rot="-2700000" vert="horz"/>
          <a:lstStyle/>
          <a:p>
            <a:pPr>
              <a:defRPr sz="1050" b="0" i="0" u="none" strike="noStrike" baseline="0">
                <a:solidFill>
                  <a:srgbClr val="000000"/>
                </a:solidFill>
                <a:latin typeface="Arial"/>
                <a:ea typeface="Arial"/>
                <a:cs typeface="Arial"/>
              </a:defRPr>
            </a:pPr>
            <a:endParaRPr lang="en-US"/>
          </a:p>
        </c:txPr>
        <c:crossAx val="46186880"/>
        <c:crosses val="autoZero"/>
        <c:auto val="1"/>
        <c:lblAlgn val="ctr"/>
        <c:lblOffset val="100"/>
        <c:tickLblSkip val="1"/>
        <c:tickMarkSkip val="1"/>
      </c:catAx>
      <c:valAx>
        <c:axId val="46186880"/>
        <c:scaling>
          <c:orientation val="minMax"/>
          <c:min val="0"/>
        </c:scaling>
        <c:axPos val="l"/>
        <c:majorGridlines>
          <c:spPr>
            <a:ln w="3175">
              <a:solidFill>
                <a:srgbClr val="000000"/>
              </a:solidFill>
              <a:prstDash val="solid"/>
            </a:ln>
          </c:spPr>
        </c:majorGridlines>
        <c:title>
          <c:tx>
            <c:rich>
              <a:bodyPr/>
              <a:lstStyle/>
              <a:p>
                <a:pPr>
                  <a:defRPr sz="1150" b="0" i="0" u="none" strike="noStrike" baseline="0">
                    <a:solidFill>
                      <a:srgbClr val="000000"/>
                    </a:solidFill>
                    <a:latin typeface="Arial"/>
                    <a:ea typeface="Arial"/>
                    <a:cs typeface="Arial"/>
                  </a:defRPr>
                </a:pPr>
                <a:r>
                  <a:rPr lang="en-US"/>
                  <a:t>Sustained Interuption Duratrion / Customer  (Customer-min)</a:t>
                </a:r>
              </a:p>
            </c:rich>
          </c:tx>
          <c:layout>
            <c:manualLayout>
              <c:xMode val="edge"/>
              <c:yMode val="edge"/>
              <c:x val="7.604778374665784E-2"/>
              <c:y val="0.23016281062553537"/>
            </c:manualLayout>
          </c:layout>
          <c:spPr>
            <a:noFill/>
            <a:ln w="25400">
              <a:noFill/>
            </a:ln>
          </c:spPr>
        </c:title>
        <c:numFmt formatCode="0" sourceLinked="0"/>
        <c:tickLblPos val="nextTo"/>
        <c:spPr>
          <a:ln w="3175">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46172800"/>
        <c:crosses val="autoZero"/>
        <c:crossBetween val="between"/>
        <c:majorUnit val="40"/>
      </c:valAx>
      <c:spPr>
        <a:noFill/>
        <a:ln w="25400">
          <a:noFill/>
        </a:ln>
      </c:spPr>
    </c:plotArea>
    <c:legend>
      <c:legendPos val="t"/>
      <c:layout>
        <c:manualLayout>
          <c:xMode val="edge"/>
          <c:yMode val="edge"/>
          <c:x val="0.22814318770901301"/>
          <c:y val="1.1565289557314343E-2"/>
          <c:w val="0.24211118470004406"/>
          <c:h val="0.13184327537463986"/>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800" b="1" i="0" u="none" strike="noStrike" baseline="0">
                <a:solidFill>
                  <a:srgbClr val="000000"/>
                </a:solidFill>
                <a:latin typeface="Calibri"/>
                <a:ea typeface="Calibri"/>
                <a:cs typeface="Calibri"/>
              </a:defRPr>
            </a:pPr>
            <a:r>
              <a:rPr lang="en-US"/>
              <a:t>Linear Trend for SAIDI without MEDs</a:t>
            </a:r>
          </a:p>
        </c:rich>
      </c:tx>
      <c:layout>
        <c:manualLayout>
          <c:xMode val="edge"/>
          <c:yMode val="edge"/>
          <c:x val="0.15601351122357912"/>
          <c:y val="2.3715494008289179E-2"/>
        </c:manualLayout>
      </c:layout>
    </c:title>
    <c:plotArea>
      <c:layout>
        <c:manualLayout>
          <c:layoutTarget val="inner"/>
          <c:xMode val="edge"/>
          <c:yMode val="edge"/>
          <c:x val="6.9173151601663832E-2"/>
          <c:y val="0.16631446266845104"/>
          <c:w val="0.79953047535724397"/>
          <c:h val="0.7250655130559277"/>
        </c:manualLayout>
      </c:layout>
      <c:lineChart>
        <c:grouping val="standard"/>
        <c:ser>
          <c:idx val="0"/>
          <c:order val="0"/>
          <c:trendline>
            <c:spPr>
              <a:ln>
                <a:solidFill>
                  <a:srgbClr val="FFFF00"/>
                </a:solidFill>
              </a:ln>
            </c:spPr>
            <c:trendlineType val="linear"/>
            <c:dispRSqr val="1"/>
            <c:dispEq val="1"/>
            <c:trendlineLbl>
              <c:layout>
                <c:manualLayout>
                  <c:x val="-0.45811144065882775"/>
                  <c:y val="-0.13514656720541512"/>
                </c:manualLayout>
              </c:layout>
              <c:numFmt formatCode="General" sourceLinked="0"/>
              <c:txPr>
                <a:bodyPr/>
                <a:lstStyle/>
                <a:p>
                  <a:pPr>
                    <a:defRPr sz="1000" b="0" i="0" u="none" strike="noStrike" baseline="0">
                      <a:solidFill>
                        <a:srgbClr val="000000"/>
                      </a:solidFill>
                      <a:latin typeface="Calibri"/>
                      <a:ea typeface="Calibri"/>
                      <a:cs typeface="Calibri"/>
                    </a:defRPr>
                  </a:pPr>
                  <a:endParaRPr lang="en-US"/>
                </a:p>
              </c:txPr>
            </c:trendlineLbl>
          </c:trendline>
          <c:cat>
            <c:numRef>
              <c:f>'Yearly 12'!$B$6:$B$13</c:f>
              <c:numCache>
                <c:formatCode>General</c:formatCode>
                <c:ptCount val="8"/>
                <c:pt idx="0">
                  <c:v>2005</c:v>
                </c:pt>
                <c:pt idx="1">
                  <c:v>2006</c:v>
                </c:pt>
                <c:pt idx="2">
                  <c:v>2007</c:v>
                </c:pt>
                <c:pt idx="3">
                  <c:v>2008</c:v>
                </c:pt>
                <c:pt idx="4">
                  <c:v>2009</c:v>
                </c:pt>
                <c:pt idx="5">
                  <c:v>2010</c:v>
                </c:pt>
                <c:pt idx="6">
                  <c:v>2011</c:v>
                </c:pt>
                <c:pt idx="7">
                  <c:v>2012</c:v>
                </c:pt>
              </c:numCache>
            </c:numRef>
          </c:cat>
          <c:val>
            <c:numRef>
              <c:f>'Yearly 12'!$J$6:$J$13</c:f>
              <c:numCache>
                <c:formatCode>General</c:formatCode>
                <c:ptCount val="8"/>
                <c:pt idx="0" formatCode="0">
                  <c:v>108</c:v>
                </c:pt>
                <c:pt idx="1">
                  <c:v>143</c:v>
                </c:pt>
                <c:pt idx="2" formatCode="0">
                  <c:v>132</c:v>
                </c:pt>
                <c:pt idx="3" formatCode="0">
                  <c:v>159</c:v>
                </c:pt>
                <c:pt idx="4" formatCode="0">
                  <c:v>193</c:v>
                </c:pt>
                <c:pt idx="5" formatCode="0">
                  <c:v>146</c:v>
                </c:pt>
                <c:pt idx="6" formatCode="0">
                  <c:v>118</c:v>
                </c:pt>
                <c:pt idx="7">
                  <c:v>138</c:v>
                </c:pt>
              </c:numCache>
            </c:numRef>
          </c:val>
        </c:ser>
        <c:marker val="1"/>
        <c:axId val="46158976"/>
        <c:axId val="46160512"/>
      </c:lineChart>
      <c:catAx>
        <c:axId val="46158976"/>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160512"/>
        <c:crosses val="autoZero"/>
        <c:auto val="1"/>
        <c:lblAlgn val="ctr"/>
        <c:lblOffset val="100"/>
      </c:catAx>
      <c:valAx>
        <c:axId val="46160512"/>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46158976"/>
        <c:crosses val="autoZero"/>
        <c:crossBetween val="between"/>
      </c:valAx>
      <c:spPr>
        <a:solidFill>
          <a:srgbClr val="00B050">
            <a:alpha val="30000"/>
          </a:srgbClr>
        </a:solidFill>
      </c:spPr>
    </c:plotArea>
    <c:legend>
      <c:legendPos val="r"/>
      <c:layout>
        <c:manualLayout>
          <c:xMode val="edge"/>
          <c:yMode val="edge"/>
          <c:x val="0.7343176794435885"/>
          <c:y val="3.9148564874430913E-2"/>
          <c:w val="0.2606024318696189"/>
          <c:h val="0.12689760964865879"/>
        </c:manualLayout>
      </c:layout>
      <c:txPr>
        <a:bodyPr/>
        <a:lstStyle/>
        <a:p>
          <a:pPr>
            <a:defRPr sz="92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2225" b="1" i="0" u="none" strike="noStrike" baseline="0">
                <a:solidFill>
                  <a:srgbClr val="000000"/>
                </a:solidFill>
                <a:latin typeface="Arial"/>
                <a:ea typeface="Arial"/>
                <a:cs typeface="Arial"/>
              </a:defRPr>
            </a:pPr>
            <a:r>
              <a:rPr lang="en-US"/>
              <a:t>CAIDI</a:t>
            </a:r>
          </a:p>
        </c:rich>
      </c:tx>
      <c:layout>
        <c:manualLayout>
          <c:xMode val="edge"/>
          <c:yMode val="edge"/>
          <c:x val="8.5183319476369812E-2"/>
          <c:y val="3.4163736068939091E-2"/>
        </c:manualLayout>
      </c:layout>
      <c:spPr>
        <a:noFill/>
        <a:ln w="25400">
          <a:noFill/>
        </a:ln>
      </c:spPr>
    </c:title>
    <c:plotArea>
      <c:layout>
        <c:manualLayout>
          <c:layoutTarget val="inner"/>
          <c:xMode val="edge"/>
          <c:yMode val="edge"/>
          <c:x val="0.17191550633581484"/>
          <c:y val="0.28174821096080938"/>
          <c:w val="0.76924318344504461"/>
          <c:h val="0.57448190771025121"/>
        </c:manualLayout>
      </c:layout>
      <c:barChart>
        <c:barDir val="col"/>
        <c:grouping val="stacked"/>
        <c:ser>
          <c:idx val="0"/>
          <c:order val="0"/>
          <c:tx>
            <c:v>Excluding Major Events</c:v>
          </c:tx>
          <c:spPr>
            <a:gradFill flip="none" rotWithShape="1">
              <a:gsLst>
                <a:gs pos="0">
                  <a:srgbClr val="4F81BD">
                    <a:lumMod val="75000"/>
                  </a:srgbClr>
                </a:gs>
                <a:gs pos="50000">
                  <a:srgbClr val="9999FF"/>
                </a:gs>
                <a:gs pos="100000">
                  <a:srgbClr val="9999FF">
                    <a:gamma/>
                    <a:shade val="46275"/>
                    <a:invGamma/>
                  </a:srgbClr>
                </a:gs>
              </a:gsLst>
              <a:lin ang="0" scaled="1"/>
              <a:tileRect/>
            </a:gradFill>
            <a:ln w="12700">
              <a:solidFill>
                <a:schemeClr val="tx1"/>
              </a:solidFill>
              <a:prstDash val="solid"/>
            </a:ln>
          </c:spPr>
          <c:dPt>
            <c:idx val="0"/>
            <c:spPr>
              <a:gradFill flip="none" rotWithShape="1">
                <a:gsLst>
                  <a:gs pos="0">
                    <a:srgbClr val="00B050">
                      <a:shade val="30000"/>
                      <a:satMod val="115000"/>
                    </a:srgbClr>
                  </a:gs>
                  <a:gs pos="50000">
                    <a:srgbClr val="00B050">
                      <a:shade val="67500"/>
                      <a:satMod val="115000"/>
                    </a:srgbClr>
                  </a:gs>
                  <a:gs pos="100000">
                    <a:srgbClr val="00B050">
                      <a:shade val="100000"/>
                      <a:satMod val="115000"/>
                    </a:srgbClr>
                  </a:gs>
                </a:gsLst>
                <a:lin ang="0" scaled="1"/>
                <a:tileRect/>
              </a:gradFill>
              <a:ln w="12700">
                <a:solidFill>
                  <a:schemeClr val="tx1"/>
                </a:solidFill>
                <a:prstDash val="solid"/>
              </a:ln>
            </c:spPr>
          </c:dPt>
          <c:dPt>
            <c:idx val="6"/>
            <c:spPr>
              <a:gradFill flip="none" rotWithShape="1">
                <a:gsLst>
                  <a:gs pos="0">
                    <a:srgbClr val="4F81BD">
                      <a:lumMod val="75000"/>
                    </a:srgbClr>
                  </a:gs>
                  <a:gs pos="50000">
                    <a:srgbClr val="9999FF"/>
                  </a:gs>
                  <a:gs pos="100000">
                    <a:srgbClr val="9999FF">
                      <a:gamma/>
                      <a:shade val="46275"/>
                      <a:invGamma/>
                    </a:srgbClr>
                  </a:gs>
                </a:gsLst>
                <a:lin ang="0" scaled="1"/>
                <a:tileRect/>
              </a:gradFill>
              <a:ln>
                <a:solidFill>
                  <a:schemeClr val="tx1"/>
                </a:solidFill>
              </a:ln>
            </c:spPr>
          </c:dPt>
          <c:dPt>
            <c:idx val="8"/>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0" scaled="1"/>
                <a:tileRect/>
              </a:gradFill>
              <a:ln w="12700">
                <a:solidFill>
                  <a:schemeClr val="tx1"/>
                </a:solidFill>
                <a:prstDash val="solid"/>
              </a:ln>
            </c:spPr>
          </c:dPt>
          <c:dLbls>
            <c:spPr>
              <a:noFill/>
              <a:ln w="25400">
                <a:noFill/>
              </a:ln>
            </c:spPr>
            <c:txPr>
              <a:bodyPr/>
              <a:lstStyle/>
              <a:p>
                <a:pPr>
                  <a:defRPr sz="1000" b="1" i="0" u="none" strike="noStrike" baseline="0">
                    <a:solidFill>
                      <a:srgbClr val="000000"/>
                    </a:solidFill>
                    <a:latin typeface="Arial"/>
                    <a:ea typeface="Arial"/>
                    <a:cs typeface="Arial"/>
                  </a:defRPr>
                </a:pPr>
                <a:endParaRPr lang="en-US"/>
              </a:p>
            </c:txPr>
            <c:showVal val="1"/>
          </c:dLbls>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12'!$N$6:$N$14</c:f>
              <c:numCache>
                <c:formatCode>General</c:formatCode>
                <c:ptCount val="9"/>
                <c:pt idx="0" formatCode="0">
                  <c:v>112</c:v>
                </c:pt>
                <c:pt idx="1">
                  <c:v>111</c:v>
                </c:pt>
                <c:pt idx="2" formatCode="0">
                  <c:v>116</c:v>
                </c:pt>
                <c:pt idx="3" formatCode="0">
                  <c:v>113</c:v>
                </c:pt>
                <c:pt idx="4" formatCode="0">
                  <c:v>127</c:v>
                </c:pt>
                <c:pt idx="5" formatCode="0">
                  <c:v>118</c:v>
                </c:pt>
                <c:pt idx="6" formatCode="0">
                  <c:v>108</c:v>
                </c:pt>
                <c:pt idx="7">
                  <c:v>121</c:v>
                </c:pt>
                <c:pt idx="8" formatCode="0">
                  <c:v>128.81164903383501</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'Yearly 12'!$B$6:$B$14</c:f>
              <c:strCache>
                <c:ptCount val="9"/>
                <c:pt idx="0">
                  <c:v>2005</c:v>
                </c:pt>
                <c:pt idx="1">
                  <c:v>2006</c:v>
                </c:pt>
                <c:pt idx="2">
                  <c:v>2007</c:v>
                </c:pt>
                <c:pt idx="3">
                  <c:v>2008</c:v>
                </c:pt>
                <c:pt idx="4">
                  <c:v>2009</c:v>
                </c:pt>
                <c:pt idx="5">
                  <c:v>2010</c:v>
                </c:pt>
                <c:pt idx="6">
                  <c:v>2011</c:v>
                </c:pt>
                <c:pt idx="7">
                  <c:v>2012</c:v>
                </c:pt>
                <c:pt idx="8">
                  <c:v>Target</c:v>
                </c:pt>
              </c:strCache>
            </c:strRef>
          </c:cat>
          <c:val>
            <c:numRef>
              <c:f>'Yearly 12'!$O$6:$O$14</c:f>
              <c:numCache>
                <c:formatCode>General</c:formatCode>
                <c:ptCount val="9"/>
                <c:pt idx="0" formatCode="0">
                  <c:v>39</c:v>
                </c:pt>
                <c:pt idx="1">
                  <c:v>85</c:v>
                </c:pt>
                <c:pt idx="2" formatCode="0">
                  <c:v>33</c:v>
                </c:pt>
                <c:pt idx="3" formatCode="0">
                  <c:v>28</c:v>
                </c:pt>
                <c:pt idx="4" formatCode="0">
                  <c:v>0</c:v>
                </c:pt>
                <c:pt idx="5" formatCode="0">
                  <c:v>40</c:v>
                </c:pt>
                <c:pt idx="6" formatCode="0">
                  <c:v>0</c:v>
                </c:pt>
                <c:pt idx="7">
                  <c:v>9</c:v>
                </c:pt>
                <c:pt idx="8" formatCode="[h]:mm:ss">
                  <c:v>8.9452534051274291E-2</c:v>
                </c:pt>
              </c:numCache>
            </c:numRef>
          </c:val>
        </c:ser>
        <c:gapWidth val="250"/>
        <c:overlap val="100"/>
        <c:axId val="46285568"/>
        <c:axId val="46287104"/>
      </c:barChart>
      <c:catAx>
        <c:axId val="46285568"/>
        <c:scaling>
          <c:orientation val="minMax"/>
        </c:scaling>
        <c:axPos val="b"/>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6287104"/>
        <c:crosses val="autoZero"/>
        <c:auto val="1"/>
        <c:lblAlgn val="ctr"/>
        <c:lblOffset val="100"/>
        <c:tickLblSkip val="1"/>
        <c:tickMarkSkip val="1"/>
      </c:catAx>
      <c:valAx>
        <c:axId val="46287104"/>
        <c:scaling>
          <c:orientation val="minMax"/>
          <c:max val="200"/>
        </c:scaling>
        <c:axPos val="l"/>
        <c:majorGridlines>
          <c:spPr>
            <a:ln w="3175">
              <a:solidFill>
                <a:srgbClr val="000000"/>
              </a:solidFill>
              <a:prstDash val="solid"/>
            </a:ln>
          </c:spPr>
        </c:majorGridlines>
        <c:title>
          <c:tx>
            <c:rich>
              <a:bodyPr/>
              <a:lstStyle/>
              <a:p>
                <a:pPr>
                  <a:defRPr sz="1200" b="0" i="0" u="none" strike="noStrike" baseline="0">
                    <a:solidFill>
                      <a:srgbClr val="000000"/>
                    </a:solidFill>
                    <a:latin typeface="Arial"/>
                    <a:ea typeface="Arial"/>
                    <a:cs typeface="Arial"/>
                  </a:defRPr>
                </a:pPr>
                <a:r>
                  <a:rPr lang="en-US"/>
                  <a:t>Ave. Restoration Time / Customer (min)</a:t>
                </a:r>
              </a:p>
            </c:rich>
          </c:tx>
          <c:layout>
            <c:manualLayout>
              <c:xMode val="edge"/>
              <c:yMode val="edge"/>
              <c:x val="6.5049151464762256E-2"/>
              <c:y val="0.34377323749563976"/>
            </c:manualLayout>
          </c:layout>
          <c:spPr>
            <a:noFill/>
            <a:ln w="25400">
              <a:noFill/>
            </a:ln>
          </c:spPr>
        </c:title>
        <c:numFmt formatCode="0" sourceLinked="0"/>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6285568"/>
        <c:crosses val="autoZero"/>
        <c:crossBetween val="between"/>
        <c:majorUnit val="40"/>
      </c:valAx>
      <c:spPr>
        <a:noFill/>
        <a:ln w="25400">
          <a:noFill/>
        </a:ln>
      </c:spPr>
    </c:plotArea>
    <c:legend>
      <c:legendPos val="t"/>
      <c:layout>
        <c:manualLayout>
          <c:xMode val="edge"/>
          <c:yMode val="edge"/>
          <c:x val="0.21218402047570142"/>
          <c:y val="2.3487554251796928E-2"/>
          <c:w val="0.24161099427788921"/>
          <c:h val="0.12384380057068078"/>
        </c:manualLayout>
      </c:layout>
      <c:spPr>
        <a:noFill/>
        <a:ln w="25400">
          <a:noFill/>
        </a:ln>
      </c:spPr>
      <c:txPr>
        <a:bodyPr/>
        <a:lstStyle/>
        <a:p>
          <a:pPr>
            <a:defRPr sz="84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266144814090124"/>
          <c:y val="0.14312493833656723"/>
          <c:w val="0.66340508806262233"/>
          <c:h val="0.47708312778855788"/>
        </c:manualLayout>
      </c:layout>
      <c:barChart>
        <c:barDir val="col"/>
        <c:grouping val="stacked"/>
        <c:ser>
          <c:idx val="0"/>
          <c:order val="0"/>
          <c:tx>
            <c:v>Excluding Major Events</c:v>
          </c:tx>
          <c:spPr>
            <a:gradFill rotWithShape="0">
              <a:gsLst>
                <a:gs pos="0">
                  <a:srgbClr val="9999FF">
                    <a:gamma/>
                    <a:shade val="46275"/>
                    <a:invGamma/>
                  </a:srgbClr>
                </a:gs>
                <a:gs pos="50000">
                  <a:srgbClr val="9999FF"/>
                </a:gs>
                <a:gs pos="100000">
                  <a:srgbClr val="9999FF">
                    <a:gamma/>
                    <a:shade val="46275"/>
                    <a:invGamma/>
                  </a:srgbClr>
                </a:gs>
              </a:gsLst>
              <a:lin ang="0" scaled="1"/>
            </a:gra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a:ea typeface="Arial"/>
                    <a:cs typeface="Arial"/>
                  </a:defRPr>
                </a:pPr>
                <a:endParaRPr lang="en-US"/>
              </a:p>
            </c:txPr>
            <c:showVal val="1"/>
          </c:dLbls>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Office!$B$41:$M$41</c:f>
              <c:numCache>
                <c:formatCode>0.00</c:formatCode>
                <c:ptCount val="12"/>
                <c:pt idx="0">
                  <c:v>0.52029134262366272</c:v>
                </c:pt>
                <c:pt idx="1">
                  <c:v>3.5285595596635182</c:v>
                </c:pt>
                <c:pt idx="2">
                  <c:v>1.6340843638827744</c:v>
                </c:pt>
                <c:pt idx="3">
                  <c:v>2.3505308251070982</c:v>
                </c:pt>
                <c:pt idx="4">
                  <c:v>1.6697688087774294</c:v>
                </c:pt>
                <c:pt idx="5">
                  <c:v>2.9254364610141197</c:v>
                </c:pt>
                <c:pt idx="6">
                  <c:v>0.96248645720476711</c:v>
                </c:pt>
                <c:pt idx="7">
                  <c:v>0.79392592592592559</c:v>
                </c:pt>
                <c:pt idx="8">
                  <c:v>1.4447927640876739</c:v>
                </c:pt>
                <c:pt idx="9">
                  <c:v>1.925217155266018</c:v>
                </c:pt>
                <c:pt idx="10">
                  <c:v>0.66782389814741794</c:v>
                </c:pt>
                <c:pt idx="11">
                  <c:v>1.1394224719469961</c:v>
                </c:pt>
              </c:numCache>
            </c:numRef>
          </c:val>
        </c:ser>
        <c:ser>
          <c:idx val="1"/>
          <c:order val="1"/>
          <c:tx>
            <c:v>Major Events</c:v>
          </c:tx>
          <c:spPr>
            <a:gradFill rotWithShape="0">
              <a:gsLst>
                <a:gs pos="0">
                  <a:srgbClr val="993366">
                    <a:gamma/>
                    <a:shade val="46275"/>
                    <a:invGamma/>
                  </a:srgbClr>
                </a:gs>
                <a:gs pos="50000">
                  <a:srgbClr val="993366"/>
                </a:gs>
                <a:gs pos="100000">
                  <a:srgbClr val="993366">
                    <a:gamma/>
                    <a:shade val="46275"/>
                    <a:invGamma/>
                  </a:srgbClr>
                </a:gs>
              </a:gsLst>
              <a:lin ang="0" scaled="1"/>
            </a:gradFill>
            <a:ln w="12700">
              <a:solidFill>
                <a:srgbClr val="000000"/>
              </a:solidFill>
              <a:prstDash val="solid"/>
            </a:ln>
          </c:spPr>
          <c:cat>
            <c:strRef>
              <c:f>Office!$B$39:$M$39</c:f>
              <c:strCache>
                <c:ptCount val="12"/>
                <c:pt idx="0">
                  <c:v>Coeur d'Alene</c:v>
                </c:pt>
                <c:pt idx="1">
                  <c:v>Colville</c:v>
                </c:pt>
                <c:pt idx="2">
                  <c:v>Davenport</c:v>
                </c:pt>
                <c:pt idx="3">
                  <c:v>Deer Park</c:v>
                </c:pt>
                <c:pt idx="4">
                  <c:v>Grangeville</c:v>
                </c:pt>
                <c:pt idx="5">
                  <c:v>Kellogg</c:v>
                </c:pt>
                <c:pt idx="6">
                  <c:v>Lewis-Clark</c:v>
                </c:pt>
                <c:pt idx="7">
                  <c:v>Othello</c:v>
                </c:pt>
                <c:pt idx="8">
                  <c:v>Palouse</c:v>
                </c:pt>
                <c:pt idx="9">
                  <c:v>Sandpoint</c:v>
                </c:pt>
                <c:pt idx="10">
                  <c:v>Spokane</c:v>
                </c:pt>
                <c:pt idx="11">
                  <c:v>All Offices</c:v>
                </c:pt>
              </c:strCache>
            </c:strRef>
          </c:cat>
          <c:val>
            <c:numRef>
              <c:f>Office!$B$42:$M$42</c:f>
              <c:numCache>
                <c:formatCode>0.00</c:formatCode>
                <c:ptCount val="12"/>
                <c:pt idx="0">
                  <c:v>6.2157040780071782E-2</c:v>
                </c:pt>
                <c:pt idx="1">
                  <c:v>0.36852217260359332</c:v>
                </c:pt>
                <c:pt idx="2">
                  <c:v>2.1514484160596245E-2</c:v>
                </c:pt>
                <c:pt idx="3">
                  <c:v>1.7694170236541883E-3</c:v>
                </c:pt>
                <c:pt idx="4">
                  <c:v>0.28693181818181834</c:v>
                </c:pt>
                <c:pt idx="5">
                  <c:v>0.56235654169854632</c:v>
                </c:pt>
                <c:pt idx="6">
                  <c:v>3.7242686890570707E-4</c:v>
                </c:pt>
                <c:pt idx="7">
                  <c:v>1.481481481481196E-4</c:v>
                </c:pt>
                <c:pt idx="8">
                  <c:v>0.43040316571164394</c:v>
                </c:pt>
                <c:pt idx="9">
                  <c:v>2.979098805646041E-2</c:v>
                </c:pt>
                <c:pt idx="10">
                  <c:v>2.1091607741088206E-2</c:v>
                </c:pt>
                <c:pt idx="11">
                  <c:v>0.11510075008616995</c:v>
                </c:pt>
              </c:numCache>
            </c:numRef>
          </c:val>
        </c:ser>
        <c:overlap val="100"/>
        <c:axId val="46321024"/>
        <c:axId val="46331008"/>
      </c:barChart>
      <c:catAx>
        <c:axId val="46321024"/>
        <c:scaling>
          <c:orientation val="minMax"/>
        </c:scaling>
        <c:axPos val="b"/>
        <c:numFmt formatCode="General" sourceLinked="1"/>
        <c:tickLblPos val="nextTo"/>
        <c:spPr>
          <a:ln w="3175">
            <a:solidFill>
              <a:srgbClr val="000000"/>
            </a:solidFill>
            <a:prstDash val="solid"/>
          </a:ln>
        </c:spPr>
        <c:txPr>
          <a:bodyPr rot="-2700000" vert="horz"/>
          <a:lstStyle/>
          <a:p>
            <a:pPr>
              <a:defRPr sz="1000" b="0" i="0" u="none" strike="noStrike" baseline="0">
                <a:solidFill>
                  <a:srgbClr val="000000"/>
                </a:solidFill>
                <a:latin typeface="Arial"/>
                <a:ea typeface="Arial"/>
                <a:cs typeface="Arial"/>
              </a:defRPr>
            </a:pPr>
            <a:endParaRPr lang="en-US"/>
          </a:p>
        </c:txPr>
        <c:crossAx val="46331008"/>
        <c:crosses val="autoZero"/>
        <c:auto val="1"/>
        <c:lblAlgn val="ctr"/>
        <c:lblOffset val="100"/>
        <c:tickLblSkip val="1"/>
        <c:tickMarkSkip val="1"/>
      </c:catAx>
      <c:valAx>
        <c:axId val="46331008"/>
        <c:scaling>
          <c:orientation val="minMax"/>
          <c:max val="5"/>
          <c:min val="0"/>
        </c:scaling>
        <c:axPos val="l"/>
        <c:title>
          <c:tx>
            <c:rich>
              <a:bodyPr/>
              <a:lstStyle/>
              <a:p>
                <a:pPr>
                  <a:defRPr sz="900" b="0" i="0" u="none" strike="noStrike" baseline="0">
                    <a:solidFill>
                      <a:srgbClr val="000000"/>
                    </a:solidFill>
                    <a:latin typeface="Arial"/>
                    <a:ea typeface="Arial"/>
                    <a:cs typeface="Arial"/>
                  </a:defRPr>
                </a:pPr>
                <a:r>
                  <a:rPr lang="en-US" sz="900"/>
                  <a:t>Sustained </a:t>
                </a:r>
                <a:r>
                  <a:rPr lang="en-US" sz="1000"/>
                  <a:t>Interruptions/Customer</a:t>
                </a:r>
              </a:p>
            </c:rich>
          </c:tx>
          <c:layout>
            <c:manualLayout>
              <c:xMode val="edge"/>
              <c:yMode val="edge"/>
              <c:x val="9.7848603914570328E-3"/>
              <c:y val="0.21328429934796952"/>
            </c:manualLayout>
          </c:layout>
          <c:spPr>
            <a:noFill/>
            <a:ln w="25400">
              <a:noFill/>
            </a:ln>
          </c:spPr>
        </c:title>
        <c:numFmt formatCode="0.0" sourceLinked="0"/>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321024"/>
        <c:crosses val="autoZero"/>
        <c:crossBetween val="between"/>
      </c:valAx>
      <c:spPr>
        <a:noFill/>
        <a:ln w="25400">
          <a:noFill/>
        </a:ln>
      </c:spPr>
    </c:plotArea>
    <c:legend>
      <c:legendPos val="r"/>
      <c:legendEntry>
        <c:idx val="0"/>
        <c:txPr>
          <a:bodyPr/>
          <a:lstStyle/>
          <a:p>
            <a:pPr>
              <a:defRPr sz="900" b="0" i="0" u="none" strike="noStrike" baseline="0">
                <a:solidFill>
                  <a:srgbClr val="000000"/>
                </a:solidFill>
                <a:latin typeface="Arial"/>
                <a:ea typeface="Arial"/>
                <a:cs typeface="Arial"/>
              </a:defRPr>
            </a:pPr>
            <a:endParaRPr lang="en-US"/>
          </a:p>
        </c:txPr>
      </c:legendEntry>
      <c:legendEntry>
        <c:idx val="1"/>
        <c:txPr>
          <a:bodyPr/>
          <a:lstStyle/>
          <a:p>
            <a:pPr>
              <a:defRPr sz="900" b="0" i="0" u="none" strike="noStrike" baseline="0">
                <a:solidFill>
                  <a:srgbClr val="000000"/>
                </a:solidFill>
                <a:latin typeface="Arial"/>
                <a:ea typeface="Arial"/>
                <a:cs typeface="Arial"/>
              </a:defRPr>
            </a:pPr>
            <a:endParaRPr lang="en-US"/>
          </a:p>
        </c:txPr>
      </c:legendEntry>
      <c:layout>
        <c:manualLayout>
          <c:xMode val="edge"/>
          <c:yMode val="edge"/>
          <c:x val="0.5048925345564409"/>
          <c:y val="1.4031842008287646E-2"/>
          <c:w val="0.29745599891465158"/>
          <c:h val="0.179607878528078"/>
        </c:manualLayout>
      </c:layout>
      <c:spPr>
        <a:noFill/>
        <a:ln w="25400">
          <a:noFill/>
        </a:ln>
      </c:spPr>
      <c:txPr>
        <a:bodyPr/>
        <a:lstStyle/>
        <a:p>
          <a:pPr>
            <a:defRPr sz="675"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0.72881</cdr:x>
      <cdr:y>0.02717</cdr:y>
    </cdr:from>
    <cdr:to>
      <cdr:x>0.97288</cdr:x>
      <cdr:y>0.10507</cdr:y>
    </cdr:to>
    <cdr:sp macro="" textlink="">
      <cdr:nvSpPr>
        <cdr:cNvPr id="5" name="TextBox 4"/>
        <cdr:cNvSpPr txBox="1"/>
      </cdr:nvSpPr>
      <cdr:spPr>
        <a:xfrm xmlns:a="http://schemas.openxmlformats.org/drawingml/2006/main">
          <a:off x="4095752" y="142876"/>
          <a:ext cx="1371600" cy="4095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latin typeface="Arial" pitchFamily="34" charset="0"/>
              <a:cs typeface="Arial" pitchFamily="34" charset="0"/>
            </a:rPr>
            <a:t>Note: Based on  System </a:t>
          </a:r>
        </a:p>
        <a:p xmlns:a="http://schemas.openxmlformats.org/drawingml/2006/main">
          <a:r>
            <a:rPr lang="en-US" sz="800">
              <a:latin typeface="Arial" pitchFamily="34" charset="0"/>
              <a:cs typeface="Arial" pitchFamily="34" charset="0"/>
            </a:rPr>
            <a:t>Total Count of 365,558</a:t>
          </a:r>
        </a:p>
      </cdr:txBody>
    </cdr:sp>
  </cdr:relSizeAnchor>
  <cdr:relSizeAnchor xmlns:cdr="http://schemas.openxmlformats.org/drawingml/2006/chartDrawing">
    <cdr:from>
      <cdr:x>0.2</cdr:x>
      <cdr:y>0.0163</cdr:y>
    </cdr:from>
    <cdr:to>
      <cdr:x>0.65085</cdr:x>
      <cdr:y>0.12138</cdr:y>
    </cdr:to>
    <cdr:sp macro="" textlink="">
      <cdr:nvSpPr>
        <cdr:cNvPr id="6" name="TextBox 5"/>
        <cdr:cNvSpPr txBox="1"/>
      </cdr:nvSpPr>
      <cdr:spPr>
        <a:xfrm xmlns:a="http://schemas.openxmlformats.org/drawingml/2006/main">
          <a:off x="1123951" y="85726"/>
          <a:ext cx="2533650" cy="552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latin typeface="Arial" pitchFamily="34" charset="0"/>
              <a:cs typeface="Arial" pitchFamily="34" charset="0"/>
            </a:rPr>
            <a:t>2012 CEMI - Entire</a:t>
          </a:r>
          <a:r>
            <a:rPr lang="en-US" sz="1200" b="1" baseline="0">
              <a:latin typeface="Arial" pitchFamily="34" charset="0"/>
              <a:cs typeface="Arial" pitchFamily="34" charset="0"/>
            </a:rPr>
            <a:t> Company </a:t>
          </a:r>
        </a:p>
        <a:p xmlns:a="http://schemas.openxmlformats.org/drawingml/2006/main">
          <a:pPr algn="ctr"/>
          <a:r>
            <a:rPr lang="en-US" sz="1200" b="1" baseline="0">
              <a:latin typeface="Arial" pitchFamily="34" charset="0"/>
              <a:cs typeface="Arial" pitchFamily="34" charset="0"/>
            </a:rPr>
            <a:t>with MED</a:t>
          </a:r>
          <a:endParaRPr lang="en-US" sz="1200" b="1">
            <a:latin typeface="Arial" pitchFamily="34" charset="0"/>
            <a:cs typeface="Arial"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1F75A6D5C2597844B75B47B1F5085C59" ma:contentTypeVersion="135" ma:contentTypeDescription="" ma:contentTypeScope="" ma:versionID="091a9d34687a8b95a1c31337ddd03256">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Plan</CaseType>
    <IndustryCode xmlns="dc463f71-b30c-4ab2-9473-d307f9d35888">140</IndustryCode>
    <CaseStatus xmlns="dc463f71-b30c-4ab2-9473-d307f9d35888">Closed</CaseStatus>
    <OpenedDate xmlns="dc463f71-b30c-4ab2-9473-d307f9d35888">2013-04-29T07:00:00+00:00</OpenedDate>
    <Date1 xmlns="dc463f71-b30c-4ab2-9473-d307f9d35888">2013-04-29T07:00:00+00:00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130649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7F41EFA-1F57-4255-B03B-6C4AE8F439EE}"/>
</file>

<file path=customXml/itemProps2.xml><?xml version="1.0" encoding="utf-8"?>
<ds:datastoreItem xmlns:ds="http://schemas.openxmlformats.org/officeDocument/2006/customXml" ds:itemID="{9132E798-89A0-491C-B28B-F426C9F17C15}"/>
</file>

<file path=customXml/itemProps3.xml><?xml version="1.0" encoding="utf-8"?>
<ds:datastoreItem xmlns:ds="http://schemas.openxmlformats.org/officeDocument/2006/customXml" ds:itemID="{C80F0523-DF93-4788-AF5F-5D65C7F40539}"/>
</file>

<file path=customXml/itemProps4.xml><?xml version="1.0" encoding="utf-8"?>
<ds:datastoreItem xmlns:ds="http://schemas.openxmlformats.org/officeDocument/2006/customXml" ds:itemID="{4FDF8950-30B3-4916-B734-CCAC14FC169E}"/>
</file>

<file path=customXml/itemProps5.xml><?xml version="1.0" encoding="utf-8"?>
<ds:datastoreItem xmlns:ds="http://schemas.openxmlformats.org/officeDocument/2006/customXml" ds:itemID="{0569CC90-E708-43F5-B2FD-93F5998B376D}"/>
</file>

<file path=docProps/app.xml><?xml version="1.0" encoding="utf-8"?>
<Properties xmlns="http://schemas.openxmlformats.org/officeDocument/2006/extended-properties" xmlns:vt="http://schemas.openxmlformats.org/officeDocument/2006/docPropsVTypes">
  <Template>Normal.dotm</Template>
  <TotalTime>22</TotalTime>
  <Pages>64</Pages>
  <Words>9105</Words>
  <Characters>54334</Characters>
  <Application>Microsoft Office Word</Application>
  <DocSecurity>0</DocSecurity>
  <Lines>452</Lines>
  <Paragraphs>126</Paragraphs>
  <ScaleCrop>false</ScaleCrop>
  <HeadingPairs>
    <vt:vector size="2" baseType="variant">
      <vt:variant>
        <vt:lpstr>Title</vt:lpstr>
      </vt:variant>
      <vt:variant>
        <vt:i4>1</vt:i4>
      </vt:variant>
    </vt:vector>
  </HeadingPairs>
  <TitlesOfParts>
    <vt:vector size="1" baseType="lpstr">
      <vt:lpstr>2007 Electric Service Reliability Report Final</vt:lpstr>
    </vt:vector>
  </TitlesOfParts>
  <Manager>Heather Cummins</Manager>
  <Company>Avista Utilities</Company>
  <LinksUpToDate>false</LinksUpToDate>
  <CharactersWithSpaces>63313</CharactersWithSpaces>
  <SharedDoc>false</SharedDoc>
  <HLinks>
    <vt:vector size="504" baseType="variant">
      <vt:variant>
        <vt:i4>1048626</vt:i4>
      </vt:variant>
      <vt:variant>
        <vt:i4>503</vt:i4>
      </vt:variant>
      <vt:variant>
        <vt:i4>0</vt:i4>
      </vt:variant>
      <vt:variant>
        <vt:i4>5</vt:i4>
      </vt:variant>
      <vt:variant>
        <vt:lpwstr/>
      </vt:variant>
      <vt:variant>
        <vt:lpwstr>_Toc227727556</vt:lpwstr>
      </vt:variant>
      <vt:variant>
        <vt:i4>1048626</vt:i4>
      </vt:variant>
      <vt:variant>
        <vt:i4>497</vt:i4>
      </vt:variant>
      <vt:variant>
        <vt:i4>0</vt:i4>
      </vt:variant>
      <vt:variant>
        <vt:i4>5</vt:i4>
      </vt:variant>
      <vt:variant>
        <vt:lpwstr/>
      </vt:variant>
      <vt:variant>
        <vt:lpwstr>_Toc227727555</vt:lpwstr>
      </vt:variant>
      <vt:variant>
        <vt:i4>1048626</vt:i4>
      </vt:variant>
      <vt:variant>
        <vt:i4>491</vt:i4>
      </vt:variant>
      <vt:variant>
        <vt:i4>0</vt:i4>
      </vt:variant>
      <vt:variant>
        <vt:i4>5</vt:i4>
      </vt:variant>
      <vt:variant>
        <vt:lpwstr/>
      </vt:variant>
      <vt:variant>
        <vt:lpwstr>_Toc227727554</vt:lpwstr>
      </vt:variant>
      <vt:variant>
        <vt:i4>1048626</vt:i4>
      </vt:variant>
      <vt:variant>
        <vt:i4>485</vt:i4>
      </vt:variant>
      <vt:variant>
        <vt:i4>0</vt:i4>
      </vt:variant>
      <vt:variant>
        <vt:i4>5</vt:i4>
      </vt:variant>
      <vt:variant>
        <vt:lpwstr/>
      </vt:variant>
      <vt:variant>
        <vt:lpwstr>_Toc227727553</vt:lpwstr>
      </vt:variant>
      <vt:variant>
        <vt:i4>1048626</vt:i4>
      </vt:variant>
      <vt:variant>
        <vt:i4>479</vt:i4>
      </vt:variant>
      <vt:variant>
        <vt:i4>0</vt:i4>
      </vt:variant>
      <vt:variant>
        <vt:i4>5</vt:i4>
      </vt:variant>
      <vt:variant>
        <vt:lpwstr/>
      </vt:variant>
      <vt:variant>
        <vt:lpwstr>_Toc227727552</vt:lpwstr>
      </vt:variant>
      <vt:variant>
        <vt:i4>1048626</vt:i4>
      </vt:variant>
      <vt:variant>
        <vt:i4>473</vt:i4>
      </vt:variant>
      <vt:variant>
        <vt:i4>0</vt:i4>
      </vt:variant>
      <vt:variant>
        <vt:i4>5</vt:i4>
      </vt:variant>
      <vt:variant>
        <vt:lpwstr/>
      </vt:variant>
      <vt:variant>
        <vt:lpwstr>_Toc227727551</vt:lpwstr>
      </vt:variant>
      <vt:variant>
        <vt:i4>1048626</vt:i4>
      </vt:variant>
      <vt:variant>
        <vt:i4>467</vt:i4>
      </vt:variant>
      <vt:variant>
        <vt:i4>0</vt:i4>
      </vt:variant>
      <vt:variant>
        <vt:i4>5</vt:i4>
      </vt:variant>
      <vt:variant>
        <vt:lpwstr/>
      </vt:variant>
      <vt:variant>
        <vt:lpwstr>_Toc227727550</vt:lpwstr>
      </vt:variant>
      <vt:variant>
        <vt:i4>1114162</vt:i4>
      </vt:variant>
      <vt:variant>
        <vt:i4>461</vt:i4>
      </vt:variant>
      <vt:variant>
        <vt:i4>0</vt:i4>
      </vt:variant>
      <vt:variant>
        <vt:i4>5</vt:i4>
      </vt:variant>
      <vt:variant>
        <vt:lpwstr/>
      </vt:variant>
      <vt:variant>
        <vt:lpwstr>_Toc227727549</vt:lpwstr>
      </vt:variant>
      <vt:variant>
        <vt:i4>1114162</vt:i4>
      </vt:variant>
      <vt:variant>
        <vt:i4>455</vt:i4>
      </vt:variant>
      <vt:variant>
        <vt:i4>0</vt:i4>
      </vt:variant>
      <vt:variant>
        <vt:i4>5</vt:i4>
      </vt:variant>
      <vt:variant>
        <vt:lpwstr/>
      </vt:variant>
      <vt:variant>
        <vt:lpwstr>_Toc227727548</vt:lpwstr>
      </vt:variant>
      <vt:variant>
        <vt:i4>1114162</vt:i4>
      </vt:variant>
      <vt:variant>
        <vt:i4>449</vt:i4>
      </vt:variant>
      <vt:variant>
        <vt:i4>0</vt:i4>
      </vt:variant>
      <vt:variant>
        <vt:i4>5</vt:i4>
      </vt:variant>
      <vt:variant>
        <vt:lpwstr/>
      </vt:variant>
      <vt:variant>
        <vt:lpwstr>_Toc227727547</vt:lpwstr>
      </vt:variant>
      <vt:variant>
        <vt:i4>1114162</vt:i4>
      </vt:variant>
      <vt:variant>
        <vt:i4>443</vt:i4>
      </vt:variant>
      <vt:variant>
        <vt:i4>0</vt:i4>
      </vt:variant>
      <vt:variant>
        <vt:i4>5</vt:i4>
      </vt:variant>
      <vt:variant>
        <vt:lpwstr/>
      </vt:variant>
      <vt:variant>
        <vt:lpwstr>_Toc227727546</vt:lpwstr>
      </vt:variant>
      <vt:variant>
        <vt:i4>1114162</vt:i4>
      </vt:variant>
      <vt:variant>
        <vt:i4>437</vt:i4>
      </vt:variant>
      <vt:variant>
        <vt:i4>0</vt:i4>
      </vt:variant>
      <vt:variant>
        <vt:i4>5</vt:i4>
      </vt:variant>
      <vt:variant>
        <vt:lpwstr/>
      </vt:variant>
      <vt:variant>
        <vt:lpwstr>_Toc227727545</vt:lpwstr>
      </vt:variant>
      <vt:variant>
        <vt:i4>1114162</vt:i4>
      </vt:variant>
      <vt:variant>
        <vt:i4>431</vt:i4>
      </vt:variant>
      <vt:variant>
        <vt:i4>0</vt:i4>
      </vt:variant>
      <vt:variant>
        <vt:i4>5</vt:i4>
      </vt:variant>
      <vt:variant>
        <vt:lpwstr/>
      </vt:variant>
      <vt:variant>
        <vt:lpwstr>_Toc227727544</vt:lpwstr>
      </vt:variant>
      <vt:variant>
        <vt:i4>1114162</vt:i4>
      </vt:variant>
      <vt:variant>
        <vt:i4>425</vt:i4>
      </vt:variant>
      <vt:variant>
        <vt:i4>0</vt:i4>
      </vt:variant>
      <vt:variant>
        <vt:i4>5</vt:i4>
      </vt:variant>
      <vt:variant>
        <vt:lpwstr/>
      </vt:variant>
      <vt:variant>
        <vt:lpwstr>_Toc227727543</vt:lpwstr>
      </vt:variant>
      <vt:variant>
        <vt:i4>1114162</vt:i4>
      </vt:variant>
      <vt:variant>
        <vt:i4>419</vt:i4>
      </vt:variant>
      <vt:variant>
        <vt:i4>0</vt:i4>
      </vt:variant>
      <vt:variant>
        <vt:i4>5</vt:i4>
      </vt:variant>
      <vt:variant>
        <vt:lpwstr/>
      </vt:variant>
      <vt:variant>
        <vt:lpwstr>_Toc227727542</vt:lpwstr>
      </vt:variant>
      <vt:variant>
        <vt:i4>1114162</vt:i4>
      </vt:variant>
      <vt:variant>
        <vt:i4>413</vt:i4>
      </vt:variant>
      <vt:variant>
        <vt:i4>0</vt:i4>
      </vt:variant>
      <vt:variant>
        <vt:i4>5</vt:i4>
      </vt:variant>
      <vt:variant>
        <vt:lpwstr/>
      </vt:variant>
      <vt:variant>
        <vt:lpwstr>_Toc227727541</vt:lpwstr>
      </vt:variant>
      <vt:variant>
        <vt:i4>1114162</vt:i4>
      </vt:variant>
      <vt:variant>
        <vt:i4>407</vt:i4>
      </vt:variant>
      <vt:variant>
        <vt:i4>0</vt:i4>
      </vt:variant>
      <vt:variant>
        <vt:i4>5</vt:i4>
      </vt:variant>
      <vt:variant>
        <vt:lpwstr/>
      </vt:variant>
      <vt:variant>
        <vt:lpwstr>_Toc227727540</vt:lpwstr>
      </vt:variant>
      <vt:variant>
        <vt:i4>1441842</vt:i4>
      </vt:variant>
      <vt:variant>
        <vt:i4>401</vt:i4>
      </vt:variant>
      <vt:variant>
        <vt:i4>0</vt:i4>
      </vt:variant>
      <vt:variant>
        <vt:i4>5</vt:i4>
      </vt:variant>
      <vt:variant>
        <vt:lpwstr/>
      </vt:variant>
      <vt:variant>
        <vt:lpwstr>_Toc227727539</vt:lpwstr>
      </vt:variant>
      <vt:variant>
        <vt:i4>1441842</vt:i4>
      </vt:variant>
      <vt:variant>
        <vt:i4>395</vt:i4>
      </vt:variant>
      <vt:variant>
        <vt:i4>0</vt:i4>
      </vt:variant>
      <vt:variant>
        <vt:i4>5</vt:i4>
      </vt:variant>
      <vt:variant>
        <vt:lpwstr/>
      </vt:variant>
      <vt:variant>
        <vt:lpwstr>_Toc227727538</vt:lpwstr>
      </vt:variant>
      <vt:variant>
        <vt:i4>1441842</vt:i4>
      </vt:variant>
      <vt:variant>
        <vt:i4>389</vt:i4>
      </vt:variant>
      <vt:variant>
        <vt:i4>0</vt:i4>
      </vt:variant>
      <vt:variant>
        <vt:i4>5</vt:i4>
      </vt:variant>
      <vt:variant>
        <vt:lpwstr/>
      </vt:variant>
      <vt:variant>
        <vt:lpwstr>_Toc227727537</vt:lpwstr>
      </vt:variant>
      <vt:variant>
        <vt:i4>1441842</vt:i4>
      </vt:variant>
      <vt:variant>
        <vt:i4>383</vt:i4>
      </vt:variant>
      <vt:variant>
        <vt:i4>0</vt:i4>
      </vt:variant>
      <vt:variant>
        <vt:i4>5</vt:i4>
      </vt:variant>
      <vt:variant>
        <vt:lpwstr/>
      </vt:variant>
      <vt:variant>
        <vt:lpwstr>_Toc227727536</vt:lpwstr>
      </vt:variant>
      <vt:variant>
        <vt:i4>1441842</vt:i4>
      </vt:variant>
      <vt:variant>
        <vt:i4>377</vt:i4>
      </vt:variant>
      <vt:variant>
        <vt:i4>0</vt:i4>
      </vt:variant>
      <vt:variant>
        <vt:i4>5</vt:i4>
      </vt:variant>
      <vt:variant>
        <vt:lpwstr/>
      </vt:variant>
      <vt:variant>
        <vt:lpwstr>_Toc227727535</vt:lpwstr>
      </vt:variant>
      <vt:variant>
        <vt:i4>1441842</vt:i4>
      </vt:variant>
      <vt:variant>
        <vt:i4>371</vt:i4>
      </vt:variant>
      <vt:variant>
        <vt:i4>0</vt:i4>
      </vt:variant>
      <vt:variant>
        <vt:i4>5</vt:i4>
      </vt:variant>
      <vt:variant>
        <vt:lpwstr/>
      </vt:variant>
      <vt:variant>
        <vt:lpwstr>_Toc227727534</vt:lpwstr>
      </vt:variant>
      <vt:variant>
        <vt:i4>1441842</vt:i4>
      </vt:variant>
      <vt:variant>
        <vt:i4>365</vt:i4>
      </vt:variant>
      <vt:variant>
        <vt:i4>0</vt:i4>
      </vt:variant>
      <vt:variant>
        <vt:i4>5</vt:i4>
      </vt:variant>
      <vt:variant>
        <vt:lpwstr/>
      </vt:variant>
      <vt:variant>
        <vt:lpwstr>_Toc227727533</vt:lpwstr>
      </vt:variant>
      <vt:variant>
        <vt:i4>1441842</vt:i4>
      </vt:variant>
      <vt:variant>
        <vt:i4>359</vt:i4>
      </vt:variant>
      <vt:variant>
        <vt:i4>0</vt:i4>
      </vt:variant>
      <vt:variant>
        <vt:i4>5</vt:i4>
      </vt:variant>
      <vt:variant>
        <vt:lpwstr/>
      </vt:variant>
      <vt:variant>
        <vt:lpwstr>_Toc227727532</vt:lpwstr>
      </vt:variant>
      <vt:variant>
        <vt:i4>1441842</vt:i4>
      </vt:variant>
      <vt:variant>
        <vt:i4>353</vt:i4>
      </vt:variant>
      <vt:variant>
        <vt:i4>0</vt:i4>
      </vt:variant>
      <vt:variant>
        <vt:i4>5</vt:i4>
      </vt:variant>
      <vt:variant>
        <vt:lpwstr/>
      </vt:variant>
      <vt:variant>
        <vt:lpwstr>_Toc227727531</vt:lpwstr>
      </vt:variant>
      <vt:variant>
        <vt:i4>1441842</vt:i4>
      </vt:variant>
      <vt:variant>
        <vt:i4>347</vt:i4>
      </vt:variant>
      <vt:variant>
        <vt:i4>0</vt:i4>
      </vt:variant>
      <vt:variant>
        <vt:i4>5</vt:i4>
      </vt:variant>
      <vt:variant>
        <vt:lpwstr/>
      </vt:variant>
      <vt:variant>
        <vt:lpwstr>_Toc227727530</vt:lpwstr>
      </vt:variant>
      <vt:variant>
        <vt:i4>1507378</vt:i4>
      </vt:variant>
      <vt:variant>
        <vt:i4>341</vt:i4>
      </vt:variant>
      <vt:variant>
        <vt:i4>0</vt:i4>
      </vt:variant>
      <vt:variant>
        <vt:i4>5</vt:i4>
      </vt:variant>
      <vt:variant>
        <vt:lpwstr/>
      </vt:variant>
      <vt:variant>
        <vt:lpwstr>_Toc227727529</vt:lpwstr>
      </vt:variant>
      <vt:variant>
        <vt:i4>1507378</vt:i4>
      </vt:variant>
      <vt:variant>
        <vt:i4>335</vt:i4>
      </vt:variant>
      <vt:variant>
        <vt:i4>0</vt:i4>
      </vt:variant>
      <vt:variant>
        <vt:i4>5</vt:i4>
      </vt:variant>
      <vt:variant>
        <vt:lpwstr/>
      </vt:variant>
      <vt:variant>
        <vt:lpwstr>_Toc227727528</vt:lpwstr>
      </vt:variant>
      <vt:variant>
        <vt:i4>1507378</vt:i4>
      </vt:variant>
      <vt:variant>
        <vt:i4>329</vt:i4>
      </vt:variant>
      <vt:variant>
        <vt:i4>0</vt:i4>
      </vt:variant>
      <vt:variant>
        <vt:i4>5</vt:i4>
      </vt:variant>
      <vt:variant>
        <vt:lpwstr/>
      </vt:variant>
      <vt:variant>
        <vt:lpwstr>_Toc227727527</vt:lpwstr>
      </vt:variant>
      <vt:variant>
        <vt:i4>1507378</vt:i4>
      </vt:variant>
      <vt:variant>
        <vt:i4>323</vt:i4>
      </vt:variant>
      <vt:variant>
        <vt:i4>0</vt:i4>
      </vt:variant>
      <vt:variant>
        <vt:i4>5</vt:i4>
      </vt:variant>
      <vt:variant>
        <vt:lpwstr/>
      </vt:variant>
      <vt:variant>
        <vt:lpwstr>_Toc227727526</vt:lpwstr>
      </vt:variant>
      <vt:variant>
        <vt:i4>1507378</vt:i4>
      </vt:variant>
      <vt:variant>
        <vt:i4>317</vt:i4>
      </vt:variant>
      <vt:variant>
        <vt:i4>0</vt:i4>
      </vt:variant>
      <vt:variant>
        <vt:i4>5</vt:i4>
      </vt:variant>
      <vt:variant>
        <vt:lpwstr/>
      </vt:variant>
      <vt:variant>
        <vt:lpwstr>_Toc227727525</vt:lpwstr>
      </vt:variant>
      <vt:variant>
        <vt:i4>1507378</vt:i4>
      </vt:variant>
      <vt:variant>
        <vt:i4>311</vt:i4>
      </vt:variant>
      <vt:variant>
        <vt:i4>0</vt:i4>
      </vt:variant>
      <vt:variant>
        <vt:i4>5</vt:i4>
      </vt:variant>
      <vt:variant>
        <vt:lpwstr/>
      </vt:variant>
      <vt:variant>
        <vt:lpwstr>_Toc227727524</vt:lpwstr>
      </vt:variant>
      <vt:variant>
        <vt:i4>1507378</vt:i4>
      </vt:variant>
      <vt:variant>
        <vt:i4>305</vt:i4>
      </vt:variant>
      <vt:variant>
        <vt:i4>0</vt:i4>
      </vt:variant>
      <vt:variant>
        <vt:i4>5</vt:i4>
      </vt:variant>
      <vt:variant>
        <vt:lpwstr/>
      </vt:variant>
      <vt:variant>
        <vt:lpwstr>_Toc227727523</vt:lpwstr>
      </vt:variant>
      <vt:variant>
        <vt:i4>1507378</vt:i4>
      </vt:variant>
      <vt:variant>
        <vt:i4>299</vt:i4>
      </vt:variant>
      <vt:variant>
        <vt:i4>0</vt:i4>
      </vt:variant>
      <vt:variant>
        <vt:i4>5</vt:i4>
      </vt:variant>
      <vt:variant>
        <vt:lpwstr/>
      </vt:variant>
      <vt:variant>
        <vt:lpwstr>_Toc227727522</vt:lpwstr>
      </vt:variant>
      <vt:variant>
        <vt:i4>1507378</vt:i4>
      </vt:variant>
      <vt:variant>
        <vt:i4>293</vt:i4>
      </vt:variant>
      <vt:variant>
        <vt:i4>0</vt:i4>
      </vt:variant>
      <vt:variant>
        <vt:i4>5</vt:i4>
      </vt:variant>
      <vt:variant>
        <vt:lpwstr/>
      </vt:variant>
      <vt:variant>
        <vt:lpwstr>_Toc227727521</vt:lpwstr>
      </vt:variant>
      <vt:variant>
        <vt:i4>1507378</vt:i4>
      </vt:variant>
      <vt:variant>
        <vt:i4>287</vt:i4>
      </vt:variant>
      <vt:variant>
        <vt:i4>0</vt:i4>
      </vt:variant>
      <vt:variant>
        <vt:i4>5</vt:i4>
      </vt:variant>
      <vt:variant>
        <vt:lpwstr/>
      </vt:variant>
      <vt:variant>
        <vt:lpwstr>_Toc227727520</vt:lpwstr>
      </vt:variant>
      <vt:variant>
        <vt:i4>1310770</vt:i4>
      </vt:variant>
      <vt:variant>
        <vt:i4>281</vt:i4>
      </vt:variant>
      <vt:variant>
        <vt:i4>0</vt:i4>
      </vt:variant>
      <vt:variant>
        <vt:i4>5</vt:i4>
      </vt:variant>
      <vt:variant>
        <vt:lpwstr/>
      </vt:variant>
      <vt:variant>
        <vt:lpwstr>_Toc227727519</vt:lpwstr>
      </vt:variant>
      <vt:variant>
        <vt:i4>1310770</vt:i4>
      </vt:variant>
      <vt:variant>
        <vt:i4>275</vt:i4>
      </vt:variant>
      <vt:variant>
        <vt:i4>0</vt:i4>
      </vt:variant>
      <vt:variant>
        <vt:i4>5</vt:i4>
      </vt:variant>
      <vt:variant>
        <vt:lpwstr/>
      </vt:variant>
      <vt:variant>
        <vt:lpwstr>_Toc227727518</vt:lpwstr>
      </vt:variant>
      <vt:variant>
        <vt:i4>1310770</vt:i4>
      </vt:variant>
      <vt:variant>
        <vt:i4>269</vt:i4>
      </vt:variant>
      <vt:variant>
        <vt:i4>0</vt:i4>
      </vt:variant>
      <vt:variant>
        <vt:i4>5</vt:i4>
      </vt:variant>
      <vt:variant>
        <vt:lpwstr/>
      </vt:variant>
      <vt:variant>
        <vt:lpwstr>_Toc227727517</vt:lpwstr>
      </vt:variant>
      <vt:variant>
        <vt:i4>1310770</vt:i4>
      </vt:variant>
      <vt:variant>
        <vt:i4>263</vt:i4>
      </vt:variant>
      <vt:variant>
        <vt:i4>0</vt:i4>
      </vt:variant>
      <vt:variant>
        <vt:i4>5</vt:i4>
      </vt:variant>
      <vt:variant>
        <vt:lpwstr/>
      </vt:variant>
      <vt:variant>
        <vt:lpwstr>_Toc227727516</vt:lpwstr>
      </vt:variant>
      <vt:variant>
        <vt:i4>1310770</vt:i4>
      </vt:variant>
      <vt:variant>
        <vt:i4>257</vt:i4>
      </vt:variant>
      <vt:variant>
        <vt:i4>0</vt:i4>
      </vt:variant>
      <vt:variant>
        <vt:i4>5</vt:i4>
      </vt:variant>
      <vt:variant>
        <vt:lpwstr/>
      </vt:variant>
      <vt:variant>
        <vt:lpwstr>_Toc227727515</vt:lpwstr>
      </vt:variant>
      <vt:variant>
        <vt:i4>1310770</vt:i4>
      </vt:variant>
      <vt:variant>
        <vt:i4>251</vt:i4>
      </vt:variant>
      <vt:variant>
        <vt:i4>0</vt:i4>
      </vt:variant>
      <vt:variant>
        <vt:i4>5</vt:i4>
      </vt:variant>
      <vt:variant>
        <vt:lpwstr/>
      </vt:variant>
      <vt:variant>
        <vt:lpwstr>_Toc227727514</vt:lpwstr>
      </vt:variant>
      <vt:variant>
        <vt:i4>1310770</vt:i4>
      </vt:variant>
      <vt:variant>
        <vt:i4>245</vt:i4>
      </vt:variant>
      <vt:variant>
        <vt:i4>0</vt:i4>
      </vt:variant>
      <vt:variant>
        <vt:i4>5</vt:i4>
      </vt:variant>
      <vt:variant>
        <vt:lpwstr/>
      </vt:variant>
      <vt:variant>
        <vt:lpwstr>_Toc227727513</vt:lpwstr>
      </vt:variant>
      <vt:variant>
        <vt:i4>1310770</vt:i4>
      </vt:variant>
      <vt:variant>
        <vt:i4>239</vt:i4>
      </vt:variant>
      <vt:variant>
        <vt:i4>0</vt:i4>
      </vt:variant>
      <vt:variant>
        <vt:i4>5</vt:i4>
      </vt:variant>
      <vt:variant>
        <vt:lpwstr/>
      </vt:variant>
      <vt:variant>
        <vt:lpwstr>_Toc227727512</vt:lpwstr>
      </vt:variant>
      <vt:variant>
        <vt:i4>1310770</vt:i4>
      </vt:variant>
      <vt:variant>
        <vt:i4>233</vt:i4>
      </vt:variant>
      <vt:variant>
        <vt:i4>0</vt:i4>
      </vt:variant>
      <vt:variant>
        <vt:i4>5</vt:i4>
      </vt:variant>
      <vt:variant>
        <vt:lpwstr/>
      </vt:variant>
      <vt:variant>
        <vt:lpwstr>_Toc227727511</vt:lpwstr>
      </vt:variant>
      <vt:variant>
        <vt:i4>1310770</vt:i4>
      </vt:variant>
      <vt:variant>
        <vt:i4>227</vt:i4>
      </vt:variant>
      <vt:variant>
        <vt:i4>0</vt:i4>
      </vt:variant>
      <vt:variant>
        <vt:i4>5</vt:i4>
      </vt:variant>
      <vt:variant>
        <vt:lpwstr/>
      </vt:variant>
      <vt:variant>
        <vt:lpwstr>_Toc227727510</vt:lpwstr>
      </vt:variant>
      <vt:variant>
        <vt:i4>1376306</vt:i4>
      </vt:variant>
      <vt:variant>
        <vt:i4>221</vt:i4>
      </vt:variant>
      <vt:variant>
        <vt:i4>0</vt:i4>
      </vt:variant>
      <vt:variant>
        <vt:i4>5</vt:i4>
      </vt:variant>
      <vt:variant>
        <vt:lpwstr/>
      </vt:variant>
      <vt:variant>
        <vt:lpwstr>_Toc227727509</vt:lpwstr>
      </vt:variant>
      <vt:variant>
        <vt:i4>1376306</vt:i4>
      </vt:variant>
      <vt:variant>
        <vt:i4>215</vt:i4>
      </vt:variant>
      <vt:variant>
        <vt:i4>0</vt:i4>
      </vt:variant>
      <vt:variant>
        <vt:i4>5</vt:i4>
      </vt:variant>
      <vt:variant>
        <vt:lpwstr/>
      </vt:variant>
      <vt:variant>
        <vt:lpwstr>_Toc227727508</vt:lpwstr>
      </vt:variant>
      <vt:variant>
        <vt:i4>1376306</vt:i4>
      </vt:variant>
      <vt:variant>
        <vt:i4>209</vt:i4>
      </vt:variant>
      <vt:variant>
        <vt:i4>0</vt:i4>
      </vt:variant>
      <vt:variant>
        <vt:i4>5</vt:i4>
      </vt:variant>
      <vt:variant>
        <vt:lpwstr/>
      </vt:variant>
      <vt:variant>
        <vt:lpwstr>_Toc227727507</vt:lpwstr>
      </vt:variant>
      <vt:variant>
        <vt:i4>1376306</vt:i4>
      </vt:variant>
      <vt:variant>
        <vt:i4>203</vt:i4>
      </vt:variant>
      <vt:variant>
        <vt:i4>0</vt:i4>
      </vt:variant>
      <vt:variant>
        <vt:i4>5</vt:i4>
      </vt:variant>
      <vt:variant>
        <vt:lpwstr/>
      </vt:variant>
      <vt:variant>
        <vt:lpwstr>_Toc227727506</vt:lpwstr>
      </vt:variant>
      <vt:variant>
        <vt:i4>1376306</vt:i4>
      </vt:variant>
      <vt:variant>
        <vt:i4>197</vt:i4>
      </vt:variant>
      <vt:variant>
        <vt:i4>0</vt:i4>
      </vt:variant>
      <vt:variant>
        <vt:i4>5</vt:i4>
      </vt:variant>
      <vt:variant>
        <vt:lpwstr/>
      </vt:variant>
      <vt:variant>
        <vt:lpwstr>_Toc227727505</vt:lpwstr>
      </vt:variant>
      <vt:variant>
        <vt:i4>1376306</vt:i4>
      </vt:variant>
      <vt:variant>
        <vt:i4>191</vt:i4>
      </vt:variant>
      <vt:variant>
        <vt:i4>0</vt:i4>
      </vt:variant>
      <vt:variant>
        <vt:i4>5</vt:i4>
      </vt:variant>
      <vt:variant>
        <vt:lpwstr/>
      </vt:variant>
      <vt:variant>
        <vt:lpwstr>_Toc227727504</vt:lpwstr>
      </vt:variant>
      <vt:variant>
        <vt:i4>1376306</vt:i4>
      </vt:variant>
      <vt:variant>
        <vt:i4>185</vt:i4>
      </vt:variant>
      <vt:variant>
        <vt:i4>0</vt:i4>
      </vt:variant>
      <vt:variant>
        <vt:i4>5</vt:i4>
      </vt:variant>
      <vt:variant>
        <vt:lpwstr/>
      </vt:variant>
      <vt:variant>
        <vt:lpwstr>_Toc227727503</vt:lpwstr>
      </vt:variant>
      <vt:variant>
        <vt:i4>1376306</vt:i4>
      </vt:variant>
      <vt:variant>
        <vt:i4>179</vt:i4>
      </vt:variant>
      <vt:variant>
        <vt:i4>0</vt:i4>
      </vt:variant>
      <vt:variant>
        <vt:i4>5</vt:i4>
      </vt:variant>
      <vt:variant>
        <vt:lpwstr/>
      </vt:variant>
      <vt:variant>
        <vt:lpwstr>_Toc227727502</vt:lpwstr>
      </vt:variant>
      <vt:variant>
        <vt:i4>1376306</vt:i4>
      </vt:variant>
      <vt:variant>
        <vt:i4>173</vt:i4>
      </vt:variant>
      <vt:variant>
        <vt:i4>0</vt:i4>
      </vt:variant>
      <vt:variant>
        <vt:i4>5</vt:i4>
      </vt:variant>
      <vt:variant>
        <vt:lpwstr/>
      </vt:variant>
      <vt:variant>
        <vt:lpwstr>_Toc227727501</vt:lpwstr>
      </vt:variant>
      <vt:variant>
        <vt:i4>1376306</vt:i4>
      </vt:variant>
      <vt:variant>
        <vt:i4>167</vt:i4>
      </vt:variant>
      <vt:variant>
        <vt:i4>0</vt:i4>
      </vt:variant>
      <vt:variant>
        <vt:i4>5</vt:i4>
      </vt:variant>
      <vt:variant>
        <vt:lpwstr/>
      </vt:variant>
      <vt:variant>
        <vt:lpwstr>_Toc227727500</vt:lpwstr>
      </vt:variant>
      <vt:variant>
        <vt:i4>1835059</vt:i4>
      </vt:variant>
      <vt:variant>
        <vt:i4>161</vt:i4>
      </vt:variant>
      <vt:variant>
        <vt:i4>0</vt:i4>
      </vt:variant>
      <vt:variant>
        <vt:i4>5</vt:i4>
      </vt:variant>
      <vt:variant>
        <vt:lpwstr/>
      </vt:variant>
      <vt:variant>
        <vt:lpwstr>_Toc227727499</vt:lpwstr>
      </vt:variant>
      <vt:variant>
        <vt:i4>1835059</vt:i4>
      </vt:variant>
      <vt:variant>
        <vt:i4>155</vt:i4>
      </vt:variant>
      <vt:variant>
        <vt:i4>0</vt:i4>
      </vt:variant>
      <vt:variant>
        <vt:i4>5</vt:i4>
      </vt:variant>
      <vt:variant>
        <vt:lpwstr/>
      </vt:variant>
      <vt:variant>
        <vt:lpwstr>_Toc227727498</vt:lpwstr>
      </vt:variant>
      <vt:variant>
        <vt:i4>1835059</vt:i4>
      </vt:variant>
      <vt:variant>
        <vt:i4>149</vt:i4>
      </vt:variant>
      <vt:variant>
        <vt:i4>0</vt:i4>
      </vt:variant>
      <vt:variant>
        <vt:i4>5</vt:i4>
      </vt:variant>
      <vt:variant>
        <vt:lpwstr/>
      </vt:variant>
      <vt:variant>
        <vt:lpwstr>_Toc227727497</vt:lpwstr>
      </vt:variant>
      <vt:variant>
        <vt:i4>1835059</vt:i4>
      </vt:variant>
      <vt:variant>
        <vt:i4>143</vt:i4>
      </vt:variant>
      <vt:variant>
        <vt:i4>0</vt:i4>
      </vt:variant>
      <vt:variant>
        <vt:i4>5</vt:i4>
      </vt:variant>
      <vt:variant>
        <vt:lpwstr/>
      </vt:variant>
      <vt:variant>
        <vt:lpwstr>_Toc227727496</vt:lpwstr>
      </vt:variant>
      <vt:variant>
        <vt:i4>1835059</vt:i4>
      </vt:variant>
      <vt:variant>
        <vt:i4>137</vt:i4>
      </vt:variant>
      <vt:variant>
        <vt:i4>0</vt:i4>
      </vt:variant>
      <vt:variant>
        <vt:i4>5</vt:i4>
      </vt:variant>
      <vt:variant>
        <vt:lpwstr/>
      </vt:variant>
      <vt:variant>
        <vt:lpwstr>_Toc227727495</vt:lpwstr>
      </vt:variant>
      <vt:variant>
        <vt:i4>1835059</vt:i4>
      </vt:variant>
      <vt:variant>
        <vt:i4>131</vt:i4>
      </vt:variant>
      <vt:variant>
        <vt:i4>0</vt:i4>
      </vt:variant>
      <vt:variant>
        <vt:i4>5</vt:i4>
      </vt:variant>
      <vt:variant>
        <vt:lpwstr/>
      </vt:variant>
      <vt:variant>
        <vt:lpwstr>_Toc227727494</vt:lpwstr>
      </vt:variant>
      <vt:variant>
        <vt:i4>1835059</vt:i4>
      </vt:variant>
      <vt:variant>
        <vt:i4>125</vt:i4>
      </vt:variant>
      <vt:variant>
        <vt:i4>0</vt:i4>
      </vt:variant>
      <vt:variant>
        <vt:i4>5</vt:i4>
      </vt:variant>
      <vt:variant>
        <vt:lpwstr/>
      </vt:variant>
      <vt:variant>
        <vt:lpwstr>_Toc227727493</vt:lpwstr>
      </vt:variant>
      <vt:variant>
        <vt:i4>1835059</vt:i4>
      </vt:variant>
      <vt:variant>
        <vt:i4>119</vt:i4>
      </vt:variant>
      <vt:variant>
        <vt:i4>0</vt:i4>
      </vt:variant>
      <vt:variant>
        <vt:i4>5</vt:i4>
      </vt:variant>
      <vt:variant>
        <vt:lpwstr/>
      </vt:variant>
      <vt:variant>
        <vt:lpwstr>_Toc227727492</vt:lpwstr>
      </vt:variant>
      <vt:variant>
        <vt:i4>1835059</vt:i4>
      </vt:variant>
      <vt:variant>
        <vt:i4>113</vt:i4>
      </vt:variant>
      <vt:variant>
        <vt:i4>0</vt:i4>
      </vt:variant>
      <vt:variant>
        <vt:i4>5</vt:i4>
      </vt:variant>
      <vt:variant>
        <vt:lpwstr/>
      </vt:variant>
      <vt:variant>
        <vt:lpwstr>_Toc227727491</vt:lpwstr>
      </vt:variant>
      <vt:variant>
        <vt:i4>1835059</vt:i4>
      </vt:variant>
      <vt:variant>
        <vt:i4>107</vt:i4>
      </vt:variant>
      <vt:variant>
        <vt:i4>0</vt:i4>
      </vt:variant>
      <vt:variant>
        <vt:i4>5</vt:i4>
      </vt:variant>
      <vt:variant>
        <vt:lpwstr/>
      </vt:variant>
      <vt:variant>
        <vt:lpwstr>_Toc227727490</vt:lpwstr>
      </vt:variant>
      <vt:variant>
        <vt:i4>1900595</vt:i4>
      </vt:variant>
      <vt:variant>
        <vt:i4>101</vt:i4>
      </vt:variant>
      <vt:variant>
        <vt:i4>0</vt:i4>
      </vt:variant>
      <vt:variant>
        <vt:i4>5</vt:i4>
      </vt:variant>
      <vt:variant>
        <vt:lpwstr/>
      </vt:variant>
      <vt:variant>
        <vt:lpwstr>_Toc227727489</vt:lpwstr>
      </vt:variant>
      <vt:variant>
        <vt:i4>1900595</vt:i4>
      </vt:variant>
      <vt:variant>
        <vt:i4>95</vt:i4>
      </vt:variant>
      <vt:variant>
        <vt:i4>0</vt:i4>
      </vt:variant>
      <vt:variant>
        <vt:i4>5</vt:i4>
      </vt:variant>
      <vt:variant>
        <vt:lpwstr/>
      </vt:variant>
      <vt:variant>
        <vt:lpwstr>_Toc227727488</vt:lpwstr>
      </vt:variant>
      <vt:variant>
        <vt:i4>1900595</vt:i4>
      </vt:variant>
      <vt:variant>
        <vt:i4>89</vt:i4>
      </vt:variant>
      <vt:variant>
        <vt:i4>0</vt:i4>
      </vt:variant>
      <vt:variant>
        <vt:i4>5</vt:i4>
      </vt:variant>
      <vt:variant>
        <vt:lpwstr/>
      </vt:variant>
      <vt:variant>
        <vt:lpwstr>_Toc227727487</vt:lpwstr>
      </vt:variant>
      <vt:variant>
        <vt:i4>1900595</vt:i4>
      </vt:variant>
      <vt:variant>
        <vt:i4>83</vt:i4>
      </vt:variant>
      <vt:variant>
        <vt:i4>0</vt:i4>
      </vt:variant>
      <vt:variant>
        <vt:i4>5</vt:i4>
      </vt:variant>
      <vt:variant>
        <vt:lpwstr/>
      </vt:variant>
      <vt:variant>
        <vt:lpwstr>_Toc227727486</vt:lpwstr>
      </vt:variant>
      <vt:variant>
        <vt:i4>1900595</vt:i4>
      </vt:variant>
      <vt:variant>
        <vt:i4>77</vt:i4>
      </vt:variant>
      <vt:variant>
        <vt:i4>0</vt:i4>
      </vt:variant>
      <vt:variant>
        <vt:i4>5</vt:i4>
      </vt:variant>
      <vt:variant>
        <vt:lpwstr/>
      </vt:variant>
      <vt:variant>
        <vt:lpwstr>_Toc227727485</vt:lpwstr>
      </vt:variant>
      <vt:variant>
        <vt:i4>1900595</vt:i4>
      </vt:variant>
      <vt:variant>
        <vt:i4>71</vt:i4>
      </vt:variant>
      <vt:variant>
        <vt:i4>0</vt:i4>
      </vt:variant>
      <vt:variant>
        <vt:i4>5</vt:i4>
      </vt:variant>
      <vt:variant>
        <vt:lpwstr/>
      </vt:variant>
      <vt:variant>
        <vt:lpwstr>_Toc227727484</vt:lpwstr>
      </vt:variant>
      <vt:variant>
        <vt:i4>1900595</vt:i4>
      </vt:variant>
      <vt:variant>
        <vt:i4>65</vt:i4>
      </vt:variant>
      <vt:variant>
        <vt:i4>0</vt:i4>
      </vt:variant>
      <vt:variant>
        <vt:i4>5</vt:i4>
      </vt:variant>
      <vt:variant>
        <vt:lpwstr/>
      </vt:variant>
      <vt:variant>
        <vt:lpwstr>_Toc227727483</vt:lpwstr>
      </vt:variant>
      <vt:variant>
        <vt:i4>1900595</vt:i4>
      </vt:variant>
      <vt:variant>
        <vt:i4>59</vt:i4>
      </vt:variant>
      <vt:variant>
        <vt:i4>0</vt:i4>
      </vt:variant>
      <vt:variant>
        <vt:i4>5</vt:i4>
      </vt:variant>
      <vt:variant>
        <vt:lpwstr/>
      </vt:variant>
      <vt:variant>
        <vt:lpwstr>_Toc227727482</vt:lpwstr>
      </vt:variant>
      <vt:variant>
        <vt:i4>1900595</vt:i4>
      </vt:variant>
      <vt:variant>
        <vt:i4>53</vt:i4>
      </vt:variant>
      <vt:variant>
        <vt:i4>0</vt:i4>
      </vt:variant>
      <vt:variant>
        <vt:i4>5</vt:i4>
      </vt:variant>
      <vt:variant>
        <vt:lpwstr/>
      </vt:variant>
      <vt:variant>
        <vt:lpwstr>_Toc227727481</vt:lpwstr>
      </vt:variant>
      <vt:variant>
        <vt:i4>1900595</vt:i4>
      </vt:variant>
      <vt:variant>
        <vt:i4>47</vt:i4>
      </vt:variant>
      <vt:variant>
        <vt:i4>0</vt:i4>
      </vt:variant>
      <vt:variant>
        <vt:i4>5</vt:i4>
      </vt:variant>
      <vt:variant>
        <vt:lpwstr/>
      </vt:variant>
      <vt:variant>
        <vt:lpwstr>_Toc227727480</vt:lpwstr>
      </vt:variant>
      <vt:variant>
        <vt:i4>1179699</vt:i4>
      </vt:variant>
      <vt:variant>
        <vt:i4>41</vt:i4>
      </vt:variant>
      <vt:variant>
        <vt:i4>0</vt:i4>
      </vt:variant>
      <vt:variant>
        <vt:i4>5</vt:i4>
      </vt:variant>
      <vt:variant>
        <vt:lpwstr/>
      </vt:variant>
      <vt:variant>
        <vt:lpwstr>_Toc227727479</vt:lpwstr>
      </vt:variant>
      <vt:variant>
        <vt:i4>1179699</vt:i4>
      </vt:variant>
      <vt:variant>
        <vt:i4>35</vt:i4>
      </vt:variant>
      <vt:variant>
        <vt:i4>0</vt:i4>
      </vt:variant>
      <vt:variant>
        <vt:i4>5</vt:i4>
      </vt:variant>
      <vt:variant>
        <vt:lpwstr/>
      </vt:variant>
      <vt:variant>
        <vt:lpwstr>_Toc227727478</vt:lpwstr>
      </vt:variant>
      <vt:variant>
        <vt:i4>1179699</vt:i4>
      </vt:variant>
      <vt:variant>
        <vt:i4>29</vt:i4>
      </vt:variant>
      <vt:variant>
        <vt:i4>0</vt:i4>
      </vt:variant>
      <vt:variant>
        <vt:i4>5</vt:i4>
      </vt:variant>
      <vt:variant>
        <vt:lpwstr/>
      </vt:variant>
      <vt:variant>
        <vt:lpwstr>_Toc227727477</vt:lpwstr>
      </vt:variant>
      <vt:variant>
        <vt:i4>1179699</vt:i4>
      </vt:variant>
      <vt:variant>
        <vt:i4>23</vt:i4>
      </vt:variant>
      <vt:variant>
        <vt:i4>0</vt:i4>
      </vt:variant>
      <vt:variant>
        <vt:i4>5</vt:i4>
      </vt:variant>
      <vt:variant>
        <vt:lpwstr/>
      </vt:variant>
      <vt:variant>
        <vt:lpwstr>_Toc227727476</vt:lpwstr>
      </vt:variant>
      <vt:variant>
        <vt:i4>1179699</vt:i4>
      </vt:variant>
      <vt:variant>
        <vt:i4>17</vt:i4>
      </vt:variant>
      <vt:variant>
        <vt:i4>0</vt:i4>
      </vt:variant>
      <vt:variant>
        <vt:i4>5</vt:i4>
      </vt:variant>
      <vt:variant>
        <vt:lpwstr/>
      </vt:variant>
      <vt:variant>
        <vt:lpwstr>_Toc227727475</vt:lpwstr>
      </vt:variant>
      <vt:variant>
        <vt:i4>1179699</vt:i4>
      </vt:variant>
      <vt:variant>
        <vt:i4>11</vt:i4>
      </vt:variant>
      <vt:variant>
        <vt:i4>0</vt:i4>
      </vt:variant>
      <vt:variant>
        <vt:i4>5</vt:i4>
      </vt:variant>
      <vt:variant>
        <vt:lpwstr/>
      </vt:variant>
      <vt:variant>
        <vt:lpwstr>_Toc227727474</vt:lpwstr>
      </vt:variant>
      <vt:variant>
        <vt:i4>1179699</vt:i4>
      </vt:variant>
      <vt:variant>
        <vt:i4>5</vt:i4>
      </vt:variant>
      <vt:variant>
        <vt:i4>0</vt:i4>
      </vt:variant>
      <vt:variant>
        <vt:i4>5</vt:i4>
      </vt:variant>
      <vt:variant>
        <vt:lpwstr/>
      </vt:variant>
      <vt:variant>
        <vt:lpwstr>_Toc227727473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Electric Service Reliability Report Final</dc:title>
  <dc:subject>WUTC Annual 2007 Report</dc:subject>
  <dc:creator>Mark Weiss</dc:creator>
  <cp:keywords>WUTC report</cp:keywords>
  <dc:description>This is the draft version for the WUTC report that has not been reviewed by the WUTC staff and their comments included.</dc:description>
  <cp:lastModifiedBy>Shawn Bonfield</cp:lastModifiedBy>
  <cp:revision>5</cp:revision>
  <cp:lastPrinted>2012-04-24T16:39:00Z</cp:lastPrinted>
  <dcterms:created xsi:type="dcterms:W3CDTF">2013-04-25T22:32:00Z</dcterms:created>
  <dcterms:modified xsi:type="dcterms:W3CDTF">2013-04-29T16:01:00Z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0x0101006E56B4D1795A2E4DB2F0B01679ED314A001F75A6D5C2597844B75B47B1F5085C59</vt:lpwstr>
  </property>
  <property fmtid="{D5CDD505-2E9C-101B-9397-08002B2CF9AE}" pid="3" name="_docset_NoMedatataSyncRequired">
    <vt:lpwstr>False</vt:lpwstr>
  </property>
</Properties>
</file>