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9C4DCB">
            <w:pPr>
              <w:jc w:val="center"/>
            </w:pPr>
            <w:r>
              <w:t>90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444C80" w:rsidP="00D40F10">
            <w:pPr>
              <w:jc w:val="center"/>
            </w:pPr>
            <w:r>
              <w:t>89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404365">
              <w:t>2.</w:t>
            </w:r>
            <w:r w:rsidR="009C4DCB">
              <w:t>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9C4DCB">
            <w:pPr>
              <w:jc w:val="center"/>
            </w:pPr>
            <w:r>
              <w:t>$</w:t>
            </w:r>
            <w:r w:rsidR="009C4DCB">
              <w:t>5</w:t>
            </w:r>
            <w:r w:rsidR="00404365">
              <w:t>.</w:t>
            </w:r>
            <w:r w:rsidR="009C4DCB">
              <w:t>0</w:t>
            </w:r>
            <w:r w:rsidR="0040436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627D0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44C80" w:rsidP="004579AF">
            <w:pPr>
              <w:jc w:val="center"/>
            </w:pPr>
            <w:r>
              <w:t>26</w:t>
            </w:r>
            <w:r w:rsidR="004E323C">
              <w:t xml:space="preserve"> </w:t>
            </w:r>
            <w:r w:rsidR="004579AF">
              <w:t>April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444C80" w:rsidP="004579AF">
            <w:pPr>
              <w:jc w:val="center"/>
            </w:pPr>
            <w:r>
              <w:t>25</w:t>
            </w:r>
            <w:r w:rsidR="00D67D24">
              <w:t xml:space="preserve"> </w:t>
            </w:r>
            <w:r w:rsidR="004579AF">
              <w:t>May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D627D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A4ECA"/>
    <w:rsid w:val="007C28ED"/>
    <w:rsid w:val="008032D5"/>
    <w:rsid w:val="008342C4"/>
    <w:rsid w:val="00841C45"/>
    <w:rsid w:val="00877E94"/>
    <w:rsid w:val="00983A3E"/>
    <w:rsid w:val="0099413A"/>
    <w:rsid w:val="009C4DCB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27D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93AB0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7D0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D627D0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110719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3575FD7ACD7148AD59DFF798D4CD54" ma:contentTypeVersion="143" ma:contentTypeDescription="" ma:contentTypeScope="" ma:versionID="99e9a038573ecdaa1b80e5f2953a5b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F31CA-704D-4D6A-9C20-5B036B5B709F}"/>
</file>

<file path=customXml/itemProps2.xml><?xml version="1.0" encoding="utf-8"?>
<ds:datastoreItem xmlns:ds="http://schemas.openxmlformats.org/officeDocument/2006/customXml" ds:itemID="{BB266E43-9657-4F9C-8FE2-FAD295623B6B}"/>
</file>

<file path=customXml/itemProps3.xml><?xml version="1.0" encoding="utf-8"?>
<ds:datastoreItem xmlns:ds="http://schemas.openxmlformats.org/officeDocument/2006/customXml" ds:itemID="{86795307-D9FF-438A-B66E-10373D2FA112}"/>
</file>

<file path=customXml/itemProps4.xml><?xml version="1.0" encoding="utf-8"?>
<ds:datastoreItem xmlns:ds="http://schemas.openxmlformats.org/officeDocument/2006/customXml" ds:itemID="{E7F8170E-B6F3-49DA-8947-7A8D80CC8A67}"/>
</file>

<file path=customXml/itemProps5.xml><?xml version="1.0" encoding="utf-8"?>
<ds:datastoreItem xmlns:ds="http://schemas.openxmlformats.org/officeDocument/2006/customXml" ds:itemID="{E4C8F70D-BC11-4C89-A4C0-8C91BA3B8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2011-04-27T20:48:00Z</dcterms:created>
  <dcterms:modified xsi:type="dcterms:W3CDTF">2011-04-27T20:48:00Z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0x0101006E56B4D1795A2E4DB2F0B01679ED314A00593575FD7ACD7148AD59DFF798D4CD54</vt:lpwstr>
  </property>
  <property fmtid="{D5CDD505-2E9C-101B-9397-08002B2CF9AE}" pid="3" name="_docset_NoMedatataSyncRequired">
    <vt:lpwstr>False</vt:lpwstr>
  </property>
</Properties>
</file>