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pPr>
        <w:rPr>
          <w:rFonts w:ascii="Arial" w:hAnsi="Arial"/>
          <w:b/>
          <w:u w:val="single"/>
        </w:rPr>
      </w:pPr>
    </w:p>
    <w:p w:rsidR="00FC2BBC" w:rsidRDefault="00FC2BBC" w:rsidP="00FC2BBC">
      <w:pPr>
        <w:jc w:val="center"/>
        <w:rPr>
          <w:rFonts w:ascii="Arial" w:hAnsi="Arial" w:cs="Arial"/>
          <w:sz w:val="72"/>
          <w:szCs w:val="72"/>
        </w:rPr>
      </w:pPr>
      <w:r w:rsidRPr="00FC2BBC">
        <w:rPr>
          <w:rFonts w:ascii="Arial" w:hAnsi="Arial" w:cs="Arial"/>
          <w:sz w:val="72"/>
          <w:szCs w:val="72"/>
        </w:rPr>
        <w:t xml:space="preserve">Avista </w:t>
      </w:r>
    </w:p>
    <w:p w:rsidR="00927834" w:rsidRPr="00FC2BBC" w:rsidRDefault="00927834" w:rsidP="00FC2BBC">
      <w:pPr>
        <w:jc w:val="center"/>
        <w:rPr>
          <w:rFonts w:ascii="Arial" w:hAnsi="Arial" w:cs="Arial"/>
          <w:sz w:val="72"/>
          <w:szCs w:val="72"/>
        </w:rPr>
      </w:pPr>
    </w:p>
    <w:p w:rsidR="00FC2BBC" w:rsidRPr="00FC2BBC" w:rsidRDefault="00FC2BBC" w:rsidP="00FC2BBC">
      <w:pPr>
        <w:jc w:val="center"/>
        <w:rPr>
          <w:rFonts w:ascii="Arial" w:hAnsi="Arial" w:cs="Arial"/>
          <w:sz w:val="72"/>
          <w:szCs w:val="72"/>
        </w:rPr>
      </w:pPr>
      <w:r w:rsidRPr="00FC2BBC">
        <w:rPr>
          <w:rFonts w:ascii="Arial" w:hAnsi="Arial" w:cs="Arial"/>
          <w:sz w:val="72"/>
          <w:szCs w:val="72"/>
        </w:rPr>
        <w:t xml:space="preserve">Electric </w:t>
      </w:r>
    </w:p>
    <w:p w:rsidR="00FC2BBC" w:rsidRPr="00FC2BBC" w:rsidRDefault="00FC2BBC" w:rsidP="00FC2BBC">
      <w:pPr>
        <w:jc w:val="center"/>
        <w:rPr>
          <w:rFonts w:ascii="Arial" w:hAnsi="Arial" w:cs="Arial"/>
          <w:sz w:val="72"/>
          <w:szCs w:val="72"/>
        </w:rPr>
      </w:pPr>
      <w:r w:rsidRPr="00FC2BBC">
        <w:rPr>
          <w:rFonts w:ascii="Arial" w:hAnsi="Arial" w:cs="Arial"/>
          <w:sz w:val="72"/>
          <w:szCs w:val="72"/>
        </w:rPr>
        <w:t xml:space="preserve">Service </w:t>
      </w:r>
    </w:p>
    <w:p w:rsidR="002E7A86" w:rsidRDefault="00FC2BBC" w:rsidP="00FC2BBC">
      <w:pPr>
        <w:jc w:val="center"/>
        <w:rPr>
          <w:rFonts w:ascii="Arial" w:hAnsi="Arial" w:cs="Arial"/>
          <w:sz w:val="72"/>
          <w:szCs w:val="72"/>
        </w:rPr>
      </w:pPr>
      <w:r w:rsidRPr="00FC2BBC">
        <w:rPr>
          <w:rFonts w:ascii="Arial" w:hAnsi="Arial" w:cs="Arial"/>
          <w:sz w:val="72"/>
          <w:szCs w:val="72"/>
        </w:rPr>
        <w:t xml:space="preserve">Reliability </w:t>
      </w:r>
    </w:p>
    <w:p w:rsidR="002E7A86" w:rsidRDefault="002E7A86" w:rsidP="00FC2BBC">
      <w:pPr>
        <w:jc w:val="center"/>
        <w:rPr>
          <w:rFonts w:ascii="Arial" w:hAnsi="Arial" w:cs="Arial"/>
          <w:sz w:val="72"/>
          <w:szCs w:val="72"/>
        </w:rPr>
      </w:pPr>
      <w:r>
        <w:rPr>
          <w:rFonts w:ascii="Arial" w:hAnsi="Arial" w:cs="Arial"/>
          <w:sz w:val="72"/>
          <w:szCs w:val="72"/>
        </w:rPr>
        <w:t xml:space="preserve">Monitoring </w:t>
      </w:r>
    </w:p>
    <w:p w:rsidR="00FC2BBC" w:rsidRPr="00FC2BBC" w:rsidRDefault="002E7A86" w:rsidP="00FC2BBC">
      <w:pPr>
        <w:jc w:val="center"/>
        <w:rPr>
          <w:rFonts w:ascii="Arial" w:hAnsi="Arial" w:cs="Arial"/>
          <w:sz w:val="72"/>
          <w:szCs w:val="72"/>
        </w:rPr>
      </w:pPr>
      <w:r>
        <w:rPr>
          <w:rFonts w:ascii="Arial" w:hAnsi="Arial" w:cs="Arial"/>
          <w:sz w:val="72"/>
          <w:szCs w:val="72"/>
        </w:rPr>
        <w:t>and Reporting</w:t>
      </w:r>
    </w:p>
    <w:p w:rsidR="00FC2BBC" w:rsidRDefault="00FC2BBC" w:rsidP="00FC2BBC">
      <w:pPr>
        <w:jc w:val="center"/>
        <w:rPr>
          <w:rFonts w:ascii="Arial" w:hAnsi="Arial"/>
          <w:b/>
          <w:u w:val="single"/>
        </w:rPr>
      </w:pPr>
      <w:r w:rsidRPr="00FC2BBC">
        <w:rPr>
          <w:rFonts w:ascii="Arial" w:hAnsi="Arial" w:cs="Arial"/>
          <w:sz w:val="72"/>
          <w:szCs w:val="72"/>
        </w:rPr>
        <w:t>Plan</w:t>
      </w:r>
      <w:r>
        <w:rPr>
          <w:rFonts w:ascii="Arial" w:hAnsi="Arial"/>
          <w:b/>
          <w:u w:val="single"/>
        </w:rPr>
        <w:br w:type="page"/>
      </w:r>
    </w:p>
    <w:p w:rsidR="000B3384" w:rsidRDefault="000B3384">
      <w:pPr>
        <w:numPr>
          <w:ilvl w:val="0"/>
          <w:numId w:val="5"/>
        </w:numPr>
        <w:rPr>
          <w:rFonts w:ascii="Arial" w:hAnsi="Arial"/>
          <w:b/>
          <w:u w:val="single"/>
        </w:rPr>
      </w:pPr>
      <w:r>
        <w:rPr>
          <w:rFonts w:ascii="Arial" w:hAnsi="Arial"/>
          <w:b/>
          <w:u w:val="single"/>
        </w:rPr>
        <w:lastRenderedPageBreak/>
        <w:t>Introduction</w:t>
      </w:r>
    </w:p>
    <w:p w:rsidR="000B3384" w:rsidRDefault="000B3384"/>
    <w:p w:rsidR="000B3384" w:rsidRDefault="000B3384">
      <w:r>
        <w:t xml:space="preserve">Washington investor-owned electric companies are to provide statements describing their reliability monitoring and reporting plans and annual report submittal dates pursuant to WAC 480-100-393 and WAC 480-100-398, Electric system reliability.  These rules were adopted in the Commission’s rulemaking in Docket No. </w:t>
      </w:r>
      <w:proofErr w:type="gramStart"/>
      <w:r>
        <w:t>UE-991168.</w:t>
      </w:r>
      <w:proofErr w:type="gramEnd"/>
      <w:r>
        <w:t xml:space="preserve">  (For ease of reference, these rules are included in Section 9.0 of this document.)</w:t>
      </w:r>
    </w:p>
    <w:p w:rsidR="000B3384" w:rsidRDefault="000B3384"/>
    <w:p w:rsidR="0077124D" w:rsidRDefault="0077124D">
      <w:r>
        <w:t xml:space="preserve">In 2008 the WUTC Staff suggested that Avista update their plan to more accurately reflect the information reflected in the Annual Reports. </w:t>
      </w:r>
      <w:r w:rsidR="000B3384">
        <w:t xml:space="preserve">This document </w:t>
      </w:r>
      <w:r>
        <w:t>reflects the latest information, monitoring used for</w:t>
      </w:r>
      <w:r w:rsidR="000B3384">
        <w:t xml:space="preserve"> Avista Utilities’ reliability metrics and </w:t>
      </w:r>
      <w:r>
        <w:t>reporting documents</w:t>
      </w:r>
      <w:r w:rsidR="00D53CDA">
        <w:t>.</w:t>
      </w:r>
    </w:p>
    <w:p w:rsidR="0077124D" w:rsidRDefault="0077124D"/>
    <w:p w:rsidR="000B3384" w:rsidRDefault="000B3384">
      <w:r>
        <w:t xml:space="preserve">The Company’s system includes ten geographical </w:t>
      </w:r>
      <w:r w:rsidR="0077124D">
        <w:t>areas that are in a three states</w:t>
      </w:r>
      <w:r>
        <w:t xml:space="preserve">. </w:t>
      </w:r>
      <w:r w:rsidR="0077124D">
        <w:t xml:space="preserve">The Annual Reports include both the State of Washington and the State of Idaho. </w:t>
      </w:r>
      <w:r>
        <w:t>Two of these divisions straddle the Washington and Idaho border and commingle jurisdictional customers.</w:t>
      </w:r>
    </w:p>
    <w:p w:rsidR="000B3384" w:rsidRDefault="000B3384"/>
    <w:p w:rsidR="000B3384" w:rsidRDefault="000B3384"/>
    <w:p w:rsidR="000B3384" w:rsidRDefault="000B3384"/>
    <w:p w:rsidR="00546410" w:rsidRDefault="00546410"/>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Pr>
        <w:numPr>
          <w:ilvl w:val="0"/>
          <w:numId w:val="5"/>
        </w:numPr>
        <w:rPr>
          <w:rFonts w:ascii="Arial" w:hAnsi="Arial"/>
          <w:b/>
          <w:u w:val="single"/>
        </w:rPr>
      </w:pPr>
      <w:r>
        <w:rPr>
          <w:rFonts w:ascii="Arial" w:hAnsi="Arial"/>
          <w:b/>
          <w:u w:val="single"/>
        </w:rPr>
        <w:t>Definition of Terms</w:t>
      </w:r>
    </w:p>
    <w:p w:rsidR="000B3384" w:rsidRDefault="000B3384">
      <w:pPr>
        <w:pStyle w:val="Heading1"/>
      </w:pPr>
    </w:p>
    <w:p w:rsidR="000B3384" w:rsidRDefault="000B3384">
      <w:pPr>
        <w:pStyle w:val="Heading1"/>
        <w:rPr>
          <w:b w:val="0"/>
        </w:rPr>
      </w:pPr>
      <w:r>
        <w:rPr>
          <w:b w:val="0"/>
        </w:rPr>
        <w:t>Pursuant to WAC 480-100-388, Avista Utilities provides its definitions of the following items.</w:t>
      </w:r>
    </w:p>
    <w:p w:rsidR="00814230" w:rsidRPr="00814230" w:rsidRDefault="00814230" w:rsidP="00814230"/>
    <w:p w:rsidR="000B3384" w:rsidRPr="004B7F16" w:rsidRDefault="004B7F16">
      <w:pPr>
        <w:pStyle w:val="Header"/>
        <w:tabs>
          <w:tab w:val="clear" w:pos="4320"/>
          <w:tab w:val="clear" w:pos="8640"/>
        </w:tabs>
        <w:rPr>
          <w:color w:val="000000"/>
        </w:rPr>
      </w:pPr>
      <w:r>
        <w:t>“</w:t>
      </w:r>
      <w:r>
        <w:rPr>
          <w:i/>
          <w:color w:val="000000"/>
        </w:rPr>
        <w:t>Reliability Statistic”</w:t>
      </w:r>
      <w:r>
        <w:rPr>
          <w:color w:val="000000"/>
        </w:rPr>
        <w:t xml:space="preserve"> – Standard Statistics measures and calculation methods are per the IEEE Standard 1366-2003 (or latest version) Titled “IEEE Guide for Electric Power Distribution Reliability Indices”. Same as Reliability Indices.</w:t>
      </w:r>
    </w:p>
    <w:p w:rsidR="004B7F16" w:rsidRDefault="004B7F16">
      <w:pPr>
        <w:pStyle w:val="Header"/>
        <w:tabs>
          <w:tab w:val="clear" w:pos="4320"/>
          <w:tab w:val="clear" w:pos="8640"/>
        </w:tabs>
      </w:pPr>
    </w:p>
    <w:p w:rsidR="000B3384" w:rsidRDefault="000B3384">
      <w:pPr>
        <w:pStyle w:val="BodyText"/>
      </w:pPr>
      <w:r>
        <w:rPr>
          <w:i/>
        </w:rPr>
        <w:t>"Major event"</w:t>
      </w:r>
      <w:r>
        <w:t xml:space="preserve"> – </w:t>
      </w:r>
      <w:r w:rsidR="00D53CDA">
        <w:t>Modified this definition to the IEEE Standard 1366-2003 (or latest version) of Major Event Day (MED), which uses a process “Beta Method” to identify a Major Event Day. The previous definition was “</w:t>
      </w:r>
      <w:r>
        <w:t>An event that impacts more than 5% of the Company’s customers and causes outages of more than 24 hours in duration in any given division within its territory</w:t>
      </w:r>
      <w:r w:rsidR="00D53CDA">
        <w:t>”</w:t>
      </w:r>
      <w:r>
        <w:t>.</w:t>
      </w:r>
    </w:p>
    <w:p w:rsidR="000B3384" w:rsidRDefault="000B3384">
      <w:pPr>
        <w:pStyle w:val="BodyText"/>
      </w:pPr>
    </w:p>
    <w:p w:rsidR="000B3384" w:rsidRDefault="000B3384">
      <w:r>
        <w:rPr>
          <w:i/>
        </w:rPr>
        <w:t>“Sustained Interruption”</w:t>
      </w:r>
      <w:r>
        <w:t xml:space="preserve"> - An interruption lasting longer than 5 minutes. </w:t>
      </w:r>
    </w:p>
    <w:p w:rsidR="000B3384" w:rsidRDefault="000B3384"/>
    <w:p w:rsidR="000B3384" w:rsidRDefault="000B3384">
      <w:r>
        <w:rPr>
          <w:i/>
        </w:rPr>
        <w:t xml:space="preserve">“Momentary Event Interruption” – </w:t>
      </w:r>
      <w:r>
        <w:t>An interruption</w:t>
      </w:r>
      <w:r w:rsidR="004D08EA">
        <w:t>(s)</w:t>
      </w:r>
      <w:r>
        <w:t xml:space="preserve"> of duration 5 minutes or less.  </w:t>
      </w:r>
      <w:r w:rsidR="004D08EA">
        <w:t>Each</w:t>
      </w:r>
      <w:r>
        <w:t xml:space="preserve"> event </w:t>
      </w:r>
      <w:r w:rsidR="004D08EA">
        <w:t>consists of one trip and one</w:t>
      </w:r>
      <w:r>
        <w:t xml:space="preserve"> reclos</w:t>
      </w:r>
      <w:r w:rsidR="004D08EA">
        <w:t>e</w:t>
      </w:r>
      <w:r>
        <w:t xml:space="preserve"> operation that occur within 5 minutes</w:t>
      </w:r>
      <w:r w:rsidR="004D08EA">
        <w:t>.</w:t>
      </w:r>
      <w:r>
        <w:t xml:space="preserve">  For example, if an interrupting device operates three times and then holds, th</w:t>
      </w:r>
      <w:r w:rsidR="004D08EA">
        <w:t>is would be counted as three</w:t>
      </w:r>
      <w:r>
        <w:t xml:space="preserve"> event</w:t>
      </w:r>
      <w:r w:rsidR="004D08EA">
        <w:t>s with the number of customers affected as three times the Ni</w:t>
      </w:r>
      <w:r>
        <w:t>.</w:t>
      </w:r>
    </w:p>
    <w:p w:rsidR="000B3384" w:rsidRDefault="000B3384"/>
    <w:p w:rsidR="0017137D" w:rsidRDefault="000B3384">
      <w:pPr>
        <w:rPr>
          <w:color w:val="000000"/>
        </w:rPr>
      </w:pPr>
      <w:r>
        <w:rPr>
          <w:i/>
          <w:color w:val="000000"/>
        </w:rPr>
        <w:t>"Baseline reliability statistic"</w:t>
      </w:r>
      <w:r>
        <w:rPr>
          <w:color w:val="000000"/>
        </w:rPr>
        <w:t xml:space="preserve"> –</w:t>
      </w:r>
      <w:r w:rsidR="0017137D">
        <w:rPr>
          <w:color w:val="000000"/>
        </w:rPr>
        <w:t xml:space="preserve"> </w:t>
      </w:r>
      <w:r w:rsidR="00223D7D">
        <w:rPr>
          <w:color w:val="000000"/>
        </w:rPr>
        <w:t xml:space="preserve">Avista will compare its reliability </w:t>
      </w:r>
      <w:r w:rsidR="002E61C0">
        <w:rPr>
          <w:color w:val="000000"/>
        </w:rPr>
        <w:t>statistics</w:t>
      </w:r>
      <w:r w:rsidR="00223D7D">
        <w:rPr>
          <w:color w:val="000000"/>
        </w:rPr>
        <w:t xml:space="preserve"> to the year 2005</w:t>
      </w:r>
      <w:r w:rsidR="002E61C0">
        <w:rPr>
          <w:color w:val="000000"/>
        </w:rPr>
        <w:t>.</w:t>
      </w:r>
    </w:p>
    <w:p w:rsidR="0017137D" w:rsidRDefault="0017137D">
      <w:pPr>
        <w:rPr>
          <w:color w:val="000000"/>
        </w:rPr>
      </w:pPr>
    </w:p>
    <w:p w:rsidR="000B3384" w:rsidRDefault="006E5748">
      <w:pPr>
        <w:rPr>
          <w:color w:val="000000"/>
        </w:rPr>
      </w:pPr>
      <w:r w:rsidRPr="006E5748">
        <w:rPr>
          <w:i/>
          <w:color w:val="000000"/>
        </w:rPr>
        <w:t>“Reliability Target”</w:t>
      </w:r>
      <w:r w:rsidR="0017137D">
        <w:rPr>
          <w:color w:val="000000"/>
        </w:rPr>
        <w:t xml:space="preserve"> -</w:t>
      </w:r>
      <w:r w:rsidR="000B3384">
        <w:rPr>
          <w:color w:val="000000"/>
        </w:rPr>
        <w:t xml:space="preserve"> </w:t>
      </w:r>
      <w:r w:rsidR="004B7F16">
        <w:rPr>
          <w:color w:val="000000"/>
        </w:rPr>
        <w:t>A statistical method was developed in 2004 for baseline statistics. The method is defined as the average over a specific timeframe and 2 times the standard deviation</w:t>
      </w:r>
      <w:r w:rsidR="000B3384">
        <w:rPr>
          <w:color w:val="000000"/>
        </w:rPr>
        <w:t>.</w:t>
      </w:r>
      <w:r w:rsidR="004B7F16">
        <w:rPr>
          <w:color w:val="000000"/>
        </w:rPr>
        <w:t xml:space="preserve"> For 9</w:t>
      </w:r>
      <w:r w:rsidR="00ED44DB">
        <w:rPr>
          <w:color w:val="000000"/>
        </w:rPr>
        <w:t>5</w:t>
      </w:r>
      <w:r w:rsidR="004B7F16">
        <w:rPr>
          <w:color w:val="000000"/>
        </w:rPr>
        <w:t>% of the time, the Reliability Statistic should be below the baseline.</w:t>
      </w:r>
    </w:p>
    <w:p w:rsidR="000B3384" w:rsidRDefault="000B3384">
      <w:pPr>
        <w:rPr>
          <w:color w:val="000000"/>
        </w:rPr>
      </w:pPr>
    </w:p>
    <w:p w:rsidR="00546410" w:rsidRDefault="000B3384" w:rsidP="00546410">
      <w:pPr>
        <w:rPr>
          <w:color w:val="000000"/>
        </w:rPr>
      </w:pPr>
      <w:r>
        <w:rPr>
          <w:color w:val="000000"/>
        </w:rPr>
        <w:t>“</w:t>
      </w:r>
      <w:r>
        <w:rPr>
          <w:i/>
          <w:color w:val="000000"/>
        </w:rPr>
        <w:t xml:space="preserve">Customer Complaint” - </w:t>
      </w:r>
      <w:r>
        <w:rPr>
          <w:color w:val="000000"/>
        </w:rPr>
        <w:t>When a customer is not satisfied with a resolution or explanation of their concern.</w:t>
      </w:r>
    </w:p>
    <w:p w:rsidR="00546410" w:rsidRDefault="00546410" w:rsidP="00546410">
      <w:pPr>
        <w:rPr>
          <w:color w:val="000000"/>
        </w:rPr>
      </w:pPr>
    </w:p>
    <w:p w:rsidR="00374703" w:rsidRPr="00374703" w:rsidRDefault="00374703" w:rsidP="00546410">
      <w:pPr>
        <w:rPr>
          <w:color w:val="000000"/>
        </w:rPr>
      </w:pPr>
      <w:r w:rsidRPr="00374703">
        <w:rPr>
          <w:i/>
          <w:color w:val="000000"/>
        </w:rPr>
        <w:t>“Commission Complaint”</w:t>
      </w:r>
      <w:r>
        <w:rPr>
          <w:color w:val="000000"/>
        </w:rPr>
        <w:t xml:space="preserve"> – When a customer is not satisfied with a resolution of a complaint to Avista or takes the complaint directly to the Commission.</w:t>
      </w:r>
    </w:p>
    <w:p w:rsidR="00327A2E" w:rsidRDefault="00327A2E">
      <w:r>
        <w:br w:type="page"/>
      </w:r>
    </w:p>
    <w:p w:rsidR="000B3384" w:rsidRDefault="000B3384">
      <w:pPr>
        <w:numPr>
          <w:ilvl w:val="0"/>
          <w:numId w:val="5"/>
        </w:numPr>
        <w:rPr>
          <w:rFonts w:ascii="Arial" w:hAnsi="Arial"/>
          <w:b/>
          <w:u w:val="single"/>
        </w:rPr>
      </w:pPr>
      <w:r>
        <w:rPr>
          <w:rFonts w:ascii="Arial" w:hAnsi="Arial"/>
          <w:b/>
          <w:u w:val="single"/>
        </w:rPr>
        <w:lastRenderedPageBreak/>
        <w:t>Electric Service Reliability Monitoring and Reporting Plan</w:t>
      </w:r>
    </w:p>
    <w:p w:rsidR="000B3384" w:rsidRDefault="000B3384"/>
    <w:p w:rsidR="000B3384" w:rsidRDefault="000B3384">
      <w:r>
        <w:t xml:space="preserve">Avista Utilities provides this </w:t>
      </w:r>
      <w:r w:rsidR="004F2933">
        <w:t xml:space="preserve">updated </w:t>
      </w:r>
      <w:r>
        <w:t xml:space="preserve">plan for monitoring and reporting electric service reliability (in adherence to WAC 480-100-393) based on </w:t>
      </w:r>
      <w:r w:rsidR="004F2933">
        <w:t xml:space="preserve">changes and improvements in the </w:t>
      </w:r>
      <w:r>
        <w:t>methodology and capabilities in place as of the date of this submission.  Any modification to the Company’s monitoring or reporting procedure will be filed with the Commission.</w:t>
      </w:r>
    </w:p>
    <w:p w:rsidR="000B3384" w:rsidRDefault="000B3384"/>
    <w:p w:rsidR="000B3384" w:rsidRDefault="000B3384">
      <w:r>
        <w:t xml:space="preserve">Avista </w:t>
      </w:r>
      <w:r w:rsidR="00E94965">
        <w:t xml:space="preserve">is and will continue to </w:t>
      </w:r>
      <w:r>
        <w:t>report to the Commission the following four reliability indices</w:t>
      </w:r>
      <w:r w:rsidR="003E5D52">
        <w:t xml:space="preserve"> with major events both included and excluded</w:t>
      </w:r>
      <w:r>
        <w:t>.</w:t>
      </w:r>
      <w:r w:rsidR="004F2933">
        <w:t xml:space="preserve"> Additionally</w:t>
      </w:r>
      <w:r w:rsidR="004147E7">
        <w:t xml:space="preserve"> a new indice is being reported that looks at the number of sustained interruptions (including MED sustained interruptions) an individual customer experiences. This indice is </w:t>
      </w:r>
      <w:r w:rsidR="00814230">
        <w:t>CEMI. These</w:t>
      </w:r>
      <w:r>
        <w:t xml:space="preserve"> Reliability Index Calculations were extracted from “</w:t>
      </w:r>
      <w:r>
        <w:rPr>
          <w:u w:val="single"/>
        </w:rPr>
        <w:t>IEEE Guide for Power Distribution Reliability Indices</w:t>
      </w:r>
      <w:r>
        <w:t xml:space="preserve">” (IEEE </w:t>
      </w:r>
      <w:proofErr w:type="gramStart"/>
      <w:r>
        <w:t>Std</w:t>
      </w:r>
      <w:proofErr w:type="gramEnd"/>
      <w:r>
        <w:t xml:space="preserve"> 1366--</w:t>
      </w:r>
      <w:r w:rsidR="00814230">
        <w:t>2003</w:t>
      </w:r>
      <w:r>
        <w:t>):</w:t>
      </w:r>
    </w:p>
    <w:p w:rsidR="000B3384" w:rsidRDefault="000B3384"/>
    <w:p w:rsidR="000B3384" w:rsidRDefault="000B3384"/>
    <w:p w:rsidR="00FC5EF0" w:rsidRPr="00BD0E06" w:rsidRDefault="00FC5EF0" w:rsidP="00FC5EF0">
      <w:pPr>
        <w:pStyle w:val="Heading3"/>
        <w:rPr>
          <w:sz w:val="24"/>
          <w:szCs w:val="24"/>
        </w:rPr>
      </w:pPr>
      <w:bookmarkStart w:id="0" w:name="_Toc3183389"/>
      <w:bookmarkStart w:id="1" w:name="_Toc98906798"/>
      <w:bookmarkStart w:id="2" w:name="_Toc165342480"/>
      <w:bookmarkStart w:id="3" w:name="_Toc193711048"/>
      <w:bookmarkStart w:id="4" w:name="_Toc227571643"/>
      <w:bookmarkStart w:id="5" w:name="_Toc258919552"/>
      <w:r w:rsidRPr="00BD0E06">
        <w:rPr>
          <w:sz w:val="24"/>
          <w:szCs w:val="24"/>
        </w:rPr>
        <w:t>SAIFI – System Average Interruption Frequency Index</w:t>
      </w:r>
      <w:bookmarkEnd w:id="0"/>
      <w:bookmarkEnd w:id="1"/>
      <w:bookmarkEnd w:id="2"/>
      <w:bookmarkEnd w:id="3"/>
      <w:bookmarkEnd w:id="4"/>
      <w:bookmarkEnd w:id="5"/>
    </w:p>
    <w:p w:rsidR="00FC5EF0" w:rsidRDefault="00FC5EF0" w:rsidP="00FC5EF0">
      <w:pPr>
        <w:numPr>
          <w:ilvl w:val="0"/>
          <w:numId w:val="13"/>
        </w:numPr>
        <w:tabs>
          <w:tab w:val="clear" w:pos="360"/>
          <w:tab w:val="num" w:pos="720"/>
        </w:tabs>
        <w:ind w:left="720"/>
      </w:pPr>
      <w:r>
        <w:t xml:space="preserve">The average number of sustained interruptions per customer  </w:t>
      </w:r>
    </w:p>
    <w:p w:rsidR="00FC5EF0" w:rsidRDefault="00FC5EF0" w:rsidP="00FC5EF0">
      <w:pPr>
        <w:numPr>
          <w:ilvl w:val="0"/>
          <w:numId w:val="14"/>
        </w:numPr>
        <w:tabs>
          <w:tab w:val="clear" w:pos="360"/>
          <w:tab w:val="num" w:pos="720"/>
        </w:tabs>
        <w:ind w:left="720"/>
      </w:pPr>
      <w:r>
        <w:t>=</w:t>
      </w:r>
      <w:r>
        <w:tab/>
      </w:r>
      <w:r>
        <w:rPr>
          <w:u w:val="single"/>
        </w:rPr>
        <w:t xml:space="preserve">The number of customers which had </w:t>
      </w:r>
      <w:r>
        <w:rPr>
          <w:b/>
          <w:i/>
          <w:u w:val="single"/>
        </w:rPr>
        <w:t>sustained interruptions</w:t>
      </w:r>
      <w:r>
        <w:rPr>
          <w:u w:val="single"/>
        </w:rPr>
        <w:t xml:space="preserve"> </w:t>
      </w:r>
    </w:p>
    <w:p w:rsidR="00FC5EF0" w:rsidRDefault="00FC5EF0" w:rsidP="00FC5EF0">
      <w:pPr>
        <w:ind w:left="360" w:firstLine="360"/>
      </w:pPr>
      <w:r>
        <w:tab/>
        <w:t xml:space="preserve">                    Total number of customers served  </w:t>
      </w:r>
    </w:p>
    <w:p w:rsidR="00FC5EF0" w:rsidRDefault="00FC5EF0" w:rsidP="00FC5EF0">
      <w:pPr>
        <w:numPr>
          <w:ilvl w:val="0"/>
          <w:numId w:val="19"/>
        </w:numPr>
        <w:tabs>
          <w:tab w:val="clear" w:pos="360"/>
          <w:tab w:val="num" w:pos="720"/>
        </w:tabs>
        <w:ind w:left="720"/>
      </w:pPr>
      <w:r>
        <w:t xml:space="preserve">=    </w:t>
      </w:r>
      <w:r w:rsidRPr="00B8013D">
        <w:rPr>
          <w:position w:val="-14"/>
          <w:u w:val="single"/>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25pt" o:ole="" fillcolor="window">
            <v:imagedata r:id="rId7" o:title=""/>
          </v:shape>
          <o:OLEObject Type="Embed" ProgID="Equation.3" ShapeID="_x0000_i1025" DrawAspect="Content" ObjectID="_1363003166" r:id="rId8"/>
        </w:object>
      </w:r>
    </w:p>
    <w:p w:rsidR="00FC5EF0" w:rsidRDefault="00FC5EF0" w:rsidP="00FC5EF0">
      <w:pPr>
        <w:ind w:left="360" w:firstLine="360"/>
        <w:rPr>
          <w:position w:val="-10"/>
        </w:rPr>
      </w:pPr>
      <w:r>
        <w:t xml:space="preserve">        </w:t>
      </w:r>
      <w:r w:rsidRPr="00B8013D">
        <w:rPr>
          <w:position w:val="-10"/>
        </w:rPr>
        <w:object w:dxaOrig="360" w:dyaOrig="340">
          <v:shape id="_x0000_i1026" type="#_x0000_t75" style="width:18pt;height:17.25pt" o:ole="" fillcolor="window">
            <v:imagedata r:id="rId9" o:title=""/>
          </v:shape>
          <o:OLEObject Type="Embed" ProgID="Equation.3" ShapeID="_x0000_i1026" DrawAspect="Content" ObjectID="_1363003167" r:id="rId10"/>
        </w:object>
      </w:r>
    </w:p>
    <w:p w:rsidR="00BD0E06" w:rsidRDefault="00BD0E06" w:rsidP="00FC5EF0">
      <w:pPr>
        <w:ind w:left="360" w:firstLine="360"/>
      </w:pPr>
    </w:p>
    <w:p w:rsidR="00FC5EF0" w:rsidRPr="00BD0E06" w:rsidRDefault="00FC5EF0" w:rsidP="00FC5EF0">
      <w:pPr>
        <w:pStyle w:val="Heading3"/>
        <w:rPr>
          <w:sz w:val="24"/>
          <w:szCs w:val="24"/>
        </w:rPr>
      </w:pPr>
      <w:bookmarkStart w:id="6" w:name="_Toc3183390"/>
      <w:bookmarkStart w:id="7" w:name="_Toc98906799"/>
      <w:bookmarkStart w:id="8" w:name="_Toc165342481"/>
      <w:bookmarkStart w:id="9" w:name="_Toc193711049"/>
      <w:bookmarkStart w:id="10" w:name="_Toc227571644"/>
      <w:bookmarkStart w:id="11" w:name="_Toc258919553"/>
      <w:r w:rsidRPr="00BD0E06">
        <w:rPr>
          <w:sz w:val="24"/>
          <w:szCs w:val="24"/>
        </w:rPr>
        <w:t>MAIFI – Momentary Average Interruption Frequency Index</w:t>
      </w:r>
      <w:bookmarkEnd w:id="6"/>
      <w:bookmarkEnd w:id="7"/>
      <w:bookmarkEnd w:id="8"/>
      <w:bookmarkEnd w:id="9"/>
      <w:bookmarkEnd w:id="10"/>
      <w:bookmarkEnd w:id="11"/>
      <w:r w:rsidRPr="00BD0E06">
        <w:rPr>
          <w:sz w:val="24"/>
          <w:szCs w:val="24"/>
        </w:rPr>
        <w:t xml:space="preserve"> </w:t>
      </w:r>
    </w:p>
    <w:p w:rsidR="00FC5EF0" w:rsidRDefault="00FC5EF0" w:rsidP="00FC5EF0">
      <w:pPr>
        <w:numPr>
          <w:ilvl w:val="0"/>
          <w:numId w:val="15"/>
        </w:numPr>
        <w:tabs>
          <w:tab w:val="clear" w:pos="360"/>
          <w:tab w:val="num" w:pos="720"/>
        </w:tabs>
        <w:ind w:left="720"/>
      </w:pPr>
      <w:r>
        <w:t xml:space="preserve">The average number of momentary interruption events per customer  </w:t>
      </w:r>
    </w:p>
    <w:p w:rsidR="00FC5EF0" w:rsidRDefault="00FC5EF0" w:rsidP="00FC5EF0">
      <w:pPr>
        <w:numPr>
          <w:ilvl w:val="0"/>
          <w:numId w:val="16"/>
        </w:numPr>
        <w:tabs>
          <w:tab w:val="clear" w:pos="360"/>
          <w:tab w:val="num" w:pos="720"/>
        </w:tabs>
        <w:ind w:left="720"/>
      </w:pPr>
      <w:r>
        <w:t>=</w:t>
      </w:r>
      <w:r>
        <w:tab/>
      </w:r>
      <w:r>
        <w:rPr>
          <w:u w:val="single"/>
        </w:rPr>
        <w:t xml:space="preserve">The number of customers which had </w:t>
      </w:r>
      <w:r>
        <w:rPr>
          <w:b/>
          <w:i/>
          <w:u w:val="single"/>
        </w:rPr>
        <w:t>momentary interruptio</w:t>
      </w:r>
      <w:r w:rsidR="00330EB6">
        <w:rPr>
          <w:b/>
          <w:i/>
          <w:u w:val="single"/>
        </w:rPr>
        <w:t>n</w:t>
      </w:r>
      <w:r>
        <w:rPr>
          <w:b/>
          <w:i/>
          <w:u w:val="single"/>
        </w:rPr>
        <w:t>s</w:t>
      </w:r>
      <w:r>
        <w:rPr>
          <w:u w:val="single"/>
        </w:rPr>
        <w:t xml:space="preserve"> </w:t>
      </w:r>
    </w:p>
    <w:p w:rsidR="00FC5EF0" w:rsidRDefault="00FC5EF0" w:rsidP="00FC5EF0">
      <w:pPr>
        <w:ind w:left="360" w:firstLine="360"/>
      </w:pPr>
      <w:r>
        <w:tab/>
      </w:r>
      <w:r>
        <w:tab/>
        <w:t xml:space="preserve">             Total number of customers served</w:t>
      </w:r>
      <w:r>
        <w:tab/>
      </w:r>
      <w:r>
        <w:tab/>
      </w:r>
      <w:r>
        <w:tab/>
      </w:r>
      <w:r>
        <w:tab/>
      </w:r>
    </w:p>
    <w:p w:rsidR="00FC5EF0" w:rsidRDefault="00FC5EF0" w:rsidP="00FC5EF0">
      <w:pPr>
        <w:numPr>
          <w:ilvl w:val="0"/>
          <w:numId w:val="20"/>
        </w:numPr>
        <w:tabs>
          <w:tab w:val="clear" w:pos="360"/>
          <w:tab w:val="num" w:pos="720"/>
        </w:tabs>
        <w:ind w:left="720"/>
      </w:pPr>
      <w:r>
        <w:t xml:space="preserve">= </w:t>
      </w:r>
      <w:r w:rsidRPr="00B8013D">
        <w:rPr>
          <w:position w:val="-14"/>
          <w:u w:val="single"/>
        </w:rPr>
        <w:object w:dxaOrig="1020" w:dyaOrig="400">
          <v:shape id="_x0000_i1027" type="#_x0000_t75" style="width:51pt;height:20.25pt" o:ole="" fillcolor="window">
            <v:imagedata r:id="rId11" o:title=""/>
          </v:shape>
          <o:OLEObject Type="Embed" ProgID="Equation.3" ShapeID="_x0000_i1027" DrawAspect="Content" ObjectID="_1363003168" r:id="rId12"/>
        </w:object>
      </w:r>
    </w:p>
    <w:p w:rsidR="00FC5EF0" w:rsidRDefault="00FC5EF0" w:rsidP="00FC5EF0">
      <w:pPr>
        <w:ind w:left="360" w:firstLine="360"/>
      </w:pPr>
      <w:r>
        <w:t xml:space="preserve">          </w:t>
      </w:r>
      <w:r w:rsidRPr="00B8013D">
        <w:rPr>
          <w:position w:val="-10"/>
        </w:rPr>
        <w:object w:dxaOrig="360" w:dyaOrig="340">
          <v:shape id="_x0000_i1028" type="#_x0000_t75" style="width:18pt;height:17.25pt" o:ole="" fillcolor="window">
            <v:imagedata r:id="rId9" o:title=""/>
          </v:shape>
          <o:OLEObject Type="Embed" ProgID="Equation.3" ShapeID="_x0000_i1028" DrawAspect="Content" ObjectID="_1363003169" r:id="rId13"/>
        </w:object>
      </w:r>
    </w:p>
    <w:p w:rsidR="00FC5EF0" w:rsidRDefault="00FC5EF0" w:rsidP="00FC5EF0">
      <w:pPr>
        <w:numPr>
          <w:ilvl w:val="0"/>
          <w:numId w:val="25"/>
        </w:numPr>
        <w:tabs>
          <w:tab w:val="clear" w:pos="360"/>
          <w:tab w:val="num" w:pos="720"/>
        </w:tabs>
        <w:ind w:left="720"/>
      </w:pPr>
      <w:r>
        <w:t xml:space="preserve">MAIFI can be calculated by one of two methods. Using the number of momentary interruptions or the number momentary events. This report calculates MAIFI using momentary </w:t>
      </w:r>
      <w:r w:rsidR="00330EB6">
        <w:t>interruptions</w:t>
      </w:r>
      <w:r>
        <w:t xml:space="preserve">.  The </w:t>
      </w:r>
      <w:r w:rsidR="00362BB8">
        <w:t>interruptions include</w:t>
      </w:r>
      <w:r>
        <w:t xml:space="preserve"> all momentary interruptions occurring within 5 minutes</w:t>
      </w:r>
      <w:r w:rsidR="00330EB6">
        <w:t>.</w:t>
      </w:r>
    </w:p>
    <w:p w:rsidR="00BD0E06" w:rsidRDefault="00BD0E06" w:rsidP="00BD0E06">
      <w:pPr>
        <w:ind w:left="720"/>
      </w:pPr>
    </w:p>
    <w:p w:rsidR="00FC5EF0" w:rsidRPr="00BD0E06" w:rsidRDefault="00FC5EF0" w:rsidP="00FC5EF0">
      <w:pPr>
        <w:pStyle w:val="Heading3"/>
        <w:rPr>
          <w:sz w:val="24"/>
          <w:szCs w:val="24"/>
        </w:rPr>
      </w:pPr>
      <w:bookmarkStart w:id="12" w:name="_Toc3183391"/>
      <w:bookmarkStart w:id="13" w:name="_Toc98906800"/>
      <w:bookmarkStart w:id="14" w:name="_Toc165342482"/>
      <w:bookmarkStart w:id="15" w:name="_Toc193711050"/>
      <w:bookmarkStart w:id="16" w:name="_Toc227571645"/>
      <w:bookmarkStart w:id="17" w:name="_Toc258919554"/>
      <w:r w:rsidRPr="00BD0E06">
        <w:rPr>
          <w:sz w:val="24"/>
          <w:szCs w:val="24"/>
        </w:rPr>
        <w:t>SAIDI – System Average Interruption Duration Index</w:t>
      </w:r>
      <w:bookmarkEnd w:id="12"/>
      <w:bookmarkEnd w:id="13"/>
      <w:bookmarkEnd w:id="14"/>
      <w:bookmarkEnd w:id="15"/>
      <w:bookmarkEnd w:id="16"/>
      <w:bookmarkEnd w:id="17"/>
      <w:r w:rsidRPr="00BD0E06">
        <w:rPr>
          <w:sz w:val="24"/>
          <w:szCs w:val="24"/>
        </w:rPr>
        <w:t xml:space="preserve"> </w:t>
      </w:r>
    </w:p>
    <w:p w:rsidR="00FC5EF0" w:rsidRDefault="00FC5EF0" w:rsidP="00FC5EF0">
      <w:pPr>
        <w:numPr>
          <w:ilvl w:val="0"/>
          <w:numId w:val="17"/>
        </w:numPr>
        <w:tabs>
          <w:tab w:val="clear" w:pos="360"/>
          <w:tab w:val="num" w:pos="720"/>
        </w:tabs>
        <w:ind w:left="720"/>
      </w:pPr>
      <w:r>
        <w:t>Average sustained outage time per customer</w:t>
      </w:r>
    </w:p>
    <w:p w:rsidR="00FC5EF0" w:rsidRDefault="00FC5EF0" w:rsidP="00FC5EF0">
      <w:pPr>
        <w:numPr>
          <w:ilvl w:val="0"/>
          <w:numId w:val="18"/>
        </w:numPr>
        <w:tabs>
          <w:tab w:val="clear" w:pos="360"/>
          <w:tab w:val="num" w:pos="720"/>
        </w:tabs>
        <w:ind w:left="720"/>
        <w:rPr>
          <w:sz w:val="22"/>
          <w:u w:val="single"/>
        </w:rPr>
      </w:pPr>
      <w:r>
        <w:t>=</w:t>
      </w:r>
      <w:r>
        <w:tab/>
      </w:r>
      <w:r>
        <w:rPr>
          <w:sz w:val="22"/>
          <w:u w:val="single"/>
        </w:rPr>
        <w:t xml:space="preserve">Outage duration multiplied by the customers effected for all </w:t>
      </w:r>
      <w:r>
        <w:rPr>
          <w:b/>
          <w:i/>
          <w:sz w:val="22"/>
          <w:u w:val="single"/>
        </w:rPr>
        <w:t>sustained interruptions</w:t>
      </w:r>
      <w:r>
        <w:rPr>
          <w:sz w:val="22"/>
          <w:u w:val="single"/>
        </w:rPr>
        <w:t xml:space="preserve"> </w:t>
      </w:r>
      <w:r>
        <w:rPr>
          <w:sz w:val="22"/>
        </w:rPr>
        <w:t xml:space="preserve"> </w:t>
      </w:r>
    </w:p>
    <w:p w:rsidR="00FC5EF0" w:rsidRDefault="00FC5EF0" w:rsidP="00FC5EF0">
      <w:pPr>
        <w:ind w:left="360" w:firstLine="360"/>
      </w:pPr>
      <w:r>
        <w:rPr>
          <w:sz w:val="22"/>
        </w:rPr>
        <w:tab/>
        <w:t xml:space="preserve">                                Total number of customers served</w:t>
      </w:r>
    </w:p>
    <w:p w:rsidR="00FC5EF0" w:rsidRDefault="00FC5EF0" w:rsidP="00FC5EF0">
      <w:pPr>
        <w:numPr>
          <w:ilvl w:val="0"/>
          <w:numId w:val="21"/>
        </w:numPr>
        <w:tabs>
          <w:tab w:val="clear" w:pos="360"/>
          <w:tab w:val="num" w:pos="720"/>
        </w:tabs>
        <w:ind w:left="720"/>
      </w:pPr>
      <w:r>
        <w:t xml:space="preserve">=     </w:t>
      </w:r>
      <w:r w:rsidRPr="00B8013D">
        <w:rPr>
          <w:position w:val="-14"/>
          <w:u w:val="single"/>
        </w:rPr>
        <w:object w:dxaOrig="760" w:dyaOrig="400">
          <v:shape id="_x0000_i1029" type="#_x0000_t75" style="width:38.25pt;height:20.25pt" o:ole="" fillcolor="window">
            <v:imagedata r:id="rId14" o:title=""/>
          </v:shape>
          <o:OLEObject Type="Embed" ProgID="Equation.3" ShapeID="_x0000_i1029" DrawAspect="Content" ObjectID="_1363003170" r:id="rId15"/>
        </w:object>
      </w:r>
    </w:p>
    <w:p w:rsidR="00FC5EF0" w:rsidRDefault="00FC5EF0" w:rsidP="00FC5EF0">
      <w:pPr>
        <w:ind w:left="360" w:firstLine="360"/>
      </w:pPr>
      <w:r>
        <w:t xml:space="preserve">          </w:t>
      </w:r>
      <w:r w:rsidRPr="00B8013D">
        <w:rPr>
          <w:position w:val="-10"/>
        </w:rPr>
        <w:object w:dxaOrig="360" w:dyaOrig="340">
          <v:shape id="_x0000_i1030" type="#_x0000_t75" style="width:18pt;height:17.25pt" o:ole="" fillcolor="window">
            <v:imagedata r:id="rId9" o:title=""/>
          </v:shape>
          <o:OLEObject Type="Embed" ProgID="Equation.3" ShapeID="_x0000_i1030" DrawAspect="Content" ObjectID="_1363003171" r:id="rId16"/>
        </w:object>
      </w:r>
    </w:p>
    <w:p w:rsidR="00FC5EF0" w:rsidRDefault="00FC5EF0" w:rsidP="00FC5EF0">
      <w:pPr>
        <w:pStyle w:val="Heading3"/>
      </w:pPr>
      <w:bookmarkStart w:id="18" w:name="_Toc3183392"/>
      <w:bookmarkStart w:id="19" w:name="_Toc98906801"/>
      <w:bookmarkStart w:id="20" w:name="_Toc165342483"/>
      <w:bookmarkStart w:id="21" w:name="_Toc193711051"/>
      <w:bookmarkStart w:id="22" w:name="_Toc227571646"/>
      <w:bookmarkStart w:id="23" w:name="_Toc258919555"/>
    </w:p>
    <w:p w:rsidR="00FC5EF0" w:rsidRPr="00BD0E06" w:rsidRDefault="00FC5EF0" w:rsidP="00FC5EF0">
      <w:pPr>
        <w:pStyle w:val="Heading3"/>
        <w:rPr>
          <w:sz w:val="24"/>
          <w:szCs w:val="24"/>
        </w:rPr>
      </w:pPr>
      <w:r w:rsidRPr="00BD0E06">
        <w:rPr>
          <w:sz w:val="24"/>
          <w:szCs w:val="24"/>
        </w:rPr>
        <w:t>CAIDI – Customer Average Interruption Duration Index</w:t>
      </w:r>
      <w:bookmarkEnd w:id="18"/>
      <w:bookmarkEnd w:id="19"/>
      <w:bookmarkEnd w:id="20"/>
      <w:bookmarkEnd w:id="21"/>
      <w:bookmarkEnd w:id="22"/>
      <w:bookmarkEnd w:id="23"/>
    </w:p>
    <w:p w:rsidR="00FC5EF0" w:rsidRDefault="00FC5EF0" w:rsidP="00FC5EF0">
      <w:pPr>
        <w:numPr>
          <w:ilvl w:val="0"/>
          <w:numId w:val="24"/>
        </w:numPr>
        <w:tabs>
          <w:tab w:val="clear" w:pos="360"/>
          <w:tab w:val="num" w:pos="720"/>
        </w:tabs>
        <w:ind w:left="720"/>
      </w:pPr>
      <w:r>
        <w:t>Average restoration time</w:t>
      </w:r>
    </w:p>
    <w:p w:rsidR="00FC5EF0" w:rsidRDefault="00FC5EF0" w:rsidP="00FC5EF0">
      <w:pPr>
        <w:numPr>
          <w:ilvl w:val="0"/>
          <w:numId w:val="23"/>
        </w:numPr>
        <w:tabs>
          <w:tab w:val="num" w:pos="720"/>
        </w:tabs>
        <w:ind w:left="720"/>
        <w:rPr>
          <w:sz w:val="22"/>
        </w:rPr>
      </w:pPr>
      <w:r>
        <w:t>=</w:t>
      </w:r>
      <w:r>
        <w:tab/>
      </w:r>
      <w:r>
        <w:rPr>
          <w:sz w:val="22"/>
          <w:u w:val="single"/>
        </w:rPr>
        <w:t xml:space="preserve">Outage duration multiplied by the customers effected for all </w:t>
      </w:r>
      <w:r>
        <w:rPr>
          <w:b/>
          <w:i/>
          <w:sz w:val="22"/>
          <w:u w:val="single"/>
        </w:rPr>
        <w:t>sustained interruptions</w:t>
      </w:r>
    </w:p>
    <w:p w:rsidR="00FC5EF0" w:rsidRDefault="00FC5EF0" w:rsidP="00FC5EF0">
      <w:pPr>
        <w:ind w:left="360" w:firstLine="360"/>
      </w:pPr>
      <w:r>
        <w:rPr>
          <w:sz w:val="22"/>
        </w:rPr>
        <w:tab/>
        <w:t xml:space="preserve">                       The number of customers which had </w:t>
      </w:r>
      <w:r>
        <w:rPr>
          <w:b/>
          <w:i/>
          <w:sz w:val="22"/>
        </w:rPr>
        <w:t>sustained interruptions</w:t>
      </w:r>
    </w:p>
    <w:p w:rsidR="00FC5EF0" w:rsidRDefault="00FC5EF0" w:rsidP="00FC5EF0">
      <w:pPr>
        <w:numPr>
          <w:ilvl w:val="0"/>
          <w:numId w:val="22"/>
        </w:numPr>
        <w:tabs>
          <w:tab w:val="clear" w:pos="360"/>
          <w:tab w:val="num" w:pos="720"/>
        </w:tabs>
        <w:ind w:left="720"/>
      </w:pPr>
      <w:r>
        <w:lastRenderedPageBreak/>
        <w:t xml:space="preserve">=   </w:t>
      </w:r>
      <w:r w:rsidRPr="00B8013D">
        <w:rPr>
          <w:position w:val="-14"/>
          <w:u w:val="single"/>
        </w:rPr>
        <w:object w:dxaOrig="760" w:dyaOrig="400">
          <v:shape id="_x0000_i1031" type="#_x0000_t75" style="width:38.25pt;height:20.25pt" o:ole="" fillcolor="window">
            <v:imagedata r:id="rId17" o:title=""/>
          </v:shape>
          <o:OLEObject Type="Embed" ProgID="Equation.3" ShapeID="_x0000_i1031" DrawAspect="Content" ObjectID="_1363003172" r:id="rId18"/>
        </w:object>
      </w:r>
    </w:p>
    <w:p w:rsidR="00FC5EF0" w:rsidRDefault="00FC5EF0" w:rsidP="00FC5EF0">
      <w:pPr>
        <w:ind w:left="360"/>
      </w:pPr>
      <w:r>
        <w:t xml:space="preserve">             </w:t>
      </w:r>
      <w:r w:rsidRPr="00B8013D">
        <w:rPr>
          <w:position w:val="-14"/>
        </w:rPr>
        <w:object w:dxaOrig="620" w:dyaOrig="400">
          <v:shape id="_x0000_i1032" type="#_x0000_t75" style="width:30.75pt;height:20.25pt" o:ole="" fillcolor="window">
            <v:imagedata r:id="rId19" o:title=""/>
          </v:shape>
          <o:OLEObject Type="Embed" ProgID="Equation.3" ShapeID="_x0000_i1032" DrawAspect="Content" ObjectID="_1363003173" r:id="rId20"/>
        </w:object>
      </w:r>
    </w:p>
    <w:p w:rsidR="00FC5EF0" w:rsidRDefault="00FC5EF0" w:rsidP="00FC5EF0"/>
    <w:p w:rsidR="00FC5EF0" w:rsidRDefault="00FC5EF0" w:rsidP="00FC5EF0">
      <w:bookmarkStart w:id="24" w:name="_Toc98906802"/>
      <w:bookmarkStart w:id="25" w:name="_Toc165342484"/>
      <w:r>
        <w:t>Quantities</w:t>
      </w:r>
      <w:bookmarkEnd w:id="24"/>
      <w:bookmarkEnd w:id="25"/>
    </w:p>
    <w:p w:rsidR="00FC5EF0" w:rsidRDefault="00FC5EF0" w:rsidP="00FC5EF0">
      <w:pPr>
        <w:rPr>
          <w:i/>
        </w:rPr>
      </w:pPr>
      <w:proofErr w:type="spellStart"/>
      <w:r>
        <w:rPr>
          <w:i/>
        </w:rPr>
        <w:t>i</w:t>
      </w:r>
      <w:proofErr w:type="spellEnd"/>
      <w:r>
        <w:rPr>
          <w:i/>
        </w:rPr>
        <w:t xml:space="preserve"> = </w:t>
      </w:r>
      <w:proofErr w:type="gramStart"/>
      <w:r>
        <w:rPr>
          <w:i/>
        </w:rPr>
        <w:t>An</w:t>
      </w:r>
      <w:proofErr w:type="gramEnd"/>
      <w:r>
        <w:rPr>
          <w:i/>
        </w:rPr>
        <w:t xml:space="preserve"> interruption event;</w:t>
      </w:r>
    </w:p>
    <w:p w:rsidR="00FC5EF0" w:rsidRDefault="00FC5EF0" w:rsidP="00FC5EF0">
      <w:pPr>
        <w:rPr>
          <w:i/>
        </w:rPr>
      </w:pPr>
      <w:proofErr w:type="spellStart"/>
      <w:proofErr w:type="gramStart"/>
      <w:r>
        <w:rPr>
          <w:i/>
        </w:rPr>
        <w:t>r</w:t>
      </w:r>
      <w:r>
        <w:rPr>
          <w:i/>
          <w:vertAlign w:val="subscript"/>
        </w:rPr>
        <w:t>i</w:t>
      </w:r>
      <w:proofErr w:type="spellEnd"/>
      <w:r>
        <w:rPr>
          <w:i/>
          <w:vertAlign w:val="subscript"/>
        </w:rPr>
        <w:t xml:space="preserve">  </w:t>
      </w:r>
      <w:r>
        <w:rPr>
          <w:i/>
        </w:rPr>
        <w:t>=</w:t>
      </w:r>
      <w:proofErr w:type="gramEnd"/>
      <w:r>
        <w:rPr>
          <w:i/>
        </w:rPr>
        <w:t xml:space="preserve"> Restoration time for each interruption event; </w:t>
      </w:r>
    </w:p>
    <w:p w:rsidR="00FC5EF0" w:rsidRDefault="00FC5EF0" w:rsidP="00FC5EF0">
      <w:pPr>
        <w:rPr>
          <w:i/>
        </w:rPr>
      </w:pPr>
      <w:r>
        <w:rPr>
          <w:i/>
        </w:rPr>
        <w:t>T = Total;</w:t>
      </w:r>
    </w:p>
    <w:p w:rsidR="00FC5EF0" w:rsidRDefault="00FC5EF0" w:rsidP="00FC5EF0">
      <w:pPr>
        <w:rPr>
          <w:i/>
        </w:rPr>
      </w:pPr>
      <w:proofErr w:type="gramStart"/>
      <w:r>
        <w:rPr>
          <w:i/>
        </w:rPr>
        <w:t>ID</w:t>
      </w:r>
      <w:r>
        <w:rPr>
          <w:i/>
          <w:vertAlign w:val="subscript"/>
        </w:rPr>
        <w:t xml:space="preserve">E  </w:t>
      </w:r>
      <w:r>
        <w:rPr>
          <w:i/>
        </w:rPr>
        <w:t>=</w:t>
      </w:r>
      <w:proofErr w:type="gramEnd"/>
      <w:r>
        <w:rPr>
          <w:i/>
        </w:rPr>
        <w:t xml:space="preserve"> Number of interrupting device events;</w:t>
      </w:r>
    </w:p>
    <w:p w:rsidR="00FC5EF0" w:rsidRDefault="00FC5EF0" w:rsidP="00FC5EF0">
      <w:pPr>
        <w:rPr>
          <w:i/>
        </w:rPr>
      </w:pPr>
      <w:r>
        <w:rPr>
          <w:i/>
        </w:rPr>
        <w:t>N</w:t>
      </w:r>
      <w:r>
        <w:rPr>
          <w:i/>
          <w:vertAlign w:val="subscript"/>
        </w:rPr>
        <w:t xml:space="preserve">i </w:t>
      </w:r>
      <w:r>
        <w:rPr>
          <w:i/>
        </w:rPr>
        <w:t>= Number of interrupted customers for each interruption event during the reporting period;</w:t>
      </w:r>
    </w:p>
    <w:p w:rsidR="00FC5EF0" w:rsidRDefault="00FC5EF0" w:rsidP="00FC5EF0">
      <w:pPr>
        <w:rPr>
          <w:i/>
        </w:rPr>
      </w:pPr>
      <w:r>
        <w:rPr>
          <w:i/>
        </w:rPr>
        <w:t>N</w:t>
      </w:r>
      <w:r>
        <w:rPr>
          <w:i/>
          <w:vertAlign w:val="subscript"/>
        </w:rPr>
        <w:t xml:space="preserve">T </w:t>
      </w:r>
      <w:r>
        <w:rPr>
          <w:i/>
        </w:rPr>
        <w:t>= Total number of customers served for the area being indexed;</w:t>
      </w:r>
    </w:p>
    <w:p w:rsidR="00255ECB" w:rsidRDefault="00255ECB" w:rsidP="00FC5EF0">
      <w:pPr>
        <w:pStyle w:val="Heading3"/>
      </w:pPr>
      <w:bookmarkStart w:id="26" w:name="_Toc193711052"/>
      <w:bookmarkStart w:id="27" w:name="_Toc227571647"/>
      <w:bookmarkStart w:id="28" w:name="_Toc258919556"/>
      <w:bookmarkStart w:id="29" w:name="_Toc165342485"/>
    </w:p>
    <w:p w:rsidR="00FC5EF0" w:rsidRPr="00BD0E06" w:rsidRDefault="00FC5EF0" w:rsidP="00FC5EF0">
      <w:pPr>
        <w:pStyle w:val="Heading3"/>
        <w:rPr>
          <w:sz w:val="24"/>
          <w:szCs w:val="24"/>
        </w:rPr>
      </w:pPr>
      <w:r w:rsidRPr="00BD0E06">
        <w:rPr>
          <w:sz w:val="24"/>
          <w:szCs w:val="24"/>
        </w:rPr>
        <w:t>CEMI</w:t>
      </w:r>
      <w:r w:rsidRPr="00BD0E06">
        <w:rPr>
          <w:sz w:val="24"/>
          <w:szCs w:val="24"/>
          <w:vertAlign w:val="subscript"/>
        </w:rPr>
        <w:t>n</w:t>
      </w:r>
      <w:r w:rsidRPr="00BD0E06">
        <w:rPr>
          <w:sz w:val="24"/>
          <w:szCs w:val="24"/>
        </w:rPr>
        <w:t xml:space="preserve"> – Customers Experiencing Multiple Sustained Interruptions more than n.</w:t>
      </w:r>
      <w:bookmarkEnd w:id="26"/>
      <w:bookmarkEnd w:id="27"/>
      <w:bookmarkEnd w:id="28"/>
    </w:p>
    <w:p w:rsidR="00FC5EF0" w:rsidRDefault="00FC5EF0" w:rsidP="00FC5EF0">
      <w:pPr>
        <w:numPr>
          <w:ilvl w:val="0"/>
          <w:numId w:val="24"/>
        </w:numPr>
        <w:tabs>
          <w:tab w:val="clear" w:pos="360"/>
          <w:tab w:val="num" w:pos="720"/>
        </w:tabs>
        <w:ind w:left="720"/>
      </w:pPr>
      <w:r>
        <w:t>CEMI</w:t>
      </w:r>
      <w:r w:rsidRPr="00C44B45">
        <w:rPr>
          <w:i/>
          <w:sz w:val="28"/>
          <w:vertAlign w:val="subscript"/>
        </w:rPr>
        <w:t>n</w:t>
      </w:r>
    </w:p>
    <w:p w:rsidR="00FC5EF0" w:rsidRDefault="00FC5EF0" w:rsidP="00FC5EF0">
      <w:pPr>
        <w:numPr>
          <w:ilvl w:val="0"/>
          <w:numId w:val="23"/>
        </w:numPr>
        <w:tabs>
          <w:tab w:val="num" w:pos="720"/>
        </w:tabs>
        <w:ind w:left="720"/>
        <w:rPr>
          <w:sz w:val="22"/>
        </w:rPr>
      </w:pPr>
      <w:r>
        <w:t>=</w:t>
      </w:r>
      <w:r>
        <w:tab/>
      </w:r>
      <w:r>
        <w:rPr>
          <w:sz w:val="22"/>
          <w:u w:val="single"/>
        </w:rPr>
        <w:t xml:space="preserve">Total Number of Customers that experience more than </w:t>
      </w:r>
      <w:r w:rsidRPr="00C44B45">
        <w:rPr>
          <w:i/>
          <w:sz w:val="22"/>
          <w:u w:val="single"/>
        </w:rPr>
        <w:t>n</w:t>
      </w:r>
      <w:r>
        <w:rPr>
          <w:sz w:val="22"/>
          <w:u w:val="single"/>
        </w:rPr>
        <w:t xml:space="preserve"> </w:t>
      </w:r>
      <w:r w:rsidRPr="00E75899">
        <w:rPr>
          <w:b/>
          <w:sz w:val="22"/>
          <w:u w:val="single"/>
        </w:rPr>
        <w:t>sustained interruptions</w:t>
      </w:r>
    </w:p>
    <w:p w:rsidR="00FC5EF0" w:rsidRDefault="00FC5EF0" w:rsidP="00FC5EF0">
      <w:pPr>
        <w:ind w:left="360" w:firstLine="360"/>
      </w:pPr>
      <w:r>
        <w:rPr>
          <w:sz w:val="22"/>
        </w:rPr>
        <w:tab/>
        <w:t xml:space="preserve">                       Total Number of Customers Served</w:t>
      </w:r>
    </w:p>
    <w:p w:rsidR="00FC5EF0" w:rsidRDefault="00FC5EF0" w:rsidP="00FC5EF0">
      <w:pPr>
        <w:numPr>
          <w:ilvl w:val="0"/>
          <w:numId w:val="22"/>
        </w:numPr>
        <w:tabs>
          <w:tab w:val="clear" w:pos="360"/>
          <w:tab w:val="num" w:pos="720"/>
        </w:tabs>
        <w:ind w:left="720"/>
      </w:pPr>
      <w:r>
        <w:t xml:space="preserve">=   </w:t>
      </w:r>
      <w:r w:rsidRPr="00E75899">
        <w:rPr>
          <w:u w:val="single"/>
        </w:rPr>
        <w:t>CN</w:t>
      </w:r>
      <w:r w:rsidRPr="00E75899">
        <w:rPr>
          <w:sz w:val="28"/>
          <w:u w:val="single"/>
          <w:vertAlign w:val="subscript"/>
        </w:rPr>
        <w:t>(k&gt;n)</w:t>
      </w:r>
      <w:r>
        <w:t xml:space="preserve"> </w:t>
      </w:r>
    </w:p>
    <w:p w:rsidR="00FC5EF0" w:rsidRPr="00E75899" w:rsidRDefault="00FC5EF0" w:rsidP="00FC5EF0">
      <w:pPr>
        <w:ind w:left="360"/>
        <w:rPr>
          <w:sz w:val="28"/>
        </w:rPr>
      </w:pPr>
      <w:r>
        <w:t xml:space="preserve">             N</w:t>
      </w:r>
      <w:r w:rsidRPr="00E75899">
        <w:rPr>
          <w:i/>
          <w:sz w:val="28"/>
          <w:vertAlign w:val="subscript"/>
        </w:rPr>
        <w:t>T</w:t>
      </w:r>
    </w:p>
    <w:p w:rsidR="00BD0E06" w:rsidRDefault="00BD0E06" w:rsidP="00FC5EF0">
      <w:pPr>
        <w:pStyle w:val="Heading3"/>
        <w:rPr>
          <w:sz w:val="24"/>
          <w:szCs w:val="24"/>
        </w:rPr>
      </w:pPr>
      <w:bookmarkStart w:id="30" w:name="_Toc193711053"/>
      <w:bookmarkStart w:id="31" w:name="_Toc227571648"/>
      <w:bookmarkStart w:id="32" w:name="_Toc258919557"/>
    </w:p>
    <w:p w:rsidR="00FC5EF0" w:rsidRPr="00BD0E06" w:rsidRDefault="00FC5EF0" w:rsidP="00FC5EF0">
      <w:pPr>
        <w:pStyle w:val="Heading3"/>
        <w:rPr>
          <w:sz w:val="24"/>
          <w:szCs w:val="24"/>
        </w:rPr>
      </w:pPr>
      <w:proofErr w:type="spellStart"/>
      <w:r w:rsidRPr="00BD0E06">
        <w:rPr>
          <w:sz w:val="24"/>
          <w:szCs w:val="24"/>
        </w:rPr>
        <w:t>CEMSMI</w:t>
      </w:r>
      <w:bookmarkStart w:id="33" w:name="OLE_LINK8"/>
      <w:bookmarkStart w:id="34" w:name="OLE_LINK9"/>
      <w:r w:rsidRPr="00BD0E06">
        <w:rPr>
          <w:sz w:val="24"/>
          <w:szCs w:val="24"/>
          <w:vertAlign w:val="subscript"/>
        </w:rPr>
        <w:t>n</w:t>
      </w:r>
      <w:bookmarkEnd w:id="33"/>
      <w:bookmarkEnd w:id="34"/>
      <w:proofErr w:type="spellEnd"/>
      <w:r w:rsidRPr="00BD0E06">
        <w:rPr>
          <w:sz w:val="24"/>
          <w:szCs w:val="24"/>
        </w:rPr>
        <w:t xml:space="preserve"> – Customers experiencing multiple sustained interruption and momentary interruption events.</w:t>
      </w:r>
      <w:bookmarkEnd w:id="30"/>
      <w:bookmarkEnd w:id="31"/>
      <w:bookmarkEnd w:id="32"/>
      <w:r w:rsidRPr="00BD0E06">
        <w:rPr>
          <w:sz w:val="24"/>
          <w:szCs w:val="24"/>
        </w:rPr>
        <w:t xml:space="preserve"> </w:t>
      </w:r>
    </w:p>
    <w:p w:rsidR="00FC5EF0" w:rsidRDefault="00FC5EF0" w:rsidP="00FC5EF0">
      <w:pPr>
        <w:numPr>
          <w:ilvl w:val="0"/>
          <w:numId w:val="24"/>
        </w:numPr>
        <w:tabs>
          <w:tab w:val="clear" w:pos="360"/>
          <w:tab w:val="num" w:pos="720"/>
        </w:tabs>
        <w:ind w:left="720"/>
      </w:pPr>
      <w:bookmarkStart w:id="35" w:name="OLE_LINK1"/>
      <w:bookmarkStart w:id="36" w:name="OLE_LINK2"/>
      <w:proofErr w:type="spellStart"/>
      <w:r>
        <w:t>CEMSMIn</w:t>
      </w:r>
      <w:bookmarkEnd w:id="35"/>
      <w:bookmarkEnd w:id="36"/>
      <w:proofErr w:type="spellEnd"/>
    </w:p>
    <w:p w:rsidR="00FC5EF0" w:rsidRDefault="00FC5EF0" w:rsidP="00FC5EF0">
      <w:pPr>
        <w:numPr>
          <w:ilvl w:val="0"/>
          <w:numId w:val="23"/>
        </w:numPr>
        <w:tabs>
          <w:tab w:val="num" w:pos="720"/>
        </w:tabs>
        <w:ind w:left="720"/>
        <w:rPr>
          <w:sz w:val="22"/>
        </w:rPr>
      </w:pPr>
      <w:r>
        <w:t>=</w:t>
      </w:r>
      <w:r>
        <w:tab/>
      </w:r>
      <w:r>
        <w:rPr>
          <w:sz w:val="22"/>
          <w:u w:val="single"/>
        </w:rPr>
        <w:t xml:space="preserve">Total Number of Customers experiencing more than </w:t>
      </w:r>
      <w:r w:rsidRPr="00C44B45">
        <w:rPr>
          <w:i/>
          <w:sz w:val="22"/>
          <w:u w:val="single"/>
        </w:rPr>
        <w:t>n</w:t>
      </w:r>
      <w:r>
        <w:rPr>
          <w:sz w:val="22"/>
          <w:u w:val="single"/>
        </w:rPr>
        <w:t xml:space="preserve"> </w:t>
      </w:r>
      <w:r w:rsidRPr="00E75899">
        <w:rPr>
          <w:b/>
          <w:sz w:val="22"/>
          <w:u w:val="single"/>
        </w:rPr>
        <w:t>interruptions</w:t>
      </w:r>
    </w:p>
    <w:p w:rsidR="00FC5EF0" w:rsidRDefault="00FC5EF0" w:rsidP="00FC5EF0">
      <w:pPr>
        <w:ind w:left="360" w:firstLine="360"/>
      </w:pPr>
      <w:r>
        <w:rPr>
          <w:sz w:val="22"/>
        </w:rPr>
        <w:tab/>
        <w:t xml:space="preserve">                       Total Number of Customers Served</w:t>
      </w:r>
    </w:p>
    <w:p w:rsidR="00FC5EF0" w:rsidRDefault="00FC5EF0" w:rsidP="00FC5EF0">
      <w:pPr>
        <w:numPr>
          <w:ilvl w:val="0"/>
          <w:numId w:val="22"/>
        </w:numPr>
        <w:tabs>
          <w:tab w:val="clear" w:pos="360"/>
          <w:tab w:val="num" w:pos="720"/>
        </w:tabs>
        <w:ind w:left="720"/>
      </w:pPr>
      <w:r>
        <w:t xml:space="preserve">=   </w:t>
      </w:r>
      <w:r w:rsidRPr="00E75899">
        <w:rPr>
          <w:u w:val="single"/>
        </w:rPr>
        <w:t>CN</w:t>
      </w:r>
      <w:r>
        <w:rPr>
          <w:u w:val="single"/>
        </w:rPr>
        <w:t>T</w:t>
      </w:r>
      <w:r w:rsidRPr="00E75899">
        <w:rPr>
          <w:sz w:val="28"/>
          <w:u w:val="single"/>
          <w:vertAlign w:val="subscript"/>
        </w:rPr>
        <w:t>(k&gt;n)</w:t>
      </w:r>
      <w:r>
        <w:t xml:space="preserve"> </w:t>
      </w:r>
    </w:p>
    <w:p w:rsidR="00FC5EF0" w:rsidRDefault="00FC5EF0" w:rsidP="00FC5EF0">
      <w:pPr>
        <w:ind w:left="360"/>
        <w:rPr>
          <w:i/>
          <w:sz w:val="28"/>
          <w:vertAlign w:val="subscript"/>
        </w:rPr>
      </w:pPr>
      <w:r>
        <w:t xml:space="preserve">             N</w:t>
      </w:r>
      <w:r w:rsidRPr="00E75899">
        <w:rPr>
          <w:i/>
          <w:sz w:val="28"/>
          <w:vertAlign w:val="subscript"/>
        </w:rPr>
        <w:t>T</w:t>
      </w:r>
    </w:p>
    <w:p w:rsidR="00FC5EF0" w:rsidRPr="00E75899" w:rsidRDefault="00FC5EF0" w:rsidP="00FC5EF0">
      <w:pPr>
        <w:ind w:left="360"/>
        <w:rPr>
          <w:sz w:val="28"/>
        </w:rPr>
      </w:pPr>
    </w:p>
    <w:p w:rsidR="00FC5EF0" w:rsidRPr="00BD0E06" w:rsidRDefault="00FC5EF0" w:rsidP="00FC5EF0">
      <w:pPr>
        <w:pStyle w:val="Heading3"/>
        <w:rPr>
          <w:sz w:val="24"/>
          <w:szCs w:val="24"/>
        </w:rPr>
      </w:pPr>
      <w:bookmarkStart w:id="37" w:name="_Toc193711054"/>
      <w:bookmarkStart w:id="38" w:name="_Toc227571649"/>
      <w:bookmarkStart w:id="39" w:name="_Toc258919558"/>
      <w:r w:rsidRPr="00BD0E06">
        <w:rPr>
          <w:sz w:val="24"/>
          <w:szCs w:val="24"/>
        </w:rPr>
        <w:t>MED - Major Event Day</w:t>
      </w:r>
      <w:bookmarkEnd w:id="29"/>
      <w:bookmarkEnd w:id="37"/>
      <w:bookmarkEnd w:id="38"/>
      <w:bookmarkEnd w:id="39"/>
      <w:r w:rsidRPr="00BD0E06">
        <w:rPr>
          <w:sz w:val="24"/>
          <w:szCs w:val="24"/>
        </w:rPr>
        <w:t xml:space="preserve"> </w:t>
      </w:r>
    </w:p>
    <w:p w:rsidR="00FC5EF0" w:rsidRDefault="00FC5EF0" w:rsidP="00FC5EF0">
      <w:r w:rsidRPr="00404E24">
        <w:t>A major event day is a day in which the daily system SAIDI exceeds a threshold value. Its purpose is to allow major events to be studied separately from daily operation, and in the process, to better reveal trends in daily operation that would be hidden by the large statistical effect of major events.</w:t>
      </w:r>
    </w:p>
    <w:p w:rsidR="00FC5EF0" w:rsidRPr="005B1688" w:rsidRDefault="00FC5EF0" w:rsidP="00FC5EF0"/>
    <w:p w:rsidR="00FC5EF0" w:rsidRDefault="00FC5EF0" w:rsidP="00FC5EF0">
      <w:pPr>
        <w:autoSpaceDE w:val="0"/>
        <w:autoSpaceDN w:val="0"/>
        <w:adjustRightInd w:val="0"/>
        <w:rPr>
          <w:rFonts w:ascii="Arial" w:hAnsi="Arial" w:cs="Arial"/>
          <w:sz w:val="20"/>
        </w:rPr>
      </w:pPr>
      <w:r>
        <w:rPr>
          <w:rFonts w:ascii="Arial" w:hAnsi="Arial" w:cs="Arial"/>
          <w:sz w:val="20"/>
        </w:rPr>
        <w:t>T</w:t>
      </w:r>
      <w:r>
        <w:rPr>
          <w:rFonts w:ascii="Arial" w:hAnsi="Arial" w:cs="Arial"/>
          <w:sz w:val="20"/>
          <w:vertAlign w:val="subscript"/>
        </w:rPr>
        <w:t>MED</w:t>
      </w:r>
      <w:r>
        <w:rPr>
          <w:rFonts w:ascii="Arial" w:hAnsi="Arial" w:cs="Arial"/>
          <w:sz w:val="20"/>
        </w:rPr>
        <w:t xml:space="preserve"> is calculated (taken from the IEEE 1366-2003 Standard) </w:t>
      </w:r>
    </w:p>
    <w:p w:rsidR="00FC5EF0" w:rsidRPr="00837519" w:rsidRDefault="00FC5EF0" w:rsidP="00FC5EF0">
      <w:pPr>
        <w:autoSpaceDE w:val="0"/>
        <w:autoSpaceDN w:val="0"/>
        <w:adjustRightInd w:val="0"/>
        <w:rPr>
          <w:rFonts w:ascii="Arial" w:hAnsi="Arial" w:cs="Arial"/>
          <w:sz w:val="20"/>
        </w:rPr>
      </w:pPr>
      <w:r w:rsidRPr="00837519">
        <w:rPr>
          <w:rFonts w:ascii="Arial" w:hAnsi="Arial" w:cs="Arial"/>
          <w:sz w:val="20"/>
        </w:rPr>
        <w:t>The major event day identification threshold value, T</w:t>
      </w:r>
      <w:r w:rsidRPr="006E3B1D">
        <w:rPr>
          <w:rFonts w:ascii="Arial" w:hAnsi="Arial" w:cs="Arial"/>
          <w:sz w:val="20"/>
          <w:vertAlign w:val="subscript"/>
        </w:rPr>
        <w:t>MED</w:t>
      </w:r>
      <w:r w:rsidRPr="00837519">
        <w:rPr>
          <w:rFonts w:ascii="Arial" w:hAnsi="Arial" w:cs="Arial"/>
          <w:sz w:val="20"/>
        </w:rPr>
        <w:t>, is calculated at the end of each reporting period</w:t>
      </w:r>
      <w:r>
        <w:rPr>
          <w:rFonts w:ascii="Arial" w:hAnsi="Arial" w:cs="Arial"/>
          <w:sz w:val="20"/>
        </w:rPr>
        <w:t xml:space="preserve"> </w:t>
      </w:r>
      <w:r w:rsidRPr="00837519">
        <w:rPr>
          <w:rFonts w:ascii="Arial" w:hAnsi="Arial" w:cs="Arial"/>
          <w:sz w:val="20"/>
        </w:rPr>
        <w:t>(typically one year) for use during the next reporting period as follows:</w:t>
      </w:r>
    </w:p>
    <w:p w:rsidR="00FC5EF0" w:rsidRPr="00837519" w:rsidRDefault="00FC5EF0" w:rsidP="00FC5EF0">
      <w:pPr>
        <w:autoSpaceDE w:val="0"/>
        <w:autoSpaceDN w:val="0"/>
        <w:adjustRightInd w:val="0"/>
        <w:ind w:left="720"/>
        <w:rPr>
          <w:rFonts w:ascii="Arial" w:hAnsi="Arial" w:cs="Arial"/>
          <w:sz w:val="20"/>
        </w:rPr>
      </w:pPr>
      <w:r w:rsidRPr="00837519">
        <w:rPr>
          <w:rFonts w:ascii="Arial" w:hAnsi="Arial" w:cs="Arial"/>
          <w:sz w:val="20"/>
        </w:rPr>
        <w:t>a) Collect values of daily SAIDI for five sequential years ending on the last day of the last complete</w:t>
      </w:r>
      <w:r>
        <w:rPr>
          <w:rFonts w:ascii="Arial" w:hAnsi="Arial" w:cs="Arial"/>
          <w:sz w:val="20"/>
        </w:rPr>
        <w:t xml:space="preserve"> </w:t>
      </w:r>
      <w:r w:rsidRPr="00837519">
        <w:rPr>
          <w:rFonts w:ascii="Arial" w:hAnsi="Arial" w:cs="Arial"/>
          <w:sz w:val="20"/>
        </w:rPr>
        <w:t>reporting period. If fewer than five years of historical data are available, use all available historical</w:t>
      </w:r>
      <w:r>
        <w:rPr>
          <w:rFonts w:ascii="Arial" w:hAnsi="Arial" w:cs="Arial"/>
          <w:sz w:val="20"/>
        </w:rPr>
        <w:t xml:space="preserve"> </w:t>
      </w:r>
      <w:r w:rsidRPr="00837519">
        <w:rPr>
          <w:rFonts w:ascii="Arial" w:hAnsi="Arial" w:cs="Arial"/>
          <w:sz w:val="20"/>
        </w:rPr>
        <w:t>data until five years of historical data are available.</w:t>
      </w:r>
    </w:p>
    <w:p w:rsidR="00FC5EF0" w:rsidRPr="00837519" w:rsidRDefault="00FC5EF0" w:rsidP="00FC5EF0">
      <w:pPr>
        <w:autoSpaceDE w:val="0"/>
        <w:autoSpaceDN w:val="0"/>
        <w:adjustRightInd w:val="0"/>
        <w:ind w:left="720"/>
        <w:rPr>
          <w:rFonts w:ascii="Arial" w:hAnsi="Arial" w:cs="Arial"/>
          <w:sz w:val="20"/>
        </w:rPr>
      </w:pPr>
      <w:r w:rsidRPr="00837519">
        <w:rPr>
          <w:rFonts w:ascii="Arial" w:hAnsi="Arial" w:cs="Arial"/>
          <w:sz w:val="20"/>
        </w:rPr>
        <w:t>b) Only those days that have a SAIDI/Day value will be used to calculate the T</w:t>
      </w:r>
      <w:r w:rsidRPr="006E3B1D">
        <w:rPr>
          <w:rFonts w:ascii="Arial" w:hAnsi="Arial" w:cs="Arial"/>
          <w:sz w:val="20"/>
          <w:vertAlign w:val="subscript"/>
        </w:rPr>
        <w:t>MED</w:t>
      </w:r>
      <w:r w:rsidRPr="00837519">
        <w:rPr>
          <w:rFonts w:ascii="Arial" w:hAnsi="Arial" w:cs="Arial"/>
          <w:sz w:val="20"/>
        </w:rPr>
        <w:t xml:space="preserve"> (do not include</w:t>
      </w:r>
      <w:r>
        <w:rPr>
          <w:rFonts w:ascii="Arial" w:hAnsi="Arial" w:cs="Arial"/>
          <w:sz w:val="20"/>
        </w:rPr>
        <w:t xml:space="preserve"> </w:t>
      </w:r>
      <w:r w:rsidRPr="00837519">
        <w:rPr>
          <w:rFonts w:ascii="Arial" w:hAnsi="Arial" w:cs="Arial"/>
          <w:sz w:val="20"/>
        </w:rPr>
        <w:t>days that did not have any interruptions).</w:t>
      </w:r>
    </w:p>
    <w:p w:rsidR="00FC5EF0" w:rsidRPr="00837519" w:rsidRDefault="00FC5EF0" w:rsidP="00FC5EF0">
      <w:pPr>
        <w:autoSpaceDE w:val="0"/>
        <w:autoSpaceDN w:val="0"/>
        <w:adjustRightInd w:val="0"/>
        <w:ind w:firstLine="720"/>
        <w:rPr>
          <w:rFonts w:ascii="Arial" w:hAnsi="Arial" w:cs="Arial"/>
          <w:sz w:val="20"/>
        </w:rPr>
      </w:pPr>
      <w:r w:rsidRPr="00837519">
        <w:rPr>
          <w:rFonts w:ascii="Arial" w:hAnsi="Arial" w:cs="Arial"/>
          <w:sz w:val="20"/>
        </w:rPr>
        <w:t>c) Take the natural logarithm (</w:t>
      </w:r>
      <w:proofErr w:type="spellStart"/>
      <w:r w:rsidRPr="00837519">
        <w:rPr>
          <w:rFonts w:ascii="Arial" w:hAnsi="Arial" w:cs="Arial"/>
          <w:sz w:val="20"/>
        </w:rPr>
        <w:t>ln</w:t>
      </w:r>
      <w:proofErr w:type="spellEnd"/>
      <w:r w:rsidRPr="00837519">
        <w:rPr>
          <w:rFonts w:ascii="Arial" w:hAnsi="Arial" w:cs="Arial"/>
          <w:sz w:val="20"/>
        </w:rPr>
        <w:t>) of each daily SAIDI value in the data set.</w:t>
      </w:r>
    </w:p>
    <w:p w:rsidR="00FC5EF0" w:rsidRPr="00837519" w:rsidRDefault="00FC5EF0" w:rsidP="00FC5EF0">
      <w:pPr>
        <w:autoSpaceDE w:val="0"/>
        <w:autoSpaceDN w:val="0"/>
        <w:adjustRightInd w:val="0"/>
        <w:ind w:left="720"/>
        <w:rPr>
          <w:rFonts w:ascii="Arial" w:hAnsi="Arial" w:cs="Arial"/>
          <w:sz w:val="20"/>
        </w:rPr>
      </w:pPr>
      <w:r w:rsidRPr="00837519">
        <w:rPr>
          <w:rFonts w:ascii="Arial" w:hAnsi="Arial" w:cs="Arial"/>
          <w:sz w:val="20"/>
        </w:rPr>
        <w:t xml:space="preserve">d) Find </w:t>
      </w:r>
      <w:r>
        <w:rPr>
          <w:rFonts w:ascii="GreekC" w:hAnsi="GreekC" w:cs="GreekC"/>
          <w:sz w:val="20"/>
        </w:rPr>
        <w:t>a</w:t>
      </w:r>
      <w:proofErr w:type="gramStart"/>
      <w:r w:rsidRPr="00837519">
        <w:rPr>
          <w:rFonts w:ascii="Arial" w:hAnsi="Arial" w:cs="Arial"/>
          <w:sz w:val="20"/>
        </w:rPr>
        <w:t>(</w:t>
      </w:r>
      <w:proofErr w:type="gramEnd"/>
      <w:r w:rsidRPr="00837519">
        <w:rPr>
          <w:rFonts w:ascii="Arial" w:hAnsi="Arial" w:cs="Arial"/>
          <w:sz w:val="20"/>
        </w:rPr>
        <w:t>Alpha), the average of the logarithms (also known as the log-average) of the data set.</w:t>
      </w:r>
    </w:p>
    <w:p w:rsidR="00FC5EF0" w:rsidRPr="00837519" w:rsidRDefault="00FC5EF0" w:rsidP="00FC5EF0">
      <w:pPr>
        <w:autoSpaceDE w:val="0"/>
        <w:autoSpaceDN w:val="0"/>
        <w:adjustRightInd w:val="0"/>
        <w:ind w:left="720"/>
        <w:rPr>
          <w:rFonts w:ascii="Arial" w:hAnsi="Arial" w:cs="Arial"/>
          <w:sz w:val="20"/>
        </w:rPr>
      </w:pPr>
      <w:r w:rsidRPr="00837519">
        <w:rPr>
          <w:rFonts w:ascii="Arial" w:hAnsi="Arial" w:cs="Arial"/>
          <w:sz w:val="20"/>
        </w:rPr>
        <w:t xml:space="preserve">e) Find </w:t>
      </w:r>
      <w:r>
        <w:rPr>
          <w:rFonts w:ascii="GreekC" w:hAnsi="GreekC" w:cs="GreekC"/>
          <w:sz w:val="20"/>
        </w:rPr>
        <w:t>b</w:t>
      </w:r>
      <w:proofErr w:type="gramStart"/>
      <w:r w:rsidRPr="00837519">
        <w:rPr>
          <w:rFonts w:ascii="Arial" w:hAnsi="Arial" w:cs="Arial"/>
          <w:sz w:val="20"/>
        </w:rPr>
        <w:t>(</w:t>
      </w:r>
      <w:proofErr w:type="gramEnd"/>
      <w:r w:rsidRPr="00837519">
        <w:rPr>
          <w:rFonts w:ascii="Arial" w:hAnsi="Arial" w:cs="Arial"/>
          <w:sz w:val="20"/>
        </w:rPr>
        <w:t>Beta), the standard deviation of the logarithms (also known as the log-standard deviation) of</w:t>
      </w:r>
      <w:r>
        <w:rPr>
          <w:rFonts w:ascii="Arial" w:hAnsi="Arial" w:cs="Arial"/>
          <w:sz w:val="20"/>
        </w:rPr>
        <w:t xml:space="preserve"> </w:t>
      </w:r>
      <w:r w:rsidRPr="00837519">
        <w:rPr>
          <w:rFonts w:ascii="Arial" w:hAnsi="Arial" w:cs="Arial"/>
          <w:sz w:val="20"/>
        </w:rPr>
        <w:t>the data set.</w:t>
      </w:r>
    </w:p>
    <w:p w:rsidR="00FC5EF0" w:rsidRDefault="00FC5EF0" w:rsidP="00FC5EF0">
      <w:pPr>
        <w:autoSpaceDE w:val="0"/>
        <w:autoSpaceDN w:val="0"/>
        <w:adjustRightInd w:val="0"/>
        <w:ind w:firstLine="720"/>
        <w:rPr>
          <w:rFonts w:ascii="Arial" w:hAnsi="Arial" w:cs="Arial"/>
          <w:sz w:val="20"/>
        </w:rPr>
      </w:pPr>
      <w:r w:rsidRPr="00837519">
        <w:rPr>
          <w:rFonts w:ascii="Arial" w:hAnsi="Arial" w:cs="Arial"/>
          <w:sz w:val="20"/>
        </w:rPr>
        <w:t>f) Compute the major event day threshold, TMED, using equation (25).</w:t>
      </w:r>
    </w:p>
    <w:p w:rsidR="00FC5EF0" w:rsidRPr="00837519" w:rsidRDefault="00FC5EF0" w:rsidP="00FC5EF0">
      <w:pPr>
        <w:autoSpaceDE w:val="0"/>
        <w:autoSpaceDN w:val="0"/>
        <w:adjustRightInd w:val="0"/>
        <w:ind w:firstLine="720"/>
        <w:rPr>
          <w:rFonts w:ascii="Arial" w:hAnsi="Arial" w:cs="Arial"/>
          <w:sz w:val="20"/>
        </w:rPr>
      </w:pPr>
    </w:p>
    <w:p w:rsidR="00FC5EF0" w:rsidRDefault="00FC5EF0" w:rsidP="00FC5EF0">
      <w:pPr>
        <w:autoSpaceDE w:val="0"/>
        <w:autoSpaceDN w:val="0"/>
        <w:adjustRightInd w:val="0"/>
        <w:ind w:left="720" w:firstLine="720"/>
        <w:rPr>
          <w:sz w:val="20"/>
        </w:rPr>
      </w:pPr>
      <w:r w:rsidRPr="006E3B1D">
        <w:lastRenderedPageBreak/>
        <w:t>T</w:t>
      </w:r>
      <w:r w:rsidRPr="006E3B1D">
        <w:rPr>
          <w:i/>
          <w:iCs/>
          <w:vertAlign w:val="subscript"/>
        </w:rPr>
        <w:t>MED</w:t>
      </w:r>
      <w:r w:rsidRPr="006E3B1D">
        <w:rPr>
          <w:i/>
          <w:iCs/>
        </w:rPr>
        <w:t xml:space="preserve"> = </w:t>
      </w:r>
      <w:proofErr w:type="spellStart"/>
      <w:r w:rsidRPr="006E3B1D">
        <w:rPr>
          <w:i/>
          <w:iCs/>
        </w:rPr>
        <w:t>e</w:t>
      </w:r>
      <w:r w:rsidRPr="006E3B1D">
        <w:rPr>
          <w:rFonts w:ascii="Symbol" w:hAnsi="Symbol" w:cs="Symbol"/>
          <w:vertAlign w:val="superscript"/>
        </w:rPr>
        <w:t></w:t>
      </w:r>
      <w:r w:rsidRPr="006E3B1D">
        <w:rPr>
          <w:rFonts w:ascii="GreekC" w:hAnsi="GreekC" w:cs="GreekC"/>
          <w:vertAlign w:val="superscript"/>
        </w:rPr>
        <w:t>a</w:t>
      </w:r>
      <w:proofErr w:type="spellEnd"/>
      <w:r w:rsidRPr="006E3B1D">
        <w:rPr>
          <w:rFonts w:ascii="Symbol" w:hAnsi="Symbol" w:cs="Symbol"/>
          <w:vertAlign w:val="superscript"/>
        </w:rPr>
        <w:t></w:t>
      </w:r>
      <w:r w:rsidRPr="006E3B1D">
        <w:rPr>
          <w:rFonts w:ascii="Symbol" w:hAnsi="Symbol" w:cs="Symbol"/>
          <w:vertAlign w:val="superscript"/>
        </w:rPr>
        <w:t></w:t>
      </w:r>
      <w:r w:rsidRPr="006E3B1D">
        <w:rPr>
          <w:vertAlign w:val="superscript"/>
        </w:rPr>
        <w:t xml:space="preserve">2.5 </w:t>
      </w:r>
      <w:r w:rsidRPr="006E3B1D">
        <w:rPr>
          <w:rFonts w:ascii="GreekC" w:hAnsi="GreekC" w:cs="GreekC"/>
          <w:vertAlign w:val="superscript"/>
        </w:rPr>
        <w:t>b</w:t>
      </w:r>
      <w:r w:rsidRPr="006E3B1D">
        <w:rPr>
          <w:rFonts w:ascii="Symbol" w:hAnsi="Symbol" w:cs="Symbol"/>
          <w:vertAlign w:val="superscript"/>
        </w:rPr>
        <w:t></w:t>
      </w:r>
      <w:r w:rsidRPr="006E3B1D">
        <w:rPr>
          <w:rFonts w:ascii="Symbol" w:hAnsi="Symbol" w:cs="Symbol"/>
        </w:rPr>
        <w:tab/>
      </w:r>
      <w:r>
        <w:rPr>
          <w:rFonts w:ascii="Symbol" w:hAnsi="Symbol" w:cs="Symbol"/>
          <w:sz w:val="18"/>
          <w:szCs w:val="18"/>
        </w:rPr>
        <w:tab/>
      </w:r>
      <w:r>
        <w:rPr>
          <w:rFonts w:ascii="Symbol" w:hAnsi="Symbol" w:cs="Symbol"/>
          <w:sz w:val="18"/>
          <w:szCs w:val="18"/>
        </w:rPr>
        <w:tab/>
      </w:r>
      <w:r>
        <w:rPr>
          <w:rFonts w:ascii="Symbol" w:hAnsi="Symbol" w:cs="Symbol"/>
          <w:sz w:val="18"/>
          <w:szCs w:val="18"/>
        </w:rPr>
        <w:tab/>
      </w:r>
      <w:r>
        <w:rPr>
          <w:rFonts w:ascii="Symbol" w:hAnsi="Symbol" w:cs="Symbol"/>
          <w:sz w:val="18"/>
          <w:szCs w:val="18"/>
        </w:rPr>
        <w:tab/>
      </w:r>
      <w:r>
        <w:rPr>
          <w:rFonts w:ascii="Symbol" w:hAnsi="Symbol" w:cs="Symbol"/>
          <w:sz w:val="18"/>
          <w:szCs w:val="18"/>
        </w:rPr>
        <w:tab/>
      </w:r>
      <w:r>
        <w:rPr>
          <w:rFonts w:ascii="Symbol" w:hAnsi="Symbol" w:cs="Symbol"/>
          <w:sz w:val="18"/>
          <w:szCs w:val="18"/>
        </w:rPr>
        <w:tab/>
      </w:r>
      <w:r w:rsidRPr="00837519">
        <w:rPr>
          <w:rFonts w:ascii="Arial" w:hAnsi="Arial" w:cs="Arial"/>
          <w:sz w:val="20"/>
        </w:rPr>
        <w:t>(25)</w:t>
      </w:r>
    </w:p>
    <w:p w:rsidR="00FC5EF0" w:rsidRPr="00837519" w:rsidRDefault="00FC5EF0" w:rsidP="00FC5EF0">
      <w:pPr>
        <w:autoSpaceDE w:val="0"/>
        <w:autoSpaceDN w:val="0"/>
        <w:adjustRightInd w:val="0"/>
        <w:rPr>
          <w:rFonts w:ascii="Arial" w:hAnsi="Arial" w:cs="Arial"/>
          <w:sz w:val="20"/>
        </w:rPr>
      </w:pPr>
    </w:p>
    <w:p w:rsidR="000B3384" w:rsidRDefault="00FC5EF0" w:rsidP="00774191">
      <w:pPr>
        <w:ind w:firstLine="720"/>
      </w:pPr>
      <w:r w:rsidRPr="00837519">
        <w:t>g) Any day with daily SAIDI greater than the threshold value TMED that occurs during the subsequent</w:t>
      </w:r>
      <w:r>
        <w:t xml:space="preserve"> </w:t>
      </w:r>
      <w:r w:rsidRPr="00837519">
        <w:t>reporting period is classified as a major event day.</w:t>
      </w:r>
      <w:r>
        <w:t xml:space="preserve"> </w:t>
      </w:r>
      <w:r w:rsidRPr="005B1688">
        <w:t>Activities that occur on days classified as</w:t>
      </w:r>
      <w:r>
        <w:t xml:space="preserve"> major event days </w:t>
      </w:r>
      <w:r w:rsidRPr="005B1688">
        <w:t>shoul</w:t>
      </w:r>
      <w:r>
        <w:t xml:space="preserve">d be separately analyzed and </w:t>
      </w:r>
      <w:r w:rsidRPr="005B1688">
        <w:t>reported.</w:t>
      </w:r>
    </w:p>
    <w:p w:rsidR="000B3384" w:rsidRDefault="000B3384">
      <w:pPr>
        <w:pStyle w:val="Header"/>
        <w:tabs>
          <w:tab w:val="clear" w:pos="4320"/>
          <w:tab w:val="clear" w:pos="8640"/>
        </w:tabs>
      </w:pPr>
    </w:p>
    <w:p w:rsidR="000B3384" w:rsidRDefault="000B3384">
      <w:r>
        <w:t>These f</w:t>
      </w:r>
      <w:r w:rsidR="00774191">
        <w:t>ive</w:t>
      </w:r>
      <w:r>
        <w:t xml:space="preserve"> indices for </w:t>
      </w:r>
      <w:r w:rsidR="00653C48">
        <w:t xml:space="preserve">determining </w:t>
      </w:r>
      <w:r>
        <w:t>reliability</w:t>
      </w:r>
      <w:r w:rsidR="00653C48">
        <w:t xml:space="preserve"> </w:t>
      </w:r>
      <w:r w:rsidR="007C4BA9">
        <w:t xml:space="preserve">on the full system will be reported annually. </w:t>
      </w:r>
      <w:r w:rsidR="003E37F1">
        <w:t xml:space="preserve">The Company will include a comparison of the reporting year and previous year’s annual indices. </w:t>
      </w:r>
      <w:r w:rsidR="00653C48">
        <w:t>Samples of t</w:t>
      </w:r>
      <w:r>
        <w:t xml:space="preserve">he reporting format (charts) </w:t>
      </w:r>
      <w:r w:rsidR="00653C48">
        <w:t>are</w:t>
      </w:r>
      <w:r>
        <w:t xml:space="preserve"> shown in </w:t>
      </w:r>
      <w:r w:rsidR="003E37F1">
        <w:t xml:space="preserve">the individual </w:t>
      </w:r>
      <w:r>
        <w:t>Section</w:t>
      </w:r>
      <w:r w:rsidR="003E37F1">
        <w:t>s described below. These Sections have been dramatically improved over the original plan format. Data gathering has also improved with additional capabilities of the Companies Geographical Information System and Outage Management Tool (OMT).</w:t>
      </w:r>
      <w:r>
        <w:t xml:space="preserve"> </w:t>
      </w:r>
    </w:p>
    <w:p w:rsidR="000B3384" w:rsidRDefault="000B3384"/>
    <w:p w:rsidR="003E37F1" w:rsidRDefault="003E37F1">
      <w:pPr>
        <w:rPr>
          <w:color w:val="000000"/>
        </w:rPr>
      </w:pPr>
      <w:r>
        <w:rPr>
          <w:color w:val="000000"/>
        </w:rPr>
        <w:t>Section 5</w:t>
      </w:r>
      <w:r>
        <w:rPr>
          <w:color w:val="000000"/>
        </w:rPr>
        <w:tab/>
        <w:t>System Indices (includes Office reporting)</w:t>
      </w:r>
    </w:p>
    <w:p w:rsidR="003E37F1" w:rsidRDefault="003E37F1">
      <w:pPr>
        <w:rPr>
          <w:color w:val="000000"/>
        </w:rPr>
      </w:pPr>
      <w:r>
        <w:rPr>
          <w:color w:val="000000"/>
        </w:rPr>
        <w:tab/>
      </w:r>
      <w:r>
        <w:rPr>
          <w:color w:val="000000"/>
        </w:rPr>
        <w:tab/>
      </w:r>
      <w:r w:rsidR="00EF5C4D">
        <w:rPr>
          <w:color w:val="000000"/>
        </w:rPr>
        <w:tab/>
      </w:r>
      <w:r>
        <w:rPr>
          <w:color w:val="000000"/>
        </w:rPr>
        <w:t>Areas of concern</w:t>
      </w:r>
    </w:p>
    <w:p w:rsidR="003E37F1" w:rsidRDefault="003E37F1">
      <w:pPr>
        <w:rPr>
          <w:color w:val="000000"/>
        </w:rPr>
      </w:pPr>
      <w:r>
        <w:rPr>
          <w:color w:val="000000"/>
        </w:rPr>
        <w:t>Section 6</w:t>
      </w:r>
      <w:r>
        <w:rPr>
          <w:color w:val="000000"/>
        </w:rPr>
        <w:tab/>
        <w:t>CEMIn Avista Service Territory</w:t>
      </w:r>
    </w:p>
    <w:p w:rsidR="003E37F1" w:rsidRDefault="003E37F1">
      <w:pPr>
        <w:rPr>
          <w:color w:val="000000"/>
        </w:rPr>
      </w:pPr>
      <w:r>
        <w:rPr>
          <w:color w:val="000000"/>
        </w:rPr>
        <w:tab/>
      </w:r>
      <w:r>
        <w:rPr>
          <w:color w:val="000000"/>
        </w:rPr>
        <w:tab/>
      </w:r>
      <w:r w:rsidR="00EF5C4D">
        <w:rPr>
          <w:color w:val="000000"/>
        </w:rPr>
        <w:tab/>
      </w:r>
      <w:r>
        <w:rPr>
          <w:color w:val="000000"/>
        </w:rPr>
        <w:t>CEMIn Office charts</w:t>
      </w:r>
    </w:p>
    <w:p w:rsidR="003E37F1" w:rsidRDefault="003E37F1">
      <w:pPr>
        <w:rPr>
          <w:color w:val="000000"/>
        </w:rPr>
      </w:pPr>
      <w:r>
        <w:rPr>
          <w:color w:val="000000"/>
        </w:rPr>
        <w:t>Section 7</w:t>
      </w:r>
      <w:r>
        <w:rPr>
          <w:color w:val="000000"/>
        </w:rPr>
        <w:tab/>
        <w:t>Monthly Indices</w:t>
      </w:r>
    </w:p>
    <w:p w:rsidR="003E37F1" w:rsidRDefault="003E37F1">
      <w:pPr>
        <w:rPr>
          <w:color w:val="000000"/>
        </w:rPr>
      </w:pPr>
      <w:r>
        <w:rPr>
          <w:color w:val="000000"/>
        </w:rPr>
        <w:t>Section 8</w:t>
      </w:r>
      <w:r>
        <w:rPr>
          <w:color w:val="000000"/>
        </w:rPr>
        <w:tab/>
        <w:t>Customer Complaints tables</w:t>
      </w:r>
    </w:p>
    <w:p w:rsidR="003E37F1" w:rsidRDefault="003E37F1">
      <w:pPr>
        <w:rPr>
          <w:color w:val="000000"/>
        </w:rPr>
      </w:pPr>
      <w:r>
        <w:rPr>
          <w:color w:val="000000"/>
        </w:rPr>
        <w:t>Section 9</w:t>
      </w:r>
      <w:r>
        <w:rPr>
          <w:color w:val="000000"/>
        </w:rPr>
        <w:tab/>
        <w:t>Sustained Interruption Causes</w:t>
      </w:r>
    </w:p>
    <w:p w:rsidR="003E37F1" w:rsidRDefault="003E37F1">
      <w:pPr>
        <w:rPr>
          <w:color w:val="000000"/>
        </w:rPr>
      </w:pPr>
      <w:r>
        <w:rPr>
          <w:color w:val="000000"/>
        </w:rPr>
        <w:tab/>
      </w:r>
      <w:r>
        <w:rPr>
          <w:color w:val="000000"/>
        </w:rPr>
        <w:tab/>
      </w:r>
      <w:r w:rsidR="00EF5C4D">
        <w:rPr>
          <w:color w:val="000000"/>
        </w:rPr>
        <w:tab/>
      </w:r>
      <w:r>
        <w:rPr>
          <w:color w:val="000000"/>
        </w:rPr>
        <w:t>By Office and Monthly</w:t>
      </w:r>
    </w:p>
    <w:p w:rsidR="003E37F1" w:rsidRDefault="00EF5C4D">
      <w:pPr>
        <w:rPr>
          <w:color w:val="000000"/>
        </w:rPr>
      </w:pPr>
      <w:r>
        <w:rPr>
          <w:color w:val="000000"/>
        </w:rPr>
        <w:tab/>
      </w:r>
      <w:r>
        <w:rPr>
          <w:color w:val="000000"/>
        </w:rPr>
        <w:tab/>
        <w:t>Momentary Interruption Causes</w:t>
      </w:r>
    </w:p>
    <w:p w:rsidR="00EF5C4D" w:rsidRDefault="00EF5C4D">
      <w:pPr>
        <w:rPr>
          <w:color w:val="000000"/>
        </w:rPr>
      </w:pPr>
      <w:r>
        <w:rPr>
          <w:color w:val="000000"/>
        </w:rPr>
        <w:tab/>
      </w:r>
      <w:r>
        <w:rPr>
          <w:color w:val="000000"/>
        </w:rPr>
        <w:tab/>
      </w:r>
      <w:r>
        <w:rPr>
          <w:color w:val="000000"/>
        </w:rPr>
        <w:tab/>
        <w:t>By Office and Monthly</w:t>
      </w:r>
    </w:p>
    <w:p w:rsidR="003E37F1" w:rsidRDefault="00FB2F34">
      <w:pPr>
        <w:rPr>
          <w:color w:val="000000"/>
        </w:rPr>
      </w:pPr>
      <w:r>
        <w:rPr>
          <w:color w:val="000000"/>
        </w:rPr>
        <w:t>Section 10</w:t>
      </w:r>
      <w:r>
        <w:rPr>
          <w:color w:val="000000"/>
        </w:rPr>
        <w:tab/>
        <w:t>Major Event Day causes</w:t>
      </w:r>
    </w:p>
    <w:p w:rsidR="00FB2F34" w:rsidRDefault="00FB2F34">
      <w:pPr>
        <w:rPr>
          <w:color w:val="000000"/>
        </w:rPr>
      </w:pPr>
      <w:r>
        <w:rPr>
          <w:color w:val="000000"/>
        </w:rPr>
        <w:t>Section 11</w:t>
      </w:r>
      <w:r>
        <w:rPr>
          <w:color w:val="000000"/>
        </w:rPr>
        <w:tab/>
        <w:t>Cause Codes</w:t>
      </w:r>
    </w:p>
    <w:p w:rsidR="003E37F1" w:rsidRDefault="00FB2F34">
      <w:pPr>
        <w:rPr>
          <w:color w:val="000000"/>
        </w:rPr>
      </w:pPr>
      <w:r>
        <w:rPr>
          <w:color w:val="000000"/>
        </w:rPr>
        <w:t>Section 12</w:t>
      </w:r>
      <w:r>
        <w:rPr>
          <w:color w:val="000000"/>
        </w:rPr>
        <w:tab/>
      </w:r>
      <w:r w:rsidRPr="00FB2F34">
        <w:rPr>
          <w:color w:val="000000"/>
        </w:rPr>
        <w:t>Anticipated Reliability System Enhancements</w:t>
      </w:r>
    </w:p>
    <w:p w:rsidR="003E37F1" w:rsidRDefault="00FB2F34">
      <w:pPr>
        <w:rPr>
          <w:color w:val="000000"/>
        </w:rPr>
      </w:pPr>
      <w:r>
        <w:rPr>
          <w:color w:val="000000"/>
        </w:rPr>
        <w:t>Section 13</w:t>
      </w:r>
      <w:r>
        <w:rPr>
          <w:color w:val="000000"/>
        </w:rPr>
        <w:tab/>
      </w:r>
      <w:r w:rsidRPr="00FB2F34">
        <w:rPr>
          <w:color w:val="000000"/>
        </w:rPr>
        <w:t>Applicable Washington Administrative Code</w:t>
      </w:r>
    </w:p>
    <w:p w:rsidR="00FB2F34" w:rsidRDefault="00FB2F34">
      <w:pPr>
        <w:rPr>
          <w:color w:val="000000"/>
        </w:rPr>
      </w:pPr>
    </w:p>
    <w:p w:rsidR="00FB2F34" w:rsidRDefault="00382AC7">
      <w:pPr>
        <w:rPr>
          <w:color w:val="000000"/>
        </w:rPr>
      </w:pPr>
      <w:r>
        <w:rPr>
          <w:color w:val="000000"/>
        </w:rPr>
        <w:t>Data Collection</w:t>
      </w:r>
    </w:p>
    <w:p w:rsidR="00382AC7" w:rsidRDefault="00382AC7" w:rsidP="00223D7D">
      <w:pPr>
        <w:ind w:left="360"/>
      </w:pPr>
      <w:r>
        <w:t xml:space="preserve">Since Avista’s Electric Service Reliability Monitoring and Reporting Plan </w:t>
      </w:r>
      <w:r w:rsidR="00A64D0C">
        <w:t>were</w:t>
      </w:r>
      <w:r>
        <w:t xml:space="preserve"> filed in 2001, there have been several improvements in the methods used to collect outage data. In late 2001, centralizing the distribution trouble dispatch and data collection function for Avista’s entire service territory began.  The distribution dispatch office is located in the Spokane main complex.  At the end of September 2005, 100% of the Company’s feeders, accounting for 100% of the customers, are served from offices that employ central dispatching. </w:t>
      </w:r>
    </w:p>
    <w:p w:rsidR="00382AC7" w:rsidRDefault="00382AC7" w:rsidP="00382AC7">
      <w:pPr>
        <w:pStyle w:val="CommentText"/>
      </w:pPr>
    </w:p>
    <w:p w:rsidR="00382AC7" w:rsidRDefault="00382AC7" w:rsidP="00382AC7">
      <w:r>
        <w:t>The data collected for 20</w:t>
      </w:r>
      <w:r w:rsidR="00223D7D">
        <w:t>1</w:t>
      </w:r>
      <w:r>
        <w:t>0 represents the f</w:t>
      </w:r>
      <w:r w:rsidR="00223D7D">
        <w:t>ifth</w:t>
      </w:r>
      <w:r>
        <w:t xml:space="preserve"> full year of outage data collected through the Outage Management Tool (OMT). For 20</w:t>
      </w:r>
      <w:r w:rsidR="00223D7D">
        <w:t>1</w:t>
      </w:r>
      <w:r>
        <w:t xml:space="preserve">0, all data was collected using the “Outage Management Tool” (OMT) based on the Company’s Geographic Information System (GIS).  The OMT system automates the logging of restoration times and customer counts.  </w:t>
      </w:r>
    </w:p>
    <w:p w:rsidR="00382AC7" w:rsidRDefault="00382AC7" w:rsidP="00382AC7"/>
    <w:p w:rsidR="000B3384" w:rsidRDefault="00382AC7" w:rsidP="00382AC7">
      <w:pPr>
        <w:rPr>
          <w:color w:val="000000"/>
        </w:rPr>
      </w:pPr>
      <w:r>
        <w:t>Even as good as the OMT system is at quantifying the number of customers and duration of the outage duration, there still are areas where the data collection is not precise. Determining the exact starting time of an outage is dependent on when a customer calls in, how well the Avista Distribution Dispatcher determines where the outage is and defines the device that has opened to remove the faulted section.</w:t>
      </w:r>
    </w:p>
    <w:p w:rsidR="000B3384" w:rsidRDefault="001868B6" w:rsidP="009124F8">
      <w:pPr>
        <w:pStyle w:val="BodyTextIndent"/>
        <w:ind w:left="0" w:firstLine="0"/>
      </w:pPr>
      <w:r>
        <w:rPr>
          <w:i w:val="0"/>
          <w:color w:val="000000"/>
        </w:rPr>
        <w:lastRenderedPageBreak/>
        <w:t xml:space="preserve">The OMT system relies heavily on the Customer Interactive Voice Recorder (IVR) system to automatically generate incidents in OMT. As more customers call in, the Electric Dispatcher can bundle customers assuming a device has opened creating the sustained interruption record. </w:t>
      </w:r>
      <w:r w:rsidR="0017137D">
        <w:rPr>
          <w:i w:val="0"/>
          <w:color w:val="000000"/>
        </w:rPr>
        <w:t xml:space="preserve">Then </w:t>
      </w:r>
      <w:r>
        <w:rPr>
          <w:i w:val="0"/>
          <w:color w:val="000000"/>
        </w:rPr>
        <w:t>the interruption is confirmed by field personnel and a partial restoration or final restoration is completed and closed. An outage cause is assigned at the time the record is closed out and the field personnel determine it.</w:t>
      </w:r>
    </w:p>
    <w:p w:rsidR="000B3384" w:rsidRDefault="000B3384">
      <w:pPr>
        <w:pStyle w:val="BodyText"/>
      </w:pPr>
    </w:p>
    <w:p w:rsidR="000B3384" w:rsidRDefault="000B3384">
      <w:pPr>
        <w:pStyle w:val="BodyText"/>
      </w:pPr>
      <w:r>
        <w:t>Further, in compliance with WAC 480-100-398 (3) regarding causes of the Company’s outages, to help illustrate event causes</w:t>
      </w:r>
      <w:r w:rsidR="00381D3E">
        <w:t xml:space="preserve"> on a </w:t>
      </w:r>
      <w:r>
        <w:t xml:space="preserve">system-wide and </w:t>
      </w:r>
      <w:r w:rsidR="00381D3E">
        <w:t xml:space="preserve">office area basis, </w:t>
      </w:r>
      <w:r>
        <w:t xml:space="preserve">several tables and charts will be provided.  The reporting format for these tables and charts is shown in Section </w:t>
      </w:r>
      <w:r w:rsidR="007A0031">
        <w:t>11</w:t>
      </w:r>
      <w:r>
        <w:t>.0 of this report.   The Company’s current table of Cause Codes is as follows:</w:t>
      </w:r>
    </w:p>
    <w:p w:rsidR="000B3384" w:rsidRDefault="000B3384">
      <w:pPr>
        <w:rPr>
          <w:color w:val="000000"/>
        </w:rPr>
      </w:pPr>
    </w:p>
    <w:tbl>
      <w:tblPr>
        <w:tblW w:w="9564" w:type="dxa"/>
        <w:tblLayout w:type="fixed"/>
        <w:tblCellMar>
          <w:left w:w="30" w:type="dxa"/>
          <w:right w:w="30" w:type="dxa"/>
        </w:tblCellMar>
        <w:tblLook w:val="0000"/>
      </w:tblPr>
      <w:tblGrid>
        <w:gridCol w:w="1515"/>
        <w:gridCol w:w="1515"/>
        <w:gridCol w:w="1515"/>
        <w:gridCol w:w="1515"/>
        <w:gridCol w:w="3504"/>
      </w:tblGrid>
      <w:tr w:rsidR="007A0031" w:rsidTr="007A0031">
        <w:trPr>
          <w:trHeight w:val="348"/>
        </w:trPr>
        <w:tc>
          <w:tcPr>
            <w:tcW w:w="1515" w:type="dxa"/>
            <w:tcBorders>
              <w:top w:val="single" w:sz="12" w:space="0" w:color="auto"/>
              <w:left w:val="single" w:sz="12" w:space="0" w:color="auto"/>
              <w:bottom w:val="single" w:sz="12" w:space="0" w:color="auto"/>
            </w:tcBorders>
            <w:vAlign w:val="bottom"/>
          </w:tcPr>
          <w:p w:rsidR="007A0031" w:rsidRDefault="007A0031" w:rsidP="00197603">
            <w:pPr>
              <w:rPr>
                <w:rFonts w:ascii="Arial" w:hAnsi="Arial"/>
                <w:b/>
                <w:snapToGrid w:val="0"/>
                <w:color w:val="000000"/>
              </w:rPr>
            </w:pPr>
            <w:r>
              <w:rPr>
                <w:rFonts w:ascii="Arial" w:hAnsi="Arial"/>
                <w:b/>
                <w:snapToGrid w:val="0"/>
                <w:color w:val="000000"/>
              </w:rPr>
              <w:t>MAIN CATEGORY</w:t>
            </w:r>
          </w:p>
        </w:tc>
        <w:tc>
          <w:tcPr>
            <w:tcW w:w="1515" w:type="dxa"/>
            <w:tcBorders>
              <w:top w:val="single" w:sz="12" w:space="0" w:color="auto"/>
              <w:bottom w:val="single" w:sz="12" w:space="0" w:color="auto"/>
              <w:right w:val="single" w:sz="12" w:space="0" w:color="auto"/>
            </w:tcBorders>
            <w:vAlign w:val="bottom"/>
          </w:tcPr>
          <w:p w:rsidR="007A0031" w:rsidRDefault="007A0031" w:rsidP="00197603">
            <w:pPr>
              <w:pStyle w:val="Heading7"/>
            </w:pPr>
            <w:r>
              <w:t xml:space="preserve">Proposed </w:t>
            </w:r>
            <w:r>
              <w:br/>
            </w:r>
            <w:r>
              <w:rPr>
                <w:b/>
                <w:sz w:val="16"/>
              </w:rPr>
              <w:t>(Changes Only)</w:t>
            </w:r>
          </w:p>
        </w:tc>
        <w:tc>
          <w:tcPr>
            <w:tcW w:w="1515" w:type="dxa"/>
            <w:tcBorders>
              <w:top w:val="single" w:sz="12" w:space="0" w:color="auto"/>
              <w:left w:val="single" w:sz="12" w:space="0" w:color="auto"/>
              <w:bottom w:val="single" w:sz="12" w:space="0" w:color="auto"/>
            </w:tcBorders>
            <w:vAlign w:val="bottom"/>
          </w:tcPr>
          <w:p w:rsidR="007A0031" w:rsidRDefault="007A0031" w:rsidP="00197603">
            <w:pPr>
              <w:rPr>
                <w:rFonts w:ascii="Arial" w:hAnsi="Arial"/>
                <w:b/>
                <w:snapToGrid w:val="0"/>
                <w:color w:val="000000"/>
              </w:rPr>
            </w:pPr>
            <w:r>
              <w:rPr>
                <w:rFonts w:ascii="Arial" w:hAnsi="Arial"/>
                <w:b/>
                <w:snapToGrid w:val="0"/>
                <w:color w:val="000000"/>
              </w:rPr>
              <w:t>SUB CATEGORY</w:t>
            </w:r>
          </w:p>
        </w:tc>
        <w:tc>
          <w:tcPr>
            <w:tcW w:w="1515" w:type="dxa"/>
            <w:tcBorders>
              <w:top w:val="single" w:sz="12" w:space="0" w:color="auto"/>
              <w:left w:val="nil"/>
              <w:bottom w:val="single" w:sz="12" w:space="0" w:color="auto"/>
              <w:right w:val="single" w:sz="12" w:space="0" w:color="auto"/>
            </w:tcBorders>
            <w:vAlign w:val="bottom"/>
          </w:tcPr>
          <w:p w:rsidR="007A0031" w:rsidRDefault="007A0031" w:rsidP="00197603">
            <w:pPr>
              <w:rPr>
                <w:rFonts w:ascii="Arial" w:hAnsi="Arial"/>
                <w:b/>
                <w:snapToGrid w:val="0"/>
                <w:color w:val="000000"/>
              </w:rPr>
            </w:pPr>
            <w:r>
              <w:rPr>
                <w:rFonts w:ascii="Arial" w:hAnsi="Arial"/>
                <w:b/>
                <w:snapToGrid w:val="0"/>
                <w:color w:val="000000"/>
                <w:sz w:val="20"/>
              </w:rPr>
              <w:t xml:space="preserve">Proposed </w:t>
            </w:r>
            <w:r>
              <w:rPr>
                <w:rFonts w:ascii="Arial" w:hAnsi="Arial"/>
                <w:b/>
                <w:snapToGrid w:val="0"/>
                <w:color w:val="000000"/>
                <w:sz w:val="20"/>
              </w:rPr>
              <w:br/>
            </w:r>
            <w:r>
              <w:rPr>
                <w:rFonts w:ascii="Arial" w:hAnsi="Arial"/>
                <w:bCs/>
                <w:snapToGrid w:val="0"/>
                <w:color w:val="000000"/>
                <w:sz w:val="16"/>
              </w:rPr>
              <w:t>(</w:t>
            </w:r>
            <w:r>
              <w:rPr>
                <w:bCs/>
                <w:sz w:val="16"/>
              </w:rPr>
              <w:t>C</w:t>
            </w:r>
            <w:r>
              <w:rPr>
                <w:rFonts w:ascii="Arial" w:hAnsi="Arial"/>
                <w:bCs/>
                <w:snapToGrid w:val="0"/>
                <w:color w:val="000000"/>
                <w:sz w:val="16"/>
              </w:rPr>
              <w:t xml:space="preserve">hanges </w:t>
            </w:r>
            <w:r>
              <w:rPr>
                <w:bCs/>
                <w:sz w:val="16"/>
              </w:rPr>
              <w:t>Only</w:t>
            </w:r>
            <w:r>
              <w:rPr>
                <w:rFonts w:ascii="Arial" w:hAnsi="Arial"/>
                <w:bCs/>
                <w:snapToGrid w:val="0"/>
                <w:color w:val="000000"/>
                <w:sz w:val="16"/>
              </w:rPr>
              <w:t>)</w:t>
            </w:r>
          </w:p>
        </w:tc>
        <w:tc>
          <w:tcPr>
            <w:tcW w:w="3504" w:type="dxa"/>
            <w:tcBorders>
              <w:top w:val="single" w:sz="12" w:space="0" w:color="auto"/>
              <w:left w:val="single" w:sz="12" w:space="0" w:color="auto"/>
              <w:bottom w:val="single" w:sz="12" w:space="0" w:color="auto"/>
              <w:right w:val="single" w:sz="12" w:space="0" w:color="auto"/>
            </w:tcBorders>
            <w:vAlign w:val="bottom"/>
          </w:tcPr>
          <w:p w:rsidR="007A0031" w:rsidRDefault="007A0031" w:rsidP="00197603">
            <w:pPr>
              <w:rPr>
                <w:rFonts w:ascii="Arial" w:hAnsi="Arial"/>
                <w:b/>
                <w:snapToGrid w:val="0"/>
                <w:color w:val="000000"/>
              </w:rPr>
            </w:pPr>
            <w:r>
              <w:rPr>
                <w:rFonts w:ascii="Arial" w:hAnsi="Arial"/>
                <w:b/>
                <w:snapToGrid w:val="0"/>
                <w:color w:val="000000"/>
              </w:rPr>
              <w:t>Definition</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ANIMAL</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Bird</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 xml:space="preserve">Outages caused by animal contacts. Specific animal called out in sub category. </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Protected</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Squirrel</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Underground</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Other</w:t>
            </w:r>
          </w:p>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PUBLIC</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Car Hit Pad</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Underground outage due to car, truck, construction equipment etc. contact with pad transformer, junction enclosure etc</w:t>
            </w:r>
            <w:proofErr w:type="gramStart"/>
            <w:r>
              <w:rPr>
                <w:rFonts w:ascii="Arial" w:hAnsi="Arial" w:cs="Arial"/>
                <w:snapToGrid w:val="0"/>
                <w:color w:val="000000"/>
                <w:sz w:val="16"/>
              </w:rPr>
              <w:t>..</w:t>
            </w:r>
            <w:proofErr w:type="gramEnd"/>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Car Hit Pole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Overhead outage due to car, truck, construction equipment etc. contact with pole, guy, neutral etc.</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Dig In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Dig in by a customer, a customer’s contractor, or another utility.</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Fire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Outages caused by or required for a house/structure or field/forest fire.</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Tree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Homeowner, tree service, logger etc. fells a tree into the line.</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Other</w:t>
            </w:r>
          </w:p>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Other public caused outages</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COMPANY</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Dig in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Dig in by company or contract crew.</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Other</w:t>
            </w:r>
          </w:p>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Other company caused outages</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EQUIPMENT OH</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Arrestors</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Outages caused by equipment failure. Specific equipment called out in sub category.</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Capacitor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 xml:space="preserve">Conductor - </w:t>
            </w:r>
            <w:proofErr w:type="spellStart"/>
            <w:r>
              <w:rPr>
                <w:rFonts w:ascii="Arial" w:hAnsi="Arial"/>
                <w:snapToGrid w:val="0"/>
                <w:color w:val="000000"/>
                <w:sz w:val="16"/>
              </w:rPr>
              <w:t>Pri</w:t>
            </w:r>
            <w:proofErr w:type="spellEnd"/>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Conductor - Sec</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 xml:space="preserve">Connector - </w:t>
            </w:r>
            <w:proofErr w:type="spellStart"/>
            <w:r>
              <w:rPr>
                <w:rFonts w:ascii="Arial" w:hAnsi="Arial"/>
                <w:snapToGrid w:val="0"/>
                <w:color w:val="000000"/>
                <w:sz w:val="16"/>
              </w:rPr>
              <w:t>Pri</w:t>
            </w:r>
            <w:proofErr w:type="spellEnd"/>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Connector - Sec</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Crossarm- rotten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Cutout / Fuse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Insulator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Insulator Pin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cs="Arial"/>
                <w:snapToGrid w:val="0"/>
                <w:color w:val="000000"/>
                <w:sz w:val="16"/>
              </w:rPr>
            </w:pPr>
            <w:r>
              <w:rPr>
                <w:rFonts w:ascii="Arial" w:hAnsi="Arial" w:cs="Arial"/>
                <w:snapToGrid w:val="0"/>
                <w:color w:val="000000"/>
                <w:sz w:val="16"/>
              </w:rPr>
              <w:t>Other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Pole - Rotten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Recloser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Regulator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Switch / Disconnect</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Transformer - OH</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r>
              <w:rPr>
                <w:rFonts w:ascii="Arial" w:hAnsi="Arial" w:cs="Arial"/>
                <w:snapToGrid w:val="0"/>
                <w:color w:val="000000"/>
                <w:sz w:val="16"/>
              </w:rPr>
              <w:t>Wildlife Guard</w:t>
            </w: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Wildlife guard failed or caused an outage</w:t>
            </w:r>
          </w:p>
          <w:p w:rsidR="00055859" w:rsidRDefault="00055859"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lastRenderedPageBreak/>
              <w:t>EQUIPMENT UG</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 xml:space="preserve">URD Cable - </w:t>
            </w:r>
            <w:proofErr w:type="spellStart"/>
            <w:r>
              <w:rPr>
                <w:rFonts w:ascii="Arial" w:hAnsi="Arial"/>
                <w:snapToGrid w:val="0"/>
                <w:color w:val="000000"/>
                <w:sz w:val="16"/>
              </w:rPr>
              <w:t>Pri</w:t>
            </w:r>
            <w:proofErr w:type="spellEnd"/>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Outages caused by equipment failure. Specific equipment called out in sub category.</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URD Cable- Sec</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Connector - Sec</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Elbow</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Junctions</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Primary Splice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Termination</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Transformer - UG</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bottom w:val="single" w:sz="12"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12"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12" w:space="0" w:color="auto"/>
            </w:tcBorders>
            <w:vAlign w:val="center"/>
          </w:tcPr>
          <w:p w:rsidR="007A0031" w:rsidRDefault="007A0031" w:rsidP="00197603">
            <w:pPr>
              <w:rPr>
                <w:rFonts w:ascii="Arial" w:hAnsi="Arial" w:cs="Arial"/>
                <w:snapToGrid w:val="0"/>
                <w:color w:val="000000"/>
                <w:sz w:val="16"/>
              </w:rPr>
            </w:pPr>
            <w:r>
              <w:rPr>
                <w:rFonts w:ascii="Arial" w:hAnsi="Arial" w:cs="Arial"/>
                <w:snapToGrid w:val="0"/>
                <w:color w:val="000000"/>
                <w:sz w:val="16"/>
              </w:rPr>
              <w:t>Other</w:t>
            </w:r>
          </w:p>
          <w:p w:rsidR="007A0031" w:rsidRDefault="007A0031" w:rsidP="00197603">
            <w:pPr>
              <w:rPr>
                <w:rFonts w:ascii="Arial" w:hAnsi="Arial"/>
                <w:snapToGrid w:val="0"/>
                <w:color w:val="000000"/>
                <w:sz w:val="16"/>
              </w:rPr>
            </w:pPr>
          </w:p>
        </w:tc>
        <w:tc>
          <w:tcPr>
            <w:tcW w:w="1515" w:type="dxa"/>
            <w:tcBorders>
              <w:left w:val="nil"/>
              <w:bottom w:val="single" w:sz="12" w:space="0" w:color="auto"/>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bottom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top w:val="single" w:sz="12" w:space="0" w:color="auto"/>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EQUIPMENT SUB</w:t>
            </w:r>
          </w:p>
        </w:tc>
        <w:tc>
          <w:tcPr>
            <w:tcW w:w="1515" w:type="dxa"/>
            <w:tcBorders>
              <w:top w:val="single" w:sz="12"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top w:val="single" w:sz="12" w:space="0" w:color="auto"/>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High side fuse</w:t>
            </w:r>
          </w:p>
        </w:tc>
        <w:tc>
          <w:tcPr>
            <w:tcW w:w="1515" w:type="dxa"/>
            <w:tcBorders>
              <w:top w:val="single" w:sz="12" w:space="0" w:color="auto"/>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top w:val="single" w:sz="12" w:space="0" w:color="auto"/>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Bus Insulator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High side PCB</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 xml:space="preserve">High side </w:t>
            </w:r>
            <w:proofErr w:type="spellStart"/>
            <w:r>
              <w:rPr>
                <w:rFonts w:ascii="Arial" w:hAnsi="Arial" w:cs="Arial"/>
                <w:snapToGrid w:val="0"/>
                <w:color w:val="000000"/>
                <w:sz w:val="16"/>
              </w:rPr>
              <w:t>Swt</w:t>
            </w:r>
            <w:proofErr w:type="spellEnd"/>
            <w:r>
              <w:rPr>
                <w:rFonts w:ascii="Arial" w:hAnsi="Arial" w:cs="Arial"/>
                <w:snapToGrid w:val="0"/>
                <w:color w:val="000000"/>
                <w:sz w:val="16"/>
              </w:rPr>
              <w:t xml:space="preserve"> / Disc</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Low side OCB/Recloser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 xml:space="preserve">Low side </w:t>
            </w:r>
            <w:proofErr w:type="spellStart"/>
            <w:r>
              <w:rPr>
                <w:rFonts w:ascii="Arial" w:hAnsi="Arial" w:cs="Arial"/>
                <w:snapToGrid w:val="0"/>
                <w:color w:val="000000"/>
                <w:sz w:val="16"/>
              </w:rPr>
              <w:t>Swt</w:t>
            </w:r>
            <w:proofErr w:type="spellEnd"/>
            <w:r>
              <w:rPr>
                <w:rFonts w:ascii="Arial" w:hAnsi="Arial" w:cs="Arial"/>
                <w:snapToGrid w:val="0"/>
                <w:color w:val="000000"/>
                <w:sz w:val="16"/>
              </w:rPr>
              <w:t xml:space="preserve"> / Disc</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 xml:space="preserve">Relay </w:t>
            </w:r>
            <w:proofErr w:type="spellStart"/>
            <w:r>
              <w:rPr>
                <w:rFonts w:ascii="Arial" w:hAnsi="Arial" w:cs="Arial"/>
                <w:snapToGrid w:val="0"/>
                <w:color w:val="000000"/>
                <w:sz w:val="16"/>
              </w:rPr>
              <w:t>Misoperation</w:t>
            </w:r>
            <w:proofErr w:type="spellEnd"/>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Regulator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Transformer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Other</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top w:val="single" w:sz="6" w:space="0" w:color="auto"/>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MISCELLANEOUS</w:t>
            </w:r>
          </w:p>
        </w:tc>
        <w:tc>
          <w:tcPr>
            <w:tcW w:w="1515" w:type="dxa"/>
            <w:tcBorders>
              <w:top w:val="single" w:sz="6" w:space="0" w:color="auto"/>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top w:val="single" w:sz="6" w:space="0" w:color="auto"/>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SEE REMARKS</w:t>
            </w:r>
          </w:p>
        </w:tc>
        <w:tc>
          <w:tcPr>
            <w:tcW w:w="1515" w:type="dxa"/>
            <w:tcBorders>
              <w:top w:val="single" w:sz="6" w:space="0" w:color="auto"/>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top w:val="single" w:sz="6" w:space="0" w:color="auto"/>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For causes not specifically listed elsewhere</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NOT OUR PROBLEM</w:t>
            </w:r>
          </w:p>
          <w:p w:rsidR="007A0031" w:rsidRDefault="007A0031" w:rsidP="00197603">
            <w:pPr>
              <w:rPr>
                <w:rFonts w:ascii="Arial" w:hAnsi="Arial"/>
                <w:snapToGrid w:val="0"/>
                <w:color w:val="000000"/>
                <w:sz w:val="16"/>
              </w:rPr>
            </w:pPr>
            <w:r>
              <w:rPr>
                <w:rFonts w:ascii="Arial" w:hAnsi="Arial"/>
                <w:snapToGrid w:val="0"/>
                <w:color w:val="000000"/>
                <w:sz w:val="16"/>
              </w:rPr>
              <w:t>(</w:t>
            </w:r>
            <w:r>
              <w:rPr>
                <w:rFonts w:ascii="Arial" w:hAnsi="Arial"/>
                <w:i/>
                <w:iCs/>
                <w:snapToGrid w:val="0"/>
                <w:color w:val="000000"/>
                <w:sz w:val="16"/>
              </w:rPr>
              <w:t>Outages in this category are not included in reported statistics</w:t>
            </w:r>
            <w:r>
              <w:rPr>
                <w:rFonts w:ascii="Arial" w:hAnsi="Arial"/>
                <w:snapToGrid w:val="0"/>
                <w:color w:val="000000"/>
                <w:sz w:val="16"/>
              </w:rPr>
              <w:t>)</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Customer Equipment</w:t>
            </w:r>
          </w:p>
          <w:p w:rsidR="007A0031" w:rsidRDefault="007A0031" w:rsidP="00197603">
            <w:pPr>
              <w:rPr>
                <w:rFonts w:ascii="Arial" w:hAnsi="Arial"/>
                <w:snapToGrid w:val="0"/>
                <w:color w:val="000000"/>
                <w:sz w:val="16"/>
              </w:rPr>
            </w:pPr>
            <w:r>
              <w:rPr>
                <w:rFonts w:ascii="Arial" w:hAnsi="Arial"/>
                <w:snapToGrid w:val="0"/>
                <w:color w:val="000000"/>
                <w:sz w:val="16"/>
              </w:rPr>
              <w:t>SEE REMARKS</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Customer equipment causing an outage to their service. If a customer causes an outage to another customer this is covered under Public.</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Other Utility</w:t>
            </w: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Outages when another utility’s facilities cause an outage on our system.</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POLE FIRE</w:t>
            </w: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Used when water and contamination causes insulator leakage current and fire. If insulator is leaking due to material failure list under equipment failure. If cracked due to gunfire use customer caused other.</w:t>
            </w:r>
          </w:p>
        </w:tc>
      </w:tr>
      <w:tr w:rsidR="007A0031" w:rsidTr="007A0031">
        <w:trPr>
          <w:trHeight w:val="233"/>
        </w:trPr>
        <w:tc>
          <w:tcPr>
            <w:tcW w:w="1515" w:type="dxa"/>
            <w:tcBorders>
              <w:top w:val="single" w:sz="6" w:space="0" w:color="auto"/>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PLANNED</w:t>
            </w:r>
          </w:p>
        </w:tc>
        <w:tc>
          <w:tcPr>
            <w:tcW w:w="1515" w:type="dxa"/>
            <w:tcBorders>
              <w:top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top w:val="single" w:sz="6" w:space="0" w:color="auto"/>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Maintenance / Upgrade</w:t>
            </w:r>
          </w:p>
        </w:tc>
        <w:tc>
          <w:tcPr>
            <w:tcW w:w="1515" w:type="dxa"/>
            <w:tcBorders>
              <w:top w:val="single" w:sz="6" w:space="0" w:color="auto"/>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top w:val="single" w:sz="6" w:space="0" w:color="auto"/>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 normally prearranged, needed for normal construction work</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Forced</w:t>
            </w: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Outage scheduled to repair outage damage</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 xml:space="preserve">TREE </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Tree fell</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For outages when a tree falls into distribution primary/secondary or transmission during normal weather</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Tree growth</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Tree growth causes a tree to contact distribution primary/secondary or transmission during normal weather.</w:t>
            </w:r>
          </w:p>
        </w:tc>
      </w:tr>
      <w:tr w:rsidR="007A0031" w:rsidTr="007A0031">
        <w:trPr>
          <w:trHeight w:val="435"/>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Service</w:t>
            </w:r>
          </w:p>
        </w:tc>
        <w:tc>
          <w:tcPr>
            <w:tcW w:w="1515" w:type="dxa"/>
            <w:tcBorders>
              <w:left w:val="nil"/>
              <w:right w:val="single" w:sz="12" w:space="0" w:color="auto"/>
            </w:tcBorders>
            <w:vAlign w:val="center"/>
          </w:tcPr>
          <w:p w:rsidR="007A0031" w:rsidRDefault="007A0031" w:rsidP="00197603">
            <w:pPr>
              <w:rPr>
                <w:rFonts w:ascii="Arial" w:hAnsi="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 xml:space="preserve">For outages when a tree falls or grows into a service.  </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cs="Arial"/>
                <w:snapToGrid w:val="0"/>
                <w:color w:val="000000"/>
                <w:sz w:val="16"/>
              </w:rPr>
              <w:t>Weather</w:t>
            </w: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When snow and wind storms causes a tree or branch to fall into, or contact the line. Includes snow loading and unloading.</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UNDETERMINED</w:t>
            </w: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 xml:space="preserve">Use when the cause </w:t>
            </w:r>
            <w:r w:rsidR="008D00FB">
              <w:rPr>
                <w:rFonts w:ascii="Arial" w:hAnsi="Arial" w:cs="Arial"/>
                <w:snapToGrid w:val="0"/>
                <w:color w:val="000000"/>
                <w:sz w:val="16"/>
              </w:rPr>
              <w:t>cannot</w:t>
            </w:r>
            <w:r>
              <w:rPr>
                <w:rFonts w:ascii="Arial" w:hAnsi="Arial" w:cs="Arial"/>
                <w:snapToGrid w:val="0"/>
                <w:color w:val="000000"/>
                <w:sz w:val="16"/>
              </w:rPr>
              <w:t xml:space="preserve"> be determined</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WEATHER</w:t>
            </w: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Snow / Ice</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 xml:space="preserve">Outages caused by snow or ice loading or unloading </w:t>
            </w:r>
            <w:r>
              <w:rPr>
                <w:rFonts w:ascii="Arial" w:hAnsi="Arial" w:cs="Arial"/>
                <w:snapToGrid w:val="0"/>
                <w:sz w:val="16"/>
              </w:rPr>
              <w:t>on a structure or conductor. Use weather tree for snow and ice loading on a tree.</w:t>
            </w: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p>
        </w:tc>
      </w:tr>
      <w:tr w:rsidR="007A0031" w:rsidTr="007A0031">
        <w:trPr>
          <w:trHeight w:val="233"/>
        </w:trPr>
        <w:tc>
          <w:tcPr>
            <w:tcW w:w="1515" w:type="dxa"/>
            <w:tcBorders>
              <w:left w:val="single" w:sz="12" w:space="0" w:color="auto"/>
            </w:tcBorders>
            <w:vAlign w:val="center"/>
          </w:tcPr>
          <w:p w:rsidR="007A0031" w:rsidRDefault="007A0031" w:rsidP="00197603">
            <w:pPr>
              <w:rPr>
                <w:rFonts w:ascii="Arial" w:hAnsi="Arial"/>
                <w:snapToGrid w:val="0"/>
                <w:color w:val="000000"/>
                <w:sz w:val="16"/>
              </w:rPr>
            </w:pPr>
          </w:p>
        </w:tc>
        <w:tc>
          <w:tcPr>
            <w:tcW w:w="1515" w:type="dxa"/>
            <w:tcBorders>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Lightning</w:t>
            </w:r>
          </w:p>
        </w:tc>
        <w:tc>
          <w:tcPr>
            <w:tcW w:w="1515" w:type="dxa"/>
            <w:tcBorders>
              <w:left w:val="nil"/>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right w:val="single" w:sz="12" w:space="0" w:color="auto"/>
            </w:tcBorders>
          </w:tcPr>
          <w:p w:rsidR="007A0031" w:rsidRDefault="007A0031" w:rsidP="00197603">
            <w:pPr>
              <w:rPr>
                <w:rFonts w:ascii="Arial" w:hAnsi="Arial" w:cs="Arial"/>
                <w:snapToGrid w:val="0"/>
                <w:color w:val="000000"/>
                <w:sz w:val="16"/>
              </w:rPr>
            </w:pPr>
            <w:r>
              <w:rPr>
                <w:rFonts w:ascii="Arial" w:hAnsi="Arial" w:cs="Arial"/>
                <w:snapToGrid w:val="0"/>
                <w:color w:val="000000"/>
                <w:sz w:val="16"/>
              </w:rPr>
              <w:t xml:space="preserve">Lightning flashovers without equipment damage. Equipment failures reported under the equipment type. </w:t>
            </w:r>
          </w:p>
        </w:tc>
      </w:tr>
      <w:tr w:rsidR="007A0031" w:rsidTr="007A0031">
        <w:trPr>
          <w:trHeight w:val="233"/>
        </w:trPr>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p>
        </w:tc>
        <w:tc>
          <w:tcPr>
            <w:tcW w:w="1515" w:type="dxa"/>
            <w:tcBorders>
              <w:bottom w:val="single" w:sz="6" w:space="0" w:color="auto"/>
              <w:right w:val="single" w:sz="12" w:space="0" w:color="auto"/>
            </w:tcBorders>
            <w:vAlign w:val="center"/>
          </w:tcPr>
          <w:p w:rsidR="007A0031" w:rsidRDefault="007A0031" w:rsidP="00197603">
            <w:pPr>
              <w:rPr>
                <w:rFonts w:ascii="Arial" w:hAnsi="Arial"/>
                <w:snapToGrid w:val="0"/>
                <w:color w:val="000000"/>
                <w:sz w:val="16"/>
              </w:rPr>
            </w:pPr>
          </w:p>
        </w:tc>
        <w:tc>
          <w:tcPr>
            <w:tcW w:w="1515" w:type="dxa"/>
            <w:tcBorders>
              <w:left w:val="single" w:sz="12" w:space="0" w:color="auto"/>
              <w:bottom w:val="single" w:sz="6" w:space="0" w:color="auto"/>
            </w:tcBorders>
            <w:vAlign w:val="center"/>
          </w:tcPr>
          <w:p w:rsidR="007A0031" w:rsidRDefault="007A0031" w:rsidP="00197603">
            <w:pPr>
              <w:rPr>
                <w:rFonts w:ascii="Arial" w:hAnsi="Arial"/>
                <w:snapToGrid w:val="0"/>
                <w:color w:val="000000"/>
                <w:sz w:val="16"/>
              </w:rPr>
            </w:pPr>
            <w:r>
              <w:rPr>
                <w:rFonts w:ascii="Arial" w:hAnsi="Arial"/>
                <w:snapToGrid w:val="0"/>
                <w:color w:val="000000"/>
                <w:sz w:val="16"/>
              </w:rPr>
              <w:t>Wind</w:t>
            </w:r>
          </w:p>
        </w:tc>
        <w:tc>
          <w:tcPr>
            <w:tcW w:w="1515" w:type="dxa"/>
            <w:tcBorders>
              <w:left w:val="nil"/>
              <w:bottom w:val="single" w:sz="6" w:space="0" w:color="auto"/>
              <w:right w:val="single" w:sz="12" w:space="0" w:color="auto"/>
            </w:tcBorders>
            <w:vAlign w:val="center"/>
          </w:tcPr>
          <w:p w:rsidR="007A0031" w:rsidRDefault="007A0031" w:rsidP="00197603">
            <w:pPr>
              <w:rPr>
                <w:rFonts w:ascii="Arial" w:hAnsi="Arial" w:cs="Arial"/>
                <w:snapToGrid w:val="0"/>
                <w:color w:val="000000"/>
                <w:sz w:val="16"/>
              </w:rPr>
            </w:pPr>
          </w:p>
        </w:tc>
        <w:tc>
          <w:tcPr>
            <w:tcW w:w="3504" w:type="dxa"/>
            <w:tcBorders>
              <w:left w:val="single" w:sz="12" w:space="0" w:color="auto"/>
              <w:bottom w:val="single" w:sz="6" w:space="0" w:color="auto"/>
              <w:right w:val="single" w:sz="12" w:space="0" w:color="auto"/>
            </w:tcBorders>
          </w:tcPr>
          <w:p w:rsidR="007A0031" w:rsidRDefault="007A0031" w:rsidP="008D00FB">
            <w:pPr>
              <w:rPr>
                <w:rFonts w:ascii="Arial" w:hAnsi="Arial" w:cs="Arial"/>
                <w:snapToGrid w:val="0"/>
                <w:color w:val="000000"/>
                <w:sz w:val="16"/>
              </w:rPr>
            </w:pPr>
            <w:r>
              <w:rPr>
                <w:rFonts w:ascii="Arial" w:hAnsi="Arial" w:cs="Arial"/>
                <w:snapToGrid w:val="0"/>
                <w:color w:val="000000"/>
                <w:sz w:val="16"/>
              </w:rPr>
              <w:t>Outages when wind causes conductors to blow into each other, anothe</w:t>
            </w:r>
            <w:r w:rsidR="008D00FB">
              <w:rPr>
                <w:rFonts w:ascii="Arial" w:hAnsi="Arial" w:cs="Arial"/>
                <w:snapToGrid w:val="0"/>
                <w:color w:val="000000"/>
                <w:sz w:val="16"/>
              </w:rPr>
              <w:t>r structure, building etc.</w:t>
            </w:r>
          </w:p>
        </w:tc>
      </w:tr>
    </w:tbl>
    <w:p w:rsidR="000B3384" w:rsidRDefault="000B3384">
      <w:pPr>
        <w:rPr>
          <w:color w:val="000000"/>
        </w:rPr>
      </w:pPr>
    </w:p>
    <w:p w:rsidR="005A3BBA" w:rsidRDefault="005A3BBA">
      <w:pPr>
        <w:rPr>
          <w:color w:val="000000"/>
        </w:rPr>
      </w:pPr>
    </w:p>
    <w:p w:rsidR="000B3384" w:rsidRDefault="00ED44DB">
      <w:pPr>
        <w:rPr>
          <w:color w:val="000000"/>
        </w:rPr>
      </w:pPr>
      <w:r>
        <w:rPr>
          <w:color w:val="000000"/>
        </w:rPr>
        <w:lastRenderedPageBreak/>
        <w:t xml:space="preserve">With the definition of Major Event Days using the IEEE 1366 standard an analysis of </w:t>
      </w:r>
      <w:r w:rsidR="000B3384">
        <w:rPr>
          <w:color w:val="000000"/>
        </w:rPr>
        <w:t>major events will be included in the Company’s index calculations.  All events are included because the Company’s goal is to reduce outages whether caused by major ev</w:t>
      </w:r>
      <w:r>
        <w:rPr>
          <w:color w:val="000000"/>
        </w:rPr>
        <w:t>ents or day-to-day operations.</w:t>
      </w:r>
    </w:p>
    <w:p w:rsidR="000B3384" w:rsidRDefault="000B3384">
      <w:pPr>
        <w:rPr>
          <w:color w:val="000000"/>
        </w:rPr>
      </w:pPr>
    </w:p>
    <w:p w:rsidR="000B3384" w:rsidRDefault="000B3384">
      <w:r>
        <w:t xml:space="preserve">The Company notes that these rules establish reliability monitoring and reporting requirements only and do not set performance or program standards.  Avista Utilities </w:t>
      </w:r>
      <w:r w:rsidR="00ED44DB">
        <w:t xml:space="preserve">did </w:t>
      </w:r>
      <w:r w:rsidR="002E61C0">
        <w:t xml:space="preserve">begin reporting against performance targets to address the need for </w:t>
      </w:r>
      <w:r>
        <w:t xml:space="preserve">baseline statistics within three years of the effective date of </w:t>
      </w:r>
      <w:r w:rsidR="002E61C0">
        <w:t xml:space="preserve">the </w:t>
      </w:r>
      <w:r>
        <w:t xml:space="preserve">rule or April 21, 2004. </w:t>
      </w:r>
      <w:r w:rsidR="00ED44DB">
        <w:t xml:space="preserve">The </w:t>
      </w:r>
      <w:r w:rsidR="002E61C0">
        <w:t>performance target</w:t>
      </w:r>
      <w:r w:rsidR="00ED44DB">
        <w:t xml:space="preserve"> is based upon a statistical “bell curve” relationship between outages, weather, and other influenc</w:t>
      </w:r>
      <w:r w:rsidR="0057162E">
        <w:t xml:space="preserve">es. The baseline was modified as more reliability data was collected and also with better data reporting through the technology improvements made to the OMT system. </w:t>
      </w:r>
      <w:r w:rsidR="002E61C0">
        <w:t>This plan establishes 200</w:t>
      </w:r>
      <w:r w:rsidR="00223D7D">
        <w:t>5</w:t>
      </w:r>
      <w:r w:rsidR="002E61C0">
        <w:t xml:space="preserve"> as the baseline year for reliability statistics.</w:t>
      </w:r>
    </w:p>
    <w:p w:rsidR="00327A2E" w:rsidRDefault="00327A2E">
      <w:r>
        <w:br w:type="page"/>
      </w:r>
    </w:p>
    <w:p w:rsidR="000B3384" w:rsidRDefault="000B3384">
      <w:pPr>
        <w:numPr>
          <w:ilvl w:val="0"/>
          <w:numId w:val="5"/>
        </w:numPr>
        <w:rPr>
          <w:rFonts w:ascii="Arial" w:hAnsi="Arial"/>
          <w:b/>
          <w:u w:val="single"/>
        </w:rPr>
      </w:pPr>
      <w:r>
        <w:rPr>
          <w:rFonts w:ascii="Arial" w:hAnsi="Arial"/>
          <w:b/>
          <w:u w:val="single"/>
        </w:rPr>
        <w:lastRenderedPageBreak/>
        <w:t>Intent to file Electric Service Reliability Reports</w:t>
      </w:r>
    </w:p>
    <w:p w:rsidR="000B3384" w:rsidRDefault="000B3384"/>
    <w:p w:rsidR="000B3384" w:rsidRDefault="000B3384">
      <w:r>
        <w:t xml:space="preserve">Avista Utilities will file an annual report with the Commission, encompassing the previous calendar year of events, by </w:t>
      </w:r>
      <w:r w:rsidR="00397D61">
        <w:t>April 30th</w:t>
      </w:r>
      <w:r>
        <w:t xml:space="preserve"> of each year, consistent with the reliability monitoring and reporting plan filed herein.  </w:t>
      </w:r>
      <w:r w:rsidR="00397D61">
        <w:t>Using the baseline statistics,</w:t>
      </w:r>
      <w:r>
        <w:t xml:space="preserve"> Avista Utilities will compa</w:t>
      </w:r>
      <w:r w:rsidR="006415FD">
        <w:t>r</w:t>
      </w:r>
      <w:r w:rsidR="00397D61">
        <w:t>e</w:t>
      </w:r>
      <w:r>
        <w:t xml:space="preserve"> each year’s results to the baseline results and to those results from previous years as well.  Avista will maintain historical reliability information for seven years.</w:t>
      </w:r>
    </w:p>
    <w:p w:rsidR="000B3384" w:rsidRDefault="000B3384"/>
    <w:p w:rsidR="000B3384" w:rsidRDefault="000B3384">
      <w:r>
        <w:t>Any changes made to the Company’s plan regarding data collection methods or calculations of the reliability indices will be described in that year’s report.  In addition, Avista Utilities will explain how these changes affect comparisons to previous, future and baseline information.</w:t>
      </w:r>
    </w:p>
    <w:p w:rsidR="000B3384" w:rsidRDefault="000B3384"/>
    <w:p w:rsidR="000B3384" w:rsidRDefault="000B3384">
      <w:pPr>
        <w:rPr>
          <w:color w:val="FF0000"/>
        </w:rPr>
      </w:pPr>
      <w:r>
        <w:t xml:space="preserve">Avista Utilities will identify the utility’s geographical divisions of greatest reliability concern, explain their causes, and explain how the Company plans to address them.  </w:t>
      </w:r>
    </w:p>
    <w:p w:rsidR="000B3384" w:rsidRDefault="000B3384">
      <w:pPr>
        <w:pStyle w:val="BodyText"/>
        <w:rPr>
          <w:color w:val="FF0000"/>
        </w:rPr>
      </w:pPr>
    </w:p>
    <w:p w:rsidR="000B3384" w:rsidRDefault="000B3384">
      <w:pPr>
        <w:pStyle w:val="BodyText"/>
      </w:pPr>
      <w:r w:rsidRPr="006415FD">
        <w:t xml:space="preserve">Customer Complaints, as defined in Section 2.0, will be logged by a Customer Service Representative in the Customer Service System (CSS).  The Company </w:t>
      </w:r>
      <w:r w:rsidR="006415FD" w:rsidRPr="006415FD">
        <w:t xml:space="preserve">originally expected to be able to </w:t>
      </w:r>
      <w:r w:rsidRPr="006415FD">
        <w:t>determine if the</w:t>
      </w:r>
      <w:r w:rsidR="006415FD" w:rsidRPr="006415FD">
        <w:t xml:space="preserve"> complaint is</w:t>
      </w:r>
      <w:r w:rsidRPr="006415FD">
        <w:t xml:space="preserve"> a result of a sustained interruption, a momentary interruption or a power quality issue.  The Company </w:t>
      </w:r>
      <w:r w:rsidR="006415FD" w:rsidRPr="006415FD">
        <w:t>also expected to be able to</w:t>
      </w:r>
      <w:r w:rsidRPr="006415FD">
        <w:t xml:space="preserve"> identify </w:t>
      </w:r>
      <w:r w:rsidR="006415FD" w:rsidRPr="006415FD">
        <w:t xml:space="preserve">complaints </w:t>
      </w:r>
      <w:r w:rsidRPr="006415FD">
        <w:t xml:space="preserve">that stem from major events. </w:t>
      </w:r>
      <w:r w:rsidR="006415FD" w:rsidRPr="006415FD">
        <w:t>However</w:t>
      </w:r>
      <w:r w:rsidR="006415FD">
        <w:t>, after two or three years of evaluating and resolving Customer Complaints it appears that the best that can be completed is to resolve the complaint as needed. Documentation of the cause of the events has proven to be problematic.</w:t>
      </w:r>
      <w:r>
        <w:t xml:space="preserve"> </w:t>
      </w:r>
    </w:p>
    <w:p w:rsidR="000B3384" w:rsidRDefault="000B3384">
      <w:pPr>
        <w:pStyle w:val="Header"/>
        <w:tabs>
          <w:tab w:val="clear" w:pos="4320"/>
          <w:tab w:val="clear" w:pos="8640"/>
        </w:tabs>
      </w:pPr>
    </w:p>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0B3384" w:rsidRDefault="000B3384"/>
    <w:p w:rsidR="00327A2E" w:rsidRDefault="00327A2E">
      <w:r>
        <w:br w:type="page"/>
      </w:r>
    </w:p>
    <w:p w:rsidR="000B3384" w:rsidRDefault="000B3384">
      <w:pPr>
        <w:numPr>
          <w:ilvl w:val="0"/>
          <w:numId w:val="5"/>
        </w:numPr>
        <w:rPr>
          <w:rFonts w:ascii="Arial" w:hAnsi="Arial"/>
          <w:b/>
          <w:u w:val="single"/>
        </w:rPr>
      </w:pPr>
      <w:r>
        <w:rPr>
          <w:rFonts w:ascii="Arial" w:hAnsi="Arial"/>
          <w:b/>
          <w:u w:val="single"/>
        </w:rPr>
        <w:lastRenderedPageBreak/>
        <w:t>Sample Reporting—System Indices</w:t>
      </w:r>
    </w:p>
    <w:p w:rsidR="000B3384" w:rsidRDefault="000B3384">
      <w:pPr>
        <w:rPr>
          <w:rFonts w:ascii="Arial" w:hAnsi="Arial"/>
        </w:rPr>
      </w:pPr>
    </w:p>
    <w:p w:rsidR="000B3384" w:rsidRDefault="000B3384">
      <w:pPr>
        <w:rPr>
          <w:rFonts w:ascii="Arial" w:hAnsi="Arial"/>
        </w:rPr>
      </w:pPr>
    </w:p>
    <w:p w:rsidR="000B3384" w:rsidRDefault="000B3384">
      <w:pPr>
        <w:numPr>
          <w:ilvl w:val="1"/>
          <w:numId w:val="5"/>
        </w:numPr>
        <w:tabs>
          <w:tab w:val="clear" w:pos="1440"/>
          <w:tab w:val="num" w:pos="720"/>
        </w:tabs>
        <w:ind w:hanging="1440"/>
        <w:rPr>
          <w:rFonts w:ascii="Arial" w:hAnsi="Arial"/>
        </w:rPr>
      </w:pPr>
      <w:r>
        <w:rPr>
          <w:rFonts w:ascii="Arial" w:hAnsi="Arial"/>
        </w:rPr>
        <w:t>System Total</w:t>
      </w:r>
    </w:p>
    <w:p w:rsidR="000B3384" w:rsidRDefault="000B3384">
      <w:pPr>
        <w:rPr>
          <w:rFonts w:ascii="Arial" w:hAnsi="Arial"/>
        </w:rPr>
      </w:pPr>
    </w:p>
    <w:p w:rsidR="000B3384" w:rsidRDefault="000B3384"/>
    <w:p w:rsidR="000B3384" w:rsidRDefault="000B3384">
      <w:r>
        <w:t xml:space="preserve">The following </w:t>
      </w:r>
      <w:r w:rsidR="00327A2E">
        <w:t xml:space="preserve">2008 charts provide a </w:t>
      </w:r>
      <w:r>
        <w:t>sample show</w:t>
      </w:r>
      <w:r w:rsidR="00327A2E">
        <w:t>ing</w:t>
      </w:r>
      <w:r>
        <w:t xml:space="preserve"> the Company’s method of charting the four indices on a </w:t>
      </w:r>
      <w:r w:rsidR="00327A2E">
        <w:t>yearly</w:t>
      </w:r>
      <w:r>
        <w:t xml:space="preserve"> basis.  </w:t>
      </w:r>
      <w:r w:rsidR="00327A2E">
        <w:t>T</w:t>
      </w:r>
      <w:r>
        <w:t xml:space="preserve">he Company </w:t>
      </w:r>
      <w:r w:rsidR="00327A2E">
        <w:t xml:space="preserve">comparison to the </w:t>
      </w:r>
      <w:r>
        <w:rPr>
          <w:color w:val="000000"/>
        </w:rPr>
        <w:t>baseline statistic for each index</w:t>
      </w:r>
      <w:r w:rsidR="00327A2E">
        <w:rPr>
          <w:color w:val="000000"/>
        </w:rPr>
        <w:t xml:space="preserve"> is shown on each of</w:t>
      </w:r>
      <w:r>
        <w:t xml:space="preserve"> these charts.</w:t>
      </w:r>
      <w:r w:rsidR="00327A2E">
        <w:t xml:space="preserve"> The second chart provides a current year to the previous time period average indice to show variance from year to year.</w:t>
      </w:r>
    </w:p>
    <w:p w:rsidR="000B3384" w:rsidRDefault="000B3384"/>
    <w:p w:rsidR="000B3384" w:rsidRDefault="000B3384">
      <w:pPr>
        <w:numPr>
          <w:ilvl w:val="1"/>
          <w:numId w:val="5"/>
        </w:numPr>
        <w:tabs>
          <w:tab w:val="clear" w:pos="1440"/>
          <w:tab w:val="num" w:pos="720"/>
        </w:tabs>
        <w:ind w:hanging="1440"/>
        <w:rPr>
          <w:rFonts w:ascii="Arial" w:hAnsi="Arial"/>
        </w:rPr>
      </w:pPr>
      <w:r>
        <w:rPr>
          <w:rFonts w:ascii="Arial" w:hAnsi="Arial"/>
        </w:rPr>
        <w:t>SAIFI</w:t>
      </w:r>
    </w:p>
    <w:p w:rsidR="000B3384" w:rsidRDefault="00327A2E">
      <w:r w:rsidRPr="00327A2E">
        <w:rPr>
          <w:noProof/>
        </w:rPr>
        <w:drawing>
          <wp:inline distT="0" distB="0" distL="0" distR="0">
            <wp:extent cx="4513277" cy="2962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4523803" cy="2969184"/>
                    </a:xfrm>
                    <a:prstGeom prst="rect">
                      <a:avLst/>
                    </a:prstGeom>
                    <a:noFill/>
                    <a:ln w="9525">
                      <a:noFill/>
                      <a:miter lim="800000"/>
                      <a:headEnd/>
                      <a:tailEnd/>
                    </a:ln>
                  </pic:spPr>
                </pic:pic>
              </a:graphicData>
            </a:graphic>
          </wp:inline>
        </w:drawing>
      </w:r>
    </w:p>
    <w:p w:rsidR="00327A2E" w:rsidRDefault="00327A2E"/>
    <w:p w:rsidR="000B3384" w:rsidRDefault="00327A2E">
      <w:r w:rsidRPr="00327A2E">
        <w:rPr>
          <w:noProof/>
        </w:rPr>
        <w:drawing>
          <wp:inline distT="0" distB="0" distL="0" distR="0">
            <wp:extent cx="4465693" cy="2809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475185" cy="2815848"/>
                    </a:xfrm>
                    <a:prstGeom prst="rect">
                      <a:avLst/>
                    </a:prstGeom>
                    <a:noFill/>
                    <a:ln w="9525">
                      <a:noFill/>
                      <a:miter lim="800000"/>
                      <a:headEnd/>
                      <a:tailEnd/>
                    </a:ln>
                  </pic:spPr>
                </pic:pic>
              </a:graphicData>
            </a:graphic>
          </wp:inline>
        </w:drawing>
      </w:r>
    </w:p>
    <w:p w:rsidR="000B3384" w:rsidRDefault="000B3384"/>
    <w:p w:rsidR="000B3384" w:rsidRDefault="000B3384">
      <w:pPr>
        <w:numPr>
          <w:ilvl w:val="1"/>
          <w:numId w:val="5"/>
        </w:numPr>
        <w:tabs>
          <w:tab w:val="clear" w:pos="1440"/>
          <w:tab w:val="num" w:pos="720"/>
        </w:tabs>
        <w:ind w:hanging="1440"/>
        <w:rPr>
          <w:rFonts w:ascii="Arial" w:hAnsi="Arial"/>
        </w:rPr>
      </w:pPr>
      <w:r>
        <w:rPr>
          <w:rFonts w:ascii="Arial" w:hAnsi="Arial"/>
        </w:rPr>
        <w:lastRenderedPageBreak/>
        <w:t>SAIDI</w:t>
      </w:r>
    </w:p>
    <w:p w:rsidR="000B3384" w:rsidRDefault="004F1DFB">
      <w:pPr>
        <w:rPr>
          <w:rFonts w:ascii="Arial" w:hAnsi="Arial"/>
        </w:rPr>
      </w:pPr>
      <w:r w:rsidRPr="004F1DFB">
        <w:rPr>
          <w:noProof/>
        </w:rPr>
        <w:drawing>
          <wp:inline distT="0" distB="0" distL="0" distR="0">
            <wp:extent cx="5095875" cy="3107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095875" cy="3107437"/>
                    </a:xfrm>
                    <a:prstGeom prst="rect">
                      <a:avLst/>
                    </a:prstGeom>
                    <a:noFill/>
                    <a:ln w="9525">
                      <a:noFill/>
                      <a:miter lim="800000"/>
                      <a:headEnd/>
                      <a:tailEnd/>
                    </a:ln>
                  </pic:spPr>
                </pic:pic>
              </a:graphicData>
            </a:graphic>
          </wp:inline>
        </w:drawing>
      </w:r>
    </w:p>
    <w:p w:rsidR="000B3384" w:rsidRDefault="000B3384"/>
    <w:p w:rsidR="000B3384" w:rsidRDefault="000B3384">
      <w:pPr>
        <w:pStyle w:val="Header"/>
        <w:tabs>
          <w:tab w:val="clear" w:pos="4320"/>
          <w:tab w:val="clear" w:pos="8640"/>
        </w:tabs>
        <w:rPr>
          <w:rFonts w:ascii="Arial" w:hAnsi="Arial"/>
        </w:rPr>
      </w:pPr>
      <w:r>
        <w:rPr>
          <w:rFonts w:ascii="Arial" w:hAnsi="Arial"/>
        </w:rPr>
        <w:t>5.4</w:t>
      </w:r>
      <w:r>
        <w:rPr>
          <w:rFonts w:ascii="Arial" w:hAnsi="Arial"/>
        </w:rPr>
        <w:tab/>
        <w:t>CAIDI</w:t>
      </w:r>
    </w:p>
    <w:p w:rsidR="000B3384" w:rsidRDefault="000B3384"/>
    <w:p w:rsidR="000B3384" w:rsidRDefault="00E94EDA">
      <w:r>
        <w:rPr>
          <w:noProof/>
        </w:rPr>
        <w:drawing>
          <wp:anchor distT="0" distB="0" distL="114300" distR="114300" simplePos="0" relativeHeight="251657728" behindDoc="0" locked="0" layoutInCell="0" allowOverlap="1">
            <wp:simplePos x="0" y="0"/>
            <wp:positionH relativeFrom="column">
              <wp:posOffset>47625</wp:posOffset>
            </wp:positionH>
            <wp:positionV relativeFrom="paragraph">
              <wp:posOffset>200660</wp:posOffset>
            </wp:positionV>
            <wp:extent cx="4869815" cy="3133725"/>
            <wp:effectExtent l="19050" t="0" r="26035" b="0"/>
            <wp:wrapTopAndBottom/>
            <wp:docPr id="34" name="Objec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B3384" w:rsidRDefault="000B3384">
      <w:pPr>
        <w:rPr>
          <w:rFonts w:ascii="Arial" w:hAnsi="Arial"/>
        </w:rPr>
      </w:pPr>
    </w:p>
    <w:p w:rsidR="000B3384" w:rsidRDefault="000B3384">
      <w:pPr>
        <w:rPr>
          <w:rFonts w:ascii="Arial" w:hAnsi="Arial"/>
        </w:rPr>
      </w:pPr>
    </w:p>
    <w:p w:rsidR="004F1DFB" w:rsidRDefault="004F1DFB">
      <w:pPr>
        <w:rPr>
          <w:rFonts w:ascii="Arial" w:hAnsi="Arial"/>
        </w:rPr>
      </w:pPr>
    </w:p>
    <w:p w:rsidR="004F1DFB" w:rsidRDefault="004F1DFB">
      <w:pPr>
        <w:rPr>
          <w:rFonts w:ascii="Arial" w:hAnsi="Arial"/>
        </w:rPr>
      </w:pPr>
    </w:p>
    <w:p w:rsidR="004F1DFB" w:rsidRDefault="004F1DFB">
      <w:pPr>
        <w:rPr>
          <w:rFonts w:ascii="Arial" w:hAnsi="Arial"/>
        </w:rPr>
      </w:pPr>
    </w:p>
    <w:p w:rsidR="004F1DFB" w:rsidRDefault="004F1DFB">
      <w:pPr>
        <w:rPr>
          <w:rFonts w:ascii="Arial" w:hAnsi="Arial"/>
        </w:rPr>
      </w:pPr>
    </w:p>
    <w:p w:rsidR="000B3384" w:rsidRDefault="000B3384">
      <w:pPr>
        <w:rPr>
          <w:rFonts w:ascii="Arial" w:hAnsi="Arial"/>
        </w:rPr>
      </w:pPr>
      <w:r>
        <w:rPr>
          <w:rFonts w:ascii="Arial" w:hAnsi="Arial"/>
        </w:rPr>
        <w:lastRenderedPageBreak/>
        <w:t>5.5</w:t>
      </w:r>
      <w:r>
        <w:rPr>
          <w:rFonts w:ascii="Arial" w:hAnsi="Arial"/>
        </w:rPr>
        <w:tab/>
        <w:t>MAIFI</w:t>
      </w:r>
    </w:p>
    <w:p w:rsidR="000B3384" w:rsidRDefault="00E94EDA">
      <w:pPr>
        <w:pStyle w:val="Header"/>
        <w:tabs>
          <w:tab w:val="clear" w:pos="4320"/>
          <w:tab w:val="clear" w:pos="8640"/>
        </w:tabs>
      </w:pPr>
      <w:r>
        <w:rPr>
          <w:noProof/>
        </w:rPr>
        <w:drawing>
          <wp:anchor distT="0" distB="0" distL="114300" distR="114300" simplePos="0" relativeHeight="251658752" behindDoc="0" locked="0" layoutInCell="0" allowOverlap="1">
            <wp:simplePos x="0" y="0"/>
            <wp:positionH relativeFrom="column">
              <wp:posOffset>45720</wp:posOffset>
            </wp:positionH>
            <wp:positionV relativeFrom="paragraph">
              <wp:posOffset>232410</wp:posOffset>
            </wp:positionV>
            <wp:extent cx="4514850" cy="2981325"/>
            <wp:effectExtent l="19050" t="0" r="19050" b="0"/>
            <wp:wrapTopAndBottom/>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B3384" w:rsidRDefault="009E4B26">
      <w:r w:rsidRPr="009E4B26">
        <w:rPr>
          <w:noProof/>
        </w:rPr>
        <w:drawing>
          <wp:inline distT="0" distB="0" distL="0" distR="0">
            <wp:extent cx="4595578" cy="295275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4599913" cy="2955535"/>
                    </a:xfrm>
                    <a:prstGeom prst="rect">
                      <a:avLst/>
                    </a:prstGeom>
                    <a:noFill/>
                    <a:ln w="9525">
                      <a:noFill/>
                      <a:miter lim="800000"/>
                      <a:headEnd/>
                      <a:tailEnd/>
                    </a:ln>
                  </pic:spPr>
                </pic:pic>
              </a:graphicData>
            </a:graphic>
          </wp:inline>
        </w:drawing>
      </w:r>
    </w:p>
    <w:p w:rsidR="000B3384" w:rsidRDefault="000B3384"/>
    <w:p w:rsidR="009E4B26" w:rsidRDefault="000B3384">
      <w:r>
        <w:t xml:space="preserve">All charts and tables in this section are provided for illustrative purposes; the Company may change the future presentation of this information without changing the underlying data. </w:t>
      </w:r>
    </w:p>
    <w:p w:rsidR="009E4B26" w:rsidRDefault="009E4B26">
      <w:r>
        <w:br w:type="page"/>
      </w:r>
    </w:p>
    <w:p w:rsidR="007D75F6" w:rsidRDefault="007D75F6" w:rsidP="007D75F6">
      <w:pPr>
        <w:pStyle w:val="BodyText2"/>
        <w:rPr>
          <w:color w:val="000000"/>
        </w:rPr>
      </w:pPr>
      <w:r>
        <w:rPr>
          <w:color w:val="000000"/>
        </w:rPr>
        <w:lastRenderedPageBreak/>
        <w:t xml:space="preserve">Office Indice 2008 sample charts are shown below.  </w:t>
      </w:r>
    </w:p>
    <w:p w:rsidR="007D75F6" w:rsidRDefault="007D75F6" w:rsidP="007D75F6">
      <w:pPr>
        <w:rPr>
          <w:rFonts w:ascii="Arial" w:hAnsi="Arial"/>
        </w:rPr>
      </w:pPr>
    </w:p>
    <w:p w:rsidR="007D75F6" w:rsidRDefault="007D75F6" w:rsidP="007D75F6">
      <w:pPr>
        <w:rPr>
          <w:rFonts w:ascii="Arial" w:hAnsi="Arial"/>
        </w:rPr>
      </w:pPr>
      <w:r>
        <w:rPr>
          <w:rFonts w:ascii="Arial" w:hAnsi="Arial"/>
        </w:rPr>
        <w:t>5.6</w:t>
      </w:r>
      <w:r>
        <w:rPr>
          <w:rFonts w:ascii="Arial" w:hAnsi="Arial"/>
        </w:rPr>
        <w:tab/>
        <w:t>SAIFI</w:t>
      </w:r>
    </w:p>
    <w:p w:rsidR="000B3384" w:rsidRDefault="000B3384"/>
    <w:p w:rsidR="000B3384" w:rsidRDefault="007D75F6">
      <w:r w:rsidRPr="007D75F6">
        <w:rPr>
          <w:noProof/>
        </w:rPr>
        <w:drawing>
          <wp:inline distT="0" distB="0" distL="0" distR="0">
            <wp:extent cx="4749645" cy="3171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4752058" cy="3173436"/>
                    </a:xfrm>
                    <a:prstGeom prst="rect">
                      <a:avLst/>
                    </a:prstGeom>
                    <a:noFill/>
                    <a:ln w="9525">
                      <a:noFill/>
                      <a:miter lim="800000"/>
                      <a:headEnd/>
                      <a:tailEnd/>
                    </a:ln>
                  </pic:spPr>
                </pic:pic>
              </a:graphicData>
            </a:graphic>
          </wp:inline>
        </w:drawing>
      </w:r>
    </w:p>
    <w:p w:rsidR="000B3384" w:rsidRDefault="007D75F6">
      <w:pPr>
        <w:rPr>
          <w:rFonts w:ascii="Arial" w:hAnsi="Arial"/>
        </w:rPr>
      </w:pPr>
      <w:r>
        <w:rPr>
          <w:rFonts w:ascii="Arial" w:hAnsi="Arial"/>
        </w:rPr>
        <w:t>5.7</w:t>
      </w:r>
      <w:r w:rsidR="000B3384">
        <w:rPr>
          <w:rFonts w:ascii="Arial" w:hAnsi="Arial"/>
        </w:rPr>
        <w:tab/>
      </w:r>
      <w:r>
        <w:rPr>
          <w:rFonts w:ascii="Arial" w:hAnsi="Arial"/>
        </w:rPr>
        <w:t>M</w:t>
      </w:r>
      <w:r w:rsidR="000B3384">
        <w:rPr>
          <w:rFonts w:ascii="Arial" w:hAnsi="Arial"/>
        </w:rPr>
        <w:t>AIFI</w:t>
      </w:r>
    </w:p>
    <w:p w:rsidR="000B3384" w:rsidRDefault="000B3384">
      <w:pPr>
        <w:pStyle w:val="Header"/>
        <w:tabs>
          <w:tab w:val="clear" w:pos="4320"/>
          <w:tab w:val="clear" w:pos="8640"/>
        </w:tabs>
        <w:rPr>
          <w:rFonts w:ascii="Arial" w:hAnsi="Arial"/>
        </w:rPr>
      </w:pPr>
    </w:p>
    <w:p w:rsidR="000B3384" w:rsidRDefault="000B3384">
      <w:pPr>
        <w:pStyle w:val="Header"/>
        <w:tabs>
          <w:tab w:val="clear" w:pos="4320"/>
          <w:tab w:val="clear" w:pos="8640"/>
        </w:tabs>
        <w:rPr>
          <w:rFonts w:ascii="Arial" w:hAnsi="Arial"/>
        </w:rPr>
      </w:pPr>
      <w:r>
        <w:rPr>
          <w:rFonts w:ascii="Arial" w:hAnsi="Arial"/>
        </w:rPr>
        <w:t xml:space="preserve"> </w:t>
      </w:r>
      <w:r w:rsidR="007D75F6" w:rsidRPr="007D75F6">
        <w:rPr>
          <w:noProof/>
        </w:rPr>
        <w:drawing>
          <wp:inline distT="0" distB="0" distL="0" distR="0">
            <wp:extent cx="4876800" cy="3024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4876800" cy="3024635"/>
                    </a:xfrm>
                    <a:prstGeom prst="rect">
                      <a:avLst/>
                    </a:prstGeom>
                    <a:noFill/>
                    <a:ln w="9525">
                      <a:noFill/>
                      <a:miter lim="800000"/>
                      <a:headEnd/>
                      <a:tailEnd/>
                    </a:ln>
                  </pic:spPr>
                </pic:pic>
              </a:graphicData>
            </a:graphic>
          </wp:inline>
        </w:drawing>
      </w:r>
    </w:p>
    <w:p w:rsidR="000B3384" w:rsidRDefault="000B3384">
      <w:pPr>
        <w:pStyle w:val="Header"/>
        <w:tabs>
          <w:tab w:val="clear" w:pos="4320"/>
          <w:tab w:val="clear" w:pos="8640"/>
        </w:tabs>
        <w:rPr>
          <w:rFonts w:ascii="Arial" w:hAnsi="Arial"/>
        </w:rPr>
      </w:pPr>
    </w:p>
    <w:p w:rsidR="007D75F6" w:rsidRDefault="007D75F6">
      <w:pPr>
        <w:pStyle w:val="Header"/>
        <w:tabs>
          <w:tab w:val="clear" w:pos="4320"/>
          <w:tab w:val="clear" w:pos="8640"/>
        </w:tabs>
        <w:outlineLvl w:val="0"/>
        <w:rPr>
          <w:rFonts w:ascii="Arial" w:hAnsi="Arial"/>
        </w:rPr>
      </w:pPr>
    </w:p>
    <w:p w:rsidR="007D75F6" w:rsidRDefault="007D75F6">
      <w:pPr>
        <w:pStyle w:val="Header"/>
        <w:tabs>
          <w:tab w:val="clear" w:pos="4320"/>
          <w:tab w:val="clear" w:pos="8640"/>
        </w:tabs>
        <w:outlineLvl w:val="0"/>
        <w:rPr>
          <w:rFonts w:ascii="Arial" w:hAnsi="Arial"/>
        </w:rPr>
      </w:pPr>
    </w:p>
    <w:p w:rsidR="007D75F6" w:rsidRDefault="007D75F6">
      <w:pPr>
        <w:pStyle w:val="Header"/>
        <w:tabs>
          <w:tab w:val="clear" w:pos="4320"/>
          <w:tab w:val="clear" w:pos="8640"/>
        </w:tabs>
        <w:outlineLvl w:val="0"/>
        <w:rPr>
          <w:rFonts w:ascii="Arial" w:hAnsi="Arial"/>
        </w:rPr>
      </w:pPr>
    </w:p>
    <w:p w:rsidR="007D75F6" w:rsidRDefault="007D75F6">
      <w:pPr>
        <w:pStyle w:val="Header"/>
        <w:tabs>
          <w:tab w:val="clear" w:pos="4320"/>
          <w:tab w:val="clear" w:pos="8640"/>
        </w:tabs>
        <w:outlineLvl w:val="0"/>
        <w:rPr>
          <w:rFonts w:ascii="Arial" w:hAnsi="Arial"/>
        </w:rPr>
      </w:pPr>
    </w:p>
    <w:p w:rsidR="000B3384" w:rsidRDefault="007D75F6">
      <w:pPr>
        <w:pStyle w:val="Header"/>
        <w:tabs>
          <w:tab w:val="clear" w:pos="4320"/>
          <w:tab w:val="clear" w:pos="8640"/>
        </w:tabs>
        <w:outlineLvl w:val="0"/>
        <w:rPr>
          <w:rFonts w:ascii="Arial" w:hAnsi="Arial"/>
        </w:rPr>
      </w:pPr>
      <w:r>
        <w:rPr>
          <w:rFonts w:ascii="Arial" w:hAnsi="Arial"/>
        </w:rPr>
        <w:lastRenderedPageBreak/>
        <w:t>5.8</w:t>
      </w:r>
      <w:r w:rsidR="000B3384">
        <w:rPr>
          <w:rFonts w:ascii="Arial" w:hAnsi="Arial"/>
        </w:rPr>
        <w:tab/>
        <w:t>SAIDI</w:t>
      </w:r>
    </w:p>
    <w:p w:rsidR="000B3384" w:rsidRDefault="000B3384"/>
    <w:p w:rsidR="000B3384" w:rsidRDefault="007D75F6">
      <w:r w:rsidRPr="007D75F6">
        <w:rPr>
          <w:noProof/>
        </w:rPr>
        <w:drawing>
          <wp:inline distT="0" distB="0" distL="0" distR="0">
            <wp:extent cx="4819650" cy="33472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4819650" cy="3347203"/>
                    </a:xfrm>
                    <a:prstGeom prst="rect">
                      <a:avLst/>
                    </a:prstGeom>
                    <a:noFill/>
                    <a:ln w="9525">
                      <a:noFill/>
                      <a:miter lim="800000"/>
                      <a:headEnd/>
                      <a:tailEnd/>
                    </a:ln>
                  </pic:spPr>
                </pic:pic>
              </a:graphicData>
            </a:graphic>
          </wp:inline>
        </w:drawing>
      </w:r>
    </w:p>
    <w:p w:rsidR="000B3384" w:rsidRDefault="000B3384"/>
    <w:p w:rsidR="000B3384" w:rsidRDefault="007A1AFC">
      <w:pPr>
        <w:pStyle w:val="Header"/>
        <w:tabs>
          <w:tab w:val="clear" w:pos="4320"/>
          <w:tab w:val="clear" w:pos="8640"/>
        </w:tabs>
        <w:rPr>
          <w:rFonts w:ascii="Arial" w:hAnsi="Arial"/>
        </w:rPr>
      </w:pPr>
      <w:r>
        <w:rPr>
          <w:rFonts w:ascii="Arial" w:hAnsi="Arial"/>
        </w:rPr>
        <w:t>5.9</w:t>
      </w:r>
      <w:r w:rsidR="000B3384">
        <w:rPr>
          <w:rFonts w:ascii="Arial" w:hAnsi="Arial"/>
        </w:rPr>
        <w:tab/>
        <w:t>CAIDI</w:t>
      </w:r>
    </w:p>
    <w:p w:rsidR="000B3384" w:rsidRDefault="000B3384"/>
    <w:p w:rsidR="000B3384" w:rsidRDefault="007D75F6">
      <w:r w:rsidRPr="007D75F6">
        <w:rPr>
          <w:noProof/>
        </w:rPr>
        <w:drawing>
          <wp:inline distT="0" distB="0" distL="0" distR="0">
            <wp:extent cx="4793324" cy="3238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4793324" cy="3238500"/>
                    </a:xfrm>
                    <a:prstGeom prst="rect">
                      <a:avLst/>
                    </a:prstGeom>
                    <a:noFill/>
                    <a:ln w="9525">
                      <a:noFill/>
                      <a:miter lim="800000"/>
                      <a:headEnd/>
                      <a:tailEnd/>
                    </a:ln>
                  </pic:spPr>
                </pic:pic>
              </a:graphicData>
            </a:graphic>
          </wp:inline>
        </w:drawing>
      </w:r>
    </w:p>
    <w:p w:rsidR="000B3384" w:rsidRDefault="000B3384"/>
    <w:p w:rsidR="000B3384" w:rsidRDefault="000B3384">
      <w:r>
        <w:t xml:space="preserve">All charts and tables in this section are provided for illustrative purposes; the Company may change the future presentation of this information without changing the underlying data. </w:t>
      </w:r>
    </w:p>
    <w:p w:rsidR="00F33516" w:rsidRDefault="00F33516" w:rsidP="00F33516">
      <w:pPr>
        <w:rPr>
          <w:rFonts w:ascii="Arial" w:hAnsi="Arial"/>
          <w:b/>
          <w:u w:val="single"/>
        </w:rPr>
      </w:pPr>
    </w:p>
    <w:p w:rsidR="00F33516" w:rsidRDefault="00F33516" w:rsidP="00F33516">
      <w:pPr>
        <w:rPr>
          <w:rFonts w:ascii="Arial" w:hAnsi="Arial"/>
          <w:b/>
          <w:u w:val="single"/>
        </w:rPr>
      </w:pPr>
      <w:r>
        <w:rPr>
          <w:rFonts w:ascii="Arial" w:hAnsi="Arial"/>
          <w:b/>
          <w:u w:val="single"/>
        </w:rPr>
        <w:lastRenderedPageBreak/>
        <w:t>6.0      Sample Reporting—CEMIn Avista Service Territory</w:t>
      </w:r>
    </w:p>
    <w:p w:rsidR="0017435A" w:rsidRDefault="0017435A" w:rsidP="00F33516"/>
    <w:p w:rsidR="00F33516" w:rsidRDefault="0017435A" w:rsidP="00F33516">
      <w:pPr>
        <w:rPr>
          <w:rFonts w:ascii="Arial" w:hAnsi="Arial"/>
        </w:rPr>
      </w:pPr>
      <w:r>
        <w:t>The first chart below provides a view of the percentage of customers served from the Avista system that have sustained interruptions. 68 % of Avista customers had 1 or fewer sustained interruptions and 5.5% of Avista customers had 6 or more sustained interruptions</w:t>
      </w:r>
      <w:r w:rsidRPr="007406E8">
        <w:t xml:space="preserve"> </w:t>
      </w:r>
      <w:r>
        <w:t>during 2008</w:t>
      </w:r>
    </w:p>
    <w:p w:rsidR="0017435A" w:rsidRDefault="0017435A" w:rsidP="00F33516">
      <w:pPr>
        <w:pStyle w:val="Header"/>
        <w:tabs>
          <w:tab w:val="clear" w:pos="4320"/>
          <w:tab w:val="clear" w:pos="8640"/>
        </w:tabs>
        <w:outlineLvl w:val="0"/>
        <w:rPr>
          <w:rFonts w:ascii="Arial" w:hAnsi="Arial"/>
        </w:rPr>
      </w:pPr>
    </w:p>
    <w:p w:rsidR="00F33516" w:rsidRDefault="00F33516" w:rsidP="00F33516">
      <w:pPr>
        <w:pStyle w:val="Header"/>
        <w:tabs>
          <w:tab w:val="clear" w:pos="4320"/>
          <w:tab w:val="clear" w:pos="8640"/>
        </w:tabs>
        <w:outlineLvl w:val="0"/>
        <w:rPr>
          <w:rFonts w:ascii="Arial" w:hAnsi="Arial"/>
        </w:rPr>
      </w:pPr>
      <w:r>
        <w:rPr>
          <w:rFonts w:ascii="Arial" w:hAnsi="Arial"/>
        </w:rPr>
        <w:t>6.1</w:t>
      </w:r>
      <w:r>
        <w:rPr>
          <w:rFonts w:ascii="Arial" w:hAnsi="Arial"/>
        </w:rPr>
        <w:tab/>
        <w:t>CEMIn Service Territory</w:t>
      </w:r>
    </w:p>
    <w:p w:rsidR="009C5E46" w:rsidRDefault="009C5E46" w:rsidP="00F33516">
      <w:pPr>
        <w:pStyle w:val="Header"/>
        <w:tabs>
          <w:tab w:val="clear" w:pos="4320"/>
          <w:tab w:val="clear" w:pos="8640"/>
        </w:tabs>
        <w:outlineLvl w:val="0"/>
        <w:rPr>
          <w:rFonts w:ascii="Arial" w:hAnsi="Arial"/>
        </w:rPr>
      </w:pPr>
    </w:p>
    <w:p w:rsidR="0017435A" w:rsidRDefault="009C5E46" w:rsidP="00F33516">
      <w:pPr>
        <w:pStyle w:val="Header"/>
        <w:tabs>
          <w:tab w:val="clear" w:pos="4320"/>
          <w:tab w:val="clear" w:pos="8640"/>
        </w:tabs>
        <w:outlineLvl w:val="0"/>
        <w:rPr>
          <w:rFonts w:ascii="Arial" w:hAnsi="Arial"/>
        </w:rPr>
      </w:pPr>
      <w:r>
        <w:rPr>
          <w:noProof/>
        </w:rPr>
        <w:drawing>
          <wp:inline distT="0" distB="0" distL="0" distR="0">
            <wp:extent cx="5772150" cy="3744097"/>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srcRect/>
                    <a:stretch>
                      <a:fillRect/>
                    </a:stretch>
                  </pic:blipFill>
                  <pic:spPr bwMode="auto">
                    <a:xfrm>
                      <a:off x="0" y="0"/>
                      <a:ext cx="5772150" cy="3744097"/>
                    </a:xfrm>
                    <a:prstGeom prst="rect">
                      <a:avLst/>
                    </a:prstGeom>
                    <a:noFill/>
                    <a:ln w="9525">
                      <a:noFill/>
                      <a:miter lim="800000"/>
                      <a:headEnd/>
                      <a:tailEnd/>
                    </a:ln>
                  </pic:spPr>
                </pic:pic>
              </a:graphicData>
            </a:graphic>
          </wp:inline>
        </w:drawing>
      </w:r>
    </w:p>
    <w:p w:rsidR="0017435A" w:rsidRDefault="0017435A" w:rsidP="00F33516">
      <w:pPr>
        <w:pStyle w:val="Header"/>
        <w:tabs>
          <w:tab w:val="clear" w:pos="4320"/>
          <w:tab w:val="clear" w:pos="8640"/>
        </w:tabs>
        <w:outlineLvl w:val="0"/>
        <w:rPr>
          <w:rFonts w:ascii="Arial" w:hAnsi="Arial"/>
        </w:rPr>
      </w:pPr>
    </w:p>
    <w:p w:rsidR="00B92EAB" w:rsidRDefault="00B92EAB">
      <w:pPr>
        <w:rPr>
          <w:rFonts w:ascii="Arial" w:hAnsi="Arial"/>
        </w:rPr>
      </w:pPr>
      <w:r>
        <w:rPr>
          <w:rFonts w:ascii="Arial" w:hAnsi="Arial"/>
        </w:rPr>
        <w:br w:type="page"/>
      </w:r>
    </w:p>
    <w:p w:rsidR="00F33516" w:rsidRDefault="00F33516" w:rsidP="00F33516">
      <w:pPr>
        <w:pStyle w:val="Header"/>
        <w:tabs>
          <w:tab w:val="clear" w:pos="4320"/>
          <w:tab w:val="clear" w:pos="8640"/>
        </w:tabs>
        <w:outlineLvl w:val="0"/>
        <w:rPr>
          <w:rFonts w:ascii="Arial" w:hAnsi="Arial"/>
        </w:rPr>
      </w:pPr>
      <w:r>
        <w:rPr>
          <w:rFonts w:ascii="Arial" w:hAnsi="Arial"/>
        </w:rPr>
        <w:lastRenderedPageBreak/>
        <w:t>6.2</w:t>
      </w:r>
      <w:r>
        <w:rPr>
          <w:rFonts w:ascii="Arial" w:hAnsi="Arial"/>
        </w:rPr>
        <w:tab/>
        <w:t>CEMIn Office Charts</w:t>
      </w:r>
    </w:p>
    <w:p w:rsidR="0017435A" w:rsidRDefault="0017435A" w:rsidP="00F33516">
      <w:pPr>
        <w:pStyle w:val="Header"/>
        <w:tabs>
          <w:tab w:val="clear" w:pos="4320"/>
          <w:tab w:val="clear" w:pos="8640"/>
        </w:tabs>
        <w:outlineLvl w:val="0"/>
        <w:rPr>
          <w:rFonts w:ascii="Arial" w:hAnsi="Arial"/>
        </w:rPr>
      </w:pPr>
    </w:p>
    <w:p w:rsidR="00F33516" w:rsidRDefault="0017435A" w:rsidP="00F33516">
      <w:pPr>
        <w:pStyle w:val="Header"/>
        <w:tabs>
          <w:tab w:val="clear" w:pos="4320"/>
          <w:tab w:val="clear" w:pos="8640"/>
        </w:tabs>
      </w:pPr>
      <w:r>
        <w:t>The remaining geographic plots show the sustained interruptions by color designation according to the legend on each plot for each office area. Note the office area is designated as the area in white for each plot and that there is overlap between adjacent office area plots. The adjacent office areas are shown in light yellow.</w:t>
      </w:r>
    </w:p>
    <w:p w:rsidR="0017435A" w:rsidRDefault="00B92EAB">
      <w:r w:rsidRPr="00B92EAB">
        <w:rPr>
          <w:noProof/>
        </w:rPr>
        <w:drawing>
          <wp:inline distT="0" distB="0" distL="0" distR="0">
            <wp:extent cx="5457825" cy="7058675"/>
            <wp:effectExtent l="1905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5458438" cy="7059467"/>
                    </a:xfrm>
                    <a:prstGeom prst="rect">
                      <a:avLst/>
                    </a:prstGeom>
                    <a:noFill/>
                    <a:ln w="9525">
                      <a:noFill/>
                      <a:miter lim="800000"/>
                      <a:headEnd/>
                      <a:tailEnd/>
                    </a:ln>
                  </pic:spPr>
                </pic:pic>
              </a:graphicData>
            </a:graphic>
          </wp:inline>
        </w:drawing>
      </w:r>
      <w:r w:rsidR="0017435A">
        <w:br w:type="page"/>
      </w:r>
    </w:p>
    <w:p w:rsidR="000B3384" w:rsidRDefault="00142318">
      <w:pPr>
        <w:numPr>
          <w:ilvl w:val="0"/>
          <w:numId w:val="12"/>
        </w:numPr>
        <w:tabs>
          <w:tab w:val="clear" w:pos="360"/>
          <w:tab w:val="num" w:pos="720"/>
        </w:tabs>
        <w:rPr>
          <w:rFonts w:ascii="Arial" w:hAnsi="Arial"/>
          <w:b/>
          <w:u w:val="single"/>
        </w:rPr>
      </w:pPr>
      <w:r>
        <w:rPr>
          <w:rFonts w:ascii="Arial" w:hAnsi="Arial"/>
          <w:b/>
          <w:u w:val="single"/>
        </w:rPr>
        <w:lastRenderedPageBreak/>
        <w:t>Monthly Indices</w:t>
      </w:r>
    </w:p>
    <w:p w:rsidR="000B3384" w:rsidRDefault="000B3384"/>
    <w:p w:rsidR="000B3384" w:rsidRDefault="00142318">
      <w:r>
        <w:t>Each of the following indices, reported by month, shows the variations from month to month. These variations are partially due to inclement weather and, in some cases, reflect incidents of winter snowstorms, seasonal windstorms, and in mid- and late summer lightning storms. They also reflect varying degrees of animal activity causing disruptions in different months of the year.</w:t>
      </w:r>
    </w:p>
    <w:p w:rsidR="00142318" w:rsidRDefault="00142318"/>
    <w:p w:rsidR="00142318" w:rsidRDefault="00142318">
      <w:r>
        <w:t>SAIFI</w:t>
      </w:r>
    </w:p>
    <w:p w:rsidR="00142318" w:rsidRDefault="00142318">
      <w:pPr>
        <w:rPr>
          <w:color w:val="000000"/>
        </w:rPr>
      </w:pPr>
      <w:r w:rsidRPr="00142318">
        <w:rPr>
          <w:noProof/>
        </w:rPr>
        <w:drawing>
          <wp:inline distT="0" distB="0" distL="0" distR="0">
            <wp:extent cx="4526850" cy="22002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4526850" cy="2200275"/>
                    </a:xfrm>
                    <a:prstGeom prst="rect">
                      <a:avLst/>
                    </a:prstGeom>
                    <a:noFill/>
                    <a:ln w="9525">
                      <a:noFill/>
                      <a:miter lim="800000"/>
                      <a:headEnd/>
                      <a:tailEnd/>
                    </a:ln>
                  </pic:spPr>
                </pic:pic>
              </a:graphicData>
            </a:graphic>
          </wp:inline>
        </w:drawing>
      </w:r>
    </w:p>
    <w:p w:rsidR="000B3384" w:rsidRDefault="000B3384">
      <w:pPr>
        <w:rPr>
          <w:color w:val="000000"/>
        </w:rPr>
      </w:pPr>
    </w:p>
    <w:p w:rsidR="000B3384" w:rsidRDefault="00142318">
      <w:pPr>
        <w:rPr>
          <w:color w:val="000000"/>
        </w:rPr>
      </w:pPr>
      <w:r>
        <w:t>MAIFI</w:t>
      </w:r>
    </w:p>
    <w:p w:rsidR="000B3384" w:rsidRDefault="000B3384">
      <w:pPr>
        <w:rPr>
          <w:color w:val="000000"/>
        </w:rPr>
      </w:pPr>
    </w:p>
    <w:p w:rsidR="00142318" w:rsidRDefault="00142318">
      <w:pPr>
        <w:rPr>
          <w:color w:val="000000"/>
        </w:rPr>
      </w:pPr>
      <w:r w:rsidRPr="00142318">
        <w:rPr>
          <w:noProof/>
        </w:rPr>
        <w:drawing>
          <wp:inline distT="0" distB="0" distL="0" distR="0">
            <wp:extent cx="5039274" cy="2733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5039274" cy="2733675"/>
                    </a:xfrm>
                    <a:prstGeom prst="rect">
                      <a:avLst/>
                    </a:prstGeom>
                    <a:noFill/>
                    <a:ln w="9525">
                      <a:noFill/>
                      <a:miter lim="800000"/>
                      <a:headEnd/>
                      <a:tailEnd/>
                    </a:ln>
                  </pic:spPr>
                </pic:pic>
              </a:graphicData>
            </a:graphic>
          </wp:inline>
        </w:drawing>
      </w:r>
    </w:p>
    <w:p w:rsidR="00142318" w:rsidRDefault="00142318">
      <w:pPr>
        <w:rPr>
          <w:color w:val="000000"/>
        </w:rPr>
      </w:pPr>
    </w:p>
    <w:p w:rsidR="00142318" w:rsidRDefault="00142318">
      <w:pPr>
        <w:rPr>
          <w:color w:val="000000"/>
        </w:rPr>
      </w:pPr>
    </w:p>
    <w:p w:rsidR="00142318" w:rsidRDefault="00142318">
      <w:pPr>
        <w:rPr>
          <w:color w:val="000000"/>
        </w:rPr>
      </w:pPr>
    </w:p>
    <w:p w:rsidR="00142318" w:rsidRDefault="00142318">
      <w:pPr>
        <w:rPr>
          <w:color w:val="000000"/>
        </w:rPr>
      </w:pPr>
    </w:p>
    <w:p w:rsidR="00142318" w:rsidRDefault="00142318">
      <w:pPr>
        <w:rPr>
          <w:color w:val="000000"/>
        </w:rPr>
      </w:pPr>
    </w:p>
    <w:p w:rsidR="00142318" w:rsidRDefault="00142318">
      <w:pPr>
        <w:rPr>
          <w:color w:val="000000"/>
        </w:rPr>
      </w:pPr>
    </w:p>
    <w:p w:rsidR="00142318" w:rsidRDefault="00142318">
      <w:pPr>
        <w:rPr>
          <w:color w:val="000000"/>
        </w:rPr>
      </w:pPr>
    </w:p>
    <w:p w:rsidR="00142318" w:rsidRDefault="00142318">
      <w:pPr>
        <w:rPr>
          <w:color w:val="000000"/>
        </w:rPr>
      </w:pPr>
      <w:r>
        <w:rPr>
          <w:color w:val="000000"/>
        </w:rPr>
        <w:lastRenderedPageBreak/>
        <w:t>SAIDI</w:t>
      </w:r>
    </w:p>
    <w:p w:rsidR="00142318" w:rsidRDefault="00142318">
      <w:pPr>
        <w:rPr>
          <w:color w:val="000000"/>
        </w:rPr>
      </w:pPr>
      <w:r w:rsidRPr="00142318">
        <w:rPr>
          <w:noProof/>
        </w:rPr>
        <w:drawing>
          <wp:inline distT="0" distB="0" distL="0" distR="0">
            <wp:extent cx="5327599" cy="2933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5329895" cy="2934965"/>
                    </a:xfrm>
                    <a:prstGeom prst="rect">
                      <a:avLst/>
                    </a:prstGeom>
                    <a:noFill/>
                    <a:ln w="9525">
                      <a:noFill/>
                      <a:miter lim="800000"/>
                      <a:headEnd/>
                      <a:tailEnd/>
                    </a:ln>
                  </pic:spPr>
                </pic:pic>
              </a:graphicData>
            </a:graphic>
          </wp:inline>
        </w:drawing>
      </w:r>
    </w:p>
    <w:p w:rsidR="00142318" w:rsidRDefault="00142318">
      <w:pPr>
        <w:rPr>
          <w:color w:val="000000"/>
        </w:rPr>
      </w:pPr>
    </w:p>
    <w:p w:rsidR="00142318" w:rsidRDefault="00142318">
      <w:pPr>
        <w:rPr>
          <w:color w:val="000000"/>
        </w:rPr>
      </w:pPr>
    </w:p>
    <w:p w:rsidR="00142318" w:rsidRDefault="00142318">
      <w:pPr>
        <w:rPr>
          <w:color w:val="000000"/>
        </w:rPr>
      </w:pPr>
      <w:r>
        <w:rPr>
          <w:color w:val="000000"/>
        </w:rPr>
        <w:t>CAIDI</w:t>
      </w:r>
    </w:p>
    <w:p w:rsidR="00142318" w:rsidRDefault="00142318">
      <w:pPr>
        <w:rPr>
          <w:color w:val="000000"/>
        </w:rPr>
      </w:pPr>
      <w:r w:rsidRPr="00142318">
        <w:rPr>
          <w:noProof/>
        </w:rPr>
        <w:drawing>
          <wp:inline distT="0" distB="0" distL="0" distR="0">
            <wp:extent cx="5356534" cy="3057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5356534" cy="3057525"/>
                    </a:xfrm>
                    <a:prstGeom prst="rect">
                      <a:avLst/>
                    </a:prstGeom>
                    <a:noFill/>
                    <a:ln w="9525">
                      <a:noFill/>
                      <a:miter lim="800000"/>
                      <a:headEnd/>
                      <a:tailEnd/>
                    </a:ln>
                  </pic:spPr>
                </pic:pic>
              </a:graphicData>
            </a:graphic>
          </wp:inline>
        </w:drawing>
      </w:r>
    </w:p>
    <w:p w:rsidR="00142318" w:rsidRDefault="00142318">
      <w:pPr>
        <w:rPr>
          <w:color w:val="000000"/>
        </w:rPr>
      </w:pPr>
    </w:p>
    <w:p w:rsidR="007A1AFC" w:rsidRDefault="007A1AFC">
      <w:pPr>
        <w:rPr>
          <w:rFonts w:ascii="Arial" w:hAnsi="Arial"/>
          <w:b/>
          <w:u w:val="single"/>
        </w:rPr>
      </w:pPr>
      <w:r>
        <w:rPr>
          <w:rFonts w:ascii="Arial" w:hAnsi="Arial"/>
          <w:b/>
          <w:u w:val="single"/>
        </w:rPr>
        <w:br w:type="page"/>
      </w:r>
    </w:p>
    <w:p w:rsidR="00F71C11" w:rsidRDefault="00F71C11" w:rsidP="007A1AFC">
      <w:pPr>
        <w:rPr>
          <w:rFonts w:ascii="Arial" w:hAnsi="Arial"/>
          <w:b/>
          <w:u w:val="single"/>
        </w:rPr>
        <w:sectPr w:rsidR="00F71C11" w:rsidSect="00F71C11">
          <w:footerReference w:type="default" r:id="rId37"/>
          <w:pgSz w:w="12240" w:h="15840"/>
          <w:pgMar w:top="1440" w:right="1350" w:bottom="1350" w:left="1800" w:header="720" w:footer="720" w:gutter="0"/>
          <w:cols w:space="720"/>
          <w:docGrid w:linePitch="360"/>
        </w:sectPr>
      </w:pPr>
    </w:p>
    <w:p w:rsidR="007A1AFC" w:rsidRDefault="007A1AFC" w:rsidP="007A1AFC">
      <w:pPr>
        <w:rPr>
          <w:rFonts w:ascii="Arial" w:hAnsi="Arial"/>
          <w:b/>
          <w:u w:val="single"/>
        </w:rPr>
      </w:pPr>
      <w:r>
        <w:rPr>
          <w:rFonts w:ascii="Arial" w:hAnsi="Arial"/>
          <w:b/>
          <w:u w:val="single"/>
        </w:rPr>
        <w:lastRenderedPageBreak/>
        <w:t xml:space="preserve">8.0      Sample Reporting—Customer Complaints </w:t>
      </w:r>
    </w:p>
    <w:p w:rsidR="00142318" w:rsidRDefault="00142318">
      <w:pPr>
        <w:rPr>
          <w:color w:val="000000"/>
        </w:rPr>
      </w:pPr>
    </w:p>
    <w:p w:rsidR="007A1AFC" w:rsidRDefault="007A1AFC" w:rsidP="007A1AFC">
      <w:r>
        <w:t xml:space="preserve">The following is a list of Complaints made to the Commission during this year. </w:t>
      </w:r>
    </w:p>
    <w:p w:rsidR="00142318" w:rsidRDefault="00142318">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5056"/>
        <w:gridCol w:w="5815"/>
      </w:tblGrid>
      <w:tr w:rsidR="007A1AFC" w:rsidTr="00F71C11">
        <w:trPr>
          <w:trHeight w:val="625"/>
        </w:trPr>
        <w:tc>
          <w:tcPr>
            <w:tcW w:w="1938" w:type="dxa"/>
            <w:tcBorders>
              <w:top w:val="single" w:sz="18" w:space="0" w:color="auto"/>
              <w:left w:val="single" w:sz="18" w:space="0" w:color="auto"/>
              <w:bottom w:val="single" w:sz="18" w:space="0" w:color="auto"/>
              <w:right w:val="single" w:sz="8" w:space="0" w:color="auto"/>
            </w:tcBorders>
          </w:tcPr>
          <w:p w:rsidR="007A1AFC" w:rsidRDefault="007A1AFC" w:rsidP="00197603">
            <w:pPr>
              <w:rPr>
                <w:b/>
                <w:bCs/>
                <w:sz w:val="28"/>
              </w:rPr>
            </w:pPr>
            <w:r>
              <w:rPr>
                <w:b/>
                <w:bCs/>
                <w:sz w:val="28"/>
              </w:rPr>
              <w:t>Customer Address</w:t>
            </w:r>
          </w:p>
        </w:tc>
        <w:tc>
          <w:tcPr>
            <w:tcW w:w="5056" w:type="dxa"/>
            <w:tcBorders>
              <w:top w:val="single" w:sz="18" w:space="0" w:color="auto"/>
              <w:left w:val="single" w:sz="8" w:space="0" w:color="auto"/>
              <w:bottom w:val="single" w:sz="18" w:space="0" w:color="auto"/>
              <w:right w:val="single" w:sz="8" w:space="0" w:color="auto"/>
            </w:tcBorders>
          </w:tcPr>
          <w:p w:rsidR="007A1AFC" w:rsidRDefault="007A1AFC" w:rsidP="00197603">
            <w:pPr>
              <w:rPr>
                <w:b/>
                <w:bCs/>
                <w:sz w:val="28"/>
              </w:rPr>
            </w:pPr>
            <w:r>
              <w:rPr>
                <w:b/>
                <w:bCs/>
                <w:sz w:val="28"/>
              </w:rPr>
              <w:t>Complaint</w:t>
            </w:r>
          </w:p>
        </w:tc>
        <w:tc>
          <w:tcPr>
            <w:tcW w:w="5815" w:type="dxa"/>
            <w:tcBorders>
              <w:top w:val="single" w:sz="18" w:space="0" w:color="auto"/>
              <w:left w:val="single" w:sz="8" w:space="0" w:color="auto"/>
              <w:bottom w:val="single" w:sz="18" w:space="0" w:color="auto"/>
              <w:right w:val="single" w:sz="8" w:space="0" w:color="auto"/>
            </w:tcBorders>
          </w:tcPr>
          <w:p w:rsidR="007A1AFC" w:rsidRDefault="007A1AFC" w:rsidP="00197603">
            <w:pPr>
              <w:rPr>
                <w:b/>
                <w:bCs/>
                <w:sz w:val="28"/>
              </w:rPr>
            </w:pPr>
            <w:r>
              <w:rPr>
                <w:b/>
                <w:bCs/>
                <w:sz w:val="28"/>
              </w:rPr>
              <w:t>Resolution</w:t>
            </w:r>
          </w:p>
        </w:tc>
      </w:tr>
      <w:tr w:rsidR="007A1AFC" w:rsidTr="00F71C11">
        <w:trPr>
          <w:trHeight w:val="1567"/>
        </w:trPr>
        <w:tc>
          <w:tcPr>
            <w:tcW w:w="1938" w:type="dxa"/>
          </w:tcPr>
          <w:p w:rsidR="007A1AFC" w:rsidRDefault="007A1AFC" w:rsidP="00197603">
            <w:pPr>
              <w:spacing w:before="120" w:after="120"/>
              <w:rPr>
                <w:sz w:val="20"/>
              </w:rPr>
            </w:pPr>
            <w:r>
              <w:rPr>
                <w:sz w:val="20"/>
              </w:rPr>
              <w:t>Grangeville ID</w:t>
            </w:r>
          </w:p>
          <w:p w:rsidR="007A1AFC" w:rsidRPr="00577BE8" w:rsidRDefault="007A1AFC" w:rsidP="00197603">
            <w:pPr>
              <w:spacing w:before="120" w:after="120"/>
              <w:rPr>
                <w:sz w:val="20"/>
              </w:rPr>
            </w:pPr>
            <w:r>
              <w:rPr>
                <w:sz w:val="20"/>
              </w:rPr>
              <w:t>Grangeville 1274</w:t>
            </w:r>
          </w:p>
        </w:tc>
        <w:tc>
          <w:tcPr>
            <w:tcW w:w="5056" w:type="dxa"/>
          </w:tcPr>
          <w:p w:rsidR="007A1AFC" w:rsidRPr="00954795" w:rsidRDefault="007A1AFC" w:rsidP="00197603">
            <w:pPr>
              <w:rPr>
                <w:rFonts w:cs="Arial"/>
                <w:sz w:val="20"/>
              </w:rPr>
            </w:pPr>
            <w:r w:rsidRPr="00954795">
              <w:rPr>
                <w:rFonts w:cs="Arial"/>
                <w:sz w:val="20"/>
              </w:rPr>
              <w:t>Customer concerned about lack of timely</w:t>
            </w:r>
            <w:r>
              <w:rPr>
                <w:rFonts w:cs="Arial"/>
                <w:sz w:val="20"/>
              </w:rPr>
              <w:t xml:space="preserve"> </w:t>
            </w:r>
            <w:r w:rsidRPr="00954795">
              <w:rPr>
                <w:rFonts w:cs="Arial"/>
                <w:sz w:val="20"/>
              </w:rPr>
              <w:t>notification for planned outages.  He</w:t>
            </w:r>
            <w:r>
              <w:rPr>
                <w:rFonts w:cs="Arial"/>
                <w:sz w:val="20"/>
              </w:rPr>
              <w:t xml:space="preserve"> </w:t>
            </w:r>
            <w:r w:rsidRPr="00954795">
              <w:rPr>
                <w:rFonts w:cs="Arial"/>
                <w:sz w:val="20"/>
              </w:rPr>
              <w:t>use</w:t>
            </w:r>
            <w:r>
              <w:rPr>
                <w:rFonts w:cs="Arial"/>
                <w:sz w:val="20"/>
              </w:rPr>
              <w:t>s</w:t>
            </w:r>
            <w:r w:rsidRPr="00954795">
              <w:rPr>
                <w:rFonts w:cs="Arial"/>
                <w:sz w:val="20"/>
              </w:rPr>
              <w:t xml:space="preserve"> oxygen &amp; needs power or a decent notice so he has backup power for his batteries.  </w:t>
            </w:r>
            <w:r>
              <w:rPr>
                <w:rFonts w:cs="Arial"/>
                <w:sz w:val="20"/>
              </w:rPr>
              <w:t xml:space="preserve">Customer stated that </w:t>
            </w:r>
            <w:r w:rsidRPr="00954795">
              <w:rPr>
                <w:rFonts w:cs="Arial"/>
                <w:sz w:val="20"/>
              </w:rPr>
              <w:t>Avista told him</w:t>
            </w:r>
            <w:r>
              <w:rPr>
                <w:rFonts w:cs="Arial"/>
                <w:sz w:val="20"/>
              </w:rPr>
              <w:t xml:space="preserve"> </w:t>
            </w:r>
            <w:r w:rsidRPr="00954795">
              <w:rPr>
                <w:rFonts w:cs="Arial"/>
                <w:sz w:val="20"/>
              </w:rPr>
              <w:t>after the last incident that notification would be printed in the local paper to</w:t>
            </w:r>
            <w:r>
              <w:rPr>
                <w:rFonts w:cs="Arial"/>
                <w:sz w:val="20"/>
              </w:rPr>
              <w:t xml:space="preserve"> </w:t>
            </w:r>
            <w:r w:rsidRPr="00954795">
              <w:rPr>
                <w:rFonts w:cs="Arial"/>
                <w:sz w:val="20"/>
              </w:rPr>
              <w:t>le</w:t>
            </w:r>
            <w:r>
              <w:rPr>
                <w:rFonts w:cs="Arial"/>
                <w:sz w:val="20"/>
              </w:rPr>
              <w:t>t</w:t>
            </w:r>
            <w:r w:rsidRPr="00954795">
              <w:rPr>
                <w:rFonts w:cs="Arial"/>
                <w:sz w:val="20"/>
              </w:rPr>
              <w:t xml:space="preserve"> everyone in Grangeville know about</w:t>
            </w:r>
            <w:r>
              <w:rPr>
                <w:rFonts w:cs="Arial"/>
                <w:sz w:val="20"/>
              </w:rPr>
              <w:t xml:space="preserve"> </w:t>
            </w:r>
            <w:r w:rsidRPr="00954795">
              <w:rPr>
                <w:rFonts w:cs="Arial"/>
                <w:sz w:val="20"/>
              </w:rPr>
              <w:t>the planned power outage a week before outage.</w:t>
            </w:r>
          </w:p>
        </w:tc>
        <w:tc>
          <w:tcPr>
            <w:tcW w:w="5815" w:type="dxa"/>
          </w:tcPr>
          <w:p w:rsidR="007A1AFC" w:rsidRPr="00EA4770" w:rsidRDefault="007A1AFC" w:rsidP="00197603">
            <w:pPr>
              <w:rPr>
                <w:rFonts w:ascii="Arial" w:hAnsi="Arial" w:cs="Arial"/>
                <w:sz w:val="20"/>
              </w:rPr>
            </w:pPr>
            <w:r w:rsidRPr="00EA4770">
              <w:rPr>
                <w:rFonts w:ascii="Arial" w:hAnsi="Arial" w:cs="Arial"/>
                <w:sz w:val="20"/>
              </w:rPr>
              <w:t>No resolution documented</w:t>
            </w:r>
          </w:p>
          <w:p w:rsidR="007A1AFC" w:rsidRPr="00577BE8" w:rsidRDefault="007A1AFC" w:rsidP="00197603">
            <w:pPr>
              <w:rPr>
                <w:rFonts w:cs="Arial"/>
                <w:sz w:val="20"/>
              </w:rPr>
            </w:pPr>
          </w:p>
        </w:tc>
      </w:tr>
    </w:tbl>
    <w:p w:rsidR="00142318" w:rsidRDefault="00142318">
      <w:pPr>
        <w:rPr>
          <w:color w:val="000000"/>
        </w:rPr>
      </w:pPr>
    </w:p>
    <w:p w:rsidR="00142318" w:rsidRDefault="00142318">
      <w:pPr>
        <w:rPr>
          <w:color w:val="000000"/>
        </w:rPr>
      </w:pPr>
    </w:p>
    <w:p w:rsidR="00F71C11" w:rsidRDefault="00F71C11">
      <w:pPr>
        <w:rPr>
          <w:rFonts w:ascii="Arial" w:hAnsi="Arial"/>
          <w:b/>
          <w:u w:val="single"/>
        </w:rPr>
      </w:pPr>
      <w:r>
        <w:rPr>
          <w:rFonts w:ascii="Arial" w:hAnsi="Arial"/>
          <w:b/>
          <w:u w:val="single"/>
        </w:rPr>
        <w:br w:type="page"/>
      </w:r>
    </w:p>
    <w:p w:rsidR="007A1AFC" w:rsidRDefault="007A1AFC" w:rsidP="007A1AFC">
      <w:pPr>
        <w:rPr>
          <w:rFonts w:ascii="Arial" w:hAnsi="Arial"/>
          <w:b/>
          <w:u w:val="single"/>
        </w:rPr>
      </w:pPr>
      <w:r>
        <w:rPr>
          <w:rFonts w:ascii="Arial" w:hAnsi="Arial"/>
          <w:b/>
          <w:u w:val="single"/>
        </w:rPr>
        <w:lastRenderedPageBreak/>
        <w:t>9.0      Sample Reporting—Sustained Interruption Causes</w:t>
      </w:r>
    </w:p>
    <w:p w:rsidR="00F71C11" w:rsidRPr="00197603" w:rsidRDefault="00F71C11" w:rsidP="00F71C11">
      <w:pPr>
        <w:rPr>
          <w:snapToGrid w:val="0"/>
        </w:rPr>
      </w:pPr>
      <w:bookmarkStart w:id="40" w:name="_Toc98906779"/>
      <w:bookmarkStart w:id="41" w:name="_Toc165342454"/>
      <w:bookmarkStart w:id="42" w:name="_Toc193711022"/>
      <w:bookmarkStart w:id="43" w:name="_Toc227571617"/>
      <w:bookmarkStart w:id="44" w:name="_Toc227727524"/>
      <w:r w:rsidRPr="00197603">
        <w:rPr>
          <w:snapToGrid w:val="0"/>
        </w:rPr>
        <w:t>Table .1 - % SAIFI per Cause by Office</w:t>
      </w:r>
      <w:bookmarkEnd w:id="40"/>
      <w:bookmarkEnd w:id="41"/>
      <w:bookmarkEnd w:id="42"/>
      <w:bookmarkEnd w:id="43"/>
      <w:bookmarkEnd w:id="44"/>
    </w:p>
    <w:p w:rsidR="00F71C11" w:rsidRDefault="00F71C11" w:rsidP="00F71C11">
      <w:r>
        <w:t xml:space="preserve">The following table lists the percentage SAIFI contribution by causes for outages excluding major event days. </w:t>
      </w:r>
    </w:p>
    <w:p w:rsidR="00F71C11" w:rsidRDefault="00F71C11" w:rsidP="00F71C11">
      <w:pPr>
        <w:rPr>
          <w:color w:val="000000"/>
        </w:rPr>
      </w:pPr>
    </w:p>
    <w:tbl>
      <w:tblPr>
        <w:tblW w:w="13760" w:type="dxa"/>
        <w:tblInd w:w="-90" w:type="dxa"/>
        <w:tblBorders>
          <w:top w:val="single" w:sz="24" w:space="0" w:color="auto"/>
          <w:left w:val="single" w:sz="24" w:space="0" w:color="auto"/>
          <w:bottom w:val="single" w:sz="24" w:space="0" w:color="auto"/>
          <w:right w:val="single" w:sz="24" w:space="0" w:color="auto"/>
          <w:insideV w:val="single" w:sz="12" w:space="0" w:color="auto"/>
        </w:tblBorders>
        <w:tblLayout w:type="fixed"/>
        <w:tblCellMar>
          <w:left w:w="0" w:type="dxa"/>
          <w:right w:w="0" w:type="dxa"/>
        </w:tblCellMar>
        <w:tblLook w:val="0000"/>
      </w:tblPr>
      <w:tblGrid>
        <w:gridCol w:w="1940"/>
        <w:gridCol w:w="1000"/>
        <w:gridCol w:w="910"/>
        <w:gridCol w:w="1000"/>
        <w:gridCol w:w="1000"/>
        <w:gridCol w:w="910"/>
        <w:gridCol w:w="1000"/>
        <w:gridCol w:w="1000"/>
        <w:gridCol w:w="910"/>
        <w:gridCol w:w="1000"/>
        <w:gridCol w:w="1000"/>
        <w:gridCol w:w="910"/>
        <w:gridCol w:w="1180"/>
      </w:tblGrid>
      <w:tr w:rsidR="000373E8" w:rsidTr="000373E8">
        <w:trPr>
          <w:trHeight w:val="420"/>
        </w:trPr>
        <w:tc>
          <w:tcPr>
            <w:tcW w:w="1940" w:type="dxa"/>
            <w:tcBorders>
              <w:top w:val="single" w:sz="24" w:space="0" w:color="auto"/>
              <w:bottom w:val="single" w:sz="24" w:space="0" w:color="auto"/>
            </w:tcBorders>
            <w:noWrap/>
            <w:vAlign w:val="bottom"/>
          </w:tcPr>
          <w:p w:rsidR="000373E8" w:rsidRDefault="000373E8" w:rsidP="000373E8">
            <w:pPr>
              <w:rPr>
                <w:rFonts w:ascii="Arial" w:eastAsia="Arial Unicode MS" w:hAnsi="Arial" w:cs="Arial"/>
                <w:b/>
                <w:bCs/>
                <w:szCs w:val="24"/>
              </w:rPr>
            </w:pPr>
            <w:r>
              <w:rPr>
                <w:rFonts w:ascii="Arial" w:hAnsi="Arial" w:cs="Arial"/>
                <w:b/>
                <w:bCs/>
              </w:rPr>
              <w:t>Reason</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CDC</w:t>
            </w:r>
          </w:p>
        </w:tc>
        <w:tc>
          <w:tcPr>
            <w:tcW w:w="91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COC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DAC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GRC</w:t>
            </w:r>
          </w:p>
        </w:tc>
        <w:tc>
          <w:tcPr>
            <w:tcW w:w="91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KEC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LCC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OTC</w:t>
            </w:r>
          </w:p>
        </w:tc>
        <w:tc>
          <w:tcPr>
            <w:tcW w:w="91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PAC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SAC</w:t>
            </w:r>
          </w:p>
        </w:tc>
        <w:tc>
          <w:tcPr>
            <w:tcW w:w="100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SPC</w:t>
            </w:r>
          </w:p>
        </w:tc>
        <w:tc>
          <w:tcPr>
            <w:tcW w:w="91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DPC</w:t>
            </w:r>
          </w:p>
        </w:tc>
        <w:tc>
          <w:tcPr>
            <w:tcW w:w="1180" w:type="dxa"/>
            <w:tcBorders>
              <w:top w:val="single" w:sz="24" w:space="0" w:color="auto"/>
              <w:bottom w:val="single" w:sz="2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All Offices</w:t>
            </w:r>
          </w:p>
        </w:tc>
      </w:tr>
      <w:tr w:rsidR="000373E8" w:rsidTr="000373E8">
        <w:trPr>
          <w:trHeight w:val="355"/>
        </w:trPr>
        <w:tc>
          <w:tcPr>
            <w:tcW w:w="1940" w:type="dxa"/>
            <w:tcBorders>
              <w:top w:val="single" w:sz="24" w:space="0" w:color="auto"/>
            </w:tcBorders>
            <w:noWrap/>
            <w:vAlign w:val="bottom"/>
          </w:tcPr>
          <w:p w:rsidR="000373E8" w:rsidRDefault="000373E8" w:rsidP="000373E8">
            <w:pPr>
              <w:rPr>
                <w:rFonts w:ascii="Arial" w:hAnsi="Arial" w:cs="Arial"/>
                <w:sz w:val="20"/>
              </w:rPr>
            </w:pPr>
            <w:r>
              <w:rPr>
                <w:rFonts w:ascii="Arial" w:hAnsi="Arial" w:cs="Arial"/>
                <w:sz w:val="20"/>
              </w:rPr>
              <w:t>ANIMAL</w:t>
            </w:r>
          </w:p>
        </w:tc>
        <w:tc>
          <w:tcPr>
            <w:tcW w:w="1000" w:type="dxa"/>
            <w:tcBorders>
              <w:top w:val="single" w:sz="24" w:space="0" w:color="auto"/>
            </w:tcBorders>
            <w:noWrap/>
            <w:vAlign w:val="center"/>
          </w:tcPr>
          <w:p w:rsidR="000373E8" w:rsidRPr="009A3970" w:rsidRDefault="000373E8" w:rsidP="000373E8">
            <w:pPr>
              <w:jc w:val="center"/>
            </w:pPr>
            <w:r w:rsidRPr="009A3970">
              <w:t>1.4%</w:t>
            </w:r>
          </w:p>
        </w:tc>
        <w:tc>
          <w:tcPr>
            <w:tcW w:w="910" w:type="dxa"/>
            <w:tcBorders>
              <w:top w:val="single" w:sz="24" w:space="0" w:color="auto"/>
            </w:tcBorders>
            <w:noWrap/>
            <w:vAlign w:val="center"/>
          </w:tcPr>
          <w:p w:rsidR="000373E8" w:rsidRPr="009A3970" w:rsidRDefault="000373E8" w:rsidP="000373E8">
            <w:pPr>
              <w:jc w:val="center"/>
            </w:pPr>
            <w:r w:rsidRPr="009A3970">
              <w:t>0.9%</w:t>
            </w:r>
          </w:p>
        </w:tc>
        <w:tc>
          <w:tcPr>
            <w:tcW w:w="1000" w:type="dxa"/>
            <w:tcBorders>
              <w:top w:val="single" w:sz="24" w:space="0" w:color="auto"/>
            </w:tcBorders>
            <w:noWrap/>
            <w:vAlign w:val="center"/>
          </w:tcPr>
          <w:p w:rsidR="000373E8" w:rsidRPr="009A3970" w:rsidRDefault="000373E8" w:rsidP="000373E8">
            <w:pPr>
              <w:jc w:val="center"/>
            </w:pPr>
            <w:r w:rsidRPr="009A3970">
              <w:t>4.1%</w:t>
            </w:r>
          </w:p>
        </w:tc>
        <w:tc>
          <w:tcPr>
            <w:tcW w:w="1000" w:type="dxa"/>
            <w:tcBorders>
              <w:top w:val="single" w:sz="24" w:space="0" w:color="auto"/>
            </w:tcBorders>
            <w:noWrap/>
            <w:vAlign w:val="center"/>
          </w:tcPr>
          <w:p w:rsidR="000373E8" w:rsidRPr="009A3970" w:rsidRDefault="000373E8" w:rsidP="000373E8">
            <w:pPr>
              <w:jc w:val="center"/>
            </w:pPr>
            <w:r w:rsidRPr="009A3970">
              <w:t>2.3%</w:t>
            </w:r>
          </w:p>
        </w:tc>
        <w:tc>
          <w:tcPr>
            <w:tcW w:w="910" w:type="dxa"/>
            <w:tcBorders>
              <w:top w:val="single" w:sz="24" w:space="0" w:color="auto"/>
            </w:tcBorders>
            <w:noWrap/>
            <w:vAlign w:val="center"/>
          </w:tcPr>
          <w:p w:rsidR="000373E8" w:rsidRPr="009A3970" w:rsidRDefault="000373E8" w:rsidP="000373E8">
            <w:pPr>
              <w:jc w:val="center"/>
            </w:pPr>
            <w:r w:rsidRPr="009A3970">
              <w:t>0.3%</w:t>
            </w:r>
          </w:p>
        </w:tc>
        <w:tc>
          <w:tcPr>
            <w:tcW w:w="1000" w:type="dxa"/>
            <w:tcBorders>
              <w:top w:val="single" w:sz="24" w:space="0" w:color="auto"/>
            </w:tcBorders>
            <w:noWrap/>
            <w:vAlign w:val="center"/>
          </w:tcPr>
          <w:p w:rsidR="000373E8" w:rsidRPr="009A3970" w:rsidRDefault="000373E8" w:rsidP="000373E8">
            <w:pPr>
              <w:jc w:val="center"/>
            </w:pPr>
            <w:r w:rsidRPr="009A3970">
              <w:t>2.0%</w:t>
            </w:r>
          </w:p>
        </w:tc>
        <w:tc>
          <w:tcPr>
            <w:tcW w:w="1000" w:type="dxa"/>
            <w:tcBorders>
              <w:top w:val="single" w:sz="24" w:space="0" w:color="auto"/>
            </w:tcBorders>
            <w:noWrap/>
            <w:vAlign w:val="center"/>
          </w:tcPr>
          <w:p w:rsidR="000373E8" w:rsidRPr="009A3970" w:rsidRDefault="000373E8" w:rsidP="000373E8">
            <w:pPr>
              <w:jc w:val="center"/>
            </w:pPr>
            <w:r w:rsidRPr="009A3970">
              <w:t>2.0%</w:t>
            </w:r>
          </w:p>
        </w:tc>
        <w:tc>
          <w:tcPr>
            <w:tcW w:w="910" w:type="dxa"/>
            <w:tcBorders>
              <w:top w:val="single" w:sz="24" w:space="0" w:color="auto"/>
            </w:tcBorders>
            <w:noWrap/>
            <w:vAlign w:val="center"/>
          </w:tcPr>
          <w:p w:rsidR="000373E8" w:rsidRPr="009A3970" w:rsidRDefault="000373E8" w:rsidP="000373E8">
            <w:pPr>
              <w:jc w:val="center"/>
            </w:pPr>
            <w:r w:rsidRPr="009A3970">
              <w:t>1.3%</w:t>
            </w:r>
          </w:p>
        </w:tc>
        <w:tc>
          <w:tcPr>
            <w:tcW w:w="1000" w:type="dxa"/>
            <w:tcBorders>
              <w:top w:val="single" w:sz="24" w:space="0" w:color="auto"/>
            </w:tcBorders>
            <w:noWrap/>
            <w:vAlign w:val="center"/>
          </w:tcPr>
          <w:p w:rsidR="000373E8" w:rsidRPr="009A3970" w:rsidRDefault="000373E8" w:rsidP="000373E8">
            <w:pPr>
              <w:jc w:val="center"/>
            </w:pPr>
            <w:r w:rsidRPr="009A3970">
              <w:t>9.8%</w:t>
            </w:r>
          </w:p>
        </w:tc>
        <w:tc>
          <w:tcPr>
            <w:tcW w:w="1000" w:type="dxa"/>
            <w:tcBorders>
              <w:top w:val="single" w:sz="24" w:space="0" w:color="auto"/>
            </w:tcBorders>
            <w:noWrap/>
            <w:vAlign w:val="center"/>
          </w:tcPr>
          <w:p w:rsidR="000373E8" w:rsidRPr="009A3970" w:rsidRDefault="000373E8" w:rsidP="000373E8">
            <w:pPr>
              <w:jc w:val="center"/>
            </w:pPr>
            <w:r w:rsidRPr="009A3970">
              <w:t>19.7%</w:t>
            </w:r>
          </w:p>
        </w:tc>
        <w:tc>
          <w:tcPr>
            <w:tcW w:w="910" w:type="dxa"/>
            <w:tcBorders>
              <w:top w:val="single" w:sz="24" w:space="0" w:color="auto"/>
            </w:tcBorders>
            <w:noWrap/>
            <w:vAlign w:val="center"/>
          </w:tcPr>
          <w:p w:rsidR="000373E8" w:rsidRPr="009A3970" w:rsidRDefault="000373E8" w:rsidP="000373E8">
            <w:pPr>
              <w:jc w:val="center"/>
            </w:pPr>
            <w:r w:rsidRPr="009A3970">
              <w:t>1.0%</w:t>
            </w:r>
          </w:p>
        </w:tc>
        <w:tc>
          <w:tcPr>
            <w:tcW w:w="1180" w:type="dxa"/>
            <w:tcBorders>
              <w:top w:val="single" w:sz="24" w:space="0" w:color="auto"/>
            </w:tcBorders>
            <w:noWrap/>
            <w:vAlign w:val="center"/>
          </w:tcPr>
          <w:p w:rsidR="000373E8" w:rsidRPr="009A3970" w:rsidRDefault="000373E8" w:rsidP="000373E8">
            <w:pPr>
              <w:jc w:val="center"/>
            </w:pPr>
            <w:r w:rsidRPr="009A3970">
              <w:t>7.0%</w:t>
            </w:r>
          </w:p>
        </w:tc>
      </w:tr>
      <w:tr w:rsidR="000373E8" w:rsidTr="000373E8">
        <w:trPr>
          <w:trHeight w:val="356"/>
        </w:trPr>
        <w:tc>
          <w:tcPr>
            <w:tcW w:w="1940" w:type="dxa"/>
            <w:tcBorders>
              <w:bottom w:val="nil"/>
            </w:tcBorders>
            <w:noWrap/>
            <w:vAlign w:val="bottom"/>
          </w:tcPr>
          <w:p w:rsidR="000373E8" w:rsidRDefault="000373E8" w:rsidP="000373E8">
            <w:pPr>
              <w:rPr>
                <w:rFonts w:ascii="Arial" w:hAnsi="Arial" w:cs="Arial"/>
                <w:sz w:val="20"/>
              </w:rPr>
            </w:pPr>
            <w:r>
              <w:rPr>
                <w:rFonts w:ascii="Arial" w:hAnsi="Arial" w:cs="Arial"/>
                <w:sz w:val="20"/>
              </w:rPr>
              <w:t>MISCELLANEOUS</w:t>
            </w:r>
          </w:p>
        </w:tc>
        <w:tc>
          <w:tcPr>
            <w:tcW w:w="1000" w:type="dxa"/>
            <w:tcBorders>
              <w:bottom w:val="nil"/>
            </w:tcBorders>
            <w:noWrap/>
            <w:vAlign w:val="center"/>
          </w:tcPr>
          <w:p w:rsidR="000373E8" w:rsidRPr="009A3970" w:rsidRDefault="000373E8" w:rsidP="000373E8">
            <w:pPr>
              <w:jc w:val="center"/>
            </w:pPr>
            <w:r w:rsidRPr="009A3970">
              <w:t>0.1%</w:t>
            </w:r>
          </w:p>
        </w:tc>
        <w:tc>
          <w:tcPr>
            <w:tcW w:w="910" w:type="dxa"/>
            <w:tcBorders>
              <w:bottom w:val="nil"/>
            </w:tcBorders>
            <w:noWrap/>
            <w:vAlign w:val="center"/>
          </w:tcPr>
          <w:p w:rsidR="000373E8" w:rsidRPr="009A3970" w:rsidRDefault="000373E8" w:rsidP="000373E8">
            <w:pPr>
              <w:jc w:val="center"/>
            </w:pPr>
            <w:r w:rsidRPr="009A3970">
              <w:t>1.8%</w:t>
            </w:r>
          </w:p>
        </w:tc>
        <w:tc>
          <w:tcPr>
            <w:tcW w:w="1000" w:type="dxa"/>
            <w:tcBorders>
              <w:bottom w:val="nil"/>
            </w:tcBorders>
            <w:noWrap/>
            <w:vAlign w:val="center"/>
          </w:tcPr>
          <w:p w:rsidR="000373E8" w:rsidRPr="009A3970" w:rsidRDefault="000373E8" w:rsidP="000373E8">
            <w:pPr>
              <w:jc w:val="center"/>
            </w:pPr>
            <w:r w:rsidRPr="009A3970">
              <w:t>1.1%</w:t>
            </w:r>
          </w:p>
        </w:tc>
        <w:tc>
          <w:tcPr>
            <w:tcW w:w="1000" w:type="dxa"/>
            <w:tcBorders>
              <w:bottom w:val="nil"/>
            </w:tcBorders>
            <w:noWrap/>
            <w:vAlign w:val="center"/>
          </w:tcPr>
          <w:p w:rsidR="000373E8" w:rsidRPr="009A3970" w:rsidRDefault="000373E8" w:rsidP="000373E8">
            <w:pPr>
              <w:jc w:val="center"/>
            </w:pPr>
            <w:r w:rsidRPr="009A3970">
              <w:t>0.0%</w:t>
            </w:r>
          </w:p>
        </w:tc>
        <w:tc>
          <w:tcPr>
            <w:tcW w:w="910" w:type="dxa"/>
            <w:tcBorders>
              <w:bottom w:val="nil"/>
            </w:tcBorders>
            <w:noWrap/>
            <w:vAlign w:val="center"/>
          </w:tcPr>
          <w:p w:rsidR="000373E8" w:rsidRPr="009A3970" w:rsidRDefault="000373E8" w:rsidP="000373E8">
            <w:pPr>
              <w:jc w:val="center"/>
            </w:pPr>
            <w:r w:rsidRPr="009A3970">
              <w:t>0.0%</w:t>
            </w:r>
          </w:p>
        </w:tc>
        <w:tc>
          <w:tcPr>
            <w:tcW w:w="1000" w:type="dxa"/>
            <w:tcBorders>
              <w:bottom w:val="nil"/>
            </w:tcBorders>
            <w:noWrap/>
            <w:vAlign w:val="center"/>
          </w:tcPr>
          <w:p w:rsidR="000373E8" w:rsidRPr="009A3970" w:rsidRDefault="000373E8" w:rsidP="000373E8">
            <w:pPr>
              <w:jc w:val="center"/>
            </w:pPr>
            <w:r w:rsidRPr="009A3970">
              <w:t>5.3%</w:t>
            </w:r>
          </w:p>
        </w:tc>
        <w:tc>
          <w:tcPr>
            <w:tcW w:w="1000" w:type="dxa"/>
            <w:tcBorders>
              <w:bottom w:val="nil"/>
            </w:tcBorders>
            <w:noWrap/>
            <w:vAlign w:val="center"/>
          </w:tcPr>
          <w:p w:rsidR="000373E8" w:rsidRPr="009A3970" w:rsidRDefault="000373E8" w:rsidP="000373E8">
            <w:pPr>
              <w:jc w:val="center"/>
            </w:pPr>
            <w:r w:rsidRPr="009A3970">
              <w:t>0.0%</w:t>
            </w:r>
          </w:p>
        </w:tc>
        <w:tc>
          <w:tcPr>
            <w:tcW w:w="910" w:type="dxa"/>
            <w:tcBorders>
              <w:bottom w:val="nil"/>
            </w:tcBorders>
            <w:noWrap/>
            <w:vAlign w:val="center"/>
          </w:tcPr>
          <w:p w:rsidR="000373E8" w:rsidRPr="009A3970" w:rsidRDefault="000373E8" w:rsidP="000373E8">
            <w:pPr>
              <w:jc w:val="center"/>
            </w:pPr>
            <w:r w:rsidRPr="009A3970">
              <w:t>2.3%</w:t>
            </w:r>
          </w:p>
        </w:tc>
        <w:tc>
          <w:tcPr>
            <w:tcW w:w="1000" w:type="dxa"/>
            <w:tcBorders>
              <w:bottom w:val="nil"/>
            </w:tcBorders>
            <w:noWrap/>
            <w:vAlign w:val="center"/>
          </w:tcPr>
          <w:p w:rsidR="000373E8" w:rsidRPr="009A3970" w:rsidRDefault="000373E8" w:rsidP="000373E8">
            <w:pPr>
              <w:jc w:val="center"/>
            </w:pPr>
            <w:r w:rsidRPr="009A3970">
              <w:t>0.6%</w:t>
            </w:r>
          </w:p>
        </w:tc>
        <w:tc>
          <w:tcPr>
            <w:tcW w:w="1000" w:type="dxa"/>
            <w:tcBorders>
              <w:bottom w:val="nil"/>
            </w:tcBorders>
            <w:noWrap/>
            <w:vAlign w:val="center"/>
          </w:tcPr>
          <w:p w:rsidR="000373E8" w:rsidRPr="009A3970" w:rsidRDefault="000373E8" w:rsidP="000373E8">
            <w:pPr>
              <w:jc w:val="center"/>
            </w:pPr>
            <w:r w:rsidRPr="009A3970">
              <w:t>0.3%</w:t>
            </w:r>
          </w:p>
        </w:tc>
        <w:tc>
          <w:tcPr>
            <w:tcW w:w="910" w:type="dxa"/>
            <w:tcBorders>
              <w:bottom w:val="nil"/>
            </w:tcBorders>
            <w:noWrap/>
            <w:vAlign w:val="center"/>
          </w:tcPr>
          <w:p w:rsidR="000373E8" w:rsidRPr="009A3970" w:rsidRDefault="000373E8" w:rsidP="000373E8">
            <w:pPr>
              <w:jc w:val="center"/>
            </w:pPr>
            <w:r w:rsidRPr="009A3970">
              <w:t>0.0%</w:t>
            </w:r>
          </w:p>
        </w:tc>
        <w:tc>
          <w:tcPr>
            <w:tcW w:w="1180" w:type="dxa"/>
            <w:tcBorders>
              <w:bottom w:val="nil"/>
            </w:tcBorders>
            <w:noWrap/>
            <w:vAlign w:val="center"/>
          </w:tcPr>
          <w:p w:rsidR="000373E8" w:rsidRPr="009A3970" w:rsidRDefault="000373E8" w:rsidP="000373E8">
            <w:pPr>
              <w:jc w:val="center"/>
            </w:pPr>
            <w:r w:rsidRPr="009A3970">
              <w:t>1.0%</w:t>
            </w:r>
          </w:p>
        </w:tc>
      </w:tr>
      <w:tr w:rsidR="000373E8" w:rsidTr="000373E8">
        <w:trPr>
          <w:trHeight w:val="356"/>
        </w:trPr>
        <w:tc>
          <w:tcPr>
            <w:tcW w:w="1940" w:type="dxa"/>
            <w:tcBorders>
              <w:top w:val="nil"/>
              <w:bottom w:val="nil"/>
            </w:tcBorders>
            <w:noWrap/>
            <w:vAlign w:val="bottom"/>
          </w:tcPr>
          <w:p w:rsidR="000373E8" w:rsidRDefault="000373E8" w:rsidP="000373E8">
            <w:pPr>
              <w:rPr>
                <w:rFonts w:ascii="Arial" w:hAnsi="Arial" w:cs="Arial"/>
                <w:sz w:val="20"/>
              </w:rPr>
            </w:pPr>
            <w:r>
              <w:rPr>
                <w:rFonts w:ascii="Arial" w:hAnsi="Arial" w:cs="Arial"/>
                <w:sz w:val="20"/>
              </w:rPr>
              <w:t>POLE FIRE</w:t>
            </w:r>
          </w:p>
        </w:tc>
        <w:tc>
          <w:tcPr>
            <w:tcW w:w="1000" w:type="dxa"/>
            <w:tcBorders>
              <w:top w:val="nil"/>
              <w:bottom w:val="nil"/>
            </w:tcBorders>
            <w:noWrap/>
            <w:vAlign w:val="center"/>
          </w:tcPr>
          <w:p w:rsidR="000373E8" w:rsidRPr="009A3970" w:rsidRDefault="000373E8" w:rsidP="000373E8">
            <w:pPr>
              <w:jc w:val="center"/>
            </w:pPr>
            <w:r w:rsidRPr="009A3970">
              <w:t>0.5%</w:t>
            </w:r>
          </w:p>
        </w:tc>
        <w:tc>
          <w:tcPr>
            <w:tcW w:w="910" w:type="dxa"/>
            <w:tcBorders>
              <w:top w:val="nil"/>
              <w:bottom w:val="nil"/>
            </w:tcBorders>
            <w:noWrap/>
            <w:vAlign w:val="center"/>
          </w:tcPr>
          <w:p w:rsidR="000373E8" w:rsidRPr="009A3970" w:rsidRDefault="000373E8" w:rsidP="000373E8">
            <w:pPr>
              <w:jc w:val="center"/>
            </w:pPr>
            <w:r w:rsidRPr="009A3970">
              <w:t>8.9%</w:t>
            </w:r>
          </w:p>
        </w:tc>
        <w:tc>
          <w:tcPr>
            <w:tcW w:w="1000" w:type="dxa"/>
            <w:tcBorders>
              <w:top w:val="nil"/>
              <w:bottom w:val="nil"/>
            </w:tcBorders>
            <w:noWrap/>
            <w:vAlign w:val="center"/>
          </w:tcPr>
          <w:p w:rsidR="000373E8" w:rsidRPr="009A3970" w:rsidRDefault="000373E8" w:rsidP="000373E8">
            <w:pPr>
              <w:jc w:val="center"/>
            </w:pPr>
            <w:r w:rsidRPr="009A3970">
              <w:t>6.3%</w:t>
            </w:r>
          </w:p>
        </w:tc>
        <w:tc>
          <w:tcPr>
            <w:tcW w:w="1000" w:type="dxa"/>
            <w:tcBorders>
              <w:top w:val="nil"/>
              <w:bottom w:val="nil"/>
            </w:tcBorders>
            <w:noWrap/>
            <w:vAlign w:val="center"/>
          </w:tcPr>
          <w:p w:rsidR="000373E8" w:rsidRPr="009A3970" w:rsidRDefault="000373E8" w:rsidP="000373E8">
            <w:pPr>
              <w:jc w:val="center"/>
            </w:pPr>
            <w:r w:rsidRPr="009A3970">
              <w:t>5.0%</w:t>
            </w:r>
          </w:p>
        </w:tc>
        <w:tc>
          <w:tcPr>
            <w:tcW w:w="910" w:type="dxa"/>
            <w:tcBorders>
              <w:top w:val="nil"/>
              <w:bottom w:val="nil"/>
            </w:tcBorders>
            <w:noWrap/>
            <w:vAlign w:val="center"/>
          </w:tcPr>
          <w:p w:rsidR="000373E8" w:rsidRPr="009A3970" w:rsidRDefault="000373E8" w:rsidP="000373E8">
            <w:pPr>
              <w:jc w:val="center"/>
            </w:pPr>
            <w:r w:rsidRPr="009A3970">
              <w:t>0.2%</w:t>
            </w:r>
          </w:p>
        </w:tc>
        <w:tc>
          <w:tcPr>
            <w:tcW w:w="1000" w:type="dxa"/>
            <w:tcBorders>
              <w:top w:val="nil"/>
              <w:bottom w:val="nil"/>
            </w:tcBorders>
            <w:noWrap/>
            <w:vAlign w:val="center"/>
          </w:tcPr>
          <w:p w:rsidR="000373E8" w:rsidRPr="009A3970" w:rsidRDefault="000373E8" w:rsidP="000373E8">
            <w:pPr>
              <w:jc w:val="center"/>
            </w:pPr>
            <w:r w:rsidRPr="009A3970">
              <w:t>16.1%</w:t>
            </w:r>
          </w:p>
        </w:tc>
        <w:tc>
          <w:tcPr>
            <w:tcW w:w="1000" w:type="dxa"/>
            <w:tcBorders>
              <w:top w:val="nil"/>
              <w:bottom w:val="nil"/>
            </w:tcBorders>
            <w:noWrap/>
            <w:vAlign w:val="center"/>
          </w:tcPr>
          <w:p w:rsidR="000373E8" w:rsidRPr="009A3970" w:rsidRDefault="000373E8" w:rsidP="000373E8">
            <w:pPr>
              <w:jc w:val="center"/>
            </w:pPr>
            <w:r w:rsidRPr="009A3970">
              <w:t>5.3%</w:t>
            </w:r>
          </w:p>
        </w:tc>
        <w:tc>
          <w:tcPr>
            <w:tcW w:w="910" w:type="dxa"/>
            <w:tcBorders>
              <w:top w:val="nil"/>
              <w:bottom w:val="nil"/>
            </w:tcBorders>
            <w:noWrap/>
            <w:vAlign w:val="center"/>
          </w:tcPr>
          <w:p w:rsidR="000373E8" w:rsidRPr="009A3970" w:rsidRDefault="000373E8" w:rsidP="000373E8">
            <w:pPr>
              <w:jc w:val="center"/>
            </w:pPr>
            <w:r w:rsidRPr="009A3970">
              <w:t>3.8%</w:t>
            </w:r>
          </w:p>
        </w:tc>
        <w:tc>
          <w:tcPr>
            <w:tcW w:w="1000" w:type="dxa"/>
            <w:tcBorders>
              <w:top w:val="nil"/>
              <w:bottom w:val="nil"/>
            </w:tcBorders>
            <w:noWrap/>
            <w:vAlign w:val="center"/>
          </w:tcPr>
          <w:p w:rsidR="000373E8" w:rsidRPr="009A3970" w:rsidRDefault="000373E8" w:rsidP="000373E8">
            <w:pPr>
              <w:jc w:val="center"/>
            </w:pPr>
            <w:r w:rsidRPr="009A3970">
              <w:t>3.9%</w:t>
            </w:r>
          </w:p>
        </w:tc>
        <w:tc>
          <w:tcPr>
            <w:tcW w:w="1000" w:type="dxa"/>
            <w:tcBorders>
              <w:top w:val="nil"/>
              <w:bottom w:val="nil"/>
            </w:tcBorders>
            <w:noWrap/>
            <w:vAlign w:val="center"/>
          </w:tcPr>
          <w:p w:rsidR="000373E8" w:rsidRPr="009A3970" w:rsidRDefault="000373E8" w:rsidP="000373E8">
            <w:pPr>
              <w:jc w:val="center"/>
            </w:pPr>
            <w:r w:rsidRPr="009A3970">
              <w:t>7.2%</w:t>
            </w:r>
          </w:p>
        </w:tc>
        <w:tc>
          <w:tcPr>
            <w:tcW w:w="910" w:type="dxa"/>
            <w:tcBorders>
              <w:top w:val="nil"/>
              <w:bottom w:val="nil"/>
            </w:tcBorders>
            <w:noWrap/>
            <w:vAlign w:val="center"/>
          </w:tcPr>
          <w:p w:rsidR="000373E8" w:rsidRPr="009A3970" w:rsidRDefault="000373E8" w:rsidP="000373E8">
            <w:pPr>
              <w:jc w:val="center"/>
            </w:pPr>
            <w:r w:rsidRPr="009A3970">
              <w:t>15.4%</w:t>
            </w:r>
          </w:p>
        </w:tc>
        <w:tc>
          <w:tcPr>
            <w:tcW w:w="1180" w:type="dxa"/>
            <w:tcBorders>
              <w:top w:val="nil"/>
              <w:bottom w:val="nil"/>
            </w:tcBorders>
            <w:noWrap/>
            <w:vAlign w:val="center"/>
          </w:tcPr>
          <w:p w:rsidR="000373E8" w:rsidRPr="009A3970" w:rsidRDefault="000373E8" w:rsidP="000373E8">
            <w:pPr>
              <w:jc w:val="center"/>
            </w:pPr>
            <w:r w:rsidRPr="009A3970">
              <w:t>5.8%</w:t>
            </w:r>
          </w:p>
        </w:tc>
      </w:tr>
      <w:tr w:rsidR="000373E8" w:rsidTr="000373E8">
        <w:trPr>
          <w:trHeight w:val="355"/>
        </w:trPr>
        <w:tc>
          <w:tcPr>
            <w:tcW w:w="1940" w:type="dxa"/>
            <w:tcBorders>
              <w:top w:val="nil"/>
              <w:bottom w:val="single" w:sz="6" w:space="0" w:color="auto"/>
            </w:tcBorders>
            <w:noWrap/>
            <w:vAlign w:val="bottom"/>
          </w:tcPr>
          <w:p w:rsidR="000373E8" w:rsidRDefault="000373E8" w:rsidP="000373E8">
            <w:pPr>
              <w:rPr>
                <w:rFonts w:ascii="Arial" w:hAnsi="Arial" w:cs="Arial"/>
                <w:sz w:val="20"/>
              </w:rPr>
            </w:pPr>
            <w:r>
              <w:rPr>
                <w:rFonts w:ascii="Arial" w:hAnsi="Arial" w:cs="Arial"/>
                <w:sz w:val="20"/>
              </w:rPr>
              <w:t>WEATHER</w:t>
            </w:r>
          </w:p>
        </w:tc>
        <w:tc>
          <w:tcPr>
            <w:tcW w:w="1000" w:type="dxa"/>
            <w:tcBorders>
              <w:top w:val="nil"/>
              <w:bottom w:val="single" w:sz="6" w:space="0" w:color="auto"/>
            </w:tcBorders>
            <w:noWrap/>
            <w:vAlign w:val="center"/>
          </w:tcPr>
          <w:p w:rsidR="000373E8" w:rsidRPr="009A3970" w:rsidRDefault="000373E8" w:rsidP="000373E8">
            <w:pPr>
              <w:jc w:val="center"/>
            </w:pPr>
            <w:r w:rsidRPr="009A3970">
              <w:t>39.0%</w:t>
            </w:r>
          </w:p>
        </w:tc>
        <w:tc>
          <w:tcPr>
            <w:tcW w:w="910" w:type="dxa"/>
            <w:tcBorders>
              <w:top w:val="nil"/>
              <w:bottom w:val="single" w:sz="6" w:space="0" w:color="auto"/>
            </w:tcBorders>
            <w:noWrap/>
            <w:vAlign w:val="center"/>
          </w:tcPr>
          <w:p w:rsidR="000373E8" w:rsidRPr="009A3970" w:rsidRDefault="000373E8" w:rsidP="000373E8">
            <w:pPr>
              <w:jc w:val="center"/>
            </w:pPr>
            <w:r w:rsidRPr="009A3970">
              <w:t>20.5%</w:t>
            </w:r>
          </w:p>
        </w:tc>
        <w:tc>
          <w:tcPr>
            <w:tcW w:w="1000" w:type="dxa"/>
            <w:tcBorders>
              <w:top w:val="nil"/>
              <w:bottom w:val="single" w:sz="6" w:space="0" w:color="auto"/>
            </w:tcBorders>
            <w:noWrap/>
            <w:vAlign w:val="center"/>
          </w:tcPr>
          <w:p w:rsidR="000373E8" w:rsidRPr="009A3970" w:rsidRDefault="000373E8" w:rsidP="000373E8">
            <w:pPr>
              <w:jc w:val="center"/>
            </w:pPr>
            <w:r w:rsidRPr="009A3970">
              <w:t>23.8%</w:t>
            </w:r>
          </w:p>
        </w:tc>
        <w:tc>
          <w:tcPr>
            <w:tcW w:w="1000" w:type="dxa"/>
            <w:tcBorders>
              <w:top w:val="nil"/>
              <w:bottom w:val="single" w:sz="6" w:space="0" w:color="auto"/>
            </w:tcBorders>
            <w:noWrap/>
            <w:vAlign w:val="center"/>
          </w:tcPr>
          <w:p w:rsidR="000373E8" w:rsidRPr="009A3970" w:rsidRDefault="000373E8" w:rsidP="000373E8">
            <w:pPr>
              <w:jc w:val="center"/>
            </w:pPr>
            <w:r w:rsidRPr="009A3970">
              <w:t>11.6%</w:t>
            </w:r>
          </w:p>
        </w:tc>
        <w:tc>
          <w:tcPr>
            <w:tcW w:w="910" w:type="dxa"/>
            <w:tcBorders>
              <w:top w:val="nil"/>
              <w:bottom w:val="single" w:sz="6" w:space="0" w:color="auto"/>
            </w:tcBorders>
            <w:noWrap/>
            <w:vAlign w:val="center"/>
          </w:tcPr>
          <w:p w:rsidR="000373E8" w:rsidRPr="009A3970" w:rsidRDefault="000373E8" w:rsidP="000373E8">
            <w:pPr>
              <w:jc w:val="center"/>
            </w:pPr>
            <w:r w:rsidRPr="009A3970">
              <w:t>34.9%</w:t>
            </w:r>
          </w:p>
        </w:tc>
        <w:tc>
          <w:tcPr>
            <w:tcW w:w="1000" w:type="dxa"/>
            <w:tcBorders>
              <w:top w:val="nil"/>
              <w:bottom w:val="single" w:sz="6" w:space="0" w:color="auto"/>
            </w:tcBorders>
            <w:noWrap/>
            <w:vAlign w:val="center"/>
          </w:tcPr>
          <w:p w:rsidR="000373E8" w:rsidRPr="009A3970" w:rsidRDefault="000373E8" w:rsidP="000373E8">
            <w:pPr>
              <w:jc w:val="center"/>
            </w:pPr>
            <w:r w:rsidRPr="009A3970">
              <w:t>22.0%</w:t>
            </w:r>
          </w:p>
        </w:tc>
        <w:tc>
          <w:tcPr>
            <w:tcW w:w="1000" w:type="dxa"/>
            <w:tcBorders>
              <w:top w:val="nil"/>
              <w:bottom w:val="single" w:sz="6" w:space="0" w:color="auto"/>
            </w:tcBorders>
            <w:noWrap/>
            <w:vAlign w:val="center"/>
          </w:tcPr>
          <w:p w:rsidR="000373E8" w:rsidRPr="009A3970" w:rsidRDefault="000373E8" w:rsidP="000373E8">
            <w:pPr>
              <w:jc w:val="center"/>
            </w:pPr>
            <w:r w:rsidRPr="009A3970">
              <w:t>22.6%</w:t>
            </w:r>
          </w:p>
        </w:tc>
        <w:tc>
          <w:tcPr>
            <w:tcW w:w="910" w:type="dxa"/>
            <w:tcBorders>
              <w:top w:val="nil"/>
              <w:bottom w:val="single" w:sz="6" w:space="0" w:color="auto"/>
            </w:tcBorders>
            <w:noWrap/>
            <w:vAlign w:val="center"/>
          </w:tcPr>
          <w:p w:rsidR="000373E8" w:rsidRPr="009A3970" w:rsidRDefault="000373E8" w:rsidP="000373E8">
            <w:pPr>
              <w:jc w:val="center"/>
            </w:pPr>
            <w:r w:rsidRPr="009A3970">
              <w:t>42.5%</w:t>
            </w:r>
          </w:p>
        </w:tc>
        <w:tc>
          <w:tcPr>
            <w:tcW w:w="1000" w:type="dxa"/>
            <w:tcBorders>
              <w:top w:val="nil"/>
              <w:bottom w:val="single" w:sz="6" w:space="0" w:color="auto"/>
            </w:tcBorders>
            <w:noWrap/>
            <w:vAlign w:val="center"/>
          </w:tcPr>
          <w:p w:rsidR="000373E8" w:rsidRPr="009A3970" w:rsidRDefault="000373E8" w:rsidP="000373E8">
            <w:pPr>
              <w:jc w:val="center"/>
            </w:pPr>
            <w:r w:rsidRPr="009A3970">
              <w:t>37.7%</w:t>
            </w:r>
          </w:p>
        </w:tc>
        <w:tc>
          <w:tcPr>
            <w:tcW w:w="1000" w:type="dxa"/>
            <w:tcBorders>
              <w:top w:val="nil"/>
              <w:bottom w:val="single" w:sz="6" w:space="0" w:color="auto"/>
            </w:tcBorders>
            <w:noWrap/>
            <w:vAlign w:val="center"/>
          </w:tcPr>
          <w:p w:rsidR="000373E8" w:rsidRPr="009A3970" w:rsidRDefault="000373E8" w:rsidP="000373E8">
            <w:pPr>
              <w:jc w:val="center"/>
            </w:pPr>
            <w:r w:rsidRPr="009A3970">
              <w:t>12.5%</w:t>
            </w:r>
          </w:p>
        </w:tc>
        <w:tc>
          <w:tcPr>
            <w:tcW w:w="910" w:type="dxa"/>
            <w:tcBorders>
              <w:top w:val="nil"/>
              <w:bottom w:val="single" w:sz="6" w:space="0" w:color="auto"/>
            </w:tcBorders>
            <w:noWrap/>
            <w:vAlign w:val="center"/>
          </w:tcPr>
          <w:p w:rsidR="000373E8" w:rsidRPr="009A3970" w:rsidRDefault="000373E8" w:rsidP="000373E8">
            <w:pPr>
              <w:jc w:val="center"/>
            </w:pPr>
            <w:r w:rsidRPr="009A3970">
              <w:t>31.4%</w:t>
            </w:r>
          </w:p>
        </w:tc>
        <w:tc>
          <w:tcPr>
            <w:tcW w:w="1180" w:type="dxa"/>
            <w:tcBorders>
              <w:top w:val="nil"/>
              <w:bottom w:val="single" w:sz="6" w:space="0" w:color="auto"/>
            </w:tcBorders>
            <w:noWrap/>
            <w:vAlign w:val="center"/>
          </w:tcPr>
          <w:p w:rsidR="000373E8" w:rsidRPr="009A3970" w:rsidRDefault="000373E8" w:rsidP="000373E8">
            <w:pPr>
              <w:jc w:val="center"/>
            </w:pPr>
            <w:r w:rsidRPr="009A3970">
              <w:t>24.9%</w:t>
            </w:r>
          </w:p>
        </w:tc>
      </w:tr>
      <w:tr w:rsidR="000373E8" w:rsidTr="000373E8">
        <w:trPr>
          <w:trHeight w:val="356"/>
        </w:trPr>
        <w:tc>
          <w:tcPr>
            <w:tcW w:w="1940" w:type="dxa"/>
            <w:tcBorders>
              <w:top w:val="single" w:sz="6" w:space="0" w:color="auto"/>
            </w:tcBorders>
            <w:noWrap/>
            <w:vAlign w:val="bottom"/>
          </w:tcPr>
          <w:p w:rsidR="000373E8" w:rsidRDefault="000373E8" w:rsidP="000373E8">
            <w:pPr>
              <w:rPr>
                <w:rFonts w:ascii="Arial" w:hAnsi="Arial" w:cs="Arial"/>
                <w:sz w:val="20"/>
              </w:rPr>
            </w:pPr>
            <w:r>
              <w:rPr>
                <w:rFonts w:ascii="Arial" w:hAnsi="Arial" w:cs="Arial"/>
                <w:sz w:val="20"/>
              </w:rPr>
              <w:t>UNDETERMINED</w:t>
            </w:r>
          </w:p>
        </w:tc>
        <w:tc>
          <w:tcPr>
            <w:tcW w:w="1000" w:type="dxa"/>
            <w:tcBorders>
              <w:top w:val="single" w:sz="6" w:space="0" w:color="auto"/>
            </w:tcBorders>
            <w:noWrap/>
            <w:vAlign w:val="center"/>
          </w:tcPr>
          <w:p w:rsidR="000373E8" w:rsidRPr="009A3970" w:rsidRDefault="000373E8" w:rsidP="000373E8">
            <w:pPr>
              <w:jc w:val="center"/>
            </w:pPr>
            <w:r w:rsidRPr="009A3970">
              <w:t>9.2%</w:t>
            </w:r>
          </w:p>
        </w:tc>
        <w:tc>
          <w:tcPr>
            <w:tcW w:w="910" w:type="dxa"/>
            <w:tcBorders>
              <w:top w:val="single" w:sz="6" w:space="0" w:color="auto"/>
            </w:tcBorders>
            <w:noWrap/>
            <w:vAlign w:val="center"/>
          </w:tcPr>
          <w:p w:rsidR="000373E8" w:rsidRPr="009A3970" w:rsidRDefault="000373E8" w:rsidP="000373E8">
            <w:pPr>
              <w:jc w:val="center"/>
            </w:pPr>
            <w:r w:rsidRPr="009A3970">
              <w:t>18.4%</w:t>
            </w:r>
          </w:p>
        </w:tc>
        <w:tc>
          <w:tcPr>
            <w:tcW w:w="1000" w:type="dxa"/>
            <w:tcBorders>
              <w:top w:val="single" w:sz="6" w:space="0" w:color="auto"/>
            </w:tcBorders>
            <w:noWrap/>
            <w:vAlign w:val="center"/>
          </w:tcPr>
          <w:p w:rsidR="000373E8" w:rsidRPr="009A3970" w:rsidRDefault="000373E8" w:rsidP="000373E8">
            <w:pPr>
              <w:jc w:val="center"/>
            </w:pPr>
            <w:r w:rsidRPr="009A3970">
              <w:t>28.2%</w:t>
            </w:r>
          </w:p>
        </w:tc>
        <w:tc>
          <w:tcPr>
            <w:tcW w:w="1000" w:type="dxa"/>
            <w:tcBorders>
              <w:top w:val="single" w:sz="6" w:space="0" w:color="auto"/>
            </w:tcBorders>
            <w:noWrap/>
            <w:vAlign w:val="center"/>
          </w:tcPr>
          <w:p w:rsidR="000373E8" w:rsidRPr="009A3970" w:rsidRDefault="000373E8" w:rsidP="000373E8">
            <w:pPr>
              <w:jc w:val="center"/>
            </w:pPr>
            <w:r w:rsidRPr="009A3970">
              <w:t>12.9%</w:t>
            </w:r>
          </w:p>
        </w:tc>
        <w:tc>
          <w:tcPr>
            <w:tcW w:w="910" w:type="dxa"/>
            <w:tcBorders>
              <w:top w:val="single" w:sz="6" w:space="0" w:color="auto"/>
            </w:tcBorders>
            <w:noWrap/>
            <w:vAlign w:val="center"/>
          </w:tcPr>
          <w:p w:rsidR="000373E8" w:rsidRPr="009A3970" w:rsidRDefault="000373E8" w:rsidP="000373E8">
            <w:pPr>
              <w:jc w:val="center"/>
            </w:pPr>
            <w:r w:rsidRPr="009A3970">
              <w:t>18.0%</w:t>
            </w:r>
          </w:p>
        </w:tc>
        <w:tc>
          <w:tcPr>
            <w:tcW w:w="1000" w:type="dxa"/>
            <w:tcBorders>
              <w:top w:val="single" w:sz="6" w:space="0" w:color="auto"/>
            </w:tcBorders>
            <w:noWrap/>
            <w:vAlign w:val="center"/>
          </w:tcPr>
          <w:p w:rsidR="000373E8" w:rsidRPr="009A3970" w:rsidRDefault="000373E8" w:rsidP="000373E8">
            <w:pPr>
              <w:jc w:val="center"/>
            </w:pPr>
            <w:r w:rsidRPr="009A3970">
              <w:t>13.1%</w:t>
            </w:r>
          </w:p>
        </w:tc>
        <w:tc>
          <w:tcPr>
            <w:tcW w:w="1000" w:type="dxa"/>
            <w:tcBorders>
              <w:top w:val="single" w:sz="6" w:space="0" w:color="auto"/>
            </w:tcBorders>
            <w:noWrap/>
            <w:vAlign w:val="center"/>
          </w:tcPr>
          <w:p w:rsidR="000373E8" w:rsidRPr="009A3970" w:rsidRDefault="000373E8" w:rsidP="000373E8">
            <w:pPr>
              <w:jc w:val="center"/>
            </w:pPr>
            <w:r w:rsidRPr="009A3970">
              <w:t>39.9%</w:t>
            </w:r>
          </w:p>
        </w:tc>
        <w:tc>
          <w:tcPr>
            <w:tcW w:w="910" w:type="dxa"/>
            <w:tcBorders>
              <w:top w:val="single" w:sz="6" w:space="0" w:color="auto"/>
            </w:tcBorders>
            <w:noWrap/>
            <w:vAlign w:val="center"/>
          </w:tcPr>
          <w:p w:rsidR="000373E8" w:rsidRPr="009A3970" w:rsidRDefault="000373E8" w:rsidP="000373E8">
            <w:pPr>
              <w:jc w:val="center"/>
            </w:pPr>
            <w:r w:rsidRPr="009A3970">
              <w:t>16.6%</w:t>
            </w:r>
          </w:p>
        </w:tc>
        <w:tc>
          <w:tcPr>
            <w:tcW w:w="1000" w:type="dxa"/>
            <w:tcBorders>
              <w:top w:val="single" w:sz="6" w:space="0" w:color="auto"/>
            </w:tcBorders>
            <w:noWrap/>
            <w:vAlign w:val="center"/>
          </w:tcPr>
          <w:p w:rsidR="000373E8" w:rsidRPr="009A3970" w:rsidRDefault="000373E8" w:rsidP="000373E8">
            <w:pPr>
              <w:jc w:val="center"/>
            </w:pPr>
            <w:r w:rsidRPr="009A3970">
              <w:t>3.0%</w:t>
            </w:r>
          </w:p>
        </w:tc>
        <w:tc>
          <w:tcPr>
            <w:tcW w:w="1000" w:type="dxa"/>
            <w:tcBorders>
              <w:top w:val="single" w:sz="6" w:space="0" w:color="auto"/>
            </w:tcBorders>
            <w:noWrap/>
            <w:vAlign w:val="center"/>
          </w:tcPr>
          <w:p w:rsidR="000373E8" w:rsidRPr="009A3970" w:rsidRDefault="000373E8" w:rsidP="000373E8">
            <w:pPr>
              <w:jc w:val="center"/>
            </w:pPr>
            <w:r w:rsidRPr="009A3970">
              <w:t>18.7%</w:t>
            </w:r>
          </w:p>
        </w:tc>
        <w:tc>
          <w:tcPr>
            <w:tcW w:w="910" w:type="dxa"/>
            <w:tcBorders>
              <w:top w:val="single" w:sz="6" w:space="0" w:color="auto"/>
            </w:tcBorders>
            <w:noWrap/>
            <w:vAlign w:val="center"/>
          </w:tcPr>
          <w:p w:rsidR="000373E8" w:rsidRPr="009A3970" w:rsidRDefault="000373E8" w:rsidP="000373E8">
            <w:pPr>
              <w:jc w:val="center"/>
            </w:pPr>
            <w:r w:rsidRPr="009A3970">
              <w:t>3.3%</w:t>
            </w:r>
          </w:p>
        </w:tc>
        <w:tc>
          <w:tcPr>
            <w:tcW w:w="1180" w:type="dxa"/>
            <w:tcBorders>
              <w:top w:val="single" w:sz="6" w:space="0" w:color="auto"/>
            </w:tcBorders>
            <w:noWrap/>
            <w:vAlign w:val="center"/>
          </w:tcPr>
          <w:p w:rsidR="000373E8" w:rsidRPr="009A3970" w:rsidRDefault="000373E8" w:rsidP="000373E8">
            <w:pPr>
              <w:jc w:val="center"/>
            </w:pPr>
            <w:r w:rsidRPr="009A3970">
              <w:t>16.1%</w:t>
            </w:r>
          </w:p>
        </w:tc>
      </w:tr>
      <w:tr w:rsidR="000373E8" w:rsidTr="000373E8">
        <w:trPr>
          <w:trHeight w:val="356"/>
        </w:trPr>
        <w:tc>
          <w:tcPr>
            <w:tcW w:w="1940" w:type="dxa"/>
            <w:tcBorders>
              <w:bottom w:val="nil"/>
            </w:tcBorders>
            <w:noWrap/>
            <w:vAlign w:val="bottom"/>
          </w:tcPr>
          <w:p w:rsidR="000373E8" w:rsidRDefault="000373E8" w:rsidP="000373E8">
            <w:pPr>
              <w:rPr>
                <w:rFonts w:ascii="Arial" w:hAnsi="Arial" w:cs="Arial"/>
                <w:sz w:val="20"/>
              </w:rPr>
            </w:pPr>
            <w:r>
              <w:rPr>
                <w:rFonts w:ascii="Arial" w:hAnsi="Arial" w:cs="Arial"/>
                <w:sz w:val="20"/>
              </w:rPr>
              <w:t>TREE</w:t>
            </w:r>
          </w:p>
        </w:tc>
        <w:tc>
          <w:tcPr>
            <w:tcW w:w="1000" w:type="dxa"/>
            <w:tcBorders>
              <w:bottom w:val="nil"/>
            </w:tcBorders>
            <w:noWrap/>
            <w:vAlign w:val="center"/>
          </w:tcPr>
          <w:p w:rsidR="000373E8" w:rsidRPr="009A3970" w:rsidRDefault="000373E8" w:rsidP="000373E8">
            <w:pPr>
              <w:jc w:val="center"/>
            </w:pPr>
            <w:r w:rsidRPr="009A3970">
              <w:t>13.9%</w:t>
            </w:r>
          </w:p>
        </w:tc>
        <w:tc>
          <w:tcPr>
            <w:tcW w:w="910" w:type="dxa"/>
            <w:tcBorders>
              <w:bottom w:val="nil"/>
            </w:tcBorders>
            <w:noWrap/>
            <w:vAlign w:val="center"/>
          </w:tcPr>
          <w:p w:rsidR="000373E8" w:rsidRPr="009A3970" w:rsidRDefault="000373E8" w:rsidP="000373E8">
            <w:pPr>
              <w:jc w:val="center"/>
            </w:pPr>
            <w:r w:rsidRPr="009A3970">
              <w:t>15.9%</w:t>
            </w:r>
          </w:p>
        </w:tc>
        <w:tc>
          <w:tcPr>
            <w:tcW w:w="1000" w:type="dxa"/>
            <w:tcBorders>
              <w:bottom w:val="nil"/>
            </w:tcBorders>
            <w:noWrap/>
            <w:vAlign w:val="center"/>
          </w:tcPr>
          <w:p w:rsidR="000373E8" w:rsidRPr="009A3970" w:rsidRDefault="000373E8" w:rsidP="000373E8">
            <w:pPr>
              <w:jc w:val="center"/>
            </w:pPr>
            <w:r w:rsidRPr="009A3970">
              <w:t>11.9%</w:t>
            </w:r>
          </w:p>
        </w:tc>
        <w:tc>
          <w:tcPr>
            <w:tcW w:w="1000" w:type="dxa"/>
            <w:tcBorders>
              <w:bottom w:val="nil"/>
            </w:tcBorders>
            <w:noWrap/>
            <w:vAlign w:val="center"/>
          </w:tcPr>
          <w:p w:rsidR="000373E8" w:rsidRPr="009A3970" w:rsidRDefault="000373E8" w:rsidP="000373E8">
            <w:pPr>
              <w:jc w:val="center"/>
            </w:pPr>
            <w:r w:rsidRPr="009A3970">
              <w:t>5.6%</w:t>
            </w:r>
          </w:p>
        </w:tc>
        <w:tc>
          <w:tcPr>
            <w:tcW w:w="910" w:type="dxa"/>
            <w:tcBorders>
              <w:bottom w:val="nil"/>
            </w:tcBorders>
            <w:noWrap/>
            <w:vAlign w:val="center"/>
          </w:tcPr>
          <w:p w:rsidR="000373E8" w:rsidRPr="009A3970" w:rsidRDefault="000373E8" w:rsidP="000373E8">
            <w:pPr>
              <w:jc w:val="center"/>
            </w:pPr>
            <w:r w:rsidRPr="009A3970">
              <w:t>16.3%</w:t>
            </w:r>
          </w:p>
        </w:tc>
        <w:tc>
          <w:tcPr>
            <w:tcW w:w="1000" w:type="dxa"/>
            <w:tcBorders>
              <w:bottom w:val="nil"/>
            </w:tcBorders>
            <w:noWrap/>
            <w:vAlign w:val="center"/>
          </w:tcPr>
          <w:p w:rsidR="000373E8" w:rsidRPr="009A3970" w:rsidRDefault="000373E8" w:rsidP="000373E8">
            <w:pPr>
              <w:jc w:val="center"/>
            </w:pPr>
            <w:r w:rsidRPr="009A3970">
              <w:t>14.5%</w:t>
            </w:r>
          </w:p>
        </w:tc>
        <w:tc>
          <w:tcPr>
            <w:tcW w:w="1000" w:type="dxa"/>
            <w:tcBorders>
              <w:bottom w:val="nil"/>
            </w:tcBorders>
            <w:noWrap/>
            <w:vAlign w:val="center"/>
          </w:tcPr>
          <w:p w:rsidR="000373E8" w:rsidRPr="009A3970" w:rsidRDefault="000373E8" w:rsidP="000373E8">
            <w:pPr>
              <w:jc w:val="center"/>
            </w:pPr>
            <w:r w:rsidRPr="009A3970">
              <w:t>1.5%</w:t>
            </w:r>
          </w:p>
        </w:tc>
        <w:tc>
          <w:tcPr>
            <w:tcW w:w="910" w:type="dxa"/>
            <w:tcBorders>
              <w:bottom w:val="nil"/>
            </w:tcBorders>
            <w:noWrap/>
            <w:vAlign w:val="center"/>
          </w:tcPr>
          <w:p w:rsidR="000373E8" w:rsidRPr="009A3970" w:rsidRDefault="000373E8" w:rsidP="000373E8">
            <w:pPr>
              <w:jc w:val="center"/>
            </w:pPr>
            <w:r w:rsidRPr="009A3970">
              <w:t>8.1%</w:t>
            </w:r>
          </w:p>
        </w:tc>
        <w:tc>
          <w:tcPr>
            <w:tcW w:w="1000" w:type="dxa"/>
            <w:tcBorders>
              <w:bottom w:val="nil"/>
            </w:tcBorders>
            <w:noWrap/>
            <w:vAlign w:val="center"/>
          </w:tcPr>
          <w:p w:rsidR="000373E8" w:rsidRPr="009A3970" w:rsidRDefault="000373E8" w:rsidP="000373E8">
            <w:pPr>
              <w:jc w:val="center"/>
            </w:pPr>
            <w:r w:rsidRPr="009A3970">
              <w:t>21.2%</w:t>
            </w:r>
          </w:p>
        </w:tc>
        <w:tc>
          <w:tcPr>
            <w:tcW w:w="1000" w:type="dxa"/>
            <w:tcBorders>
              <w:bottom w:val="nil"/>
            </w:tcBorders>
            <w:noWrap/>
            <w:vAlign w:val="center"/>
          </w:tcPr>
          <w:p w:rsidR="000373E8" w:rsidRPr="009A3970" w:rsidRDefault="000373E8" w:rsidP="000373E8">
            <w:pPr>
              <w:jc w:val="center"/>
            </w:pPr>
            <w:r w:rsidRPr="009A3970">
              <w:t>8.2%</w:t>
            </w:r>
          </w:p>
        </w:tc>
        <w:tc>
          <w:tcPr>
            <w:tcW w:w="910" w:type="dxa"/>
            <w:tcBorders>
              <w:bottom w:val="nil"/>
            </w:tcBorders>
            <w:noWrap/>
            <w:vAlign w:val="center"/>
          </w:tcPr>
          <w:p w:rsidR="000373E8" w:rsidRPr="009A3970" w:rsidRDefault="000373E8" w:rsidP="000373E8">
            <w:pPr>
              <w:jc w:val="center"/>
            </w:pPr>
            <w:r w:rsidRPr="009A3970">
              <w:t>26.5%</w:t>
            </w:r>
          </w:p>
        </w:tc>
        <w:tc>
          <w:tcPr>
            <w:tcW w:w="1180" w:type="dxa"/>
            <w:tcBorders>
              <w:bottom w:val="nil"/>
            </w:tcBorders>
            <w:noWrap/>
            <w:vAlign w:val="center"/>
          </w:tcPr>
          <w:p w:rsidR="000373E8" w:rsidRPr="009A3970" w:rsidRDefault="000373E8" w:rsidP="000373E8">
            <w:pPr>
              <w:jc w:val="center"/>
            </w:pPr>
            <w:r w:rsidRPr="009A3970">
              <w:t>11.8%</w:t>
            </w:r>
          </w:p>
        </w:tc>
      </w:tr>
      <w:tr w:rsidR="000373E8" w:rsidTr="000373E8">
        <w:trPr>
          <w:trHeight w:val="356"/>
        </w:trPr>
        <w:tc>
          <w:tcPr>
            <w:tcW w:w="1940" w:type="dxa"/>
            <w:tcBorders>
              <w:top w:val="nil"/>
              <w:bottom w:val="nil"/>
            </w:tcBorders>
            <w:noWrap/>
            <w:vAlign w:val="bottom"/>
          </w:tcPr>
          <w:p w:rsidR="000373E8" w:rsidRDefault="000373E8" w:rsidP="000373E8">
            <w:pPr>
              <w:rPr>
                <w:rFonts w:ascii="Arial" w:hAnsi="Arial" w:cs="Arial"/>
                <w:sz w:val="20"/>
              </w:rPr>
            </w:pPr>
            <w:r>
              <w:rPr>
                <w:rFonts w:ascii="Arial" w:hAnsi="Arial" w:cs="Arial"/>
                <w:sz w:val="20"/>
              </w:rPr>
              <w:t>PUBLIC</w:t>
            </w:r>
          </w:p>
        </w:tc>
        <w:tc>
          <w:tcPr>
            <w:tcW w:w="1000" w:type="dxa"/>
            <w:tcBorders>
              <w:top w:val="nil"/>
              <w:bottom w:val="nil"/>
            </w:tcBorders>
            <w:noWrap/>
            <w:vAlign w:val="center"/>
          </w:tcPr>
          <w:p w:rsidR="000373E8" w:rsidRPr="009A3970" w:rsidRDefault="000373E8" w:rsidP="000373E8">
            <w:pPr>
              <w:jc w:val="center"/>
            </w:pPr>
            <w:r w:rsidRPr="009A3970">
              <w:t>14.5%</w:t>
            </w:r>
          </w:p>
        </w:tc>
        <w:tc>
          <w:tcPr>
            <w:tcW w:w="910" w:type="dxa"/>
            <w:tcBorders>
              <w:top w:val="nil"/>
              <w:bottom w:val="nil"/>
            </w:tcBorders>
            <w:noWrap/>
            <w:vAlign w:val="center"/>
          </w:tcPr>
          <w:p w:rsidR="000373E8" w:rsidRPr="009A3970" w:rsidRDefault="000373E8" w:rsidP="000373E8">
            <w:pPr>
              <w:jc w:val="center"/>
            </w:pPr>
            <w:r w:rsidRPr="009A3970">
              <w:t>3.9%</w:t>
            </w:r>
          </w:p>
        </w:tc>
        <w:tc>
          <w:tcPr>
            <w:tcW w:w="1000" w:type="dxa"/>
            <w:tcBorders>
              <w:top w:val="nil"/>
              <w:bottom w:val="nil"/>
            </w:tcBorders>
            <w:noWrap/>
            <w:vAlign w:val="center"/>
          </w:tcPr>
          <w:p w:rsidR="000373E8" w:rsidRPr="009A3970" w:rsidRDefault="000373E8" w:rsidP="000373E8">
            <w:pPr>
              <w:jc w:val="center"/>
            </w:pPr>
            <w:r w:rsidRPr="009A3970">
              <w:t>2.9%</w:t>
            </w:r>
          </w:p>
        </w:tc>
        <w:tc>
          <w:tcPr>
            <w:tcW w:w="1000" w:type="dxa"/>
            <w:tcBorders>
              <w:top w:val="nil"/>
              <w:bottom w:val="nil"/>
            </w:tcBorders>
            <w:noWrap/>
            <w:vAlign w:val="center"/>
          </w:tcPr>
          <w:p w:rsidR="000373E8" w:rsidRPr="009A3970" w:rsidRDefault="000373E8" w:rsidP="000373E8">
            <w:pPr>
              <w:jc w:val="center"/>
            </w:pPr>
            <w:r w:rsidRPr="009A3970">
              <w:t>5.6%</w:t>
            </w:r>
          </w:p>
        </w:tc>
        <w:tc>
          <w:tcPr>
            <w:tcW w:w="910" w:type="dxa"/>
            <w:tcBorders>
              <w:top w:val="nil"/>
              <w:bottom w:val="nil"/>
            </w:tcBorders>
            <w:noWrap/>
            <w:vAlign w:val="center"/>
          </w:tcPr>
          <w:p w:rsidR="000373E8" w:rsidRPr="009A3970" w:rsidRDefault="000373E8" w:rsidP="000373E8">
            <w:pPr>
              <w:jc w:val="center"/>
            </w:pPr>
            <w:r w:rsidRPr="009A3970">
              <w:t>1.3%</w:t>
            </w:r>
          </w:p>
        </w:tc>
        <w:tc>
          <w:tcPr>
            <w:tcW w:w="1000" w:type="dxa"/>
            <w:tcBorders>
              <w:top w:val="nil"/>
              <w:bottom w:val="nil"/>
            </w:tcBorders>
            <w:noWrap/>
            <w:vAlign w:val="center"/>
          </w:tcPr>
          <w:p w:rsidR="000373E8" w:rsidRPr="009A3970" w:rsidRDefault="000373E8" w:rsidP="000373E8">
            <w:pPr>
              <w:jc w:val="center"/>
            </w:pPr>
            <w:r w:rsidRPr="009A3970">
              <w:t>5.4%</w:t>
            </w:r>
          </w:p>
        </w:tc>
        <w:tc>
          <w:tcPr>
            <w:tcW w:w="1000" w:type="dxa"/>
            <w:tcBorders>
              <w:top w:val="nil"/>
              <w:bottom w:val="nil"/>
            </w:tcBorders>
            <w:noWrap/>
            <w:vAlign w:val="center"/>
          </w:tcPr>
          <w:p w:rsidR="000373E8" w:rsidRPr="009A3970" w:rsidRDefault="000373E8" w:rsidP="000373E8">
            <w:pPr>
              <w:jc w:val="center"/>
            </w:pPr>
            <w:r w:rsidRPr="009A3970">
              <w:t>10.6%</w:t>
            </w:r>
          </w:p>
        </w:tc>
        <w:tc>
          <w:tcPr>
            <w:tcW w:w="910" w:type="dxa"/>
            <w:tcBorders>
              <w:top w:val="nil"/>
              <w:bottom w:val="nil"/>
            </w:tcBorders>
            <w:noWrap/>
            <w:vAlign w:val="center"/>
          </w:tcPr>
          <w:p w:rsidR="000373E8" w:rsidRPr="009A3970" w:rsidRDefault="000373E8" w:rsidP="000373E8">
            <w:pPr>
              <w:jc w:val="center"/>
            </w:pPr>
            <w:r w:rsidRPr="009A3970">
              <w:t>2.3%</w:t>
            </w:r>
          </w:p>
        </w:tc>
        <w:tc>
          <w:tcPr>
            <w:tcW w:w="1000" w:type="dxa"/>
            <w:tcBorders>
              <w:top w:val="nil"/>
              <w:bottom w:val="nil"/>
            </w:tcBorders>
            <w:noWrap/>
            <w:vAlign w:val="center"/>
          </w:tcPr>
          <w:p w:rsidR="000373E8" w:rsidRPr="009A3970" w:rsidRDefault="000373E8" w:rsidP="000373E8">
            <w:pPr>
              <w:jc w:val="center"/>
            </w:pPr>
            <w:r w:rsidRPr="009A3970">
              <w:t>4.5%</w:t>
            </w:r>
          </w:p>
        </w:tc>
        <w:tc>
          <w:tcPr>
            <w:tcW w:w="1000" w:type="dxa"/>
            <w:tcBorders>
              <w:top w:val="nil"/>
              <w:bottom w:val="nil"/>
            </w:tcBorders>
            <w:noWrap/>
            <w:vAlign w:val="center"/>
          </w:tcPr>
          <w:p w:rsidR="000373E8" w:rsidRPr="009A3970" w:rsidRDefault="000373E8" w:rsidP="000373E8">
            <w:pPr>
              <w:jc w:val="center"/>
            </w:pPr>
            <w:r w:rsidRPr="009A3970">
              <w:t>8.2%</w:t>
            </w:r>
          </w:p>
        </w:tc>
        <w:tc>
          <w:tcPr>
            <w:tcW w:w="910" w:type="dxa"/>
            <w:tcBorders>
              <w:top w:val="nil"/>
              <w:bottom w:val="nil"/>
            </w:tcBorders>
            <w:noWrap/>
            <w:vAlign w:val="center"/>
          </w:tcPr>
          <w:p w:rsidR="000373E8" w:rsidRPr="009A3970" w:rsidRDefault="000373E8" w:rsidP="000373E8">
            <w:pPr>
              <w:jc w:val="center"/>
            </w:pPr>
            <w:r w:rsidRPr="009A3970">
              <w:t>5.4%</w:t>
            </w:r>
          </w:p>
        </w:tc>
        <w:tc>
          <w:tcPr>
            <w:tcW w:w="1180" w:type="dxa"/>
            <w:tcBorders>
              <w:top w:val="nil"/>
              <w:bottom w:val="nil"/>
            </w:tcBorders>
            <w:noWrap/>
            <w:vAlign w:val="center"/>
          </w:tcPr>
          <w:p w:rsidR="000373E8" w:rsidRPr="009A3970" w:rsidRDefault="000373E8" w:rsidP="000373E8">
            <w:pPr>
              <w:jc w:val="center"/>
            </w:pPr>
            <w:r w:rsidRPr="009A3970">
              <w:t>6.0%</w:t>
            </w:r>
          </w:p>
        </w:tc>
      </w:tr>
      <w:tr w:rsidR="000373E8" w:rsidTr="000373E8">
        <w:trPr>
          <w:trHeight w:val="355"/>
        </w:trPr>
        <w:tc>
          <w:tcPr>
            <w:tcW w:w="1940" w:type="dxa"/>
            <w:tcBorders>
              <w:top w:val="nil"/>
              <w:bottom w:val="single" w:sz="6" w:space="0" w:color="auto"/>
            </w:tcBorders>
            <w:noWrap/>
            <w:vAlign w:val="bottom"/>
          </w:tcPr>
          <w:p w:rsidR="000373E8" w:rsidRDefault="000373E8" w:rsidP="000373E8">
            <w:pPr>
              <w:rPr>
                <w:rFonts w:ascii="Arial" w:hAnsi="Arial" w:cs="Arial"/>
                <w:sz w:val="20"/>
              </w:rPr>
            </w:pPr>
            <w:r>
              <w:rPr>
                <w:rFonts w:ascii="Arial" w:hAnsi="Arial" w:cs="Arial"/>
                <w:sz w:val="20"/>
              </w:rPr>
              <w:t>COMPANY</w:t>
            </w:r>
          </w:p>
        </w:tc>
        <w:tc>
          <w:tcPr>
            <w:tcW w:w="1000" w:type="dxa"/>
            <w:tcBorders>
              <w:top w:val="nil"/>
              <w:bottom w:val="single" w:sz="6" w:space="0" w:color="auto"/>
            </w:tcBorders>
            <w:noWrap/>
            <w:vAlign w:val="center"/>
          </w:tcPr>
          <w:p w:rsidR="000373E8" w:rsidRPr="009A3970" w:rsidRDefault="000373E8" w:rsidP="000373E8">
            <w:pPr>
              <w:jc w:val="center"/>
            </w:pPr>
            <w:r w:rsidRPr="009A3970">
              <w:t>5.8%</w:t>
            </w:r>
          </w:p>
        </w:tc>
        <w:tc>
          <w:tcPr>
            <w:tcW w:w="910" w:type="dxa"/>
            <w:tcBorders>
              <w:top w:val="nil"/>
              <w:bottom w:val="single" w:sz="6" w:space="0" w:color="auto"/>
            </w:tcBorders>
            <w:noWrap/>
            <w:vAlign w:val="center"/>
          </w:tcPr>
          <w:p w:rsidR="000373E8" w:rsidRPr="009A3970" w:rsidRDefault="000373E8" w:rsidP="000373E8">
            <w:pPr>
              <w:jc w:val="center"/>
            </w:pPr>
            <w:r w:rsidRPr="009A3970">
              <w:t>7.3%</w:t>
            </w:r>
          </w:p>
        </w:tc>
        <w:tc>
          <w:tcPr>
            <w:tcW w:w="1000" w:type="dxa"/>
            <w:tcBorders>
              <w:top w:val="nil"/>
              <w:bottom w:val="single" w:sz="6" w:space="0" w:color="auto"/>
            </w:tcBorders>
            <w:noWrap/>
            <w:vAlign w:val="center"/>
          </w:tcPr>
          <w:p w:rsidR="000373E8" w:rsidRPr="009A3970" w:rsidRDefault="000373E8" w:rsidP="000373E8">
            <w:pPr>
              <w:jc w:val="center"/>
            </w:pPr>
            <w:r w:rsidRPr="009A3970">
              <w:t>0.0%</w:t>
            </w:r>
          </w:p>
        </w:tc>
        <w:tc>
          <w:tcPr>
            <w:tcW w:w="1000" w:type="dxa"/>
            <w:tcBorders>
              <w:top w:val="nil"/>
              <w:bottom w:val="single" w:sz="6" w:space="0" w:color="auto"/>
            </w:tcBorders>
            <w:noWrap/>
            <w:vAlign w:val="center"/>
          </w:tcPr>
          <w:p w:rsidR="000373E8" w:rsidRPr="009A3970" w:rsidRDefault="000373E8" w:rsidP="000373E8">
            <w:pPr>
              <w:jc w:val="center"/>
            </w:pPr>
            <w:r w:rsidRPr="009A3970">
              <w:t>1.5%</w:t>
            </w:r>
          </w:p>
        </w:tc>
        <w:tc>
          <w:tcPr>
            <w:tcW w:w="910" w:type="dxa"/>
            <w:tcBorders>
              <w:top w:val="nil"/>
              <w:bottom w:val="single" w:sz="6" w:space="0" w:color="auto"/>
            </w:tcBorders>
            <w:noWrap/>
            <w:vAlign w:val="center"/>
          </w:tcPr>
          <w:p w:rsidR="000373E8" w:rsidRPr="009A3970" w:rsidRDefault="000373E8" w:rsidP="000373E8">
            <w:pPr>
              <w:jc w:val="center"/>
            </w:pPr>
            <w:r w:rsidRPr="009A3970">
              <w:t>7.8%</w:t>
            </w:r>
          </w:p>
        </w:tc>
        <w:tc>
          <w:tcPr>
            <w:tcW w:w="1000" w:type="dxa"/>
            <w:tcBorders>
              <w:top w:val="nil"/>
              <w:bottom w:val="single" w:sz="6" w:space="0" w:color="auto"/>
            </w:tcBorders>
            <w:noWrap/>
            <w:vAlign w:val="center"/>
          </w:tcPr>
          <w:p w:rsidR="000373E8" w:rsidRPr="009A3970" w:rsidRDefault="000373E8" w:rsidP="000373E8">
            <w:pPr>
              <w:jc w:val="center"/>
            </w:pPr>
            <w:r w:rsidRPr="009A3970">
              <w:t>2.1%</w:t>
            </w:r>
          </w:p>
        </w:tc>
        <w:tc>
          <w:tcPr>
            <w:tcW w:w="1000" w:type="dxa"/>
            <w:tcBorders>
              <w:top w:val="nil"/>
              <w:bottom w:val="single" w:sz="6" w:space="0" w:color="auto"/>
            </w:tcBorders>
            <w:noWrap/>
            <w:vAlign w:val="center"/>
          </w:tcPr>
          <w:p w:rsidR="000373E8" w:rsidRPr="009A3970" w:rsidRDefault="000373E8" w:rsidP="000373E8">
            <w:pPr>
              <w:jc w:val="center"/>
            </w:pPr>
            <w:r w:rsidRPr="009A3970">
              <w:t>0.3%</w:t>
            </w:r>
          </w:p>
        </w:tc>
        <w:tc>
          <w:tcPr>
            <w:tcW w:w="910" w:type="dxa"/>
            <w:tcBorders>
              <w:top w:val="nil"/>
              <w:bottom w:val="single" w:sz="6" w:space="0" w:color="auto"/>
            </w:tcBorders>
            <w:noWrap/>
            <w:vAlign w:val="center"/>
          </w:tcPr>
          <w:p w:rsidR="000373E8" w:rsidRPr="009A3970" w:rsidRDefault="000373E8" w:rsidP="000373E8">
            <w:pPr>
              <w:jc w:val="center"/>
            </w:pPr>
            <w:r w:rsidRPr="009A3970">
              <w:t>3.7%</w:t>
            </w:r>
          </w:p>
        </w:tc>
        <w:tc>
          <w:tcPr>
            <w:tcW w:w="1000" w:type="dxa"/>
            <w:tcBorders>
              <w:top w:val="nil"/>
              <w:bottom w:val="single" w:sz="6" w:space="0" w:color="auto"/>
            </w:tcBorders>
            <w:noWrap/>
            <w:vAlign w:val="center"/>
          </w:tcPr>
          <w:p w:rsidR="000373E8" w:rsidRPr="009A3970" w:rsidRDefault="000373E8" w:rsidP="000373E8">
            <w:pPr>
              <w:jc w:val="center"/>
            </w:pPr>
            <w:r w:rsidRPr="009A3970">
              <w:t>0.7%</w:t>
            </w:r>
          </w:p>
        </w:tc>
        <w:tc>
          <w:tcPr>
            <w:tcW w:w="1000" w:type="dxa"/>
            <w:tcBorders>
              <w:top w:val="nil"/>
              <w:bottom w:val="single" w:sz="6" w:space="0" w:color="auto"/>
            </w:tcBorders>
            <w:noWrap/>
            <w:vAlign w:val="center"/>
          </w:tcPr>
          <w:p w:rsidR="000373E8" w:rsidRPr="009A3970" w:rsidRDefault="000373E8" w:rsidP="000373E8">
            <w:pPr>
              <w:jc w:val="center"/>
            </w:pPr>
            <w:r w:rsidRPr="009A3970">
              <w:t>0.3%</w:t>
            </w:r>
          </w:p>
        </w:tc>
        <w:tc>
          <w:tcPr>
            <w:tcW w:w="910" w:type="dxa"/>
            <w:tcBorders>
              <w:top w:val="nil"/>
              <w:bottom w:val="single" w:sz="6" w:space="0" w:color="auto"/>
            </w:tcBorders>
            <w:noWrap/>
            <w:vAlign w:val="center"/>
          </w:tcPr>
          <w:p w:rsidR="000373E8" w:rsidRPr="009A3970" w:rsidRDefault="000373E8" w:rsidP="000373E8">
            <w:pPr>
              <w:jc w:val="center"/>
            </w:pPr>
            <w:r w:rsidRPr="009A3970">
              <w:t>0.0%</w:t>
            </w:r>
          </w:p>
        </w:tc>
        <w:tc>
          <w:tcPr>
            <w:tcW w:w="1180" w:type="dxa"/>
            <w:tcBorders>
              <w:top w:val="nil"/>
              <w:bottom w:val="single" w:sz="6" w:space="0" w:color="auto"/>
            </w:tcBorders>
            <w:noWrap/>
            <w:vAlign w:val="center"/>
          </w:tcPr>
          <w:p w:rsidR="000373E8" w:rsidRPr="009A3970" w:rsidRDefault="000373E8" w:rsidP="000373E8">
            <w:pPr>
              <w:jc w:val="center"/>
            </w:pPr>
            <w:r w:rsidRPr="009A3970">
              <w:t>3.2%</w:t>
            </w:r>
          </w:p>
        </w:tc>
      </w:tr>
      <w:tr w:rsidR="000373E8" w:rsidTr="000373E8">
        <w:trPr>
          <w:trHeight w:val="356"/>
        </w:trPr>
        <w:tc>
          <w:tcPr>
            <w:tcW w:w="1940" w:type="dxa"/>
            <w:tcBorders>
              <w:top w:val="single" w:sz="6" w:space="0" w:color="auto"/>
            </w:tcBorders>
            <w:noWrap/>
            <w:vAlign w:val="bottom"/>
          </w:tcPr>
          <w:p w:rsidR="000373E8" w:rsidRDefault="000373E8" w:rsidP="000373E8">
            <w:pPr>
              <w:rPr>
                <w:rFonts w:ascii="Arial" w:hAnsi="Arial" w:cs="Arial"/>
                <w:sz w:val="20"/>
              </w:rPr>
            </w:pPr>
            <w:r>
              <w:rPr>
                <w:rFonts w:ascii="Arial" w:hAnsi="Arial" w:cs="Arial"/>
                <w:sz w:val="20"/>
              </w:rPr>
              <w:t>EQUIPMENT OH</w:t>
            </w:r>
          </w:p>
        </w:tc>
        <w:tc>
          <w:tcPr>
            <w:tcW w:w="1000" w:type="dxa"/>
            <w:tcBorders>
              <w:top w:val="single" w:sz="6" w:space="0" w:color="auto"/>
            </w:tcBorders>
            <w:noWrap/>
            <w:vAlign w:val="center"/>
          </w:tcPr>
          <w:p w:rsidR="000373E8" w:rsidRPr="009A3970" w:rsidRDefault="000373E8" w:rsidP="000373E8">
            <w:pPr>
              <w:jc w:val="center"/>
            </w:pPr>
            <w:r w:rsidRPr="009A3970">
              <w:t>4.8%</w:t>
            </w:r>
          </w:p>
        </w:tc>
        <w:tc>
          <w:tcPr>
            <w:tcW w:w="910" w:type="dxa"/>
            <w:tcBorders>
              <w:top w:val="single" w:sz="6" w:space="0" w:color="auto"/>
            </w:tcBorders>
            <w:noWrap/>
            <w:vAlign w:val="center"/>
          </w:tcPr>
          <w:p w:rsidR="000373E8" w:rsidRPr="009A3970" w:rsidRDefault="000373E8" w:rsidP="000373E8">
            <w:pPr>
              <w:jc w:val="center"/>
            </w:pPr>
            <w:r w:rsidRPr="009A3970">
              <w:t>9.2%</w:t>
            </w:r>
          </w:p>
        </w:tc>
        <w:tc>
          <w:tcPr>
            <w:tcW w:w="1000" w:type="dxa"/>
            <w:tcBorders>
              <w:top w:val="single" w:sz="6" w:space="0" w:color="auto"/>
            </w:tcBorders>
            <w:noWrap/>
            <w:vAlign w:val="center"/>
          </w:tcPr>
          <w:p w:rsidR="000373E8" w:rsidRPr="009A3970" w:rsidRDefault="000373E8" w:rsidP="000373E8">
            <w:pPr>
              <w:jc w:val="center"/>
            </w:pPr>
            <w:r w:rsidRPr="009A3970">
              <w:t>12.0%</w:t>
            </w:r>
          </w:p>
        </w:tc>
        <w:tc>
          <w:tcPr>
            <w:tcW w:w="1000" w:type="dxa"/>
            <w:tcBorders>
              <w:top w:val="single" w:sz="6" w:space="0" w:color="auto"/>
            </w:tcBorders>
            <w:noWrap/>
            <w:vAlign w:val="center"/>
          </w:tcPr>
          <w:p w:rsidR="000373E8" w:rsidRPr="009A3970" w:rsidRDefault="000373E8" w:rsidP="000373E8">
            <w:pPr>
              <w:jc w:val="center"/>
            </w:pPr>
            <w:r w:rsidRPr="009A3970">
              <w:t>23.5%</w:t>
            </w:r>
          </w:p>
        </w:tc>
        <w:tc>
          <w:tcPr>
            <w:tcW w:w="910" w:type="dxa"/>
            <w:tcBorders>
              <w:top w:val="single" w:sz="6" w:space="0" w:color="auto"/>
            </w:tcBorders>
            <w:noWrap/>
            <w:vAlign w:val="center"/>
          </w:tcPr>
          <w:p w:rsidR="000373E8" w:rsidRPr="009A3970" w:rsidRDefault="000373E8" w:rsidP="000373E8">
            <w:pPr>
              <w:jc w:val="center"/>
            </w:pPr>
            <w:r w:rsidRPr="009A3970">
              <w:t>5.0%</w:t>
            </w:r>
          </w:p>
        </w:tc>
        <w:tc>
          <w:tcPr>
            <w:tcW w:w="1000" w:type="dxa"/>
            <w:tcBorders>
              <w:top w:val="single" w:sz="6" w:space="0" w:color="auto"/>
            </w:tcBorders>
            <w:noWrap/>
            <w:vAlign w:val="center"/>
          </w:tcPr>
          <w:p w:rsidR="000373E8" w:rsidRPr="009A3970" w:rsidRDefault="000373E8" w:rsidP="000373E8">
            <w:pPr>
              <w:jc w:val="center"/>
            </w:pPr>
            <w:r w:rsidRPr="009A3970">
              <w:t>14.7%</w:t>
            </w:r>
          </w:p>
        </w:tc>
        <w:tc>
          <w:tcPr>
            <w:tcW w:w="1000" w:type="dxa"/>
            <w:tcBorders>
              <w:top w:val="single" w:sz="6" w:space="0" w:color="auto"/>
            </w:tcBorders>
            <w:noWrap/>
            <w:vAlign w:val="center"/>
          </w:tcPr>
          <w:p w:rsidR="000373E8" w:rsidRPr="009A3970" w:rsidRDefault="000373E8" w:rsidP="000373E8">
            <w:pPr>
              <w:jc w:val="center"/>
            </w:pPr>
            <w:r w:rsidRPr="009A3970">
              <w:t>6.2%</w:t>
            </w:r>
          </w:p>
        </w:tc>
        <w:tc>
          <w:tcPr>
            <w:tcW w:w="910" w:type="dxa"/>
            <w:tcBorders>
              <w:top w:val="single" w:sz="6" w:space="0" w:color="auto"/>
            </w:tcBorders>
            <w:noWrap/>
            <w:vAlign w:val="center"/>
          </w:tcPr>
          <w:p w:rsidR="000373E8" w:rsidRPr="009A3970" w:rsidRDefault="000373E8" w:rsidP="000373E8">
            <w:pPr>
              <w:jc w:val="center"/>
            </w:pPr>
            <w:r w:rsidRPr="009A3970">
              <w:t>9.9%</w:t>
            </w:r>
          </w:p>
        </w:tc>
        <w:tc>
          <w:tcPr>
            <w:tcW w:w="1000" w:type="dxa"/>
            <w:tcBorders>
              <w:top w:val="single" w:sz="6" w:space="0" w:color="auto"/>
            </w:tcBorders>
            <w:noWrap/>
            <w:vAlign w:val="center"/>
          </w:tcPr>
          <w:p w:rsidR="000373E8" w:rsidRPr="009A3970" w:rsidRDefault="000373E8" w:rsidP="000373E8">
            <w:pPr>
              <w:jc w:val="center"/>
            </w:pPr>
            <w:r w:rsidRPr="009A3970">
              <w:t>8.8%</w:t>
            </w:r>
          </w:p>
        </w:tc>
        <w:tc>
          <w:tcPr>
            <w:tcW w:w="1000" w:type="dxa"/>
            <w:tcBorders>
              <w:top w:val="single" w:sz="6" w:space="0" w:color="auto"/>
            </w:tcBorders>
            <w:noWrap/>
            <w:vAlign w:val="center"/>
          </w:tcPr>
          <w:p w:rsidR="000373E8" w:rsidRPr="009A3970" w:rsidRDefault="000373E8" w:rsidP="000373E8">
            <w:pPr>
              <w:jc w:val="center"/>
            </w:pPr>
            <w:r w:rsidRPr="009A3970">
              <w:t>9.5%</w:t>
            </w:r>
          </w:p>
        </w:tc>
        <w:tc>
          <w:tcPr>
            <w:tcW w:w="910" w:type="dxa"/>
            <w:tcBorders>
              <w:top w:val="single" w:sz="6" w:space="0" w:color="auto"/>
            </w:tcBorders>
            <w:noWrap/>
            <w:vAlign w:val="center"/>
          </w:tcPr>
          <w:p w:rsidR="000373E8" w:rsidRPr="009A3970" w:rsidRDefault="000373E8" w:rsidP="000373E8">
            <w:pPr>
              <w:jc w:val="center"/>
            </w:pPr>
            <w:r w:rsidRPr="009A3970">
              <w:t>0.9%</w:t>
            </w:r>
          </w:p>
        </w:tc>
        <w:tc>
          <w:tcPr>
            <w:tcW w:w="1180" w:type="dxa"/>
            <w:tcBorders>
              <w:top w:val="single" w:sz="6" w:space="0" w:color="auto"/>
            </w:tcBorders>
            <w:noWrap/>
            <w:vAlign w:val="center"/>
          </w:tcPr>
          <w:p w:rsidR="000373E8" w:rsidRPr="009A3970" w:rsidRDefault="000373E8" w:rsidP="000373E8">
            <w:pPr>
              <w:jc w:val="center"/>
            </w:pPr>
            <w:r w:rsidRPr="009A3970">
              <w:t>9.8%</w:t>
            </w:r>
          </w:p>
        </w:tc>
      </w:tr>
      <w:tr w:rsidR="000373E8" w:rsidTr="000373E8">
        <w:trPr>
          <w:trHeight w:val="356"/>
        </w:trPr>
        <w:tc>
          <w:tcPr>
            <w:tcW w:w="1940" w:type="dxa"/>
            <w:noWrap/>
            <w:vAlign w:val="bottom"/>
          </w:tcPr>
          <w:p w:rsidR="000373E8" w:rsidRDefault="000373E8" w:rsidP="000373E8">
            <w:pPr>
              <w:rPr>
                <w:rFonts w:ascii="Arial" w:hAnsi="Arial" w:cs="Arial"/>
                <w:sz w:val="20"/>
              </w:rPr>
            </w:pPr>
            <w:r>
              <w:rPr>
                <w:rFonts w:ascii="Arial" w:hAnsi="Arial" w:cs="Arial"/>
                <w:sz w:val="20"/>
              </w:rPr>
              <w:t>EQUIPMENT UG</w:t>
            </w:r>
          </w:p>
        </w:tc>
        <w:tc>
          <w:tcPr>
            <w:tcW w:w="1000" w:type="dxa"/>
            <w:noWrap/>
            <w:vAlign w:val="center"/>
          </w:tcPr>
          <w:p w:rsidR="000373E8" w:rsidRPr="009A3970" w:rsidRDefault="000373E8" w:rsidP="000373E8">
            <w:pPr>
              <w:jc w:val="center"/>
            </w:pPr>
            <w:r w:rsidRPr="009A3970">
              <w:t>0.6%</w:t>
            </w:r>
          </w:p>
        </w:tc>
        <w:tc>
          <w:tcPr>
            <w:tcW w:w="910" w:type="dxa"/>
            <w:noWrap/>
            <w:vAlign w:val="center"/>
          </w:tcPr>
          <w:p w:rsidR="000373E8" w:rsidRPr="009A3970" w:rsidRDefault="000373E8" w:rsidP="000373E8">
            <w:pPr>
              <w:jc w:val="center"/>
            </w:pPr>
            <w:r w:rsidRPr="009A3970">
              <w:t>1.0%</w:t>
            </w:r>
          </w:p>
        </w:tc>
        <w:tc>
          <w:tcPr>
            <w:tcW w:w="1000" w:type="dxa"/>
            <w:noWrap/>
            <w:vAlign w:val="center"/>
          </w:tcPr>
          <w:p w:rsidR="000373E8" w:rsidRPr="009A3970" w:rsidRDefault="000373E8" w:rsidP="000373E8">
            <w:pPr>
              <w:jc w:val="center"/>
            </w:pPr>
            <w:r w:rsidRPr="009A3970">
              <w:t>0.6%</w:t>
            </w:r>
          </w:p>
        </w:tc>
        <w:tc>
          <w:tcPr>
            <w:tcW w:w="1000" w:type="dxa"/>
            <w:noWrap/>
            <w:vAlign w:val="center"/>
          </w:tcPr>
          <w:p w:rsidR="000373E8" w:rsidRPr="009A3970" w:rsidRDefault="000373E8" w:rsidP="000373E8">
            <w:pPr>
              <w:jc w:val="center"/>
            </w:pPr>
            <w:r w:rsidRPr="009A3970">
              <w:t>0.8%</w:t>
            </w:r>
          </w:p>
        </w:tc>
        <w:tc>
          <w:tcPr>
            <w:tcW w:w="910" w:type="dxa"/>
            <w:noWrap/>
            <w:vAlign w:val="center"/>
          </w:tcPr>
          <w:p w:rsidR="000373E8" w:rsidRPr="009A3970" w:rsidRDefault="000373E8" w:rsidP="000373E8">
            <w:pPr>
              <w:jc w:val="center"/>
            </w:pPr>
            <w:r w:rsidRPr="009A3970">
              <w:t>0.2%</w:t>
            </w:r>
          </w:p>
        </w:tc>
        <w:tc>
          <w:tcPr>
            <w:tcW w:w="1000" w:type="dxa"/>
            <w:noWrap/>
            <w:vAlign w:val="center"/>
          </w:tcPr>
          <w:p w:rsidR="000373E8" w:rsidRPr="009A3970" w:rsidRDefault="000373E8" w:rsidP="000373E8">
            <w:pPr>
              <w:jc w:val="center"/>
            </w:pPr>
            <w:r w:rsidRPr="009A3970">
              <w:t>0.6%</w:t>
            </w:r>
          </w:p>
        </w:tc>
        <w:tc>
          <w:tcPr>
            <w:tcW w:w="1000" w:type="dxa"/>
            <w:noWrap/>
            <w:vAlign w:val="center"/>
          </w:tcPr>
          <w:p w:rsidR="000373E8" w:rsidRPr="009A3970" w:rsidRDefault="000373E8" w:rsidP="000373E8">
            <w:pPr>
              <w:jc w:val="center"/>
            </w:pPr>
            <w:r w:rsidRPr="009A3970">
              <w:t>0.5%</w:t>
            </w:r>
          </w:p>
        </w:tc>
        <w:tc>
          <w:tcPr>
            <w:tcW w:w="910" w:type="dxa"/>
            <w:noWrap/>
            <w:vAlign w:val="center"/>
          </w:tcPr>
          <w:p w:rsidR="000373E8" w:rsidRPr="009A3970" w:rsidRDefault="000373E8" w:rsidP="000373E8">
            <w:pPr>
              <w:jc w:val="center"/>
            </w:pPr>
            <w:r w:rsidRPr="009A3970">
              <w:t>2.5%</w:t>
            </w:r>
          </w:p>
        </w:tc>
        <w:tc>
          <w:tcPr>
            <w:tcW w:w="1000" w:type="dxa"/>
            <w:noWrap/>
            <w:vAlign w:val="center"/>
          </w:tcPr>
          <w:p w:rsidR="000373E8" w:rsidRPr="009A3970" w:rsidRDefault="000373E8" w:rsidP="000373E8">
            <w:pPr>
              <w:jc w:val="center"/>
            </w:pPr>
            <w:r w:rsidRPr="009A3970">
              <w:t>8.5%</w:t>
            </w:r>
          </w:p>
        </w:tc>
        <w:tc>
          <w:tcPr>
            <w:tcW w:w="1000" w:type="dxa"/>
            <w:noWrap/>
            <w:vAlign w:val="center"/>
          </w:tcPr>
          <w:p w:rsidR="000373E8" w:rsidRPr="009A3970" w:rsidRDefault="000373E8" w:rsidP="000373E8">
            <w:pPr>
              <w:jc w:val="center"/>
            </w:pPr>
            <w:r w:rsidRPr="009A3970">
              <w:t>1.7%</w:t>
            </w:r>
          </w:p>
        </w:tc>
        <w:tc>
          <w:tcPr>
            <w:tcW w:w="910" w:type="dxa"/>
            <w:noWrap/>
            <w:vAlign w:val="center"/>
          </w:tcPr>
          <w:p w:rsidR="000373E8" w:rsidRPr="009A3970" w:rsidRDefault="000373E8" w:rsidP="000373E8">
            <w:pPr>
              <w:jc w:val="center"/>
            </w:pPr>
            <w:r w:rsidRPr="009A3970">
              <w:t>11.4%</w:t>
            </w:r>
          </w:p>
        </w:tc>
        <w:tc>
          <w:tcPr>
            <w:tcW w:w="1180" w:type="dxa"/>
            <w:noWrap/>
            <w:vAlign w:val="center"/>
          </w:tcPr>
          <w:p w:rsidR="000373E8" w:rsidRPr="009A3970" w:rsidRDefault="000373E8" w:rsidP="000373E8">
            <w:pPr>
              <w:jc w:val="center"/>
            </w:pPr>
            <w:r w:rsidRPr="009A3970">
              <w:t>1.8%</w:t>
            </w:r>
          </w:p>
        </w:tc>
      </w:tr>
      <w:tr w:rsidR="000373E8" w:rsidTr="000373E8">
        <w:trPr>
          <w:trHeight w:val="356"/>
        </w:trPr>
        <w:tc>
          <w:tcPr>
            <w:tcW w:w="1940" w:type="dxa"/>
            <w:noWrap/>
            <w:vAlign w:val="bottom"/>
          </w:tcPr>
          <w:p w:rsidR="000373E8" w:rsidRDefault="000373E8" w:rsidP="000373E8">
            <w:pPr>
              <w:rPr>
                <w:rFonts w:ascii="Arial" w:hAnsi="Arial" w:cs="Arial"/>
                <w:sz w:val="20"/>
              </w:rPr>
            </w:pPr>
            <w:r>
              <w:rPr>
                <w:rFonts w:ascii="Arial" w:hAnsi="Arial" w:cs="Arial"/>
                <w:sz w:val="20"/>
              </w:rPr>
              <w:t>EQUIPMENT SUB</w:t>
            </w:r>
          </w:p>
        </w:tc>
        <w:tc>
          <w:tcPr>
            <w:tcW w:w="1000" w:type="dxa"/>
            <w:noWrap/>
            <w:vAlign w:val="center"/>
          </w:tcPr>
          <w:p w:rsidR="000373E8" w:rsidRPr="009A3970" w:rsidRDefault="000373E8" w:rsidP="000373E8">
            <w:pPr>
              <w:jc w:val="center"/>
            </w:pPr>
            <w:r w:rsidRPr="009A3970">
              <w:t>4.4%</w:t>
            </w:r>
          </w:p>
        </w:tc>
        <w:tc>
          <w:tcPr>
            <w:tcW w:w="910" w:type="dxa"/>
            <w:noWrap/>
            <w:vAlign w:val="center"/>
          </w:tcPr>
          <w:p w:rsidR="000373E8" w:rsidRPr="009A3970" w:rsidRDefault="000373E8" w:rsidP="000373E8">
            <w:pPr>
              <w:jc w:val="center"/>
            </w:pPr>
            <w:r w:rsidRPr="009A3970">
              <w:t>2.7%</w:t>
            </w:r>
          </w:p>
        </w:tc>
        <w:tc>
          <w:tcPr>
            <w:tcW w:w="1000" w:type="dxa"/>
            <w:noWrap/>
            <w:vAlign w:val="center"/>
          </w:tcPr>
          <w:p w:rsidR="000373E8" w:rsidRPr="009A3970" w:rsidRDefault="000373E8" w:rsidP="000373E8">
            <w:pPr>
              <w:jc w:val="center"/>
            </w:pPr>
            <w:r w:rsidRPr="009A3970">
              <w:t>2.5%</w:t>
            </w:r>
          </w:p>
        </w:tc>
        <w:tc>
          <w:tcPr>
            <w:tcW w:w="1000" w:type="dxa"/>
            <w:noWrap/>
            <w:vAlign w:val="center"/>
          </w:tcPr>
          <w:p w:rsidR="000373E8" w:rsidRPr="009A3970" w:rsidRDefault="000373E8" w:rsidP="000373E8">
            <w:pPr>
              <w:jc w:val="center"/>
            </w:pPr>
            <w:r w:rsidRPr="009A3970">
              <w:t>2.0%</w:t>
            </w:r>
          </w:p>
        </w:tc>
        <w:tc>
          <w:tcPr>
            <w:tcW w:w="910" w:type="dxa"/>
            <w:noWrap/>
            <w:vAlign w:val="center"/>
          </w:tcPr>
          <w:p w:rsidR="000373E8" w:rsidRPr="009A3970" w:rsidRDefault="000373E8" w:rsidP="000373E8">
            <w:pPr>
              <w:jc w:val="center"/>
            </w:pPr>
            <w:r w:rsidRPr="009A3970">
              <w:t>13.2%</w:t>
            </w:r>
          </w:p>
        </w:tc>
        <w:tc>
          <w:tcPr>
            <w:tcW w:w="1000" w:type="dxa"/>
            <w:noWrap/>
            <w:vAlign w:val="center"/>
          </w:tcPr>
          <w:p w:rsidR="000373E8" w:rsidRPr="009A3970" w:rsidRDefault="000373E8" w:rsidP="000373E8">
            <w:pPr>
              <w:jc w:val="center"/>
            </w:pPr>
            <w:r w:rsidRPr="009A3970">
              <w:t>0.0%</w:t>
            </w:r>
          </w:p>
        </w:tc>
        <w:tc>
          <w:tcPr>
            <w:tcW w:w="1000" w:type="dxa"/>
            <w:noWrap/>
            <w:vAlign w:val="center"/>
          </w:tcPr>
          <w:p w:rsidR="000373E8" w:rsidRPr="009A3970" w:rsidRDefault="000373E8" w:rsidP="000373E8">
            <w:pPr>
              <w:jc w:val="center"/>
            </w:pPr>
            <w:r w:rsidRPr="009A3970">
              <w:t>0.0%</w:t>
            </w:r>
          </w:p>
        </w:tc>
        <w:tc>
          <w:tcPr>
            <w:tcW w:w="910" w:type="dxa"/>
            <w:noWrap/>
            <w:vAlign w:val="center"/>
          </w:tcPr>
          <w:p w:rsidR="000373E8" w:rsidRPr="009A3970" w:rsidRDefault="000373E8" w:rsidP="000373E8">
            <w:pPr>
              <w:jc w:val="center"/>
            </w:pPr>
            <w:r w:rsidRPr="009A3970">
              <w:t>1.6%</w:t>
            </w:r>
          </w:p>
        </w:tc>
        <w:tc>
          <w:tcPr>
            <w:tcW w:w="1000" w:type="dxa"/>
            <w:noWrap/>
            <w:vAlign w:val="center"/>
          </w:tcPr>
          <w:p w:rsidR="000373E8" w:rsidRPr="009A3970" w:rsidRDefault="000373E8" w:rsidP="000373E8">
            <w:pPr>
              <w:jc w:val="center"/>
            </w:pPr>
            <w:r w:rsidRPr="009A3970">
              <w:t>0.0%</w:t>
            </w:r>
          </w:p>
        </w:tc>
        <w:tc>
          <w:tcPr>
            <w:tcW w:w="1000" w:type="dxa"/>
            <w:noWrap/>
            <w:vAlign w:val="center"/>
          </w:tcPr>
          <w:p w:rsidR="000373E8" w:rsidRPr="009A3970" w:rsidRDefault="000373E8" w:rsidP="000373E8">
            <w:pPr>
              <w:jc w:val="center"/>
            </w:pPr>
            <w:r w:rsidRPr="009A3970">
              <w:t>8.2%</w:t>
            </w:r>
          </w:p>
        </w:tc>
        <w:tc>
          <w:tcPr>
            <w:tcW w:w="910" w:type="dxa"/>
            <w:noWrap/>
            <w:vAlign w:val="center"/>
          </w:tcPr>
          <w:p w:rsidR="000373E8" w:rsidRPr="009A3970" w:rsidRDefault="000373E8" w:rsidP="000373E8">
            <w:pPr>
              <w:jc w:val="center"/>
            </w:pPr>
            <w:r w:rsidRPr="009A3970">
              <w:t>0.0%</w:t>
            </w:r>
          </w:p>
        </w:tc>
        <w:tc>
          <w:tcPr>
            <w:tcW w:w="1180" w:type="dxa"/>
            <w:noWrap/>
            <w:vAlign w:val="center"/>
          </w:tcPr>
          <w:p w:rsidR="000373E8" w:rsidRPr="009A3970" w:rsidRDefault="000373E8" w:rsidP="000373E8">
            <w:pPr>
              <w:jc w:val="center"/>
            </w:pPr>
            <w:r w:rsidRPr="009A3970">
              <w:t>5.1%</w:t>
            </w:r>
          </w:p>
        </w:tc>
      </w:tr>
      <w:tr w:rsidR="000373E8" w:rsidTr="000373E8">
        <w:trPr>
          <w:trHeight w:val="356"/>
        </w:trPr>
        <w:tc>
          <w:tcPr>
            <w:tcW w:w="1940" w:type="dxa"/>
            <w:noWrap/>
            <w:vAlign w:val="bottom"/>
          </w:tcPr>
          <w:p w:rsidR="000373E8" w:rsidRDefault="000373E8" w:rsidP="000373E8">
            <w:pPr>
              <w:rPr>
                <w:rFonts w:ascii="Arial" w:hAnsi="Arial" w:cs="Arial"/>
                <w:sz w:val="20"/>
              </w:rPr>
            </w:pPr>
            <w:r>
              <w:rPr>
                <w:rFonts w:ascii="Arial" w:hAnsi="Arial" w:cs="Arial"/>
                <w:sz w:val="20"/>
              </w:rPr>
              <w:t>PLANNED</w:t>
            </w:r>
          </w:p>
        </w:tc>
        <w:tc>
          <w:tcPr>
            <w:tcW w:w="1000" w:type="dxa"/>
            <w:noWrap/>
            <w:vAlign w:val="center"/>
          </w:tcPr>
          <w:p w:rsidR="000373E8" w:rsidRPr="009A3970" w:rsidRDefault="000373E8" w:rsidP="000373E8">
            <w:pPr>
              <w:jc w:val="center"/>
            </w:pPr>
            <w:r w:rsidRPr="009A3970">
              <w:t>5.9%</w:t>
            </w:r>
          </w:p>
        </w:tc>
        <w:tc>
          <w:tcPr>
            <w:tcW w:w="910" w:type="dxa"/>
            <w:noWrap/>
            <w:vAlign w:val="center"/>
          </w:tcPr>
          <w:p w:rsidR="000373E8" w:rsidRPr="009A3970" w:rsidRDefault="000373E8" w:rsidP="000373E8">
            <w:pPr>
              <w:jc w:val="center"/>
            </w:pPr>
            <w:r w:rsidRPr="009A3970">
              <w:t>9.4%</w:t>
            </w:r>
          </w:p>
        </w:tc>
        <w:tc>
          <w:tcPr>
            <w:tcW w:w="1000" w:type="dxa"/>
            <w:noWrap/>
            <w:vAlign w:val="center"/>
          </w:tcPr>
          <w:p w:rsidR="000373E8" w:rsidRPr="009A3970" w:rsidRDefault="000373E8" w:rsidP="000373E8">
            <w:pPr>
              <w:jc w:val="center"/>
            </w:pPr>
            <w:r w:rsidRPr="009A3970">
              <w:t>6.4%</w:t>
            </w:r>
          </w:p>
        </w:tc>
        <w:tc>
          <w:tcPr>
            <w:tcW w:w="1000" w:type="dxa"/>
            <w:noWrap/>
            <w:vAlign w:val="center"/>
          </w:tcPr>
          <w:p w:rsidR="000373E8" w:rsidRPr="009A3970" w:rsidRDefault="000373E8" w:rsidP="000373E8">
            <w:pPr>
              <w:jc w:val="center"/>
            </w:pPr>
            <w:r w:rsidRPr="009A3970">
              <w:t>29.3%</w:t>
            </w:r>
          </w:p>
        </w:tc>
        <w:tc>
          <w:tcPr>
            <w:tcW w:w="910" w:type="dxa"/>
            <w:noWrap/>
            <w:vAlign w:val="center"/>
          </w:tcPr>
          <w:p w:rsidR="000373E8" w:rsidRPr="009A3970" w:rsidRDefault="000373E8" w:rsidP="000373E8">
            <w:pPr>
              <w:jc w:val="center"/>
            </w:pPr>
            <w:r w:rsidRPr="009A3970">
              <w:t>2.6%</w:t>
            </w:r>
          </w:p>
        </w:tc>
        <w:tc>
          <w:tcPr>
            <w:tcW w:w="1000" w:type="dxa"/>
            <w:noWrap/>
            <w:vAlign w:val="center"/>
          </w:tcPr>
          <w:p w:rsidR="000373E8" w:rsidRPr="009A3970" w:rsidRDefault="000373E8" w:rsidP="000373E8">
            <w:pPr>
              <w:jc w:val="center"/>
            </w:pPr>
            <w:r w:rsidRPr="009A3970">
              <w:t>4.1%</w:t>
            </w:r>
          </w:p>
        </w:tc>
        <w:tc>
          <w:tcPr>
            <w:tcW w:w="1000" w:type="dxa"/>
            <w:noWrap/>
            <w:vAlign w:val="center"/>
          </w:tcPr>
          <w:p w:rsidR="000373E8" w:rsidRPr="009A3970" w:rsidRDefault="000373E8" w:rsidP="000373E8">
            <w:pPr>
              <w:jc w:val="center"/>
            </w:pPr>
            <w:r w:rsidRPr="009A3970">
              <w:t>11.1%</w:t>
            </w:r>
          </w:p>
        </w:tc>
        <w:tc>
          <w:tcPr>
            <w:tcW w:w="910" w:type="dxa"/>
            <w:noWrap/>
            <w:vAlign w:val="center"/>
          </w:tcPr>
          <w:p w:rsidR="000373E8" w:rsidRPr="009A3970" w:rsidRDefault="000373E8" w:rsidP="000373E8">
            <w:pPr>
              <w:jc w:val="center"/>
            </w:pPr>
            <w:r w:rsidRPr="009A3970">
              <w:t>5.3%</w:t>
            </w:r>
          </w:p>
        </w:tc>
        <w:tc>
          <w:tcPr>
            <w:tcW w:w="1000" w:type="dxa"/>
            <w:noWrap/>
            <w:vAlign w:val="center"/>
          </w:tcPr>
          <w:p w:rsidR="000373E8" w:rsidRPr="009A3970" w:rsidRDefault="000373E8" w:rsidP="000373E8">
            <w:pPr>
              <w:jc w:val="center"/>
            </w:pPr>
            <w:r w:rsidRPr="009A3970">
              <w:t>1.3%</w:t>
            </w:r>
          </w:p>
        </w:tc>
        <w:tc>
          <w:tcPr>
            <w:tcW w:w="1000" w:type="dxa"/>
            <w:noWrap/>
            <w:vAlign w:val="center"/>
          </w:tcPr>
          <w:p w:rsidR="000373E8" w:rsidRPr="009A3970" w:rsidRDefault="000373E8" w:rsidP="000373E8">
            <w:pPr>
              <w:jc w:val="center"/>
            </w:pPr>
            <w:r w:rsidRPr="009A3970">
              <w:t>5.4%</w:t>
            </w:r>
          </w:p>
        </w:tc>
        <w:tc>
          <w:tcPr>
            <w:tcW w:w="910" w:type="dxa"/>
            <w:noWrap/>
            <w:vAlign w:val="center"/>
          </w:tcPr>
          <w:p w:rsidR="000373E8" w:rsidRPr="009A3970" w:rsidRDefault="000373E8" w:rsidP="000373E8">
            <w:pPr>
              <w:jc w:val="center"/>
            </w:pPr>
            <w:r w:rsidRPr="009A3970">
              <w:t>4.8%</w:t>
            </w:r>
          </w:p>
        </w:tc>
        <w:tc>
          <w:tcPr>
            <w:tcW w:w="1180" w:type="dxa"/>
            <w:noWrap/>
            <w:vAlign w:val="center"/>
          </w:tcPr>
          <w:p w:rsidR="000373E8" w:rsidRDefault="000373E8" w:rsidP="000373E8">
            <w:pPr>
              <w:jc w:val="center"/>
            </w:pPr>
            <w:r w:rsidRPr="009A3970">
              <w:t>7.5%</w:t>
            </w:r>
          </w:p>
        </w:tc>
      </w:tr>
    </w:tbl>
    <w:p w:rsidR="00142318" w:rsidRDefault="00142318">
      <w:pPr>
        <w:rPr>
          <w:color w:val="00000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Default="000373E8" w:rsidP="000373E8">
      <w:pPr>
        <w:rPr>
          <w:snapToGrid w:val="0"/>
        </w:rPr>
      </w:pPr>
    </w:p>
    <w:p w:rsidR="000373E8" w:rsidRPr="00F71C11" w:rsidRDefault="000373E8" w:rsidP="000373E8">
      <w:r w:rsidRPr="00F71C11">
        <w:rPr>
          <w:snapToGrid w:val="0"/>
        </w:rPr>
        <w:lastRenderedPageBreak/>
        <w:t>% SAIFI per Cause by Office</w:t>
      </w:r>
      <w:r w:rsidRPr="00F71C11">
        <w:t xml:space="preserve">  </w:t>
      </w:r>
    </w:p>
    <w:p w:rsidR="000373E8" w:rsidRDefault="000373E8" w:rsidP="000373E8">
      <w:r>
        <w:t xml:space="preserve">The following chart shows the percentage SAIFI contribution by causes for outages excluding major event days. </w:t>
      </w:r>
    </w:p>
    <w:p w:rsidR="000373E8" w:rsidRDefault="000373E8" w:rsidP="000373E8">
      <w:pPr>
        <w:rPr>
          <w:color w:val="000000"/>
        </w:rPr>
      </w:pPr>
    </w:p>
    <w:p w:rsidR="000373E8" w:rsidRDefault="000373E8">
      <w:pPr>
        <w:rPr>
          <w:color w:val="000000"/>
        </w:rPr>
      </w:pPr>
      <w:r w:rsidRPr="000373E8">
        <w:rPr>
          <w:noProof/>
        </w:rPr>
        <w:drawing>
          <wp:inline distT="0" distB="0" distL="0" distR="0">
            <wp:extent cx="6823247" cy="48863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8" cstate="print"/>
                    <a:srcRect/>
                    <a:stretch>
                      <a:fillRect/>
                    </a:stretch>
                  </pic:blipFill>
                  <pic:spPr bwMode="auto">
                    <a:xfrm>
                      <a:off x="0" y="0"/>
                      <a:ext cx="6823247" cy="4886325"/>
                    </a:xfrm>
                    <a:prstGeom prst="rect">
                      <a:avLst/>
                    </a:prstGeom>
                    <a:noFill/>
                    <a:ln w="9525">
                      <a:noFill/>
                      <a:miter lim="800000"/>
                      <a:headEnd/>
                      <a:tailEnd/>
                    </a:ln>
                  </pic:spPr>
                </pic:pic>
              </a:graphicData>
            </a:graphic>
          </wp:inline>
        </w:drawing>
      </w:r>
    </w:p>
    <w:p w:rsidR="000373E8" w:rsidRDefault="000373E8">
      <w:pPr>
        <w:rPr>
          <w:color w:val="000000"/>
        </w:rPr>
      </w:pPr>
    </w:p>
    <w:p w:rsidR="000373E8" w:rsidRDefault="000373E8">
      <w:pPr>
        <w:rPr>
          <w:color w:val="000000"/>
        </w:rPr>
      </w:pPr>
    </w:p>
    <w:p w:rsidR="000373E8" w:rsidRDefault="000373E8" w:rsidP="000373E8">
      <w:r>
        <w:lastRenderedPageBreak/>
        <w:t>% SAIFI per Cause by Month</w:t>
      </w:r>
    </w:p>
    <w:p w:rsidR="000373E8" w:rsidRDefault="000373E8" w:rsidP="000373E8">
      <w:r>
        <w:t xml:space="preserve">The following table lists the percentage SAIFI contribution by causes for all outages, excluding major event days. </w:t>
      </w:r>
    </w:p>
    <w:p w:rsidR="000373E8" w:rsidRDefault="000373E8">
      <w:pPr>
        <w:rPr>
          <w:color w:val="000000"/>
        </w:rPr>
      </w:pPr>
    </w:p>
    <w:tbl>
      <w:tblPr>
        <w:tblW w:w="13160" w:type="dxa"/>
        <w:tblInd w:w="-207" w:type="dxa"/>
        <w:tblCellMar>
          <w:left w:w="0" w:type="dxa"/>
          <w:right w:w="0" w:type="dxa"/>
        </w:tblCellMar>
        <w:tblLook w:val="0000"/>
      </w:tblPr>
      <w:tblGrid>
        <w:gridCol w:w="1960"/>
        <w:gridCol w:w="840"/>
        <w:gridCol w:w="840"/>
        <w:gridCol w:w="840"/>
        <w:gridCol w:w="840"/>
        <w:gridCol w:w="840"/>
        <w:gridCol w:w="840"/>
        <w:gridCol w:w="840"/>
        <w:gridCol w:w="840"/>
        <w:gridCol w:w="840"/>
        <w:gridCol w:w="840"/>
        <w:gridCol w:w="840"/>
        <w:gridCol w:w="840"/>
        <w:gridCol w:w="1120"/>
      </w:tblGrid>
      <w:tr w:rsidR="000373E8" w:rsidTr="000373E8">
        <w:trPr>
          <w:trHeight w:val="360"/>
        </w:trPr>
        <w:tc>
          <w:tcPr>
            <w:tcW w:w="1960" w:type="dxa"/>
            <w:tcBorders>
              <w:top w:val="single" w:sz="18" w:space="0" w:color="auto"/>
              <w:left w:val="single" w:sz="18" w:space="0" w:color="auto"/>
              <w:bottom w:val="single" w:sz="18" w:space="0" w:color="auto"/>
              <w:right w:val="single" w:sz="4" w:space="0" w:color="auto"/>
            </w:tcBorders>
            <w:noWrap/>
            <w:vAlign w:val="bottom"/>
          </w:tcPr>
          <w:p w:rsidR="000373E8" w:rsidRDefault="000373E8" w:rsidP="000373E8">
            <w:pPr>
              <w:rPr>
                <w:rFonts w:ascii="Arial" w:eastAsia="Arial Unicode MS" w:hAnsi="Arial" w:cs="Arial"/>
                <w:b/>
                <w:bCs/>
                <w:szCs w:val="24"/>
              </w:rPr>
            </w:pPr>
            <w:r>
              <w:rPr>
                <w:rFonts w:ascii="Arial" w:hAnsi="Arial" w:cs="Arial"/>
                <w:b/>
                <w:bCs/>
              </w:rPr>
              <w:t>Reason</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Jan</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Feb</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Mar</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Apr</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May</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June</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July</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Aug</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Sept</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Oct</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Nov</w:t>
            </w:r>
          </w:p>
        </w:tc>
        <w:tc>
          <w:tcPr>
            <w:tcW w:w="840" w:type="dxa"/>
            <w:tcBorders>
              <w:top w:val="single" w:sz="18" w:space="0" w:color="auto"/>
              <w:left w:val="nil"/>
              <w:bottom w:val="single" w:sz="18" w:space="0" w:color="auto"/>
              <w:right w:val="single" w:sz="4"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Dec</w:t>
            </w:r>
          </w:p>
        </w:tc>
        <w:tc>
          <w:tcPr>
            <w:tcW w:w="1120" w:type="dxa"/>
            <w:tcBorders>
              <w:top w:val="single" w:sz="18" w:space="0" w:color="auto"/>
              <w:left w:val="nil"/>
              <w:bottom w:val="single" w:sz="18" w:space="0" w:color="auto"/>
              <w:right w:val="single" w:sz="18" w:space="0" w:color="auto"/>
            </w:tcBorders>
            <w:noWrap/>
            <w:vAlign w:val="bottom"/>
          </w:tcPr>
          <w:p w:rsidR="000373E8" w:rsidRDefault="000373E8" w:rsidP="000373E8">
            <w:pPr>
              <w:jc w:val="center"/>
              <w:rPr>
                <w:rFonts w:ascii="Arial" w:eastAsia="Arial Unicode MS" w:hAnsi="Arial" w:cs="Arial"/>
                <w:b/>
                <w:bCs/>
                <w:szCs w:val="24"/>
              </w:rPr>
            </w:pPr>
            <w:r>
              <w:rPr>
                <w:rFonts w:ascii="Arial" w:hAnsi="Arial" w:cs="Arial"/>
                <w:b/>
                <w:bCs/>
              </w:rPr>
              <w:t>Yearly</w:t>
            </w:r>
          </w:p>
        </w:tc>
      </w:tr>
      <w:tr w:rsidR="000373E8" w:rsidTr="000373E8">
        <w:trPr>
          <w:trHeight w:val="315"/>
        </w:trPr>
        <w:tc>
          <w:tcPr>
            <w:tcW w:w="0" w:type="auto"/>
            <w:tcBorders>
              <w:top w:val="single" w:sz="18" w:space="0" w:color="auto"/>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ANIMAL</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0.4%</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1.0%</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4.7%</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7.7%</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34.2%</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2.9%</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7.2%</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1.6%</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2.2%</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13.2%</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4.5%</w:t>
            </w:r>
          </w:p>
        </w:tc>
        <w:tc>
          <w:tcPr>
            <w:tcW w:w="0" w:type="auto"/>
            <w:tcBorders>
              <w:top w:val="single" w:sz="18" w:space="0" w:color="auto"/>
              <w:left w:val="nil"/>
              <w:bottom w:val="nil"/>
              <w:right w:val="single" w:sz="4" w:space="0" w:color="auto"/>
            </w:tcBorders>
            <w:noWrap/>
            <w:vAlign w:val="center"/>
          </w:tcPr>
          <w:p w:rsidR="000373E8" w:rsidRPr="00A92F46" w:rsidRDefault="000373E8" w:rsidP="000373E8">
            <w:pPr>
              <w:jc w:val="center"/>
            </w:pPr>
            <w:r w:rsidRPr="00A92F46">
              <w:t>3.8%</w:t>
            </w:r>
          </w:p>
        </w:tc>
        <w:tc>
          <w:tcPr>
            <w:tcW w:w="0" w:type="auto"/>
            <w:tcBorders>
              <w:top w:val="single" w:sz="18" w:space="0" w:color="auto"/>
              <w:left w:val="nil"/>
              <w:bottom w:val="nil"/>
              <w:right w:val="single" w:sz="18" w:space="0" w:color="auto"/>
            </w:tcBorders>
            <w:noWrap/>
            <w:vAlign w:val="center"/>
          </w:tcPr>
          <w:p w:rsidR="000373E8" w:rsidRPr="00A92F46" w:rsidRDefault="000373E8" w:rsidP="000373E8">
            <w:pPr>
              <w:jc w:val="center"/>
            </w:pPr>
            <w:r w:rsidRPr="00A92F46">
              <w:t>7.0%</w:t>
            </w:r>
          </w:p>
        </w:tc>
      </w:tr>
      <w:tr w:rsidR="000373E8" w:rsidTr="000373E8">
        <w:trPr>
          <w:trHeight w:val="315"/>
        </w:trPr>
        <w:tc>
          <w:tcPr>
            <w:tcW w:w="0" w:type="auto"/>
            <w:tcBorders>
              <w:top w:val="nil"/>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MISCELLANEOUS</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1.1%</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0.4%</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3.4%</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0.7%</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2.5%</w:t>
            </w:r>
          </w:p>
        </w:tc>
        <w:tc>
          <w:tcPr>
            <w:tcW w:w="0" w:type="auto"/>
            <w:tcBorders>
              <w:top w:val="nil"/>
              <w:left w:val="nil"/>
              <w:bottom w:val="nil"/>
              <w:right w:val="single" w:sz="18" w:space="0" w:color="auto"/>
            </w:tcBorders>
            <w:noWrap/>
            <w:vAlign w:val="center"/>
          </w:tcPr>
          <w:p w:rsidR="000373E8" w:rsidRPr="00A92F46" w:rsidRDefault="000373E8" w:rsidP="000373E8">
            <w:pPr>
              <w:jc w:val="center"/>
            </w:pPr>
            <w:r w:rsidRPr="00A92F46">
              <w:t>1.0%</w:t>
            </w:r>
          </w:p>
        </w:tc>
      </w:tr>
      <w:tr w:rsidR="000373E8" w:rsidTr="000373E8">
        <w:trPr>
          <w:trHeight w:val="315"/>
        </w:trPr>
        <w:tc>
          <w:tcPr>
            <w:tcW w:w="0" w:type="auto"/>
            <w:tcBorders>
              <w:top w:val="nil"/>
              <w:left w:val="single" w:sz="18" w:space="0" w:color="auto"/>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POLE FIRE</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3.6%</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0.3%</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0.9%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4.0%</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3.2%</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11.9%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6.4%</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29.2%</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1.1%</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3.9%</w:t>
            </w:r>
          </w:p>
        </w:tc>
        <w:tc>
          <w:tcPr>
            <w:tcW w:w="0" w:type="auto"/>
            <w:tcBorders>
              <w:top w:val="nil"/>
              <w:left w:val="nil"/>
              <w:right w:val="single" w:sz="18" w:space="0" w:color="auto"/>
            </w:tcBorders>
            <w:noWrap/>
            <w:vAlign w:val="center"/>
          </w:tcPr>
          <w:p w:rsidR="000373E8" w:rsidRPr="00A92F46" w:rsidRDefault="000373E8" w:rsidP="000373E8">
            <w:pPr>
              <w:jc w:val="center"/>
            </w:pPr>
            <w:r w:rsidRPr="00A92F46">
              <w:t>5.8%</w:t>
            </w:r>
          </w:p>
        </w:tc>
      </w:tr>
      <w:tr w:rsidR="000373E8" w:rsidTr="000373E8">
        <w:trPr>
          <w:trHeight w:val="315"/>
        </w:trPr>
        <w:tc>
          <w:tcPr>
            <w:tcW w:w="0" w:type="auto"/>
            <w:tcBorders>
              <w:top w:val="nil"/>
              <w:left w:val="single" w:sz="18" w:space="0" w:color="auto"/>
              <w:bottom w:val="single" w:sz="4" w:space="0" w:color="auto"/>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WEATHER</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69.0%</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55.4%</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33.9%</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3.1%</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14.5%</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10.2%</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15.3%</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22.0%</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2.9%</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5.0%</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7.3%</w:t>
            </w:r>
          </w:p>
        </w:tc>
        <w:tc>
          <w:tcPr>
            <w:tcW w:w="0" w:type="auto"/>
            <w:tcBorders>
              <w:top w:val="nil"/>
              <w:left w:val="nil"/>
              <w:bottom w:val="single" w:sz="4" w:space="0" w:color="auto"/>
              <w:right w:val="single" w:sz="4" w:space="0" w:color="auto"/>
            </w:tcBorders>
            <w:noWrap/>
            <w:vAlign w:val="center"/>
          </w:tcPr>
          <w:p w:rsidR="000373E8" w:rsidRPr="00A92F46" w:rsidRDefault="000373E8" w:rsidP="000373E8">
            <w:pPr>
              <w:jc w:val="center"/>
            </w:pPr>
            <w:r w:rsidRPr="00A92F46">
              <w:t>32.5%</w:t>
            </w:r>
          </w:p>
        </w:tc>
        <w:tc>
          <w:tcPr>
            <w:tcW w:w="0" w:type="auto"/>
            <w:tcBorders>
              <w:top w:val="nil"/>
              <w:left w:val="nil"/>
              <w:bottom w:val="single" w:sz="4" w:space="0" w:color="auto"/>
              <w:right w:val="single" w:sz="18" w:space="0" w:color="auto"/>
            </w:tcBorders>
            <w:noWrap/>
            <w:vAlign w:val="center"/>
          </w:tcPr>
          <w:p w:rsidR="000373E8" w:rsidRPr="00A92F46" w:rsidRDefault="000373E8" w:rsidP="000373E8">
            <w:pPr>
              <w:jc w:val="center"/>
            </w:pPr>
            <w:r w:rsidRPr="00A92F46">
              <w:t>24.9%</w:t>
            </w:r>
          </w:p>
        </w:tc>
      </w:tr>
      <w:tr w:rsidR="000373E8" w:rsidTr="000373E8">
        <w:trPr>
          <w:trHeight w:val="315"/>
        </w:trPr>
        <w:tc>
          <w:tcPr>
            <w:tcW w:w="0" w:type="auto"/>
            <w:tcBorders>
              <w:top w:val="single" w:sz="4" w:space="0" w:color="auto"/>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UNDETERMINED</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4.0%</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5.7%</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12.8%</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22.2%</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14.5%</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12.9%</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21.2%</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25.0%</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38.5%</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14.3%</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37.5%</w:t>
            </w:r>
          </w:p>
        </w:tc>
        <w:tc>
          <w:tcPr>
            <w:tcW w:w="0" w:type="auto"/>
            <w:tcBorders>
              <w:top w:val="single" w:sz="4" w:space="0" w:color="auto"/>
              <w:left w:val="nil"/>
              <w:bottom w:val="nil"/>
              <w:right w:val="single" w:sz="4" w:space="0" w:color="auto"/>
            </w:tcBorders>
            <w:noWrap/>
            <w:vAlign w:val="center"/>
          </w:tcPr>
          <w:p w:rsidR="000373E8" w:rsidRPr="00A92F46" w:rsidRDefault="000373E8" w:rsidP="000373E8">
            <w:pPr>
              <w:jc w:val="center"/>
            </w:pPr>
            <w:r w:rsidRPr="00A92F46">
              <w:t>6.6%</w:t>
            </w:r>
          </w:p>
        </w:tc>
        <w:tc>
          <w:tcPr>
            <w:tcW w:w="0" w:type="auto"/>
            <w:tcBorders>
              <w:top w:val="single" w:sz="4" w:space="0" w:color="auto"/>
              <w:left w:val="nil"/>
              <w:bottom w:val="nil"/>
              <w:right w:val="single" w:sz="18" w:space="0" w:color="auto"/>
            </w:tcBorders>
            <w:noWrap/>
            <w:vAlign w:val="center"/>
          </w:tcPr>
          <w:p w:rsidR="000373E8" w:rsidRPr="00A92F46" w:rsidRDefault="000373E8" w:rsidP="000373E8">
            <w:pPr>
              <w:jc w:val="center"/>
            </w:pPr>
            <w:r w:rsidRPr="00A92F46">
              <w:t>16.1%</w:t>
            </w:r>
          </w:p>
        </w:tc>
      </w:tr>
      <w:tr w:rsidR="000373E8" w:rsidTr="000373E8">
        <w:trPr>
          <w:trHeight w:val="315"/>
        </w:trPr>
        <w:tc>
          <w:tcPr>
            <w:tcW w:w="0" w:type="auto"/>
            <w:tcBorders>
              <w:top w:val="nil"/>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TREE</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12.5%</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16.0%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6.1%</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10.9%</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7.2%</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17.8%</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2.4%</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8.3%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10.6%</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21.2%</w:t>
            </w:r>
          </w:p>
        </w:tc>
        <w:tc>
          <w:tcPr>
            <w:tcW w:w="0" w:type="auto"/>
            <w:tcBorders>
              <w:top w:val="nil"/>
              <w:left w:val="nil"/>
              <w:bottom w:val="nil"/>
              <w:right w:val="single" w:sz="18" w:space="0" w:color="auto"/>
            </w:tcBorders>
            <w:noWrap/>
            <w:vAlign w:val="center"/>
          </w:tcPr>
          <w:p w:rsidR="000373E8" w:rsidRPr="00A92F46" w:rsidRDefault="000373E8" w:rsidP="000373E8">
            <w:pPr>
              <w:jc w:val="center"/>
            </w:pPr>
            <w:r w:rsidRPr="00A92F46">
              <w:t>11.8%</w:t>
            </w:r>
          </w:p>
        </w:tc>
      </w:tr>
      <w:tr w:rsidR="000373E8" w:rsidTr="000373E8">
        <w:trPr>
          <w:trHeight w:val="315"/>
        </w:trPr>
        <w:tc>
          <w:tcPr>
            <w:tcW w:w="0" w:type="auto"/>
            <w:tcBorders>
              <w:top w:val="nil"/>
              <w:left w:val="single" w:sz="18" w:space="0" w:color="auto"/>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PUBLIC</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0.9%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9.1%</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11.9%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8.9%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4.3%</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5.6%</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14.3%</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4.6%</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4.9%</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7.7%</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10.8%</w:t>
            </w:r>
          </w:p>
        </w:tc>
        <w:tc>
          <w:tcPr>
            <w:tcW w:w="0" w:type="auto"/>
            <w:tcBorders>
              <w:top w:val="nil"/>
              <w:left w:val="nil"/>
              <w:right w:val="single" w:sz="4" w:space="0" w:color="auto"/>
            </w:tcBorders>
            <w:noWrap/>
            <w:vAlign w:val="center"/>
          </w:tcPr>
          <w:p w:rsidR="000373E8" w:rsidRPr="00A92F46" w:rsidRDefault="000373E8" w:rsidP="000373E8">
            <w:pPr>
              <w:jc w:val="center"/>
            </w:pPr>
            <w:r w:rsidRPr="00A92F46">
              <w:t>1.3%</w:t>
            </w:r>
          </w:p>
        </w:tc>
        <w:tc>
          <w:tcPr>
            <w:tcW w:w="0" w:type="auto"/>
            <w:tcBorders>
              <w:top w:val="nil"/>
              <w:left w:val="nil"/>
              <w:right w:val="single" w:sz="18" w:space="0" w:color="auto"/>
            </w:tcBorders>
            <w:noWrap/>
            <w:vAlign w:val="center"/>
          </w:tcPr>
          <w:p w:rsidR="000373E8" w:rsidRPr="00A92F46" w:rsidRDefault="000373E8" w:rsidP="000373E8">
            <w:pPr>
              <w:jc w:val="center"/>
            </w:pPr>
            <w:r w:rsidRPr="00A92F46">
              <w:t>6.0%</w:t>
            </w:r>
          </w:p>
        </w:tc>
      </w:tr>
      <w:tr w:rsidR="000373E8" w:rsidTr="000373E8">
        <w:trPr>
          <w:trHeight w:val="315"/>
        </w:trPr>
        <w:tc>
          <w:tcPr>
            <w:tcW w:w="0" w:type="auto"/>
            <w:tcBorders>
              <w:top w:val="nil"/>
              <w:left w:val="single" w:sz="18" w:space="0" w:color="auto"/>
              <w:bottom w:val="single" w:sz="6" w:space="0" w:color="auto"/>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COMPANY</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0.8%</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20.2%</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0.1%</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0.2%</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0.1%</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4.3%</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0.1%</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13.8%</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2.4%</w:t>
            </w:r>
          </w:p>
        </w:tc>
        <w:tc>
          <w:tcPr>
            <w:tcW w:w="0" w:type="auto"/>
            <w:tcBorders>
              <w:top w:val="nil"/>
              <w:left w:val="nil"/>
              <w:bottom w:val="single" w:sz="6" w:space="0" w:color="auto"/>
              <w:right w:val="single" w:sz="4" w:space="0" w:color="auto"/>
            </w:tcBorders>
            <w:noWrap/>
            <w:vAlign w:val="center"/>
          </w:tcPr>
          <w:p w:rsidR="000373E8" w:rsidRPr="00A92F46" w:rsidRDefault="000373E8" w:rsidP="000373E8">
            <w:pPr>
              <w:jc w:val="center"/>
            </w:pPr>
            <w:r w:rsidRPr="00A92F46">
              <w:t>1.2%</w:t>
            </w:r>
          </w:p>
        </w:tc>
        <w:tc>
          <w:tcPr>
            <w:tcW w:w="0" w:type="auto"/>
            <w:tcBorders>
              <w:top w:val="nil"/>
              <w:left w:val="nil"/>
              <w:bottom w:val="single" w:sz="6" w:space="0" w:color="auto"/>
              <w:right w:val="single" w:sz="18" w:space="0" w:color="auto"/>
            </w:tcBorders>
            <w:noWrap/>
            <w:vAlign w:val="center"/>
          </w:tcPr>
          <w:p w:rsidR="000373E8" w:rsidRPr="00A92F46" w:rsidRDefault="000373E8" w:rsidP="000373E8">
            <w:pPr>
              <w:jc w:val="center"/>
            </w:pPr>
            <w:r w:rsidRPr="00A92F46">
              <w:t>3.2%</w:t>
            </w:r>
          </w:p>
        </w:tc>
      </w:tr>
      <w:tr w:rsidR="000373E8" w:rsidTr="000373E8">
        <w:trPr>
          <w:trHeight w:val="315"/>
        </w:trPr>
        <w:tc>
          <w:tcPr>
            <w:tcW w:w="0" w:type="auto"/>
            <w:tcBorders>
              <w:top w:val="single" w:sz="6" w:space="0" w:color="auto"/>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EQUIPMENT OH</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5.1%</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5.7%</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11.0%</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18.5%</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13.8%</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25.7%</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6.8%</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6.0%</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2.4%</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8.0%</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6.4%</w:t>
            </w:r>
          </w:p>
        </w:tc>
        <w:tc>
          <w:tcPr>
            <w:tcW w:w="0" w:type="auto"/>
            <w:tcBorders>
              <w:top w:val="single" w:sz="6" w:space="0" w:color="auto"/>
              <w:left w:val="nil"/>
              <w:bottom w:val="nil"/>
              <w:right w:val="single" w:sz="4" w:space="0" w:color="auto"/>
            </w:tcBorders>
            <w:noWrap/>
            <w:vAlign w:val="center"/>
          </w:tcPr>
          <w:p w:rsidR="000373E8" w:rsidRPr="00A92F46" w:rsidRDefault="000373E8" w:rsidP="000373E8">
            <w:pPr>
              <w:jc w:val="center"/>
            </w:pPr>
            <w:r w:rsidRPr="00A92F46">
              <w:t>10.1%</w:t>
            </w:r>
          </w:p>
        </w:tc>
        <w:tc>
          <w:tcPr>
            <w:tcW w:w="0" w:type="auto"/>
            <w:tcBorders>
              <w:top w:val="single" w:sz="6" w:space="0" w:color="auto"/>
              <w:left w:val="nil"/>
              <w:bottom w:val="nil"/>
              <w:right w:val="single" w:sz="18" w:space="0" w:color="auto"/>
            </w:tcBorders>
            <w:noWrap/>
            <w:vAlign w:val="center"/>
          </w:tcPr>
          <w:p w:rsidR="000373E8" w:rsidRPr="00A92F46" w:rsidRDefault="000373E8" w:rsidP="000373E8">
            <w:pPr>
              <w:jc w:val="center"/>
            </w:pPr>
            <w:r w:rsidRPr="00A92F46">
              <w:t>9.8%</w:t>
            </w:r>
          </w:p>
        </w:tc>
      </w:tr>
      <w:tr w:rsidR="000373E8" w:rsidTr="000373E8">
        <w:trPr>
          <w:trHeight w:val="315"/>
        </w:trPr>
        <w:tc>
          <w:tcPr>
            <w:tcW w:w="0" w:type="auto"/>
            <w:tcBorders>
              <w:top w:val="nil"/>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EQUIPMENT UG</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1.6%</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2.2%</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1.1%</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6.3%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4.8%</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2.3%</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0.5%</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1.9%</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0.4%</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0.4%</w:t>
            </w:r>
          </w:p>
        </w:tc>
        <w:tc>
          <w:tcPr>
            <w:tcW w:w="0" w:type="auto"/>
            <w:tcBorders>
              <w:top w:val="nil"/>
              <w:left w:val="nil"/>
              <w:bottom w:val="nil"/>
              <w:right w:val="single" w:sz="18" w:space="0" w:color="auto"/>
            </w:tcBorders>
            <w:noWrap/>
            <w:vAlign w:val="center"/>
          </w:tcPr>
          <w:p w:rsidR="000373E8" w:rsidRPr="00A92F46" w:rsidRDefault="000373E8" w:rsidP="000373E8">
            <w:pPr>
              <w:jc w:val="center"/>
            </w:pPr>
            <w:r w:rsidRPr="00A92F46">
              <w:t>1.8%</w:t>
            </w:r>
          </w:p>
        </w:tc>
      </w:tr>
      <w:tr w:rsidR="000373E8" w:rsidTr="000373E8">
        <w:trPr>
          <w:trHeight w:val="345"/>
        </w:trPr>
        <w:tc>
          <w:tcPr>
            <w:tcW w:w="0" w:type="auto"/>
            <w:tcBorders>
              <w:top w:val="nil"/>
              <w:left w:val="single" w:sz="18" w:space="0" w:color="auto"/>
              <w:bottom w:val="nil"/>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EQUIPMENT SUB</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4.1%</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10.9%</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4.7%</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0.0%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5.1%</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14.0%</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13.9%</w:t>
            </w:r>
          </w:p>
        </w:tc>
        <w:tc>
          <w:tcPr>
            <w:tcW w:w="0" w:type="auto"/>
            <w:tcBorders>
              <w:top w:val="nil"/>
              <w:left w:val="nil"/>
              <w:bottom w:val="nil"/>
              <w:right w:val="single" w:sz="4" w:space="0" w:color="auto"/>
            </w:tcBorders>
            <w:noWrap/>
            <w:vAlign w:val="center"/>
          </w:tcPr>
          <w:p w:rsidR="000373E8" w:rsidRPr="00A92F46" w:rsidRDefault="000373E8" w:rsidP="000373E8">
            <w:pPr>
              <w:jc w:val="center"/>
            </w:pPr>
            <w:r w:rsidRPr="00A92F46">
              <w:t>8.3%</w:t>
            </w:r>
          </w:p>
        </w:tc>
        <w:tc>
          <w:tcPr>
            <w:tcW w:w="0" w:type="auto"/>
            <w:tcBorders>
              <w:top w:val="nil"/>
              <w:left w:val="nil"/>
              <w:bottom w:val="nil"/>
              <w:right w:val="single" w:sz="18" w:space="0" w:color="auto"/>
            </w:tcBorders>
            <w:noWrap/>
            <w:vAlign w:val="center"/>
          </w:tcPr>
          <w:p w:rsidR="000373E8" w:rsidRPr="00A92F46" w:rsidRDefault="000373E8" w:rsidP="000373E8">
            <w:pPr>
              <w:jc w:val="center"/>
            </w:pPr>
            <w:r w:rsidRPr="00A92F46">
              <w:t>5.1%</w:t>
            </w:r>
          </w:p>
        </w:tc>
      </w:tr>
      <w:tr w:rsidR="000373E8" w:rsidTr="000373E8">
        <w:trPr>
          <w:trHeight w:val="345"/>
        </w:trPr>
        <w:tc>
          <w:tcPr>
            <w:tcW w:w="0" w:type="auto"/>
            <w:tcBorders>
              <w:top w:val="nil"/>
              <w:left w:val="single" w:sz="18" w:space="0" w:color="auto"/>
              <w:bottom w:val="single" w:sz="18" w:space="0" w:color="auto"/>
              <w:right w:val="single" w:sz="4" w:space="0" w:color="auto"/>
            </w:tcBorders>
            <w:noWrap/>
            <w:vAlign w:val="bottom"/>
          </w:tcPr>
          <w:p w:rsidR="000373E8" w:rsidRDefault="000373E8" w:rsidP="000373E8">
            <w:pPr>
              <w:rPr>
                <w:rFonts w:ascii="Arial" w:hAnsi="Arial" w:cs="Arial"/>
                <w:sz w:val="20"/>
              </w:rPr>
            </w:pPr>
            <w:r>
              <w:rPr>
                <w:rFonts w:ascii="Arial" w:hAnsi="Arial" w:cs="Arial"/>
                <w:sz w:val="20"/>
              </w:rPr>
              <w:t>PLANNED</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3.0%</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5.3%</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12.1%</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6.8%</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3.8%</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9.9%</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6.4%</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6.7%</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12.0%</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11.9%</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4.4%</w:t>
            </w:r>
          </w:p>
        </w:tc>
        <w:tc>
          <w:tcPr>
            <w:tcW w:w="0" w:type="auto"/>
            <w:tcBorders>
              <w:top w:val="nil"/>
              <w:left w:val="nil"/>
              <w:bottom w:val="single" w:sz="18" w:space="0" w:color="auto"/>
              <w:right w:val="single" w:sz="4" w:space="0" w:color="auto"/>
            </w:tcBorders>
            <w:noWrap/>
            <w:vAlign w:val="center"/>
          </w:tcPr>
          <w:p w:rsidR="000373E8" w:rsidRPr="00A92F46" w:rsidRDefault="000373E8" w:rsidP="000373E8">
            <w:pPr>
              <w:jc w:val="center"/>
            </w:pPr>
            <w:r w:rsidRPr="00A92F46">
              <w:t>8.3%</w:t>
            </w:r>
          </w:p>
        </w:tc>
        <w:tc>
          <w:tcPr>
            <w:tcW w:w="0" w:type="auto"/>
            <w:tcBorders>
              <w:top w:val="nil"/>
              <w:left w:val="nil"/>
              <w:bottom w:val="single" w:sz="18" w:space="0" w:color="auto"/>
              <w:right w:val="single" w:sz="18" w:space="0" w:color="auto"/>
            </w:tcBorders>
            <w:noWrap/>
            <w:vAlign w:val="center"/>
          </w:tcPr>
          <w:p w:rsidR="000373E8" w:rsidRDefault="000373E8" w:rsidP="000373E8">
            <w:pPr>
              <w:jc w:val="center"/>
            </w:pPr>
            <w:r w:rsidRPr="00A92F46">
              <w:t>7.5%</w:t>
            </w:r>
          </w:p>
        </w:tc>
      </w:tr>
    </w:tbl>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pPr>
        <w:rPr>
          <w:color w:val="000000"/>
        </w:rPr>
      </w:pPr>
    </w:p>
    <w:p w:rsidR="000373E8" w:rsidRDefault="000373E8" w:rsidP="000373E8">
      <w:r>
        <w:t xml:space="preserve">The following chart shows the percentage SAIFI contribution by causes for all outages, excluding major event days. </w:t>
      </w:r>
    </w:p>
    <w:p w:rsidR="000373E8" w:rsidRDefault="000373E8">
      <w:pPr>
        <w:rPr>
          <w:color w:val="000000"/>
        </w:rPr>
      </w:pPr>
    </w:p>
    <w:p w:rsidR="000373E8" w:rsidRDefault="000373E8">
      <w:pPr>
        <w:rPr>
          <w:color w:val="000000"/>
        </w:rPr>
      </w:pPr>
      <w:r w:rsidRPr="000373E8">
        <w:rPr>
          <w:noProof/>
        </w:rPr>
        <w:drawing>
          <wp:inline distT="0" distB="0" distL="0" distR="0">
            <wp:extent cx="6675599" cy="46958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cstate="print"/>
                    <a:srcRect/>
                    <a:stretch>
                      <a:fillRect/>
                    </a:stretch>
                  </pic:blipFill>
                  <pic:spPr bwMode="auto">
                    <a:xfrm>
                      <a:off x="0" y="0"/>
                      <a:ext cx="6675966" cy="4696083"/>
                    </a:xfrm>
                    <a:prstGeom prst="rect">
                      <a:avLst/>
                    </a:prstGeom>
                    <a:noFill/>
                    <a:ln w="9525">
                      <a:noFill/>
                      <a:miter lim="800000"/>
                      <a:headEnd/>
                      <a:tailEnd/>
                    </a:ln>
                  </pic:spPr>
                </pic:pic>
              </a:graphicData>
            </a:graphic>
          </wp:inline>
        </w:drawing>
      </w:r>
    </w:p>
    <w:p w:rsidR="000373E8" w:rsidRDefault="000373E8">
      <w:pPr>
        <w:rPr>
          <w:color w:val="000000"/>
        </w:rPr>
      </w:pPr>
    </w:p>
    <w:p w:rsidR="000373E8" w:rsidRDefault="000373E8">
      <w:pPr>
        <w:rPr>
          <w:color w:val="000000"/>
        </w:rPr>
      </w:pPr>
    </w:p>
    <w:p w:rsidR="000373E8" w:rsidRDefault="000373E8">
      <w:pPr>
        <w:rPr>
          <w:color w:val="000000"/>
        </w:rPr>
        <w:sectPr w:rsidR="000373E8" w:rsidSect="00F71C11">
          <w:pgSz w:w="15840" w:h="12240" w:orient="landscape"/>
          <w:pgMar w:top="1800" w:right="576" w:bottom="1354" w:left="576" w:header="720" w:footer="720" w:gutter="0"/>
          <w:cols w:space="720"/>
          <w:docGrid w:linePitch="360"/>
        </w:sectPr>
      </w:pPr>
    </w:p>
    <w:p w:rsidR="000373E8" w:rsidRPr="009124F8" w:rsidRDefault="000373E8" w:rsidP="000373E8">
      <w:pPr>
        <w:rPr>
          <w:rFonts w:ascii="Arial" w:hAnsi="Arial"/>
          <w:b/>
          <w:u w:val="single"/>
        </w:rPr>
      </w:pPr>
      <w:r w:rsidRPr="009124F8">
        <w:rPr>
          <w:rFonts w:ascii="Arial" w:hAnsi="Arial"/>
          <w:b/>
          <w:u w:val="single"/>
        </w:rPr>
        <w:lastRenderedPageBreak/>
        <w:t>1</w:t>
      </w:r>
      <w:r>
        <w:rPr>
          <w:rFonts w:ascii="Arial" w:hAnsi="Arial"/>
          <w:b/>
          <w:u w:val="single"/>
        </w:rPr>
        <w:t>0.0</w:t>
      </w:r>
      <w:r w:rsidRPr="009124F8">
        <w:rPr>
          <w:rFonts w:ascii="Arial" w:hAnsi="Arial"/>
          <w:b/>
          <w:u w:val="single"/>
        </w:rPr>
        <w:tab/>
      </w:r>
      <w:r>
        <w:rPr>
          <w:rFonts w:ascii="Arial" w:hAnsi="Arial"/>
          <w:b/>
          <w:u w:val="single"/>
        </w:rPr>
        <w:t>Major Event Day causes</w:t>
      </w:r>
    </w:p>
    <w:p w:rsidR="000B3384" w:rsidRPr="000373E8" w:rsidRDefault="000B3384"/>
    <w:p w:rsidR="000373E8" w:rsidRDefault="000373E8" w:rsidP="000373E8">
      <w:pPr>
        <w:pStyle w:val="Heading3"/>
        <w:jc w:val="left"/>
      </w:pPr>
      <w:r w:rsidRPr="000373E8">
        <w:rPr>
          <w:rFonts w:ascii="Times New Roman" w:hAnsi="Times New Roman"/>
          <w:b w:val="0"/>
          <w:i w:val="0"/>
          <w:snapToGrid/>
          <w:color w:val="auto"/>
          <w:sz w:val="24"/>
        </w:rPr>
        <w:t xml:space="preserve">% SAIFI by Cause Code for the Major Event Days  </w:t>
      </w:r>
    </w:p>
    <w:p w:rsidR="000373E8" w:rsidRPr="00FF4F82" w:rsidRDefault="000373E8" w:rsidP="000373E8">
      <w:pPr>
        <w:rPr>
          <w:szCs w:val="24"/>
        </w:rPr>
      </w:pPr>
      <w:r w:rsidRPr="00FF4F82">
        <w:t xml:space="preserve">The following chart shows the percentage SAIFI contribution by causes for outages </w:t>
      </w:r>
      <w:r>
        <w:t>during</w:t>
      </w:r>
      <w:r w:rsidRPr="00FF4F82">
        <w:t xml:space="preserve"> major event </w:t>
      </w:r>
      <w:r>
        <w:t>days</w:t>
      </w:r>
    </w:p>
    <w:p w:rsidR="000B3384" w:rsidRDefault="000B3384">
      <w:pPr>
        <w:rPr>
          <w:color w:val="000000"/>
        </w:rPr>
      </w:pPr>
    </w:p>
    <w:p w:rsidR="000B3384" w:rsidRDefault="000373E8">
      <w:pPr>
        <w:rPr>
          <w:color w:val="000000"/>
        </w:rPr>
      </w:pPr>
      <w:r w:rsidRPr="000373E8">
        <w:rPr>
          <w:noProof/>
        </w:rPr>
        <w:drawing>
          <wp:inline distT="0" distB="0" distL="0" distR="0">
            <wp:extent cx="5943600" cy="3664612"/>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0" cstate="print"/>
                    <a:srcRect/>
                    <a:stretch>
                      <a:fillRect/>
                    </a:stretch>
                  </pic:blipFill>
                  <pic:spPr bwMode="auto">
                    <a:xfrm>
                      <a:off x="0" y="0"/>
                      <a:ext cx="5943600" cy="3664612"/>
                    </a:xfrm>
                    <a:prstGeom prst="rect">
                      <a:avLst/>
                    </a:prstGeom>
                    <a:noFill/>
                    <a:ln w="9525">
                      <a:noFill/>
                      <a:miter lim="800000"/>
                      <a:headEnd/>
                      <a:tailEnd/>
                    </a:ln>
                  </pic:spPr>
                </pic:pic>
              </a:graphicData>
            </a:graphic>
          </wp:inline>
        </w:drawing>
      </w:r>
    </w:p>
    <w:p w:rsidR="000B3384" w:rsidRDefault="000B3384">
      <w:pPr>
        <w:rPr>
          <w:color w:val="000000"/>
        </w:rPr>
      </w:pPr>
    </w:p>
    <w:p w:rsidR="000B3384" w:rsidRDefault="000B3384"/>
    <w:p w:rsidR="000B3384" w:rsidRDefault="000B3384">
      <w:r>
        <w:t xml:space="preserve">All charts and tables in this section are provided for illustrative purposes; the Company may change the future presentation of this information without changing the underlying data. </w:t>
      </w:r>
    </w:p>
    <w:p w:rsidR="000B3384" w:rsidRDefault="000B3384"/>
    <w:p w:rsidR="009124F8" w:rsidRPr="009124F8" w:rsidRDefault="009124F8" w:rsidP="009124F8">
      <w:pPr>
        <w:rPr>
          <w:rFonts w:ascii="Arial" w:hAnsi="Arial"/>
          <w:b/>
          <w:u w:val="single"/>
        </w:rPr>
      </w:pPr>
      <w:r w:rsidRPr="009124F8">
        <w:rPr>
          <w:rFonts w:ascii="Arial" w:hAnsi="Arial"/>
          <w:b/>
          <w:u w:val="single"/>
        </w:rPr>
        <w:t>11</w:t>
      </w:r>
      <w:r>
        <w:rPr>
          <w:rFonts w:ascii="Arial" w:hAnsi="Arial"/>
          <w:b/>
          <w:u w:val="single"/>
        </w:rPr>
        <w:t>.0</w:t>
      </w:r>
      <w:r w:rsidRPr="009124F8">
        <w:rPr>
          <w:rFonts w:ascii="Arial" w:hAnsi="Arial"/>
          <w:b/>
          <w:u w:val="single"/>
        </w:rPr>
        <w:tab/>
        <w:t>Cause Codes</w:t>
      </w:r>
    </w:p>
    <w:p w:rsidR="000B3384" w:rsidRPr="009124F8" w:rsidRDefault="000B3384">
      <w:pPr>
        <w:rPr>
          <w:rFonts w:ascii="Arial" w:hAnsi="Arial"/>
        </w:rPr>
      </w:pPr>
    </w:p>
    <w:p w:rsidR="000B3384" w:rsidRDefault="000B3384"/>
    <w:p w:rsidR="000B3384" w:rsidRDefault="00F920CE">
      <w:r>
        <w:t>Any proposed changes to the cause codes is documented in the table shown in Section 3 above and in the Cause Code section of the annual report. At this time, the cause codes should be fairly stable to allow consistent year to year analysis.</w:t>
      </w:r>
    </w:p>
    <w:p w:rsidR="000B3384" w:rsidRDefault="000B3384"/>
    <w:p w:rsidR="000B3384" w:rsidRDefault="000B3384"/>
    <w:p w:rsidR="000B3384" w:rsidRDefault="000B3384"/>
    <w:p w:rsidR="00F920CE" w:rsidRDefault="00F920CE"/>
    <w:p w:rsidR="000B3384" w:rsidRDefault="000B3384"/>
    <w:p w:rsidR="000B3384" w:rsidRDefault="000B3384"/>
    <w:p w:rsidR="000B3384" w:rsidRDefault="000B3384"/>
    <w:p w:rsidR="000B3384" w:rsidRDefault="000B3384"/>
    <w:p w:rsidR="000B3384" w:rsidRDefault="000B3384"/>
    <w:p w:rsidR="000B3384" w:rsidRDefault="00FB2F34">
      <w:pPr>
        <w:rPr>
          <w:rFonts w:ascii="Arial" w:hAnsi="Arial"/>
          <w:b/>
          <w:u w:val="single"/>
        </w:rPr>
      </w:pPr>
      <w:r>
        <w:rPr>
          <w:rFonts w:ascii="Arial" w:hAnsi="Arial"/>
          <w:b/>
          <w:u w:val="single"/>
        </w:rPr>
        <w:lastRenderedPageBreak/>
        <w:t>12</w:t>
      </w:r>
      <w:r w:rsidR="000B3384">
        <w:rPr>
          <w:rFonts w:ascii="Arial" w:hAnsi="Arial"/>
          <w:b/>
          <w:u w:val="single"/>
        </w:rPr>
        <w:t>.0</w:t>
      </w:r>
      <w:r w:rsidR="000B3384">
        <w:rPr>
          <w:rFonts w:ascii="Arial" w:hAnsi="Arial"/>
          <w:b/>
          <w:u w:val="single"/>
        </w:rPr>
        <w:tab/>
        <w:t>Anticipated Reliability System Enhancements</w:t>
      </w:r>
    </w:p>
    <w:p w:rsidR="000B3384" w:rsidRDefault="000B3384"/>
    <w:p w:rsidR="007652E3" w:rsidRDefault="007652E3" w:rsidP="007652E3">
      <w:r>
        <w:t>As AMR/AMI metering is implemented in the future and the customer meter provides outage information to the OMT system through an interface, the SAIDI and CAIDI numbers are expected to increase. This is similar to the previous annual report discussion on the implementation of the OMT system increasing the SAIFI and SAIDI numbers just due to the better reporting of the customer affected.</w:t>
      </w:r>
    </w:p>
    <w:p w:rsidR="007652E3" w:rsidRDefault="007652E3" w:rsidP="007652E3"/>
    <w:p w:rsidR="007652E3" w:rsidRDefault="007652E3" w:rsidP="007652E3">
      <w:r>
        <w:t>Use of the OMT system and GIS data has improved the tracking of the numbers of customers without power, allowed for better prioritization of the restoration of service and the improved dispatching of crews.</w:t>
      </w:r>
    </w:p>
    <w:p w:rsidR="007652E3" w:rsidRDefault="007652E3" w:rsidP="007652E3"/>
    <w:p w:rsidR="000B3384" w:rsidRDefault="007652E3" w:rsidP="007652E3">
      <w:r>
        <w:t>For the year end 2010 to 2014 reports there is an expectation of varying numbers and also improving numbers for some specific Office areas as the implementation of Smart Grid is completed. Various stages of transition are also expected.</w:t>
      </w:r>
    </w:p>
    <w:p w:rsidR="007652E3" w:rsidRDefault="007652E3">
      <w:pPr>
        <w:rPr>
          <w:rFonts w:ascii="Arial" w:hAnsi="Arial"/>
          <w:b/>
          <w:u w:val="single"/>
        </w:rPr>
      </w:pPr>
      <w:r>
        <w:rPr>
          <w:rFonts w:ascii="Arial" w:hAnsi="Arial"/>
          <w:b/>
          <w:u w:val="single"/>
        </w:rPr>
        <w:br w:type="page"/>
      </w:r>
    </w:p>
    <w:p w:rsidR="000B3384" w:rsidRDefault="00FB2F34">
      <w:pPr>
        <w:rPr>
          <w:rFonts w:ascii="Arial" w:hAnsi="Arial"/>
          <w:b/>
          <w:u w:val="single"/>
        </w:rPr>
      </w:pPr>
      <w:r>
        <w:rPr>
          <w:rFonts w:ascii="Arial" w:hAnsi="Arial"/>
          <w:b/>
          <w:u w:val="single"/>
        </w:rPr>
        <w:lastRenderedPageBreak/>
        <w:t>13</w:t>
      </w:r>
      <w:r w:rsidR="000B3384">
        <w:rPr>
          <w:rFonts w:ascii="Arial" w:hAnsi="Arial"/>
          <w:b/>
          <w:u w:val="single"/>
        </w:rPr>
        <w:t>.0</w:t>
      </w:r>
      <w:r w:rsidR="000B3384">
        <w:rPr>
          <w:rFonts w:ascii="Arial" w:hAnsi="Arial"/>
          <w:b/>
          <w:u w:val="single"/>
        </w:rPr>
        <w:tab/>
        <w:t>Applicable Washington Administrative Code</w:t>
      </w:r>
    </w:p>
    <w:p w:rsidR="000B3384" w:rsidRDefault="000B3384"/>
    <w:p w:rsidR="000B3384" w:rsidRDefault="000B3384">
      <w:r>
        <w:t>This document is based on new WUTC administrative rules adopted in 2001.  These rules, for convenience of the reader are as follows.</w:t>
      </w:r>
    </w:p>
    <w:p w:rsidR="000B3384" w:rsidRDefault="000B3384"/>
    <w:p w:rsidR="000B3384" w:rsidRDefault="000B3384">
      <w:proofErr w:type="gramStart"/>
      <w:r>
        <w:rPr>
          <w:b/>
        </w:rPr>
        <w:t>WAC 480-100-388</w:t>
      </w:r>
      <w:r>
        <w:t xml:space="preserve"> </w:t>
      </w:r>
      <w:r>
        <w:rPr>
          <w:b/>
        </w:rPr>
        <w:t>Electric service reliability definitions.</w:t>
      </w:r>
      <w:proofErr w:type="gramEnd"/>
      <w:r>
        <w:t xml:space="preserve"> "Electric service reliability" means the continuity of electric service experienced by retail customers.</w:t>
      </w:r>
      <w:r>
        <w:br/>
        <w:t>"Reliability statistic" means a number, which may include multiple components (for example, service interruptions, customers, and hours), that measures electric service reliability.</w:t>
      </w:r>
      <w:r>
        <w:br/>
      </w:r>
      <w:r>
        <w:rPr>
          <w:color w:val="000000"/>
        </w:rPr>
        <w:t>"Baseline reliability statistic" means a number calculated by the utility measuring aspects of electric service reliability in a specified year that may be used as a comparison for measuring electric service reliability in subsequent years.</w:t>
      </w:r>
      <w:r>
        <w:rPr>
          <w:color w:val="000000"/>
        </w:rPr>
        <w:br/>
        <w:t>"Sustained interruption" means an interruption to electric service that has a length of duration specified by the electric utility, but in any case not less than one minute.</w:t>
      </w:r>
      <w:r>
        <w:rPr>
          <w:color w:val="000000"/>
        </w:rPr>
        <w:br/>
        <w:t xml:space="preserve">"Power quality" means characteristics of electricity, primarily voltage and </w:t>
      </w:r>
      <w:proofErr w:type="gramStart"/>
      <w:r>
        <w:rPr>
          <w:color w:val="000000"/>
        </w:rPr>
        <w:t>frequency, that</w:t>
      </w:r>
      <w:proofErr w:type="gramEnd"/>
      <w:r>
        <w:rPr>
          <w:color w:val="000000"/>
        </w:rPr>
        <w:t xml:space="preserve"> must meet certain specifications for safe, adequate and efficient operations.</w:t>
      </w:r>
      <w:r>
        <w:rPr>
          <w:color w:val="000000"/>
        </w:rPr>
        <w:br/>
        <w:t>"Full-system" means all equipment and lines necessary to serve retail customers whether for the purpose of generation, transmission, distribution or individual service.</w:t>
      </w:r>
      <w:r>
        <w:rPr>
          <w:color w:val="000000"/>
        </w:rPr>
        <w:br/>
        <w:t>"Major event" means an event, such as a storm, that causes serious reliability problems, and that meets criteria established by the utility for such an event.</w:t>
      </w:r>
      <w:r>
        <w:rPr>
          <w:color w:val="000000"/>
        </w:rPr>
        <w:br/>
      </w:r>
      <w:r>
        <w:br/>
        <w:t xml:space="preserve">[Statutory Authority: RCW 80.01.040. 01-08-009 (Docket No. </w:t>
      </w:r>
      <w:proofErr w:type="gramStart"/>
      <w:r>
        <w:t>UE-991168, General Order No.</w:t>
      </w:r>
      <w:proofErr w:type="gramEnd"/>
      <w:r>
        <w:t xml:space="preserve"> </w:t>
      </w:r>
      <w:proofErr w:type="gramStart"/>
      <w:r>
        <w:t>R-478), § 480-100-388, filed 3/22/01, effective 4/22/01.]</w:t>
      </w:r>
      <w:proofErr w:type="gramEnd"/>
      <w:r>
        <w:br/>
      </w:r>
      <w:r>
        <w:br/>
      </w:r>
      <w:r>
        <w:br/>
      </w:r>
      <w:proofErr w:type="gramStart"/>
      <w:r>
        <w:rPr>
          <w:b/>
        </w:rPr>
        <w:t>WAC 480-100-393</w:t>
      </w:r>
      <w:r>
        <w:t xml:space="preserve"> </w:t>
      </w:r>
      <w:r>
        <w:rPr>
          <w:b/>
        </w:rPr>
        <w:t>Electric service reliability monitoring and reporting plan.</w:t>
      </w:r>
      <w:proofErr w:type="gramEnd"/>
      <w:r>
        <w:t xml:space="preserve"> (1) Who must file. Electric utilities subject to commission jurisdiction must file a plan for monitoring and reporting electric service reliability information to the commission.</w:t>
      </w:r>
      <w:r>
        <w:br/>
        <w:t>(2) When to file. The plan for monitoring and reporting electric service reliability information must be filed with the commission six months after the effective date of this rule, though utilities are encouraged to file the plan sooner. Any modification to the plan must be filed with the commission before the modification is implemented.</w:t>
      </w:r>
      <w:r>
        <w:br/>
        <w:t>(3) What to file. The utility must file a plan for monitoring and reporting electric service reliability information to the commission. The plan, and any modification to it, must be accepted by the commission. The plan must include the following items</w:t>
      </w:r>
      <w:proofErr w:type="gramStart"/>
      <w:r>
        <w:t>:</w:t>
      </w:r>
      <w:proofErr w:type="gramEnd"/>
      <w:r>
        <w:br/>
        <w:t>(a) What reliability statistics and information the utility will report to the commission. The utility must select and define statistics that track full-system reliability, and information, which may include statistics, that tracks localized reliability and identifies areas of greatest reliability concern.</w:t>
      </w:r>
      <w:r>
        <w:br/>
        <w:t>(b) When the utility will establish baseline reliability statistics to report to the commission. Prior to establishing baseline reliability statistics, the utility must report the best information available. The utility must establish baseline reliability statistics within three years of the effective date of this rule.</w:t>
      </w:r>
      <w:r>
        <w:br/>
        <w:t>(c) When the utility will file its annual electric service reliability report to the commission.</w:t>
      </w:r>
      <w:r>
        <w:br/>
      </w:r>
      <w:r>
        <w:br/>
        <w:t xml:space="preserve">[Statutory Authority: RCW 80.01.040. 01-08-009 (Docket No. </w:t>
      </w:r>
      <w:proofErr w:type="gramStart"/>
      <w:r>
        <w:t>UE-991168, General Order No.</w:t>
      </w:r>
      <w:proofErr w:type="gramEnd"/>
      <w:r>
        <w:t xml:space="preserve"> </w:t>
      </w:r>
      <w:proofErr w:type="gramStart"/>
      <w:r>
        <w:lastRenderedPageBreak/>
        <w:t>R-478), § 480-100-393, filed 3/22/01, effective 4/22/01.]</w:t>
      </w:r>
      <w:proofErr w:type="gramEnd"/>
      <w:r>
        <w:br/>
      </w:r>
      <w:r>
        <w:br/>
      </w:r>
      <w:r>
        <w:br/>
      </w:r>
      <w:proofErr w:type="gramStart"/>
      <w:r>
        <w:rPr>
          <w:b/>
        </w:rPr>
        <w:t>WAC 480-100-398</w:t>
      </w:r>
      <w:r>
        <w:t xml:space="preserve"> </w:t>
      </w:r>
      <w:r>
        <w:rPr>
          <w:b/>
        </w:rPr>
        <w:t>Electric service reliability reports.</w:t>
      </w:r>
      <w:proofErr w:type="gramEnd"/>
      <w:r>
        <w:t xml:space="preserve"> The electric utility must file an electric service reliability report with the commission at least once a year. The report must meet the following conditions</w:t>
      </w:r>
      <w:proofErr w:type="gramStart"/>
      <w:r>
        <w:t>:</w:t>
      </w:r>
      <w:proofErr w:type="gramEnd"/>
      <w:r>
        <w:br/>
        <w:t>(1) The report must be consistent with the electric service reliability monitoring and reporting plan filed under WAC 480-100-393. As set forth in the plan, in an identified year, baseline reliability statistics must be established and reported. In subsequent years, new reliability statistics must be compared to the baseline reliability statistics and to reliability statistics from all intervening years. The utility must maintain historical reliability information necessary to show trends for a minimum of seven years.</w:t>
      </w:r>
      <w:r>
        <w:br/>
        <w:t>(2) The report must address any changes that the utility may make in the collection of data and calculation of reliability information after initial baselines are set. The utility must explain why the changes occurred and explain how the change is expected to affect comparisons of the newer and older information. Additionally, to the extent practical, the utility must quantify the effect of such changes on the comparability of new reliability statistics to baseline reliability statistics.</w:t>
      </w:r>
      <w:r>
        <w:br/>
        <w:t>(3) The report must identify the utility's geographic areas of greatest reliability concern, explain their causes, and explain how the utility plans to address them.</w:t>
      </w:r>
      <w:r>
        <w:br/>
        <w:t>(4) The report must identify the total number of customer complaints about reliability and power quality made to the utility during the year, and must distinguish between complaints about sustained interruptions and power quality. The report must also identify complaints that were made about major events.</w:t>
      </w:r>
      <w:r>
        <w:br/>
      </w:r>
      <w:r>
        <w:br/>
        <w:t xml:space="preserve">[Statutory Authority: RCW 80.01.040. 01-08-009 (Docket No. </w:t>
      </w:r>
      <w:proofErr w:type="gramStart"/>
      <w:r>
        <w:t>UE-991168, General Order No.</w:t>
      </w:r>
      <w:proofErr w:type="gramEnd"/>
      <w:r>
        <w:t xml:space="preserve"> </w:t>
      </w:r>
      <w:proofErr w:type="gramStart"/>
      <w:r>
        <w:t>R-478), § 480-100-398, filed 3/22/01, effective 4/22/01.]</w:t>
      </w:r>
      <w:proofErr w:type="gramEnd"/>
      <w:r>
        <w:br/>
      </w:r>
      <w:r>
        <w:br/>
      </w:r>
    </w:p>
    <w:p w:rsidR="00910F57" w:rsidRDefault="00910F57" w:rsidP="00910F57">
      <w:pPr>
        <w:rPr>
          <w:rFonts w:ascii="Arial" w:hAnsi="Arial"/>
          <w:b/>
          <w:u w:val="single"/>
        </w:rPr>
      </w:pPr>
      <w:r>
        <w:rPr>
          <w:rFonts w:ascii="Arial" w:hAnsi="Arial"/>
          <w:b/>
          <w:u w:val="single"/>
        </w:rPr>
        <w:t>14.0</w:t>
      </w:r>
      <w:r>
        <w:rPr>
          <w:rFonts w:ascii="Arial" w:hAnsi="Arial"/>
          <w:b/>
          <w:u w:val="single"/>
        </w:rPr>
        <w:tab/>
        <w:t>Attachment 1 – SAIDI and SAIFI Historical Summary</w:t>
      </w:r>
    </w:p>
    <w:p w:rsidR="00910F57" w:rsidRPr="008F6B2A" w:rsidRDefault="00910F57" w:rsidP="00910F57"/>
    <w:p w:rsidR="00910F57" w:rsidRPr="008F6B2A" w:rsidRDefault="00910F57" w:rsidP="00910F57">
      <w:r w:rsidRPr="008F6B2A">
        <w:t>See attachment.</w:t>
      </w:r>
    </w:p>
    <w:p w:rsidR="00910F57" w:rsidRDefault="00910F57"/>
    <w:p w:rsidR="00910F57" w:rsidRDefault="00910F57"/>
    <w:p w:rsidR="000B3384" w:rsidRDefault="000B3384">
      <w:pPr>
        <w:rPr>
          <w:rFonts w:ascii="Arial" w:hAnsi="Arial"/>
          <w:b/>
          <w:u w:val="single"/>
        </w:rPr>
      </w:pPr>
      <w:r>
        <w:rPr>
          <w:rFonts w:ascii="Arial" w:hAnsi="Arial"/>
          <w:b/>
          <w:u w:val="single"/>
        </w:rPr>
        <w:t>1</w:t>
      </w:r>
      <w:r w:rsidR="00910F57">
        <w:rPr>
          <w:rFonts w:ascii="Arial" w:hAnsi="Arial"/>
          <w:b/>
          <w:u w:val="single"/>
        </w:rPr>
        <w:t>5</w:t>
      </w:r>
      <w:r>
        <w:rPr>
          <w:rFonts w:ascii="Arial" w:hAnsi="Arial"/>
          <w:b/>
          <w:u w:val="single"/>
        </w:rPr>
        <w:t>.0</w:t>
      </w:r>
      <w:r>
        <w:rPr>
          <w:rFonts w:ascii="Arial" w:hAnsi="Arial"/>
          <w:b/>
          <w:u w:val="single"/>
        </w:rPr>
        <w:tab/>
        <w:t>Company Contact</w:t>
      </w:r>
    </w:p>
    <w:p w:rsidR="000B3384" w:rsidRDefault="000B3384"/>
    <w:p w:rsidR="000B3384" w:rsidRDefault="000B3384">
      <w:r>
        <w:t>For further information regarding this document, please contact:</w:t>
      </w:r>
    </w:p>
    <w:p w:rsidR="000B3384" w:rsidRDefault="000B3384"/>
    <w:p w:rsidR="000B3384" w:rsidRDefault="005C3E03">
      <w:pPr>
        <w:pStyle w:val="Heading1"/>
        <w:rPr>
          <w:rFonts w:ascii="Arial" w:hAnsi="Arial"/>
        </w:rPr>
      </w:pPr>
      <w:r>
        <w:rPr>
          <w:rFonts w:ascii="Arial" w:hAnsi="Arial"/>
        </w:rPr>
        <w:t>WUTC Electric Service Reliability Report</w:t>
      </w:r>
    </w:p>
    <w:p w:rsidR="000B3384" w:rsidRDefault="000B3384">
      <w:pPr>
        <w:rPr>
          <w:rFonts w:ascii="Arial" w:hAnsi="Arial"/>
          <w:b/>
          <w:snapToGrid w:val="0"/>
        </w:rPr>
      </w:pPr>
      <w:r>
        <w:rPr>
          <w:rFonts w:ascii="Arial" w:hAnsi="Arial"/>
          <w:b/>
        </w:rPr>
        <w:t>A</w:t>
      </w:r>
      <w:r>
        <w:rPr>
          <w:rFonts w:ascii="Arial" w:hAnsi="Arial"/>
          <w:b/>
          <w:snapToGrid w:val="0"/>
        </w:rPr>
        <w:t>vista Utilities</w:t>
      </w:r>
    </w:p>
    <w:p w:rsidR="000B3384" w:rsidRDefault="000B3384">
      <w:pPr>
        <w:rPr>
          <w:rFonts w:ascii="Arial" w:hAnsi="Arial"/>
          <w:snapToGrid w:val="0"/>
        </w:rPr>
      </w:pPr>
      <w:r>
        <w:rPr>
          <w:rFonts w:ascii="Arial" w:hAnsi="Arial"/>
          <w:snapToGrid w:val="0"/>
        </w:rPr>
        <w:t>E. 1411 Mission Avenue</w:t>
      </w:r>
    </w:p>
    <w:p w:rsidR="000B3384" w:rsidRDefault="000B3384">
      <w:pPr>
        <w:rPr>
          <w:rFonts w:ascii="Arial" w:hAnsi="Arial"/>
          <w:snapToGrid w:val="0"/>
        </w:rPr>
      </w:pPr>
      <w:r>
        <w:rPr>
          <w:rFonts w:ascii="Arial" w:hAnsi="Arial"/>
          <w:snapToGrid w:val="0"/>
        </w:rPr>
        <w:t>Spokane, WA  99220</w:t>
      </w:r>
    </w:p>
    <w:p w:rsidR="000B3384" w:rsidRDefault="000B3384">
      <w:pPr>
        <w:rPr>
          <w:rFonts w:ascii="Arial" w:hAnsi="Arial"/>
          <w:snapToGrid w:val="0"/>
        </w:rPr>
      </w:pPr>
      <w:r>
        <w:rPr>
          <w:rFonts w:ascii="Arial" w:hAnsi="Arial"/>
          <w:snapToGrid w:val="0"/>
        </w:rPr>
        <w:t xml:space="preserve">(509) 495 - </w:t>
      </w:r>
      <w:r w:rsidR="005C3E03">
        <w:rPr>
          <w:rFonts w:ascii="Arial" w:hAnsi="Arial"/>
          <w:snapToGrid w:val="0"/>
        </w:rPr>
        <w:t>2034</w:t>
      </w:r>
      <w:r>
        <w:rPr>
          <w:rFonts w:ascii="Arial" w:hAnsi="Arial"/>
          <w:snapToGrid w:val="0"/>
        </w:rPr>
        <w:t xml:space="preserve"> (phone)</w:t>
      </w:r>
    </w:p>
    <w:p w:rsidR="005C3E03" w:rsidRDefault="005C3E03">
      <w:pPr>
        <w:rPr>
          <w:rFonts w:ascii="Arial" w:hAnsi="Arial"/>
          <w:snapToGrid w:val="0"/>
        </w:rPr>
      </w:pPr>
      <w:r>
        <w:rPr>
          <w:rFonts w:ascii="Arial" w:hAnsi="Arial"/>
          <w:snapToGrid w:val="0"/>
        </w:rPr>
        <w:t>(509) 495 - 4975 (phone)</w:t>
      </w:r>
    </w:p>
    <w:p w:rsidR="000B3384" w:rsidRDefault="000B3384">
      <w:pPr>
        <w:rPr>
          <w:rFonts w:ascii="Arial" w:hAnsi="Arial"/>
          <w:snapToGrid w:val="0"/>
        </w:rPr>
      </w:pPr>
      <w:r>
        <w:rPr>
          <w:rFonts w:ascii="Arial" w:hAnsi="Arial"/>
          <w:snapToGrid w:val="0"/>
        </w:rPr>
        <w:t>(509) 495 - 4060 (fax)</w:t>
      </w:r>
    </w:p>
    <w:p w:rsidR="008F6B2A" w:rsidRDefault="008F6B2A" w:rsidP="008F6B2A">
      <w:pPr>
        <w:jc w:val="center"/>
      </w:pPr>
    </w:p>
    <w:sectPr w:rsidR="008F6B2A" w:rsidSect="00F71C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08D" w:rsidRDefault="0093508D">
      <w:r>
        <w:separator/>
      </w:r>
    </w:p>
  </w:endnote>
  <w:endnote w:type="continuationSeparator" w:id="0">
    <w:p w:rsidR="0093508D" w:rsidRDefault="00935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reekC">
    <w:altName w:val="Courier New"/>
    <w:charset w:val="00"/>
    <w:family w:val="auto"/>
    <w:pitch w:val="variable"/>
    <w:sig w:usb0="20002A85"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7D" w:rsidRDefault="00223D7D">
    <w:pPr>
      <w:pStyle w:val="Header"/>
      <w:tabs>
        <w:tab w:val="clear" w:pos="8640"/>
        <w:tab w:val="right" w:pos="9090"/>
      </w:tabs>
      <w:rPr>
        <w:rStyle w:val="PageNumber"/>
        <w:rFonts w:ascii="Arial" w:hAnsi="Arial"/>
        <w:b/>
        <w:sz w:val="20"/>
      </w:rPr>
    </w:pPr>
    <w:r>
      <w:rPr>
        <w:rFonts w:ascii="Arial" w:hAnsi="Arial"/>
        <w:b/>
        <w:sz w:val="20"/>
      </w:rPr>
      <w:t>Electric Service Reliability Monitoring and Reporting Plan</w:t>
    </w:r>
    <w:r>
      <w:rPr>
        <w:rFonts w:ascii="Arial" w:hAnsi="Arial"/>
        <w:b/>
        <w:sz w:val="20"/>
      </w:rPr>
      <w:tab/>
      <w:t xml:space="preserve">Page </w:t>
    </w:r>
    <w:r w:rsidR="00056569">
      <w:rPr>
        <w:rStyle w:val="PageNumber"/>
        <w:rFonts w:ascii="Arial" w:hAnsi="Arial"/>
        <w:b/>
        <w:sz w:val="20"/>
      </w:rPr>
      <w:fldChar w:fldCharType="begin"/>
    </w:r>
    <w:r>
      <w:rPr>
        <w:rStyle w:val="PageNumber"/>
        <w:rFonts w:ascii="Arial" w:hAnsi="Arial"/>
        <w:b/>
        <w:sz w:val="20"/>
      </w:rPr>
      <w:instrText xml:space="preserve"> PAGE </w:instrText>
    </w:r>
    <w:r w:rsidR="00056569">
      <w:rPr>
        <w:rStyle w:val="PageNumber"/>
        <w:rFonts w:ascii="Arial" w:hAnsi="Arial"/>
        <w:b/>
        <w:sz w:val="20"/>
      </w:rPr>
      <w:fldChar w:fldCharType="separate"/>
    </w:r>
    <w:r w:rsidR="0045449A">
      <w:rPr>
        <w:rStyle w:val="PageNumber"/>
        <w:rFonts w:ascii="Arial" w:hAnsi="Arial"/>
        <w:b/>
        <w:noProof/>
        <w:sz w:val="20"/>
      </w:rPr>
      <w:t>1</w:t>
    </w:r>
    <w:r w:rsidR="00056569">
      <w:rPr>
        <w:rStyle w:val="PageNumber"/>
        <w:rFonts w:ascii="Arial" w:hAnsi="Arial"/>
        <w:b/>
        <w:sz w:val="20"/>
      </w:rPr>
      <w:fldChar w:fldCharType="end"/>
    </w:r>
  </w:p>
  <w:p w:rsidR="00223D7D" w:rsidRDefault="00FD264D">
    <w:pPr>
      <w:pStyle w:val="Header"/>
      <w:tabs>
        <w:tab w:val="clear" w:pos="8640"/>
        <w:tab w:val="right" w:pos="9090"/>
      </w:tabs>
    </w:pPr>
    <w:r>
      <w:rPr>
        <w:rStyle w:val="PageNumber"/>
        <w:rFonts w:ascii="Arial" w:hAnsi="Arial"/>
        <w:b/>
        <w:sz w:val="20"/>
      </w:rPr>
      <w:t>March 25, 2011</w:t>
    </w:r>
    <w:r w:rsidR="00223D7D">
      <w:rPr>
        <w:rStyle w:val="PageNumber"/>
        <w:rFonts w:ascii="Arial" w:hAnsi="Arial"/>
        <w:b/>
        <w:sz w:val="20"/>
      </w:rPr>
      <w:t xml:space="preserve"> (revision 1)</w:t>
    </w:r>
    <w:r w:rsidR="00223D7D">
      <w:rPr>
        <w:rStyle w:val="PageNumber"/>
        <w:rFonts w:ascii="Arial" w:hAnsi="Arial"/>
        <w:b/>
        <w:sz w:val="20"/>
      </w:rPr>
      <w:tab/>
    </w:r>
    <w:r w:rsidR="00223D7D">
      <w:rPr>
        <w:rStyle w:val="PageNumber"/>
        <w:rFonts w:ascii="Arial" w:hAnsi="Arial"/>
        <w:b/>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08D" w:rsidRDefault="0093508D">
      <w:r>
        <w:separator/>
      </w:r>
    </w:p>
  </w:footnote>
  <w:footnote w:type="continuationSeparator" w:id="0">
    <w:p w:rsidR="0093508D" w:rsidRDefault="00935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BEE"/>
    <w:multiLevelType w:val="singleLevel"/>
    <w:tmpl w:val="B030A8F2"/>
    <w:lvl w:ilvl="0">
      <w:start w:val="1"/>
      <w:numFmt w:val="bullet"/>
      <w:lvlText w:val=""/>
      <w:lvlJc w:val="left"/>
      <w:pPr>
        <w:tabs>
          <w:tab w:val="num" w:pos="810"/>
        </w:tabs>
        <w:ind w:left="810" w:hanging="360"/>
      </w:pPr>
      <w:rPr>
        <w:rFonts w:ascii="Symbol" w:hAnsi="Symbol" w:hint="default"/>
        <w:sz w:val="24"/>
      </w:rPr>
    </w:lvl>
  </w:abstractNum>
  <w:abstractNum w:abstractNumId="1">
    <w:nsid w:val="05A24D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EDA64E6"/>
    <w:multiLevelType w:val="singleLevel"/>
    <w:tmpl w:val="2D907900"/>
    <w:lvl w:ilvl="0">
      <w:start w:val="2"/>
      <w:numFmt w:val="decimal"/>
      <w:lvlText w:val="(%1)"/>
      <w:lvlJc w:val="left"/>
      <w:pPr>
        <w:tabs>
          <w:tab w:val="num" w:pos="390"/>
        </w:tabs>
        <w:ind w:left="390" w:hanging="390"/>
      </w:pPr>
      <w:rPr>
        <w:rFonts w:hint="default"/>
      </w:rPr>
    </w:lvl>
  </w:abstractNum>
  <w:abstractNum w:abstractNumId="3">
    <w:nsid w:val="11B44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EF4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971D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0201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8B3F10"/>
    <w:multiLevelType w:val="singleLevel"/>
    <w:tmpl w:val="096E3A66"/>
    <w:lvl w:ilvl="0">
      <w:start w:val="3"/>
      <w:numFmt w:val="decimal"/>
      <w:lvlText w:val="(%1)"/>
      <w:lvlJc w:val="left"/>
      <w:pPr>
        <w:tabs>
          <w:tab w:val="num" w:pos="390"/>
        </w:tabs>
        <w:ind w:left="390" w:hanging="390"/>
      </w:pPr>
      <w:rPr>
        <w:rFonts w:hint="default"/>
      </w:rPr>
    </w:lvl>
  </w:abstractNum>
  <w:abstractNum w:abstractNumId="8">
    <w:nsid w:val="208C44FD"/>
    <w:multiLevelType w:val="multilevel"/>
    <w:tmpl w:val="BD4E0846"/>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2010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A16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32112EC"/>
    <w:multiLevelType w:val="multilevel"/>
    <w:tmpl w:val="493611A8"/>
    <w:lvl w:ilvl="0">
      <w:start w:val="1"/>
      <w:numFmt w:val="decimal"/>
      <w:lvlText w:val="%1.0"/>
      <w:lvlJc w:val="left"/>
      <w:pPr>
        <w:tabs>
          <w:tab w:val="num" w:pos="360"/>
        </w:tabs>
        <w:ind w:left="360" w:hanging="360"/>
      </w:pPr>
      <w:rPr>
        <w:rFonts w:ascii="Times New Roman" w:hAnsi="Times New Roman" w:hint="default"/>
        <w:b w:val="0"/>
        <w:u w:val="none"/>
      </w:rPr>
    </w:lvl>
    <w:lvl w:ilvl="1">
      <w:start w:val="1"/>
      <w:numFmt w:val="decimal"/>
      <w:lvlText w:val="%1.%2"/>
      <w:lvlJc w:val="left"/>
      <w:pPr>
        <w:tabs>
          <w:tab w:val="num" w:pos="1080"/>
        </w:tabs>
        <w:ind w:left="1080" w:hanging="360"/>
      </w:pPr>
      <w:rPr>
        <w:rFonts w:ascii="Times New Roman" w:hAnsi="Times New Roman" w:hint="default"/>
        <w:b w:val="0"/>
        <w:u w:val="none"/>
      </w:rPr>
    </w:lvl>
    <w:lvl w:ilvl="2">
      <w:start w:val="1"/>
      <w:numFmt w:val="decimal"/>
      <w:lvlText w:val="%1.%2.%3"/>
      <w:lvlJc w:val="left"/>
      <w:pPr>
        <w:tabs>
          <w:tab w:val="num" w:pos="2160"/>
        </w:tabs>
        <w:ind w:left="2160" w:hanging="720"/>
      </w:pPr>
      <w:rPr>
        <w:rFonts w:ascii="Times New Roman" w:hAnsi="Times New Roman" w:hint="default"/>
        <w:b w:val="0"/>
        <w:u w:val="none"/>
      </w:rPr>
    </w:lvl>
    <w:lvl w:ilvl="3">
      <w:start w:val="1"/>
      <w:numFmt w:val="decimal"/>
      <w:lvlText w:val="%1.%2.%3.%4"/>
      <w:lvlJc w:val="left"/>
      <w:pPr>
        <w:tabs>
          <w:tab w:val="num" w:pos="3240"/>
        </w:tabs>
        <w:ind w:left="3240" w:hanging="1080"/>
      </w:pPr>
      <w:rPr>
        <w:rFonts w:ascii="Times New Roman" w:hAnsi="Times New Roman" w:hint="default"/>
        <w:b w:val="0"/>
        <w:u w:val="none"/>
      </w:rPr>
    </w:lvl>
    <w:lvl w:ilvl="4">
      <w:start w:val="1"/>
      <w:numFmt w:val="decimal"/>
      <w:lvlText w:val="%1.%2.%3.%4.%5"/>
      <w:lvlJc w:val="left"/>
      <w:pPr>
        <w:tabs>
          <w:tab w:val="num" w:pos="3960"/>
        </w:tabs>
        <w:ind w:left="3960" w:hanging="1080"/>
      </w:pPr>
      <w:rPr>
        <w:rFonts w:ascii="Times New Roman" w:hAnsi="Times New Roman" w:hint="default"/>
        <w:b w:val="0"/>
        <w:u w:val="none"/>
      </w:rPr>
    </w:lvl>
    <w:lvl w:ilvl="5">
      <w:start w:val="1"/>
      <w:numFmt w:val="decimal"/>
      <w:lvlText w:val="%1.%2.%3.%4.%5.%6"/>
      <w:lvlJc w:val="left"/>
      <w:pPr>
        <w:tabs>
          <w:tab w:val="num" w:pos="5040"/>
        </w:tabs>
        <w:ind w:left="5040" w:hanging="1440"/>
      </w:pPr>
      <w:rPr>
        <w:rFonts w:ascii="Times New Roman" w:hAnsi="Times New Roman" w:hint="default"/>
        <w:b w:val="0"/>
        <w:u w:val="none"/>
      </w:rPr>
    </w:lvl>
    <w:lvl w:ilvl="6">
      <w:start w:val="1"/>
      <w:numFmt w:val="decimal"/>
      <w:lvlText w:val="%1.%2.%3.%4.%5.%6.%7"/>
      <w:lvlJc w:val="left"/>
      <w:pPr>
        <w:tabs>
          <w:tab w:val="num" w:pos="5760"/>
        </w:tabs>
        <w:ind w:left="5760" w:hanging="1440"/>
      </w:pPr>
      <w:rPr>
        <w:rFonts w:ascii="Times New Roman" w:hAnsi="Times New Roman" w:hint="default"/>
        <w:b w:val="0"/>
        <w:u w:val="none"/>
      </w:rPr>
    </w:lvl>
    <w:lvl w:ilvl="7">
      <w:start w:val="1"/>
      <w:numFmt w:val="decimal"/>
      <w:lvlText w:val="%1.%2.%3.%4.%5.%6.%7.%8"/>
      <w:lvlJc w:val="left"/>
      <w:pPr>
        <w:tabs>
          <w:tab w:val="num" w:pos="6840"/>
        </w:tabs>
        <w:ind w:left="6840" w:hanging="1800"/>
      </w:pPr>
      <w:rPr>
        <w:rFonts w:ascii="Times New Roman" w:hAnsi="Times New Roman" w:hint="default"/>
        <w:b w:val="0"/>
        <w:u w:val="none"/>
      </w:rPr>
    </w:lvl>
    <w:lvl w:ilvl="8">
      <w:start w:val="1"/>
      <w:numFmt w:val="decimal"/>
      <w:lvlText w:val="%1.%2.%3.%4.%5.%6.%7.%8.%9"/>
      <w:lvlJc w:val="left"/>
      <w:pPr>
        <w:tabs>
          <w:tab w:val="num" w:pos="7560"/>
        </w:tabs>
        <w:ind w:left="7560" w:hanging="1800"/>
      </w:pPr>
      <w:rPr>
        <w:rFonts w:ascii="Times New Roman" w:hAnsi="Times New Roman" w:hint="default"/>
        <w:b w:val="0"/>
        <w:u w:val="none"/>
      </w:rPr>
    </w:lvl>
  </w:abstractNum>
  <w:abstractNum w:abstractNumId="12">
    <w:nsid w:val="44FE1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B67B9"/>
    <w:multiLevelType w:val="multilevel"/>
    <w:tmpl w:val="E1D083A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9CD116C"/>
    <w:multiLevelType w:val="singleLevel"/>
    <w:tmpl w:val="02DE5F98"/>
    <w:lvl w:ilvl="0">
      <w:start w:val="1"/>
      <w:numFmt w:val="decimal"/>
      <w:lvlText w:val="(%1)"/>
      <w:lvlJc w:val="left"/>
      <w:pPr>
        <w:tabs>
          <w:tab w:val="num" w:pos="390"/>
        </w:tabs>
        <w:ind w:left="390" w:hanging="390"/>
      </w:pPr>
      <w:rPr>
        <w:rFonts w:hint="default"/>
      </w:rPr>
    </w:lvl>
  </w:abstractNum>
  <w:abstractNum w:abstractNumId="15">
    <w:nsid w:val="4BE73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C744D7"/>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55CA66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756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376F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658152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65F70A41"/>
    <w:multiLevelType w:val="multilevel"/>
    <w:tmpl w:val="05BEA23C"/>
    <w:lvl w:ilvl="0">
      <w:start w:val="1"/>
      <w:numFmt w:val="decimal"/>
      <w:lvlText w:val="%1.0"/>
      <w:lvlJc w:val="left"/>
      <w:pPr>
        <w:tabs>
          <w:tab w:val="num" w:pos="360"/>
        </w:tabs>
        <w:ind w:left="360" w:hanging="360"/>
      </w:pPr>
      <w:rPr>
        <w:rFonts w:ascii="Times New Roman" w:hAnsi="Times New Roman" w:hint="default"/>
        <w:b w:val="0"/>
        <w:u w:val="none"/>
      </w:rPr>
    </w:lvl>
    <w:lvl w:ilvl="1">
      <w:start w:val="1"/>
      <w:numFmt w:val="decimal"/>
      <w:lvlText w:val="%1.%2"/>
      <w:lvlJc w:val="left"/>
      <w:pPr>
        <w:tabs>
          <w:tab w:val="num" w:pos="1080"/>
        </w:tabs>
        <w:ind w:left="1080" w:hanging="360"/>
      </w:pPr>
      <w:rPr>
        <w:rFonts w:ascii="Times New Roman" w:hAnsi="Times New Roman" w:hint="default"/>
        <w:b w:val="0"/>
        <w:u w:val="none"/>
      </w:rPr>
    </w:lvl>
    <w:lvl w:ilvl="2">
      <w:start w:val="1"/>
      <w:numFmt w:val="decimal"/>
      <w:lvlText w:val="%1.%2.%3"/>
      <w:lvlJc w:val="left"/>
      <w:pPr>
        <w:tabs>
          <w:tab w:val="num" w:pos="2160"/>
        </w:tabs>
        <w:ind w:left="2160" w:hanging="720"/>
      </w:pPr>
      <w:rPr>
        <w:rFonts w:ascii="Times New Roman" w:hAnsi="Times New Roman" w:hint="default"/>
        <w:b w:val="0"/>
        <w:u w:val="none"/>
      </w:rPr>
    </w:lvl>
    <w:lvl w:ilvl="3">
      <w:start w:val="1"/>
      <w:numFmt w:val="decimal"/>
      <w:lvlText w:val="%1.%2.%3.%4"/>
      <w:lvlJc w:val="left"/>
      <w:pPr>
        <w:tabs>
          <w:tab w:val="num" w:pos="3240"/>
        </w:tabs>
        <w:ind w:left="3240" w:hanging="1080"/>
      </w:pPr>
      <w:rPr>
        <w:rFonts w:ascii="Times New Roman" w:hAnsi="Times New Roman" w:hint="default"/>
        <w:b w:val="0"/>
        <w:u w:val="none"/>
      </w:rPr>
    </w:lvl>
    <w:lvl w:ilvl="4">
      <w:start w:val="1"/>
      <w:numFmt w:val="decimal"/>
      <w:lvlText w:val="%1.%2.%3.%4.%5"/>
      <w:lvlJc w:val="left"/>
      <w:pPr>
        <w:tabs>
          <w:tab w:val="num" w:pos="3960"/>
        </w:tabs>
        <w:ind w:left="3960" w:hanging="1080"/>
      </w:pPr>
      <w:rPr>
        <w:rFonts w:ascii="Times New Roman" w:hAnsi="Times New Roman" w:hint="default"/>
        <w:b w:val="0"/>
        <w:u w:val="none"/>
      </w:rPr>
    </w:lvl>
    <w:lvl w:ilvl="5">
      <w:start w:val="1"/>
      <w:numFmt w:val="decimal"/>
      <w:lvlText w:val="%1.%2.%3.%4.%5.%6"/>
      <w:lvlJc w:val="left"/>
      <w:pPr>
        <w:tabs>
          <w:tab w:val="num" w:pos="5040"/>
        </w:tabs>
        <w:ind w:left="5040" w:hanging="1440"/>
      </w:pPr>
      <w:rPr>
        <w:rFonts w:ascii="Times New Roman" w:hAnsi="Times New Roman" w:hint="default"/>
        <w:b w:val="0"/>
        <w:u w:val="none"/>
      </w:rPr>
    </w:lvl>
    <w:lvl w:ilvl="6">
      <w:start w:val="1"/>
      <w:numFmt w:val="decimal"/>
      <w:lvlText w:val="%1.%2.%3.%4.%5.%6.%7"/>
      <w:lvlJc w:val="left"/>
      <w:pPr>
        <w:tabs>
          <w:tab w:val="num" w:pos="5760"/>
        </w:tabs>
        <w:ind w:left="5760" w:hanging="1440"/>
      </w:pPr>
      <w:rPr>
        <w:rFonts w:ascii="Times New Roman" w:hAnsi="Times New Roman" w:hint="default"/>
        <w:b w:val="0"/>
        <w:u w:val="none"/>
      </w:rPr>
    </w:lvl>
    <w:lvl w:ilvl="7">
      <w:start w:val="1"/>
      <w:numFmt w:val="decimal"/>
      <w:lvlText w:val="%1.%2.%3.%4.%5.%6.%7.%8"/>
      <w:lvlJc w:val="left"/>
      <w:pPr>
        <w:tabs>
          <w:tab w:val="num" w:pos="6840"/>
        </w:tabs>
        <w:ind w:left="6840" w:hanging="1800"/>
      </w:pPr>
      <w:rPr>
        <w:rFonts w:ascii="Times New Roman" w:hAnsi="Times New Roman" w:hint="default"/>
        <w:b w:val="0"/>
        <w:u w:val="none"/>
      </w:rPr>
    </w:lvl>
    <w:lvl w:ilvl="8">
      <w:start w:val="1"/>
      <w:numFmt w:val="decimal"/>
      <w:lvlText w:val="%1.%2.%3.%4.%5.%6.%7.%8.%9"/>
      <w:lvlJc w:val="left"/>
      <w:pPr>
        <w:tabs>
          <w:tab w:val="num" w:pos="7560"/>
        </w:tabs>
        <w:ind w:left="7560" w:hanging="1800"/>
      </w:pPr>
      <w:rPr>
        <w:rFonts w:ascii="Times New Roman" w:hAnsi="Times New Roman" w:hint="default"/>
        <w:b w:val="0"/>
        <w:u w:val="none"/>
      </w:rPr>
    </w:lvl>
  </w:abstractNum>
  <w:abstractNum w:abstractNumId="22">
    <w:nsid w:val="68892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73F7F33"/>
    <w:multiLevelType w:val="hybridMultilevel"/>
    <w:tmpl w:val="1FF2C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3B2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A777F7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7"/>
  </w:num>
  <w:num w:numId="3">
    <w:abstractNumId w:val="2"/>
  </w:num>
  <w:num w:numId="4">
    <w:abstractNumId w:val="14"/>
  </w:num>
  <w:num w:numId="5">
    <w:abstractNumId w:val="13"/>
  </w:num>
  <w:num w:numId="6">
    <w:abstractNumId w:val="11"/>
  </w:num>
  <w:num w:numId="7">
    <w:abstractNumId w:val="21"/>
  </w:num>
  <w:num w:numId="8">
    <w:abstractNumId w:val="19"/>
  </w:num>
  <w:num w:numId="9">
    <w:abstractNumId w:val="20"/>
  </w:num>
  <w:num w:numId="10">
    <w:abstractNumId w:val="1"/>
  </w:num>
  <w:num w:numId="11">
    <w:abstractNumId w:val="5"/>
  </w:num>
  <w:num w:numId="12">
    <w:abstractNumId w:val="8"/>
  </w:num>
  <w:num w:numId="13">
    <w:abstractNumId w:val="12"/>
  </w:num>
  <w:num w:numId="14">
    <w:abstractNumId w:val="24"/>
  </w:num>
  <w:num w:numId="15">
    <w:abstractNumId w:val="3"/>
  </w:num>
  <w:num w:numId="16">
    <w:abstractNumId w:val="15"/>
  </w:num>
  <w:num w:numId="17">
    <w:abstractNumId w:val="25"/>
  </w:num>
  <w:num w:numId="18">
    <w:abstractNumId w:val="9"/>
  </w:num>
  <w:num w:numId="19">
    <w:abstractNumId w:val="22"/>
  </w:num>
  <w:num w:numId="20">
    <w:abstractNumId w:val="10"/>
  </w:num>
  <w:num w:numId="21">
    <w:abstractNumId w:val="18"/>
  </w:num>
  <w:num w:numId="22">
    <w:abstractNumId w:val="6"/>
  </w:num>
  <w:num w:numId="23">
    <w:abstractNumId w:val="0"/>
  </w:num>
  <w:num w:numId="24">
    <w:abstractNumId w:val="4"/>
  </w:num>
  <w:num w:numId="25">
    <w:abstractNumId w:val="17"/>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B7404"/>
    <w:rsid w:val="000373E8"/>
    <w:rsid w:val="00055859"/>
    <w:rsid w:val="00056569"/>
    <w:rsid w:val="00081B15"/>
    <w:rsid w:val="000B3384"/>
    <w:rsid w:val="000B7404"/>
    <w:rsid w:val="00131DCC"/>
    <w:rsid w:val="00142318"/>
    <w:rsid w:val="0017137D"/>
    <w:rsid w:val="0017435A"/>
    <w:rsid w:val="001868B6"/>
    <w:rsid w:val="00197603"/>
    <w:rsid w:val="001C5680"/>
    <w:rsid w:val="001E2EF1"/>
    <w:rsid w:val="0020248B"/>
    <w:rsid w:val="00223D7D"/>
    <w:rsid w:val="00255ECB"/>
    <w:rsid w:val="002E61C0"/>
    <w:rsid w:val="002E7A86"/>
    <w:rsid w:val="00300D99"/>
    <w:rsid w:val="00327A2E"/>
    <w:rsid w:val="00330EB6"/>
    <w:rsid w:val="00362BB8"/>
    <w:rsid w:val="00374703"/>
    <w:rsid w:val="00381D3E"/>
    <w:rsid w:val="00382AC7"/>
    <w:rsid w:val="00384EC9"/>
    <w:rsid w:val="00397D61"/>
    <w:rsid w:val="003B53F1"/>
    <w:rsid w:val="003D337E"/>
    <w:rsid w:val="003E37F1"/>
    <w:rsid w:val="003E5D52"/>
    <w:rsid w:val="003E7B87"/>
    <w:rsid w:val="003F0175"/>
    <w:rsid w:val="004147E7"/>
    <w:rsid w:val="004333AF"/>
    <w:rsid w:val="0045449A"/>
    <w:rsid w:val="0046731E"/>
    <w:rsid w:val="004B7F16"/>
    <w:rsid w:val="004D08EA"/>
    <w:rsid w:val="004F1DFB"/>
    <w:rsid w:val="004F2933"/>
    <w:rsid w:val="004F48CE"/>
    <w:rsid w:val="00546410"/>
    <w:rsid w:val="00552EAD"/>
    <w:rsid w:val="00557FD6"/>
    <w:rsid w:val="0057162E"/>
    <w:rsid w:val="0057520C"/>
    <w:rsid w:val="005A3BBA"/>
    <w:rsid w:val="005C3E03"/>
    <w:rsid w:val="00601BFB"/>
    <w:rsid w:val="00602C97"/>
    <w:rsid w:val="006415FD"/>
    <w:rsid w:val="00653C48"/>
    <w:rsid w:val="006E5748"/>
    <w:rsid w:val="0076089E"/>
    <w:rsid w:val="007652E3"/>
    <w:rsid w:val="0077124D"/>
    <w:rsid w:val="00774191"/>
    <w:rsid w:val="007A0031"/>
    <w:rsid w:val="007A1AFC"/>
    <w:rsid w:val="007C4BA9"/>
    <w:rsid w:val="007D75F6"/>
    <w:rsid w:val="00814230"/>
    <w:rsid w:val="008D00FB"/>
    <w:rsid w:val="008D4248"/>
    <w:rsid w:val="008E6D74"/>
    <w:rsid w:val="008F6B2A"/>
    <w:rsid w:val="00910F57"/>
    <w:rsid w:val="009124F8"/>
    <w:rsid w:val="00916F00"/>
    <w:rsid w:val="00927834"/>
    <w:rsid w:val="0093508D"/>
    <w:rsid w:val="00960C71"/>
    <w:rsid w:val="009C5E46"/>
    <w:rsid w:val="009E4B26"/>
    <w:rsid w:val="00A64D0C"/>
    <w:rsid w:val="00A81207"/>
    <w:rsid w:val="00AA4025"/>
    <w:rsid w:val="00B52266"/>
    <w:rsid w:val="00B92EAB"/>
    <w:rsid w:val="00BB4D0C"/>
    <w:rsid w:val="00BD0E06"/>
    <w:rsid w:val="00CD142C"/>
    <w:rsid w:val="00D53CDA"/>
    <w:rsid w:val="00DA39FF"/>
    <w:rsid w:val="00DC5EFA"/>
    <w:rsid w:val="00E7083F"/>
    <w:rsid w:val="00E94965"/>
    <w:rsid w:val="00E94EDA"/>
    <w:rsid w:val="00ED44DB"/>
    <w:rsid w:val="00EE369B"/>
    <w:rsid w:val="00EE4441"/>
    <w:rsid w:val="00EF5C4D"/>
    <w:rsid w:val="00F33516"/>
    <w:rsid w:val="00F71C11"/>
    <w:rsid w:val="00F920CE"/>
    <w:rsid w:val="00FB2F34"/>
    <w:rsid w:val="00FC2BBC"/>
    <w:rsid w:val="00FC5EF0"/>
    <w:rsid w:val="00FD264D"/>
    <w:rsid w:val="00FD3249"/>
    <w:rsid w:val="00FF4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9E"/>
    <w:rPr>
      <w:sz w:val="24"/>
    </w:rPr>
  </w:style>
  <w:style w:type="paragraph" w:styleId="Heading1">
    <w:name w:val="heading 1"/>
    <w:basedOn w:val="Normal"/>
    <w:next w:val="Normal"/>
    <w:qFormat/>
    <w:rsid w:val="0076089E"/>
    <w:pPr>
      <w:keepNext/>
      <w:outlineLvl w:val="0"/>
    </w:pPr>
    <w:rPr>
      <w:b/>
    </w:rPr>
  </w:style>
  <w:style w:type="paragraph" w:styleId="Heading2">
    <w:name w:val="heading 2"/>
    <w:basedOn w:val="Normal"/>
    <w:next w:val="Normal"/>
    <w:qFormat/>
    <w:rsid w:val="0076089E"/>
    <w:pPr>
      <w:keepNext/>
      <w:jc w:val="center"/>
      <w:outlineLvl w:val="1"/>
    </w:pPr>
    <w:rPr>
      <w:b/>
      <w:sz w:val="40"/>
    </w:rPr>
  </w:style>
  <w:style w:type="paragraph" w:styleId="Heading3">
    <w:name w:val="heading 3"/>
    <w:basedOn w:val="Normal"/>
    <w:next w:val="Normal"/>
    <w:link w:val="Heading3Char"/>
    <w:qFormat/>
    <w:rsid w:val="0076089E"/>
    <w:pPr>
      <w:keepNext/>
      <w:jc w:val="center"/>
      <w:outlineLvl w:val="2"/>
    </w:pPr>
    <w:rPr>
      <w:rFonts w:ascii="Arial" w:hAnsi="Arial"/>
      <w:b/>
      <w:i/>
      <w:snapToGrid w:val="0"/>
      <w:color w:val="000000"/>
      <w:sz w:val="16"/>
    </w:rPr>
  </w:style>
  <w:style w:type="paragraph" w:styleId="Heading4">
    <w:name w:val="heading 4"/>
    <w:basedOn w:val="Normal"/>
    <w:next w:val="Normal"/>
    <w:qFormat/>
    <w:rsid w:val="0076089E"/>
    <w:pPr>
      <w:keepNext/>
      <w:jc w:val="center"/>
      <w:outlineLvl w:val="3"/>
    </w:pPr>
    <w:rPr>
      <w:rFonts w:ascii="Arial" w:hAnsi="Arial"/>
      <w:b/>
      <w:snapToGrid w:val="0"/>
      <w:color w:val="000000"/>
      <w:sz w:val="16"/>
    </w:rPr>
  </w:style>
  <w:style w:type="paragraph" w:styleId="Heading5">
    <w:name w:val="heading 5"/>
    <w:basedOn w:val="Normal"/>
    <w:next w:val="Normal"/>
    <w:qFormat/>
    <w:rsid w:val="0076089E"/>
    <w:pPr>
      <w:keepNext/>
      <w:outlineLvl w:val="4"/>
    </w:pPr>
    <w:rPr>
      <w:rFonts w:ascii="Arial" w:hAnsi="Arial"/>
      <w:b/>
      <w:snapToGrid w:val="0"/>
      <w:color w:val="000000"/>
      <w:sz w:val="18"/>
    </w:rPr>
  </w:style>
  <w:style w:type="paragraph" w:styleId="Heading7">
    <w:name w:val="heading 7"/>
    <w:basedOn w:val="Normal"/>
    <w:next w:val="Normal"/>
    <w:link w:val="Heading7Char"/>
    <w:uiPriority w:val="9"/>
    <w:semiHidden/>
    <w:unhideWhenUsed/>
    <w:qFormat/>
    <w:rsid w:val="009124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6089E"/>
    <w:pPr>
      <w:ind w:left="360" w:firstLine="360"/>
    </w:pPr>
    <w:rPr>
      <w:i/>
      <w:color w:val="008080"/>
    </w:rPr>
  </w:style>
  <w:style w:type="paragraph" w:styleId="Header">
    <w:name w:val="header"/>
    <w:basedOn w:val="Normal"/>
    <w:semiHidden/>
    <w:rsid w:val="0076089E"/>
    <w:pPr>
      <w:tabs>
        <w:tab w:val="center" w:pos="4320"/>
        <w:tab w:val="right" w:pos="8640"/>
      </w:tabs>
    </w:pPr>
  </w:style>
  <w:style w:type="paragraph" w:styleId="Footer">
    <w:name w:val="footer"/>
    <w:basedOn w:val="Normal"/>
    <w:semiHidden/>
    <w:rsid w:val="0076089E"/>
    <w:pPr>
      <w:tabs>
        <w:tab w:val="center" w:pos="4320"/>
        <w:tab w:val="right" w:pos="8640"/>
      </w:tabs>
    </w:pPr>
  </w:style>
  <w:style w:type="character" w:styleId="PageNumber">
    <w:name w:val="page number"/>
    <w:basedOn w:val="DefaultParagraphFont"/>
    <w:semiHidden/>
    <w:rsid w:val="0076089E"/>
  </w:style>
  <w:style w:type="paragraph" w:styleId="BodyText">
    <w:name w:val="Body Text"/>
    <w:basedOn w:val="Normal"/>
    <w:semiHidden/>
    <w:rsid w:val="0076089E"/>
    <w:rPr>
      <w:color w:val="000000"/>
    </w:rPr>
  </w:style>
  <w:style w:type="paragraph" w:styleId="BodyText2">
    <w:name w:val="Body Text 2"/>
    <w:basedOn w:val="Normal"/>
    <w:semiHidden/>
    <w:rsid w:val="0076089E"/>
    <w:rPr>
      <w:color w:val="FF0000"/>
    </w:rPr>
  </w:style>
  <w:style w:type="character" w:styleId="CommentReference">
    <w:name w:val="annotation reference"/>
    <w:basedOn w:val="DefaultParagraphFont"/>
    <w:semiHidden/>
    <w:rsid w:val="0076089E"/>
    <w:rPr>
      <w:sz w:val="16"/>
    </w:rPr>
  </w:style>
  <w:style w:type="paragraph" w:styleId="CommentText">
    <w:name w:val="annotation text"/>
    <w:basedOn w:val="Normal"/>
    <w:link w:val="CommentTextChar"/>
    <w:semiHidden/>
    <w:rsid w:val="0076089E"/>
    <w:rPr>
      <w:sz w:val="20"/>
    </w:rPr>
  </w:style>
  <w:style w:type="paragraph" w:styleId="BalloonText">
    <w:name w:val="Balloon Text"/>
    <w:basedOn w:val="Normal"/>
    <w:link w:val="BalloonTextChar"/>
    <w:uiPriority w:val="99"/>
    <w:semiHidden/>
    <w:unhideWhenUsed/>
    <w:rsid w:val="000B7404"/>
    <w:rPr>
      <w:rFonts w:ascii="Tahoma" w:hAnsi="Tahoma" w:cs="Tahoma"/>
      <w:sz w:val="16"/>
      <w:szCs w:val="16"/>
    </w:rPr>
  </w:style>
  <w:style w:type="character" w:customStyle="1" w:styleId="BalloonTextChar">
    <w:name w:val="Balloon Text Char"/>
    <w:basedOn w:val="DefaultParagraphFont"/>
    <w:link w:val="BalloonText"/>
    <w:uiPriority w:val="99"/>
    <w:semiHidden/>
    <w:rsid w:val="000B7404"/>
    <w:rPr>
      <w:rFonts w:ascii="Tahoma" w:hAnsi="Tahoma" w:cs="Tahoma"/>
      <w:sz w:val="16"/>
      <w:szCs w:val="16"/>
    </w:rPr>
  </w:style>
  <w:style w:type="character" w:styleId="Hyperlink">
    <w:name w:val="Hyperlink"/>
    <w:basedOn w:val="DefaultParagraphFont"/>
    <w:uiPriority w:val="99"/>
    <w:semiHidden/>
    <w:unhideWhenUsed/>
    <w:rsid w:val="00546410"/>
    <w:rPr>
      <w:color w:val="2B674D"/>
      <w:u w:val="single"/>
    </w:rPr>
  </w:style>
  <w:style w:type="character" w:customStyle="1" w:styleId="Heading7Char">
    <w:name w:val="Heading 7 Char"/>
    <w:basedOn w:val="DefaultParagraphFont"/>
    <w:link w:val="Heading7"/>
    <w:uiPriority w:val="9"/>
    <w:semiHidden/>
    <w:rsid w:val="009124F8"/>
    <w:rPr>
      <w:rFonts w:asciiTheme="majorHAnsi" w:eastAsiaTheme="majorEastAsia" w:hAnsiTheme="majorHAnsi" w:cstheme="majorBidi"/>
      <w:i/>
      <w:iCs/>
      <w:color w:val="404040" w:themeColor="text1" w:themeTint="BF"/>
      <w:sz w:val="24"/>
    </w:rPr>
  </w:style>
  <w:style w:type="character" w:customStyle="1" w:styleId="Heading3Char">
    <w:name w:val="Heading 3 Char"/>
    <w:basedOn w:val="DefaultParagraphFont"/>
    <w:link w:val="Heading3"/>
    <w:rsid w:val="00F71C11"/>
    <w:rPr>
      <w:rFonts w:ascii="Arial" w:hAnsi="Arial"/>
      <w:b/>
      <w:i/>
      <w:snapToGrid w:val="0"/>
      <w:color w:val="000000"/>
      <w:sz w:val="16"/>
    </w:rPr>
  </w:style>
  <w:style w:type="paragraph" w:styleId="CommentSubject">
    <w:name w:val="annotation subject"/>
    <w:basedOn w:val="CommentText"/>
    <w:next w:val="CommentText"/>
    <w:link w:val="CommentSubjectChar"/>
    <w:uiPriority w:val="99"/>
    <w:semiHidden/>
    <w:unhideWhenUsed/>
    <w:rsid w:val="003E5D52"/>
    <w:rPr>
      <w:b/>
      <w:bCs/>
    </w:rPr>
  </w:style>
  <w:style w:type="character" w:customStyle="1" w:styleId="CommentTextChar">
    <w:name w:val="Comment Text Char"/>
    <w:basedOn w:val="DefaultParagraphFont"/>
    <w:link w:val="CommentText"/>
    <w:semiHidden/>
    <w:rsid w:val="003E5D52"/>
  </w:style>
  <w:style w:type="character" w:customStyle="1" w:styleId="CommentSubjectChar">
    <w:name w:val="Comment Subject Char"/>
    <w:basedOn w:val="CommentTextChar"/>
    <w:link w:val="CommentSubject"/>
    <w:rsid w:val="003E5D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2.emf"/><Relationship Id="rId39" Type="http://schemas.openxmlformats.org/officeDocument/2006/relationships/image" Target="media/image24.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hart" Target="charts/chart1.xml"/><Relationship Id="rId32" Type="http://schemas.openxmlformats.org/officeDocument/2006/relationships/image" Target="media/image18.emf"/><Relationship Id="rId37" Type="http://schemas.openxmlformats.org/officeDocument/2006/relationships/footer" Target="footer1.xml"/><Relationship Id="rId40" Type="http://schemas.openxmlformats.org/officeDocument/2006/relationships/image" Target="media/image25.emf"/><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7.emf"/><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customXml" Target="../customXml/item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chart" Target="charts/chart2.xml"/><Relationship Id="rId33" Type="http://schemas.openxmlformats.org/officeDocument/2006/relationships/image" Target="media/image19.emf"/><Relationship Id="rId38" Type="http://schemas.openxmlformats.org/officeDocument/2006/relationships/image" Target="media/image23.emf"/><Relationship Id="rId46" Type="http://schemas.openxmlformats.org/officeDocument/2006/relationships/customXml" Target="../customXml/item4.xml"/><Relationship Id="rId20" Type="http://schemas.openxmlformats.org/officeDocument/2006/relationships/oleObject" Target="embeddings/oleObject8.bin"/><Relationship Id="rId4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1"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CAIDI - Cust. Interruption Duration/Affected Cust.-2001</a:t>
            </a:r>
            <a:endParaRPr lang="en-US" sz="1200" b="1" i="0" u="none" strike="noStrike" baseline="0">
              <a:solidFill>
                <a:srgbClr val="000000"/>
              </a:solidFill>
              <a:latin typeface="Arial"/>
              <a:cs typeface="Arial"/>
            </a:endParaRPr>
          </a:p>
          <a:p>
            <a:pPr>
              <a:defRPr sz="1000" b="1" i="0" u="none" strike="noStrike" baseline="0">
                <a:solidFill>
                  <a:srgbClr val="000000"/>
                </a:solidFill>
                <a:latin typeface="Arial"/>
                <a:ea typeface="Arial"/>
                <a:cs typeface="Arial"/>
              </a:defRPr>
            </a:pPr>
            <a:r>
              <a:rPr lang="en-US" sz="900" b="1" i="0" u="none" strike="noStrike" baseline="0">
                <a:solidFill>
                  <a:srgbClr val="000000"/>
                </a:solidFill>
                <a:latin typeface="Arial"/>
                <a:cs typeface="Arial"/>
              </a:rPr>
              <a:t>(Average outage duration per affected customers only)</a:t>
            </a:r>
            <a:endParaRPr lang="en-US" sz="1200" b="1" i="0" u="none" strike="noStrike" baseline="0">
              <a:solidFill>
                <a:srgbClr val="000000"/>
              </a:solidFill>
              <a:latin typeface="Arial"/>
              <a:cs typeface="Arial"/>
            </a:endParaRPr>
          </a:p>
          <a:p>
            <a:pPr>
              <a:defRPr sz="1000" b="1" i="0" u="none" strike="noStrike" baseline="0">
                <a:solidFill>
                  <a:srgbClr val="000000"/>
                </a:solidFill>
                <a:latin typeface="Arial"/>
                <a:ea typeface="Arial"/>
                <a:cs typeface="Arial"/>
              </a:defRPr>
            </a:pPr>
            <a:endParaRPr lang="en-US" sz="1200" b="1" i="0" u="none" strike="noStrike" baseline="0">
              <a:solidFill>
                <a:srgbClr val="000000"/>
              </a:solidFill>
              <a:latin typeface="Arial"/>
              <a:cs typeface="Arial"/>
            </a:endParaRPr>
          </a:p>
        </c:rich>
      </c:tx>
      <c:layout>
        <c:manualLayout>
          <c:xMode val="edge"/>
          <c:yMode val="edge"/>
          <c:x val="0.13665943600867678"/>
          <c:y val="0"/>
        </c:manualLayout>
      </c:layout>
      <c:spPr>
        <a:noFill/>
        <a:ln w="25399">
          <a:noFill/>
        </a:ln>
      </c:spPr>
    </c:title>
    <c:plotArea>
      <c:layout>
        <c:manualLayout>
          <c:layoutTarget val="inner"/>
          <c:xMode val="edge"/>
          <c:yMode val="edge"/>
          <c:x val="0.14750542299349295"/>
          <c:y val="0.35191637630662187"/>
          <c:w val="0.68980477223427672"/>
          <c:h val="0.47386759581881693"/>
        </c:manualLayout>
      </c:layout>
      <c:barChart>
        <c:barDir val="col"/>
        <c:grouping val="clustered"/>
        <c:ser>
          <c:idx val="0"/>
          <c:order val="0"/>
          <c:tx>
            <c:strRef>
              <c:f>Sheet1!$E$3</c:f>
              <c:strCache>
                <c:ptCount val="1"/>
                <c:pt idx="0">
                  <c:v>1 hr : 39 mins</c:v>
                </c:pt>
              </c:strCache>
            </c:strRef>
          </c:tx>
          <c:spPr>
            <a:solidFill>
              <a:srgbClr val="9999FF"/>
            </a:solidFill>
            <a:ln w="12700">
              <a:solidFill>
                <a:srgbClr val="000000"/>
              </a:solidFill>
              <a:prstDash val="solid"/>
            </a:ln>
          </c:spPr>
          <c:cat>
            <c:strRef>
              <c:f>Sheet1!$A$4:$A$16</c:f>
              <c:strCache>
                <c:ptCount val="13"/>
                <c:pt idx="0">
                  <c:v>Jan</c:v>
                </c:pt>
                <c:pt idx="1">
                  <c:v>Feb</c:v>
                </c:pt>
                <c:pt idx="2">
                  <c:v>March</c:v>
                </c:pt>
                <c:pt idx="3">
                  <c:v>April</c:v>
                </c:pt>
                <c:pt idx="4">
                  <c:v>May</c:v>
                </c:pt>
                <c:pt idx="5">
                  <c:v>June</c:v>
                </c:pt>
                <c:pt idx="6">
                  <c:v>July</c:v>
                </c:pt>
                <c:pt idx="7">
                  <c:v>Aug.</c:v>
                </c:pt>
                <c:pt idx="8">
                  <c:v>Sept.</c:v>
                </c:pt>
                <c:pt idx="9">
                  <c:v>Oct</c:v>
                </c:pt>
                <c:pt idx="10">
                  <c:v>Nov</c:v>
                </c:pt>
                <c:pt idx="11">
                  <c:v>Dec</c:v>
                </c:pt>
                <c:pt idx="12">
                  <c:v>Total</c:v>
                </c:pt>
              </c:strCache>
            </c:strRef>
          </c:cat>
          <c:val>
            <c:numRef>
              <c:f>Sheet1!$E$4:$E$16</c:f>
              <c:numCache>
                <c:formatCode>[h]:mm:ss</c:formatCode>
                <c:ptCount val="13"/>
                <c:pt idx="0">
                  <c:v>5.8449074074074056E-2</c:v>
                </c:pt>
                <c:pt idx="1">
                  <c:v>8.8240740740740731E-2</c:v>
                </c:pt>
                <c:pt idx="2">
                  <c:v>9.3981481481481513E-2</c:v>
                </c:pt>
                <c:pt idx="3">
                  <c:v>6.6504629629629733E-2</c:v>
                </c:pt>
                <c:pt idx="4">
                  <c:v>5.6828703703703715E-2</c:v>
                </c:pt>
                <c:pt idx="5">
                  <c:v>9.0914351851852079E-2</c:v>
                </c:pt>
                <c:pt idx="6">
                  <c:v>4.0879629629629634E-2</c:v>
                </c:pt>
                <c:pt idx="7">
                  <c:v>8.6863425925925927E-2</c:v>
                </c:pt>
                <c:pt idx="12">
                  <c:v>7.1377314814814935E-2</c:v>
                </c:pt>
              </c:numCache>
            </c:numRef>
          </c:val>
        </c:ser>
        <c:axId val="88918656"/>
        <c:axId val="91472256"/>
      </c:barChart>
      <c:catAx>
        <c:axId val="88918656"/>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1472256"/>
        <c:crosses val="autoZero"/>
        <c:auto val="1"/>
        <c:lblAlgn val="ctr"/>
        <c:lblOffset val="100"/>
        <c:tickLblSkip val="1"/>
        <c:tickMarkSkip val="1"/>
      </c:catAx>
      <c:valAx>
        <c:axId val="91472256"/>
        <c:scaling>
          <c:orientation val="minMax"/>
        </c:scaling>
        <c:axPos val="l"/>
        <c:majorGridlines>
          <c:spPr>
            <a:ln w="3175">
              <a:solidFill>
                <a:srgbClr val="000000"/>
              </a:solidFill>
              <a:prstDash val="solid"/>
            </a:ln>
          </c:spPr>
        </c:majorGridlines>
        <c:title>
          <c:tx>
            <c:rich>
              <a:bodyPr/>
              <a:lstStyle/>
              <a:p>
                <a:pPr>
                  <a:defRPr sz="700" b="1" i="0" u="none" strike="noStrike" baseline="0">
                    <a:solidFill>
                      <a:srgbClr val="000000"/>
                    </a:solidFill>
                    <a:latin typeface="Arial"/>
                    <a:ea typeface="Arial"/>
                    <a:cs typeface="Arial"/>
                  </a:defRPr>
                </a:pPr>
                <a:r>
                  <a:rPr lang="en-US"/>
                  <a:t>Hr:mn:sec Outage/Afctd Cust</a:t>
                </a:r>
              </a:p>
            </c:rich>
          </c:tx>
          <c:layout>
            <c:manualLayout>
              <c:xMode val="edge"/>
              <c:yMode val="edge"/>
              <c:x val="0"/>
              <c:y val="0.3101045296167248"/>
            </c:manualLayout>
          </c:layout>
          <c:spPr>
            <a:noFill/>
            <a:ln w="25399">
              <a:noFill/>
            </a:ln>
          </c:spPr>
        </c:title>
        <c:numFmt formatCode="[h]:mm:ss"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88918656"/>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25" b="1" i="0" u="none" strike="noStrike" baseline="0">
                <a:solidFill>
                  <a:srgbClr val="000000"/>
                </a:solidFill>
                <a:latin typeface="Arial"/>
                <a:ea typeface="Arial"/>
                <a:cs typeface="Arial"/>
              </a:defRPr>
            </a:pPr>
            <a:r>
              <a:rPr lang="en-US" sz="725" b="1" i="0" u="none" strike="noStrike" baseline="0">
                <a:solidFill>
                  <a:srgbClr val="000000"/>
                </a:solidFill>
                <a:latin typeface="Arial"/>
                <a:cs typeface="Arial"/>
              </a:rPr>
              <a:t>MAIFIe - Cust Moment. Interptn Events/Total Customers Served-2001</a:t>
            </a:r>
            <a:endParaRPr lang="en-US" sz="1125" b="1" i="0" u="none" strike="noStrike" baseline="0">
              <a:solidFill>
                <a:srgbClr val="000000"/>
              </a:solidFill>
              <a:latin typeface="Arial"/>
              <a:cs typeface="Arial"/>
            </a:endParaRPr>
          </a:p>
          <a:p>
            <a:pPr>
              <a:defRPr sz="725" b="1" i="0" u="none" strike="noStrike" baseline="0">
                <a:solidFill>
                  <a:srgbClr val="000000"/>
                </a:solidFill>
                <a:latin typeface="Arial"/>
                <a:ea typeface="Arial"/>
                <a:cs typeface="Arial"/>
              </a:defRPr>
            </a:pPr>
            <a:endParaRPr lang="en-US"/>
          </a:p>
        </c:rich>
      </c:tx>
      <c:layout>
        <c:manualLayout>
          <c:xMode val="edge"/>
          <c:yMode val="edge"/>
          <c:x val="0.11185682326621969"/>
          <c:y val="0"/>
        </c:manualLayout>
      </c:layout>
      <c:spPr>
        <a:noFill/>
        <a:ln w="25401">
          <a:noFill/>
        </a:ln>
      </c:spPr>
    </c:title>
    <c:plotArea>
      <c:layout>
        <c:manualLayout>
          <c:layoutTarget val="inner"/>
          <c:xMode val="edge"/>
          <c:yMode val="edge"/>
          <c:x val="0.2058165548098434"/>
          <c:y val="0.26923076923076938"/>
          <c:w val="0.66442953020134365"/>
          <c:h val="0.45804195804195774"/>
        </c:manualLayout>
      </c:layout>
      <c:barChart>
        <c:barDir val="col"/>
        <c:grouping val="clustered"/>
        <c:ser>
          <c:idx val="0"/>
          <c:order val="0"/>
          <c:tx>
            <c:strRef>
              <c:f>Sheet1!$H$3</c:f>
              <c:strCache>
                <c:ptCount val="1"/>
                <c:pt idx="0">
                  <c:v>0.303</c:v>
                </c:pt>
              </c:strCache>
            </c:strRef>
          </c:tx>
          <c:spPr>
            <a:solidFill>
              <a:srgbClr val="9999FF"/>
            </a:solidFill>
            <a:ln w="12700">
              <a:solidFill>
                <a:srgbClr val="000000"/>
              </a:solidFill>
              <a:prstDash val="solid"/>
            </a:ln>
          </c:spPr>
          <c:cat>
            <c:strRef>
              <c:f>(Sheet1!$A$4:$A$15,Sheet1!$A$19)</c:f>
              <c:strCache>
                <c:ptCount val="13"/>
                <c:pt idx="0">
                  <c:v>Jan</c:v>
                </c:pt>
                <c:pt idx="1">
                  <c:v>Feb</c:v>
                </c:pt>
                <c:pt idx="2">
                  <c:v>March</c:v>
                </c:pt>
                <c:pt idx="3">
                  <c:v>April</c:v>
                </c:pt>
                <c:pt idx="4">
                  <c:v>May</c:v>
                </c:pt>
                <c:pt idx="5">
                  <c:v>June</c:v>
                </c:pt>
                <c:pt idx="6">
                  <c:v>July</c:v>
                </c:pt>
                <c:pt idx="7">
                  <c:v>Aug.</c:v>
                </c:pt>
                <c:pt idx="8">
                  <c:v>Sept.</c:v>
                </c:pt>
                <c:pt idx="9">
                  <c:v>Oct</c:v>
                </c:pt>
                <c:pt idx="10">
                  <c:v>Nov</c:v>
                </c:pt>
                <c:pt idx="11">
                  <c:v>Dec</c:v>
                </c:pt>
                <c:pt idx="12">
                  <c:v>Mnthly Avg</c:v>
                </c:pt>
              </c:strCache>
            </c:strRef>
          </c:cat>
          <c:val>
            <c:numRef>
              <c:f>(Sheet1!$H$4:$H$15,Sheet1!$H$19)</c:f>
              <c:numCache>
                <c:formatCode>0.000</c:formatCode>
                <c:ptCount val="13"/>
                <c:pt idx="0">
                  <c:v>9.6271080000000009E-2</c:v>
                </c:pt>
                <c:pt idx="1">
                  <c:v>0.14255219000000041</c:v>
                </c:pt>
                <c:pt idx="2">
                  <c:v>0.16894900000000077</c:v>
                </c:pt>
                <c:pt idx="3">
                  <c:v>0.273617</c:v>
                </c:pt>
                <c:pt idx="4">
                  <c:v>0.49541801000000124</c:v>
                </c:pt>
                <c:pt idx="5">
                  <c:v>0.71372990000000236</c:v>
                </c:pt>
                <c:pt idx="6">
                  <c:v>0.43110289000000124</c:v>
                </c:pt>
                <c:pt idx="7">
                  <c:v>0.53455626999999739</c:v>
                </c:pt>
                <c:pt idx="12">
                  <c:v>0.36608671353827243</c:v>
                </c:pt>
              </c:numCache>
            </c:numRef>
          </c:val>
        </c:ser>
        <c:axId val="91550080"/>
        <c:axId val="91551616"/>
      </c:barChart>
      <c:catAx>
        <c:axId val="91550080"/>
        <c:scaling>
          <c:orientation val="minMax"/>
        </c:scaling>
        <c:axPos val="b"/>
        <c:numFmt formatCode="General" sourceLinked="1"/>
        <c:tickLblPos val="nextTo"/>
        <c:spPr>
          <a:ln w="3175">
            <a:solidFill>
              <a:srgbClr val="000000"/>
            </a:solidFill>
            <a:prstDash val="solid"/>
          </a:ln>
        </c:spPr>
        <c:txPr>
          <a:bodyPr rot="-5400000" vert="horz"/>
          <a:lstStyle/>
          <a:p>
            <a:pPr>
              <a:defRPr sz="925" b="0" i="0" u="none" strike="noStrike" baseline="0">
                <a:solidFill>
                  <a:srgbClr val="000000"/>
                </a:solidFill>
                <a:latin typeface="Arial"/>
                <a:ea typeface="Arial"/>
                <a:cs typeface="Arial"/>
              </a:defRPr>
            </a:pPr>
            <a:endParaRPr lang="en-US"/>
          </a:p>
        </c:txPr>
        <c:crossAx val="91551616"/>
        <c:crosses val="autoZero"/>
        <c:auto val="1"/>
        <c:lblAlgn val="ctr"/>
        <c:lblOffset val="100"/>
        <c:tickLblSkip val="1"/>
        <c:tickMarkSkip val="1"/>
      </c:catAx>
      <c:valAx>
        <c:axId val="91551616"/>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#momentary intrptn Events/total cust.</a:t>
                </a:r>
              </a:p>
            </c:rich>
          </c:tx>
          <c:layout>
            <c:manualLayout>
              <c:xMode val="edge"/>
              <c:yMode val="edge"/>
              <c:x val="2.2371364653243988E-2"/>
              <c:y val="0.11888111888111889"/>
            </c:manualLayout>
          </c:layout>
          <c:spPr>
            <a:noFill/>
            <a:ln w="25401">
              <a:noFill/>
            </a:ln>
          </c:spPr>
        </c:title>
        <c:numFmt formatCode="0.000"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91550080"/>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0.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038096" cy="383809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33334" cy="38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2011-03-30T07:00:00+00:00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0A8C2AF76C7459CBE8E9A4E5FF1C8" ma:contentTypeVersion="143" ma:contentTypeDescription="" ma:contentTypeScope="" ma:versionID="156bee43ed9ab678829fa44294202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B031EF-F46C-495D-BA27-373F1644FF2E}"/>
</file>

<file path=customXml/itemProps2.xml><?xml version="1.0" encoding="utf-8"?>
<ds:datastoreItem xmlns:ds="http://schemas.openxmlformats.org/officeDocument/2006/customXml" ds:itemID="{CB63ED1C-B5A6-411F-A9CB-81F53303FEEF}"/>
</file>

<file path=customXml/itemProps3.xml><?xml version="1.0" encoding="utf-8"?>
<ds:datastoreItem xmlns:ds="http://schemas.openxmlformats.org/officeDocument/2006/customXml" ds:itemID="{BA9AC165-F266-465E-A967-385D7754CBFE}"/>
</file>

<file path=customXml/itemProps4.xml><?xml version="1.0" encoding="utf-8"?>
<ds:datastoreItem xmlns:ds="http://schemas.openxmlformats.org/officeDocument/2006/customXml" ds:itemID="{08867A40-58CF-40AC-90CF-3B6D34697420}"/>
</file>

<file path=docProps/app.xml><?xml version="1.0" encoding="utf-8"?>
<Properties xmlns="http://schemas.openxmlformats.org/officeDocument/2006/extended-properties" xmlns:vt="http://schemas.openxmlformats.org/officeDocument/2006/docPropsVTypes">
  <Template>Normal.dotm</Template>
  <TotalTime>1</TotalTime>
  <Pages>28</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WAC 480-100-388 - Definition of terms </vt:lpstr>
    </vt:vector>
  </TitlesOfParts>
  <Company>Avista Corp</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 480-100-388 - Definition of terms </dc:title>
  <dc:subject/>
  <dc:creator>Avista Corp Employee</dc:creator>
  <cp:keywords/>
  <dc:description/>
  <cp:lastModifiedBy>Shawn Bonfield</cp:lastModifiedBy>
  <cp:revision>2</cp:revision>
  <cp:lastPrinted>2011-03-30T22:09:00Z</cp:lastPrinted>
  <dcterms:created xsi:type="dcterms:W3CDTF">2011-03-30T22:13:00Z</dcterms:created>
  <dcterms:modified xsi:type="dcterms:W3CDTF">2011-03-30T22:13:00Z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0x0101006E56B4D1795A2E4DB2F0B01679ED314A001D90A8C2AF76C7459CBE8E9A4E5FF1C8</vt:lpwstr>
  </property>
  <property fmtid="{D5CDD505-2E9C-101B-9397-08002B2CF9AE}" pid="3" name="_docset_NoMedatataSyncRequired">
    <vt:lpwstr>False</vt:lpwstr>
  </property>
</Properties>
</file>