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A99BF" w14:textId="77777777" w:rsidR="00A83246" w:rsidRPr="001E33FD" w:rsidRDefault="00430395" w:rsidP="00C82F4A">
      <w:pPr>
        <w:ind w:left="1440" w:firstLine="3600"/>
        <w:rPr>
          <w:b/>
          <w:bCs/>
        </w:rPr>
      </w:pPr>
      <w:r w:rsidRPr="001E33FD">
        <w:rPr>
          <w:b/>
          <w:bCs/>
        </w:rPr>
        <w:t>E</w:t>
      </w:r>
      <w:r w:rsidR="00A83246" w:rsidRPr="001E33FD">
        <w:rPr>
          <w:b/>
          <w:bCs/>
        </w:rPr>
        <w:t xml:space="preserve">xhibit No. </w:t>
      </w:r>
      <w:r w:rsidR="00507BF1">
        <w:rPr>
          <w:b/>
          <w:bCs/>
        </w:rPr>
        <w:t>___T</w:t>
      </w:r>
      <w:r w:rsidR="00622D28">
        <w:rPr>
          <w:b/>
          <w:bCs/>
        </w:rPr>
        <w:t xml:space="preserve"> (</w:t>
      </w:r>
      <w:r w:rsidR="000B2156" w:rsidRPr="001E33FD">
        <w:rPr>
          <w:b/>
          <w:bCs/>
        </w:rPr>
        <w:t>KLE</w:t>
      </w:r>
      <w:r w:rsidR="00FF2C8F">
        <w:rPr>
          <w:b/>
          <w:bCs/>
        </w:rPr>
        <w:t>-1</w:t>
      </w:r>
      <w:r w:rsidR="00A83246" w:rsidRPr="001E33FD">
        <w:rPr>
          <w:b/>
          <w:bCs/>
        </w:rPr>
        <w:t>T</w:t>
      </w:r>
      <w:r w:rsidR="00622D28">
        <w:rPr>
          <w:b/>
          <w:bCs/>
        </w:rPr>
        <w:t>)</w:t>
      </w:r>
    </w:p>
    <w:p w14:paraId="34EA99C0" w14:textId="77777777" w:rsidR="002C27BB" w:rsidRDefault="00A83246" w:rsidP="009A274B">
      <w:pPr>
        <w:ind w:left="4320" w:firstLine="720"/>
        <w:rPr>
          <w:b/>
          <w:bCs/>
        </w:rPr>
      </w:pPr>
      <w:r w:rsidRPr="001934ED">
        <w:rPr>
          <w:b/>
          <w:bCs/>
        </w:rPr>
        <w:t>D</w:t>
      </w:r>
      <w:r>
        <w:rPr>
          <w:b/>
          <w:bCs/>
        </w:rPr>
        <w:t>ocket</w:t>
      </w:r>
      <w:r w:rsidR="000C6E7D">
        <w:rPr>
          <w:b/>
          <w:bCs/>
        </w:rPr>
        <w:t>s</w:t>
      </w:r>
      <w:r w:rsidR="0007661C">
        <w:rPr>
          <w:b/>
          <w:bCs/>
        </w:rPr>
        <w:t xml:space="preserve"> UE-</w:t>
      </w:r>
      <w:r w:rsidR="00C91725">
        <w:rPr>
          <w:b/>
          <w:bCs/>
        </w:rPr>
        <w:t xml:space="preserve"> </w:t>
      </w:r>
      <w:r w:rsidR="00C771B2">
        <w:rPr>
          <w:b/>
          <w:bCs/>
        </w:rPr>
        <w:t>140188/UG-140189</w:t>
      </w:r>
    </w:p>
    <w:p w14:paraId="34EA99C1" w14:textId="77777777" w:rsidR="00A83246" w:rsidRDefault="00A83246" w:rsidP="009A274B">
      <w:pPr>
        <w:ind w:left="4320" w:firstLine="720"/>
        <w:rPr>
          <w:b/>
          <w:bCs/>
        </w:rPr>
      </w:pPr>
      <w:r w:rsidRPr="001934ED">
        <w:rPr>
          <w:b/>
          <w:bCs/>
        </w:rPr>
        <w:t xml:space="preserve">Witness: </w:t>
      </w:r>
      <w:r>
        <w:rPr>
          <w:b/>
          <w:bCs/>
        </w:rPr>
        <w:t xml:space="preserve"> </w:t>
      </w:r>
      <w:r w:rsidR="000B2156">
        <w:rPr>
          <w:b/>
          <w:bCs/>
        </w:rPr>
        <w:t>Kenneth L. Elgin</w:t>
      </w:r>
      <w:r>
        <w:rPr>
          <w:b/>
          <w:bCs/>
        </w:rPr>
        <w:t xml:space="preserve"> </w:t>
      </w:r>
    </w:p>
    <w:p w14:paraId="34EA99C2" w14:textId="77777777" w:rsidR="00A83246" w:rsidRPr="001934ED" w:rsidRDefault="00A83246" w:rsidP="00A83246">
      <w:pPr>
        <w:ind w:left="5040" w:firstLine="360"/>
        <w:jc w:val="both"/>
        <w:rPr>
          <w:b/>
          <w:bCs/>
        </w:rPr>
      </w:pPr>
    </w:p>
    <w:p w14:paraId="34EA99C3" w14:textId="77777777" w:rsidR="00F56B1C" w:rsidRDefault="00A83246" w:rsidP="00A83246">
      <w:pPr>
        <w:tabs>
          <w:tab w:val="center" w:pos="4680"/>
        </w:tabs>
        <w:ind w:right="-252" w:hanging="360"/>
        <w:jc w:val="center"/>
        <w:rPr>
          <w:b/>
          <w:bCs/>
        </w:rPr>
      </w:pPr>
      <w:r w:rsidRPr="000E1591">
        <w:rPr>
          <w:b/>
          <w:bCs/>
        </w:rPr>
        <w:t xml:space="preserve">BEFORE THE WASHINGTON </w:t>
      </w:r>
      <w:r w:rsidR="00F56B1C">
        <w:rPr>
          <w:b/>
          <w:bCs/>
        </w:rPr>
        <w:t>STATE</w:t>
      </w:r>
    </w:p>
    <w:p w14:paraId="34EA99C4" w14:textId="77777777" w:rsidR="00A83246" w:rsidRDefault="00A83246" w:rsidP="00A83246">
      <w:pPr>
        <w:tabs>
          <w:tab w:val="center" w:pos="4680"/>
        </w:tabs>
        <w:ind w:right="-252" w:hanging="360"/>
        <w:jc w:val="center"/>
        <w:rPr>
          <w:b/>
          <w:bCs/>
        </w:rPr>
      </w:pPr>
      <w:r w:rsidRPr="000E1591">
        <w:rPr>
          <w:b/>
          <w:bCs/>
        </w:rPr>
        <w:t>UTILITIES AND TRANSPORTATION COMMISSION</w:t>
      </w:r>
    </w:p>
    <w:p w14:paraId="34EA99C5" w14:textId="77777777" w:rsidR="00A83246" w:rsidRDefault="00A83246" w:rsidP="00A83246">
      <w:pPr>
        <w:tabs>
          <w:tab w:val="center" w:pos="4680"/>
        </w:tabs>
        <w:ind w:right="-252" w:hanging="360"/>
        <w:rPr>
          <w:b/>
          <w:bCs/>
        </w:rPr>
      </w:pPr>
    </w:p>
    <w:p w14:paraId="34EA99C6" w14:textId="77777777" w:rsidR="00622D28" w:rsidRPr="00622D28" w:rsidRDefault="00622D28" w:rsidP="00622D28">
      <w:pPr>
        <w:tabs>
          <w:tab w:val="center" w:pos="4680"/>
        </w:tabs>
        <w:jc w:val="center"/>
        <w:rPr>
          <w:b/>
        </w:rPr>
      </w:pPr>
    </w:p>
    <w:tbl>
      <w:tblPr>
        <w:tblW w:w="9180" w:type="dxa"/>
        <w:tblLayout w:type="fixed"/>
        <w:tblCellMar>
          <w:left w:w="124" w:type="dxa"/>
          <w:right w:w="124" w:type="dxa"/>
        </w:tblCellMar>
        <w:tblLook w:val="0000" w:firstRow="0" w:lastRow="0" w:firstColumn="0" w:lastColumn="0" w:noHBand="0" w:noVBand="0"/>
      </w:tblPr>
      <w:tblGrid>
        <w:gridCol w:w="4590"/>
        <w:gridCol w:w="4590"/>
      </w:tblGrid>
      <w:tr w:rsidR="00622D28" w:rsidRPr="00622D28" w14:paraId="34EA99D6" w14:textId="77777777" w:rsidTr="00622D28">
        <w:tc>
          <w:tcPr>
            <w:tcW w:w="4590" w:type="dxa"/>
            <w:tcBorders>
              <w:top w:val="single" w:sz="6" w:space="0" w:color="FFFFFF"/>
              <w:left w:val="single" w:sz="6" w:space="0" w:color="FFFFFF"/>
              <w:bottom w:val="single" w:sz="7" w:space="0" w:color="000000"/>
              <w:right w:val="single" w:sz="6" w:space="0" w:color="FFFFFF"/>
            </w:tcBorders>
          </w:tcPr>
          <w:p w14:paraId="34EA99C7" w14:textId="77777777" w:rsidR="00617709" w:rsidRPr="00617709" w:rsidRDefault="00617709" w:rsidP="00617709">
            <w:pPr>
              <w:spacing w:line="264" w:lineRule="auto"/>
              <w:rPr>
                <w:b/>
              </w:rPr>
            </w:pPr>
            <w:r w:rsidRPr="00617709">
              <w:rPr>
                <w:b/>
              </w:rPr>
              <w:t>WASHINGTON UTILITIES AND TRANSPORTATION COMMISSION,</w:t>
            </w:r>
          </w:p>
          <w:p w14:paraId="34EA99C8" w14:textId="77777777" w:rsidR="00617709" w:rsidRPr="00617709" w:rsidRDefault="00617709" w:rsidP="00617709">
            <w:pPr>
              <w:spacing w:line="264" w:lineRule="auto"/>
              <w:rPr>
                <w:b/>
              </w:rPr>
            </w:pPr>
          </w:p>
          <w:p w14:paraId="34EA99C9" w14:textId="77777777" w:rsidR="00617709" w:rsidRPr="00617709" w:rsidRDefault="00617709" w:rsidP="00617709">
            <w:pPr>
              <w:tabs>
                <w:tab w:val="left" w:pos="1800"/>
              </w:tabs>
              <w:spacing w:line="264" w:lineRule="auto"/>
              <w:rPr>
                <w:b/>
              </w:rPr>
            </w:pPr>
            <w:r w:rsidRPr="00617709">
              <w:rPr>
                <w:b/>
              </w:rPr>
              <w:tab/>
              <w:t>Complainant,</w:t>
            </w:r>
          </w:p>
          <w:p w14:paraId="34EA99CA" w14:textId="77777777" w:rsidR="00617709" w:rsidRPr="00617709" w:rsidRDefault="00617709" w:rsidP="00617709">
            <w:pPr>
              <w:spacing w:line="264" w:lineRule="auto"/>
              <w:rPr>
                <w:b/>
              </w:rPr>
            </w:pPr>
          </w:p>
          <w:p w14:paraId="34EA99CB" w14:textId="77777777" w:rsidR="00617709" w:rsidRPr="00617709" w:rsidRDefault="00617709" w:rsidP="00617709">
            <w:pPr>
              <w:spacing w:line="264" w:lineRule="auto"/>
              <w:rPr>
                <w:b/>
              </w:rPr>
            </w:pPr>
            <w:r w:rsidRPr="00617709">
              <w:rPr>
                <w:b/>
              </w:rPr>
              <w:t>v.</w:t>
            </w:r>
          </w:p>
          <w:p w14:paraId="34EA99CC" w14:textId="77777777" w:rsidR="00617709" w:rsidRPr="00617709" w:rsidRDefault="00617709" w:rsidP="00617709">
            <w:pPr>
              <w:spacing w:line="264" w:lineRule="auto"/>
              <w:jc w:val="center"/>
              <w:rPr>
                <w:b/>
              </w:rPr>
            </w:pPr>
          </w:p>
          <w:p w14:paraId="34EA99CD" w14:textId="77777777" w:rsidR="00EF2B75" w:rsidRDefault="00EF2B75" w:rsidP="00617709">
            <w:pPr>
              <w:spacing w:line="264" w:lineRule="auto"/>
              <w:rPr>
                <w:b/>
              </w:rPr>
            </w:pPr>
            <w:r>
              <w:rPr>
                <w:b/>
              </w:rPr>
              <w:t>AVISTA CORPORATION, dba</w:t>
            </w:r>
          </w:p>
          <w:p w14:paraId="34EA99CE" w14:textId="77777777" w:rsidR="00617709" w:rsidRPr="00617709" w:rsidRDefault="00617709" w:rsidP="00617709">
            <w:pPr>
              <w:spacing w:line="264" w:lineRule="auto"/>
              <w:rPr>
                <w:b/>
              </w:rPr>
            </w:pPr>
            <w:r w:rsidRPr="00617709">
              <w:rPr>
                <w:b/>
              </w:rPr>
              <w:t>AVISTA UTILITIES,</w:t>
            </w:r>
          </w:p>
          <w:p w14:paraId="34EA99CF" w14:textId="77777777" w:rsidR="00617709" w:rsidRPr="00617709" w:rsidRDefault="00617709" w:rsidP="00617709">
            <w:pPr>
              <w:spacing w:line="264" w:lineRule="auto"/>
              <w:jc w:val="center"/>
              <w:rPr>
                <w:b/>
              </w:rPr>
            </w:pPr>
          </w:p>
          <w:p w14:paraId="34EA99D0" w14:textId="77777777" w:rsidR="00617709" w:rsidRPr="00617709" w:rsidRDefault="00617709" w:rsidP="00617709">
            <w:pPr>
              <w:tabs>
                <w:tab w:val="left" w:pos="1800"/>
              </w:tabs>
              <w:spacing w:line="264" w:lineRule="auto"/>
              <w:rPr>
                <w:b/>
              </w:rPr>
            </w:pPr>
            <w:r w:rsidRPr="00617709">
              <w:rPr>
                <w:b/>
              </w:rPr>
              <w:tab/>
              <w:t>Respondent.</w:t>
            </w:r>
          </w:p>
          <w:p w14:paraId="34EA99D1" w14:textId="77777777" w:rsidR="00622D28" w:rsidRPr="00617709" w:rsidRDefault="00622D28" w:rsidP="00622D28">
            <w:pPr>
              <w:tabs>
                <w:tab w:val="center" w:pos="4680"/>
              </w:tabs>
              <w:jc w:val="center"/>
              <w:rPr>
                <w:b/>
                <w:bCs/>
              </w:rPr>
            </w:pPr>
          </w:p>
        </w:tc>
        <w:tc>
          <w:tcPr>
            <w:tcW w:w="4590" w:type="dxa"/>
            <w:tcBorders>
              <w:top w:val="single" w:sz="6" w:space="0" w:color="FFFFFF"/>
              <w:left w:val="single" w:sz="7" w:space="0" w:color="000000"/>
              <w:bottom w:val="single" w:sz="6" w:space="0" w:color="FFFFFF"/>
              <w:right w:val="single" w:sz="6" w:space="0" w:color="FFFFFF"/>
            </w:tcBorders>
          </w:tcPr>
          <w:p w14:paraId="34EA99D2" w14:textId="77777777" w:rsidR="00617709" w:rsidRPr="00DD16CB" w:rsidRDefault="00617709" w:rsidP="00617709">
            <w:pPr>
              <w:spacing w:line="264" w:lineRule="auto"/>
              <w:ind w:left="450"/>
              <w:rPr>
                <w:b/>
              </w:rPr>
            </w:pPr>
            <w:r w:rsidRPr="00DD16CB">
              <w:rPr>
                <w:b/>
              </w:rPr>
              <w:t xml:space="preserve">DOCKETS UE-140188 and </w:t>
            </w:r>
          </w:p>
          <w:p w14:paraId="34EA99D3" w14:textId="77777777" w:rsidR="00617709" w:rsidRPr="00DD16CB" w:rsidRDefault="00617709" w:rsidP="00617709">
            <w:pPr>
              <w:spacing w:line="264" w:lineRule="auto"/>
              <w:ind w:left="450"/>
              <w:rPr>
                <w:b/>
              </w:rPr>
            </w:pPr>
            <w:r w:rsidRPr="00DD16CB">
              <w:rPr>
                <w:b/>
              </w:rPr>
              <w:t xml:space="preserve">UG-140189 </w:t>
            </w:r>
            <w:r w:rsidRPr="00DD16CB">
              <w:rPr>
                <w:b/>
                <w:i/>
              </w:rPr>
              <w:t>(Consolidated)</w:t>
            </w:r>
          </w:p>
          <w:p w14:paraId="34EA99D4" w14:textId="77777777" w:rsidR="00622D28" w:rsidRPr="00DD16CB" w:rsidRDefault="00622D28" w:rsidP="00617709">
            <w:pPr>
              <w:tabs>
                <w:tab w:val="center" w:pos="4680"/>
              </w:tabs>
              <w:rPr>
                <w:b/>
              </w:rPr>
            </w:pPr>
          </w:p>
          <w:p w14:paraId="34EA99D5" w14:textId="77777777" w:rsidR="00622D28" w:rsidRPr="00622D28" w:rsidRDefault="00622D28" w:rsidP="00622D28">
            <w:pPr>
              <w:tabs>
                <w:tab w:val="center" w:pos="4680"/>
              </w:tabs>
              <w:jc w:val="center"/>
              <w:rPr>
                <w:b/>
              </w:rPr>
            </w:pPr>
          </w:p>
        </w:tc>
      </w:tr>
    </w:tbl>
    <w:p w14:paraId="34EA99D7" w14:textId="77777777" w:rsidR="00622D28" w:rsidRPr="00622D28" w:rsidRDefault="00622D28" w:rsidP="00622D28">
      <w:pPr>
        <w:tabs>
          <w:tab w:val="center" w:pos="4680"/>
        </w:tabs>
        <w:jc w:val="center"/>
        <w:rPr>
          <w:b/>
          <w:bCs/>
        </w:rPr>
      </w:pPr>
    </w:p>
    <w:p w14:paraId="34EA99D8" w14:textId="77777777" w:rsidR="00A83246" w:rsidRDefault="00A83246" w:rsidP="00A83246">
      <w:pPr>
        <w:tabs>
          <w:tab w:val="center" w:pos="4680"/>
        </w:tabs>
        <w:jc w:val="center"/>
        <w:rPr>
          <w:b/>
        </w:rPr>
      </w:pPr>
    </w:p>
    <w:p w14:paraId="34EA99D9" w14:textId="77777777" w:rsidR="00A83246" w:rsidRPr="00F021E3" w:rsidRDefault="00A83246" w:rsidP="00A83246">
      <w:pPr>
        <w:tabs>
          <w:tab w:val="center" w:pos="4320"/>
        </w:tabs>
        <w:jc w:val="center"/>
        <w:rPr>
          <w:b/>
        </w:rPr>
      </w:pPr>
      <w:r w:rsidRPr="00F021E3">
        <w:rPr>
          <w:b/>
        </w:rPr>
        <w:t>TESTIMONY</w:t>
      </w:r>
      <w:r>
        <w:rPr>
          <w:b/>
        </w:rPr>
        <w:t xml:space="preserve"> </w:t>
      </w:r>
      <w:r w:rsidRPr="00F021E3">
        <w:rPr>
          <w:b/>
        </w:rPr>
        <w:t>OF</w:t>
      </w:r>
    </w:p>
    <w:p w14:paraId="34EA99DA" w14:textId="77777777" w:rsidR="00A83246" w:rsidRPr="00F021E3" w:rsidRDefault="00A83246" w:rsidP="00A83246">
      <w:pPr>
        <w:jc w:val="center"/>
        <w:rPr>
          <w:b/>
        </w:rPr>
      </w:pPr>
    </w:p>
    <w:p w14:paraId="34EA99DB" w14:textId="77777777" w:rsidR="00A83246" w:rsidRPr="00F021E3" w:rsidRDefault="000B2156" w:rsidP="00A83246">
      <w:pPr>
        <w:tabs>
          <w:tab w:val="center" w:pos="4680"/>
        </w:tabs>
        <w:jc w:val="center"/>
        <w:rPr>
          <w:b/>
        </w:rPr>
      </w:pPr>
      <w:r>
        <w:rPr>
          <w:b/>
        </w:rPr>
        <w:t>Kenneth L. Elgin</w:t>
      </w:r>
    </w:p>
    <w:p w14:paraId="34EA99DC" w14:textId="77777777" w:rsidR="00A83246" w:rsidRPr="00F021E3" w:rsidRDefault="00A83246" w:rsidP="00A83246">
      <w:pPr>
        <w:jc w:val="center"/>
        <w:rPr>
          <w:b/>
        </w:rPr>
      </w:pPr>
    </w:p>
    <w:p w14:paraId="34EA99DD" w14:textId="77777777" w:rsidR="00A83246" w:rsidRPr="00F021E3" w:rsidRDefault="00A83246" w:rsidP="00A83246">
      <w:pPr>
        <w:tabs>
          <w:tab w:val="center" w:pos="4680"/>
        </w:tabs>
        <w:jc w:val="center"/>
        <w:rPr>
          <w:b/>
        </w:rPr>
      </w:pPr>
      <w:r>
        <w:rPr>
          <w:b/>
        </w:rPr>
        <w:t>S</w:t>
      </w:r>
      <w:r w:rsidRPr="00F021E3">
        <w:rPr>
          <w:b/>
        </w:rPr>
        <w:t>TAFF OF</w:t>
      </w:r>
      <w:r>
        <w:rPr>
          <w:b/>
        </w:rPr>
        <w:t xml:space="preserve"> </w:t>
      </w:r>
      <w:r w:rsidRPr="00F021E3">
        <w:rPr>
          <w:b/>
        </w:rPr>
        <w:t>WASHINGTON UTILITIES AND</w:t>
      </w:r>
    </w:p>
    <w:p w14:paraId="34EA99DE" w14:textId="77777777" w:rsidR="00A83246" w:rsidRPr="00F021E3" w:rsidRDefault="00A83246" w:rsidP="00A83246">
      <w:pPr>
        <w:tabs>
          <w:tab w:val="center" w:pos="4680"/>
        </w:tabs>
        <w:jc w:val="center"/>
        <w:rPr>
          <w:b/>
        </w:rPr>
      </w:pPr>
      <w:r w:rsidRPr="00F021E3">
        <w:rPr>
          <w:b/>
        </w:rPr>
        <w:t>TRANSPORTATION COMMISSION</w:t>
      </w:r>
    </w:p>
    <w:p w14:paraId="34EA99DF" w14:textId="77777777" w:rsidR="00A83246" w:rsidRDefault="00A83246" w:rsidP="00A83246">
      <w:pPr>
        <w:jc w:val="center"/>
        <w:rPr>
          <w:b/>
        </w:rPr>
      </w:pPr>
    </w:p>
    <w:p w14:paraId="34EA99E0" w14:textId="672E6203" w:rsidR="00A83246" w:rsidRPr="0028096E" w:rsidRDefault="00D34C7D" w:rsidP="00A83246">
      <w:pPr>
        <w:jc w:val="center"/>
        <w:rPr>
          <w:b/>
          <w:i/>
        </w:rPr>
      </w:pPr>
      <w:r>
        <w:rPr>
          <w:b/>
          <w:i/>
        </w:rPr>
        <w:t>Fair Rate of Return</w:t>
      </w:r>
      <w:r w:rsidR="009A38CB">
        <w:rPr>
          <w:b/>
          <w:i/>
        </w:rPr>
        <w:t xml:space="preserve"> and Rate of Return Impact of Decoupling</w:t>
      </w:r>
    </w:p>
    <w:p w14:paraId="34EA99E1" w14:textId="77777777" w:rsidR="00A83246" w:rsidRDefault="00A83246" w:rsidP="00A83246">
      <w:pPr>
        <w:tabs>
          <w:tab w:val="center" w:pos="4680"/>
        </w:tabs>
        <w:jc w:val="center"/>
        <w:rPr>
          <w:b/>
        </w:rPr>
      </w:pPr>
    </w:p>
    <w:p w14:paraId="34EA99E2" w14:textId="77777777" w:rsidR="002929F4" w:rsidRDefault="002929F4" w:rsidP="002929F4">
      <w:pPr>
        <w:rPr>
          <w:b/>
        </w:rPr>
      </w:pPr>
    </w:p>
    <w:p w14:paraId="7972EABF" w14:textId="77777777" w:rsidR="009A38CB" w:rsidRDefault="009A38CB" w:rsidP="002929F4">
      <w:pPr>
        <w:rPr>
          <w:b/>
        </w:rPr>
      </w:pPr>
    </w:p>
    <w:p w14:paraId="48A4A389" w14:textId="77777777" w:rsidR="009A38CB" w:rsidRDefault="009A38CB" w:rsidP="002929F4">
      <w:pPr>
        <w:rPr>
          <w:b/>
        </w:rPr>
      </w:pPr>
    </w:p>
    <w:p w14:paraId="6F22AC3D" w14:textId="77777777" w:rsidR="009A38CB" w:rsidRDefault="009A38CB" w:rsidP="002929F4">
      <w:pPr>
        <w:rPr>
          <w:b/>
        </w:rPr>
      </w:pPr>
    </w:p>
    <w:p w14:paraId="20368876" w14:textId="77777777" w:rsidR="009A38CB" w:rsidRDefault="009A38CB" w:rsidP="002929F4">
      <w:pPr>
        <w:rPr>
          <w:b/>
        </w:rPr>
      </w:pPr>
    </w:p>
    <w:p w14:paraId="671DEAB6" w14:textId="77777777" w:rsidR="009A38CB" w:rsidRDefault="009A38CB" w:rsidP="002929F4">
      <w:pPr>
        <w:rPr>
          <w:b/>
        </w:rPr>
      </w:pPr>
    </w:p>
    <w:p w14:paraId="01C22BC7" w14:textId="77777777" w:rsidR="009A38CB" w:rsidRDefault="009A38CB" w:rsidP="002929F4">
      <w:pPr>
        <w:rPr>
          <w:b/>
        </w:rPr>
      </w:pPr>
    </w:p>
    <w:p w14:paraId="111614BD" w14:textId="77777777" w:rsidR="009A38CB" w:rsidRDefault="009A38CB" w:rsidP="002929F4">
      <w:pPr>
        <w:rPr>
          <w:b/>
        </w:rPr>
      </w:pPr>
    </w:p>
    <w:p w14:paraId="172646EB" w14:textId="77777777" w:rsidR="009A38CB" w:rsidRDefault="009A38CB" w:rsidP="002929F4">
      <w:pPr>
        <w:rPr>
          <w:b/>
        </w:rPr>
      </w:pPr>
    </w:p>
    <w:p w14:paraId="327B6EF4" w14:textId="77777777" w:rsidR="009A38CB" w:rsidRDefault="009A38CB" w:rsidP="002929F4">
      <w:pPr>
        <w:rPr>
          <w:b/>
        </w:rPr>
      </w:pPr>
    </w:p>
    <w:p w14:paraId="445C485A" w14:textId="5542EA51" w:rsidR="009A38CB" w:rsidRDefault="009A38CB" w:rsidP="002C06CF">
      <w:pPr>
        <w:jc w:val="center"/>
        <w:rPr>
          <w:b/>
        </w:rPr>
      </w:pPr>
      <w:r>
        <w:rPr>
          <w:b/>
        </w:rPr>
        <w:t>July 22, 2014</w:t>
      </w:r>
    </w:p>
    <w:p w14:paraId="34EA99E3" w14:textId="77777777" w:rsidR="002929F4" w:rsidRDefault="002929F4" w:rsidP="002929F4">
      <w:pPr>
        <w:jc w:val="both"/>
        <w:rPr>
          <w:b/>
        </w:rPr>
        <w:sectPr w:rsidR="002929F4" w:rsidSect="00131071">
          <w:footerReference w:type="even" r:id="rId12"/>
          <w:footerReference w:type="default" r:id="rId13"/>
          <w:pgSz w:w="12240" w:h="15840" w:code="1"/>
          <w:pgMar w:top="1440" w:right="1440" w:bottom="1440" w:left="1872" w:header="720" w:footer="720" w:gutter="0"/>
          <w:pgNumType w:start="0"/>
          <w:cols w:space="720"/>
          <w:titlePg/>
          <w:docGrid w:linePitch="360"/>
        </w:sectPr>
      </w:pPr>
    </w:p>
    <w:p w14:paraId="34EA99E4" w14:textId="77777777" w:rsidR="00B52B77" w:rsidRPr="00476DED" w:rsidRDefault="00B52B77" w:rsidP="009E2531">
      <w:pPr>
        <w:jc w:val="center"/>
        <w:rPr>
          <w:b/>
        </w:rPr>
      </w:pPr>
      <w:r w:rsidRPr="00476DED">
        <w:rPr>
          <w:b/>
        </w:rPr>
        <w:lastRenderedPageBreak/>
        <w:t>TABLE OF CONTENTS</w:t>
      </w:r>
    </w:p>
    <w:p w14:paraId="34EA99E5" w14:textId="77777777" w:rsidR="00B52B77" w:rsidRDefault="00B52B77" w:rsidP="009E2531">
      <w:pPr>
        <w:jc w:val="both"/>
        <w:rPr>
          <w:b/>
          <w:u w:val="single"/>
        </w:rPr>
      </w:pPr>
    </w:p>
    <w:p w14:paraId="34EA99E6" w14:textId="77777777" w:rsidR="00B52B77" w:rsidRPr="00DD7D62" w:rsidRDefault="00B52B77" w:rsidP="00136AF6">
      <w:pPr>
        <w:spacing w:line="480" w:lineRule="auto"/>
        <w:jc w:val="both"/>
        <w:rPr>
          <w:u w:val="single"/>
        </w:rPr>
      </w:pPr>
    </w:p>
    <w:p w14:paraId="34EA99E7" w14:textId="77777777" w:rsidR="009B70DF" w:rsidRPr="00DB0B47" w:rsidRDefault="009B70DF" w:rsidP="009B70DF">
      <w:pPr>
        <w:tabs>
          <w:tab w:val="left" w:pos="720"/>
          <w:tab w:val="left" w:pos="1440"/>
          <w:tab w:val="left" w:pos="2160"/>
          <w:tab w:val="right" w:leader="dot" w:pos="9187"/>
        </w:tabs>
        <w:spacing w:line="480" w:lineRule="auto"/>
        <w:rPr>
          <w:u w:val="single"/>
        </w:rPr>
      </w:pPr>
      <w:r w:rsidRPr="00DB0B47">
        <w:t>I.</w:t>
      </w:r>
      <w:r w:rsidRPr="00DB0B47">
        <w:tab/>
        <w:t xml:space="preserve">INTRODUCTION </w:t>
      </w:r>
      <w:r w:rsidRPr="00DB0B47">
        <w:tab/>
      </w:r>
      <w:r w:rsidR="00066809">
        <w:t>1</w:t>
      </w:r>
    </w:p>
    <w:p w14:paraId="34EA99E8" w14:textId="77777777" w:rsidR="009B70DF" w:rsidRPr="00DB0B47" w:rsidRDefault="009B70DF" w:rsidP="009B70DF">
      <w:pPr>
        <w:tabs>
          <w:tab w:val="left" w:pos="720"/>
          <w:tab w:val="left" w:pos="1440"/>
          <w:tab w:val="right" w:leader="dot" w:pos="9187"/>
        </w:tabs>
        <w:spacing w:line="480" w:lineRule="auto"/>
        <w:rPr>
          <w:u w:val="single"/>
        </w:rPr>
      </w:pPr>
      <w:r w:rsidRPr="00DB0B47">
        <w:t>II.</w:t>
      </w:r>
      <w:r w:rsidRPr="00DB0B47">
        <w:tab/>
      </w:r>
      <w:r>
        <w:t xml:space="preserve">COST OF CAPITAL </w:t>
      </w:r>
      <w:r w:rsidRPr="00DB0B47">
        <w:t xml:space="preserve">SUMMARY </w:t>
      </w:r>
      <w:r w:rsidRPr="00DB0B47">
        <w:tab/>
      </w:r>
      <w:r w:rsidR="00647938">
        <w:t>2</w:t>
      </w:r>
    </w:p>
    <w:p w14:paraId="34EA99E9" w14:textId="77777777" w:rsidR="009B70DF" w:rsidRPr="00DB0B47" w:rsidRDefault="009B70DF" w:rsidP="009B70DF">
      <w:pPr>
        <w:tabs>
          <w:tab w:val="left" w:pos="720"/>
          <w:tab w:val="left" w:pos="1440"/>
          <w:tab w:val="left" w:pos="2160"/>
          <w:tab w:val="left" w:pos="2880"/>
          <w:tab w:val="right" w:leader="dot" w:pos="9187"/>
        </w:tabs>
        <w:spacing w:line="480" w:lineRule="auto"/>
      </w:pPr>
      <w:r>
        <w:tab/>
      </w:r>
      <w:r w:rsidRPr="00DB0B47">
        <w:t>A.</w:t>
      </w:r>
      <w:r w:rsidRPr="00DB0B47">
        <w:tab/>
        <w:t>Staff’s Cost of Capital Recommendation</w:t>
      </w:r>
      <w:r>
        <w:t xml:space="preserve"> </w:t>
      </w:r>
      <w:r>
        <w:tab/>
      </w:r>
      <w:r w:rsidR="00647938">
        <w:t>2</w:t>
      </w:r>
    </w:p>
    <w:p w14:paraId="34EA99EA" w14:textId="77777777" w:rsidR="009B70DF" w:rsidRPr="00DB0B47" w:rsidRDefault="009B70DF" w:rsidP="009B70DF">
      <w:pPr>
        <w:tabs>
          <w:tab w:val="left" w:pos="720"/>
          <w:tab w:val="left" w:pos="1440"/>
          <w:tab w:val="left" w:pos="2160"/>
          <w:tab w:val="left" w:pos="2880"/>
          <w:tab w:val="right" w:leader="dot" w:pos="9187"/>
        </w:tabs>
        <w:spacing w:line="480" w:lineRule="auto"/>
      </w:pPr>
      <w:r>
        <w:tab/>
      </w:r>
      <w:r w:rsidRPr="00DB0B47">
        <w:t>B.</w:t>
      </w:r>
      <w:r w:rsidRPr="00DB0B47">
        <w:tab/>
        <w:t>Comparing Staff and Company Recommendations</w:t>
      </w:r>
      <w:r>
        <w:t xml:space="preserve"> </w:t>
      </w:r>
      <w:r>
        <w:tab/>
      </w:r>
      <w:r w:rsidR="00647938">
        <w:t>3</w:t>
      </w:r>
    </w:p>
    <w:p w14:paraId="34EA99EB" w14:textId="77777777" w:rsidR="009B70DF" w:rsidRPr="00DB0B47" w:rsidRDefault="009B70DF" w:rsidP="009B70DF">
      <w:pPr>
        <w:tabs>
          <w:tab w:val="left" w:pos="720"/>
          <w:tab w:val="left" w:pos="1440"/>
          <w:tab w:val="left" w:pos="2160"/>
          <w:tab w:val="right" w:leader="dot" w:pos="9187"/>
        </w:tabs>
        <w:spacing w:line="480" w:lineRule="auto"/>
      </w:pPr>
      <w:r w:rsidRPr="00DB0B47">
        <w:t>III.</w:t>
      </w:r>
      <w:r w:rsidRPr="00DB0B47">
        <w:tab/>
        <w:t xml:space="preserve">BACKGROUND </w:t>
      </w:r>
      <w:r>
        <w:tab/>
      </w:r>
      <w:r w:rsidR="00647938">
        <w:t>4</w:t>
      </w:r>
    </w:p>
    <w:p w14:paraId="34EA99EC" w14:textId="77777777" w:rsidR="009B70DF" w:rsidRPr="00DB0B47" w:rsidRDefault="009B70DF" w:rsidP="009B70DF">
      <w:pPr>
        <w:tabs>
          <w:tab w:val="left" w:pos="720"/>
          <w:tab w:val="left" w:pos="1440"/>
          <w:tab w:val="left" w:pos="2160"/>
          <w:tab w:val="left" w:pos="2880"/>
          <w:tab w:val="right" w:leader="dot" w:pos="9187"/>
        </w:tabs>
        <w:spacing w:line="480" w:lineRule="auto"/>
      </w:pPr>
      <w:r>
        <w:tab/>
      </w:r>
      <w:r w:rsidRPr="00DB0B47">
        <w:t>A.</w:t>
      </w:r>
      <w:r w:rsidRPr="00DB0B47">
        <w:tab/>
        <w:t>Economic and Legal Principles</w:t>
      </w:r>
      <w:r>
        <w:t xml:space="preserve"> </w:t>
      </w:r>
      <w:r>
        <w:tab/>
      </w:r>
      <w:r w:rsidR="00647938">
        <w:t>6</w:t>
      </w:r>
    </w:p>
    <w:p w14:paraId="34EA99ED" w14:textId="77777777" w:rsidR="009B70DF" w:rsidRPr="00DB0B47" w:rsidRDefault="009B70DF" w:rsidP="009B70DF">
      <w:pPr>
        <w:tabs>
          <w:tab w:val="left" w:pos="720"/>
          <w:tab w:val="left" w:pos="1440"/>
          <w:tab w:val="left" w:pos="2160"/>
          <w:tab w:val="left" w:pos="2880"/>
          <w:tab w:val="right" w:leader="dot" w:pos="9187"/>
        </w:tabs>
        <w:spacing w:line="480" w:lineRule="auto"/>
      </w:pPr>
      <w:r>
        <w:tab/>
      </w:r>
      <w:r w:rsidRPr="00DB0B47">
        <w:t>B.</w:t>
      </w:r>
      <w:r w:rsidRPr="00DB0B47">
        <w:tab/>
        <w:t>General Economic and Financial Conditions</w:t>
      </w:r>
      <w:r>
        <w:t xml:space="preserve"> </w:t>
      </w:r>
      <w:r>
        <w:tab/>
      </w:r>
      <w:r w:rsidR="00647938">
        <w:t>8</w:t>
      </w:r>
    </w:p>
    <w:p w14:paraId="34EA99EE" w14:textId="77777777" w:rsidR="009B70DF" w:rsidRPr="00DB0B47" w:rsidRDefault="009B70DF" w:rsidP="009B70DF">
      <w:pPr>
        <w:tabs>
          <w:tab w:val="left" w:pos="720"/>
          <w:tab w:val="left" w:pos="1440"/>
          <w:tab w:val="left" w:pos="2160"/>
          <w:tab w:val="left" w:pos="2880"/>
          <w:tab w:val="right" w:leader="dot" w:pos="9187"/>
        </w:tabs>
        <w:spacing w:line="480" w:lineRule="auto"/>
        <w:rPr>
          <w:u w:val="single"/>
        </w:rPr>
      </w:pPr>
      <w:r>
        <w:tab/>
        <w:t>C</w:t>
      </w:r>
      <w:r w:rsidRPr="00DB0B47">
        <w:t>.</w:t>
      </w:r>
      <w:r w:rsidRPr="00DB0B47">
        <w:tab/>
        <w:t>Avista’s Operations and Risks</w:t>
      </w:r>
      <w:r>
        <w:t xml:space="preserve"> </w:t>
      </w:r>
      <w:r>
        <w:tab/>
      </w:r>
      <w:r w:rsidR="00647938">
        <w:t>10</w:t>
      </w:r>
    </w:p>
    <w:p w14:paraId="34EA99EF" w14:textId="77777777" w:rsidR="009B70DF" w:rsidRPr="00DB0B47" w:rsidRDefault="009B70DF" w:rsidP="009B70DF">
      <w:pPr>
        <w:tabs>
          <w:tab w:val="left" w:pos="720"/>
          <w:tab w:val="left" w:pos="1440"/>
          <w:tab w:val="left" w:pos="2160"/>
          <w:tab w:val="left" w:pos="2880"/>
          <w:tab w:val="right" w:leader="dot" w:pos="9187"/>
        </w:tabs>
        <w:spacing w:line="480" w:lineRule="auto"/>
        <w:rPr>
          <w:u w:val="single"/>
        </w:rPr>
      </w:pPr>
      <w:r w:rsidRPr="00DB0B47">
        <w:t>IV.</w:t>
      </w:r>
      <w:r w:rsidRPr="00DB0B47">
        <w:tab/>
        <w:t xml:space="preserve">CAPITAL STRUCTURE </w:t>
      </w:r>
      <w:r>
        <w:tab/>
      </w:r>
      <w:r w:rsidR="00647938">
        <w:t>11</w:t>
      </w:r>
    </w:p>
    <w:p w14:paraId="34EA99F0" w14:textId="77777777" w:rsidR="009B70DF" w:rsidRPr="00DB0B47" w:rsidRDefault="009B70DF" w:rsidP="009B70DF">
      <w:pPr>
        <w:tabs>
          <w:tab w:val="left" w:pos="720"/>
          <w:tab w:val="left" w:pos="1440"/>
          <w:tab w:val="left" w:pos="2160"/>
          <w:tab w:val="right" w:leader="dot" w:pos="9187"/>
        </w:tabs>
        <w:spacing w:line="480" w:lineRule="auto"/>
      </w:pPr>
      <w:r>
        <w:tab/>
      </w:r>
      <w:r w:rsidRPr="00DB0B47">
        <w:t>A.</w:t>
      </w:r>
      <w:r w:rsidRPr="00DB0B47">
        <w:tab/>
        <w:t>Equity Ratio</w:t>
      </w:r>
      <w:r>
        <w:t xml:space="preserve"> </w:t>
      </w:r>
      <w:r>
        <w:tab/>
      </w:r>
      <w:r w:rsidR="00647938">
        <w:t>12</w:t>
      </w:r>
    </w:p>
    <w:p w14:paraId="34EA99F1" w14:textId="77777777" w:rsidR="009B70DF" w:rsidRPr="00DB0B47" w:rsidRDefault="009B70DF" w:rsidP="009B70DF">
      <w:pPr>
        <w:tabs>
          <w:tab w:val="left" w:pos="720"/>
          <w:tab w:val="left" w:pos="1440"/>
          <w:tab w:val="left" w:pos="2160"/>
          <w:tab w:val="left" w:pos="2880"/>
          <w:tab w:val="right" w:leader="dot" w:pos="9187"/>
        </w:tabs>
        <w:spacing w:line="480" w:lineRule="auto"/>
      </w:pPr>
      <w:r>
        <w:tab/>
      </w:r>
      <w:r w:rsidRPr="00DB0B47">
        <w:t>B.</w:t>
      </w:r>
      <w:r w:rsidRPr="00DB0B47">
        <w:tab/>
        <w:t>Short-Term Debt Ratio</w:t>
      </w:r>
      <w:r>
        <w:t xml:space="preserve"> </w:t>
      </w:r>
      <w:r>
        <w:tab/>
      </w:r>
      <w:r w:rsidR="00647938">
        <w:t>17</w:t>
      </w:r>
    </w:p>
    <w:p w14:paraId="34EA99F2" w14:textId="1D86A843" w:rsidR="009B70DF" w:rsidRPr="00DB0B47" w:rsidRDefault="009B70DF" w:rsidP="009B70DF">
      <w:pPr>
        <w:tabs>
          <w:tab w:val="left" w:pos="720"/>
          <w:tab w:val="left" w:pos="1440"/>
          <w:tab w:val="left" w:pos="2160"/>
          <w:tab w:val="right" w:leader="dot" w:pos="9187"/>
        </w:tabs>
        <w:spacing w:line="480" w:lineRule="auto"/>
      </w:pPr>
      <w:r w:rsidRPr="00DB0B47">
        <w:t>V.</w:t>
      </w:r>
      <w:r w:rsidRPr="00DB0B47">
        <w:tab/>
        <w:t>COST OF DEBT</w:t>
      </w:r>
      <w:r>
        <w:t xml:space="preserve"> </w:t>
      </w:r>
      <w:r>
        <w:tab/>
      </w:r>
      <w:r w:rsidR="00673EFE">
        <w:t>18</w:t>
      </w:r>
    </w:p>
    <w:p w14:paraId="34EA99F3" w14:textId="0AE9093D" w:rsidR="009B70DF" w:rsidRDefault="009B70DF" w:rsidP="009B70DF">
      <w:pPr>
        <w:tabs>
          <w:tab w:val="left" w:pos="720"/>
          <w:tab w:val="left" w:pos="1440"/>
          <w:tab w:val="left" w:pos="2160"/>
          <w:tab w:val="left" w:pos="2880"/>
          <w:tab w:val="right" w:leader="dot" w:pos="9187"/>
        </w:tabs>
        <w:spacing w:line="480" w:lineRule="auto"/>
      </w:pPr>
      <w:r w:rsidRPr="00DB0B47">
        <w:t>V</w:t>
      </w:r>
      <w:r>
        <w:t>I</w:t>
      </w:r>
      <w:r w:rsidRPr="00DB0B47">
        <w:t>.</w:t>
      </w:r>
      <w:r w:rsidRPr="00DB0B47">
        <w:tab/>
        <w:t>COST OF COMMON EQUITY</w:t>
      </w:r>
      <w:r>
        <w:t xml:space="preserve"> </w:t>
      </w:r>
      <w:r>
        <w:tab/>
      </w:r>
      <w:r w:rsidR="00673EFE">
        <w:t>23</w:t>
      </w:r>
    </w:p>
    <w:p w14:paraId="34EA99F4" w14:textId="77777777" w:rsidR="009B70DF" w:rsidRDefault="009B70DF" w:rsidP="009B70DF">
      <w:pPr>
        <w:tabs>
          <w:tab w:val="left" w:pos="720"/>
          <w:tab w:val="left" w:pos="1440"/>
          <w:tab w:val="left" w:pos="2160"/>
          <w:tab w:val="left" w:pos="2880"/>
          <w:tab w:val="right" w:leader="dot" w:pos="9187"/>
        </w:tabs>
        <w:spacing w:line="480" w:lineRule="auto"/>
      </w:pPr>
      <w:r w:rsidRPr="00DB0B47">
        <w:tab/>
        <w:t>A.</w:t>
      </w:r>
      <w:r w:rsidRPr="00DB0B47">
        <w:tab/>
      </w:r>
      <w:r>
        <w:t xml:space="preserve">Methods for Determining Cost of Equity </w:t>
      </w:r>
      <w:r>
        <w:tab/>
      </w:r>
      <w:r w:rsidR="00647938">
        <w:t>22</w:t>
      </w:r>
    </w:p>
    <w:p w14:paraId="34EA99F5" w14:textId="77777777" w:rsidR="009B70DF" w:rsidRDefault="009B70DF" w:rsidP="009B70DF">
      <w:pPr>
        <w:tabs>
          <w:tab w:val="left" w:pos="720"/>
          <w:tab w:val="left" w:pos="1440"/>
          <w:tab w:val="left" w:pos="2160"/>
          <w:tab w:val="left" w:pos="2880"/>
          <w:tab w:val="right" w:leader="dot" w:pos="9187"/>
        </w:tabs>
        <w:spacing w:line="480" w:lineRule="auto"/>
      </w:pPr>
      <w:r>
        <w:tab/>
      </w:r>
      <w:r>
        <w:tab/>
        <w:t>1.</w:t>
      </w:r>
      <w:r>
        <w:tab/>
        <w:t xml:space="preserve">Discounted Cash Flow Method </w:t>
      </w:r>
      <w:r>
        <w:tab/>
      </w:r>
      <w:r w:rsidR="00647938">
        <w:t>24</w:t>
      </w:r>
    </w:p>
    <w:p w14:paraId="34EA99F6" w14:textId="77777777" w:rsidR="009B70DF" w:rsidRPr="00DB0B47" w:rsidRDefault="009B70DF" w:rsidP="009B70DF">
      <w:pPr>
        <w:tabs>
          <w:tab w:val="left" w:pos="720"/>
          <w:tab w:val="left" w:pos="1440"/>
          <w:tab w:val="left" w:pos="2160"/>
          <w:tab w:val="left" w:pos="2880"/>
          <w:tab w:val="right" w:leader="dot" w:pos="9187"/>
        </w:tabs>
        <w:spacing w:line="480" w:lineRule="auto"/>
      </w:pPr>
      <w:r>
        <w:tab/>
        <w:t>B.</w:t>
      </w:r>
      <w:r>
        <w:tab/>
      </w:r>
      <w:r w:rsidRPr="00DB0B47">
        <w:t>Overall Structure of the Cost of Equity Analysis</w:t>
      </w:r>
      <w:r>
        <w:t xml:space="preserve"> </w:t>
      </w:r>
      <w:r>
        <w:tab/>
      </w:r>
      <w:r w:rsidR="00647938">
        <w:t>25</w:t>
      </w:r>
    </w:p>
    <w:p w14:paraId="34EA99F7" w14:textId="77777777" w:rsidR="009B70DF" w:rsidRPr="00DB0B47" w:rsidRDefault="009B70DF" w:rsidP="009B70DF">
      <w:pPr>
        <w:tabs>
          <w:tab w:val="left" w:pos="720"/>
          <w:tab w:val="left" w:pos="1440"/>
          <w:tab w:val="left" w:pos="2160"/>
          <w:tab w:val="left" w:pos="2880"/>
          <w:tab w:val="right" w:leader="dot" w:pos="9187"/>
        </w:tabs>
        <w:spacing w:line="480" w:lineRule="auto"/>
      </w:pPr>
      <w:r>
        <w:tab/>
        <w:t>C</w:t>
      </w:r>
      <w:r w:rsidRPr="00DB0B47">
        <w:t>.</w:t>
      </w:r>
      <w:r w:rsidRPr="00DB0B47">
        <w:tab/>
        <w:t>Applying the DCF Model</w:t>
      </w:r>
      <w:r>
        <w:t xml:space="preserve"> </w:t>
      </w:r>
      <w:r>
        <w:tab/>
      </w:r>
      <w:r w:rsidR="00647938">
        <w:t>26</w:t>
      </w:r>
    </w:p>
    <w:p w14:paraId="34EA99F8" w14:textId="77777777" w:rsidR="009B70DF" w:rsidRDefault="009B70DF" w:rsidP="009B70DF">
      <w:pPr>
        <w:pStyle w:val="ListParagraph"/>
        <w:tabs>
          <w:tab w:val="left" w:pos="720"/>
          <w:tab w:val="left" w:pos="1440"/>
          <w:tab w:val="left" w:pos="2160"/>
          <w:tab w:val="left" w:pos="2880"/>
          <w:tab w:val="right" w:leader="dot" w:pos="9187"/>
        </w:tabs>
        <w:spacing w:line="480" w:lineRule="auto"/>
        <w:ind w:left="0"/>
      </w:pPr>
      <w:r>
        <w:tab/>
        <w:t>D.</w:t>
      </w:r>
      <w:r>
        <w:tab/>
      </w:r>
      <w:r w:rsidRPr="00DB0B47">
        <w:t>DCF Analysis of Avista Corporation</w:t>
      </w:r>
      <w:r>
        <w:t xml:space="preserve"> </w:t>
      </w:r>
      <w:r>
        <w:tab/>
      </w:r>
      <w:r w:rsidR="00647938">
        <w:t>29</w:t>
      </w:r>
    </w:p>
    <w:p w14:paraId="34EA99F9" w14:textId="77777777" w:rsidR="00647938" w:rsidRDefault="00647938" w:rsidP="009B70DF">
      <w:pPr>
        <w:pStyle w:val="ListParagraph"/>
        <w:tabs>
          <w:tab w:val="left" w:pos="720"/>
          <w:tab w:val="left" w:pos="1440"/>
          <w:tab w:val="left" w:pos="2160"/>
          <w:tab w:val="left" w:pos="2880"/>
          <w:tab w:val="right" w:leader="dot" w:pos="9187"/>
        </w:tabs>
        <w:spacing w:line="480" w:lineRule="auto"/>
        <w:ind w:left="0"/>
      </w:pPr>
      <w:r>
        <w:tab/>
      </w:r>
      <w:r>
        <w:tab/>
        <w:t>1.</w:t>
      </w:r>
      <w:r>
        <w:tab/>
        <w:t xml:space="preserve">Dividend Yield </w:t>
      </w:r>
      <w:r>
        <w:tab/>
        <w:t>29</w:t>
      </w:r>
    </w:p>
    <w:p w14:paraId="34EA99FA" w14:textId="77777777" w:rsidR="00647938" w:rsidRDefault="00647938" w:rsidP="009B70DF">
      <w:pPr>
        <w:pStyle w:val="ListParagraph"/>
        <w:tabs>
          <w:tab w:val="left" w:pos="720"/>
          <w:tab w:val="left" w:pos="1440"/>
          <w:tab w:val="left" w:pos="2160"/>
          <w:tab w:val="left" w:pos="2880"/>
          <w:tab w:val="right" w:leader="dot" w:pos="9187"/>
        </w:tabs>
        <w:spacing w:line="480" w:lineRule="auto"/>
        <w:ind w:left="0"/>
      </w:pPr>
      <w:r>
        <w:tab/>
      </w:r>
      <w:r>
        <w:tab/>
        <w:t>2.</w:t>
      </w:r>
      <w:r>
        <w:tab/>
        <w:t xml:space="preserve">Dividend Growth </w:t>
      </w:r>
      <w:r>
        <w:tab/>
        <w:t>31</w:t>
      </w:r>
    </w:p>
    <w:p w14:paraId="34EA99FB" w14:textId="77777777" w:rsidR="00647938" w:rsidRPr="00DB0B47" w:rsidRDefault="00647938" w:rsidP="009B70DF">
      <w:pPr>
        <w:pStyle w:val="ListParagraph"/>
        <w:tabs>
          <w:tab w:val="left" w:pos="720"/>
          <w:tab w:val="left" w:pos="1440"/>
          <w:tab w:val="left" w:pos="2160"/>
          <w:tab w:val="left" w:pos="2880"/>
          <w:tab w:val="right" w:leader="dot" w:pos="9187"/>
        </w:tabs>
        <w:spacing w:line="480" w:lineRule="auto"/>
        <w:ind w:left="0"/>
      </w:pPr>
      <w:r>
        <w:tab/>
      </w:r>
      <w:r>
        <w:tab/>
        <w:t>3.</w:t>
      </w:r>
      <w:r>
        <w:tab/>
        <w:t xml:space="preserve">Cost of Equity </w:t>
      </w:r>
      <w:r>
        <w:tab/>
        <w:t>34</w:t>
      </w:r>
    </w:p>
    <w:p w14:paraId="34EA99FC" w14:textId="77777777" w:rsidR="009B70DF" w:rsidRPr="00DB0B47" w:rsidRDefault="009B70DF" w:rsidP="009B70DF">
      <w:pPr>
        <w:tabs>
          <w:tab w:val="left" w:pos="720"/>
          <w:tab w:val="left" w:pos="1440"/>
          <w:tab w:val="left" w:pos="2160"/>
          <w:tab w:val="left" w:pos="2880"/>
          <w:tab w:val="right" w:leader="dot" w:pos="9187"/>
        </w:tabs>
        <w:spacing w:line="480" w:lineRule="auto"/>
      </w:pPr>
      <w:r>
        <w:lastRenderedPageBreak/>
        <w:tab/>
        <w:t>E</w:t>
      </w:r>
      <w:r w:rsidRPr="00DB0B47">
        <w:t>.</w:t>
      </w:r>
      <w:r w:rsidRPr="00DB0B47">
        <w:tab/>
        <w:t>DCF Analysis of the Proxy Group</w:t>
      </w:r>
      <w:r>
        <w:t xml:space="preserve"> </w:t>
      </w:r>
      <w:r>
        <w:tab/>
      </w:r>
      <w:r w:rsidR="00647938">
        <w:t>35</w:t>
      </w:r>
    </w:p>
    <w:p w14:paraId="34EA99FD" w14:textId="77777777" w:rsidR="009B70DF" w:rsidRPr="00DB0B47" w:rsidRDefault="009B70DF" w:rsidP="009B70DF">
      <w:pPr>
        <w:pStyle w:val="ListParagraph"/>
        <w:numPr>
          <w:ilvl w:val="0"/>
          <w:numId w:val="28"/>
        </w:numPr>
        <w:tabs>
          <w:tab w:val="left" w:pos="720"/>
          <w:tab w:val="left" w:pos="1440"/>
          <w:tab w:val="left" w:pos="2160"/>
          <w:tab w:val="left" w:pos="2880"/>
          <w:tab w:val="right" w:leader="dot" w:pos="9187"/>
        </w:tabs>
        <w:spacing w:line="480" w:lineRule="auto"/>
        <w:ind w:left="1440" w:firstLine="0"/>
      </w:pPr>
      <w:r w:rsidRPr="00DB0B47">
        <w:t>Selecting the Proxy Group</w:t>
      </w:r>
      <w:r>
        <w:t xml:space="preserve"> </w:t>
      </w:r>
      <w:r>
        <w:tab/>
      </w:r>
      <w:r w:rsidR="00647938">
        <w:t>35</w:t>
      </w:r>
    </w:p>
    <w:p w14:paraId="34EA99FE" w14:textId="77777777" w:rsidR="009B70DF" w:rsidRPr="00DB0B47" w:rsidRDefault="009B70DF" w:rsidP="009B70DF">
      <w:pPr>
        <w:tabs>
          <w:tab w:val="left" w:pos="720"/>
          <w:tab w:val="left" w:pos="1440"/>
          <w:tab w:val="left" w:pos="2160"/>
          <w:tab w:val="left" w:pos="2880"/>
          <w:tab w:val="right" w:leader="dot" w:pos="9187"/>
        </w:tabs>
        <w:spacing w:line="480" w:lineRule="auto"/>
      </w:pPr>
      <w:r>
        <w:tab/>
      </w:r>
      <w:r>
        <w:tab/>
        <w:t>2</w:t>
      </w:r>
      <w:r w:rsidRPr="00DB0B47">
        <w:t>.</w:t>
      </w:r>
      <w:r w:rsidRPr="00DB0B47">
        <w:tab/>
        <w:t>Proxy Group DCF Analysis</w:t>
      </w:r>
      <w:r>
        <w:t xml:space="preserve"> </w:t>
      </w:r>
      <w:r>
        <w:tab/>
      </w:r>
      <w:r w:rsidR="00647938">
        <w:t>37</w:t>
      </w:r>
    </w:p>
    <w:p w14:paraId="34EA99FF" w14:textId="77777777" w:rsidR="009B70DF" w:rsidRPr="00DB0B47" w:rsidRDefault="009B70DF" w:rsidP="009B70DF">
      <w:pPr>
        <w:pStyle w:val="ListParagraph"/>
        <w:tabs>
          <w:tab w:val="left" w:pos="720"/>
          <w:tab w:val="left" w:pos="1440"/>
          <w:tab w:val="left" w:pos="2160"/>
          <w:tab w:val="left" w:pos="2880"/>
          <w:tab w:val="right" w:leader="dot" w:pos="9187"/>
        </w:tabs>
        <w:spacing w:line="480" w:lineRule="auto"/>
        <w:ind w:left="0"/>
      </w:pPr>
      <w:r>
        <w:tab/>
        <w:t>F.</w:t>
      </w:r>
      <w:r>
        <w:tab/>
      </w:r>
      <w:r w:rsidRPr="00DB0B47">
        <w:t>Capital Asset Pricing Model Analysis</w:t>
      </w:r>
      <w:r>
        <w:t xml:space="preserve"> </w:t>
      </w:r>
      <w:r>
        <w:tab/>
      </w:r>
      <w:r w:rsidR="00641B33">
        <w:t>41</w:t>
      </w:r>
    </w:p>
    <w:p w14:paraId="34EA9A00" w14:textId="77777777" w:rsidR="009B70DF" w:rsidRPr="00DB0B47" w:rsidRDefault="009B70DF" w:rsidP="009B70DF">
      <w:pPr>
        <w:tabs>
          <w:tab w:val="left" w:pos="720"/>
          <w:tab w:val="left" w:pos="1440"/>
          <w:tab w:val="left" w:pos="2160"/>
          <w:tab w:val="left" w:pos="2880"/>
          <w:tab w:val="right" w:leader="dot" w:pos="9187"/>
        </w:tabs>
        <w:spacing w:line="480" w:lineRule="auto"/>
      </w:pPr>
      <w:r>
        <w:tab/>
        <w:t>G</w:t>
      </w:r>
      <w:r w:rsidRPr="00DB0B47">
        <w:t xml:space="preserve">. </w:t>
      </w:r>
      <w:r w:rsidRPr="00DB0B47">
        <w:tab/>
        <w:t>Risk Premium Analysis</w:t>
      </w:r>
      <w:r>
        <w:t xml:space="preserve"> </w:t>
      </w:r>
      <w:r>
        <w:tab/>
      </w:r>
      <w:r w:rsidR="00641B33">
        <w:t>42</w:t>
      </w:r>
    </w:p>
    <w:p w14:paraId="34EA9A01" w14:textId="77777777" w:rsidR="009B70DF" w:rsidRPr="00DB0B47" w:rsidRDefault="009B70DF" w:rsidP="009B70DF">
      <w:pPr>
        <w:tabs>
          <w:tab w:val="left" w:pos="720"/>
          <w:tab w:val="left" w:pos="1440"/>
          <w:tab w:val="left" w:pos="2160"/>
          <w:tab w:val="left" w:pos="2880"/>
          <w:tab w:val="right" w:leader="dot" w:pos="9187"/>
        </w:tabs>
        <w:spacing w:line="480" w:lineRule="auto"/>
      </w:pPr>
      <w:r>
        <w:tab/>
        <w:t>H</w:t>
      </w:r>
      <w:r w:rsidRPr="00DB0B47">
        <w:t>.</w:t>
      </w:r>
      <w:r w:rsidRPr="00DB0B47">
        <w:tab/>
        <w:t>Summary of Staff’s Return on Equity Recommendation</w:t>
      </w:r>
      <w:r>
        <w:t xml:space="preserve"> </w:t>
      </w:r>
      <w:r>
        <w:tab/>
      </w:r>
      <w:r w:rsidR="00641B33">
        <w:t>44</w:t>
      </w:r>
    </w:p>
    <w:p w14:paraId="34EA9A02" w14:textId="77777777" w:rsidR="009B70DF" w:rsidRPr="00DB0B47" w:rsidRDefault="009B70DF" w:rsidP="009B70DF">
      <w:pPr>
        <w:tabs>
          <w:tab w:val="left" w:pos="720"/>
          <w:tab w:val="left" w:pos="1440"/>
          <w:tab w:val="left" w:pos="2160"/>
          <w:tab w:val="left" w:pos="2880"/>
          <w:tab w:val="right" w:leader="dot" w:pos="9187"/>
        </w:tabs>
        <w:spacing w:line="480" w:lineRule="auto"/>
      </w:pPr>
      <w:r>
        <w:tab/>
        <w:t>I</w:t>
      </w:r>
      <w:r w:rsidRPr="00DB0B47">
        <w:t>.</w:t>
      </w:r>
      <w:r w:rsidRPr="00DB0B47">
        <w:tab/>
        <w:t>Flotation Cost Recovery</w:t>
      </w:r>
      <w:r>
        <w:t xml:space="preserve"> </w:t>
      </w:r>
      <w:r>
        <w:tab/>
      </w:r>
      <w:r w:rsidR="00641B33">
        <w:t>46</w:t>
      </w:r>
    </w:p>
    <w:p w14:paraId="34EA9A03" w14:textId="77777777" w:rsidR="00DD16CB" w:rsidRDefault="00DD16CB" w:rsidP="009B70DF">
      <w:pPr>
        <w:tabs>
          <w:tab w:val="left" w:pos="720"/>
          <w:tab w:val="left" w:pos="1440"/>
          <w:tab w:val="left" w:pos="2160"/>
          <w:tab w:val="left" w:pos="2880"/>
          <w:tab w:val="right" w:leader="dot" w:pos="9187"/>
        </w:tabs>
        <w:spacing w:line="480" w:lineRule="auto"/>
      </w:pPr>
      <w:r>
        <w:t>VII.</w:t>
      </w:r>
      <w:r>
        <w:tab/>
        <w:t xml:space="preserve">ATTRITION AND THE COST OF CAPITAL </w:t>
      </w:r>
      <w:r>
        <w:tab/>
      </w:r>
      <w:r w:rsidR="00641B33">
        <w:t>49</w:t>
      </w:r>
    </w:p>
    <w:p w14:paraId="34EA9A04" w14:textId="77777777" w:rsidR="00641B33" w:rsidRDefault="00641B33" w:rsidP="009B70DF">
      <w:pPr>
        <w:tabs>
          <w:tab w:val="left" w:pos="720"/>
          <w:tab w:val="left" w:pos="1440"/>
          <w:tab w:val="left" w:pos="2160"/>
          <w:tab w:val="left" w:pos="2880"/>
          <w:tab w:val="right" w:leader="dot" w:pos="9187"/>
        </w:tabs>
        <w:spacing w:line="480" w:lineRule="auto"/>
      </w:pPr>
      <w:r>
        <w:t>VIII.</w:t>
      </w:r>
      <w:r>
        <w:tab/>
        <w:t xml:space="preserve">COST OF CAPITAL IMPACT OF DECOUPLING </w:t>
      </w:r>
      <w:r>
        <w:tab/>
        <w:t>49</w:t>
      </w:r>
    </w:p>
    <w:p w14:paraId="34EA9A05" w14:textId="77777777" w:rsidR="009B70DF" w:rsidRPr="00DB0B47" w:rsidRDefault="00641B33" w:rsidP="009B70DF">
      <w:pPr>
        <w:tabs>
          <w:tab w:val="left" w:pos="720"/>
          <w:tab w:val="left" w:pos="1440"/>
          <w:tab w:val="left" w:pos="2160"/>
          <w:tab w:val="left" w:pos="2880"/>
          <w:tab w:val="right" w:leader="dot" w:pos="9187"/>
        </w:tabs>
        <w:spacing w:line="480" w:lineRule="auto"/>
        <w:rPr>
          <w:u w:val="single"/>
        </w:rPr>
      </w:pPr>
      <w:r>
        <w:t>I</w:t>
      </w:r>
      <w:r w:rsidR="00C3435B">
        <w:t>X</w:t>
      </w:r>
      <w:r w:rsidR="009B70DF" w:rsidRPr="00DB0B47">
        <w:t>.</w:t>
      </w:r>
      <w:r w:rsidR="009B70DF" w:rsidRPr="00DB0B47">
        <w:tab/>
        <w:t>RESPONSE TO COMPANY COST OF CAPITAL TESTIMONY</w:t>
      </w:r>
      <w:r w:rsidR="009B70DF">
        <w:t xml:space="preserve"> </w:t>
      </w:r>
      <w:r w:rsidR="009B70DF">
        <w:tab/>
      </w:r>
      <w:r>
        <w:t>55</w:t>
      </w:r>
    </w:p>
    <w:p w14:paraId="34EA9A06" w14:textId="77777777" w:rsidR="009B70DF" w:rsidRPr="00DB0B47" w:rsidRDefault="009B70DF" w:rsidP="009B70DF">
      <w:pPr>
        <w:tabs>
          <w:tab w:val="left" w:pos="720"/>
          <w:tab w:val="left" w:pos="1440"/>
          <w:tab w:val="left" w:pos="2160"/>
          <w:tab w:val="right" w:leader="dot" w:pos="9187"/>
        </w:tabs>
        <w:spacing w:line="480" w:lineRule="auto"/>
      </w:pPr>
      <w:r>
        <w:tab/>
      </w:r>
      <w:r w:rsidRPr="00DB0B47">
        <w:t>A.</w:t>
      </w:r>
      <w:r w:rsidRPr="00DB0B47">
        <w:tab/>
        <w:t xml:space="preserve">Equity Ratio </w:t>
      </w:r>
      <w:r>
        <w:tab/>
      </w:r>
      <w:r w:rsidR="00641B33">
        <w:t>56</w:t>
      </w:r>
    </w:p>
    <w:p w14:paraId="34EA9A07" w14:textId="77777777" w:rsidR="009B70DF" w:rsidRPr="00DB0B47" w:rsidRDefault="009B70DF" w:rsidP="009B70DF">
      <w:pPr>
        <w:tabs>
          <w:tab w:val="left" w:pos="720"/>
          <w:tab w:val="left" w:pos="1440"/>
          <w:tab w:val="left" w:pos="2160"/>
          <w:tab w:val="left" w:pos="2880"/>
          <w:tab w:val="right" w:leader="dot" w:pos="9187"/>
        </w:tabs>
        <w:spacing w:line="480" w:lineRule="auto"/>
      </w:pPr>
      <w:r>
        <w:tab/>
        <w:t>B</w:t>
      </w:r>
      <w:r w:rsidRPr="00DB0B47">
        <w:t>.</w:t>
      </w:r>
      <w:r w:rsidRPr="00DB0B47">
        <w:tab/>
      </w:r>
      <w:r w:rsidR="00641B33">
        <w:t>Mr. McKenzie’s DCF Results</w:t>
      </w:r>
      <w:r>
        <w:t xml:space="preserve"> </w:t>
      </w:r>
      <w:r>
        <w:tab/>
      </w:r>
      <w:r w:rsidR="00641B33">
        <w:t>61</w:t>
      </w:r>
    </w:p>
    <w:p w14:paraId="34EA9A08" w14:textId="77777777" w:rsidR="009B70DF" w:rsidRDefault="009B70DF" w:rsidP="009B70DF">
      <w:pPr>
        <w:tabs>
          <w:tab w:val="left" w:pos="720"/>
          <w:tab w:val="left" w:pos="1440"/>
          <w:tab w:val="right" w:leader="dot" w:pos="9187"/>
        </w:tabs>
        <w:spacing w:line="480" w:lineRule="auto"/>
      </w:pPr>
      <w:r>
        <w:tab/>
        <w:t>C.</w:t>
      </w:r>
      <w:r>
        <w:tab/>
        <w:t xml:space="preserve">Expected Earnings Approach </w:t>
      </w:r>
      <w:r>
        <w:tab/>
      </w:r>
      <w:r w:rsidR="00641B33">
        <w:t>66</w:t>
      </w:r>
    </w:p>
    <w:p w14:paraId="34EA9A09" w14:textId="77777777" w:rsidR="00641B33" w:rsidRDefault="00641B33" w:rsidP="009B70DF">
      <w:pPr>
        <w:tabs>
          <w:tab w:val="left" w:pos="720"/>
          <w:tab w:val="left" w:pos="1440"/>
          <w:tab w:val="right" w:leader="dot" w:pos="9187"/>
        </w:tabs>
        <w:spacing w:line="480" w:lineRule="auto"/>
      </w:pPr>
      <w:r>
        <w:tab/>
        <w:t>D.</w:t>
      </w:r>
      <w:r>
        <w:tab/>
        <w:t xml:space="preserve">Capital Asset Pricing Model </w:t>
      </w:r>
      <w:r>
        <w:tab/>
        <w:t>67</w:t>
      </w:r>
    </w:p>
    <w:p w14:paraId="34EA9A0A" w14:textId="77777777" w:rsidR="009B70DF" w:rsidRDefault="009B70DF" w:rsidP="009B70DF">
      <w:pPr>
        <w:tabs>
          <w:tab w:val="left" w:pos="720"/>
          <w:tab w:val="left" w:pos="1440"/>
          <w:tab w:val="right" w:leader="dot" w:pos="9187"/>
        </w:tabs>
        <w:spacing w:line="480" w:lineRule="auto"/>
      </w:pPr>
      <w:r>
        <w:t>X.</w:t>
      </w:r>
      <w:r>
        <w:tab/>
      </w:r>
      <w:r w:rsidR="00551941">
        <w:t xml:space="preserve">SUMMARY </w:t>
      </w:r>
      <w:r w:rsidR="00641B33">
        <w:t xml:space="preserve">ON COST OF CAPITAL </w:t>
      </w:r>
      <w:r w:rsidR="00551941">
        <w:tab/>
      </w:r>
      <w:r w:rsidR="00641B33">
        <w:t>68</w:t>
      </w:r>
    </w:p>
    <w:p w14:paraId="34EA9A0B" w14:textId="77777777" w:rsidR="00F56B1C" w:rsidRDefault="00F56B1C" w:rsidP="00F56B1C"/>
    <w:p w14:paraId="34EA9A0C" w14:textId="77777777" w:rsidR="00F56B1C" w:rsidRDefault="00F56B1C" w:rsidP="00F56B1C"/>
    <w:p w14:paraId="34EA9A0D" w14:textId="77777777" w:rsidR="00F56B1C" w:rsidRDefault="0057686C" w:rsidP="0057686C">
      <w:pPr>
        <w:jc w:val="center"/>
      </w:pPr>
      <w:r>
        <w:rPr>
          <w:b/>
        </w:rPr>
        <w:t>LIST OF EXHIBITS</w:t>
      </w:r>
    </w:p>
    <w:p w14:paraId="34EA9A0E" w14:textId="77777777" w:rsidR="0057686C" w:rsidRDefault="0057686C" w:rsidP="0057686C"/>
    <w:p w14:paraId="34EA9A0F" w14:textId="1AFD6C43" w:rsidR="0057686C" w:rsidRDefault="003E6811" w:rsidP="0057686C">
      <w:r>
        <w:t xml:space="preserve">Exhibit No. </w:t>
      </w:r>
      <w:r w:rsidR="00F05074">
        <w:t>___ (</w:t>
      </w:r>
      <w:r>
        <w:t>KLE-</w:t>
      </w:r>
      <w:r w:rsidR="00005361">
        <w:t>2</w:t>
      </w:r>
      <w:r w:rsidR="00F05074">
        <w:t>)</w:t>
      </w:r>
      <w:r w:rsidR="000C4F25">
        <w:t xml:space="preserve"> – E</w:t>
      </w:r>
      <w:r w:rsidR="0057686C">
        <w:t>xperience and Qualification</w:t>
      </w:r>
      <w:r w:rsidR="00244609">
        <w:t>s</w:t>
      </w:r>
      <w:r w:rsidR="0057686C">
        <w:t xml:space="preserve"> </w:t>
      </w:r>
    </w:p>
    <w:p w14:paraId="34EA9A10" w14:textId="29DF17DC" w:rsidR="000B5FEE" w:rsidRDefault="000B5FEE" w:rsidP="00E03B82">
      <w:r>
        <w:t xml:space="preserve">Exhibit No. </w:t>
      </w:r>
      <w:r w:rsidR="00F05074">
        <w:t>___ (</w:t>
      </w:r>
      <w:r>
        <w:t>KLE-</w:t>
      </w:r>
      <w:r w:rsidR="00790E38">
        <w:t>3)</w:t>
      </w:r>
      <w:r w:rsidR="000C4F25">
        <w:t xml:space="preserve"> – </w:t>
      </w:r>
      <w:r>
        <w:t>Avista Cost of Debt</w:t>
      </w:r>
    </w:p>
    <w:p w14:paraId="34EA9A11" w14:textId="77777777" w:rsidR="00005361" w:rsidRDefault="00790E38" w:rsidP="0057686C">
      <w:r>
        <w:t>Exhibit No. ___ (KLE-4</w:t>
      </w:r>
      <w:r w:rsidR="00005361">
        <w:t xml:space="preserve">) – Standard &amp; Poor’s </w:t>
      </w:r>
      <w:proofErr w:type="spellStart"/>
      <w:r w:rsidR="0002420F">
        <w:t>RatingsDirect</w:t>
      </w:r>
      <w:proofErr w:type="spellEnd"/>
      <w:r w:rsidR="0002420F">
        <w:t>: Avista May 9, 2014</w:t>
      </w:r>
    </w:p>
    <w:p w14:paraId="34EA9A12" w14:textId="77777777" w:rsidR="00B1726B" w:rsidRDefault="00B1726B" w:rsidP="0057686C">
      <w:r>
        <w:t>Exhibit No. ___ (</w:t>
      </w:r>
      <w:r w:rsidR="00EF56E4">
        <w:t>KLE-5</w:t>
      </w:r>
      <w:r>
        <w:t>) –Value Line, Avista Corporation, November 1, 2013</w:t>
      </w:r>
    </w:p>
    <w:p w14:paraId="34EA9A13" w14:textId="77777777" w:rsidR="00005361" w:rsidRDefault="00005361" w:rsidP="0057686C">
      <w:r>
        <w:t>Exhibit No. ___ (KLE-</w:t>
      </w:r>
      <w:r w:rsidR="00B1726B">
        <w:t>6</w:t>
      </w:r>
      <w:r>
        <w:t xml:space="preserve">) – </w:t>
      </w:r>
      <w:r w:rsidR="00925156">
        <w:t>Calculation</w:t>
      </w:r>
      <w:r>
        <w:t xml:space="preserve"> of Cost of Capital for Full Decoupling</w:t>
      </w:r>
    </w:p>
    <w:p w14:paraId="08027E28" w14:textId="44341BDF" w:rsidR="00C20AD0" w:rsidRDefault="00C20AD0" w:rsidP="0057686C">
      <w:r>
        <w:t>Exhibit No. ___ (KLE-7) – Selected Historical Financial Data-Avista Corporation</w:t>
      </w:r>
    </w:p>
    <w:p w14:paraId="34EA9A14" w14:textId="4AEDAAC3" w:rsidR="00A46D58" w:rsidRDefault="00ED3E26" w:rsidP="00A46D58">
      <w:r>
        <w:t>Exhibit No. ___ (KLE-</w:t>
      </w:r>
      <w:r w:rsidR="00C20AD0">
        <w:t>8</w:t>
      </w:r>
      <w:r w:rsidR="00A46D58">
        <w:t>) – Avista Corporation Historical Stock Prices</w:t>
      </w:r>
    </w:p>
    <w:p w14:paraId="34EA9A15" w14:textId="77777777" w:rsidR="00A46D58" w:rsidRDefault="00A46D58" w:rsidP="0057686C"/>
    <w:p w14:paraId="34EA9A16" w14:textId="77777777" w:rsidR="00F31CB4" w:rsidRDefault="00F31CB4" w:rsidP="0057686C"/>
    <w:p w14:paraId="34EA9A17" w14:textId="77777777" w:rsidR="00F56B1C" w:rsidRDefault="00F56B1C" w:rsidP="00F56B1C"/>
    <w:p w14:paraId="34EA9A18" w14:textId="77777777" w:rsidR="00F56B1C" w:rsidRDefault="00F56B1C" w:rsidP="005D3B74">
      <w:pPr>
        <w:tabs>
          <w:tab w:val="left" w:pos="720"/>
          <w:tab w:val="right" w:leader="dot" w:pos="8640"/>
          <w:tab w:val="left" w:pos="9240"/>
        </w:tabs>
        <w:spacing w:line="480" w:lineRule="auto"/>
        <w:jc w:val="center"/>
        <w:rPr>
          <w:b/>
        </w:rPr>
        <w:sectPr w:rsidR="00F56B1C" w:rsidSect="00F56B1C">
          <w:footerReference w:type="default" r:id="rId14"/>
          <w:pgSz w:w="12240" w:h="15840" w:code="1"/>
          <w:pgMar w:top="1440" w:right="1440" w:bottom="1440" w:left="1872" w:header="720" w:footer="720" w:gutter="0"/>
          <w:pgNumType w:fmt="lowerRoman"/>
          <w:cols w:space="720"/>
          <w:docGrid w:linePitch="360"/>
        </w:sectPr>
      </w:pPr>
    </w:p>
    <w:p w14:paraId="34EA9A19" w14:textId="77777777" w:rsidR="005D3B74" w:rsidRDefault="005D3B74" w:rsidP="005D3B74">
      <w:pPr>
        <w:tabs>
          <w:tab w:val="left" w:pos="720"/>
          <w:tab w:val="right" w:leader="dot" w:pos="8640"/>
          <w:tab w:val="left" w:pos="9240"/>
        </w:tabs>
        <w:spacing w:line="480" w:lineRule="auto"/>
        <w:jc w:val="center"/>
        <w:rPr>
          <w:b/>
          <w:u w:val="single"/>
        </w:rPr>
      </w:pPr>
      <w:r>
        <w:rPr>
          <w:b/>
        </w:rPr>
        <w:lastRenderedPageBreak/>
        <w:t>I.</w:t>
      </w:r>
      <w:r>
        <w:rPr>
          <w:b/>
        </w:rPr>
        <w:tab/>
      </w:r>
      <w:r w:rsidRPr="006F292D">
        <w:rPr>
          <w:b/>
        </w:rPr>
        <w:t>INTRODUCTION</w:t>
      </w:r>
    </w:p>
    <w:p w14:paraId="34EA9A1A" w14:textId="77777777" w:rsidR="005D3B74" w:rsidRDefault="005D3B74" w:rsidP="005D3B74">
      <w:pPr>
        <w:tabs>
          <w:tab w:val="left" w:pos="720"/>
          <w:tab w:val="right" w:leader="dot" w:pos="8640"/>
          <w:tab w:val="left" w:pos="9240"/>
        </w:tabs>
        <w:spacing w:line="480" w:lineRule="auto"/>
        <w:jc w:val="both"/>
        <w:rPr>
          <w:b/>
          <w:u w:val="single"/>
        </w:rPr>
      </w:pPr>
    </w:p>
    <w:p w14:paraId="34EA9A1B" w14:textId="77777777" w:rsidR="005D3B74" w:rsidRDefault="005D3B74" w:rsidP="005D3B74">
      <w:pPr>
        <w:tabs>
          <w:tab w:val="left" w:pos="720"/>
          <w:tab w:val="right" w:leader="dot" w:pos="8640"/>
          <w:tab w:val="left" w:pos="9240"/>
        </w:tabs>
        <w:spacing w:line="480" w:lineRule="auto"/>
        <w:rPr>
          <w:b/>
        </w:rPr>
      </w:pPr>
      <w:r>
        <w:rPr>
          <w:b/>
        </w:rPr>
        <w:t>Q.</w:t>
      </w:r>
      <w:r>
        <w:rPr>
          <w:b/>
        </w:rPr>
        <w:tab/>
        <w:t>Please state your name, occupation, and business address.</w:t>
      </w:r>
    </w:p>
    <w:p w14:paraId="34EA9A1C" w14:textId="77777777" w:rsidR="005D3B74" w:rsidRDefault="005D3B74" w:rsidP="005D3B74">
      <w:pPr>
        <w:tabs>
          <w:tab w:val="left" w:pos="720"/>
          <w:tab w:val="left" w:pos="1440"/>
          <w:tab w:val="right" w:leader="dot" w:pos="8640"/>
          <w:tab w:val="left" w:pos="9240"/>
        </w:tabs>
        <w:spacing w:line="480" w:lineRule="auto"/>
        <w:ind w:left="720" w:hanging="720"/>
      </w:pPr>
      <w:r>
        <w:t>A.</w:t>
      </w:r>
      <w:r>
        <w:tab/>
        <w:t xml:space="preserve">My name is Kenneth L. Elgin.  I am a senior financial analyst for the </w:t>
      </w:r>
      <w:r w:rsidRPr="00572A89">
        <w:t>Washington Utilities &amp; Transportation Commission</w:t>
      </w:r>
      <w:r>
        <w:t xml:space="preserve">.  My business address is, Richard </w:t>
      </w:r>
      <w:proofErr w:type="spellStart"/>
      <w:r>
        <w:t>Hemstad</w:t>
      </w:r>
      <w:proofErr w:type="spellEnd"/>
      <w:r>
        <w:t xml:space="preserve"> Building, S. 1300 Evergreen Park Drive SW, Olympia, Washington 98504.</w:t>
      </w:r>
    </w:p>
    <w:p w14:paraId="34EA9A1D" w14:textId="77777777" w:rsidR="005D3B74" w:rsidRDefault="005D3B74" w:rsidP="005D3B74">
      <w:pPr>
        <w:tabs>
          <w:tab w:val="left" w:pos="720"/>
          <w:tab w:val="right" w:leader="dot" w:pos="8640"/>
          <w:tab w:val="left" w:pos="9240"/>
        </w:tabs>
        <w:spacing w:line="480" w:lineRule="auto"/>
        <w:ind w:left="720" w:hanging="720"/>
      </w:pPr>
    </w:p>
    <w:p w14:paraId="34EA9A1E" w14:textId="77777777" w:rsidR="005D3B74" w:rsidRDefault="005D3B74" w:rsidP="005D3B74">
      <w:pPr>
        <w:tabs>
          <w:tab w:val="left" w:pos="720"/>
          <w:tab w:val="right" w:leader="dot" w:pos="8640"/>
          <w:tab w:val="left" w:pos="9240"/>
        </w:tabs>
        <w:spacing w:line="480" w:lineRule="auto"/>
        <w:ind w:left="720" w:hanging="720"/>
        <w:rPr>
          <w:b/>
        </w:rPr>
      </w:pPr>
      <w:r>
        <w:rPr>
          <w:b/>
        </w:rPr>
        <w:t>Q.</w:t>
      </w:r>
      <w:r>
        <w:rPr>
          <w:b/>
        </w:rPr>
        <w:tab/>
        <w:t>Please summarize your educational background and professional experience.</w:t>
      </w:r>
    </w:p>
    <w:p w14:paraId="34EA9A1F" w14:textId="77777777" w:rsidR="005D3B74" w:rsidRDefault="005D3B74" w:rsidP="005D3B74">
      <w:pPr>
        <w:tabs>
          <w:tab w:val="left" w:pos="720"/>
          <w:tab w:val="left" w:pos="1440"/>
          <w:tab w:val="right" w:leader="dot" w:pos="8640"/>
          <w:tab w:val="left" w:pos="9240"/>
        </w:tabs>
        <w:spacing w:line="480" w:lineRule="auto"/>
        <w:ind w:left="720" w:hanging="720"/>
      </w:pPr>
      <w:r>
        <w:t>A.</w:t>
      </w:r>
      <w:r>
        <w:tab/>
        <w:t xml:space="preserve">I earned a B.A. degree in 1974 from University of Puget Sound and an M.B.A.in 1980 from Washington State University.  I have been employed by the Commission in several different capacities since 1985.  My </w:t>
      </w:r>
      <w:r w:rsidR="00993DA9">
        <w:t xml:space="preserve">regulatory </w:t>
      </w:r>
      <w:r>
        <w:t xml:space="preserve">experience is more fully described in Exhibit No. </w:t>
      </w:r>
      <w:r w:rsidR="008F4356">
        <w:t>___ (</w:t>
      </w:r>
      <w:r>
        <w:t>KLE-2</w:t>
      </w:r>
      <w:r w:rsidR="008F4356">
        <w:t>)</w:t>
      </w:r>
      <w:r>
        <w:t>.</w:t>
      </w:r>
    </w:p>
    <w:p w14:paraId="34EA9A20" w14:textId="77777777" w:rsidR="005D3B74" w:rsidRDefault="005D3B74" w:rsidP="005D3B74">
      <w:pPr>
        <w:tabs>
          <w:tab w:val="left" w:pos="720"/>
          <w:tab w:val="right" w:leader="dot" w:pos="8640"/>
          <w:tab w:val="left" w:pos="9240"/>
        </w:tabs>
        <w:spacing w:line="480" w:lineRule="auto"/>
        <w:ind w:left="720" w:hanging="720"/>
      </w:pPr>
    </w:p>
    <w:p w14:paraId="34EA9A21" w14:textId="77777777" w:rsidR="005D3B74" w:rsidRDefault="005D3B74" w:rsidP="005D3B74">
      <w:pPr>
        <w:tabs>
          <w:tab w:val="left" w:pos="720"/>
          <w:tab w:val="right" w:leader="dot" w:pos="8640"/>
          <w:tab w:val="left" w:pos="9240"/>
        </w:tabs>
        <w:spacing w:line="480" w:lineRule="auto"/>
        <w:ind w:left="720" w:hanging="720"/>
        <w:rPr>
          <w:b/>
        </w:rPr>
      </w:pPr>
      <w:r>
        <w:rPr>
          <w:b/>
        </w:rPr>
        <w:t>Q.</w:t>
      </w:r>
      <w:r>
        <w:rPr>
          <w:b/>
        </w:rPr>
        <w:tab/>
        <w:t>What is the purpose of your testimony in this proceeding?</w:t>
      </w:r>
    </w:p>
    <w:p w14:paraId="34EA9A22" w14:textId="77777777" w:rsidR="00050F23" w:rsidRPr="00AE09CC" w:rsidRDefault="005D3B74" w:rsidP="00AE09CC">
      <w:pPr>
        <w:tabs>
          <w:tab w:val="left" w:pos="720"/>
          <w:tab w:val="left" w:pos="1440"/>
          <w:tab w:val="right" w:leader="dot" w:pos="8640"/>
          <w:tab w:val="left" w:pos="9240"/>
        </w:tabs>
        <w:spacing w:line="480" w:lineRule="auto"/>
        <w:ind w:left="720" w:hanging="720"/>
      </w:pPr>
      <w:r>
        <w:t>A.</w:t>
      </w:r>
      <w:r>
        <w:tab/>
        <w:t xml:space="preserve">The purpose of </w:t>
      </w:r>
      <w:r w:rsidR="003E6811">
        <w:t>my</w:t>
      </w:r>
      <w:r>
        <w:t xml:space="preserve"> testimony is to provide the Commission with a recommendation for the fair rate of return (cost of capital) for </w:t>
      </w:r>
      <w:r w:rsidR="00300C21">
        <w:t>Avista Utilities</w:t>
      </w:r>
      <w:r>
        <w:t xml:space="preserve"> (</w:t>
      </w:r>
      <w:r w:rsidR="00300C21">
        <w:t>“Avista”</w:t>
      </w:r>
      <w:r>
        <w:t xml:space="preserve">). </w:t>
      </w:r>
      <w:r w:rsidR="00FA191E">
        <w:t xml:space="preserve"> I also provid</w:t>
      </w:r>
      <w:r w:rsidR="00BA476F">
        <w:t>e</w:t>
      </w:r>
      <w:r w:rsidR="00FA191E">
        <w:t xml:space="preserve"> a recommendation for adjusting the cost of capital </w:t>
      </w:r>
      <w:r w:rsidR="00993DA9">
        <w:t>to account for</w:t>
      </w:r>
      <w:r w:rsidR="00FA191E">
        <w:t xml:space="preserve"> </w:t>
      </w:r>
      <w:r w:rsidR="00222123">
        <w:t xml:space="preserve">Staff’s </w:t>
      </w:r>
      <w:r w:rsidR="00FA191E">
        <w:t xml:space="preserve"> decoupling proposal. </w:t>
      </w:r>
      <w:r w:rsidR="00222123">
        <w:t xml:space="preserve"> </w:t>
      </w:r>
      <w:r w:rsidR="00213E1C">
        <w:t>F</w:t>
      </w:r>
      <w:r w:rsidR="00993DA9">
        <w:t>ull</w:t>
      </w:r>
      <w:r w:rsidR="00222123">
        <w:t xml:space="preserve"> d</w:t>
      </w:r>
      <w:r w:rsidR="00FA191E">
        <w:t>ecoupling</w:t>
      </w:r>
      <w:r w:rsidR="00222123">
        <w:t xml:space="preserve"> </w:t>
      </w:r>
      <w:r w:rsidR="00993DA9">
        <w:t xml:space="preserve">of Avista’s </w:t>
      </w:r>
      <w:r w:rsidR="00FA191E">
        <w:t>revenues from energy sales</w:t>
      </w:r>
      <w:r w:rsidR="00BA476F">
        <w:t>,</w:t>
      </w:r>
      <w:r w:rsidR="00222123">
        <w:t xml:space="preserve"> as proposed by Staff</w:t>
      </w:r>
      <w:r w:rsidR="00BA476F">
        <w:t>,</w:t>
      </w:r>
      <w:r w:rsidR="00FA191E">
        <w:t xml:space="preserve"> </w:t>
      </w:r>
      <w:r w:rsidR="00BA476F">
        <w:t xml:space="preserve">transfers </w:t>
      </w:r>
      <w:r w:rsidR="00FA191E">
        <w:t>risk of</w:t>
      </w:r>
      <w:r w:rsidR="00213E1C">
        <w:t xml:space="preserve"> revenue variations of</w:t>
      </w:r>
      <w:r w:rsidR="00FA191E">
        <w:t xml:space="preserve"> </w:t>
      </w:r>
      <w:r w:rsidR="00AB3B8C">
        <w:t>the regulated</w:t>
      </w:r>
      <w:r w:rsidR="00FA191E">
        <w:t xml:space="preserve"> electric and gas operations</w:t>
      </w:r>
      <w:r w:rsidR="00ED3E26">
        <w:t xml:space="preserve"> from shareholders</w:t>
      </w:r>
      <w:r w:rsidR="00993DA9">
        <w:t xml:space="preserve"> to customers.  </w:t>
      </w:r>
      <w:r w:rsidR="00BA476F">
        <w:t xml:space="preserve">Avista’s </w:t>
      </w:r>
      <w:r w:rsidR="00FA191E">
        <w:t xml:space="preserve">profit should </w:t>
      </w:r>
      <w:r w:rsidR="00993DA9">
        <w:t xml:space="preserve">be reduced to </w:t>
      </w:r>
      <w:r w:rsidR="00BA476F">
        <w:t xml:space="preserve">take into account that risk </w:t>
      </w:r>
      <w:r w:rsidR="00E53CA3">
        <w:t>shifting</w:t>
      </w:r>
      <w:r w:rsidR="00FA191E">
        <w:t>.</w:t>
      </w:r>
    </w:p>
    <w:p w14:paraId="34EA9A23" w14:textId="77777777" w:rsidR="00DF2B20" w:rsidRDefault="00DF2B20" w:rsidP="005D3B74">
      <w:pPr>
        <w:tabs>
          <w:tab w:val="left" w:pos="720"/>
          <w:tab w:val="left" w:pos="1440"/>
          <w:tab w:val="right" w:leader="dot" w:pos="8640"/>
          <w:tab w:val="left" w:pos="9240"/>
        </w:tabs>
        <w:spacing w:line="480" w:lineRule="auto"/>
        <w:ind w:left="720" w:hanging="720"/>
      </w:pPr>
    </w:p>
    <w:p w14:paraId="34EA9A24" w14:textId="77777777" w:rsidR="005D3B74" w:rsidRDefault="005D3B74" w:rsidP="003D75B3">
      <w:pPr>
        <w:keepNext/>
        <w:tabs>
          <w:tab w:val="left" w:pos="720"/>
          <w:tab w:val="right" w:leader="dot" w:pos="8640"/>
          <w:tab w:val="left" w:pos="9240"/>
        </w:tabs>
        <w:spacing w:line="480" w:lineRule="auto"/>
        <w:jc w:val="center"/>
        <w:rPr>
          <w:b/>
          <w:u w:val="single"/>
        </w:rPr>
      </w:pPr>
      <w:r>
        <w:rPr>
          <w:b/>
        </w:rPr>
        <w:lastRenderedPageBreak/>
        <w:t>II.</w:t>
      </w:r>
      <w:r>
        <w:rPr>
          <w:b/>
        </w:rPr>
        <w:tab/>
      </w:r>
      <w:r w:rsidR="00BA050C">
        <w:rPr>
          <w:b/>
        </w:rPr>
        <w:t xml:space="preserve">COST OF CAPITAL </w:t>
      </w:r>
      <w:r>
        <w:rPr>
          <w:b/>
        </w:rPr>
        <w:t>SUMMARY</w:t>
      </w:r>
    </w:p>
    <w:p w14:paraId="34EA9A25" w14:textId="77777777" w:rsidR="005D3B74" w:rsidRDefault="005D3B74" w:rsidP="003D75B3">
      <w:pPr>
        <w:keepNext/>
        <w:tabs>
          <w:tab w:val="left" w:pos="720"/>
          <w:tab w:val="right" w:leader="dot" w:pos="8640"/>
          <w:tab w:val="left" w:pos="9240"/>
        </w:tabs>
        <w:spacing w:line="480" w:lineRule="auto"/>
        <w:ind w:left="720" w:hanging="720"/>
        <w:rPr>
          <w:b/>
        </w:rPr>
      </w:pPr>
    </w:p>
    <w:p w14:paraId="34EA9A26" w14:textId="77777777" w:rsidR="005D3B74" w:rsidRPr="00131071" w:rsidRDefault="00C91725" w:rsidP="00E5511E">
      <w:pPr>
        <w:keepNext/>
        <w:spacing w:line="480" w:lineRule="auto"/>
        <w:rPr>
          <w:b/>
        </w:rPr>
      </w:pPr>
      <w:r>
        <w:rPr>
          <w:b/>
        </w:rPr>
        <w:tab/>
      </w:r>
      <w:r w:rsidR="00131071">
        <w:rPr>
          <w:b/>
        </w:rPr>
        <w:t>A.</w:t>
      </w:r>
      <w:r w:rsidR="00131071">
        <w:rPr>
          <w:b/>
        </w:rPr>
        <w:tab/>
      </w:r>
      <w:r w:rsidR="005D3B74" w:rsidRPr="00131071">
        <w:rPr>
          <w:b/>
        </w:rPr>
        <w:t>Staff</w:t>
      </w:r>
      <w:r w:rsidR="00A15099">
        <w:rPr>
          <w:b/>
        </w:rPr>
        <w:t>’s</w:t>
      </w:r>
      <w:r w:rsidR="005D3B74" w:rsidRPr="00131071">
        <w:rPr>
          <w:b/>
        </w:rPr>
        <w:t xml:space="preserve"> Cost of Capital Recommendation</w:t>
      </w:r>
    </w:p>
    <w:p w14:paraId="34EA9A27" w14:textId="77777777" w:rsidR="005D3B74" w:rsidRDefault="005D3B74" w:rsidP="003D75B3">
      <w:pPr>
        <w:keepNext/>
        <w:tabs>
          <w:tab w:val="left" w:pos="720"/>
          <w:tab w:val="right" w:leader="dot" w:pos="8640"/>
          <w:tab w:val="left" w:pos="9240"/>
        </w:tabs>
        <w:spacing w:line="480" w:lineRule="auto"/>
        <w:ind w:left="720" w:hanging="720"/>
        <w:rPr>
          <w:b/>
        </w:rPr>
      </w:pPr>
    </w:p>
    <w:p w14:paraId="34EA9A28" w14:textId="77777777" w:rsidR="005D3B74" w:rsidRDefault="005D3B74" w:rsidP="005D3B74">
      <w:pPr>
        <w:tabs>
          <w:tab w:val="left" w:pos="720"/>
          <w:tab w:val="right" w:leader="dot" w:pos="8640"/>
          <w:tab w:val="left" w:pos="9240"/>
        </w:tabs>
        <w:spacing w:line="480" w:lineRule="auto"/>
        <w:ind w:left="720" w:hanging="720"/>
        <w:rPr>
          <w:b/>
        </w:rPr>
      </w:pPr>
      <w:r>
        <w:rPr>
          <w:b/>
        </w:rPr>
        <w:t>Q.</w:t>
      </w:r>
      <w:r>
        <w:rPr>
          <w:b/>
        </w:rPr>
        <w:tab/>
        <w:t xml:space="preserve">What is the overall cost of capital for the regulated operations of </w:t>
      </w:r>
      <w:r w:rsidR="00300C21">
        <w:rPr>
          <w:b/>
        </w:rPr>
        <w:t>Avista</w:t>
      </w:r>
      <w:r w:rsidR="00BB1A95">
        <w:rPr>
          <w:b/>
        </w:rPr>
        <w:t xml:space="preserve"> Corporation </w:t>
      </w:r>
      <w:r w:rsidR="00ED3E26">
        <w:rPr>
          <w:b/>
        </w:rPr>
        <w:t>before considering the effects of</w:t>
      </w:r>
      <w:r w:rsidR="00BB1A95">
        <w:rPr>
          <w:b/>
        </w:rPr>
        <w:t xml:space="preserve"> full decoupling</w:t>
      </w:r>
      <w:r>
        <w:rPr>
          <w:b/>
        </w:rPr>
        <w:t>?</w:t>
      </w:r>
    </w:p>
    <w:p w14:paraId="34EA9A29" w14:textId="77777777" w:rsidR="005D3B74" w:rsidRDefault="005D3B74" w:rsidP="005D3B74">
      <w:pPr>
        <w:tabs>
          <w:tab w:val="left" w:pos="720"/>
          <w:tab w:val="left" w:pos="1440"/>
          <w:tab w:val="right" w:leader="dot" w:pos="8640"/>
          <w:tab w:val="left" w:pos="9240"/>
        </w:tabs>
        <w:spacing w:line="480" w:lineRule="auto"/>
        <w:ind w:left="720" w:hanging="720"/>
      </w:pPr>
      <w:r>
        <w:t>A.</w:t>
      </w:r>
      <w:r>
        <w:tab/>
      </w:r>
      <w:r w:rsidR="00BB1A95">
        <w:t>T</w:t>
      </w:r>
      <w:r>
        <w:t xml:space="preserve">he overall cost of capital for </w:t>
      </w:r>
      <w:r w:rsidR="00406131">
        <w:t>Avista</w:t>
      </w:r>
      <w:r w:rsidR="00BB1A95">
        <w:t xml:space="preserve"> Corporation</w:t>
      </w:r>
      <w:r w:rsidR="00406131">
        <w:t>’s</w:t>
      </w:r>
      <w:r>
        <w:t xml:space="preserve"> regulated </w:t>
      </w:r>
      <w:r w:rsidR="00A92D83">
        <w:t xml:space="preserve">utility </w:t>
      </w:r>
      <w:r>
        <w:t xml:space="preserve">operations is </w:t>
      </w:r>
      <w:r w:rsidR="00AB3B8C" w:rsidRPr="002C671D">
        <w:t>6.9</w:t>
      </w:r>
      <w:r w:rsidR="003A70C0">
        <w:t>0</w:t>
      </w:r>
      <w:r>
        <w:t xml:space="preserve"> percent</w:t>
      </w:r>
      <w:r w:rsidR="00C257C0">
        <w:t xml:space="preserve">.  The following table shows </w:t>
      </w:r>
      <w:r>
        <w:t xml:space="preserve">the capital structure and cost rates: </w:t>
      </w:r>
    </w:p>
    <w:p w14:paraId="34EA9A2A" w14:textId="77777777" w:rsidR="00431956" w:rsidRDefault="00431956" w:rsidP="005D3B74">
      <w:pPr>
        <w:tabs>
          <w:tab w:val="left" w:pos="720"/>
          <w:tab w:val="left" w:pos="1440"/>
          <w:tab w:val="right" w:leader="dot" w:pos="8640"/>
          <w:tab w:val="left" w:pos="9240"/>
        </w:tabs>
        <w:spacing w:line="480" w:lineRule="auto"/>
        <w:ind w:left="720" w:hanging="720"/>
      </w:pPr>
    </w:p>
    <w:p w14:paraId="34EA9A2B" w14:textId="77777777" w:rsidR="00D60641" w:rsidRPr="008C7271" w:rsidRDefault="00D60641" w:rsidP="005D3B74">
      <w:pPr>
        <w:tabs>
          <w:tab w:val="left" w:pos="720"/>
          <w:tab w:val="left" w:pos="1440"/>
          <w:tab w:val="right" w:leader="dot" w:pos="8640"/>
          <w:tab w:val="left" w:pos="9240"/>
        </w:tabs>
        <w:spacing w:line="480" w:lineRule="auto"/>
        <w:ind w:left="720" w:hanging="720"/>
        <w:rPr>
          <w:b/>
          <w:u w:val="single"/>
        </w:rPr>
      </w:pPr>
      <w:r>
        <w:tab/>
      </w:r>
      <w:r>
        <w:tab/>
      </w:r>
      <w:r w:rsidRPr="00646538">
        <w:rPr>
          <w:b/>
        </w:rPr>
        <w:t>Component          Percent                Cost                   Weighted Cost</w:t>
      </w:r>
    </w:p>
    <w:p w14:paraId="34EA9A2C" w14:textId="77777777" w:rsidR="00D60641" w:rsidRDefault="00D60641" w:rsidP="005D3B74">
      <w:pPr>
        <w:tabs>
          <w:tab w:val="left" w:pos="720"/>
          <w:tab w:val="left" w:pos="1440"/>
          <w:tab w:val="right" w:leader="dot" w:pos="8640"/>
          <w:tab w:val="left" w:pos="9240"/>
        </w:tabs>
        <w:spacing w:line="480" w:lineRule="auto"/>
        <w:ind w:left="720" w:hanging="720"/>
      </w:pPr>
      <w:r>
        <w:tab/>
      </w:r>
      <w:r>
        <w:tab/>
        <w:t xml:space="preserve">Total debt              </w:t>
      </w:r>
      <w:r w:rsidR="0007721D">
        <w:t xml:space="preserve">   54</w:t>
      </w:r>
      <w:r>
        <w:t>.00                 5.</w:t>
      </w:r>
      <w:r w:rsidR="0081359B">
        <w:t>32</w:t>
      </w:r>
      <w:r>
        <w:t xml:space="preserve">%                        </w:t>
      </w:r>
      <w:r w:rsidR="00FA191E">
        <w:t>2.</w:t>
      </w:r>
      <w:r w:rsidR="0081359B">
        <w:t>87</w:t>
      </w:r>
      <w:r>
        <w:t>%</w:t>
      </w:r>
    </w:p>
    <w:p w14:paraId="34EA9A2D" w14:textId="77777777" w:rsidR="00D60641" w:rsidRDefault="00D60641" w:rsidP="005D3B74">
      <w:pPr>
        <w:tabs>
          <w:tab w:val="left" w:pos="720"/>
          <w:tab w:val="left" w:pos="1440"/>
          <w:tab w:val="right" w:leader="dot" w:pos="8640"/>
          <w:tab w:val="left" w:pos="9240"/>
        </w:tabs>
        <w:spacing w:line="480" w:lineRule="auto"/>
        <w:ind w:left="720" w:hanging="720"/>
      </w:pPr>
      <w:r>
        <w:tab/>
      </w:r>
      <w:r>
        <w:tab/>
        <w:t xml:space="preserve">Common </w:t>
      </w:r>
      <w:r w:rsidR="00BA476F">
        <w:t>Equity</w:t>
      </w:r>
      <w:r w:rsidR="0007721D">
        <w:t xml:space="preserve">       46</w:t>
      </w:r>
      <w:r w:rsidR="00DF2B20">
        <w:t xml:space="preserve">.00                 </w:t>
      </w:r>
      <w:r w:rsidR="00AB3B8C">
        <w:t>8.75</w:t>
      </w:r>
      <w:r>
        <w:t xml:space="preserve">%                        </w:t>
      </w:r>
      <w:r w:rsidRPr="008D61AA">
        <w:rPr>
          <w:u w:val="single"/>
        </w:rPr>
        <w:t>4.</w:t>
      </w:r>
      <w:r w:rsidR="00AB3B8C">
        <w:rPr>
          <w:u w:val="single"/>
        </w:rPr>
        <w:t>03</w:t>
      </w:r>
      <w:r w:rsidRPr="008D61AA">
        <w:rPr>
          <w:u w:val="single"/>
        </w:rPr>
        <w:t>%</w:t>
      </w:r>
    </w:p>
    <w:p w14:paraId="34EA9A2E" w14:textId="77777777" w:rsidR="00D60641" w:rsidRDefault="00D60641" w:rsidP="005D3B74">
      <w:pPr>
        <w:tabs>
          <w:tab w:val="left" w:pos="720"/>
          <w:tab w:val="left" w:pos="1440"/>
          <w:tab w:val="right" w:leader="dot" w:pos="8640"/>
          <w:tab w:val="left" w:pos="9240"/>
        </w:tabs>
        <w:spacing w:line="480" w:lineRule="auto"/>
        <w:ind w:left="720" w:hanging="720"/>
      </w:pPr>
      <w:r>
        <w:tab/>
      </w:r>
      <w:r>
        <w:tab/>
      </w:r>
      <w:r w:rsidR="00BA476F">
        <w:t xml:space="preserve">Overall </w:t>
      </w:r>
      <w:r>
        <w:t xml:space="preserve">Cost of Capital                        </w:t>
      </w:r>
      <w:r w:rsidR="00BA476F">
        <w:t xml:space="preserve">                      </w:t>
      </w:r>
      <w:r>
        <w:t xml:space="preserve">           </w:t>
      </w:r>
      <w:r w:rsidR="00AB3B8C">
        <w:t>6.9</w:t>
      </w:r>
      <w:r w:rsidR="003A70C0">
        <w:t>0</w:t>
      </w:r>
      <w:r w:rsidRPr="008D61AA">
        <w:t>%</w:t>
      </w:r>
    </w:p>
    <w:p w14:paraId="34EA9A2F" w14:textId="77777777" w:rsidR="004C34F0" w:rsidRDefault="004C34F0" w:rsidP="004510AD">
      <w:pPr>
        <w:tabs>
          <w:tab w:val="left" w:pos="1440"/>
          <w:tab w:val="right" w:leader="dot" w:pos="8640"/>
          <w:tab w:val="left" w:pos="9240"/>
        </w:tabs>
        <w:spacing w:line="480" w:lineRule="auto"/>
        <w:ind w:left="720"/>
        <w:rPr>
          <w:b/>
        </w:rPr>
      </w:pPr>
    </w:p>
    <w:p w14:paraId="34EA9A30" w14:textId="77777777" w:rsidR="00BB1A95" w:rsidRDefault="00BB1A95" w:rsidP="008D6576">
      <w:pPr>
        <w:tabs>
          <w:tab w:val="left" w:pos="720"/>
          <w:tab w:val="left" w:pos="1440"/>
          <w:tab w:val="right" w:leader="dot" w:pos="8640"/>
          <w:tab w:val="left" w:pos="9240"/>
        </w:tabs>
        <w:spacing w:line="480" w:lineRule="auto"/>
        <w:ind w:left="720" w:hanging="720"/>
        <w:rPr>
          <w:b/>
        </w:rPr>
      </w:pPr>
      <w:r w:rsidRPr="008D6576">
        <w:rPr>
          <w:b/>
        </w:rPr>
        <w:t>Q.</w:t>
      </w:r>
      <w:r w:rsidRPr="008D6576">
        <w:rPr>
          <w:b/>
        </w:rPr>
        <w:tab/>
        <w:t xml:space="preserve">What is the overall cost of capital for the regulated operations of Avista Corporation’s </w:t>
      </w:r>
      <w:r w:rsidR="00925156" w:rsidRPr="008D6576">
        <w:rPr>
          <w:b/>
        </w:rPr>
        <w:t>regulated</w:t>
      </w:r>
      <w:r w:rsidRPr="008D6576">
        <w:rPr>
          <w:b/>
        </w:rPr>
        <w:t xml:space="preserve"> operations with full decoupling?</w:t>
      </w:r>
    </w:p>
    <w:p w14:paraId="34EA9A31" w14:textId="39345BE9" w:rsidR="00BB1A95" w:rsidRDefault="00BB1A95" w:rsidP="00F3528F">
      <w:pPr>
        <w:tabs>
          <w:tab w:val="left" w:pos="720"/>
          <w:tab w:val="left" w:pos="1440"/>
          <w:tab w:val="right" w:leader="dot" w:pos="8640"/>
          <w:tab w:val="left" w:pos="9240"/>
        </w:tabs>
        <w:spacing w:line="480" w:lineRule="auto"/>
        <w:ind w:left="720" w:hanging="720"/>
      </w:pPr>
      <w:r>
        <w:t>A.</w:t>
      </w:r>
      <w:r>
        <w:tab/>
        <w:t>With full decoupling th</w:t>
      </w:r>
      <w:r w:rsidR="00C01F88">
        <w:t>e overall cost of capital is 6.</w:t>
      </w:r>
      <w:r w:rsidR="0081359B">
        <w:t>77</w:t>
      </w:r>
      <w:r>
        <w:t xml:space="preserve"> percent.  This fig</w:t>
      </w:r>
      <w:r w:rsidR="00622413">
        <w:t xml:space="preserve">ure is shown in my Exhibit </w:t>
      </w:r>
      <w:r w:rsidR="00064CF3">
        <w:t>No. ___ (</w:t>
      </w:r>
      <w:r w:rsidR="00B1726B">
        <w:t>KLE-6</w:t>
      </w:r>
      <w:r w:rsidR="00064CF3">
        <w:t xml:space="preserve">), which I </w:t>
      </w:r>
      <w:r>
        <w:t>explain</w:t>
      </w:r>
      <w:r w:rsidR="00064CF3">
        <w:t xml:space="preserve"> fully </w:t>
      </w:r>
      <w:r>
        <w:t xml:space="preserve">in Section </w:t>
      </w:r>
      <w:r w:rsidR="00D77729">
        <w:t>VII</w:t>
      </w:r>
      <w:r>
        <w:t>I of my testimony.</w:t>
      </w:r>
      <w:r w:rsidR="00064CF3">
        <w:t xml:space="preserve">  In brief, the Commission’s Decoupling Policy Statement</w:t>
      </w:r>
      <w:r w:rsidR="00064CF3">
        <w:rPr>
          <w:rStyle w:val="FootnoteReference"/>
        </w:rPr>
        <w:footnoteReference w:id="1"/>
      </w:r>
      <w:r w:rsidR="00064CF3">
        <w:t xml:space="preserve"> recognizes correctly that under full decoupling customers now bear the risk of variations in energy sales.  </w:t>
      </w:r>
      <w:r w:rsidR="00D77729">
        <w:t xml:space="preserve">I propose a mechanism for reducing Avista’s profit margin to recognize the shift in business risk from shareholders to ratepayers due to full </w:t>
      </w:r>
      <w:r w:rsidR="00D77729">
        <w:lastRenderedPageBreak/>
        <w:t>decoupling.</w:t>
      </w:r>
      <w:r w:rsidR="00D77729" w:rsidRPr="00D77729">
        <w:t xml:space="preserve"> </w:t>
      </w:r>
      <w:r w:rsidR="00D77729">
        <w:t xml:space="preserve"> Customers should pay lower costs of capital (profit) due </w:t>
      </w:r>
      <w:r w:rsidR="00F3528F">
        <w:t>to the effects of full decoupling</w:t>
      </w:r>
      <w:r w:rsidR="00D77729">
        <w:t>.</w:t>
      </w:r>
      <w:r w:rsidR="00064CF3">
        <w:t xml:space="preserve">  </w:t>
      </w:r>
    </w:p>
    <w:p w14:paraId="28B6CFBD" w14:textId="77777777" w:rsidR="00F3528F" w:rsidRDefault="00F3528F" w:rsidP="00073F46">
      <w:pPr>
        <w:tabs>
          <w:tab w:val="left" w:pos="720"/>
          <w:tab w:val="left" w:pos="1440"/>
          <w:tab w:val="left" w:pos="9240"/>
        </w:tabs>
        <w:spacing w:line="480" w:lineRule="auto"/>
        <w:ind w:left="720" w:hanging="720"/>
        <w:rPr>
          <w:b/>
        </w:rPr>
      </w:pPr>
    </w:p>
    <w:p w14:paraId="34EA9A32" w14:textId="77777777" w:rsidR="00073F46" w:rsidRDefault="00073F46" w:rsidP="00073F46">
      <w:pPr>
        <w:tabs>
          <w:tab w:val="left" w:pos="720"/>
          <w:tab w:val="left" w:pos="1440"/>
          <w:tab w:val="left" w:pos="9240"/>
        </w:tabs>
        <w:spacing w:line="480" w:lineRule="auto"/>
        <w:ind w:left="720" w:hanging="720"/>
        <w:rPr>
          <w:b/>
        </w:rPr>
      </w:pPr>
      <w:r>
        <w:rPr>
          <w:b/>
        </w:rPr>
        <w:t>Q.</w:t>
      </w:r>
      <w:r>
        <w:rPr>
          <w:b/>
        </w:rPr>
        <w:tab/>
        <w:t>In the last Avista rate case you recommended a fair ROE of 9.0 percent.  Please explain why your recommendation is lower in this case.</w:t>
      </w:r>
    </w:p>
    <w:p w14:paraId="34EA9A33" w14:textId="714FE64A" w:rsidR="00073F46" w:rsidRPr="00BB1A95" w:rsidRDefault="00073F46" w:rsidP="00F77222">
      <w:pPr>
        <w:spacing w:line="480" w:lineRule="auto"/>
        <w:ind w:left="720" w:hanging="720"/>
      </w:pPr>
      <w:r>
        <w:t>A.</w:t>
      </w:r>
      <w:r>
        <w:tab/>
        <w:t xml:space="preserve">The different estimate in this case is due to the continued downward pressure on the cost of equity for utilities.  Investors today are willing to pay more for the right to Avista Corporation’s cash flows.  Because Avista Corporation’s stock price has increased, the expected dividend yield is lower.  In the prior case, Avista Corporation’s stock was trading for $25-$26, with a dividend yield of 4.40 to 4.60 percent.  Now, the same stock trades for almost $33, with a dividend yield of 3.90  percent.  </w:t>
      </w:r>
      <w:r w:rsidR="00810522">
        <w:t xml:space="preserve"> T</w:t>
      </w:r>
      <w:r>
        <w:t>he increase in its stock price is direct market evidence that the cost of capital for Avista is lower now.</w:t>
      </w:r>
      <w:r w:rsidR="00810522">
        <w:t xml:space="preserve">   </w:t>
      </w:r>
    </w:p>
    <w:p w14:paraId="34EA9A34" w14:textId="77777777" w:rsidR="00BB1A95" w:rsidRDefault="00BB1A95" w:rsidP="00C91725">
      <w:pPr>
        <w:tabs>
          <w:tab w:val="left" w:pos="720"/>
          <w:tab w:val="left" w:pos="1440"/>
          <w:tab w:val="right" w:leader="dot" w:pos="8640"/>
          <w:tab w:val="left" w:pos="9240"/>
        </w:tabs>
        <w:spacing w:line="480" w:lineRule="auto"/>
        <w:rPr>
          <w:b/>
        </w:rPr>
      </w:pPr>
    </w:p>
    <w:p w14:paraId="34EA9A35" w14:textId="77777777" w:rsidR="005D3B74" w:rsidRDefault="00F02F26" w:rsidP="00C91725">
      <w:pPr>
        <w:tabs>
          <w:tab w:val="left" w:pos="720"/>
          <w:tab w:val="left" w:pos="1440"/>
          <w:tab w:val="right" w:leader="dot" w:pos="8640"/>
          <w:tab w:val="left" w:pos="9240"/>
        </w:tabs>
        <w:spacing w:line="480" w:lineRule="auto"/>
        <w:rPr>
          <w:b/>
        </w:rPr>
      </w:pPr>
      <w:r>
        <w:rPr>
          <w:b/>
        </w:rPr>
        <w:tab/>
      </w:r>
      <w:r w:rsidR="005D3B74" w:rsidRPr="00C00AE6">
        <w:rPr>
          <w:b/>
        </w:rPr>
        <w:t>B.</w:t>
      </w:r>
      <w:r w:rsidR="005D3B74" w:rsidRPr="00C00AE6">
        <w:rPr>
          <w:b/>
        </w:rPr>
        <w:tab/>
        <w:t>Comparing Staff and Company Recommendations</w:t>
      </w:r>
    </w:p>
    <w:p w14:paraId="34EA9A36" w14:textId="77777777" w:rsidR="005D3B74" w:rsidRDefault="005D3B74" w:rsidP="005D3B74">
      <w:pPr>
        <w:tabs>
          <w:tab w:val="left" w:pos="720"/>
          <w:tab w:val="left" w:pos="1440"/>
          <w:tab w:val="right" w:leader="dot" w:pos="8640"/>
          <w:tab w:val="left" w:pos="9240"/>
        </w:tabs>
        <w:spacing w:line="480" w:lineRule="auto"/>
        <w:ind w:left="720" w:hanging="720"/>
        <w:rPr>
          <w:b/>
        </w:rPr>
      </w:pPr>
    </w:p>
    <w:p w14:paraId="34EA9A37" w14:textId="77777777" w:rsidR="005D3B74" w:rsidRDefault="005D3B74" w:rsidP="005D3B74">
      <w:pPr>
        <w:tabs>
          <w:tab w:val="left" w:pos="720"/>
          <w:tab w:val="left" w:pos="1440"/>
          <w:tab w:val="right" w:leader="dot" w:pos="8640"/>
          <w:tab w:val="left" w:pos="9240"/>
        </w:tabs>
        <w:spacing w:line="480" w:lineRule="auto"/>
        <w:ind w:left="720" w:hanging="720"/>
        <w:rPr>
          <w:b/>
        </w:rPr>
      </w:pPr>
      <w:r>
        <w:rPr>
          <w:b/>
        </w:rPr>
        <w:t>Q.</w:t>
      </w:r>
      <w:r>
        <w:rPr>
          <w:b/>
        </w:rPr>
        <w:tab/>
        <w:t xml:space="preserve">Please compare your cost of capital determination with </w:t>
      </w:r>
      <w:r w:rsidR="008F4356">
        <w:rPr>
          <w:b/>
        </w:rPr>
        <w:t xml:space="preserve">Avista’s </w:t>
      </w:r>
      <w:r w:rsidR="00BA476F">
        <w:rPr>
          <w:b/>
        </w:rPr>
        <w:t xml:space="preserve">proposed </w:t>
      </w:r>
      <w:r>
        <w:rPr>
          <w:b/>
        </w:rPr>
        <w:t>cost of capital.</w:t>
      </w:r>
    </w:p>
    <w:p w14:paraId="34EA9A39" w14:textId="0A4A967E" w:rsidR="00BA476F" w:rsidRDefault="005D3B74" w:rsidP="005D3B74">
      <w:pPr>
        <w:tabs>
          <w:tab w:val="left" w:pos="720"/>
          <w:tab w:val="left" w:pos="1440"/>
          <w:tab w:val="right" w:leader="dot" w:pos="8640"/>
          <w:tab w:val="left" w:pos="9240"/>
        </w:tabs>
        <w:spacing w:line="480" w:lineRule="auto"/>
        <w:ind w:left="720" w:hanging="720"/>
      </w:pPr>
      <w:r>
        <w:t>A.</w:t>
      </w:r>
      <w:r>
        <w:tab/>
      </w:r>
      <w:r w:rsidR="00431956">
        <w:t xml:space="preserve">The </w:t>
      </w:r>
      <w:r>
        <w:t xml:space="preserve">major differences </w:t>
      </w:r>
      <w:r w:rsidR="00431956">
        <w:t xml:space="preserve">between my recommendations and </w:t>
      </w:r>
      <w:r w:rsidR="00406131">
        <w:t>Avista’s</w:t>
      </w:r>
      <w:r w:rsidR="00064CF3">
        <w:t xml:space="preserve"> are:</w:t>
      </w:r>
    </w:p>
    <w:p w14:paraId="34EA9A3A" w14:textId="77777777" w:rsidR="00BA476F" w:rsidRDefault="00BA476F" w:rsidP="00BA476F">
      <w:pPr>
        <w:pStyle w:val="ListParagraph"/>
        <w:numPr>
          <w:ilvl w:val="0"/>
          <w:numId w:val="44"/>
        </w:numPr>
        <w:tabs>
          <w:tab w:val="left" w:pos="720"/>
          <w:tab w:val="left" w:pos="1440"/>
          <w:tab w:val="right" w:leader="dot" w:pos="8640"/>
          <w:tab w:val="left" w:pos="9240"/>
        </w:tabs>
        <w:spacing w:line="480" w:lineRule="auto"/>
      </w:pPr>
      <w:r>
        <w:t xml:space="preserve">I propose </w:t>
      </w:r>
      <w:r w:rsidR="005D3B74">
        <w:t xml:space="preserve">a return on equity (“ROE”) of </w:t>
      </w:r>
      <w:r w:rsidR="00406131">
        <w:t>8.75</w:t>
      </w:r>
      <w:r w:rsidR="005D3B74">
        <w:t xml:space="preserve"> percent</w:t>
      </w:r>
      <w:r w:rsidR="00064CF3">
        <w:t>,</w:t>
      </w:r>
      <w:r w:rsidR="005D3B74">
        <w:t xml:space="preserve"> </w:t>
      </w:r>
      <w:r>
        <w:t xml:space="preserve">while Avista proposes a </w:t>
      </w:r>
      <w:r w:rsidR="00300C21">
        <w:t>10.</w:t>
      </w:r>
      <w:r w:rsidR="00FA191E">
        <w:t>1</w:t>
      </w:r>
      <w:r w:rsidR="005D3B74">
        <w:t>0 percent</w:t>
      </w:r>
      <w:r w:rsidR="00446B11">
        <w:t xml:space="preserve"> ROE</w:t>
      </w:r>
      <w:r w:rsidR="00D77729">
        <w:t xml:space="preserve"> </w:t>
      </w:r>
    </w:p>
    <w:p w14:paraId="34EA9A3B" w14:textId="50C3C089" w:rsidR="00BA476F" w:rsidRDefault="00BA476F" w:rsidP="00EB138C">
      <w:pPr>
        <w:pStyle w:val="ListParagraph"/>
        <w:numPr>
          <w:ilvl w:val="0"/>
          <w:numId w:val="44"/>
        </w:numPr>
        <w:tabs>
          <w:tab w:val="left" w:pos="720"/>
          <w:tab w:val="left" w:pos="1440"/>
          <w:tab w:val="right" w:leader="dot" w:pos="8640"/>
          <w:tab w:val="left" w:pos="9240"/>
        </w:tabs>
        <w:spacing w:line="480" w:lineRule="auto"/>
      </w:pPr>
      <w:r>
        <w:t>I propose a capital structure</w:t>
      </w:r>
      <w:r w:rsidR="005D3B74">
        <w:t xml:space="preserve"> with 46.</w:t>
      </w:r>
      <w:r w:rsidR="00AB6066">
        <w:t>00</w:t>
      </w:r>
      <w:r w:rsidR="00431956">
        <w:t xml:space="preserve"> percent equity</w:t>
      </w:r>
      <w:r w:rsidR="00CE36D0">
        <w:t xml:space="preserve"> and 42.00 percent with full decoupling</w:t>
      </w:r>
      <w:r w:rsidR="00064CF3">
        <w:t>,</w:t>
      </w:r>
      <w:r w:rsidR="005D3B74">
        <w:t xml:space="preserve"> compared to </w:t>
      </w:r>
      <w:r w:rsidR="00406131">
        <w:t xml:space="preserve">Avista’s </w:t>
      </w:r>
      <w:r w:rsidR="005D3B74">
        <w:t xml:space="preserve">proposed </w:t>
      </w:r>
      <w:r w:rsidR="00DB7DA5">
        <w:t xml:space="preserve">equity ratio of </w:t>
      </w:r>
      <w:r w:rsidR="00DF2B20">
        <w:t>4</w:t>
      </w:r>
      <w:r w:rsidR="00FA191E">
        <w:t>9</w:t>
      </w:r>
      <w:r w:rsidR="00DF2B20">
        <w:t>.</w:t>
      </w:r>
      <w:r w:rsidR="00FA191E">
        <w:t>0</w:t>
      </w:r>
      <w:r w:rsidR="00DF2B20">
        <w:t>0</w:t>
      </w:r>
      <w:r w:rsidR="00105605">
        <w:t xml:space="preserve"> percent</w:t>
      </w:r>
      <w:r w:rsidR="00064CF3">
        <w:t>;</w:t>
      </w:r>
    </w:p>
    <w:p w14:paraId="34EA9A3C" w14:textId="77777777" w:rsidR="00BB1A95" w:rsidRDefault="00BB1A95" w:rsidP="00EB138C">
      <w:pPr>
        <w:pStyle w:val="ListParagraph"/>
        <w:numPr>
          <w:ilvl w:val="0"/>
          <w:numId w:val="44"/>
        </w:numPr>
        <w:tabs>
          <w:tab w:val="left" w:pos="720"/>
          <w:tab w:val="left" w:pos="1440"/>
          <w:tab w:val="right" w:leader="dot" w:pos="8640"/>
          <w:tab w:val="left" w:pos="9240"/>
        </w:tabs>
        <w:spacing w:line="480" w:lineRule="auto"/>
      </w:pPr>
      <w:r>
        <w:lastRenderedPageBreak/>
        <w:t xml:space="preserve">Avista proposes no adjustment to cost of capital to account for the transfer of risk from shareholders to ratepayers </w:t>
      </w:r>
      <w:r w:rsidR="00A92D83">
        <w:t>due to the effect of</w:t>
      </w:r>
      <w:r>
        <w:t xml:space="preserve"> full decoupling.</w:t>
      </w:r>
    </w:p>
    <w:p w14:paraId="34EA9A3D" w14:textId="77777777" w:rsidR="00B03F90" w:rsidRDefault="00B03F90" w:rsidP="00E03B82">
      <w:pPr>
        <w:tabs>
          <w:tab w:val="left" w:pos="720"/>
          <w:tab w:val="left" w:pos="1440"/>
          <w:tab w:val="right" w:leader="dot" w:pos="8640"/>
          <w:tab w:val="left" w:pos="9240"/>
        </w:tabs>
        <w:spacing w:line="480" w:lineRule="auto"/>
        <w:ind w:left="720" w:hanging="720"/>
      </w:pPr>
    </w:p>
    <w:p w14:paraId="34EA9A3E" w14:textId="77777777" w:rsidR="005D3B74" w:rsidRDefault="00131071" w:rsidP="003839D0">
      <w:pPr>
        <w:keepNext/>
        <w:spacing w:line="480" w:lineRule="auto"/>
        <w:jc w:val="center"/>
        <w:rPr>
          <w:b/>
        </w:rPr>
      </w:pPr>
      <w:r>
        <w:rPr>
          <w:b/>
        </w:rPr>
        <w:t>III.</w:t>
      </w:r>
      <w:r>
        <w:rPr>
          <w:b/>
        </w:rPr>
        <w:tab/>
      </w:r>
      <w:r w:rsidR="005D3B74">
        <w:rPr>
          <w:b/>
        </w:rPr>
        <w:t>BACKGROUND</w:t>
      </w:r>
      <w:r w:rsidR="005D3B74" w:rsidRPr="000C7034">
        <w:rPr>
          <w:b/>
        </w:rPr>
        <w:t xml:space="preserve"> </w:t>
      </w:r>
    </w:p>
    <w:p w14:paraId="34EA9A3F" w14:textId="77777777" w:rsidR="005D3B74" w:rsidRDefault="005D3B74" w:rsidP="003839D0">
      <w:pPr>
        <w:keepNext/>
        <w:tabs>
          <w:tab w:val="left" w:pos="720"/>
          <w:tab w:val="left" w:pos="1440"/>
          <w:tab w:val="right" w:leader="dot" w:pos="8640"/>
          <w:tab w:val="left" w:pos="9240"/>
        </w:tabs>
        <w:spacing w:line="480" w:lineRule="auto"/>
        <w:ind w:left="720" w:hanging="720"/>
        <w:rPr>
          <w:b/>
        </w:rPr>
      </w:pPr>
    </w:p>
    <w:p w14:paraId="34EA9A40" w14:textId="77777777" w:rsidR="00E73CB2" w:rsidRPr="00E73CB2" w:rsidRDefault="00E73CB2" w:rsidP="00E73CB2">
      <w:pPr>
        <w:tabs>
          <w:tab w:val="left" w:pos="720"/>
          <w:tab w:val="left" w:pos="1440"/>
          <w:tab w:val="right" w:leader="dot" w:pos="8640"/>
          <w:tab w:val="left" w:pos="9240"/>
        </w:tabs>
        <w:spacing w:line="480" w:lineRule="auto"/>
        <w:ind w:left="720" w:hanging="720"/>
        <w:rPr>
          <w:b/>
        </w:rPr>
      </w:pPr>
      <w:r w:rsidRPr="00E73CB2">
        <w:rPr>
          <w:b/>
        </w:rPr>
        <w:t>Q.</w:t>
      </w:r>
      <w:r w:rsidRPr="00E73CB2">
        <w:rPr>
          <w:b/>
        </w:rPr>
        <w:tab/>
        <w:t>Please explain the context of the Commission</w:t>
      </w:r>
      <w:r w:rsidR="00A15099">
        <w:rPr>
          <w:b/>
        </w:rPr>
        <w:t>’s</w:t>
      </w:r>
      <w:r w:rsidRPr="00E73CB2">
        <w:rPr>
          <w:b/>
        </w:rPr>
        <w:t xml:space="preserve"> cost of capital determination in this proceeding.</w:t>
      </w:r>
    </w:p>
    <w:p w14:paraId="34EA9A41" w14:textId="77777777" w:rsidR="00A0719E" w:rsidRDefault="00E73CB2" w:rsidP="00E73CB2">
      <w:pPr>
        <w:tabs>
          <w:tab w:val="left" w:pos="720"/>
          <w:tab w:val="left" w:pos="1440"/>
          <w:tab w:val="right" w:leader="dot" w:pos="8640"/>
          <w:tab w:val="left" w:pos="9240"/>
        </w:tabs>
        <w:spacing w:line="480" w:lineRule="auto"/>
        <w:ind w:left="720" w:hanging="720"/>
      </w:pPr>
      <w:r w:rsidRPr="00AB6C70">
        <w:t>A.</w:t>
      </w:r>
      <w:r w:rsidRPr="00AB6C70">
        <w:tab/>
        <w:t xml:space="preserve">This proceeding involves setting the rates for </w:t>
      </w:r>
      <w:r w:rsidR="00C95762">
        <w:t>A</w:t>
      </w:r>
      <w:r w:rsidR="00206F0C">
        <w:t>v</w:t>
      </w:r>
      <w:r w:rsidR="00C95762">
        <w:t xml:space="preserve">ista Utilities, </w:t>
      </w:r>
      <w:r w:rsidR="00D77729">
        <w:t xml:space="preserve">which is </w:t>
      </w:r>
      <w:r w:rsidR="00C95762">
        <w:t xml:space="preserve">the public service company of </w:t>
      </w:r>
      <w:r w:rsidR="00A0719E">
        <w:t xml:space="preserve">Avista Corporation </w:t>
      </w:r>
      <w:r w:rsidRPr="00AB6C70">
        <w:t>in the State of Washington.</w:t>
      </w:r>
      <w:r w:rsidR="000C6E7D">
        <w:t xml:space="preserve">  </w:t>
      </w:r>
    </w:p>
    <w:p w14:paraId="34EA9A42" w14:textId="77777777" w:rsidR="00A0719E" w:rsidRDefault="00A0719E" w:rsidP="00E73CB2">
      <w:pPr>
        <w:tabs>
          <w:tab w:val="left" w:pos="720"/>
          <w:tab w:val="left" w:pos="1440"/>
          <w:tab w:val="right" w:leader="dot" w:pos="8640"/>
          <w:tab w:val="left" w:pos="9240"/>
        </w:tabs>
        <w:spacing w:line="480" w:lineRule="auto"/>
        <w:ind w:left="720" w:hanging="720"/>
        <w:rPr>
          <w:b/>
        </w:rPr>
      </w:pPr>
    </w:p>
    <w:p w14:paraId="34EA9A43" w14:textId="77777777" w:rsidR="00A0719E" w:rsidRPr="00EB138C" w:rsidRDefault="00A0719E" w:rsidP="00E73CB2">
      <w:pPr>
        <w:tabs>
          <w:tab w:val="left" w:pos="720"/>
          <w:tab w:val="left" w:pos="1440"/>
          <w:tab w:val="right" w:leader="dot" w:pos="8640"/>
          <w:tab w:val="left" w:pos="9240"/>
        </w:tabs>
        <w:spacing w:line="480" w:lineRule="auto"/>
        <w:ind w:left="720" w:hanging="720"/>
        <w:rPr>
          <w:b/>
        </w:rPr>
      </w:pPr>
      <w:r>
        <w:rPr>
          <w:b/>
        </w:rPr>
        <w:t>Q.</w:t>
      </w:r>
      <w:r>
        <w:rPr>
          <w:b/>
        </w:rPr>
        <w:tab/>
        <w:t xml:space="preserve">Please identify the </w:t>
      </w:r>
      <w:r w:rsidR="00C95762">
        <w:rPr>
          <w:b/>
        </w:rPr>
        <w:t xml:space="preserve">different </w:t>
      </w:r>
      <w:r>
        <w:rPr>
          <w:b/>
        </w:rPr>
        <w:t>companies involved.</w:t>
      </w:r>
    </w:p>
    <w:p w14:paraId="34EA9A44" w14:textId="2CB67480" w:rsidR="005771A1" w:rsidRDefault="00C95762" w:rsidP="00E73CB2">
      <w:pPr>
        <w:tabs>
          <w:tab w:val="left" w:pos="720"/>
          <w:tab w:val="left" w:pos="1440"/>
          <w:tab w:val="right" w:leader="dot" w:pos="8640"/>
          <w:tab w:val="left" w:pos="9240"/>
        </w:tabs>
        <w:spacing w:line="480" w:lineRule="auto"/>
        <w:ind w:left="720" w:hanging="720"/>
      </w:pPr>
      <w:r>
        <w:t>A.</w:t>
      </w:r>
      <w:r>
        <w:tab/>
        <w:t xml:space="preserve">Avista Corporation is </w:t>
      </w:r>
      <w:r w:rsidR="00A0719E">
        <w:t>engaged in various lines of business.</w:t>
      </w:r>
      <w:r w:rsidR="00920833">
        <w:rPr>
          <w:rStyle w:val="FootnoteReference"/>
        </w:rPr>
        <w:footnoteReference w:id="2"/>
      </w:r>
      <w:r w:rsidR="00A0719E">
        <w:t xml:space="preserve">  </w:t>
      </w:r>
      <w:r w:rsidR="00244609">
        <w:t xml:space="preserve">Avista </w:t>
      </w:r>
      <w:r>
        <w:t xml:space="preserve">Utilities </w:t>
      </w:r>
      <w:r w:rsidR="00244609">
        <w:t xml:space="preserve">is </w:t>
      </w:r>
      <w:r w:rsidR="00811B8D">
        <w:t xml:space="preserve">the </w:t>
      </w:r>
      <w:r w:rsidR="00E26F30">
        <w:t xml:space="preserve">utility </w:t>
      </w:r>
      <w:r w:rsidR="00811B8D">
        <w:t xml:space="preserve">operating company wholly owned by </w:t>
      </w:r>
      <w:r w:rsidR="00300C21">
        <w:t>Avista</w:t>
      </w:r>
      <w:r w:rsidR="00E73CB2" w:rsidRPr="00AB6C70">
        <w:t xml:space="preserve"> </w:t>
      </w:r>
      <w:r w:rsidR="00300C21">
        <w:t>Corporation</w:t>
      </w:r>
      <w:r w:rsidR="00244609">
        <w:t>.</w:t>
      </w:r>
      <w:r w:rsidR="00A0719E">
        <w:t xml:space="preserve">  </w:t>
      </w:r>
      <w:r w:rsidR="00B85716">
        <w:t xml:space="preserve">Avista Corporation </w:t>
      </w:r>
      <w:r w:rsidR="001E4EDA">
        <w:t xml:space="preserve">also </w:t>
      </w:r>
      <w:r w:rsidR="00A0719E">
        <w:t>has unregulated business</w:t>
      </w:r>
      <w:r w:rsidR="001E4EDA">
        <w:t xml:space="preserve">es </w:t>
      </w:r>
      <w:r w:rsidR="00925156">
        <w:t>under Avista</w:t>
      </w:r>
      <w:r w:rsidR="00B85716">
        <w:t xml:space="preserve"> Capital</w:t>
      </w:r>
      <w:r w:rsidR="00A0719E">
        <w:t xml:space="preserve">.  Avista Corporation recently </w:t>
      </w:r>
      <w:r w:rsidR="00D524C2">
        <w:t xml:space="preserve">acquired </w:t>
      </w:r>
      <w:r w:rsidR="00A0719E">
        <w:t xml:space="preserve">an electrical company </w:t>
      </w:r>
      <w:r w:rsidR="00D524C2">
        <w:t>operatin</w:t>
      </w:r>
      <w:r w:rsidR="00A0719E">
        <w:t>g</w:t>
      </w:r>
      <w:r w:rsidR="00D524C2">
        <w:t xml:space="preserve"> in Alaska, </w:t>
      </w:r>
      <w:r w:rsidR="00A0719E">
        <w:t xml:space="preserve">named Alaska Energy and Resources Company </w:t>
      </w:r>
      <w:r w:rsidR="00D524C2">
        <w:t>(AERC)</w:t>
      </w:r>
      <w:r w:rsidR="001703D5">
        <w:t>.</w:t>
      </w:r>
      <w:r w:rsidR="00244609">
        <w:t xml:space="preserve"> </w:t>
      </w:r>
      <w:r w:rsidR="00B85716">
        <w:t xml:space="preserve"> </w:t>
      </w:r>
      <w:r w:rsidR="005771A1">
        <w:t xml:space="preserve">AERC’s utility operations are regulated by the Alaska utility </w:t>
      </w:r>
      <w:r w:rsidR="00E53CA3">
        <w:t>commission</w:t>
      </w:r>
      <w:r w:rsidR="005771A1">
        <w:t>.</w:t>
      </w:r>
      <w:r w:rsidR="00ED3E26">
        <w:t xml:space="preserve">  Finally, Avista Corporation </w:t>
      </w:r>
      <w:r w:rsidR="005A52F8">
        <w:t>sold</w:t>
      </w:r>
      <w:r w:rsidR="00ED3E26">
        <w:t xml:space="preserve"> ECOVA, the principle operating business of Avista Capital.  </w:t>
      </w:r>
    </w:p>
    <w:p w14:paraId="34EA9A45" w14:textId="77777777" w:rsidR="008F4356" w:rsidRDefault="005771A1" w:rsidP="00E73CB2">
      <w:pPr>
        <w:tabs>
          <w:tab w:val="left" w:pos="720"/>
          <w:tab w:val="left" w:pos="1440"/>
          <w:tab w:val="right" w:leader="dot" w:pos="8640"/>
          <w:tab w:val="left" w:pos="9240"/>
        </w:tabs>
        <w:spacing w:line="480" w:lineRule="auto"/>
        <w:ind w:left="720" w:hanging="720"/>
      </w:pPr>
      <w:r>
        <w:tab/>
      </w:r>
      <w:r>
        <w:tab/>
      </w:r>
      <w:r w:rsidR="002C671D">
        <w:t xml:space="preserve">When I use the term </w:t>
      </w:r>
      <w:r w:rsidR="00A87D78">
        <w:t>‘</w:t>
      </w:r>
      <w:r w:rsidR="006701CD">
        <w:t>Avista</w:t>
      </w:r>
      <w:r w:rsidR="00A87D78">
        <w:t>’ or ‘the Company’</w:t>
      </w:r>
      <w:r w:rsidR="002C671D">
        <w:t xml:space="preserve"> </w:t>
      </w:r>
      <w:r w:rsidR="00E26F30">
        <w:t xml:space="preserve">I </w:t>
      </w:r>
      <w:r w:rsidR="006701CD">
        <w:t xml:space="preserve">am referring to </w:t>
      </w:r>
      <w:r w:rsidR="00E26F30">
        <w:t>Avista Utiliti</w:t>
      </w:r>
      <w:r w:rsidR="00B85716">
        <w:t>es</w:t>
      </w:r>
      <w:r>
        <w:t xml:space="preserve">, the regulated utility </w:t>
      </w:r>
      <w:r w:rsidR="00896511">
        <w:t>providing</w:t>
      </w:r>
      <w:r>
        <w:t xml:space="preserve"> electric and gas service in this state</w:t>
      </w:r>
      <w:r w:rsidR="00B85716">
        <w:t>.</w:t>
      </w:r>
      <w:r w:rsidR="001703D5">
        <w:t xml:space="preserve">  </w:t>
      </w:r>
      <w:r>
        <w:t xml:space="preserve">It is important to distinguish Avista Utilities from Avista Corporation, </w:t>
      </w:r>
      <w:r w:rsidR="00BD5CB9">
        <w:t xml:space="preserve">particularly when evaluating the </w:t>
      </w:r>
      <w:r>
        <w:t xml:space="preserve">appropriate </w:t>
      </w:r>
      <w:r w:rsidR="00BD5CB9">
        <w:t xml:space="preserve">capital structure </w:t>
      </w:r>
      <w:r w:rsidR="00920833">
        <w:t>to</w:t>
      </w:r>
      <w:r w:rsidR="00BD5CB9">
        <w:t xml:space="preserve"> </w:t>
      </w:r>
      <w:r w:rsidR="00920833">
        <w:t>set</w:t>
      </w:r>
      <w:r>
        <w:t xml:space="preserve"> rates for Washington ratepayers.</w:t>
      </w:r>
      <w:r w:rsidR="00206F0C">
        <w:t xml:space="preserve">  </w:t>
      </w:r>
    </w:p>
    <w:p w14:paraId="34EA9A46" w14:textId="77777777" w:rsidR="006659EB" w:rsidRDefault="006659EB" w:rsidP="00E73CB2">
      <w:pPr>
        <w:tabs>
          <w:tab w:val="left" w:pos="720"/>
          <w:tab w:val="left" w:pos="1440"/>
          <w:tab w:val="right" w:leader="dot" w:pos="8640"/>
          <w:tab w:val="left" w:pos="9240"/>
        </w:tabs>
        <w:spacing w:line="480" w:lineRule="auto"/>
        <w:ind w:left="720" w:hanging="720"/>
      </w:pPr>
    </w:p>
    <w:p w14:paraId="34EA9A47" w14:textId="34C60AA0" w:rsidR="006659EB" w:rsidRPr="00EB138C" w:rsidRDefault="006659EB" w:rsidP="00E73CB2">
      <w:pPr>
        <w:tabs>
          <w:tab w:val="left" w:pos="720"/>
          <w:tab w:val="left" w:pos="1440"/>
          <w:tab w:val="right" w:leader="dot" w:pos="8640"/>
          <w:tab w:val="left" w:pos="9240"/>
        </w:tabs>
        <w:spacing w:line="480" w:lineRule="auto"/>
        <w:ind w:left="720" w:hanging="720"/>
        <w:rPr>
          <w:b/>
        </w:rPr>
      </w:pPr>
      <w:r>
        <w:rPr>
          <w:b/>
        </w:rPr>
        <w:lastRenderedPageBreak/>
        <w:t>Q.</w:t>
      </w:r>
      <w:r>
        <w:rPr>
          <w:b/>
        </w:rPr>
        <w:tab/>
        <w:t xml:space="preserve">Is it reasonable for the Commission to use Avista Corporation’s stock </w:t>
      </w:r>
      <w:r w:rsidR="00CE36D0">
        <w:rPr>
          <w:b/>
        </w:rPr>
        <w:t>prices</w:t>
      </w:r>
      <w:r>
        <w:rPr>
          <w:b/>
        </w:rPr>
        <w:t xml:space="preserve"> in </w:t>
      </w:r>
      <w:r w:rsidR="00920833">
        <w:rPr>
          <w:b/>
        </w:rPr>
        <w:t>estimating</w:t>
      </w:r>
      <w:r>
        <w:rPr>
          <w:b/>
        </w:rPr>
        <w:t xml:space="preserve"> the rate of return for ratemaking purposes in this case?</w:t>
      </w:r>
    </w:p>
    <w:p w14:paraId="34EA9A48" w14:textId="061D412A" w:rsidR="000C6E7D" w:rsidRDefault="006659EB" w:rsidP="00E73CB2">
      <w:pPr>
        <w:tabs>
          <w:tab w:val="left" w:pos="720"/>
          <w:tab w:val="left" w:pos="1440"/>
          <w:tab w:val="right" w:leader="dot" w:pos="8640"/>
          <w:tab w:val="left" w:pos="9240"/>
        </w:tabs>
        <w:spacing w:line="480" w:lineRule="auto"/>
        <w:ind w:left="720" w:hanging="720"/>
      </w:pPr>
      <w:r>
        <w:t>A.</w:t>
      </w:r>
      <w:r>
        <w:tab/>
        <w:t xml:space="preserve">Yes.  </w:t>
      </w:r>
      <w:r w:rsidR="00E814D6">
        <w:t>A</w:t>
      </w:r>
      <w:r w:rsidR="00244609">
        <w:t>vista Corporation</w:t>
      </w:r>
      <w:r w:rsidR="00A15099">
        <w:t>’s</w:t>
      </w:r>
      <w:r w:rsidR="00300C21">
        <w:t xml:space="preserve"> </w:t>
      </w:r>
      <w:r w:rsidR="00E73CB2" w:rsidRPr="00AB6C70">
        <w:t>common stock is publicly traded</w:t>
      </w:r>
      <w:r w:rsidR="00244609">
        <w:t xml:space="preserve">, and </w:t>
      </w:r>
      <w:r w:rsidR="001E33FD">
        <w:t>its utility operations</w:t>
      </w:r>
      <w:r w:rsidR="00244609">
        <w:t xml:space="preserve"> </w:t>
      </w:r>
      <w:r w:rsidR="001E33FD">
        <w:t>account for</w:t>
      </w:r>
      <w:r w:rsidR="00244609">
        <w:t xml:space="preserve"> </w:t>
      </w:r>
      <w:r>
        <w:t xml:space="preserve">a large majority of </w:t>
      </w:r>
      <w:r w:rsidR="00244609">
        <w:t xml:space="preserve"> Avista </w:t>
      </w:r>
      <w:r w:rsidR="00AB6066">
        <w:t>Corporation</w:t>
      </w:r>
      <w:r w:rsidR="009A274B">
        <w:t>’</w:t>
      </w:r>
      <w:r w:rsidR="00AB6066">
        <w:t>s total revenue</w:t>
      </w:r>
      <w:r>
        <w:t xml:space="preserve"> (about 85 percent),</w:t>
      </w:r>
      <w:r w:rsidR="00A14F0B">
        <w:t xml:space="preserve"> and</w:t>
      </w:r>
      <w:r w:rsidR="00F96B41">
        <w:t xml:space="preserve"> almost all of its</w:t>
      </w:r>
      <w:r w:rsidR="00A14F0B">
        <w:t xml:space="preserve"> net income</w:t>
      </w:r>
      <w:r>
        <w:t xml:space="preserve"> (almost 98 percent)</w:t>
      </w:r>
      <w:r w:rsidR="00AB6066">
        <w:t>.</w:t>
      </w:r>
      <w:r w:rsidR="002C671D">
        <w:rPr>
          <w:rStyle w:val="FootnoteReference"/>
        </w:rPr>
        <w:footnoteReference w:id="3"/>
      </w:r>
      <w:r w:rsidR="00A14F0B">
        <w:t xml:space="preserve"> </w:t>
      </w:r>
      <w:r>
        <w:t xml:space="preserve"> </w:t>
      </w:r>
      <w:r w:rsidR="00300C21">
        <w:t xml:space="preserve"> </w:t>
      </w:r>
      <w:r w:rsidR="00BD5CB9">
        <w:t xml:space="preserve"> </w:t>
      </w:r>
      <w:r w:rsidR="00ED3E26">
        <w:t>As I just stated,</w:t>
      </w:r>
      <w:r w:rsidR="005D3D42">
        <w:t xml:space="preserve"> Avista Corporation </w:t>
      </w:r>
      <w:r w:rsidR="00D77729">
        <w:t xml:space="preserve">recently </w:t>
      </w:r>
      <w:r w:rsidR="005A52F8">
        <w:t>sold</w:t>
      </w:r>
      <w:r w:rsidR="005D3D42">
        <w:t xml:space="preserve"> </w:t>
      </w:r>
      <w:r w:rsidR="00925156">
        <w:t>ECOVA</w:t>
      </w:r>
      <w:r w:rsidR="005D3D42">
        <w:t xml:space="preserve">.  </w:t>
      </w:r>
      <w:r w:rsidR="00F3528F">
        <w:t>Since the</w:t>
      </w:r>
      <w:r w:rsidR="00F02F26">
        <w:t xml:space="preserve"> sale, t</w:t>
      </w:r>
      <w:r w:rsidR="005D3D42">
        <w:t>he regulated business of Avista Corporation comprise</w:t>
      </w:r>
      <w:r w:rsidR="00F3528F">
        <w:t>s</w:t>
      </w:r>
      <w:r w:rsidR="005D3D42">
        <w:t xml:space="preserve"> </w:t>
      </w:r>
      <w:r w:rsidR="00F02F26">
        <w:t xml:space="preserve">an even </w:t>
      </w:r>
      <w:r w:rsidR="00C82F4A">
        <w:t>higher</w:t>
      </w:r>
      <w:r w:rsidR="00F02F26">
        <w:t xml:space="preserve"> percentage </w:t>
      </w:r>
      <w:r w:rsidR="005D3D42">
        <w:t>of the total company operations.  Therefore, it continues to be reasonable for the Commission to use the direct market and financial information relied upon by investors in Avista Corporation’s common stock as primary evidence of Avista’s cost of equity in this proceeding.</w:t>
      </w:r>
    </w:p>
    <w:p w14:paraId="34EA9A49" w14:textId="77777777" w:rsidR="00EC2096" w:rsidRDefault="000C6E7D" w:rsidP="00E73CB2">
      <w:pPr>
        <w:tabs>
          <w:tab w:val="left" w:pos="720"/>
          <w:tab w:val="left" w:pos="1440"/>
          <w:tab w:val="right" w:leader="dot" w:pos="8640"/>
          <w:tab w:val="left" w:pos="9240"/>
        </w:tabs>
        <w:spacing w:line="480" w:lineRule="auto"/>
        <w:ind w:left="720" w:hanging="720"/>
      </w:pPr>
      <w:r>
        <w:tab/>
      </w:r>
      <w:r>
        <w:tab/>
      </w:r>
      <w:r w:rsidR="00E55DE0">
        <w:t>Accordingly, m</w:t>
      </w:r>
      <w:r>
        <w:t xml:space="preserve">y </w:t>
      </w:r>
      <w:r w:rsidR="003E6811">
        <w:t xml:space="preserve">Discounted Cash flow (“DCF”) </w:t>
      </w:r>
      <w:r>
        <w:t xml:space="preserve">analysis focuses </w:t>
      </w:r>
      <w:r w:rsidR="00920833">
        <w:t>primarily</w:t>
      </w:r>
      <w:r>
        <w:t xml:space="preserve"> on this </w:t>
      </w:r>
      <w:r w:rsidR="00920833">
        <w:t>direct</w:t>
      </w:r>
      <w:r>
        <w:t xml:space="preserve"> market evidence.  </w:t>
      </w:r>
      <w:r w:rsidR="00C024BA">
        <w:t xml:space="preserve">I </w:t>
      </w:r>
      <w:r w:rsidR="00E814D6">
        <w:t>then</w:t>
      </w:r>
      <w:r w:rsidR="00105605">
        <w:t xml:space="preserve"> analyze the </w:t>
      </w:r>
      <w:r w:rsidR="00920833">
        <w:t xml:space="preserve">same </w:t>
      </w:r>
      <w:r w:rsidR="00105605">
        <w:t>financial data of</w:t>
      </w:r>
      <w:r w:rsidR="00300C21">
        <w:t xml:space="preserve"> </w:t>
      </w:r>
      <w:r w:rsidR="00E73CB2" w:rsidRPr="00AB6C70">
        <w:t>a set of comparable companies</w:t>
      </w:r>
      <w:r w:rsidR="008862D6">
        <w:t xml:space="preserve"> </w:t>
      </w:r>
      <w:r w:rsidR="00300C21">
        <w:t>to</w:t>
      </w:r>
      <w:r w:rsidR="00E73CB2" w:rsidRPr="00AB6C70">
        <w:t xml:space="preserve"> determine </w:t>
      </w:r>
      <w:r w:rsidR="00300C21">
        <w:t>if the</w:t>
      </w:r>
      <w:r w:rsidR="008D05EA">
        <w:t>re</w:t>
      </w:r>
      <w:r w:rsidR="00300C21">
        <w:t xml:space="preserve"> is any bias in the primary </w:t>
      </w:r>
      <w:r w:rsidR="00E814D6">
        <w:t xml:space="preserve">market </w:t>
      </w:r>
      <w:r w:rsidR="00300C21">
        <w:t>data</w:t>
      </w:r>
      <w:r w:rsidR="00105605">
        <w:t xml:space="preserve"> for Avista Corporation</w:t>
      </w:r>
      <w:r w:rsidR="00300C21">
        <w:t xml:space="preserve">.  </w:t>
      </w:r>
      <w:r w:rsidR="00C024BA">
        <w:t>Based upon this evidence</w:t>
      </w:r>
      <w:r>
        <w:t>,</w:t>
      </w:r>
      <w:r w:rsidR="00C024BA">
        <w:t xml:space="preserve"> I </w:t>
      </w:r>
      <w:r w:rsidR="00300C21">
        <w:t xml:space="preserve">estimate </w:t>
      </w:r>
      <w:r w:rsidR="00E73CB2" w:rsidRPr="00AB6C70">
        <w:t xml:space="preserve">a fair return </w:t>
      </w:r>
      <w:r w:rsidR="00E814D6">
        <w:t>on equity for</w:t>
      </w:r>
      <w:r w:rsidR="00E73CB2" w:rsidRPr="00AB6C70">
        <w:t xml:space="preserve"> </w:t>
      </w:r>
      <w:r w:rsidR="00E814D6">
        <w:t>Avista</w:t>
      </w:r>
      <w:r w:rsidR="00EC2096">
        <w:t>.</w:t>
      </w:r>
    </w:p>
    <w:p w14:paraId="34EA9A4A" w14:textId="77777777" w:rsidR="00E814D6" w:rsidRPr="00E73CB2" w:rsidRDefault="00EC2096" w:rsidP="00E73CB2">
      <w:pPr>
        <w:tabs>
          <w:tab w:val="left" w:pos="720"/>
          <w:tab w:val="left" w:pos="1440"/>
          <w:tab w:val="right" w:leader="dot" w:pos="8640"/>
          <w:tab w:val="left" w:pos="9240"/>
        </w:tabs>
        <w:spacing w:line="480" w:lineRule="auto"/>
        <w:ind w:left="720" w:hanging="720"/>
        <w:rPr>
          <w:b/>
        </w:rPr>
      </w:pPr>
      <w:r w:rsidDel="00EC2096">
        <w:t xml:space="preserve"> </w:t>
      </w:r>
    </w:p>
    <w:p w14:paraId="34EA9A4B" w14:textId="77777777" w:rsidR="00E73CB2" w:rsidRPr="00E73CB2" w:rsidRDefault="00E73CB2" w:rsidP="00E73CB2">
      <w:pPr>
        <w:tabs>
          <w:tab w:val="left" w:pos="720"/>
          <w:tab w:val="left" w:pos="1440"/>
          <w:tab w:val="right" w:leader="dot" w:pos="8640"/>
          <w:tab w:val="left" w:pos="9240"/>
        </w:tabs>
        <w:spacing w:line="480" w:lineRule="auto"/>
        <w:ind w:left="720" w:hanging="720"/>
        <w:rPr>
          <w:b/>
        </w:rPr>
      </w:pPr>
      <w:r w:rsidRPr="00E73CB2">
        <w:rPr>
          <w:b/>
        </w:rPr>
        <w:t>Q.</w:t>
      </w:r>
      <w:r w:rsidRPr="00E73CB2">
        <w:rPr>
          <w:b/>
        </w:rPr>
        <w:tab/>
        <w:t>What are the primary steps involved in estimat</w:t>
      </w:r>
      <w:r w:rsidR="006659EB">
        <w:rPr>
          <w:b/>
        </w:rPr>
        <w:t>ing the</w:t>
      </w:r>
      <w:r w:rsidRPr="00E73CB2">
        <w:rPr>
          <w:b/>
        </w:rPr>
        <w:t xml:space="preserve"> fair rate of return for any regulated utility?</w:t>
      </w:r>
    </w:p>
    <w:p w14:paraId="34EA9A4C" w14:textId="77777777" w:rsidR="00E73CB2" w:rsidRPr="00AB6C70" w:rsidRDefault="00E73CB2" w:rsidP="00E73CB2">
      <w:pPr>
        <w:tabs>
          <w:tab w:val="left" w:pos="720"/>
          <w:tab w:val="left" w:pos="1440"/>
          <w:tab w:val="right" w:leader="dot" w:pos="8640"/>
          <w:tab w:val="left" w:pos="9240"/>
        </w:tabs>
        <w:spacing w:line="480" w:lineRule="auto"/>
        <w:ind w:left="720" w:hanging="720"/>
      </w:pPr>
      <w:r w:rsidRPr="00AB6C70">
        <w:t>A.</w:t>
      </w:r>
      <w:r w:rsidRPr="00AB6C70">
        <w:tab/>
      </w:r>
      <w:r w:rsidR="00ED3E26">
        <w:t>In this case, t</w:t>
      </w:r>
      <w:r w:rsidRPr="00AB6C70">
        <w:t xml:space="preserve">he </w:t>
      </w:r>
      <w:r w:rsidR="00A201C8">
        <w:t>primary steps are</w:t>
      </w:r>
      <w:r w:rsidR="008F4356">
        <w:t xml:space="preserve"> to</w:t>
      </w:r>
      <w:r w:rsidR="00A201C8">
        <w:t xml:space="preserve">: 1) </w:t>
      </w:r>
      <w:r w:rsidRPr="00AB6C70">
        <w:t>determine the proper capital structure to finance the operations of the utility</w:t>
      </w:r>
      <w:r w:rsidR="00A201C8">
        <w:t xml:space="preserve">; 2) </w:t>
      </w:r>
      <w:r w:rsidR="00CE2157">
        <w:t>estimate the cost of equity capital</w:t>
      </w:r>
      <w:r w:rsidR="00A201C8">
        <w:t>; 3)</w:t>
      </w:r>
      <w:r w:rsidR="00CE2157" w:rsidRPr="00CE2157">
        <w:t xml:space="preserve"> </w:t>
      </w:r>
      <w:r w:rsidR="00CE2157">
        <w:t>calculate the appropriate cost of debt</w:t>
      </w:r>
      <w:r w:rsidR="008F4356">
        <w:t xml:space="preserve">, including </w:t>
      </w:r>
      <w:r w:rsidR="00CE2157">
        <w:t>short and long-term debt</w:t>
      </w:r>
      <w:r w:rsidR="005D3D42">
        <w:t>; and 4)</w:t>
      </w:r>
      <w:r w:rsidR="00F02F26">
        <w:t xml:space="preserve"> </w:t>
      </w:r>
      <w:r w:rsidR="00406131">
        <w:lastRenderedPageBreak/>
        <w:t xml:space="preserve">adjust </w:t>
      </w:r>
      <w:r w:rsidR="00F02F26">
        <w:t xml:space="preserve">the </w:t>
      </w:r>
      <w:r w:rsidR="006659EB">
        <w:t>fair rate of return estimate</w:t>
      </w:r>
      <w:r w:rsidR="00406131">
        <w:t xml:space="preserve"> to account for the </w:t>
      </w:r>
      <w:r w:rsidR="006659EB">
        <w:t xml:space="preserve">stabilized cash flows and reduced </w:t>
      </w:r>
      <w:r w:rsidR="00406131">
        <w:t xml:space="preserve">risk </w:t>
      </w:r>
      <w:r w:rsidR="006659EB">
        <w:t xml:space="preserve">due to </w:t>
      </w:r>
      <w:r w:rsidR="00416E9F">
        <w:t xml:space="preserve">full </w:t>
      </w:r>
      <w:r w:rsidR="00406131">
        <w:t>decoupling.</w:t>
      </w:r>
    </w:p>
    <w:p w14:paraId="34EA9A4D" w14:textId="77777777" w:rsidR="00E73CB2" w:rsidRPr="00E73CB2" w:rsidRDefault="00E73CB2" w:rsidP="00E73CB2">
      <w:pPr>
        <w:tabs>
          <w:tab w:val="left" w:pos="720"/>
          <w:tab w:val="left" w:pos="1440"/>
          <w:tab w:val="right" w:leader="dot" w:pos="8640"/>
          <w:tab w:val="left" w:pos="9240"/>
        </w:tabs>
        <w:spacing w:line="480" w:lineRule="auto"/>
        <w:ind w:left="720" w:hanging="720"/>
        <w:rPr>
          <w:b/>
        </w:rPr>
      </w:pPr>
    </w:p>
    <w:p w14:paraId="34EA9A4E" w14:textId="77777777" w:rsidR="005D3B74" w:rsidRPr="00754502" w:rsidRDefault="00D26E1D" w:rsidP="00E25B05">
      <w:pPr>
        <w:keepNext/>
        <w:tabs>
          <w:tab w:val="left" w:pos="1440"/>
          <w:tab w:val="right" w:leader="dot" w:pos="8640"/>
          <w:tab w:val="left" w:pos="9240"/>
        </w:tabs>
        <w:spacing w:line="480" w:lineRule="auto"/>
        <w:ind w:left="723" w:hangingChars="300" w:hanging="723"/>
        <w:rPr>
          <w:b/>
        </w:rPr>
      </w:pPr>
      <w:r>
        <w:rPr>
          <w:b/>
        </w:rPr>
        <w:tab/>
      </w:r>
      <w:r w:rsidR="005D3B74">
        <w:rPr>
          <w:b/>
        </w:rPr>
        <w:t>A.</w:t>
      </w:r>
      <w:r w:rsidR="005D3B74">
        <w:rPr>
          <w:b/>
        </w:rPr>
        <w:tab/>
      </w:r>
      <w:r w:rsidR="005D3B74" w:rsidRPr="00754502">
        <w:rPr>
          <w:b/>
        </w:rPr>
        <w:t>E</w:t>
      </w:r>
      <w:r w:rsidR="005D3B74">
        <w:rPr>
          <w:b/>
        </w:rPr>
        <w:t>conomic and Legal Principles</w:t>
      </w:r>
    </w:p>
    <w:p w14:paraId="34EA9A4F" w14:textId="77777777" w:rsidR="005D3B74" w:rsidRDefault="005D3B74" w:rsidP="00E25B05">
      <w:pPr>
        <w:keepNext/>
        <w:tabs>
          <w:tab w:val="left" w:pos="720"/>
          <w:tab w:val="left" w:pos="1440"/>
          <w:tab w:val="right" w:leader="dot" w:pos="8640"/>
          <w:tab w:val="left" w:pos="9240"/>
        </w:tabs>
        <w:spacing w:line="480" w:lineRule="auto"/>
        <w:ind w:left="723" w:hangingChars="300" w:hanging="723"/>
        <w:rPr>
          <w:b/>
        </w:rPr>
      </w:pPr>
    </w:p>
    <w:p w14:paraId="34EA9A50" w14:textId="77777777" w:rsidR="005D3B74" w:rsidRDefault="005D3B74" w:rsidP="005D3B74">
      <w:pPr>
        <w:tabs>
          <w:tab w:val="left" w:pos="720"/>
          <w:tab w:val="left" w:pos="1440"/>
          <w:tab w:val="right" w:leader="dot" w:pos="8640"/>
          <w:tab w:val="left" w:pos="9240"/>
        </w:tabs>
        <w:spacing w:line="480" w:lineRule="auto"/>
        <w:ind w:left="720" w:hanging="720"/>
        <w:rPr>
          <w:b/>
        </w:rPr>
      </w:pPr>
      <w:r>
        <w:rPr>
          <w:b/>
        </w:rPr>
        <w:t>Q.</w:t>
      </w:r>
      <w:r>
        <w:rPr>
          <w:b/>
        </w:rPr>
        <w:tab/>
        <w:t>What principle</w:t>
      </w:r>
      <w:r w:rsidR="002E4EC0">
        <w:rPr>
          <w:b/>
        </w:rPr>
        <w:t>s</w:t>
      </w:r>
      <w:r>
        <w:rPr>
          <w:b/>
        </w:rPr>
        <w:t xml:space="preserve"> underl</w:t>
      </w:r>
      <w:r w:rsidR="00E55DE0">
        <w:rPr>
          <w:b/>
        </w:rPr>
        <w:t>ie</w:t>
      </w:r>
      <w:r>
        <w:rPr>
          <w:b/>
        </w:rPr>
        <w:t xml:space="preserve"> the Commission</w:t>
      </w:r>
      <w:r w:rsidR="00A15099">
        <w:rPr>
          <w:b/>
        </w:rPr>
        <w:t>’s</w:t>
      </w:r>
      <w:r>
        <w:rPr>
          <w:b/>
        </w:rPr>
        <w:t xml:space="preserve"> determination of the fair rate of return for a regulated utility?</w:t>
      </w:r>
    </w:p>
    <w:p w14:paraId="34EA9A51" w14:textId="77777777" w:rsidR="008862D6" w:rsidRPr="008862D6" w:rsidRDefault="005D3B74" w:rsidP="008862D6">
      <w:pPr>
        <w:tabs>
          <w:tab w:val="left" w:pos="720"/>
          <w:tab w:val="left" w:pos="1440"/>
          <w:tab w:val="right" w:leader="dot" w:pos="8640"/>
          <w:tab w:val="left" w:pos="9240"/>
        </w:tabs>
        <w:spacing w:line="480" w:lineRule="auto"/>
        <w:ind w:left="720" w:hanging="720"/>
        <w:rPr>
          <w:i/>
        </w:rPr>
      </w:pPr>
      <w:r>
        <w:t>A.</w:t>
      </w:r>
      <w:r>
        <w:tab/>
      </w:r>
      <w:r w:rsidR="008862D6">
        <w:t>Th</w:t>
      </w:r>
      <w:r>
        <w:t xml:space="preserve">e Commission </w:t>
      </w:r>
      <w:r w:rsidR="008862D6">
        <w:t>sets</w:t>
      </w:r>
      <w:r>
        <w:t xml:space="preserve"> </w:t>
      </w:r>
      <w:r w:rsidR="008862D6">
        <w:t>rates in order to provide the</w:t>
      </w:r>
      <w:r>
        <w:t xml:space="preserve"> utility an opportunity to recover its costs</w:t>
      </w:r>
      <w:r w:rsidR="00F02F26">
        <w:t xml:space="preserve"> to provide utility service</w:t>
      </w:r>
      <w:r>
        <w:t xml:space="preserve">, which includes a fair return on and of the capital </w:t>
      </w:r>
      <w:r w:rsidR="001E6FA9">
        <w:t xml:space="preserve">that </w:t>
      </w:r>
      <w:r>
        <w:t xml:space="preserve">investors provide to fund the long-lived assets necessary to provide utility services.  </w:t>
      </w:r>
      <w:r w:rsidR="001C3526">
        <w:t xml:space="preserve">This principle </w:t>
      </w:r>
      <w:r w:rsidR="00CE2157">
        <w:t>is found</w:t>
      </w:r>
      <w:r w:rsidR="001C3526">
        <w:t xml:space="preserve"> in Commission statutes </w:t>
      </w:r>
      <w:r w:rsidR="001C3526" w:rsidRPr="00E55DE0">
        <w:t>(</w:t>
      </w:r>
      <w:r w:rsidR="00463B0D">
        <w:rPr>
          <w:i/>
        </w:rPr>
        <w:t xml:space="preserve">e.g., </w:t>
      </w:r>
      <w:r w:rsidRPr="009A274B">
        <w:t>RCW 80.28.010, 80.04.250 &amp; 80.04.350</w:t>
      </w:r>
      <w:r w:rsidR="001C3526" w:rsidRPr="00E55DE0">
        <w:t>), and it is consistent with both econo</w:t>
      </w:r>
      <w:r w:rsidR="008862D6">
        <w:t>mic and legal theory.</w:t>
      </w:r>
    </w:p>
    <w:p w14:paraId="34EA9A52" w14:textId="77777777" w:rsidR="005D3B74" w:rsidRDefault="005D3B74" w:rsidP="005D3B74">
      <w:pPr>
        <w:tabs>
          <w:tab w:val="left" w:pos="720"/>
          <w:tab w:val="left" w:pos="1440"/>
          <w:tab w:val="right" w:leader="dot" w:pos="8640"/>
          <w:tab w:val="left" w:pos="9240"/>
        </w:tabs>
        <w:spacing w:line="480" w:lineRule="auto"/>
        <w:ind w:left="720" w:hanging="720"/>
      </w:pPr>
      <w:r>
        <w:tab/>
      </w:r>
      <w:r>
        <w:tab/>
        <w:t xml:space="preserve">Traditionally, the Commission </w:t>
      </w:r>
      <w:r w:rsidR="00215C18">
        <w:t xml:space="preserve">sets rates using </w:t>
      </w:r>
      <w:r>
        <w:t xml:space="preserve">what is commonly referred to as the </w:t>
      </w:r>
      <w:r w:rsidR="00215C18">
        <w:t>“</w:t>
      </w:r>
      <w:r>
        <w:t>rate base - rate of return</w:t>
      </w:r>
      <w:r w:rsidR="00215C18">
        <w:t>”</w:t>
      </w:r>
      <w:r>
        <w:t xml:space="preserve"> method</w:t>
      </w:r>
      <w:r w:rsidR="008862D6">
        <w:t>.  I</w:t>
      </w:r>
      <w:r w:rsidR="00811B8D">
        <w:t>n a rate case</w:t>
      </w:r>
      <w:r w:rsidR="00215C18">
        <w:t>,</w:t>
      </w:r>
      <w:r w:rsidR="00811B8D">
        <w:t xml:space="preserve"> </w:t>
      </w:r>
      <w:r>
        <w:t xml:space="preserve">the Commission establishes the relationship between revenue, expenses, and return on </w:t>
      </w:r>
      <w:r w:rsidR="00460926">
        <w:t>rate base</w:t>
      </w:r>
      <w:r w:rsidR="008862D6">
        <w:t xml:space="preserve"> in order </w:t>
      </w:r>
      <w:r>
        <w:t>to provide the utility an opportunity to recover a fair return o</w:t>
      </w:r>
      <w:r w:rsidR="001E33FD">
        <w:t xml:space="preserve">n the assets, or rate base, </w:t>
      </w:r>
      <w:r w:rsidR="00463B0D">
        <w:t xml:space="preserve">the utility uses to </w:t>
      </w:r>
      <w:r w:rsidR="001E33FD">
        <w:t>provid</w:t>
      </w:r>
      <w:r w:rsidR="00463B0D">
        <w:t>e</w:t>
      </w:r>
      <w:r w:rsidR="001E33FD">
        <w:t xml:space="preserve"> </w:t>
      </w:r>
      <w:r>
        <w:t>utility service.</w:t>
      </w:r>
      <w:r w:rsidR="00416E9F">
        <w:rPr>
          <w:rStyle w:val="FootnoteReference"/>
        </w:rPr>
        <w:footnoteReference w:id="4"/>
      </w:r>
      <w:r>
        <w:t xml:space="preserve">  This method presumes utility </w:t>
      </w:r>
      <w:r w:rsidR="00E814D6">
        <w:t xml:space="preserve">management </w:t>
      </w:r>
      <w:r>
        <w:t>is ef</w:t>
      </w:r>
      <w:r w:rsidR="00E814D6">
        <w:t>ficient</w:t>
      </w:r>
      <w:r w:rsidR="00C95762">
        <w:t xml:space="preserve"> in its operation of the utility</w:t>
      </w:r>
      <w:r>
        <w:t xml:space="preserve">.  </w:t>
      </w:r>
    </w:p>
    <w:p w14:paraId="34EA9A53" w14:textId="77777777" w:rsidR="005D3B74" w:rsidRDefault="005D3B74" w:rsidP="005D3B74">
      <w:pPr>
        <w:tabs>
          <w:tab w:val="left" w:pos="720"/>
          <w:tab w:val="left" w:pos="1440"/>
          <w:tab w:val="right" w:leader="dot" w:pos="8640"/>
          <w:tab w:val="left" w:pos="9240"/>
        </w:tabs>
        <w:spacing w:line="480" w:lineRule="auto"/>
        <w:ind w:left="720" w:hanging="720"/>
      </w:pPr>
      <w:r>
        <w:tab/>
      </w:r>
      <w:r>
        <w:tab/>
        <w:t xml:space="preserve">This principle is </w:t>
      </w:r>
      <w:r w:rsidR="003E791B">
        <w:t xml:space="preserve">also </w:t>
      </w:r>
      <w:r>
        <w:t>reflected in two significant decisions by the United States Supreme Court</w:t>
      </w:r>
      <w:r>
        <w:rPr>
          <w:i/>
        </w:rPr>
        <w:t>.</w:t>
      </w:r>
      <w:r>
        <w:t xml:space="preserve">  The first decision is </w:t>
      </w:r>
      <w:r w:rsidRPr="009864AC">
        <w:rPr>
          <w:i/>
        </w:rPr>
        <w:t>Bluefield Water Works and Improvement Co. v. Public Serv</w:t>
      </w:r>
      <w:r>
        <w:rPr>
          <w:i/>
        </w:rPr>
        <w:t>ice</w:t>
      </w:r>
      <w:r w:rsidRPr="009864AC">
        <w:rPr>
          <w:i/>
        </w:rPr>
        <w:t xml:space="preserve"> Comm</w:t>
      </w:r>
      <w:r>
        <w:rPr>
          <w:i/>
        </w:rPr>
        <w:t>ission</w:t>
      </w:r>
      <w:r w:rsidRPr="009864AC">
        <w:rPr>
          <w:i/>
        </w:rPr>
        <w:t xml:space="preserve"> of West Virginia</w:t>
      </w:r>
      <w:r>
        <w:t xml:space="preserve">, 262 U.S. 679, 692 (1923).  This decision established the following concepts to guide the determination of a fair rate </w:t>
      </w:r>
      <w:r>
        <w:lastRenderedPageBreak/>
        <w:t xml:space="preserve">of return in the rate setting process:  comparable earnings for comparable risks, maintaining financial integrity of the regulated firm, the ability of the firm to raise capital </w:t>
      </w:r>
      <w:r w:rsidR="001E33FD">
        <w:t xml:space="preserve">on reasonable terms </w:t>
      </w:r>
      <w:r>
        <w:t>and the expectation that the utility is operated efficiently.</w:t>
      </w:r>
    </w:p>
    <w:p w14:paraId="34EA9A54" w14:textId="77777777" w:rsidR="00911022" w:rsidRDefault="005D3B74" w:rsidP="00463B0D">
      <w:pPr>
        <w:tabs>
          <w:tab w:val="left" w:pos="720"/>
          <w:tab w:val="left" w:pos="1440"/>
          <w:tab w:val="left" w:pos="9240"/>
        </w:tabs>
        <w:spacing w:line="480" w:lineRule="auto"/>
        <w:ind w:left="720"/>
      </w:pPr>
      <w:r>
        <w:tab/>
        <w:t xml:space="preserve">The second decision is </w:t>
      </w:r>
      <w:r w:rsidRPr="009864AC">
        <w:rPr>
          <w:i/>
        </w:rPr>
        <w:t>Federal Power Comm</w:t>
      </w:r>
      <w:r>
        <w:rPr>
          <w:i/>
        </w:rPr>
        <w:t>ission</w:t>
      </w:r>
      <w:r w:rsidRPr="009864AC">
        <w:rPr>
          <w:i/>
        </w:rPr>
        <w:t xml:space="preserve"> v. Hope Natural Gas Co.</w:t>
      </w:r>
      <w:r>
        <w:t xml:space="preserve">, 320 U.S. 591, 603 (1942).  In that decision, the Court affirmed the concepts the Court stated </w:t>
      </w:r>
      <w:r w:rsidR="00215C18">
        <w:t xml:space="preserve">previously </w:t>
      </w:r>
      <w:r>
        <w:t xml:space="preserve">in </w:t>
      </w:r>
      <w:r w:rsidRPr="00910212">
        <w:rPr>
          <w:i/>
        </w:rPr>
        <w:t>Bluefield</w:t>
      </w:r>
      <w:r>
        <w:rPr>
          <w:i/>
        </w:rPr>
        <w:t>,</w:t>
      </w:r>
      <w:r>
        <w:t xml:space="preserve"> and recognized that regulators should balance consumer and </w:t>
      </w:r>
      <w:r w:rsidR="00215C18">
        <w:t xml:space="preserve">investor </w:t>
      </w:r>
      <w:r>
        <w:t>interests in determining a fair rate of return.</w:t>
      </w:r>
      <w:r w:rsidR="00105605">
        <w:t xml:space="preserve">  </w:t>
      </w:r>
    </w:p>
    <w:p w14:paraId="34EA9A55" w14:textId="77777777" w:rsidR="005E2E17" w:rsidRDefault="005E2E17" w:rsidP="00463B0D">
      <w:pPr>
        <w:pStyle w:val="ListParagraph"/>
        <w:spacing w:line="480" w:lineRule="auto"/>
        <w:ind w:left="778" w:firstLine="662"/>
        <w:jc w:val="both"/>
      </w:pPr>
      <w:r>
        <w:t xml:space="preserve">Finally, I want to emphasize a point made by the Court in </w:t>
      </w:r>
      <w:r w:rsidRPr="00CE2157">
        <w:rPr>
          <w:i/>
        </w:rPr>
        <w:t>Bluefield</w:t>
      </w:r>
      <w:r w:rsidR="00463B0D">
        <w:t>, where t</w:t>
      </w:r>
      <w:r>
        <w:t>he Court stated</w:t>
      </w:r>
      <w:r w:rsidR="00463B0D">
        <w:t xml:space="preserve">: </w:t>
      </w:r>
      <w:r>
        <w:t>“…[a] rate of return may be reasonable at one time, and become too high or too low by changes affecting opportunities for investment, the money market, and business conditions generally.”</w:t>
      </w:r>
      <w:r w:rsidR="00463B0D">
        <w:t xml:space="preserve">  262 U.S. at 692.</w:t>
      </w:r>
    </w:p>
    <w:p w14:paraId="34EA9A56" w14:textId="77777777" w:rsidR="00820E6E" w:rsidRDefault="005E2E17" w:rsidP="00463B0D">
      <w:pPr>
        <w:spacing w:line="480" w:lineRule="auto"/>
        <w:ind w:left="720" w:firstLine="720"/>
      </w:pPr>
      <w:r>
        <w:t xml:space="preserve">This </w:t>
      </w:r>
      <w:r w:rsidR="00463B0D">
        <w:t xml:space="preserve">statement </w:t>
      </w:r>
      <w:r>
        <w:t>has parti</w:t>
      </w:r>
      <w:r w:rsidR="00431956">
        <w:t>cular application in this case.  C</w:t>
      </w:r>
      <w:r>
        <w:t>apital costs have declined substantially</w:t>
      </w:r>
      <w:r w:rsidR="00463B0D">
        <w:t xml:space="preserve"> in recent years</w:t>
      </w:r>
      <w:r>
        <w:t xml:space="preserve">.  Consistent with the </w:t>
      </w:r>
      <w:r>
        <w:rPr>
          <w:i/>
        </w:rPr>
        <w:t xml:space="preserve">Bluefield </w:t>
      </w:r>
      <w:r w:rsidR="007746D0">
        <w:t>and</w:t>
      </w:r>
      <w:r w:rsidR="00431956">
        <w:rPr>
          <w:i/>
        </w:rPr>
        <w:t xml:space="preserve"> Hope </w:t>
      </w:r>
      <w:r>
        <w:t>decision</w:t>
      </w:r>
      <w:r w:rsidR="00431956">
        <w:t>s</w:t>
      </w:r>
      <w:r>
        <w:t>, the Commission should recognize that fact in determining the profit ratepayers should pay to Avista’s owners through rates.</w:t>
      </w:r>
      <w:r w:rsidR="00820E6E">
        <w:t xml:space="preserve">  </w:t>
      </w:r>
    </w:p>
    <w:p w14:paraId="34EA9A57" w14:textId="77777777" w:rsidR="00820E6E" w:rsidRDefault="00463B0D" w:rsidP="00820E6E">
      <w:pPr>
        <w:spacing w:line="480" w:lineRule="auto"/>
        <w:ind w:left="720" w:firstLine="720"/>
      </w:pPr>
      <w:r>
        <w:t xml:space="preserve">This statement </w:t>
      </w:r>
      <w:r w:rsidR="002E4EC0">
        <w:t xml:space="preserve">by the Court </w:t>
      </w:r>
      <w:r>
        <w:t xml:space="preserve">also </w:t>
      </w:r>
      <w:r w:rsidR="002E4EC0">
        <w:t>means the terms “al</w:t>
      </w:r>
      <w:r w:rsidR="00A14F0B">
        <w:t>lowed</w:t>
      </w:r>
      <w:r>
        <w:t xml:space="preserve"> rate of return”</w:t>
      </w:r>
      <w:r w:rsidR="00A14F0B">
        <w:t xml:space="preserve"> </w:t>
      </w:r>
      <w:r w:rsidR="002E4EC0">
        <w:t>and</w:t>
      </w:r>
      <w:r w:rsidR="00A14F0B">
        <w:t xml:space="preserve"> </w:t>
      </w:r>
      <w:r>
        <w:t>”</w:t>
      </w:r>
      <w:r w:rsidR="00A14F0B">
        <w:t>authorized</w:t>
      </w:r>
      <w:r>
        <w:t xml:space="preserve"> rate of return”</w:t>
      </w:r>
      <w:r w:rsidR="002E4EC0">
        <w:t xml:space="preserve"> should be used with caution, </w:t>
      </w:r>
      <w:r>
        <w:t xml:space="preserve">because </w:t>
      </w:r>
      <w:r w:rsidR="00216357">
        <w:t xml:space="preserve">they </w:t>
      </w:r>
      <w:r>
        <w:t xml:space="preserve">suggest an </w:t>
      </w:r>
      <w:r w:rsidR="00896511">
        <w:t>ongoing</w:t>
      </w:r>
      <w:r w:rsidR="00E03B82">
        <w:t xml:space="preserve"> </w:t>
      </w:r>
      <w:r w:rsidR="00A14F0B">
        <w:t xml:space="preserve">entitlement to some </w:t>
      </w:r>
      <w:r>
        <w:t xml:space="preserve">particular </w:t>
      </w:r>
      <w:r w:rsidR="00A14F0B">
        <w:t xml:space="preserve">level of earnings for a utility.  </w:t>
      </w:r>
      <w:r w:rsidR="00896511">
        <w:t>As t</w:t>
      </w:r>
      <w:r w:rsidR="00A14F0B">
        <w:t xml:space="preserve">he </w:t>
      </w:r>
      <w:r>
        <w:t>C</w:t>
      </w:r>
      <w:r w:rsidR="00A14F0B">
        <w:t xml:space="preserve">ourt </w:t>
      </w:r>
      <w:r>
        <w:t>recognized</w:t>
      </w:r>
      <w:r w:rsidR="00F02F26">
        <w:t>,</w:t>
      </w:r>
      <w:r>
        <w:t xml:space="preserve"> the appropriate rate of return for </w:t>
      </w:r>
      <w:r w:rsidR="00A14F0B">
        <w:t xml:space="preserve">a </w:t>
      </w:r>
      <w:r>
        <w:t xml:space="preserve">regulated </w:t>
      </w:r>
      <w:r w:rsidR="00A14F0B">
        <w:t xml:space="preserve">utility may change over time.  </w:t>
      </w:r>
      <w:r w:rsidR="00216357">
        <w:t>A</w:t>
      </w:r>
      <w:r w:rsidR="00A14F0B">
        <w:t xml:space="preserve"> Commission </w:t>
      </w:r>
      <w:r w:rsidR="00216357">
        <w:t>determination of</w:t>
      </w:r>
      <w:r w:rsidR="00A14F0B">
        <w:t xml:space="preserve"> a fair r</w:t>
      </w:r>
      <w:r w:rsidR="00216357">
        <w:t xml:space="preserve">ate of return in a rate case </w:t>
      </w:r>
      <w:r w:rsidR="00896511">
        <w:t xml:space="preserve">should </w:t>
      </w:r>
      <w:r w:rsidR="00216357">
        <w:t>not sanction or otherwise authorize a certain level of earnings</w:t>
      </w:r>
      <w:r>
        <w:t xml:space="preserve"> in some future period</w:t>
      </w:r>
      <w:r w:rsidR="00216357">
        <w:t xml:space="preserve">.  </w:t>
      </w:r>
    </w:p>
    <w:p w14:paraId="34EA9A58" w14:textId="296159E0" w:rsidR="00A87D78" w:rsidRDefault="00A87D78" w:rsidP="00820E6E">
      <w:pPr>
        <w:spacing w:line="480" w:lineRule="auto"/>
        <w:ind w:left="720" w:firstLine="720"/>
      </w:pPr>
      <w:r>
        <w:t>The final issue involving the principles of fair economic regulation is the transfer of risk from shareholders to ratepayers in this case due to the proposal</w:t>
      </w:r>
      <w:r w:rsidR="00896511">
        <w:t>s</w:t>
      </w:r>
      <w:r>
        <w:t xml:space="preserve"> </w:t>
      </w:r>
      <w:r w:rsidR="00896511">
        <w:t>for</w:t>
      </w:r>
      <w:r>
        <w:t xml:space="preserve"> </w:t>
      </w:r>
      <w:r>
        <w:lastRenderedPageBreak/>
        <w:t xml:space="preserve">full decoupling </w:t>
      </w:r>
      <w:r w:rsidR="00CE36D0">
        <w:t>of</w:t>
      </w:r>
      <w:r>
        <w:t xml:space="preserve"> the Company’s regulated </w:t>
      </w:r>
      <w:r w:rsidR="00896511">
        <w:t xml:space="preserve">electric and natural gas </w:t>
      </w:r>
      <w:r>
        <w:t xml:space="preserve">operations.  The </w:t>
      </w:r>
      <w:r w:rsidR="002E4EC0">
        <w:t xml:space="preserve">Commission </w:t>
      </w:r>
      <w:r w:rsidR="00CE36D0">
        <w:t>recognizes</w:t>
      </w:r>
      <w:r w:rsidR="002E4EC0">
        <w:t xml:space="preserve"> </w:t>
      </w:r>
      <w:r>
        <w:t>decoupling reduces business risk.</w:t>
      </w:r>
      <w:r>
        <w:rPr>
          <w:rStyle w:val="FootnoteReference"/>
        </w:rPr>
        <w:footnoteReference w:id="5"/>
      </w:r>
      <w:r>
        <w:t xml:space="preserve">  </w:t>
      </w:r>
      <w:r w:rsidR="002E4EC0">
        <w:t xml:space="preserve">I </w:t>
      </w:r>
      <w:r w:rsidR="00CE36D0">
        <w:t>propose</w:t>
      </w:r>
      <w:r w:rsidR="002E4EC0">
        <w:t xml:space="preserve"> a </w:t>
      </w:r>
      <w:r>
        <w:t xml:space="preserve">simple and fair mechanism to capture the </w:t>
      </w:r>
      <w:r w:rsidR="002E4EC0">
        <w:t xml:space="preserve">impact </w:t>
      </w:r>
      <w:r>
        <w:t>of full decoupling</w:t>
      </w:r>
      <w:r w:rsidR="002E4EC0">
        <w:t xml:space="preserve"> on Avista</w:t>
      </w:r>
      <w:r w:rsidR="00A92D83">
        <w:t>’s cost of service</w:t>
      </w:r>
      <w:r>
        <w:t xml:space="preserve">.  </w:t>
      </w:r>
    </w:p>
    <w:p w14:paraId="34EA9A59" w14:textId="77777777" w:rsidR="00A14F0B" w:rsidRDefault="00A14F0B" w:rsidP="00C771B2">
      <w:pPr>
        <w:spacing w:line="480" w:lineRule="auto"/>
        <w:rPr>
          <w:b/>
        </w:rPr>
      </w:pPr>
    </w:p>
    <w:p w14:paraId="34EA9A5A" w14:textId="77777777" w:rsidR="005D3B74" w:rsidRDefault="00F02F26" w:rsidP="00C3435B">
      <w:pPr>
        <w:spacing w:line="480" w:lineRule="auto"/>
        <w:rPr>
          <w:b/>
        </w:rPr>
      </w:pPr>
      <w:r>
        <w:rPr>
          <w:b/>
        </w:rPr>
        <w:tab/>
      </w:r>
      <w:r w:rsidR="009B70DF">
        <w:rPr>
          <w:b/>
        </w:rPr>
        <w:t>B</w:t>
      </w:r>
      <w:r w:rsidR="005D3B74">
        <w:rPr>
          <w:b/>
        </w:rPr>
        <w:t>.</w:t>
      </w:r>
      <w:r w:rsidR="005D3B74">
        <w:rPr>
          <w:b/>
        </w:rPr>
        <w:tab/>
      </w:r>
      <w:r w:rsidR="005D3B74" w:rsidRPr="000C7034">
        <w:rPr>
          <w:b/>
        </w:rPr>
        <w:t xml:space="preserve">General Economic </w:t>
      </w:r>
      <w:r w:rsidR="00DF1FB6">
        <w:rPr>
          <w:b/>
        </w:rPr>
        <w:t xml:space="preserve">and Financial </w:t>
      </w:r>
      <w:r w:rsidR="005D3B74" w:rsidRPr="000C7034">
        <w:rPr>
          <w:b/>
        </w:rPr>
        <w:t>Conditions</w:t>
      </w:r>
    </w:p>
    <w:p w14:paraId="34EA9A5B" w14:textId="77777777" w:rsidR="005D3B74" w:rsidRDefault="005D3B74" w:rsidP="00C771B2">
      <w:pPr>
        <w:keepNext/>
        <w:keepLines/>
        <w:spacing w:line="480" w:lineRule="auto"/>
        <w:rPr>
          <w:b/>
          <w:u w:val="single"/>
        </w:rPr>
      </w:pPr>
    </w:p>
    <w:p w14:paraId="34EA9A5C" w14:textId="77777777" w:rsidR="005D3B74" w:rsidRPr="00B90C66" w:rsidRDefault="005D3B74" w:rsidP="005D3B74">
      <w:pPr>
        <w:pStyle w:val="TestimonyQuestion"/>
        <w:spacing w:before="0" w:after="0" w:line="480" w:lineRule="auto"/>
        <w:jc w:val="left"/>
      </w:pPr>
      <w:r w:rsidRPr="00B90C66">
        <w:t>Q.</w:t>
      </w:r>
      <w:r w:rsidRPr="00B90C66">
        <w:tab/>
      </w:r>
      <w:r w:rsidRPr="00B90C66">
        <w:rPr>
          <w:caps w:val="0"/>
        </w:rPr>
        <w:t xml:space="preserve">What </w:t>
      </w:r>
      <w:r w:rsidR="00F02F26">
        <w:rPr>
          <w:caps w:val="0"/>
        </w:rPr>
        <w:t xml:space="preserve">general </w:t>
      </w:r>
      <w:r w:rsidRPr="00B90C66">
        <w:rPr>
          <w:caps w:val="0"/>
        </w:rPr>
        <w:t xml:space="preserve">economic and financial </w:t>
      </w:r>
      <w:r>
        <w:rPr>
          <w:caps w:val="0"/>
        </w:rPr>
        <w:t xml:space="preserve">conditions are relevant to your </w:t>
      </w:r>
      <w:r w:rsidR="00CA694C">
        <w:rPr>
          <w:caps w:val="0"/>
        </w:rPr>
        <w:t>estimate</w:t>
      </w:r>
      <w:r>
        <w:rPr>
          <w:caps w:val="0"/>
        </w:rPr>
        <w:t xml:space="preserve"> of </w:t>
      </w:r>
      <w:r w:rsidR="00300C21">
        <w:rPr>
          <w:caps w:val="0"/>
        </w:rPr>
        <w:t>Avista</w:t>
      </w:r>
      <w:r w:rsidR="00CA694C">
        <w:rPr>
          <w:caps w:val="0"/>
        </w:rPr>
        <w:t xml:space="preserve">’s </w:t>
      </w:r>
      <w:r>
        <w:rPr>
          <w:caps w:val="0"/>
        </w:rPr>
        <w:t xml:space="preserve">cost of </w:t>
      </w:r>
      <w:r w:rsidR="00CA694C">
        <w:rPr>
          <w:caps w:val="0"/>
        </w:rPr>
        <w:t xml:space="preserve">equity </w:t>
      </w:r>
      <w:r>
        <w:rPr>
          <w:caps w:val="0"/>
        </w:rPr>
        <w:t>capital</w:t>
      </w:r>
      <w:r w:rsidRPr="00B90C66">
        <w:rPr>
          <w:caps w:val="0"/>
        </w:rPr>
        <w:t>?</w:t>
      </w:r>
    </w:p>
    <w:p w14:paraId="34EA9A5D" w14:textId="77777777" w:rsidR="005D3B74" w:rsidRDefault="005D3B74" w:rsidP="005D3B74">
      <w:pPr>
        <w:pStyle w:val="TestimonyAnswer"/>
        <w:tabs>
          <w:tab w:val="left" w:pos="1440"/>
        </w:tabs>
        <w:spacing w:after="0" w:line="480" w:lineRule="auto"/>
        <w:jc w:val="left"/>
      </w:pPr>
      <w:r>
        <w:t>A.</w:t>
      </w:r>
      <w:r>
        <w:tab/>
      </w:r>
      <w:r w:rsidR="00A45682">
        <w:t>Cu</w:t>
      </w:r>
      <w:r>
        <w:t>rrent e</w:t>
      </w:r>
      <w:r w:rsidRPr="00B90C66">
        <w:t xml:space="preserve">conomic </w:t>
      </w:r>
      <w:r w:rsidR="00CA694C">
        <w:t>and financial conditions</w:t>
      </w:r>
      <w:r w:rsidR="002E4EC0">
        <w:t xml:space="preserve"> </w:t>
      </w:r>
      <w:r w:rsidR="00A45682">
        <w:t>inform</w:t>
      </w:r>
      <w:r w:rsidR="002E4EC0">
        <w:t xml:space="preserve"> my estimate of Avista’s cost of equity capital</w:t>
      </w:r>
      <w:r w:rsidR="00941785">
        <w:t>.  I</w:t>
      </w:r>
      <w:r>
        <w:t>nvestor expectations</w:t>
      </w:r>
      <w:r w:rsidR="001E6CEA">
        <w:t xml:space="preserve"> and </w:t>
      </w:r>
      <w:r w:rsidR="00A91CC6">
        <w:t xml:space="preserve">stock </w:t>
      </w:r>
      <w:r>
        <w:t>prices</w:t>
      </w:r>
      <w:r w:rsidR="003A2A31">
        <w:t xml:space="preserve"> reflect </w:t>
      </w:r>
      <w:r w:rsidR="00941785">
        <w:t>current</w:t>
      </w:r>
      <w:r w:rsidR="003A2A31">
        <w:t xml:space="preserve"> </w:t>
      </w:r>
      <w:r w:rsidR="00857C4E">
        <w:t>expectations</w:t>
      </w:r>
      <w:r>
        <w:t xml:space="preserve">. </w:t>
      </w:r>
      <w:r w:rsidR="007B4C67">
        <w:t xml:space="preserve"> </w:t>
      </w:r>
      <w:r w:rsidR="00941785">
        <w:t>Therefore, s</w:t>
      </w:r>
      <w:r w:rsidR="001E6CEA">
        <w:t>tock prices reflect current opportunity costs,</w:t>
      </w:r>
      <w:r>
        <w:t xml:space="preserve"> not </w:t>
      </w:r>
      <w:r w:rsidR="00857C4E">
        <w:t>past events</w:t>
      </w:r>
      <w:r>
        <w:t xml:space="preserve">. </w:t>
      </w:r>
      <w:r w:rsidR="00E37F01">
        <w:t xml:space="preserve"> </w:t>
      </w:r>
      <w:r w:rsidR="005D3D42">
        <w:t xml:space="preserve"> </w:t>
      </w:r>
    </w:p>
    <w:p w14:paraId="34EA9A5E" w14:textId="77777777" w:rsidR="005D3B74" w:rsidRPr="00B90C66" w:rsidRDefault="005D3B74" w:rsidP="005D3B74">
      <w:pPr>
        <w:pStyle w:val="TestimonyAnswer"/>
        <w:tabs>
          <w:tab w:val="left" w:pos="1440"/>
        </w:tabs>
        <w:spacing w:after="0" w:line="480" w:lineRule="auto"/>
        <w:jc w:val="left"/>
      </w:pPr>
    </w:p>
    <w:p w14:paraId="34EA9A5F" w14:textId="77777777" w:rsidR="005D3B74" w:rsidRPr="00B90C66" w:rsidRDefault="005D3B74" w:rsidP="005D3B74">
      <w:pPr>
        <w:pStyle w:val="TestimonyQuestion"/>
        <w:spacing w:before="0" w:after="0" w:line="480" w:lineRule="auto"/>
        <w:jc w:val="left"/>
      </w:pPr>
      <w:r w:rsidRPr="00B90C66">
        <w:t>Q.</w:t>
      </w:r>
      <w:r w:rsidRPr="00B90C66">
        <w:tab/>
      </w:r>
      <w:r>
        <w:rPr>
          <w:caps w:val="0"/>
        </w:rPr>
        <w:t xml:space="preserve">What is your general </w:t>
      </w:r>
      <w:r w:rsidR="00334182">
        <w:rPr>
          <w:caps w:val="0"/>
        </w:rPr>
        <w:t>expectation</w:t>
      </w:r>
      <w:r>
        <w:rPr>
          <w:caps w:val="0"/>
        </w:rPr>
        <w:t xml:space="preserve"> regarding the impact of current </w:t>
      </w:r>
      <w:r w:rsidRPr="00B90C66">
        <w:rPr>
          <w:caps w:val="0"/>
        </w:rPr>
        <w:t xml:space="preserve">financial conditions </w:t>
      </w:r>
      <w:r>
        <w:rPr>
          <w:caps w:val="0"/>
        </w:rPr>
        <w:t>on investor expectations?</w:t>
      </w:r>
    </w:p>
    <w:p w14:paraId="34EA9A60" w14:textId="49331E1C" w:rsidR="00356CC1" w:rsidRDefault="005D3B74" w:rsidP="005D3B74">
      <w:pPr>
        <w:pStyle w:val="TestimonyAnswer"/>
        <w:tabs>
          <w:tab w:val="left" w:pos="1440"/>
        </w:tabs>
        <w:spacing w:after="0" w:line="480" w:lineRule="auto"/>
        <w:jc w:val="left"/>
      </w:pPr>
      <w:r w:rsidRPr="00B90C66">
        <w:t>A.</w:t>
      </w:r>
      <w:r w:rsidRPr="00B90C66">
        <w:tab/>
      </w:r>
      <w:r>
        <w:t xml:space="preserve">My general </w:t>
      </w:r>
      <w:r w:rsidR="00334182">
        <w:t>expectation</w:t>
      </w:r>
      <w:r w:rsidR="00AE19A8">
        <w:t xml:space="preserve"> </w:t>
      </w:r>
      <w:r w:rsidR="00D46CAD">
        <w:t xml:space="preserve">is </w:t>
      </w:r>
      <w:r w:rsidR="00AE19A8">
        <w:t xml:space="preserve">that the </w:t>
      </w:r>
      <w:r>
        <w:t xml:space="preserve">current macro-economic climate will continue </w:t>
      </w:r>
      <w:r w:rsidR="00125C16">
        <w:t>through the rate year</w:t>
      </w:r>
      <w:r w:rsidR="00985E3D">
        <w:t>, 201</w:t>
      </w:r>
      <w:r w:rsidR="00E37F01">
        <w:t>5</w:t>
      </w:r>
      <w:r w:rsidR="000B5FEE">
        <w:t xml:space="preserve">.  Furthermore, the current interest rate environment </w:t>
      </w:r>
      <w:r w:rsidR="00105611">
        <w:t xml:space="preserve">and monetary policy </w:t>
      </w:r>
      <w:r w:rsidR="000B5FEE">
        <w:t>will continue to keep the cost of capital low.</w:t>
      </w:r>
      <w:r w:rsidR="00E37F01">
        <w:t xml:space="preserve">  </w:t>
      </w:r>
      <w:r w:rsidR="005D3D42">
        <w:t xml:space="preserve">  </w:t>
      </w:r>
    </w:p>
    <w:p w14:paraId="34EA9A61" w14:textId="77777777" w:rsidR="00894EE5" w:rsidRDefault="00894EE5" w:rsidP="005D3B74">
      <w:pPr>
        <w:pStyle w:val="TestimonyAnswer"/>
        <w:tabs>
          <w:tab w:val="left" w:pos="1440"/>
        </w:tabs>
        <w:spacing w:after="0" w:line="480" w:lineRule="auto"/>
        <w:jc w:val="left"/>
      </w:pPr>
    </w:p>
    <w:p w14:paraId="34EA9A62" w14:textId="77777777" w:rsidR="00894EE5" w:rsidRPr="00894EE5" w:rsidRDefault="00894EE5" w:rsidP="005D3B74">
      <w:pPr>
        <w:pStyle w:val="TestimonyAnswer"/>
        <w:tabs>
          <w:tab w:val="left" w:pos="1440"/>
        </w:tabs>
        <w:spacing w:after="0" w:line="480" w:lineRule="auto"/>
        <w:jc w:val="left"/>
        <w:rPr>
          <w:b/>
        </w:rPr>
      </w:pPr>
      <w:r>
        <w:rPr>
          <w:b/>
        </w:rPr>
        <w:t>Q.</w:t>
      </w:r>
      <w:r>
        <w:rPr>
          <w:b/>
        </w:rPr>
        <w:tab/>
        <w:t>What information did you rely upon to inform your expectation for the financial conditions that most likely will occur in the rate year?</w:t>
      </w:r>
    </w:p>
    <w:p w14:paraId="34EA9A63" w14:textId="78C333D9" w:rsidR="00461A34" w:rsidRDefault="00894EE5" w:rsidP="005D3B74">
      <w:pPr>
        <w:pStyle w:val="TestimonyAnswer"/>
        <w:tabs>
          <w:tab w:val="left" w:pos="1440"/>
        </w:tabs>
        <w:spacing w:after="0" w:line="480" w:lineRule="auto"/>
        <w:jc w:val="left"/>
      </w:pPr>
      <w:r>
        <w:t>A.</w:t>
      </w:r>
      <w:r w:rsidR="00356CC1">
        <w:tab/>
      </w:r>
      <w:r w:rsidR="00A4473A">
        <w:t xml:space="preserve">I </w:t>
      </w:r>
      <w:r>
        <w:t>regularly review</w:t>
      </w:r>
      <w:r w:rsidR="00A4473A">
        <w:t xml:space="preserve"> the </w:t>
      </w:r>
      <w:r>
        <w:t>actions and discussions</w:t>
      </w:r>
      <w:r w:rsidR="00A4473A">
        <w:t xml:space="preserve"> of the Federal Reserve’s Open Market Committee</w:t>
      </w:r>
      <w:r w:rsidR="00232324">
        <w:t xml:space="preserve"> (“FOMC”)</w:t>
      </w:r>
      <w:r w:rsidR="005658B0">
        <w:t xml:space="preserve">. </w:t>
      </w:r>
      <w:r w:rsidR="00404962">
        <w:t xml:space="preserve"> </w:t>
      </w:r>
      <w:r w:rsidR="00912261">
        <w:t xml:space="preserve">In particular, the </w:t>
      </w:r>
      <w:r w:rsidR="00232324">
        <w:t>FOMC</w:t>
      </w:r>
      <w:r w:rsidR="00912261">
        <w:t xml:space="preserve"> believes that the economy cannot </w:t>
      </w:r>
      <w:r w:rsidR="00912261">
        <w:lastRenderedPageBreak/>
        <w:t>operate at historical interest rate</w:t>
      </w:r>
      <w:r w:rsidR="002E4EC0">
        <w:t xml:space="preserve"> level</w:t>
      </w:r>
      <w:r w:rsidR="00912261">
        <w:t>s</w:t>
      </w:r>
      <w:r w:rsidR="00554A38">
        <w:t xml:space="preserve"> once the economy recovers</w:t>
      </w:r>
      <w:r w:rsidR="00912261">
        <w:t>.</w:t>
      </w:r>
      <w:r w:rsidR="00912261">
        <w:rPr>
          <w:rStyle w:val="FootnoteReference"/>
        </w:rPr>
        <w:footnoteReference w:id="6"/>
      </w:r>
      <w:r w:rsidR="00912261">
        <w:t xml:space="preserve">  </w:t>
      </w:r>
      <w:r w:rsidR="002E4EC0">
        <w:tab/>
        <w:t xml:space="preserve">In fact, </w:t>
      </w:r>
      <w:r w:rsidR="00941785">
        <w:t>once</w:t>
      </w:r>
      <w:r w:rsidR="00461A34">
        <w:t xml:space="preserve"> the </w:t>
      </w:r>
      <w:r w:rsidR="00232324">
        <w:t>FOMC</w:t>
      </w:r>
      <w:r w:rsidR="00941785">
        <w:t xml:space="preserve"> began to ease</w:t>
      </w:r>
      <w:r w:rsidR="00461A34">
        <w:t xml:space="preserve"> its purchases of bond</w:t>
      </w:r>
      <w:r w:rsidR="00D77729">
        <w:t>s</w:t>
      </w:r>
      <w:r w:rsidR="00461A34">
        <w:t xml:space="preserve"> with the goal of eliminating </w:t>
      </w:r>
      <w:r w:rsidR="00941785">
        <w:t xml:space="preserve">such </w:t>
      </w:r>
      <w:r w:rsidR="00461A34">
        <w:t>purchases by th</w:t>
      </w:r>
      <w:r w:rsidR="002E4EC0">
        <w:t>e</w:t>
      </w:r>
      <w:r w:rsidR="00461A34">
        <w:t xml:space="preserve"> summer</w:t>
      </w:r>
      <w:r w:rsidR="002E4EC0">
        <w:t xml:space="preserve"> of 2014</w:t>
      </w:r>
      <w:r w:rsidR="00461A34">
        <w:t xml:space="preserve">, interest rates on 10-year Treasury bonds declined </w:t>
      </w:r>
      <w:r w:rsidR="002E4EC0">
        <w:t xml:space="preserve">from </w:t>
      </w:r>
      <w:r w:rsidR="00461A34">
        <w:t xml:space="preserve">3.0 percent to 2.7 percent </w:t>
      </w:r>
      <w:r w:rsidR="002E4EC0">
        <w:t>(from December 2013 to March 2014)</w:t>
      </w:r>
      <w:r w:rsidR="00461A34">
        <w:t xml:space="preserve">.  </w:t>
      </w:r>
      <w:r w:rsidR="00424343">
        <w:t>At the end of second quarter 2014</w:t>
      </w:r>
      <w:r w:rsidR="00D77729">
        <w:t>,</w:t>
      </w:r>
      <w:r w:rsidR="00424343">
        <w:t xml:space="preserve"> rates on 10-year Treasury bonds were  </w:t>
      </w:r>
      <w:r w:rsidR="00F827BA">
        <w:t xml:space="preserve">2.50 </w:t>
      </w:r>
      <w:r w:rsidR="00424343">
        <w:t>percent.  T</w:t>
      </w:r>
      <w:r w:rsidR="00356CC1">
        <w:t xml:space="preserve">he </w:t>
      </w:r>
      <w:r w:rsidR="00232324">
        <w:t>FOMC</w:t>
      </w:r>
      <w:r w:rsidR="00356CC1">
        <w:t xml:space="preserve"> at its March meeting continued to be worried about low </w:t>
      </w:r>
      <w:r w:rsidR="003977C6">
        <w:t>inflation</w:t>
      </w:r>
      <w:r w:rsidR="00356CC1">
        <w:t xml:space="preserve"> and the risk of deflation.</w:t>
      </w:r>
      <w:r w:rsidR="00356CC1">
        <w:rPr>
          <w:rStyle w:val="FootnoteReference"/>
        </w:rPr>
        <w:footnoteReference w:id="7"/>
      </w:r>
      <w:r w:rsidR="00356CC1">
        <w:t xml:space="preserve">  </w:t>
      </w:r>
      <w:r w:rsidR="00D336CE">
        <w:t xml:space="preserve">Finally, weak housing continues to be a factor in </w:t>
      </w:r>
      <w:r w:rsidR="00D34F38">
        <w:t xml:space="preserve">the policy considerations of the </w:t>
      </w:r>
      <w:r w:rsidR="00232324">
        <w:t>FOMC</w:t>
      </w:r>
      <w:r w:rsidR="00D34F38">
        <w:t>.  As a result</w:t>
      </w:r>
      <w:r w:rsidR="00206F0C">
        <w:t>,</w:t>
      </w:r>
      <w:r w:rsidR="00D34F38">
        <w:t xml:space="preserve"> interest rates will continue to be low for many more months.</w:t>
      </w:r>
      <w:r w:rsidR="00D34F38">
        <w:rPr>
          <w:rStyle w:val="FootnoteReference"/>
        </w:rPr>
        <w:footnoteReference w:id="8"/>
      </w:r>
      <w:r w:rsidR="00B14A3E">
        <w:t xml:space="preserve">  </w:t>
      </w:r>
      <w:r w:rsidR="00D77729">
        <w:t>Notably, a</w:t>
      </w:r>
      <w:r w:rsidR="00B14A3E">
        <w:t xml:space="preserve">t </w:t>
      </w:r>
      <w:r w:rsidR="00C82F4A">
        <w:t>its</w:t>
      </w:r>
      <w:r w:rsidR="00B14A3E">
        <w:t xml:space="preserve"> June meeting</w:t>
      </w:r>
      <w:r w:rsidR="00F02F26">
        <w:t>,</w:t>
      </w:r>
      <w:r w:rsidR="00B14A3E">
        <w:t xml:space="preserve"> the </w:t>
      </w:r>
      <w:r w:rsidR="00232324">
        <w:t>FOMC</w:t>
      </w:r>
      <w:r w:rsidR="00B14A3E">
        <w:t xml:space="preserve"> also lowered its forecast for long-term interest rates and indicated that rates would remain at near zero for a considerable period.</w:t>
      </w:r>
      <w:r w:rsidR="00B14A3E">
        <w:rPr>
          <w:rStyle w:val="FootnoteReference"/>
        </w:rPr>
        <w:footnoteReference w:id="9"/>
      </w:r>
      <w:r w:rsidR="00B73CA2">
        <w:t xml:space="preserve">  </w:t>
      </w:r>
      <w:r w:rsidR="00232324">
        <w:t>I</w:t>
      </w:r>
      <w:r w:rsidR="00B73CA2">
        <w:t xml:space="preserve">n </w:t>
      </w:r>
      <w:r w:rsidR="00232324">
        <w:t xml:space="preserve">prepared testimony before Congress on </w:t>
      </w:r>
      <w:r w:rsidR="00B73CA2">
        <w:t xml:space="preserve">July </w:t>
      </w:r>
      <w:r w:rsidR="00232324">
        <w:t xml:space="preserve">15, </w:t>
      </w:r>
      <w:r w:rsidR="00B73CA2">
        <w:t>2014</w:t>
      </w:r>
      <w:r w:rsidR="00D22F4E">
        <w:t>,</w:t>
      </w:r>
      <w:r w:rsidR="00B73CA2">
        <w:t xml:space="preserve"> the </w:t>
      </w:r>
      <w:r w:rsidR="00053D68">
        <w:t>Chairman</w:t>
      </w:r>
      <w:r w:rsidR="00232324">
        <w:t xml:space="preserve"> of the FOMC</w:t>
      </w:r>
      <w:r w:rsidR="00B73CA2">
        <w:t xml:space="preserve"> </w:t>
      </w:r>
      <w:r w:rsidR="00232324">
        <w:t xml:space="preserve">testified that it expected to continue its accommodative policy to support the economy and </w:t>
      </w:r>
      <w:r w:rsidR="00B73CA2">
        <w:t>to end purchases of bonds in October 2014</w:t>
      </w:r>
      <w:r w:rsidR="009A38CB">
        <w:t xml:space="preserve">.  This had </w:t>
      </w:r>
      <w:r w:rsidR="00232324">
        <w:t xml:space="preserve">virtually </w:t>
      </w:r>
      <w:r w:rsidR="00B73CA2">
        <w:t>no impact on interest rates for long-term bonds.</w:t>
      </w:r>
      <w:r w:rsidR="00232324">
        <w:t xml:space="preserve">  </w:t>
      </w:r>
    </w:p>
    <w:p w14:paraId="34EA9A65" w14:textId="189AB16B" w:rsidR="005D3B74" w:rsidRDefault="00E16E5C" w:rsidP="005D3B74">
      <w:pPr>
        <w:pStyle w:val="TestimonyAnswer"/>
        <w:tabs>
          <w:tab w:val="left" w:pos="1440"/>
        </w:tabs>
        <w:spacing w:after="0" w:line="480" w:lineRule="auto"/>
        <w:jc w:val="left"/>
      </w:pPr>
      <w:r>
        <w:tab/>
      </w:r>
      <w:r>
        <w:tab/>
      </w:r>
      <w:r w:rsidR="00461A34">
        <w:tab/>
      </w:r>
      <w:r w:rsidR="00D34F38">
        <w:t>It is my conclusion that r</w:t>
      </w:r>
      <w:r w:rsidR="00356CC1">
        <w:t xml:space="preserve">ising interest rates and the </w:t>
      </w:r>
      <w:r w:rsidR="003977C6">
        <w:t>corollary</w:t>
      </w:r>
      <w:r w:rsidR="00356CC1">
        <w:t xml:space="preserve"> impact this may have on the cost of equity</w:t>
      </w:r>
      <w:r w:rsidR="00AA692B">
        <w:t xml:space="preserve"> will not happen until</w:t>
      </w:r>
      <w:r w:rsidR="00461A34">
        <w:t xml:space="preserve"> there is clear evidence t</w:t>
      </w:r>
      <w:r w:rsidR="00AA692B">
        <w:t>hat</w:t>
      </w:r>
      <w:r w:rsidR="00356CC1">
        <w:t xml:space="preserve"> persistently low</w:t>
      </w:r>
      <w:r w:rsidR="00AA692B">
        <w:t xml:space="preserve"> inflation is </w:t>
      </w:r>
      <w:r w:rsidR="00356CC1">
        <w:t>abated</w:t>
      </w:r>
      <w:r w:rsidR="00AA692B">
        <w:t xml:space="preserve"> and the economy </w:t>
      </w:r>
      <w:r w:rsidR="00356CC1">
        <w:t>show</w:t>
      </w:r>
      <w:r w:rsidR="00424343">
        <w:t>s</w:t>
      </w:r>
      <w:r w:rsidR="00356CC1">
        <w:t xml:space="preserve"> signs of more robust growth</w:t>
      </w:r>
      <w:r w:rsidR="00AA692B">
        <w:t>.</w:t>
      </w:r>
      <w:r w:rsidR="005D3D42">
        <w:t xml:space="preserve">  As I will show later in my testimony, current market prices for utility equity demonstrate continued downward </w:t>
      </w:r>
      <w:r w:rsidR="00925156">
        <w:t>pressure</w:t>
      </w:r>
      <w:r w:rsidR="005D3D42">
        <w:t xml:space="preserve"> on the cost of equity.</w:t>
      </w:r>
    </w:p>
    <w:p w14:paraId="34EA9A66" w14:textId="77777777" w:rsidR="00894EE5" w:rsidRDefault="00894EE5" w:rsidP="00E5511E">
      <w:pPr>
        <w:spacing w:line="480" w:lineRule="auto"/>
        <w:rPr>
          <w:b/>
        </w:rPr>
      </w:pPr>
    </w:p>
    <w:p w14:paraId="3CBD9918" w14:textId="761D3229" w:rsidR="00A0224C" w:rsidRDefault="00D26E1D" w:rsidP="00A0224C">
      <w:pPr>
        <w:pStyle w:val="FootnoteText"/>
        <w:keepNext/>
        <w:spacing w:line="480" w:lineRule="auto"/>
        <w:rPr>
          <w:b/>
          <w:sz w:val="24"/>
        </w:rPr>
      </w:pPr>
      <w:r w:rsidRPr="00FA0D4F">
        <w:rPr>
          <w:b/>
          <w:sz w:val="24"/>
        </w:rPr>
        <w:lastRenderedPageBreak/>
        <w:tab/>
      </w:r>
      <w:r w:rsidR="009B70DF" w:rsidRPr="00FA0D4F">
        <w:rPr>
          <w:b/>
          <w:sz w:val="24"/>
        </w:rPr>
        <w:t>C</w:t>
      </w:r>
      <w:r w:rsidR="00F75B5C" w:rsidRPr="00FA0D4F">
        <w:rPr>
          <w:b/>
          <w:sz w:val="24"/>
        </w:rPr>
        <w:t>.</w:t>
      </w:r>
      <w:r w:rsidR="00F75B5C" w:rsidRPr="00FA0D4F">
        <w:rPr>
          <w:b/>
          <w:sz w:val="24"/>
        </w:rPr>
        <w:tab/>
      </w:r>
      <w:r w:rsidR="00300C21" w:rsidRPr="00FA0D4F">
        <w:rPr>
          <w:b/>
          <w:sz w:val="24"/>
        </w:rPr>
        <w:t>Avista</w:t>
      </w:r>
      <w:r w:rsidR="008746EF" w:rsidRPr="00FA0D4F">
        <w:rPr>
          <w:b/>
          <w:sz w:val="24"/>
        </w:rPr>
        <w:t>’</w:t>
      </w:r>
      <w:r w:rsidR="00A15099" w:rsidRPr="00FA0D4F">
        <w:rPr>
          <w:b/>
          <w:sz w:val="24"/>
        </w:rPr>
        <w:t>s</w:t>
      </w:r>
      <w:r w:rsidR="00F75B5C" w:rsidRPr="00FA0D4F">
        <w:rPr>
          <w:b/>
          <w:sz w:val="24"/>
        </w:rPr>
        <w:t xml:space="preserve"> </w:t>
      </w:r>
      <w:r w:rsidR="00F75B5C" w:rsidRPr="00FA0D4F">
        <w:rPr>
          <w:rStyle w:val="FootnoteReference"/>
          <w:b/>
          <w:sz w:val="24"/>
          <w:vertAlign w:val="baseline"/>
        </w:rPr>
        <w:t>Operations</w:t>
      </w:r>
      <w:r w:rsidR="00F75B5C" w:rsidRPr="00FA0D4F">
        <w:rPr>
          <w:b/>
          <w:sz w:val="24"/>
        </w:rPr>
        <w:t xml:space="preserve"> a</w:t>
      </w:r>
      <w:r w:rsidR="005D3B74" w:rsidRPr="00FA0D4F">
        <w:rPr>
          <w:b/>
          <w:sz w:val="24"/>
        </w:rPr>
        <w:t>nd Risks</w:t>
      </w:r>
    </w:p>
    <w:p w14:paraId="73686FD6" w14:textId="77777777" w:rsidR="00A0224C" w:rsidRPr="00A0224C" w:rsidRDefault="00A0224C" w:rsidP="00A0224C">
      <w:pPr>
        <w:pStyle w:val="FootnoteText"/>
        <w:keepNext/>
        <w:spacing w:line="480" w:lineRule="auto"/>
        <w:rPr>
          <w:b/>
          <w:sz w:val="24"/>
        </w:rPr>
      </w:pPr>
    </w:p>
    <w:p w14:paraId="34EA9A69" w14:textId="77777777" w:rsidR="005D3B74" w:rsidRDefault="00941785" w:rsidP="005D3B74">
      <w:pPr>
        <w:spacing w:line="480" w:lineRule="auto"/>
        <w:rPr>
          <w:b/>
        </w:rPr>
      </w:pPr>
      <w:r>
        <w:rPr>
          <w:b/>
        </w:rPr>
        <w:t>Q.</w:t>
      </w:r>
      <w:r>
        <w:rPr>
          <w:b/>
        </w:rPr>
        <w:tab/>
        <w:t xml:space="preserve">Please summarize </w:t>
      </w:r>
      <w:r w:rsidR="00300C21">
        <w:rPr>
          <w:b/>
        </w:rPr>
        <w:t>Avista</w:t>
      </w:r>
      <w:r w:rsidR="005D3B74">
        <w:rPr>
          <w:b/>
        </w:rPr>
        <w:t xml:space="preserve"> and its operations.</w:t>
      </w:r>
    </w:p>
    <w:p w14:paraId="34EA9A6A" w14:textId="77777777" w:rsidR="001B3253" w:rsidRDefault="005D3B74" w:rsidP="005D3B74">
      <w:pPr>
        <w:spacing w:line="480" w:lineRule="auto"/>
        <w:ind w:left="720" w:hanging="720"/>
      </w:pPr>
      <w:r>
        <w:t>A.</w:t>
      </w:r>
      <w:r>
        <w:tab/>
      </w:r>
      <w:r w:rsidR="004E1DCD">
        <w:t xml:space="preserve">As I described earlier, </w:t>
      </w:r>
      <w:r w:rsidR="00300C21">
        <w:t>Avista</w:t>
      </w:r>
      <w:r>
        <w:t xml:space="preserve"> </w:t>
      </w:r>
      <w:r w:rsidR="00E55DE0">
        <w:t>Utilities (</w:t>
      </w:r>
      <w:r w:rsidR="00334182">
        <w:t>“</w:t>
      </w:r>
      <w:r w:rsidR="00E55DE0">
        <w:t>Avista</w:t>
      </w:r>
      <w:r w:rsidR="00404962">
        <w:t>” or “the Company</w:t>
      </w:r>
      <w:r w:rsidR="00334182">
        <w:t>”</w:t>
      </w:r>
      <w:r w:rsidR="00E55DE0">
        <w:t xml:space="preserve">) </w:t>
      </w:r>
      <w:r>
        <w:t xml:space="preserve">is </w:t>
      </w:r>
      <w:r w:rsidR="00300C21">
        <w:t xml:space="preserve">the </w:t>
      </w:r>
      <w:r w:rsidR="00EF641B">
        <w:t xml:space="preserve">utility </w:t>
      </w:r>
      <w:r w:rsidR="00300C21">
        <w:t xml:space="preserve">operating company of Avista </w:t>
      </w:r>
      <w:r>
        <w:t>Corporation</w:t>
      </w:r>
      <w:r w:rsidR="00DF1FB6">
        <w:t xml:space="preserve">.  </w:t>
      </w:r>
      <w:r w:rsidR="00CA0292">
        <w:t>As an electric company</w:t>
      </w:r>
      <w:r w:rsidR="00DF1FB6">
        <w:t xml:space="preserve">, </w:t>
      </w:r>
      <w:r w:rsidR="006A425C">
        <w:t>Avista</w:t>
      </w:r>
      <w:r w:rsidR="00300C21">
        <w:t xml:space="preserve"> provide</w:t>
      </w:r>
      <w:r w:rsidR="00CA0292">
        <w:t>s</w:t>
      </w:r>
      <w:r w:rsidR="00300C21">
        <w:t xml:space="preserve"> </w:t>
      </w:r>
      <w:r>
        <w:t>distribution, transmission, generation, purchase and sale of electric energy to customers in the central and eastern</w:t>
      </w:r>
      <w:r w:rsidR="00456743">
        <w:t xml:space="preserve"> region of Washington and  Idaho</w:t>
      </w:r>
      <w:r>
        <w:t xml:space="preserve">.  </w:t>
      </w:r>
      <w:r w:rsidR="001B3253">
        <w:t>Avista</w:t>
      </w:r>
      <w:r w:rsidR="005B648F">
        <w:t xml:space="preserve"> is commonly referred to as a </w:t>
      </w:r>
      <w:r>
        <w:t>fu</w:t>
      </w:r>
      <w:r w:rsidR="005B648F">
        <w:t>lly integrated electric utility</w:t>
      </w:r>
      <w:r>
        <w:t xml:space="preserve">.   </w:t>
      </w:r>
    </w:p>
    <w:p w14:paraId="34EA9A6B" w14:textId="77777777" w:rsidR="00BB6FA1" w:rsidRDefault="001B3253" w:rsidP="005D3B74">
      <w:pPr>
        <w:spacing w:line="480" w:lineRule="auto"/>
        <w:ind w:left="720" w:hanging="720"/>
      </w:pPr>
      <w:r>
        <w:tab/>
      </w:r>
      <w:r>
        <w:tab/>
        <w:t xml:space="preserve">Avista’s </w:t>
      </w:r>
      <w:r w:rsidR="00300C21">
        <w:t xml:space="preserve">natural gas operations are commonly </w:t>
      </w:r>
      <w:r w:rsidR="004B2A00">
        <w:t>referred to as</w:t>
      </w:r>
      <w:r w:rsidR="00300C21">
        <w:t xml:space="preserve"> local distribution</w:t>
      </w:r>
      <w:r w:rsidR="004B2A00">
        <w:t xml:space="preserve">. </w:t>
      </w:r>
      <w:r>
        <w:t xml:space="preserve"> </w:t>
      </w:r>
      <w:r w:rsidR="006A425C">
        <w:t>Avista</w:t>
      </w:r>
      <w:r w:rsidR="00DF1FB6">
        <w:t xml:space="preserve"> </w:t>
      </w:r>
      <w:r w:rsidR="00300C21">
        <w:t xml:space="preserve">buys </w:t>
      </w:r>
      <w:r w:rsidR="008746EF">
        <w:t>natural</w:t>
      </w:r>
      <w:r w:rsidR="00300C21">
        <w:t xml:space="preserve"> gas in competitive markets, </w:t>
      </w:r>
      <w:r w:rsidR="00896511">
        <w:t>acquires</w:t>
      </w:r>
      <w:r w:rsidR="00300C21">
        <w:t xml:space="preserve"> interstate pipeline services under FERC</w:t>
      </w:r>
      <w:r w:rsidR="00DF1FB6">
        <w:t>-</w:t>
      </w:r>
      <w:r w:rsidR="00300C21">
        <w:t xml:space="preserve">approved tariffs and then distributes </w:t>
      </w:r>
      <w:r w:rsidR="00896511">
        <w:t xml:space="preserve">the </w:t>
      </w:r>
      <w:r w:rsidR="00300C21">
        <w:t xml:space="preserve">gas to its customers </w:t>
      </w:r>
      <w:r w:rsidR="004B2A00">
        <w:t>over its</w:t>
      </w:r>
      <w:r w:rsidR="00300C21">
        <w:t xml:space="preserve"> </w:t>
      </w:r>
      <w:r w:rsidR="004B2A00">
        <w:t>local distribution facilities</w:t>
      </w:r>
      <w:r w:rsidR="00456743">
        <w:t xml:space="preserve"> in Washington, Idaho and Oregon</w:t>
      </w:r>
      <w:r w:rsidR="003A480D">
        <w:t>.</w:t>
      </w:r>
    </w:p>
    <w:p w14:paraId="34EA9A6C" w14:textId="77777777" w:rsidR="00CA5AAD" w:rsidRDefault="00CA5AAD" w:rsidP="005D3B74">
      <w:pPr>
        <w:spacing w:line="480" w:lineRule="auto"/>
        <w:ind w:left="720" w:hanging="720"/>
        <w:rPr>
          <w:b/>
        </w:rPr>
      </w:pPr>
    </w:p>
    <w:p w14:paraId="34EA9A6D" w14:textId="77777777" w:rsidR="00BB6FA1" w:rsidRDefault="00BB6FA1" w:rsidP="005D3B74">
      <w:pPr>
        <w:spacing w:line="480" w:lineRule="auto"/>
        <w:ind w:left="720" w:hanging="720"/>
      </w:pPr>
      <w:r>
        <w:rPr>
          <w:b/>
        </w:rPr>
        <w:t>Q.</w:t>
      </w:r>
      <w:r>
        <w:rPr>
          <w:b/>
        </w:rPr>
        <w:tab/>
        <w:t xml:space="preserve">How do you describe </w:t>
      </w:r>
      <w:r w:rsidR="00FD761B">
        <w:rPr>
          <w:b/>
        </w:rPr>
        <w:t xml:space="preserve">Avista’s </w:t>
      </w:r>
      <w:r>
        <w:rPr>
          <w:b/>
        </w:rPr>
        <w:t xml:space="preserve">regulated electric and gas operations from an overall </w:t>
      </w:r>
      <w:r w:rsidR="00E16E5C">
        <w:rPr>
          <w:b/>
        </w:rPr>
        <w:t xml:space="preserve">business </w:t>
      </w:r>
      <w:r>
        <w:rPr>
          <w:b/>
        </w:rPr>
        <w:t>risk perspective?</w:t>
      </w:r>
    </w:p>
    <w:p w14:paraId="34EA9A6E" w14:textId="017051C4" w:rsidR="005D3B74" w:rsidRPr="005F65E8" w:rsidRDefault="00BB6FA1" w:rsidP="005F65E8">
      <w:pPr>
        <w:spacing w:line="480" w:lineRule="auto"/>
        <w:ind w:left="720" w:hanging="720"/>
      </w:pPr>
      <w:r>
        <w:t>A.</w:t>
      </w:r>
      <w:r w:rsidR="005D3B74">
        <w:tab/>
        <w:t xml:space="preserve">In my judgment, </w:t>
      </w:r>
      <w:r w:rsidR="00300C21">
        <w:t>Avista</w:t>
      </w:r>
      <w:r w:rsidR="008746EF">
        <w:t>’s</w:t>
      </w:r>
      <w:r w:rsidR="005D3B74">
        <w:t xml:space="preserve"> regulated electric </w:t>
      </w:r>
      <w:r w:rsidR="000C54D0">
        <w:t xml:space="preserve">and natural gas </w:t>
      </w:r>
      <w:r w:rsidR="00F72AD8">
        <w:t>operations are a lower risk</w:t>
      </w:r>
      <w:r w:rsidR="005D3B74">
        <w:t xml:space="preserve"> business than </w:t>
      </w:r>
      <w:r w:rsidR="00105611">
        <w:t>unregulated businesses. It</w:t>
      </w:r>
      <w:r w:rsidR="00F02F26">
        <w:t xml:space="preserve">s regulated operations are of lower risk than </w:t>
      </w:r>
      <w:r w:rsidR="005D3B74">
        <w:t xml:space="preserve">utilities with </w:t>
      </w:r>
      <w:r w:rsidR="00E55DE0">
        <w:t xml:space="preserve">significant </w:t>
      </w:r>
      <w:r w:rsidR="005D3B74">
        <w:t>unregulated operations</w:t>
      </w:r>
      <w:r w:rsidR="00E55DE0">
        <w:t>,</w:t>
      </w:r>
      <w:r w:rsidR="005D3B74">
        <w:t xml:space="preserve"> or </w:t>
      </w:r>
      <w:r w:rsidR="004B2A00">
        <w:t>other holding companies that own utilities</w:t>
      </w:r>
      <w:r w:rsidR="006A425C">
        <w:t>,</w:t>
      </w:r>
      <w:r w:rsidR="004B2A00">
        <w:t xml:space="preserve"> but </w:t>
      </w:r>
      <w:r w:rsidR="006A425C">
        <w:t xml:space="preserve">also </w:t>
      </w:r>
      <w:r w:rsidR="004B2A00">
        <w:t>have s</w:t>
      </w:r>
      <w:r w:rsidR="005D3B74">
        <w:t>ignificant investments in unregulated operations.</w:t>
      </w:r>
      <w:r w:rsidR="00941785">
        <w:rPr>
          <w:rStyle w:val="FootnoteReference"/>
        </w:rPr>
        <w:footnoteReference w:id="10"/>
      </w:r>
      <w:r w:rsidR="005D3B74">
        <w:t xml:space="preserve"> </w:t>
      </w:r>
      <w:r w:rsidR="00404962">
        <w:t xml:space="preserve"> </w:t>
      </w:r>
      <w:r w:rsidR="00F02F26">
        <w:t xml:space="preserve">Avista </w:t>
      </w:r>
      <w:r w:rsidR="00404962">
        <w:t xml:space="preserve">should not be compared to companies </w:t>
      </w:r>
      <w:r w:rsidR="00A45682">
        <w:t>that have</w:t>
      </w:r>
      <w:r w:rsidR="00404962">
        <w:t xml:space="preserve"> </w:t>
      </w:r>
      <w:r w:rsidR="009072F1">
        <w:t>only un</w:t>
      </w:r>
      <w:r w:rsidR="00404962">
        <w:t xml:space="preserve">regulated operations.  </w:t>
      </w:r>
      <w:r w:rsidR="006A425C">
        <w:t>R</w:t>
      </w:r>
      <w:r w:rsidR="00456743">
        <w:t>isks vary across industries</w:t>
      </w:r>
      <w:r w:rsidR="006A425C">
        <w:t xml:space="preserve">, which is </w:t>
      </w:r>
      <w:r w:rsidR="00456743">
        <w:t xml:space="preserve">why </w:t>
      </w:r>
      <w:r w:rsidR="00404962" w:rsidRPr="00404962">
        <w:rPr>
          <w:i/>
        </w:rPr>
        <w:t>Value Line</w:t>
      </w:r>
      <w:r w:rsidR="00456743">
        <w:rPr>
          <w:i/>
        </w:rPr>
        <w:t xml:space="preserve"> </w:t>
      </w:r>
      <w:r w:rsidR="00456743">
        <w:t>recognizes</w:t>
      </w:r>
      <w:r w:rsidR="00404962">
        <w:t xml:space="preserve"> 124 different industries in </w:t>
      </w:r>
      <w:r w:rsidR="00E16E5C">
        <w:t>its research reports covering equities</w:t>
      </w:r>
      <w:r w:rsidR="00BB26F4">
        <w:t xml:space="preserve">.  It explains why investors do not </w:t>
      </w:r>
      <w:r w:rsidR="00BB26F4">
        <w:lastRenderedPageBreak/>
        <w:t>consider investments in unregulated operations comparable to an investment in a regulated utility.</w:t>
      </w:r>
    </w:p>
    <w:p w14:paraId="34EA9A6F" w14:textId="77777777" w:rsidR="005D3B74" w:rsidRDefault="005D3B74" w:rsidP="00131071">
      <w:pPr>
        <w:tabs>
          <w:tab w:val="left" w:pos="720"/>
          <w:tab w:val="left" w:pos="1440"/>
          <w:tab w:val="left" w:pos="9240"/>
        </w:tabs>
        <w:spacing w:line="480" w:lineRule="auto"/>
        <w:rPr>
          <w:b/>
        </w:rPr>
      </w:pPr>
    </w:p>
    <w:p w14:paraId="34EA9A70" w14:textId="77777777" w:rsidR="005D3B74" w:rsidRDefault="005D3B74" w:rsidP="005D3B74">
      <w:pPr>
        <w:tabs>
          <w:tab w:val="left" w:pos="720"/>
          <w:tab w:val="left" w:pos="1440"/>
          <w:tab w:val="left" w:pos="9240"/>
        </w:tabs>
        <w:spacing w:line="480" w:lineRule="auto"/>
        <w:jc w:val="center"/>
        <w:rPr>
          <w:b/>
          <w:u w:val="single"/>
        </w:rPr>
      </w:pPr>
      <w:r>
        <w:rPr>
          <w:b/>
        </w:rPr>
        <w:t>IV.</w:t>
      </w:r>
      <w:r>
        <w:rPr>
          <w:b/>
        </w:rPr>
        <w:tab/>
      </w:r>
      <w:r w:rsidRPr="000C7034">
        <w:rPr>
          <w:b/>
        </w:rPr>
        <w:t xml:space="preserve">CAPITAL STRUCTURE </w:t>
      </w:r>
    </w:p>
    <w:p w14:paraId="34EA9A71" w14:textId="77777777" w:rsidR="005D3B74" w:rsidRDefault="005D3B74" w:rsidP="005D3B74">
      <w:pPr>
        <w:tabs>
          <w:tab w:val="left" w:pos="720"/>
          <w:tab w:val="left" w:pos="1440"/>
          <w:tab w:val="left" w:pos="9240"/>
        </w:tabs>
        <w:spacing w:line="480" w:lineRule="auto"/>
        <w:jc w:val="both"/>
        <w:rPr>
          <w:b/>
          <w:u w:val="single"/>
        </w:rPr>
      </w:pPr>
    </w:p>
    <w:p w14:paraId="34EA9A72" w14:textId="77777777" w:rsidR="005D3B74" w:rsidRDefault="005D3B74" w:rsidP="005D3B74">
      <w:pPr>
        <w:spacing w:line="480" w:lineRule="auto"/>
        <w:ind w:left="720" w:hanging="720"/>
        <w:rPr>
          <w:b/>
        </w:rPr>
      </w:pPr>
      <w:r w:rsidRPr="003D403F">
        <w:rPr>
          <w:b/>
        </w:rPr>
        <w:t>Q.</w:t>
      </w:r>
      <w:r w:rsidRPr="003D403F">
        <w:rPr>
          <w:b/>
        </w:rPr>
        <w:tab/>
      </w:r>
      <w:r w:rsidR="00A45682">
        <w:rPr>
          <w:b/>
        </w:rPr>
        <w:t xml:space="preserve">Please explain the </w:t>
      </w:r>
      <w:r w:rsidRPr="003D403F">
        <w:rPr>
          <w:b/>
        </w:rPr>
        <w:t>capital structure</w:t>
      </w:r>
      <w:r w:rsidR="00EC2CE9">
        <w:rPr>
          <w:b/>
        </w:rPr>
        <w:t xml:space="preserve"> </w:t>
      </w:r>
      <w:r w:rsidR="00A45682">
        <w:rPr>
          <w:b/>
        </w:rPr>
        <w:t>issue</w:t>
      </w:r>
      <w:r w:rsidR="00EC2CE9">
        <w:rPr>
          <w:b/>
        </w:rPr>
        <w:t xml:space="preserve"> in the context of </w:t>
      </w:r>
      <w:r w:rsidR="00E41DA3">
        <w:rPr>
          <w:b/>
        </w:rPr>
        <w:t>the Commission’s rate setting process</w:t>
      </w:r>
      <w:r>
        <w:rPr>
          <w:b/>
        </w:rPr>
        <w:t>.</w:t>
      </w:r>
    </w:p>
    <w:p w14:paraId="34EA9A73" w14:textId="77777777" w:rsidR="004E1DCD" w:rsidRDefault="005D3B74" w:rsidP="00C63DBA">
      <w:pPr>
        <w:spacing w:line="480" w:lineRule="auto"/>
        <w:ind w:left="720" w:hanging="720"/>
      </w:pPr>
      <w:r w:rsidRPr="003D403F">
        <w:t>A.</w:t>
      </w:r>
      <w:r w:rsidRPr="003D403F">
        <w:tab/>
      </w:r>
      <w:r w:rsidR="006A425C">
        <w:t xml:space="preserve">Capital </w:t>
      </w:r>
      <w:r w:rsidRPr="003D403F">
        <w:t xml:space="preserve">structure is </w:t>
      </w:r>
      <w:r w:rsidR="00E55DE0">
        <w:t xml:space="preserve">the mix of </w:t>
      </w:r>
      <w:r w:rsidR="002A7F85">
        <w:t>debt and equity</w:t>
      </w:r>
      <w:r w:rsidRPr="003D403F">
        <w:t xml:space="preserve"> </w:t>
      </w:r>
      <w:r w:rsidR="006A425C">
        <w:t xml:space="preserve">capital used to </w:t>
      </w:r>
      <w:r w:rsidR="00E16E5C">
        <w:t xml:space="preserve">finance the long-lived assets necessary to deliver service to the public.  </w:t>
      </w:r>
      <w:r w:rsidRPr="00B95C8C">
        <w:t xml:space="preserve">Consistent with financial theory, </w:t>
      </w:r>
      <w:r w:rsidR="00531AEF">
        <w:t xml:space="preserve">management’s </w:t>
      </w:r>
      <w:r w:rsidR="00F72AD8">
        <w:t>obligation</w:t>
      </w:r>
      <w:r w:rsidR="001703D5">
        <w:t xml:space="preserve"> </w:t>
      </w:r>
      <w:r w:rsidR="00531AEF">
        <w:t xml:space="preserve">is </w:t>
      </w:r>
      <w:r w:rsidR="001703D5">
        <w:t>to</w:t>
      </w:r>
      <w:r w:rsidR="00DF1FB6">
        <w:t xml:space="preserve"> </w:t>
      </w:r>
      <w:r w:rsidR="00406131">
        <w:t xml:space="preserve">finance </w:t>
      </w:r>
      <w:r w:rsidR="00D77729">
        <w:t xml:space="preserve">the firm’s </w:t>
      </w:r>
      <w:r w:rsidR="00406131">
        <w:t>assets</w:t>
      </w:r>
      <w:r w:rsidR="002A7F85">
        <w:t xml:space="preserve"> to</w:t>
      </w:r>
      <w:r w:rsidR="00DF1FB6">
        <w:t xml:space="preserve"> </w:t>
      </w:r>
      <w:r w:rsidRPr="00B95C8C">
        <w:t>achieve the lowest overall cost</w:t>
      </w:r>
      <w:r w:rsidR="00424343">
        <w:t xml:space="preserve"> to</w:t>
      </w:r>
      <w:r w:rsidR="00E16E5C">
        <w:t xml:space="preserve"> maximize the value of the firm</w:t>
      </w:r>
      <w:r w:rsidRPr="00B95C8C">
        <w:t>.</w:t>
      </w:r>
      <w:r>
        <w:t xml:space="preserve">  </w:t>
      </w:r>
      <w:r w:rsidR="004B2A00">
        <w:t>In turn, the firm is able to keep it</w:t>
      </w:r>
      <w:r w:rsidR="00DF1FB6">
        <w:t>s</w:t>
      </w:r>
      <w:r w:rsidR="004B2A00">
        <w:t xml:space="preserve"> prices </w:t>
      </w:r>
      <w:r w:rsidR="00B57AAA">
        <w:t xml:space="preserve">lower </w:t>
      </w:r>
      <w:r w:rsidR="004B2A00">
        <w:t xml:space="preserve">for the benefit of its customers. </w:t>
      </w:r>
      <w:r w:rsidR="00895C85">
        <w:t xml:space="preserve"> F</w:t>
      </w:r>
      <w:r w:rsidR="00406131">
        <w:t xml:space="preserve">inancing properly and </w:t>
      </w:r>
      <w:r w:rsidR="00845590">
        <w:t>minimizing the cost of capital</w:t>
      </w:r>
      <w:r w:rsidR="00406131">
        <w:t xml:space="preserve"> is paramount to ensuring management meets its obligation to shareholders to maximize the value of the company.</w:t>
      </w:r>
      <w:r w:rsidR="009A76DB">
        <w:t xml:space="preserve">  </w:t>
      </w:r>
    </w:p>
    <w:p w14:paraId="34EA9A74" w14:textId="77777777" w:rsidR="00A67C4C" w:rsidRDefault="00A67C4C" w:rsidP="005D3B74">
      <w:pPr>
        <w:tabs>
          <w:tab w:val="left" w:pos="720"/>
          <w:tab w:val="left" w:pos="1440"/>
          <w:tab w:val="left" w:pos="9240"/>
        </w:tabs>
        <w:spacing w:line="480" w:lineRule="auto"/>
        <w:ind w:left="720" w:hanging="720"/>
        <w:rPr>
          <w:b/>
        </w:rPr>
      </w:pPr>
    </w:p>
    <w:p w14:paraId="34EA9A75" w14:textId="77777777" w:rsidR="005D3B74" w:rsidRPr="003907EA" w:rsidRDefault="005D3B74" w:rsidP="005D3B74">
      <w:pPr>
        <w:tabs>
          <w:tab w:val="left" w:pos="720"/>
          <w:tab w:val="left" w:pos="1440"/>
          <w:tab w:val="left" w:pos="9240"/>
        </w:tabs>
        <w:spacing w:line="480" w:lineRule="auto"/>
        <w:ind w:left="720" w:hanging="720"/>
        <w:rPr>
          <w:b/>
        </w:rPr>
      </w:pPr>
      <w:r w:rsidRPr="003907EA">
        <w:rPr>
          <w:b/>
        </w:rPr>
        <w:t>Q.</w:t>
      </w:r>
      <w:r w:rsidRPr="003907EA">
        <w:rPr>
          <w:b/>
        </w:rPr>
        <w:tab/>
        <w:t>What is the Commission</w:t>
      </w:r>
      <w:r w:rsidR="00940F5E">
        <w:rPr>
          <w:b/>
        </w:rPr>
        <w:t>’s</w:t>
      </w:r>
      <w:r w:rsidR="000F46E8">
        <w:rPr>
          <w:b/>
        </w:rPr>
        <w:t xml:space="preserve"> </w:t>
      </w:r>
      <w:r w:rsidRPr="003907EA">
        <w:rPr>
          <w:b/>
        </w:rPr>
        <w:t>policy on capital structure for ratemaking purposes?</w:t>
      </w:r>
    </w:p>
    <w:p w14:paraId="34EA9A76" w14:textId="77777777" w:rsidR="006A425C" w:rsidRDefault="005D3B74" w:rsidP="004F4604">
      <w:pPr>
        <w:tabs>
          <w:tab w:val="left" w:pos="720"/>
          <w:tab w:val="left" w:pos="1440"/>
          <w:tab w:val="left" w:pos="9240"/>
        </w:tabs>
        <w:spacing w:line="480" w:lineRule="auto"/>
        <w:ind w:left="720" w:hanging="720"/>
      </w:pPr>
      <w:r w:rsidRPr="0095560D">
        <w:t>A.</w:t>
      </w:r>
      <w:r w:rsidRPr="0095560D">
        <w:tab/>
        <w:t>The Commission</w:t>
      </w:r>
      <w:r w:rsidR="004F7F47">
        <w:t>’s</w:t>
      </w:r>
      <w:r w:rsidR="000F46E8">
        <w:t xml:space="preserve"> </w:t>
      </w:r>
      <w:r w:rsidRPr="0095560D">
        <w:t xml:space="preserve">policy </w:t>
      </w:r>
      <w:r w:rsidR="00CA5AAD">
        <w:t xml:space="preserve">is that an </w:t>
      </w:r>
      <w:r w:rsidRPr="0095560D">
        <w:t xml:space="preserve">appropriate </w:t>
      </w:r>
      <w:r w:rsidR="00456743">
        <w:t xml:space="preserve">ratemaking </w:t>
      </w:r>
      <w:r w:rsidRPr="0095560D">
        <w:t>capital structure balance</w:t>
      </w:r>
      <w:r w:rsidR="00CA5AAD">
        <w:t>s</w:t>
      </w:r>
      <w:r w:rsidRPr="0095560D">
        <w:t xml:space="preserve"> the competing interests of safety and economy.  </w:t>
      </w:r>
      <w:r w:rsidR="006A425C">
        <w:t xml:space="preserve">This </w:t>
      </w:r>
      <w:r w:rsidR="001703D5">
        <w:t xml:space="preserve">policy is consistent with </w:t>
      </w:r>
      <w:r w:rsidR="00363355">
        <w:t>the fundamental</w:t>
      </w:r>
      <w:r w:rsidR="00D8176F">
        <w:t xml:space="preserve"> principle of finance</w:t>
      </w:r>
      <w:r w:rsidR="00E16E5C">
        <w:t xml:space="preserve"> I previously described</w:t>
      </w:r>
      <w:r w:rsidR="001703D5" w:rsidRPr="0095560D">
        <w:t>.</w:t>
      </w:r>
      <w:r w:rsidR="001703D5">
        <w:t xml:space="preserve">  The Commission’s evaluation of the capital structure ensures management achieves this critical objective</w:t>
      </w:r>
      <w:r w:rsidR="003107AA">
        <w:t>, and is</w:t>
      </w:r>
      <w:r w:rsidR="001703D5">
        <w:t xml:space="preserve"> in the interests of both shareholders and </w:t>
      </w:r>
      <w:r w:rsidR="003107AA">
        <w:t>ratepayers</w:t>
      </w:r>
      <w:r w:rsidR="001703D5">
        <w:t xml:space="preserve">.  </w:t>
      </w:r>
      <w:r w:rsidR="003107AA">
        <w:t>It ensures the Company efficiently finances the long-lived assets necessary to deliver service</w:t>
      </w:r>
      <w:r w:rsidR="00704EE2">
        <w:t xml:space="preserve"> at lowest overall costs.  </w:t>
      </w:r>
    </w:p>
    <w:p w14:paraId="34EA9A77" w14:textId="13DC92CD" w:rsidR="00E5662A" w:rsidRDefault="006A425C" w:rsidP="004F4604">
      <w:pPr>
        <w:tabs>
          <w:tab w:val="left" w:pos="720"/>
          <w:tab w:val="left" w:pos="1440"/>
          <w:tab w:val="left" w:pos="9240"/>
        </w:tabs>
        <w:spacing w:line="480" w:lineRule="auto"/>
        <w:ind w:left="720" w:hanging="720"/>
      </w:pPr>
      <w:r>
        <w:lastRenderedPageBreak/>
        <w:tab/>
      </w:r>
      <w:r>
        <w:tab/>
      </w:r>
      <w:r w:rsidR="005D3B74">
        <w:t>Th</w:t>
      </w:r>
      <w:r w:rsidR="00C257C0">
        <w:t xml:space="preserve">e Commission affirmed this </w:t>
      </w:r>
      <w:r w:rsidR="005D3B74">
        <w:t xml:space="preserve">policy </w:t>
      </w:r>
      <w:r w:rsidR="000C54D0">
        <w:t xml:space="preserve">recently </w:t>
      </w:r>
      <w:r w:rsidR="005D3B74">
        <w:t xml:space="preserve">in </w:t>
      </w:r>
      <w:r w:rsidR="000C54D0">
        <w:t>a</w:t>
      </w:r>
      <w:r w:rsidR="005D3B74">
        <w:t xml:space="preserve"> rate case </w:t>
      </w:r>
      <w:r w:rsidR="00506D17">
        <w:t>in which</w:t>
      </w:r>
      <w:r w:rsidR="005D3B74">
        <w:t xml:space="preserve"> </w:t>
      </w:r>
      <w:r w:rsidR="00334182">
        <w:t>PacifiCorp</w:t>
      </w:r>
      <w:r w:rsidR="00A15099">
        <w:t>’s</w:t>
      </w:r>
      <w:r w:rsidR="00C257C0">
        <w:t xml:space="preserve"> cost of capital </w:t>
      </w:r>
      <w:r w:rsidR="00293A6B">
        <w:t>and capital structure were</w:t>
      </w:r>
      <w:r w:rsidR="00C257C0">
        <w:t xml:space="preserve"> contested</w:t>
      </w:r>
      <w:r w:rsidR="00522BE7">
        <w:t>.</w:t>
      </w:r>
      <w:r w:rsidR="00522BE7">
        <w:rPr>
          <w:rStyle w:val="FootnoteReference"/>
        </w:rPr>
        <w:footnoteReference w:id="11"/>
      </w:r>
      <w:r w:rsidR="00B437BB">
        <w:t xml:space="preserve">  </w:t>
      </w:r>
      <w:r w:rsidR="00E5662A">
        <w:t xml:space="preserve">I also note that in its </w:t>
      </w:r>
      <w:r>
        <w:t xml:space="preserve">recent </w:t>
      </w:r>
      <w:r w:rsidR="00E5662A">
        <w:t>rate</w:t>
      </w:r>
      <w:r w:rsidR="00FF5781">
        <w:t xml:space="preserve"> order</w:t>
      </w:r>
      <w:r>
        <w:t xml:space="preserve"> for Puget Sound Energy, </w:t>
      </w:r>
      <w:r w:rsidR="00E5662A">
        <w:t>the Commission stated that “a range of reasonable capital structures and costs [can] accomplish an appropriate balance</w:t>
      </w:r>
      <w:r w:rsidR="00FD761B">
        <w:t>.</w:t>
      </w:r>
      <w:r w:rsidR="00E5662A">
        <w:t>”</w:t>
      </w:r>
      <w:r w:rsidR="00E5662A">
        <w:rPr>
          <w:rStyle w:val="FootnoteReference"/>
        </w:rPr>
        <w:footnoteReference w:id="12"/>
      </w:r>
      <w:r w:rsidR="00E5662A">
        <w:t xml:space="preserve">  </w:t>
      </w:r>
      <w:r w:rsidR="00D77729">
        <w:t>I wish to emphasize, h</w:t>
      </w:r>
      <w:r w:rsidR="00E5662A">
        <w:t xml:space="preserve">owever, </w:t>
      </w:r>
      <w:r w:rsidR="00D77729">
        <w:t xml:space="preserve">that </w:t>
      </w:r>
      <w:r w:rsidR="00E5662A">
        <w:t xml:space="preserve">within such a range, some capital structures are more economical than others.  </w:t>
      </w:r>
      <w:r w:rsidR="003A70C0">
        <w:t xml:space="preserve">There is no reason to have ratepayers pay more than necessary to achieve that </w:t>
      </w:r>
      <w:r w:rsidR="00053D68">
        <w:t>appropriate</w:t>
      </w:r>
      <w:r w:rsidR="003A70C0">
        <w:t xml:space="preserve"> balance.  </w:t>
      </w:r>
      <w:r w:rsidR="00E5662A">
        <w:t>I propose a capital structure that fully satisfies the Commission’s “safety and economy” standard</w:t>
      </w:r>
      <w:r w:rsidR="001558B1">
        <w:t>,</w:t>
      </w:r>
      <w:r w:rsidR="00E5662A">
        <w:t xml:space="preserve"> but </w:t>
      </w:r>
      <w:r w:rsidR="001558B1">
        <w:t>costs less</w:t>
      </w:r>
      <w:r w:rsidR="00E5662A">
        <w:t xml:space="preserve"> than </w:t>
      </w:r>
      <w:r w:rsidR="009A76DB">
        <w:t>Avista’</w:t>
      </w:r>
      <w:r w:rsidR="00D8176F">
        <w:t xml:space="preserve">s </w:t>
      </w:r>
      <w:r w:rsidR="00E5662A">
        <w:t>propos</w:t>
      </w:r>
      <w:r w:rsidR="002A7F85">
        <w:t>al</w:t>
      </w:r>
      <w:r w:rsidR="00E5662A">
        <w:t xml:space="preserve">.  </w:t>
      </w:r>
    </w:p>
    <w:p w14:paraId="34EA9A78" w14:textId="77777777" w:rsidR="005D3B74" w:rsidRDefault="005D3B74" w:rsidP="005D3B74">
      <w:pPr>
        <w:tabs>
          <w:tab w:val="left" w:pos="720"/>
          <w:tab w:val="left" w:pos="1440"/>
          <w:tab w:val="left" w:pos="9240"/>
        </w:tabs>
        <w:spacing w:line="480" w:lineRule="auto"/>
        <w:ind w:left="720" w:hanging="720"/>
        <w:rPr>
          <w:b/>
        </w:rPr>
      </w:pPr>
    </w:p>
    <w:p w14:paraId="34EA9A79" w14:textId="77777777" w:rsidR="005D3B74" w:rsidRPr="00AE0B12" w:rsidRDefault="00D26E1D" w:rsidP="00E5511E">
      <w:pPr>
        <w:keepNext/>
        <w:tabs>
          <w:tab w:val="left" w:pos="720"/>
          <w:tab w:val="left" w:pos="1440"/>
          <w:tab w:val="left" w:pos="9240"/>
        </w:tabs>
        <w:spacing w:line="480" w:lineRule="auto"/>
        <w:rPr>
          <w:b/>
        </w:rPr>
      </w:pPr>
      <w:r>
        <w:rPr>
          <w:b/>
        </w:rPr>
        <w:tab/>
      </w:r>
      <w:r w:rsidR="005D3B74">
        <w:rPr>
          <w:b/>
        </w:rPr>
        <w:t>A.</w:t>
      </w:r>
      <w:r w:rsidR="005D3B74">
        <w:rPr>
          <w:b/>
        </w:rPr>
        <w:tab/>
        <w:t>Equity Ratio</w:t>
      </w:r>
    </w:p>
    <w:p w14:paraId="34EA9A7A" w14:textId="77777777" w:rsidR="005D3B74" w:rsidRPr="00E83E63" w:rsidRDefault="005D3B74" w:rsidP="003D75B3">
      <w:pPr>
        <w:keepNext/>
        <w:tabs>
          <w:tab w:val="left" w:pos="720"/>
          <w:tab w:val="left" w:pos="1440"/>
          <w:tab w:val="left" w:pos="9240"/>
        </w:tabs>
        <w:spacing w:line="480" w:lineRule="auto"/>
        <w:ind w:left="720" w:hanging="720"/>
      </w:pPr>
    </w:p>
    <w:p w14:paraId="34EA9A7B" w14:textId="77777777" w:rsidR="005D3B74" w:rsidRDefault="005D3B74" w:rsidP="005D3B74">
      <w:pPr>
        <w:tabs>
          <w:tab w:val="left" w:pos="720"/>
          <w:tab w:val="left" w:pos="1440"/>
          <w:tab w:val="left" w:pos="9240"/>
        </w:tabs>
        <w:spacing w:line="480" w:lineRule="auto"/>
        <w:ind w:left="720" w:hanging="720"/>
        <w:rPr>
          <w:b/>
        </w:rPr>
      </w:pPr>
      <w:r>
        <w:rPr>
          <w:b/>
        </w:rPr>
        <w:t>Q.</w:t>
      </w:r>
      <w:r>
        <w:rPr>
          <w:b/>
        </w:rPr>
        <w:tab/>
        <w:t xml:space="preserve">How do you begin your analysis of </w:t>
      </w:r>
      <w:r w:rsidR="00300C21">
        <w:rPr>
          <w:b/>
        </w:rPr>
        <w:t>Avista</w:t>
      </w:r>
      <w:r w:rsidR="00B31FCD">
        <w:rPr>
          <w:b/>
        </w:rPr>
        <w:t>’s</w:t>
      </w:r>
      <w:r>
        <w:rPr>
          <w:b/>
        </w:rPr>
        <w:t xml:space="preserve"> capital structure?</w:t>
      </w:r>
    </w:p>
    <w:p w14:paraId="34EA9A7C" w14:textId="77777777" w:rsidR="00FF5781" w:rsidRDefault="001703D5" w:rsidP="00FF5781">
      <w:pPr>
        <w:keepNext/>
        <w:spacing w:line="480" w:lineRule="auto"/>
        <w:ind w:left="720" w:hanging="720"/>
      </w:pPr>
      <w:r>
        <w:t>A.</w:t>
      </w:r>
      <w:r>
        <w:tab/>
        <w:t xml:space="preserve">I begin my analysis by considering Avista Corporation’s actual capital structure and </w:t>
      </w:r>
      <w:r w:rsidR="00B57AAA">
        <w:t xml:space="preserve">credit </w:t>
      </w:r>
      <w:r>
        <w:t xml:space="preserve">ratings. </w:t>
      </w:r>
      <w:r w:rsidR="00531AEF">
        <w:t xml:space="preserve"> </w:t>
      </w:r>
      <w:r w:rsidR="00E16E5C">
        <w:t xml:space="preserve">Avista Corporation reported that its </w:t>
      </w:r>
      <w:r w:rsidR="00506291">
        <w:t xml:space="preserve">actual capital structure </w:t>
      </w:r>
      <w:r w:rsidR="004C5CFE">
        <w:t>on December 31,</w:t>
      </w:r>
      <w:r w:rsidR="00506291">
        <w:t xml:space="preserve"> 2013</w:t>
      </w:r>
      <w:r w:rsidR="00E50ACE">
        <w:t>,</w:t>
      </w:r>
      <w:r w:rsidR="00506291">
        <w:t xml:space="preserve"> </w:t>
      </w:r>
      <w:r w:rsidR="00E16E5C">
        <w:t xml:space="preserve">was </w:t>
      </w:r>
      <w:r w:rsidR="00162BAB" w:rsidRPr="00FF5781">
        <w:t>4</w:t>
      </w:r>
      <w:r w:rsidR="009352EF">
        <w:t>5.4</w:t>
      </w:r>
      <w:r w:rsidR="00162BAB" w:rsidRPr="00FF5781">
        <w:t>0</w:t>
      </w:r>
      <w:r w:rsidR="00C3482C" w:rsidRPr="00FF5781">
        <w:t xml:space="preserve"> percent </w:t>
      </w:r>
      <w:r w:rsidR="00506291">
        <w:t xml:space="preserve">common equity and </w:t>
      </w:r>
      <w:r w:rsidR="00C3482C" w:rsidRPr="00FF5781">
        <w:t>5</w:t>
      </w:r>
      <w:r w:rsidR="009352EF">
        <w:t>4</w:t>
      </w:r>
      <w:r w:rsidR="00C3482C" w:rsidRPr="00FF5781">
        <w:t>.</w:t>
      </w:r>
      <w:r w:rsidR="009352EF">
        <w:t>6</w:t>
      </w:r>
      <w:r w:rsidR="00C3482C" w:rsidRPr="00FF5781">
        <w:t xml:space="preserve"> percent</w:t>
      </w:r>
      <w:r w:rsidR="00506291">
        <w:t xml:space="preserve"> debt</w:t>
      </w:r>
      <w:r w:rsidR="00C3482C" w:rsidRPr="00FF5781">
        <w:t>.</w:t>
      </w:r>
      <w:r w:rsidR="00C3482C" w:rsidRPr="00FF5781">
        <w:rPr>
          <w:rStyle w:val="FootnoteReference"/>
        </w:rPr>
        <w:footnoteReference w:id="13"/>
      </w:r>
      <w:r w:rsidR="00FF5781">
        <w:t xml:space="preserve">  </w:t>
      </w:r>
      <w:r w:rsidR="00E16E5C">
        <w:t>T</w:t>
      </w:r>
      <w:r w:rsidR="00FF5781">
        <w:t xml:space="preserve">his capital structure includes </w:t>
      </w:r>
      <w:r w:rsidR="00206F0C">
        <w:t xml:space="preserve">the equity investment in </w:t>
      </w:r>
      <w:r w:rsidR="00E16E5C">
        <w:t xml:space="preserve">both regulated and </w:t>
      </w:r>
      <w:r w:rsidR="00FF5781">
        <w:t>unregulated operations</w:t>
      </w:r>
      <w:r w:rsidR="005914A5">
        <w:t xml:space="preserve"> of Avista Corporation</w:t>
      </w:r>
      <w:r w:rsidR="00FF5781">
        <w:t xml:space="preserve">.  </w:t>
      </w:r>
      <w:r w:rsidR="00FA56C1">
        <w:t xml:space="preserve"> </w:t>
      </w:r>
    </w:p>
    <w:p w14:paraId="34EA9A7D" w14:textId="77777777" w:rsidR="00861FAC" w:rsidRPr="00861FAC" w:rsidRDefault="00861FAC" w:rsidP="0036651D">
      <w:pPr>
        <w:tabs>
          <w:tab w:val="left" w:pos="720"/>
          <w:tab w:val="left" w:pos="1440"/>
          <w:tab w:val="left" w:pos="9240"/>
        </w:tabs>
        <w:spacing w:line="480" w:lineRule="auto"/>
        <w:ind w:left="720" w:hanging="720"/>
      </w:pPr>
    </w:p>
    <w:p w14:paraId="34EA9A7E" w14:textId="77777777" w:rsidR="00D372E3" w:rsidRPr="00D372E3" w:rsidRDefault="00022912" w:rsidP="00A0224C">
      <w:pPr>
        <w:keepNext/>
        <w:tabs>
          <w:tab w:val="left" w:pos="720"/>
          <w:tab w:val="left" w:pos="1440"/>
          <w:tab w:val="left" w:pos="9240"/>
        </w:tabs>
        <w:spacing w:line="480" w:lineRule="auto"/>
        <w:ind w:left="720" w:hanging="720"/>
        <w:rPr>
          <w:b/>
        </w:rPr>
      </w:pPr>
      <w:r>
        <w:rPr>
          <w:b/>
        </w:rPr>
        <w:lastRenderedPageBreak/>
        <w:t>Q.</w:t>
      </w:r>
      <w:r>
        <w:rPr>
          <w:b/>
        </w:rPr>
        <w:tab/>
        <w:t xml:space="preserve">What </w:t>
      </w:r>
      <w:r w:rsidR="00D372E3">
        <w:rPr>
          <w:b/>
        </w:rPr>
        <w:t>is the signi</w:t>
      </w:r>
      <w:r w:rsidR="00D372E3" w:rsidRPr="00D372E3">
        <w:rPr>
          <w:b/>
        </w:rPr>
        <w:t xml:space="preserve">ficance of </w:t>
      </w:r>
      <w:r w:rsidR="00A45682">
        <w:rPr>
          <w:b/>
        </w:rPr>
        <w:t xml:space="preserve">this information reported by </w:t>
      </w:r>
      <w:r w:rsidR="003A2114">
        <w:rPr>
          <w:b/>
        </w:rPr>
        <w:t>Avista Corporation</w:t>
      </w:r>
      <w:r w:rsidR="00D372E3">
        <w:rPr>
          <w:b/>
        </w:rPr>
        <w:t>?</w:t>
      </w:r>
    </w:p>
    <w:p w14:paraId="34EA9A7F" w14:textId="223B524F" w:rsidR="009352EF" w:rsidRDefault="00D372E3" w:rsidP="004F4604">
      <w:pPr>
        <w:tabs>
          <w:tab w:val="left" w:pos="720"/>
          <w:tab w:val="left" w:pos="1440"/>
          <w:tab w:val="left" w:pos="9240"/>
        </w:tabs>
        <w:spacing w:line="480" w:lineRule="auto"/>
        <w:ind w:left="720" w:hanging="720"/>
      </w:pPr>
      <w:r>
        <w:t>A.</w:t>
      </w:r>
      <w:r>
        <w:tab/>
      </w:r>
      <w:r w:rsidR="00B57AAA">
        <w:t>T</w:t>
      </w:r>
      <w:r w:rsidR="00996E47">
        <w:t>h</w:t>
      </w:r>
      <w:r w:rsidR="00B57AAA">
        <w:t>is</w:t>
      </w:r>
      <w:r w:rsidR="00996E47">
        <w:t xml:space="preserve"> capital structure </w:t>
      </w:r>
      <w:r w:rsidR="00531AEF">
        <w:t>support</w:t>
      </w:r>
      <w:r w:rsidR="00B57AAA">
        <w:t>s</w:t>
      </w:r>
      <w:r>
        <w:t xml:space="preserve"> </w:t>
      </w:r>
      <w:r w:rsidR="00996E47">
        <w:t xml:space="preserve">the </w:t>
      </w:r>
      <w:r w:rsidR="009352EF">
        <w:t xml:space="preserve">current </w:t>
      </w:r>
      <w:r w:rsidR="00206F0C">
        <w:t xml:space="preserve">credit </w:t>
      </w:r>
      <w:r w:rsidR="009352EF">
        <w:t xml:space="preserve">ratings </w:t>
      </w:r>
      <w:r w:rsidR="00996E47">
        <w:t xml:space="preserve">of </w:t>
      </w:r>
      <w:r>
        <w:t>Avista Corporation</w:t>
      </w:r>
      <w:r w:rsidR="009352EF">
        <w:t>.</w:t>
      </w:r>
      <w:r>
        <w:t xml:space="preserve">  </w:t>
      </w:r>
      <w:r w:rsidR="004F4604">
        <w:t>I</w:t>
      </w:r>
      <w:r>
        <w:t xml:space="preserve">n other words, </w:t>
      </w:r>
      <w:r w:rsidR="00506291">
        <w:t xml:space="preserve">this </w:t>
      </w:r>
      <w:r w:rsidR="009352EF">
        <w:t>actual</w:t>
      </w:r>
      <w:r w:rsidR="00D36448">
        <w:t xml:space="preserve"> </w:t>
      </w:r>
      <w:r w:rsidR="009352EF">
        <w:t xml:space="preserve">capital structure </w:t>
      </w:r>
      <w:r w:rsidR="00D36448">
        <w:t xml:space="preserve">is </w:t>
      </w:r>
      <w:r w:rsidR="00E25B05">
        <w:t>market-tested</w:t>
      </w:r>
      <w:r w:rsidR="00162BAB">
        <w:t xml:space="preserve"> for </w:t>
      </w:r>
      <w:r w:rsidR="005658B0">
        <w:t xml:space="preserve">both </w:t>
      </w:r>
      <w:r w:rsidR="00162BAB">
        <w:t xml:space="preserve">the </w:t>
      </w:r>
      <w:r w:rsidR="005658B0">
        <w:t xml:space="preserve">regulated and unregulated </w:t>
      </w:r>
      <w:r w:rsidR="00162BAB">
        <w:t>operations of Avista</w:t>
      </w:r>
      <w:r w:rsidR="008537ED">
        <w:t xml:space="preserve"> in 2013</w:t>
      </w:r>
      <w:r w:rsidR="00467170">
        <w:t>.</w:t>
      </w:r>
      <w:r w:rsidR="00531AEF">
        <w:t xml:space="preserve">  M</w:t>
      </w:r>
      <w:r w:rsidR="00D36448">
        <w:t xml:space="preserve">oreover, </w:t>
      </w:r>
      <w:r w:rsidR="00E50ACE">
        <w:t>because</w:t>
      </w:r>
      <w:r w:rsidR="00BD161A">
        <w:t xml:space="preserve"> Avista </w:t>
      </w:r>
      <w:r w:rsidR="009072F1">
        <w:t xml:space="preserve">Corporation </w:t>
      </w:r>
      <w:r w:rsidR="00845590">
        <w:t xml:space="preserve">has </w:t>
      </w:r>
      <w:r w:rsidR="00E50ACE">
        <w:t xml:space="preserve">a proven, consistent </w:t>
      </w:r>
      <w:r w:rsidR="00CC4349">
        <w:t>ab</w:t>
      </w:r>
      <w:r w:rsidR="00E50ACE">
        <w:t>ility</w:t>
      </w:r>
      <w:r w:rsidR="00CC4349">
        <w:t xml:space="preserve"> to</w:t>
      </w:r>
      <w:r w:rsidR="00D36448">
        <w:t xml:space="preserve"> </w:t>
      </w:r>
      <w:r w:rsidR="00BD161A">
        <w:t xml:space="preserve">successfully finance both its regulated and unregulated operations with a </w:t>
      </w:r>
      <w:r w:rsidR="009352EF">
        <w:t>45.4</w:t>
      </w:r>
      <w:r w:rsidR="00BD161A">
        <w:t xml:space="preserve"> percent equity ratio</w:t>
      </w:r>
      <w:r w:rsidR="00E50ACE">
        <w:t>,</w:t>
      </w:r>
      <w:r w:rsidR="00845590">
        <w:rPr>
          <w:rStyle w:val="FootnoteReference"/>
        </w:rPr>
        <w:footnoteReference w:id="14"/>
      </w:r>
      <w:r w:rsidR="00105611">
        <w:t xml:space="preserve"> </w:t>
      </w:r>
      <w:r w:rsidR="00BD161A">
        <w:t>that equity ratio</w:t>
      </w:r>
      <w:r w:rsidR="00162BAB">
        <w:t xml:space="preserve"> </w:t>
      </w:r>
      <w:r w:rsidR="00BD161A">
        <w:t xml:space="preserve">is a conservative </w:t>
      </w:r>
      <w:r w:rsidR="005914A5">
        <w:t xml:space="preserve">estimate of the </w:t>
      </w:r>
      <w:r w:rsidR="00E50ACE">
        <w:t xml:space="preserve">appropriate </w:t>
      </w:r>
      <w:r w:rsidR="005914A5">
        <w:t>amount of equity</w:t>
      </w:r>
      <w:r w:rsidR="00B57AAA">
        <w:t xml:space="preserve"> </w:t>
      </w:r>
      <w:r w:rsidR="009072F1">
        <w:t>for</w:t>
      </w:r>
      <w:r w:rsidR="00B57AAA">
        <w:t xml:space="preserve"> </w:t>
      </w:r>
      <w:r w:rsidR="00E50ACE">
        <w:t xml:space="preserve">the Company’s </w:t>
      </w:r>
      <w:r w:rsidR="00E16E5C">
        <w:t>regulated operations</w:t>
      </w:r>
      <w:r w:rsidR="00B57AAA">
        <w:t>.</w:t>
      </w:r>
    </w:p>
    <w:p w14:paraId="34EA9A80" w14:textId="77777777" w:rsidR="009352EF" w:rsidRDefault="009352EF" w:rsidP="004F4604">
      <w:pPr>
        <w:tabs>
          <w:tab w:val="left" w:pos="720"/>
          <w:tab w:val="left" w:pos="1440"/>
          <w:tab w:val="left" w:pos="9240"/>
        </w:tabs>
        <w:spacing w:line="480" w:lineRule="auto"/>
        <w:ind w:left="720" w:hanging="720"/>
      </w:pPr>
    </w:p>
    <w:p w14:paraId="34EA9A81" w14:textId="77777777" w:rsidR="009352EF" w:rsidRPr="009352EF" w:rsidRDefault="009352EF" w:rsidP="004F4604">
      <w:pPr>
        <w:tabs>
          <w:tab w:val="left" w:pos="720"/>
          <w:tab w:val="left" w:pos="1440"/>
          <w:tab w:val="left" w:pos="9240"/>
        </w:tabs>
        <w:spacing w:line="480" w:lineRule="auto"/>
        <w:ind w:left="720" w:hanging="720"/>
        <w:rPr>
          <w:b/>
        </w:rPr>
      </w:pPr>
      <w:r>
        <w:rPr>
          <w:b/>
        </w:rPr>
        <w:t>Q.</w:t>
      </w:r>
      <w:r>
        <w:rPr>
          <w:b/>
        </w:rPr>
        <w:tab/>
        <w:t xml:space="preserve">What were </w:t>
      </w:r>
      <w:r w:rsidRPr="009352EF">
        <w:rPr>
          <w:b/>
        </w:rPr>
        <w:t>Avista Corporation’s corporate credit rating</w:t>
      </w:r>
      <w:r w:rsidR="00506291">
        <w:rPr>
          <w:b/>
        </w:rPr>
        <w:t>s</w:t>
      </w:r>
      <w:r>
        <w:rPr>
          <w:b/>
        </w:rPr>
        <w:t xml:space="preserve"> in 2013?</w:t>
      </w:r>
    </w:p>
    <w:p w14:paraId="34EA9A82" w14:textId="2DBD1B22" w:rsidR="009352EF" w:rsidRDefault="009352EF" w:rsidP="009352EF">
      <w:pPr>
        <w:keepNext/>
        <w:spacing w:line="480" w:lineRule="auto"/>
        <w:ind w:left="720" w:hanging="720"/>
      </w:pPr>
      <w:r>
        <w:t>A.</w:t>
      </w:r>
      <w:r>
        <w:tab/>
        <w:t>Avista Corporation’s corporate credit rating from S&amp;P is BBB</w:t>
      </w:r>
      <w:r w:rsidR="00506291">
        <w:t xml:space="preserve">, while </w:t>
      </w:r>
      <w:r>
        <w:t>Moody’s upgraded Avista Corporation’s corporate credit rating to Baa1.</w:t>
      </w:r>
      <w:r>
        <w:rPr>
          <w:rStyle w:val="FootnoteReference"/>
        </w:rPr>
        <w:footnoteReference w:id="15"/>
      </w:r>
      <w:r>
        <w:t xml:space="preserve">  Avista Corporation’s secured bond rating is two notches higher.  </w:t>
      </w:r>
      <w:r w:rsidR="00CF52FF">
        <w:t>These are solid, investment-grade credit ratings, which prov</w:t>
      </w:r>
      <w:r w:rsidR="00105611">
        <w:t>i</w:t>
      </w:r>
      <w:r w:rsidR="00CF52FF">
        <w:t xml:space="preserve">de Avista Corporation ample access to credit markets on reasonable terms.  </w:t>
      </w:r>
      <w:r>
        <w:t>This is important because</w:t>
      </w:r>
      <w:r w:rsidR="00A45682">
        <w:t xml:space="preserve"> </w:t>
      </w:r>
      <w:r w:rsidR="00B57AAA">
        <w:t xml:space="preserve">Avista Corporation </w:t>
      </w:r>
      <w:r>
        <w:t xml:space="preserve">will issue new </w:t>
      </w:r>
      <w:r w:rsidR="00D8176F">
        <w:t xml:space="preserve">secured </w:t>
      </w:r>
      <w:r>
        <w:t xml:space="preserve">debt to finance </w:t>
      </w:r>
      <w:r w:rsidR="00704EE2">
        <w:t>its</w:t>
      </w:r>
      <w:r>
        <w:t xml:space="preserve"> regulated business.</w:t>
      </w:r>
    </w:p>
    <w:p w14:paraId="34EA9A83" w14:textId="77777777" w:rsidR="005658B0" w:rsidRDefault="005658B0" w:rsidP="004F4604">
      <w:pPr>
        <w:tabs>
          <w:tab w:val="left" w:pos="720"/>
          <w:tab w:val="left" w:pos="1440"/>
          <w:tab w:val="left" w:pos="9240"/>
        </w:tabs>
        <w:spacing w:line="480" w:lineRule="auto"/>
        <w:ind w:left="720" w:hanging="720"/>
        <w:rPr>
          <w:b/>
        </w:rPr>
      </w:pPr>
    </w:p>
    <w:p w14:paraId="34EA9A84" w14:textId="77777777" w:rsidR="00FF5781" w:rsidRDefault="00FF5781" w:rsidP="004F4604">
      <w:pPr>
        <w:tabs>
          <w:tab w:val="left" w:pos="720"/>
          <w:tab w:val="left" w:pos="1440"/>
          <w:tab w:val="left" w:pos="9240"/>
        </w:tabs>
        <w:spacing w:line="480" w:lineRule="auto"/>
        <w:ind w:left="720" w:hanging="720"/>
        <w:rPr>
          <w:b/>
        </w:rPr>
      </w:pPr>
      <w:r>
        <w:rPr>
          <w:b/>
        </w:rPr>
        <w:t>Q.</w:t>
      </w:r>
      <w:r>
        <w:rPr>
          <w:b/>
        </w:rPr>
        <w:tab/>
      </w:r>
      <w:r w:rsidR="00506291">
        <w:rPr>
          <w:b/>
        </w:rPr>
        <w:t xml:space="preserve">Did you calculate the actual </w:t>
      </w:r>
      <w:r>
        <w:rPr>
          <w:b/>
        </w:rPr>
        <w:t xml:space="preserve">equity ratio </w:t>
      </w:r>
      <w:r w:rsidR="00506291">
        <w:rPr>
          <w:b/>
        </w:rPr>
        <w:t xml:space="preserve">for </w:t>
      </w:r>
      <w:r>
        <w:rPr>
          <w:b/>
        </w:rPr>
        <w:t>Avista Utilities</w:t>
      </w:r>
      <w:r w:rsidR="00506291">
        <w:rPr>
          <w:b/>
        </w:rPr>
        <w:t xml:space="preserve"> for fiscal 2013</w:t>
      </w:r>
      <w:r>
        <w:rPr>
          <w:b/>
        </w:rPr>
        <w:t>?</w:t>
      </w:r>
    </w:p>
    <w:p w14:paraId="34EA9A85" w14:textId="48A9C4CA" w:rsidR="00572B45" w:rsidRDefault="00FF5781" w:rsidP="003718A4">
      <w:pPr>
        <w:tabs>
          <w:tab w:val="left" w:pos="720"/>
          <w:tab w:val="left" w:pos="1440"/>
          <w:tab w:val="left" w:pos="9240"/>
        </w:tabs>
        <w:spacing w:line="480" w:lineRule="auto"/>
        <w:ind w:left="720" w:hanging="720"/>
      </w:pPr>
      <w:r>
        <w:t>A.</w:t>
      </w:r>
      <w:r>
        <w:tab/>
      </w:r>
      <w:r w:rsidR="00506291">
        <w:t xml:space="preserve">Yes.  Removing </w:t>
      </w:r>
      <w:r w:rsidR="00B0420D">
        <w:t xml:space="preserve">the equity investment and debt associated </w:t>
      </w:r>
      <w:r w:rsidR="00D862ED">
        <w:t xml:space="preserve">with </w:t>
      </w:r>
      <w:r w:rsidR="00B0420D">
        <w:t xml:space="preserve">Avista Corporation’s unregulated operations </w:t>
      </w:r>
      <w:r w:rsidR="00506291">
        <w:t>(</w:t>
      </w:r>
      <w:r w:rsidR="00000F4D">
        <w:t>$112.2 million</w:t>
      </w:r>
      <w:r w:rsidR="00B0420D">
        <w:rPr>
          <w:rStyle w:val="FootnoteReference"/>
        </w:rPr>
        <w:footnoteReference w:id="16"/>
      </w:r>
      <w:r w:rsidR="00506291">
        <w:t>) leaves an equity ratio for Avista Utilities of approximately 44.0 percent</w:t>
      </w:r>
      <w:r>
        <w:t>.</w:t>
      </w:r>
      <w:r w:rsidR="003718A4">
        <w:t xml:space="preserve">  </w:t>
      </w:r>
    </w:p>
    <w:p w14:paraId="34EA9A86" w14:textId="77777777" w:rsidR="00572B45" w:rsidRDefault="00572B45" w:rsidP="003718A4">
      <w:pPr>
        <w:tabs>
          <w:tab w:val="left" w:pos="720"/>
          <w:tab w:val="left" w:pos="1440"/>
          <w:tab w:val="left" w:pos="9240"/>
        </w:tabs>
        <w:spacing w:line="480" w:lineRule="auto"/>
        <w:ind w:left="720" w:hanging="720"/>
      </w:pPr>
    </w:p>
    <w:p w14:paraId="34EA9A87" w14:textId="77777777" w:rsidR="00572B45" w:rsidRDefault="00572B45" w:rsidP="003839D0">
      <w:pPr>
        <w:tabs>
          <w:tab w:val="left" w:pos="720"/>
          <w:tab w:val="left" w:pos="1440"/>
          <w:tab w:val="left" w:pos="9240"/>
        </w:tabs>
        <w:spacing w:line="480" w:lineRule="auto"/>
        <w:ind w:left="720" w:hanging="720"/>
        <w:rPr>
          <w:b/>
        </w:rPr>
      </w:pPr>
      <w:r>
        <w:rPr>
          <w:b/>
        </w:rPr>
        <w:lastRenderedPageBreak/>
        <w:t>Q.</w:t>
      </w:r>
      <w:r>
        <w:rPr>
          <w:b/>
        </w:rPr>
        <w:tab/>
      </w:r>
      <w:r w:rsidR="00506291">
        <w:rPr>
          <w:b/>
        </w:rPr>
        <w:t>Did the Company confirm your calculation</w:t>
      </w:r>
      <w:r>
        <w:rPr>
          <w:b/>
        </w:rPr>
        <w:t>?</w:t>
      </w:r>
    </w:p>
    <w:p w14:paraId="34EA9A88" w14:textId="77777777" w:rsidR="00045852" w:rsidRDefault="00572B45" w:rsidP="003718A4">
      <w:pPr>
        <w:tabs>
          <w:tab w:val="left" w:pos="720"/>
          <w:tab w:val="left" w:pos="1440"/>
          <w:tab w:val="left" w:pos="9240"/>
        </w:tabs>
        <w:spacing w:line="480" w:lineRule="auto"/>
        <w:ind w:left="720" w:hanging="720"/>
      </w:pPr>
      <w:r>
        <w:t>A.</w:t>
      </w:r>
      <w:r>
        <w:tab/>
        <w:t xml:space="preserve">Yes.  </w:t>
      </w:r>
      <w:r w:rsidR="00506291">
        <w:t xml:space="preserve">Staff </w:t>
      </w:r>
      <w:r>
        <w:t>Data Request</w:t>
      </w:r>
      <w:r w:rsidR="00E50ACE">
        <w:t xml:space="preserve"> </w:t>
      </w:r>
      <w:r>
        <w:t>34</w:t>
      </w:r>
      <w:r w:rsidR="00506291">
        <w:t xml:space="preserve"> asked </w:t>
      </w:r>
      <w:r>
        <w:t xml:space="preserve">Avista to </w:t>
      </w:r>
      <w:r w:rsidR="004C5CFE">
        <w:t xml:space="preserve">reconcile the capital </w:t>
      </w:r>
      <w:r w:rsidR="003977C6">
        <w:t>structure</w:t>
      </w:r>
      <w:r w:rsidR="004C5CFE">
        <w:t xml:space="preserve"> of Avista Corporation reported in its December 31, 2013</w:t>
      </w:r>
      <w:r w:rsidR="00E50ACE">
        <w:t>,</w:t>
      </w:r>
      <w:r w:rsidR="004C5CFE">
        <w:t xml:space="preserve"> SEC 10-K with the capital structure of Avista Utilities</w:t>
      </w:r>
      <w:r w:rsidR="00E50ACE">
        <w:t>,</w:t>
      </w:r>
      <w:r w:rsidR="004C5CFE">
        <w:t xml:space="preserve"> as shown in </w:t>
      </w:r>
      <w:r w:rsidR="00E50ACE">
        <w:t>Company</w:t>
      </w:r>
      <w:r w:rsidR="004C5CFE">
        <w:t xml:space="preserve"> </w:t>
      </w:r>
      <w:r w:rsidR="00E16E5C">
        <w:t xml:space="preserve">work papers </w:t>
      </w:r>
      <w:r w:rsidR="004C5CFE">
        <w:t xml:space="preserve">for the same time frame.  </w:t>
      </w:r>
      <w:r w:rsidR="00506291">
        <w:t xml:space="preserve">The Company’s response </w:t>
      </w:r>
      <w:r>
        <w:t xml:space="preserve">shows </w:t>
      </w:r>
      <w:r w:rsidR="00E16E5C">
        <w:t xml:space="preserve">a 44.2 </w:t>
      </w:r>
      <w:r w:rsidR="003977C6">
        <w:t>percent</w:t>
      </w:r>
      <w:r w:rsidR="00E16E5C">
        <w:t xml:space="preserve"> equity ratio for </w:t>
      </w:r>
      <w:r>
        <w:t>Avista Utilities</w:t>
      </w:r>
      <w:r w:rsidR="00E16E5C">
        <w:t>.</w:t>
      </w:r>
      <w:r w:rsidR="00B57AAA">
        <w:t xml:space="preserve">  </w:t>
      </w:r>
    </w:p>
    <w:p w14:paraId="34EA9A89" w14:textId="77777777" w:rsidR="00BD161A" w:rsidRDefault="00BD161A" w:rsidP="00BD161A">
      <w:pPr>
        <w:tabs>
          <w:tab w:val="left" w:pos="720"/>
          <w:tab w:val="left" w:pos="1440"/>
          <w:tab w:val="left" w:pos="9240"/>
        </w:tabs>
        <w:spacing w:line="480" w:lineRule="auto"/>
        <w:ind w:left="720" w:hanging="720"/>
      </w:pPr>
    </w:p>
    <w:p w14:paraId="34EA9A8A" w14:textId="77777777" w:rsidR="00BD161A" w:rsidRDefault="00BD161A" w:rsidP="00BD161A">
      <w:pPr>
        <w:tabs>
          <w:tab w:val="left" w:pos="720"/>
          <w:tab w:val="left" w:pos="1440"/>
          <w:tab w:val="left" w:pos="9240"/>
        </w:tabs>
        <w:spacing w:line="480" w:lineRule="auto"/>
        <w:ind w:left="720" w:hanging="720"/>
        <w:rPr>
          <w:b/>
        </w:rPr>
      </w:pPr>
      <w:r>
        <w:rPr>
          <w:b/>
        </w:rPr>
        <w:t>Q.</w:t>
      </w:r>
      <w:r>
        <w:rPr>
          <w:b/>
        </w:rPr>
        <w:tab/>
        <w:t xml:space="preserve">What other data </w:t>
      </w:r>
      <w:r w:rsidR="00BA0BBA">
        <w:rPr>
          <w:b/>
        </w:rPr>
        <w:t>informs</w:t>
      </w:r>
      <w:r>
        <w:rPr>
          <w:b/>
        </w:rPr>
        <w:t xml:space="preserve"> your recommend</w:t>
      </w:r>
      <w:r w:rsidR="00BA0BBA">
        <w:rPr>
          <w:b/>
        </w:rPr>
        <w:t>ation for a</w:t>
      </w:r>
      <w:r w:rsidR="00506291">
        <w:rPr>
          <w:b/>
        </w:rPr>
        <w:t xml:space="preserve">n appropriate </w:t>
      </w:r>
      <w:r w:rsidR="00BA0BBA">
        <w:rPr>
          <w:b/>
        </w:rPr>
        <w:t xml:space="preserve">proper capital structure </w:t>
      </w:r>
      <w:r w:rsidR="00506291">
        <w:rPr>
          <w:b/>
        </w:rPr>
        <w:t>for ratemaking purposes</w:t>
      </w:r>
      <w:r>
        <w:rPr>
          <w:b/>
        </w:rPr>
        <w:t>?</w:t>
      </w:r>
    </w:p>
    <w:p w14:paraId="34EA9A8B" w14:textId="77777777" w:rsidR="00E50ACE" w:rsidRDefault="00BD161A" w:rsidP="00022912">
      <w:pPr>
        <w:tabs>
          <w:tab w:val="left" w:pos="720"/>
          <w:tab w:val="left" w:pos="1440"/>
          <w:tab w:val="left" w:pos="9240"/>
        </w:tabs>
        <w:spacing w:line="480" w:lineRule="auto"/>
        <w:ind w:left="720" w:hanging="720"/>
      </w:pPr>
      <w:r>
        <w:t>A.</w:t>
      </w:r>
      <w:r>
        <w:tab/>
      </w:r>
      <w:r w:rsidR="00BA0BBA">
        <w:t>I evaluated the capital</w:t>
      </w:r>
      <w:r w:rsidR="005C43CC">
        <w:t xml:space="preserve"> structure </w:t>
      </w:r>
      <w:r w:rsidR="00467170">
        <w:t xml:space="preserve">data </w:t>
      </w:r>
      <w:r w:rsidR="00506291">
        <w:t xml:space="preserve">from </w:t>
      </w:r>
      <w:r w:rsidR="00A41C18">
        <w:t>two reporting services that follow utility companies</w:t>
      </w:r>
      <w:r w:rsidR="00C3435B">
        <w:t>:</w:t>
      </w:r>
      <w:r w:rsidR="00E50ACE">
        <w:t xml:space="preserve"> AUS and SNL</w:t>
      </w:r>
      <w:r w:rsidR="00A41C18">
        <w:t xml:space="preserve">.  </w:t>
      </w:r>
    </w:p>
    <w:p w14:paraId="34EA9A8C" w14:textId="77777777" w:rsidR="00A41C18" w:rsidRDefault="00E50ACE" w:rsidP="00022912">
      <w:pPr>
        <w:tabs>
          <w:tab w:val="left" w:pos="720"/>
          <w:tab w:val="left" w:pos="1440"/>
          <w:tab w:val="left" w:pos="9240"/>
        </w:tabs>
        <w:spacing w:line="480" w:lineRule="auto"/>
        <w:ind w:left="720" w:hanging="720"/>
      </w:pPr>
      <w:r>
        <w:tab/>
      </w:r>
      <w:r>
        <w:tab/>
      </w:r>
      <w:r w:rsidR="00995D52">
        <w:t xml:space="preserve">AUS </w:t>
      </w:r>
      <w:r w:rsidR="00BD161A">
        <w:t xml:space="preserve">data </w:t>
      </w:r>
      <w:r w:rsidR="008333A3">
        <w:t>for 2013</w:t>
      </w:r>
      <w:r w:rsidR="001471E8">
        <w:t xml:space="preserve"> </w:t>
      </w:r>
      <w:r w:rsidR="008333A3">
        <w:t xml:space="preserve">show: 1) </w:t>
      </w:r>
      <w:r w:rsidR="00BD161A">
        <w:t xml:space="preserve">combination gas/electric companies have maintained equity ratios </w:t>
      </w:r>
      <w:r w:rsidR="00D36448">
        <w:t xml:space="preserve">of </w:t>
      </w:r>
      <w:r w:rsidR="008333A3">
        <w:t>47.0</w:t>
      </w:r>
      <w:r w:rsidR="00BA0BBA">
        <w:t xml:space="preserve"> percent</w:t>
      </w:r>
      <w:r w:rsidR="00B57AAA" w:rsidRPr="00B57AAA">
        <w:t xml:space="preserve"> </w:t>
      </w:r>
      <w:r w:rsidR="00B57AAA">
        <w:t>on average</w:t>
      </w:r>
      <w:r w:rsidR="008333A3">
        <w:t>; 2) electric</w:t>
      </w:r>
      <w:r w:rsidR="00B57AAA">
        <w:t>-</w:t>
      </w:r>
      <w:r w:rsidR="008333A3">
        <w:t xml:space="preserve">only companies </w:t>
      </w:r>
      <w:r>
        <w:t xml:space="preserve">have </w:t>
      </w:r>
      <w:r w:rsidR="008333A3">
        <w:t>equity ratio</w:t>
      </w:r>
      <w:r>
        <w:t xml:space="preserve">s of </w:t>
      </w:r>
      <w:r w:rsidR="008333A3">
        <w:t>47.3 percent</w:t>
      </w:r>
      <w:r w:rsidR="00B57AAA" w:rsidRPr="00B57AAA">
        <w:t xml:space="preserve"> </w:t>
      </w:r>
      <w:r w:rsidR="00B57AAA">
        <w:t>on average</w:t>
      </w:r>
      <w:r w:rsidR="008333A3">
        <w:t>; and 3) Avista Corporation’s equity ratio was 44.90 percent</w:t>
      </w:r>
      <w:r w:rsidR="002723D6">
        <w:t xml:space="preserve">.  </w:t>
      </w:r>
    </w:p>
    <w:p w14:paraId="34EA9A8D" w14:textId="77777777" w:rsidR="00022912" w:rsidRDefault="00A41C18" w:rsidP="00022912">
      <w:pPr>
        <w:tabs>
          <w:tab w:val="left" w:pos="720"/>
          <w:tab w:val="left" w:pos="1440"/>
          <w:tab w:val="left" w:pos="9240"/>
        </w:tabs>
        <w:spacing w:line="480" w:lineRule="auto"/>
        <w:ind w:left="720" w:hanging="720"/>
      </w:pPr>
      <w:r>
        <w:tab/>
      </w:r>
      <w:r>
        <w:tab/>
        <w:t>SNL provides data for a group of 4</w:t>
      </w:r>
      <w:r w:rsidR="00514832">
        <w:t>5</w:t>
      </w:r>
      <w:r>
        <w:t xml:space="preserve"> </w:t>
      </w:r>
      <w:r w:rsidR="00B57AAA">
        <w:t xml:space="preserve">electric and combination </w:t>
      </w:r>
      <w:r w:rsidR="003977C6">
        <w:t>utilities</w:t>
      </w:r>
      <w:r w:rsidR="008B3242">
        <w:t xml:space="preserve"> it follows.  I</w:t>
      </w:r>
      <w:r w:rsidR="00942FE5">
        <w:t>ts most recent</w:t>
      </w:r>
      <w:r>
        <w:t xml:space="preserve"> data</w:t>
      </w:r>
      <w:r w:rsidR="008B3242">
        <w:t xml:space="preserve"> shows </w:t>
      </w:r>
      <w:r>
        <w:t xml:space="preserve">the average common equity ratio </w:t>
      </w:r>
      <w:r w:rsidR="005658B0">
        <w:t>is</w:t>
      </w:r>
      <w:r w:rsidR="00514832">
        <w:t xml:space="preserve"> 44.6</w:t>
      </w:r>
      <w:r>
        <w:t xml:space="preserve"> </w:t>
      </w:r>
      <w:r w:rsidR="00BB6AEC">
        <w:t>and the median is 45.0 percent</w:t>
      </w:r>
      <w:r w:rsidR="00D45AAD">
        <w:t>.</w:t>
      </w:r>
    </w:p>
    <w:p w14:paraId="34EA9A8E" w14:textId="77777777" w:rsidR="0028349E" w:rsidRDefault="0028349E" w:rsidP="00DA070D">
      <w:pPr>
        <w:tabs>
          <w:tab w:val="left" w:pos="720"/>
          <w:tab w:val="left" w:pos="1440"/>
          <w:tab w:val="left" w:pos="9240"/>
        </w:tabs>
        <w:spacing w:line="480" w:lineRule="auto"/>
        <w:ind w:left="720" w:hanging="720"/>
        <w:rPr>
          <w:b/>
        </w:rPr>
      </w:pPr>
    </w:p>
    <w:p w14:paraId="34EA9A8F" w14:textId="285A3625" w:rsidR="00DA070D" w:rsidRDefault="00D74CE5" w:rsidP="00DA070D">
      <w:pPr>
        <w:tabs>
          <w:tab w:val="left" w:pos="720"/>
          <w:tab w:val="left" w:pos="1440"/>
          <w:tab w:val="left" w:pos="9240"/>
        </w:tabs>
        <w:spacing w:line="480" w:lineRule="auto"/>
        <w:ind w:left="720" w:hanging="720"/>
        <w:rPr>
          <w:b/>
        </w:rPr>
      </w:pPr>
      <w:r>
        <w:rPr>
          <w:b/>
        </w:rPr>
        <w:t>Q.</w:t>
      </w:r>
      <w:r>
        <w:rPr>
          <w:b/>
        </w:rPr>
        <w:tab/>
      </w:r>
      <w:r w:rsidR="00DA070D">
        <w:rPr>
          <w:b/>
        </w:rPr>
        <w:t xml:space="preserve">What </w:t>
      </w:r>
      <w:r w:rsidR="00CB7C78">
        <w:rPr>
          <w:b/>
        </w:rPr>
        <w:t xml:space="preserve">is a reasonable </w:t>
      </w:r>
      <w:r w:rsidR="00EC2CE9">
        <w:rPr>
          <w:b/>
        </w:rPr>
        <w:t xml:space="preserve">equity ratio </w:t>
      </w:r>
      <w:r w:rsidR="00CB7C78">
        <w:rPr>
          <w:b/>
        </w:rPr>
        <w:t>before considering the effect of decoupling</w:t>
      </w:r>
      <w:r w:rsidR="00FF51B0">
        <w:rPr>
          <w:b/>
        </w:rPr>
        <w:t>?</w:t>
      </w:r>
    </w:p>
    <w:p w14:paraId="34EA9A90" w14:textId="32BA0C34" w:rsidR="008333A3" w:rsidRDefault="00985AC6" w:rsidP="00E9443F">
      <w:pPr>
        <w:spacing w:line="480" w:lineRule="auto"/>
        <w:ind w:left="720" w:hanging="720"/>
      </w:pPr>
      <w:r w:rsidRPr="00985AC6">
        <w:t>A.</w:t>
      </w:r>
      <w:r w:rsidRPr="00985AC6">
        <w:tab/>
      </w:r>
      <w:r w:rsidR="00753D53">
        <w:t>T</w:t>
      </w:r>
      <w:r>
        <w:t xml:space="preserve">he </w:t>
      </w:r>
      <w:r w:rsidR="00F12BE9">
        <w:t xml:space="preserve">Commission should use an </w:t>
      </w:r>
      <w:r w:rsidR="004745A8">
        <w:t>equity ratio</w:t>
      </w:r>
      <w:r w:rsidR="00F12BE9">
        <w:t xml:space="preserve"> of</w:t>
      </w:r>
      <w:r w:rsidR="004745A8">
        <w:t xml:space="preserve"> 46.00 percent</w:t>
      </w:r>
      <w:r w:rsidR="00045AA1">
        <w:t xml:space="preserve">.  </w:t>
      </w:r>
      <w:r w:rsidR="00506291">
        <w:t>This equity ratio</w:t>
      </w:r>
      <w:r w:rsidR="00753D53">
        <w:t xml:space="preserve"> is safe and economical.  </w:t>
      </w:r>
      <w:r w:rsidR="00CF52FF">
        <w:t xml:space="preserve">It is consistent with industry standards.  </w:t>
      </w:r>
      <w:r w:rsidR="00CB7C78">
        <w:t xml:space="preserve">It is slightly higher </w:t>
      </w:r>
      <w:r w:rsidR="00E035CD">
        <w:t>than</w:t>
      </w:r>
      <w:r w:rsidR="00CB7C78">
        <w:t xml:space="preserve"> the actual 44.0 percent equity ratio supporting utility operations.  </w:t>
      </w:r>
      <w:r w:rsidR="006A18D3">
        <w:t xml:space="preserve">While both Staff and </w:t>
      </w:r>
      <w:r w:rsidR="00450EAC">
        <w:t xml:space="preserve">the </w:t>
      </w:r>
      <w:r w:rsidR="006A18D3">
        <w:t>Company</w:t>
      </w:r>
      <w:r w:rsidR="00450EAC">
        <w:t>’s</w:t>
      </w:r>
      <w:r w:rsidR="008B3242">
        <w:t xml:space="preserve"> </w:t>
      </w:r>
      <w:r w:rsidR="006A18D3">
        <w:t xml:space="preserve">proposed capital </w:t>
      </w:r>
      <w:r w:rsidR="00843DDD">
        <w:t>structures</w:t>
      </w:r>
      <w:r w:rsidR="006A18D3">
        <w:t xml:space="preserve"> are safe, t</w:t>
      </w:r>
      <w:r w:rsidR="00995D52">
        <w:t xml:space="preserve">he Commission </w:t>
      </w:r>
      <w:r w:rsidR="00995D52">
        <w:lastRenderedPageBreak/>
        <w:t xml:space="preserve">should reject </w:t>
      </w:r>
      <w:r w:rsidR="00045AA1">
        <w:t xml:space="preserve">Avista’s </w:t>
      </w:r>
      <w:r w:rsidR="006A18D3">
        <w:t xml:space="preserve">hypothetical capital structure with </w:t>
      </w:r>
      <w:r w:rsidR="00FF5781">
        <w:t>49.00</w:t>
      </w:r>
      <w:r w:rsidR="00045AA1">
        <w:t xml:space="preserve"> percent </w:t>
      </w:r>
      <w:r w:rsidR="00FA56C1">
        <w:t>equity</w:t>
      </w:r>
      <w:r w:rsidR="00941C50">
        <w:t xml:space="preserve"> because it places </w:t>
      </w:r>
      <w:r w:rsidR="008333A3">
        <w:t>excessive cost</w:t>
      </w:r>
      <w:r w:rsidR="00941C50">
        <w:t>s</w:t>
      </w:r>
      <w:r w:rsidR="00E236EB">
        <w:t xml:space="preserve"> on ratepayers.</w:t>
      </w:r>
      <w:r w:rsidR="00CB7C78">
        <w:t xml:space="preserve">  </w:t>
      </w:r>
    </w:p>
    <w:p w14:paraId="34EA9A91" w14:textId="77777777" w:rsidR="00450EAC" w:rsidRDefault="00450EAC" w:rsidP="00941C50">
      <w:pPr>
        <w:spacing w:line="480" w:lineRule="auto"/>
        <w:ind w:left="720" w:hanging="720"/>
      </w:pPr>
    </w:p>
    <w:p w14:paraId="34EA9A92" w14:textId="77777777" w:rsidR="00450EAC" w:rsidRDefault="00450EAC" w:rsidP="00941C50">
      <w:pPr>
        <w:spacing w:line="480" w:lineRule="auto"/>
        <w:ind w:left="720" w:hanging="720"/>
        <w:rPr>
          <w:b/>
        </w:rPr>
      </w:pPr>
      <w:r>
        <w:rPr>
          <w:b/>
        </w:rPr>
        <w:t>Q.</w:t>
      </w:r>
      <w:r>
        <w:rPr>
          <w:b/>
        </w:rPr>
        <w:tab/>
      </w:r>
      <w:r w:rsidR="008537ED">
        <w:rPr>
          <w:b/>
        </w:rPr>
        <w:t>Are there any recent developments that warrant analysis concerning the appropriate capital structure for ratemaking purposes</w:t>
      </w:r>
      <w:r>
        <w:rPr>
          <w:b/>
        </w:rPr>
        <w:t>?</w:t>
      </w:r>
    </w:p>
    <w:p w14:paraId="34EA9A93" w14:textId="0018B670" w:rsidR="00450EAC" w:rsidRDefault="00450EAC" w:rsidP="00941C50">
      <w:pPr>
        <w:spacing w:line="480" w:lineRule="auto"/>
        <w:ind w:left="720" w:hanging="720"/>
      </w:pPr>
      <w:r>
        <w:t>A.</w:t>
      </w:r>
      <w:r>
        <w:tab/>
      </w:r>
      <w:r w:rsidR="008537ED">
        <w:t>Yes.  In May 2014</w:t>
      </w:r>
      <w:r w:rsidR="00E50ACE">
        <w:t>,</w:t>
      </w:r>
      <w:r w:rsidR="008537ED">
        <w:t xml:space="preserve"> Avista Corporation announced a sale of its principle unregulated business</w:t>
      </w:r>
      <w:r w:rsidR="00E50ACE">
        <w:t xml:space="preserve">: </w:t>
      </w:r>
      <w:r w:rsidR="008537ED">
        <w:t xml:space="preserve"> </w:t>
      </w:r>
      <w:r w:rsidR="00925156">
        <w:t>ECOVA</w:t>
      </w:r>
      <w:r w:rsidR="008537ED">
        <w:t xml:space="preserve">.  </w:t>
      </w:r>
      <w:r w:rsidR="005F6182">
        <w:t xml:space="preserve">The cash proceeds from the sale </w:t>
      </w:r>
      <w:r w:rsidR="00053D68">
        <w:t>are</w:t>
      </w:r>
      <w:r w:rsidR="005F6182">
        <w:t xml:space="preserve"> approximately $136 million</w:t>
      </w:r>
      <w:r w:rsidR="00CF52FF">
        <w:t>,</w:t>
      </w:r>
      <w:r w:rsidR="005F6182">
        <w:t xml:space="preserve"> and </w:t>
      </w:r>
      <w:r w:rsidR="00C3435B">
        <w:t xml:space="preserve">will </w:t>
      </w:r>
      <w:r w:rsidR="005F6182">
        <w:t xml:space="preserve">provide a net gain of $62 million.  </w:t>
      </w:r>
    </w:p>
    <w:p w14:paraId="34EA9A94" w14:textId="77777777" w:rsidR="005F6182" w:rsidRDefault="005F6182" w:rsidP="00941C50">
      <w:pPr>
        <w:spacing w:line="480" w:lineRule="auto"/>
        <w:ind w:left="720" w:hanging="720"/>
      </w:pPr>
    </w:p>
    <w:p w14:paraId="34EA9A95" w14:textId="77777777" w:rsidR="005F6182" w:rsidRDefault="005F6182" w:rsidP="00941C50">
      <w:pPr>
        <w:spacing w:line="480" w:lineRule="auto"/>
        <w:ind w:left="720" w:hanging="720"/>
        <w:rPr>
          <w:b/>
        </w:rPr>
      </w:pPr>
      <w:r>
        <w:rPr>
          <w:b/>
        </w:rPr>
        <w:t>Q.</w:t>
      </w:r>
      <w:r>
        <w:rPr>
          <w:b/>
        </w:rPr>
        <w:tab/>
        <w:t>Does this sale impact your recommendation regarding the appropriate capital structure the Commission should use for ratemaking purposes in this case?</w:t>
      </w:r>
    </w:p>
    <w:p w14:paraId="34EA9A96" w14:textId="7D2F4503" w:rsidR="005F6182" w:rsidRPr="005F6182" w:rsidRDefault="005F6182" w:rsidP="00941C50">
      <w:pPr>
        <w:spacing w:line="480" w:lineRule="auto"/>
        <w:ind w:left="720" w:hanging="720"/>
      </w:pPr>
      <w:r>
        <w:t>A.</w:t>
      </w:r>
      <w:r>
        <w:tab/>
        <w:t xml:space="preserve">No.  </w:t>
      </w:r>
      <w:r w:rsidR="003F7A64">
        <w:t>The immediate impac</w:t>
      </w:r>
      <w:r w:rsidR="009810F2">
        <w:t>t</w:t>
      </w:r>
      <w:r w:rsidR="003F7A64">
        <w:t xml:space="preserve"> of t</w:t>
      </w:r>
      <w:r>
        <w:t xml:space="preserve">he transaction will remove the equity investment of </w:t>
      </w:r>
      <w:r w:rsidR="00925156">
        <w:t>ECOVA</w:t>
      </w:r>
      <w:r>
        <w:t xml:space="preserve"> from Avista Corporation’s </w:t>
      </w:r>
      <w:r w:rsidR="00C82F4A">
        <w:t>books, increase</w:t>
      </w:r>
      <w:r w:rsidR="00C3435B">
        <w:t xml:space="preserve"> its </w:t>
      </w:r>
      <w:r w:rsidR="0001130B">
        <w:t>book value</w:t>
      </w:r>
      <w:r w:rsidR="00E50ACE">
        <w:t xml:space="preserve"> </w:t>
      </w:r>
      <w:r w:rsidR="0001130B">
        <w:t xml:space="preserve">and increase </w:t>
      </w:r>
      <w:r w:rsidR="00C82F4A">
        <w:t>the cash</w:t>
      </w:r>
      <w:r>
        <w:t xml:space="preserve"> on the corporation’s balance sheet.  </w:t>
      </w:r>
      <w:r w:rsidR="009F38EF">
        <w:t>On June 13, 2014, Avista</w:t>
      </w:r>
      <w:r w:rsidR="00CF52FF">
        <w:t xml:space="preserve"> </w:t>
      </w:r>
      <w:r w:rsidR="009F38EF">
        <w:t xml:space="preserve">Corporation’s Board of Directors authorized the </w:t>
      </w:r>
      <w:r w:rsidR="003A70C0">
        <w:t xml:space="preserve">use of the proceeds from the ECOVA sale to </w:t>
      </w:r>
      <w:r w:rsidR="009F38EF">
        <w:t>purchase of 4 million shar</w:t>
      </w:r>
      <w:r w:rsidR="005A00E4">
        <w:t xml:space="preserve">es of </w:t>
      </w:r>
      <w:r w:rsidR="003A70C0">
        <w:t xml:space="preserve">Avista Corporation’s </w:t>
      </w:r>
      <w:r w:rsidR="005A00E4">
        <w:t>common stock.</w:t>
      </w:r>
      <w:r w:rsidR="004D51B9">
        <w:t xml:space="preserve"> </w:t>
      </w:r>
      <w:r w:rsidR="005A00E4">
        <w:t xml:space="preserve"> </w:t>
      </w:r>
      <w:r w:rsidR="00E50ACE">
        <w:t xml:space="preserve">However, that </w:t>
      </w:r>
      <w:r>
        <w:t>does not alter the normative analysis of what is a cost effective capital structure.</w:t>
      </w:r>
      <w:r w:rsidR="00E50ACE">
        <w:t xml:space="preserve">  A 46.00 percent equity ratio remains appropriate for setting rates.</w:t>
      </w:r>
    </w:p>
    <w:p w14:paraId="34EA9A97" w14:textId="77777777" w:rsidR="00BA0BBA" w:rsidRDefault="00BA0BBA" w:rsidP="00E9443F">
      <w:pPr>
        <w:spacing w:line="480" w:lineRule="auto"/>
        <w:ind w:left="720" w:hanging="720"/>
      </w:pPr>
    </w:p>
    <w:p w14:paraId="34EA9A98" w14:textId="77777777" w:rsidR="00BA0BBA" w:rsidRPr="00C21B20" w:rsidRDefault="00BA0BBA" w:rsidP="00BA0BBA">
      <w:pPr>
        <w:tabs>
          <w:tab w:val="left" w:pos="720"/>
          <w:tab w:val="left" w:pos="1440"/>
          <w:tab w:val="left" w:pos="9240"/>
        </w:tabs>
        <w:spacing w:line="480" w:lineRule="auto"/>
        <w:ind w:left="720" w:hanging="720"/>
        <w:rPr>
          <w:b/>
        </w:rPr>
      </w:pPr>
      <w:r w:rsidRPr="00463666">
        <w:rPr>
          <w:b/>
        </w:rPr>
        <w:t>Q.</w:t>
      </w:r>
      <w:r w:rsidRPr="00463666">
        <w:rPr>
          <w:b/>
        </w:rPr>
        <w:tab/>
      </w:r>
      <w:r w:rsidR="00463666">
        <w:rPr>
          <w:b/>
        </w:rPr>
        <w:t>How did you analyze the safety of your proposed capital structure with 46.00 percent equity?</w:t>
      </w:r>
      <w:r w:rsidR="00E50ACE">
        <w:rPr>
          <w:b/>
        </w:rPr>
        <w:t xml:space="preserve"> </w:t>
      </w:r>
    </w:p>
    <w:p w14:paraId="34EA9A99" w14:textId="77777777" w:rsidR="00BA0BBA" w:rsidRDefault="00BA0BBA" w:rsidP="001A7B8F">
      <w:pPr>
        <w:tabs>
          <w:tab w:val="left" w:pos="720"/>
          <w:tab w:val="left" w:pos="1440"/>
          <w:tab w:val="left" w:pos="9240"/>
        </w:tabs>
        <w:spacing w:line="480" w:lineRule="auto"/>
        <w:ind w:left="720" w:hanging="720"/>
      </w:pPr>
      <w:r>
        <w:t>A.</w:t>
      </w:r>
      <w:r>
        <w:tab/>
      </w:r>
      <w:r w:rsidR="00B75447">
        <w:t xml:space="preserve">I </w:t>
      </w:r>
      <w:r w:rsidR="00941C50">
        <w:t xml:space="preserve">analyzed the pre-tax interest coverage ratio that results from my </w:t>
      </w:r>
      <w:r>
        <w:t xml:space="preserve">capital structure </w:t>
      </w:r>
      <w:r w:rsidR="00B75447">
        <w:t>recommendation</w:t>
      </w:r>
      <w:r w:rsidR="001A7B8F">
        <w:t xml:space="preserve"> and overall cost of capital.</w:t>
      </w:r>
      <w:r w:rsidR="00E236EB">
        <w:t xml:space="preserve">  </w:t>
      </w:r>
      <w:r w:rsidR="00941C50">
        <w:t xml:space="preserve">The pre-tax </w:t>
      </w:r>
      <w:r w:rsidR="00363355">
        <w:t>interest</w:t>
      </w:r>
      <w:r w:rsidR="00941C50">
        <w:t xml:space="preserve"> coverage ratio </w:t>
      </w:r>
      <w:r w:rsidR="00753D53">
        <w:t xml:space="preserve">is </w:t>
      </w:r>
      <w:r w:rsidR="00BB6AEC">
        <w:t xml:space="preserve">a </w:t>
      </w:r>
      <w:r w:rsidR="00BB6AEC">
        <w:lastRenderedPageBreak/>
        <w:t xml:space="preserve">significant financial metric; it </w:t>
      </w:r>
      <w:r w:rsidR="001A7B8F">
        <w:t xml:space="preserve">is </w:t>
      </w:r>
      <w:r w:rsidR="00753D53">
        <w:t xml:space="preserve">the foundation of all other </w:t>
      </w:r>
      <w:r w:rsidR="00941C50">
        <w:t xml:space="preserve">financial </w:t>
      </w:r>
      <w:r w:rsidR="00753D53">
        <w:t>metrics that measure a firm’s profitability</w:t>
      </w:r>
      <w:r w:rsidR="00FC34A5">
        <w:t xml:space="preserve"> and cash flows</w:t>
      </w:r>
      <w:r w:rsidR="00941C50">
        <w:t xml:space="preserve">.  </w:t>
      </w:r>
      <w:r w:rsidR="008B3242">
        <w:t xml:space="preserve">It </w:t>
      </w:r>
      <w:r w:rsidR="00941C50">
        <w:t xml:space="preserve">provides a measure of protection </w:t>
      </w:r>
      <w:r w:rsidR="00363355">
        <w:t>for</w:t>
      </w:r>
      <w:r w:rsidR="00BB6AEC">
        <w:t xml:space="preserve"> bond investors showing </w:t>
      </w:r>
      <w:r w:rsidR="005F6182">
        <w:t xml:space="preserve">the company’s ability to service debt from operating profit margin.  For example, a coverage ratio of 3.0 times means the company generates operating income of three times its interest expense.  </w:t>
      </w:r>
      <w:r w:rsidR="00753D53">
        <w:t>This metric</w:t>
      </w:r>
      <w:r>
        <w:t xml:space="preserve"> is </w:t>
      </w:r>
      <w:r w:rsidR="001A7B8F">
        <w:t xml:space="preserve">also </w:t>
      </w:r>
      <w:r>
        <w:t>reported in Avista Corporation’s financial statements</w:t>
      </w:r>
      <w:r w:rsidR="00FA56C1">
        <w:t xml:space="preserve"> </w:t>
      </w:r>
      <w:r w:rsidR="00941C50">
        <w:t xml:space="preserve">in </w:t>
      </w:r>
      <w:r w:rsidR="00FA56C1">
        <w:t xml:space="preserve">describing </w:t>
      </w:r>
      <w:r w:rsidR="009810F2">
        <w:t>it</w:t>
      </w:r>
      <w:r w:rsidR="00463666">
        <w:t>s</w:t>
      </w:r>
      <w:r w:rsidR="009810F2">
        <w:t xml:space="preserve"> </w:t>
      </w:r>
      <w:r w:rsidR="00FA56C1">
        <w:t xml:space="preserve">profitability </w:t>
      </w:r>
      <w:r w:rsidR="009810F2">
        <w:t xml:space="preserve">from continuing operations, </w:t>
      </w:r>
      <w:r w:rsidR="00FA56C1">
        <w:t xml:space="preserve">and </w:t>
      </w:r>
      <w:r w:rsidR="009810F2">
        <w:t xml:space="preserve">its </w:t>
      </w:r>
      <w:r w:rsidR="00FA56C1">
        <w:t>ability to service debt</w:t>
      </w:r>
      <w:r>
        <w:t xml:space="preserve">.  </w:t>
      </w:r>
      <w:r w:rsidR="00BB6AEC">
        <w:t xml:space="preserve"> </w:t>
      </w:r>
    </w:p>
    <w:p w14:paraId="34EA9A9A" w14:textId="77777777" w:rsidR="00B75447" w:rsidRDefault="00B75447" w:rsidP="00BA0BBA">
      <w:pPr>
        <w:tabs>
          <w:tab w:val="left" w:pos="720"/>
          <w:tab w:val="left" w:pos="1440"/>
          <w:tab w:val="left" w:pos="9240"/>
        </w:tabs>
        <w:spacing w:line="480" w:lineRule="auto"/>
        <w:ind w:left="720" w:hanging="720"/>
      </w:pPr>
    </w:p>
    <w:p w14:paraId="34EA9A9B" w14:textId="39C04DEC" w:rsidR="00B75447" w:rsidRDefault="00B75447" w:rsidP="00BA0BBA">
      <w:pPr>
        <w:tabs>
          <w:tab w:val="left" w:pos="720"/>
          <w:tab w:val="left" w:pos="1440"/>
          <w:tab w:val="left" w:pos="9240"/>
        </w:tabs>
        <w:spacing w:line="480" w:lineRule="auto"/>
        <w:ind w:left="720" w:hanging="720"/>
        <w:rPr>
          <w:b/>
        </w:rPr>
      </w:pPr>
      <w:r>
        <w:rPr>
          <w:b/>
        </w:rPr>
        <w:t>Q.</w:t>
      </w:r>
      <w:r>
        <w:rPr>
          <w:b/>
        </w:rPr>
        <w:tab/>
        <w:t xml:space="preserve">What is the pre-tax coverage ratio using your </w:t>
      </w:r>
      <w:r w:rsidR="00463666">
        <w:rPr>
          <w:b/>
        </w:rPr>
        <w:t>capital structure recommendation and overall cost of capital?</w:t>
      </w:r>
    </w:p>
    <w:p w14:paraId="34EA9A9C" w14:textId="0D596690" w:rsidR="00463666" w:rsidRDefault="00B75447" w:rsidP="00BA0BBA">
      <w:pPr>
        <w:tabs>
          <w:tab w:val="left" w:pos="720"/>
          <w:tab w:val="left" w:pos="1440"/>
          <w:tab w:val="left" w:pos="9240"/>
        </w:tabs>
        <w:spacing w:line="480" w:lineRule="auto"/>
        <w:ind w:left="720" w:hanging="720"/>
      </w:pPr>
      <w:r>
        <w:t>A.</w:t>
      </w:r>
      <w:r>
        <w:tab/>
      </w:r>
      <w:r w:rsidR="00463666">
        <w:t>M</w:t>
      </w:r>
      <w:r w:rsidR="00941C50">
        <w:t xml:space="preserve">y recommended capital structure </w:t>
      </w:r>
      <w:r w:rsidR="00463666">
        <w:t>and overall cost of capital</w:t>
      </w:r>
      <w:r w:rsidR="00941C50">
        <w:t xml:space="preserve"> generates a </w:t>
      </w:r>
      <w:r>
        <w:t>3.1</w:t>
      </w:r>
      <w:r w:rsidR="005A00E4">
        <w:t>6</w:t>
      </w:r>
      <w:r>
        <w:t xml:space="preserve"> times</w:t>
      </w:r>
      <w:r w:rsidR="00941C50">
        <w:t xml:space="preserve"> interest coverage ratio</w:t>
      </w:r>
      <w:r>
        <w:t>.</w:t>
      </w:r>
      <w:r w:rsidRPr="00B75447">
        <w:t xml:space="preserve"> </w:t>
      </w:r>
      <w:r>
        <w:t xml:space="preserve"> </w:t>
      </w:r>
      <w:r w:rsidR="00941C50">
        <w:t xml:space="preserve">By </w:t>
      </w:r>
      <w:r w:rsidR="008333A3">
        <w:t xml:space="preserve">comparison, </w:t>
      </w:r>
      <w:r>
        <w:t xml:space="preserve">Avista Corporation’s </w:t>
      </w:r>
      <w:r w:rsidR="00753D53">
        <w:t xml:space="preserve">actual </w:t>
      </w:r>
      <w:r>
        <w:t>2013 coverage was 3.10 times.</w:t>
      </w:r>
      <w:r>
        <w:rPr>
          <w:rStyle w:val="FootnoteReference"/>
        </w:rPr>
        <w:footnoteReference w:id="17"/>
      </w:r>
      <w:r w:rsidR="00941C50">
        <w:t xml:space="preserve">  This indicates my recommendation provi</w:t>
      </w:r>
      <w:r w:rsidR="00CB7C78">
        <w:t>des adequate safety</w:t>
      </w:r>
      <w:r w:rsidR="00463666">
        <w:t>.</w:t>
      </w:r>
    </w:p>
    <w:p w14:paraId="34EA9A9D" w14:textId="77777777" w:rsidR="00463666" w:rsidRDefault="00463666" w:rsidP="00BA0BBA">
      <w:pPr>
        <w:tabs>
          <w:tab w:val="left" w:pos="720"/>
          <w:tab w:val="left" w:pos="1440"/>
          <w:tab w:val="left" w:pos="9240"/>
        </w:tabs>
        <w:spacing w:line="480" w:lineRule="auto"/>
        <w:ind w:left="720" w:hanging="720"/>
      </w:pPr>
    </w:p>
    <w:p w14:paraId="34EA9A9E" w14:textId="77777777" w:rsidR="00463666" w:rsidRDefault="00463666" w:rsidP="00BA0BBA">
      <w:pPr>
        <w:tabs>
          <w:tab w:val="left" w:pos="720"/>
          <w:tab w:val="left" w:pos="1440"/>
          <w:tab w:val="left" w:pos="9240"/>
        </w:tabs>
        <w:spacing w:line="480" w:lineRule="auto"/>
        <w:ind w:left="720" w:hanging="720"/>
        <w:rPr>
          <w:b/>
        </w:rPr>
      </w:pPr>
      <w:r>
        <w:rPr>
          <w:b/>
        </w:rPr>
        <w:t>Q.</w:t>
      </w:r>
      <w:r>
        <w:rPr>
          <w:b/>
        </w:rPr>
        <w:tab/>
      </w:r>
      <w:r w:rsidRPr="00463666">
        <w:rPr>
          <w:b/>
        </w:rPr>
        <w:t xml:space="preserve">Why do you say </w:t>
      </w:r>
      <w:r w:rsidRPr="0013774A">
        <w:rPr>
          <w:b/>
        </w:rPr>
        <w:t>Avista’s hypothetical capital structure with 49.00 percent equity because it places excessive costs on ratepayers?</w:t>
      </w:r>
    </w:p>
    <w:p w14:paraId="34EA9A9F" w14:textId="4966B81A" w:rsidR="00FC34A5" w:rsidRDefault="00463666" w:rsidP="00BA0BBA">
      <w:pPr>
        <w:tabs>
          <w:tab w:val="left" w:pos="720"/>
          <w:tab w:val="left" w:pos="1440"/>
          <w:tab w:val="left" w:pos="9240"/>
        </w:tabs>
        <w:spacing w:line="480" w:lineRule="auto"/>
        <w:ind w:left="720" w:hanging="720"/>
      </w:pPr>
      <w:r>
        <w:t>A.</w:t>
      </w:r>
      <w:r>
        <w:tab/>
      </w:r>
      <w:r w:rsidR="00CF52FF">
        <w:t xml:space="preserve">While </w:t>
      </w:r>
      <w:r>
        <w:t>Avista’s proposed capital structure</w:t>
      </w:r>
      <w:r w:rsidR="00CF52FF">
        <w:t xml:space="preserve"> with 49.00 percent equity</w:t>
      </w:r>
      <w:r>
        <w:t xml:space="preserve"> is also safe, it is higher cost than my proposed capital structure.  T</w:t>
      </w:r>
      <w:r w:rsidR="00941C50">
        <w:t xml:space="preserve">here is no reason to burden ratepayers </w:t>
      </w:r>
      <w:r w:rsidR="003A70C0">
        <w:t xml:space="preserve">with </w:t>
      </w:r>
      <w:r w:rsidR="001A7B8F">
        <w:t>a</w:t>
      </w:r>
      <w:r w:rsidR="00941C50">
        <w:t xml:space="preserve"> capital structure</w:t>
      </w:r>
      <w:r w:rsidR="00416B89">
        <w:t xml:space="preserve"> that costs $5 million more</w:t>
      </w:r>
      <w:r w:rsidR="00941C50">
        <w:t xml:space="preserve">. </w:t>
      </w:r>
      <w:r>
        <w:t xml:space="preserve"> In other words, the Company’s </w:t>
      </w:r>
      <w:r w:rsidR="00C82F4A">
        <w:t>proposed</w:t>
      </w:r>
      <w:r>
        <w:t xml:space="preserve"> equity ratio is not economical, and therefore it fails to satisfy the Commission’s policy of balancing safety and economy.</w:t>
      </w:r>
    </w:p>
    <w:p w14:paraId="34EA9AA0" w14:textId="77777777" w:rsidR="00FC34A5" w:rsidRDefault="00FC34A5" w:rsidP="00BA0BBA">
      <w:pPr>
        <w:tabs>
          <w:tab w:val="left" w:pos="720"/>
          <w:tab w:val="left" w:pos="1440"/>
          <w:tab w:val="left" w:pos="9240"/>
        </w:tabs>
        <w:spacing w:line="480" w:lineRule="auto"/>
        <w:ind w:left="720" w:hanging="720"/>
      </w:pPr>
    </w:p>
    <w:p w14:paraId="34EA9AA1" w14:textId="77777777" w:rsidR="00FC34A5" w:rsidRDefault="00FC34A5" w:rsidP="00BA0BBA">
      <w:pPr>
        <w:tabs>
          <w:tab w:val="left" w:pos="720"/>
          <w:tab w:val="left" w:pos="1440"/>
          <w:tab w:val="left" w:pos="9240"/>
        </w:tabs>
        <w:spacing w:line="480" w:lineRule="auto"/>
        <w:ind w:left="720" w:hanging="720"/>
        <w:rPr>
          <w:b/>
        </w:rPr>
      </w:pPr>
      <w:r>
        <w:rPr>
          <w:b/>
        </w:rPr>
        <w:lastRenderedPageBreak/>
        <w:t>Q.</w:t>
      </w:r>
      <w:r>
        <w:rPr>
          <w:b/>
        </w:rPr>
        <w:tab/>
        <w:t>Please summarize your conclusions regarding the appropriate capital structure for Avista</w:t>
      </w:r>
      <w:r w:rsidR="00463666">
        <w:rPr>
          <w:b/>
        </w:rPr>
        <w:t>.</w:t>
      </w:r>
    </w:p>
    <w:p w14:paraId="34EA9AA2" w14:textId="094C09F0" w:rsidR="00B75447" w:rsidRPr="00B75447" w:rsidRDefault="00FC34A5" w:rsidP="00BA0BBA">
      <w:pPr>
        <w:tabs>
          <w:tab w:val="left" w:pos="720"/>
          <w:tab w:val="left" w:pos="1440"/>
          <w:tab w:val="left" w:pos="9240"/>
        </w:tabs>
        <w:spacing w:line="480" w:lineRule="auto"/>
        <w:ind w:left="720" w:hanging="720"/>
      </w:pPr>
      <w:r>
        <w:t>A.</w:t>
      </w:r>
      <w:r>
        <w:tab/>
        <w:t>A capital structure with 46</w:t>
      </w:r>
      <w:r w:rsidR="00463666">
        <w:t>.00</w:t>
      </w:r>
      <w:r>
        <w:t xml:space="preserve"> percent common equity is</w:t>
      </w:r>
      <w:r w:rsidR="00463666">
        <w:t xml:space="preserve"> </w:t>
      </w:r>
      <w:r w:rsidR="008B08B0">
        <w:t xml:space="preserve">safe and economical. </w:t>
      </w:r>
      <w:r w:rsidR="005F6182">
        <w:t xml:space="preserve"> It is a cap</w:t>
      </w:r>
      <w:r w:rsidR="003F7A64">
        <w:t xml:space="preserve">ital structure consistent with </w:t>
      </w:r>
      <w:r w:rsidR="00AF63C9">
        <w:t>Avista Corporation</w:t>
      </w:r>
      <w:r w:rsidR="003F7A64">
        <w:t>’s decision to finance</w:t>
      </w:r>
      <w:r w:rsidR="00AF63C9">
        <w:t xml:space="preserve"> </w:t>
      </w:r>
      <w:r w:rsidR="00463666">
        <w:t xml:space="preserve">its </w:t>
      </w:r>
      <w:r w:rsidR="003F7A64">
        <w:t xml:space="preserve">utility </w:t>
      </w:r>
      <w:r w:rsidR="005F6182">
        <w:t xml:space="preserve">operations in the past, and </w:t>
      </w:r>
      <w:r w:rsidR="00463666">
        <w:t xml:space="preserve">it is </w:t>
      </w:r>
      <w:r w:rsidR="005F6182">
        <w:t xml:space="preserve">consistent with </w:t>
      </w:r>
      <w:r w:rsidR="0001130B">
        <w:t xml:space="preserve">the initial </w:t>
      </w:r>
      <w:r w:rsidR="005F6182">
        <w:t>financial projections</w:t>
      </w:r>
      <w:r w:rsidR="0001130B">
        <w:t xml:space="preserve"> the Company provided in support of its direct case</w:t>
      </w:r>
      <w:r w:rsidR="005F6182">
        <w:t xml:space="preserve">.  </w:t>
      </w:r>
      <w:r>
        <w:t>It will enable Avista Corporation to access capital on reasonable terms.</w:t>
      </w:r>
      <w:r w:rsidR="00463666">
        <w:t xml:space="preserve">  A higher equity ratio is not appropriate.</w:t>
      </w:r>
      <w:r>
        <w:t xml:space="preserve">  </w:t>
      </w:r>
      <w:r w:rsidR="00B75447">
        <w:t xml:space="preserve">  </w:t>
      </w:r>
    </w:p>
    <w:p w14:paraId="34EA9AA3" w14:textId="77777777" w:rsidR="00FF0F00" w:rsidRPr="007242E5" w:rsidRDefault="00FF0F00" w:rsidP="005D3B74">
      <w:pPr>
        <w:tabs>
          <w:tab w:val="left" w:pos="720"/>
          <w:tab w:val="left" w:pos="1440"/>
          <w:tab w:val="left" w:pos="9240"/>
        </w:tabs>
        <w:spacing w:line="480" w:lineRule="auto"/>
        <w:ind w:left="720" w:hanging="720"/>
      </w:pPr>
    </w:p>
    <w:p w14:paraId="34EA9AA4" w14:textId="77777777" w:rsidR="005D3B74" w:rsidRPr="00AE0B12" w:rsidRDefault="00D26E1D" w:rsidP="001257ED">
      <w:pPr>
        <w:keepNext/>
        <w:tabs>
          <w:tab w:val="left" w:pos="720"/>
          <w:tab w:val="left" w:pos="1440"/>
          <w:tab w:val="left" w:pos="9240"/>
        </w:tabs>
        <w:spacing w:line="480" w:lineRule="auto"/>
        <w:rPr>
          <w:b/>
        </w:rPr>
      </w:pPr>
      <w:r>
        <w:rPr>
          <w:b/>
        </w:rPr>
        <w:tab/>
      </w:r>
      <w:r w:rsidR="005D3B74">
        <w:rPr>
          <w:b/>
        </w:rPr>
        <w:t>B.</w:t>
      </w:r>
      <w:r w:rsidR="005D3B74">
        <w:rPr>
          <w:b/>
        </w:rPr>
        <w:tab/>
        <w:t xml:space="preserve">Short-Term Debt </w:t>
      </w:r>
      <w:r w:rsidR="00A201C8">
        <w:rPr>
          <w:b/>
        </w:rPr>
        <w:t>Ratio</w:t>
      </w:r>
    </w:p>
    <w:p w14:paraId="34EA9AA5" w14:textId="77777777" w:rsidR="005D3B74" w:rsidRDefault="005D3B74" w:rsidP="001257ED">
      <w:pPr>
        <w:keepNext/>
        <w:tabs>
          <w:tab w:val="left" w:pos="720"/>
          <w:tab w:val="left" w:pos="1440"/>
          <w:tab w:val="left" w:pos="9240"/>
        </w:tabs>
        <w:spacing w:line="480" w:lineRule="auto"/>
        <w:ind w:left="720" w:hanging="720"/>
        <w:rPr>
          <w:b/>
        </w:rPr>
      </w:pPr>
    </w:p>
    <w:p w14:paraId="34EA9AA6" w14:textId="77777777" w:rsidR="003A70C0" w:rsidRPr="003A70C0" w:rsidRDefault="003A70C0" w:rsidP="001257ED">
      <w:pPr>
        <w:keepNext/>
        <w:tabs>
          <w:tab w:val="left" w:pos="720"/>
          <w:tab w:val="left" w:pos="1440"/>
          <w:tab w:val="left" w:pos="9240"/>
        </w:tabs>
        <w:spacing w:line="480" w:lineRule="auto"/>
        <w:ind w:left="720" w:hanging="720"/>
        <w:rPr>
          <w:b/>
        </w:rPr>
      </w:pPr>
      <w:r>
        <w:rPr>
          <w:b/>
        </w:rPr>
        <w:t>Q.</w:t>
      </w:r>
      <w:r>
        <w:rPr>
          <w:b/>
        </w:rPr>
        <w:tab/>
        <w:t>Why should a utility use short-term debt?</w:t>
      </w:r>
    </w:p>
    <w:p w14:paraId="34EA9AA7" w14:textId="77777777" w:rsidR="003A70C0" w:rsidRDefault="003A70C0" w:rsidP="001257ED">
      <w:pPr>
        <w:keepNext/>
        <w:tabs>
          <w:tab w:val="left" w:pos="720"/>
          <w:tab w:val="left" w:pos="1440"/>
          <w:tab w:val="left" w:pos="9240"/>
        </w:tabs>
        <w:spacing w:line="480" w:lineRule="auto"/>
        <w:ind w:left="720" w:hanging="720"/>
      </w:pPr>
      <w:r>
        <w:t>A.</w:t>
      </w:r>
      <w:r>
        <w:tab/>
        <w:t xml:space="preserve">A utility should use short-term debt to manage its cash and current portion of its balance sheet throughout the year.  In particular, because the Commission allows working capital as a rate base item, it is prudent to use this low cost source of capital in the capital structure to cost-effectively manage that element of its balance sheet.  </w:t>
      </w:r>
    </w:p>
    <w:p w14:paraId="34EA9AA8" w14:textId="77777777" w:rsidR="003A70C0" w:rsidRPr="00F77222" w:rsidRDefault="003A70C0" w:rsidP="001257ED">
      <w:pPr>
        <w:keepNext/>
        <w:tabs>
          <w:tab w:val="left" w:pos="720"/>
          <w:tab w:val="left" w:pos="1440"/>
          <w:tab w:val="left" w:pos="9240"/>
        </w:tabs>
        <w:spacing w:line="480" w:lineRule="auto"/>
        <w:ind w:left="720" w:hanging="720"/>
      </w:pPr>
    </w:p>
    <w:p w14:paraId="34EA9AA9" w14:textId="77777777" w:rsidR="005D3B74" w:rsidRPr="00FC1AF2" w:rsidRDefault="005D3B74" w:rsidP="005D3B74">
      <w:pPr>
        <w:tabs>
          <w:tab w:val="left" w:pos="720"/>
          <w:tab w:val="left" w:pos="1440"/>
          <w:tab w:val="left" w:pos="9240"/>
        </w:tabs>
        <w:spacing w:line="480" w:lineRule="auto"/>
        <w:ind w:left="720" w:hanging="720"/>
        <w:rPr>
          <w:b/>
        </w:rPr>
      </w:pPr>
      <w:r w:rsidRPr="00FC1AF2">
        <w:rPr>
          <w:b/>
        </w:rPr>
        <w:t>Q.</w:t>
      </w:r>
      <w:r w:rsidRPr="00FC1AF2">
        <w:rPr>
          <w:b/>
        </w:rPr>
        <w:tab/>
        <w:t>What is a reasonable amount of short-term debt in a utility</w:t>
      </w:r>
      <w:r w:rsidR="000F46E8">
        <w:rPr>
          <w:b/>
        </w:rPr>
        <w:t xml:space="preserve">’s </w:t>
      </w:r>
      <w:r w:rsidRPr="00FC1AF2">
        <w:rPr>
          <w:b/>
        </w:rPr>
        <w:t>capital structure?</w:t>
      </w:r>
    </w:p>
    <w:p w14:paraId="34EA9AAA" w14:textId="77777777" w:rsidR="005D3B74" w:rsidRDefault="005D3B74" w:rsidP="0046245D">
      <w:pPr>
        <w:tabs>
          <w:tab w:val="left" w:pos="720"/>
          <w:tab w:val="left" w:pos="1440"/>
          <w:tab w:val="left" w:pos="9240"/>
        </w:tabs>
        <w:spacing w:line="480" w:lineRule="auto"/>
        <w:ind w:left="720" w:hanging="720"/>
      </w:pPr>
      <w:r w:rsidRPr="00C00AE6">
        <w:t>A.</w:t>
      </w:r>
      <w:r w:rsidRPr="00C00AE6">
        <w:tab/>
        <w:t>Three to five percent is a reasonable amount of short-term in a utility</w:t>
      </w:r>
      <w:r w:rsidR="000F46E8">
        <w:t xml:space="preserve">’s </w:t>
      </w:r>
      <w:r w:rsidR="00864382">
        <w:t xml:space="preserve">capital structure. </w:t>
      </w:r>
      <w:r w:rsidR="00467170">
        <w:t xml:space="preserve"> </w:t>
      </w:r>
      <w:r w:rsidR="00941C50">
        <w:t xml:space="preserve">In </w:t>
      </w:r>
      <w:r w:rsidR="0046245D">
        <w:t xml:space="preserve">its direct </w:t>
      </w:r>
      <w:r w:rsidR="00941C50">
        <w:t>case, t</w:t>
      </w:r>
      <w:r w:rsidR="00467170">
        <w:t xml:space="preserve">he Company includes $100,000,000 of short-term debt, which </w:t>
      </w:r>
      <w:r w:rsidR="0037109B">
        <w:t xml:space="preserve">is </w:t>
      </w:r>
      <w:r w:rsidR="00A208D6">
        <w:t xml:space="preserve">a </w:t>
      </w:r>
      <w:r w:rsidR="0037109B">
        <w:t xml:space="preserve">short-term debt ratio of </w:t>
      </w:r>
      <w:r w:rsidR="00467170">
        <w:t>3.22 percent.</w:t>
      </w:r>
      <w:r w:rsidR="00467170">
        <w:rPr>
          <w:rStyle w:val="FootnoteReference"/>
        </w:rPr>
        <w:footnoteReference w:id="18"/>
      </w:r>
      <w:r w:rsidR="0037109B">
        <w:t xml:space="preserve">  </w:t>
      </w:r>
      <w:r w:rsidR="003A70C0">
        <w:t xml:space="preserve">However, in </w:t>
      </w:r>
      <w:r w:rsidR="00D21175">
        <w:t>r</w:t>
      </w:r>
      <w:r w:rsidR="006B5DEA">
        <w:t xml:space="preserve">esponse to discovery, </w:t>
      </w:r>
      <w:r w:rsidR="00D21175">
        <w:t xml:space="preserve">Avista </w:t>
      </w:r>
      <w:r w:rsidR="0046245D">
        <w:t xml:space="preserve">updated its estimates to recognize that it </w:t>
      </w:r>
      <w:r w:rsidR="005A00E4">
        <w:t>will</w:t>
      </w:r>
      <w:r w:rsidR="0046245D">
        <w:t xml:space="preserve"> use more</w:t>
      </w:r>
      <w:r w:rsidR="00D21175">
        <w:t xml:space="preserve"> short-term debt</w:t>
      </w:r>
      <w:r w:rsidR="0046245D">
        <w:t xml:space="preserve">.  The update estimates </w:t>
      </w:r>
      <w:r w:rsidR="000F4399">
        <w:t>an increase to</w:t>
      </w:r>
      <w:r w:rsidR="00D21175">
        <w:t xml:space="preserve"> $112 million</w:t>
      </w:r>
      <w:r w:rsidR="000F4399">
        <w:t xml:space="preserve">.  </w:t>
      </w:r>
      <w:r w:rsidR="00D21175">
        <w:t xml:space="preserve">I </w:t>
      </w:r>
      <w:r w:rsidR="00E236EB">
        <w:t>will accept this amount for purposes of this case</w:t>
      </w:r>
      <w:r w:rsidR="00D21175">
        <w:t>.</w:t>
      </w:r>
    </w:p>
    <w:p w14:paraId="34EA9AAB" w14:textId="77777777" w:rsidR="00A4473A" w:rsidRDefault="00A4473A" w:rsidP="00E25B05">
      <w:pPr>
        <w:keepNext/>
        <w:tabs>
          <w:tab w:val="left" w:pos="720"/>
          <w:tab w:val="left" w:pos="1440"/>
          <w:tab w:val="left" w:pos="9240"/>
        </w:tabs>
        <w:spacing w:line="480" w:lineRule="auto"/>
        <w:ind w:left="720" w:hanging="720"/>
        <w:jc w:val="center"/>
        <w:rPr>
          <w:b/>
        </w:rPr>
      </w:pPr>
    </w:p>
    <w:p w14:paraId="34EA9AAC" w14:textId="77777777" w:rsidR="00F47FF7" w:rsidRDefault="00F47FF7" w:rsidP="00E25B05">
      <w:pPr>
        <w:keepNext/>
        <w:tabs>
          <w:tab w:val="left" w:pos="720"/>
          <w:tab w:val="left" w:pos="1440"/>
          <w:tab w:val="left" w:pos="9240"/>
        </w:tabs>
        <w:spacing w:line="480" w:lineRule="auto"/>
        <w:ind w:left="720" w:hanging="720"/>
        <w:jc w:val="center"/>
        <w:rPr>
          <w:b/>
        </w:rPr>
      </w:pPr>
      <w:r>
        <w:rPr>
          <w:b/>
        </w:rPr>
        <w:t>V.</w:t>
      </w:r>
      <w:r>
        <w:rPr>
          <w:b/>
        </w:rPr>
        <w:tab/>
        <w:t>COST OF DEBT</w:t>
      </w:r>
    </w:p>
    <w:p w14:paraId="34EA9AAD" w14:textId="77777777" w:rsidR="00F47FF7" w:rsidRDefault="00F47FF7" w:rsidP="00E5511E">
      <w:pPr>
        <w:keepNext/>
        <w:tabs>
          <w:tab w:val="left" w:pos="720"/>
          <w:tab w:val="left" w:pos="1440"/>
          <w:tab w:val="left" w:pos="9240"/>
        </w:tabs>
        <w:spacing w:line="480" w:lineRule="auto"/>
        <w:ind w:left="720" w:hanging="720"/>
        <w:rPr>
          <w:b/>
        </w:rPr>
      </w:pPr>
    </w:p>
    <w:p w14:paraId="34EA9AAE" w14:textId="77777777" w:rsidR="00F47FF7" w:rsidRDefault="00F47FF7" w:rsidP="00F47FF7">
      <w:pPr>
        <w:tabs>
          <w:tab w:val="left" w:pos="720"/>
          <w:tab w:val="left" w:pos="1440"/>
          <w:tab w:val="left" w:pos="9240"/>
        </w:tabs>
        <w:spacing w:line="480" w:lineRule="auto"/>
        <w:ind w:left="720" w:hanging="720"/>
        <w:rPr>
          <w:b/>
        </w:rPr>
      </w:pPr>
      <w:r>
        <w:rPr>
          <w:b/>
        </w:rPr>
        <w:t>Q.</w:t>
      </w:r>
      <w:r>
        <w:rPr>
          <w:b/>
        </w:rPr>
        <w:tab/>
        <w:t xml:space="preserve">What is </w:t>
      </w:r>
      <w:r w:rsidR="00613340">
        <w:rPr>
          <w:b/>
        </w:rPr>
        <w:t>Avista’s</w:t>
      </w:r>
      <w:r>
        <w:rPr>
          <w:b/>
        </w:rPr>
        <w:t xml:space="preserve"> </w:t>
      </w:r>
      <w:r w:rsidR="003A70C0">
        <w:rPr>
          <w:b/>
        </w:rPr>
        <w:t xml:space="preserve">overall </w:t>
      </w:r>
      <w:r>
        <w:rPr>
          <w:b/>
        </w:rPr>
        <w:t>cost of debt?</w:t>
      </w:r>
    </w:p>
    <w:p w14:paraId="34EA9AAF" w14:textId="052E2B53" w:rsidR="00F47FF7" w:rsidRDefault="00F47FF7" w:rsidP="00F47FF7">
      <w:pPr>
        <w:tabs>
          <w:tab w:val="left" w:pos="720"/>
          <w:tab w:val="left" w:pos="1440"/>
          <w:tab w:val="left" w:pos="9240"/>
        </w:tabs>
        <w:spacing w:line="480" w:lineRule="auto"/>
        <w:ind w:left="720" w:hanging="720"/>
      </w:pPr>
      <w:r>
        <w:t>A.</w:t>
      </w:r>
      <w:r>
        <w:tab/>
      </w:r>
      <w:r w:rsidR="00985E3D">
        <w:t xml:space="preserve">Avista’s cost of debt is </w:t>
      </w:r>
      <w:r w:rsidR="00AD78F3">
        <w:t>5</w:t>
      </w:r>
      <w:r w:rsidR="00CF52FF">
        <w:t xml:space="preserve">.32 </w:t>
      </w:r>
      <w:r>
        <w:t>percent.</w:t>
      </w:r>
      <w:r w:rsidR="00045683">
        <w:t xml:space="preserve">  </w:t>
      </w:r>
      <w:r w:rsidR="007F506D">
        <w:t>E</w:t>
      </w:r>
      <w:r w:rsidR="00045683">
        <w:t>xhibit</w:t>
      </w:r>
      <w:r w:rsidR="000E2057">
        <w:t xml:space="preserve"> No. ___ </w:t>
      </w:r>
      <w:r w:rsidR="007F506D">
        <w:t>(KLE-</w:t>
      </w:r>
      <w:r w:rsidR="0046245D">
        <w:t>3</w:t>
      </w:r>
      <w:r w:rsidR="007F506D">
        <w:t xml:space="preserve">) </w:t>
      </w:r>
      <w:r w:rsidR="00416B89">
        <w:t xml:space="preserve">page 1 </w:t>
      </w:r>
      <w:r w:rsidR="007F506D">
        <w:t xml:space="preserve">contains the calculations supporting </w:t>
      </w:r>
      <w:r w:rsidR="00045683">
        <w:t>this figure.</w:t>
      </w:r>
    </w:p>
    <w:p w14:paraId="34EA9AB0" w14:textId="77777777" w:rsidR="00F47FF7" w:rsidRDefault="00F47FF7" w:rsidP="00F47FF7">
      <w:pPr>
        <w:tabs>
          <w:tab w:val="left" w:pos="720"/>
          <w:tab w:val="left" w:pos="1440"/>
          <w:tab w:val="left" w:pos="9240"/>
        </w:tabs>
        <w:spacing w:line="480" w:lineRule="auto"/>
        <w:ind w:left="720" w:hanging="720"/>
      </w:pPr>
    </w:p>
    <w:p w14:paraId="34EA9AB1" w14:textId="77777777" w:rsidR="00F47FF7" w:rsidRDefault="00F47FF7" w:rsidP="00F47FF7">
      <w:pPr>
        <w:tabs>
          <w:tab w:val="left" w:pos="720"/>
          <w:tab w:val="left" w:pos="1440"/>
          <w:tab w:val="left" w:pos="9240"/>
        </w:tabs>
        <w:spacing w:line="480" w:lineRule="auto"/>
        <w:ind w:left="720" w:hanging="720"/>
        <w:rPr>
          <w:b/>
        </w:rPr>
      </w:pPr>
      <w:r>
        <w:rPr>
          <w:b/>
        </w:rPr>
        <w:t>Q.</w:t>
      </w:r>
      <w:r>
        <w:rPr>
          <w:b/>
        </w:rPr>
        <w:tab/>
      </w:r>
      <w:r w:rsidR="000900C9">
        <w:rPr>
          <w:b/>
        </w:rPr>
        <w:t>What is the cost of short-term debt?</w:t>
      </w:r>
    </w:p>
    <w:p w14:paraId="34EA9AB2" w14:textId="73924D6E" w:rsidR="000900C9" w:rsidRDefault="00F47FF7" w:rsidP="00F47FF7">
      <w:pPr>
        <w:tabs>
          <w:tab w:val="left" w:pos="720"/>
          <w:tab w:val="left" w:pos="1440"/>
          <w:tab w:val="left" w:pos="9240"/>
        </w:tabs>
        <w:spacing w:line="480" w:lineRule="auto"/>
        <w:ind w:left="720" w:hanging="720"/>
      </w:pPr>
      <w:r>
        <w:t>A.</w:t>
      </w:r>
      <w:r>
        <w:tab/>
      </w:r>
      <w:r w:rsidR="000900C9">
        <w:t xml:space="preserve">The </w:t>
      </w:r>
      <w:r w:rsidR="00AF10CB">
        <w:t>cost of  short-term deb</w:t>
      </w:r>
      <w:r w:rsidR="00993DA9">
        <w:t>t</w:t>
      </w:r>
      <w:r w:rsidR="00463666">
        <w:t xml:space="preserve"> </w:t>
      </w:r>
      <w:r w:rsidR="000900C9">
        <w:t>is</w:t>
      </w:r>
      <w:r w:rsidR="00A24F38">
        <w:t xml:space="preserve"> </w:t>
      </w:r>
      <w:r w:rsidR="00CF52FF">
        <w:t xml:space="preserve">2.38 </w:t>
      </w:r>
      <w:r w:rsidR="000C1E61">
        <w:t>percent</w:t>
      </w:r>
      <w:r w:rsidR="003428F6">
        <w:t>.  This e</w:t>
      </w:r>
      <w:r w:rsidR="00A24A13">
        <w:t>stimate</w:t>
      </w:r>
      <w:r w:rsidR="00A24F38">
        <w:t xml:space="preserve"> </w:t>
      </w:r>
      <w:r w:rsidR="0046245D">
        <w:t xml:space="preserve">was provided in an update to </w:t>
      </w:r>
      <w:r w:rsidR="000F4399">
        <w:t>the proposed cost</w:t>
      </w:r>
      <w:r w:rsidR="0046245D">
        <w:t xml:space="preserve"> in it</w:t>
      </w:r>
      <w:r w:rsidR="003428F6">
        <w:t xml:space="preserve">s </w:t>
      </w:r>
      <w:r w:rsidR="0046245D">
        <w:t>direct case.  I</w:t>
      </w:r>
      <w:r w:rsidR="003428F6">
        <w:t xml:space="preserve"> </w:t>
      </w:r>
      <w:r w:rsidR="0046245D">
        <w:t xml:space="preserve">will accept this rate as </w:t>
      </w:r>
      <w:r w:rsidR="003428F6">
        <w:t>a reasonable estimate for</w:t>
      </w:r>
      <w:r>
        <w:t xml:space="preserve"> the rate year</w:t>
      </w:r>
      <w:r w:rsidR="00F77222">
        <w:t>.</w:t>
      </w:r>
      <w:r w:rsidR="004D51B9">
        <w:t xml:space="preserve">  Exhibit No. ___ (KLE-3) page 2 shows the calculation.</w:t>
      </w:r>
    </w:p>
    <w:p w14:paraId="34EA9AB3" w14:textId="77777777" w:rsidR="00F77222" w:rsidRDefault="00F77222" w:rsidP="00F47FF7">
      <w:pPr>
        <w:tabs>
          <w:tab w:val="left" w:pos="720"/>
          <w:tab w:val="left" w:pos="1440"/>
          <w:tab w:val="left" w:pos="9240"/>
        </w:tabs>
        <w:spacing w:line="480" w:lineRule="auto"/>
        <w:ind w:left="720" w:hanging="720"/>
      </w:pPr>
    </w:p>
    <w:p w14:paraId="34EA9AB4" w14:textId="77777777" w:rsidR="000900C9" w:rsidRPr="00F77222" w:rsidRDefault="000900C9" w:rsidP="00F47FF7">
      <w:pPr>
        <w:tabs>
          <w:tab w:val="left" w:pos="720"/>
          <w:tab w:val="left" w:pos="1440"/>
          <w:tab w:val="left" w:pos="9240"/>
        </w:tabs>
        <w:spacing w:line="480" w:lineRule="auto"/>
        <w:ind w:left="720" w:hanging="720"/>
      </w:pPr>
      <w:r>
        <w:rPr>
          <w:b/>
        </w:rPr>
        <w:t>Q.</w:t>
      </w:r>
      <w:r>
        <w:rPr>
          <w:b/>
        </w:rPr>
        <w:tab/>
        <w:t xml:space="preserve">What is </w:t>
      </w:r>
      <w:r w:rsidR="00C82F4A">
        <w:rPr>
          <w:b/>
        </w:rPr>
        <w:t>Avista’s</w:t>
      </w:r>
      <w:r>
        <w:rPr>
          <w:b/>
        </w:rPr>
        <w:t xml:space="preserve"> cost of long</w:t>
      </w:r>
      <w:r w:rsidR="00D21175">
        <w:rPr>
          <w:b/>
        </w:rPr>
        <w:t>-</w:t>
      </w:r>
      <w:r>
        <w:rPr>
          <w:b/>
        </w:rPr>
        <w:t>term debt?</w:t>
      </w:r>
    </w:p>
    <w:p w14:paraId="34EA9AB5" w14:textId="77777777" w:rsidR="000900C9" w:rsidRDefault="000900C9" w:rsidP="00F47FF7">
      <w:pPr>
        <w:tabs>
          <w:tab w:val="left" w:pos="720"/>
          <w:tab w:val="left" w:pos="1440"/>
          <w:tab w:val="left" w:pos="9240"/>
        </w:tabs>
        <w:spacing w:line="480" w:lineRule="auto"/>
        <w:ind w:left="720" w:hanging="720"/>
      </w:pPr>
      <w:r>
        <w:t>A.</w:t>
      </w:r>
      <w:r>
        <w:tab/>
        <w:t xml:space="preserve">Avista’s </w:t>
      </w:r>
      <w:r w:rsidR="00C82F4A">
        <w:t>cost</w:t>
      </w:r>
      <w:r>
        <w:t xml:space="preserve"> of long term debt is </w:t>
      </w:r>
      <w:r w:rsidR="00D21175">
        <w:t xml:space="preserve">5.57 percent.  </w:t>
      </w:r>
      <w:r>
        <w:t>This figure is based on the actual debt Avista had outstanding as of December 31, 2013.  This cost is reasonable and the Commission should accept it.</w:t>
      </w:r>
      <w:r w:rsidR="00D21175">
        <w:t xml:space="preserve">  </w:t>
      </w:r>
    </w:p>
    <w:p w14:paraId="34EA9AB6" w14:textId="77777777" w:rsidR="00D21175" w:rsidRDefault="00D21175" w:rsidP="00F47FF7">
      <w:pPr>
        <w:tabs>
          <w:tab w:val="left" w:pos="720"/>
          <w:tab w:val="left" w:pos="1440"/>
          <w:tab w:val="left" w:pos="9240"/>
        </w:tabs>
        <w:spacing w:line="480" w:lineRule="auto"/>
        <w:ind w:left="720" w:hanging="720"/>
      </w:pPr>
    </w:p>
    <w:p w14:paraId="34EA9AB7" w14:textId="77777777" w:rsidR="000900C9" w:rsidRDefault="000900C9" w:rsidP="00F47FF7">
      <w:pPr>
        <w:tabs>
          <w:tab w:val="left" w:pos="720"/>
          <w:tab w:val="left" w:pos="1440"/>
          <w:tab w:val="left" w:pos="9240"/>
        </w:tabs>
        <w:spacing w:line="480" w:lineRule="auto"/>
        <w:ind w:left="720" w:hanging="720"/>
        <w:rPr>
          <w:b/>
        </w:rPr>
      </w:pPr>
      <w:r>
        <w:rPr>
          <w:b/>
        </w:rPr>
        <w:t>Q.</w:t>
      </w:r>
      <w:r>
        <w:rPr>
          <w:b/>
        </w:rPr>
        <w:tab/>
        <w:t xml:space="preserve">Did Avista use the same approach </w:t>
      </w:r>
      <w:r w:rsidR="009E2363">
        <w:rPr>
          <w:b/>
        </w:rPr>
        <w:t xml:space="preserve">you used </w:t>
      </w:r>
      <w:r>
        <w:rPr>
          <w:b/>
        </w:rPr>
        <w:t>to determin</w:t>
      </w:r>
      <w:r w:rsidR="009E2363">
        <w:rPr>
          <w:b/>
        </w:rPr>
        <w:t xml:space="preserve">e </w:t>
      </w:r>
      <w:r>
        <w:rPr>
          <w:b/>
        </w:rPr>
        <w:t>the cost of long</w:t>
      </w:r>
      <w:r w:rsidR="009E2363">
        <w:rPr>
          <w:b/>
        </w:rPr>
        <w:t>-</w:t>
      </w:r>
      <w:r>
        <w:rPr>
          <w:b/>
        </w:rPr>
        <w:t>term debt?</w:t>
      </w:r>
    </w:p>
    <w:p w14:paraId="34EA9AB8" w14:textId="2611B2D4" w:rsidR="000900C9" w:rsidRDefault="000900C9" w:rsidP="00A57728">
      <w:pPr>
        <w:tabs>
          <w:tab w:val="left" w:pos="720"/>
          <w:tab w:val="left" w:pos="1440"/>
          <w:tab w:val="left" w:pos="9240"/>
        </w:tabs>
        <w:spacing w:line="480" w:lineRule="auto"/>
        <w:ind w:left="720" w:hanging="720"/>
      </w:pPr>
      <w:r>
        <w:t>A.</w:t>
      </w:r>
      <w:r>
        <w:tab/>
        <w:t xml:space="preserve"> No.  Avista proposes a </w:t>
      </w:r>
      <w:r w:rsidR="0001130B" w:rsidRPr="00F77222">
        <w:rPr>
          <w:i/>
        </w:rPr>
        <w:t>pro forma</w:t>
      </w:r>
      <w:r w:rsidR="0001130B">
        <w:t xml:space="preserve"> </w:t>
      </w:r>
      <w:r>
        <w:t xml:space="preserve">cost of debt of </w:t>
      </w:r>
      <w:r w:rsidR="00D21175">
        <w:t>5.42 percent</w:t>
      </w:r>
      <w:r w:rsidR="009E2363">
        <w:t>,</w:t>
      </w:r>
      <w:r w:rsidR="00D21175">
        <w:t xml:space="preserve"> </w:t>
      </w:r>
      <w:r>
        <w:t>based on the Company’s estimate of the</w:t>
      </w:r>
      <w:r w:rsidR="0001130B">
        <w:t xml:space="preserve"> </w:t>
      </w:r>
      <w:r>
        <w:t>cost of</w:t>
      </w:r>
      <w:r w:rsidR="00A24F38">
        <w:t xml:space="preserve"> </w:t>
      </w:r>
      <w:r w:rsidR="0001130B">
        <w:t>debt at the end of 2015.  In that estimate</w:t>
      </w:r>
      <w:r w:rsidR="009E2363">
        <w:t>,</w:t>
      </w:r>
      <w:r w:rsidR="0001130B">
        <w:t xml:space="preserve"> Avista </w:t>
      </w:r>
      <w:r w:rsidR="0001130B">
        <w:lastRenderedPageBreak/>
        <w:t xml:space="preserve">includes </w:t>
      </w:r>
      <w:r w:rsidR="000C1E61">
        <w:t>two</w:t>
      </w:r>
      <w:r w:rsidR="00A24F38">
        <w:t xml:space="preserve"> </w:t>
      </w:r>
      <w:r w:rsidR="00315833">
        <w:t>tranche</w:t>
      </w:r>
      <w:r w:rsidR="000C1E61">
        <w:t>s</w:t>
      </w:r>
      <w:r w:rsidR="00315833">
        <w:t xml:space="preserve"> of</w:t>
      </w:r>
      <w:r w:rsidR="00B753FC">
        <w:t xml:space="preserve"> new debt in the amount</w:t>
      </w:r>
      <w:r>
        <w:t>s</w:t>
      </w:r>
      <w:r w:rsidR="00B753FC">
        <w:t xml:space="preserve"> of</w:t>
      </w:r>
      <w:r w:rsidR="00315833">
        <w:t xml:space="preserve"> $</w:t>
      </w:r>
      <w:r w:rsidR="000C1E61">
        <w:t>100 and $5</w:t>
      </w:r>
      <w:r w:rsidR="00315833">
        <w:t>7 million</w:t>
      </w:r>
      <w:r>
        <w:t>, which</w:t>
      </w:r>
      <w:r w:rsidR="00315833">
        <w:t xml:space="preserve"> </w:t>
      </w:r>
      <w:r w:rsidR="00A57728">
        <w:t xml:space="preserve">Avista Corporation </w:t>
      </w:r>
      <w:r w:rsidR="00315833">
        <w:t>plan</w:t>
      </w:r>
      <w:r w:rsidR="00424ABF">
        <w:t>s</w:t>
      </w:r>
      <w:r w:rsidR="00A24F38">
        <w:t xml:space="preserve"> to</w:t>
      </w:r>
      <w:r w:rsidR="000C1E61">
        <w:t xml:space="preserve"> sell</w:t>
      </w:r>
      <w:r w:rsidR="00A57728">
        <w:t xml:space="preserve"> </w:t>
      </w:r>
      <w:r w:rsidR="000C1E61">
        <w:t>in 2014 and 2015</w:t>
      </w:r>
      <w:r w:rsidR="00A24A13">
        <w:t>,</w:t>
      </w:r>
      <w:r w:rsidR="000C1E61">
        <w:t xml:space="preserve"> </w:t>
      </w:r>
      <w:r w:rsidR="00416B89">
        <w:t>with a proposed</w:t>
      </w:r>
      <w:r w:rsidR="00D45AAD">
        <w:t xml:space="preserve"> cost </w:t>
      </w:r>
      <w:r w:rsidR="000C1E61">
        <w:t>of 5.569</w:t>
      </w:r>
      <w:r w:rsidR="00315833">
        <w:t>%.</w:t>
      </w:r>
      <w:r w:rsidR="00A24F38">
        <w:rPr>
          <w:rStyle w:val="FootnoteReference"/>
        </w:rPr>
        <w:footnoteReference w:id="19"/>
      </w:r>
    </w:p>
    <w:p w14:paraId="34EA9AB9" w14:textId="77777777" w:rsidR="000900C9" w:rsidRDefault="000900C9" w:rsidP="00A57728">
      <w:pPr>
        <w:tabs>
          <w:tab w:val="left" w:pos="720"/>
          <w:tab w:val="left" w:pos="1440"/>
          <w:tab w:val="left" w:pos="9240"/>
        </w:tabs>
        <w:spacing w:line="480" w:lineRule="auto"/>
        <w:ind w:left="720" w:hanging="720"/>
      </w:pPr>
    </w:p>
    <w:p w14:paraId="34EA9ABA" w14:textId="77777777" w:rsidR="00DA6BB6" w:rsidRDefault="000900C9" w:rsidP="00A57728">
      <w:pPr>
        <w:tabs>
          <w:tab w:val="left" w:pos="720"/>
          <w:tab w:val="left" w:pos="1440"/>
          <w:tab w:val="left" w:pos="9240"/>
        </w:tabs>
        <w:spacing w:line="480" w:lineRule="auto"/>
        <w:ind w:left="720" w:hanging="720"/>
        <w:rPr>
          <w:b/>
        </w:rPr>
      </w:pPr>
      <w:r>
        <w:rPr>
          <w:b/>
        </w:rPr>
        <w:t>Q.</w:t>
      </w:r>
      <w:r>
        <w:rPr>
          <w:b/>
        </w:rPr>
        <w:tab/>
        <w:t xml:space="preserve">Why did you not </w:t>
      </w:r>
      <w:r w:rsidR="00DA6BB6">
        <w:rPr>
          <w:b/>
        </w:rPr>
        <w:t>also estimate the cost of those two proposed debt issuances?</w:t>
      </w:r>
    </w:p>
    <w:p w14:paraId="34EA9ABB" w14:textId="1021884A" w:rsidR="00DA6BB6" w:rsidRDefault="00DA6BB6" w:rsidP="00A57728">
      <w:pPr>
        <w:tabs>
          <w:tab w:val="left" w:pos="720"/>
          <w:tab w:val="left" w:pos="1440"/>
          <w:tab w:val="left" w:pos="9240"/>
        </w:tabs>
        <w:spacing w:line="480" w:lineRule="auto"/>
        <w:ind w:left="720" w:hanging="720"/>
      </w:pPr>
      <w:r>
        <w:t>A.</w:t>
      </w:r>
      <w:r>
        <w:tab/>
        <w:t xml:space="preserve">Under normal circumstances, I would have.  However, as I testified earlier, Avista Corporation </w:t>
      </w:r>
      <w:r w:rsidR="00416B89">
        <w:t>sold</w:t>
      </w:r>
      <w:r>
        <w:t xml:space="preserve"> its interest in ECOVA</w:t>
      </w:r>
      <w:r w:rsidR="00893D31">
        <w:t>.</w:t>
      </w:r>
      <w:r>
        <w:t xml:space="preserve">  Th</w:t>
      </w:r>
      <w:r w:rsidR="00893D31">
        <w:t>e</w:t>
      </w:r>
      <w:r w:rsidR="00F77222">
        <w:t xml:space="preserve"> </w:t>
      </w:r>
      <w:r w:rsidR="00893D31">
        <w:t xml:space="preserve">proceeds </w:t>
      </w:r>
      <w:r w:rsidR="0001130B">
        <w:t xml:space="preserve">will </w:t>
      </w:r>
      <w:r>
        <w:t xml:space="preserve">impact the </w:t>
      </w:r>
      <w:r w:rsidR="00C82F4A">
        <w:t>amount</w:t>
      </w:r>
      <w:r>
        <w:t xml:space="preserve"> of debt Avista plans to issue.  Moreover, there are </w:t>
      </w:r>
      <w:r w:rsidR="00416B89">
        <w:t>other</w:t>
      </w:r>
      <w:r>
        <w:t xml:space="preserve"> issues with the cost of the new debt.  If all of these issues were sorted out, I do not believe the impact would be significant.  As a reasonable </w:t>
      </w:r>
      <w:r w:rsidR="000F4399">
        <w:t>compromise,</w:t>
      </w:r>
      <w:r>
        <w:t xml:space="preserve"> I propose to </w:t>
      </w:r>
      <w:r w:rsidR="0001130B">
        <w:t xml:space="preserve">use </w:t>
      </w:r>
      <w:r>
        <w:t xml:space="preserve">the actual </w:t>
      </w:r>
      <w:r w:rsidR="0001130B">
        <w:t xml:space="preserve">cost of </w:t>
      </w:r>
      <w:r>
        <w:t>debt outstanding at December 31, 2013.</w:t>
      </w:r>
    </w:p>
    <w:p w14:paraId="34EA9ABC" w14:textId="77777777" w:rsidR="00DA6BB6" w:rsidRDefault="00DA6BB6" w:rsidP="00A57728">
      <w:pPr>
        <w:tabs>
          <w:tab w:val="left" w:pos="720"/>
          <w:tab w:val="left" w:pos="1440"/>
          <w:tab w:val="left" w:pos="9240"/>
        </w:tabs>
        <w:spacing w:line="480" w:lineRule="auto"/>
        <w:ind w:left="720" w:hanging="720"/>
      </w:pPr>
    </w:p>
    <w:p w14:paraId="34EA9ABD" w14:textId="77777777" w:rsidR="00DA6BB6" w:rsidRDefault="00DA6BB6" w:rsidP="00A57728">
      <w:pPr>
        <w:tabs>
          <w:tab w:val="left" w:pos="720"/>
          <w:tab w:val="left" w:pos="1440"/>
          <w:tab w:val="left" w:pos="9240"/>
        </w:tabs>
        <w:spacing w:line="480" w:lineRule="auto"/>
        <w:ind w:left="720" w:hanging="720"/>
      </w:pPr>
      <w:r>
        <w:rPr>
          <w:b/>
        </w:rPr>
        <w:t>Q.</w:t>
      </w:r>
      <w:r>
        <w:rPr>
          <w:b/>
        </w:rPr>
        <w:tab/>
        <w:t xml:space="preserve">Other than the </w:t>
      </w:r>
      <w:r w:rsidR="00C82F4A">
        <w:rPr>
          <w:b/>
        </w:rPr>
        <w:t>amounts</w:t>
      </w:r>
      <w:r>
        <w:rPr>
          <w:b/>
        </w:rPr>
        <w:t xml:space="preserve"> of the debt, please identify the other issues you have with Avista’s calculation of the cost of the two new debt issuances.</w:t>
      </w:r>
    </w:p>
    <w:p w14:paraId="34EA9ABE" w14:textId="3B53E107" w:rsidR="000248CE" w:rsidRDefault="00DA6BB6" w:rsidP="00A57728">
      <w:pPr>
        <w:tabs>
          <w:tab w:val="left" w:pos="720"/>
          <w:tab w:val="left" w:pos="1440"/>
          <w:tab w:val="left" w:pos="9240"/>
        </w:tabs>
        <w:spacing w:line="480" w:lineRule="auto"/>
        <w:ind w:left="720" w:hanging="720"/>
      </w:pPr>
      <w:r>
        <w:t>A.</w:t>
      </w:r>
      <w:r>
        <w:tab/>
      </w:r>
      <w:r w:rsidR="00993DA9">
        <w:t xml:space="preserve">Mr. </w:t>
      </w:r>
      <w:proofErr w:type="spellStart"/>
      <w:r w:rsidR="00993DA9">
        <w:t>Thies</w:t>
      </w:r>
      <w:proofErr w:type="spellEnd"/>
      <w:r w:rsidR="00993DA9">
        <w:t xml:space="preserve"> </w:t>
      </w:r>
      <w:r>
        <w:t xml:space="preserve">failed to </w:t>
      </w:r>
      <w:r w:rsidR="00993DA9">
        <w:t xml:space="preserve">include </w:t>
      </w:r>
      <w:r>
        <w:t xml:space="preserve">in his </w:t>
      </w:r>
      <w:r w:rsidR="00416B89">
        <w:t>calculations</w:t>
      </w:r>
      <w:r>
        <w:t xml:space="preserve"> </w:t>
      </w:r>
      <w:r w:rsidR="00993DA9">
        <w:t xml:space="preserve">the benefits of the hedges </w:t>
      </w:r>
      <w:r>
        <w:t xml:space="preserve">Avista entered into associated with those two </w:t>
      </w:r>
      <w:r w:rsidR="004D51B9">
        <w:t xml:space="preserve">future </w:t>
      </w:r>
      <w:r>
        <w:t>debt issuances.</w:t>
      </w:r>
      <w:r w:rsidR="009810F2">
        <w:t xml:space="preserve"> </w:t>
      </w:r>
    </w:p>
    <w:p w14:paraId="34EA9ABF" w14:textId="77777777" w:rsidR="00AF10CB" w:rsidRDefault="00AF10CB" w:rsidP="00F47FF7">
      <w:pPr>
        <w:tabs>
          <w:tab w:val="left" w:pos="720"/>
          <w:tab w:val="left" w:pos="1440"/>
          <w:tab w:val="left" w:pos="9240"/>
        </w:tabs>
        <w:spacing w:line="480" w:lineRule="auto"/>
        <w:ind w:left="720" w:hanging="720"/>
      </w:pPr>
    </w:p>
    <w:p w14:paraId="34EA9AC0" w14:textId="77777777" w:rsidR="005A3FC6" w:rsidRDefault="005A3FC6" w:rsidP="00F47FF7">
      <w:pPr>
        <w:tabs>
          <w:tab w:val="left" w:pos="720"/>
          <w:tab w:val="left" w:pos="1440"/>
          <w:tab w:val="left" w:pos="9240"/>
        </w:tabs>
        <w:spacing w:line="480" w:lineRule="auto"/>
        <w:ind w:left="720" w:hanging="720"/>
        <w:rPr>
          <w:b/>
        </w:rPr>
      </w:pPr>
      <w:r>
        <w:rPr>
          <w:b/>
        </w:rPr>
        <w:t>Q.</w:t>
      </w:r>
      <w:r>
        <w:rPr>
          <w:b/>
        </w:rPr>
        <w:tab/>
      </w:r>
      <w:r w:rsidR="009C3491">
        <w:rPr>
          <w:b/>
        </w:rPr>
        <w:t>For background purposes, p</w:t>
      </w:r>
      <w:r w:rsidR="00E66708">
        <w:rPr>
          <w:b/>
        </w:rPr>
        <w:t xml:space="preserve">lease </w:t>
      </w:r>
      <w:r>
        <w:rPr>
          <w:b/>
        </w:rPr>
        <w:t xml:space="preserve">summarize the Company’s testimony </w:t>
      </w:r>
      <w:r w:rsidR="002278E6" w:rsidRPr="008D6576">
        <w:t>d</w:t>
      </w:r>
      <w:r w:rsidR="002278E6">
        <w:rPr>
          <w:b/>
        </w:rPr>
        <w:t>escribing</w:t>
      </w:r>
      <w:r>
        <w:rPr>
          <w:b/>
        </w:rPr>
        <w:t xml:space="preserve"> its </w:t>
      </w:r>
      <w:r w:rsidR="00E66708">
        <w:rPr>
          <w:b/>
        </w:rPr>
        <w:t xml:space="preserve">interest rate </w:t>
      </w:r>
      <w:r>
        <w:rPr>
          <w:b/>
        </w:rPr>
        <w:t>hedging activit</w:t>
      </w:r>
      <w:r w:rsidR="002278E6">
        <w:rPr>
          <w:b/>
        </w:rPr>
        <w:t>ies</w:t>
      </w:r>
      <w:r w:rsidR="00E66708">
        <w:rPr>
          <w:b/>
        </w:rPr>
        <w:t>.</w:t>
      </w:r>
    </w:p>
    <w:p w14:paraId="34EA9AC1" w14:textId="77777777" w:rsidR="00A57728" w:rsidRDefault="005A3FC6" w:rsidP="001A7B8F">
      <w:pPr>
        <w:tabs>
          <w:tab w:val="left" w:pos="720"/>
          <w:tab w:val="left" w:pos="1440"/>
          <w:tab w:val="left" w:pos="9240"/>
        </w:tabs>
        <w:spacing w:line="480" w:lineRule="auto"/>
        <w:ind w:left="720" w:hanging="720"/>
      </w:pPr>
      <w:r>
        <w:t>A.</w:t>
      </w:r>
      <w:r>
        <w:tab/>
      </w:r>
      <w:r w:rsidR="00843C07">
        <w:t xml:space="preserve">In his testimony, </w:t>
      </w:r>
      <w:r>
        <w:t xml:space="preserve">Mr. </w:t>
      </w:r>
      <w:proofErr w:type="spellStart"/>
      <w:r>
        <w:t>Thies</w:t>
      </w:r>
      <w:proofErr w:type="spellEnd"/>
      <w:r>
        <w:t xml:space="preserve"> states Avista is, “…executing forward starting interest rate swaps to mitigate interest rate risk.”</w:t>
      </w:r>
      <w:r>
        <w:rPr>
          <w:rStyle w:val="FootnoteReference"/>
        </w:rPr>
        <w:footnoteReference w:id="20"/>
      </w:r>
      <w:r>
        <w:t xml:space="preserve">  </w:t>
      </w:r>
      <w:r w:rsidR="001A7B8F">
        <w:t xml:space="preserve">Mr. </w:t>
      </w:r>
      <w:proofErr w:type="spellStart"/>
      <w:r w:rsidR="001A7B8F">
        <w:t>Thies</w:t>
      </w:r>
      <w:proofErr w:type="spellEnd"/>
      <w:r w:rsidR="001A7B8F">
        <w:t xml:space="preserve">’ </w:t>
      </w:r>
      <w:r w:rsidR="001A7B8F" w:rsidRPr="00E66708">
        <w:t>E</w:t>
      </w:r>
      <w:r w:rsidR="001A7B8F">
        <w:t>xhibit No. ___ (MTT-3C), explains the Company’s management plan for executing interest rate hedges</w:t>
      </w:r>
      <w:r w:rsidR="00843C07">
        <w:t xml:space="preserve">, and </w:t>
      </w:r>
      <w:r w:rsidR="00843C07">
        <w:lastRenderedPageBreak/>
        <w:t xml:space="preserve">page </w:t>
      </w:r>
      <w:r w:rsidR="001A7B8F">
        <w:t xml:space="preserve">8 of that exhibit describes the specific actions the Company </w:t>
      </w:r>
      <w:r w:rsidR="009C3491">
        <w:t>take</w:t>
      </w:r>
      <w:r w:rsidR="006D6C58">
        <w:t>s</w:t>
      </w:r>
      <w:r w:rsidR="001A7B8F">
        <w:t xml:space="preserve"> to hedge interest rate risk.</w:t>
      </w:r>
      <w:r w:rsidR="009C3491">
        <w:t xml:space="preserve"> </w:t>
      </w:r>
    </w:p>
    <w:p w14:paraId="34EA9AC2" w14:textId="77777777" w:rsidR="00FB3226" w:rsidRDefault="00FB3226" w:rsidP="00F47FF7">
      <w:pPr>
        <w:tabs>
          <w:tab w:val="left" w:pos="720"/>
          <w:tab w:val="left" w:pos="1440"/>
          <w:tab w:val="left" w:pos="9240"/>
        </w:tabs>
        <w:spacing w:line="480" w:lineRule="auto"/>
        <w:ind w:left="720" w:hanging="720"/>
      </w:pPr>
    </w:p>
    <w:p w14:paraId="34EA9AC3" w14:textId="4309D73E" w:rsidR="00F47FF7" w:rsidRDefault="005A3FC6" w:rsidP="00F47FF7">
      <w:pPr>
        <w:tabs>
          <w:tab w:val="left" w:pos="720"/>
          <w:tab w:val="left" w:pos="1440"/>
          <w:tab w:val="left" w:pos="9240"/>
        </w:tabs>
        <w:spacing w:line="480" w:lineRule="auto"/>
        <w:ind w:left="720" w:hanging="720"/>
        <w:rPr>
          <w:b/>
        </w:rPr>
      </w:pPr>
      <w:r>
        <w:rPr>
          <w:b/>
        </w:rPr>
        <w:t>Q.</w:t>
      </w:r>
      <w:r>
        <w:rPr>
          <w:b/>
        </w:rPr>
        <w:tab/>
      </w:r>
      <w:r w:rsidR="00E41803">
        <w:rPr>
          <w:b/>
        </w:rPr>
        <w:t>Wh</w:t>
      </w:r>
      <w:r w:rsidR="00DA6BB6">
        <w:rPr>
          <w:b/>
        </w:rPr>
        <w:t xml:space="preserve">ere does Avista </w:t>
      </w:r>
      <w:r w:rsidR="005C2589">
        <w:rPr>
          <w:b/>
        </w:rPr>
        <w:t xml:space="preserve">show the impact of </w:t>
      </w:r>
      <w:r w:rsidR="00E66708">
        <w:rPr>
          <w:b/>
        </w:rPr>
        <w:t xml:space="preserve"> th</w:t>
      </w:r>
      <w:r w:rsidR="005C2589">
        <w:rPr>
          <w:b/>
        </w:rPr>
        <w:t>e</w:t>
      </w:r>
      <w:r w:rsidR="00E66708">
        <w:rPr>
          <w:b/>
        </w:rPr>
        <w:t>se hedges</w:t>
      </w:r>
      <w:r w:rsidR="005C2589">
        <w:rPr>
          <w:b/>
        </w:rPr>
        <w:t xml:space="preserve"> on its cost of debt</w:t>
      </w:r>
      <w:r w:rsidR="00E66708">
        <w:rPr>
          <w:b/>
        </w:rPr>
        <w:t xml:space="preserve"> </w:t>
      </w:r>
      <w:r w:rsidR="00FB3226">
        <w:rPr>
          <w:b/>
        </w:rPr>
        <w:t xml:space="preserve">and </w:t>
      </w:r>
      <w:r w:rsidR="00DA6BB6">
        <w:rPr>
          <w:b/>
        </w:rPr>
        <w:t xml:space="preserve">what is their impact </w:t>
      </w:r>
      <w:r w:rsidR="00FB3226">
        <w:rPr>
          <w:b/>
        </w:rPr>
        <w:t xml:space="preserve">on Avista’s </w:t>
      </w:r>
      <w:r w:rsidR="005C2589">
        <w:rPr>
          <w:b/>
        </w:rPr>
        <w:t xml:space="preserve">proposed </w:t>
      </w:r>
      <w:r w:rsidR="00053D68">
        <w:rPr>
          <w:b/>
        </w:rPr>
        <w:t>cost of</w:t>
      </w:r>
      <w:r w:rsidR="00FB3226">
        <w:rPr>
          <w:b/>
        </w:rPr>
        <w:t xml:space="preserve"> debt?</w:t>
      </w:r>
    </w:p>
    <w:p w14:paraId="34EA9AC4" w14:textId="77777777" w:rsidR="009E2363" w:rsidRDefault="00FB3226" w:rsidP="003839D0">
      <w:pPr>
        <w:tabs>
          <w:tab w:val="left" w:pos="720"/>
          <w:tab w:val="left" w:pos="1440"/>
          <w:tab w:val="left" w:pos="9240"/>
        </w:tabs>
        <w:spacing w:line="480" w:lineRule="auto"/>
        <w:ind w:left="720" w:hanging="720"/>
      </w:pPr>
      <w:r>
        <w:t>A.</w:t>
      </w:r>
      <w:r>
        <w:tab/>
      </w:r>
      <w:r w:rsidR="003F7A64">
        <w:t xml:space="preserve">Mr. </w:t>
      </w:r>
      <w:proofErr w:type="spellStart"/>
      <w:r w:rsidR="003F7A64">
        <w:t>Thies’s</w:t>
      </w:r>
      <w:proofErr w:type="spellEnd"/>
      <w:r w:rsidR="003F7A64">
        <w:t xml:space="preserve"> Exhibit No.___(</w:t>
      </w:r>
      <w:proofErr w:type="spellStart"/>
      <w:r w:rsidR="003F7A64">
        <w:t>MTT</w:t>
      </w:r>
      <w:proofErr w:type="spellEnd"/>
      <w:r w:rsidR="003F7A64">
        <w:t>-2), page 3, lines 10-18, col. (g) shows the</w:t>
      </w:r>
      <w:r w:rsidR="00DA6BB6">
        <w:t xml:space="preserve"> impact of the </w:t>
      </w:r>
      <w:r w:rsidR="00843C07">
        <w:t xml:space="preserve">Company’s </w:t>
      </w:r>
      <w:r w:rsidR="00DA6BB6">
        <w:t xml:space="preserve">interest rate hedges and the </w:t>
      </w:r>
      <w:r w:rsidR="003F7A64">
        <w:t>proposed ratemaking treatment of these hedges.</w:t>
      </w:r>
      <w:r w:rsidR="007E1B44">
        <w:t xml:space="preserve">  </w:t>
      </w:r>
      <w:r w:rsidR="003F7A64">
        <w:t>Th</w:t>
      </w:r>
      <w:r w:rsidR="00DA6BB6">
        <w:t>at column</w:t>
      </w:r>
      <w:r w:rsidR="0082581C">
        <w:t xml:space="preserve"> show</w:t>
      </w:r>
      <w:r w:rsidR="0005258F">
        <w:t>s</w:t>
      </w:r>
      <w:r w:rsidR="0082581C">
        <w:t xml:space="preserve"> </w:t>
      </w:r>
      <w:r w:rsidR="00CD244A">
        <w:t>Avista</w:t>
      </w:r>
      <w:r w:rsidR="0005258F">
        <w:t xml:space="preserve"> </w:t>
      </w:r>
      <w:r w:rsidR="00CD244A">
        <w:t>Corporation</w:t>
      </w:r>
      <w:r w:rsidR="00E50392">
        <w:t xml:space="preserve">’s total payments made to settle the interest rate hedges executed since 2004.  That column shows its positions </w:t>
      </w:r>
      <w:r w:rsidR="005C2589">
        <w:t xml:space="preserve">to settle the hedges.  </w:t>
      </w:r>
    </w:p>
    <w:p w14:paraId="34EA9AC5" w14:textId="06AC43D7" w:rsidR="009E2363" w:rsidRDefault="009E2363" w:rsidP="003839D0">
      <w:pPr>
        <w:tabs>
          <w:tab w:val="left" w:pos="720"/>
          <w:tab w:val="left" w:pos="1440"/>
          <w:tab w:val="left" w:pos="9240"/>
        </w:tabs>
        <w:spacing w:line="480" w:lineRule="auto"/>
        <w:ind w:left="720" w:hanging="720"/>
      </w:pPr>
      <w:r>
        <w:tab/>
      </w:r>
      <w:r>
        <w:tab/>
      </w:r>
      <w:r w:rsidR="005C2589">
        <w:t xml:space="preserve">The exhibit shows the </w:t>
      </w:r>
      <w:r>
        <w:t xml:space="preserve">net </w:t>
      </w:r>
      <w:r w:rsidR="005C2589">
        <w:t>position</w:t>
      </w:r>
      <w:r w:rsidR="000F4399">
        <w:t xml:space="preserve"> of the</w:t>
      </w:r>
      <w:r>
        <w:t>se</w:t>
      </w:r>
      <w:r w:rsidR="000F4399">
        <w:t xml:space="preserve"> hedges: </w:t>
      </w:r>
      <w:r>
        <w:t>Avista was “</w:t>
      </w:r>
      <w:r w:rsidR="00E50392">
        <w:t>in-the-money</w:t>
      </w:r>
      <w:r>
        <w:t>”</w:t>
      </w:r>
      <w:r w:rsidR="00E50392">
        <w:t xml:space="preserve"> by $18 million and </w:t>
      </w:r>
      <w:r>
        <w:t>“</w:t>
      </w:r>
      <w:r w:rsidR="00E50392">
        <w:t>out-of-the</w:t>
      </w:r>
      <w:r w:rsidR="00EE6988">
        <w:t xml:space="preserve"> </w:t>
      </w:r>
      <w:r w:rsidR="00E50392">
        <w:t>money</w:t>
      </w:r>
      <w:r>
        <w:t>”</w:t>
      </w:r>
      <w:r w:rsidR="006D6C58">
        <w:t xml:space="preserve"> by $49 million.</w:t>
      </w:r>
      <w:r w:rsidR="00E50392">
        <w:t xml:space="preserve"> </w:t>
      </w:r>
      <w:r w:rsidR="008B3242">
        <w:t xml:space="preserve"> </w:t>
      </w:r>
      <w:r w:rsidR="006D6C58">
        <w:t xml:space="preserve">The net position for all its hedging activities to date is out-of-the money by </w:t>
      </w:r>
      <w:r w:rsidR="008B3242">
        <w:t>$3</w:t>
      </w:r>
      <w:r w:rsidR="006D6C58">
        <w:t>1</w:t>
      </w:r>
      <w:r w:rsidR="008B3242">
        <w:t xml:space="preserve"> million</w:t>
      </w:r>
      <w:r w:rsidR="000F4399">
        <w:t>.</w:t>
      </w:r>
      <w:r w:rsidR="008B3242">
        <w:t xml:space="preserve">  </w:t>
      </w:r>
      <w:r w:rsidR="0001130B">
        <w:t xml:space="preserve">That page </w:t>
      </w:r>
      <w:r w:rsidR="005C2589">
        <w:t xml:space="preserve">also </w:t>
      </w:r>
      <w:r w:rsidR="0001130B">
        <w:t>shows the Company proposes to amortize this $3</w:t>
      </w:r>
      <w:r w:rsidR="006D6C58">
        <w:t>1</w:t>
      </w:r>
      <w:r w:rsidR="00416B89">
        <w:t xml:space="preserve"> million in</w:t>
      </w:r>
      <w:r w:rsidR="0001130B">
        <w:t xml:space="preserve"> hedging costs over the life of the debt Avista Corporation issued at the time the hedges were settled. </w:t>
      </w:r>
      <w:r w:rsidR="0001130B">
        <w:rPr>
          <w:rStyle w:val="FootnoteReference"/>
        </w:rPr>
        <w:footnoteReference w:id="21"/>
      </w:r>
      <w:r w:rsidR="0001130B">
        <w:t xml:space="preserve"> </w:t>
      </w:r>
      <w:r>
        <w:tab/>
      </w:r>
    </w:p>
    <w:p w14:paraId="34EA9AC6" w14:textId="77777777" w:rsidR="00F07D01" w:rsidRDefault="009E2363" w:rsidP="003839D0">
      <w:pPr>
        <w:tabs>
          <w:tab w:val="left" w:pos="720"/>
          <w:tab w:val="left" w:pos="1440"/>
          <w:tab w:val="left" w:pos="9240"/>
        </w:tabs>
        <w:spacing w:line="480" w:lineRule="auto"/>
        <w:ind w:left="720" w:hanging="720"/>
      </w:pPr>
      <w:r>
        <w:tab/>
      </w:r>
      <w:r>
        <w:tab/>
      </w:r>
      <w:r w:rsidR="0001130B">
        <w:t xml:space="preserve">In other words, the Company’s </w:t>
      </w:r>
      <w:r w:rsidR="000F4399">
        <w:t xml:space="preserve">proposed </w:t>
      </w:r>
      <w:r w:rsidR="0001130B">
        <w:t xml:space="preserve">cost of debt includes the </w:t>
      </w:r>
      <w:r>
        <w:t xml:space="preserve">cost </w:t>
      </w:r>
      <w:r w:rsidR="0001130B">
        <w:t>impact of its interest rate hedging decisions.</w:t>
      </w:r>
    </w:p>
    <w:p w14:paraId="34EA9AC7" w14:textId="77777777" w:rsidR="00F07D01" w:rsidRDefault="00F07D01" w:rsidP="009C3491">
      <w:pPr>
        <w:tabs>
          <w:tab w:val="left" w:pos="720"/>
          <w:tab w:val="left" w:pos="1440"/>
          <w:tab w:val="left" w:pos="9240"/>
        </w:tabs>
        <w:spacing w:line="480" w:lineRule="auto"/>
        <w:ind w:left="720" w:hanging="720"/>
      </w:pPr>
    </w:p>
    <w:p w14:paraId="34EA9AC8" w14:textId="77777777" w:rsidR="00F07D01" w:rsidRPr="008D6576" w:rsidRDefault="00F07D01" w:rsidP="009C3491">
      <w:pPr>
        <w:tabs>
          <w:tab w:val="left" w:pos="720"/>
          <w:tab w:val="left" w:pos="1440"/>
          <w:tab w:val="left" w:pos="9240"/>
        </w:tabs>
        <w:spacing w:line="480" w:lineRule="auto"/>
        <w:ind w:left="720" w:hanging="720"/>
        <w:rPr>
          <w:b/>
        </w:rPr>
      </w:pPr>
      <w:r>
        <w:rPr>
          <w:b/>
        </w:rPr>
        <w:t>Q.</w:t>
      </w:r>
      <w:r>
        <w:rPr>
          <w:b/>
        </w:rPr>
        <w:tab/>
      </w:r>
      <w:r w:rsidR="00DA6BB6">
        <w:rPr>
          <w:b/>
        </w:rPr>
        <w:t>Historically, w</w:t>
      </w:r>
      <w:r>
        <w:rPr>
          <w:b/>
        </w:rPr>
        <w:t xml:space="preserve">hat </w:t>
      </w:r>
      <w:r w:rsidR="00DA6BB6">
        <w:rPr>
          <w:b/>
        </w:rPr>
        <w:t xml:space="preserve">has been </w:t>
      </w:r>
      <w:r>
        <w:rPr>
          <w:b/>
        </w:rPr>
        <w:t xml:space="preserve">the </w:t>
      </w:r>
      <w:r w:rsidR="00DA6BB6">
        <w:rPr>
          <w:b/>
        </w:rPr>
        <w:t xml:space="preserve">impact </w:t>
      </w:r>
      <w:r>
        <w:rPr>
          <w:b/>
        </w:rPr>
        <w:t xml:space="preserve">of the </w:t>
      </w:r>
      <w:r w:rsidR="00DA6BB6">
        <w:rPr>
          <w:b/>
        </w:rPr>
        <w:t xml:space="preserve">Company’s interest rate </w:t>
      </w:r>
      <w:r>
        <w:rPr>
          <w:b/>
        </w:rPr>
        <w:t xml:space="preserve">hedging </w:t>
      </w:r>
      <w:r w:rsidR="00DA6BB6">
        <w:rPr>
          <w:b/>
        </w:rPr>
        <w:t xml:space="preserve">decisions </w:t>
      </w:r>
      <w:r>
        <w:rPr>
          <w:b/>
        </w:rPr>
        <w:t>on the cost of debt?</w:t>
      </w:r>
    </w:p>
    <w:p w14:paraId="34EA9AC9" w14:textId="381C7791" w:rsidR="009C3491" w:rsidRDefault="00F07D01" w:rsidP="009C3491">
      <w:pPr>
        <w:tabs>
          <w:tab w:val="left" w:pos="720"/>
          <w:tab w:val="left" w:pos="1440"/>
          <w:tab w:val="left" w:pos="9240"/>
        </w:tabs>
        <w:spacing w:line="480" w:lineRule="auto"/>
        <w:ind w:left="720" w:hanging="720"/>
      </w:pPr>
      <w:r>
        <w:t>A.</w:t>
      </w:r>
      <w:r>
        <w:tab/>
      </w:r>
      <w:r w:rsidR="000F56CF">
        <w:t>I</w:t>
      </w:r>
      <w:r w:rsidR="00DA6BB6">
        <w:t xml:space="preserve">nterest rate hedging decisions have </w:t>
      </w:r>
      <w:r w:rsidR="009C3491">
        <w:t>cause</w:t>
      </w:r>
      <w:r w:rsidR="00DA6BB6">
        <w:t>d</w:t>
      </w:r>
      <w:r w:rsidR="009C3491">
        <w:t xml:space="preserve"> the cost of debt to increase.  </w:t>
      </w:r>
    </w:p>
    <w:p w14:paraId="34EA9ACA" w14:textId="77777777" w:rsidR="00F07D01" w:rsidRDefault="00F07D01" w:rsidP="009C3491">
      <w:pPr>
        <w:tabs>
          <w:tab w:val="left" w:pos="720"/>
          <w:tab w:val="left" w:pos="1440"/>
          <w:tab w:val="left" w:pos="9240"/>
        </w:tabs>
        <w:spacing w:line="480" w:lineRule="auto"/>
        <w:ind w:left="720" w:hanging="720"/>
      </w:pPr>
    </w:p>
    <w:p w14:paraId="34EA9ACB" w14:textId="77777777" w:rsidR="00F07D01" w:rsidRPr="008D6576" w:rsidRDefault="00F07D01" w:rsidP="00A0224C">
      <w:pPr>
        <w:keepNext/>
        <w:tabs>
          <w:tab w:val="left" w:pos="720"/>
          <w:tab w:val="left" w:pos="1440"/>
          <w:tab w:val="left" w:pos="9240"/>
        </w:tabs>
        <w:spacing w:line="480" w:lineRule="auto"/>
        <w:ind w:left="720" w:hanging="720"/>
        <w:rPr>
          <w:b/>
        </w:rPr>
      </w:pPr>
      <w:r>
        <w:rPr>
          <w:b/>
        </w:rPr>
        <w:lastRenderedPageBreak/>
        <w:t>Q.</w:t>
      </w:r>
      <w:r>
        <w:rPr>
          <w:b/>
        </w:rPr>
        <w:tab/>
      </w:r>
      <w:r w:rsidR="00C310E8">
        <w:rPr>
          <w:b/>
        </w:rPr>
        <w:t>How do the two new debt issuances fit into this discussion?</w:t>
      </w:r>
      <w:r w:rsidR="00DA6BB6" w:rsidDel="00DA6BB6">
        <w:rPr>
          <w:b/>
        </w:rPr>
        <w:t xml:space="preserve"> </w:t>
      </w:r>
    </w:p>
    <w:p w14:paraId="34EA9ACC" w14:textId="77777777" w:rsidR="00993F86" w:rsidRDefault="00F07D01" w:rsidP="008D6576">
      <w:pPr>
        <w:tabs>
          <w:tab w:val="left" w:pos="720"/>
          <w:tab w:val="left" w:pos="1440"/>
          <w:tab w:val="left" w:pos="9240"/>
        </w:tabs>
        <w:spacing w:line="480" w:lineRule="auto"/>
        <w:ind w:left="720" w:hanging="720"/>
      </w:pPr>
      <w:r>
        <w:t>A.</w:t>
      </w:r>
      <w:r w:rsidR="007E1B44">
        <w:t xml:space="preserve"> </w:t>
      </w:r>
      <w:r w:rsidR="007E1B44">
        <w:tab/>
      </w:r>
      <w:r w:rsidR="00C310E8">
        <w:t xml:space="preserve">In </w:t>
      </w:r>
      <w:r>
        <w:t>Exhibit No.___(MTT-2), page 3, lines 19 &amp; 20</w:t>
      </w:r>
      <w:r w:rsidR="00C310E8">
        <w:t xml:space="preserve">, Mr. </w:t>
      </w:r>
      <w:proofErr w:type="spellStart"/>
      <w:r w:rsidR="00C310E8">
        <w:t>Thies</w:t>
      </w:r>
      <w:proofErr w:type="spellEnd"/>
      <w:r w:rsidR="00C310E8">
        <w:t xml:space="preserve"> shows the cost of this new debt as 5.50 percent.  </w:t>
      </w:r>
      <w:r w:rsidR="00925156">
        <w:t>Assuming</w:t>
      </w:r>
      <w:r w:rsidR="006C645F">
        <w:t xml:space="preserve"> </w:t>
      </w:r>
      <w:r w:rsidR="00C310E8">
        <w:t>this cost rate</w:t>
      </w:r>
      <w:r w:rsidR="006C645F">
        <w:t>,</w:t>
      </w:r>
      <w:r w:rsidR="00942FE5">
        <w:t xml:space="preserve"> the </w:t>
      </w:r>
      <w:r w:rsidR="00C310E8">
        <w:t xml:space="preserve">related interest rate </w:t>
      </w:r>
      <w:r w:rsidR="001F23E2">
        <w:t xml:space="preserve">hedges </w:t>
      </w:r>
      <w:r w:rsidR="00942FE5">
        <w:t>executed by Avista Corp</w:t>
      </w:r>
      <w:r w:rsidR="00363355">
        <w:t>or</w:t>
      </w:r>
      <w:r w:rsidR="00942FE5">
        <w:t xml:space="preserve">ation </w:t>
      </w:r>
      <w:r w:rsidR="001F23E2">
        <w:t xml:space="preserve">will be </w:t>
      </w:r>
      <w:r w:rsidR="00843C07">
        <w:t>in</w:t>
      </w:r>
      <w:r w:rsidR="00C40358">
        <w:t>-</w:t>
      </w:r>
      <w:r w:rsidR="001F23E2">
        <w:t>the</w:t>
      </w:r>
      <w:r w:rsidR="00C40358">
        <w:t>-</w:t>
      </w:r>
      <w:r w:rsidR="001F23E2">
        <w:t>money (</w:t>
      </w:r>
      <w:r w:rsidR="00843C07">
        <w:rPr>
          <w:i/>
        </w:rPr>
        <w:t xml:space="preserve">i.e., </w:t>
      </w:r>
      <w:r w:rsidR="00843C07">
        <w:t xml:space="preserve">Avista will </w:t>
      </w:r>
      <w:r w:rsidR="00C40358">
        <w:t xml:space="preserve">realize </w:t>
      </w:r>
      <w:r w:rsidR="00843C07">
        <w:t xml:space="preserve">a </w:t>
      </w:r>
      <w:r w:rsidR="001F23E2">
        <w:t xml:space="preserve">gain) </w:t>
      </w:r>
      <w:r w:rsidR="005C2589">
        <w:t xml:space="preserve">if </w:t>
      </w:r>
      <w:r w:rsidR="001F23E2">
        <w:t xml:space="preserve">it issues </w:t>
      </w:r>
      <w:r w:rsidR="00C66B76">
        <w:t>that</w:t>
      </w:r>
      <w:r w:rsidR="00E6038F">
        <w:t xml:space="preserve"> </w:t>
      </w:r>
      <w:r w:rsidR="001F23E2">
        <w:t>debt</w:t>
      </w:r>
      <w:r w:rsidR="00C40358">
        <w:t xml:space="preserve"> at that rate</w:t>
      </w:r>
      <w:r w:rsidR="001F23E2">
        <w:t>.</w:t>
      </w:r>
      <w:r w:rsidR="00895C85">
        <w:t xml:space="preserve">  </w:t>
      </w:r>
      <w:r w:rsidR="001A7B8F">
        <w:t>Avista should have include</w:t>
      </w:r>
      <w:r w:rsidR="0001130B">
        <w:t xml:space="preserve">d </w:t>
      </w:r>
      <w:r w:rsidR="001A7B8F">
        <w:t xml:space="preserve">the impact of the hedges it executed for these new tranches consistent with the </w:t>
      </w:r>
      <w:r w:rsidR="003977C6">
        <w:t>treatment</w:t>
      </w:r>
      <w:r w:rsidR="001A7B8F">
        <w:t xml:space="preserve"> it requests </w:t>
      </w:r>
      <w:r w:rsidR="00843C07">
        <w:t xml:space="preserve">for </w:t>
      </w:r>
      <w:r w:rsidR="001A7B8F">
        <w:t>hedge losses.</w:t>
      </w:r>
      <w:r>
        <w:t xml:space="preserve">  </w:t>
      </w:r>
    </w:p>
    <w:p w14:paraId="34EA9ACD" w14:textId="77777777" w:rsidR="00993F86" w:rsidRDefault="00993F86" w:rsidP="008D6576">
      <w:pPr>
        <w:tabs>
          <w:tab w:val="left" w:pos="720"/>
          <w:tab w:val="left" w:pos="1440"/>
          <w:tab w:val="left" w:pos="9240"/>
        </w:tabs>
        <w:spacing w:line="480" w:lineRule="auto"/>
        <w:ind w:left="720" w:hanging="720"/>
      </w:pPr>
    </w:p>
    <w:p w14:paraId="34EA9ACE" w14:textId="77777777" w:rsidR="00993F86" w:rsidRDefault="00993F86" w:rsidP="008D6576">
      <w:pPr>
        <w:tabs>
          <w:tab w:val="left" w:pos="720"/>
          <w:tab w:val="left" w:pos="1440"/>
          <w:tab w:val="left" w:pos="9240"/>
        </w:tabs>
        <w:spacing w:line="480" w:lineRule="auto"/>
        <w:ind w:left="720" w:hanging="720"/>
        <w:rPr>
          <w:b/>
        </w:rPr>
      </w:pPr>
      <w:r>
        <w:rPr>
          <w:b/>
        </w:rPr>
        <w:t>Q.</w:t>
      </w:r>
      <w:r>
        <w:rPr>
          <w:b/>
        </w:rPr>
        <w:tab/>
        <w:t xml:space="preserve">What </w:t>
      </w:r>
      <w:r w:rsidR="00AD2360">
        <w:rPr>
          <w:b/>
        </w:rPr>
        <w:t>would be</w:t>
      </w:r>
      <w:r>
        <w:rPr>
          <w:b/>
        </w:rPr>
        <w:t xml:space="preserve"> the position of these hedges </w:t>
      </w:r>
      <w:r w:rsidR="00AD2360">
        <w:rPr>
          <w:b/>
        </w:rPr>
        <w:t xml:space="preserve">if Avista Corporation sold these securities at the </w:t>
      </w:r>
      <w:r>
        <w:rPr>
          <w:b/>
        </w:rPr>
        <w:t xml:space="preserve">5.50 percent coupon </w:t>
      </w:r>
      <w:r w:rsidR="009E2363">
        <w:rPr>
          <w:b/>
        </w:rPr>
        <w:t xml:space="preserve">Avista uses </w:t>
      </w:r>
      <w:r w:rsidR="00AD2360">
        <w:rPr>
          <w:b/>
        </w:rPr>
        <w:t xml:space="preserve">in its cost of debt calculation? </w:t>
      </w:r>
    </w:p>
    <w:p w14:paraId="34EA9AD0" w14:textId="78B80554" w:rsidR="00F07D01" w:rsidRDefault="00993F86" w:rsidP="00F47FF7">
      <w:pPr>
        <w:tabs>
          <w:tab w:val="left" w:pos="720"/>
          <w:tab w:val="left" w:pos="1440"/>
          <w:tab w:val="left" w:pos="9240"/>
        </w:tabs>
        <w:spacing w:line="480" w:lineRule="auto"/>
        <w:ind w:left="720" w:hanging="720"/>
      </w:pPr>
      <w:r w:rsidRPr="003839D0">
        <w:t>A.</w:t>
      </w:r>
      <w:r>
        <w:rPr>
          <w:b/>
        </w:rPr>
        <w:tab/>
      </w:r>
      <w:r>
        <w:t>The</w:t>
      </w:r>
      <w:r w:rsidR="000F56CF">
        <w:t>se hedges will be $16.4</w:t>
      </w:r>
      <w:r>
        <w:t xml:space="preserve"> million in </w:t>
      </w:r>
      <w:r w:rsidR="00385791">
        <w:t>the money.</w:t>
      </w:r>
      <w:r w:rsidR="000F7BBA">
        <w:rPr>
          <w:rStyle w:val="FootnoteReference"/>
        </w:rPr>
        <w:footnoteReference w:id="22"/>
      </w:r>
    </w:p>
    <w:p w14:paraId="16F8AA80" w14:textId="77777777" w:rsidR="000F7BBA" w:rsidRDefault="000F7BBA" w:rsidP="00F47FF7">
      <w:pPr>
        <w:tabs>
          <w:tab w:val="left" w:pos="720"/>
          <w:tab w:val="left" w:pos="1440"/>
          <w:tab w:val="left" w:pos="9240"/>
        </w:tabs>
        <w:spacing w:line="480" w:lineRule="auto"/>
        <w:ind w:left="720" w:hanging="720"/>
        <w:rPr>
          <w:b/>
        </w:rPr>
      </w:pPr>
    </w:p>
    <w:p w14:paraId="34EA9AD1" w14:textId="77777777" w:rsidR="0037109B" w:rsidRDefault="0037109B" w:rsidP="00F47FF7">
      <w:pPr>
        <w:tabs>
          <w:tab w:val="left" w:pos="720"/>
          <w:tab w:val="left" w:pos="1440"/>
          <w:tab w:val="left" w:pos="9240"/>
        </w:tabs>
        <w:spacing w:line="480" w:lineRule="auto"/>
        <w:ind w:left="720" w:hanging="720"/>
      </w:pPr>
      <w:r>
        <w:rPr>
          <w:b/>
        </w:rPr>
        <w:t>Q.</w:t>
      </w:r>
      <w:r>
        <w:rPr>
          <w:b/>
        </w:rPr>
        <w:tab/>
      </w:r>
      <w:r w:rsidR="006C645F">
        <w:rPr>
          <w:b/>
        </w:rPr>
        <w:t>Has Avista been transparent in its description of its interest rate hedging activities?</w:t>
      </w:r>
    </w:p>
    <w:p w14:paraId="34EA9AD2" w14:textId="3EDAA7BB" w:rsidR="00843C07" w:rsidRDefault="0037109B" w:rsidP="00F47FF7">
      <w:pPr>
        <w:tabs>
          <w:tab w:val="left" w:pos="720"/>
          <w:tab w:val="left" w:pos="1440"/>
          <w:tab w:val="left" w:pos="9240"/>
        </w:tabs>
        <w:spacing w:line="480" w:lineRule="auto"/>
        <w:ind w:left="720" w:hanging="720"/>
      </w:pPr>
      <w:r>
        <w:t>A.</w:t>
      </w:r>
      <w:r w:rsidR="00467170">
        <w:tab/>
      </w:r>
      <w:r w:rsidR="006C645F">
        <w:t xml:space="preserve">No.  </w:t>
      </w:r>
      <w:r w:rsidR="00843C07">
        <w:t xml:space="preserve">For example, in his testimony, Mr. </w:t>
      </w:r>
      <w:proofErr w:type="spellStart"/>
      <w:r w:rsidR="00843C07">
        <w:t>Thies</w:t>
      </w:r>
      <w:proofErr w:type="spellEnd"/>
      <w:r w:rsidR="00843C07">
        <w:t xml:space="preserve"> does not </w:t>
      </w:r>
      <w:r w:rsidR="00C310E8">
        <w:t xml:space="preserve">explain how historically, </w:t>
      </w:r>
      <w:r w:rsidR="00843C07">
        <w:t xml:space="preserve">hedging costs </w:t>
      </w:r>
      <w:r w:rsidR="00C310E8">
        <w:t xml:space="preserve">have </w:t>
      </w:r>
      <w:r w:rsidR="00843C07">
        <w:t>in</w:t>
      </w:r>
      <w:r w:rsidR="00C310E8">
        <w:t xml:space="preserve">creased </w:t>
      </w:r>
      <w:r w:rsidR="00843C07">
        <w:t xml:space="preserve">the </w:t>
      </w:r>
      <w:r w:rsidR="00C310E8">
        <w:t xml:space="preserve">cost of </w:t>
      </w:r>
      <w:r w:rsidR="00843C07">
        <w:t xml:space="preserve">debt.  </w:t>
      </w:r>
      <w:r w:rsidR="00C310E8">
        <w:t xml:space="preserve">In fact, </w:t>
      </w:r>
      <w:r w:rsidR="00843C07">
        <w:t>he discusses in positive terms the Company’s issuance of $</w:t>
      </w:r>
      <w:r w:rsidR="0001130B">
        <w:t xml:space="preserve">392 million </w:t>
      </w:r>
      <w:r w:rsidR="00843C07">
        <w:t xml:space="preserve">of debt </w:t>
      </w:r>
      <w:r w:rsidR="0001130B">
        <w:t>since 2010</w:t>
      </w:r>
      <w:r w:rsidR="00843C07">
        <w:t xml:space="preserve"> at a cost of </w:t>
      </w:r>
      <w:r w:rsidR="0001130B">
        <w:t xml:space="preserve">3.25 </w:t>
      </w:r>
      <w:r w:rsidR="00843C07">
        <w:t>percent,</w:t>
      </w:r>
      <w:r w:rsidR="00D75FDA">
        <w:rPr>
          <w:rStyle w:val="FootnoteReference"/>
        </w:rPr>
        <w:footnoteReference w:id="23"/>
      </w:r>
      <w:r w:rsidR="003839D0">
        <w:t xml:space="preserve"> </w:t>
      </w:r>
      <w:r w:rsidR="00843C07">
        <w:t xml:space="preserve">but </w:t>
      </w:r>
      <w:r w:rsidR="00C310E8">
        <w:t xml:space="preserve">he </w:t>
      </w:r>
      <w:r w:rsidR="00843C07">
        <w:t>fails to explain that the related hedge</w:t>
      </w:r>
      <w:r w:rsidR="0001130B">
        <w:t>s</w:t>
      </w:r>
      <w:r w:rsidR="00843C07">
        <w:t xml:space="preserve"> </w:t>
      </w:r>
      <w:r w:rsidR="0001130B">
        <w:t>were</w:t>
      </w:r>
      <w:r w:rsidR="00843C07">
        <w:t xml:space="preserve"> out</w:t>
      </w:r>
      <w:r w:rsidR="006D6C58">
        <w:t>-</w:t>
      </w:r>
      <w:r w:rsidR="00843C07">
        <w:t>of</w:t>
      </w:r>
      <w:r w:rsidR="006D6C58">
        <w:t>-</w:t>
      </w:r>
      <w:r w:rsidR="00843C07">
        <w:t>the</w:t>
      </w:r>
      <w:r w:rsidR="006D6C58">
        <w:t>-</w:t>
      </w:r>
      <w:r w:rsidR="00843C07">
        <w:t>money</w:t>
      </w:r>
      <w:r w:rsidR="004D51B9">
        <w:t xml:space="preserve"> $26 million,</w:t>
      </w:r>
      <w:r w:rsidR="004D51B9">
        <w:rPr>
          <w:rStyle w:val="FootnoteReference"/>
        </w:rPr>
        <w:footnoteReference w:id="24"/>
      </w:r>
      <w:r w:rsidR="00843C07">
        <w:t xml:space="preserve"> making the </w:t>
      </w:r>
      <w:r w:rsidR="00C310E8">
        <w:t xml:space="preserve">true </w:t>
      </w:r>
      <w:r w:rsidR="00843C07">
        <w:t xml:space="preserve">cost of that </w:t>
      </w:r>
      <w:r w:rsidR="00C82F4A">
        <w:t>debt considerably</w:t>
      </w:r>
      <w:r w:rsidR="00D75FDA">
        <w:t xml:space="preserve"> more.</w:t>
      </w:r>
    </w:p>
    <w:p w14:paraId="34EA9AD3" w14:textId="37150E90" w:rsidR="006C645F" w:rsidRDefault="00843C07" w:rsidP="00F47FF7">
      <w:pPr>
        <w:tabs>
          <w:tab w:val="left" w:pos="720"/>
          <w:tab w:val="left" w:pos="1440"/>
          <w:tab w:val="left" w:pos="9240"/>
        </w:tabs>
        <w:spacing w:line="480" w:lineRule="auto"/>
        <w:ind w:left="720" w:hanging="720"/>
      </w:pPr>
      <w:r>
        <w:tab/>
      </w:r>
    </w:p>
    <w:p w14:paraId="34EA9AD5" w14:textId="77777777" w:rsidR="00893D31" w:rsidRPr="00D371A1" w:rsidRDefault="00893D31" w:rsidP="00893D31">
      <w:pPr>
        <w:tabs>
          <w:tab w:val="left" w:pos="720"/>
          <w:tab w:val="left" w:pos="1440"/>
          <w:tab w:val="left" w:pos="9240"/>
        </w:tabs>
        <w:spacing w:line="480" w:lineRule="auto"/>
        <w:ind w:left="720" w:hanging="720"/>
        <w:rPr>
          <w:b/>
        </w:rPr>
      </w:pPr>
      <w:r>
        <w:rPr>
          <w:b/>
        </w:rPr>
        <w:t>Q.</w:t>
      </w:r>
      <w:r>
        <w:rPr>
          <w:b/>
        </w:rPr>
        <w:tab/>
        <w:t xml:space="preserve">Are there any </w:t>
      </w:r>
      <w:r w:rsidR="00C40358">
        <w:rPr>
          <w:b/>
        </w:rPr>
        <w:t xml:space="preserve">other </w:t>
      </w:r>
      <w:r w:rsidR="00C4467D">
        <w:rPr>
          <w:b/>
        </w:rPr>
        <w:t xml:space="preserve">issues that directly </w:t>
      </w:r>
      <w:r w:rsidR="00C40358">
        <w:rPr>
          <w:b/>
        </w:rPr>
        <w:t>affect</w:t>
      </w:r>
      <w:r w:rsidR="00C4467D">
        <w:rPr>
          <w:b/>
        </w:rPr>
        <w:t xml:space="preserve"> the cost of debt</w:t>
      </w:r>
      <w:r>
        <w:rPr>
          <w:b/>
        </w:rPr>
        <w:t xml:space="preserve"> </w:t>
      </w:r>
      <w:r w:rsidR="00C40358">
        <w:rPr>
          <w:b/>
        </w:rPr>
        <w:t xml:space="preserve">to </w:t>
      </w:r>
      <w:r>
        <w:rPr>
          <w:b/>
        </w:rPr>
        <w:t xml:space="preserve">the Company </w:t>
      </w:r>
      <w:r w:rsidR="00C40358">
        <w:rPr>
          <w:b/>
        </w:rPr>
        <w:t xml:space="preserve">since 2010 </w:t>
      </w:r>
      <w:r w:rsidR="00C4467D">
        <w:rPr>
          <w:b/>
        </w:rPr>
        <w:t>that impacts</w:t>
      </w:r>
      <w:r>
        <w:rPr>
          <w:b/>
        </w:rPr>
        <w:t xml:space="preserve"> costs to ratepayers?</w:t>
      </w:r>
    </w:p>
    <w:p w14:paraId="34EA9AD6" w14:textId="02023FDA" w:rsidR="00893D31" w:rsidRPr="007979A0" w:rsidRDefault="00BC50F9" w:rsidP="00893D31">
      <w:pPr>
        <w:tabs>
          <w:tab w:val="left" w:pos="720"/>
          <w:tab w:val="left" w:pos="1440"/>
          <w:tab w:val="left" w:pos="9240"/>
        </w:tabs>
        <w:spacing w:line="480" w:lineRule="auto"/>
        <w:ind w:left="720" w:hanging="720"/>
      </w:pPr>
      <w:r>
        <w:lastRenderedPageBreak/>
        <w:t>A.</w:t>
      </w:r>
      <w:r>
        <w:tab/>
        <w:t>Yes.  Avista should have been explained its</w:t>
      </w:r>
      <w:r w:rsidR="00893D31">
        <w:t xml:space="preserve"> decision </w:t>
      </w:r>
      <w:r w:rsidR="004929A8">
        <w:t xml:space="preserve">in 2013 </w:t>
      </w:r>
      <w:r w:rsidR="00893D31">
        <w:t xml:space="preserve">to sell a </w:t>
      </w:r>
      <w:r w:rsidR="004929A8">
        <w:t>three</w:t>
      </w:r>
      <w:r w:rsidR="00893D31">
        <w:t>-year tranche at a coupon of 0.68 percent</w:t>
      </w:r>
      <w:r w:rsidR="005C2589">
        <w:t>.</w:t>
      </w:r>
      <w:r w:rsidR="000F7BBA">
        <w:t xml:space="preserve"> </w:t>
      </w:r>
      <w:r w:rsidR="000F56CF">
        <w:t xml:space="preserve"> That decision materially impacts the overall cost of recent issuance to ratepayers.</w:t>
      </w:r>
    </w:p>
    <w:p w14:paraId="34EA9AD7" w14:textId="77777777" w:rsidR="00893D31" w:rsidRDefault="00893D31" w:rsidP="00893D31">
      <w:pPr>
        <w:tabs>
          <w:tab w:val="left" w:pos="720"/>
          <w:tab w:val="left" w:pos="1440"/>
          <w:tab w:val="left" w:pos="9240"/>
        </w:tabs>
        <w:spacing w:line="480" w:lineRule="auto"/>
        <w:ind w:left="720" w:hanging="720"/>
      </w:pPr>
    </w:p>
    <w:p w14:paraId="34EA9AD8" w14:textId="77777777" w:rsidR="00893D31" w:rsidRDefault="00893D31" w:rsidP="00893D31">
      <w:pPr>
        <w:tabs>
          <w:tab w:val="left" w:pos="720"/>
          <w:tab w:val="left" w:pos="1440"/>
          <w:tab w:val="left" w:pos="9240"/>
        </w:tabs>
        <w:spacing w:line="480" w:lineRule="auto"/>
        <w:ind w:left="720" w:hanging="720"/>
        <w:rPr>
          <w:b/>
        </w:rPr>
      </w:pPr>
      <w:r>
        <w:rPr>
          <w:b/>
        </w:rPr>
        <w:t>Q.</w:t>
      </w:r>
      <w:r>
        <w:rPr>
          <w:b/>
        </w:rPr>
        <w:tab/>
        <w:t xml:space="preserve">Why </w:t>
      </w:r>
      <w:r w:rsidR="00BC50F9">
        <w:rPr>
          <w:b/>
        </w:rPr>
        <w:t xml:space="preserve">should </w:t>
      </w:r>
      <w:r w:rsidR="009E2363">
        <w:rPr>
          <w:b/>
        </w:rPr>
        <w:t xml:space="preserve">Avista </w:t>
      </w:r>
      <w:r w:rsidR="00BC50F9">
        <w:rPr>
          <w:b/>
        </w:rPr>
        <w:t xml:space="preserve">have </w:t>
      </w:r>
      <w:r w:rsidR="009E2363">
        <w:rPr>
          <w:b/>
        </w:rPr>
        <w:t xml:space="preserve">explained </w:t>
      </w:r>
      <w:r w:rsidR="00BC50F9">
        <w:rPr>
          <w:b/>
        </w:rPr>
        <w:t xml:space="preserve">this </w:t>
      </w:r>
      <w:r>
        <w:rPr>
          <w:b/>
        </w:rPr>
        <w:t>d</w:t>
      </w:r>
      <w:r w:rsidR="00BC50F9">
        <w:rPr>
          <w:b/>
        </w:rPr>
        <w:t>ecision more fully</w:t>
      </w:r>
      <w:r>
        <w:rPr>
          <w:b/>
        </w:rPr>
        <w:t>?</w:t>
      </w:r>
    </w:p>
    <w:p w14:paraId="34EA9AD9" w14:textId="50C4EEC9" w:rsidR="009E2363" w:rsidRDefault="00893D31" w:rsidP="00893D31">
      <w:pPr>
        <w:tabs>
          <w:tab w:val="left" w:pos="720"/>
          <w:tab w:val="left" w:pos="1440"/>
          <w:tab w:val="left" w:pos="9240"/>
        </w:tabs>
        <w:spacing w:line="480" w:lineRule="auto"/>
        <w:ind w:left="720" w:hanging="720"/>
      </w:pPr>
      <w:r>
        <w:t>A</w:t>
      </w:r>
      <w:r>
        <w:tab/>
      </w:r>
      <w:r w:rsidR="00BC50F9">
        <w:t>Avista’s</w:t>
      </w:r>
      <w:r w:rsidR="00C4467D">
        <w:t xml:space="preserve"> decision </w:t>
      </w:r>
      <w:r w:rsidR="00BC50F9">
        <w:t xml:space="preserve">to sell debt with a 3-year maturity </w:t>
      </w:r>
      <w:r>
        <w:t xml:space="preserve">exposes ratepayers to </w:t>
      </w:r>
      <w:r w:rsidR="00C40358">
        <w:t xml:space="preserve">risk of </w:t>
      </w:r>
      <w:r>
        <w:t xml:space="preserve">future </w:t>
      </w:r>
      <w:r w:rsidR="004929A8">
        <w:t>interest rate</w:t>
      </w:r>
      <w:r w:rsidR="002F2AE5">
        <w:t>s</w:t>
      </w:r>
      <w:r w:rsidR="004929A8">
        <w:t xml:space="preserve"> when that </w:t>
      </w:r>
      <w:r w:rsidR="00C40358">
        <w:t>tranche</w:t>
      </w:r>
      <w:r w:rsidR="004929A8">
        <w:t xml:space="preserve"> matures in 2016.  In fact, Avista </w:t>
      </w:r>
      <w:r w:rsidR="00C40358">
        <w:t>initially planned to issue long-term debt</w:t>
      </w:r>
      <w:r w:rsidR="004D51B9">
        <w:t xml:space="preserve"> in 2013</w:t>
      </w:r>
      <w:r w:rsidR="00BC50F9">
        <w:t>,</w:t>
      </w:r>
      <w:r w:rsidR="00C40358">
        <w:t xml:space="preserve"> and </w:t>
      </w:r>
      <w:r w:rsidR="00BC50F9">
        <w:t xml:space="preserve">it </w:t>
      </w:r>
      <w:r w:rsidR="004929A8">
        <w:t>execute</w:t>
      </w:r>
      <w:r w:rsidR="00C40358">
        <w:t>d</w:t>
      </w:r>
      <w:r w:rsidR="004929A8">
        <w:t xml:space="preserve"> a hedge to mitigate its interest rate risk for that issuance</w:t>
      </w:r>
      <w:r w:rsidR="00F77222">
        <w:t>.</w:t>
      </w:r>
      <w:r w:rsidR="004929A8">
        <w:t xml:space="preserve">  </w:t>
      </w:r>
      <w:r w:rsidR="00C40358">
        <w:t>When Avista decided to issue 3-year money</w:t>
      </w:r>
      <w:r w:rsidR="009E2363">
        <w:t>,</w:t>
      </w:r>
      <w:r w:rsidR="004929A8">
        <w:t xml:space="preserve"> </w:t>
      </w:r>
      <w:r w:rsidR="00C40358">
        <w:t xml:space="preserve">its alternative was </w:t>
      </w:r>
      <w:r w:rsidR="00E035CD">
        <w:t>to issue</w:t>
      </w:r>
      <w:r w:rsidR="004929A8">
        <w:t xml:space="preserve"> 30-year debt with a cou</w:t>
      </w:r>
      <w:r w:rsidR="00C40358">
        <w:t>pon of just over 4.0</w:t>
      </w:r>
      <w:r w:rsidR="000F56CF">
        <w:t>0</w:t>
      </w:r>
      <w:r w:rsidR="00C40358">
        <w:t xml:space="preserve"> percent.  </w:t>
      </w:r>
    </w:p>
    <w:p w14:paraId="34EA9ADA" w14:textId="4F6F9ECE" w:rsidR="00893D31" w:rsidRDefault="009E2363" w:rsidP="00893D31">
      <w:pPr>
        <w:tabs>
          <w:tab w:val="left" w:pos="720"/>
          <w:tab w:val="left" w:pos="1440"/>
          <w:tab w:val="left" w:pos="9240"/>
        </w:tabs>
        <w:spacing w:line="480" w:lineRule="auto"/>
        <w:ind w:left="720" w:hanging="720"/>
      </w:pPr>
      <w:r>
        <w:tab/>
      </w:r>
      <w:r>
        <w:tab/>
      </w:r>
      <w:r w:rsidR="00C40358">
        <w:t>I</w:t>
      </w:r>
      <w:r w:rsidR="00BC50F9">
        <w:t>n</w:t>
      </w:r>
      <w:r w:rsidR="00C40358">
        <w:t xml:space="preserve"> addition, t</w:t>
      </w:r>
      <w:r w:rsidR="004929A8">
        <w:t>he hedge it executed was in-the-money by almost $3 million dollars</w:t>
      </w:r>
      <w:r w:rsidR="00BC50F9">
        <w:t xml:space="preserve">.  Therefore, </w:t>
      </w:r>
      <w:r w:rsidR="004929A8">
        <w:t xml:space="preserve">had </w:t>
      </w:r>
      <w:r w:rsidR="00BC50F9">
        <w:t xml:space="preserve">Avista </w:t>
      </w:r>
      <w:r w:rsidR="004929A8">
        <w:t xml:space="preserve">followed its original financing plans, the net cost to ratepayers of that new 30-year debt would have been 3.92 percent.  </w:t>
      </w:r>
      <w:r w:rsidR="002F2AE5">
        <w:t xml:space="preserve">That option </w:t>
      </w:r>
      <w:r w:rsidR="00C4467D">
        <w:t>is very attractive</w:t>
      </w:r>
      <w:r>
        <w:t xml:space="preserve">.  The Commission </w:t>
      </w:r>
      <w:r w:rsidR="00C4467D">
        <w:t xml:space="preserve">deserves an explanation why </w:t>
      </w:r>
      <w:r>
        <w:t xml:space="preserve">Avista abandoned its </w:t>
      </w:r>
      <w:r w:rsidR="00C40358">
        <w:t xml:space="preserve">original plan </w:t>
      </w:r>
      <w:r w:rsidR="005C2589">
        <w:t>to issue 30-year debt</w:t>
      </w:r>
      <w:r>
        <w:t xml:space="preserve">, and why that decision </w:t>
      </w:r>
      <w:r w:rsidR="000F56CF">
        <w:t>is reasonable</w:t>
      </w:r>
      <w:r>
        <w:t>.</w:t>
      </w:r>
    </w:p>
    <w:p w14:paraId="34EA9ADB" w14:textId="77777777" w:rsidR="00BC50F9" w:rsidRDefault="00BC50F9" w:rsidP="00893D31">
      <w:pPr>
        <w:tabs>
          <w:tab w:val="left" w:pos="720"/>
          <w:tab w:val="left" w:pos="1440"/>
          <w:tab w:val="left" w:pos="9240"/>
        </w:tabs>
        <w:spacing w:line="480" w:lineRule="auto"/>
        <w:ind w:left="720" w:hanging="720"/>
      </w:pPr>
      <w:r>
        <w:tab/>
      </w:r>
      <w:r>
        <w:tab/>
        <w:t>In conclusion, my concern is transparency.  Avista needs to thoroughly explain its decision making process w</w:t>
      </w:r>
      <w:r w:rsidR="005C2589">
        <w:t>hen it decides to sell new debt and explain the costs associated with its hedging activities.</w:t>
      </w:r>
    </w:p>
    <w:p w14:paraId="34EA9ADC" w14:textId="77777777" w:rsidR="00893D31" w:rsidRDefault="004929A8" w:rsidP="00F47FF7">
      <w:pPr>
        <w:tabs>
          <w:tab w:val="left" w:pos="720"/>
          <w:tab w:val="left" w:pos="1440"/>
          <w:tab w:val="left" w:pos="9240"/>
        </w:tabs>
        <w:spacing w:line="480" w:lineRule="auto"/>
        <w:ind w:left="720" w:hanging="720"/>
      </w:pPr>
      <w:r>
        <w:tab/>
      </w:r>
      <w:r>
        <w:tab/>
      </w:r>
      <w:r w:rsidR="006D6C58">
        <w:t xml:space="preserve"> </w:t>
      </w:r>
    </w:p>
    <w:p w14:paraId="34EA9ADD" w14:textId="77777777" w:rsidR="00F47FF7" w:rsidRDefault="00F47FF7" w:rsidP="00F47FF7">
      <w:pPr>
        <w:tabs>
          <w:tab w:val="left" w:pos="720"/>
          <w:tab w:val="left" w:pos="1440"/>
          <w:tab w:val="left" w:pos="9240"/>
        </w:tabs>
        <w:spacing w:line="480" w:lineRule="auto"/>
        <w:ind w:left="720" w:hanging="720"/>
        <w:rPr>
          <w:b/>
        </w:rPr>
      </w:pPr>
      <w:r>
        <w:rPr>
          <w:b/>
        </w:rPr>
        <w:t>Q.</w:t>
      </w:r>
      <w:r>
        <w:rPr>
          <w:b/>
        </w:rPr>
        <w:tab/>
      </w:r>
      <w:r w:rsidR="00F643C9">
        <w:rPr>
          <w:b/>
        </w:rPr>
        <w:t xml:space="preserve">Please summarize </w:t>
      </w:r>
      <w:r w:rsidR="00613340">
        <w:rPr>
          <w:b/>
        </w:rPr>
        <w:t xml:space="preserve">Staff’s </w:t>
      </w:r>
      <w:r w:rsidR="00CD1857">
        <w:rPr>
          <w:b/>
        </w:rPr>
        <w:t xml:space="preserve">calculation of the </w:t>
      </w:r>
      <w:r w:rsidR="00613340">
        <w:rPr>
          <w:b/>
        </w:rPr>
        <w:t xml:space="preserve">total </w:t>
      </w:r>
      <w:r w:rsidR="00F643C9">
        <w:rPr>
          <w:b/>
        </w:rPr>
        <w:t>cost of debt.</w:t>
      </w:r>
    </w:p>
    <w:p w14:paraId="34EA9ADE" w14:textId="4412AFDC" w:rsidR="00385791" w:rsidRDefault="00F47FF7" w:rsidP="00F47FF7">
      <w:pPr>
        <w:tabs>
          <w:tab w:val="left" w:pos="720"/>
          <w:tab w:val="left" w:pos="1440"/>
          <w:tab w:val="left" w:pos="9240"/>
        </w:tabs>
        <w:spacing w:line="480" w:lineRule="auto"/>
        <w:ind w:left="720" w:hanging="720"/>
      </w:pPr>
      <w:r>
        <w:t>A.</w:t>
      </w:r>
      <w:r>
        <w:tab/>
      </w:r>
      <w:r w:rsidR="00843C07">
        <w:t xml:space="preserve">Considering all the </w:t>
      </w:r>
      <w:r w:rsidR="00385791">
        <w:t xml:space="preserve">estimates and projections necessary to estimate the cost of debt in the rate year,  I recommend that the </w:t>
      </w:r>
      <w:r>
        <w:t xml:space="preserve">cost of </w:t>
      </w:r>
      <w:r w:rsidR="00385791">
        <w:t xml:space="preserve">long-term </w:t>
      </w:r>
      <w:r>
        <w:t xml:space="preserve">debt </w:t>
      </w:r>
      <w:r w:rsidR="00385791">
        <w:t xml:space="preserve">be calculated based upon </w:t>
      </w:r>
      <w:r w:rsidR="00385791">
        <w:lastRenderedPageBreak/>
        <w:t>the</w:t>
      </w:r>
      <w:r w:rsidR="000900C9">
        <w:t xml:space="preserve"> actual</w:t>
      </w:r>
      <w:r w:rsidR="00385791">
        <w:t xml:space="preserve"> debt outstanding December 31, 2013.  </w:t>
      </w:r>
      <w:r w:rsidR="00BC50F9">
        <w:t>A</w:t>
      </w:r>
      <w:r w:rsidR="009E2363">
        <w:t>c</w:t>
      </w:r>
      <w:r w:rsidR="00BC50F9">
        <w:t>cordingly</w:t>
      </w:r>
      <w:r w:rsidR="00385791">
        <w:t>, the cost of Avista</w:t>
      </w:r>
      <w:r w:rsidR="00BC50F9">
        <w:t>’s</w:t>
      </w:r>
      <w:r w:rsidR="004D51B9">
        <w:t xml:space="preserve"> </w:t>
      </w:r>
      <w:r w:rsidR="000F56CF">
        <w:t xml:space="preserve">total </w:t>
      </w:r>
      <w:r w:rsidR="00385791">
        <w:t xml:space="preserve">debt for regulated utility operations is </w:t>
      </w:r>
      <w:r w:rsidR="00315833">
        <w:t>5.</w:t>
      </w:r>
      <w:r w:rsidR="006D6C58">
        <w:t>32</w:t>
      </w:r>
      <w:r>
        <w:t xml:space="preserve"> percent.  </w:t>
      </w:r>
    </w:p>
    <w:p w14:paraId="34EA9ADF" w14:textId="77777777" w:rsidR="003839D0" w:rsidRDefault="003839D0" w:rsidP="00F47FF7">
      <w:pPr>
        <w:tabs>
          <w:tab w:val="left" w:pos="720"/>
          <w:tab w:val="left" w:pos="1440"/>
          <w:tab w:val="left" w:pos="9240"/>
        </w:tabs>
        <w:spacing w:line="480" w:lineRule="auto"/>
        <w:ind w:left="720" w:hanging="720"/>
      </w:pPr>
    </w:p>
    <w:p w14:paraId="34EA9AE0" w14:textId="77777777" w:rsidR="00385791" w:rsidRDefault="00385791" w:rsidP="00F47FF7">
      <w:pPr>
        <w:tabs>
          <w:tab w:val="left" w:pos="720"/>
          <w:tab w:val="left" w:pos="1440"/>
          <w:tab w:val="left" w:pos="9240"/>
        </w:tabs>
        <w:spacing w:line="480" w:lineRule="auto"/>
        <w:ind w:left="720" w:hanging="720"/>
        <w:rPr>
          <w:b/>
        </w:rPr>
      </w:pPr>
      <w:r>
        <w:rPr>
          <w:b/>
        </w:rPr>
        <w:t>Q.</w:t>
      </w:r>
      <w:r>
        <w:rPr>
          <w:b/>
        </w:rPr>
        <w:tab/>
        <w:t xml:space="preserve">Why is </w:t>
      </w:r>
      <w:r w:rsidR="00BC50F9">
        <w:rPr>
          <w:b/>
        </w:rPr>
        <w:t xml:space="preserve">it </w:t>
      </w:r>
      <w:r>
        <w:rPr>
          <w:b/>
        </w:rPr>
        <w:t>reasonable for the Commission to accept this recommendation?</w:t>
      </w:r>
    </w:p>
    <w:p w14:paraId="34EA9AE1" w14:textId="25645344" w:rsidR="00385791" w:rsidRDefault="00385791" w:rsidP="00F47FF7">
      <w:pPr>
        <w:tabs>
          <w:tab w:val="left" w:pos="720"/>
          <w:tab w:val="left" w:pos="1440"/>
          <w:tab w:val="left" w:pos="9240"/>
        </w:tabs>
        <w:spacing w:line="480" w:lineRule="auto"/>
        <w:ind w:left="720" w:hanging="720"/>
      </w:pPr>
      <w:r>
        <w:t>A.</w:t>
      </w:r>
      <w:r>
        <w:tab/>
      </w:r>
      <w:r w:rsidR="00BC50F9">
        <w:t>As I mentioned before, d</w:t>
      </w:r>
      <w:r w:rsidR="00C310E8">
        <w:t>ue to the ECOVA sale</w:t>
      </w:r>
      <w:r w:rsidR="00A50D93">
        <w:t xml:space="preserve"> and the AERC purchase</w:t>
      </w:r>
      <w:r w:rsidR="00C310E8">
        <w:t xml:space="preserve">, there are </w:t>
      </w:r>
      <w:r w:rsidR="00C82F4A">
        <w:t>uncertainties</w:t>
      </w:r>
      <w:r w:rsidR="00C310E8">
        <w:t xml:space="preserve"> about the amount of new debt Avista will actually issue.  There are other impacts </w:t>
      </w:r>
      <w:r w:rsidR="004B2229">
        <w:t xml:space="preserve">associated with the </w:t>
      </w:r>
      <w:r w:rsidR="00C310E8">
        <w:t xml:space="preserve">hedging </w:t>
      </w:r>
      <w:r w:rsidR="004B2229">
        <w:t>activities</w:t>
      </w:r>
      <w:r w:rsidR="00C310E8">
        <w:t xml:space="preserve">.  However, the fact is that </w:t>
      </w:r>
      <w:r w:rsidR="009E2363">
        <w:t xml:space="preserve">Avista’s </w:t>
      </w:r>
      <w:r>
        <w:t xml:space="preserve">embedded cost of debt and </w:t>
      </w:r>
      <w:r w:rsidR="009E2363">
        <w:t xml:space="preserve">its </w:t>
      </w:r>
      <w:r>
        <w:t>marginal cost of debt are so close</w:t>
      </w:r>
      <w:r w:rsidR="0036615A">
        <w:t xml:space="preserve">, the impact </w:t>
      </w:r>
      <w:r w:rsidR="0059011B">
        <w:t xml:space="preserve">of all these other considerations on the overall cost of debt would be </w:t>
      </w:r>
      <w:r w:rsidR="0036615A">
        <w:t xml:space="preserve">is small.  </w:t>
      </w:r>
      <w:r w:rsidR="00C82F4A">
        <w:t>Accordingly</w:t>
      </w:r>
      <w:r w:rsidR="0059011B">
        <w:t xml:space="preserve">, I am very </w:t>
      </w:r>
      <w:r w:rsidR="00053D68">
        <w:t>comfortable</w:t>
      </w:r>
      <w:r w:rsidR="0059011B">
        <w:t xml:space="preserve"> recommending the Commission use the actual cost of debt as of December 31, 2013, and focus on the </w:t>
      </w:r>
      <w:r w:rsidR="004B2229">
        <w:t xml:space="preserve">other </w:t>
      </w:r>
      <w:r w:rsidR="0036615A">
        <w:t>significant issues affecting costs to customers in cost of capital</w:t>
      </w:r>
      <w:r w:rsidR="0059011B">
        <w:t xml:space="preserve">, </w:t>
      </w:r>
      <w:r w:rsidR="0059011B">
        <w:rPr>
          <w:i/>
        </w:rPr>
        <w:t xml:space="preserve">i.e., </w:t>
      </w:r>
      <w:r w:rsidR="0036615A">
        <w:t>the cost of equity and the appropriate capital structure.</w:t>
      </w:r>
    </w:p>
    <w:p w14:paraId="34EA9AE2" w14:textId="328C8D91" w:rsidR="0059011B" w:rsidRPr="00385791" w:rsidRDefault="0059011B" w:rsidP="00F47FF7">
      <w:pPr>
        <w:tabs>
          <w:tab w:val="left" w:pos="720"/>
          <w:tab w:val="left" w:pos="1440"/>
          <w:tab w:val="left" w:pos="9240"/>
        </w:tabs>
        <w:spacing w:line="480" w:lineRule="auto"/>
        <w:ind w:left="720" w:hanging="720"/>
      </w:pPr>
      <w:r>
        <w:tab/>
      </w:r>
      <w:r>
        <w:tab/>
        <w:t xml:space="preserve">In sum, the Commission should use </w:t>
      </w:r>
      <w:r w:rsidR="000F56CF">
        <w:t>the following</w:t>
      </w:r>
      <w:r>
        <w:t xml:space="preserve"> cost </w:t>
      </w:r>
      <w:r w:rsidR="000F56CF">
        <w:t>rates:</w:t>
      </w:r>
      <w:r>
        <w:t xml:space="preserve"> </w:t>
      </w:r>
      <w:r w:rsidR="000F56CF">
        <w:t xml:space="preserve">1) </w:t>
      </w:r>
      <w:r>
        <w:t>short</w:t>
      </w:r>
      <w:r w:rsidR="00BC50F9">
        <w:t>-</w:t>
      </w:r>
      <w:r>
        <w:t xml:space="preserve">term debt of </w:t>
      </w:r>
      <w:r w:rsidR="00BC50F9">
        <w:t>2.38 percent</w:t>
      </w:r>
      <w:r w:rsidR="000F56CF">
        <w:t>;</w:t>
      </w:r>
      <w:r w:rsidR="009E2363">
        <w:t xml:space="preserve"> </w:t>
      </w:r>
      <w:r w:rsidR="000F56CF">
        <w:t xml:space="preserve">2) </w:t>
      </w:r>
      <w:r>
        <w:t>long</w:t>
      </w:r>
      <w:r w:rsidR="00BC50F9">
        <w:t>-</w:t>
      </w:r>
      <w:r>
        <w:t xml:space="preserve">term debt of </w:t>
      </w:r>
      <w:r w:rsidR="00BC50F9">
        <w:t>5.57 percent</w:t>
      </w:r>
      <w:r w:rsidR="000F56CF">
        <w:t xml:space="preserve">; and 3) </w:t>
      </w:r>
      <w:r w:rsidR="009E2363">
        <w:t>an overall cost of debt of 5.32 percent</w:t>
      </w:r>
      <w:r w:rsidR="00BC50F9">
        <w:t>.</w:t>
      </w:r>
    </w:p>
    <w:p w14:paraId="34EA9AE3" w14:textId="77777777" w:rsidR="0062741C" w:rsidRDefault="0062741C" w:rsidP="00F47FF7">
      <w:pPr>
        <w:tabs>
          <w:tab w:val="left" w:pos="720"/>
          <w:tab w:val="left" w:pos="1440"/>
          <w:tab w:val="left" w:pos="9240"/>
        </w:tabs>
        <w:spacing w:line="480" w:lineRule="auto"/>
        <w:ind w:left="720" w:hanging="720"/>
      </w:pPr>
    </w:p>
    <w:p w14:paraId="34EA9AE4" w14:textId="77777777" w:rsidR="005D3B74" w:rsidRDefault="005D3B74" w:rsidP="00564C25">
      <w:pPr>
        <w:tabs>
          <w:tab w:val="left" w:pos="720"/>
          <w:tab w:val="left" w:pos="1440"/>
          <w:tab w:val="left" w:pos="9240"/>
        </w:tabs>
        <w:spacing w:line="480" w:lineRule="auto"/>
        <w:ind w:left="720" w:hanging="720"/>
        <w:jc w:val="center"/>
        <w:rPr>
          <w:b/>
        </w:rPr>
      </w:pPr>
      <w:r>
        <w:rPr>
          <w:b/>
        </w:rPr>
        <w:t>V</w:t>
      </w:r>
      <w:r w:rsidR="00D942AB">
        <w:rPr>
          <w:b/>
        </w:rPr>
        <w:t>I</w:t>
      </w:r>
      <w:r>
        <w:rPr>
          <w:b/>
        </w:rPr>
        <w:t>.</w:t>
      </w:r>
      <w:r>
        <w:rPr>
          <w:b/>
        </w:rPr>
        <w:tab/>
        <w:t>COST OF COMMON EQUITY</w:t>
      </w:r>
    </w:p>
    <w:p w14:paraId="34EA9AE5" w14:textId="77777777" w:rsidR="00A67C4C" w:rsidRPr="001C665C" w:rsidRDefault="00A67C4C" w:rsidP="00564C25">
      <w:pPr>
        <w:tabs>
          <w:tab w:val="left" w:pos="720"/>
          <w:tab w:val="left" w:pos="1440"/>
          <w:tab w:val="left" w:pos="9240"/>
        </w:tabs>
        <w:spacing w:line="480" w:lineRule="auto"/>
        <w:ind w:left="720" w:hanging="720"/>
        <w:jc w:val="center"/>
        <w:rPr>
          <w:b/>
        </w:rPr>
      </w:pPr>
    </w:p>
    <w:p w14:paraId="34EA9AE6" w14:textId="77777777" w:rsidR="00A67C4C" w:rsidRPr="00206B43" w:rsidRDefault="00D26E1D" w:rsidP="00E5511E">
      <w:pPr>
        <w:keepNext/>
        <w:tabs>
          <w:tab w:val="left" w:pos="720"/>
          <w:tab w:val="left" w:pos="1440"/>
          <w:tab w:val="left" w:pos="9240"/>
        </w:tabs>
        <w:spacing w:line="480" w:lineRule="auto"/>
        <w:rPr>
          <w:b/>
        </w:rPr>
      </w:pPr>
      <w:r>
        <w:rPr>
          <w:b/>
        </w:rPr>
        <w:tab/>
      </w:r>
      <w:r w:rsidR="00A67C4C">
        <w:rPr>
          <w:b/>
        </w:rPr>
        <w:t>A.</w:t>
      </w:r>
      <w:r w:rsidR="00A67C4C">
        <w:rPr>
          <w:b/>
        </w:rPr>
        <w:tab/>
        <w:t>Methods for Determining Cost of Equity</w:t>
      </w:r>
    </w:p>
    <w:p w14:paraId="34EA9AE7" w14:textId="77777777" w:rsidR="00A67C4C" w:rsidRDefault="00A67C4C" w:rsidP="00A67C4C">
      <w:pPr>
        <w:tabs>
          <w:tab w:val="left" w:pos="720"/>
          <w:tab w:val="left" w:pos="1440"/>
          <w:tab w:val="left" w:pos="9240"/>
        </w:tabs>
        <w:spacing w:line="480" w:lineRule="auto"/>
        <w:ind w:left="720" w:hanging="720"/>
      </w:pPr>
    </w:p>
    <w:p w14:paraId="34EA9AE8" w14:textId="77777777" w:rsidR="00A67C4C" w:rsidRDefault="00A67C4C" w:rsidP="00A67C4C">
      <w:pPr>
        <w:tabs>
          <w:tab w:val="left" w:pos="720"/>
          <w:tab w:val="left" w:pos="1440"/>
          <w:tab w:val="left" w:pos="9240"/>
        </w:tabs>
        <w:spacing w:line="480" w:lineRule="auto"/>
        <w:ind w:left="720" w:hanging="720"/>
        <w:rPr>
          <w:b/>
        </w:rPr>
      </w:pPr>
      <w:r>
        <w:rPr>
          <w:b/>
        </w:rPr>
        <w:t>Q.</w:t>
      </w:r>
      <w:r>
        <w:rPr>
          <w:b/>
        </w:rPr>
        <w:tab/>
        <w:t>What is the primary method the Commission uses in estimating R</w:t>
      </w:r>
      <w:r w:rsidR="00313DAB">
        <w:rPr>
          <w:b/>
        </w:rPr>
        <w:t xml:space="preserve">eturn on </w:t>
      </w:r>
      <w:r w:rsidR="00434C09">
        <w:rPr>
          <w:b/>
        </w:rPr>
        <w:t>Equity</w:t>
      </w:r>
      <w:r w:rsidR="00313DAB">
        <w:rPr>
          <w:b/>
        </w:rPr>
        <w:t xml:space="preserve"> (R</w:t>
      </w:r>
      <w:r>
        <w:rPr>
          <w:b/>
        </w:rPr>
        <w:t>OE</w:t>
      </w:r>
      <w:r w:rsidR="00313DAB">
        <w:rPr>
          <w:b/>
        </w:rPr>
        <w:t>)</w:t>
      </w:r>
      <w:r>
        <w:rPr>
          <w:b/>
        </w:rPr>
        <w:t>?</w:t>
      </w:r>
    </w:p>
    <w:p w14:paraId="34EA9AE9" w14:textId="5A362F07" w:rsidR="00A67C4C" w:rsidRDefault="00A67C4C" w:rsidP="00A67C4C">
      <w:pPr>
        <w:tabs>
          <w:tab w:val="left" w:pos="720"/>
          <w:tab w:val="left" w:pos="1440"/>
          <w:tab w:val="left" w:pos="9240"/>
        </w:tabs>
        <w:spacing w:line="480" w:lineRule="auto"/>
        <w:ind w:left="720" w:hanging="720"/>
      </w:pPr>
      <w:r w:rsidRPr="004D4C73">
        <w:lastRenderedPageBreak/>
        <w:t>A.</w:t>
      </w:r>
      <w:r w:rsidRPr="004D4C73">
        <w:tab/>
      </w:r>
      <w:r>
        <w:t xml:space="preserve">Based on my </w:t>
      </w:r>
      <w:r w:rsidRPr="004219BE">
        <w:t>review</w:t>
      </w:r>
      <w:r>
        <w:t xml:space="preserve"> of</w:t>
      </w:r>
      <w:r w:rsidRPr="004219BE">
        <w:t xml:space="preserve"> the Commission</w:t>
      </w:r>
      <w:r>
        <w:t>’s</w:t>
      </w:r>
      <w:r w:rsidRPr="004219BE">
        <w:t xml:space="preserve"> orders on rate of return over the last </w:t>
      </w:r>
      <w:r w:rsidR="00B311F3">
        <w:t>fifty</w:t>
      </w:r>
      <w:r w:rsidRPr="004219BE">
        <w:t xml:space="preserve"> years</w:t>
      </w:r>
      <w:r>
        <w:t>, t</w:t>
      </w:r>
      <w:r w:rsidRPr="004219BE">
        <w:t xml:space="preserve">he Commission consistently </w:t>
      </w:r>
      <w:r>
        <w:t xml:space="preserve">has </w:t>
      </w:r>
      <w:r w:rsidRPr="004219BE">
        <w:t xml:space="preserve">relied upon </w:t>
      </w:r>
      <w:r w:rsidR="00BC50F9">
        <w:t xml:space="preserve">the </w:t>
      </w:r>
      <w:r w:rsidR="000F6A6E">
        <w:t>D</w:t>
      </w:r>
      <w:r w:rsidR="0059011B">
        <w:t>iscounted Cash Flow (D</w:t>
      </w:r>
      <w:r w:rsidR="000F6A6E">
        <w:t>CF</w:t>
      </w:r>
      <w:r w:rsidR="0059011B">
        <w:t>)</w:t>
      </w:r>
      <w:r>
        <w:t xml:space="preserve"> </w:t>
      </w:r>
      <w:r w:rsidR="00BC50F9">
        <w:t>method</w:t>
      </w:r>
      <w:r w:rsidR="00856CF5">
        <w:t>.</w:t>
      </w:r>
    </w:p>
    <w:p w14:paraId="34EA9AEA" w14:textId="77777777" w:rsidR="00A67C4C" w:rsidRDefault="00A67C4C" w:rsidP="00A67C4C">
      <w:pPr>
        <w:tabs>
          <w:tab w:val="left" w:pos="720"/>
          <w:tab w:val="left" w:pos="1440"/>
          <w:tab w:val="left" w:pos="9240"/>
        </w:tabs>
        <w:spacing w:line="480" w:lineRule="auto"/>
        <w:ind w:left="720" w:hanging="720"/>
        <w:rPr>
          <w:b/>
        </w:rPr>
      </w:pPr>
    </w:p>
    <w:p w14:paraId="34EA9AEB" w14:textId="77777777" w:rsidR="00A67C4C" w:rsidRDefault="00A67C4C" w:rsidP="00A67C4C">
      <w:pPr>
        <w:tabs>
          <w:tab w:val="left" w:pos="720"/>
          <w:tab w:val="left" w:pos="1440"/>
          <w:tab w:val="left" w:pos="9240"/>
        </w:tabs>
        <w:spacing w:line="480" w:lineRule="auto"/>
        <w:ind w:left="720" w:hanging="720"/>
        <w:rPr>
          <w:b/>
        </w:rPr>
      </w:pPr>
      <w:r>
        <w:rPr>
          <w:b/>
        </w:rPr>
        <w:t>Q.</w:t>
      </w:r>
      <w:r>
        <w:rPr>
          <w:b/>
        </w:rPr>
        <w:tab/>
        <w:t>Should the Commission use the DCF method in this case?</w:t>
      </w:r>
    </w:p>
    <w:p w14:paraId="34EA9AEC" w14:textId="77777777" w:rsidR="00BC5D55" w:rsidRDefault="00A67C4C" w:rsidP="00A67C4C">
      <w:pPr>
        <w:tabs>
          <w:tab w:val="left" w:pos="720"/>
          <w:tab w:val="left" w:pos="1440"/>
          <w:tab w:val="left" w:pos="9240"/>
        </w:tabs>
        <w:spacing w:line="480" w:lineRule="auto"/>
        <w:ind w:left="720" w:hanging="720"/>
      </w:pPr>
      <w:r w:rsidRPr="00C00AE6">
        <w:t>A.</w:t>
      </w:r>
      <w:r w:rsidRPr="00C00AE6">
        <w:tab/>
        <w:t>Yes.</w:t>
      </w:r>
      <w:r>
        <w:t xml:space="preserve">  </w:t>
      </w:r>
      <w:r w:rsidR="00856CF5">
        <w:t>T</w:t>
      </w:r>
      <w:r w:rsidRPr="004219BE">
        <w:t>he Commission</w:t>
      </w:r>
      <w:r>
        <w:t>’s</w:t>
      </w:r>
      <w:r w:rsidRPr="004219BE">
        <w:t xml:space="preserve"> policy </w:t>
      </w:r>
      <w:r>
        <w:t xml:space="preserve">and practice </w:t>
      </w:r>
      <w:r w:rsidR="00D140DF">
        <w:t xml:space="preserve">of </w:t>
      </w:r>
      <w:r w:rsidR="00372768">
        <w:t>relying</w:t>
      </w:r>
      <w:r>
        <w:t xml:space="preserve"> on</w:t>
      </w:r>
      <w:r w:rsidRPr="004219BE">
        <w:t xml:space="preserve"> </w:t>
      </w:r>
      <w:r w:rsidR="00372768">
        <w:t xml:space="preserve">a </w:t>
      </w:r>
      <w:r w:rsidRPr="004219BE">
        <w:t xml:space="preserve">DCF </w:t>
      </w:r>
      <w:r>
        <w:t xml:space="preserve">analysis </w:t>
      </w:r>
      <w:r w:rsidRPr="004219BE">
        <w:t xml:space="preserve">as the primary </w:t>
      </w:r>
      <w:r w:rsidR="00372768">
        <w:t>evidence</w:t>
      </w:r>
      <w:r w:rsidRPr="004219BE">
        <w:t xml:space="preserve"> to determine </w:t>
      </w:r>
      <w:r>
        <w:t>a fair</w:t>
      </w:r>
      <w:r w:rsidRPr="004219BE">
        <w:t xml:space="preserve"> </w:t>
      </w:r>
      <w:r>
        <w:t>ROE</w:t>
      </w:r>
      <w:r w:rsidRPr="004219BE">
        <w:t xml:space="preserve"> for companies</w:t>
      </w:r>
      <w:r>
        <w:t xml:space="preserve"> subject to its jurisdiction</w:t>
      </w:r>
      <w:r w:rsidR="00856CF5">
        <w:t xml:space="preserve"> is correct</w:t>
      </w:r>
      <w:r w:rsidRPr="004219BE">
        <w:t>.</w:t>
      </w:r>
      <w:r>
        <w:t xml:space="preserve">  The </w:t>
      </w:r>
      <w:r w:rsidRPr="00412257">
        <w:t xml:space="preserve">DCF </w:t>
      </w:r>
      <w:r>
        <w:t xml:space="preserve">method </w:t>
      </w:r>
      <w:r w:rsidR="00A4473A">
        <w:t>is</w:t>
      </w:r>
      <w:r w:rsidRPr="00412257">
        <w:t xml:space="preserve"> the most reliable indicator of investor</w:t>
      </w:r>
      <w:r>
        <w:t>’s</w:t>
      </w:r>
      <w:r w:rsidRPr="00412257">
        <w:t xml:space="preserve"> rate of return requirements</w:t>
      </w:r>
      <w:r>
        <w:t>,</w:t>
      </w:r>
      <w:r w:rsidRPr="00412257">
        <w:t xml:space="preserve"> consistent with the legal principles of the court decisions I discussed</w:t>
      </w:r>
      <w:r w:rsidR="000F6A6E">
        <w:t xml:space="preserve"> earlier</w:t>
      </w:r>
      <w:r w:rsidRPr="00412257">
        <w:t>.</w:t>
      </w:r>
      <w:r>
        <w:t xml:space="preserve">  </w:t>
      </w:r>
      <w:r w:rsidR="00D140DF">
        <w:t xml:space="preserve">Using the DCF </w:t>
      </w:r>
      <w:r w:rsidR="00363355">
        <w:t>method</w:t>
      </w:r>
      <w:r w:rsidR="00D140DF">
        <w:t>, t</w:t>
      </w:r>
      <w:r>
        <w:t xml:space="preserve">he cost of equity is estimated by evaluating readily available financial information and stock prices of utilities trading in highly competitive markets.  </w:t>
      </w:r>
      <w:r w:rsidR="00D140DF">
        <w:t xml:space="preserve">The DCF method </w:t>
      </w:r>
      <w:r w:rsidR="000F6A6E">
        <w:t>fully captures investors</w:t>
      </w:r>
      <w:r w:rsidR="00D140DF">
        <w:t>’</w:t>
      </w:r>
      <w:r w:rsidR="000F6A6E">
        <w:t xml:space="preserve"> return requirements under current market conditions and accurately reflects </w:t>
      </w:r>
      <w:r w:rsidR="00856CF5">
        <w:t>current</w:t>
      </w:r>
      <w:r w:rsidR="00D140DF">
        <w:t xml:space="preserve"> </w:t>
      </w:r>
      <w:r w:rsidR="000F6A6E">
        <w:t>opportunity costs.</w:t>
      </w:r>
      <w:r w:rsidR="002B10F7">
        <w:t xml:space="preserve">  </w:t>
      </w:r>
    </w:p>
    <w:p w14:paraId="34EA9AED" w14:textId="77777777" w:rsidR="00A67C4C" w:rsidRDefault="00BC5D55" w:rsidP="00A67C4C">
      <w:pPr>
        <w:tabs>
          <w:tab w:val="left" w:pos="720"/>
          <w:tab w:val="left" w:pos="1440"/>
          <w:tab w:val="left" w:pos="9240"/>
        </w:tabs>
        <w:spacing w:line="480" w:lineRule="auto"/>
        <w:ind w:left="720" w:hanging="720"/>
      </w:pPr>
      <w:r>
        <w:tab/>
      </w:r>
      <w:r>
        <w:tab/>
      </w:r>
      <w:r w:rsidR="002B10F7">
        <w:t xml:space="preserve">In my opinion, all other </w:t>
      </w:r>
      <w:r w:rsidR="00D140DF">
        <w:t xml:space="preserve">ROE </w:t>
      </w:r>
      <w:r w:rsidR="002B10F7">
        <w:t>methodologies produce flawed results and are subject to manipulation.  Simply put, CAPM, risk premium and other non-traditional method</w:t>
      </w:r>
      <w:r w:rsidR="00D140DF">
        <w:t>s</w:t>
      </w:r>
      <w:r w:rsidR="002B10F7">
        <w:t xml:space="preserve"> have too many variables that are subject to controversy </w:t>
      </w:r>
      <w:r w:rsidR="00D140DF">
        <w:t xml:space="preserve">and </w:t>
      </w:r>
      <w:r w:rsidR="002B10F7">
        <w:t>render the results suspect.</w:t>
      </w:r>
      <w:r w:rsidR="00C476EC">
        <w:t xml:space="preserve">  </w:t>
      </w:r>
    </w:p>
    <w:p w14:paraId="34EA9AEE" w14:textId="77777777" w:rsidR="00A67C4C" w:rsidRDefault="00A67C4C" w:rsidP="00A67C4C">
      <w:pPr>
        <w:tabs>
          <w:tab w:val="left" w:pos="720"/>
          <w:tab w:val="left" w:pos="1440"/>
          <w:tab w:val="left" w:pos="9240"/>
        </w:tabs>
        <w:spacing w:line="480" w:lineRule="auto"/>
        <w:ind w:left="720" w:hanging="720"/>
      </w:pPr>
    </w:p>
    <w:p w14:paraId="34EA9AEF" w14:textId="77777777" w:rsidR="00A67C4C" w:rsidRDefault="00A67C4C" w:rsidP="00A67C4C">
      <w:pPr>
        <w:tabs>
          <w:tab w:val="left" w:pos="720"/>
          <w:tab w:val="left" w:pos="1440"/>
          <w:tab w:val="left" w:pos="9240"/>
        </w:tabs>
        <w:spacing w:line="480" w:lineRule="auto"/>
        <w:ind w:left="720" w:hanging="720"/>
        <w:rPr>
          <w:b/>
        </w:rPr>
      </w:pPr>
      <w:r>
        <w:rPr>
          <w:b/>
        </w:rPr>
        <w:t>Q.</w:t>
      </w:r>
      <w:r>
        <w:rPr>
          <w:b/>
        </w:rPr>
        <w:tab/>
        <w:t xml:space="preserve">Has the Commission used other </w:t>
      </w:r>
      <w:r w:rsidR="00D140DF">
        <w:rPr>
          <w:b/>
        </w:rPr>
        <w:t xml:space="preserve">methods than DCF </w:t>
      </w:r>
      <w:r w:rsidR="001079AB">
        <w:rPr>
          <w:b/>
        </w:rPr>
        <w:t xml:space="preserve">to </w:t>
      </w:r>
      <w:r>
        <w:rPr>
          <w:b/>
        </w:rPr>
        <w:t xml:space="preserve">estimate </w:t>
      </w:r>
      <w:r w:rsidR="001079AB">
        <w:rPr>
          <w:b/>
        </w:rPr>
        <w:t xml:space="preserve">the </w:t>
      </w:r>
      <w:r>
        <w:rPr>
          <w:b/>
        </w:rPr>
        <w:t>cost of equity capital?</w:t>
      </w:r>
    </w:p>
    <w:p w14:paraId="34EA9AF0" w14:textId="1F8F168B" w:rsidR="00A67C4C" w:rsidRDefault="00A67C4C" w:rsidP="00A67C4C">
      <w:pPr>
        <w:tabs>
          <w:tab w:val="left" w:pos="720"/>
          <w:tab w:val="left" w:pos="1440"/>
          <w:tab w:val="left" w:pos="9240"/>
        </w:tabs>
        <w:spacing w:line="480" w:lineRule="auto"/>
        <w:ind w:left="720" w:hanging="720"/>
      </w:pPr>
      <w:r>
        <w:t>A.</w:t>
      </w:r>
      <w:r>
        <w:tab/>
        <w:t xml:space="preserve">Yes.  In the past, the Commission has considered the results of other methods as </w:t>
      </w:r>
      <w:r w:rsidR="00BC50F9">
        <w:t xml:space="preserve">a </w:t>
      </w:r>
      <w:r>
        <w:t xml:space="preserve">check on DCF results.  </w:t>
      </w:r>
      <w:r w:rsidR="00D140DF">
        <w:t>However, i</w:t>
      </w:r>
      <w:r w:rsidR="00535C07">
        <w:t>n the most recent case where cost of capital was fully contested</w:t>
      </w:r>
      <w:r w:rsidR="00D140DF">
        <w:t>,</w:t>
      </w:r>
      <w:r w:rsidR="00535C07">
        <w:t xml:space="preserve"> it appears that the Commission relied almost exclusively on the </w:t>
      </w:r>
      <w:r w:rsidR="00535C07">
        <w:lastRenderedPageBreak/>
        <w:t>various DCF results</w:t>
      </w:r>
      <w:r w:rsidR="00D140DF">
        <w:t>, because the Commission discussed only DCF results</w:t>
      </w:r>
      <w:r w:rsidR="00AD4718">
        <w:t xml:space="preserve"> in its order</w:t>
      </w:r>
      <w:r w:rsidR="00BC50F9">
        <w:t>.</w:t>
      </w:r>
      <w:r w:rsidR="00535C07">
        <w:rPr>
          <w:rStyle w:val="FootnoteReference"/>
        </w:rPr>
        <w:footnoteReference w:id="25"/>
      </w:r>
      <w:r w:rsidR="00535C07">
        <w:t xml:space="preserve">  Also</w:t>
      </w:r>
      <w:r>
        <w:t xml:space="preserve">, in </w:t>
      </w:r>
      <w:r w:rsidR="000F41BB">
        <w:t>a recent</w:t>
      </w:r>
      <w:r>
        <w:t xml:space="preserve"> PSE rate order</w:t>
      </w:r>
      <w:r w:rsidR="00D140DF">
        <w:t>,</w:t>
      </w:r>
      <w:r>
        <w:t xml:space="preserve"> the Commission stated that under current economic conditions, it will give “little weight” to the CAPM and risk premium methods and “primary weight” to the DCF method.</w:t>
      </w:r>
      <w:r>
        <w:rPr>
          <w:rStyle w:val="FootnoteReference"/>
        </w:rPr>
        <w:footnoteReference w:id="26"/>
      </w:r>
      <w:r>
        <w:t xml:space="preserve">  More to the point, </w:t>
      </w:r>
      <w:r w:rsidR="00D140DF">
        <w:t xml:space="preserve">in that case, </w:t>
      </w:r>
      <w:r>
        <w:t>the Commission accepted an ROE produced by a DCF analysis,</w:t>
      </w:r>
      <w:r>
        <w:rPr>
          <w:rStyle w:val="FootnoteReference"/>
        </w:rPr>
        <w:footnoteReference w:id="27"/>
      </w:r>
      <w:r>
        <w:t xml:space="preserve"> and there is nothing in the order to suggest the Commission </w:t>
      </w:r>
      <w:r w:rsidR="00B311F3">
        <w:t xml:space="preserve">used </w:t>
      </w:r>
      <w:r>
        <w:t xml:space="preserve">any other method to check that result.  </w:t>
      </w:r>
    </w:p>
    <w:p w14:paraId="34EA9AF1" w14:textId="77777777" w:rsidR="00A67C4C" w:rsidRDefault="00A67C4C" w:rsidP="00A67C4C">
      <w:pPr>
        <w:tabs>
          <w:tab w:val="left" w:pos="720"/>
          <w:tab w:val="left" w:pos="1440"/>
          <w:tab w:val="left" w:pos="9240"/>
        </w:tabs>
        <w:spacing w:line="480" w:lineRule="auto"/>
        <w:ind w:left="720" w:hanging="720"/>
      </w:pPr>
      <w:r>
        <w:tab/>
      </w:r>
      <w:r>
        <w:tab/>
        <w:t xml:space="preserve">Because the economic </w:t>
      </w:r>
      <w:r w:rsidR="00741B9C">
        <w:t xml:space="preserve">and capital market </w:t>
      </w:r>
      <w:r>
        <w:t>conditions have not changed</w:t>
      </w:r>
      <w:r w:rsidR="00BC5D55">
        <w:t xml:space="preserve"> since those orders were issued</w:t>
      </w:r>
      <w:r>
        <w:t xml:space="preserve">, the Commission should again give little, if any, weight to the results produced </w:t>
      </w:r>
      <w:r w:rsidR="00856CF5">
        <w:t>by other</w:t>
      </w:r>
      <w:r>
        <w:t xml:space="preserve"> methods.  For that reason, I </w:t>
      </w:r>
      <w:r w:rsidR="00CE2E99">
        <w:t xml:space="preserve">address </w:t>
      </w:r>
      <w:r w:rsidR="00437876">
        <w:t>th</w:t>
      </w:r>
      <w:r w:rsidR="00D140DF">
        <w:t>o</w:t>
      </w:r>
      <w:r w:rsidR="00437876">
        <w:t xml:space="preserve">se methods </w:t>
      </w:r>
      <w:r w:rsidR="00CE2E99">
        <w:t xml:space="preserve">cursorily </w:t>
      </w:r>
      <w:r w:rsidR="00437876">
        <w:t>in my testimony.</w:t>
      </w:r>
    </w:p>
    <w:p w14:paraId="34EA9AF2" w14:textId="77777777" w:rsidR="00A67C4C" w:rsidRDefault="00A67C4C" w:rsidP="00A67C4C">
      <w:pPr>
        <w:tabs>
          <w:tab w:val="left" w:pos="720"/>
          <w:tab w:val="left" w:pos="1440"/>
          <w:tab w:val="left" w:pos="9240"/>
        </w:tabs>
        <w:spacing w:line="480" w:lineRule="auto"/>
        <w:ind w:left="720" w:hanging="720"/>
      </w:pPr>
    </w:p>
    <w:p w14:paraId="34EA9AF3" w14:textId="77777777" w:rsidR="00A67C4C" w:rsidRDefault="00D26E1D" w:rsidP="00A67C4C">
      <w:pPr>
        <w:spacing w:line="480" w:lineRule="auto"/>
        <w:ind w:left="1440" w:hanging="720"/>
        <w:rPr>
          <w:b/>
          <w:u w:val="single"/>
        </w:rPr>
      </w:pPr>
      <w:r>
        <w:rPr>
          <w:b/>
        </w:rPr>
        <w:tab/>
      </w:r>
      <w:r w:rsidR="00A67C4C">
        <w:rPr>
          <w:b/>
        </w:rPr>
        <w:t>1</w:t>
      </w:r>
      <w:r w:rsidR="00A67C4C" w:rsidRPr="0014170E">
        <w:rPr>
          <w:b/>
        </w:rPr>
        <w:t>.</w:t>
      </w:r>
      <w:r w:rsidR="00A67C4C">
        <w:rPr>
          <w:b/>
        </w:rPr>
        <w:tab/>
      </w:r>
      <w:r w:rsidR="00A67C4C" w:rsidRPr="00060B17">
        <w:rPr>
          <w:b/>
        </w:rPr>
        <w:t>D</w:t>
      </w:r>
      <w:r w:rsidR="00A67C4C">
        <w:rPr>
          <w:b/>
        </w:rPr>
        <w:t>iscounted Cash Flow Method</w:t>
      </w:r>
    </w:p>
    <w:p w14:paraId="34EA9AF4" w14:textId="77777777" w:rsidR="00A67C4C" w:rsidRDefault="00A67C4C" w:rsidP="00A67C4C">
      <w:pPr>
        <w:tabs>
          <w:tab w:val="left" w:pos="720"/>
          <w:tab w:val="left" w:pos="1440"/>
          <w:tab w:val="left" w:pos="9240"/>
        </w:tabs>
        <w:spacing w:line="480" w:lineRule="auto"/>
        <w:ind w:left="720" w:hanging="720"/>
        <w:rPr>
          <w:b/>
        </w:rPr>
      </w:pPr>
    </w:p>
    <w:p w14:paraId="34EA9AF5" w14:textId="77777777" w:rsidR="00A67C4C" w:rsidRDefault="00A67C4C" w:rsidP="00A67C4C">
      <w:pPr>
        <w:tabs>
          <w:tab w:val="left" w:pos="720"/>
          <w:tab w:val="left" w:pos="1440"/>
          <w:tab w:val="left" w:pos="9240"/>
        </w:tabs>
        <w:spacing w:line="480" w:lineRule="auto"/>
        <w:ind w:left="720" w:hanging="720"/>
        <w:rPr>
          <w:b/>
        </w:rPr>
      </w:pPr>
      <w:r>
        <w:rPr>
          <w:b/>
        </w:rPr>
        <w:t>Q.</w:t>
      </w:r>
      <w:r>
        <w:rPr>
          <w:b/>
        </w:rPr>
        <w:tab/>
        <w:t>Please describe the Discounted Cash Flow (DCF) method, and the underlying theory of that m</w:t>
      </w:r>
      <w:r w:rsidR="0059011B">
        <w:rPr>
          <w:b/>
        </w:rPr>
        <w:t>ethod</w:t>
      </w:r>
      <w:r>
        <w:rPr>
          <w:b/>
        </w:rPr>
        <w:t>.</w:t>
      </w:r>
    </w:p>
    <w:p w14:paraId="34EA9AF6" w14:textId="77777777" w:rsidR="00A67C4C" w:rsidRDefault="00A67C4C" w:rsidP="00A67C4C">
      <w:pPr>
        <w:tabs>
          <w:tab w:val="left" w:pos="720"/>
          <w:tab w:val="left" w:pos="1440"/>
          <w:tab w:val="left" w:pos="9240"/>
        </w:tabs>
        <w:spacing w:line="480" w:lineRule="auto"/>
        <w:ind w:left="720" w:hanging="720"/>
      </w:pPr>
      <w:r>
        <w:t>A.</w:t>
      </w:r>
      <w:r>
        <w:tab/>
        <w:t xml:space="preserve">The DCF method relies upon the most fundamental principle of finance:  the </w:t>
      </w:r>
      <w:r w:rsidRPr="00CA694C">
        <w:t xml:space="preserve">value </w:t>
      </w:r>
      <w:r>
        <w:t>(price) of any asset (in this case, a share of common stock in Avista Corporation) is  the present value of all future cash flows</w:t>
      </w:r>
      <w:r w:rsidR="000F6A6E">
        <w:t xml:space="preserve"> discounted at the cost of capital</w:t>
      </w:r>
      <w:r>
        <w:t xml:space="preserve">.  </w:t>
      </w:r>
    </w:p>
    <w:p w14:paraId="34EA9AF7" w14:textId="77777777" w:rsidR="00741B9C" w:rsidRDefault="00A67C4C" w:rsidP="00A67C4C">
      <w:pPr>
        <w:tabs>
          <w:tab w:val="left" w:pos="720"/>
          <w:tab w:val="left" w:pos="1440"/>
          <w:tab w:val="left" w:pos="9240"/>
        </w:tabs>
        <w:spacing w:line="480" w:lineRule="auto"/>
        <w:ind w:left="720" w:hanging="720"/>
      </w:pPr>
      <w:r>
        <w:tab/>
      </w:r>
      <w:r>
        <w:tab/>
        <w:t xml:space="preserve">If one makes some simplifying assumptions about a </w:t>
      </w:r>
      <w:r w:rsidR="000F41BB">
        <w:t>utility’s</w:t>
      </w:r>
      <w:r>
        <w:t xml:space="preserve"> financial performance and cash flows, the DCF formula for cost of equity is the sum of the </w:t>
      </w:r>
      <w:r>
        <w:lastRenderedPageBreak/>
        <w:t>dividend yield and dividend growth.  The following formula is the common equation used by analysts and accepted by regulatory bodies to estimate the cost of equity (K):</w:t>
      </w:r>
    </w:p>
    <w:p w14:paraId="34EA9AF8" w14:textId="77777777" w:rsidR="00A67C4C" w:rsidRDefault="00A67C4C" w:rsidP="0071516A">
      <w:pPr>
        <w:ind w:left="2880" w:firstLine="720"/>
      </w:pPr>
      <w:r w:rsidRPr="006F1546">
        <w:rPr>
          <w:position w:val="-24"/>
        </w:rPr>
        <w:object w:dxaOrig="1120" w:dyaOrig="620" w14:anchorId="34EA9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0pt" o:ole="">
            <v:imagedata r:id="rId15" o:title=""/>
          </v:shape>
          <o:OLEObject Type="Embed" ProgID="Equation.3" ShapeID="_x0000_i1025" DrawAspect="Content" ObjectID="_1467458045" r:id="rId16"/>
        </w:object>
      </w:r>
      <w:r>
        <w:tab/>
      </w:r>
    </w:p>
    <w:p w14:paraId="34EA9AF9" w14:textId="77777777" w:rsidR="0071516A" w:rsidRDefault="00A67C4C" w:rsidP="00A67C4C">
      <w:pPr>
        <w:tabs>
          <w:tab w:val="left" w:pos="720"/>
          <w:tab w:val="left" w:pos="1440"/>
          <w:tab w:val="left" w:pos="2160"/>
          <w:tab w:val="left" w:pos="9240"/>
        </w:tabs>
        <w:spacing w:line="360" w:lineRule="auto"/>
        <w:ind w:left="720" w:hanging="720"/>
      </w:pPr>
      <w:r>
        <w:tab/>
      </w:r>
    </w:p>
    <w:p w14:paraId="34EA9AFA" w14:textId="77777777" w:rsidR="00A67C4C" w:rsidRDefault="0071516A" w:rsidP="00A67C4C">
      <w:pPr>
        <w:tabs>
          <w:tab w:val="left" w:pos="720"/>
          <w:tab w:val="left" w:pos="1440"/>
          <w:tab w:val="left" w:pos="2160"/>
          <w:tab w:val="left" w:pos="9240"/>
        </w:tabs>
        <w:spacing w:line="360" w:lineRule="auto"/>
        <w:ind w:left="720" w:hanging="720"/>
      </w:pPr>
      <w:r>
        <w:tab/>
      </w:r>
      <w:r w:rsidR="00A67C4C">
        <w:t xml:space="preserve">where: </w:t>
      </w:r>
      <w:r w:rsidR="00A67C4C">
        <w:tab/>
      </w:r>
      <w:r w:rsidR="00A67C4C">
        <w:tab/>
      </w:r>
      <w:r w:rsidR="00A67C4C" w:rsidRPr="003D6C81">
        <w:rPr>
          <w:i/>
        </w:rPr>
        <w:t>K</w:t>
      </w:r>
      <w:r w:rsidR="00A67C4C">
        <w:t xml:space="preserve"> = cost of equity</w:t>
      </w:r>
    </w:p>
    <w:p w14:paraId="34EA9AFB" w14:textId="77777777" w:rsidR="00A67C4C" w:rsidRDefault="00A67C4C" w:rsidP="00A67C4C">
      <w:pPr>
        <w:tabs>
          <w:tab w:val="left" w:pos="720"/>
          <w:tab w:val="left" w:pos="1440"/>
          <w:tab w:val="left" w:pos="2160"/>
          <w:tab w:val="left" w:pos="9240"/>
        </w:tabs>
        <w:spacing w:line="360" w:lineRule="auto"/>
        <w:ind w:left="720" w:hanging="720"/>
      </w:pPr>
      <w:r>
        <w:tab/>
      </w:r>
      <w:r>
        <w:tab/>
      </w:r>
      <w:r>
        <w:tab/>
      </w:r>
      <w:r w:rsidRPr="003D6C81">
        <w:rPr>
          <w:i/>
        </w:rPr>
        <w:t>P</w:t>
      </w:r>
      <w:r>
        <w:t xml:space="preserve"> = current share price</w:t>
      </w:r>
    </w:p>
    <w:p w14:paraId="34EA9AFC" w14:textId="77777777" w:rsidR="00A67C4C" w:rsidRDefault="00A67C4C" w:rsidP="00A67C4C">
      <w:pPr>
        <w:tabs>
          <w:tab w:val="left" w:pos="720"/>
          <w:tab w:val="left" w:pos="1440"/>
          <w:tab w:val="left" w:pos="2160"/>
          <w:tab w:val="left" w:pos="9240"/>
        </w:tabs>
        <w:spacing w:line="360" w:lineRule="auto"/>
        <w:ind w:left="720" w:hanging="720"/>
      </w:pPr>
      <w:r>
        <w:tab/>
      </w:r>
      <w:r>
        <w:tab/>
      </w:r>
      <w:r>
        <w:tab/>
      </w:r>
      <w:r w:rsidRPr="003D6C81">
        <w:rPr>
          <w:i/>
        </w:rPr>
        <w:t>D</w:t>
      </w:r>
      <w:r>
        <w:t xml:space="preserve"> = expected dividend payment</w:t>
      </w:r>
    </w:p>
    <w:p w14:paraId="34EA9AFD" w14:textId="77777777" w:rsidR="00A67C4C" w:rsidRDefault="00A67C4C" w:rsidP="00A67C4C">
      <w:pPr>
        <w:tabs>
          <w:tab w:val="left" w:pos="720"/>
          <w:tab w:val="left" w:pos="1440"/>
          <w:tab w:val="left" w:pos="2160"/>
          <w:tab w:val="left" w:pos="9240"/>
        </w:tabs>
        <w:spacing w:line="360" w:lineRule="auto"/>
        <w:ind w:left="720" w:hanging="720"/>
      </w:pPr>
      <w:r>
        <w:tab/>
      </w:r>
      <w:r>
        <w:tab/>
      </w:r>
      <w:r>
        <w:tab/>
      </w:r>
      <w:r w:rsidRPr="003D6C81">
        <w:rPr>
          <w:i/>
        </w:rPr>
        <w:t>g</w:t>
      </w:r>
      <w:r>
        <w:t xml:space="preserve"> = constant rate of expected dividend growth</w:t>
      </w:r>
    </w:p>
    <w:p w14:paraId="34EA9AFE" w14:textId="77777777" w:rsidR="00A67C4C" w:rsidRDefault="00A67C4C" w:rsidP="00A67C4C">
      <w:pPr>
        <w:tabs>
          <w:tab w:val="left" w:pos="720"/>
          <w:tab w:val="left" w:pos="1440"/>
          <w:tab w:val="left" w:pos="2160"/>
          <w:tab w:val="left" w:pos="9240"/>
        </w:tabs>
        <w:spacing w:line="480" w:lineRule="auto"/>
        <w:ind w:left="720" w:hanging="720"/>
      </w:pPr>
    </w:p>
    <w:p w14:paraId="34EA9AFF" w14:textId="77777777" w:rsidR="00A67C4C" w:rsidRDefault="00A67C4C" w:rsidP="00A67C4C">
      <w:pPr>
        <w:tabs>
          <w:tab w:val="left" w:pos="720"/>
          <w:tab w:val="left" w:pos="1440"/>
          <w:tab w:val="left" w:pos="2160"/>
          <w:tab w:val="left" w:pos="9240"/>
        </w:tabs>
        <w:spacing w:line="480" w:lineRule="auto"/>
        <w:ind w:left="720" w:hanging="720"/>
      </w:pPr>
      <w:r>
        <w:tab/>
        <w:t xml:space="preserve">This formula recognizes that investors’ cost of equity is estimated by considering two factors:  expectations of the stock’s dividend yield and the long-term constant (sustainable) growth in dividends per share.  </w:t>
      </w:r>
    </w:p>
    <w:p w14:paraId="34EA9B00" w14:textId="77777777" w:rsidR="00A67C4C" w:rsidRDefault="00A67C4C" w:rsidP="00A67C4C">
      <w:pPr>
        <w:tabs>
          <w:tab w:val="left" w:pos="720"/>
          <w:tab w:val="left" w:pos="1440"/>
          <w:tab w:val="left" w:pos="2160"/>
          <w:tab w:val="left" w:pos="9240"/>
        </w:tabs>
        <w:spacing w:line="480" w:lineRule="auto"/>
        <w:ind w:left="720" w:hanging="720"/>
      </w:pPr>
      <w:r>
        <w:tab/>
      </w:r>
      <w:r>
        <w:tab/>
        <w:t>Underlying DCF is another fundamental principle of finance: t</w:t>
      </w:r>
      <w:r w:rsidR="000F41BB">
        <w:t>he efficient market hypothesis</w:t>
      </w:r>
      <w:r w:rsidR="001B68D9">
        <w:t xml:space="preserve">.  It </w:t>
      </w:r>
      <w:r>
        <w:t>assumes market prices reflect all known information regarding a security.  Therefore, the DCF model provides confidence to the Commis</w:t>
      </w:r>
      <w:r w:rsidR="001079AB">
        <w:t>sion that current</w:t>
      </w:r>
      <w:r w:rsidR="007A7E0E">
        <w:t xml:space="preserve"> stock</w:t>
      </w:r>
      <w:r w:rsidR="001079AB">
        <w:t xml:space="preserve"> market prices </w:t>
      </w:r>
      <w:r>
        <w:t>accurately reflec</w:t>
      </w:r>
      <w:r w:rsidR="007E7984">
        <w:t>t investor’s expectations about</w:t>
      </w:r>
      <w:r>
        <w:t xml:space="preserve"> future cash flows, and the opportunity cost associated w</w:t>
      </w:r>
      <w:r w:rsidR="001B68D9">
        <w:t>ith the investment decision</w:t>
      </w:r>
      <w:r w:rsidR="001079AB">
        <w:t>.</w:t>
      </w:r>
    </w:p>
    <w:p w14:paraId="34EA9B01" w14:textId="77777777" w:rsidR="00A67C4C" w:rsidRDefault="00A67C4C" w:rsidP="00A67C4C">
      <w:pPr>
        <w:tabs>
          <w:tab w:val="left" w:pos="720"/>
          <w:tab w:val="left" w:pos="1440"/>
          <w:tab w:val="left" w:pos="2160"/>
          <w:tab w:val="left" w:pos="9240"/>
        </w:tabs>
        <w:spacing w:line="480" w:lineRule="auto"/>
        <w:ind w:left="720" w:hanging="720"/>
      </w:pPr>
    </w:p>
    <w:p w14:paraId="34EA9B02" w14:textId="77777777" w:rsidR="00A67C4C" w:rsidRPr="002F5642" w:rsidRDefault="00A67C4C" w:rsidP="00A67C4C">
      <w:pPr>
        <w:tabs>
          <w:tab w:val="left" w:pos="720"/>
          <w:tab w:val="left" w:pos="1440"/>
          <w:tab w:val="left" w:pos="2160"/>
          <w:tab w:val="left" w:pos="9240"/>
        </w:tabs>
        <w:spacing w:line="480" w:lineRule="auto"/>
        <w:ind w:left="720" w:hanging="720"/>
        <w:rPr>
          <w:b/>
        </w:rPr>
      </w:pPr>
      <w:r>
        <w:rPr>
          <w:b/>
        </w:rPr>
        <w:t>Q.</w:t>
      </w:r>
      <w:r>
        <w:rPr>
          <w:b/>
        </w:rPr>
        <w:tab/>
        <w:t>Is the DCF method, or any other cost of common equity estimation method a mechanical process?</w:t>
      </w:r>
    </w:p>
    <w:p w14:paraId="34EA9B03" w14:textId="77777777" w:rsidR="00A67C4C" w:rsidRDefault="00A67C4C" w:rsidP="00A67C4C">
      <w:pPr>
        <w:tabs>
          <w:tab w:val="left" w:pos="720"/>
          <w:tab w:val="left" w:pos="1440"/>
          <w:tab w:val="right" w:leader="dot" w:pos="8640"/>
          <w:tab w:val="left" w:pos="9240"/>
        </w:tabs>
        <w:spacing w:line="480" w:lineRule="auto"/>
        <w:ind w:left="720" w:hanging="720"/>
      </w:pPr>
      <w:r>
        <w:t>A.</w:t>
      </w:r>
      <w:r>
        <w:tab/>
        <w:t xml:space="preserve">No.  Cost of common equity analysis is a process that requires judgment to reach a credible outcome.  The analyst must consider relevant financial performance and make reasoned decisions based upon rational future expectations </w:t>
      </w:r>
      <w:r w:rsidR="007E7984">
        <w:t>of</w:t>
      </w:r>
      <w:r>
        <w:t xml:space="preserve"> investors.  </w:t>
      </w:r>
      <w:r w:rsidR="00BC50F9">
        <w:t>Consequently, d</w:t>
      </w:r>
      <w:r>
        <w:t xml:space="preserve">espite its simplicity, applying the DCF model is not a process that produces results supported by precise calculations and mechanistic formulas.  </w:t>
      </w:r>
    </w:p>
    <w:p w14:paraId="34EA9B04" w14:textId="77777777" w:rsidR="00A67C4C" w:rsidRDefault="00A67C4C" w:rsidP="00A67C4C">
      <w:pPr>
        <w:tabs>
          <w:tab w:val="left" w:pos="720"/>
          <w:tab w:val="left" w:pos="1440"/>
          <w:tab w:val="right" w:leader="dot" w:pos="8640"/>
          <w:tab w:val="left" w:pos="9240"/>
        </w:tabs>
        <w:spacing w:line="480" w:lineRule="auto"/>
        <w:ind w:left="720" w:hanging="720"/>
      </w:pPr>
      <w:r>
        <w:lastRenderedPageBreak/>
        <w:tab/>
      </w:r>
      <w:r>
        <w:tab/>
        <w:t xml:space="preserve">In this regard, my study relies upon </w:t>
      </w:r>
      <w:r w:rsidR="001B68D9">
        <w:t xml:space="preserve">both market prices and </w:t>
      </w:r>
      <w:r>
        <w:t>published financial information, which, tempered by informed judgment and DCF theory, produces a range of reasonable investor expectations for the Commission to consider</w:t>
      </w:r>
      <w:r w:rsidR="002B0B79">
        <w:t xml:space="preserve"> in determining a fair ROE for </w:t>
      </w:r>
      <w:r w:rsidR="001B68D9">
        <w:t>Avista</w:t>
      </w:r>
      <w:r>
        <w:t xml:space="preserve">.  </w:t>
      </w:r>
    </w:p>
    <w:p w14:paraId="34EA9B05" w14:textId="77777777" w:rsidR="001079AB" w:rsidRDefault="001079AB" w:rsidP="008F5C54">
      <w:pPr>
        <w:tabs>
          <w:tab w:val="left" w:pos="720"/>
          <w:tab w:val="left" w:pos="1440"/>
          <w:tab w:val="left" w:pos="9240"/>
        </w:tabs>
        <w:spacing w:line="480" w:lineRule="auto"/>
        <w:ind w:left="720" w:hanging="720"/>
        <w:rPr>
          <w:b/>
        </w:rPr>
      </w:pPr>
    </w:p>
    <w:p w14:paraId="34EA9B06" w14:textId="77777777" w:rsidR="005D3B74" w:rsidRPr="007C11DD" w:rsidRDefault="00D26E1D" w:rsidP="008F5C54">
      <w:pPr>
        <w:tabs>
          <w:tab w:val="left" w:pos="720"/>
          <w:tab w:val="left" w:pos="1440"/>
          <w:tab w:val="left" w:pos="9240"/>
        </w:tabs>
        <w:spacing w:line="480" w:lineRule="auto"/>
        <w:ind w:left="720" w:hanging="720"/>
        <w:rPr>
          <w:b/>
        </w:rPr>
      </w:pPr>
      <w:r>
        <w:rPr>
          <w:b/>
        </w:rPr>
        <w:tab/>
      </w:r>
      <w:r w:rsidR="009B70DF">
        <w:rPr>
          <w:b/>
        </w:rPr>
        <w:t>B</w:t>
      </w:r>
      <w:r w:rsidR="007C11DD">
        <w:rPr>
          <w:b/>
        </w:rPr>
        <w:t>.</w:t>
      </w:r>
      <w:r w:rsidR="007C11DD">
        <w:rPr>
          <w:b/>
        </w:rPr>
        <w:tab/>
        <w:t xml:space="preserve">Overall Structure of the </w:t>
      </w:r>
      <w:r w:rsidR="00250EE1">
        <w:rPr>
          <w:b/>
        </w:rPr>
        <w:t xml:space="preserve">Cost of Equity </w:t>
      </w:r>
      <w:r w:rsidR="007C11DD">
        <w:rPr>
          <w:b/>
        </w:rPr>
        <w:t>Analysis</w:t>
      </w:r>
    </w:p>
    <w:p w14:paraId="34EA9B07" w14:textId="77777777" w:rsidR="007C11DD" w:rsidRDefault="007C11DD" w:rsidP="008F5C54">
      <w:pPr>
        <w:tabs>
          <w:tab w:val="left" w:pos="720"/>
          <w:tab w:val="left" w:pos="1440"/>
          <w:tab w:val="left" w:pos="9240"/>
        </w:tabs>
        <w:spacing w:line="480" w:lineRule="auto"/>
        <w:ind w:left="720" w:hanging="720"/>
        <w:rPr>
          <w:b/>
        </w:rPr>
      </w:pPr>
    </w:p>
    <w:p w14:paraId="34EA9B08" w14:textId="77777777" w:rsidR="005D3B74" w:rsidRDefault="005D3B74" w:rsidP="005D3B74">
      <w:pPr>
        <w:tabs>
          <w:tab w:val="left" w:pos="720"/>
          <w:tab w:val="left" w:pos="1440"/>
          <w:tab w:val="left" w:pos="9240"/>
        </w:tabs>
        <w:spacing w:line="480" w:lineRule="auto"/>
        <w:ind w:left="720" w:hanging="720"/>
        <w:rPr>
          <w:b/>
        </w:rPr>
      </w:pPr>
      <w:r>
        <w:rPr>
          <w:b/>
        </w:rPr>
        <w:t>Q.</w:t>
      </w:r>
      <w:r>
        <w:rPr>
          <w:b/>
        </w:rPr>
        <w:tab/>
        <w:t xml:space="preserve">How do you structure your analysis on the cost of common equity for </w:t>
      </w:r>
      <w:r w:rsidR="00300C21">
        <w:rPr>
          <w:b/>
        </w:rPr>
        <w:t>Avista</w:t>
      </w:r>
      <w:r>
        <w:rPr>
          <w:b/>
        </w:rPr>
        <w:t>?</w:t>
      </w:r>
    </w:p>
    <w:p w14:paraId="34EA9B09" w14:textId="77777777" w:rsidR="00786384" w:rsidRDefault="005D3B74" w:rsidP="005D3B74">
      <w:pPr>
        <w:tabs>
          <w:tab w:val="left" w:pos="720"/>
          <w:tab w:val="left" w:pos="1440"/>
          <w:tab w:val="left" w:pos="9240"/>
        </w:tabs>
        <w:spacing w:line="480" w:lineRule="auto"/>
        <w:ind w:left="720" w:hanging="720"/>
      </w:pPr>
      <w:r>
        <w:t>A.</w:t>
      </w:r>
      <w:r>
        <w:tab/>
      </w:r>
      <w:r w:rsidR="00D140DF">
        <w:t>Because my tas</w:t>
      </w:r>
      <w:r w:rsidR="00B20FFF">
        <w:t>k</w:t>
      </w:r>
      <w:r w:rsidR="00D140DF">
        <w:t xml:space="preserve"> is to </w:t>
      </w:r>
      <w:r w:rsidR="007C11DD">
        <w:t>determin</w:t>
      </w:r>
      <w:r w:rsidR="00D140DF">
        <w:t>e</w:t>
      </w:r>
      <w:r w:rsidR="007C11DD">
        <w:t xml:space="preserve"> the cost of equity capital for Avista’s utility operations</w:t>
      </w:r>
      <w:r w:rsidR="00D140DF">
        <w:t xml:space="preserve">, </w:t>
      </w:r>
      <w:r w:rsidR="007A30AA">
        <w:t xml:space="preserve">I </w:t>
      </w:r>
      <w:r w:rsidR="005371FC">
        <w:t xml:space="preserve">first analyze </w:t>
      </w:r>
      <w:r w:rsidR="007A30AA">
        <w:t>the financial information and st</w:t>
      </w:r>
      <w:r w:rsidR="00981B1F">
        <w:t>ock price of Avista Corporation.</w:t>
      </w:r>
      <w:r w:rsidR="007A30AA">
        <w:t xml:space="preserve"> </w:t>
      </w:r>
      <w:r w:rsidR="00CD1857">
        <w:t xml:space="preserve"> </w:t>
      </w:r>
      <w:r w:rsidR="007A30AA">
        <w:t xml:space="preserve">As a check on my estimate for Avista Corporation </w:t>
      </w:r>
      <w:r w:rsidR="00E92D90">
        <w:t xml:space="preserve">using </w:t>
      </w:r>
      <w:r w:rsidR="007A30AA">
        <w:t xml:space="preserve">that direct evidence, </w:t>
      </w:r>
      <w:r w:rsidR="00A15099">
        <w:t>I</w:t>
      </w:r>
      <w:r w:rsidR="007A7E0E">
        <w:t xml:space="preserve"> also prepare a</w:t>
      </w:r>
      <w:r w:rsidR="001E061E">
        <w:t xml:space="preserve"> DCF</w:t>
      </w:r>
      <w:r w:rsidR="007A7E0E">
        <w:t xml:space="preserve"> analysis for</w:t>
      </w:r>
      <w:r w:rsidR="00E92D90">
        <w:t xml:space="preserve"> </w:t>
      </w:r>
      <w:r w:rsidR="00B561EC">
        <w:t xml:space="preserve">a proxy group </w:t>
      </w:r>
      <w:r w:rsidR="00997AD4">
        <w:t>of companies</w:t>
      </w:r>
      <w:r w:rsidR="007A30AA">
        <w:t>.</w:t>
      </w:r>
      <w:r>
        <w:t xml:space="preserve">  </w:t>
      </w:r>
      <w:r w:rsidR="002B0B79">
        <w:t xml:space="preserve"> </w:t>
      </w:r>
    </w:p>
    <w:p w14:paraId="34EA9B0A" w14:textId="77777777" w:rsidR="007A30AA" w:rsidRDefault="00A74A4C" w:rsidP="00AB3CFD">
      <w:pPr>
        <w:tabs>
          <w:tab w:val="left" w:pos="720"/>
          <w:tab w:val="left" w:pos="1440"/>
          <w:tab w:val="left" w:pos="9240"/>
        </w:tabs>
        <w:spacing w:line="480" w:lineRule="auto"/>
        <w:ind w:left="720" w:hanging="720"/>
      </w:pPr>
      <w:r>
        <w:tab/>
      </w:r>
      <w:r w:rsidR="00594C46">
        <w:tab/>
      </w:r>
      <w:r>
        <w:t xml:space="preserve">As </w:t>
      </w:r>
      <w:r w:rsidR="00A15099">
        <w:t xml:space="preserve">I </w:t>
      </w:r>
      <w:r w:rsidR="0059011B">
        <w:t xml:space="preserve">explained </w:t>
      </w:r>
      <w:r w:rsidR="00AB3CFD">
        <w:t>earlier</w:t>
      </w:r>
      <w:r w:rsidR="005371FC">
        <w:t xml:space="preserve">, </w:t>
      </w:r>
      <w:r w:rsidR="00A15099">
        <w:t xml:space="preserve">the </w:t>
      </w:r>
      <w:r w:rsidR="005371FC">
        <w:t xml:space="preserve">Commission should </w:t>
      </w:r>
      <w:r w:rsidR="001079AB">
        <w:t xml:space="preserve">give little, </w:t>
      </w:r>
      <w:r w:rsidR="007E0535">
        <w:t xml:space="preserve">if </w:t>
      </w:r>
      <w:r w:rsidR="001079AB">
        <w:t>any weight, to</w:t>
      </w:r>
      <w:r w:rsidR="005371FC">
        <w:t xml:space="preserve"> the </w:t>
      </w:r>
      <w:r w:rsidR="00A15099">
        <w:t xml:space="preserve">Capital Asset Pricing Model (“CAPM”) and the risk premium </w:t>
      </w:r>
      <w:r w:rsidR="001079AB">
        <w:t>analyses</w:t>
      </w:r>
      <w:r w:rsidR="00AB3CFD">
        <w:t xml:space="preserve"> in current circumstances.  </w:t>
      </w:r>
      <w:r w:rsidR="00E92D90">
        <w:t>Therefore, I supply only a cursory analysis of those methods.</w:t>
      </w:r>
    </w:p>
    <w:p w14:paraId="34EA9B0B" w14:textId="77777777" w:rsidR="005D3B74" w:rsidRDefault="005D3B74" w:rsidP="005D3B74">
      <w:pPr>
        <w:tabs>
          <w:tab w:val="left" w:pos="720"/>
          <w:tab w:val="left" w:pos="1440"/>
          <w:tab w:val="left" w:pos="9240"/>
        </w:tabs>
        <w:spacing w:line="480" w:lineRule="auto"/>
        <w:ind w:left="720" w:hanging="720"/>
        <w:rPr>
          <w:b/>
        </w:rPr>
      </w:pPr>
    </w:p>
    <w:p w14:paraId="34EA9B0C" w14:textId="77777777" w:rsidR="007C11DD" w:rsidRPr="007C11DD" w:rsidRDefault="00D26E1D" w:rsidP="00E5511E">
      <w:pPr>
        <w:keepNext/>
        <w:spacing w:line="480" w:lineRule="auto"/>
        <w:rPr>
          <w:b/>
        </w:rPr>
      </w:pPr>
      <w:r>
        <w:rPr>
          <w:b/>
        </w:rPr>
        <w:tab/>
      </w:r>
      <w:r w:rsidR="009B70DF">
        <w:rPr>
          <w:b/>
        </w:rPr>
        <w:t>C</w:t>
      </w:r>
      <w:r w:rsidR="007C11DD">
        <w:rPr>
          <w:b/>
        </w:rPr>
        <w:t>.</w:t>
      </w:r>
      <w:r w:rsidR="007C11DD">
        <w:rPr>
          <w:b/>
        </w:rPr>
        <w:tab/>
        <w:t>Applying the DCF Model</w:t>
      </w:r>
    </w:p>
    <w:p w14:paraId="34EA9B0D" w14:textId="77777777" w:rsidR="007C11DD" w:rsidRDefault="007C11DD" w:rsidP="00E5511E">
      <w:pPr>
        <w:keepNext/>
        <w:tabs>
          <w:tab w:val="left" w:pos="720"/>
          <w:tab w:val="left" w:pos="1440"/>
          <w:tab w:val="left" w:pos="2160"/>
          <w:tab w:val="left" w:pos="9240"/>
        </w:tabs>
        <w:spacing w:line="480" w:lineRule="auto"/>
        <w:ind w:left="720" w:hanging="720"/>
        <w:rPr>
          <w:b/>
        </w:rPr>
      </w:pPr>
    </w:p>
    <w:p w14:paraId="34EA9B0E" w14:textId="77777777" w:rsidR="00997AD4" w:rsidRDefault="00997AD4" w:rsidP="00997AD4">
      <w:pPr>
        <w:tabs>
          <w:tab w:val="left" w:pos="720"/>
          <w:tab w:val="left" w:pos="1440"/>
          <w:tab w:val="left" w:pos="2160"/>
          <w:tab w:val="left" w:pos="9240"/>
        </w:tabs>
        <w:spacing w:line="480" w:lineRule="auto"/>
        <w:ind w:left="720" w:hanging="720"/>
        <w:rPr>
          <w:b/>
        </w:rPr>
      </w:pPr>
      <w:r>
        <w:rPr>
          <w:b/>
        </w:rPr>
        <w:t>Q.</w:t>
      </w:r>
      <w:r>
        <w:rPr>
          <w:b/>
        </w:rPr>
        <w:tab/>
        <w:t xml:space="preserve">Please explain how you </w:t>
      </w:r>
      <w:r w:rsidR="007C11DD">
        <w:rPr>
          <w:b/>
        </w:rPr>
        <w:t>applied</w:t>
      </w:r>
      <w:r>
        <w:rPr>
          <w:b/>
        </w:rPr>
        <w:t xml:space="preserve"> the DCF model to estimate Avista’s cost of common equity.</w:t>
      </w:r>
    </w:p>
    <w:p w14:paraId="34EA9B0F" w14:textId="77777777" w:rsidR="00997AD4" w:rsidRDefault="00997AD4" w:rsidP="00997AD4">
      <w:pPr>
        <w:tabs>
          <w:tab w:val="left" w:pos="720"/>
          <w:tab w:val="left" w:pos="1440"/>
          <w:tab w:val="left" w:pos="2160"/>
          <w:tab w:val="left" w:pos="9240"/>
        </w:tabs>
        <w:spacing w:line="480" w:lineRule="auto"/>
        <w:ind w:left="720" w:hanging="720"/>
      </w:pPr>
      <w:r>
        <w:t>A.</w:t>
      </w:r>
      <w:r>
        <w:tab/>
      </w:r>
      <w:r w:rsidR="007C11DD">
        <w:t xml:space="preserve">As I explained earlier, </w:t>
      </w:r>
      <w:r w:rsidR="00594C46">
        <w:t>a</w:t>
      </w:r>
      <w:r w:rsidR="007C11DD">
        <w:t xml:space="preserve"> </w:t>
      </w:r>
      <w:r w:rsidR="001E061E">
        <w:t xml:space="preserve">DCF </w:t>
      </w:r>
      <w:r w:rsidR="00594C46">
        <w:t xml:space="preserve">study considers </w:t>
      </w:r>
      <w:r w:rsidR="001E061E">
        <w:t xml:space="preserve">the </w:t>
      </w:r>
      <w:r w:rsidR="007C11DD">
        <w:t xml:space="preserve">expected dividend yield and </w:t>
      </w:r>
      <w:r w:rsidR="001E061E">
        <w:t xml:space="preserve">dividend </w:t>
      </w:r>
      <w:r w:rsidR="007C11DD">
        <w:t xml:space="preserve">growth rate </w:t>
      </w:r>
      <w:r w:rsidR="001E061E">
        <w:t xml:space="preserve">to </w:t>
      </w:r>
      <w:r w:rsidR="00CB303F">
        <w:t>estimate</w:t>
      </w:r>
      <w:r w:rsidR="007C11DD">
        <w:t xml:space="preserve"> the investors’ required rate of return on common equity.  Accordingly, I </w:t>
      </w:r>
      <w:r w:rsidR="00786384">
        <w:t>analyze</w:t>
      </w:r>
      <w:r>
        <w:t xml:space="preserve"> </w:t>
      </w:r>
      <w:r w:rsidR="007E5CC1">
        <w:t xml:space="preserve">market prices </w:t>
      </w:r>
      <w:r w:rsidR="001E5AF7">
        <w:t xml:space="preserve">to determine </w:t>
      </w:r>
      <w:r>
        <w:t xml:space="preserve">the expected dividend </w:t>
      </w:r>
      <w:r>
        <w:lastRenderedPageBreak/>
        <w:t xml:space="preserve">yield for Avista Corporation and </w:t>
      </w:r>
      <w:r w:rsidR="007E5CC1">
        <w:t xml:space="preserve">then consider available financial information </w:t>
      </w:r>
      <w:r>
        <w:t xml:space="preserve">to estimate reasonable </w:t>
      </w:r>
      <w:r w:rsidR="00F00B85">
        <w:t xml:space="preserve">investor </w:t>
      </w:r>
      <w:r>
        <w:t xml:space="preserve">expectations for long-term growth in dividends.    </w:t>
      </w:r>
    </w:p>
    <w:p w14:paraId="34EA9B10" w14:textId="77777777" w:rsidR="00997AD4" w:rsidRDefault="00997AD4" w:rsidP="00FE4EC9">
      <w:pPr>
        <w:tabs>
          <w:tab w:val="left" w:pos="720"/>
          <w:tab w:val="left" w:pos="1440"/>
          <w:tab w:val="left" w:pos="2160"/>
          <w:tab w:val="left" w:pos="9240"/>
        </w:tabs>
        <w:spacing w:line="480" w:lineRule="auto"/>
        <w:ind w:left="720" w:hanging="720"/>
        <w:rPr>
          <w:b/>
        </w:rPr>
      </w:pPr>
    </w:p>
    <w:p w14:paraId="34EA9B11" w14:textId="77777777" w:rsidR="00997AD4" w:rsidRDefault="00997AD4" w:rsidP="00997AD4">
      <w:pPr>
        <w:keepNext/>
        <w:tabs>
          <w:tab w:val="left" w:pos="720"/>
          <w:tab w:val="left" w:pos="1440"/>
          <w:tab w:val="left" w:pos="2160"/>
          <w:tab w:val="left" w:pos="9240"/>
        </w:tabs>
        <w:spacing w:line="480" w:lineRule="auto"/>
        <w:ind w:left="720" w:hanging="720"/>
        <w:rPr>
          <w:b/>
        </w:rPr>
      </w:pPr>
      <w:r>
        <w:rPr>
          <w:b/>
        </w:rPr>
        <w:t>Q.</w:t>
      </w:r>
      <w:r>
        <w:rPr>
          <w:b/>
        </w:rPr>
        <w:tab/>
        <w:t xml:space="preserve">How did you </w:t>
      </w:r>
      <w:r w:rsidR="001E061E">
        <w:rPr>
          <w:b/>
        </w:rPr>
        <w:t xml:space="preserve">evaluate </w:t>
      </w:r>
      <w:r>
        <w:rPr>
          <w:b/>
        </w:rPr>
        <w:t>the dividend yield component of the DCF equation?</w:t>
      </w:r>
    </w:p>
    <w:p w14:paraId="34EA9B12" w14:textId="77777777" w:rsidR="00997AD4" w:rsidRDefault="00997AD4" w:rsidP="00997AD4">
      <w:pPr>
        <w:tabs>
          <w:tab w:val="left" w:pos="720"/>
          <w:tab w:val="left" w:pos="1440"/>
          <w:tab w:val="left" w:pos="2160"/>
          <w:tab w:val="left" w:pos="9240"/>
        </w:tabs>
        <w:spacing w:line="480" w:lineRule="auto"/>
        <w:ind w:left="720" w:hanging="720"/>
      </w:pPr>
      <w:r>
        <w:t>A.</w:t>
      </w:r>
      <w:r>
        <w:tab/>
        <w:t>I evaluated</w:t>
      </w:r>
      <w:r w:rsidRPr="002F5642">
        <w:t xml:space="preserve"> the </w:t>
      </w:r>
      <w:r w:rsidR="007C11DD">
        <w:t xml:space="preserve">dividend </w:t>
      </w:r>
      <w:r>
        <w:t xml:space="preserve">yield based on </w:t>
      </w:r>
      <w:r w:rsidR="00696622">
        <w:t xml:space="preserve">the </w:t>
      </w:r>
      <w:r w:rsidRPr="002F5642">
        <w:t>actual dividend paid</w:t>
      </w:r>
      <w:r>
        <w:t xml:space="preserve"> </w:t>
      </w:r>
      <w:r w:rsidR="00954065">
        <w:t xml:space="preserve">and a range of </w:t>
      </w:r>
      <w:r w:rsidR="00AD4718">
        <w:t>future stock</w:t>
      </w:r>
      <w:r w:rsidR="00AD4718" w:rsidRPr="002F5642">
        <w:t xml:space="preserve"> </w:t>
      </w:r>
      <w:r w:rsidRPr="002F5642">
        <w:t>prices.</w:t>
      </w:r>
      <w:r w:rsidR="00D23924">
        <w:rPr>
          <w:rStyle w:val="FootnoteReference"/>
        </w:rPr>
        <w:footnoteReference w:id="28"/>
      </w:r>
      <w:r w:rsidRPr="002F5642">
        <w:t xml:space="preserve">  This process accounts for the diversity of expectations investors have with respect to future dividends over time.  Finally, </w:t>
      </w:r>
      <w:r>
        <w:t xml:space="preserve">as a check, </w:t>
      </w:r>
      <w:r w:rsidRPr="002F5642">
        <w:t xml:space="preserve">I compare </w:t>
      </w:r>
      <w:r w:rsidR="001E5AF7">
        <w:t>this</w:t>
      </w:r>
      <w:r w:rsidRPr="002F5642">
        <w:t xml:space="preserve"> dividend yield calculation </w:t>
      </w:r>
      <w:r>
        <w:t xml:space="preserve">for both Avista Corporation and my proxy group </w:t>
      </w:r>
      <w:r w:rsidRPr="002F5642">
        <w:t>to th</w:t>
      </w:r>
      <w:r>
        <w:t xml:space="preserve">e yield estimates </w:t>
      </w:r>
      <w:r w:rsidRPr="002F5642">
        <w:t>provided by</w:t>
      </w:r>
      <w:r>
        <w:t xml:space="preserve"> </w:t>
      </w:r>
      <w:r w:rsidRPr="002F5642">
        <w:rPr>
          <w:i/>
        </w:rPr>
        <w:t>Value Line</w:t>
      </w:r>
      <w:r w:rsidR="00954065">
        <w:t xml:space="preserve">, </w:t>
      </w:r>
      <w:r w:rsidR="00696622" w:rsidRPr="00FE4EC9">
        <w:rPr>
          <w:i/>
        </w:rPr>
        <w:t>Morningstar</w:t>
      </w:r>
      <w:r w:rsidR="00696622">
        <w:t xml:space="preserve"> </w:t>
      </w:r>
      <w:r w:rsidRPr="002F5642">
        <w:t xml:space="preserve">and </w:t>
      </w:r>
      <w:r w:rsidR="009C1404">
        <w:t>Mr. McKenzie</w:t>
      </w:r>
      <w:r>
        <w:t>’s estimate.</w:t>
      </w:r>
      <w:r w:rsidR="00CD244A">
        <w:t xml:space="preserve">  </w:t>
      </w:r>
    </w:p>
    <w:p w14:paraId="34EA9B13" w14:textId="77777777" w:rsidR="007C11DD" w:rsidRDefault="007C11DD" w:rsidP="007C11DD">
      <w:pPr>
        <w:tabs>
          <w:tab w:val="left" w:pos="720"/>
          <w:tab w:val="left" w:pos="1440"/>
          <w:tab w:val="left" w:pos="2160"/>
          <w:tab w:val="left" w:pos="9240"/>
        </w:tabs>
        <w:spacing w:line="480" w:lineRule="auto"/>
        <w:ind w:left="720" w:hanging="720"/>
        <w:rPr>
          <w:b/>
        </w:rPr>
      </w:pPr>
    </w:p>
    <w:p w14:paraId="34EA9B14" w14:textId="77777777" w:rsidR="007C11DD" w:rsidRDefault="007C11DD" w:rsidP="003839D0">
      <w:pPr>
        <w:keepNext/>
        <w:tabs>
          <w:tab w:val="left" w:pos="720"/>
          <w:tab w:val="left" w:pos="1440"/>
          <w:tab w:val="left" w:pos="2160"/>
          <w:tab w:val="left" w:pos="9240"/>
        </w:tabs>
        <w:spacing w:line="480" w:lineRule="auto"/>
        <w:ind w:left="720" w:hanging="720"/>
        <w:rPr>
          <w:b/>
        </w:rPr>
      </w:pPr>
      <w:r>
        <w:rPr>
          <w:b/>
        </w:rPr>
        <w:t>Q.</w:t>
      </w:r>
      <w:r>
        <w:rPr>
          <w:b/>
        </w:rPr>
        <w:tab/>
      </w:r>
      <w:r w:rsidR="001B68D9">
        <w:rPr>
          <w:b/>
        </w:rPr>
        <w:t>P</w:t>
      </w:r>
      <w:r>
        <w:rPr>
          <w:b/>
        </w:rPr>
        <w:t xml:space="preserve">lease explain </w:t>
      </w:r>
      <w:r w:rsidR="001B68D9">
        <w:rPr>
          <w:b/>
        </w:rPr>
        <w:t xml:space="preserve">how you evaluated investor expectations for long-term sustainable growth in </w:t>
      </w:r>
      <w:r>
        <w:rPr>
          <w:b/>
        </w:rPr>
        <w:t xml:space="preserve">the </w:t>
      </w:r>
      <w:r w:rsidRPr="006A277E">
        <w:rPr>
          <w:b/>
        </w:rPr>
        <w:t>DCF formula</w:t>
      </w:r>
      <w:r>
        <w:rPr>
          <w:b/>
        </w:rPr>
        <w:t>.</w:t>
      </w:r>
    </w:p>
    <w:p w14:paraId="34EA9B15" w14:textId="77777777" w:rsidR="007C11DD" w:rsidRDefault="007C11DD" w:rsidP="007C11DD">
      <w:pPr>
        <w:tabs>
          <w:tab w:val="left" w:pos="720"/>
          <w:tab w:val="left" w:pos="1440"/>
          <w:tab w:val="left" w:pos="2160"/>
          <w:tab w:val="left" w:pos="9240"/>
        </w:tabs>
        <w:spacing w:line="480" w:lineRule="auto"/>
        <w:ind w:left="720" w:hanging="720"/>
      </w:pPr>
      <w:r>
        <w:t>A.</w:t>
      </w:r>
      <w:r>
        <w:tab/>
        <w:t>In contrast to dividend yield, an investor’s expectation for future dividend growth</w:t>
      </w:r>
      <w:r w:rsidR="001A2EA1">
        <w:t xml:space="preserve"> (</w:t>
      </w:r>
      <w:r w:rsidR="00AD60D4">
        <w:t>“</w:t>
      </w:r>
      <w:r w:rsidR="001A2EA1" w:rsidRPr="00AD60D4">
        <w:rPr>
          <w:i/>
        </w:rPr>
        <w:t>g</w:t>
      </w:r>
      <w:r w:rsidR="001A2EA1">
        <w:t>”)</w:t>
      </w:r>
      <w:r>
        <w:t xml:space="preserve"> is more difficult to estimate. As a result, this part of the DCF </w:t>
      </w:r>
      <w:r w:rsidR="001B68D9">
        <w:t>analysis</w:t>
      </w:r>
      <w:r>
        <w:t xml:space="preserve"> is controversial because analysts use different metrics to support their conclusions.  </w:t>
      </w:r>
    </w:p>
    <w:p w14:paraId="34EA9B16" w14:textId="77777777" w:rsidR="007C11DD" w:rsidRDefault="007C11DD" w:rsidP="007C11DD">
      <w:pPr>
        <w:tabs>
          <w:tab w:val="left" w:pos="720"/>
          <w:tab w:val="left" w:pos="1440"/>
          <w:tab w:val="left" w:pos="2160"/>
          <w:tab w:val="left" w:pos="9240"/>
        </w:tabs>
        <w:spacing w:line="480" w:lineRule="auto"/>
        <w:ind w:left="720" w:hanging="720"/>
      </w:pPr>
      <w:r>
        <w:tab/>
      </w:r>
      <w:r>
        <w:tab/>
        <w:t>It is important, however, to recognize that each investor has a unique perspective on the information used to form their growth expectations, and each investor individually considers and weighs the alternative indicators in deriving their expectations</w:t>
      </w:r>
      <w:r w:rsidR="001B68D9">
        <w:t xml:space="preserve"> for growth</w:t>
      </w:r>
      <w:r>
        <w:t>.  This is supported by the fact that markets reflect two distinct and complementary investment decisions simultaneously: a</w:t>
      </w:r>
      <w:r w:rsidR="001B68D9">
        <w:t xml:space="preserve"> </w:t>
      </w:r>
      <w:r>
        <w:t xml:space="preserve">decision to buy stock matched by another decision to sell that same stock.  Because two investors reach different decisions at the same market price, their expectations must differ.  </w:t>
      </w:r>
    </w:p>
    <w:p w14:paraId="34EA9B17" w14:textId="77777777" w:rsidR="007C11DD" w:rsidRDefault="007C11DD" w:rsidP="007C11DD">
      <w:pPr>
        <w:tabs>
          <w:tab w:val="left" w:pos="720"/>
          <w:tab w:val="left" w:pos="1440"/>
          <w:tab w:val="left" w:pos="2160"/>
          <w:tab w:val="left" w:pos="9240"/>
        </w:tabs>
        <w:spacing w:line="480" w:lineRule="auto"/>
        <w:ind w:left="720" w:hanging="720"/>
      </w:pPr>
      <w:r>
        <w:lastRenderedPageBreak/>
        <w:tab/>
      </w:r>
      <w:r>
        <w:tab/>
        <w:t xml:space="preserve">In other words, </w:t>
      </w:r>
      <w:r w:rsidRPr="00C16990">
        <w:t>no single indicator of growth is used by all investors.</w:t>
      </w:r>
      <w:r>
        <w:t xml:space="preserve">  Therefore, my analysis is an effort to consider the various alternative financial metrics available to investors.  I then infer from this data reasonable future expectations of investors for the long-term growth rate of dividends. </w:t>
      </w:r>
      <w:r w:rsidR="002B0B79">
        <w:t xml:space="preserve"> In this regard, I </w:t>
      </w:r>
      <w:r w:rsidR="00954065">
        <w:t>use</w:t>
      </w:r>
      <w:r w:rsidR="002B0B79">
        <w:t xml:space="preserve"> readily available financial information published by </w:t>
      </w:r>
      <w:r w:rsidR="002B0B79" w:rsidRPr="002B0B79">
        <w:rPr>
          <w:i/>
        </w:rPr>
        <w:t>Value Line</w:t>
      </w:r>
      <w:r w:rsidR="00BC50F9">
        <w:t>, which</w:t>
      </w:r>
      <w:r w:rsidR="00F77222">
        <w:t xml:space="preserve"> </w:t>
      </w:r>
      <w:r w:rsidR="002B0B79">
        <w:t>investors consider</w:t>
      </w:r>
      <w:r w:rsidR="00954065">
        <w:t xml:space="preserve">, </w:t>
      </w:r>
      <w:r w:rsidR="00BC50F9">
        <w:t xml:space="preserve">but </w:t>
      </w:r>
      <w:r w:rsidR="00954065">
        <w:t>which</w:t>
      </w:r>
      <w:r w:rsidR="002B0B79">
        <w:t xml:space="preserve"> </w:t>
      </w:r>
      <w:r w:rsidR="0059011B">
        <w:t xml:space="preserve">Avista’s witness </w:t>
      </w:r>
      <w:r w:rsidR="009C1404">
        <w:t>Mr. McKenzie</w:t>
      </w:r>
      <w:r w:rsidR="002B0B79">
        <w:t xml:space="preserve"> </w:t>
      </w:r>
      <w:r w:rsidR="00954065">
        <w:t>ignores</w:t>
      </w:r>
      <w:r w:rsidR="002B0B79">
        <w:t>.</w:t>
      </w:r>
    </w:p>
    <w:p w14:paraId="34EA9B18" w14:textId="77777777" w:rsidR="007C11DD" w:rsidRDefault="007C11DD" w:rsidP="007C11DD">
      <w:pPr>
        <w:tabs>
          <w:tab w:val="left" w:pos="720"/>
          <w:tab w:val="left" w:pos="1440"/>
          <w:tab w:val="left" w:pos="2160"/>
          <w:tab w:val="left" w:pos="9240"/>
        </w:tabs>
        <w:spacing w:line="480" w:lineRule="auto"/>
        <w:ind w:left="720" w:hanging="720"/>
      </w:pPr>
    </w:p>
    <w:p w14:paraId="34EA9B19" w14:textId="77777777" w:rsidR="007C11DD" w:rsidRDefault="007C11DD" w:rsidP="007C11DD">
      <w:pPr>
        <w:tabs>
          <w:tab w:val="left" w:pos="720"/>
          <w:tab w:val="left" w:pos="1440"/>
          <w:tab w:val="left" w:pos="2160"/>
          <w:tab w:val="left" w:pos="9240"/>
        </w:tabs>
        <w:spacing w:line="480" w:lineRule="auto"/>
        <w:ind w:left="720" w:hanging="720"/>
        <w:rPr>
          <w:b/>
        </w:rPr>
      </w:pPr>
      <w:r>
        <w:rPr>
          <w:b/>
        </w:rPr>
        <w:t>Q.</w:t>
      </w:r>
      <w:r>
        <w:rPr>
          <w:b/>
        </w:rPr>
        <w:tab/>
        <w:t xml:space="preserve">What financial information </w:t>
      </w:r>
      <w:r w:rsidR="0054781E">
        <w:rPr>
          <w:b/>
        </w:rPr>
        <w:t xml:space="preserve">from </w:t>
      </w:r>
      <w:r w:rsidR="0054781E" w:rsidRPr="0054781E">
        <w:rPr>
          <w:b/>
          <w:i/>
        </w:rPr>
        <w:t>Value Line</w:t>
      </w:r>
      <w:r w:rsidR="0054781E" w:rsidRPr="0054781E">
        <w:rPr>
          <w:b/>
        </w:rPr>
        <w:t xml:space="preserve"> </w:t>
      </w:r>
      <w:r>
        <w:rPr>
          <w:b/>
        </w:rPr>
        <w:t xml:space="preserve">did you </w:t>
      </w:r>
      <w:r w:rsidR="0054781E">
        <w:rPr>
          <w:b/>
        </w:rPr>
        <w:t>use to estimate</w:t>
      </w:r>
      <w:r>
        <w:rPr>
          <w:b/>
        </w:rPr>
        <w:t xml:space="preserve"> investors’ expectations of long-term sustainable dividend growth?</w:t>
      </w:r>
    </w:p>
    <w:p w14:paraId="34EA9B1A" w14:textId="77777777" w:rsidR="007C11DD" w:rsidRDefault="007C11DD" w:rsidP="0054781E">
      <w:pPr>
        <w:tabs>
          <w:tab w:val="left" w:pos="720"/>
          <w:tab w:val="left" w:pos="1440"/>
          <w:tab w:val="left" w:pos="2160"/>
          <w:tab w:val="left" w:pos="9240"/>
        </w:tabs>
        <w:spacing w:line="480" w:lineRule="auto"/>
        <w:ind w:left="720" w:hanging="720"/>
      </w:pPr>
      <w:r>
        <w:t>A.</w:t>
      </w:r>
      <w:r>
        <w:tab/>
        <w:t xml:space="preserve">I </w:t>
      </w:r>
      <w:r w:rsidR="001B68D9">
        <w:t>use</w:t>
      </w:r>
      <w:r>
        <w:t xml:space="preserve"> </w:t>
      </w:r>
      <w:r w:rsidR="00954065">
        <w:t xml:space="preserve">estimates of future </w:t>
      </w:r>
      <w:r w:rsidR="0054781E">
        <w:t xml:space="preserve">growth in </w:t>
      </w:r>
      <w:r>
        <w:t xml:space="preserve">dividends per share, </w:t>
      </w:r>
      <w:r w:rsidR="008A180F">
        <w:t xml:space="preserve">internal </w:t>
      </w:r>
      <w:r w:rsidR="006045FA">
        <w:t>growth</w:t>
      </w:r>
      <w:r>
        <w:t xml:space="preserve">, </w:t>
      </w:r>
      <w:r w:rsidR="00B20FFF">
        <w:t xml:space="preserve">growth in </w:t>
      </w:r>
      <w:r>
        <w:t>book value</w:t>
      </w:r>
      <w:r w:rsidR="002B0B79">
        <w:t xml:space="preserve">, and </w:t>
      </w:r>
      <w:r>
        <w:t>earning</w:t>
      </w:r>
      <w:r w:rsidR="0054781E">
        <w:t>s per share</w:t>
      </w:r>
      <w:r w:rsidR="00565A9A">
        <w:t xml:space="preserve">.  </w:t>
      </w:r>
      <w:r w:rsidR="00B1726B">
        <w:t>In making an investment decision, i</w:t>
      </w:r>
      <w:r w:rsidR="00925156">
        <w:t>nvestors</w:t>
      </w:r>
      <w:r>
        <w:t xml:space="preserve"> </w:t>
      </w:r>
      <w:r w:rsidR="0054781E">
        <w:t xml:space="preserve">consider </w:t>
      </w:r>
      <w:r w:rsidR="00565A9A">
        <w:t xml:space="preserve">all this information </w:t>
      </w:r>
      <w:r>
        <w:t>as a proxy for long-term sustainable divide</w:t>
      </w:r>
      <w:r w:rsidR="0054781E">
        <w:t>nd growth</w:t>
      </w:r>
      <w:r w:rsidR="00EB0AF8">
        <w:t>.</w:t>
      </w:r>
      <w:r>
        <w:t xml:space="preserve">  </w:t>
      </w:r>
      <w:r w:rsidR="009E2363">
        <w:t xml:space="preserve">My </w:t>
      </w:r>
      <w:r w:rsidR="00B1726B">
        <w:t xml:space="preserve">Exhibit </w:t>
      </w:r>
      <w:r w:rsidR="009E2363">
        <w:t>No. ___ (</w:t>
      </w:r>
      <w:r w:rsidR="00CF56B9">
        <w:t>KLE-5</w:t>
      </w:r>
      <w:r w:rsidR="009E2363">
        <w:t>)</w:t>
      </w:r>
      <w:r w:rsidR="00B1726B">
        <w:t xml:space="preserve"> is </w:t>
      </w:r>
      <w:r w:rsidR="00B1726B" w:rsidRPr="00F77222">
        <w:rPr>
          <w:i/>
        </w:rPr>
        <w:t>Value Line’s</w:t>
      </w:r>
      <w:r w:rsidR="00B1726B">
        <w:t xml:space="preserve"> report on Avista Corporation showing all the data I use.</w:t>
      </w:r>
    </w:p>
    <w:p w14:paraId="34EA9B1B" w14:textId="77777777" w:rsidR="007C11DD" w:rsidRDefault="007C11DD" w:rsidP="007C11DD">
      <w:pPr>
        <w:tabs>
          <w:tab w:val="left" w:pos="720"/>
          <w:tab w:val="left" w:pos="1440"/>
          <w:tab w:val="left" w:pos="2160"/>
          <w:tab w:val="left" w:pos="9240"/>
        </w:tabs>
        <w:spacing w:line="480" w:lineRule="auto"/>
        <w:ind w:left="720" w:hanging="720"/>
      </w:pPr>
      <w:r>
        <w:tab/>
      </w:r>
      <w:r>
        <w:tab/>
      </w:r>
      <w:r w:rsidR="001F0C89">
        <w:t>While e</w:t>
      </w:r>
      <w:r>
        <w:t xml:space="preserve">ach of these financial indicators is important, no single indicator is sufficient to estimate investor expectations of dividend growth for the group of proxy companies.  </w:t>
      </w:r>
      <w:r w:rsidR="00594C46">
        <w:t>However, s</w:t>
      </w:r>
      <w:r>
        <w:t xml:space="preserve">ome indicators are more important than others.  </w:t>
      </w:r>
    </w:p>
    <w:p w14:paraId="34EA9B1C" w14:textId="77777777" w:rsidR="007C11DD" w:rsidRDefault="007C11DD" w:rsidP="007C11DD">
      <w:pPr>
        <w:tabs>
          <w:tab w:val="left" w:pos="720"/>
          <w:tab w:val="left" w:pos="1440"/>
          <w:tab w:val="left" w:pos="2160"/>
          <w:tab w:val="left" w:pos="9240"/>
        </w:tabs>
        <w:spacing w:line="480" w:lineRule="auto"/>
        <w:ind w:left="720" w:hanging="720"/>
        <w:rPr>
          <w:b/>
        </w:rPr>
      </w:pPr>
    </w:p>
    <w:p w14:paraId="34EA9B1D" w14:textId="77777777" w:rsidR="007C11DD" w:rsidRPr="00AA505D" w:rsidRDefault="007C11DD" w:rsidP="007C11DD">
      <w:pPr>
        <w:tabs>
          <w:tab w:val="left" w:pos="720"/>
          <w:tab w:val="left" w:pos="1440"/>
          <w:tab w:val="left" w:pos="2160"/>
          <w:tab w:val="left" w:pos="9240"/>
        </w:tabs>
        <w:spacing w:line="480" w:lineRule="auto"/>
        <w:ind w:left="720" w:hanging="720"/>
        <w:rPr>
          <w:b/>
        </w:rPr>
      </w:pPr>
      <w:r>
        <w:rPr>
          <w:b/>
        </w:rPr>
        <w:t>Q.</w:t>
      </w:r>
      <w:r>
        <w:rPr>
          <w:b/>
        </w:rPr>
        <w:tab/>
        <w:t>What financial information is the most significant and carries considerable weight for investors in utility stocks?</w:t>
      </w:r>
    </w:p>
    <w:p w14:paraId="34EA9B1E" w14:textId="77777777" w:rsidR="007C11DD" w:rsidRDefault="007C11DD" w:rsidP="0054781E">
      <w:pPr>
        <w:tabs>
          <w:tab w:val="left" w:pos="720"/>
          <w:tab w:val="left" w:pos="1440"/>
          <w:tab w:val="left" w:pos="2160"/>
          <w:tab w:val="left" w:pos="9240"/>
        </w:tabs>
        <w:spacing w:line="480" w:lineRule="auto"/>
        <w:ind w:left="720" w:hanging="720"/>
      </w:pPr>
      <w:r>
        <w:t>A.</w:t>
      </w:r>
      <w:r>
        <w:tab/>
      </w:r>
      <w:r w:rsidR="00594C46">
        <w:t>I</w:t>
      </w:r>
      <w:r>
        <w:t xml:space="preserve">nvestors recognize </w:t>
      </w:r>
      <w:r w:rsidR="00CB303F">
        <w:t xml:space="preserve">the unique characteristics </w:t>
      </w:r>
      <w:r w:rsidR="0054781E">
        <w:t xml:space="preserve">and </w:t>
      </w:r>
      <w:r w:rsidR="001A2EA1">
        <w:t>the capital intensive nature of utilities</w:t>
      </w:r>
      <w:r w:rsidR="0054781E">
        <w:t>.</w:t>
      </w:r>
      <w:r w:rsidR="00FE4EC9">
        <w:t xml:space="preserve">  </w:t>
      </w:r>
      <w:r w:rsidR="00B20FFF">
        <w:t xml:space="preserve">For utilities, </w:t>
      </w:r>
      <w:r w:rsidR="00594C46">
        <w:t>long-term growth is a</w:t>
      </w:r>
      <w:r w:rsidR="00415AA1">
        <w:t xml:space="preserve"> function of the rate earned on</w:t>
      </w:r>
      <w:r w:rsidR="00B20FFF">
        <w:t xml:space="preserve"> </w:t>
      </w:r>
      <w:r w:rsidR="00594C46">
        <w:t xml:space="preserve">book </w:t>
      </w:r>
      <w:r w:rsidR="001E5AF7">
        <w:t>value</w:t>
      </w:r>
      <w:r w:rsidR="00594C46">
        <w:t xml:space="preserve"> </w:t>
      </w:r>
      <w:r w:rsidR="001E5AF7">
        <w:t xml:space="preserve">and future </w:t>
      </w:r>
      <w:r w:rsidR="00594C46">
        <w:t>investment</w:t>
      </w:r>
      <w:r w:rsidR="0054781E">
        <w:t>s</w:t>
      </w:r>
      <w:r w:rsidR="001E5AF7">
        <w:t xml:space="preserve"> that will increase book value</w:t>
      </w:r>
      <w:r w:rsidR="00594C46">
        <w:t>.</w:t>
      </w:r>
      <w:r>
        <w:t xml:space="preserve">  </w:t>
      </w:r>
      <w:r w:rsidR="00AD4718">
        <w:t xml:space="preserve">Accordingly, growth in </w:t>
      </w:r>
      <w:r w:rsidR="00AD4718">
        <w:lastRenderedPageBreak/>
        <w:t xml:space="preserve">book value and </w:t>
      </w:r>
      <w:r w:rsidR="00925156">
        <w:t>internal</w:t>
      </w:r>
      <w:r w:rsidR="00AD4718">
        <w:t xml:space="preserve"> growth</w:t>
      </w:r>
      <w:r w:rsidR="0054781E">
        <w:t xml:space="preserve"> </w:t>
      </w:r>
      <w:r>
        <w:t>represent the long-term financial fundamentals of a utility subject to rate base rate of return regulation.  Therefore, I give added weight to these metrics in my analysis.</w:t>
      </w:r>
      <w:r w:rsidR="0071516A">
        <w:t xml:space="preserve">  My analysis also attempts to reconcile the various metrics consistent with DCF theory.  </w:t>
      </w:r>
    </w:p>
    <w:p w14:paraId="34EA9B1F" w14:textId="77777777" w:rsidR="00A41C18" w:rsidRDefault="00A41C18" w:rsidP="00C024AB">
      <w:pPr>
        <w:tabs>
          <w:tab w:val="left" w:pos="720"/>
          <w:tab w:val="left" w:pos="1440"/>
          <w:tab w:val="left" w:pos="9240"/>
        </w:tabs>
        <w:spacing w:line="480" w:lineRule="auto"/>
        <w:ind w:left="720" w:hanging="720"/>
      </w:pPr>
    </w:p>
    <w:p w14:paraId="34EA9B20" w14:textId="77777777" w:rsidR="00A41C18" w:rsidRDefault="00A41C18" w:rsidP="00A41C18">
      <w:pPr>
        <w:tabs>
          <w:tab w:val="left" w:pos="720"/>
          <w:tab w:val="left" w:pos="1440"/>
          <w:tab w:val="left" w:pos="9240"/>
        </w:tabs>
        <w:spacing w:line="480" w:lineRule="auto"/>
        <w:ind w:left="720" w:hanging="720"/>
      </w:pPr>
      <w:r>
        <w:rPr>
          <w:b/>
        </w:rPr>
        <w:t>Q.</w:t>
      </w:r>
      <w:r>
        <w:rPr>
          <w:b/>
        </w:rPr>
        <w:tab/>
        <w:t>Please explain internal growth and its significance for investors in utility stocks.</w:t>
      </w:r>
    </w:p>
    <w:p w14:paraId="34EA9B21" w14:textId="77777777" w:rsidR="0071516A" w:rsidRDefault="00A41C18" w:rsidP="00A41C18">
      <w:pPr>
        <w:tabs>
          <w:tab w:val="left" w:pos="720"/>
          <w:tab w:val="left" w:pos="1440"/>
          <w:tab w:val="left" w:pos="9240"/>
        </w:tabs>
        <w:spacing w:line="480" w:lineRule="auto"/>
        <w:ind w:left="720" w:hanging="720"/>
      </w:pPr>
      <w:r>
        <w:t>A.</w:t>
      </w:r>
      <w:r>
        <w:tab/>
        <w:t xml:space="preserve">Internal growth </w:t>
      </w:r>
      <w:r w:rsidR="0054781E">
        <w:t>is a function of</w:t>
      </w:r>
      <w:r>
        <w:t xml:space="preserve"> earnings a firm retains and reinvests for future growth.  </w:t>
      </w:r>
      <w:r w:rsidR="0054781E">
        <w:t>I</w:t>
      </w:r>
      <w:r>
        <w:t>f a utility retains earnings (“</w:t>
      </w:r>
      <w:r w:rsidRPr="00A41C18">
        <w:rPr>
          <w:i/>
        </w:rPr>
        <w:t>b</w:t>
      </w:r>
      <w:r>
        <w:t xml:space="preserve">”) and </w:t>
      </w:r>
      <w:r w:rsidR="00954065">
        <w:t xml:space="preserve">is able to </w:t>
      </w:r>
      <w:r w:rsidR="00565A9A">
        <w:t>earn</w:t>
      </w:r>
      <w:r>
        <w:t xml:space="preserve"> at some rate (“</w:t>
      </w:r>
      <w:r w:rsidRPr="00A41C18">
        <w:rPr>
          <w:i/>
        </w:rPr>
        <w:t>r</w:t>
      </w:r>
      <w:r>
        <w:t>”)</w:t>
      </w:r>
      <w:r w:rsidR="00565A9A">
        <w:t xml:space="preserve"> on those retained earnings</w:t>
      </w:r>
      <w:r>
        <w:t xml:space="preserve">, the product of these two factors is a compelling indicator of a reasonable expectation </w:t>
      </w:r>
      <w:r w:rsidR="00954065">
        <w:t>of sustainable</w:t>
      </w:r>
      <w:r>
        <w:t xml:space="preserve"> </w:t>
      </w:r>
      <w:r w:rsidR="00954065">
        <w:t>long-term</w:t>
      </w:r>
      <w:r>
        <w:t xml:space="preserve"> dividend growth.  </w:t>
      </w:r>
    </w:p>
    <w:p w14:paraId="34EA9B22" w14:textId="28BBE1DD" w:rsidR="00A41C18" w:rsidRDefault="00A41C18" w:rsidP="00A41C18">
      <w:pPr>
        <w:tabs>
          <w:tab w:val="left" w:pos="720"/>
          <w:tab w:val="left" w:pos="1440"/>
          <w:tab w:val="left" w:pos="9240"/>
        </w:tabs>
        <w:spacing w:line="480" w:lineRule="auto"/>
        <w:ind w:left="720" w:hanging="720"/>
      </w:pPr>
      <w:r>
        <w:tab/>
      </w:r>
      <w:r>
        <w:tab/>
        <w:t xml:space="preserve">Furthermore, internal growth is directly tied to dividend yield.  If an investor expects returns on </w:t>
      </w:r>
      <w:r w:rsidR="00415AA1">
        <w:t>book value</w:t>
      </w:r>
      <w:r>
        <w:t xml:space="preserve"> to fall, the stock price will fall</w:t>
      </w:r>
      <w:r w:rsidR="00B20FFF">
        <w:t>,</w:t>
      </w:r>
      <w:r>
        <w:t xml:space="preserve"> causing the dividend yield to increase</w:t>
      </w:r>
      <w:r w:rsidR="0059011B">
        <w:t>, thus</w:t>
      </w:r>
      <w:r>
        <w:t xml:space="preserve"> </w:t>
      </w:r>
      <w:r w:rsidR="001B68D9">
        <w:t>establishing</w:t>
      </w:r>
      <w:r>
        <w:t xml:space="preserve"> a new relationship between divide</w:t>
      </w:r>
      <w:r w:rsidR="001B68D9">
        <w:t>nd yield and growth</w:t>
      </w:r>
      <w:r>
        <w:t xml:space="preserve">.  </w:t>
      </w:r>
      <w:r w:rsidR="004272A9">
        <w:t>Converse</w:t>
      </w:r>
      <w:r w:rsidR="00CD244A">
        <w:t>ly,</w:t>
      </w:r>
      <w:r w:rsidR="004272A9">
        <w:t xml:space="preserve"> if earnings on book are expected to increase,</w:t>
      </w:r>
      <w:r w:rsidR="00415AA1">
        <w:t xml:space="preserve"> stock prices </w:t>
      </w:r>
      <w:r w:rsidR="004272A9">
        <w:t>will rise causing the dividend yield to decline.</w:t>
      </w:r>
      <w:r w:rsidR="00415AA1">
        <w:t xml:space="preserve">  </w:t>
      </w:r>
      <w:r>
        <w:t>This market mechanism</w:t>
      </w:r>
      <w:r w:rsidR="0071516A">
        <w:t xml:space="preserve"> </w:t>
      </w:r>
      <w:r>
        <w:t xml:space="preserve">and the relationship between the market price and internal growth enable investors to achieve their cost of capital. </w:t>
      </w:r>
      <w:r w:rsidR="004272A9">
        <w:t xml:space="preserve"> It is identical to how market prices for bonds react to chan</w:t>
      </w:r>
      <w:r w:rsidR="00391BA0">
        <w:t>ges in</w:t>
      </w:r>
      <w:r w:rsidR="004272A9">
        <w:t xml:space="preserve"> interest rates enabling investors to realize a market based return.  </w:t>
      </w:r>
      <w:r>
        <w:t xml:space="preserve">This feature </w:t>
      </w:r>
      <w:r w:rsidR="004272A9">
        <w:t xml:space="preserve">of </w:t>
      </w:r>
      <w:r>
        <w:t xml:space="preserve">DCF </w:t>
      </w:r>
      <w:r w:rsidR="004272A9">
        <w:t xml:space="preserve">explains why it </w:t>
      </w:r>
      <w:r>
        <w:t xml:space="preserve">is </w:t>
      </w:r>
      <w:r w:rsidR="004272A9">
        <w:t>the most</w:t>
      </w:r>
      <w:r>
        <w:t xml:space="preserve"> reliable model for estimating cost of equity.</w:t>
      </w:r>
      <w:r w:rsidR="0071516A">
        <w:t xml:space="preserve">  Market prices are the most concrete evidence of changes in investor’s cost of capital.</w:t>
      </w:r>
    </w:p>
    <w:p w14:paraId="34EA9B23" w14:textId="77777777" w:rsidR="00F81803" w:rsidRDefault="00F81803" w:rsidP="00C024AB">
      <w:pPr>
        <w:tabs>
          <w:tab w:val="left" w:pos="720"/>
          <w:tab w:val="left" w:pos="1440"/>
          <w:tab w:val="left" w:pos="9240"/>
        </w:tabs>
        <w:spacing w:line="480" w:lineRule="auto"/>
        <w:ind w:left="720" w:hanging="720"/>
      </w:pPr>
    </w:p>
    <w:p w14:paraId="34EA9B24" w14:textId="77777777" w:rsidR="00F81803" w:rsidRPr="00F81803" w:rsidRDefault="00F81803" w:rsidP="00A0224C">
      <w:pPr>
        <w:keepNext/>
        <w:tabs>
          <w:tab w:val="left" w:pos="720"/>
          <w:tab w:val="left" w:pos="1440"/>
          <w:tab w:val="left" w:pos="9240"/>
        </w:tabs>
        <w:spacing w:line="480" w:lineRule="auto"/>
        <w:ind w:left="720" w:hanging="720"/>
        <w:rPr>
          <w:b/>
        </w:rPr>
      </w:pPr>
      <w:r>
        <w:rPr>
          <w:b/>
        </w:rPr>
        <w:lastRenderedPageBreak/>
        <w:t>Q.</w:t>
      </w:r>
      <w:r>
        <w:rPr>
          <w:b/>
        </w:rPr>
        <w:tab/>
        <w:t>How do investors evaluate expectations for internal growth?</w:t>
      </w:r>
    </w:p>
    <w:p w14:paraId="34EA9B25" w14:textId="117103AE" w:rsidR="00C024AB" w:rsidRPr="008A180F" w:rsidRDefault="00F81803" w:rsidP="00C024AB">
      <w:pPr>
        <w:tabs>
          <w:tab w:val="left" w:pos="720"/>
          <w:tab w:val="left" w:pos="1440"/>
          <w:tab w:val="left" w:pos="9240"/>
        </w:tabs>
        <w:spacing w:line="480" w:lineRule="auto"/>
        <w:ind w:left="720" w:hanging="720"/>
      </w:pPr>
      <w:r>
        <w:t>A.</w:t>
      </w:r>
      <w:r w:rsidR="00C024AB">
        <w:tab/>
      </w:r>
      <w:r w:rsidR="00BB73C4">
        <w:t>The common form</w:t>
      </w:r>
      <w:r w:rsidR="00C024AB">
        <w:t xml:space="preserve"> </w:t>
      </w:r>
      <w:r w:rsidR="005371FC">
        <w:t xml:space="preserve">of </w:t>
      </w:r>
      <w:r w:rsidR="00C024AB">
        <w:t xml:space="preserve">internal growth is calculated using the formula </w:t>
      </w:r>
      <w:r w:rsidR="00C024AB" w:rsidRPr="001646F9">
        <w:rPr>
          <w:i/>
        </w:rPr>
        <w:t>“b*r”</w:t>
      </w:r>
      <w:r w:rsidR="00C024AB">
        <w:rPr>
          <w:i/>
        </w:rPr>
        <w:t xml:space="preserve">, </w:t>
      </w:r>
      <w:r w:rsidR="00C024AB">
        <w:t>where “</w:t>
      </w:r>
      <w:r w:rsidR="00C024AB" w:rsidRPr="001646F9">
        <w:rPr>
          <w:i/>
        </w:rPr>
        <w:t>b</w:t>
      </w:r>
      <w:r w:rsidR="00C024AB">
        <w:t>” is the retention ratio</w:t>
      </w:r>
      <w:r w:rsidR="003265DC">
        <w:rPr>
          <w:rStyle w:val="FootnoteReference"/>
        </w:rPr>
        <w:footnoteReference w:id="29"/>
      </w:r>
      <w:r w:rsidR="00C024AB">
        <w:t xml:space="preserve"> and “</w:t>
      </w:r>
      <w:r w:rsidR="00C024AB" w:rsidRPr="001646F9">
        <w:rPr>
          <w:i/>
        </w:rPr>
        <w:t>r</w:t>
      </w:r>
      <w:r w:rsidR="00C024AB">
        <w:t>” is the earned return on book equity.</w:t>
      </w:r>
      <w:r w:rsidR="00490DB1">
        <w:t xml:space="preserve"> </w:t>
      </w:r>
      <w:r w:rsidR="001E5AF7">
        <w:t xml:space="preserve"> </w:t>
      </w:r>
      <w:r w:rsidR="00EB0AF8">
        <w:t>This simple formula shows the relationship between e</w:t>
      </w:r>
      <w:r w:rsidR="001E5AF7">
        <w:t>arnings grow</w:t>
      </w:r>
      <w:r w:rsidR="00EB0AF8">
        <w:t>th and</w:t>
      </w:r>
      <w:r w:rsidR="001E5AF7">
        <w:t xml:space="preserve"> earned returns on book equity</w:t>
      </w:r>
      <w:r w:rsidR="00EB0AF8">
        <w:t>.  If the earned returns on book value</w:t>
      </w:r>
      <w:r w:rsidR="001E5AF7">
        <w:t xml:space="preserve"> are sufficiently robust</w:t>
      </w:r>
      <w:r w:rsidR="00EB0AF8">
        <w:t xml:space="preserve">, then investors can reasonably </w:t>
      </w:r>
      <w:r w:rsidR="00053D68">
        <w:t>expect future</w:t>
      </w:r>
      <w:r>
        <w:t xml:space="preserve"> </w:t>
      </w:r>
      <w:r w:rsidR="005A52F8">
        <w:t>dividend</w:t>
      </w:r>
      <w:r>
        <w:t xml:space="preserve"> growth.  </w:t>
      </w:r>
      <w:r w:rsidR="001E5AF7">
        <w:t>I will show the math later in my testimony.</w:t>
      </w:r>
      <w:r w:rsidR="00C476EC">
        <w:t xml:space="preserve">  </w:t>
      </w:r>
    </w:p>
    <w:p w14:paraId="34EA9B26" w14:textId="77777777" w:rsidR="00011879" w:rsidRDefault="00011879" w:rsidP="0029300B">
      <w:pPr>
        <w:spacing w:line="480" w:lineRule="auto"/>
        <w:ind w:left="1440" w:hanging="720"/>
        <w:rPr>
          <w:b/>
        </w:rPr>
      </w:pPr>
    </w:p>
    <w:p w14:paraId="34EA9B27" w14:textId="77777777" w:rsidR="007C11DD" w:rsidRPr="006D56F0" w:rsidRDefault="00D26E1D" w:rsidP="00E5511E">
      <w:pPr>
        <w:spacing w:line="480" w:lineRule="auto"/>
        <w:rPr>
          <w:b/>
        </w:rPr>
      </w:pPr>
      <w:r>
        <w:rPr>
          <w:b/>
        </w:rPr>
        <w:tab/>
      </w:r>
      <w:r w:rsidR="009B70DF">
        <w:rPr>
          <w:b/>
        </w:rPr>
        <w:t>D</w:t>
      </w:r>
      <w:r w:rsidR="00566F0E">
        <w:rPr>
          <w:b/>
        </w:rPr>
        <w:t>.</w:t>
      </w:r>
      <w:r w:rsidR="00566F0E">
        <w:rPr>
          <w:b/>
        </w:rPr>
        <w:tab/>
      </w:r>
      <w:r w:rsidR="004B7BDD" w:rsidRPr="006D56F0">
        <w:rPr>
          <w:b/>
        </w:rPr>
        <w:t>DCF Analysis of Avista Corporation</w:t>
      </w:r>
    </w:p>
    <w:p w14:paraId="34EA9B28" w14:textId="77777777" w:rsidR="0059011B" w:rsidRDefault="0059011B" w:rsidP="0059011B">
      <w:pPr>
        <w:spacing w:line="480" w:lineRule="auto"/>
        <w:ind w:left="720" w:hanging="720"/>
      </w:pPr>
    </w:p>
    <w:p w14:paraId="34EA9B29" w14:textId="77777777" w:rsidR="007C11DD" w:rsidRDefault="0059011B" w:rsidP="0059011B">
      <w:pPr>
        <w:spacing w:line="480" w:lineRule="auto"/>
        <w:ind w:left="720" w:hanging="720"/>
        <w:rPr>
          <w:b/>
        </w:rPr>
      </w:pPr>
      <w:r>
        <w:tab/>
      </w:r>
      <w:r>
        <w:tab/>
      </w:r>
      <w:r>
        <w:rPr>
          <w:b/>
        </w:rPr>
        <w:t>1.</w:t>
      </w:r>
      <w:r>
        <w:rPr>
          <w:b/>
        </w:rPr>
        <w:tab/>
        <w:t>Dividend Yield</w:t>
      </w:r>
    </w:p>
    <w:p w14:paraId="34EA9B2A" w14:textId="77777777" w:rsidR="003839D0" w:rsidRPr="00D75FDA" w:rsidRDefault="003839D0" w:rsidP="0059011B">
      <w:pPr>
        <w:spacing w:line="480" w:lineRule="auto"/>
        <w:ind w:left="720" w:hanging="720"/>
        <w:rPr>
          <w:b/>
        </w:rPr>
      </w:pPr>
    </w:p>
    <w:p w14:paraId="34EA9B2B" w14:textId="77777777" w:rsidR="00997AD4" w:rsidRDefault="00997AD4" w:rsidP="00997AD4">
      <w:pPr>
        <w:tabs>
          <w:tab w:val="left" w:pos="720"/>
          <w:tab w:val="left" w:pos="1440"/>
          <w:tab w:val="left" w:pos="2160"/>
          <w:tab w:val="left" w:pos="9240"/>
        </w:tabs>
        <w:spacing w:line="480" w:lineRule="auto"/>
        <w:ind w:left="720" w:hanging="720"/>
        <w:rPr>
          <w:b/>
        </w:rPr>
      </w:pPr>
      <w:r>
        <w:rPr>
          <w:b/>
        </w:rPr>
        <w:t>Q.</w:t>
      </w:r>
      <w:r>
        <w:rPr>
          <w:b/>
        </w:rPr>
        <w:tab/>
        <w:t>What is a reasonable dividend yield for investors</w:t>
      </w:r>
      <w:r w:rsidR="00DF2683">
        <w:rPr>
          <w:b/>
        </w:rPr>
        <w:t xml:space="preserve"> to expect from </w:t>
      </w:r>
      <w:r>
        <w:rPr>
          <w:b/>
        </w:rPr>
        <w:t>Avista Corporation’s common equity?</w:t>
      </w:r>
    </w:p>
    <w:p w14:paraId="34EA9B2C" w14:textId="78FBFBC4" w:rsidR="00244E07" w:rsidRDefault="00997AD4" w:rsidP="008F1720">
      <w:pPr>
        <w:spacing w:line="480" w:lineRule="auto"/>
        <w:ind w:left="720" w:hanging="720"/>
      </w:pPr>
      <w:r>
        <w:t>A.</w:t>
      </w:r>
      <w:r>
        <w:tab/>
      </w:r>
      <w:r w:rsidR="00DF2683">
        <w:t xml:space="preserve">A reasonable dividend yield </w:t>
      </w:r>
      <w:r w:rsidR="00EB0AF8">
        <w:t xml:space="preserve">for Avista Corporation </w:t>
      </w:r>
      <w:r w:rsidR="00DF2683">
        <w:t xml:space="preserve">is </w:t>
      </w:r>
      <w:r w:rsidR="001B68D9">
        <w:t xml:space="preserve">in the range of </w:t>
      </w:r>
      <w:r w:rsidR="005759E2">
        <w:t xml:space="preserve">3.9 to </w:t>
      </w:r>
      <w:r w:rsidR="001B68D9">
        <w:t>4.2 percent</w:t>
      </w:r>
      <w:r w:rsidR="00AD4718">
        <w:t>,</w:t>
      </w:r>
      <w:r w:rsidR="001B68D9">
        <w:t xml:space="preserve"> b</w:t>
      </w:r>
      <w:r>
        <w:t xml:space="preserve">ased </w:t>
      </w:r>
      <w:r w:rsidR="00566F0E">
        <w:t xml:space="preserve">on </w:t>
      </w:r>
      <w:r>
        <w:t xml:space="preserve">a stock price between </w:t>
      </w:r>
      <w:r w:rsidR="005759E2">
        <w:t>$30.00</w:t>
      </w:r>
      <w:r>
        <w:t xml:space="preserve"> and </w:t>
      </w:r>
      <w:r w:rsidR="005759E2">
        <w:t>$32.00</w:t>
      </w:r>
      <w:r>
        <w:t xml:space="preserve"> and </w:t>
      </w:r>
      <w:r w:rsidR="001B68D9">
        <w:t xml:space="preserve">an annual </w:t>
      </w:r>
      <w:r>
        <w:t>dividend of $1.</w:t>
      </w:r>
      <w:r w:rsidR="002B0B79">
        <w:t>27</w:t>
      </w:r>
      <w:r>
        <w:t xml:space="preserve"> per share</w:t>
      </w:r>
      <w:r w:rsidR="001B68D9">
        <w:t xml:space="preserve">.  </w:t>
      </w:r>
      <w:r w:rsidR="00DF2683">
        <w:t>The average of the two is 4.</w:t>
      </w:r>
      <w:r w:rsidR="005759E2">
        <w:t>0</w:t>
      </w:r>
      <w:r w:rsidR="00DF2683">
        <w:t xml:space="preserve">5 percent, </w:t>
      </w:r>
      <w:r w:rsidR="00415AA1">
        <w:t>rounded to</w:t>
      </w:r>
      <w:r w:rsidR="00DF2683">
        <w:t xml:space="preserve"> 4.</w:t>
      </w:r>
      <w:r w:rsidR="005759E2">
        <w:t>1</w:t>
      </w:r>
      <w:r w:rsidR="00DF2683">
        <w:t xml:space="preserve"> percent.</w:t>
      </w:r>
      <w:r w:rsidR="002A6793">
        <w:t xml:space="preserve">  </w:t>
      </w:r>
      <w:r w:rsidR="0071516A">
        <w:t xml:space="preserve">This expected dividend yield is </w:t>
      </w:r>
      <w:r w:rsidR="00B311F3">
        <w:t>conservative considering</w:t>
      </w:r>
      <w:r w:rsidR="0071516A">
        <w:t xml:space="preserve"> recent prices for Avista’s stock </w:t>
      </w:r>
      <w:r w:rsidR="00B311F3">
        <w:t xml:space="preserve">between </w:t>
      </w:r>
      <w:r w:rsidR="0071516A">
        <w:t>$3</w:t>
      </w:r>
      <w:r w:rsidR="00B311F3">
        <w:t>2</w:t>
      </w:r>
      <w:r w:rsidR="0071516A">
        <w:t>.00</w:t>
      </w:r>
      <w:r w:rsidR="00B311F3">
        <w:t xml:space="preserve"> and $33.00</w:t>
      </w:r>
      <w:r w:rsidR="0071516A">
        <w:t xml:space="preserve"> per share.</w:t>
      </w:r>
    </w:p>
    <w:p w14:paraId="34EA9B2D" w14:textId="38C7A21D" w:rsidR="002A6793" w:rsidRDefault="00244E07" w:rsidP="002A6793">
      <w:pPr>
        <w:tabs>
          <w:tab w:val="left" w:pos="720"/>
          <w:tab w:val="left" w:pos="1440"/>
          <w:tab w:val="left" w:pos="2160"/>
          <w:tab w:val="left" w:pos="9240"/>
        </w:tabs>
        <w:spacing w:line="480" w:lineRule="auto"/>
        <w:ind w:left="720"/>
      </w:pPr>
      <w:r>
        <w:tab/>
      </w:r>
      <w:r w:rsidR="00F81803">
        <w:t>D</w:t>
      </w:r>
      <w:r w:rsidR="00CE2E99">
        <w:t xml:space="preserve">ata from </w:t>
      </w:r>
      <w:r w:rsidR="00997AD4">
        <w:rPr>
          <w:i/>
        </w:rPr>
        <w:t>Value Line</w:t>
      </w:r>
      <w:r w:rsidR="00F81803">
        <w:t xml:space="preserve"> </w:t>
      </w:r>
      <w:r w:rsidR="00997AD4">
        <w:t xml:space="preserve">shows a </w:t>
      </w:r>
      <w:r w:rsidR="004B7BDD">
        <w:t xml:space="preserve">dividend yield of </w:t>
      </w:r>
      <w:r w:rsidR="00997AD4">
        <w:t>4.</w:t>
      </w:r>
      <w:r w:rsidR="002A6793">
        <w:t>6</w:t>
      </w:r>
      <w:r w:rsidR="00E06C8C">
        <w:t xml:space="preserve"> </w:t>
      </w:r>
      <w:r w:rsidR="007768C9">
        <w:t>percent</w:t>
      </w:r>
      <w:r w:rsidR="002A6793">
        <w:t xml:space="preserve"> </w:t>
      </w:r>
      <w:r w:rsidR="008B371C">
        <w:t>for Avista Corporation</w:t>
      </w:r>
      <w:r w:rsidR="00F77222">
        <w:t xml:space="preserve">. This </w:t>
      </w:r>
      <w:r w:rsidR="008B371C">
        <w:t xml:space="preserve">figure </w:t>
      </w:r>
      <w:r w:rsidR="00F77222">
        <w:t xml:space="preserve">is not an accurate estimate.  It </w:t>
      </w:r>
      <w:r w:rsidR="008B371C">
        <w:t xml:space="preserve">does </w:t>
      </w:r>
      <w:r w:rsidR="002A6793">
        <w:t xml:space="preserve">not incorporate </w:t>
      </w:r>
      <w:r w:rsidR="008B371C">
        <w:t xml:space="preserve">Avista </w:t>
      </w:r>
      <w:r w:rsidR="001660DD">
        <w:t xml:space="preserve">Corporation’s </w:t>
      </w:r>
      <w:r w:rsidR="008B371C">
        <w:t xml:space="preserve">dividend </w:t>
      </w:r>
      <w:r w:rsidR="002A6793">
        <w:t>increase</w:t>
      </w:r>
      <w:r w:rsidR="00AB3B8C">
        <w:t xml:space="preserve"> </w:t>
      </w:r>
      <w:r w:rsidR="004272A9">
        <w:t>in the first quarter of 2014</w:t>
      </w:r>
      <w:r w:rsidR="00DF79BF">
        <w:t>,</w:t>
      </w:r>
      <w:r w:rsidR="000325EE">
        <w:t xml:space="preserve"> </w:t>
      </w:r>
      <w:r w:rsidR="004272A9">
        <w:t xml:space="preserve">the </w:t>
      </w:r>
      <w:r w:rsidR="00AB3B8C">
        <w:t xml:space="preserve">impact </w:t>
      </w:r>
      <w:r w:rsidR="00803E09">
        <w:t xml:space="preserve">of that </w:t>
      </w:r>
      <w:r w:rsidR="000325EE">
        <w:t xml:space="preserve">dividend </w:t>
      </w:r>
      <w:r w:rsidR="00803E09">
        <w:t xml:space="preserve">increase </w:t>
      </w:r>
      <w:r w:rsidR="00AB3B8C">
        <w:t xml:space="preserve">on </w:t>
      </w:r>
      <w:r w:rsidR="004272A9">
        <w:t xml:space="preserve">its </w:t>
      </w:r>
      <w:r w:rsidR="00AB3B8C">
        <w:t>stock price</w:t>
      </w:r>
      <w:r w:rsidR="00DF79BF">
        <w:t xml:space="preserve"> nor </w:t>
      </w:r>
      <w:r w:rsidR="000325EE">
        <w:t xml:space="preserve">the </w:t>
      </w:r>
      <w:r w:rsidR="00DF79BF">
        <w:t xml:space="preserve">recent </w:t>
      </w:r>
      <w:r w:rsidR="000325EE">
        <w:t>increase in its stock price</w:t>
      </w:r>
      <w:r w:rsidR="002A6793">
        <w:t>.</w:t>
      </w:r>
      <w:r w:rsidR="00CE2E99">
        <w:t xml:space="preserve"> </w:t>
      </w:r>
      <w:r>
        <w:t xml:space="preserve"> </w:t>
      </w:r>
      <w:r>
        <w:lastRenderedPageBreak/>
        <w:t>Mr.</w:t>
      </w:r>
      <w:r w:rsidR="00A0224C">
        <w:t> </w:t>
      </w:r>
      <w:r>
        <w:t>McKenzie estimates a dividend yield of 4.6 percent</w:t>
      </w:r>
      <w:r>
        <w:rPr>
          <w:rStyle w:val="FootnoteReference"/>
        </w:rPr>
        <w:footnoteReference w:id="30"/>
      </w:r>
      <w:r>
        <w:t xml:space="preserve"> </w:t>
      </w:r>
      <w:r w:rsidR="00076781">
        <w:t>based upon a share price of $27.</w:t>
      </w:r>
      <w:r>
        <w:t>48</w:t>
      </w:r>
      <w:r w:rsidR="00076781">
        <w:t>.</w:t>
      </w:r>
      <w:r>
        <w:rPr>
          <w:rStyle w:val="FootnoteReference"/>
        </w:rPr>
        <w:footnoteReference w:id="31"/>
      </w:r>
      <w:r w:rsidR="00DF2683">
        <w:t xml:space="preserve"> </w:t>
      </w:r>
      <w:r w:rsidR="00076781">
        <w:t xml:space="preserve">  Th</w:t>
      </w:r>
      <w:r w:rsidR="00DF2683">
        <w:t xml:space="preserve">is </w:t>
      </w:r>
      <w:r w:rsidR="00076781">
        <w:t xml:space="preserve">price is </w:t>
      </w:r>
      <w:r w:rsidR="00DF2683">
        <w:t>too low</w:t>
      </w:r>
      <w:r w:rsidR="00076781">
        <w:t xml:space="preserve"> and </w:t>
      </w:r>
      <w:r w:rsidR="00AD4718">
        <w:t xml:space="preserve">fails to </w:t>
      </w:r>
      <w:r w:rsidR="00076781">
        <w:t>account for the recent increase in the annual dividend</w:t>
      </w:r>
      <w:r w:rsidR="005759E2">
        <w:t xml:space="preserve"> and the continued price appreciation of Avista Corporation’s stock</w:t>
      </w:r>
      <w:r w:rsidR="00FD2AAC">
        <w:t>.</w:t>
      </w:r>
      <w:r w:rsidR="00DF2683" w:rsidDel="00DF2683">
        <w:t xml:space="preserve"> </w:t>
      </w:r>
      <w:r w:rsidR="00DF2683">
        <w:t xml:space="preserve"> </w:t>
      </w:r>
      <w:r w:rsidR="00FD2AAC">
        <w:rPr>
          <w:i/>
        </w:rPr>
        <w:t xml:space="preserve">Morningstar </w:t>
      </w:r>
      <w:r w:rsidR="00FD2AAC" w:rsidRPr="000325EE">
        <w:t>is another</w:t>
      </w:r>
      <w:r w:rsidR="00FD2AAC">
        <w:rPr>
          <w:i/>
        </w:rPr>
        <w:t xml:space="preserve"> </w:t>
      </w:r>
      <w:r w:rsidR="00EB0AF8">
        <w:t>source of</w:t>
      </w:r>
      <w:r w:rsidR="00DF2683">
        <w:t xml:space="preserve"> data</w:t>
      </w:r>
      <w:r w:rsidR="00FD2AAC">
        <w:t xml:space="preserve"> investors use.</w:t>
      </w:r>
      <w:r w:rsidR="00FD2AAC">
        <w:rPr>
          <w:i/>
        </w:rPr>
        <w:t>.</w:t>
      </w:r>
      <w:r w:rsidR="00CE2E99">
        <w:rPr>
          <w:rStyle w:val="FootnoteReference"/>
        </w:rPr>
        <w:footnoteReference w:id="32"/>
      </w:r>
      <w:r w:rsidR="002A6793">
        <w:rPr>
          <w:i/>
        </w:rPr>
        <w:t xml:space="preserve"> </w:t>
      </w:r>
      <w:r w:rsidR="00EB0AF8">
        <w:rPr>
          <w:i/>
        </w:rPr>
        <w:t xml:space="preserve"> </w:t>
      </w:r>
      <w:r w:rsidR="00FD2AAC">
        <w:rPr>
          <w:i/>
        </w:rPr>
        <w:t xml:space="preserve">Morningstar </w:t>
      </w:r>
      <w:r w:rsidR="00CE2E99">
        <w:t>shows an</w:t>
      </w:r>
      <w:r w:rsidR="007A7E0E">
        <w:t xml:space="preserve"> </w:t>
      </w:r>
      <w:r w:rsidR="00C3403E">
        <w:t xml:space="preserve">expected </w:t>
      </w:r>
      <w:r w:rsidR="003A7A0A">
        <w:t xml:space="preserve">(forward) </w:t>
      </w:r>
      <w:r w:rsidR="00C3403E">
        <w:t xml:space="preserve">dividend yield </w:t>
      </w:r>
      <w:r w:rsidR="00CE2E99">
        <w:t>of</w:t>
      </w:r>
      <w:r w:rsidR="00C3403E">
        <w:t xml:space="preserve"> </w:t>
      </w:r>
      <w:r w:rsidR="002A6793">
        <w:t>3</w:t>
      </w:r>
      <w:r w:rsidR="005759E2">
        <w:t>.9</w:t>
      </w:r>
      <w:r w:rsidR="004A78E8">
        <w:t xml:space="preserve"> percent</w:t>
      </w:r>
      <w:r w:rsidR="008B371C">
        <w:t xml:space="preserve"> for Avista Corporation.  </w:t>
      </w:r>
      <w:r w:rsidR="00CE2E99">
        <w:t xml:space="preserve"> </w:t>
      </w:r>
    </w:p>
    <w:p w14:paraId="34EA9B2E" w14:textId="77777777" w:rsidR="00076781" w:rsidRDefault="00076781" w:rsidP="002A6793">
      <w:pPr>
        <w:tabs>
          <w:tab w:val="left" w:pos="720"/>
          <w:tab w:val="left" w:pos="1440"/>
          <w:tab w:val="left" w:pos="2160"/>
          <w:tab w:val="left" w:pos="9240"/>
        </w:tabs>
        <w:spacing w:line="480" w:lineRule="auto"/>
        <w:ind w:left="720"/>
      </w:pPr>
    </w:p>
    <w:p w14:paraId="34EA9B2F" w14:textId="77777777" w:rsidR="00076781" w:rsidRDefault="00076781" w:rsidP="008D6576">
      <w:pPr>
        <w:tabs>
          <w:tab w:val="left" w:pos="720"/>
          <w:tab w:val="left" w:pos="1440"/>
          <w:tab w:val="left" w:pos="2160"/>
          <w:tab w:val="left" w:pos="9240"/>
        </w:tabs>
        <w:spacing w:line="480" w:lineRule="auto"/>
        <w:ind w:left="720" w:hanging="720"/>
        <w:rPr>
          <w:b/>
        </w:rPr>
      </w:pPr>
      <w:r>
        <w:rPr>
          <w:b/>
        </w:rPr>
        <w:t>Q.</w:t>
      </w:r>
      <w:r>
        <w:rPr>
          <w:b/>
        </w:rPr>
        <w:tab/>
        <w:t>What is your conclusion regarding a reasonable estimate of the dividend yield</w:t>
      </w:r>
      <w:r w:rsidR="00AD4718">
        <w:rPr>
          <w:b/>
        </w:rPr>
        <w:t xml:space="preserve"> for Avista Corporation?</w:t>
      </w:r>
    </w:p>
    <w:p w14:paraId="34EA9B30" w14:textId="77777777" w:rsidR="00CE2E99" w:rsidRPr="00076781" w:rsidRDefault="00076781" w:rsidP="00076781">
      <w:pPr>
        <w:tabs>
          <w:tab w:val="left" w:pos="720"/>
          <w:tab w:val="left" w:pos="1440"/>
          <w:tab w:val="left" w:pos="2160"/>
          <w:tab w:val="left" w:pos="9240"/>
        </w:tabs>
        <w:spacing w:line="480" w:lineRule="auto"/>
        <w:ind w:left="720" w:hanging="720"/>
        <w:rPr>
          <w:b/>
        </w:rPr>
      </w:pPr>
      <w:r>
        <w:t>A.</w:t>
      </w:r>
      <w:r w:rsidR="00DF2683">
        <w:tab/>
      </w:r>
      <w:r w:rsidR="00AD4718">
        <w:t xml:space="preserve">Based on the information I just described, a </w:t>
      </w:r>
      <w:r w:rsidR="00DF2683">
        <w:t xml:space="preserve">reasonable expectation for dividend yield is </w:t>
      </w:r>
      <w:r w:rsidR="00415AA1">
        <w:t xml:space="preserve">in the range of </w:t>
      </w:r>
      <w:r w:rsidR="005759E2">
        <w:t xml:space="preserve">3.9 to </w:t>
      </w:r>
      <w:r w:rsidR="00DF2683">
        <w:t>4.</w:t>
      </w:r>
      <w:r w:rsidR="00415AA1">
        <w:t>2</w:t>
      </w:r>
      <w:r w:rsidR="00DF2683">
        <w:t xml:space="preserve"> </w:t>
      </w:r>
      <w:r w:rsidR="00415AA1">
        <w:t xml:space="preserve"> </w:t>
      </w:r>
      <w:r w:rsidR="00DF2683">
        <w:t>percent.</w:t>
      </w:r>
      <w:r w:rsidR="00CD244A">
        <w:t xml:space="preserve">  </w:t>
      </w:r>
    </w:p>
    <w:p w14:paraId="34EA9B31" w14:textId="77777777" w:rsidR="001A2EA1" w:rsidRDefault="001A2EA1" w:rsidP="0066532D">
      <w:pPr>
        <w:tabs>
          <w:tab w:val="left" w:pos="720"/>
          <w:tab w:val="left" w:pos="1440"/>
          <w:tab w:val="left" w:pos="9240"/>
        </w:tabs>
        <w:spacing w:line="480" w:lineRule="auto"/>
        <w:ind w:left="720" w:hanging="720"/>
        <w:rPr>
          <w:b/>
        </w:rPr>
      </w:pPr>
    </w:p>
    <w:p w14:paraId="34EA9B32" w14:textId="77777777" w:rsidR="0059011B" w:rsidRDefault="0059011B" w:rsidP="003839D0">
      <w:pPr>
        <w:pStyle w:val="ListParagraph"/>
        <w:keepNext/>
        <w:numPr>
          <w:ilvl w:val="0"/>
          <w:numId w:val="28"/>
        </w:numPr>
        <w:spacing w:line="480" w:lineRule="auto"/>
        <w:ind w:left="2160" w:hanging="720"/>
        <w:rPr>
          <w:b/>
        </w:rPr>
      </w:pPr>
      <w:r>
        <w:rPr>
          <w:b/>
        </w:rPr>
        <w:t>Dividend Growth</w:t>
      </w:r>
    </w:p>
    <w:p w14:paraId="34EA9B33" w14:textId="77777777" w:rsidR="003839D0" w:rsidRPr="003839D0" w:rsidRDefault="003839D0" w:rsidP="003839D0">
      <w:pPr>
        <w:keepNext/>
        <w:spacing w:line="480" w:lineRule="auto"/>
        <w:rPr>
          <w:b/>
        </w:rPr>
      </w:pPr>
    </w:p>
    <w:p w14:paraId="34EA9B34" w14:textId="77777777" w:rsidR="0066532D" w:rsidRPr="007C6D8B" w:rsidRDefault="00997AD4" w:rsidP="0066532D">
      <w:pPr>
        <w:tabs>
          <w:tab w:val="left" w:pos="720"/>
          <w:tab w:val="left" w:pos="1440"/>
          <w:tab w:val="left" w:pos="9240"/>
        </w:tabs>
        <w:spacing w:line="480" w:lineRule="auto"/>
        <w:ind w:left="720" w:hanging="720"/>
        <w:rPr>
          <w:b/>
        </w:rPr>
      </w:pPr>
      <w:r>
        <w:rPr>
          <w:b/>
        </w:rPr>
        <w:t>Q.</w:t>
      </w:r>
      <w:r>
        <w:rPr>
          <w:b/>
        </w:rPr>
        <w:tab/>
      </w:r>
      <w:r w:rsidR="004B7BDD">
        <w:rPr>
          <w:b/>
        </w:rPr>
        <w:t xml:space="preserve">Turning to dividend growth, </w:t>
      </w:r>
      <w:r w:rsidR="0066532D">
        <w:rPr>
          <w:b/>
        </w:rPr>
        <w:t>please summarize the relevant data</w:t>
      </w:r>
      <w:r w:rsidR="002C5FDC">
        <w:rPr>
          <w:b/>
        </w:rPr>
        <w:t xml:space="preserve"> you </w:t>
      </w:r>
      <w:r w:rsidR="0066532D">
        <w:rPr>
          <w:b/>
        </w:rPr>
        <w:t>rely upon to determine a sustainable long-term growth in dividends</w:t>
      </w:r>
      <w:r w:rsidR="006B4096">
        <w:rPr>
          <w:b/>
        </w:rPr>
        <w:t xml:space="preserve"> for Avista Corporation.</w:t>
      </w:r>
    </w:p>
    <w:p w14:paraId="34EA9B35" w14:textId="77777777" w:rsidR="006B4096" w:rsidRDefault="0066532D" w:rsidP="0066532D">
      <w:pPr>
        <w:tabs>
          <w:tab w:val="left" w:pos="720"/>
          <w:tab w:val="left" w:pos="1440"/>
          <w:tab w:val="left" w:pos="9240"/>
        </w:tabs>
        <w:spacing w:line="480" w:lineRule="auto"/>
        <w:ind w:left="720" w:hanging="720"/>
      </w:pPr>
      <w:r>
        <w:t>A.</w:t>
      </w:r>
      <w:r>
        <w:tab/>
      </w:r>
      <w:r w:rsidR="006B4096">
        <w:t>As I explained earlier, the most important financial indicators of long</w:t>
      </w:r>
      <w:r w:rsidR="008C7271">
        <w:t>-</w:t>
      </w:r>
      <w:r w:rsidR="006B4096">
        <w:t xml:space="preserve">term dividend growth are growth in book value per share and </w:t>
      </w:r>
      <w:r w:rsidR="006045FA">
        <w:t xml:space="preserve">internal </w:t>
      </w:r>
      <w:r w:rsidR="006B4096">
        <w:t>growth.  Accordingly, these factors weigh most heavily in my analysis.  I also examine the grow</w:t>
      </w:r>
      <w:r w:rsidR="00151DE4">
        <w:t>th rates in dividends</w:t>
      </w:r>
      <w:r w:rsidR="006B4096">
        <w:t xml:space="preserve"> and earnings per share.</w:t>
      </w:r>
    </w:p>
    <w:p w14:paraId="34EA9B36" w14:textId="77777777" w:rsidR="006B4096" w:rsidRDefault="006B4096" w:rsidP="0066532D">
      <w:pPr>
        <w:tabs>
          <w:tab w:val="left" w:pos="720"/>
          <w:tab w:val="left" w:pos="1440"/>
          <w:tab w:val="left" w:pos="9240"/>
        </w:tabs>
        <w:spacing w:line="480" w:lineRule="auto"/>
        <w:ind w:left="720" w:hanging="720"/>
      </w:pPr>
    </w:p>
    <w:p w14:paraId="34EA9B37" w14:textId="77777777" w:rsidR="006B4096" w:rsidRDefault="006B4096" w:rsidP="006B4096">
      <w:pPr>
        <w:tabs>
          <w:tab w:val="left" w:pos="720"/>
          <w:tab w:val="left" w:pos="1440"/>
          <w:tab w:val="left" w:pos="9240"/>
        </w:tabs>
        <w:spacing w:line="480" w:lineRule="auto"/>
        <w:ind w:left="720" w:hanging="720"/>
        <w:rPr>
          <w:b/>
        </w:rPr>
      </w:pPr>
      <w:r>
        <w:rPr>
          <w:b/>
        </w:rPr>
        <w:lastRenderedPageBreak/>
        <w:t>Q.</w:t>
      </w:r>
      <w:r>
        <w:rPr>
          <w:b/>
        </w:rPr>
        <w:tab/>
        <w:t xml:space="preserve">What does </w:t>
      </w:r>
      <w:r w:rsidRPr="00DD5A46">
        <w:rPr>
          <w:b/>
          <w:i/>
        </w:rPr>
        <w:t>Value Line</w:t>
      </w:r>
      <w:r>
        <w:rPr>
          <w:b/>
        </w:rPr>
        <w:t xml:space="preserve"> indicate is the expected growth rate </w:t>
      </w:r>
      <w:r w:rsidR="002301AD">
        <w:rPr>
          <w:b/>
        </w:rPr>
        <w:t xml:space="preserve">in book value per share </w:t>
      </w:r>
      <w:r>
        <w:rPr>
          <w:b/>
        </w:rPr>
        <w:t>for Avista Corporation?</w:t>
      </w:r>
    </w:p>
    <w:p w14:paraId="34EA9B38" w14:textId="77777777" w:rsidR="006B4096" w:rsidRDefault="006B4096" w:rsidP="006B4096">
      <w:pPr>
        <w:tabs>
          <w:tab w:val="left" w:pos="720"/>
          <w:tab w:val="left" w:pos="1440"/>
          <w:tab w:val="left" w:pos="9240"/>
        </w:tabs>
        <w:spacing w:line="480" w:lineRule="auto"/>
        <w:ind w:left="720" w:hanging="720"/>
      </w:pPr>
      <w:r>
        <w:t>A.</w:t>
      </w:r>
      <w:r>
        <w:tab/>
      </w:r>
      <w:r w:rsidR="00DF2683">
        <w:rPr>
          <w:i/>
        </w:rPr>
        <w:t xml:space="preserve">Value Line </w:t>
      </w:r>
      <w:r w:rsidR="004A78E8">
        <w:t xml:space="preserve">indicates </w:t>
      </w:r>
      <w:r w:rsidR="00DD2C59">
        <w:t>a</w:t>
      </w:r>
      <w:r w:rsidR="004A78E8">
        <w:t xml:space="preserve"> historical rate of growth </w:t>
      </w:r>
      <w:r w:rsidR="002301AD">
        <w:t xml:space="preserve">in book value per share </w:t>
      </w:r>
      <w:r w:rsidR="00DD2C59">
        <w:t>of</w:t>
      </w:r>
      <w:r w:rsidR="004A78E8">
        <w:t xml:space="preserve"> 4.0</w:t>
      </w:r>
      <w:r w:rsidR="00C60AD0">
        <w:t xml:space="preserve"> percent</w:t>
      </w:r>
      <w:r w:rsidR="00B31865">
        <w:t xml:space="preserve"> over the past five-year </w:t>
      </w:r>
      <w:r w:rsidR="00925156">
        <w:t>period and</w:t>
      </w:r>
      <w:r w:rsidR="00DD2C59">
        <w:t xml:space="preserve"> 3.0 </w:t>
      </w:r>
      <w:r w:rsidR="00925156">
        <w:t>percent, for</w:t>
      </w:r>
      <w:r>
        <w:t xml:space="preserve"> the p</w:t>
      </w:r>
      <w:r w:rsidR="00DD2C59">
        <w:t>ast ten year period</w:t>
      </w:r>
      <w:r w:rsidR="00B31865">
        <w:t>.</w:t>
      </w:r>
      <w:r w:rsidR="00A43F50">
        <w:t xml:space="preserve">  It also shows expected </w:t>
      </w:r>
      <w:r w:rsidR="00116398">
        <w:t xml:space="preserve">growth in book value </w:t>
      </w:r>
      <w:r w:rsidR="00DF2683">
        <w:t>of 4.0 percent for 2016-</w:t>
      </w:r>
      <w:r w:rsidR="00FC238F">
        <w:t>2018.</w:t>
      </w:r>
    </w:p>
    <w:p w14:paraId="34EA9B39" w14:textId="77777777" w:rsidR="006B4096" w:rsidRDefault="006B4096" w:rsidP="006B4096">
      <w:pPr>
        <w:tabs>
          <w:tab w:val="left" w:pos="720"/>
          <w:tab w:val="left" w:pos="1440"/>
          <w:tab w:val="left" w:pos="9240"/>
        </w:tabs>
        <w:spacing w:line="480" w:lineRule="auto"/>
        <w:ind w:left="720" w:hanging="720"/>
      </w:pPr>
    </w:p>
    <w:p w14:paraId="34EA9B3A" w14:textId="77777777" w:rsidR="006B4096" w:rsidRDefault="006B4096" w:rsidP="006B4096">
      <w:pPr>
        <w:tabs>
          <w:tab w:val="left" w:pos="720"/>
          <w:tab w:val="left" w:pos="1440"/>
          <w:tab w:val="left" w:pos="9240"/>
        </w:tabs>
        <w:spacing w:line="480" w:lineRule="auto"/>
        <w:ind w:left="720" w:hanging="720"/>
        <w:rPr>
          <w:b/>
        </w:rPr>
      </w:pPr>
      <w:r>
        <w:rPr>
          <w:b/>
        </w:rPr>
        <w:t>Q.</w:t>
      </w:r>
      <w:r>
        <w:rPr>
          <w:b/>
        </w:rPr>
        <w:tab/>
        <w:t>How would a rational investor evaluate this data</w:t>
      </w:r>
      <w:r w:rsidR="00C11FA8">
        <w:rPr>
          <w:b/>
        </w:rPr>
        <w:t xml:space="preserve"> for Avista Corporation</w:t>
      </w:r>
      <w:r>
        <w:rPr>
          <w:b/>
        </w:rPr>
        <w:t>?</w:t>
      </w:r>
    </w:p>
    <w:p w14:paraId="34EA9B3B" w14:textId="17BB9922" w:rsidR="006B4096" w:rsidRDefault="006B4096" w:rsidP="00490DB1">
      <w:pPr>
        <w:tabs>
          <w:tab w:val="left" w:pos="720"/>
          <w:tab w:val="left" w:pos="1440"/>
          <w:tab w:val="left" w:pos="9240"/>
        </w:tabs>
        <w:spacing w:line="480" w:lineRule="auto"/>
        <w:ind w:left="720" w:hanging="720"/>
      </w:pPr>
      <w:r>
        <w:t>A.</w:t>
      </w:r>
      <w:r>
        <w:tab/>
      </w:r>
      <w:r w:rsidR="00981B1F">
        <w:t>I</w:t>
      </w:r>
      <w:r w:rsidR="001A2EA1">
        <w:t>nvestor</w:t>
      </w:r>
      <w:r w:rsidR="00981B1F">
        <w:t>s</w:t>
      </w:r>
      <w:r w:rsidR="001A2EA1">
        <w:t xml:space="preserve"> </w:t>
      </w:r>
      <w:r w:rsidR="00BC54BA">
        <w:t>expect</w:t>
      </w:r>
      <w:r>
        <w:t xml:space="preserve"> </w:t>
      </w:r>
      <w:r w:rsidR="00BC54BA">
        <w:t xml:space="preserve">Avista Corporation to increase </w:t>
      </w:r>
      <w:r w:rsidR="00DD2C59">
        <w:t>its</w:t>
      </w:r>
      <w:r>
        <w:t xml:space="preserve"> </w:t>
      </w:r>
      <w:r w:rsidR="008E09E5">
        <w:t xml:space="preserve">capital </w:t>
      </w:r>
      <w:r w:rsidR="004745A8">
        <w:t>expenditures</w:t>
      </w:r>
      <w:r w:rsidR="008E09E5">
        <w:t xml:space="preserve"> </w:t>
      </w:r>
      <w:r>
        <w:t>in the next few years</w:t>
      </w:r>
      <w:r w:rsidR="00DD2C59">
        <w:t xml:space="preserve"> to over $300 million</w:t>
      </w:r>
      <w:r w:rsidR="00DF2683">
        <w:t xml:space="preserve"> annually</w:t>
      </w:r>
      <w:r w:rsidR="001A2EA1">
        <w:t>.</w:t>
      </w:r>
      <w:r w:rsidR="001D366D">
        <w:rPr>
          <w:rStyle w:val="FootnoteReference"/>
        </w:rPr>
        <w:footnoteReference w:id="33"/>
      </w:r>
      <w:r w:rsidR="001A2EA1">
        <w:t xml:space="preserve">  </w:t>
      </w:r>
      <w:r>
        <w:t xml:space="preserve">Therefore, investors </w:t>
      </w:r>
      <w:r w:rsidR="00151DE4">
        <w:t>can</w:t>
      </w:r>
      <w:r>
        <w:t xml:space="preserve"> expect the growth in book value to be </w:t>
      </w:r>
      <w:r w:rsidR="006933A0">
        <w:t xml:space="preserve">more in line with recent experience </w:t>
      </w:r>
      <w:r w:rsidR="00C54952">
        <w:t xml:space="preserve">at </w:t>
      </w:r>
      <w:r w:rsidR="00FC238F">
        <w:t>4.0 percent.</w:t>
      </w:r>
    </w:p>
    <w:p w14:paraId="34EA9B3C" w14:textId="77777777" w:rsidR="008A180F" w:rsidRDefault="008A180F" w:rsidP="006B4096">
      <w:pPr>
        <w:tabs>
          <w:tab w:val="left" w:pos="720"/>
          <w:tab w:val="left" w:pos="1440"/>
          <w:tab w:val="left" w:pos="9240"/>
        </w:tabs>
        <w:spacing w:line="480" w:lineRule="auto"/>
        <w:ind w:left="720" w:hanging="720"/>
      </w:pPr>
    </w:p>
    <w:p w14:paraId="34EA9B3D" w14:textId="77777777" w:rsidR="00741014" w:rsidRPr="00FE573C" w:rsidRDefault="00741014" w:rsidP="00741014">
      <w:pPr>
        <w:tabs>
          <w:tab w:val="left" w:pos="720"/>
          <w:tab w:val="left" w:pos="1440"/>
          <w:tab w:val="left" w:pos="9240"/>
        </w:tabs>
        <w:spacing w:line="480" w:lineRule="auto"/>
        <w:ind w:left="720" w:hanging="720"/>
        <w:rPr>
          <w:b/>
        </w:rPr>
      </w:pPr>
      <w:r>
        <w:rPr>
          <w:b/>
        </w:rPr>
        <w:t>Q.</w:t>
      </w:r>
      <w:r>
        <w:rPr>
          <w:b/>
        </w:rPr>
        <w:tab/>
        <w:t xml:space="preserve">What does the </w:t>
      </w:r>
      <w:r w:rsidRPr="00FE573C">
        <w:rPr>
          <w:b/>
          <w:i/>
        </w:rPr>
        <w:t>Value Line</w:t>
      </w:r>
      <w:r>
        <w:rPr>
          <w:b/>
        </w:rPr>
        <w:t xml:space="preserve"> data show </w:t>
      </w:r>
      <w:r w:rsidR="00DF2683">
        <w:rPr>
          <w:b/>
        </w:rPr>
        <w:t xml:space="preserve">for </w:t>
      </w:r>
      <w:r>
        <w:rPr>
          <w:b/>
        </w:rPr>
        <w:t xml:space="preserve">anticipated </w:t>
      </w:r>
      <w:r w:rsidR="00C635C3">
        <w:rPr>
          <w:b/>
        </w:rPr>
        <w:t xml:space="preserve">internal </w:t>
      </w:r>
      <w:r>
        <w:rPr>
          <w:b/>
        </w:rPr>
        <w:t>growth for Avista Corporation?</w:t>
      </w:r>
    </w:p>
    <w:p w14:paraId="34EA9B3E" w14:textId="793E3BA5" w:rsidR="00076781" w:rsidRDefault="00741014" w:rsidP="00616C6D">
      <w:pPr>
        <w:tabs>
          <w:tab w:val="left" w:pos="720"/>
          <w:tab w:val="left" w:pos="1440"/>
          <w:tab w:val="left" w:pos="9240"/>
        </w:tabs>
        <w:spacing w:line="480" w:lineRule="auto"/>
        <w:ind w:left="720" w:hanging="720"/>
      </w:pPr>
      <w:r>
        <w:t>A.</w:t>
      </w:r>
      <w:r>
        <w:tab/>
      </w:r>
      <w:r w:rsidR="00803E09">
        <w:t>If</w:t>
      </w:r>
      <w:r w:rsidR="003F4535">
        <w:t xml:space="preserve"> </w:t>
      </w:r>
      <w:r w:rsidR="00C11FA8">
        <w:t>Avista Corporation’s</w:t>
      </w:r>
      <w:r w:rsidR="003F4535">
        <w:t xml:space="preserve"> </w:t>
      </w:r>
      <w:r w:rsidR="00D46EE9">
        <w:t xml:space="preserve">retention ratio is 40 percent and the expected earned return on book </w:t>
      </w:r>
      <w:r w:rsidR="000B1C42">
        <w:t>8.5</w:t>
      </w:r>
      <w:r w:rsidR="00D46EE9">
        <w:t xml:space="preserve"> percent</w:t>
      </w:r>
      <w:r w:rsidR="005C2F28">
        <w:t xml:space="preserve">, </w:t>
      </w:r>
      <w:r w:rsidR="00803E09">
        <w:t xml:space="preserve">this </w:t>
      </w:r>
      <w:r w:rsidR="008A6B0B">
        <w:t xml:space="preserve">indicates </w:t>
      </w:r>
      <w:r w:rsidR="00C635C3">
        <w:t>internal</w:t>
      </w:r>
      <w:r w:rsidR="006045FA">
        <w:t xml:space="preserve"> </w:t>
      </w:r>
      <w:r>
        <w:t xml:space="preserve">growth </w:t>
      </w:r>
      <w:r w:rsidR="008A6B0B">
        <w:t>of</w:t>
      </w:r>
      <w:r w:rsidR="002301AD">
        <w:t xml:space="preserve"> </w:t>
      </w:r>
      <w:r w:rsidR="000B1C42">
        <w:t>3.4</w:t>
      </w:r>
      <w:r>
        <w:t xml:space="preserve"> percent</w:t>
      </w:r>
      <w:r w:rsidR="001646F9">
        <w:t>.</w:t>
      </w:r>
      <w:r w:rsidR="00C024AB">
        <w:rPr>
          <w:rStyle w:val="FootnoteReference"/>
        </w:rPr>
        <w:footnoteReference w:id="34"/>
      </w:r>
      <w:r w:rsidR="00C024AB">
        <w:t xml:space="preserve"> </w:t>
      </w:r>
      <w:r w:rsidR="00895C85">
        <w:t xml:space="preserve"> </w:t>
      </w:r>
      <w:r w:rsidR="00053D68">
        <w:t>Mr. McKenzie shows internal growth for Avista Corporation of less than 3 percent.</w:t>
      </w:r>
      <w:r w:rsidR="00053D68">
        <w:rPr>
          <w:rStyle w:val="FootnoteReference"/>
        </w:rPr>
        <w:footnoteReference w:id="35"/>
      </w:r>
      <w:r w:rsidR="00053D68">
        <w:t xml:space="preserve">  </w:t>
      </w:r>
      <w:r w:rsidR="005C2F28">
        <w:t xml:space="preserve">Internal growth in the range of 3.0 to 3.4 percent is also </w:t>
      </w:r>
      <w:r w:rsidR="00FC238F">
        <w:t>supported by the dat</w:t>
      </w:r>
      <w:r w:rsidR="00151DE4">
        <w:t>a</w:t>
      </w:r>
      <w:r w:rsidR="00FC238F">
        <w:t xml:space="preserve"> showing the estimated growth in book value.</w:t>
      </w:r>
      <w:r w:rsidR="005C2F28">
        <w:t xml:space="preserve">  This is a reasonable </w:t>
      </w:r>
      <w:r w:rsidR="00076781">
        <w:t>estimate</w:t>
      </w:r>
      <w:r w:rsidR="005C2F28">
        <w:t xml:space="preserve"> because, for example, </w:t>
      </w:r>
      <w:r w:rsidR="00A56A02">
        <w:t>an</w:t>
      </w:r>
      <w:r w:rsidR="0012606D">
        <w:t xml:space="preserve"> investor</w:t>
      </w:r>
      <w:r w:rsidR="00D46EE9">
        <w:t xml:space="preserve"> </w:t>
      </w:r>
      <w:r w:rsidR="0012606D">
        <w:t xml:space="preserve">expecting </w:t>
      </w:r>
      <w:r w:rsidR="00D46EE9">
        <w:t xml:space="preserve">Avista </w:t>
      </w:r>
      <w:r w:rsidR="00151DE4">
        <w:t xml:space="preserve">Corporation </w:t>
      </w:r>
      <w:r w:rsidR="00D46EE9">
        <w:t xml:space="preserve">to achieve sustainable long-term growth of </w:t>
      </w:r>
      <w:r>
        <w:t>4.0 percent</w:t>
      </w:r>
      <w:r w:rsidR="0012606D">
        <w:t xml:space="preserve"> </w:t>
      </w:r>
      <w:r w:rsidR="00C3403E">
        <w:t xml:space="preserve">would need to </w:t>
      </w:r>
      <w:r w:rsidR="0012606D">
        <w:t>see</w:t>
      </w:r>
      <w:r w:rsidR="00D46EE9">
        <w:t xml:space="preserve"> an earned return on book equity </w:t>
      </w:r>
      <w:r w:rsidR="00EA5B28">
        <w:t>increase to</w:t>
      </w:r>
      <w:r w:rsidR="00D46EE9">
        <w:t xml:space="preserve"> 10.00 percent.</w:t>
      </w:r>
      <w:r w:rsidR="00CB745A">
        <w:rPr>
          <w:rStyle w:val="FootnoteReference"/>
        </w:rPr>
        <w:footnoteReference w:id="36"/>
      </w:r>
      <w:r w:rsidR="00E25B05">
        <w:t xml:space="preserve"> </w:t>
      </w:r>
      <w:r w:rsidR="00C11FA8">
        <w:t xml:space="preserve"> </w:t>
      </w:r>
      <w:r w:rsidR="00076781">
        <w:t>A similar calculation can be made to show why a</w:t>
      </w:r>
      <w:r w:rsidR="00D23924">
        <w:t>n estimate of</w:t>
      </w:r>
      <w:r w:rsidR="00076781">
        <w:t xml:space="preserve"> 5.0 percent </w:t>
      </w:r>
      <w:r w:rsidR="00076781">
        <w:lastRenderedPageBreak/>
        <w:t xml:space="preserve">growth is </w:t>
      </w:r>
      <w:r w:rsidR="00925156">
        <w:t>unreasonable: it</w:t>
      </w:r>
      <w:r w:rsidR="00076781">
        <w:t xml:space="preserve"> implies a 12.5 percent earned return on book equity.</w:t>
      </w:r>
      <w:r w:rsidR="00076781">
        <w:rPr>
          <w:rStyle w:val="FootnoteReference"/>
        </w:rPr>
        <w:footnoteReference w:id="37"/>
      </w:r>
      <w:r w:rsidR="00076781">
        <w:t xml:space="preserve">  Such a high return on book is not realistic. </w:t>
      </w:r>
    </w:p>
    <w:p w14:paraId="34EA9B3F" w14:textId="77777777" w:rsidR="00060719" w:rsidRDefault="00AD6A76" w:rsidP="00D46EE9">
      <w:pPr>
        <w:tabs>
          <w:tab w:val="left" w:pos="720"/>
          <w:tab w:val="left" w:pos="1440"/>
          <w:tab w:val="left" w:pos="9240"/>
        </w:tabs>
        <w:spacing w:line="480" w:lineRule="auto"/>
        <w:ind w:left="720" w:hanging="720"/>
      </w:pPr>
      <w:r>
        <w:tab/>
      </w:r>
      <w:r w:rsidR="00616C6D">
        <w:tab/>
        <w:t>To conclude, this</w:t>
      </w:r>
      <w:r w:rsidR="00060719">
        <w:t xml:space="preserve"> </w:t>
      </w:r>
      <w:r w:rsidR="005C2F28">
        <w:t>data</w:t>
      </w:r>
      <w:r w:rsidR="00060719">
        <w:t xml:space="preserve"> </w:t>
      </w:r>
      <w:r w:rsidR="000B1C42">
        <w:t xml:space="preserve">show </w:t>
      </w:r>
      <w:r w:rsidR="00B31865">
        <w:t>that</w:t>
      </w:r>
      <w:r w:rsidR="002C5FDC">
        <w:t>,</w:t>
      </w:r>
      <w:r w:rsidR="00B31865">
        <w:t xml:space="preserve"> </w:t>
      </w:r>
      <w:r w:rsidR="00FC238F">
        <w:t>at most</w:t>
      </w:r>
      <w:r w:rsidR="002C5FDC">
        <w:t>,</w:t>
      </w:r>
      <w:r w:rsidR="000B1C42">
        <w:t xml:space="preserve"> a 4.0 percent growth rate fr</w:t>
      </w:r>
      <w:r w:rsidR="00EB0AF8">
        <w:t>o</w:t>
      </w:r>
      <w:r w:rsidR="000B1C42">
        <w:t>m retained earnings is reasonable</w:t>
      </w:r>
      <w:r w:rsidR="00BC54BA">
        <w:t>, assuming Avista Corporation is able to increase its</w:t>
      </w:r>
      <w:r w:rsidR="005C2F28">
        <w:t xml:space="preserve"> </w:t>
      </w:r>
      <w:r w:rsidR="00076781">
        <w:t>earned return on book</w:t>
      </w:r>
      <w:r w:rsidR="00751FDD">
        <w:t xml:space="preserve"> in the future</w:t>
      </w:r>
      <w:r w:rsidR="00616C6D">
        <w:t>.</w:t>
      </w:r>
      <w:r w:rsidR="003839D0">
        <w:t xml:space="preserve">  </w:t>
      </w:r>
    </w:p>
    <w:p w14:paraId="34EA9B40" w14:textId="77777777" w:rsidR="0066532D" w:rsidRDefault="0066532D" w:rsidP="0066532D">
      <w:pPr>
        <w:tabs>
          <w:tab w:val="left" w:pos="720"/>
          <w:tab w:val="left" w:pos="1440"/>
          <w:tab w:val="left" w:pos="9240"/>
        </w:tabs>
        <w:spacing w:line="480" w:lineRule="auto"/>
        <w:ind w:left="720" w:hanging="720"/>
      </w:pPr>
    </w:p>
    <w:p w14:paraId="34EA9B41" w14:textId="77777777" w:rsidR="00A15C8A" w:rsidRDefault="00A15C8A" w:rsidP="0066532D">
      <w:pPr>
        <w:tabs>
          <w:tab w:val="left" w:pos="720"/>
          <w:tab w:val="left" w:pos="1440"/>
          <w:tab w:val="left" w:pos="9240"/>
        </w:tabs>
        <w:spacing w:line="480" w:lineRule="auto"/>
        <w:ind w:left="720" w:hanging="720"/>
      </w:pPr>
      <w:r>
        <w:rPr>
          <w:b/>
        </w:rPr>
        <w:t>Q.</w:t>
      </w:r>
      <w:r>
        <w:rPr>
          <w:b/>
        </w:rPr>
        <w:tab/>
        <w:t xml:space="preserve">What does </w:t>
      </w:r>
      <w:r w:rsidRPr="00F77785">
        <w:rPr>
          <w:b/>
          <w:i/>
        </w:rPr>
        <w:t>Value Line</w:t>
      </w:r>
      <w:r>
        <w:rPr>
          <w:b/>
        </w:rPr>
        <w:t xml:space="preserve"> report for growth in dividends per share </w:t>
      </w:r>
      <w:r w:rsidR="001E061E">
        <w:rPr>
          <w:b/>
        </w:rPr>
        <w:t>for Avista Corporation</w:t>
      </w:r>
      <w:r>
        <w:rPr>
          <w:b/>
        </w:rPr>
        <w:t>?</w:t>
      </w:r>
    </w:p>
    <w:p w14:paraId="34EA9B42" w14:textId="58A44F9C" w:rsidR="004035F0" w:rsidRDefault="00A15C8A" w:rsidP="002C5FDC">
      <w:pPr>
        <w:spacing w:line="480" w:lineRule="auto"/>
        <w:ind w:left="720" w:hanging="720"/>
      </w:pPr>
      <w:r>
        <w:t>A.</w:t>
      </w:r>
      <w:r>
        <w:tab/>
      </w:r>
      <w:r w:rsidR="005C2F28">
        <w:rPr>
          <w:i/>
        </w:rPr>
        <w:t xml:space="preserve">Value Line </w:t>
      </w:r>
      <w:r w:rsidR="008F2FF0">
        <w:t xml:space="preserve">shows </w:t>
      </w:r>
      <w:r w:rsidR="00151DE4">
        <w:t>a</w:t>
      </w:r>
      <w:r w:rsidR="008F2FF0">
        <w:t xml:space="preserve"> dividend in 201</w:t>
      </w:r>
      <w:r w:rsidR="00DD2C59">
        <w:t>4 of $1.28</w:t>
      </w:r>
      <w:r w:rsidR="005C2F28">
        <w:t>,</w:t>
      </w:r>
      <w:r w:rsidR="008F2FF0">
        <w:t xml:space="preserve"> </w:t>
      </w:r>
      <w:r w:rsidR="003F4535">
        <w:t>increas</w:t>
      </w:r>
      <w:r w:rsidR="00D02E39">
        <w:t>ing</w:t>
      </w:r>
      <w:r w:rsidR="003F4535">
        <w:t xml:space="preserve"> to</w:t>
      </w:r>
      <w:r w:rsidR="00FB41A8">
        <w:t xml:space="preserve"> </w:t>
      </w:r>
      <w:r w:rsidR="00DD2C59">
        <w:t>$1.40 in 2016/2018</w:t>
      </w:r>
      <w:r w:rsidR="00BC54BA">
        <w:t xml:space="preserve">. </w:t>
      </w:r>
      <w:r w:rsidR="00244E07" w:rsidRPr="00F77785">
        <w:rPr>
          <w:i/>
        </w:rPr>
        <w:t>Value Line</w:t>
      </w:r>
      <w:r w:rsidR="00244E07">
        <w:t xml:space="preserve"> </w:t>
      </w:r>
      <w:r w:rsidR="00751FDD">
        <w:t xml:space="preserve">elsewhere </w:t>
      </w:r>
      <w:r w:rsidR="00616C6D">
        <w:t>states</w:t>
      </w:r>
      <w:r w:rsidR="00FE2E38">
        <w:t xml:space="preserve"> </w:t>
      </w:r>
      <w:r w:rsidR="00244E07">
        <w:t>dividend growth is expected</w:t>
      </w:r>
      <w:r w:rsidR="00363355">
        <w:t xml:space="preserve"> to increase</w:t>
      </w:r>
      <w:r w:rsidR="00FE2E38">
        <w:t xml:space="preserve"> </w:t>
      </w:r>
      <w:r w:rsidR="00244E07">
        <w:t>to</w:t>
      </w:r>
      <w:r w:rsidR="00FE2E38">
        <w:t xml:space="preserve"> 4.5 percent, </w:t>
      </w:r>
      <w:r w:rsidR="00616C6D">
        <w:t>but that</w:t>
      </w:r>
      <w:r w:rsidR="00FE2E38">
        <w:t xml:space="preserve"> implies an aggressive two year time line to achieve that metric.  </w:t>
      </w:r>
      <w:r w:rsidR="00DD2C59">
        <w:t>In other words</w:t>
      </w:r>
      <w:r w:rsidR="005C2F28">
        <w:t>,</w:t>
      </w:r>
      <w:r w:rsidR="00DD2C59">
        <w:t xml:space="preserve"> if Avista is able to increase its earned returns sufficiently to raise the dividend to $1.40</w:t>
      </w:r>
      <w:r w:rsidR="00244E07">
        <w:t xml:space="preserve"> </w:t>
      </w:r>
      <w:r w:rsidR="00DD2C59">
        <w:t>by 2016</w:t>
      </w:r>
      <w:r w:rsidR="005C2F28">
        <w:t>,</w:t>
      </w:r>
      <w:r w:rsidR="00DD2C59">
        <w:t xml:space="preserve"> a</w:t>
      </w:r>
      <w:r w:rsidR="0012606D">
        <w:t xml:space="preserve"> 4.</w:t>
      </w:r>
      <w:r w:rsidR="000146AC">
        <w:t>5</w:t>
      </w:r>
      <w:r w:rsidR="00DD2C59">
        <w:t xml:space="preserve"> percent growth rate is indicated</w:t>
      </w:r>
      <w:r w:rsidR="002C5FDC">
        <w:t>,</w:t>
      </w:r>
      <w:r w:rsidR="006933A0">
        <w:t>.  However, this growth rate</w:t>
      </w:r>
      <w:r w:rsidR="002C5FDC">
        <w:t xml:space="preserve"> </w:t>
      </w:r>
      <w:r w:rsidR="005C2F28">
        <w:t xml:space="preserve">represents </w:t>
      </w:r>
      <w:r w:rsidR="00FE2E38">
        <w:t>a best case scenario for investors</w:t>
      </w:r>
      <w:r w:rsidR="003839D0">
        <w:t xml:space="preserve">.  </w:t>
      </w:r>
      <w:r w:rsidR="0079045E">
        <w:t xml:space="preserve">Investors also realize that if dividends grow at this rate, it may be as a result of increasing the payout ratio.  If that is the case, it would not be sustainable.  Earned returns and earnings would have </w:t>
      </w:r>
      <w:r w:rsidR="00925156">
        <w:t>increase</w:t>
      </w:r>
      <w:r w:rsidR="0079045E">
        <w:t xml:space="preserve"> proportionately to sustain a 4.5 percent growth rate.</w:t>
      </w:r>
    </w:p>
    <w:p w14:paraId="34EA9B43" w14:textId="77777777" w:rsidR="004035F0" w:rsidRDefault="004035F0" w:rsidP="0066532D">
      <w:pPr>
        <w:tabs>
          <w:tab w:val="left" w:pos="720"/>
          <w:tab w:val="left" w:pos="1440"/>
          <w:tab w:val="left" w:pos="9240"/>
        </w:tabs>
        <w:spacing w:line="480" w:lineRule="auto"/>
        <w:ind w:left="720" w:hanging="720"/>
      </w:pPr>
    </w:p>
    <w:p w14:paraId="34EA9B44" w14:textId="77777777" w:rsidR="00D46EE9" w:rsidRDefault="00D46EE9" w:rsidP="00D46EE9">
      <w:pPr>
        <w:tabs>
          <w:tab w:val="left" w:pos="720"/>
          <w:tab w:val="left" w:pos="1440"/>
          <w:tab w:val="left" w:pos="9240"/>
        </w:tabs>
        <w:spacing w:line="480" w:lineRule="auto"/>
        <w:ind w:left="720" w:hanging="720"/>
      </w:pPr>
      <w:r>
        <w:rPr>
          <w:b/>
        </w:rPr>
        <w:t>Q.</w:t>
      </w:r>
      <w:r>
        <w:rPr>
          <w:b/>
        </w:rPr>
        <w:tab/>
        <w:t xml:space="preserve">What does </w:t>
      </w:r>
      <w:r w:rsidRPr="00F77785">
        <w:rPr>
          <w:b/>
          <w:i/>
        </w:rPr>
        <w:t>Value Line</w:t>
      </w:r>
      <w:r>
        <w:rPr>
          <w:b/>
        </w:rPr>
        <w:t xml:space="preserve"> report for growth in earnings per share for Avista Corporation?</w:t>
      </w:r>
    </w:p>
    <w:p w14:paraId="34EA9B45" w14:textId="77777777" w:rsidR="00FC07C7" w:rsidRDefault="00D46EE9" w:rsidP="008D6576">
      <w:pPr>
        <w:pStyle w:val="ListParagraph"/>
        <w:numPr>
          <w:ilvl w:val="0"/>
          <w:numId w:val="35"/>
        </w:numPr>
        <w:tabs>
          <w:tab w:val="left" w:pos="720"/>
          <w:tab w:val="left" w:pos="1440"/>
          <w:tab w:val="left" w:pos="9240"/>
        </w:tabs>
        <w:spacing w:line="480" w:lineRule="auto"/>
        <w:ind w:hanging="720"/>
      </w:pPr>
      <w:r w:rsidRPr="0012606D">
        <w:rPr>
          <w:i/>
        </w:rPr>
        <w:t xml:space="preserve">Value Line </w:t>
      </w:r>
      <w:r>
        <w:t>indicates Avista Corporation’s e</w:t>
      </w:r>
      <w:r w:rsidR="00DD2C59">
        <w:t>arnings will increase from $1.85</w:t>
      </w:r>
      <w:r>
        <w:t xml:space="preserve"> to $2.</w:t>
      </w:r>
      <w:r w:rsidR="00DD2C59">
        <w:t>00</w:t>
      </w:r>
      <w:r>
        <w:t xml:space="preserve"> per share </w:t>
      </w:r>
      <w:r w:rsidR="008A6B0B">
        <w:t>by</w:t>
      </w:r>
      <w:r>
        <w:t xml:space="preserve"> 201</w:t>
      </w:r>
      <w:r w:rsidR="00116398">
        <w:t>6/18</w:t>
      </w:r>
      <w:r>
        <w:t xml:space="preserve">, which represents an annual expected growth in earnings </w:t>
      </w:r>
      <w:r w:rsidR="00EA5B28">
        <w:t>between</w:t>
      </w:r>
      <w:r>
        <w:t xml:space="preserve"> </w:t>
      </w:r>
      <w:r w:rsidR="00116398">
        <w:t>2</w:t>
      </w:r>
      <w:r w:rsidR="004035F0">
        <w:t>.</w:t>
      </w:r>
      <w:r w:rsidR="00116398">
        <w:t>7</w:t>
      </w:r>
      <w:r w:rsidR="0089713A">
        <w:t>0</w:t>
      </w:r>
      <w:r w:rsidR="00116398">
        <w:t xml:space="preserve"> </w:t>
      </w:r>
      <w:r w:rsidR="00EA5B28">
        <w:t>and</w:t>
      </w:r>
      <w:r w:rsidR="00116398">
        <w:t xml:space="preserve"> 4.00</w:t>
      </w:r>
      <w:r>
        <w:t xml:space="preserve"> percent. </w:t>
      </w:r>
      <w:r w:rsidR="005F64B9">
        <w:t xml:space="preserve"> </w:t>
      </w:r>
      <w:r w:rsidR="000146AC">
        <w:t>Again</w:t>
      </w:r>
      <w:r w:rsidR="002C5FDC">
        <w:t>,</w:t>
      </w:r>
      <w:r w:rsidR="00B31865">
        <w:t xml:space="preserve"> this</w:t>
      </w:r>
      <w:r w:rsidR="000146AC">
        <w:t xml:space="preserve"> </w:t>
      </w:r>
      <w:r w:rsidR="000146AC" w:rsidRPr="000146AC">
        <w:rPr>
          <w:i/>
        </w:rPr>
        <w:t>Value Line</w:t>
      </w:r>
      <w:r w:rsidR="00BC54BA">
        <w:rPr>
          <w:i/>
        </w:rPr>
        <w:t xml:space="preserve"> </w:t>
      </w:r>
      <w:r w:rsidR="00B31865">
        <w:t xml:space="preserve">data </w:t>
      </w:r>
      <w:r w:rsidR="000146AC">
        <w:t xml:space="preserve">indicates a best case </w:t>
      </w:r>
      <w:r w:rsidR="000146AC">
        <w:lastRenderedPageBreak/>
        <w:t>scenario for earnings growth of 4.00 percent</w:t>
      </w:r>
      <w:r w:rsidR="002C5FDC">
        <w:t>,</w:t>
      </w:r>
      <w:r w:rsidR="000146AC">
        <w:t xml:space="preserve"> </w:t>
      </w:r>
      <w:r w:rsidR="00FC07C7">
        <w:t xml:space="preserve">if Avista Corporation is able to increase its earnings to $2.00 per share over </w:t>
      </w:r>
      <w:r w:rsidR="000146AC">
        <w:t>a two-year time horizon.</w:t>
      </w:r>
      <w:r w:rsidR="00FC07C7">
        <w:t xml:space="preserve">   </w:t>
      </w:r>
    </w:p>
    <w:p w14:paraId="34EA9B46" w14:textId="77777777" w:rsidR="00243901" w:rsidRDefault="00243901" w:rsidP="008A5C51">
      <w:pPr>
        <w:tabs>
          <w:tab w:val="left" w:pos="720"/>
          <w:tab w:val="left" w:pos="1440"/>
          <w:tab w:val="left" w:pos="9240"/>
        </w:tabs>
        <w:spacing w:line="480" w:lineRule="auto"/>
        <w:ind w:left="360"/>
      </w:pPr>
    </w:p>
    <w:p w14:paraId="34EA9B47" w14:textId="77777777" w:rsidR="0066532D" w:rsidRPr="007C6D8B" w:rsidRDefault="0066532D" w:rsidP="0066532D">
      <w:pPr>
        <w:tabs>
          <w:tab w:val="left" w:pos="720"/>
          <w:tab w:val="left" w:pos="1440"/>
          <w:tab w:val="left" w:pos="9240"/>
        </w:tabs>
        <w:spacing w:line="480" w:lineRule="auto"/>
        <w:ind w:left="720" w:hanging="720"/>
        <w:rPr>
          <w:b/>
        </w:rPr>
      </w:pPr>
      <w:r>
        <w:rPr>
          <w:b/>
        </w:rPr>
        <w:t>Q.</w:t>
      </w:r>
      <w:r>
        <w:rPr>
          <w:b/>
        </w:rPr>
        <w:tab/>
      </w:r>
      <w:r w:rsidR="006B681F">
        <w:rPr>
          <w:b/>
        </w:rPr>
        <w:t>What</w:t>
      </w:r>
      <w:r>
        <w:rPr>
          <w:b/>
        </w:rPr>
        <w:t xml:space="preserve"> other relevant data </w:t>
      </w:r>
      <w:r w:rsidR="006B681F">
        <w:rPr>
          <w:b/>
        </w:rPr>
        <w:t xml:space="preserve">do </w:t>
      </w:r>
      <w:r>
        <w:rPr>
          <w:b/>
        </w:rPr>
        <w:t xml:space="preserve">investors </w:t>
      </w:r>
      <w:r w:rsidR="006B681F">
        <w:rPr>
          <w:b/>
        </w:rPr>
        <w:t>consider</w:t>
      </w:r>
      <w:r>
        <w:rPr>
          <w:b/>
        </w:rPr>
        <w:t xml:space="preserve"> to determine a sustainable long-term growth in dividends?</w:t>
      </w:r>
    </w:p>
    <w:p w14:paraId="34EA9B48" w14:textId="77777777" w:rsidR="00E125D9" w:rsidRDefault="0066532D" w:rsidP="0066532D">
      <w:pPr>
        <w:tabs>
          <w:tab w:val="left" w:pos="720"/>
          <w:tab w:val="left" w:pos="1440"/>
          <w:tab w:val="left" w:pos="9240"/>
        </w:tabs>
        <w:spacing w:line="480" w:lineRule="auto"/>
        <w:ind w:left="720" w:hanging="720"/>
      </w:pPr>
      <w:r>
        <w:t>A.</w:t>
      </w:r>
      <w:r>
        <w:tab/>
      </w:r>
      <w:r w:rsidR="006B681F">
        <w:t xml:space="preserve">Investors will consider </w:t>
      </w:r>
      <w:r w:rsidR="000146AC">
        <w:t>es</w:t>
      </w:r>
      <w:r w:rsidR="00FB41A8">
        <w:t xml:space="preserve">timates from </w:t>
      </w:r>
      <w:r w:rsidR="002C5FDC">
        <w:t xml:space="preserve">two other services:  </w:t>
      </w:r>
      <w:r w:rsidR="00EB0AF8">
        <w:t>Thompson/Reuters (</w:t>
      </w:r>
      <w:r w:rsidR="00FB41A8">
        <w:t>IBES</w:t>
      </w:r>
      <w:r w:rsidR="00EB0AF8">
        <w:t>)</w:t>
      </w:r>
      <w:r w:rsidR="00FB41A8">
        <w:t xml:space="preserve"> and </w:t>
      </w:r>
      <w:r w:rsidR="003977C6">
        <w:t>Zach’s</w:t>
      </w:r>
      <w:r w:rsidR="000146AC">
        <w:t xml:space="preserve">.  </w:t>
      </w:r>
      <w:r w:rsidR="009C1404">
        <w:t>Mr. McKenzie</w:t>
      </w:r>
      <w:r>
        <w:t xml:space="preserve"> </w:t>
      </w:r>
      <w:r w:rsidR="00B31865">
        <w:t xml:space="preserve">exhibit </w:t>
      </w:r>
      <w:r w:rsidR="00925156">
        <w:t>shows estimates</w:t>
      </w:r>
      <w:r w:rsidR="00FB41A8">
        <w:t xml:space="preserve"> </w:t>
      </w:r>
      <w:r w:rsidR="000146AC">
        <w:t xml:space="preserve">of </w:t>
      </w:r>
      <w:r>
        <w:t xml:space="preserve">earnings growth </w:t>
      </w:r>
      <w:r w:rsidR="00D75FDA">
        <w:t xml:space="preserve">from both services </w:t>
      </w:r>
      <w:r w:rsidR="00B31865">
        <w:t xml:space="preserve">as </w:t>
      </w:r>
      <w:r w:rsidR="00363355">
        <w:t>5.00</w:t>
      </w:r>
      <w:r w:rsidR="005F64B9">
        <w:t xml:space="preserve"> percent</w:t>
      </w:r>
      <w:r w:rsidR="00B00F58">
        <w:t xml:space="preserve"> for Avista Corporation.</w:t>
      </w:r>
      <w:r w:rsidR="00E125D9">
        <w:rPr>
          <w:rStyle w:val="FootnoteReference"/>
        </w:rPr>
        <w:footnoteReference w:id="38"/>
      </w:r>
      <w:r w:rsidR="00E125D9">
        <w:t xml:space="preserve"> </w:t>
      </w:r>
      <w:r w:rsidR="00E44699">
        <w:t xml:space="preserve"> </w:t>
      </w:r>
      <w:r w:rsidR="002C5FDC">
        <w:t xml:space="preserve">However, </w:t>
      </w:r>
      <w:r w:rsidR="00E44699">
        <w:t>I give little weight to these earnings estimate</w:t>
      </w:r>
      <w:r w:rsidR="00EB0AF8">
        <w:t>s</w:t>
      </w:r>
      <w:r w:rsidR="00E44699">
        <w:t xml:space="preserve"> because </w:t>
      </w:r>
      <w:r w:rsidR="002C5FDC">
        <w:t xml:space="preserve">they imply </w:t>
      </w:r>
      <w:r w:rsidR="00EB0AF8">
        <w:t>an</w:t>
      </w:r>
      <w:r w:rsidR="00FD2AAC">
        <w:t xml:space="preserve"> </w:t>
      </w:r>
      <w:r w:rsidR="00EB0AF8">
        <w:t>unreasonable earned return on book for</w:t>
      </w:r>
      <w:r w:rsidR="002C5FDC">
        <w:t xml:space="preserve"> Avista Corporation </w:t>
      </w:r>
      <w:r w:rsidR="00EB0AF8">
        <w:t>of</w:t>
      </w:r>
      <w:r w:rsidR="002C5FDC">
        <w:t xml:space="preserve"> </w:t>
      </w:r>
      <w:r w:rsidR="00D75FDA">
        <w:t xml:space="preserve">12.50 </w:t>
      </w:r>
      <w:r w:rsidR="002C5FDC">
        <w:t>percent</w:t>
      </w:r>
      <w:r w:rsidR="00EB0AF8">
        <w:t>.</w:t>
      </w:r>
    </w:p>
    <w:p w14:paraId="2CF008FC" w14:textId="77777777" w:rsidR="00391BA0" w:rsidRDefault="00391BA0" w:rsidP="0066532D">
      <w:pPr>
        <w:tabs>
          <w:tab w:val="left" w:pos="720"/>
          <w:tab w:val="left" w:pos="1440"/>
          <w:tab w:val="left" w:pos="9240"/>
        </w:tabs>
        <w:spacing w:line="480" w:lineRule="auto"/>
        <w:ind w:left="720" w:hanging="720"/>
        <w:rPr>
          <w:b/>
        </w:rPr>
      </w:pPr>
    </w:p>
    <w:p w14:paraId="34EA9B49" w14:textId="77777777" w:rsidR="000D39B2" w:rsidRPr="00E12ED8" w:rsidRDefault="000D39B2" w:rsidP="0066532D">
      <w:pPr>
        <w:tabs>
          <w:tab w:val="left" w:pos="720"/>
          <w:tab w:val="left" w:pos="1440"/>
          <w:tab w:val="left" w:pos="9240"/>
        </w:tabs>
        <w:spacing w:line="480" w:lineRule="auto"/>
        <w:ind w:left="720" w:hanging="720"/>
        <w:rPr>
          <w:b/>
        </w:rPr>
      </w:pPr>
      <w:r w:rsidRPr="00E12ED8">
        <w:rPr>
          <w:b/>
        </w:rPr>
        <w:t>Q.</w:t>
      </w:r>
      <w:r w:rsidRPr="00E12ED8">
        <w:rPr>
          <w:b/>
        </w:rPr>
        <w:tab/>
        <w:t xml:space="preserve">Please summarize the data you relied upon in estimating </w:t>
      </w:r>
      <w:r w:rsidR="00C4065F">
        <w:rPr>
          <w:b/>
        </w:rPr>
        <w:t>investors</w:t>
      </w:r>
      <w:r w:rsidR="00A57658">
        <w:rPr>
          <w:b/>
        </w:rPr>
        <w:t xml:space="preserve">’ </w:t>
      </w:r>
      <w:r w:rsidR="00C4065F">
        <w:rPr>
          <w:b/>
        </w:rPr>
        <w:t>expected</w:t>
      </w:r>
      <w:r w:rsidRPr="00E12ED8">
        <w:rPr>
          <w:b/>
        </w:rPr>
        <w:t xml:space="preserve"> dividend growth for Avista Corporation</w:t>
      </w:r>
      <w:r w:rsidR="006E2572">
        <w:rPr>
          <w:b/>
        </w:rPr>
        <w:t>.</w:t>
      </w:r>
    </w:p>
    <w:p w14:paraId="34EA9B4A" w14:textId="691AA5F4" w:rsidR="00FC07C7" w:rsidRDefault="000D39B2" w:rsidP="0066532D">
      <w:pPr>
        <w:tabs>
          <w:tab w:val="left" w:pos="720"/>
          <w:tab w:val="left" w:pos="1440"/>
          <w:tab w:val="left" w:pos="9240"/>
        </w:tabs>
        <w:spacing w:line="480" w:lineRule="auto"/>
        <w:ind w:left="720" w:hanging="720"/>
      </w:pPr>
      <w:r>
        <w:t>A.</w:t>
      </w:r>
      <w:r>
        <w:tab/>
      </w:r>
      <w:r w:rsidR="00BC01B6">
        <w:t>A reasonable estimate of</w:t>
      </w:r>
      <w:r w:rsidR="005258CA">
        <w:t xml:space="preserve"> </w:t>
      </w:r>
      <w:r w:rsidR="00BC01B6">
        <w:t xml:space="preserve">both </w:t>
      </w:r>
      <w:r w:rsidR="00E125D9">
        <w:t xml:space="preserve">book value </w:t>
      </w:r>
      <w:r w:rsidR="002C5FDC">
        <w:t xml:space="preserve">growth </w:t>
      </w:r>
      <w:r w:rsidR="00BC01B6">
        <w:t xml:space="preserve">and internal growth </w:t>
      </w:r>
      <w:r w:rsidR="00E125D9">
        <w:t xml:space="preserve">is </w:t>
      </w:r>
      <w:r w:rsidR="00FC238F">
        <w:t xml:space="preserve">3.5 to </w:t>
      </w:r>
      <w:r w:rsidR="00E125D9">
        <w:t>4.0</w:t>
      </w:r>
      <w:r w:rsidR="003961B1">
        <w:t xml:space="preserve"> </w:t>
      </w:r>
      <w:r>
        <w:t xml:space="preserve">percent. </w:t>
      </w:r>
      <w:r w:rsidR="00BC01B6">
        <w:t xml:space="preserve"> </w:t>
      </w:r>
      <w:r w:rsidR="00E822AC">
        <w:t>An o</w:t>
      </w:r>
      <w:r w:rsidR="00FE2E38">
        <w:t>ptimistic e</w:t>
      </w:r>
      <w:r w:rsidR="00D1052F">
        <w:t>sti</w:t>
      </w:r>
      <w:r w:rsidR="00FE2E38">
        <w:t xml:space="preserve">mate for </w:t>
      </w:r>
      <w:r w:rsidR="00391BA0">
        <w:t xml:space="preserve">growth in </w:t>
      </w:r>
      <w:r w:rsidR="00EB3B96">
        <w:t>dividend</w:t>
      </w:r>
      <w:r w:rsidR="00391BA0">
        <w:t>s</w:t>
      </w:r>
      <w:r w:rsidR="00EB3B96">
        <w:t xml:space="preserve"> </w:t>
      </w:r>
      <w:r w:rsidR="00FE2E38">
        <w:t>is 4.5</w:t>
      </w:r>
      <w:r w:rsidR="00EB3B96">
        <w:t xml:space="preserve"> percent</w:t>
      </w:r>
      <w:r w:rsidR="00D1052F">
        <w:t xml:space="preserve">.  </w:t>
      </w:r>
      <w:r w:rsidR="005759E2" w:rsidRPr="00BC2C34">
        <w:rPr>
          <w:i/>
        </w:rPr>
        <w:t>Value Line</w:t>
      </w:r>
      <w:r w:rsidR="005759E2">
        <w:t xml:space="preserve"> data indicate a best case scenario </w:t>
      </w:r>
      <w:r w:rsidR="002C5FDC">
        <w:t xml:space="preserve">for </w:t>
      </w:r>
      <w:r w:rsidR="005759E2">
        <w:t xml:space="preserve">earnings growth </w:t>
      </w:r>
      <w:r w:rsidR="002C5FDC">
        <w:t>is</w:t>
      </w:r>
      <w:r w:rsidR="005759E2">
        <w:t xml:space="preserve"> 4.5 </w:t>
      </w:r>
      <w:r w:rsidR="00C82F4A">
        <w:t>percent,</w:t>
      </w:r>
      <w:r w:rsidR="005759E2">
        <w:t xml:space="preserve"> and</w:t>
      </w:r>
      <w:r>
        <w:t xml:space="preserve"> IBES and </w:t>
      </w:r>
      <w:r w:rsidR="003977C6">
        <w:t>Zach’s</w:t>
      </w:r>
      <w:r w:rsidR="005759E2">
        <w:t xml:space="preserve"> </w:t>
      </w:r>
      <w:r w:rsidR="00FB64B8">
        <w:t xml:space="preserve">earnings growth </w:t>
      </w:r>
      <w:r w:rsidR="00925156">
        <w:t>estimates</w:t>
      </w:r>
      <w:r w:rsidR="0079045E">
        <w:t xml:space="preserve"> </w:t>
      </w:r>
      <w:r w:rsidR="002C5FDC">
        <w:t xml:space="preserve">are </w:t>
      </w:r>
      <w:r w:rsidR="005F64B9">
        <w:t>5.0</w:t>
      </w:r>
      <w:r w:rsidR="00D1052F">
        <w:t xml:space="preserve"> percent</w:t>
      </w:r>
      <w:r w:rsidR="002C5FDC">
        <w:t xml:space="preserve">, which </w:t>
      </w:r>
      <w:r w:rsidR="00FB64B8">
        <w:t>are</w:t>
      </w:r>
      <w:r w:rsidR="002C5FDC">
        <w:t xml:space="preserve"> </w:t>
      </w:r>
      <w:r w:rsidR="00C82F4A">
        <w:t>unrealistically</w:t>
      </w:r>
      <w:r w:rsidR="002C5FDC">
        <w:t xml:space="preserve"> high</w:t>
      </w:r>
      <w:r w:rsidR="00FB64B8">
        <w:t>.</w:t>
      </w:r>
      <w:r>
        <w:t xml:space="preserve">  </w:t>
      </w:r>
    </w:p>
    <w:p w14:paraId="34EA9B4B" w14:textId="77777777" w:rsidR="00C55F0E" w:rsidRDefault="00C55F0E" w:rsidP="0066532D">
      <w:pPr>
        <w:tabs>
          <w:tab w:val="left" w:pos="720"/>
          <w:tab w:val="left" w:pos="1440"/>
          <w:tab w:val="left" w:pos="9240"/>
        </w:tabs>
        <w:spacing w:line="480" w:lineRule="auto"/>
        <w:ind w:left="720" w:hanging="720"/>
      </w:pPr>
    </w:p>
    <w:p w14:paraId="34EA9B4C" w14:textId="77777777" w:rsidR="0066532D" w:rsidRDefault="0066532D" w:rsidP="0066532D">
      <w:pPr>
        <w:tabs>
          <w:tab w:val="left" w:pos="720"/>
          <w:tab w:val="left" w:pos="1440"/>
          <w:tab w:val="left" w:pos="9240"/>
        </w:tabs>
        <w:spacing w:line="480" w:lineRule="auto"/>
        <w:ind w:left="720" w:hanging="720"/>
        <w:rPr>
          <w:b/>
        </w:rPr>
      </w:pPr>
      <w:r>
        <w:rPr>
          <w:b/>
        </w:rPr>
        <w:t>Q.</w:t>
      </w:r>
      <w:r>
        <w:rPr>
          <w:b/>
        </w:rPr>
        <w:tab/>
        <w:t xml:space="preserve">What </w:t>
      </w:r>
      <w:r w:rsidR="00151DE4">
        <w:rPr>
          <w:b/>
        </w:rPr>
        <w:t xml:space="preserve">is your </w:t>
      </w:r>
      <w:r>
        <w:rPr>
          <w:b/>
        </w:rPr>
        <w:t xml:space="preserve">conclusion </w:t>
      </w:r>
      <w:r w:rsidR="00B34738">
        <w:rPr>
          <w:b/>
        </w:rPr>
        <w:t xml:space="preserve">from </w:t>
      </w:r>
      <w:r>
        <w:rPr>
          <w:b/>
        </w:rPr>
        <w:t>this data</w:t>
      </w:r>
      <w:r w:rsidR="00151DE4">
        <w:rPr>
          <w:b/>
        </w:rPr>
        <w:t xml:space="preserve"> for long-term growth in dividends</w:t>
      </w:r>
      <w:r>
        <w:rPr>
          <w:b/>
        </w:rPr>
        <w:t>?</w:t>
      </w:r>
    </w:p>
    <w:p w14:paraId="34EA9B4D" w14:textId="77777777" w:rsidR="002C5FDC" w:rsidRDefault="0066532D" w:rsidP="00151DE4">
      <w:pPr>
        <w:pStyle w:val="FootnoteText"/>
        <w:spacing w:line="480" w:lineRule="auto"/>
        <w:ind w:left="720" w:hanging="720"/>
        <w:rPr>
          <w:sz w:val="24"/>
          <w:szCs w:val="24"/>
        </w:rPr>
      </w:pPr>
      <w:r w:rsidRPr="001163C8">
        <w:rPr>
          <w:sz w:val="24"/>
          <w:szCs w:val="24"/>
        </w:rPr>
        <w:t>A.</w:t>
      </w:r>
      <w:r w:rsidRPr="001163C8">
        <w:rPr>
          <w:sz w:val="24"/>
          <w:szCs w:val="24"/>
        </w:rPr>
        <w:tab/>
      </w:r>
      <w:r w:rsidR="005C2F28">
        <w:rPr>
          <w:sz w:val="24"/>
          <w:szCs w:val="24"/>
        </w:rPr>
        <w:t xml:space="preserve">Giving </w:t>
      </w:r>
      <w:r w:rsidR="00FE2E38">
        <w:rPr>
          <w:sz w:val="24"/>
          <w:szCs w:val="24"/>
        </w:rPr>
        <w:t xml:space="preserve">equal weight to all </w:t>
      </w:r>
      <w:r w:rsidR="00E822AC">
        <w:rPr>
          <w:sz w:val="24"/>
          <w:szCs w:val="24"/>
        </w:rPr>
        <w:t xml:space="preserve">four measures </w:t>
      </w:r>
      <w:r w:rsidRPr="001163C8">
        <w:rPr>
          <w:sz w:val="24"/>
          <w:szCs w:val="24"/>
        </w:rPr>
        <w:t>indicate</w:t>
      </w:r>
      <w:r w:rsidR="00FE2E38">
        <w:rPr>
          <w:sz w:val="24"/>
          <w:szCs w:val="24"/>
        </w:rPr>
        <w:t>s</w:t>
      </w:r>
      <w:r w:rsidRPr="001163C8">
        <w:rPr>
          <w:sz w:val="24"/>
          <w:szCs w:val="24"/>
        </w:rPr>
        <w:t xml:space="preserve"> a reasonable expectation for investors </w:t>
      </w:r>
      <w:r w:rsidR="00873FE8" w:rsidRPr="001163C8">
        <w:rPr>
          <w:sz w:val="24"/>
          <w:szCs w:val="24"/>
        </w:rPr>
        <w:t xml:space="preserve">for </w:t>
      </w:r>
      <w:r w:rsidRPr="001163C8">
        <w:rPr>
          <w:sz w:val="24"/>
          <w:szCs w:val="24"/>
        </w:rPr>
        <w:t xml:space="preserve">long-term dividend growth </w:t>
      </w:r>
      <w:r w:rsidR="00B34738" w:rsidRPr="001163C8">
        <w:rPr>
          <w:sz w:val="24"/>
          <w:szCs w:val="24"/>
        </w:rPr>
        <w:t xml:space="preserve">for Avista Corporation </w:t>
      </w:r>
      <w:r w:rsidR="00873FE8" w:rsidRPr="001163C8">
        <w:rPr>
          <w:sz w:val="24"/>
          <w:szCs w:val="24"/>
        </w:rPr>
        <w:t>is</w:t>
      </w:r>
      <w:r w:rsidRPr="001163C8">
        <w:rPr>
          <w:sz w:val="24"/>
          <w:szCs w:val="24"/>
        </w:rPr>
        <w:t xml:space="preserve"> 4.</w:t>
      </w:r>
      <w:r w:rsidR="007B2977">
        <w:rPr>
          <w:sz w:val="24"/>
          <w:szCs w:val="24"/>
        </w:rPr>
        <w:t>13</w:t>
      </w:r>
      <w:r w:rsidRPr="001163C8">
        <w:rPr>
          <w:sz w:val="24"/>
          <w:szCs w:val="24"/>
        </w:rPr>
        <w:t xml:space="preserve"> percent.  </w:t>
      </w:r>
      <w:r w:rsidR="00FE2E38">
        <w:rPr>
          <w:sz w:val="24"/>
          <w:szCs w:val="24"/>
        </w:rPr>
        <w:t>Giving more weight to the internal growth estimate produces</w:t>
      </w:r>
      <w:r w:rsidR="00E822AC">
        <w:rPr>
          <w:sz w:val="24"/>
          <w:szCs w:val="24"/>
        </w:rPr>
        <w:t xml:space="preserve"> </w:t>
      </w:r>
      <w:r w:rsidR="005C2F28">
        <w:rPr>
          <w:sz w:val="24"/>
          <w:szCs w:val="24"/>
        </w:rPr>
        <w:t xml:space="preserve">a </w:t>
      </w:r>
      <w:r w:rsidR="00E822AC">
        <w:rPr>
          <w:sz w:val="24"/>
          <w:szCs w:val="24"/>
        </w:rPr>
        <w:t>point estimate of 4.0</w:t>
      </w:r>
      <w:r w:rsidR="00151DE4">
        <w:rPr>
          <w:sz w:val="24"/>
          <w:szCs w:val="24"/>
        </w:rPr>
        <w:t xml:space="preserve"> </w:t>
      </w:r>
      <w:r w:rsidR="00151DE4">
        <w:rPr>
          <w:sz w:val="24"/>
          <w:szCs w:val="24"/>
        </w:rPr>
        <w:lastRenderedPageBreak/>
        <w:t xml:space="preserve">percent, and giving </w:t>
      </w:r>
      <w:r w:rsidR="00E822AC">
        <w:rPr>
          <w:sz w:val="24"/>
          <w:szCs w:val="24"/>
        </w:rPr>
        <w:t>more weight to earnings estimates</w:t>
      </w:r>
      <w:r w:rsidR="00151DE4">
        <w:rPr>
          <w:sz w:val="24"/>
          <w:szCs w:val="24"/>
        </w:rPr>
        <w:t xml:space="preserve"> indicate an </w:t>
      </w:r>
      <w:r w:rsidR="00E822AC">
        <w:rPr>
          <w:sz w:val="24"/>
          <w:szCs w:val="24"/>
        </w:rPr>
        <w:t xml:space="preserve">expected growth rate </w:t>
      </w:r>
      <w:r w:rsidR="00151DE4">
        <w:rPr>
          <w:sz w:val="24"/>
          <w:szCs w:val="24"/>
        </w:rPr>
        <w:t>of</w:t>
      </w:r>
      <w:r w:rsidR="00E822AC">
        <w:rPr>
          <w:sz w:val="24"/>
          <w:szCs w:val="24"/>
        </w:rPr>
        <w:t xml:space="preserve"> 4.5 percent.  </w:t>
      </w:r>
      <w:r w:rsidR="000146AC">
        <w:rPr>
          <w:sz w:val="24"/>
          <w:szCs w:val="24"/>
        </w:rPr>
        <w:t>I do not consider estimates of 5.0 percent reasonable</w:t>
      </w:r>
      <w:r w:rsidR="002C5FDC">
        <w:rPr>
          <w:sz w:val="24"/>
          <w:szCs w:val="24"/>
        </w:rPr>
        <w:t>,</w:t>
      </w:r>
      <w:r w:rsidR="000146AC">
        <w:rPr>
          <w:sz w:val="24"/>
          <w:szCs w:val="24"/>
        </w:rPr>
        <w:t xml:space="preserve"> </w:t>
      </w:r>
      <w:r w:rsidR="00803E09">
        <w:rPr>
          <w:sz w:val="24"/>
          <w:szCs w:val="24"/>
        </w:rPr>
        <w:t>for the reasons already stated.</w:t>
      </w:r>
      <w:r w:rsidR="000146AC">
        <w:rPr>
          <w:sz w:val="24"/>
          <w:szCs w:val="24"/>
        </w:rPr>
        <w:t xml:space="preserve">  </w:t>
      </w:r>
    </w:p>
    <w:p w14:paraId="34EA9B4E" w14:textId="77777777" w:rsidR="0066532D" w:rsidRPr="002C5FDC" w:rsidRDefault="002C5FDC" w:rsidP="00151DE4">
      <w:pPr>
        <w:pStyle w:val="FootnoteText"/>
        <w:spacing w:line="480" w:lineRule="auto"/>
        <w:ind w:left="720" w:hanging="720"/>
        <w:rPr>
          <w:sz w:val="24"/>
          <w:szCs w:val="24"/>
        </w:rPr>
      </w:pPr>
      <w:r>
        <w:rPr>
          <w:sz w:val="24"/>
          <w:szCs w:val="24"/>
        </w:rPr>
        <w:tab/>
      </w:r>
      <w:r w:rsidRPr="002C5FDC">
        <w:rPr>
          <w:sz w:val="24"/>
          <w:szCs w:val="24"/>
        </w:rPr>
        <w:tab/>
      </w:r>
      <w:r w:rsidR="009D1515" w:rsidRPr="002C5FDC">
        <w:rPr>
          <w:sz w:val="24"/>
          <w:szCs w:val="24"/>
        </w:rPr>
        <w:t xml:space="preserve">Therefore, I conclude a </w:t>
      </w:r>
      <w:r w:rsidR="000146AC" w:rsidRPr="002C5FDC">
        <w:rPr>
          <w:sz w:val="24"/>
          <w:szCs w:val="24"/>
        </w:rPr>
        <w:t xml:space="preserve">reasonable </w:t>
      </w:r>
      <w:r w:rsidR="00E822AC" w:rsidRPr="002C5FDC">
        <w:rPr>
          <w:sz w:val="24"/>
          <w:szCs w:val="24"/>
        </w:rPr>
        <w:t xml:space="preserve">estimate </w:t>
      </w:r>
      <w:r w:rsidR="005C2F28" w:rsidRPr="002C5FDC">
        <w:rPr>
          <w:sz w:val="24"/>
          <w:szCs w:val="24"/>
        </w:rPr>
        <w:t>for</w:t>
      </w:r>
      <w:r w:rsidR="000146AC" w:rsidRPr="002C5FDC">
        <w:rPr>
          <w:sz w:val="24"/>
          <w:szCs w:val="24"/>
        </w:rPr>
        <w:t xml:space="preserve"> long-term </w:t>
      </w:r>
      <w:r w:rsidR="005C2F28" w:rsidRPr="002C5FDC">
        <w:rPr>
          <w:sz w:val="24"/>
          <w:szCs w:val="24"/>
        </w:rPr>
        <w:t xml:space="preserve">dividend growth </w:t>
      </w:r>
      <w:r w:rsidR="00E822AC" w:rsidRPr="002C5FDC">
        <w:rPr>
          <w:sz w:val="24"/>
          <w:szCs w:val="24"/>
        </w:rPr>
        <w:t>is in the</w:t>
      </w:r>
      <w:r w:rsidR="009D1515" w:rsidRPr="002C5FDC">
        <w:rPr>
          <w:sz w:val="24"/>
          <w:szCs w:val="24"/>
        </w:rPr>
        <w:t xml:space="preserve"> range </w:t>
      </w:r>
      <w:r w:rsidR="00E822AC" w:rsidRPr="008652EE">
        <w:rPr>
          <w:sz w:val="24"/>
          <w:szCs w:val="24"/>
        </w:rPr>
        <w:t>of</w:t>
      </w:r>
      <w:r w:rsidR="009D1515" w:rsidRPr="00904D6E">
        <w:rPr>
          <w:sz w:val="24"/>
          <w:szCs w:val="24"/>
        </w:rPr>
        <w:t xml:space="preserve"> 4.0 to 4.5 percent.  </w:t>
      </w:r>
      <w:r w:rsidR="00FC07C7" w:rsidRPr="002C5FDC">
        <w:rPr>
          <w:sz w:val="24"/>
          <w:szCs w:val="24"/>
        </w:rPr>
        <w:t xml:space="preserve">None of the </w:t>
      </w:r>
      <w:r w:rsidR="00C3403E" w:rsidRPr="002C5FDC">
        <w:rPr>
          <w:sz w:val="24"/>
          <w:szCs w:val="24"/>
        </w:rPr>
        <w:t>data support a long-term sustai</w:t>
      </w:r>
      <w:r w:rsidR="00D66B41" w:rsidRPr="002C5FDC">
        <w:rPr>
          <w:sz w:val="24"/>
          <w:szCs w:val="24"/>
        </w:rPr>
        <w:t xml:space="preserve">nable growth rate of 5.0 percent.   </w:t>
      </w:r>
    </w:p>
    <w:p w14:paraId="34EA9B4F" w14:textId="77777777" w:rsidR="00151DE4" w:rsidRPr="00D75FDA" w:rsidRDefault="00151DE4" w:rsidP="00151DE4">
      <w:pPr>
        <w:pStyle w:val="FootnoteText"/>
        <w:spacing w:line="480" w:lineRule="auto"/>
        <w:ind w:left="720" w:hanging="720"/>
        <w:rPr>
          <w:sz w:val="24"/>
          <w:szCs w:val="24"/>
        </w:rPr>
      </w:pPr>
    </w:p>
    <w:p w14:paraId="34EA9B50" w14:textId="77777777" w:rsidR="002C5FDC" w:rsidRDefault="002C5FDC" w:rsidP="00151DE4">
      <w:pPr>
        <w:pStyle w:val="FootnoteText"/>
        <w:spacing w:line="480" w:lineRule="auto"/>
        <w:ind w:left="720" w:hanging="720"/>
        <w:rPr>
          <w:b/>
          <w:sz w:val="24"/>
          <w:szCs w:val="24"/>
        </w:rPr>
      </w:pPr>
      <w:r w:rsidRPr="002C5FDC">
        <w:rPr>
          <w:sz w:val="24"/>
          <w:szCs w:val="24"/>
        </w:rPr>
        <w:tab/>
      </w:r>
      <w:r w:rsidRPr="002C5FDC">
        <w:rPr>
          <w:sz w:val="24"/>
          <w:szCs w:val="24"/>
        </w:rPr>
        <w:tab/>
      </w:r>
      <w:r w:rsidRPr="002C5FDC">
        <w:rPr>
          <w:b/>
          <w:sz w:val="24"/>
          <w:szCs w:val="24"/>
        </w:rPr>
        <w:t>3</w:t>
      </w:r>
      <w:r>
        <w:rPr>
          <w:b/>
          <w:sz w:val="24"/>
          <w:szCs w:val="24"/>
        </w:rPr>
        <w:t>.</w:t>
      </w:r>
      <w:r>
        <w:rPr>
          <w:b/>
          <w:sz w:val="24"/>
          <w:szCs w:val="24"/>
        </w:rPr>
        <w:tab/>
        <w:t>Cost of Equity</w:t>
      </w:r>
    </w:p>
    <w:p w14:paraId="34EA9B51" w14:textId="77777777" w:rsidR="003839D0" w:rsidRPr="00D75FDA" w:rsidRDefault="003839D0" w:rsidP="00151DE4">
      <w:pPr>
        <w:pStyle w:val="FootnoteText"/>
        <w:spacing w:line="480" w:lineRule="auto"/>
        <w:ind w:left="720" w:hanging="720"/>
        <w:rPr>
          <w:b/>
          <w:sz w:val="24"/>
          <w:szCs w:val="24"/>
        </w:rPr>
      </w:pPr>
    </w:p>
    <w:p w14:paraId="34EA9B52" w14:textId="77777777" w:rsidR="00437876" w:rsidRDefault="0066532D" w:rsidP="00437876">
      <w:pPr>
        <w:tabs>
          <w:tab w:val="left" w:pos="720"/>
          <w:tab w:val="left" w:pos="1440"/>
          <w:tab w:val="left" w:pos="9240"/>
        </w:tabs>
        <w:spacing w:line="480" w:lineRule="auto"/>
        <w:ind w:left="720" w:hanging="720"/>
        <w:rPr>
          <w:b/>
        </w:rPr>
      </w:pPr>
      <w:r w:rsidRPr="002C5FDC">
        <w:rPr>
          <w:b/>
        </w:rPr>
        <w:t>Q.</w:t>
      </w:r>
      <w:r w:rsidRPr="002C5FDC">
        <w:rPr>
          <w:b/>
        </w:rPr>
        <w:tab/>
        <w:t>Based upon these factors, what is the indicated ROE for investors in Avista Corporation</w:t>
      </w:r>
      <w:r w:rsidR="00873FE8">
        <w:rPr>
          <w:b/>
        </w:rPr>
        <w:t xml:space="preserve"> common equity</w:t>
      </w:r>
      <w:r>
        <w:rPr>
          <w:b/>
        </w:rPr>
        <w:t>?</w:t>
      </w:r>
    </w:p>
    <w:p w14:paraId="34EA9B53" w14:textId="77777777" w:rsidR="0066532D" w:rsidRDefault="0066532D" w:rsidP="00437876">
      <w:pPr>
        <w:tabs>
          <w:tab w:val="left" w:pos="720"/>
          <w:tab w:val="left" w:pos="1440"/>
          <w:tab w:val="left" w:pos="9240"/>
        </w:tabs>
        <w:spacing w:line="480" w:lineRule="auto"/>
        <w:ind w:left="720" w:hanging="720"/>
      </w:pPr>
      <w:r>
        <w:t>A.</w:t>
      </w:r>
      <w:r>
        <w:tab/>
      </w:r>
      <w:r w:rsidR="002C5FDC">
        <w:t xml:space="preserve">Adding my estimate for dividend yield (3.9 to 4.2 percent) and my estimate for dividend growth (4.0 to 4.5 percent), </w:t>
      </w:r>
      <w:r w:rsidR="00E12ED8">
        <w:t xml:space="preserve">I conclude that a reasonable range in the cost of equity </w:t>
      </w:r>
      <w:r w:rsidR="00C55C8D">
        <w:t xml:space="preserve">for Avista Corporation </w:t>
      </w:r>
      <w:r w:rsidR="00E12ED8">
        <w:t>is between 8.</w:t>
      </w:r>
      <w:r w:rsidR="00803E09">
        <w:t xml:space="preserve">00 </w:t>
      </w:r>
      <w:r w:rsidR="006E2572">
        <w:t xml:space="preserve">percent </w:t>
      </w:r>
      <w:r w:rsidR="005F64B9">
        <w:t xml:space="preserve">and </w:t>
      </w:r>
      <w:r w:rsidR="00803E09">
        <w:t>8.7</w:t>
      </w:r>
      <w:r w:rsidR="00D75FDA">
        <w:t>5</w:t>
      </w:r>
      <w:r w:rsidR="00E12ED8">
        <w:t xml:space="preserve"> </w:t>
      </w:r>
      <w:r w:rsidR="00032172">
        <w:t>percent</w:t>
      </w:r>
      <w:r w:rsidR="00E125D9">
        <w:t>.</w:t>
      </w:r>
      <w:r w:rsidR="00D75FDA">
        <w:rPr>
          <w:rStyle w:val="FootnoteReference"/>
        </w:rPr>
        <w:footnoteReference w:id="39"/>
      </w:r>
      <w:r w:rsidR="00E125D9">
        <w:t xml:space="preserve">  </w:t>
      </w:r>
      <w:r w:rsidR="006306EB">
        <w:t>T</w:t>
      </w:r>
      <w:r w:rsidR="00E125D9">
        <w:t>he upper end of</w:t>
      </w:r>
      <w:r w:rsidR="005759E2">
        <w:t xml:space="preserve"> my estimate</w:t>
      </w:r>
      <w:r>
        <w:t xml:space="preserve"> </w:t>
      </w:r>
      <w:r w:rsidR="006306EB">
        <w:t>is produced by adding each of the high end data points for dividend yield and growth</w:t>
      </w:r>
      <w:r w:rsidR="00803E09">
        <w:t>.</w:t>
      </w:r>
      <w:r w:rsidR="006306EB">
        <w:t xml:space="preserve"> </w:t>
      </w:r>
    </w:p>
    <w:p w14:paraId="54BFFA64" w14:textId="77777777" w:rsidR="00FB64B8" w:rsidRDefault="00D26E1D" w:rsidP="00A0224C">
      <w:pPr>
        <w:spacing w:line="480" w:lineRule="auto"/>
        <w:rPr>
          <w:b/>
        </w:rPr>
      </w:pPr>
      <w:r>
        <w:rPr>
          <w:b/>
        </w:rPr>
        <w:tab/>
      </w:r>
    </w:p>
    <w:p w14:paraId="34EA9B54" w14:textId="63F5B175" w:rsidR="00250EE1" w:rsidRDefault="009B70DF" w:rsidP="00816D6A">
      <w:pPr>
        <w:keepNext/>
        <w:spacing w:line="480" w:lineRule="auto"/>
        <w:rPr>
          <w:b/>
        </w:rPr>
      </w:pPr>
      <w:r>
        <w:rPr>
          <w:b/>
        </w:rPr>
        <w:lastRenderedPageBreak/>
        <w:t>E</w:t>
      </w:r>
      <w:r w:rsidR="005D3B74" w:rsidRPr="00C00AE6">
        <w:rPr>
          <w:b/>
        </w:rPr>
        <w:t>.</w:t>
      </w:r>
      <w:r w:rsidR="005D3B74">
        <w:rPr>
          <w:b/>
        </w:rPr>
        <w:tab/>
      </w:r>
      <w:r w:rsidR="00250EE1">
        <w:rPr>
          <w:b/>
        </w:rPr>
        <w:t>DCF Analysis of the Proxy Group</w:t>
      </w:r>
    </w:p>
    <w:p w14:paraId="34EA9B55" w14:textId="77777777" w:rsidR="00947D98" w:rsidRDefault="00947D98" w:rsidP="00816D6A">
      <w:pPr>
        <w:keepNext/>
        <w:spacing w:line="480" w:lineRule="auto"/>
        <w:rPr>
          <w:b/>
        </w:rPr>
      </w:pPr>
    </w:p>
    <w:p w14:paraId="34EA9B59" w14:textId="77777777" w:rsidR="005D3B74" w:rsidRPr="00E12ED8" w:rsidRDefault="00D26E1D" w:rsidP="00E5511E">
      <w:pPr>
        <w:pStyle w:val="ListParagraph"/>
        <w:keepNext/>
        <w:spacing w:line="480" w:lineRule="auto"/>
        <w:rPr>
          <w:b/>
        </w:rPr>
      </w:pPr>
      <w:r>
        <w:rPr>
          <w:b/>
        </w:rPr>
        <w:tab/>
      </w:r>
      <w:r w:rsidR="00873FE8">
        <w:rPr>
          <w:b/>
        </w:rPr>
        <w:t>1.</w:t>
      </w:r>
      <w:r w:rsidR="00873FE8">
        <w:rPr>
          <w:b/>
        </w:rPr>
        <w:tab/>
      </w:r>
      <w:r w:rsidR="005D3B74" w:rsidRPr="00E12ED8">
        <w:rPr>
          <w:b/>
        </w:rPr>
        <w:t>Selecti</w:t>
      </w:r>
      <w:r w:rsidR="00250EE1">
        <w:rPr>
          <w:b/>
        </w:rPr>
        <w:t>ng</w:t>
      </w:r>
      <w:r w:rsidR="005D3B74" w:rsidRPr="00E12ED8">
        <w:rPr>
          <w:b/>
        </w:rPr>
        <w:t xml:space="preserve"> the Proxy Group</w:t>
      </w:r>
    </w:p>
    <w:p w14:paraId="34EA9B5A" w14:textId="77777777" w:rsidR="005D3B74" w:rsidRDefault="005D3B74" w:rsidP="00A11684">
      <w:pPr>
        <w:keepNext/>
        <w:tabs>
          <w:tab w:val="left" w:pos="720"/>
          <w:tab w:val="left" w:pos="1440"/>
          <w:tab w:val="left" w:pos="9240"/>
        </w:tabs>
        <w:spacing w:line="480" w:lineRule="auto"/>
        <w:ind w:left="720" w:hanging="720"/>
        <w:rPr>
          <w:b/>
        </w:rPr>
      </w:pPr>
    </w:p>
    <w:p w14:paraId="34EA9B5B" w14:textId="77777777" w:rsidR="00AE799C" w:rsidRDefault="00AE799C" w:rsidP="00AE799C">
      <w:pPr>
        <w:tabs>
          <w:tab w:val="left" w:pos="720"/>
          <w:tab w:val="left" w:pos="1440"/>
          <w:tab w:val="left" w:pos="9240"/>
        </w:tabs>
        <w:spacing w:line="480" w:lineRule="auto"/>
        <w:ind w:left="720" w:hanging="720"/>
        <w:rPr>
          <w:b/>
        </w:rPr>
      </w:pPr>
      <w:r>
        <w:rPr>
          <w:b/>
        </w:rPr>
        <w:t>Q.</w:t>
      </w:r>
      <w:r>
        <w:rPr>
          <w:b/>
        </w:rPr>
        <w:tab/>
        <w:t xml:space="preserve">What companies </w:t>
      </w:r>
      <w:r w:rsidR="00873FE8">
        <w:rPr>
          <w:b/>
        </w:rPr>
        <w:t xml:space="preserve">are in the proxy group </w:t>
      </w:r>
      <w:r>
        <w:rPr>
          <w:b/>
        </w:rPr>
        <w:t xml:space="preserve">you </w:t>
      </w:r>
      <w:r w:rsidR="00873FE8">
        <w:rPr>
          <w:b/>
        </w:rPr>
        <w:t>used</w:t>
      </w:r>
      <w:r>
        <w:rPr>
          <w:b/>
        </w:rPr>
        <w:t xml:space="preserve"> for purposes of </w:t>
      </w:r>
      <w:r w:rsidR="009B040F">
        <w:rPr>
          <w:b/>
        </w:rPr>
        <w:t xml:space="preserve">confirming </w:t>
      </w:r>
      <w:r>
        <w:rPr>
          <w:b/>
        </w:rPr>
        <w:t>your cost of common equity analysis</w:t>
      </w:r>
      <w:r w:rsidR="00250EE1">
        <w:rPr>
          <w:b/>
        </w:rPr>
        <w:t xml:space="preserve"> for Avista</w:t>
      </w:r>
      <w:r>
        <w:rPr>
          <w:b/>
        </w:rPr>
        <w:t>?</w:t>
      </w:r>
    </w:p>
    <w:p w14:paraId="34EA9B5C" w14:textId="77777777" w:rsidR="00AE799C" w:rsidRPr="00206B43" w:rsidRDefault="00AE799C" w:rsidP="00AE799C">
      <w:pPr>
        <w:tabs>
          <w:tab w:val="left" w:pos="720"/>
          <w:tab w:val="left" w:pos="1440"/>
          <w:tab w:val="left" w:pos="9240"/>
        </w:tabs>
        <w:spacing w:line="480" w:lineRule="auto"/>
        <w:ind w:left="720" w:hanging="720"/>
        <w:rPr>
          <w:b/>
        </w:rPr>
      </w:pPr>
      <w:r>
        <w:t>A.</w:t>
      </w:r>
      <w:r>
        <w:tab/>
        <w:t xml:space="preserve">My proxy group consists of the following </w:t>
      </w:r>
      <w:r w:rsidR="001C0E29">
        <w:t>seven</w:t>
      </w:r>
      <w:r w:rsidR="00A74A4C">
        <w:t xml:space="preserve"> </w:t>
      </w:r>
      <w:r w:rsidR="00C55C8D">
        <w:t xml:space="preserve">utility </w:t>
      </w:r>
      <w:r>
        <w:t>c</w:t>
      </w:r>
      <w:r w:rsidR="009C1404">
        <w:t>ompanies:  ALLETE, Black Hills</w:t>
      </w:r>
      <w:r w:rsidR="001C0E29">
        <w:t xml:space="preserve">, </w:t>
      </w:r>
      <w:r>
        <w:t xml:space="preserve">Great Plains, </w:t>
      </w:r>
      <w:proofErr w:type="spellStart"/>
      <w:r>
        <w:t>IdaC</w:t>
      </w:r>
      <w:r w:rsidR="00B17C88">
        <w:t>orp</w:t>
      </w:r>
      <w:proofErr w:type="spellEnd"/>
      <w:r w:rsidR="00B17C88">
        <w:t xml:space="preserve">, </w:t>
      </w:r>
      <w:r w:rsidR="009C1404">
        <w:t>Northwest</w:t>
      </w:r>
      <w:r w:rsidR="007E2989">
        <w:t>ern</w:t>
      </w:r>
      <w:r w:rsidR="009C1404">
        <w:t xml:space="preserve"> Energy, </w:t>
      </w:r>
      <w:r w:rsidR="001C0E29">
        <w:t>PGE</w:t>
      </w:r>
      <w:r>
        <w:t xml:space="preserve"> and</w:t>
      </w:r>
      <w:r w:rsidR="00DF512A" w:rsidRPr="00DF512A">
        <w:t xml:space="preserve"> </w:t>
      </w:r>
      <w:proofErr w:type="spellStart"/>
      <w:r w:rsidR="00DF512A">
        <w:t>West</w:t>
      </w:r>
      <w:r w:rsidR="007E2989">
        <w:t>star</w:t>
      </w:r>
      <w:proofErr w:type="spellEnd"/>
      <w:r w:rsidR="007E2989">
        <w:t xml:space="preserve"> Energy</w:t>
      </w:r>
      <w:r w:rsidR="00E5511E">
        <w:t xml:space="preserve">.  </w:t>
      </w:r>
    </w:p>
    <w:p w14:paraId="34EA9B5D" w14:textId="77777777" w:rsidR="00AE799C" w:rsidRDefault="00AE799C" w:rsidP="00AE799C">
      <w:pPr>
        <w:tabs>
          <w:tab w:val="left" w:pos="720"/>
          <w:tab w:val="left" w:pos="1440"/>
          <w:tab w:val="left" w:pos="9240"/>
        </w:tabs>
        <w:spacing w:line="480" w:lineRule="auto"/>
        <w:ind w:left="720" w:hanging="720"/>
        <w:rPr>
          <w:b/>
        </w:rPr>
      </w:pPr>
    </w:p>
    <w:p w14:paraId="34EA9B5E" w14:textId="77777777" w:rsidR="00AE799C" w:rsidRPr="008F70D0" w:rsidRDefault="00AE799C" w:rsidP="00AE799C">
      <w:pPr>
        <w:tabs>
          <w:tab w:val="left" w:pos="720"/>
          <w:tab w:val="left" w:pos="1440"/>
          <w:tab w:val="left" w:pos="9240"/>
        </w:tabs>
        <w:spacing w:line="480" w:lineRule="auto"/>
        <w:ind w:left="720" w:hanging="720"/>
        <w:rPr>
          <w:b/>
        </w:rPr>
      </w:pPr>
      <w:r w:rsidRPr="00FF2FF4">
        <w:rPr>
          <w:b/>
        </w:rPr>
        <w:t>Q.</w:t>
      </w:r>
      <w:r w:rsidRPr="00FF2FF4">
        <w:rPr>
          <w:b/>
        </w:rPr>
        <w:tab/>
      </w:r>
      <w:r>
        <w:rPr>
          <w:b/>
        </w:rPr>
        <w:t xml:space="preserve">Is this the </w:t>
      </w:r>
      <w:r w:rsidRPr="00D833BB">
        <w:rPr>
          <w:b/>
        </w:rPr>
        <w:t xml:space="preserve">same set of proxy companies </w:t>
      </w:r>
      <w:r w:rsidR="007E2989">
        <w:rPr>
          <w:b/>
        </w:rPr>
        <w:t>Mr. McKenzie</w:t>
      </w:r>
      <w:r>
        <w:rPr>
          <w:b/>
        </w:rPr>
        <w:t xml:space="preserve"> used</w:t>
      </w:r>
      <w:r w:rsidRPr="00D833BB">
        <w:rPr>
          <w:b/>
        </w:rPr>
        <w:t>?</w:t>
      </w:r>
    </w:p>
    <w:p w14:paraId="34EA9B5F" w14:textId="77777777" w:rsidR="00AE799C" w:rsidRDefault="00AE799C" w:rsidP="00AE799C">
      <w:pPr>
        <w:tabs>
          <w:tab w:val="left" w:pos="720"/>
          <w:tab w:val="left" w:pos="1440"/>
          <w:tab w:val="left" w:pos="9240"/>
        </w:tabs>
        <w:spacing w:line="480" w:lineRule="auto"/>
        <w:ind w:left="720" w:hanging="720"/>
      </w:pPr>
      <w:r w:rsidRPr="00D833BB">
        <w:t>A.</w:t>
      </w:r>
      <w:r w:rsidRPr="00D833BB">
        <w:tab/>
        <w:t xml:space="preserve">No.  </w:t>
      </w:r>
    </w:p>
    <w:p w14:paraId="34EA9B60" w14:textId="77777777" w:rsidR="00AE799C" w:rsidRDefault="00AE799C" w:rsidP="00AE799C">
      <w:pPr>
        <w:tabs>
          <w:tab w:val="left" w:pos="720"/>
          <w:tab w:val="left" w:pos="1440"/>
          <w:tab w:val="left" w:pos="9240"/>
        </w:tabs>
        <w:spacing w:line="480" w:lineRule="auto"/>
        <w:ind w:left="720" w:hanging="720"/>
      </w:pPr>
    </w:p>
    <w:p w14:paraId="34EA9B61" w14:textId="77777777" w:rsidR="00AE799C" w:rsidRDefault="00AE799C" w:rsidP="003839D0">
      <w:pPr>
        <w:keepNext/>
        <w:tabs>
          <w:tab w:val="left" w:pos="720"/>
          <w:tab w:val="left" w:pos="1440"/>
          <w:tab w:val="left" w:pos="9240"/>
        </w:tabs>
        <w:spacing w:line="480" w:lineRule="auto"/>
        <w:ind w:left="720" w:hanging="720"/>
        <w:rPr>
          <w:b/>
        </w:rPr>
      </w:pPr>
      <w:r>
        <w:rPr>
          <w:b/>
        </w:rPr>
        <w:t>Q.</w:t>
      </w:r>
      <w:r>
        <w:rPr>
          <w:b/>
        </w:rPr>
        <w:tab/>
        <w:t>Please explain the difference.</w:t>
      </w:r>
    </w:p>
    <w:p w14:paraId="34EA9B62" w14:textId="77777777" w:rsidR="00DF512A" w:rsidRDefault="00AE799C" w:rsidP="00AE799C">
      <w:pPr>
        <w:tabs>
          <w:tab w:val="left" w:pos="720"/>
          <w:tab w:val="left" w:pos="1440"/>
          <w:tab w:val="left" w:pos="9240"/>
        </w:tabs>
        <w:spacing w:line="480" w:lineRule="auto"/>
        <w:ind w:left="720" w:hanging="720"/>
      </w:pPr>
      <w:r>
        <w:t>A.</w:t>
      </w:r>
      <w:r>
        <w:tab/>
        <w:t xml:space="preserve">For my analysis, I started with </w:t>
      </w:r>
      <w:r w:rsidR="009C1404">
        <w:t>Mr. McKenzie</w:t>
      </w:r>
      <w:r>
        <w:t>’s proxy group</w:t>
      </w:r>
      <w:r w:rsidR="00260B13">
        <w:t xml:space="preserve"> of</w:t>
      </w:r>
      <w:r w:rsidR="00DF512A">
        <w:t xml:space="preserve"> 2</w:t>
      </w:r>
      <w:r w:rsidR="001C0E29">
        <w:t>6</w:t>
      </w:r>
      <w:r w:rsidR="00DF512A">
        <w:t xml:space="preserve"> utility companies.  I then </w:t>
      </w:r>
      <w:r>
        <w:t xml:space="preserve">applied selection criteria to </w:t>
      </w:r>
      <w:r w:rsidR="00260B13">
        <w:t>focus on</w:t>
      </w:r>
      <w:r>
        <w:t xml:space="preserve"> utilities that are more comparable to Avista.  </w:t>
      </w:r>
      <w:r w:rsidR="00DF512A">
        <w:t xml:space="preserve">This additional screening produces a smaller group </w:t>
      </w:r>
      <w:r w:rsidR="00250EE1">
        <w:t xml:space="preserve">of utilities </w:t>
      </w:r>
      <w:r w:rsidR="00DF512A">
        <w:t xml:space="preserve">much more comparable to Avista and the risks of </w:t>
      </w:r>
      <w:r w:rsidR="00710627">
        <w:t>owning a</w:t>
      </w:r>
      <w:r w:rsidR="00260B13">
        <w:t xml:space="preserve"> regulated utility</w:t>
      </w:r>
      <w:r w:rsidR="008A6B0B">
        <w:t xml:space="preserve"> such as Avista</w:t>
      </w:r>
      <w:r w:rsidR="00DF512A">
        <w:t xml:space="preserve">.  </w:t>
      </w:r>
    </w:p>
    <w:p w14:paraId="34EA9B63" w14:textId="77777777" w:rsidR="00DF512A" w:rsidRDefault="00DF512A" w:rsidP="00AE799C">
      <w:pPr>
        <w:tabs>
          <w:tab w:val="left" w:pos="720"/>
          <w:tab w:val="left" w:pos="1440"/>
          <w:tab w:val="left" w:pos="9240"/>
        </w:tabs>
        <w:spacing w:line="480" w:lineRule="auto"/>
        <w:ind w:left="720" w:hanging="720"/>
      </w:pPr>
    </w:p>
    <w:p w14:paraId="34EA9B64" w14:textId="77777777" w:rsidR="008C1BE5" w:rsidRDefault="008C1BE5" w:rsidP="003839D0">
      <w:pPr>
        <w:keepNext/>
        <w:tabs>
          <w:tab w:val="left" w:pos="720"/>
          <w:tab w:val="left" w:pos="1440"/>
          <w:tab w:val="left" w:pos="9240"/>
        </w:tabs>
        <w:spacing w:line="480" w:lineRule="auto"/>
        <w:ind w:left="720" w:hanging="720"/>
        <w:rPr>
          <w:b/>
        </w:rPr>
      </w:pPr>
      <w:r>
        <w:rPr>
          <w:b/>
        </w:rPr>
        <w:t>Q.</w:t>
      </w:r>
      <w:r>
        <w:rPr>
          <w:b/>
        </w:rPr>
        <w:tab/>
        <w:t xml:space="preserve">What selection </w:t>
      </w:r>
      <w:r w:rsidR="00250EE1">
        <w:rPr>
          <w:b/>
        </w:rPr>
        <w:t xml:space="preserve">criteria </w:t>
      </w:r>
      <w:r>
        <w:rPr>
          <w:b/>
        </w:rPr>
        <w:t xml:space="preserve">did you </w:t>
      </w:r>
      <w:r w:rsidR="00005F33">
        <w:rPr>
          <w:b/>
        </w:rPr>
        <w:t>apply</w:t>
      </w:r>
      <w:r>
        <w:rPr>
          <w:b/>
        </w:rPr>
        <w:t>?</w:t>
      </w:r>
    </w:p>
    <w:p w14:paraId="34EA9B65" w14:textId="77777777" w:rsidR="008C1BE5" w:rsidRDefault="008C1BE5" w:rsidP="008C1BE5">
      <w:pPr>
        <w:tabs>
          <w:tab w:val="left" w:pos="720"/>
          <w:tab w:val="left" w:pos="1440"/>
          <w:tab w:val="left" w:pos="9240"/>
        </w:tabs>
        <w:spacing w:line="480" w:lineRule="auto"/>
        <w:ind w:left="720" w:hanging="720"/>
      </w:pPr>
      <w:r>
        <w:t>A.</w:t>
      </w:r>
      <w:r>
        <w:tab/>
      </w:r>
      <w:r w:rsidR="009C1FEF">
        <w:t>I</w:t>
      </w:r>
      <w:r w:rsidR="001C0E29">
        <w:t xml:space="preserve"> first </w:t>
      </w:r>
      <w:r w:rsidR="00E62D68">
        <w:t>eliminate</w:t>
      </w:r>
      <w:r w:rsidR="009C1FEF">
        <w:t>d</w:t>
      </w:r>
      <w:r w:rsidR="001C0E29">
        <w:t xml:space="preserve"> </w:t>
      </w:r>
      <w:r w:rsidR="00E62D68">
        <w:t>any company</w:t>
      </w:r>
      <w:r w:rsidR="001C0E29">
        <w:t xml:space="preserve"> not classified as </w:t>
      </w:r>
      <w:r w:rsidR="00C55C8D">
        <w:t>“</w:t>
      </w:r>
      <w:r w:rsidR="001C0E29">
        <w:t>mid-cap</w:t>
      </w:r>
      <w:r w:rsidR="00C55C8D">
        <w:t>”</w:t>
      </w:r>
      <w:r w:rsidR="001C0E29">
        <w:t xml:space="preserve"> by </w:t>
      </w:r>
      <w:r w:rsidR="001C0E29" w:rsidRPr="001C0E29">
        <w:rPr>
          <w:i/>
        </w:rPr>
        <w:t>Value Line</w:t>
      </w:r>
      <w:r w:rsidR="001C0E29">
        <w:t>.</w:t>
      </w:r>
      <w:r w:rsidR="009B3034">
        <w:t xml:space="preserve"> </w:t>
      </w:r>
      <w:r w:rsidR="001C0E29">
        <w:t xml:space="preserve"> </w:t>
      </w:r>
      <w:r w:rsidR="00B31865">
        <w:t xml:space="preserve">This eliminated </w:t>
      </w:r>
      <w:r w:rsidR="009B3034">
        <w:t>over</w:t>
      </w:r>
      <w:r w:rsidR="001C0E29">
        <w:t xml:space="preserve"> half of </w:t>
      </w:r>
      <w:r w:rsidR="00B60547">
        <w:t>the firms</w:t>
      </w:r>
      <w:r w:rsidR="001C0E29">
        <w:t xml:space="preserve"> in </w:t>
      </w:r>
      <w:r w:rsidR="009C1404">
        <w:t>Mr. McKenzie</w:t>
      </w:r>
      <w:r w:rsidR="001C0E29">
        <w:t xml:space="preserve">’s utility proxy group.  </w:t>
      </w:r>
      <w:r w:rsidR="00C55C8D">
        <w:t xml:space="preserve">Second, </w:t>
      </w:r>
      <w:r w:rsidR="001C0E29">
        <w:t xml:space="preserve">I removed </w:t>
      </w:r>
      <w:r w:rsidR="007E2989">
        <w:t xml:space="preserve">some firms with a </w:t>
      </w:r>
      <w:r w:rsidR="00036C19">
        <w:t xml:space="preserve">history of </w:t>
      </w:r>
      <w:r w:rsidR="007E2989">
        <w:t>suspended</w:t>
      </w:r>
      <w:r w:rsidR="00036C19">
        <w:t xml:space="preserve"> dividend payments.</w:t>
      </w:r>
      <w:r w:rsidR="001C0E29">
        <w:t xml:space="preserve">  </w:t>
      </w:r>
      <w:r w:rsidR="005E4EFC">
        <w:t xml:space="preserve">I </w:t>
      </w:r>
      <w:r w:rsidR="00036C19">
        <w:t xml:space="preserve">also </w:t>
      </w:r>
      <w:r w:rsidR="005E4EFC">
        <w:t>removed</w:t>
      </w:r>
      <w:r w:rsidR="004B124B">
        <w:t xml:space="preserve"> </w:t>
      </w:r>
      <w:r w:rsidR="00B4766C">
        <w:t xml:space="preserve">El Paso </w:t>
      </w:r>
      <w:r w:rsidR="005E4EFC">
        <w:t xml:space="preserve">because 45 percent of its electric generation </w:t>
      </w:r>
      <w:r w:rsidR="00B31865">
        <w:t xml:space="preserve">is </w:t>
      </w:r>
      <w:r w:rsidR="005E4EFC">
        <w:t>nuclear</w:t>
      </w:r>
      <w:r w:rsidR="00B4766C">
        <w:t xml:space="preserve"> and investors would </w:t>
      </w:r>
      <w:r w:rsidR="00B4766C">
        <w:lastRenderedPageBreak/>
        <w:t xml:space="preserve">not consider </w:t>
      </w:r>
      <w:r w:rsidR="00151DE4">
        <w:t xml:space="preserve">it similar to </w:t>
      </w:r>
      <w:r w:rsidR="00B4766C">
        <w:t>a hydro</w:t>
      </w:r>
      <w:r w:rsidR="00B31865">
        <w:t>-based</w:t>
      </w:r>
      <w:r w:rsidR="00B4766C">
        <w:t xml:space="preserve"> utility such as Avista</w:t>
      </w:r>
      <w:r w:rsidR="00151DE4">
        <w:t xml:space="preserve"> Corporation</w:t>
      </w:r>
      <w:r w:rsidR="005E4EFC">
        <w:t xml:space="preserve">.  </w:t>
      </w:r>
      <w:r w:rsidR="00C3403E">
        <w:t>I</w:t>
      </w:r>
      <w:r w:rsidR="005E4EFC">
        <w:t xml:space="preserve"> removed </w:t>
      </w:r>
      <w:r w:rsidR="00D94B1F">
        <w:t>Hawaiian Electric</w:t>
      </w:r>
      <w:r w:rsidR="005E4EFC">
        <w:t xml:space="preserve"> because of its exceptionally high rates and concentrated market risk.  Finally, I eliminated </w:t>
      </w:r>
      <w:r w:rsidR="00B4766C">
        <w:t>UIL Holdings</w:t>
      </w:r>
      <w:r w:rsidR="00B34738">
        <w:t xml:space="preserve"> because it is </w:t>
      </w:r>
      <w:r w:rsidR="005E4EFC">
        <w:t xml:space="preserve">a distribution </w:t>
      </w:r>
      <w:r w:rsidR="00B34738">
        <w:t xml:space="preserve">only </w:t>
      </w:r>
      <w:r w:rsidR="005E4EFC">
        <w:t xml:space="preserve">company.  The result is the group of seven </w:t>
      </w:r>
      <w:r w:rsidR="00C55C8D">
        <w:t xml:space="preserve">utilities I </w:t>
      </w:r>
      <w:r w:rsidR="005E4EFC">
        <w:t>listed above.</w:t>
      </w:r>
    </w:p>
    <w:p w14:paraId="34EA9B66" w14:textId="77777777" w:rsidR="005E4EFC" w:rsidRDefault="005E4EFC" w:rsidP="008C1BE5">
      <w:pPr>
        <w:tabs>
          <w:tab w:val="left" w:pos="720"/>
          <w:tab w:val="left" w:pos="1440"/>
          <w:tab w:val="left" w:pos="9240"/>
        </w:tabs>
        <w:spacing w:line="480" w:lineRule="auto"/>
        <w:ind w:left="720" w:hanging="720"/>
      </w:pPr>
    </w:p>
    <w:p w14:paraId="34EA9B67" w14:textId="77777777" w:rsidR="008C1BE5" w:rsidRPr="001C67D3" w:rsidRDefault="008C1BE5" w:rsidP="00D26E1D">
      <w:pPr>
        <w:keepNext/>
        <w:tabs>
          <w:tab w:val="left" w:pos="720"/>
          <w:tab w:val="left" w:pos="1440"/>
          <w:tab w:val="left" w:pos="9240"/>
        </w:tabs>
        <w:spacing w:line="480" w:lineRule="auto"/>
        <w:ind w:left="720" w:hanging="720"/>
        <w:rPr>
          <w:b/>
        </w:rPr>
      </w:pPr>
      <w:r>
        <w:rPr>
          <w:b/>
        </w:rPr>
        <w:t>Q.</w:t>
      </w:r>
      <w:r>
        <w:rPr>
          <w:b/>
        </w:rPr>
        <w:tab/>
      </w:r>
      <w:r w:rsidR="00C55C8D">
        <w:rPr>
          <w:b/>
        </w:rPr>
        <w:t>A</w:t>
      </w:r>
      <w:r>
        <w:rPr>
          <w:b/>
        </w:rPr>
        <w:t>re your selection criteria appropriate?</w:t>
      </w:r>
    </w:p>
    <w:p w14:paraId="34EA9B68" w14:textId="77777777" w:rsidR="00B34738" w:rsidRDefault="008C1BE5" w:rsidP="00B4766C">
      <w:pPr>
        <w:tabs>
          <w:tab w:val="left" w:pos="720"/>
          <w:tab w:val="left" w:pos="1440"/>
          <w:tab w:val="left" w:pos="9240"/>
        </w:tabs>
        <w:spacing w:line="480" w:lineRule="auto"/>
        <w:ind w:left="720" w:hanging="720"/>
      </w:pPr>
      <w:r>
        <w:t>A.</w:t>
      </w:r>
      <w:r>
        <w:tab/>
      </w:r>
      <w:r w:rsidR="00C55C8D">
        <w:t xml:space="preserve">Yes.  </w:t>
      </w:r>
      <w:r w:rsidR="00B4766C">
        <w:t>M</w:t>
      </w:r>
      <w:r w:rsidR="00005F33">
        <w:t>y criteria results in a group of seven utilities with characteristics similar to Avista</w:t>
      </w:r>
      <w:r w:rsidR="002D2B72">
        <w:t xml:space="preserve"> Corporation</w:t>
      </w:r>
      <w:r w:rsidR="00005F33">
        <w:t xml:space="preserve">.  I am confident I can judge the financial information from these utilities to </w:t>
      </w:r>
      <w:r w:rsidR="000C5A26">
        <w:t>test</w:t>
      </w:r>
      <w:r w:rsidR="00E62D68">
        <w:t xml:space="preserve"> my </w:t>
      </w:r>
      <w:r w:rsidR="002D2B72">
        <w:t xml:space="preserve">specific </w:t>
      </w:r>
      <w:r w:rsidR="00E62D68">
        <w:t xml:space="preserve">ROE </w:t>
      </w:r>
      <w:r w:rsidR="00005F33">
        <w:t>estimate</w:t>
      </w:r>
      <w:r w:rsidR="002D2B72">
        <w:t xml:space="preserve"> for Avista Corporation</w:t>
      </w:r>
      <w:r w:rsidR="00005F33">
        <w:t>.</w:t>
      </w:r>
      <w:r w:rsidR="0072541E">
        <w:t xml:space="preserve">  </w:t>
      </w:r>
    </w:p>
    <w:p w14:paraId="34EA9B69" w14:textId="77777777" w:rsidR="00D66B41" w:rsidRDefault="00D66B41" w:rsidP="00B4766C">
      <w:pPr>
        <w:tabs>
          <w:tab w:val="left" w:pos="720"/>
          <w:tab w:val="left" w:pos="1440"/>
          <w:tab w:val="left" w:pos="9240"/>
        </w:tabs>
        <w:spacing w:line="480" w:lineRule="auto"/>
        <w:ind w:left="720" w:hanging="720"/>
      </w:pPr>
    </w:p>
    <w:p w14:paraId="34EA9B6A" w14:textId="77777777" w:rsidR="00D66B41" w:rsidRPr="00D66B41" w:rsidRDefault="00D66B41" w:rsidP="00B4766C">
      <w:pPr>
        <w:tabs>
          <w:tab w:val="left" w:pos="720"/>
          <w:tab w:val="left" w:pos="1440"/>
          <w:tab w:val="left" w:pos="9240"/>
        </w:tabs>
        <w:spacing w:line="480" w:lineRule="auto"/>
        <w:ind w:left="720" w:hanging="720"/>
        <w:rPr>
          <w:b/>
        </w:rPr>
      </w:pPr>
      <w:r>
        <w:rPr>
          <w:b/>
        </w:rPr>
        <w:t>Q.</w:t>
      </w:r>
      <w:r>
        <w:rPr>
          <w:b/>
        </w:rPr>
        <w:tab/>
        <w:t xml:space="preserve">Does the composition of the proxy group have any material impact on </w:t>
      </w:r>
      <w:r w:rsidR="000005A4">
        <w:rPr>
          <w:b/>
        </w:rPr>
        <w:t xml:space="preserve">your estimate of </w:t>
      </w:r>
      <w:r>
        <w:rPr>
          <w:b/>
        </w:rPr>
        <w:t>ROE</w:t>
      </w:r>
      <w:r w:rsidR="000005A4">
        <w:rPr>
          <w:b/>
        </w:rPr>
        <w:t xml:space="preserve"> for Avista, compared to Mr. McKenzie’s estimate</w:t>
      </w:r>
      <w:r>
        <w:rPr>
          <w:b/>
        </w:rPr>
        <w:t>?</w:t>
      </w:r>
    </w:p>
    <w:p w14:paraId="34EA9B6B" w14:textId="77777777" w:rsidR="00005F33" w:rsidRDefault="00D66B41" w:rsidP="008C1BE5">
      <w:pPr>
        <w:tabs>
          <w:tab w:val="left" w:pos="720"/>
          <w:tab w:val="left" w:pos="1440"/>
          <w:tab w:val="left" w:pos="9240"/>
        </w:tabs>
        <w:spacing w:line="480" w:lineRule="auto"/>
        <w:ind w:left="720" w:hanging="720"/>
      </w:pPr>
      <w:r>
        <w:t>A.</w:t>
      </w:r>
      <w:r>
        <w:tab/>
        <w:t>No.  T</w:t>
      </w:r>
      <w:r w:rsidR="0072541E">
        <w:t xml:space="preserve">he </w:t>
      </w:r>
      <w:r w:rsidR="006B0A11">
        <w:t xml:space="preserve">use of different proxy groups is not the reason why my DCF-based ROE </w:t>
      </w:r>
      <w:r w:rsidR="00363355">
        <w:t>estimate</w:t>
      </w:r>
      <w:r w:rsidR="006B0A11">
        <w:t xml:space="preserve"> is different than Mr. McKenzie’s estimate.  </w:t>
      </w:r>
      <w:r w:rsidR="000005A4">
        <w:t xml:space="preserve">Rather, the difference </w:t>
      </w:r>
      <w:r w:rsidR="006B0A11">
        <w:t xml:space="preserve">between our </w:t>
      </w:r>
      <w:r w:rsidR="00095C1A">
        <w:t xml:space="preserve">DCF </w:t>
      </w:r>
      <w:r w:rsidR="006B0A11">
        <w:t xml:space="preserve">estimates </w:t>
      </w:r>
      <w:r w:rsidR="000005A4">
        <w:t xml:space="preserve">is </w:t>
      </w:r>
      <w:r w:rsidR="0072541E">
        <w:t xml:space="preserve">driven </w:t>
      </w:r>
      <w:r w:rsidR="006B0A11">
        <w:t xml:space="preserve">primarily </w:t>
      </w:r>
      <w:r w:rsidR="0072541E">
        <w:t xml:space="preserve">by </w:t>
      </w:r>
      <w:r w:rsidR="002F311A">
        <w:t>two factors: 1) his reliance on</w:t>
      </w:r>
      <w:r w:rsidR="00036C19">
        <w:t xml:space="preserve"> </w:t>
      </w:r>
      <w:r w:rsidR="0072541E">
        <w:t>analyst’s earnings estimates as the proxy for long-term dividend growth</w:t>
      </w:r>
      <w:r w:rsidR="000005A4">
        <w:t>,</w:t>
      </w:r>
      <w:r w:rsidR="0072541E">
        <w:t xml:space="preserve"> and </w:t>
      </w:r>
      <w:r w:rsidR="002F311A">
        <w:t>his biased elimination of data</w:t>
      </w:r>
      <w:r w:rsidR="002D2B72">
        <w:t xml:space="preserve"> </w:t>
      </w:r>
      <w:r w:rsidR="00B31865">
        <w:t>from his DCF study</w:t>
      </w:r>
      <w:r w:rsidR="002F311A">
        <w:t xml:space="preserve">; </w:t>
      </w:r>
      <w:r w:rsidR="003056F7">
        <w:t xml:space="preserve">and </w:t>
      </w:r>
      <w:r w:rsidR="002F311A">
        <w:t xml:space="preserve">2) his dividend yield data </w:t>
      </w:r>
      <w:r w:rsidR="00885C69">
        <w:t>is stale</w:t>
      </w:r>
      <w:r w:rsidR="0072541E">
        <w:t>.</w:t>
      </w:r>
      <w:r w:rsidR="009B3034">
        <w:t xml:space="preserve">  I will critique his study more completely later in my testimony.</w:t>
      </w:r>
    </w:p>
    <w:p w14:paraId="34EA9B6C" w14:textId="77777777" w:rsidR="007E2989" w:rsidRDefault="007E2989" w:rsidP="008C1BE5">
      <w:pPr>
        <w:tabs>
          <w:tab w:val="left" w:pos="720"/>
          <w:tab w:val="left" w:pos="1440"/>
          <w:tab w:val="left" w:pos="9240"/>
        </w:tabs>
        <w:spacing w:line="480" w:lineRule="auto"/>
        <w:ind w:left="720" w:hanging="720"/>
      </w:pPr>
    </w:p>
    <w:p w14:paraId="34EA9B6D" w14:textId="77777777" w:rsidR="00D64FE1" w:rsidRPr="003839D0" w:rsidRDefault="003839D0" w:rsidP="003839D0">
      <w:pPr>
        <w:tabs>
          <w:tab w:val="left" w:pos="720"/>
          <w:tab w:val="left" w:pos="2160"/>
          <w:tab w:val="left" w:pos="9240"/>
        </w:tabs>
        <w:spacing w:line="480" w:lineRule="auto"/>
        <w:ind w:left="720" w:firstLine="720"/>
        <w:rPr>
          <w:b/>
        </w:rPr>
      </w:pPr>
      <w:r w:rsidRPr="003839D0">
        <w:rPr>
          <w:b/>
        </w:rPr>
        <w:t>2.</w:t>
      </w:r>
      <w:r>
        <w:tab/>
      </w:r>
      <w:r w:rsidR="00C72795" w:rsidRPr="003839D0">
        <w:rPr>
          <w:b/>
        </w:rPr>
        <w:t>Proxy Group DCF Analysis</w:t>
      </w:r>
    </w:p>
    <w:p w14:paraId="34EA9B6E" w14:textId="77777777" w:rsidR="00302D4E" w:rsidRDefault="00302D4E" w:rsidP="00D64FE1">
      <w:pPr>
        <w:tabs>
          <w:tab w:val="left" w:pos="720"/>
          <w:tab w:val="left" w:pos="1440"/>
          <w:tab w:val="left" w:pos="2160"/>
          <w:tab w:val="left" w:pos="9240"/>
        </w:tabs>
        <w:spacing w:line="480" w:lineRule="auto"/>
        <w:ind w:left="720" w:hanging="720"/>
        <w:rPr>
          <w:b/>
        </w:rPr>
      </w:pPr>
    </w:p>
    <w:p w14:paraId="34EA9B6F" w14:textId="77777777" w:rsidR="00D64FE1" w:rsidRDefault="00D64FE1" w:rsidP="00D64FE1">
      <w:pPr>
        <w:tabs>
          <w:tab w:val="left" w:pos="720"/>
          <w:tab w:val="left" w:pos="1440"/>
          <w:tab w:val="left" w:pos="2160"/>
          <w:tab w:val="left" w:pos="9240"/>
        </w:tabs>
        <w:spacing w:line="480" w:lineRule="auto"/>
        <w:ind w:left="720" w:hanging="720"/>
        <w:rPr>
          <w:b/>
        </w:rPr>
      </w:pPr>
      <w:r>
        <w:rPr>
          <w:b/>
        </w:rPr>
        <w:t>Q.</w:t>
      </w:r>
      <w:r>
        <w:rPr>
          <w:b/>
        </w:rPr>
        <w:tab/>
        <w:t xml:space="preserve">How </w:t>
      </w:r>
      <w:r w:rsidR="00CE657A">
        <w:rPr>
          <w:b/>
        </w:rPr>
        <w:t xml:space="preserve">do you conduct </w:t>
      </w:r>
      <w:r>
        <w:rPr>
          <w:b/>
        </w:rPr>
        <w:t xml:space="preserve">your </w:t>
      </w:r>
      <w:r w:rsidR="00C72795">
        <w:rPr>
          <w:b/>
        </w:rPr>
        <w:t xml:space="preserve">DCF </w:t>
      </w:r>
      <w:r>
        <w:rPr>
          <w:b/>
        </w:rPr>
        <w:t xml:space="preserve">analysis of </w:t>
      </w:r>
      <w:r w:rsidR="00CE657A">
        <w:rPr>
          <w:b/>
        </w:rPr>
        <w:t>your</w:t>
      </w:r>
      <w:r>
        <w:rPr>
          <w:b/>
        </w:rPr>
        <w:t xml:space="preserve"> proxy group?</w:t>
      </w:r>
    </w:p>
    <w:p w14:paraId="34EA9B70" w14:textId="77777777" w:rsidR="00D64FE1" w:rsidRPr="00D64FE1" w:rsidRDefault="00D64FE1" w:rsidP="00D64FE1">
      <w:pPr>
        <w:tabs>
          <w:tab w:val="left" w:pos="720"/>
          <w:tab w:val="left" w:pos="1440"/>
          <w:tab w:val="left" w:pos="2160"/>
          <w:tab w:val="left" w:pos="9240"/>
        </w:tabs>
        <w:spacing w:line="480" w:lineRule="auto"/>
        <w:ind w:left="720" w:hanging="720"/>
      </w:pPr>
      <w:r>
        <w:lastRenderedPageBreak/>
        <w:t>A.</w:t>
      </w:r>
      <w:r>
        <w:tab/>
        <w:t xml:space="preserve">I begin by calculating an expected dividend yield for the </w:t>
      </w:r>
      <w:r w:rsidR="00863999">
        <w:t xml:space="preserve">proxy </w:t>
      </w:r>
      <w:r>
        <w:t xml:space="preserve">group, and then evaluate </w:t>
      </w:r>
      <w:r w:rsidR="006E342D">
        <w:t xml:space="preserve">certain critical </w:t>
      </w:r>
      <w:r>
        <w:t xml:space="preserve">financial information to inform my opinion </w:t>
      </w:r>
      <w:r w:rsidR="00CE657A">
        <w:t xml:space="preserve">for </w:t>
      </w:r>
      <w:r>
        <w:t>long-term sustainable growth in dividends per share.</w:t>
      </w:r>
    </w:p>
    <w:p w14:paraId="34EA9B71" w14:textId="77777777" w:rsidR="00D64FE1" w:rsidRDefault="00D64FE1" w:rsidP="00D64FE1">
      <w:pPr>
        <w:tabs>
          <w:tab w:val="left" w:pos="720"/>
          <w:tab w:val="left" w:pos="1440"/>
          <w:tab w:val="left" w:pos="2160"/>
          <w:tab w:val="left" w:pos="9240"/>
        </w:tabs>
        <w:spacing w:line="480" w:lineRule="auto"/>
        <w:ind w:left="720" w:hanging="720"/>
        <w:rPr>
          <w:b/>
        </w:rPr>
      </w:pPr>
    </w:p>
    <w:p w14:paraId="34EA9B72" w14:textId="77777777" w:rsidR="00D64FE1" w:rsidRPr="00D64FE1" w:rsidRDefault="00D64FE1" w:rsidP="00D64FE1">
      <w:pPr>
        <w:tabs>
          <w:tab w:val="left" w:pos="720"/>
          <w:tab w:val="left" w:pos="1440"/>
          <w:tab w:val="left" w:pos="2160"/>
          <w:tab w:val="left" w:pos="9240"/>
        </w:tabs>
        <w:spacing w:line="480" w:lineRule="auto"/>
        <w:ind w:left="720" w:hanging="720"/>
        <w:rPr>
          <w:b/>
        </w:rPr>
      </w:pPr>
      <w:r w:rsidRPr="00D64FE1">
        <w:rPr>
          <w:b/>
        </w:rPr>
        <w:t>Q.</w:t>
      </w:r>
      <w:r w:rsidRPr="00D64FE1">
        <w:rPr>
          <w:b/>
        </w:rPr>
        <w:tab/>
      </w:r>
      <w:r w:rsidR="00CE657A">
        <w:rPr>
          <w:b/>
        </w:rPr>
        <w:t xml:space="preserve">Please </w:t>
      </w:r>
      <w:r w:rsidR="00A12F4F">
        <w:rPr>
          <w:b/>
        </w:rPr>
        <w:t>identify</w:t>
      </w:r>
      <w:r w:rsidR="00CE657A">
        <w:rPr>
          <w:b/>
        </w:rPr>
        <w:t xml:space="preserve"> </w:t>
      </w:r>
      <w:r w:rsidR="00A12F4F">
        <w:rPr>
          <w:b/>
        </w:rPr>
        <w:t xml:space="preserve">the information you evaluated to </w:t>
      </w:r>
      <w:r w:rsidR="00CE657A">
        <w:rPr>
          <w:b/>
        </w:rPr>
        <w:t xml:space="preserve">estimate </w:t>
      </w:r>
      <w:r w:rsidR="00A12F4F">
        <w:rPr>
          <w:b/>
        </w:rPr>
        <w:t>the</w:t>
      </w:r>
      <w:r w:rsidR="00CE657A">
        <w:rPr>
          <w:b/>
        </w:rPr>
        <w:t xml:space="preserve"> </w:t>
      </w:r>
      <w:r w:rsidRPr="00D64FE1">
        <w:rPr>
          <w:b/>
        </w:rPr>
        <w:t xml:space="preserve">dividend yield for </w:t>
      </w:r>
      <w:r w:rsidR="00CE657A">
        <w:rPr>
          <w:b/>
        </w:rPr>
        <w:t xml:space="preserve">your </w:t>
      </w:r>
      <w:r w:rsidRPr="00D64FE1">
        <w:rPr>
          <w:b/>
        </w:rPr>
        <w:t>proxy group</w:t>
      </w:r>
      <w:r w:rsidR="00CE657A">
        <w:rPr>
          <w:b/>
        </w:rPr>
        <w:t>.</w:t>
      </w:r>
    </w:p>
    <w:p w14:paraId="34EA9B73" w14:textId="77777777" w:rsidR="008D5895" w:rsidRDefault="00D64FE1" w:rsidP="00D75FDA">
      <w:pPr>
        <w:tabs>
          <w:tab w:val="left" w:pos="720"/>
          <w:tab w:val="left" w:pos="1440"/>
          <w:tab w:val="left" w:pos="2160"/>
          <w:tab w:val="left" w:pos="9240"/>
        </w:tabs>
        <w:spacing w:line="480" w:lineRule="auto"/>
        <w:ind w:left="720" w:hanging="720"/>
      </w:pPr>
      <w:r w:rsidRPr="00D64FE1">
        <w:t>A.</w:t>
      </w:r>
      <w:r w:rsidRPr="00D64FE1">
        <w:tab/>
      </w:r>
      <w:r w:rsidR="00B4766C">
        <w:t xml:space="preserve">I evaluated the dividend yield quotes from </w:t>
      </w:r>
      <w:r w:rsidR="006505DA">
        <w:t xml:space="preserve">price data during first quarter 2014, </w:t>
      </w:r>
      <w:r w:rsidR="00B4766C" w:rsidRPr="00B4766C">
        <w:rPr>
          <w:i/>
        </w:rPr>
        <w:t>Value Line</w:t>
      </w:r>
      <w:r w:rsidR="00B4766C">
        <w:t xml:space="preserve">, </w:t>
      </w:r>
      <w:r w:rsidR="005B3705" w:rsidRPr="005B3705">
        <w:rPr>
          <w:i/>
        </w:rPr>
        <w:t>Morningstar</w:t>
      </w:r>
      <w:r w:rsidR="00B4766C">
        <w:t xml:space="preserve"> and </w:t>
      </w:r>
      <w:r w:rsidR="009C1404">
        <w:t>Mr. McKenzie</w:t>
      </w:r>
      <w:r w:rsidR="00B4766C">
        <w:t xml:space="preserve">’s </w:t>
      </w:r>
      <w:r w:rsidR="0089713A">
        <w:t xml:space="preserve">indicated dividend yield </w:t>
      </w:r>
      <w:r w:rsidR="00B4766C">
        <w:t>calculation for the</w:t>
      </w:r>
      <w:r w:rsidR="0089713A">
        <w:t xml:space="preserve"> seven companies in my</w:t>
      </w:r>
      <w:r w:rsidR="00B4766C">
        <w:t xml:space="preserve"> proxy group.  </w:t>
      </w:r>
      <w:r w:rsidR="006505DA">
        <w:t xml:space="preserve">The average dividend yield during first quarter is 3.6 percent.  </w:t>
      </w:r>
      <w:r w:rsidR="006F4AA2" w:rsidRPr="00A462AA">
        <w:rPr>
          <w:i/>
        </w:rPr>
        <w:t>Value Line</w:t>
      </w:r>
      <w:r w:rsidR="006F4AA2">
        <w:t xml:space="preserve"> indicates that the</w:t>
      </w:r>
      <w:r w:rsidR="00A12F4F">
        <w:t xml:space="preserve"> </w:t>
      </w:r>
      <w:r w:rsidR="006F4AA2">
        <w:t xml:space="preserve">average dividend yield </w:t>
      </w:r>
      <w:r w:rsidR="009806B5">
        <w:t xml:space="preserve">for the group </w:t>
      </w:r>
      <w:r w:rsidR="006F4AA2">
        <w:t xml:space="preserve">is </w:t>
      </w:r>
      <w:r w:rsidR="00FC67CE">
        <w:t>3.7</w:t>
      </w:r>
      <w:r w:rsidR="006F4AA2">
        <w:t xml:space="preserve"> percent</w:t>
      </w:r>
      <w:r w:rsidR="00D94B1F">
        <w:t>.</w:t>
      </w:r>
      <w:r w:rsidR="00A12F4F">
        <w:t xml:space="preserve">  </w:t>
      </w:r>
      <w:r w:rsidR="00FC67CE" w:rsidRPr="00646538">
        <w:rPr>
          <w:i/>
        </w:rPr>
        <w:t>Morningstar</w:t>
      </w:r>
      <w:r w:rsidR="00FC67CE">
        <w:t xml:space="preserve"> indicates a forward dividend yield of 3.6 percent for the proxy group</w:t>
      </w:r>
      <w:r w:rsidR="00FC67CE">
        <w:rPr>
          <w:b/>
        </w:rPr>
        <w:t>.</w:t>
      </w:r>
      <w:r w:rsidR="00A718AD">
        <w:rPr>
          <w:rStyle w:val="FootnoteReference"/>
          <w:b/>
        </w:rPr>
        <w:footnoteReference w:id="40"/>
      </w:r>
      <w:r w:rsidR="00FC67CE">
        <w:rPr>
          <w:b/>
        </w:rPr>
        <w:t xml:space="preserve">  </w:t>
      </w:r>
      <w:r w:rsidR="00FC67CE">
        <w:t xml:space="preserve">Finally, </w:t>
      </w:r>
      <w:r w:rsidR="00FC67CE">
        <w:rPr>
          <w:b/>
        </w:rPr>
        <w:t xml:space="preserve"> </w:t>
      </w:r>
      <w:r w:rsidR="009C1404">
        <w:t>Mr. McKenzie</w:t>
      </w:r>
      <w:r w:rsidR="00B4766C">
        <w:t>’s</w:t>
      </w:r>
      <w:r w:rsidR="006F4AA2">
        <w:t xml:space="preserve"> </w:t>
      </w:r>
      <w:r w:rsidR="00B4766C">
        <w:t xml:space="preserve">calculations of </w:t>
      </w:r>
      <w:r w:rsidR="006F4AA2">
        <w:t xml:space="preserve">average </w:t>
      </w:r>
      <w:r w:rsidR="00A050A5">
        <w:t xml:space="preserve">dividend yield </w:t>
      </w:r>
      <w:r w:rsidR="00A12F4F">
        <w:t xml:space="preserve">for </w:t>
      </w:r>
      <w:r w:rsidR="00B4766C">
        <w:t>my proxy</w:t>
      </w:r>
      <w:r w:rsidR="00A12F4F">
        <w:t xml:space="preserve"> group is </w:t>
      </w:r>
      <w:r w:rsidR="008D5895">
        <w:t>3.7</w:t>
      </w:r>
      <w:r w:rsidR="00935508">
        <w:t xml:space="preserve"> percent.</w:t>
      </w:r>
      <w:r w:rsidR="00935508">
        <w:rPr>
          <w:rStyle w:val="FootnoteReference"/>
        </w:rPr>
        <w:footnoteReference w:id="41"/>
      </w:r>
      <w:r w:rsidR="00935508">
        <w:t xml:space="preserve">  </w:t>
      </w:r>
      <w:r w:rsidR="00A12F4F">
        <w:t xml:space="preserve"> </w:t>
      </w:r>
      <w:r w:rsidR="00AC0097">
        <w:rPr>
          <w:b/>
        </w:rPr>
        <w:t xml:space="preserve"> </w:t>
      </w:r>
      <w:r w:rsidR="00413833">
        <w:rPr>
          <w:b/>
        </w:rPr>
        <w:t xml:space="preserve"> </w:t>
      </w:r>
    </w:p>
    <w:p w14:paraId="34EA9B74" w14:textId="77777777" w:rsidR="008D5895" w:rsidRDefault="008D5895" w:rsidP="008D5895">
      <w:pPr>
        <w:tabs>
          <w:tab w:val="left" w:pos="720"/>
          <w:tab w:val="left" w:pos="1440"/>
          <w:tab w:val="left" w:pos="2160"/>
          <w:tab w:val="left" w:pos="9240"/>
        </w:tabs>
        <w:spacing w:line="480" w:lineRule="auto"/>
        <w:ind w:left="720" w:hanging="720"/>
      </w:pPr>
    </w:p>
    <w:p w14:paraId="34EA9B75" w14:textId="77777777" w:rsidR="008D5895" w:rsidRDefault="008D5895" w:rsidP="00D75FDA">
      <w:pPr>
        <w:tabs>
          <w:tab w:val="left" w:pos="720"/>
          <w:tab w:val="left" w:pos="1440"/>
          <w:tab w:val="left" w:pos="2160"/>
          <w:tab w:val="left" w:pos="9240"/>
        </w:tabs>
        <w:spacing w:line="480" w:lineRule="auto"/>
        <w:ind w:left="720" w:hanging="720"/>
        <w:rPr>
          <w:b/>
        </w:rPr>
      </w:pPr>
      <w:r>
        <w:rPr>
          <w:b/>
        </w:rPr>
        <w:t>Q.</w:t>
      </w:r>
      <w:r>
        <w:rPr>
          <w:b/>
        </w:rPr>
        <w:tab/>
        <w:t xml:space="preserve">Is there anything about the dividend yield of the specific </w:t>
      </w:r>
      <w:r w:rsidR="003977C6">
        <w:rPr>
          <w:b/>
        </w:rPr>
        <w:t>utilities</w:t>
      </w:r>
      <w:r>
        <w:rPr>
          <w:b/>
        </w:rPr>
        <w:t xml:space="preserve"> </w:t>
      </w:r>
      <w:r w:rsidR="003056F7">
        <w:rPr>
          <w:b/>
        </w:rPr>
        <w:t xml:space="preserve">in your proxy group </w:t>
      </w:r>
      <w:r>
        <w:rPr>
          <w:b/>
        </w:rPr>
        <w:t>that you believe investors will evaluate and consider in the future?</w:t>
      </w:r>
    </w:p>
    <w:p w14:paraId="34EA9B76" w14:textId="3D7716AC" w:rsidR="008D5895" w:rsidRPr="008D5895" w:rsidRDefault="008D5895" w:rsidP="008D5895">
      <w:pPr>
        <w:tabs>
          <w:tab w:val="left" w:pos="720"/>
          <w:tab w:val="left" w:pos="1440"/>
          <w:tab w:val="left" w:pos="2160"/>
          <w:tab w:val="left" w:pos="9240"/>
        </w:tabs>
        <w:spacing w:line="480" w:lineRule="auto"/>
        <w:ind w:left="720" w:hanging="720"/>
      </w:pPr>
      <w:r>
        <w:t>A.</w:t>
      </w:r>
      <w:r>
        <w:tab/>
        <w:t xml:space="preserve">Yes.  Investors will expect </w:t>
      </w:r>
      <w:r w:rsidR="003056F7">
        <w:t xml:space="preserve">that </w:t>
      </w:r>
      <w:r>
        <w:t xml:space="preserve">the utilities </w:t>
      </w:r>
      <w:r w:rsidR="00FB64B8">
        <w:t>with</w:t>
      </w:r>
      <w:r>
        <w:t xml:space="preserve"> low dividend yields </w:t>
      </w:r>
      <w:r w:rsidR="00EA6115">
        <w:t xml:space="preserve">compared to others will </w:t>
      </w:r>
      <w:r>
        <w:t xml:space="preserve">increase their payout ratio and earnings.  In particular, </w:t>
      </w:r>
      <w:r w:rsidR="00885C69">
        <w:t xml:space="preserve">there are two </w:t>
      </w:r>
      <w:r w:rsidR="00157E2E">
        <w:t>such companies in my proxy</w:t>
      </w:r>
      <w:r w:rsidR="00EA6115">
        <w:t xml:space="preserve"> group</w:t>
      </w:r>
      <w:r w:rsidR="00885C69">
        <w:t xml:space="preserve">: </w:t>
      </w:r>
      <w:r>
        <w:t xml:space="preserve">Black Hills </w:t>
      </w:r>
      <w:r w:rsidR="00885C69">
        <w:t>and</w:t>
      </w:r>
      <w:r>
        <w:t xml:space="preserve"> </w:t>
      </w:r>
      <w:proofErr w:type="spellStart"/>
      <w:r w:rsidR="003977C6">
        <w:t>IdaCorp</w:t>
      </w:r>
      <w:proofErr w:type="spellEnd"/>
      <w:r>
        <w:t xml:space="preserve"> with </w:t>
      </w:r>
      <w:r w:rsidR="00EA6115">
        <w:t>a 3.0 and</w:t>
      </w:r>
      <w:r>
        <w:t xml:space="preserve"> 3.3 percent yield</w:t>
      </w:r>
      <w:r w:rsidR="00157E2E">
        <w:t>,</w:t>
      </w:r>
      <w:r w:rsidR="00EA6115">
        <w:t xml:space="preserve"> respectively</w:t>
      </w:r>
      <w:r w:rsidR="00885C69">
        <w:t xml:space="preserve">.  </w:t>
      </w:r>
      <w:r w:rsidR="00885C69" w:rsidRPr="008D5895">
        <w:rPr>
          <w:i/>
        </w:rPr>
        <w:t>Value Line</w:t>
      </w:r>
      <w:r w:rsidR="00885C69">
        <w:t xml:space="preserve"> states that the current</w:t>
      </w:r>
      <w:r w:rsidR="00157E2E">
        <w:t xml:space="preserve"> stock</w:t>
      </w:r>
      <w:r w:rsidR="00885C69">
        <w:t xml:space="preserve"> prices </w:t>
      </w:r>
      <w:r w:rsidR="00157E2E">
        <w:t xml:space="preserve">for these companies </w:t>
      </w:r>
      <w:r w:rsidR="00885C69" w:rsidRPr="00095C1A">
        <w:t xml:space="preserve">are </w:t>
      </w:r>
      <w:r w:rsidR="00761E67">
        <w:t xml:space="preserve">at the high end of a reasonable range.  Unless </w:t>
      </w:r>
      <w:r w:rsidR="00885C69">
        <w:t>there is an increase</w:t>
      </w:r>
      <w:r w:rsidR="00761E67">
        <w:t xml:space="preserve"> </w:t>
      </w:r>
      <w:r w:rsidR="00157E2E">
        <w:t xml:space="preserve">the </w:t>
      </w:r>
      <w:r w:rsidR="00761E67">
        <w:t xml:space="preserve">dividend, </w:t>
      </w:r>
      <w:r w:rsidR="00885C69">
        <w:t xml:space="preserve"> and corresponding increase in financial performance, </w:t>
      </w:r>
      <w:r w:rsidR="00761E67">
        <w:t xml:space="preserve">I expect </w:t>
      </w:r>
      <w:r w:rsidR="00EA6115">
        <w:t xml:space="preserve">downward </w:t>
      </w:r>
      <w:r w:rsidR="00761E67">
        <w:lastRenderedPageBreak/>
        <w:t xml:space="preserve">pressure on </w:t>
      </w:r>
      <w:r w:rsidR="00EA6115">
        <w:t xml:space="preserve">the stock </w:t>
      </w:r>
      <w:r w:rsidR="00761E67">
        <w:t>price</w:t>
      </w:r>
      <w:r w:rsidR="00885C69">
        <w:t>s</w:t>
      </w:r>
      <w:r w:rsidR="00157E2E">
        <w:t xml:space="preserve"> for these companies</w:t>
      </w:r>
      <w:r w:rsidR="00761E67">
        <w:t>.  Either event will increase the dividend yield</w:t>
      </w:r>
      <w:r w:rsidR="00DD0144">
        <w:t xml:space="preserve"> </w:t>
      </w:r>
      <w:r w:rsidR="00157E2E">
        <w:t xml:space="preserve">for Black Hills and </w:t>
      </w:r>
      <w:proofErr w:type="spellStart"/>
      <w:r w:rsidR="00157E2E">
        <w:t>IdaCorp</w:t>
      </w:r>
      <w:proofErr w:type="spellEnd"/>
      <w:r w:rsidR="00761E67">
        <w:t>.</w:t>
      </w:r>
      <w:r w:rsidR="00EA6115">
        <w:t xml:space="preserve">  </w:t>
      </w:r>
    </w:p>
    <w:p w14:paraId="34EA9B77" w14:textId="77777777" w:rsidR="00B92444" w:rsidRDefault="00B92444" w:rsidP="0083100A">
      <w:pPr>
        <w:tabs>
          <w:tab w:val="left" w:pos="720"/>
          <w:tab w:val="left" w:pos="1440"/>
          <w:tab w:val="left" w:pos="2160"/>
          <w:tab w:val="left" w:pos="9240"/>
        </w:tabs>
        <w:spacing w:line="480" w:lineRule="auto"/>
        <w:ind w:left="720" w:hanging="720"/>
      </w:pPr>
    </w:p>
    <w:p w14:paraId="34EA9B78" w14:textId="77777777" w:rsidR="00ED0B23" w:rsidRDefault="00ED0B23" w:rsidP="00ED0B23">
      <w:pPr>
        <w:tabs>
          <w:tab w:val="left" w:pos="720"/>
          <w:tab w:val="left" w:pos="1440"/>
          <w:tab w:val="left" w:pos="2160"/>
          <w:tab w:val="left" w:pos="9240"/>
        </w:tabs>
        <w:spacing w:line="480" w:lineRule="auto"/>
        <w:ind w:left="720" w:hanging="720"/>
        <w:rPr>
          <w:b/>
        </w:rPr>
      </w:pPr>
      <w:r w:rsidRPr="00DE042B">
        <w:rPr>
          <w:b/>
        </w:rPr>
        <w:t>Q.</w:t>
      </w:r>
      <w:r w:rsidRPr="00DE042B">
        <w:rPr>
          <w:b/>
        </w:rPr>
        <w:tab/>
      </w:r>
      <w:r w:rsidR="009E381A">
        <w:rPr>
          <w:b/>
        </w:rPr>
        <w:t xml:space="preserve">Based on this information, </w:t>
      </w:r>
      <w:r>
        <w:rPr>
          <w:b/>
        </w:rPr>
        <w:t xml:space="preserve">what </w:t>
      </w:r>
      <w:r w:rsidR="009E381A">
        <w:rPr>
          <w:b/>
        </w:rPr>
        <w:t xml:space="preserve">is a </w:t>
      </w:r>
      <w:r>
        <w:rPr>
          <w:b/>
        </w:rPr>
        <w:t>reasonable</w:t>
      </w:r>
      <w:r w:rsidRPr="00DE042B">
        <w:rPr>
          <w:b/>
        </w:rPr>
        <w:t xml:space="preserve"> estimate of the dividend yield for your proxy group</w:t>
      </w:r>
      <w:r w:rsidR="00C70A2B">
        <w:rPr>
          <w:b/>
        </w:rPr>
        <w:t xml:space="preserve"> for purposes of your DCF analysis</w:t>
      </w:r>
      <w:r w:rsidRPr="00DE042B">
        <w:rPr>
          <w:b/>
        </w:rPr>
        <w:t>?</w:t>
      </w:r>
    </w:p>
    <w:p w14:paraId="34EA9B79" w14:textId="77777777" w:rsidR="00ED0B23" w:rsidRDefault="00ED0B23" w:rsidP="00ED0B23">
      <w:pPr>
        <w:tabs>
          <w:tab w:val="left" w:pos="720"/>
          <w:tab w:val="left" w:pos="1440"/>
          <w:tab w:val="left" w:pos="2160"/>
          <w:tab w:val="left" w:pos="9240"/>
        </w:tabs>
        <w:spacing w:line="480" w:lineRule="auto"/>
        <w:ind w:left="720" w:hanging="720"/>
      </w:pPr>
      <w:r>
        <w:t>A.</w:t>
      </w:r>
      <w:r>
        <w:tab/>
      </w:r>
      <w:r w:rsidR="00157E2E">
        <w:t>T</w:t>
      </w:r>
      <w:r w:rsidR="00DD0144">
        <w:t>he average</w:t>
      </w:r>
      <w:r>
        <w:t xml:space="preserve"> dividend yield </w:t>
      </w:r>
      <w:r w:rsidR="00EA6115">
        <w:t xml:space="preserve">for the proxy group </w:t>
      </w:r>
      <w:r w:rsidR="002F311A">
        <w:t xml:space="preserve">is </w:t>
      </w:r>
      <w:r w:rsidR="00B92444">
        <w:t>4.0</w:t>
      </w:r>
      <w:r w:rsidR="00182BB6">
        <w:t xml:space="preserve"> </w:t>
      </w:r>
      <w:r>
        <w:t>percent</w:t>
      </w:r>
      <w:r w:rsidR="00157E2E">
        <w:t xml:space="preserve"> if Black Hills and </w:t>
      </w:r>
      <w:proofErr w:type="spellStart"/>
      <w:r w:rsidR="00157E2E">
        <w:t>IdaCorp</w:t>
      </w:r>
      <w:proofErr w:type="spellEnd"/>
      <w:r w:rsidR="00157E2E">
        <w:t xml:space="preserve"> are not </w:t>
      </w:r>
      <w:r w:rsidR="00925156">
        <w:t>considered</w:t>
      </w:r>
      <w:r w:rsidR="00DD0144">
        <w:t xml:space="preserve">.  Therefore, I conclude </w:t>
      </w:r>
      <w:r w:rsidR="00157E2E">
        <w:t xml:space="preserve">that a 4.0 percent dividend yield is </w:t>
      </w:r>
      <w:r>
        <w:t xml:space="preserve">reasonable for </w:t>
      </w:r>
      <w:r w:rsidR="00B92444">
        <w:t>the</w:t>
      </w:r>
      <w:r>
        <w:t xml:space="preserve"> proxy group</w:t>
      </w:r>
      <w:r w:rsidR="009E381A">
        <w:t>.</w:t>
      </w:r>
      <w:r w:rsidR="00A718AD">
        <w:t xml:space="preserve">  </w:t>
      </w:r>
      <w:r w:rsidR="00C2630D">
        <w:t xml:space="preserve"> </w:t>
      </w:r>
    </w:p>
    <w:p w14:paraId="34EA9B7A" w14:textId="77777777" w:rsidR="00D66B41" w:rsidRDefault="00D66B41" w:rsidP="00ED0B23">
      <w:pPr>
        <w:tabs>
          <w:tab w:val="left" w:pos="720"/>
          <w:tab w:val="left" w:pos="1440"/>
          <w:tab w:val="left" w:pos="2160"/>
          <w:tab w:val="left" w:pos="9240"/>
        </w:tabs>
        <w:spacing w:line="480" w:lineRule="auto"/>
        <w:ind w:left="720" w:hanging="720"/>
      </w:pPr>
    </w:p>
    <w:p w14:paraId="34EA9B7B" w14:textId="77777777" w:rsidR="005D3B74" w:rsidRPr="00DF0C2E" w:rsidRDefault="00A462AA" w:rsidP="00CE657A">
      <w:pPr>
        <w:spacing w:line="480" w:lineRule="auto"/>
        <w:ind w:left="720" w:hanging="720"/>
        <w:rPr>
          <w:b/>
        </w:rPr>
      </w:pPr>
      <w:r>
        <w:rPr>
          <w:b/>
        </w:rPr>
        <w:t>Q.</w:t>
      </w:r>
      <w:r w:rsidR="005D3B74">
        <w:rPr>
          <w:b/>
        </w:rPr>
        <w:tab/>
      </w:r>
      <w:r w:rsidR="00C72795">
        <w:rPr>
          <w:b/>
        </w:rPr>
        <w:t xml:space="preserve">Turning to </w:t>
      </w:r>
      <w:r w:rsidR="00A81EDF">
        <w:rPr>
          <w:b/>
        </w:rPr>
        <w:t xml:space="preserve">your estimate of long-term </w:t>
      </w:r>
      <w:r w:rsidR="00C72795">
        <w:rPr>
          <w:b/>
        </w:rPr>
        <w:t>dividend growth</w:t>
      </w:r>
      <w:r w:rsidR="006B0A11">
        <w:rPr>
          <w:b/>
        </w:rPr>
        <w:t>,</w:t>
      </w:r>
      <w:r w:rsidR="00A81EDF">
        <w:rPr>
          <w:b/>
        </w:rPr>
        <w:t xml:space="preserve"> w</w:t>
      </w:r>
      <w:r w:rsidR="005D3B74">
        <w:rPr>
          <w:b/>
        </w:rPr>
        <w:t xml:space="preserve">hat does </w:t>
      </w:r>
      <w:r w:rsidR="005D3B74">
        <w:rPr>
          <w:b/>
          <w:i/>
        </w:rPr>
        <w:t xml:space="preserve">Value Line </w:t>
      </w:r>
      <w:r w:rsidR="005D3B74">
        <w:rPr>
          <w:b/>
        </w:rPr>
        <w:t>report for growth in book value for your proxy group?</w:t>
      </w:r>
    </w:p>
    <w:p w14:paraId="34EA9B7C" w14:textId="77777777" w:rsidR="00371EB3" w:rsidRDefault="00843DDD" w:rsidP="00A462AA">
      <w:pPr>
        <w:tabs>
          <w:tab w:val="left" w:pos="720"/>
          <w:tab w:val="left" w:pos="1440"/>
          <w:tab w:val="left" w:pos="9240"/>
        </w:tabs>
        <w:spacing w:line="480" w:lineRule="auto"/>
        <w:ind w:left="720" w:hanging="720"/>
      </w:pPr>
      <w:r>
        <w:t>A.</w:t>
      </w:r>
      <w:r>
        <w:tab/>
        <w:t xml:space="preserve">Based on </w:t>
      </w:r>
      <w:r w:rsidRPr="00A428CC">
        <w:rPr>
          <w:i/>
        </w:rPr>
        <w:t>Value Line</w:t>
      </w:r>
      <w:r>
        <w:t xml:space="preserve"> reports, the </w:t>
      </w:r>
      <w:r w:rsidR="00A718AD">
        <w:t xml:space="preserve">expected </w:t>
      </w:r>
      <w:r>
        <w:t xml:space="preserve">average growth in book value </w:t>
      </w:r>
      <w:r w:rsidR="006B0A11">
        <w:t xml:space="preserve">for my proxy group </w:t>
      </w:r>
      <w:r>
        <w:t xml:space="preserve">is </w:t>
      </w:r>
      <w:r w:rsidR="00A718AD">
        <w:t>3.0</w:t>
      </w:r>
      <w:r>
        <w:t xml:space="preserve"> pe</w:t>
      </w:r>
      <w:r w:rsidR="0063400A">
        <w:t xml:space="preserve">rcent </w:t>
      </w:r>
      <w:r w:rsidR="00A718AD">
        <w:t>for the time period 2012 to 2016/2018</w:t>
      </w:r>
      <w:r>
        <w:t xml:space="preserve">.  </w:t>
      </w:r>
      <w:r w:rsidR="003E3864">
        <w:t xml:space="preserve">For the same reasons I </w:t>
      </w:r>
      <w:r w:rsidR="00925156">
        <w:t>discussed</w:t>
      </w:r>
      <w:r w:rsidR="003E3864">
        <w:t xml:space="preserve"> earlier, I expect investors to consider that this figure may well understate the future growth in book value</w:t>
      </w:r>
      <w:r w:rsidR="006B0A11">
        <w:t>,</w:t>
      </w:r>
      <w:r w:rsidR="003E3864">
        <w:t xml:space="preserve"> </w:t>
      </w:r>
      <w:r w:rsidR="00157E2E">
        <w:t xml:space="preserve">because </w:t>
      </w:r>
      <w:r w:rsidR="00DD0144">
        <w:t>as a general matter</w:t>
      </w:r>
      <w:r w:rsidR="00157E2E">
        <w:t>,</w:t>
      </w:r>
      <w:r w:rsidR="00DD0144">
        <w:t xml:space="preserve"> all utilities are faced with burgeoning capital budgets</w:t>
      </w:r>
      <w:r w:rsidR="003E3864">
        <w:t>.</w:t>
      </w:r>
      <w:r w:rsidR="009A17CB">
        <w:rPr>
          <w:rStyle w:val="FootnoteReference"/>
        </w:rPr>
        <w:footnoteReference w:id="42"/>
      </w:r>
      <w:r w:rsidR="00F04329">
        <w:t xml:space="preserve"> </w:t>
      </w:r>
    </w:p>
    <w:p w14:paraId="34EA9B7D" w14:textId="77777777" w:rsidR="00514890" w:rsidRDefault="00514890" w:rsidP="00E5511E">
      <w:pPr>
        <w:tabs>
          <w:tab w:val="left" w:pos="720"/>
          <w:tab w:val="left" w:pos="1440"/>
          <w:tab w:val="left" w:pos="2160"/>
          <w:tab w:val="left" w:pos="9240"/>
        </w:tabs>
        <w:spacing w:line="480" w:lineRule="auto"/>
        <w:ind w:left="720" w:hanging="720"/>
        <w:rPr>
          <w:b/>
        </w:rPr>
      </w:pPr>
    </w:p>
    <w:p w14:paraId="34EA9B7E" w14:textId="77777777" w:rsidR="00514890" w:rsidRPr="00DF0C2E" w:rsidRDefault="00514890" w:rsidP="00C267BF">
      <w:pPr>
        <w:spacing w:line="480" w:lineRule="auto"/>
        <w:ind w:left="720" w:hanging="720"/>
        <w:rPr>
          <w:b/>
        </w:rPr>
      </w:pPr>
      <w:r>
        <w:rPr>
          <w:b/>
        </w:rPr>
        <w:t>Q.</w:t>
      </w:r>
      <w:r>
        <w:rPr>
          <w:b/>
        </w:rPr>
        <w:tab/>
        <w:t xml:space="preserve">What does </w:t>
      </w:r>
      <w:r>
        <w:rPr>
          <w:b/>
          <w:i/>
        </w:rPr>
        <w:t xml:space="preserve">Value Line </w:t>
      </w:r>
      <w:r w:rsidR="009A17CB">
        <w:rPr>
          <w:b/>
        </w:rPr>
        <w:t>indicate</w:t>
      </w:r>
      <w:r>
        <w:rPr>
          <w:b/>
        </w:rPr>
        <w:t xml:space="preserve"> for </w:t>
      </w:r>
      <w:r w:rsidR="006045FA">
        <w:rPr>
          <w:b/>
        </w:rPr>
        <w:t xml:space="preserve">internal </w:t>
      </w:r>
      <w:r>
        <w:rPr>
          <w:b/>
        </w:rPr>
        <w:t>growth</w:t>
      </w:r>
      <w:r w:rsidR="003B5DE3">
        <w:rPr>
          <w:b/>
        </w:rPr>
        <w:t xml:space="preserve"> </w:t>
      </w:r>
      <w:r>
        <w:rPr>
          <w:b/>
        </w:rPr>
        <w:t xml:space="preserve">for your </w:t>
      </w:r>
      <w:r w:rsidR="00C72795">
        <w:rPr>
          <w:b/>
        </w:rPr>
        <w:t xml:space="preserve">proxy </w:t>
      </w:r>
      <w:r>
        <w:rPr>
          <w:b/>
        </w:rPr>
        <w:t>group?</w:t>
      </w:r>
    </w:p>
    <w:p w14:paraId="34EA9B7F" w14:textId="77777777" w:rsidR="00F66875" w:rsidRDefault="00514890" w:rsidP="00514890">
      <w:pPr>
        <w:tabs>
          <w:tab w:val="left" w:pos="720"/>
          <w:tab w:val="left" w:pos="1440"/>
          <w:tab w:val="left" w:pos="9240"/>
        </w:tabs>
        <w:spacing w:line="480" w:lineRule="auto"/>
        <w:ind w:left="720" w:hanging="720"/>
      </w:pPr>
      <w:r>
        <w:t>A.</w:t>
      </w:r>
      <w:r>
        <w:tab/>
      </w:r>
      <w:r w:rsidR="00A12F4F">
        <w:t xml:space="preserve">The average of </w:t>
      </w:r>
      <w:r w:rsidR="00A12F4F">
        <w:rPr>
          <w:i/>
        </w:rPr>
        <w:t>Value Line</w:t>
      </w:r>
      <w:r w:rsidR="00A12F4F">
        <w:t>’s</w:t>
      </w:r>
      <w:r w:rsidR="00A12F4F">
        <w:rPr>
          <w:i/>
        </w:rPr>
        <w:t xml:space="preserve"> </w:t>
      </w:r>
      <w:r w:rsidR="006045FA">
        <w:t xml:space="preserve">internal </w:t>
      </w:r>
      <w:r>
        <w:t xml:space="preserve">growth </w:t>
      </w:r>
      <w:r w:rsidR="00A12F4F">
        <w:t xml:space="preserve">estimates </w:t>
      </w:r>
      <w:r w:rsidR="006045FA">
        <w:t xml:space="preserve">for the </w:t>
      </w:r>
      <w:r w:rsidR="00A12F4F">
        <w:t xml:space="preserve">utilities in </w:t>
      </w:r>
      <w:r w:rsidR="00157E2E">
        <w:t xml:space="preserve">my </w:t>
      </w:r>
      <w:r w:rsidR="006045FA">
        <w:t>proxy group</w:t>
      </w:r>
      <w:r w:rsidR="00157E2E">
        <w:t>,</w:t>
      </w:r>
      <w:r>
        <w:t xml:space="preserve"> </w:t>
      </w:r>
      <w:r w:rsidR="00DD0144">
        <w:t>using the same internal growth calculation</w:t>
      </w:r>
      <w:r w:rsidR="00157E2E">
        <w:t>,</w:t>
      </w:r>
      <w:r w:rsidR="00DD0144">
        <w:t xml:space="preserve"> </w:t>
      </w:r>
      <w:r w:rsidR="00A12F4F">
        <w:t>is</w:t>
      </w:r>
      <w:r w:rsidR="00A050A5">
        <w:t xml:space="preserve"> </w:t>
      </w:r>
      <w:r w:rsidR="00F66875">
        <w:t>3.</w:t>
      </w:r>
      <w:r w:rsidR="004D4EAE">
        <w:t>7</w:t>
      </w:r>
      <w:r w:rsidR="005D3B74">
        <w:t xml:space="preserve"> percent.  </w:t>
      </w:r>
    </w:p>
    <w:p w14:paraId="34EA9B80" w14:textId="77777777" w:rsidR="0083100A" w:rsidRDefault="0083100A" w:rsidP="00514890">
      <w:pPr>
        <w:tabs>
          <w:tab w:val="left" w:pos="720"/>
          <w:tab w:val="left" w:pos="1440"/>
          <w:tab w:val="left" w:pos="9240"/>
        </w:tabs>
        <w:spacing w:line="480" w:lineRule="auto"/>
        <w:ind w:left="720" w:hanging="720"/>
      </w:pPr>
    </w:p>
    <w:p w14:paraId="34EA9B81" w14:textId="77777777" w:rsidR="0083100A" w:rsidRDefault="0083100A" w:rsidP="00682CA0">
      <w:pPr>
        <w:tabs>
          <w:tab w:val="left" w:pos="720"/>
          <w:tab w:val="left" w:pos="1440"/>
          <w:tab w:val="left" w:pos="9240"/>
        </w:tabs>
        <w:spacing w:line="480" w:lineRule="auto"/>
        <w:ind w:left="720" w:hanging="720"/>
        <w:rPr>
          <w:b/>
        </w:rPr>
      </w:pPr>
      <w:r w:rsidRPr="0083100A">
        <w:rPr>
          <w:b/>
        </w:rPr>
        <w:t>Q.</w:t>
      </w:r>
      <w:r>
        <w:rPr>
          <w:b/>
        </w:rPr>
        <w:tab/>
        <w:t xml:space="preserve">How does this </w:t>
      </w:r>
      <w:r w:rsidR="00085235">
        <w:rPr>
          <w:b/>
        </w:rPr>
        <w:t xml:space="preserve">data </w:t>
      </w:r>
      <w:r>
        <w:rPr>
          <w:b/>
        </w:rPr>
        <w:t xml:space="preserve">compare to </w:t>
      </w:r>
      <w:r w:rsidR="009C1404">
        <w:rPr>
          <w:b/>
        </w:rPr>
        <w:t>Mr. McKenzie</w:t>
      </w:r>
      <w:r>
        <w:rPr>
          <w:b/>
        </w:rPr>
        <w:t xml:space="preserve">’s </w:t>
      </w:r>
      <w:r w:rsidR="00682CA0">
        <w:rPr>
          <w:b/>
        </w:rPr>
        <w:t xml:space="preserve">estimate of </w:t>
      </w:r>
      <w:r w:rsidR="006045FA">
        <w:rPr>
          <w:b/>
        </w:rPr>
        <w:t xml:space="preserve">internal </w:t>
      </w:r>
      <w:r w:rsidR="00682CA0">
        <w:rPr>
          <w:b/>
        </w:rPr>
        <w:t xml:space="preserve">growth for </w:t>
      </w:r>
      <w:r w:rsidR="009E381A">
        <w:rPr>
          <w:b/>
        </w:rPr>
        <w:t xml:space="preserve">the companies in </w:t>
      </w:r>
      <w:r w:rsidR="00682CA0">
        <w:rPr>
          <w:b/>
        </w:rPr>
        <w:t>your proxy group?</w:t>
      </w:r>
    </w:p>
    <w:p w14:paraId="34EA9B82" w14:textId="77777777" w:rsidR="00682CA0" w:rsidRDefault="00682CA0" w:rsidP="00682CA0">
      <w:pPr>
        <w:tabs>
          <w:tab w:val="left" w:pos="720"/>
          <w:tab w:val="left" w:pos="1440"/>
          <w:tab w:val="left" w:pos="9240"/>
        </w:tabs>
        <w:spacing w:line="480" w:lineRule="auto"/>
        <w:ind w:left="720" w:hanging="720"/>
      </w:pPr>
      <w:r>
        <w:lastRenderedPageBreak/>
        <w:t>A.</w:t>
      </w:r>
      <w:r>
        <w:tab/>
      </w:r>
      <w:r w:rsidR="009C1404">
        <w:t>Mr. McKenzie</w:t>
      </w:r>
      <w:r>
        <w:t>’s calculations</w:t>
      </w:r>
      <w:r w:rsidR="006045FA">
        <w:t xml:space="preserve"> </w:t>
      </w:r>
      <w:r>
        <w:t xml:space="preserve">for </w:t>
      </w:r>
      <w:r w:rsidR="00C72795">
        <w:t xml:space="preserve">the companies in </w:t>
      </w:r>
      <w:r w:rsidR="008D415C">
        <w:t>my</w:t>
      </w:r>
      <w:r>
        <w:t xml:space="preserve"> group show </w:t>
      </w:r>
      <w:r w:rsidR="003056F7">
        <w:t xml:space="preserve">that </w:t>
      </w:r>
      <w:r w:rsidR="006045FA">
        <w:t>internal</w:t>
      </w:r>
      <w:r>
        <w:t xml:space="preserve"> growth </w:t>
      </w:r>
      <w:r w:rsidR="006045FA">
        <w:t xml:space="preserve">averages </w:t>
      </w:r>
      <w:r w:rsidR="00A718AD">
        <w:t>4.1</w:t>
      </w:r>
      <w:r w:rsidR="00A5285E">
        <w:t xml:space="preserve"> percent</w:t>
      </w:r>
      <w:r>
        <w:t>.</w:t>
      </w:r>
      <w:r w:rsidR="00DD0144">
        <w:rPr>
          <w:rStyle w:val="FootnoteReference"/>
        </w:rPr>
        <w:footnoteReference w:id="43"/>
      </w:r>
      <w:r w:rsidR="00493A69">
        <w:t xml:space="preserve"> </w:t>
      </w:r>
    </w:p>
    <w:p w14:paraId="34EA9B83" w14:textId="77777777" w:rsidR="00B92444" w:rsidRDefault="00B92444" w:rsidP="00682CA0">
      <w:pPr>
        <w:tabs>
          <w:tab w:val="left" w:pos="720"/>
          <w:tab w:val="left" w:pos="1440"/>
          <w:tab w:val="left" w:pos="9240"/>
        </w:tabs>
        <w:spacing w:line="480" w:lineRule="auto"/>
        <w:ind w:left="720" w:hanging="720"/>
      </w:pPr>
    </w:p>
    <w:p w14:paraId="34EA9B84" w14:textId="77777777" w:rsidR="005D3B74" w:rsidRDefault="005D3B74" w:rsidP="005D3B74">
      <w:pPr>
        <w:tabs>
          <w:tab w:val="left" w:pos="720"/>
          <w:tab w:val="left" w:pos="1440"/>
          <w:tab w:val="left" w:pos="9240"/>
        </w:tabs>
        <w:spacing w:line="480" w:lineRule="auto"/>
        <w:ind w:left="720" w:hanging="720"/>
        <w:rPr>
          <w:b/>
        </w:rPr>
      </w:pPr>
      <w:r>
        <w:rPr>
          <w:b/>
        </w:rPr>
        <w:t>Q.</w:t>
      </w:r>
      <w:r>
        <w:rPr>
          <w:b/>
        </w:rPr>
        <w:tab/>
        <w:t>What other financial data did you evaluate in developing your estimate for long-term growth in dividends for the proxy group?</w:t>
      </w:r>
    </w:p>
    <w:p w14:paraId="34EA9B85" w14:textId="77777777" w:rsidR="00A27976" w:rsidRDefault="00DC6BA0" w:rsidP="000E1B1C">
      <w:pPr>
        <w:tabs>
          <w:tab w:val="left" w:pos="720"/>
          <w:tab w:val="left" w:pos="1440"/>
          <w:tab w:val="left" w:pos="9240"/>
        </w:tabs>
        <w:spacing w:line="480" w:lineRule="auto"/>
        <w:ind w:left="720" w:hanging="720"/>
      </w:pPr>
      <w:r>
        <w:t>A.</w:t>
      </w:r>
      <w:r>
        <w:tab/>
        <w:t>I also considered earnings</w:t>
      </w:r>
      <w:r w:rsidR="00A050A5">
        <w:t xml:space="preserve"> growth</w:t>
      </w:r>
      <w:r>
        <w:t xml:space="preserve"> estimates </w:t>
      </w:r>
      <w:r w:rsidR="00A718AD">
        <w:t xml:space="preserve">for the proxy group and </w:t>
      </w:r>
      <w:r w:rsidR="00A32572">
        <w:t xml:space="preserve">the data provided by </w:t>
      </w:r>
      <w:r w:rsidR="009C1404">
        <w:t>Mr. McKenzie</w:t>
      </w:r>
      <w:r w:rsidR="00A32572">
        <w:t xml:space="preserve"> from </w:t>
      </w:r>
      <w:r w:rsidR="00220752">
        <w:t xml:space="preserve">IBES </w:t>
      </w:r>
      <w:r w:rsidR="00A32572">
        <w:t xml:space="preserve">and </w:t>
      </w:r>
      <w:r w:rsidR="003977C6">
        <w:t>Zach’s</w:t>
      </w:r>
      <w:r w:rsidR="00A32572">
        <w:t xml:space="preserve">.  These services indicate that the average earnings growth rate </w:t>
      </w:r>
      <w:r w:rsidR="000E1B1C">
        <w:t xml:space="preserve">for </w:t>
      </w:r>
      <w:r w:rsidR="00947D98">
        <w:t>my</w:t>
      </w:r>
      <w:r w:rsidR="000E1B1C">
        <w:t xml:space="preserve"> proxy group </w:t>
      </w:r>
      <w:r w:rsidR="00A32572">
        <w:t xml:space="preserve">is </w:t>
      </w:r>
      <w:r w:rsidR="000E1B1C">
        <w:t xml:space="preserve">expected to be </w:t>
      </w:r>
      <w:r w:rsidR="00A718AD">
        <w:t>5.4</w:t>
      </w:r>
      <w:r w:rsidR="00A32572">
        <w:t xml:space="preserve"> </w:t>
      </w:r>
      <w:r w:rsidR="00947D98">
        <w:t xml:space="preserve">percent (IBES) </w:t>
      </w:r>
      <w:r w:rsidR="00616A5A">
        <w:t>and 5.</w:t>
      </w:r>
      <w:r w:rsidR="00A718AD">
        <w:t>1</w:t>
      </w:r>
      <w:r w:rsidR="00A32572">
        <w:t xml:space="preserve"> percent </w:t>
      </w:r>
      <w:r w:rsidR="00947D98">
        <w:t>(</w:t>
      </w:r>
      <w:r w:rsidR="003977C6">
        <w:t>Zach’s</w:t>
      </w:r>
      <w:r w:rsidR="00947D98">
        <w:t>)</w:t>
      </w:r>
      <w:r w:rsidR="00A32572">
        <w:t>.</w:t>
      </w:r>
      <w:r w:rsidR="00616A5A">
        <w:rPr>
          <w:rStyle w:val="FootnoteReference"/>
        </w:rPr>
        <w:footnoteReference w:id="44"/>
      </w:r>
      <w:r w:rsidR="0066777B">
        <w:t xml:space="preserve"> </w:t>
      </w:r>
      <w:r w:rsidR="00160E04">
        <w:t xml:space="preserve">  </w:t>
      </w:r>
    </w:p>
    <w:p w14:paraId="34EA9B86" w14:textId="77777777" w:rsidR="00ED0B23" w:rsidRDefault="00ED0B23" w:rsidP="000E1B1C">
      <w:pPr>
        <w:tabs>
          <w:tab w:val="left" w:pos="720"/>
          <w:tab w:val="left" w:pos="1440"/>
          <w:tab w:val="left" w:pos="9240"/>
        </w:tabs>
        <w:spacing w:line="480" w:lineRule="auto"/>
        <w:ind w:left="720" w:hanging="720"/>
      </w:pPr>
    </w:p>
    <w:p w14:paraId="34EA9B87" w14:textId="77777777" w:rsidR="00ED0B23" w:rsidRDefault="00843DDD" w:rsidP="000E1B1C">
      <w:pPr>
        <w:tabs>
          <w:tab w:val="left" w:pos="720"/>
          <w:tab w:val="left" w:pos="1440"/>
          <w:tab w:val="left" w:pos="9240"/>
        </w:tabs>
        <w:spacing w:line="480" w:lineRule="auto"/>
        <w:ind w:left="720" w:hanging="720"/>
        <w:rPr>
          <w:b/>
        </w:rPr>
      </w:pPr>
      <w:r>
        <w:rPr>
          <w:b/>
        </w:rPr>
        <w:t>Q.</w:t>
      </w:r>
      <w:r>
        <w:rPr>
          <w:b/>
        </w:rPr>
        <w:tab/>
        <w:t>How will rational investors evaluate these earnings estimates?</w:t>
      </w:r>
    </w:p>
    <w:p w14:paraId="34EA9B88" w14:textId="77777777" w:rsidR="009101BE" w:rsidRDefault="00ED0B23" w:rsidP="000E1B1C">
      <w:pPr>
        <w:tabs>
          <w:tab w:val="left" w:pos="720"/>
          <w:tab w:val="left" w:pos="1440"/>
          <w:tab w:val="left" w:pos="9240"/>
        </w:tabs>
        <w:spacing w:line="480" w:lineRule="auto"/>
        <w:ind w:left="720" w:hanging="720"/>
      </w:pPr>
      <w:r>
        <w:t>A.</w:t>
      </w:r>
      <w:r>
        <w:tab/>
      </w:r>
      <w:r w:rsidR="00616A5A">
        <w:t xml:space="preserve">First, </w:t>
      </w:r>
      <w:r w:rsidR="005532B8">
        <w:t xml:space="preserve">rational investors will recognize </w:t>
      </w:r>
      <w:r w:rsidR="00C63DBA">
        <w:t>earnings estimates</w:t>
      </w:r>
      <w:r w:rsidR="009A17CB">
        <w:t xml:space="preserve"> are highly variable</w:t>
      </w:r>
      <w:r w:rsidR="00616A5A">
        <w:t xml:space="preserve">, </w:t>
      </w:r>
      <w:r w:rsidR="005532B8">
        <w:t xml:space="preserve">and </w:t>
      </w:r>
      <w:r w:rsidR="00B34738">
        <w:t xml:space="preserve">will </w:t>
      </w:r>
      <w:r w:rsidR="00616A5A">
        <w:t xml:space="preserve">view them </w:t>
      </w:r>
      <w:r w:rsidR="00C70A2B">
        <w:t xml:space="preserve">as </w:t>
      </w:r>
      <w:r>
        <w:t xml:space="preserve">reasonable </w:t>
      </w:r>
      <w:r w:rsidR="00C2630D">
        <w:t xml:space="preserve">only </w:t>
      </w:r>
      <w:r w:rsidR="00616A5A">
        <w:t>if they are consistent with other</w:t>
      </w:r>
      <w:r w:rsidR="00E62D68">
        <w:t xml:space="preserve"> financial</w:t>
      </w:r>
      <w:r w:rsidR="00616A5A">
        <w:t xml:space="preserve"> data.  </w:t>
      </w:r>
      <w:r w:rsidR="0063400A">
        <w:t xml:space="preserve">In particular, investors will temper </w:t>
      </w:r>
      <w:r w:rsidR="00616A5A">
        <w:t>the</w:t>
      </w:r>
      <w:r w:rsidR="0063400A">
        <w:t>se</w:t>
      </w:r>
      <w:r w:rsidR="00616A5A">
        <w:t xml:space="preserve"> estimates </w:t>
      </w:r>
      <w:r w:rsidR="0063400A">
        <w:t>based upon what the financial data show for internal growth using the</w:t>
      </w:r>
      <w:r>
        <w:t xml:space="preserve"> traditional </w:t>
      </w:r>
      <w:r w:rsidRPr="009E381A">
        <w:rPr>
          <w:i/>
        </w:rPr>
        <w:t>“b*r”</w:t>
      </w:r>
      <w:r>
        <w:t xml:space="preserve"> formula.  </w:t>
      </w:r>
      <w:r w:rsidR="00150C57">
        <w:t xml:space="preserve"> If </w:t>
      </w:r>
      <w:r w:rsidR="00792347">
        <w:t xml:space="preserve">investors </w:t>
      </w:r>
      <w:r w:rsidR="00150C57">
        <w:t>evaluate</w:t>
      </w:r>
      <w:r w:rsidR="00032172">
        <w:t xml:space="preserve"> IBES and </w:t>
      </w:r>
      <w:r w:rsidR="003977C6">
        <w:t>Zach’s</w:t>
      </w:r>
      <w:r w:rsidR="00032172">
        <w:t>' earnings estimates</w:t>
      </w:r>
      <w:r w:rsidR="00792347">
        <w:t xml:space="preserve"> for these companies</w:t>
      </w:r>
      <w:r w:rsidR="00150C57">
        <w:t xml:space="preserve"> with this data in mind</w:t>
      </w:r>
      <w:r w:rsidR="00C70A2B">
        <w:t>,</w:t>
      </w:r>
      <w:r w:rsidR="00150C57">
        <w:t xml:space="preserve"> </w:t>
      </w:r>
      <w:r w:rsidR="00FD65C1">
        <w:t>a</w:t>
      </w:r>
      <w:r w:rsidR="00032172">
        <w:t xml:space="preserve"> 5.0</w:t>
      </w:r>
      <w:r w:rsidR="007768C9">
        <w:t xml:space="preserve"> percent</w:t>
      </w:r>
      <w:r w:rsidR="00032172">
        <w:t xml:space="preserve"> </w:t>
      </w:r>
      <w:r w:rsidR="00C70A2B">
        <w:t xml:space="preserve">dividend growth rate </w:t>
      </w:r>
      <w:r w:rsidR="009A17CB">
        <w:t xml:space="preserve">is achievable </w:t>
      </w:r>
      <w:r w:rsidR="007811C8">
        <w:t>only if</w:t>
      </w:r>
      <w:r w:rsidR="00F03A39">
        <w:t xml:space="preserve"> the utility </w:t>
      </w:r>
      <w:r w:rsidR="00E34ABC">
        <w:t>is able to</w:t>
      </w:r>
      <w:r w:rsidR="00B358DE">
        <w:t xml:space="preserve"> earn </w:t>
      </w:r>
      <w:r w:rsidR="003B0F85">
        <w:t>12.5 percent</w:t>
      </w:r>
      <w:r w:rsidR="00B358DE">
        <w:t xml:space="preserve"> on equity</w:t>
      </w:r>
      <w:r w:rsidR="00FD65C1">
        <w:t>.</w:t>
      </w:r>
      <w:r w:rsidR="003B0F85">
        <w:rPr>
          <w:rStyle w:val="FootnoteReference"/>
        </w:rPr>
        <w:footnoteReference w:id="45"/>
      </w:r>
      <w:r w:rsidR="00FD65C1">
        <w:t xml:space="preserve"> </w:t>
      </w:r>
      <w:r w:rsidR="00F03A39">
        <w:t xml:space="preserve"> </w:t>
      </w:r>
      <w:r w:rsidR="00E34ABC" w:rsidRPr="00E34ABC">
        <w:rPr>
          <w:i/>
        </w:rPr>
        <w:t>Value Line’s</w:t>
      </w:r>
      <w:r w:rsidR="00E34ABC">
        <w:t xml:space="preserve"> own projections for earned returns show this is not </w:t>
      </w:r>
      <w:r w:rsidR="004044AF">
        <w:t>reasonable</w:t>
      </w:r>
      <w:r w:rsidR="00F03A39">
        <w:t>.</w:t>
      </w:r>
      <w:r w:rsidR="006B0A11">
        <w:t xml:space="preserve">  Accordingly, investors </w:t>
      </w:r>
      <w:r w:rsidR="004044AF">
        <w:t xml:space="preserve">would </w:t>
      </w:r>
      <w:r w:rsidR="006B0A11">
        <w:t xml:space="preserve">not expect a 5.0 percent </w:t>
      </w:r>
      <w:r w:rsidR="00E34ABC">
        <w:t>growth rate</w:t>
      </w:r>
      <w:r w:rsidR="00C67CF2">
        <w:t xml:space="preserve"> </w:t>
      </w:r>
      <w:r w:rsidR="00095C1A">
        <w:t xml:space="preserve">in earnings as a reasonable estimate </w:t>
      </w:r>
      <w:r w:rsidR="00C67CF2">
        <w:t xml:space="preserve">for </w:t>
      </w:r>
      <w:r w:rsidR="00095C1A">
        <w:t>long-run sustainable dividend growth.</w:t>
      </w:r>
    </w:p>
    <w:p w14:paraId="34EA9B89" w14:textId="77777777" w:rsidR="00214065" w:rsidRDefault="00DC6BA0" w:rsidP="005D3B74">
      <w:pPr>
        <w:tabs>
          <w:tab w:val="left" w:pos="720"/>
          <w:tab w:val="left" w:pos="1440"/>
          <w:tab w:val="left" w:pos="9240"/>
        </w:tabs>
        <w:spacing w:line="480" w:lineRule="auto"/>
        <w:ind w:left="720" w:hanging="720"/>
      </w:pPr>
      <w:r>
        <w:t xml:space="preserve"> </w:t>
      </w:r>
    </w:p>
    <w:p w14:paraId="34EA9B8A" w14:textId="77777777" w:rsidR="00FD2B4F" w:rsidRDefault="00FD2B4F" w:rsidP="005D3B74">
      <w:pPr>
        <w:tabs>
          <w:tab w:val="left" w:pos="720"/>
          <w:tab w:val="left" w:pos="1440"/>
          <w:tab w:val="left" w:pos="9240"/>
        </w:tabs>
        <w:spacing w:line="480" w:lineRule="auto"/>
        <w:ind w:left="720" w:hanging="720"/>
        <w:rPr>
          <w:b/>
        </w:rPr>
      </w:pPr>
      <w:r w:rsidRPr="002C351B">
        <w:rPr>
          <w:b/>
        </w:rPr>
        <w:lastRenderedPageBreak/>
        <w:t>Q.</w:t>
      </w:r>
      <w:r w:rsidRPr="002C351B">
        <w:rPr>
          <w:b/>
        </w:rPr>
        <w:tab/>
      </w:r>
      <w:r>
        <w:rPr>
          <w:b/>
        </w:rPr>
        <w:t>Please summarize the data for the proxy group that indicat</w:t>
      </w:r>
      <w:r w:rsidR="00C267BF">
        <w:rPr>
          <w:b/>
        </w:rPr>
        <w:t>es</w:t>
      </w:r>
      <w:r>
        <w:rPr>
          <w:b/>
        </w:rPr>
        <w:t xml:space="preserve"> to investors of the expected growth in dividends for the proxy group.</w:t>
      </w:r>
    </w:p>
    <w:p w14:paraId="34EA9B8B" w14:textId="77777777" w:rsidR="00A32572" w:rsidRPr="007D7845" w:rsidRDefault="00FD2B4F" w:rsidP="007D7845">
      <w:pPr>
        <w:tabs>
          <w:tab w:val="left" w:pos="720"/>
          <w:tab w:val="left" w:pos="1440"/>
          <w:tab w:val="left" w:pos="9240"/>
        </w:tabs>
        <w:spacing w:line="480" w:lineRule="auto"/>
        <w:ind w:left="720" w:hanging="720"/>
      </w:pPr>
      <w:r>
        <w:t>A.</w:t>
      </w:r>
      <w:r>
        <w:tab/>
        <w:t xml:space="preserve">The data </w:t>
      </w:r>
      <w:r w:rsidR="00F740A0">
        <w:t xml:space="preserve">show </w:t>
      </w:r>
      <w:r w:rsidR="00C32D5F">
        <w:t xml:space="preserve">historical </w:t>
      </w:r>
      <w:r>
        <w:t>growth in book value of 3.</w:t>
      </w:r>
      <w:r w:rsidR="00150C57">
        <w:t>1</w:t>
      </w:r>
      <w:r w:rsidR="004015BE">
        <w:t xml:space="preserve"> percent</w:t>
      </w:r>
      <w:r w:rsidR="00F740A0">
        <w:t xml:space="preserve">, but investors should expect </w:t>
      </w:r>
      <w:r w:rsidR="00150C57">
        <w:t xml:space="preserve">higher growth in </w:t>
      </w:r>
      <w:r w:rsidR="00A27976">
        <w:t xml:space="preserve">book value </w:t>
      </w:r>
      <w:r w:rsidR="00C32D5F">
        <w:t xml:space="preserve">prospectively </w:t>
      </w:r>
      <w:r w:rsidR="00F740A0">
        <w:t xml:space="preserve">due to </w:t>
      </w:r>
      <w:r w:rsidR="00E930A9">
        <w:t xml:space="preserve">ongoing and </w:t>
      </w:r>
      <w:r w:rsidR="00F740A0">
        <w:t>growing capital expenditures.</w:t>
      </w:r>
      <w:r w:rsidR="00A27976">
        <w:t xml:space="preserve">  </w:t>
      </w:r>
      <w:r w:rsidR="00646538" w:rsidRPr="00646538">
        <w:rPr>
          <w:i/>
        </w:rPr>
        <w:t>Value Line</w:t>
      </w:r>
      <w:r w:rsidR="00F740A0">
        <w:t xml:space="preserve"> shows </w:t>
      </w:r>
      <w:r w:rsidR="00093E1F">
        <w:t xml:space="preserve">expected internal </w:t>
      </w:r>
      <w:r w:rsidR="007D7845">
        <w:t xml:space="preserve">growth </w:t>
      </w:r>
      <w:r w:rsidR="00150C57">
        <w:t>of 3.</w:t>
      </w:r>
      <w:r w:rsidR="00C63DBA">
        <w:t>7</w:t>
      </w:r>
      <w:r w:rsidR="007768C9">
        <w:t xml:space="preserve"> percent</w:t>
      </w:r>
      <w:r w:rsidR="00C63DBA">
        <w:rPr>
          <w:b/>
        </w:rPr>
        <w:t xml:space="preserve"> </w:t>
      </w:r>
      <w:r w:rsidR="00C63DBA">
        <w:t>to 4.1 percent</w:t>
      </w:r>
      <w:r w:rsidR="00E34ABC">
        <w:t xml:space="preserve">. </w:t>
      </w:r>
      <w:r w:rsidR="00C63DBA">
        <w:rPr>
          <w:b/>
        </w:rPr>
        <w:t xml:space="preserve"> </w:t>
      </w:r>
      <w:r w:rsidR="00D44791">
        <w:t xml:space="preserve">Finally, </w:t>
      </w:r>
      <w:r w:rsidR="00AF3571">
        <w:t xml:space="preserve">optimistic </w:t>
      </w:r>
      <w:r w:rsidR="00D44791">
        <w:t>earnings growth of 4.</w:t>
      </w:r>
      <w:r w:rsidR="00AF3571">
        <w:t>50</w:t>
      </w:r>
      <w:r w:rsidR="00D44791">
        <w:t xml:space="preserve"> </w:t>
      </w:r>
      <w:r w:rsidR="00FD65C1">
        <w:t>percent is indicated</w:t>
      </w:r>
      <w:r w:rsidR="00D44791">
        <w:t>.</w:t>
      </w:r>
      <w:r w:rsidR="009C702F">
        <w:t xml:space="preserve">  </w:t>
      </w:r>
    </w:p>
    <w:p w14:paraId="34EA9B8C" w14:textId="77777777" w:rsidR="00C4065F" w:rsidRDefault="00C4065F" w:rsidP="005D3B74">
      <w:pPr>
        <w:tabs>
          <w:tab w:val="left" w:pos="720"/>
          <w:tab w:val="left" w:pos="1440"/>
          <w:tab w:val="left" w:pos="9240"/>
        </w:tabs>
        <w:spacing w:line="480" w:lineRule="auto"/>
        <w:ind w:left="720" w:hanging="720"/>
        <w:rPr>
          <w:b/>
        </w:rPr>
      </w:pPr>
    </w:p>
    <w:p w14:paraId="34EA9B8D" w14:textId="77777777" w:rsidR="00085235" w:rsidRDefault="005D3B74" w:rsidP="005D3B74">
      <w:pPr>
        <w:tabs>
          <w:tab w:val="left" w:pos="720"/>
          <w:tab w:val="left" w:pos="1440"/>
          <w:tab w:val="left" w:pos="9240"/>
        </w:tabs>
        <w:spacing w:line="480" w:lineRule="auto"/>
        <w:ind w:left="720" w:hanging="720"/>
        <w:rPr>
          <w:b/>
        </w:rPr>
      </w:pPr>
      <w:r w:rsidRPr="002C351B">
        <w:rPr>
          <w:b/>
        </w:rPr>
        <w:t>Q.</w:t>
      </w:r>
      <w:r w:rsidRPr="002C351B">
        <w:rPr>
          <w:b/>
        </w:rPr>
        <w:tab/>
      </w:r>
      <w:r w:rsidR="00085235">
        <w:rPr>
          <w:b/>
        </w:rPr>
        <w:t xml:space="preserve">What is your conclusion </w:t>
      </w:r>
      <w:r w:rsidR="005532B8">
        <w:rPr>
          <w:b/>
        </w:rPr>
        <w:t xml:space="preserve">from </w:t>
      </w:r>
      <w:r w:rsidR="00085235">
        <w:rPr>
          <w:b/>
        </w:rPr>
        <w:t xml:space="preserve">this </w:t>
      </w:r>
      <w:r w:rsidR="005532B8">
        <w:rPr>
          <w:b/>
        </w:rPr>
        <w:t xml:space="preserve">proxy group </w:t>
      </w:r>
      <w:r w:rsidR="00085235">
        <w:rPr>
          <w:b/>
        </w:rPr>
        <w:t>data?</w:t>
      </w:r>
    </w:p>
    <w:p w14:paraId="34EA9B8E" w14:textId="77777777" w:rsidR="008D415C" w:rsidRDefault="005D3B74" w:rsidP="007D7845">
      <w:pPr>
        <w:tabs>
          <w:tab w:val="left" w:pos="720"/>
          <w:tab w:val="left" w:pos="1440"/>
          <w:tab w:val="left" w:pos="9240"/>
        </w:tabs>
        <w:spacing w:line="480" w:lineRule="auto"/>
        <w:ind w:left="720" w:hanging="720"/>
      </w:pPr>
      <w:r>
        <w:t>A.</w:t>
      </w:r>
      <w:r>
        <w:tab/>
      </w:r>
      <w:r w:rsidR="00CB40FD">
        <w:t>I</w:t>
      </w:r>
      <w:r w:rsidR="009101BE">
        <w:t xml:space="preserve"> conclude that </w:t>
      </w:r>
      <w:r w:rsidR="00CB40FD">
        <w:t>a reasonable expectation of</w:t>
      </w:r>
      <w:r>
        <w:t xml:space="preserve"> long-term growth in dividends </w:t>
      </w:r>
      <w:r w:rsidR="005532B8">
        <w:t xml:space="preserve">is </w:t>
      </w:r>
      <w:r>
        <w:t xml:space="preserve">in the </w:t>
      </w:r>
      <w:r w:rsidR="00722BEF">
        <w:t>range of 4.0 to 4.5 percent.</w:t>
      </w:r>
    </w:p>
    <w:p w14:paraId="34EA9B8F" w14:textId="77777777" w:rsidR="00C2334B" w:rsidRDefault="00C2334B" w:rsidP="007D7845">
      <w:pPr>
        <w:tabs>
          <w:tab w:val="left" w:pos="720"/>
          <w:tab w:val="left" w:pos="1440"/>
          <w:tab w:val="left" w:pos="9240"/>
        </w:tabs>
        <w:spacing w:line="480" w:lineRule="auto"/>
        <w:ind w:left="720" w:hanging="720"/>
      </w:pPr>
    </w:p>
    <w:p w14:paraId="34EA9B90" w14:textId="77777777" w:rsidR="00E05CC8" w:rsidRDefault="00E05CC8" w:rsidP="00E05CC8">
      <w:pPr>
        <w:keepNext/>
        <w:tabs>
          <w:tab w:val="left" w:pos="720"/>
          <w:tab w:val="left" w:pos="1440"/>
          <w:tab w:val="left" w:pos="9240"/>
        </w:tabs>
        <w:spacing w:line="480" w:lineRule="auto"/>
        <w:ind w:left="720" w:hanging="720"/>
        <w:rPr>
          <w:b/>
        </w:rPr>
      </w:pPr>
      <w:r>
        <w:rPr>
          <w:b/>
        </w:rPr>
        <w:t>Q.</w:t>
      </w:r>
      <w:r>
        <w:rPr>
          <w:b/>
        </w:rPr>
        <w:tab/>
        <w:t>Please summarize your DCF analyses for your proxy group.</w:t>
      </w:r>
    </w:p>
    <w:p w14:paraId="34EA9B91" w14:textId="05C5794C" w:rsidR="00E05CC8" w:rsidRDefault="00E05CC8" w:rsidP="00E05CC8">
      <w:pPr>
        <w:tabs>
          <w:tab w:val="left" w:pos="720"/>
          <w:tab w:val="left" w:pos="1440"/>
          <w:tab w:val="left" w:pos="9240"/>
        </w:tabs>
        <w:spacing w:line="480" w:lineRule="auto"/>
        <w:ind w:left="720" w:hanging="720"/>
      </w:pPr>
      <w:r>
        <w:t>A.</w:t>
      </w:r>
      <w:r>
        <w:tab/>
        <w:t xml:space="preserve">Combining the dividend yield of </w:t>
      </w:r>
      <w:r w:rsidR="00C63DBA">
        <w:t>4.0</w:t>
      </w:r>
      <w:r>
        <w:t xml:space="preserve"> with </w:t>
      </w:r>
      <w:r w:rsidR="00AF3571">
        <w:t xml:space="preserve">an optimistic </w:t>
      </w:r>
      <w:r>
        <w:t>expected long-term growth in dividends of 4.50 percent produces an ROE of 8.</w:t>
      </w:r>
      <w:r w:rsidR="00C63DBA">
        <w:t>5</w:t>
      </w:r>
      <w:r>
        <w:t xml:space="preserve"> percent.  </w:t>
      </w:r>
      <w:r w:rsidR="00C12BF7">
        <w:t>T</w:t>
      </w:r>
      <w:r>
        <w:t xml:space="preserve">he </w:t>
      </w:r>
      <w:r w:rsidR="00B92444">
        <w:t xml:space="preserve">market and financial </w:t>
      </w:r>
      <w:r>
        <w:t xml:space="preserve">data </w:t>
      </w:r>
      <w:r w:rsidR="007811C8">
        <w:t xml:space="preserve">from the proxy group support </w:t>
      </w:r>
      <w:r w:rsidR="008F1720">
        <w:t xml:space="preserve">my estimate of  </w:t>
      </w:r>
      <w:r w:rsidR="0063400A">
        <w:t>8.</w:t>
      </w:r>
      <w:r w:rsidR="00AF3571">
        <w:t>00</w:t>
      </w:r>
      <w:r w:rsidR="00C35F45">
        <w:t xml:space="preserve"> </w:t>
      </w:r>
      <w:r w:rsidR="0063400A">
        <w:t xml:space="preserve">to </w:t>
      </w:r>
      <w:r w:rsidR="00C67CF2">
        <w:t>8.75</w:t>
      </w:r>
      <w:r w:rsidR="0063400A">
        <w:t xml:space="preserve"> percent</w:t>
      </w:r>
      <w:r w:rsidR="006B0A11">
        <w:t xml:space="preserve"> </w:t>
      </w:r>
      <w:r w:rsidR="0063400A">
        <w:t>for Avista</w:t>
      </w:r>
      <w:r>
        <w:t>.</w:t>
      </w:r>
      <w:r w:rsidR="00BC18E6">
        <w:t xml:space="preserve">  </w:t>
      </w:r>
    </w:p>
    <w:p w14:paraId="34EA9B92" w14:textId="77777777" w:rsidR="00E05CC8" w:rsidRDefault="00E05CC8" w:rsidP="00E05CC8">
      <w:pPr>
        <w:tabs>
          <w:tab w:val="left" w:pos="720"/>
          <w:tab w:val="left" w:pos="1440"/>
          <w:tab w:val="left" w:pos="9240"/>
        </w:tabs>
        <w:spacing w:line="480" w:lineRule="auto"/>
        <w:ind w:left="720" w:hanging="720"/>
        <w:rPr>
          <w:b/>
        </w:rPr>
      </w:pPr>
    </w:p>
    <w:p w14:paraId="34EA9B93" w14:textId="7E23638F" w:rsidR="00E05CC8" w:rsidRDefault="00053D68" w:rsidP="00E05CC8">
      <w:pPr>
        <w:tabs>
          <w:tab w:val="left" w:pos="720"/>
          <w:tab w:val="left" w:pos="1440"/>
          <w:tab w:val="left" w:pos="9240"/>
        </w:tabs>
        <w:spacing w:line="480" w:lineRule="auto"/>
        <w:ind w:left="720" w:hanging="720"/>
        <w:rPr>
          <w:b/>
        </w:rPr>
      </w:pPr>
      <w:r>
        <w:rPr>
          <w:b/>
        </w:rPr>
        <w:t>Q.</w:t>
      </w:r>
      <w:r>
        <w:rPr>
          <w:b/>
        </w:rPr>
        <w:tab/>
        <w:t>Is a ROE estimate of less than 9.0 percent for the proxy group a reasonable figure, given current market conditions?</w:t>
      </w:r>
    </w:p>
    <w:p w14:paraId="34EA9B94" w14:textId="77777777" w:rsidR="00E05CC8" w:rsidRDefault="00E05CC8" w:rsidP="00E05CC8">
      <w:pPr>
        <w:tabs>
          <w:tab w:val="left" w:pos="720"/>
          <w:tab w:val="left" w:pos="1440"/>
          <w:tab w:val="left" w:pos="9240"/>
        </w:tabs>
        <w:spacing w:line="480" w:lineRule="auto"/>
        <w:ind w:left="720" w:hanging="720"/>
      </w:pPr>
      <w:r>
        <w:t>A.</w:t>
      </w:r>
      <w:r>
        <w:tab/>
        <w:t xml:space="preserve">Yes.  As I stated in the earlier part of my testimony, the cost of capital is declining.  </w:t>
      </w:r>
      <w:r w:rsidR="00341DB8">
        <w:t>T</w:t>
      </w:r>
      <w:r>
        <w:t xml:space="preserve">he cost of equity to Avista </w:t>
      </w:r>
      <w:r w:rsidR="00341DB8">
        <w:t xml:space="preserve">and other comparable companies </w:t>
      </w:r>
      <w:r>
        <w:t xml:space="preserve">is lower than it has been in the past, and rates should reflect this </w:t>
      </w:r>
      <w:r w:rsidR="00C2630D">
        <w:t xml:space="preserve">direct </w:t>
      </w:r>
      <w:r w:rsidR="0063400A">
        <w:t>market evidence</w:t>
      </w:r>
      <w:r>
        <w:t xml:space="preserve">.  </w:t>
      </w:r>
      <w:r w:rsidR="00341DB8">
        <w:t xml:space="preserve">Consistent with </w:t>
      </w:r>
      <w:r w:rsidR="00341DB8" w:rsidRPr="008A5C51">
        <w:rPr>
          <w:i/>
        </w:rPr>
        <w:t>Hope</w:t>
      </w:r>
      <w:r w:rsidR="00341DB8">
        <w:t xml:space="preserve"> and </w:t>
      </w:r>
      <w:r w:rsidR="00341DB8" w:rsidRPr="008A5C51">
        <w:rPr>
          <w:i/>
        </w:rPr>
        <w:t>Bluefield</w:t>
      </w:r>
      <w:r w:rsidR="00341DB8">
        <w:t>, c</w:t>
      </w:r>
      <w:r>
        <w:t xml:space="preserve">ustomers should not </w:t>
      </w:r>
      <w:r w:rsidR="0063400A">
        <w:t>suppor</w:t>
      </w:r>
      <w:r w:rsidR="00FD65C1">
        <w:t>t</w:t>
      </w:r>
      <w:r>
        <w:t xml:space="preserve"> excessive profits. </w:t>
      </w:r>
    </w:p>
    <w:p w14:paraId="34EA9B95" w14:textId="77777777" w:rsidR="00E727EF" w:rsidRDefault="00E727EF" w:rsidP="00B62CDB">
      <w:pPr>
        <w:tabs>
          <w:tab w:val="left" w:pos="720"/>
          <w:tab w:val="left" w:pos="1440"/>
          <w:tab w:val="left" w:pos="9240"/>
        </w:tabs>
        <w:spacing w:line="480" w:lineRule="auto"/>
        <w:ind w:left="720" w:hanging="720"/>
      </w:pPr>
    </w:p>
    <w:p w14:paraId="34EA9B96" w14:textId="77777777" w:rsidR="005D3B74" w:rsidRPr="009B70DF" w:rsidRDefault="00D26E1D" w:rsidP="009D1DED">
      <w:pPr>
        <w:keepNext/>
        <w:spacing w:line="480" w:lineRule="auto"/>
        <w:rPr>
          <w:b/>
        </w:rPr>
      </w:pPr>
      <w:r>
        <w:rPr>
          <w:b/>
        </w:rPr>
        <w:lastRenderedPageBreak/>
        <w:tab/>
      </w:r>
      <w:r w:rsidR="009B70DF">
        <w:rPr>
          <w:b/>
        </w:rPr>
        <w:t>F.</w:t>
      </w:r>
      <w:r w:rsidR="009B70DF">
        <w:rPr>
          <w:b/>
        </w:rPr>
        <w:tab/>
      </w:r>
      <w:r w:rsidR="005D3B74" w:rsidRPr="009B70DF">
        <w:rPr>
          <w:b/>
        </w:rPr>
        <w:t>Capital Asset Pricing Model Analysis</w:t>
      </w:r>
    </w:p>
    <w:p w14:paraId="34EA9B97" w14:textId="77777777" w:rsidR="005D3B74" w:rsidRDefault="005D3B74" w:rsidP="009D1DED">
      <w:pPr>
        <w:keepNext/>
        <w:tabs>
          <w:tab w:val="left" w:pos="720"/>
          <w:tab w:val="left" w:pos="1440"/>
          <w:tab w:val="left" w:pos="9240"/>
        </w:tabs>
        <w:spacing w:line="480" w:lineRule="auto"/>
        <w:ind w:left="720" w:hanging="720"/>
      </w:pPr>
    </w:p>
    <w:p w14:paraId="34EA9B98" w14:textId="77777777" w:rsidR="005D3B74" w:rsidRPr="008525AB" w:rsidRDefault="005D3B74" w:rsidP="005D3B74">
      <w:pPr>
        <w:tabs>
          <w:tab w:val="left" w:pos="720"/>
          <w:tab w:val="left" w:pos="1440"/>
          <w:tab w:val="left" w:pos="9240"/>
        </w:tabs>
        <w:spacing w:line="480" w:lineRule="auto"/>
        <w:ind w:left="720" w:hanging="720"/>
        <w:rPr>
          <w:b/>
        </w:rPr>
      </w:pPr>
      <w:r>
        <w:rPr>
          <w:b/>
        </w:rPr>
        <w:t>Q.</w:t>
      </w:r>
      <w:r>
        <w:rPr>
          <w:b/>
        </w:rPr>
        <w:tab/>
        <w:t xml:space="preserve">Please explain why the </w:t>
      </w:r>
      <w:r w:rsidR="009101BE">
        <w:rPr>
          <w:b/>
        </w:rPr>
        <w:t xml:space="preserve">Commission should not use the </w:t>
      </w:r>
      <w:r>
        <w:rPr>
          <w:b/>
        </w:rPr>
        <w:t xml:space="preserve">CAPM </w:t>
      </w:r>
      <w:r w:rsidR="00E674E9">
        <w:rPr>
          <w:b/>
        </w:rPr>
        <w:t>method</w:t>
      </w:r>
      <w:r w:rsidR="00737E9D">
        <w:rPr>
          <w:b/>
        </w:rPr>
        <w:t xml:space="preserve">. </w:t>
      </w:r>
    </w:p>
    <w:p w14:paraId="34EA9B99" w14:textId="77777777" w:rsidR="009101BE" w:rsidRDefault="005D3B74" w:rsidP="003B0F85">
      <w:pPr>
        <w:tabs>
          <w:tab w:val="left" w:pos="720"/>
          <w:tab w:val="left" w:pos="1440"/>
          <w:tab w:val="left" w:pos="9240"/>
        </w:tabs>
        <w:spacing w:line="480" w:lineRule="auto"/>
        <w:ind w:left="720" w:hanging="720"/>
      </w:pPr>
      <w:r>
        <w:t>A.</w:t>
      </w:r>
      <w:r>
        <w:tab/>
        <w:t xml:space="preserve">First, </w:t>
      </w:r>
      <w:r w:rsidR="009101BE">
        <w:t>as I pointed out earlier, in its recent PSE rate order, the Commission noted that CAPM</w:t>
      </w:r>
      <w:r w:rsidR="00CD7025">
        <w:t xml:space="preserve"> should be given minimal weight. </w:t>
      </w:r>
      <w:r w:rsidR="00C53D45">
        <w:t xml:space="preserve"> More</w:t>
      </w:r>
      <w:r w:rsidR="00CD7025">
        <w:t xml:space="preserve"> recently</w:t>
      </w:r>
      <w:r w:rsidR="000B5257">
        <w:t>,</w:t>
      </w:r>
      <w:r w:rsidR="00CD7025">
        <w:t xml:space="preserve"> in a contest</w:t>
      </w:r>
      <w:r w:rsidR="00C53D45">
        <w:t>ed</w:t>
      </w:r>
      <w:r w:rsidR="00CD7025">
        <w:t xml:space="preserve"> case with PacifiCorp</w:t>
      </w:r>
      <w:r w:rsidR="000B5257">
        <w:t>,</w:t>
      </w:r>
      <w:r w:rsidR="00CD7025">
        <w:t xml:space="preserve"> </w:t>
      </w:r>
      <w:r w:rsidR="009101BE">
        <w:t xml:space="preserve">the Commission </w:t>
      </w:r>
      <w:r w:rsidR="00C53D45">
        <w:t>did not discuss the CAPM results due to the very low estimates produced by the model and no witness provided any support for the results.</w:t>
      </w:r>
      <w:r w:rsidR="00CD7025">
        <w:rPr>
          <w:rStyle w:val="FootnoteReference"/>
        </w:rPr>
        <w:footnoteReference w:id="46"/>
      </w:r>
      <w:r w:rsidR="00C17B8D">
        <w:t xml:space="preserve">  Those </w:t>
      </w:r>
      <w:r w:rsidR="00185FF9">
        <w:t xml:space="preserve">same </w:t>
      </w:r>
      <w:r w:rsidR="00C17B8D">
        <w:t>market condition</w:t>
      </w:r>
      <w:r w:rsidR="00242F21">
        <w:t>s</w:t>
      </w:r>
      <w:r w:rsidR="00C17B8D">
        <w:t xml:space="preserve"> persist today.</w:t>
      </w:r>
      <w:r w:rsidR="000B5257">
        <w:t xml:space="preserve">  There is no basis for the Commission to change its view of </w:t>
      </w:r>
      <w:r w:rsidR="00E34ABC">
        <w:t>ROE estimates using</w:t>
      </w:r>
      <w:r w:rsidR="000B5257">
        <w:t xml:space="preserve"> CAPM.</w:t>
      </w:r>
      <w:r w:rsidR="00C17B8D">
        <w:t xml:space="preserve">  </w:t>
      </w:r>
    </w:p>
    <w:p w14:paraId="34EA9B9A" w14:textId="77777777" w:rsidR="00C17B8D" w:rsidRDefault="009101BE" w:rsidP="005D3B74">
      <w:pPr>
        <w:tabs>
          <w:tab w:val="left" w:pos="720"/>
          <w:tab w:val="left" w:pos="1440"/>
          <w:tab w:val="left" w:pos="9240"/>
        </w:tabs>
        <w:spacing w:line="480" w:lineRule="auto"/>
        <w:ind w:left="720" w:hanging="720"/>
      </w:pPr>
      <w:r>
        <w:tab/>
      </w:r>
      <w:r>
        <w:tab/>
        <w:t xml:space="preserve">Second, the CAPM is very complex to implement because </w:t>
      </w:r>
      <w:r w:rsidR="005D3B74">
        <w:t xml:space="preserve">there are too many issues </w:t>
      </w:r>
      <w:r w:rsidR="003C7E4C">
        <w:t xml:space="preserve">of controversy </w:t>
      </w:r>
      <w:r w:rsidR="005D3B74">
        <w:t>surrounding the model</w:t>
      </w:r>
      <w:r w:rsidR="00A15099">
        <w:t>’s</w:t>
      </w:r>
      <w:r w:rsidR="005D3B74">
        <w:t xml:space="preserve"> inputs.  For example, what is the risk-free rate?  What is the return on market?  </w:t>
      </w:r>
      <w:r w:rsidR="004044AF">
        <w:t xml:space="preserve">What is the market portfolio that </w:t>
      </w:r>
      <w:r w:rsidR="003977C6">
        <w:t xml:space="preserve">is </w:t>
      </w:r>
      <w:r w:rsidR="004044AF">
        <w:t xml:space="preserve">the basis for </w:t>
      </w:r>
      <w:r w:rsidR="00F827BA">
        <w:t xml:space="preserve">the calculation of </w:t>
      </w:r>
      <w:r w:rsidR="003977C6">
        <w:t>“</w:t>
      </w:r>
      <w:r w:rsidR="003977C6">
        <w:rPr>
          <w:i/>
        </w:rPr>
        <w:t xml:space="preserve">β” </w:t>
      </w:r>
      <w:r w:rsidR="003977C6">
        <w:t xml:space="preserve">(beta)?  </w:t>
      </w:r>
      <w:r w:rsidR="00B358DE">
        <w:t>The upshot of all these questions is that</w:t>
      </w:r>
      <w:r w:rsidR="00B71948">
        <w:t xml:space="preserve"> </w:t>
      </w:r>
      <w:r w:rsidR="000C075E" w:rsidRPr="000C075E">
        <w:rPr>
          <w:i/>
        </w:rPr>
        <w:t>“</w:t>
      </w:r>
      <w:r w:rsidR="00B71948" w:rsidRPr="000E59BC">
        <w:rPr>
          <w:i/>
        </w:rPr>
        <w:t>β</w:t>
      </w:r>
      <w:r w:rsidR="000C075E">
        <w:rPr>
          <w:i/>
        </w:rPr>
        <w:t>”</w:t>
      </w:r>
      <w:r w:rsidR="00B71948">
        <w:t xml:space="preserve"> does not fully measure risk.</w:t>
      </w:r>
      <w:r w:rsidR="00085EB7">
        <w:rPr>
          <w:rStyle w:val="FootnoteReference"/>
        </w:rPr>
        <w:footnoteReference w:id="47"/>
      </w:r>
      <w:r w:rsidR="00C4065F">
        <w:t xml:space="preserve">  </w:t>
      </w:r>
    </w:p>
    <w:p w14:paraId="34EA9B9B" w14:textId="77777777" w:rsidR="00737E9D" w:rsidRDefault="00737E9D" w:rsidP="005D3B74">
      <w:pPr>
        <w:tabs>
          <w:tab w:val="left" w:pos="720"/>
          <w:tab w:val="left" w:pos="1440"/>
          <w:tab w:val="left" w:pos="9240"/>
        </w:tabs>
        <w:spacing w:line="480" w:lineRule="auto"/>
        <w:ind w:left="720" w:hanging="720"/>
      </w:pPr>
    </w:p>
    <w:p w14:paraId="34EA9B9C" w14:textId="77777777" w:rsidR="00242F21" w:rsidRDefault="00242F21" w:rsidP="005D3B74">
      <w:pPr>
        <w:tabs>
          <w:tab w:val="left" w:pos="720"/>
          <w:tab w:val="left" w:pos="1440"/>
          <w:tab w:val="left" w:pos="9240"/>
        </w:tabs>
        <w:spacing w:line="480" w:lineRule="auto"/>
        <w:ind w:left="720" w:hanging="720"/>
        <w:rPr>
          <w:b/>
        </w:rPr>
      </w:pPr>
      <w:r>
        <w:rPr>
          <w:b/>
        </w:rPr>
        <w:t>Q.</w:t>
      </w:r>
      <w:r>
        <w:rPr>
          <w:b/>
        </w:rPr>
        <w:tab/>
        <w:t xml:space="preserve">What does </w:t>
      </w:r>
      <w:r w:rsidR="000B5257">
        <w:rPr>
          <w:b/>
        </w:rPr>
        <w:t xml:space="preserve">the </w:t>
      </w:r>
      <w:r>
        <w:rPr>
          <w:b/>
        </w:rPr>
        <w:t xml:space="preserve">CAPM produce for an </w:t>
      </w:r>
      <w:r w:rsidR="005B2504">
        <w:rPr>
          <w:b/>
        </w:rPr>
        <w:t xml:space="preserve">estimate of </w:t>
      </w:r>
      <w:r>
        <w:rPr>
          <w:b/>
        </w:rPr>
        <w:t>ROE in today’s markets?</w:t>
      </w:r>
    </w:p>
    <w:p w14:paraId="34EA9B9D" w14:textId="77777777" w:rsidR="00242F21" w:rsidRPr="00242F21" w:rsidRDefault="00242F21" w:rsidP="00B92444">
      <w:pPr>
        <w:tabs>
          <w:tab w:val="left" w:pos="720"/>
          <w:tab w:val="left" w:pos="1440"/>
          <w:tab w:val="left" w:pos="9240"/>
        </w:tabs>
        <w:spacing w:line="480" w:lineRule="auto"/>
        <w:ind w:left="720" w:hanging="720"/>
      </w:pPr>
      <w:r>
        <w:t>A.</w:t>
      </w:r>
      <w:r>
        <w:tab/>
        <w:t xml:space="preserve">Using </w:t>
      </w:r>
      <w:r w:rsidR="0088260C" w:rsidRPr="00DE4368">
        <w:rPr>
          <w:i/>
        </w:rPr>
        <w:t>Value Line’s</w:t>
      </w:r>
      <w:r w:rsidR="0088260C">
        <w:t xml:space="preserve"> </w:t>
      </w:r>
      <w:r w:rsidR="000B5257">
        <w:t xml:space="preserve">current estimate of </w:t>
      </w:r>
      <w:r w:rsidR="000C075E" w:rsidRPr="000C075E">
        <w:rPr>
          <w:i/>
        </w:rPr>
        <w:t>“</w:t>
      </w:r>
      <w:r w:rsidR="000C075E" w:rsidRPr="000E59BC">
        <w:rPr>
          <w:i/>
        </w:rPr>
        <w:t>β</w:t>
      </w:r>
      <w:r w:rsidR="000C075E">
        <w:rPr>
          <w:i/>
        </w:rPr>
        <w:t>”</w:t>
      </w:r>
      <w:r w:rsidR="000C075E">
        <w:t xml:space="preserve"> </w:t>
      </w:r>
      <w:r w:rsidR="0088260C">
        <w:t>of 0.70 for Avista</w:t>
      </w:r>
      <w:r w:rsidR="000B5257">
        <w:t xml:space="preserve"> Corporation</w:t>
      </w:r>
      <w:r w:rsidR="0088260C">
        <w:t xml:space="preserve">, a </w:t>
      </w:r>
      <w:r>
        <w:t>market return of 10.0 percent</w:t>
      </w:r>
      <w:r w:rsidR="00DE4368">
        <w:rPr>
          <w:rStyle w:val="FootnoteReference"/>
        </w:rPr>
        <w:footnoteReference w:id="48"/>
      </w:r>
      <w:r>
        <w:t xml:space="preserve"> and a risk free rate of </w:t>
      </w:r>
      <w:r w:rsidR="0088260C">
        <w:t>3.</w:t>
      </w:r>
      <w:r w:rsidR="00C61B5C">
        <w:t>4</w:t>
      </w:r>
      <w:r w:rsidR="00A14C0F">
        <w:t>0</w:t>
      </w:r>
      <w:r>
        <w:t xml:space="preserve"> percent</w:t>
      </w:r>
      <w:r w:rsidR="00C61B5C">
        <w:rPr>
          <w:rStyle w:val="FootnoteReference"/>
        </w:rPr>
        <w:footnoteReference w:id="49"/>
      </w:r>
      <w:r>
        <w:t xml:space="preserve">, </w:t>
      </w:r>
      <w:r w:rsidR="00E069F5">
        <w:t xml:space="preserve">the </w:t>
      </w:r>
      <w:r>
        <w:t xml:space="preserve">CAPM produces a ROE estimate of </w:t>
      </w:r>
      <w:r w:rsidR="0088260C">
        <w:t>8.</w:t>
      </w:r>
      <w:r w:rsidR="005C1A38">
        <w:t>02</w:t>
      </w:r>
      <w:r w:rsidR="00F91F2B">
        <w:t xml:space="preserve"> percent</w:t>
      </w:r>
      <w:r>
        <w:t>.</w:t>
      </w:r>
      <w:r>
        <w:rPr>
          <w:rStyle w:val="FootnoteReference"/>
        </w:rPr>
        <w:footnoteReference w:id="50"/>
      </w:r>
      <w:r w:rsidR="00E069F5">
        <w:t xml:space="preserve">  </w:t>
      </w:r>
      <w:r w:rsidR="0088260C">
        <w:t xml:space="preserve">However, other estimates of Avista’s </w:t>
      </w:r>
      <w:r w:rsidR="000C075E" w:rsidRPr="000C075E">
        <w:rPr>
          <w:i/>
        </w:rPr>
        <w:t>“</w:t>
      </w:r>
      <w:r w:rsidR="000C075E" w:rsidRPr="000E59BC">
        <w:rPr>
          <w:i/>
        </w:rPr>
        <w:t>β</w:t>
      </w:r>
      <w:r w:rsidR="000C075E">
        <w:rPr>
          <w:i/>
        </w:rPr>
        <w:t>”</w:t>
      </w:r>
      <w:r w:rsidR="000C075E">
        <w:t xml:space="preserve"> </w:t>
      </w:r>
      <w:r w:rsidR="0088260C">
        <w:t xml:space="preserve">are significantly lower.  </w:t>
      </w:r>
      <w:r w:rsidR="000B5257">
        <w:t xml:space="preserve">For example, </w:t>
      </w:r>
      <w:r w:rsidR="00E34ABC" w:rsidRPr="00E34ABC">
        <w:rPr>
          <w:i/>
        </w:rPr>
        <w:t>Morningstar</w:t>
      </w:r>
      <w:r w:rsidR="00B92444">
        <w:t xml:space="preserve"> show</w:t>
      </w:r>
      <w:r w:rsidR="00E34ABC">
        <w:t>s</w:t>
      </w:r>
      <w:r w:rsidR="00B92444">
        <w:t xml:space="preserve"> a</w:t>
      </w:r>
      <w:r w:rsidR="0088260C">
        <w:t xml:space="preserve"> </w:t>
      </w:r>
      <w:r w:rsidR="000C075E" w:rsidRPr="000C075E">
        <w:rPr>
          <w:i/>
        </w:rPr>
        <w:t>“</w:t>
      </w:r>
      <w:r w:rsidR="000C075E" w:rsidRPr="000E59BC">
        <w:rPr>
          <w:i/>
        </w:rPr>
        <w:t>β</w:t>
      </w:r>
      <w:r w:rsidR="000C075E">
        <w:rPr>
          <w:i/>
        </w:rPr>
        <w:t>”</w:t>
      </w:r>
      <w:r w:rsidR="000C075E">
        <w:t xml:space="preserve"> </w:t>
      </w:r>
      <w:r w:rsidR="00B92444">
        <w:t>of</w:t>
      </w:r>
      <w:r w:rsidR="0088260C">
        <w:t xml:space="preserve"> 0.55</w:t>
      </w:r>
      <w:r w:rsidR="00B92444">
        <w:t xml:space="preserve"> for Avista</w:t>
      </w:r>
      <w:r w:rsidR="000B5257">
        <w:t xml:space="preserve"> </w:t>
      </w:r>
      <w:r w:rsidR="000B5257">
        <w:lastRenderedPageBreak/>
        <w:t>Corporation</w:t>
      </w:r>
      <w:r w:rsidR="0088260C">
        <w:t xml:space="preserve">.  Using </w:t>
      </w:r>
      <w:r w:rsidR="000B5257">
        <w:t xml:space="preserve">that figure </w:t>
      </w:r>
      <w:r w:rsidR="0088260C">
        <w:t>and the market return of 1</w:t>
      </w:r>
      <w:r w:rsidR="00F91F2B">
        <w:t>0</w:t>
      </w:r>
      <w:r w:rsidR="00B4341E">
        <w:t xml:space="preserve">.0 percent, </w:t>
      </w:r>
      <w:r w:rsidR="0088260C">
        <w:t>th</w:t>
      </w:r>
      <w:r w:rsidR="000C075E">
        <w:t>e</w:t>
      </w:r>
      <w:r w:rsidR="00F91F2B">
        <w:t xml:space="preserve"> indicated ROE from CAPM is 7.</w:t>
      </w:r>
      <w:r w:rsidR="005C1A38">
        <w:t xml:space="preserve">03 </w:t>
      </w:r>
      <w:r w:rsidR="0088260C">
        <w:t xml:space="preserve"> percent.</w:t>
      </w:r>
      <w:r w:rsidR="000C075E">
        <w:rPr>
          <w:rStyle w:val="FootnoteReference"/>
        </w:rPr>
        <w:footnoteReference w:id="51"/>
      </w:r>
      <w:r w:rsidR="0088260C">
        <w:t xml:space="preserve">  </w:t>
      </w:r>
    </w:p>
    <w:p w14:paraId="34EA9B9E" w14:textId="77777777" w:rsidR="005D3B74" w:rsidRDefault="00AF3499" w:rsidP="005D3B74">
      <w:pPr>
        <w:tabs>
          <w:tab w:val="left" w:pos="720"/>
          <w:tab w:val="left" w:pos="1440"/>
          <w:tab w:val="left" w:pos="9240"/>
        </w:tabs>
        <w:spacing w:line="480" w:lineRule="auto"/>
        <w:ind w:left="720" w:hanging="720"/>
      </w:pPr>
      <w:r>
        <w:tab/>
      </w:r>
      <w:r>
        <w:tab/>
        <w:t xml:space="preserve">The bottom line is the Commission should </w:t>
      </w:r>
      <w:r w:rsidR="00E069F5">
        <w:t>give very little weight to a</w:t>
      </w:r>
      <w:r w:rsidR="0088260C">
        <w:t>ny</w:t>
      </w:r>
      <w:r>
        <w:t xml:space="preserve"> CAPM </w:t>
      </w:r>
      <w:r w:rsidR="00E069F5">
        <w:t>analysis i</w:t>
      </w:r>
      <w:r>
        <w:t>n this case.</w:t>
      </w:r>
      <w:r w:rsidR="00E05CC8">
        <w:t xml:space="preserve">  Under a reasonable assumption for a return on the market</w:t>
      </w:r>
      <w:r w:rsidR="00E256BA">
        <w:t xml:space="preserve">, </w:t>
      </w:r>
      <w:r w:rsidR="000B5257">
        <w:t xml:space="preserve">the </w:t>
      </w:r>
      <w:r w:rsidR="00E256BA">
        <w:t>CAPM</w:t>
      </w:r>
      <w:r w:rsidR="00E05CC8">
        <w:t xml:space="preserve"> produces a </w:t>
      </w:r>
      <w:r w:rsidR="00E256BA">
        <w:t xml:space="preserve">rather </w:t>
      </w:r>
      <w:r w:rsidR="00B92444">
        <w:t>low estimate</w:t>
      </w:r>
      <w:r w:rsidR="00E05CC8">
        <w:t>.</w:t>
      </w:r>
      <w:r w:rsidR="00283DD8">
        <w:t xml:space="preserve">  </w:t>
      </w:r>
    </w:p>
    <w:p w14:paraId="34EA9B9F" w14:textId="77777777" w:rsidR="000C075E" w:rsidRDefault="000C075E" w:rsidP="005D3B74">
      <w:pPr>
        <w:tabs>
          <w:tab w:val="left" w:pos="720"/>
          <w:tab w:val="left" w:pos="1440"/>
          <w:tab w:val="left" w:pos="9240"/>
        </w:tabs>
        <w:spacing w:line="480" w:lineRule="auto"/>
        <w:ind w:left="720" w:hanging="720"/>
      </w:pPr>
    </w:p>
    <w:p w14:paraId="34EA9BA0" w14:textId="77777777" w:rsidR="005D3B74" w:rsidRDefault="00D26E1D" w:rsidP="00E5511E">
      <w:pPr>
        <w:spacing w:line="480" w:lineRule="auto"/>
        <w:rPr>
          <w:b/>
        </w:rPr>
      </w:pPr>
      <w:r>
        <w:rPr>
          <w:b/>
        </w:rPr>
        <w:tab/>
      </w:r>
      <w:r w:rsidR="009B70DF">
        <w:rPr>
          <w:b/>
        </w:rPr>
        <w:t>G</w:t>
      </w:r>
      <w:r w:rsidR="00947D98">
        <w:rPr>
          <w:b/>
        </w:rPr>
        <w:t>.</w:t>
      </w:r>
      <w:r w:rsidR="005D3B74">
        <w:rPr>
          <w:b/>
        </w:rPr>
        <w:t xml:space="preserve"> </w:t>
      </w:r>
      <w:r w:rsidR="005D3B74">
        <w:rPr>
          <w:b/>
        </w:rPr>
        <w:tab/>
        <w:t>Risk Premium Analysis</w:t>
      </w:r>
    </w:p>
    <w:p w14:paraId="34EA9BA1" w14:textId="77777777" w:rsidR="005D3B74" w:rsidRDefault="005D3B74" w:rsidP="005D3B74">
      <w:pPr>
        <w:tabs>
          <w:tab w:val="left" w:pos="720"/>
          <w:tab w:val="left" w:pos="1440"/>
          <w:tab w:val="left" w:pos="9240"/>
        </w:tabs>
        <w:spacing w:line="480" w:lineRule="auto"/>
        <w:ind w:left="720" w:hanging="720"/>
        <w:rPr>
          <w:b/>
        </w:rPr>
      </w:pPr>
    </w:p>
    <w:p w14:paraId="34EA9BA2" w14:textId="77777777" w:rsidR="005D3B74" w:rsidRDefault="005D3B74" w:rsidP="005D3B74">
      <w:pPr>
        <w:tabs>
          <w:tab w:val="left" w:pos="720"/>
          <w:tab w:val="left" w:pos="1440"/>
          <w:tab w:val="left" w:pos="9240"/>
        </w:tabs>
        <w:spacing w:line="480" w:lineRule="auto"/>
        <w:ind w:left="720" w:hanging="720"/>
        <w:rPr>
          <w:b/>
        </w:rPr>
      </w:pPr>
      <w:r>
        <w:rPr>
          <w:b/>
        </w:rPr>
        <w:t>Q.</w:t>
      </w:r>
      <w:r>
        <w:rPr>
          <w:b/>
        </w:rPr>
        <w:tab/>
        <w:t xml:space="preserve">Did you undertake a Risk Premium analysis </w:t>
      </w:r>
      <w:r w:rsidR="00013E75">
        <w:rPr>
          <w:b/>
        </w:rPr>
        <w:t xml:space="preserve">as a check on your cost of equity capital </w:t>
      </w:r>
      <w:r>
        <w:rPr>
          <w:b/>
        </w:rPr>
        <w:t>recommendation?</w:t>
      </w:r>
    </w:p>
    <w:p w14:paraId="34EA9BA3" w14:textId="77777777" w:rsidR="000B5257" w:rsidRDefault="005D3B74" w:rsidP="005D3B74">
      <w:pPr>
        <w:tabs>
          <w:tab w:val="left" w:pos="720"/>
          <w:tab w:val="left" w:pos="1440"/>
          <w:tab w:val="left" w:pos="9240"/>
        </w:tabs>
        <w:spacing w:line="480" w:lineRule="auto"/>
        <w:ind w:left="720" w:hanging="720"/>
      </w:pPr>
      <w:r>
        <w:t>A.</w:t>
      </w:r>
      <w:r>
        <w:tab/>
        <w:t xml:space="preserve">Yes, though indirectly.  </w:t>
      </w:r>
      <w:r w:rsidR="00E069F5">
        <w:t xml:space="preserve">I am not an advocate of risk premium methodologies.  </w:t>
      </w:r>
      <w:r w:rsidR="008F64DF">
        <w:t>In addition</w:t>
      </w:r>
      <w:r w:rsidR="009B3034">
        <w:t>,</w:t>
      </w:r>
      <w:r w:rsidR="008F64DF">
        <w:t xml:space="preserve"> </w:t>
      </w:r>
      <w:r w:rsidR="008A5C51">
        <w:t xml:space="preserve">I agree with </w:t>
      </w:r>
      <w:r w:rsidR="008F64DF">
        <w:t>the Commission</w:t>
      </w:r>
      <w:r w:rsidR="008A5C51">
        <w:t xml:space="preserve">’s </w:t>
      </w:r>
      <w:r w:rsidR="008F64DF">
        <w:t>reluctance to use this method under current economic conditions</w:t>
      </w:r>
      <w:r w:rsidR="000B5257">
        <w:t>,</w:t>
      </w:r>
      <w:r w:rsidR="00E069F5">
        <w:t xml:space="preserve"> as it </w:t>
      </w:r>
      <w:r w:rsidR="000B5257">
        <w:t>did expressed</w:t>
      </w:r>
      <w:r w:rsidR="00E069F5">
        <w:t xml:space="preserve"> with CAPM in the PSE </w:t>
      </w:r>
      <w:r w:rsidR="000B5257">
        <w:t>and PacifiCorp cases I cited</w:t>
      </w:r>
      <w:r w:rsidR="00E069F5">
        <w:t xml:space="preserve">. </w:t>
      </w:r>
      <w:r w:rsidR="008F64DF">
        <w:t xml:space="preserve"> </w:t>
      </w:r>
    </w:p>
    <w:p w14:paraId="34EA9BA4" w14:textId="77777777" w:rsidR="000B5257" w:rsidRDefault="000B5257" w:rsidP="005D3B74">
      <w:pPr>
        <w:tabs>
          <w:tab w:val="left" w:pos="720"/>
          <w:tab w:val="left" w:pos="1440"/>
          <w:tab w:val="left" w:pos="9240"/>
        </w:tabs>
        <w:spacing w:line="480" w:lineRule="auto"/>
        <w:ind w:left="720" w:hanging="720"/>
      </w:pPr>
      <w:r>
        <w:tab/>
      </w:r>
      <w:r>
        <w:tab/>
      </w:r>
      <w:r w:rsidR="00A93053">
        <w:t>In particular,</w:t>
      </w:r>
      <w:r w:rsidR="0031750B">
        <w:t xml:space="preserve"> </w:t>
      </w:r>
      <w:r>
        <w:t xml:space="preserve">risk premium </w:t>
      </w:r>
      <w:r w:rsidR="00A93053">
        <w:t xml:space="preserve">studies are too dependent on the selection of both the interest rate and spread that constitutes the </w:t>
      </w:r>
      <w:r w:rsidR="003977C6" w:rsidRPr="00F91F2B">
        <w:rPr>
          <w:i/>
        </w:rPr>
        <w:t>ex-ante</w:t>
      </w:r>
      <w:r w:rsidR="00F91F2B">
        <w:t xml:space="preserve"> </w:t>
      </w:r>
      <w:r w:rsidR="00A93053">
        <w:t xml:space="preserve">estimate of the equity </w:t>
      </w:r>
      <w:r w:rsidR="0031750B">
        <w:t>risk</w:t>
      </w:r>
      <w:r w:rsidR="00A93053">
        <w:t xml:space="preserve"> premium.  </w:t>
      </w:r>
      <w:r w:rsidR="00634CAD">
        <w:t>Most risk premium studies rely too much on the results of decisions by utility regulators.</w:t>
      </w:r>
      <w:r w:rsidR="00DE4368">
        <w:rPr>
          <w:rStyle w:val="FootnoteReference"/>
        </w:rPr>
        <w:footnoteReference w:id="52"/>
      </w:r>
      <w:r w:rsidR="00634CAD">
        <w:t xml:space="preserve">  These studies are not an effort to measure the current </w:t>
      </w:r>
      <w:r w:rsidR="00634CAD" w:rsidRPr="00B358DE">
        <w:rPr>
          <w:i/>
        </w:rPr>
        <w:t>ex ante</w:t>
      </w:r>
      <w:r w:rsidR="00634CAD">
        <w:t xml:space="preserve"> premium investors expect when comparing the opportunity costs in competitive capital markets.  </w:t>
      </w:r>
    </w:p>
    <w:p w14:paraId="34EA9BA5" w14:textId="77777777" w:rsidR="00A567A9" w:rsidRDefault="000B5257" w:rsidP="005D3B74">
      <w:pPr>
        <w:tabs>
          <w:tab w:val="left" w:pos="720"/>
          <w:tab w:val="left" w:pos="1440"/>
          <w:tab w:val="left" w:pos="9240"/>
        </w:tabs>
        <w:spacing w:line="480" w:lineRule="auto"/>
        <w:ind w:left="720" w:hanging="720"/>
      </w:pPr>
      <w:r>
        <w:lastRenderedPageBreak/>
        <w:tab/>
      </w:r>
      <w:r>
        <w:tab/>
      </w:r>
      <w:r w:rsidR="00634CAD">
        <w:t>T</w:t>
      </w:r>
      <w:r w:rsidR="00A93053">
        <w:t xml:space="preserve">he </w:t>
      </w:r>
      <w:r w:rsidR="00A567A9">
        <w:t xml:space="preserve">point </w:t>
      </w:r>
      <w:r w:rsidR="00A93053">
        <w:t xml:space="preserve">of the study </w:t>
      </w:r>
      <w:r w:rsidR="00B05604">
        <w:t xml:space="preserve">is, at best, </w:t>
      </w:r>
      <w:r w:rsidR="00A93053">
        <w:t xml:space="preserve">to act as a check on the DCF </w:t>
      </w:r>
      <w:r w:rsidR="0031750B">
        <w:t>results</w:t>
      </w:r>
      <w:r w:rsidR="00634CAD">
        <w:t xml:space="preserve"> and determine if the specific ROE recommendation from a credible DCF study provides a sufficient premium over long-term debt.</w:t>
      </w:r>
      <w:r w:rsidR="00FF33D7">
        <w:t xml:space="preserve">  </w:t>
      </w:r>
    </w:p>
    <w:p w14:paraId="34EA9BA6" w14:textId="77777777" w:rsidR="005D3B74" w:rsidRDefault="005D3B74" w:rsidP="005D3B74">
      <w:pPr>
        <w:tabs>
          <w:tab w:val="left" w:pos="720"/>
          <w:tab w:val="left" w:pos="1440"/>
          <w:tab w:val="left" w:pos="9240"/>
        </w:tabs>
        <w:spacing w:line="480" w:lineRule="auto"/>
        <w:ind w:left="720" w:hanging="720"/>
      </w:pPr>
    </w:p>
    <w:p w14:paraId="34EA9BA7" w14:textId="77777777" w:rsidR="005D3B74" w:rsidRDefault="005D3B74" w:rsidP="00CA67A1">
      <w:pPr>
        <w:keepNext/>
        <w:tabs>
          <w:tab w:val="left" w:pos="720"/>
          <w:tab w:val="left" w:pos="1440"/>
          <w:tab w:val="left" w:pos="9240"/>
        </w:tabs>
        <w:spacing w:line="480" w:lineRule="auto"/>
        <w:ind w:left="720" w:hanging="720"/>
        <w:rPr>
          <w:b/>
        </w:rPr>
      </w:pPr>
      <w:r>
        <w:rPr>
          <w:b/>
        </w:rPr>
        <w:t>Q.</w:t>
      </w:r>
      <w:r w:rsidRPr="00302F91">
        <w:rPr>
          <w:b/>
        </w:rPr>
        <w:tab/>
      </w:r>
      <w:r>
        <w:rPr>
          <w:b/>
        </w:rPr>
        <w:t>Please explain your analysis.</w:t>
      </w:r>
    </w:p>
    <w:p w14:paraId="34EA9BA8" w14:textId="0F2BD2AF" w:rsidR="00083C6E" w:rsidRDefault="005D3B74" w:rsidP="005D3B74">
      <w:pPr>
        <w:tabs>
          <w:tab w:val="left" w:pos="720"/>
          <w:tab w:val="left" w:pos="1440"/>
          <w:tab w:val="left" w:pos="9240"/>
        </w:tabs>
        <w:spacing w:line="480" w:lineRule="auto"/>
        <w:ind w:left="720" w:hanging="720"/>
      </w:pPr>
      <w:r>
        <w:t>A.</w:t>
      </w:r>
      <w:r>
        <w:tab/>
      </w:r>
      <w:r w:rsidR="00512722">
        <w:t>In 2012</w:t>
      </w:r>
      <w:r w:rsidR="000B5257">
        <w:t>,</w:t>
      </w:r>
      <w:r w:rsidR="00512722">
        <w:t xml:space="preserve"> </w:t>
      </w:r>
      <w:r w:rsidR="00300C21">
        <w:t>Avista</w:t>
      </w:r>
      <w:r>
        <w:t xml:space="preserve"> </w:t>
      </w:r>
      <w:r w:rsidR="00B104CD">
        <w:t xml:space="preserve">Corporation </w:t>
      </w:r>
      <w:r>
        <w:t xml:space="preserve">issued </w:t>
      </w:r>
      <w:r w:rsidR="00A93053">
        <w:t>new</w:t>
      </w:r>
      <w:r w:rsidR="00B104CD">
        <w:t xml:space="preserve"> long-term </w:t>
      </w:r>
      <w:r w:rsidR="00EE37FE">
        <w:t>(3</w:t>
      </w:r>
      <w:r w:rsidR="00512722">
        <w:t>5</w:t>
      </w:r>
      <w:r w:rsidR="00EE37FE">
        <w:t xml:space="preserve"> year maturity) </w:t>
      </w:r>
      <w:r w:rsidR="00B104CD">
        <w:t xml:space="preserve">debt </w:t>
      </w:r>
      <w:r w:rsidR="00A93053">
        <w:t xml:space="preserve">with a coupon </w:t>
      </w:r>
      <w:r w:rsidR="003A7F73">
        <w:t xml:space="preserve">rate </w:t>
      </w:r>
      <w:r w:rsidR="00A93053">
        <w:t>of 4.</w:t>
      </w:r>
      <w:r w:rsidR="00512722">
        <w:t>23</w:t>
      </w:r>
      <w:r w:rsidR="00C2334B">
        <w:t xml:space="preserve"> </w:t>
      </w:r>
      <w:r w:rsidR="00A93053">
        <w:t>percent.</w:t>
      </w:r>
      <w:r w:rsidR="00A93053">
        <w:rPr>
          <w:rStyle w:val="FootnoteReference"/>
        </w:rPr>
        <w:footnoteReference w:id="53"/>
      </w:r>
      <w:r w:rsidR="0090332A">
        <w:t xml:space="preserve"> </w:t>
      </w:r>
      <w:r w:rsidR="0069039E">
        <w:t xml:space="preserve"> </w:t>
      </w:r>
      <w:r w:rsidR="004044AF">
        <w:t>In 2013</w:t>
      </w:r>
      <w:r w:rsidR="003056F7">
        <w:t>,</w:t>
      </w:r>
      <w:r w:rsidR="004044AF">
        <w:t xml:space="preserve"> Avista could have sold new 30-year debt with a coupon </w:t>
      </w:r>
      <w:r w:rsidR="003A7F73">
        <w:t xml:space="preserve">rate </w:t>
      </w:r>
      <w:r w:rsidR="004044AF">
        <w:t>of just over 4.0 percent.</w:t>
      </w:r>
      <w:r w:rsidR="00777FCA">
        <w:rPr>
          <w:rStyle w:val="FootnoteReference"/>
        </w:rPr>
        <w:footnoteReference w:id="54"/>
      </w:r>
      <w:r w:rsidR="004044AF">
        <w:t xml:space="preserve">  </w:t>
      </w:r>
      <w:r w:rsidR="004F25FA">
        <w:t xml:space="preserve">Assuming a </w:t>
      </w:r>
      <w:r w:rsidR="00185FF9">
        <w:t xml:space="preserve">DCF </w:t>
      </w:r>
      <w:r w:rsidR="00182469">
        <w:t>estimate</w:t>
      </w:r>
      <w:r w:rsidR="00185FF9">
        <w:t xml:space="preserve"> </w:t>
      </w:r>
      <w:r w:rsidR="004F25FA">
        <w:t xml:space="preserve">of </w:t>
      </w:r>
      <w:r w:rsidR="00C2334B">
        <w:t>8.75</w:t>
      </w:r>
      <w:r w:rsidR="004F25FA">
        <w:t xml:space="preserve"> percent, </w:t>
      </w:r>
      <w:r w:rsidR="0084770C">
        <w:t xml:space="preserve">which is </w:t>
      </w:r>
      <w:r w:rsidR="004F25FA">
        <w:t xml:space="preserve">the top of </w:t>
      </w:r>
      <w:r w:rsidR="005C1A38">
        <w:t xml:space="preserve">my </w:t>
      </w:r>
      <w:r w:rsidR="004F25FA">
        <w:t xml:space="preserve">range of DCF results, this </w:t>
      </w:r>
      <w:r w:rsidR="00A93053">
        <w:t xml:space="preserve">represents an equity market premium of </w:t>
      </w:r>
      <w:r w:rsidR="00C2334B">
        <w:t xml:space="preserve">more than </w:t>
      </w:r>
      <w:r w:rsidR="004F25FA">
        <w:t>4</w:t>
      </w:r>
      <w:r w:rsidR="00777FCA">
        <w:t>75</w:t>
      </w:r>
      <w:r w:rsidR="005B76B7">
        <w:t xml:space="preserve"> basis points.</w:t>
      </w:r>
      <w:r w:rsidR="00DD6B9A">
        <w:rPr>
          <w:rStyle w:val="FootnoteReference"/>
        </w:rPr>
        <w:footnoteReference w:id="55"/>
      </w:r>
      <w:r w:rsidR="00B05604">
        <w:t xml:space="preserve"> </w:t>
      </w:r>
      <w:r w:rsidR="00E674E9">
        <w:t xml:space="preserve"> Even if long-term interest rates </w:t>
      </w:r>
      <w:r w:rsidR="00053D68">
        <w:t>raise</w:t>
      </w:r>
      <w:r w:rsidR="00E674E9">
        <w:t xml:space="preserve"> 50 basis points, my specific DCF estimate still </w:t>
      </w:r>
      <w:r w:rsidR="000B5257">
        <w:t xml:space="preserve">reflects an equity market premium of </w:t>
      </w:r>
      <w:r w:rsidR="00E674E9">
        <w:t>4</w:t>
      </w:r>
      <w:r w:rsidR="00777FCA">
        <w:t>25</w:t>
      </w:r>
      <w:r w:rsidR="00E674E9">
        <w:t xml:space="preserve"> basis points.</w:t>
      </w:r>
    </w:p>
    <w:p w14:paraId="34EA9BA9" w14:textId="77777777" w:rsidR="005D3B74" w:rsidRDefault="005D3B74" w:rsidP="005D3B74">
      <w:pPr>
        <w:tabs>
          <w:tab w:val="left" w:pos="720"/>
          <w:tab w:val="left" w:pos="1440"/>
          <w:tab w:val="left" w:pos="9240"/>
        </w:tabs>
        <w:spacing w:line="480" w:lineRule="auto"/>
        <w:ind w:left="720" w:hanging="720"/>
      </w:pPr>
    </w:p>
    <w:p w14:paraId="34EA9BAA" w14:textId="77777777" w:rsidR="005D3B74" w:rsidRDefault="002977A8" w:rsidP="008807A8">
      <w:pPr>
        <w:keepNext/>
        <w:tabs>
          <w:tab w:val="left" w:pos="720"/>
          <w:tab w:val="left" w:pos="1440"/>
          <w:tab w:val="left" w:pos="9240"/>
        </w:tabs>
        <w:spacing w:line="480" w:lineRule="auto"/>
        <w:ind w:left="720" w:hanging="720"/>
        <w:rPr>
          <w:b/>
        </w:rPr>
      </w:pPr>
      <w:r>
        <w:rPr>
          <w:b/>
        </w:rPr>
        <w:t>Q.</w:t>
      </w:r>
      <w:r>
        <w:rPr>
          <w:b/>
        </w:rPr>
        <w:tab/>
      </w:r>
      <w:r w:rsidR="00EE37FE">
        <w:rPr>
          <w:b/>
        </w:rPr>
        <w:t>Is</w:t>
      </w:r>
      <w:r>
        <w:rPr>
          <w:b/>
        </w:rPr>
        <w:t xml:space="preserve"> a </w:t>
      </w:r>
      <w:r w:rsidR="00F87B80">
        <w:rPr>
          <w:b/>
        </w:rPr>
        <w:t>4</w:t>
      </w:r>
      <w:r w:rsidR="00FC07C7">
        <w:rPr>
          <w:b/>
        </w:rPr>
        <w:t>7</w:t>
      </w:r>
      <w:r w:rsidR="00F87B80">
        <w:rPr>
          <w:b/>
        </w:rPr>
        <w:t>5</w:t>
      </w:r>
      <w:r w:rsidR="00085EB7">
        <w:rPr>
          <w:b/>
        </w:rPr>
        <w:t xml:space="preserve"> </w:t>
      </w:r>
      <w:r w:rsidR="005D3B74">
        <w:rPr>
          <w:b/>
        </w:rPr>
        <w:t xml:space="preserve">basis point </w:t>
      </w:r>
      <w:r w:rsidR="000B5257">
        <w:rPr>
          <w:b/>
        </w:rPr>
        <w:t xml:space="preserve">equity market </w:t>
      </w:r>
      <w:r w:rsidR="005D3B74">
        <w:rPr>
          <w:b/>
        </w:rPr>
        <w:t>premium reasonable</w:t>
      </w:r>
      <w:r w:rsidR="00EE37FE">
        <w:rPr>
          <w:b/>
        </w:rPr>
        <w:t xml:space="preserve"> for equity investors</w:t>
      </w:r>
      <w:r w:rsidR="005D3B74">
        <w:rPr>
          <w:b/>
        </w:rPr>
        <w:t>?</w:t>
      </w:r>
    </w:p>
    <w:p w14:paraId="34EA9BAB" w14:textId="77777777" w:rsidR="005D3B74" w:rsidRDefault="002977A8" w:rsidP="005D3B74">
      <w:pPr>
        <w:tabs>
          <w:tab w:val="left" w:pos="720"/>
          <w:tab w:val="left" w:pos="1440"/>
          <w:tab w:val="left" w:pos="9240"/>
        </w:tabs>
        <w:spacing w:line="480" w:lineRule="auto"/>
        <w:ind w:left="720" w:hanging="720"/>
      </w:pPr>
      <w:r>
        <w:t>A.</w:t>
      </w:r>
      <w:r>
        <w:tab/>
      </w:r>
      <w:r w:rsidR="005E0717">
        <w:t>A</w:t>
      </w:r>
      <w:r w:rsidR="005B76B7">
        <w:t xml:space="preserve"> </w:t>
      </w:r>
      <w:r w:rsidR="00DA16B0">
        <w:t>4</w:t>
      </w:r>
      <w:r w:rsidR="00FC07C7">
        <w:t>7</w:t>
      </w:r>
      <w:r w:rsidR="00DA16B0">
        <w:t>5</w:t>
      </w:r>
      <w:r w:rsidR="00085EB7">
        <w:t xml:space="preserve"> </w:t>
      </w:r>
      <w:r w:rsidR="005D3B74">
        <w:t xml:space="preserve">basis point spread </w:t>
      </w:r>
      <w:r w:rsidR="00C17B8D">
        <w:t xml:space="preserve">easily </w:t>
      </w:r>
      <w:r w:rsidR="005E0717">
        <w:t xml:space="preserve">could </w:t>
      </w:r>
      <w:r w:rsidR="00C17B8D">
        <w:t xml:space="preserve">be considered </w:t>
      </w:r>
      <w:r w:rsidR="005B76B7">
        <w:t xml:space="preserve">excessive </w:t>
      </w:r>
      <w:r w:rsidR="005D3B74">
        <w:t xml:space="preserve">compensation for equity owners over those </w:t>
      </w:r>
      <w:r w:rsidR="00E34ABC">
        <w:t>buying</w:t>
      </w:r>
      <w:r w:rsidR="005D3B74">
        <w:t xml:space="preserve"> </w:t>
      </w:r>
      <w:r w:rsidR="00E34ABC">
        <w:t>its</w:t>
      </w:r>
      <w:r w:rsidR="00A348E1">
        <w:t xml:space="preserve"> </w:t>
      </w:r>
      <w:r w:rsidR="005D3B74">
        <w:t xml:space="preserve">long-term bonds.  </w:t>
      </w:r>
      <w:r w:rsidR="005B76B7">
        <w:t xml:space="preserve">A more reasonable equity risk premium </w:t>
      </w:r>
      <w:r w:rsidR="00DA16B0">
        <w:t xml:space="preserve">in today’s market </w:t>
      </w:r>
      <w:r w:rsidR="005B76B7">
        <w:t>is</w:t>
      </w:r>
      <w:r w:rsidR="00A567A9">
        <w:t>,</w:t>
      </w:r>
      <w:r w:rsidR="005B76B7">
        <w:t xml:space="preserve"> </w:t>
      </w:r>
      <w:r w:rsidR="00F87B80">
        <w:t>at most</w:t>
      </w:r>
      <w:r w:rsidR="00A567A9">
        <w:t>,</w:t>
      </w:r>
      <w:r w:rsidR="00F87B80">
        <w:t xml:space="preserve"> </w:t>
      </w:r>
      <w:r w:rsidR="005B76B7">
        <w:t>400 basis poin</w:t>
      </w:r>
      <w:r w:rsidR="00DA16B0">
        <w:t>ts.  Therefore, on the ba</w:t>
      </w:r>
      <w:r w:rsidR="0037021D">
        <w:t>sis of a risk premium analysis</w:t>
      </w:r>
      <w:r w:rsidR="00A567A9">
        <w:t>,</w:t>
      </w:r>
      <w:r w:rsidR="005B76B7">
        <w:t xml:space="preserve"> a fair ROE </w:t>
      </w:r>
      <w:r w:rsidR="00A567A9">
        <w:t xml:space="preserve">for Avista </w:t>
      </w:r>
      <w:r w:rsidR="005B76B7">
        <w:t>in today’s capital markets i</w:t>
      </w:r>
      <w:r w:rsidR="00A567A9">
        <w:t>s</w:t>
      </w:r>
      <w:r w:rsidR="005B76B7">
        <w:t xml:space="preserve"> in the mid</w:t>
      </w:r>
      <w:r w:rsidR="00A567A9">
        <w:t>-</w:t>
      </w:r>
      <w:r w:rsidR="005B76B7">
        <w:t>8 percent range.</w:t>
      </w:r>
      <w:r w:rsidR="00F87B80">
        <w:t xml:space="preserve">  </w:t>
      </w:r>
      <w:r w:rsidR="00634CAD">
        <w:t xml:space="preserve">  </w:t>
      </w:r>
    </w:p>
    <w:p w14:paraId="34EA9BAC" w14:textId="503C3F98" w:rsidR="00083C6E" w:rsidRDefault="00083C6E" w:rsidP="00083C6E">
      <w:pPr>
        <w:tabs>
          <w:tab w:val="left" w:pos="720"/>
          <w:tab w:val="left" w:pos="1440"/>
          <w:tab w:val="left" w:pos="9240"/>
        </w:tabs>
        <w:spacing w:line="480" w:lineRule="auto"/>
        <w:ind w:left="720" w:hanging="720"/>
      </w:pPr>
      <w:r>
        <w:tab/>
      </w:r>
      <w:r>
        <w:tab/>
      </w:r>
      <w:r w:rsidR="001A6DFF">
        <w:t>The Commission should also consider</w:t>
      </w:r>
      <w:r>
        <w:t xml:space="preserve"> the implicit risk premium </w:t>
      </w:r>
      <w:r w:rsidR="001A6DFF">
        <w:t xml:space="preserve">of </w:t>
      </w:r>
      <w:r>
        <w:t xml:space="preserve">Avista’s </w:t>
      </w:r>
      <w:r w:rsidR="001A6DFF">
        <w:t>ROE recommendation</w:t>
      </w:r>
      <w:r>
        <w:t xml:space="preserve">.   As I just stated, Avista can issue new long-term debt for 4.0 percent.  Assuming </w:t>
      </w:r>
      <w:r w:rsidR="00FD2AAC">
        <w:t xml:space="preserve">the Company’s </w:t>
      </w:r>
      <w:r>
        <w:t xml:space="preserve">10.10 percent ROE recommendation is correct, it </w:t>
      </w:r>
      <w:r>
        <w:lastRenderedPageBreak/>
        <w:t>implies a risk premium of 6</w:t>
      </w:r>
      <w:r w:rsidR="00C35F45">
        <w:t>.</w:t>
      </w:r>
      <w:r>
        <w:t xml:space="preserve">00 percent.  </w:t>
      </w:r>
      <w:r w:rsidR="005C1A38">
        <w:t>This is clearly excessive compensation for e</w:t>
      </w:r>
      <w:r>
        <w:t xml:space="preserve">quity investors </w:t>
      </w:r>
      <w:r w:rsidR="001A6DFF">
        <w:t xml:space="preserve">in </w:t>
      </w:r>
      <w:r w:rsidR="005C1A38">
        <w:t>today’s</w:t>
      </w:r>
      <w:r>
        <w:t xml:space="preserve"> low-cost capital marke</w:t>
      </w:r>
      <w:r w:rsidR="005C1A38">
        <w:t>ts</w:t>
      </w:r>
      <w:r>
        <w:t>.  Such a st</w:t>
      </w:r>
      <w:r w:rsidR="00FD2AAC">
        <w:t>e</w:t>
      </w:r>
      <w:r>
        <w:t>ep capital market line is unreasonable.</w:t>
      </w:r>
      <w:r w:rsidR="00FD2AAC">
        <w:t xml:space="preserve">  This confirms Avista’s proposed ROE is much too high.</w:t>
      </w:r>
    </w:p>
    <w:p w14:paraId="34EA9BAD" w14:textId="77777777" w:rsidR="00BF45AC" w:rsidRDefault="00BF45AC" w:rsidP="005D3B74">
      <w:pPr>
        <w:tabs>
          <w:tab w:val="left" w:pos="720"/>
          <w:tab w:val="left" w:pos="1440"/>
          <w:tab w:val="left" w:pos="9240"/>
        </w:tabs>
        <w:spacing w:line="480" w:lineRule="auto"/>
        <w:ind w:left="720" w:hanging="720"/>
        <w:rPr>
          <w:b/>
        </w:rPr>
      </w:pPr>
    </w:p>
    <w:p w14:paraId="34EA9BAE" w14:textId="77777777" w:rsidR="00AD1EB5" w:rsidRDefault="00AD1EB5" w:rsidP="005D3B74">
      <w:pPr>
        <w:tabs>
          <w:tab w:val="left" w:pos="720"/>
          <w:tab w:val="left" w:pos="1440"/>
          <w:tab w:val="left" w:pos="9240"/>
        </w:tabs>
        <w:spacing w:line="480" w:lineRule="auto"/>
        <w:ind w:left="720" w:hanging="720"/>
        <w:rPr>
          <w:b/>
        </w:rPr>
      </w:pPr>
      <w:r>
        <w:rPr>
          <w:b/>
        </w:rPr>
        <w:t>Q.</w:t>
      </w:r>
      <w:r>
        <w:rPr>
          <w:b/>
        </w:rPr>
        <w:tab/>
        <w:t>Please summarize your CAPM and risk premium analyses</w:t>
      </w:r>
      <w:r w:rsidR="0069039E">
        <w:rPr>
          <w:b/>
        </w:rPr>
        <w:t>.</w:t>
      </w:r>
    </w:p>
    <w:p w14:paraId="34EA9BAF" w14:textId="77777777" w:rsidR="00AD1EB5" w:rsidRPr="00AD1EB5" w:rsidRDefault="00AD1EB5" w:rsidP="005D3B74">
      <w:pPr>
        <w:tabs>
          <w:tab w:val="left" w:pos="720"/>
          <w:tab w:val="left" w:pos="1440"/>
          <w:tab w:val="left" w:pos="9240"/>
        </w:tabs>
        <w:spacing w:line="480" w:lineRule="auto"/>
        <w:ind w:left="720" w:hanging="720"/>
      </w:pPr>
      <w:r>
        <w:t>A.</w:t>
      </w:r>
      <w:r>
        <w:tab/>
      </w:r>
      <w:r w:rsidR="00E256BA">
        <w:t xml:space="preserve">Again, if the Commission decides to use these results, it </w:t>
      </w:r>
      <w:r>
        <w:t xml:space="preserve">should </w:t>
      </w:r>
      <w:r w:rsidR="00E256BA">
        <w:t xml:space="preserve">proceed </w:t>
      </w:r>
      <w:r>
        <w:t>with caution.  However, within the context of considering investors</w:t>
      </w:r>
      <w:r w:rsidR="0069039E">
        <w:t>’</w:t>
      </w:r>
      <w:r>
        <w:t xml:space="preserve"> opportunity costs in today’s </w:t>
      </w:r>
      <w:r w:rsidR="00686A20">
        <w:t xml:space="preserve">capital </w:t>
      </w:r>
      <w:r>
        <w:t xml:space="preserve">markets, these studies support what my DCF study </w:t>
      </w:r>
      <w:r w:rsidR="00E256BA">
        <w:t xml:space="preserve">generally </w:t>
      </w:r>
      <w:r>
        <w:t>shows: th</w:t>
      </w:r>
      <w:r w:rsidR="00E34ABC">
        <w:t>e cost of equity has declined and a f</w:t>
      </w:r>
      <w:r w:rsidR="00686A20">
        <w:t xml:space="preserve">air ROE is in the range of 8.50 </w:t>
      </w:r>
      <w:r w:rsidR="00E34ABC">
        <w:t xml:space="preserve"> percent.</w:t>
      </w:r>
    </w:p>
    <w:p w14:paraId="34EA9BB0" w14:textId="77777777" w:rsidR="002E3472" w:rsidRDefault="005D3B74" w:rsidP="00A67C4C">
      <w:pPr>
        <w:tabs>
          <w:tab w:val="left" w:pos="720"/>
          <w:tab w:val="left" w:pos="1440"/>
          <w:tab w:val="left" w:pos="9240"/>
        </w:tabs>
        <w:spacing w:line="480" w:lineRule="auto"/>
        <w:ind w:left="720" w:hanging="720"/>
        <w:rPr>
          <w:b/>
        </w:rPr>
      </w:pPr>
      <w:r>
        <w:t xml:space="preserve"> </w:t>
      </w:r>
    </w:p>
    <w:p w14:paraId="34EA9BB1" w14:textId="77777777" w:rsidR="005D3B74" w:rsidRDefault="00D26E1D" w:rsidP="006B276D">
      <w:pPr>
        <w:keepNext/>
        <w:keepLines/>
        <w:tabs>
          <w:tab w:val="left" w:pos="720"/>
          <w:tab w:val="left" w:pos="1440"/>
        </w:tabs>
        <w:spacing w:line="480" w:lineRule="auto"/>
        <w:rPr>
          <w:b/>
        </w:rPr>
      </w:pPr>
      <w:r>
        <w:rPr>
          <w:b/>
        </w:rPr>
        <w:tab/>
      </w:r>
      <w:r w:rsidR="009B70DF">
        <w:rPr>
          <w:b/>
        </w:rPr>
        <w:t>H</w:t>
      </w:r>
      <w:r w:rsidR="006816D6">
        <w:rPr>
          <w:b/>
        </w:rPr>
        <w:t>.</w:t>
      </w:r>
      <w:r w:rsidR="006816D6">
        <w:rPr>
          <w:b/>
        </w:rPr>
        <w:tab/>
      </w:r>
      <w:r w:rsidR="00013E75">
        <w:rPr>
          <w:b/>
        </w:rPr>
        <w:t xml:space="preserve">Summary of </w:t>
      </w:r>
      <w:r w:rsidR="006816D6">
        <w:rPr>
          <w:b/>
        </w:rPr>
        <w:t xml:space="preserve">Staff’s </w:t>
      </w:r>
      <w:r w:rsidR="005D3B74" w:rsidRPr="00DE055E">
        <w:rPr>
          <w:b/>
        </w:rPr>
        <w:t>R</w:t>
      </w:r>
      <w:r w:rsidR="005D3B74">
        <w:rPr>
          <w:b/>
        </w:rPr>
        <w:t>eturn on Equity Recommendation</w:t>
      </w:r>
    </w:p>
    <w:p w14:paraId="34EA9BB2" w14:textId="77777777" w:rsidR="005D3B74" w:rsidRDefault="005D3B74" w:rsidP="005D3B74">
      <w:pPr>
        <w:keepNext/>
        <w:keepLines/>
        <w:tabs>
          <w:tab w:val="left" w:pos="720"/>
          <w:tab w:val="left" w:pos="1440"/>
          <w:tab w:val="left" w:pos="9240"/>
        </w:tabs>
        <w:spacing w:line="480" w:lineRule="auto"/>
        <w:ind w:left="720" w:hanging="720"/>
        <w:jc w:val="both"/>
        <w:rPr>
          <w:b/>
        </w:rPr>
      </w:pPr>
    </w:p>
    <w:p w14:paraId="34EA9BB3" w14:textId="77777777" w:rsidR="005D3B74" w:rsidRDefault="005D3B74" w:rsidP="005D3B74">
      <w:pPr>
        <w:keepNext/>
        <w:keepLines/>
        <w:tabs>
          <w:tab w:val="left" w:pos="720"/>
          <w:tab w:val="left" w:pos="1440"/>
          <w:tab w:val="left" w:pos="9240"/>
        </w:tabs>
        <w:spacing w:line="480" w:lineRule="auto"/>
        <w:ind w:left="720" w:hanging="720"/>
        <w:rPr>
          <w:b/>
        </w:rPr>
      </w:pPr>
      <w:r>
        <w:rPr>
          <w:b/>
        </w:rPr>
        <w:t>Q.</w:t>
      </w:r>
      <w:r>
        <w:rPr>
          <w:b/>
        </w:rPr>
        <w:tab/>
        <w:t>Please summarize the results of your cost of common equity analyses</w:t>
      </w:r>
      <w:r w:rsidR="0037021D">
        <w:rPr>
          <w:b/>
        </w:rPr>
        <w:t xml:space="preserve"> for Avista</w:t>
      </w:r>
      <w:r>
        <w:rPr>
          <w:b/>
        </w:rPr>
        <w:t>.</w:t>
      </w:r>
    </w:p>
    <w:p w14:paraId="34EA9BB4" w14:textId="77777777" w:rsidR="00E6045F" w:rsidRDefault="0063400A" w:rsidP="005D3B74">
      <w:pPr>
        <w:tabs>
          <w:tab w:val="left" w:pos="720"/>
          <w:tab w:val="left" w:pos="1440"/>
          <w:tab w:val="left" w:pos="9240"/>
        </w:tabs>
        <w:spacing w:line="480" w:lineRule="auto"/>
        <w:ind w:left="720" w:hanging="720"/>
      </w:pPr>
      <w:r>
        <w:t>A.</w:t>
      </w:r>
      <w:r>
        <w:tab/>
      </w:r>
      <w:r w:rsidR="004044AF">
        <w:t>M</w:t>
      </w:r>
      <w:r w:rsidR="005D3B74">
        <w:t>y DCF study</w:t>
      </w:r>
      <w:r w:rsidR="005E0717">
        <w:t xml:space="preserve"> for Avista Corporation</w:t>
      </w:r>
      <w:r w:rsidR="004044AF">
        <w:t xml:space="preserve"> shows a</w:t>
      </w:r>
      <w:r w:rsidR="004F25FA">
        <w:t xml:space="preserve"> range of </w:t>
      </w:r>
      <w:r w:rsidR="00687EF9">
        <w:t>8.00</w:t>
      </w:r>
      <w:r w:rsidR="004044AF">
        <w:t xml:space="preserve"> to </w:t>
      </w:r>
      <w:r w:rsidR="00687EF9">
        <w:t>8.75</w:t>
      </w:r>
      <w:r w:rsidR="004044AF">
        <w:t xml:space="preserve"> percent.  The </w:t>
      </w:r>
      <w:r w:rsidR="008F64DF">
        <w:t xml:space="preserve">DCF result for my proxy group </w:t>
      </w:r>
      <w:r w:rsidR="00E6045F">
        <w:t xml:space="preserve">supports </w:t>
      </w:r>
      <w:r w:rsidR="005E0717">
        <w:t xml:space="preserve">this </w:t>
      </w:r>
      <w:r w:rsidR="00E6045F">
        <w:t>result</w:t>
      </w:r>
      <w:r w:rsidR="005D3B74">
        <w:t xml:space="preserve">.  </w:t>
      </w:r>
    </w:p>
    <w:p w14:paraId="34EA9BB5" w14:textId="4451398F" w:rsidR="005D3B74" w:rsidRDefault="00E6045F" w:rsidP="005D3B74">
      <w:pPr>
        <w:tabs>
          <w:tab w:val="left" w:pos="720"/>
          <w:tab w:val="left" w:pos="1440"/>
          <w:tab w:val="left" w:pos="9240"/>
        </w:tabs>
        <w:spacing w:line="480" w:lineRule="auto"/>
        <w:ind w:left="720" w:hanging="720"/>
      </w:pPr>
      <w:r>
        <w:tab/>
      </w:r>
      <w:r>
        <w:tab/>
      </w:r>
      <w:r w:rsidR="00053D68">
        <w:t xml:space="preserve">My CAPM analysis produces an estimate of 8.11 percent, and my risk premium analysis shows that an 8.5 percent ROE provides a 475 basis point spread over Avista’s current long-term debt costs.  </w:t>
      </w:r>
      <w:r w:rsidR="00E256BA">
        <w:t xml:space="preserve">I use these methods only to support the fact that capital costs have declined, and </w:t>
      </w:r>
      <w:r w:rsidR="00C718C7">
        <w:t xml:space="preserve">these models </w:t>
      </w:r>
      <w:r w:rsidR="001A6DFF">
        <w:t xml:space="preserve">show </w:t>
      </w:r>
      <w:r w:rsidR="00C718C7">
        <w:t xml:space="preserve">support </w:t>
      </w:r>
      <w:r w:rsidR="003A7F73">
        <w:t xml:space="preserve">for </w:t>
      </w:r>
      <w:r w:rsidR="00C718C7">
        <w:t>my estimate</w:t>
      </w:r>
      <w:r w:rsidR="00B4341E">
        <w:t xml:space="preserve"> using DCF analysis</w:t>
      </w:r>
      <w:r w:rsidR="00E256BA">
        <w:t>.</w:t>
      </w:r>
    </w:p>
    <w:p w14:paraId="34EA9BB6" w14:textId="77777777" w:rsidR="00B2761C" w:rsidRDefault="005D3B74" w:rsidP="005D3B74">
      <w:pPr>
        <w:tabs>
          <w:tab w:val="left" w:pos="720"/>
          <w:tab w:val="left" w:pos="1440"/>
          <w:tab w:val="left" w:pos="9240"/>
        </w:tabs>
        <w:spacing w:line="480" w:lineRule="auto"/>
        <w:ind w:left="720" w:hanging="720"/>
      </w:pPr>
      <w:r>
        <w:tab/>
      </w:r>
      <w:r>
        <w:tab/>
        <w:t xml:space="preserve">I conclude </w:t>
      </w:r>
      <w:r w:rsidR="00753F80">
        <w:t xml:space="preserve">my DCF-based </w:t>
      </w:r>
      <w:r>
        <w:t xml:space="preserve">cost of common equity </w:t>
      </w:r>
      <w:r w:rsidR="003A79BD">
        <w:t xml:space="preserve">estimate </w:t>
      </w:r>
      <w:r w:rsidR="00753F80">
        <w:t xml:space="preserve">of </w:t>
      </w:r>
      <w:r w:rsidR="00634CAD">
        <w:t>8.75</w:t>
      </w:r>
      <w:r>
        <w:t xml:space="preserve"> percent</w:t>
      </w:r>
      <w:r w:rsidR="00753F80">
        <w:t xml:space="preserve"> for Avista is reasonable</w:t>
      </w:r>
      <w:r w:rsidR="00E6045F">
        <w:t xml:space="preserve"> and fair in today’s capital market</w:t>
      </w:r>
      <w:r w:rsidR="00843DDD">
        <w:t>.</w:t>
      </w:r>
      <w:r>
        <w:t xml:space="preserve">  </w:t>
      </w:r>
    </w:p>
    <w:p w14:paraId="34EA9BB7" w14:textId="77777777" w:rsidR="00F82614" w:rsidRDefault="00F82614" w:rsidP="005D3B74">
      <w:pPr>
        <w:tabs>
          <w:tab w:val="left" w:pos="720"/>
          <w:tab w:val="left" w:pos="1440"/>
          <w:tab w:val="left" w:pos="9240"/>
        </w:tabs>
        <w:spacing w:line="480" w:lineRule="auto"/>
        <w:ind w:left="720" w:hanging="720"/>
      </w:pPr>
    </w:p>
    <w:p w14:paraId="34EA9BB8" w14:textId="77777777" w:rsidR="00F82614" w:rsidRDefault="00F82614" w:rsidP="005D3B74">
      <w:pPr>
        <w:tabs>
          <w:tab w:val="left" w:pos="720"/>
          <w:tab w:val="left" w:pos="1440"/>
          <w:tab w:val="left" w:pos="9240"/>
        </w:tabs>
        <w:spacing w:line="480" w:lineRule="auto"/>
        <w:ind w:left="720" w:hanging="720"/>
        <w:rPr>
          <w:b/>
        </w:rPr>
      </w:pPr>
      <w:r>
        <w:rPr>
          <w:b/>
        </w:rPr>
        <w:lastRenderedPageBreak/>
        <w:t>Q.</w:t>
      </w:r>
      <w:r>
        <w:rPr>
          <w:b/>
        </w:rPr>
        <w:tab/>
        <w:t xml:space="preserve">In the last </w:t>
      </w:r>
      <w:r w:rsidR="005E0717">
        <w:rPr>
          <w:b/>
        </w:rPr>
        <w:t xml:space="preserve">Avista </w:t>
      </w:r>
      <w:r>
        <w:rPr>
          <w:b/>
        </w:rPr>
        <w:t>rate case you recommend</w:t>
      </w:r>
      <w:r w:rsidR="005E0717">
        <w:rPr>
          <w:b/>
        </w:rPr>
        <w:t>ed</w:t>
      </w:r>
      <w:r>
        <w:rPr>
          <w:b/>
        </w:rPr>
        <w:t xml:space="preserve"> a fair ROE </w:t>
      </w:r>
      <w:r w:rsidR="005E0717">
        <w:rPr>
          <w:b/>
        </w:rPr>
        <w:t xml:space="preserve">of </w:t>
      </w:r>
      <w:r>
        <w:rPr>
          <w:b/>
        </w:rPr>
        <w:t xml:space="preserve">9.0 percent.  </w:t>
      </w:r>
      <w:r w:rsidR="00BD4B2B">
        <w:rPr>
          <w:b/>
        </w:rPr>
        <w:t>P</w:t>
      </w:r>
      <w:r>
        <w:rPr>
          <w:b/>
        </w:rPr>
        <w:t xml:space="preserve">lease </w:t>
      </w:r>
      <w:r w:rsidR="00BD4B2B">
        <w:rPr>
          <w:b/>
        </w:rPr>
        <w:t>explain why your</w:t>
      </w:r>
      <w:r w:rsidR="005E0717">
        <w:rPr>
          <w:b/>
        </w:rPr>
        <w:t xml:space="preserve"> recommendation </w:t>
      </w:r>
      <w:r w:rsidR="00BD4B2B">
        <w:rPr>
          <w:b/>
        </w:rPr>
        <w:t xml:space="preserve">is </w:t>
      </w:r>
      <w:r w:rsidR="00925156">
        <w:rPr>
          <w:b/>
        </w:rPr>
        <w:t>lower in</w:t>
      </w:r>
      <w:r w:rsidR="005E0717">
        <w:rPr>
          <w:b/>
        </w:rPr>
        <w:t xml:space="preserve"> this case</w:t>
      </w:r>
      <w:r w:rsidR="003056F7">
        <w:rPr>
          <w:b/>
        </w:rPr>
        <w:t>.</w:t>
      </w:r>
    </w:p>
    <w:p w14:paraId="34EA9BB9" w14:textId="4D183FB7" w:rsidR="002278E6" w:rsidRDefault="00F82614" w:rsidP="00686A20">
      <w:pPr>
        <w:tabs>
          <w:tab w:val="left" w:pos="720"/>
          <w:tab w:val="left" w:pos="1440"/>
          <w:tab w:val="left" w:pos="9240"/>
        </w:tabs>
        <w:spacing w:line="480" w:lineRule="auto"/>
        <w:ind w:left="720" w:hanging="720"/>
      </w:pPr>
      <w:r>
        <w:t>A.</w:t>
      </w:r>
      <w:r>
        <w:tab/>
      </w:r>
      <w:r w:rsidR="00073F46">
        <w:t>As I explained earlier, t</w:t>
      </w:r>
      <w:r>
        <w:t xml:space="preserve">he </w:t>
      </w:r>
      <w:r w:rsidR="0082581C">
        <w:t>different</w:t>
      </w:r>
      <w:r w:rsidR="002278E6">
        <w:t xml:space="preserve"> </w:t>
      </w:r>
      <w:r w:rsidR="00BD4B2B">
        <w:t xml:space="preserve">estimate in this case is </w:t>
      </w:r>
      <w:r w:rsidR="003056F7">
        <w:t xml:space="preserve">due to the </w:t>
      </w:r>
      <w:r w:rsidR="00F827BA">
        <w:t xml:space="preserve">continued downward pressure on the cost of equity for utilities.  </w:t>
      </w:r>
      <w:r>
        <w:t xml:space="preserve">Investors today </w:t>
      </w:r>
      <w:r w:rsidR="002278E6">
        <w:t xml:space="preserve">are </w:t>
      </w:r>
      <w:r>
        <w:t>willing to pay more for the right to Avista Corporation’s cash flows</w:t>
      </w:r>
      <w:r w:rsidR="005E0717">
        <w:t>.</w:t>
      </w:r>
      <w:r>
        <w:t xml:space="preserve">  </w:t>
      </w:r>
      <w:r w:rsidR="005E0717">
        <w:t xml:space="preserve">Because Avista Corporation’s </w:t>
      </w:r>
      <w:r>
        <w:t xml:space="preserve">stock </w:t>
      </w:r>
      <w:r w:rsidR="005E0717">
        <w:t xml:space="preserve">price </w:t>
      </w:r>
      <w:r>
        <w:t>has increased, the expecte</w:t>
      </w:r>
      <w:r w:rsidR="004A6E38">
        <w:t>d dividend yield is lower.</w:t>
      </w:r>
      <w:r>
        <w:t xml:space="preserve"> </w:t>
      </w:r>
      <w:r w:rsidR="00BD4B2B">
        <w:t xml:space="preserve"> In the prior case</w:t>
      </w:r>
      <w:r w:rsidR="003A7F73">
        <w:t>,</w:t>
      </w:r>
      <w:r w:rsidR="00BD4B2B">
        <w:t xml:space="preserve"> Avista Corporation’s stock was trading for $25-$26 with a dividend yield of 4.40 to 4.60 percent.  Now</w:t>
      </w:r>
      <w:r w:rsidR="003056F7">
        <w:t>, the same stock</w:t>
      </w:r>
      <w:r w:rsidR="00A46D58">
        <w:t xml:space="preserve"> trades for </w:t>
      </w:r>
      <w:r w:rsidR="001A6DFF">
        <w:t xml:space="preserve">almost </w:t>
      </w:r>
      <w:r w:rsidR="00A46D58">
        <w:t>$3</w:t>
      </w:r>
      <w:r w:rsidR="005C1A38">
        <w:t>3</w:t>
      </w:r>
      <w:r w:rsidR="00FD2AAC">
        <w:t>,</w:t>
      </w:r>
      <w:r w:rsidR="00FB64B8">
        <w:t xml:space="preserve"> </w:t>
      </w:r>
      <w:r w:rsidR="00BD4B2B">
        <w:t xml:space="preserve">with a </w:t>
      </w:r>
      <w:r w:rsidR="00FD2AAC">
        <w:t xml:space="preserve">dividend </w:t>
      </w:r>
      <w:r w:rsidR="00BD4B2B">
        <w:t>yield of</w:t>
      </w:r>
      <w:r w:rsidR="00686A20">
        <w:t xml:space="preserve"> </w:t>
      </w:r>
      <w:r w:rsidR="001A6DFF">
        <w:t>3.90</w:t>
      </w:r>
      <w:r w:rsidR="00A46D58">
        <w:t xml:space="preserve"> </w:t>
      </w:r>
      <w:r w:rsidR="00BD4B2B">
        <w:t xml:space="preserve"> percent.</w:t>
      </w:r>
      <w:r w:rsidR="00A46D58">
        <w:t xml:space="preserve">  </w:t>
      </w:r>
      <w:r w:rsidR="0082581C">
        <w:t>The increase in its stock price is direct market evidence that the cost of capital for Avista is lower now.</w:t>
      </w:r>
      <w:r w:rsidR="00FC07C7">
        <w:t xml:space="preserve"> </w:t>
      </w:r>
      <w:r w:rsidR="003839D0">
        <w:t xml:space="preserve"> </w:t>
      </w:r>
      <w:r w:rsidR="003056F7">
        <w:t xml:space="preserve">My </w:t>
      </w:r>
      <w:r w:rsidR="00686A20">
        <w:t>Exhibit No.___(KLE-</w:t>
      </w:r>
      <w:r w:rsidR="00B1726B">
        <w:t>7</w:t>
      </w:r>
      <w:r w:rsidR="00A46D58">
        <w:t>) is a chart of Avista Corporation’s stock price over the past two years.</w:t>
      </w:r>
    </w:p>
    <w:p w14:paraId="34EA9BBD" w14:textId="77777777" w:rsidR="000865E5" w:rsidRDefault="000865E5" w:rsidP="005D3B74">
      <w:pPr>
        <w:tabs>
          <w:tab w:val="left" w:pos="720"/>
          <w:tab w:val="left" w:pos="1440"/>
          <w:tab w:val="left" w:pos="9240"/>
        </w:tabs>
        <w:spacing w:line="480" w:lineRule="auto"/>
        <w:ind w:left="720" w:hanging="720"/>
      </w:pPr>
    </w:p>
    <w:p w14:paraId="34EA9BBE" w14:textId="77777777" w:rsidR="006816D6" w:rsidRPr="006816D6" w:rsidRDefault="00D26E1D" w:rsidP="005D3B74">
      <w:pPr>
        <w:tabs>
          <w:tab w:val="left" w:pos="720"/>
          <w:tab w:val="left" w:pos="1440"/>
          <w:tab w:val="left" w:pos="9240"/>
        </w:tabs>
        <w:spacing w:line="480" w:lineRule="auto"/>
        <w:ind w:left="720" w:hanging="720"/>
        <w:rPr>
          <w:b/>
        </w:rPr>
      </w:pPr>
      <w:r>
        <w:rPr>
          <w:b/>
        </w:rPr>
        <w:tab/>
      </w:r>
      <w:r w:rsidR="009B70DF">
        <w:rPr>
          <w:b/>
        </w:rPr>
        <w:t>I</w:t>
      </w:r>
      <w:r w:rsidR="006816D6">
        <w:rPr>
          <w:b/>
        </w:rPr>
        <w:t>.</w:t>
      </w:r>
      <w:r w:rsidR="006816D6">
        <w:rPr>
          <w:b/>
        </w:rPr>
        <w:tab/>
        <w:t>Flotation Cost Recovery</w:t>
      </w:r>
    </w:p>
    <w:p w14:paraId="34EA9BBF" w14:textId="77777777" w:rsidR="006816D6" w:rsidRDefault="006816D6" w:rsidP="005D3B74">
      <w:pPr>
        <w:tabs>
          <w:tab w:val="left" w:pos="720"/>
          <w:tab w:val="left" w:pos="1440"/>
          <w:tab w:val="left" w:pos="9240"/>
        </w:tabs>
        <w:spacing w:line="480" w:lineRule="auto"/>
        <w:ind w:left="720" w:hanging="720"/>
        <w:rPr>
          <w:b/>
        </w:rPr>
      </w:pPr>
    </w:p>
    <w:p w14:paraId="34EA9BC0" w14:textId="77777777" w:rsidR="006816D6" w:rsidRDefault="00B2761C" w:rsidP="005D3B74">
      <w:pPr>
        <w:tabs>
          <w:tab w:val="left" w:pos="720"/>
          <w:tab w:val="left" w:pos="1440"/>
          <w:tab w:val="left" w:pos="9240"/>
        </w:tabs>
        <w:spacing w:line="480" w:lineRule="auto"/>
        <w:ind w:left="720" w:hanging="720"/>
        <w:rPr>
          <w:b/>
        </w:rPr>
      </w:pPr>
      <w:r>
        <w:rPr>
          <w:b/>
        </w:rPr>
        <w:t>Q.</w:t>
      </w:r>
      <w:r>
        <w:rPr>
          <w:b/>
        </w:rPr>
        <w:tab/>
      </w:r>
      <w:r w:rsidR="006816D6">
        <w:rPr>
          <w:b/>
        </w:rPr>
        <w:t>Is t</w:t>
      </w:r>
      <w:r>
        <w:rPr>
          <w:b/>
        </w:rPr>
        <w:t xml:space="preserve">he </w:t>
      </w:r>
      <w:r w:rsidR="001A6172">
        <w:rPr>
          <w:b/>
        </w:rPr>
        <w:t>C</w:t>
      </w:r>
      <w:r>
        <w:rPr>
          <w:b/>
        </w:rPr>
        <w:t xml:space="preserve">ompany proposing </w:t>
      </w:r>
      <w:r w:rsidR="00DA16B0">
        <w:rPr>
          <w:b/>
        </w:rPr>
        <w:t>a flotation</w:t>
      </w:r>
      <w:r w:rsidR="00236B35">
        <w:rPr>
          <w:b/>
        </w:rPr>
        <w:t xml:space="preserve"> adjustment </w:t>
      </w:r>
      <w:r>
        <w:rPr>
          <w:b/>
        </w:rPr>
        <w:t>to its cost of equity</w:t>
      </w:r>
      <w:r w:rsidR="006816D6">
        <w:rPr>
          <w:b/>
        </w:rPr>
        <w:t>?</w:t>
      </w:r>
    </w:p>
    <w:p w14:paraId="34EA9BC1" w14:textId="77777777" w:rsidR="00C80594" w:rsidRPr="00C80594" w:rsidRDefault="006816D6" w:rsidP="00C80594">
      <w:pPr>
        <w:tabs>
          <w:tab w:val="left" w:pos="720"/>
          <w:tab w:val="left" w:pos="1440"/>
          <w:tab w:val="left" w:pos="9240"/>
        </w:tabs>
        <w:spacing w:line="480" w:lineRule="auto"/>
        <w:ind w:left="720" w:hanging="720"/>
        <w:rPr>
          <w:b/>
        </w:rPr>
      </w:pPr>
      <w:r>
        <w:t>A.</w:t>
      </w:r>
      <w:r>
        <w:tab/>
        <w:t xml:space="preserve">Yes. </w:t>
      </w:r>
      <w:r w:rsidR="00C80594">
        <w:t xml:space="preserve"> </w:t>
      </w:r>
      <w:r w:rsidR="00B76166">
        <w:t xml:space="preserve">The Company is </w:t>
      </w:r>
      <w:r w:rsidR="002567A8">
        <w:t xml:space="preserve">asking the Commission to include flotation </w:t>
      </w:r>
      <w:r w:rsidR="00B76166">
        <w:t>costs twice</w:t>
      </w:r>
      <w:r w:rsidR="002567A8">
        <w:t xml:space="preserve">, through </w:t>
      </w:r>
      <w:r w:rsidR="00B76166">
        <w:t xml:space="preserve">two different adjustments.  First, Mr. </w:t>
      </w:r>
      <w:proofErr w:type="spellStart"/>
      <w:r w:rsidR="00B76166">
        <w:t>Thies</w:t>
      </w:r>
      <w:proofErr w:type="spellEnd"/>
      <w:r w:rsidR="00B76166">
        <w:t xml:space="preserve"> propos</w:t>
      </w:r>
      <w:r w:rsidR="002567A8">
        <w:t>es</w:t>
      </w:r>
      <w:r w:rsidR="00B76166">
        <w:t xml:space="preserve"> recovery </w:t>
      </w:r>
      <w:r w:rsidR="001F2653">
        <w:t xml:space="preserve">of these costs </w:t>
      </w:r>
      <w:r w:rsidR="00B76166">
        <w:t xml:space="preserve">by adding </w:t>
      </w:r>
      <w:r w:rsidR="00686A20">
        <w:t xml:space="preserve">back </w:t>
      </w:r>
      <w:r w:rsidR="00B76166">
        <w:t xml:space="preserve">$14.7 million in equity in the calculation of what he calls the Adjusted Regulatory </w:t>
      </w:r>
      <w:r w:rsidR="00363355">
        <w:t>Balance 12</w:t>
      </w:r>
      <w:r w:rsidR="00B76166">
        <w:t>/3/2014.</w:t>
      </w:r>
      <w:r w:rsidR="00B76166">
        <w:rPr>
          <w:rStyle w:val="FootnoteReference"/>
        </w:rPr>
        <w:footnoteReference w:id="56"/>
      </w:r>
      <w:r w:rsidR="00B76166">
        <w:t xml:space="preserve">  Second, </w:t>
      </w:r>
      <w:r w:rsidR="00C80594">
        <w:t xml:space="preserve">Mr. McKenzie </w:t>
      </w:r>
      <w:r w:rsidR="004F4B20">
        <w:t>recommends</w:t>
      </w:r>
      <w:r w:rsidR="00C80594">
        <w:t xml:space="preserve"> an explicit adder in his calculation of ROE.  He increases his ROE estimate by adjusting </w:t>
      </w:r>
      <w:r w:rsidR="002567A8">
        <w:t xml:space="preserve">his </w:t>
      </w:r>
      <w:r w:rsidR="00C80594">
        <w:t>indicated divid</w:t>
      </w:r>
      <w:r w:rsidR="00B76166">
        <w:t>end yield by 15 basis points</w:t>
      </w:r>
      <w:r w:rsidR="00C80594">
        <w:t>.</w:t>
      </w:r>
      <w:r w:rsidR="00C80594">
        <w:rPr>
          <w:rStyle w:val="FootnoteReference"/>
        </w:rPr>
        <w:footnoteReference w:id="57"/>
      </w:r>
    </w:p>
    <w:p w14:paraId="34EA9BC2" w14:textId="77777777" w:rsidR="00753F80" w:rsidRDefault="00753F80" w:rsidP="00747CD4">
      <w:pPr>
        <w:tabs>
          <w:tab w:val="left" w:pos="720"/>
          <w:tab w:val="left" w:pos="1440"/>
          <w:tab w:val="left" w:pos="9240"/>
        </w:tabs>
        <w:spacing w:line="480" w:lineRule="auto"/>
        <w:ind w:left="720" w:hanging="720"/>
        <w:rPr>
          <w:b/>
        </w:rPr>
      </w:pPr>
    </w:p>
    <w:p w14:paraId="34EA9BC3" w14:textId="77777777" w:rsidR="00747CD4" w:rsidRDefault="00747CD4" w:rsidP="003839D0">
      <w:pPr>
        <w:keepNext/>
        <w:tabs>
          <w:tab w:val="left" w:pos="720"/>
          <w:tab w:val="left" w:pos="1440"/>
          <w:tab w:val="left" w:pos="9240"/>
        </w:tabs>
        <w:spacing w:line="480" w:lineRule="auto"/>
        <w:ind w:left="720" w:hanging="720"/>
        <w:rPr>
          <w:b/>
        </w:rPr>
      </w:pPr>
      <w:r>
        <w:rPr>
          <w:b/>
        </w:rPr>
        <w:t>Q.</w:t>
      </w:r>
      <w:r>
        <w:rPr>
          <w:b/>
        </w:rPr>
        <w:tab/>
        <w:t>What are flotation costs?</w:t>
      </w:r>
    </w:p>
    <w:p w14:paraId="34EA9BC4" w14:textId="13CE5F3C" w:rsidR="00747CD4" w:rsidRPr="009F01C7" w:rsidRDefault="00995D8D" w:rsidP="00747CD4">
      <w:pPr>
        <w:tabs>
          <w:tab w:val="left" w:pos="720"/>
          <w:tab w:val="left" w:pos="1440"/>
          <w:tab w:val="left" w:pos="9240"/>
        </w:tabs>
        <w:spacing w:line="480" w:lineRule="auto"/>
        <w:ind w:left="720" w:hanging="720"/>
      </w:pPr>
      <w:r>
        <w:t>A.</w:t>
      </w:r>
      <w:r>
        <w:tab/>
        <w:t xml:space="preserve">Flotation costs are </w:t>
      </w:r>
      <w:r w:rsidR="00747CD4">
        <w:t>costs a company incurs when it sells new common stock, such as underwriting fees, copying costs, legal fees and the like.</w:t>
      </w:r>
      <w:r w:rsidR="00A10778">
        <w:t xml:space="preserve">  </w:t>
      </w:r>
      <w:r w:rsidR="001F2653">
        <w:t>In addition, there are indirect</w:t>
      </w:r>
      <w:r w:rsidR="00A10778">
        <w:t xml:space="preserve"> costs </w:t>
      </w:r>
      <w:r w:rsidR="001F2653">
        <w:t>such as</w:t>
      </w:r>
      <w:r w:rsidR="00A10778">
        <w:t xml:space="preserve"> dilution and market pressure when new equity is issued</w:t>
      </w:r>
      <w:r w:rsidR="001F2653">
        <w:t>.  These costs</w:t>
      </w:r>
      <w:r w:rsidR="00A10778">
        <w:t xml:space="preserve"> </w:t>
      </w:r>
      <w:r w:rsidR="001F2653">
        <w:t>put</w:t>
      </w:r>
      <w:r w:rsidR="00A10778">
        <w:t xml:space="preserve"> pressure on </w:t>
      </w:r>
      <w:r w:rsidR="001F2653">
        <w:t xml:space="preserve">important </w:t>
      </w:r>
      <w:r w:rsidR="00A10778">
        <w:t xml:space="preserve">financial </w:t>
      </w:r>
      <w:r w:rsidR="00363355">
        <w:t>indices</w:t>
      </w:r>
      <w:r w:rsidR="00A10778">
        <w:t xml:space="preserve"> such as earnings and book value</w:t>
      </w:r>
      <w:r w:rsidR="005E4AFC">
        <w:t xml:space="preserve"> per share</w:t>
      </w:r>
      <w:r w:rsidR="00A10778">
        <w:t>.</w:t>
      </w:r>
      <w:r w:rsidR="00747CD4">
        <w:t xml:space="preserve"> </w:t>
      </w:r>
    </w:p>
    <w:p w14:paraId="34EA9BC5" w14:textId="77777777" w:rsidR="00BD02E5" w:rsidRDefault="00BD02E5" w:rsidP="005D3B74">
      <w:pPr>
        <w:tabs>
          <w:tab w:val="left" w:pos="720"/>
          <w:tab w:val="left" w:pos="1440"/>
          <w:tab w:val="left" w:pos="9240"/>
        </w:tabs>
        <w:spacing w:line="480" w:lineRule="auto"/>
        <w:ind w:left="720" w:hanging="720"/>
      </w:pPr>
    </w:p>
    <w:p w14:paraId="34EA9BC6" w14:textId="77777777" w:rsidR="00B2761C" w:rsidRDefault="00B2761C" w:rsidP="00B2761C">
      <w:pPr>
        <w:tabs>
          <w:tab w:val="left" w:pos="720"/>
          <w:tab w:val="left" w:pos="1440"/>
          <w:tab w:val="left" w:pos="9240"/>
        </w:tabs>
        <w:spacing w:line="480" w:lineRule="auto"/>
        <w:ind w:left="720" w:hanging="720"/>
        <w:rPr>
          <w:b/>
        </w:rPr>
      </w:pPr>
      <w:r>
        <w:rPr>
          <w:b/>
        </w:rPr>
        <w:t>Q.</w:t>
      </w:r>
      <w:r>
        <w:rPr>
          <w:b/>
        </w:rPr>
        <w:tab/>
      </w:r>
      <w:r w:rsidR="009F01C7">
        <w:rPr>
          <w:b/>
        </w:rPr>
        <w:t xml:space="preserve">What is the </w:t>
      </w:r>
      <w:r w:rsidR="00B85F2D">
        <w:rPr>
          <w:b/>
        </w:rPr>
        <w:t>basis</w:t>
      </w:r>
      <w:r w:rsidR="007A0902">
        <w:rPr>
          <w:b/>
        </w:rPr>
        <w:t xml:space="preserve"> </w:t>
      </w:r>
      <w:r w:rsidR="006B276D">
        <w:rPr>
          <w:b/>
        </w:rPr>
        <w:t xml:space="preserve">of a flotation cost </w:t>
      </w:r>
      <w:r w:rsidR="00753F80">
        <w:rPr>
          <w:b/>
        </w:rPr>
        <w:t xml:space="preserve">recovery </w:t>
      </w:r>
      <w:r w:rsidR="006B276D">
        <w:rPr>
          <w:b/>
        </w:rPr>
        <w:t>adjustment</w:t>
      </w:r>
      <w:r w:rsidR="009F01C7">
        <w:rPr>
          <w:b/>
        </w:rPr>
        <w:t>?</w:t>
      </w:r>
    </w:p>
    <w:p w14:paraId="34EA9BC7" w14:textId="4814753F" w:rsidR="006B276D" w:rsidRDefault="00B2761C" w:rsidP="004D21F5">
      <w:pPr>
        <w:spacing w:line="480" w:lineRule="auto"/>
        <w:ind w:left="720" w:hanging="720"/>
      </w:pPr>
      <w:r>
        <w:t>A.</w:t>
      </w:r>
      <w:r>
        <w:tab/>
      </w:r>
      <w:r w:rsidR="00753F80">
        <w:t xml:space="preserve">The purpose of flotation cost recovery is to ensure </w:t>
      </w:r>
      <w:r w:rsidR="005E4AFC">
        <w:t>the</w:t>
      </w:r>
      <w:r w:rsidR="00753F80">
        <w:t xml:space="preserve"> value of </w:t>
      </w:r>
      <w:r w:rsidR="005E4AFC">
        <w:t xml:space="preserve">a </w:t>
      </w:r>
      <w:r w:rsidR="00753F80">
        <w:t xml:space="preserve">shareholder’s investment </w:t>
      </w:r>
      <w:r w:rsidR="00B358DE">
        <w:t xml:space="preserve">Avista </w:t>
      </w:r>
      <w:r w:rsidR="00753F80">
        <w:t xml:space="preserve">is not diluted </w:t>
      </w:r>
      <w:r w:rsidR="005E4AFC">
        <w:t>as it issues</w:t>
      </w:r>
      <w:r w:rsidR="00753F80">
        <w:t xml:space="preserve"> new equity. </w:t>
      </w:r>
      <w:r w:rsidR="008847B7">
        <w:t xml:space="preserve"> </w:t>
      </w:r>
      <w:r w:rsidR="00BC6067">
        <w:t>T</w:t>
      </w:r>
      <w:r w:rsidR="008847B7">
        <w:t xml:space="preserve">he </w:t>
      </w:r>
      <w:r w:rsidR="0038118D">
        <w:t xml:space="preserve">basis </w:t>
      </w:r>
      <w:r w:rsidR="006816D6">
        <w:t xml:space="preserve">for </w:t>
      </w:r>
      <w:r w:rsidR="00BC6067">
        <w:t>the</w:t>
      </w:r>
      <w:r w:rsidR="008847B7">
        <w:t xml:space="preserve"> </w:t>
      </w:r>
      <w:r w:rsidR="002567A8">
        <w:t>adjustment</w:t>
      </w:r>
      <w:r w:rsidR="006816D6">
        <w:t xml:space="preserve"> </w:t>
      </w:r>
      <w:r w:rsidR="008847B7">
        <w:t xml:space="preserve">is </w:t>
      </w:r>
      <w:r w:rsidR="00DA16B0">
        <w:t>directly tied to</w:t>
      </w:r>
      <w:r w:rsidR="008847B7">
        <w:t xml:space="preserve"> DCF theory</w:t>
      </w:r>
      <w:r w:rsidR="00DA16B0">
        <w:t>:</w:t>
      </w:r>
      <w:r w:rsidR="005E4AFC">
        <w:t xml:space="preserve"> if investors expect to earn their cost of capital</w:t>
      </w:r>
      <w:r w:rsidR="002567A8">
        <w:t>,</w:t>
      </w:r>
      <w:r w:rsidR="00B76166">
        <w:t xml:space="preserve"> </w:t>
      </w:r>
      <w:r w:rsidR="005E4AFC">
        <w:t xml:space="preserve">the </w:t>
      </w:r>
      <w:r w:rsidR="008847B7">
        <w:t xml:space="preserve">market </w:t>
      </w:r>
      <w:r w:rsidR="005E4AFC">
        <w:t>price of the stock will equal the</w:t>
      </w:r>
      <w:r w:rsidR="006816D6">
        <w:t xml:space="preserve"> book </w:t>
      </w:r>
      <w:r w:rsidR="005E4AFC">
        <w:t xml:space="preserve">value.  </w:t>
      </w:r>
      <w:r w:rsidR="004D21F5">
        <w:t xml:space="preserve"> </w:t>
      </w:r>
      <w:r w:rsidR="001F2653">
        <w:t>I</w:t>
      </w:r>
      <w:r w:rsidR="00BC6067">
        <w:t xml:space="preserve">f investors only earn their cost of </w:t>
      </w:r>
      <w:r w:rsidR="001F2653">
        <w:t>capital</w:t>
      </w:r>
      <w:r w:rsidR="00BC6067">
        <w:t>, then as the company grows</w:t>
      </w:r>
      <w:r w:rsidR="002567A8">
        <w:t>,</w:t>
      </w:r>
      <w:r w:rsidR="00BC6067">
        <w:t xml:space="preserve"> the value of the equity is </w:t>
      </w:r>
      <w:r w:rsidR="001F2653">
        <w:t>diminished</w:t>
      </w:r>
      <w:r w:rsidR="00BC6067">
        <w:t xml:space="preserve"> due to the newly issued shares diluting the book value of the firm.  </w:t>
      </w:r>
      <w:r w:rsidR="005E4AFC">
        <w:t xml:space="preserve">In other words, investors must </w:t>
      </w:r>
      <w:r w:rsidR="004D21F5">
        <w:t>expect</w:t>
      </w:r>
      <w:r w:rsidR="005E4AFC">
        <w:t xml:space="preserve"> returns sufficient to offset the dilutive effect of newly issued shares; hence, the </w:t>
      </w:r>
      <w:r w:rsidR="002567A8">
        <w:t xml:space="preserve">need for a </w:t>
      </w:r>
      <w:r w:rsidR="005E4AFC">
        <w:t xml:space="preserve">flotation adjustment.  </w:t>
      </w:r>
    </w:p>
    <w:p w14:paraId="34EA9BC8" w14:textId="77777777" w:rsidR="006B276D" w:rsidRDefault="006B276D" w:rsidP="00B2761C">
      <w:pPr>
        <w:tabs>
          <w:tab w:val="left" w:pos="720"/>
          <w:tab w:val="left" w:pos="1440"/>
          <w:tab w:val="left" w:pos="9240"/>
        </w:tabs>
        <w:spacing w:line="480" w:lineRule="auto"/>
        <w:ind w:left="720" w:hanging="720"/>
      </w:pPr>
    </w:p>
    <w:p w14:paraId="34EA9BC9" w14:textId="77777777" w:rsidR="00552C8B" w:rsidRDefault="00552C8B" w:rsidP="00552C8B">
      <w:pPr>
        <w:tabs>
          <w:tab w:val="left" w:pos="720"/>
          <w:tab w:val="left" w:pos="1440"/>
          <w:tab w:val="left" w:pos="9240"/>
        </w:tabs>
        <w:spacing w:line="480" w:lineRule="auto"/>
        <w:ind w:left="720" w:hanging="720"/>
        <w:rPr>
          <w:b/>
        </w:rPr>
      </w:pPr>
      <w:r>
        <w:rPr>
          <w:b/>
        </w:rPr>
        <w:t>Q.</w:t>
      </w:r>
      <w:r>
        <w:rPr>
          <w:b/>
        </w:rPr>
        <w:tab/>
        <w:t xml:space="preserve">Does this </w:t>
      </w:r>
      <w:r w:rsidR="00753F80">
        <w:rPr>
          <w:b/>
        </w:rPr>
        <w:t xml:space="preserve">concern about dilution </w:t>
      </w:r>
      <w:r>
        <w:rPr>
          <w:b/>
        </w:rPr>
        <w:t xml:space="preserve">apply to Avista </w:t>
      </w:r>
      <w:r w:rsidR="00363355">
        <w:rPr>
          <w:b/>
        </w:rPr>
        <w:t>Corporation in</w:t>
      </w:r>
      <w:r>
        <w:rPr>
          <w:b/>
        </w:rPr>
        <w:t xml:space="preserve"> this case?</w:t>
      </w:r>
    </w:p>
    <w:p w14:paraId="34EA9BCA" w14:textId="77777777" w:rsidR="00B85F2D" w:rsidRDefault="00552C8B" w:rsidP="004D21F5">
      <w:pPr>
        <w:tabs>
          <w:tab w:val="left" w:pos="720"/>
          <w:tab w:val="left" w:pos="1440"/>
          <w:tab w:val="left" w:pos="9240"/>
        </w:tabs>
        <w:spacing w:line="480" w:lineRule="auto"/>
        <w:ind w:left="720" w:hanging="720"/>
      </w:pPr>
      <w:r>
        <w:t>A.</w:t>
      </w:r>
      <w:r>
        <w:tab/>
        <w:t xml:space="preserve">No.  </w:t>
      </w:r>
      <w:r w:rsidR="008847B7">
        <w:t>Avista Corporation</w:t>
      </w:r>
      <w:r>
        <w:t>’s common</w:t>
      </w:r>
      <w:r w:rsidR="006816D6">
        <w:t xml:space="preserve"> </w:t>
      </w:r>
      <w:r w:rsidR="008847B7">
        <w:t xml:space="preserve">stock </w:t>
      </w:r>
      <w:r w:rsidR="0005749A">
        <w:t xml:space="preserve">is </w:t>
      </w:r>
      <w:r w:rsidR="004015BE">
        <w:t xml:space="preserve">currently </w:t>
      </w:r>
      <w:r w:rsidR="0034078A">
        <w:t xml:space="preserve">trading </w:t>
      </w:r>
      <w:r w:rsidR="00B4341E">
        <w:t xml:space="preserve">well </w:t>
      </w:r>
      <w:r w:rsidR="0037021D">
        <w:t>in excess of its book value</w:t>
      </w:r>
      <w:r w:rsidR="006816D6">
        <w:t>.</w:t>
      </w:r>
      <w:r w:rsidR="001F2653">
        <w:t xml:space="preserve">  Its current market to book </w:t>
      </w:r>
      <w:r w:rsidR="002567A8">
        <w:t xml:space="preserve">ratio </w:t>
      </w:r>
      <w:r w:rsidR="001F2653">
        <w:t>is 140 percent.</w:t>
      </w:r>
      <w:r w:rsidR="006816D6">
        <w:t xml:space="preserve">  </w:t>
      </w:r>
      <w:r w:rsidR="005532B8">
        <w:t>In other words, t</w:t>
      </w:r>
      <w:r w:rsidR="002567B4">
        <w:t>he market</w:t>
      </w:r>
      <w:r w:rsidR="00885392">
        <w:t xml:space="preserve"> is providing </w:t>
      </w:r>
      <w:r w:rsidR="005E4AFC">
        <w:t>clear evidence that investors</w:t>
      </w:r>
      <w:r w:rsidR="00885392">
        <w:t xml:space="preserve"> </w:t>
      </w:r>
      <w:r w:rsidR="005E4AFC">
        <w:t xml:space="preserve">expect sufficient returns </w:t>
      </w:r>
      <w:r w:rsidR="00110D27">
        <w:t xml:space="preserve">on </w:t>
      </w:r>
      <w:r w:rsidR="00621939">
        <w:t>its</w:t>
      </w:r>
      <w:r w:rsidR="00110D27">
        <w:t xml:space="preserve"> book equity</w:t>
      </w:r>
      <w:r w:rsidR="00753F80">
        <w:t>,</w:t>
      </w:r>
      <w:r w:rsidR="00F76F3A">
        <w:t xml:space="preserve"> including </w:t>
      </w:r>
      <w:r w:rsidR="005E4AFC">
        <w:t>the</w:t>
      </w:r>
      <w:r w:rsidR="00F76F3A">
        <w:t xml:space="preserve"> costs of issuing </w:t>
      </w:r>
      <w:r w:rsidR="0095653D">
        <w:t xml:space="preserve">any </w:t>
      </w:r>
      <w:r w:rsidR="00F76F3A">
        <w:t>new equity</w:t>
      </w:r>
      <w:r w:rsidR="00110D27">
        <w:t xml:space="preserve">.  </w:t>
      </w:r>
      <w:r w:rsidR="00F76F3A">
        <w:t>Today</w:t>
      </w:r>
      <w:r w:rsidR="00B85F2D">
        <w:t>,</w:t>
      </w:r>
      <w:r w:rsidR="0034078A">
        <w:t xml:space="preserve"> </w:t>
      </w:r>
      <w:r w:rsidR="00AD78CD">
        <w:t>when</w:t>
      </w:r>
      <w:r w:rsidR="0034078A">
        <w:t xml:space="preserve"> </w:t>
      </w:r>
      <w:r w:rsidR="00B85F2D">
        <w:t xml:space="preserve">Avista </w:t>
      </w:r>
      <w:r w:rsidR="00B85F2D">
        <w:lastRenderedPageBreak/>
        <w:t xml:space="preserve">Corporation </w:t>
      </w:r>
      <w:r w:rsidR="0034078A">
        <w:t xml:space="preserve">sells additional equity at current </w:t>
      </w:r>
      <w:r w:rsidR="00AD78CD">
        <w:t>market</w:t>
      </w:r>
      <w:r w:rsidR="0034078A">
        <w:t xml:space="preserve"> prices,</w:t>
      </w:r>
      <w:r w:rsidR="008847B7">
        <w:t xml:space="preserve"> its book value </w:t>
      </w:r>
      <w:r w:rsidR="002567B4">
        <w:t>increases</w:t>
      </w:r>
      <w:r w:rsidR="005E4AFC">
        <w:t xml:space="preserve">; </w:t>
      </w:r>
      <w:r w:rsidR="009908B9">
        <w:t xml:space="preserve">there is no dilution. </w:t>
      </w:r>
      <w:r w:rsidR="00BC6067">
        <w:t xml:space="preserve"> </w:t>
      </w:r>
      <w:r w:rsidR="00363355">
        <w:t>Therefore</w:t>
      </w:r>
      <w:r w:rsidR="004D21F5">
        <w:t>, there is no need to adjust for flotation costs.</w:t>
      </w:r>
    </w:p>
    <w:p w14:paraId="34EA9BCB" w14:textId="77777777" w:rsidR="00747CD4" w:rsidRDefault="00747CD4" w:rsidP="00CB7C99">
      <w:pPr>
        <w:tabs>
          <w:tab w:val="left" w:pos="720"/>
          <w:tab w:val="left" w:pos="1440"/>
          <w:tab w:val="left" w:pos="9240"/>
        </w:tabs>
        <w:spacing w:line="480" w:lineRule="auto"/>
        <w:ind w:left="720" w:hanging="720"/>
      </w:pPr>
    </w:p>
    <w:p w14:paraId="34EA9BCC" w14:textId="77777777" w:rsidR="000F6032" w:rsidRDefault="00B358DE" w:rsidP="00B2761C">
      <w:pPr>
        <w:tabs>
          <w:tab w:val="left" w:pos="720"/>
          <w:tab w:val="left" w:pos="1440"/>
          <w:tab w:val="left" w:pos="9240"/>
        </w:tabs>
        <w:spacing w:line="480" w:lineRule="auto"/>
        <w:ind w:left="720" w:hanging="720"/>
        <w:rPr>
          <w:b/>
        </w:rPr>
      </w:pPr>
      <w:r>
        <w:rPr>
          <w:b/>
        </w:rPr>
        <w:t>Q.</w:t>
      </w:r>
      <w:r>
        <w:rPr>
          <w:b/>
        </w:rPr>
        <w:tab/>
        <w:t>Mr. McKenzie states</w:t>
      </w:r>
      <w:r w:rsidR="000F6032">
        <w:rPr>
          <w:b/>
        </w:rPr>
        <w:t xml:space="preserve"> that the Commission has accepted </w:t>
      </w:r>
      <w:r w:rsidR="00D8636F">
        <w:rPr>
          <w:b/>
        </w:rPr>
        <w:t>an</w:t>
      </w:r>
      <w:r w:rsidR="000F6032">
        <w:rPr>
          <w:b/>
        </w:rPr>
        <w:t xml:space="preserve"> adjustment for flotation costs in the past.</w:t>
      </w:r>
      <w:r w:rsidR="0090332A">
        <w:rPr>
          <w:rStyle w:val="FootnoteReference"/>
          <w:b/>
        </w:rPr>
        <w:footnoteReference w:id="58"/>
      </w:r>
      <w:r w:rsidR="000F6032">
        <w:rPr>
          <w:b/>
        </w:rPr>
        <w:t xml:space="preserve">  How do you respond?</w:t>
      </w:r>
    </w:p>
    <w:p w14:paraId="34EA9BCD" w14:textId="77777777" w:rsidR="00D8636F" w:rsidRDefault="000F6032" w:rsidP="00B2761C">
      <w:pPr>
        <w:tabs>
          <w:tab w:val="left" w:pos="720"/>
          <w:tab w:val="left" w:pos="1440"/>
          <w:tab w:val="left" w:pos="9240"/>
        </w:tabs>
        <w:spacing w:line="480" w:lineRule="auto"/>
        <w:ind w:left="720" w:hanging="720"/>
      </w:pPr>
      <w:r>
        <w:t>A.</w:t>
      </w:r>
      <w:r>
        <w:tab/>
      </w:r>
      <w:r w:rsidR="002567A8">
        <w:t xml:space="preserve">His statement </w:t>
      </w:r>
      <w:r w:rsidR="00D8636F">
        <w:t>is correct</w:t>
      </w:r>
      <w:r w:rsidR="002567A8">
        <w:t xml:space="preserve">, but he ignores the </w:t>
      </w:r>
      <w:r w:rsidR="0084770C">
        <w:t xml:space="preserve">context of those </w:t>
      </w:r>
      <w:r w:rsidR="002567A8">
        <w:t xml:space="preserve">prior </w:t>
      </w:r>
      <w:r w:rsidR="0084770C">
        <w:t>cases</w:t>
      </w:r>
      <w:r w:rsidR="002567A8">
        <w:t>.</w:t>
      </w:r>
      <w:r w:rsidR="00D8636F">
        <w:t xml:space="preserve">  When </w:t>
      </w:r>
      <w:r w:rsidR="00110D27">
        <w:t>the</w:t>
      </w:r>
      <w:r w:rsidR="00D8636F">
        <w:t xml:space="preserve"> Commission accepted flotation cost </w:t>
      </w:r>
      <w:r w:rsidR="00621939">
        <w:t>adjustments</w:t>
      </w:r>
      <w:r w:rsidR="00D15AE9">
        <w:t>,</w:t>
      </w:r>
      <w:r w:rsidR="005B3918">
        <w:t xml:space="preserve"> the utility</w:t>
      </w:r>
      <w:r w:rsidR="00402FB7">
        <w:t xml:space="preserve"> industry </w:t>
      </w:r>
      <w:r w:rsidR="00311F27">
        <w:t>was experiencing</w:t>
      </w:r>
      <w:r w:rsidR="005B3918">
        <w:t xml:space="preserve"> </w:t>
      </w:r>
      <w:r w:rsidR="00621939">
        <w:t>market-to-</w:t>
      </w:r>
      <w:r>
        <w:t>book ratio</w:t>
      </w:r>
      <w:r w:rsidR="001543A6">
        <w:t xml:space="preserve">s below </w:t>
      </w:r>
      <w:r w:rsidR="002567A8">
        <w:t>1.0</w:t>
      </w:r>
      <w:r w:rsidR="00106592">
        <w:t xml:space="preserve">.  </w:t>
      </w:r>
      <w:r w:rsidR="00D8636F">
        <w:t xml:space="preserve">A flotation cost adjustment was necessary </w:t>
      </w:r>
      <w:r w:rsidR="00852221">
        <w:t xml:space="preserve">to provide investors </w:t>
      </w:r>
      <w:r w:rsidR="00323804">
        <w:t xml:space="preserve">with </w:t>
      </w:r>
      <w:r w:rsidR="009908B9">
        <w:t xml:space="preserve">an opportunity to earn </w:t>
      </w:r>
      <w:r w:rsidR="00852221">
        <w:t xml:space="preserve">adequate returns to achieve </w:t>
      </w:r>
      <w:r w:rsidR="00323804">
        <w:t>a market-to-book ratio above one</w:t>
      </w:r>
      <w:r w:rsidR="0095653D">
        <w:t xml:space="preserve"> and be provided an opportunity to earn their cost of capital</w:t>
      </w:r>
      <w:r w:rsidR="00E674E9">
        <w:t>, which included the effects of dilution cau</w:t>
      </w:r>
      <w:r w:rsidR="002567A8">
        <w:t>s</w:t>
      </w:r>
      <w:r w:rsidR="00E674E9">
        <w:t>ed by additional equity being issued to finance the utility</w:t>
      </w:r>
      <w:r w:rsidR="00323804">
        <w:t xml:space="preserve">.  </w:t>
      </w:r>
    </w:p>
    <w:p w14:paraId="34EA9BCE" w14:textId="3A4E8744" w:rsidR="005D3B74" w:rsidRDefault="00D8636F" w:rsidP="004D21F5">
      <w:pPr>
        <w:tabs>
          <w:tab w:val="left" w:pos="720"/>
          <w:tab w:val="left" w:pos="1440"/>
          <w:tab w:val="left" w:pos="9240"/>
        </w:tabs>
        <w:spacing w:line="480" w:lineRule="auto"/>
        <w:ind w:left="720" w:hanging="720"/>
      </w:pPr>
      <w:r>
        <w:tab/>
      </w:r>
      <w:r>
        <w:tab/>
      </w:r>
      <w:r w:rsidR="00AD78CD">
        <w:t>St</w:t>
      </w:r>
      <w:r w:rsidR="00852221">
        <w:t xml:space="preserve">aff </w:t>
      </w:r>
      <w:r>
        <w:t xml:space="preserve">supported </w:t>
      </w:r>
      <w:r w:rsidR="005B3918">
        <w:t xml:space="preserve">such </w:t>
      </w:r>
      <w:r w:rsidR="00852221">
        <w:t>adjustment</w:t>
      </w:r>
      <w:r w:rsidR="005B3918">
        <w:t xml:space="preserve">s </w:t>
      </w:r>
      <w:r w:rsidR="00AC332F">
        <w:t>under those</w:t>
      </w:r>
      <w:r w:rsidR="005B3918">
        <w:t xml:space="preserve"> circumstances.</w:t>
      </w:r>
      <w:r w:rsidR="00AD78CD">
        <w:t xml:space="preserve">  </w:t>
      </w:r>
      <w:r>
        <w:t xml:space="preserve">However, </w:t>
      </w:r>
      <w:r w:rsidR="002567A8">
        <w:t xml:space="preserve">as I have explained, today’s </w:t>
      </w:r>
      <w:r w:rsidR="00323804">
        <w:t xml:space="preserve">circumstances </w:t>
      </w:r>
      <w:r w:rsidR="004D21F5">
        <w:t>are different</w:t>
      </w:r>
      <w:r w:rsidR="00B358DE">
        <w:t xml:space="preserve">. </w:t>
      </w:r>
      <w:r w:rsidR="00323804">
        <w:t xml:space="preserve"> </w:t>
      </w:r>
      <w:r w:rsidR="00AC332F">
        <w:t>Avista Corporation is</w:t>
      </w:r>
      <w:r w:rsidR="00402FB7">
        <w:t xml:space="preserve"> </w:t>
      </w:r>
      <w:r w:rsidR="005B3918">
        <w:t>able t</w:t>
      </w:r>
      <w:r w:rsidR="00AC332F">
        <w:t xml:space="preserve">o sell equity above </w:t>
      </w:r>
      <w:r w:rsidR="004D21F5">
        <w:t xml:space="preserve">its </w:t>
      </w:r>
      <w:r w:rsidR="00AC332F">
        <w:t xml:space="preserve">book value.  Therefore, </w:t>
      </w:r>
      <w:r w:rsidR="00D15AE9">
        <w:t xml:space="preserve">a flotation cost </w:t>
      </w:r>
      <w:r w:rsidR="00323804">
        <w:t xml:space="preserve">adjustment is </w:t>
      </w:r>
      <w:r w:rsidR="005B3918">
        <w:t xml:space="preserve">not </w:t>
      </w:r>
      <w:r w:rsidR="00323804">
        <w:t>warranted</w:t>
      </w:r>
      <w:r w:rsidR="001543A6">
        <w:t xml:space="preserve"> at this time</w:t>
      </w:r>
      <w:r w:rsidR="00323804">
        <w:t>.</w:t>
      </w:r>
      <w:r w:rsidR="009908B9">
        <w:t xml:space="preserve">  </w:t>
      </w:r>
      <w:r w:rsidR="0095653D">
        <w:t xml:space="preserve">The rate investors expect Avista Corporation </w:t>
      </w:r>
      <w:r w:rsidR="00703470">
        <w:t xml:space="preserve">to earn </w:t>
      </w:r>
      <w:r w:rsidR="0095653D">
        <w:t xml:space="preserve">on book equity is sufficient as demonstrated by the market-to-book ratio.  No phantom equity is necessary nor is </w:t>
      </w:r>
      <w:r w:rsidR="002567A8">
        <w:t xml:space="preserve">it necessary to add anything to </w:t>
      </w:r>
      <w:r w:rsidR="0095653D">
        <w:t>the indicated</w:t>
      </w:r>
      <w:r w:rsidR="002567A8">
        <w:t xml:space="preserve"> ROE</w:t>
      </w:r>
      <w:r w:rsidR="0095653D">
        <w:t xml:space="preserve">.  </w:t>
      </w:r>
      <w:r w:rsidR="002567A8">
        <w:t xml:space="preserve">The Commission should therefore reject the flotation </w:t>
      </w:r>
      <w:r w:rsidR="00703470">
        <w:t xml:space="preserve">cost </w:t>
      </w:r>
      <w:r w:rsidR="002567A8">
        <w:t xml:space="preserve">adjustments proposed by Mr. </w:t>
      </w:r>
      <w:proofErr w:type="spellStart"/>
      <w:r w:rsidR="002567A8">
        <w:t>Thies</w:t>
      </w:r>
      <w:proofErr w:type="spellEnd"/>
      <w:r w:rsidR="002567A8">
        <w:t xml:space="preserve"> and Mr. McKenzie.</w:t>
      </w:r>
    </w:p>
    <w:p w14:paraId="34EA9BCF" w14:textId="77777777" w:rsidR="00D043A6" w:rsidRDefault="00D043A6" w:rsidP="004D21F5">
      <w:pPr>
        <w:tabs>
          <w:tab w:val="left" w:pos="720"/>
          <w:tab w:val="left" w:pos="1440"/>
          <w:tab w:val="left" w:pos="9240"/>
        </w:tabs>
        <w:spacing w:line="480" w:lineRule="auto"/>
        <w:ind w:left="720" w:hanging="720"/>
      </w:pPr>
    </w:p>
    <w:p w14:paraId="34EA9BD0" w14:textId="77777777" w:rsidR="00D043A6" w:rsidRDefault="007C2405" w:rsidP="003839D0">
      <w:pPr>
        <w:keepNext/>
        <w:tabs>
          <w:tab w:val="left" w:pos="720"/>
          <w:tab w:val="left" w:pos="1440"/>
          <w:tab w:val="left" w:pos="9240"/>
        </w:tabs>
        <w:spacing w:line="480" w:lineRule="auto"/>
        <w:ind w:left="720" w:hanging="720"/>
        <w:jc w:val="center"/>
        <w:rPr>
          <w:b/>
        </w:rPr>
      </w:pPr>
      <w:r>
        <w:rPr>
          <w:b/>
        </w:rPr>
        <w:lastRenderedPageBreak/>
        <w:t>VII</w:t>
      </w:r>
      <w:r w:rsidR="00D043A6">
        <w:rPr>
          <w:b/>
        </w:rPr>
        <w:t>.</w:t>
      </w:r>
      <w:r w:rsidR="00D043A6">
        <w:rPr>
          <w:b/>
        </w:rPr>
        <w:tab/>
        <w:t>ATTRITION AND THE COST OF CAPITAL</w:t>
      </w:r>
    </w:p>
    <w:p w14:paraId="34EA9BD1" w14:textId="77777777" w:rsidR="00D043A6" w:rsidRDefault="00D043A6" w:rsidP="003839D0">
      <w:pPr>
        <w:keepNext/>
        <w:tabs>
          <w:tab w:val="left" w:pos="720"/>
          <w:tab w:val="left" w:pos="1440"/>
          <w:tab w:val="left" w:pos="9240"/>
        </w:tabs>
        <w:spacing w:line="480" w:lineRule="auto"/>
        <w:ind w:left="720" w:hanging="720"/>
        <w:jc w:val="center"/>
        <w:rPr>
          <w:b/>
        </w:rPr>
      </w:pPr>
    </w:p>
    <w:p w14:paraId="34EA9BD2" w14:textId="77777777" w:rsidR="00D043A6" w:rsidRDefault="00D043A6" w:rsidP="00D043A6">
      <w:pPr>
        <w:tabs>
          <w:tab w:val="left" w:pos="720"/>
          <w:tab w:val="left" w:pos="1440"/>
          <w:tab w:val="left" w:pos="9240"/>
        </w:tabs>
        <w:spacing w:line="480" w:lineRule="auto"/>
        <w:ind w:left="720" w:hanging="720"/>
        <w:rPr>
          <w:b/>
        </w:rPr>
      </w:pPr>
      <w:r>
        <w:rPr>
          <w:b/>
        </w:rPr>
        <w:t>Q.</w:t>
      </w:r>
      <w:r>
        <w:rPr>
          <w:b/>
        </w:rPr>
        <w:tab/>
        <w:t>Staff’s case presents a revenue requirement based upon a historic test-year adjusted for the results of an attrition analysis.  What is the impact of declining capital costs on the overall cost to serve customers including the effect of capital costs on the anticipated attrition Avista may experience?</w:t>
      </w:r>
    </w:p>
    <w:p w14:paraId="34EA9BD3" w14:textId="77777777" w:rsidR="00D043A6" w:rsidRDefault="00D043A6" w:rsidP="00D043A6">
      <w:pPr>
        <w:tabs>
          <w:tab w:val="left" w:pos="720"/>
          <w:tab w:val="left" w:pos="1440"/>
          <w:tab w:val="left" w:pos="9240"/>
        </w:tabs>
        <w:spacing w:line="480" w:lineRule="auto"/>
        <w:ind w:left="720" w:hanging="720"/>
      </w:pPr>
      <w:r>
        <w:t>A.</w:t>
      </w:r>
      <w:r>
        <w:tab/>
        <w:t xml:space="preserve">Declining capital costs act as an offset to </w:t>
      </w:r>
      <w:r w:rsidR="007C2405">
        <w:t xml:space="preserve">any </w:t>
      </w:r>
      <w:r>
        <w:t>attrition the Company may experience.   As capital costs decline, the revenue necessary to earn a fair return on all rate base, including new facilities, fall faster than the incremental cost of adding new rate base</w:t>
      </w:r>
      <w:r w:rsidR="00393AD9">
        <w:t>,</w:t>
      </w:r>
      <w:r>
        <w:t xml:space="preserve"> even if there is no growth in the demand for energy services.   </w:t>
      </w:r>
    </w:p>
    <w:p w14:paraId="34EA9BD4" w14:textId="77777777" w:rsidR="00D043A6" w:rsidRPr="00F02641" w:rsidRDefault="00D043A6" w:rsidP="00D043A6">
      <w:pPr>
        <w:tabs>
          <w:tab w:val="left" w:pos="720"/>
          <w:tab w:val="left" w:pos="1440"/>
          <w:tab w:val="left" w:pos="9240"/>
        </w:tabs>
        <w:spacing w:line="480" w:lineRule="auto"/>
        <w:ind w:left="720" w:hanging="720"/>
      </w:pPr>
    </w:p>
    <w:p w14:paraId="34EA9BD5" w14:textId="77777777" w:rsidR="00D043A6" w:rsidRDefault="00D10C96" w:rsidP="00D043A6">
      <w:pPr>
        <w:tabs>
          <w:tab w:val="left" w:pos="720"/>
          <w:tab w:val="left" w:pos="1440"/>
          <w:tab w:val="left" w:pos="9240"/>
        </w:tabs>
        <w:spacing w:line="480" w:lineRule="auto"/>
        <w:ind w:left="720" w:hanging="720"/>
        <w:jc w:val="center"/>
        <w:rPr>
          <w:b/>
        </w:rPr>
      </w:pPr>
      <w:r>
        <w:rPr>
          <w:b/>
        </w:rPr>
        <w:t>VIII</w:t>
      </w:r>
      <w:r w:rsidR="00D043A6">
        <w:rPr>
          <w:b/>
        </w:rPr>
        <w:t>.</w:t>
      </w:r>
      <w:r w:rsidR="00D043A6">
        <w:rPr>
          <w:b/>
        </w:rPr>
        <w:tab/>
        <w:t>COST OF CAPITAL IMPACT OF DECOUPLING</w:t>
      </w:r>
    </w:p>
    <w:p w14:paraId="34EA9BD6" w14:textId="77777777" w:rsidR="00D043A6" w:rsidRPr="003023FE" w:rsidRDefault="00D043A6" w:rsidP="00D043A6">
      <w:pPr>
        <w:tabs>
          <w:tab w:val="left" w:pos="720"/>
          <w:tab w:val="left" w:pos="1440"/>
          <w:tab w:val="left" w:pos="9240"/>
        </w:tabs>
        <w:spacing w:line="480" w:lineRule="auto"/>
        <w:ind w:left="720" w:hanging="720"/>
      </w:pPr>
    </w:p>
    <w:p w14:paraId="34EA9BD7" w14:textId="77777777" w:rsidR="00D043A6" w:rsidRDefault="00D043A6" w:rsidP="00D043A6">
      <w:pPr>
        <w:tabs>
          <w:tab w:val="left" w:pos="720"/>
          <w:tab w:val="left" w:pos="1440"/>
          <w:tab w:val="left" w:pos="9240"/>
        </w:tabs>
        <w:spacing w:line="480" w:lineRule="auto"/>
        <w:ind w:left="720" w:hanging="720"/>
        <w:rPr>
          <w:b/>
        </w:rPr>
      </w:pPr>
      <w:r>
        <w:rPr>
          <w:b/>
        </w:rPr>
        <w:t>Q.</w:t>
      </w:r>
      <w:r>
        <w:rPr>
          <w:b/>
        </w:rPr>
        <w:tab/>
        <w:t>Please describe the purpose of this section of your testimony.</w:t>
      </w:r>
    </w:p>
    <w:p w14:paraId="34EA9BD8" w14:textId="24EF3E4B" w:rsidR="00D043A6" w:rsidRDefault="00D043A6" w:rsidP="00D043A6">
      <w:pPr>
        <w:tabs>
          <w:tab w:val="left" w:pos="720"/>
          <w:tab w:val="left" w:pos="1440"/>
          <w:tab w:val="left" w:pos="9240"/>
        </w:tabs>
        <w:spacing w:line="480" w:lineRule="auto"/>
        <w:ind w:left="720" w:hanging="720"/>
      </w:pPr>
      <w:r>
        <w:t>A.</w:t>
      </w:r>
      <w:r>
        <w:tab/>
        <w:t>In this case, both Staff and Avista propose full decoupling mechanisms.  I provide a recommendation for how the Commission should address the impact of full decoupling on cost of capital.</w:t>
      </w:r>
      <w:r w:rsidR="00F872DC">
        <w:t xml:space="preserve"> </w:t>
      </w:r>
    </w:p>
    <w:p w14:paraId="34EA9BD9" w14:textId="77777777" w:rsidR="00D043A6" w:rsidRDefault="00D043A6" w:rsidP="00D043A6">
      <w:pPr>
        <w:tabs>
          <w:tab w:val="left" w:pos="720"/>
          <w:tab w:val="left" w:pos="1440"/>
          <w:tab w:val="left" w:pos="9240"/>
        </w:tabs>
        <w:spacing w:line="480" w:lineRule="auto"/>
        <w:ind w:left="720" w:hanging="720"/>
      </w:pPr>
    </w:p>
    <w:p w14:paraId="34EA9BDA" w14:textId="77777777" w:rsidR="00D043A6" w:rsidRDefault="00D043A6" w:rsidP="00D043A6">
      <w:pPr>
        <w:tabs>
          <w:tab w:val="left" w:pos="720"/>
          <w:tab w:val="left" w:pos="1440"/>
          <w:tab w:val="left" w:pos="9240"/>
        </w:tabs>
        <w:spacing w:line="480" w:lineRule="auto"/>
        <w:ind w:left="720" w:hanging="720"/>
        <w:rPr>
          <w:b/>
        </w:rPr>
      </w:pPr>
      <w:r>
        <w:rPr>
          <w:b/>
        </w:rPr>
        <w:t>Q.</w:t>
      </w:r>
      <w:r>
        <w:rPr>
          <w:b/>
        </w:rPr>
        <w:tab/>
        <w:t>Does full decoupling reduce Avista’s risk?</w:t>
      </w:r>
    </w:p>
    <w:p w14:paraId="34EA9BDB" w14:textId="77777777" w:rsidR="00D043A6" w:rsidRDefault="00D043A6" w:rsidP="00D043A6">
      <w:pPr>
        <w:tabs>
          <w:tab w:val="left" w:pos="720"/>
          <w:tab w:val="left" w:pos="1440"/>
          <w:tab w:val="left" w:pos="9240"/>
        </w:tabs>
        <w:spacing w:line="480" w:lineRule="auto"/>
        <w:ind w:left="720" w:hanging="720"/>
      </w:pPr>
      <w:r>
        <w:t>A.</w:t>
      </w:r>
      <w:r>
        <w:tab/>
        <w:t xml:space="preserve">Yes.  Full decoupling guarantees Avista will receive a specific amount of revenue </w:t>
      </w:r>
      <w:r w:rsidR="00393AD9">
        <w:t xml:space="preserve">per customer </w:t>
      </w:r>
      <w:r>
        <w:t xml:space="preserve">irrespective of energy sales.  As a result, Avista no longer bears the risk of variations in revenue due to temperature or economic conditions.  This is a very significant change in the risk profile of a utility.  </w:t>
      </w:r>
    </w:p>
    <w:p w14:paraId="34EA9BDC" w14:textId="77777777" w:rsidR="00D043A6" w:rsidRDefault="00D043A6" w:rsidP="00D043A6">
      <w:pPr>
        <w:tabs>
          <w:tab w:val="left" w:pos="720"/>
          <w:tab w:val="left" w:pos="1440"/>
          <w:tab w:val="left" w:pos="9240"/>
        </w:tabs>
        <w:spacing w:line="480" w:lineRule="auto"/>
        <w:ind w:left="720" w:hanging="720"/>
      </w:pPr>
      <w:r>
        <w:lastRenderedPageBreak/>
        <w:tab/>
      </w:r>
      <w:r>
        <w:tab/>
        <w:t>The Commission explicitly acknowledged the impact of full decoupling on the risk profile of a regulated utility.  It stated, “By reducing the risk of volatility of revenue based on customer usage, both up and down, such a mechanism can serve to re</w:t>
      </w:r>
      <w:r w:rsidR="007C2405">
        <w:t>du</w:t>
      </w:r>
      <w:r>
        <w:t>ce risk to the company, and therefore to investors, which in turn should benefit customer by reducing a company’</w:t>
      </w:r>
      <w:r w:rsidR="007C2405">
        <w:t>s</w:t>
      </w:r>
      <w:r>
        <w:t xml:space="preserve"> debt and equity costs.  This reduction in cost would flow through to ratepayers in the form of rate</w:t>
      </w:r>
      <w:r w:rsidR="007C2405">
        <w:t>s</w:t>
      </w:r>
      <w:r>
        <w:t xml:space="preserve"> that would be lower than they otherwise would be, as the rate</w:t>
      </w:r>
      <w:r w:rsidR="007C2405">
        <w:t>s</w:t>
      </w:r>
      <w:r>
        <w:t xml:space="preserve"> would be set to reflect </w:t>
      </w:r>
      <w:r w:rsidR="00C82F4A">
        <w:t>the</w:t>
      </w:r>
      <w:r>
        <w:t xml:space="preserve"> assumption of more risk by ratepayers.”</w:t>
      </w:r>
      <w:r>
        <w:rPr>
          <w:rStyle w:val="FootnoteReference"/>
        </w:rPr>
        <w:footnoteReference w:id="59"/>
      </w:r>
    </w:p>
    <w:p w14:paraId="34EA9BDD" w14:textId="77777777" w:rsidR="00D043A6" w:rsidRDefault="00D043A6" w:rsidP="00D043A6">
      <w:pPr>
        <w:tabs>
          <w:tab w:val="left" w:pos="720"/>
          <w:tab w:val="left" w:pos="1440"/>
          <w:tab w:val="left" w:pos="9240"/>
        </w:tabs>
        <w:spacing w:line="480" w:lineRule="auto"/>
        <w:ind w:left="720" w:hanging="720"/>
      </w:pPr>
      <w:r>
        <w:tab/>
      </w:r>
      <w:r>
        <w:tab/>
        <w:t xml:space="preserve">The Company’s direct testimony is also clear on this point.  As Mr. </w:t>
      </w:r>
      <w:proofErr w:type="spellStart"/>
      <w:r>
        <w:t>Ehrbar</w:t>
      </w:r>
      <w:proofErr w:type="spellEnd"/>
      <w:r>
        <w:t xml:space="preserve"> testifies: “The decoupling mechanisms would </w:t>
      </w:r>
      <w:r w:rsidRPr="00A66410">
        <w:rPr>
          <w:u w:val="single"/>
        </w:rPr>
        <w:t>ensure</w:t>
      </w:r>
      <w:r>
        <w:t xml:space="preserve"> that the Company would recover an agreed upon revenue per customer going forward-no more no less.” (Emphasis added).</w:t>
      </w:r>
      <w:r>
        <w:rPr>
          <w:rStyle w:val="FootnoteReference"/>
        </w:rPr>
        <w:footnoteReference w:id="60"/>
      </w:r>
      <w:r>
        <w:t xml:space="preserve">  </w:t>
      </w:r>
    </w:p>
    <w:p w14:paraId="5424E7B4" w14:textId="77777777" w:rsidR="00194C04" w:rsidRDefault="00194C04" w:rsidP="00D043A6">
      <w:pPr>
        <w:tabs>
          <w:tab w:val="left" w:pos="720"/>
          <w:tab w:val="left" w:pos="1440"/>
          <w:tab w:val="left" w:pos="9240"/>
        </w:tabs>
        <w:spacing w:line="480" w:lineRule="auto"/>
        <w:ind w:left="720" w:hanging="720"/>
      </w:pPr>
    </w:p>
    <w:p w14:paraId="53BCF6AB" w14:textId="4A2958B6" w:rsidR="00194C04" w:rsidRDefault="00194C04" w:rsidP="00D043A6">
      <w:pPr>
        <w:tabs>
          <w:tab w:val="left" w:pos="720"/>
          <w:tab w:val="left" w:pos="1440"/>
          <w:tab w:val="left" w:pos="9240"/>
        </w:tabs>
        <w:spacing w:line="480" w:lineRule="auto"/>
        <w:ind w:left="720" w:hanging="720"/>
        <w:rPr>
          <w:b/>
        </w:rPr>
      </w:pPr>
      <w:r>
        <w:rPr>
          <w:b/>
        </w:rPr>
        <w:t>Q.</w:t>
      </w:r>
      <w:r>
        <w:rPr>
          <w:b/>
        </w:rPr>
        <w:tab/>
        <w:t xml:space="preserve">What other information </w:t>
      </w:r>
      <w:r w:rsidR="00C20AD0">
        <w:rPr>
          <w:b/>
        </w:rPr>
        <w:t xml:space="preserve">is available showing </w:t>
      </w:r>
      <w:r w:rsidR="00B30656">
        <w:rPr>
          <w:b/>
        </w:rPr>
        <w:t xml:space="preserve">the </w:t>
      </w:r>
      <w:r w:rsidR="009A38CB">
        <w:rPr>
          <w:b/>
        </w:rPr>
        <w:t xml:space="preserve">financial </w:t>
      </w:r>
      <w:r w:rsidR="00B30656">
        <w:rPr>
          <w:b/>
        </w:rPr>
        <w:t xml:space="preserve">exposure </w:t>
      </w:r>
      <w:r>
        <w:rPr>
          <w:b/>
        </w:rPr>
        <w:t>of fluctuations in energy sales?</w:t>
      </w:r>
    </w:p>
    <w:p w14:paraId="17F172D7" w14:textId="729205E7" w:rsidR="00194C04" w:rsidRPr="005479C9" w:rsidRDefault="00194C04" w:rsidP="00D043A6">
      <w:pPr>
        <w:tabs>
          <w:tab w:val="left" w:pos="720"/>
          <w:tab w:val="left" w:pos="1440"/>
          <w:tab w:val="left" w:pos="9240"/>
        </w:tabs>
        <w:spacing w:line="480" w:lineRule="auto"/>
        <w:ind w:left="720" w:hanging="720"/>
      </w:pPr>
      <w:r>
        <w:t>A.</w:t>
      </w:r>
      <w:r>
        <w:tab/>
        <w:t xml:space="preserve">Avista’s SEC Form 10-K is very explicit in describing the </w:t>
      </w:r>
      <w:r w:rsidR="00B30656">
        <w:t>significant risk</w:t>
      </w:r>
      <w:r>
        <w:t xml:space="preserve"> to shareholders of </w:t>
      </w:r>
      <w:r w:rsidR="00B30656">
        <w:t xml:space="preserve">energy sales </w:t>
      </w:r>
      <w:r w:rsidR="009A38CB">
        <w:t>fluctuations:</w:t>
      </w:r>
      <w:r w:rsidR="00B30656">
        <w:t xml:space="preserve"> </w:t>
      </w:r>
      <w:r w:rsidR="009A38CB">
        <w:t xml:space="preserve"> </w:t>
      </w:r>
      <w:r w:rsidR="00B30656">
        <w:t xml:space="preserve">“The following factors could have a significant impact on our operations, results of operations, </w:t>
      </w:r>
      <w:r w:rsidR="00A545DC">
        <w:t>financial cond</w:t>
      </w:r>
      <w:r w:rsidR="00B30656">
        <w:t>ition or cash flows.</w:t>
      </w:r>
      <w:r w:rsidR="009A38CB">
        <w:t>”</w:t>
      </w:r>
      <w:r w:rsidR="00C20AD0">
        <w:rPr>
          <w:rStyle w:val="FootnoteReference"/>
        </w:rPr>
        <w:footnoteReference w:id="61"/>
      </w:r>
      <w:r w:rsidR="00C20AD0">
        <w:t xml:space="preserve">  </w:t>
      </w:r>
      <w:r w:rsidR="00B30656">
        <w:t xml:space="preserve">The very first item </w:t>
      </w:r>
      <w:r w:rsidR="009A38CB">
        <w:t xml:space="preserve">Avista </w:t>
      </w:r>
      <w:r w:rsidR="00B30656">
        <w:t xml:space="preserve">management </w:t>
      </w:r>
      <w:r w:rsidR="009A38CB">
        <w:t xml:space="preserve">listed </w:t>
      </w:r>
      <w:r w:rsidR="00B30656">
        <w:t>is the risk associated with</w:t>
      </w:r>
      <w:r w:rsidR="009A38CB">
        <w:t xml:space="preserve"> </w:t>
      </w:r>
      <w:r w:rsidR="00B30656">
        <w:t xml:space="preserve">variance </w:t>
      </w:r>
      <w:r w:rsidR="009A38CB">
        <w:t>in</w:t>
      </w:r>
      <w:r w:rsidR="00B30656">
        <w:t xml:space="preserve"> energy sales. </w:t>
      </w:r>
      <w:r w:rsidR="005479C9">
        <w:t xml:space="preserve">As a result, a full decoupling mechanism is significant </w:t>
      </w:r>
      <w:r w:rsidR="009A38CB">
        <w:t xml:space="preserve">because it reduces </w:t>
      </w:r>
      <w:r w:rsidR="00053D68">
        <w:t>substantially</w:t>
      </w:r>
      <w:r w:rsidR="009A38CB">
        <w:t xml:space="preserve"> the impact of energy sales fluctuations </w:t>
      </w:r>
      <w:r w:rsidR="00230D43">
        <w:t>on the Company, and transfers</w:t>
      </w:r>
      <w:r w:rsidR="005479C9">
        <w:t xml:space="preserve"> this risk to ratepayers.</w:t>
      </w:r>
    </w:p>
    <w:p w14:paraId="34EA9BDE" w14:textId="77777777" w:rsidR="00D043A6" w:rsidRDefault="00D043A6" w:rsidP="00D043A6">
      <w:pPr>
        <w:tabs>
          <w:tab w:val="left" w:pos="720"/>
          <w:tab w:val="left" w:pos="1440"/>
          <w:tab w:val="left" w:pos="9240"/>
        </w:tabs>
        <w:spacing w:line="480" w:lineRule="auto"/>
        <w:ind w:left="720" w:hanging="720"/>
      </w:pPr>
    </w:p>
    <w:p w14:paraId="34EA9BDF" w14:textId="77777777" w:rsidR="00D043A6" w:rsidRDefault="00D043A6" w:rsidP="00D043A6">
      <w:pPr>
        <w:tabs>
          <w:tab w:val="left" w:pos="720"/>
          <w:tab w:val="left" w:pos="1440"/>
          <w:tab w:val="left" w:pos="9240"/>
        </w:tabs>
        <w:spacing w:line="480" w:lineRule="auto"/>
        <w:ind w:left="720" w:hanging="720"/>
        <w:rPr>
          <w:b/>
        </w:rPr>
      </w:pPr>
      <w:r>
        <w:rPr>
          <w:b/>
        </w:rPr>
        <w:t>Q.</w:t>
      </w:r>
      <w:r>
        <w:rPr>
          <w:b/>
        </w:rPr>
        <w:tab/>
        <w:t>How should the Commission go about measuring the impact of decoupling on cost of capital?</w:t>
      </w:r>
    </w:p>
    <w:p w14:paraId="34EA9BE0" w14:textId="77777777" w:rsidR="00D043A6" w:rsidRDefault="00D043A6" w:rsidP="00D043A6">
      <w:pPr>
        <w:tabs>
          <w:tab w:val="left" w:pos="720"/>
          <w:tab w:val="left" w:pos="1440"/>
          <w:tab w:val="left" w:pos="9240"/>
        </w:tabs>
        <w:spacing w:line="480" w:lineRule="auto"/>
        <w:ind w:left="720" w:hanging="720"/>
      </w:pPr>
      <w:r>
        <w:t>A.</w:t>
      </w:r>
      <w:r>
        <w:tab/>
        <w:t xml:space="preserve">It is extremely difficult to isolate and measure the specific impact of full decoupling in estimating a fair ROE.  </w:t>
      </w:r>
      <w:r w:rsidR="00393AD9">
        <w:t>Nonetheless, b</w:t>
      </w:r>
      <w:r>
        <w:t>ecause the Commission typically is presented with evidence supporting a range of fair estimates for ROE, one option is to use a ROE at the lower end of the range.</w:t>
      </w:r>
    </w:p>
    <w:p w14:paraId="34EA9BE1" w14:textId="10969974" w:rsidR="00D043A6" w:rsidRDefault="00D043A6" w:rsidP="00D043A6">
      <w:pPr>
        <w:tabs>
          <w:tab w:val="left" w:pos="720"/>
          <w:tab w:val="left" w:pos="1440"/>
          <w:tab w:val="left" w:pos="9240"/>
        </w:tabs>
        <w:spacing w:line="480" w:lineRule="auto"/>
        <w:ind w:left="720" w:hanging="720"/>
        <w:rPr>
          <w:b/>
        </w:rPr>
      </w:pPr>
      <w:r>
        <w:tab/>
      </w:r>
      <w:r>
        <w:tab/>
        <w:t xml:space="preserve">Another option is to use more financial leverage in the capital structure, </w:t>
      </w:r>
      <w:r w:rsidRPr="007F6321">
        <w:rPr>
          <w:i/>
        </w:rPr>
        <w:t>i.e.</w:t>
      </w:r>
      <w:r>
        <w:t xml:space="preserve"> a higher debt ratio and a lower equity ratio.  Because full decoupling reduces Avista’s business risk, the stability of the utility’s revenue under full decoupling should enable it to finance its business with more debt.  S&amp;P credit metrics recognize this</w:t>
      </w:r>
      <w:r w:rsidR="00D10C96">
        <w:t xml:space="preserve"> fact.  </w:t>
      </w:r>
      <w:r>
        <w:t>Exhibit No.___(KLE-4) is a copy of S&amp;P’s May 9, 2014</w:t>
      </w:r>
      <w:r w:rsidR="00393AD9">
        <w:t>,</w:t>
      </w:r>
      <w:r>
        <w:t xml:space="preserve"> </w:t>
      </w:r>
      <w:proofErr w:type="spellStart"/>
      <w:r w:rsidRPr="00816D6A">
        <w:rPr>
          <w:i/>
        </w:rPr>
        <w:t>RatingsDirect</w:t>
      </w:r>
      <w:proofErr w:type="spellEnd"/>
      <w:r w:rsidRPr="00816D6A">
        <w:rPr>
          <w:i/>
        </w:rPr>
        <w:t xml:space="preserve"> </w:t>
      </w:r>
      <w:r>
        <w:t xml:space="preserve">analysis for Avista Corporation.  Page 2 shows the relationship between business and financial risk and how a firm with less business risk can incur more financial risk.  </w:t>
      </w:r>
    </w:p>
    <w:p w14:paraId="34EA9BEB" w14:textId="77777777" w:rsidR="00D043A6" w:rsidRDefault="00D043A6" w:rsidP="00D043A6">
      <w:pPr>
        <w:tabs>
          <w:tab w:val="left" w:pos="720"/>
          <w:tab w:val="left" w:pos="1440"/>
          <w:tab w:val="left" w:pos="9240"/>
        </w:tabs>
        <w:spacing w:line="480" w:lineRule="auto"/>
        <w:ind w:left="720" w:hanging="720"/>
      </w:pPr>
    </w:p>
    <w:p w14:paraId="34EA9BEC" w14:textId="77777777" w:rsidR="00D043A6" w:rsidRDefault="00D043A6" w:rsidP="00D043A6">
      <w:pPr>
        <w:tabs>
          <w:tab w:val="left" w:pos="720"/>
          <w:tab w:val="left" w:pos="1440"/>
          <w:tab w:val="left" w:pos="9240"/>
        </w:tabs>
        <w:spacing w:line="480" w:lineRule="auto"/>
        <w:ind w:left="720" w:hanging="720"/>
        <w:rPr>
          <w:b/>
        </w:rPr>
      </w:pPr>
      <w:r>
        <w:rPr>
          <w:b/>
        </w:rPr>
        <w:t>Q.</w:t>
      </w:r>
      <w:r>
        <w:rPr>
          <w:b/>
        </w:rPr>
        <w:tab/>
        <w:t>In this case, how should the Commission address the impact of decoupling on the cost of capital?</w:t>
      </w:r>
    </w:p>
    <w:p w14:paraId="34EA9BED" w14:textId="77777777" w:rsidR="00D043A6" w:rsidRDefault="00D043A6" w:rsidP="00D043A6">
      <w:pPr>
        <w:tabs>
          <w:tab w:val="left" w:pos="720"/>
          <w:tab w:val="left" w:pos="1440"/>
          <w:tab w:val="left" w:pos="9240"/>
        </w:tabs>
        <w:spacing w:line="480" w:lineRule="auto"/>
        <w:ind w:left="720" w:hanging="720"/>
      </w:pPr>
      <w:r>
        <w:t>A.</w:t>
      </w:r>
      <w:r>
        <w:tab/>
        <w:t xml:space="preserve">The Commission should adjust Avista’s profit margin to reflect the fact that with full decoupling, </w:t>
      </w:r>
      <w:r w:rsidR="00C82F4A">
        <w:t>shareholders</w:t>
      </w:r>
      <w:r>
        <w:t xml:space="preserve"> no longer bear the risk of revenue variance due to changes in energy sales.  That risk has been transferred to </w:t>
      </w:r>
      <w:r w:rsidR="00C82F4A">
        <w:t>customers</w:t>
      </w:r>
      <w:r>
        <w:t xml:space="preserve">.  Energy sales are affected by numerous events, e.g. temperature, economic conditions, and elasticity.  Heretofore, the risks associated with these events have been borne by shareholders, </w:t>
      </w:r>
      <w:r>
        <w:lastRenderedPageBreak/>
        <w:t xml:space="preserve">and through the rate of return, ratepayers compensated shareholders for bearing that element of business risk.  </w:t>
      </w:r>
    </w:p>
    <w:p w14:paraId="34EA9BEE" w14:textId="77777777" w:rsidR="00D043A6" w:rsidRDefault="00D043A6" w:rsidP="00D043A6">
      <w:pPr>
        <w:tabs>
          <w:tab w:val="left" w:pos="720"/>
          <w:tab w:val="left" w:pos="1440"/>
          <w:tab w:val="left" w:pos="9240"/>
        </w:tabs>
        <w:spacing w:line="480" w:lineRule="auto"/>
        <w:ind w:left="720" w:hanging="720"/>
      </w:pPr>
      <w:r>
        <w:tab/>
      </w:r>
      <w:r>
        <w:tab/>
        <w:t xml:space="preserve">Under full decoupling, Avista will record its earnings based upon the number of customers served and use deferred accounting to capture the difference in actual revenue billed to customers through energy rates and the revenue allowed through the full decoupling mechanism.  As stated in Avista’s direct case, full decoupling “ensures” Avista will receive a specified level of revenues per customer.  This increases the probability that its booked revenue is sufficient to earn a fair return, which transfers the risk of variations in energy sales to customers.  </w:t>
      </w:r>
    </w:p>
    <w:p w14:paraId="34EA9BEF" w14:textId="77777777" w:rsidR="00D043A6" w:rsidRDefault="00D043A6" w:rsidP="00D043A6">
      <w:pPr>
        <w:tabs>
          <w:tab w:val="left" w:pos="720"/>
          <w:tab w:val="left" w:pos="1440"/>
          <w:tab w:val="left" w:pos="9240"/>
        </w:tabs>
        <w:spacing w:line="480" w:lineRule="auto"/>
        <w:ind w:left="720" w:hanging="720"/>
      </w:pPr>
    </w:p>
    <w:p w14:paraId="34EA9BF0" w14:textId="77777777" w:rsidR="00D043A6" w:rsidRDefault="00D043A6" w:rsidP="00D043A6">
      <w:pPr>
        <w:tabs>
          <w:tab w:val="left" w:pos="720"/>
          <w:tab w:val="left" w:pos="1440"/>
          <w:tab w:val="left" w:pos="9240"/>
        </w:tabs>
        <w:spacing w:line="480" w:lineRule="auto"/>
        <w:ind w:left="720" w:hanging="720"/>
        <w:rPr>
          <w:b/>
        </w:rPr>
      </w:pPr>
      <w:r>
        <w:rPr>
          <w:b/>
        </w:rPr>
        <w:t>Q.</w:t>
      </w:r>
      <w:r>
        <w:rPr>
          <w:b/>
        </w:rPr>
        <w:tab/>
        <w:t>From the perspective of financial management, what is the implication of full decoupling on a regulated utility?</w:t>
      </w:r>
    </w:p>
    <w:p w14:paraId="34EA9BF1" w14:textId="77777777" w:rsidR="00D043A6" w:rsidRDefault="00D043A6" w:rsidP="00D043A6">
      <w:pPr>
        <w:tabs>
          <w:tab w:val="left" w:pos="720"/>
          <w:tab w:val="left" w:pos="1440"/>
          <w:tab w:val="left" w:pos="9240"/>
        </w:tabs>
        <w:spacing w:line="480" w:lineRule="auto"/>
        <w:ind w:left="720" w:hanging="720"/>
        <w:rPr>
          <w:b/>
        </w:rPr>
      </w:pPr>
      <w:r>
        <w:t>A.</w:t>
      </w:r>
      <w:r>
        <w:tab/>
        <w:t xml:space="preserve">The impact is that the utility needs less profit margin.  Accordingly, because full decoupling stabilizes revenues, the utility’s profit should be reduced.  </w:t>
      </w:r>
    </w:p>
    <w:p w14:paraId="34EA9BF2" w14:textId="77777777" w:rsidR="00D043A6" w:rsidRDefault="00D043A6" w:rsidP="00D043A6">
      <w:pPr>
        <w:tabs>
          <w:tab w:val="left" w:pos="720"/>
          <w:tab w:val="left" w:pos="1440"/>
          <w:tab w:val="left" w:pos="9240"/>
        </w:tabs>
        <w:spacing w:line="480" w:lineRule="auto"/>
        <w:ind w:left="720" w:hanging="720"/>
        <w:rPr>
          <w:b/>
        </w:rPr>
      </w:pPr>
    </w:p>
    <w:p w14:paraId="34EA9BF3" w14:textId="77777777" w:rsidR="00D043A6" w:rsidRDefault="00D043A6" w:rsidP="00D043A6">
      <w:pPr>
        <w:tabs>
          <w:tab w:val="left" w:pos="720"/>
          <w:tab w:val="left" w:pos="1440"/>
          <w:tab w:val="left" w:pos="9240"/>
        </w:tabs>
        <w:spacing w:line="480" w:lineRule="auto"/>
        <w:ind w:left="720" w:hanging="720"/>
        <w:rPr>
          <w:b/>
        </w:rPr>
      </w:pPr>
      <w:r>
        <w:rPr>
          <w:b/>
        </w:rPr>
        <w:t>Q.</w:t>
      </w:r>
      <w:r>
        <w:rPr>
          <w:b/>
        </w:rPr>
        <w:tab/>
        <w:t>How should the Commission adjust for full decoupling in this case?</w:t>
      </w:r>
    </w:p>
    <w:p w14:paraId="34EA9BF4" w14:textId="77777777" w:rsidR="00D043A6" w:rsidRDefault="00D043A6" w:rsidP="00D043A6">
      <w:pPr>
        <w:tabs>
          <w:tab w:val="left" w:pos="720"/>
          <w:tab w:val="left" w:pos="1440"/>
          <w:tab w:val="left" w:pos="9240"/>
        </w:tabs>
        <w:spacing w:line="480" w:lineRule="auto"/>
        <w:ind w:left="720" w:hanging="720"/>
      </w:pPr>
      <w:r>
        <w:t>A.</w:t>
      </w:r>
      <w:r>
        <w:tab/>
        <w:t xml:space="preserve">The Commission should directly reduce Avista’s profit margin by adjusting the weighted cost of equity to a level sufficient to ensure Avista is able to meet a </w:t>
      </w:r>
      <w:r w:rsidR="00393AD9">
        <w:t xml:space="preserve">reasonable </w:t>
      </w:r>
      <w:r>
        <w:t>level of debt service as measured by pre-tax operating profit.</w:t>
      </w:r>
    </w:p>
    <w:p w14:paraId="34EA9BF5" w14:textId="77777777" w:rsidR="00D043A6" w:rsidRDefault="00D043A6" w:rsidP="00D043A6">
      <w:pPr>
        <w:tabs>
          <w:tab w:val="left" w:pos="720"/>
          <w:tab w:val="left" w:pos="1440"/>
          <w:tab w:val="left" w:pos="9240"/>
        </w:tabs>
        <w:spacing w:line="480" w:lineRule="auto"/>
        <w:ind w:left="720" w:hanging="720"/>
      </w:pPr>
    </w:p>
    <w:p w14:paraId="34EA9BF6" w14:textId="77777777" w:rsidR="00D043A6" w:rsidRPr="00925156" w:rsidRDefault="00D043A6" w:rsidP="00A0224C">
      <w:pPr>
        <w:keepNext/>
        <w:tabs>
          <w:tab w:val="left" w:pos="720"/>
          <w:tab w:val="left" w:pos="1440"/>
          <w:tab w:val="left" w:pos="9240"/>
        </w:tabs>
        <w:spacing w:line="480" w:lineRule="auto"/>
        <w:ind w:left="720" w:hanging="720"/>
        <w:rPr>
          <w:b/>
        </w:rPr>
      </w:pPr>
      <w:r>
        <w:rPr>
          <w:b/>
        </w:rPr>
        <w:t>Q.</w:t>
      </w:r>
      <w:r>
        <w:rPr>
          <w:b/>
        </w:rPr>
        <w:tab/>
        <w:t>How should the profit level be adjusted to account for full decoupling?</w:t>
      </w:r>
    </w:p>
    <w:p w14:paraId="34EA9BF7" w14:textId="77777777" w:rsidR="00D043A6" w:rsidRDefault="00D043A6" w:rsidP="00D043A6">
      <w:pPr>
        <w:tabs>
          <w:tab w:val="left" w:pos="720"/>
          <w:tab w:val="left" w:pos="1440"/>
          <w:tab w:val="left" w:pos="9240"/>
        </w:tabs>
        <w:spacing w:line="480" w:lineRule="auto"/>
        <w:ind w:left="720" w:hanging="720"/>
      </w:pPr>
      <w:r>
        <w:t>A.</w:t>
      </w:r>
      <w:r>
        <w:tab/>
        <w:t>The profit level guaranteed by decoupling should produce a pre-tax coverage of at least 2.75 times.  In other words, profit margin (</w:t>
      </w:r>
      <w:r w:rsidR="007C2405">
        <w:t>earnings</w:t>
      </w:r>
      <w:r>
        <w:t xml:space="preserve"> before taxes and interest) </w:t>
      </w:r>
      <w:r>
        <w:lastRenderedPageBreak/>
        <w:t xml:space="preserve">should be set at a level sufficient to cover interest expense 2.75 times.  Therefore, the calculation adjusts the weighted cost of equity so that it produces sufficient profits to ensure Avista has the opportunity to realize this pre-tax coverage ratio.   </w:t>
      </w:r>
    </w:p>
    <w:p w14:paraId="34EA9BF8" w14:textId="77777777" w:rsidR="00D043A6" w:rsidRDefault="00D043A6" w:rsidP="00D043A6">
      <w:pPr>
        <w:tabs>
          <w:tab w:val="left" w:pos="720"/>
          <w:tab w:val="left" w:pos="1440"/>
          <w:tab w:val="left" w:pos="9240"/>
        </w:tabs>
        <w:spacing w:line="480" w:lineRule="auto"/>
        <w:ind w:left="720" w:hanging="720"/>
      </w:pPr>
    </w:p>
    <w:p w14:paraId="34EA9BF9" w14:textId="77777777" w:rsidR="00D043A6" w:rsidRDefault="00D043A6" w:rsidP="00D043A6">
      <w:pPr>
        <w:tabs>
          <w:tab w:val="left" w:pos="720"/>
          <w:tab w:val="left" w:pos="1440"/>
          <w:tab w:val="left" w:pos="9240"/>
        </w:tabs>
        <w:spacing w:line="480" w:lineRule="auto"/>
        <w:ind w:left="720" w:hanging="720"/>
        <w:rPr>
          <w:b/>
        </w:rPr>
      </w:pPr>
      <w:r>
        <w:rPr>
          <w:b/>
        </w:rPr>
        <w:t>Q.</w:t>
      </w:r>
      <w:r>
        <w:rPr>
          <w:b/>
        </w:rPr>
        <w:tab/>
        <w:t>Why is a coverage ratio of 2.75 times a reasonable benchmark?</w:t>
      </w:r>
    </w:p>
    <w:p w14:paraId="34EA9BFA" w14:textId="003028ED" w:rsidR="00D043A6" w:rsidRDefault="00D043A6" w:rsidP="00D043A6">
      <w:pPr>
        <w:tabs>
          <w:tab w:val="left" w:pos="720"/>
          <w:tab w:val="left" w:pos="1440"/>
          <w:tab w:val="left" w:pos="9240"/>
        </w:tabs>
        <w:spacing w:line="480" w:lineRule="auto"/>
        <w:ind w:left="720" w:hanging="720"/>
      </w:pPr>
      <w:r>
        <w:t>A.</w:t>
      </w:r>
      <w:r>
        <w:tab/>
        <w:t>Over the past five years, Avista Corporation’s actual pre-tax coverage ratio was between 2.47 and 3.10 times.</w:t>
      </w:r>
      <w:r>
        <w:rPr>
          <w:rStyle w:val="FootnoteReference"/>
        </w:rPr>
        <w:footnoteReference w:id="62"/>
      </w:r>
      <w:r>
        <w:t xml:space="preserve">  </w:t>
      </w:r>
      <w:r w:rsidR="00393AD9">
        <w:t>Under full decoupling, t</w:t>
      </w:r>
      <w:r>
        <w:t>he Company’s earnings become very stable, given the fact that Avista will now be fully decoupled, along with the continued operation of its ERM</w:t>
      </w:r>
      <w:r w:rsidR="00703470">
        <w:t xml:space="preserve"> and purchased gas mechanism</w:t>
      </w:r>
      <w:r>
        <w:t xml:space="preserve">.  If operating margin (gross profits) are </w:t>
      </w:r>
      <w:r w:rsidR="00F12B11">
        <w:t xml:space="preserve">at least </w:t>
      </w:r>
      <w:r>
        <w:t xml:space="preserve">2.75 times fixed interest charges, bondholders are protected from anything but extraordinary, adverse financial events, which the Commission protects against </w:t>
      </w:r>
      <w:r w:rsidR="009C44DA">
        <w:t>using</w:t>
      </w:r>
      <w:r>
        <w:t xml:space="preserve"> its interim relief standards.  </w:t>
      </w:r>
    </w:p>
    <w:p w14:paraId="34EA9BFB" w14:textId="1D126A76" w:rsidR="00D043A6" w:rsidRDefault="00D043A6" w:rsidP="00D043A6">
      <w:pPr>
        <w:tabs>
          <w:tab w:val="left" w:pos="720"/>
          <w:tab w:val="left" w:pos="1440"/>
          <w:tab w:val="left" w:pos="9240"/>
        </w:tabs>
        <w:spacing w:line="480" w:lineRule="auto"/>
        <w:ind w:left="720" w:hanging="720"/>
      </w:pPr>
      <w:r>
        <w:tab/>
      </w:r>
      <w:r>
        <w:tab/>
        <w:t xml:space="preserve">The Commission should explicitly acknowledge these ratemaking mechanisms and the salutary effect of decoupling on </w:t>
      </w:r>
      <w:r w:rsidR="008B6B54">
        <w:t>a utility’s</w:t>
      </w:r>
      <w:r w:rsidR="007E1E0D">
        <w:t xml:space="preserve"> operating profit</w:t>
      </w:r>
      <w:r>
        <w:t xml:space="preserve">.  In my opinion, </w:t>
      </w:r>
      <w:r w:rsidR="007E1E0D">
        <w:t>ensuring revenue through full decoupling</w:t>
      </w:r>
      <w:r w:rsidR="00393AD9">
        <w:t xml:space="preserve"> </w:t>
      </w:r>
      <w:r>
        <w:t>is a significant element of what the Company’s calls a supportive regulatory environment.</w:t>
      </w:r>
      <w:r>
        <w:rPr>
          <w:rStyle w:val="FootnoteReference"/>
        </w:rPr>
        <w:footnoteReference w:id="63"/>
      </w:r>
      <w:r>
        <w:t xml:space="preserve">  </w:t>
      </w:r>
    </w:p>
    <w:p w14:paraId="2A8682C7" w14:textId="77777777" w:rsidR="00B30656" w:rsidRDefault="00B30656" w:rsidP="00D043A6">
      <w:pPr>
        <w:tabs>
          <w:tab w:val="left" w:pos="720"/>
          <w:tab w:val="left" w:pos="1440"/>
          <w:tab w:val="left" w:pos="9240"/>
        </w:tabs>
        <w:spacing w:line="480" w:lineRule="auto"/>
        <w:ind w:left="720" w:hanging="720"/>
      </w:pPr>
    </w:p>
    <w:p w14:paraId="4536FB6E" w14:textId="424B3BFC" w:rsidR="00B30656" w:rsidRDefault="00B30656" w:rsidP="00D043A6">
      <w:pPr>
        <w:tabs>
          <w:tab w:val="left" w:pos="720"/>
          <w:tab w:val="left" w:pos="1440"/>
          <w:tab w:val="left" w:pos="9240"/>
        </w:tabs>
        <w:spacing w:line="480" w:lineRule="auto"/>
        <w:ind w:left="720" w:hanging="720"/>
        <w:rPr>
          <w:b/>
        </w:rPr>
      </w:pPr>
      <w:r>
        <w:rPr>
          <w:b/>
        </w:rPr>
        <w:t>Q.</w:t>
      </w:r>
      <w:r>
        <w:rPr>
          <w:b/>
        </w:rPr>
        <w:tab/>
        <w:t xml:space="preserve">What data did you </w:t>
      </w:r>
      <w:r w:rsidR="00B73CA2">
        <w:rPr>
          <w:b/>
        </w:rPr>
        <w:t>evaluate</w:t>
      </w:r>
      <w:r>
        <w:rPr>
          <w:b/>
        </w:rPr>
        <w:t xml:space="preserve"> in developing this specific benchmark for </w:t>
      </w:r>
      <w:r w:rsidR="00053D68">
        <w:rPr>
          <w:b/>
        </w:rPr>
        <w:t>determining</w:t>
      </w:r>
      <w:r>
        <w:rPr>
          <w:b/>
        </w:rPr>
        <w:t xml:space="preserve"> the cost of capital offset to account for the effects of full decoupling and the </w:t>
      </w:r>
      <w:r w:rsidR="009A38CB">
        <w:rPr>
          <w:b/>
        </w:rPr>
        <w:t xml:space="preserve">corresponding </w:t>
      </w:r>
      <w:r>
        <w:rPr>
          <w:b/>
        </w:rPr>
        <w:t>transfer of risk from shareholders to ratepayers?</w:t>
      </w:r>
    </w:p>
    <w:p w14:paraId="0E7D679E" w14:textId="72B73CD8" w:rsidR="00B30656" w:rsidRDefault="00B30656" w:rsidP="00D043A6">
      <w:pPr>
        <w:tabs>
          <w:tab w:val="left" w:pos="720"/>
          <w:tab w:val="left" w:pos="1440"/>
          <w:tab w:val="left" w:pos="9240"/>
        </w:tabs>
        <w:spacing w:line="480" w:lineRule="auto"/>
        <w:ind w:left="720" w:hanging="720"/>
      </w:pPr>
      <w:r>
        <w:t>A.</w:t>
      </w:r>
      <w:r>
        <w:tab/>
        <w:t xml:space="preserve">I used financial data </w:t>
      </w:r>
      <w:r w:rsidR="009A38CB">
        <w:t xml:space="preserve">published by Avista Corp. in its </w:t>
      </w:r>
      <w:r w:rsidR="00566B64">
        <w:t xml:space="preserve">SEC Form 10-K.   </w:t>
      </w:r>
      <w:r w:rsidR="009A38CB">
        <w:t xml:space="preserve">My </w:t>
      </w:r>
      <w:r w:rsidR="00566B64">
        <w:t xml:space="preserve">Exhibit </w:t>
      </w:r>
      <w:r w:rsidR="009A38CB">
        <w:t>No. ___</w:t>
      </w:r>
      <w:r w:rsidR="00566B64">
        <w:t xml:space="preserve">(KLE-6) </w:t>
      </w:r>
      <w:r w:rsidR="009A38CB">
        <w:t>summarizes</w:t>
      </w:r>
      <w:r w:rsidR="00566B64">
        <w:t xml:space="preserve"> the following data from 2008 to 2013</w:t>
      </w:r>
      <w:r w:rsidR="00230D43">
        <w:t xml:space="preserve">, as reported by </w:t>
      </w:r>
      <w:r w:rsidR="00230D43">
        <w:lastRenderedPageBreak/>
        <w:t>Avista Corp.</w:t>
      </w:r>
      <w:r w:rsidR="00566B64">
        <w:t xml:space="preserve">: 1) </w:t>
      </w:r>
      <w:r w:rsidR="009A38CB">
        <w:t xml:space="preserve">interest rate </w:t>
      </w:r>
      <w:r w:rsidR="00053D68">
        <w:t>coverage</w:t>
      </w:r>
      <w:r w:rsidR="00566B64">
        <w:t xml:space="preserve">, 2) electric and natural gas margins, 3) degree days, 4) number of customers, and </w:t>
      </w:r>
      <w:r w:rsidR="00A43CC4">
        <w:t>5</w:t>
      </w:r>
      <w:r w:rsidR="00566B64">
        <w:t>) retail energy sales.</w:t>
      </w:r>
    </w:p>
    <w:p w14:paraId="381612D7" w14:textId="77777777" w:rsidR="00566B64" w:rsidRDefault="00566B64" w:rsidP="00D043A6">
      <w:pPr>
        <w:tabs>
          <w:tab w:val="left" w:pos="720"/>
          <w:tab w:val="left" w:pos="1440"/>
          <w:tab w:val="left" w:pos="9240"/>
        </w:tabs>
        <w:spacing w:line="480" w:lineRule="auto"/>
        <w:ind w:left="720" w:hanging="720"/>
      </w:pPr>
    </w:p>
    <w:p w14:paraId="5852015A" w14:textId="30A25CCB" w:rsidR="00566B64" w:rsidRDefault="00566B64" w:rsidP="00D043A6">
      <w:pPr>
        <w:tabs>
          <w:tab w:val="left" w:pos="720"/>
          <w:tab w:val="left" w:pos="1440"/>
          <w:tab w:val="left" w:pos="9240"/>
        </w:tabs>
        <w:spacing w:line="480" w:lineRule="auto"/>
        <w:ind w:left="720" w:hanging="720"/>
        <w:rPr>
          <w:b/>
        </w:rPr>
      </w:pPr>
      <w:r>
        <w:rPr>
          <w:b/>
        </w:rPr>
        <w:t>Q.</w:t>
      </w:r>
      <w:r>
        <w:rPr>
          <w:b/>
        </w:rPr>
        <w:tab/>
        <w:t>Please explain each of these terms</w:t>
      </w:r>
      <w:r w:rsidR="00230D43">
        <w:rPr>
          <w:b/>
        </w:rPr>
        <w:t>.</w:t>
      </w:r>
    </w:p>
    <w:p w14:paraId="522CBCD4" w14:textId="28E12B50" w:rsidR="00566B64" w:rsidRDefault="00566B64" w:rsidP="00D043A6">
      <w:pPr>
        <w:tabs>
          <w:tab w:val="left" w:pos="720"/>
          <w:tab w:val="left" w:pos="1440"/>
          <w:tab w:val="left" w:pos="9240"/>
        </w:tabs>
        <w:spacing w:line="480" w:lineRule="auto"/>
        <w:ind w:left="720" w:hanging="720"/>
      </w:pPr>
      <w:r>
        <w:t>A.</w:t>
      </w:r>
      <w:r>
        <w:tab/>
      </w:r>
      <w:r w:rsidR="009A38CB">
        <w:t xml:space="preserve">Interest rate </w:t>
      </w:r>
      <w:r>
        <w:t xml:space="preserve">coverage </w:t>
      </w:r>
      <w:r w:rsidR="009A38CB">
        <w:t xml:space="preserve">reflects </w:t>
      </w:r>
      <w:r>
        <w:t xml:space="preserve">the amount of operating profit the business generates to cover </w:t>
      </w:r>
      <w:r w:rsidR="00995D8D">
        <w:t>its</w:t>
      </w:r>
      <w:r>
        <w:t xml:space="preserve"> interest payments</w:t>
      </w:r>
      <w:r w:rsidR="009A38CB">
        <w:t xml:space="preserve">.  It </w:t>
      </w:r>
      <w:r w:rsidR="007E1E0D">
        <w:t xml:space="preserve">measures </w:t>
      </w:r>
      <w:r>
        <w:t>financial risk and the ability of a firm to service debt</w:t>
      </w:r>
      <w:r w:rsidR="009A38CB">
        <w:t>.</w:t>
      </w:r>
      <w:r>
        <w:t xml:space="preserve"> </w:t>
      </w:r>
      <w:r w:rsidR="003B32DA">
        <w:t xml:space="preserve"> </w:t>
      </w:r>
      <w:r w:rsidR="00703470">
        <w:t>Operating m</w:t>
      </w:r>
      <w:r>
        <w:t xml:space="preserve">argin is a non-GAAP measure </w:t>
      </w:r>
      <w:r w:rsidR="009A38CB">
        <w:t>that shows</w:t>
      </w:r>
      <w:r>
        <w:t xml:space="preserve"> whether the </w:t>
      </w:r>
      <w:r w:rsidR="009A38CB">
        <w:t xml:space="preserve">company is recovering its </w:t>
      </w:r>
      <w:r>
        <w:t>energy costs</w:t>
      </w:r>
      <w:r w:rsidR="009A38CB">
        <w:t xml:space="preserve">.  </w:t>
      </w:r>
      <w:r w:rsidR="00A545DC">
        <w:t>Operating</w:t>
      </w:r>
      <w:r w:rsidR="009A38CB">
        <w:t xml:space="preserve"> margin </w:t>
      </w:r>
      <w:r>
        <w:t>support</w:t>
      </w:r>
      <w:r w:rsidR="00A545DC">
        <w:t>s</w:t>
      </w:r>
      <w:r>
        <w:t xml:space="preserve"> recovery of other operating costs</w:t>
      </w:r>
      <w:r w:rsidR="00703470">
        <w:t xml:space="preserve">. </w:t>
      </w:r>
      <w:r>
        <w:t xml:space="preserve"> </w:t>
      </w:r>
      <w:r w:rsidR="009A38CB">
        <w:t>D</w:t>
      </w:r>
      <w:r>
        <w:t>egree days are a measure of absolute variance in temperature that impact energy sales to customers</w:t>
      </w:r>
      <w:r w:rsidR="007E1E0D">
        <w:t>.</w:t>
      </w:r>
      <w:r>
        <w:t xml:space="preserve"> </w:t>
      </w:r>
      <w:r w:rsidR="00230D43">
        <w:t>Number of customers is the a</w:t>
      </w:r>
      <w:r>
        <w:t>ctual</w:t>
      </w:r>
      <w:r w:rsidR="00A43CC4">
        <w:t xml:space="preserve"> customer</w:t>
      </w:r>
      <w:r w:rsidR="00230D43">
        <w:t xml:space="preserve"> count </w:t>
      </w:r>
      <w:r w:rsidR="00A43CC4">
        <w:t>at the end of the fiscal year</w:t>
      </w:r>
      <w:r w:rsidR="00230D43">
        <w:t>.</w:t>
      </w:r>
      <w:r w:rsidR="007E1E0D">
        <w:t xml:space="preserve"> </w:t>
      </w:r>
      <w:r w:rsidR="00A43CC4">
        <w:t xml:space="preserve"> </w:t>
      </w:r>
      <w:r w:rsidR="00230D43">
        <w:t xml:space="preserve">Retail energy sales </w:t>
      </w:r>
      <w:r w:rsidR="00A545DC">
        <w:t>show the</w:t>
      </w:r>
      <w:r w:rsidR="00230D43">
        <w:t xml:space="preserve"> actual </w:t>
      </w:r>
      <w:r w:rsidR="00A43CC4">
        <w:t>retail sales</w:t>
      </w:r>
      <w:r w:rsidR="00230D43">
        <w:t xml:space="preserve"> of electrical energy or natural gas during the period.</w:t>
      </w:r>
      <w:r w:rsidR="00B73CA2">
        <w:t xml:space="preserve">  </w:t>
      </w:r>
    </w:p>
    <w:p w14:paraId="41B76C4B" w14:textId="77777777" w:rsidR="00A43CC4" w:rsidRDefault="00A43CC4" w:rsidP="00D043A6">
      <w:pPr>
        <w:tabs>
          <w:tab w:val="left" w:pos="720"/>
          <w:tab w:val="left" w:pos="1440"/>
          <w:tab w:val="left" w:pos="9240"/>
        </w:tabs>
        <w:spacing w:line="480" w:lineRule="auto"/>
        <w:ind w:left="720" w:hanging="720"/>
      </w:pPr>
    </w:p>
    <w:p w14:paraId="43D48D07" w14:textId="62C289E2" w:rsidR="00A43CC4" w:rsidRDefault="00A43CC4" w:rsidP="00D043A6">
      <w:pPr>
        <w:tabs>
          <w:tab w:val="left" w:pos="720"/>
          <w:tab w:val="left" w:pos="1440"/>
          <w:tab w:val="left" w:pos="9240"/>
        </w:tabs>
        <w:spacing w:line="480" w:lineRule="auto"/>
        <w:ind w:left="720" w:hanging="720"/>
        <w:rPr>
          <w:b/>
        </w:rPr>
      </w:pPr>
      <w:r>
        <w:rPr>
          <w:b/>
        </w:rPr>
        <w:t>Q.</w:t>
      </w:r>
      <w:r>
        <w:rPr>
          <w:b/>
        </w:rPr>
        <w:tab/>
      </w:r>
      <w:r w:rsidR="00E56564">
        <w:rPr>
          <w:b/>
        </w:rPr>
        <w:t>Can you use this data to</w:t>
      </w:r>
      <w:r w:rsidR="00230D43">
        <w:rPr>
          <w:b/>
        </w:rPr>
        <w:t xml:space="preserve"> explain</w:t>
      </w:r>
      <w:r w:rsidR="00E56564">
        <w:rPr>
          <w:b/>
        </w:rPr>
        <w:t xml:space="preserve"> how the Company’s sales fluctuate without full decoupling?</w:t>
      </w:r>
      <w:r w:rsidR="00E56564" w:rsidDel="00230D43">
        <w:rPr>
          <w:b/>
        </w:rPr>
        <w:t xml:space="preserve"> </w:t>
      </w:r>
    </w:p>
    <w:p w14:paraId="30D88A70" w14:textId="2756B95D" w:rsidR="00A43CC4" w:rsidRDefault="00A43CC4" w:rsidP="00D043A6">
      <w:pPr>
        <w:tabs>
          <w:tab w:val="left" w:pos="720"/>
          <w:tab w:val="left" w:pos="1440"/>
          <w:tab w:val="left" w:pos="9240"/>
        </w:tabs>
        <w:spacing w:line="480" w:lineRule="auto"/>
        <w:ind w:left="720" w:hanging="720"/>
      </w:pPr>
      <w:r>
        <w:t>A.</w:t>
      </w:r>
      <w:r>
        <w:tab/>
      </w:r>
      <w:r w:rsidR="00E56564">
        <w:t xml:space="preserve">Yes.  As an example, in my Exhibit No. ___ (KLE-6), </w:t>
      </w:r>
      <w:r w:rsidR="007E1E0D">
        <w:t xml:space="preserve"> </w:t>
      </w:r>
      <w:r w:rsidR="00E56564">
        <w:t>I include</w:t>
      </w:r>
      <w:r w:rsidR="007E1E0D">
        <w:t xml:space="preserve"> </w:t>
      </w:r>
      <w:r>
        <w:t>recent data for 2012 and 2013</w:t>
      </w:r>
      <w:r w:rsidR="00E56564">
        <w:t>.  I</w:t>
      </w:r>
      <w:r w:rsidR="00B73CA2">
        <w:t xml:space="preserve">n </w:t>
      </w:r>
      <w:r>
        <w:t>201</w:t>
      </w:r>
      <w:r w:rsidR="00240D35">
        <w:t>3</w:t>
      </w:r>
      <w:r w:rsidR="00E56564">
        <w:t>,</w:t>
      </w:r>
      <w:r>
        <w:t xml:space="preserve"> </w:t>
      </w:r>
      <w:r w:rsidR="00B73CA2">
        <w:t>there were</w:t>
      </w:r>
      <w:r>
        <w:t xml:space="preserve"> 400 </w:t>
      </w:r>
      <w:r w:rsidR="00240D35">
        <w:t>more</w:t>
      </w:r>
      <w:r>
        <w:t xml:space="preserve"> heating degree days tha</w:t>
      </w:r>
      <w:r w:rsidR="00E56564">
        <w:t>n</w:t>
      </w:r>
      <w:r>
        <w:t xml:space="preserve"> 201</w:t>
      </w:r>
      <w:r w:rsidR="00E56564">
        <w:t>2</w:t>
      </w:r>
      <w:r>
        <w:t xml:space="preserve">.  </w:t>
      </w:r>
      <w:r w:rsidR="00E56564">
        <w:t>In other words, weather was substantiall</w:t>
      </w:r>
      <w:r w:rsidR="00A545DC">
        <w:t>y</w:t>
      </w:r>
      <w:r w:rsidR="00E56564">
        <w:t xml:space="preserve"> colder in 2013 than 2012.  Accordingly, t</w:t>
      </w:r>
      <w:r w:rsidR="00B73CA2">
        <w:t xml:space="preserve">he </w:t>
      </w:r>
      <w:r w:rsidR="00E56564">
        <w:t xml:space="preserve">Company’s </w:t>
      </w:r>
      <w:r w:rsidR="00B73CA2">
        <w:t xml:space="preserve">operating margins for both </w:t>
      </w:r>
      <w:r w:rsidR="00E56564">
        <w:t xml:space="preserve">electric and gas </w:t>
      </w:r>
      <w:r w:rsidR="00B73CA2">
        <w:t>businesses were materially different</w:t>
      </w:r>
      <w:r w:rsidR="00240D35">
        <w:t xml:space="preserve"> due to temperature</w:t>
      </w:r>
      <w:r w:rsidR="00B73CA2">
        <w:t xml:space="preserve">:  operating margins </w:t>
      </w:r>
      <w:r w:rsidR="00240D35">
        <w:t>increased by $36.6 million and $16 million</w:t>
      </w:r>
      <w:r w:rsidR="00E56564">
        <w:t>,</w:t>
      </w:r>
      <w:r w:rsidR="00240D35">
        <w:t xml:space="preserve"> respectively</w:t>
      </w:r>
      <w:r w:rsidR="00E56564">
        <w:t>,</w:t>
      </w:r>
      <w:r w:rsidR="00240D35">
        <w:t xml:space="preserve"> for the electric and natural gas operations</w:t>
      </w:r>
      <w:r w:rsidR="00E56564">
        <w:t>, from 2012 to 2013</w:t>
      </w:r>
      <w:r w:rsidR="00240D35">
        <w:t>.</w:t>
      </w:r>
      <w:r w:rsidR="00240D35">
        <w:rPr>
          <w:rStyle w:val="FootnoteReference"/>
        </w:rPr>
        <w:footnoteReference w:id="64"/>
      </w:r>
      <w:r w:rsidR="00240D35">
        <w:t xml:space="preserve">  We also see the </w:t>
      </w:r>
      <w:r w:rsidR="00E56564">
        <w:t xml:space="preserve">interest </w:t>
      </w:r>
      <w:r w:rsidR="00240D35">
        <w:t>coverage ratio increase from 2.47 time</w:t>
      </w:r>
      <w:r w:rsidR="00E56564">
        <w:t>s</w:t>
      </w:r>
      <w:r w:rsidR="00240D35">
        <w:t xml:space="preserve"> to 3.10 times.  </w:t>
      </w:r>
      <w:r w:rsidR="00E56564">
        <w:t xml:space="preserve">Notably, </w:t>
      </w:r>
      <w:r w:rsidR="00240D35">
        <w:t xml:space="preserve">the data show </w:t>
      </w:r>
      <w:r w:rsidR="00E56564">
        <w:t xml:space="preserve">consistent, </w:t>
      </w:r>
      <w:r w:rsidR="00240D35">
        <w:t xml:space="preserve">modest growth in </w:t>
      </w:r>
      <w:r w:rsidR="00E56564">
        <w:t xml:space="preserve">numbers of </w:t>
      </w:r>
      <w:r w:rsidR="00240D35">
        <w:t xml:space="preserve">customers.  </w:t>
      </w:r>
    </w:p>
    <w:p w14:paraId="75DA50C0" w14:textId="01F83738" w:rsidR="00240D35" w:rsidRDefault="00240D35" w:rsidP="00D043A6">
      <w:pPr>
        <w:tabs>
          <w:tab w:val="left" w:pos="720"/>
          <w:tab w:val="left" w:pos="1440"/>
          <w:tab w:val="left" w:pos="9240"/>
        </w:tabs>
        <w:spacing w:line="480" w:lineRule="auto"/>
        <w:ind w:left="720" w:hanging="720"/>
      </w:pPr>
    </w:p>
    <w:p w14:paraId="7B4532E4" w14:textId="091751A3" w:rsidR="004D4CBB" w:rsidRDefault="004D4CBB" w:rsidP="004D4CBB">
      <w:pPr>
        <w:tabs>
          <w:tab w:val="left" w:pos="720"/>
          <w:tab w:val="left" w:pos="1440"/>
          <w:tab w:val="left" w:pos="9240"/>
        </w:tabs>
        <w:spacing w:line="480" w:lineRule="auto"/>
        <w:ind w:left="720" w:hanging="720"/>
        <w:rPr>
          <w:b/>
        </w:rPr>
      </w:pPr>
      <w:r>
        <w:rPr>
          <w:b/>
        </w:rPr>
        <w:t>Q.</w:t>
      </w:r>
      <w:r>
        <w:rPr>
          <w:b/>
        </w:rPr>
        <w:tab/>
      </w:r>
      <w:r w:rsidR="00E56564">
        <w:rPr>
          <w:b/>
        </w:rPr>
        <w:t>What are the implications of this data under a fully decoupled environment?</w:t>
      </w:r>
      <w:r w:rsidR="00E56564" w:rsidDel="00E56564">
        <w:rPr>
          <w:b/>
        </w:rPr>
        <w:t xml:space="preserve"> </w:t>
      </w:r>
    </w:p>
    <w:p w14:paraId="1C48F09C" w14:textId="1790E5D6" w:rsidR="00BE27F7" w:rsidRDefault="004D4CBB" w:rsidP="004D4CBB">
      <w:pPr>
        <w:tabs>
          <w:tab w:val="left" w:pos="720"/>
          <w:tab w:val="left" w:pos="1440"/>
          <w:tab w:val="left" w:pos="9240"/>
        </w:tabs>
        <w:spacing w:line="480" w:lineRule="auto"/>
        <w:ind w:left="720" w:hanging="720"/>
      </w:pPr>
      <w:r>
        <w:t>A.</w:t>
      </w:r>
      <w:r>
        <w:tab/>
      </w:r>
      <w:r w:rsidR="00BE27F7">
        <w:t>The dat</w:t>
      </w:r>
      <w:r w:rsidR="00EC5A5A">
        <w:t>a</w:t>
      </w:r>
      <w:r w:rsidR="00BE27F7">
        <w:t xml:space="preserve"> show that while</w:t>
      </w:r>
      <w:r w:rsidR="00E56564">
        <w:t xml:space="preserve"> Avista’s customer numbers grow slowly, but consistently</w:t>
      </w:r>
      <w:r w:rsidR="00BE27F7">
        <w:t xml:space="preserve">, and without volatility, the other factors </w:t>
      </w:r>
      <w:r w:rsidR="002C06CF">
        <w:t xml:space="preserve">impacting revenue </w:t>
      </w:r>
      <w:r w:rsidR="00BE27F7">
        <w:t xml:space="preserve">are more volatile, due </w:t>
      </w:r>
      <w:r w:rsidR="00EC5A5A">
        <w:t>principally</w:t>
      </w:r>
      <w:r w:rsidR="00BE27F7">
        <w:t xml:space="preserve"> to changes in temperature.</w:t>
      </w:r>
      <w:r w:rsidR="00E56564">
        <w:t xml:space="preserve">  </w:t>
      </w:r>
    </w:p>
    <w:p w14:paraId="0E4A5DC3" w14:textId="53A4AD26" w:rsidR="00BE27F7" w:rsidRDefault="00BE27F7" w:rsidP="004D4CBB">
      <w:pPr>
        <w:tabs>
          <w:tab w:val="left" w:pos="720"/>
          <w:tab w:val="left" w:pos="1440"/>
          <w:tab w:val="left" w:pos="9240"/>
        </w:tabs>
        <w:spacing w:line="480" w:lineRule="auto"/>
        <w:ind w:left="720" w:hanging="720"/>
      </w:pPr>
      <w:r>
        <w:tab/>
      </w:r>
      <w:r>
        <w:tab/>
        <w:t>Therefore, f</w:t>
      </w:r>
      <w:r w:rsidR="00E56564">
        <w:t xml:space="preserve">ull decoupling based on revenue per customer will </w:t>
      </w:r>
      <w:r w:rsidR="004D4CBB">
        <w:t>stabilize Avista’s revenue stream for its regulated business</w:t>
      </w:r>
      <w:r w:rsidR="00E56564">
        <w:t>es</w:t>
      </w:r>
      <w:r w:rsidR="004D4CBB">
        <w:t xml:space="preserve">.  </w:t>
      </w:r>
      <w:r>
        <w:t>Avista wi</w:t>
      </w:r>
      <w:r w:rsidR="00EC5A5A">
        <w:t>ll</w:t>
      </w:r>
      <w:r>
        <w:t xml:space="preserve"> no longer be subject to the </w:t>
      </w:r>
      <w:r w:rsidR="002C06CF">
        <w:t xml:space="preserve">business </w:t>
      </w:r>
      <w:r>
        <w:t xml:space="preserve">risk associated with fluctuations in temperature, as well as any other factor that changes customer usage.  </w:t>
      </w:r>
      <w:r w:rsidR="00703470">
        <w:t>F</w:t>
      </w:r>
      <w:r>
        <w:t>ull decoupling transfers this risk to ratepayers.</w:t>
      </w:r>
    </w:p>
    <w:p w14:paraId="28BE5509" w14:textId="6167CE6B" w:rsidR="004D4CBB" w:rsidRDefault="00BE27F7" w:rsidP="004D4CBB">
      <w:pPr>
        <w:tabs>
          <w:tab w:val="left" w:pos="720"/>
          <w:tab w:val="left" w:pos="1440"/>
          <w:tab w:val="left" w:pos="9240"/>
        </w:tabs>
        <w:spacing w:line="480" w:lineRule="auto"/>
        <w:ind w:left="720" w:hanging="720"/>
      </w:pPr>
      <w:r>
        <w:tab/>
      </w:r>
      <w:r>
        <w:tab/>
        <w:t>These data confirm what the Commission stated in its Policy Statement</w:t>
      </w:r>
      <w:r w:rsidR="002C06CF">
        <w:t xml:space="preserve">, </w:t>
      </w:r>
      <w:r w:rsidR="00C9588C">
        <w:t>“</w:t>
      </w:r>
      <w:r w:rsidR="002C06CF">
        <w:t xml:space="preserve">By </w:t>
      </w:r>
      <w:r w:rsidR="00EC5A5A">
        <w:t>reducing the risk of volatility of revenue based on c</w:t>
      </w:r>
      <w:r w:rsidR="005A4CEB">
        <w:t>u</w:t>
      </w:r>
      <w:r w:rsidR="00EC5A5A">
        <w:t>s</w:t>
      </w:r>
      <w:r w:rsidR="005A4CEB">
        <w:t>tomer usage</w:t>
      </w:r>
      <w:r w:rsidR="002C06CF">
        <w:t xml:space="preserve">, both up and down, such a </w:t>
      </w:r>
      <w:r w:rsidR="00053D68">
        <w:t>mechanism can</w:t>
      </w:r>
      <w:r w:rsidR="00EC5A5A">
        <w:t xml:space="preserve"> </w:t>
      </w:r>
      <w:r w:rsidR="002C06CF">
        <w:t xml:space="preserve">serve to </w:t>
      </w:r>
      <w:r w:rsidR="00EC5A5A">
        <w:t xml:space="preserve">reduce risk to the </w:t>
      </w:r>
      <w:r w:rsidR="005A4CEB">
        <w:t>company</w:t>
      </w:r>
      <w:r w:rsidR="002C06CF">
        <w:t xml:space="preserve">, and therefore to </w:t>
      </w:r>
      <w:r w:rsidR="00053D68">
        <w:t>investors</w:t>
      </w:r>
      <w:r w:rsidR="002C06CF">
        <w:t>, which in turn should benefit customers by reducing a company’s debt and equity costs</w:t>
      </w:r>
      <w:r w:rsidR="005A4CEB">
        <w:t>.</w:t>
      </w:r>
      <w:r w:rsidR="002C06CF">
        <w:t>”</w:t>
      </w:r>
      <w:r w:rsidR="005A4CEB">
        <w:rPr>
          <w:rStyle w:val="FootnoteReference"/>
        </w:rPr>
        <w:footnoteReference w:id="65"/>
      </w:r>
    </w:p>
    <w:p w14:paraId="34EA9BFC" w14:textId="77777777" w:rsidR="00D043A6" w:rsidRDefault="00D043A6" w:rsidP="00D043A6">
      <w:pPr>
        <w:tabs>
          <w:tab w:val="left" w:pos="720"/>
          <w:tab w:val="left" w:pos="1440"/>
          <w:tab w:val="left" w:pos="9240"/>
        </w:tabs>
        <w:spacing w:line="480" w:lineRule="auto"/>
        <w:ind w:left="720" w:hanging="720"/>
      </w:pPr>
    </w:p>
    <w:p w14:paraId="34EA9BFD" w14:textId="221CA4DC" w:rsidR="00D043A6" w:rsidRDefault="00D043A6" w:rsidP="00D043A6">
      <w:pPr>
        <w:tabs>
          <w:tab w:val="left" w:pos="720"/>
          <w:tab w:val="left" w:pos="1440"/>
          <w:tab w:val="left" w:pos="9240"/>
        </w:tabs>
        <w:spacing w:line="480" w:lineRule="auto"/>
        <w:ind w:left="720" w:hanging="720"/>
        <w:rPr>
          <w:b/>
        </w:rPr>
      </w:pPr>
      <w:r>
        <w:rPr>
          <w:b/>
        </w:rPr>
        <w:t>Q.</w:t>
      </w:r>
      <w:r>
        <w:rPr>
          <w:b/>
        </w:rPr>
        <w:tab/>
        <w:t>How do you adjust</w:t>
      </w:r>
      <w:r w:rsidR="00E56564">
        <w:rPr>
          <w:b/>
        </w:rPr>
        <w:t xml:space="preserve"> </w:t>
      </w:r>
      <w:r w:rsidR="00BE27F7">
        <w:rPr>
          <w:b/>
        </w:rPr>
        <w:t xml:space="preserve">the </w:t>
      </w:r>
      <w:r w:rsidR="00E56564">
        <w:rPr>
          <w:b/>
        </w:rPr>
        <w:t xml:space="preserve">cost of capital </w:t>
      </w:r>
      <w:r w:rsidR="00BE27F7">
        <w:rPr>
          <w:b/>
        </w:rPr>
        <w:t xml:space="preserve">to account for this impact of </w:t>
      </w:r>
      <w:r w:rsidR="00E56564">
        <w:rPr>
          <w:b/>
        </w:rPr>
        <w:t>full decoupling</w:t>
      </w:r>
      <w:r w:rsidR="00BE27F7">
        <w:rPr>
          <w:b/>
        </w:rPr>
        <w:t xml:space="preserve"> on Avista’s financial risk</w:t>
      </w:r>
      <w:r>
        <w:rPr>
          <w:b/>
        </w:rPr>
        <w:t>?</w:t>
      </w:r>
    </w:p>
    <w:p w14:paraId="06FE1DDC" w14:textId="2E712FC9" w:rsidR="00BE27F7" w:rsidRDefault="00D043A6" w:rsidP="00D043A6">
      <w:pPr>
        <w:tabs>
          <w:tab w:val="left" w:pos="720"/>
          <w:tab w:val="left" w:pos="1440"/>
          <w:tab w:val="left" w:pos="9240"/>
        </w:tabs>
        <w:spacing w:line="480" w:lineRule="auto"/>
        <w:ind w:left="720" w:hanging="720"/>
      </w:pPr>
      <w:r>
        <w:t>A.</w:t>
      </w:r>
      <w:r>
        <w:tab/>
        <w:t xml:space="preserve">I </w:t>
      </w:r>
      <w:r w:rsidR="00BE27F7">
        <w:t xml:space="preserve">adjust the cost of capital using a target interest rate coverage </w:t>
      </w:r>
      <w:r w:rsidR="006A515C">
        <w:t xml:space="preserve">in order to meet the coverage benchmark of </w:t>
      </w:r>
      <w:r w:rsidR="00995D8D">
        <w:t xml:space="preserve">at least </w:t>
      </w:r>
      <w:r w:rsidR="006A515C">
        <w:t>2.75</w:t>
      </w:r>
      <w:r w:rsidR="00EC5A5A">
        <w:t xml:space="preserve"> </w:t>
      </w:r>
      <w:r w:rsidR="00BE27F7">
        <w:t>time</w:t>
      </w:r>
      <w:r w:rsidR="00EC5A5A">
        <w:t>s</w:t>
      </w:r>
      <w:r w:rsidR="00BE27F7">
        <w:t xml:space="preserve">. </w:t>
      </w:r>
    </w:p>
    <w:p w14:paraId="34EA9BFE" w14:textId="2261CC1A" w:rsidR="00D043A6" w:rsidRDefault="00BE27F7" w:rsidP="00D043A6">
      <w:pPr>
        <w:tabs>
          <w:tab w:val="left" w:pos="720"/>
          <w:tab w:val="left" w:pos="1440"/>
          <w:tab w:val="left" w:pos="9240"/>
        </w:tabs>
        <w:spacing w:line="480" w:lineRule="auto"/>
        <w:ind w:left="720" w:hanging="720"/>
      </w:pPr>
      <w:r>
        <w:tab/>
      </w:r>
      <w:r>
        <w:tab/>
        <w:t xml:space="preserve">I </w:t>
      </w:r>
      <w:r w:rsidR="00D043A6">
        <w:t xml:space="preserve">start with my recommended capital structure and overall rate of return shown on page 2 of my testimony.  Holding the cost rates for both equity and debt constant, I increase financial leverage until the combination of the increase in the </w:t>
      </w:r>
      <w:r w:rsidR="00D043A6">
        <w:lastRenderedPageBreak/>
        <w:t xml:space="preserve">weighted cost of debt and the decrease in weighted </w:t>
      </w:r>
      <w:r w:rsidR="006A515C">
        <w:t>cost of equity approaches the benchmark I establish for an acceptable</w:t>
      </w:r>
      <w:r w:rsidR="00D043A6">
        <w:t xml:space="preserve"> pre-tax profit margin.  </w:t>
      </w:r>
    </w:p>
    <w:p w14:paraId="34C91C84" w14:textId="331A6D83" w:rsidR="00F12B11" w:rsidRDefault="00D043A6" w:rsidP="00C628EF">
      <w:pPr>
        <w:tabs>
          <w:tab w:val="left" w:pos="720"/>
          <w:tab w:val="left" w:pos="1440"/>
          <w:tab w:val="left" w:pos="9240"/>
        </w:tabs>
        <w:spacing w:line="480" w:lineRule="auto"/>
        <w:ind w:left="720" w:hanging="720"/>
      </w:pPr>
      <w:r>
        <w:tab/>
      </w:r>
      <w:r>
        <w:tab/>
        <w:t>My Exhibit No. ___ (</w:t>
      </w:r>
      <w:r w:rsidR="00B1726B">
        <w:t>KLE-</w:t>
      </w:r>
      <w:r w:rsidR="004D4CBB">
        <w:t>7</w:t>
      </w:r>
      <w:r>
        <w:t>) shows the calculation.  The exhibit shows how reducing business risk for Avista Corporation by full decoupling is offset with a slight increase in financial risk.  Specifically, the exhibit shows that by reducing the equity ratio to 42 percent, Avista has the opportunity to earn 8.75 percent on equity and will still maintain an acceptable coverage ratio of 2.8</w:t>
      </w:r>
      <w:r w:rsidR="00F12B11">
        <w:t>3</w:t>
      </w:r>
      <w:r>
        <w:t xml:space="preserve"> times-well within my target parameter.</w:t>
      </w:r>
      <w:r w:rsidR="00F12B11">
        <w:t xml:space="preserve"> </w:t>
      </w:r>
    </w:p>
    <w:p w14:paraId="457777EB" w14:textId="77777777" w:rsidR="004D4CBB" w:rsidRDefault="004D4CBB" w:rsidP="00C628EF">
      <w:pPr>
        <w:tabs>
          <w:tab w:val="left" w:pos="720"/>
          <w:tab w:val="left" w:pos="1440"/>
          <w:tab w:val="left" w:pos="9240"/>
        </w:tabs>
        <w:spacing w:line="480" w:lineRule="auto"/>
        <w:ind w:left="720" w:hanging="720"/>
      </w:pPr>
    </w:p>
    <w:p w14:paraId="1C976406" w14:textId="145AB2E5" w:rsidR="004D4CBB" w:rsidRDefault="004D4CBB" w:rsidP="00C628EF">
      <w:pPr>
        <w:tabs>
          <w:tab w:val="left" w:pos="720"/>
          <w:tab w:val="left" w:pos="1440"/>
          <w:tab w:val="left" w:pos="9240"/>
        </w:tabs>
        <w:spacing w:line="480" w:lineRule="auto"/>
        <w:ind w:left="720" w:hanging="720"/>
        <w:rPr>
          <w:b/>
        </w:rPr>
      </w:pPr>
      <w:r>
        <w:rPr>
          <w:b/>
        </w:rPr>
        <w:t>Q.</w:t>
      </w:r>
      <w:r>
        <w:rPr>
          <w:b/>
        </w:rPr>
        <w:tab/>
        <w:t>Why do you use th</w:t>
      </w:r>
      <w:r w:rsidR="00230D43">
        <w:rPr>
          <w:b/>
        </w:rPr>
        <w:t>is</w:t>
      </w:r>
      <w:r>
        <w:rPr>
          <w:b/>
        </w:rPr>
        <w:t xml:space="preserve"> specific coverage target</w:t>
      </w:r>
      <w:r w:rsidR="00230D43">
        <w:rPr>
          <w:b/>
        </w:rPr>
        <w:t xml:space="preserve"> of 2.8</w:t>
      </w:r>
      <w:r w:rsidR="006A515C">
        <w:rPr>
          <w:b/>
        </w:rPr>
        <w:t>3</w:t>
      </w:r>
      <w:r w:rsidR="00230D43">
        <w:rPr>
          <w:b/>
        </w:rPr>
        <w:t xml:space="preserve"> times</w:t>
      </w:r>
      <w:r>
        <w:rPr>
          <w:b/>
        </w:rPr>
        <w:t>?</w:t>
      </w:r>
    </w:p>
    <w:p w14:paraId="28323D7A" w14:textId="15F0FE1D" w:rsidR="00BE27F7" w:rsidRDefault="004D4CBB" w:rsidP="00C628EF">
      <w:pPr>
        <w:tabs>
          <w:tab w:val="left" w:pos="720"/>
          <w:tab w:val="left" w:pos="1440"/>
          <w:tab w:val="left" w:pos="9240"/>
        </w:tabs>
        <w:spacing w:line="480" w:lineRule="auto"/>
        <w:ind w:left="720" w:hanging="720"/>
      </w:pPr>
      <w:r>
        <w:t>A.</w:t>
      </w:r>
      <w:r>
        <w:tab/>
        <w:t xml:space="preserve">There are </w:t>
      </w:r>
      <w:r w:rsidR="00BE27F7">
        <w:t>two</w:t>
      </w:r>
      <w:r>
        <w:t xml:space="preserve"> reasons.  First, </w:t>
      </w:r>
      <w:r w:rsidR="00230D43">
        <w:t>This is very close to the average Avista has experienced over the past six years.  O</w:t>
      </w:r>
      <w:r>
        <w:t xml:space="preserve">ver the </w:t>
      </w:r>
      <w:r w:rsidR="00230D43">
        <w:t xml:space="preserve">2008-2013 period, </w:t>
      </w:r>
      <w:r w:rsidR="00053D68">
        <w:t>coverage</w:t>
      </w:r>
      <w:r w:rsidR="00230D43">
        <w:t xml:space="preserve"> </w:t>
      </w:r>
      <w:r>
        <w:t>ranged between 2.47 and 3.10 times</w:t>
      </w:r>
      <w:r w:rsidR="00230D43">
        <w:t xml:space="preserve">, with an average of </w:t>
      </w:r>
      <w:r>
        <w:t>2.81 times.</w:t>
      </w:r>
      <w:r w:rsidR="00BE27F7">
        <w:t xml:space="preserve">  This level is safe, not only because Avista operated successfully during this period, but more importantly, because full decoupling provides significantly more assurance than otherwise that Avista will actually achieve this coverage level.  </w:t>
      </w:r>
    </w:p>
    <w:p w14:paraId="688F147B" w14:textId="17752A1E" w:rsidR="004D4CBB" w:rsidRPr="004D4CBB" w:rsidRDefault="00BE27F7" w:rsidP="00C628EF">
      <w:pPr>
        <w:tabs>
          <w:tab w:val="left" w:pos="720"/>
          <w:tab w:val="left" w:pos="1440"/>
          <w:tab w:val="left" w:pos="9240"/>
        </w:tabs>
        <w:spacing w:line="480" w:lineRule="auto"/>
        <w:ind w:left="720" w:hanging="720"/>
      </w:pPr>
      <w:r>
        <w:tab/>
      </w:r>
      <w:r>
        <w:tab/>
      </w:r>
      <w:r w:rsidR="004D4CBB">
        <w:t xml:space="preserve">Second, </w:t>
      </w:r>
      <w:r w:rsidR="00230D43">
        <w:t xml:space="preserve">my </w:t>
      </w:r>
      <w:r>
        <w:t>2.</w:t>
      </w:r>
      <w:r w:rsidR="006A515C">
        <w:t>83</w:t>
      </w:r>
      <w:r>
        <w:t xml:space="preserve"> times </w:t>
      </w:r>
      <w:r w:rsidR="00230D43">
        <w:t xml:space="preserve">coverage target </w:t>
      </w:r>
      <w:r w:rsidR="004D4CBB">
        <w:t>is a matter of judgment</w:t>
      </w:r>
      <w:r w:rsidR="00C84B7F">
        <w:t xml:space="preserve"> and providing the right incentives.  My specific recommendation at this time to move the equity ratio to 42 percent </w:t>
      </w:r>
      <w:r w:rsidR="00230D43">
        <w:t xml:space="preserve">provides </w:t>
      </w:r>
      <w:r w:rsidR="00C84B7F">
        <w:t>sufficient profit to generate a coverage ratio above 2.80 times</w:t>
      </w:r>
      <w:r w:rsidR="00230D43">
        <w:t xml:space="preserve">.  This </w:t>
      </w:r>
      <w:r w:rsidR="00C84B7F">
        <w:t>strikes the right balance</w:t>
      </w:r>
      <w:r w:rsidR="00230D43">
        <w:t xml:space="preserve">, and it </w:t>
      </w:r>
      <w:r w:rsidR="00C84B7F">
        <w:t xml:space="preserve">produces the lowest </w:t>
      </w:r>
      <w:r w:rsidR="00230D43">
        <w:t xml:space="preserve">reasonable </w:t>
      </w:r>
      <w:r w:rsidR="00C84B7F">
        <w:t>overall cost of capital for Avista’s regulated operations.</w:t>
      </w:r>
      <w:r w:rsidR="003C139A">
        <w:t xml:space="preserve">  An equity ratio of 42.00 percent and a coverage ratio of 2.83 times will enable the </w:t>
      </w:r>
      <w:r w:rsidR="00053D68">
        <w:t>Company</w:t>
      </w:r>
      <w:r w:rsidR="003C139A">
        <w:t xml:space="preserve"> to access capital on reasonable terms as a utility with revenues no longer linked to energy sales.</w:t>
      </w:r>
    </w:p>
    <w:p w14:paraId="34EA9C00" w14:textId="6655702E" w:rsidR="00D043A6" w:rsidRDefault="00D043A6" w:rsidP="00A0224C">
      <w:pPr>
        <w:tabs>
          <w:tab w:val="left" w:pos="720"/>
          <w:tab w:val="left" w:pos="1440"/>
          <w:tab w:val="left" w:pos="9240"/>
        </w:tabs>
        <w:spacing w:line="480" w:lineRule="auto"/>
      </w:pPr>
    </w:p>
    <w:p w14:paraId="34EA9C01" w14:textId="77777777" w:rsidR="00D043A6" w:rsidRDefault="00D043A6" w:rsidP="00D043A6">
      <w:pPr>
        <w:tabs>
          <w:tab w:val="left" w:pos="720"/>
          <w:tab w:val="left" w:pos="1440"/>
          <w:tab w:val="left" w:pos="9240"/>
        </w:tabs>
        <w:spacing w:line="480" w:lineRule="auto"/>
        <w:ind w:left="720" w:hanging="720"/>
        <w:rPr>
          <w:b/>
        </w:rPr>
      </w:pPr>
      <w:r>
        <w:rPr>
          <w:b/>
        </w:rPr>
        <w:t>Q.</w:t>
      </w:r>
      <w:r>
        <w:rPr>
          <w:b/>
        </w:rPr>
        <w:tab/>
        <w:t>What is the overall cost of capital as a result of this adjustment</w:t>
      </w:r>
      <w:r w:rsidR="009C44DA">
        <w:rPr>
          <w:b/>
        </w:rPr>
        <w:t xml:space="preserve"> for full decoupling</w:t>
      </w:r>
      <w:r>
        <w:rPr>
          <w:b/>
        </w:rPr>
        <w:t>?</w:t>
      </w:r>
    </w:p>
    <w:p w14:paraId="34EA9C02" w14:textId="566C646C" w:rsidR="00D043A6" w:rsidRDefault="00D043A6" w:rsidP="00D043A6">
      <w:pPr>
        <w:tabs>
          <w:tab w:val="left" w:pos="720"/>
          <w:tab w:val="left" w:pos="1440"/>
          <w:tab w:val="left" w:pos="9240"/>
        </w:tabs>
        <w:spacing w:line="480" w:lineRule="auto"/>
        <w:ind w:left="720" w:hanging="720"/>
      </w:pPr>
      <w:r>
        <w:t>A.</w:t>
      </w:r>
      <w:r>
        <w:tab/>
        <w:t>6.</w:t>
      </w:r>
      <w:r w:rsidR="004D4CBB">
        <w:t>77</w:t>
      </w:r>
      <w:r>
        <w:t xml:space="preserve"> percent.</w:t>
      </w:r>
    </w:p>
    <w:p w14:paraId="34EA9C03" w14:textId="77777777" w:rsidR="00D043A6" w:rsidRDefault="00D043A6" w:rsidP="00D043A6">
      <w:pPr>
        <w:tabs>
          <w:tab w:val="left" w:pos="720"/>
          <w:tab w:val="left" w:pos="1440"/>
          <w:tab w:val="left" w:pos="9240"/>
        </w:tabs>
        <w:spacing w:line="480" w:lineRule="auto"/>
        <w:ind w:left="720" w:hanging="720"/>
      </w:pPr>
    </w:p>
    <w:p w14:paraId="34EA9C04" w14:textId="0C32610E" w:rsidR="00D043A6" w:rsidRDefault="00D043A6" w:rsidP="00D043A6">
      <w:pPr>
        <w:tabs>
          <w:tab w:val="left" w:pos="720"/>
          <w:tab w:val="left" w:pos="1440"/>
          <w:tab w:val="left" w:pos="9240"/>
        </w:tabs>
        <w:spacing w:line="480" w:lineRule="auto"/>
        <w:ind w:left="720" w:hanging="720"/>
        <w:rPr>
          <w:b/>
        </w:rPr>
      </w:pPr>
      <w:r>
        <w:rPr>
          <w:b/>
        </w:rPr>
        <w:t>Q.</w:t>
      </w:r>
      <w:r>
        <w:rPr>
          <w:b/>
        </w:rPr>
        <w:tab/>
        <w:t xml:space="preserve">Are there any other benefits for the </w:t>
      </w:r>
      <w:r w:rsidR="00053D68">
        <w:rPr>
          <w:b/>
        </w:rPr>
        <w:t>Commission in</w:t>
      </w:r>
      <w:r>
        <w:rPr>
          <w:b/>
        </w:rPr>
        <w:t xml:space="preserve"> adopting </w:t>
      </w:r>
      <w:r w:rsidR="00393AD9">
        <w:rPr>
          <w:b/>
        </w:rPr>
        <w:t>a reduced equity ratio under full decoupling</w:t>
      </w:r>
      <w:r>
        <w:rPr>
          <w:b/>
        </w:rPr>
        <w:t>?</w:t>
      </w:r>
    </w:p>
    <w:p w14:paraId="34EA9C05" w14:textId="1ACE1792" w:rsidR="00D043A6" w:rsidRDefault="00D043A6" w:rsidP="00A0224C">
      <w:pPr>
        <w:tabs>
          <w:tab w:val="left" w:pos="720"/>
          <w:tab w:val="left" w:pos="9240"/>
        </w:tabs>
        <w:spacing w:line="480" w:lineRule="auto"/>
        <w:ind w:left="720" w:hanging="720"/>
      </w:pPr>
      <w:r>
        <w:t xml:space="preserve">A. </w:t>
      </w:r>
      <w:r>
        <w:tab/>
        <w:t xml:space="preserve">Yes.  </w:t>
      </w:r>
      <w:r w:rsidR="002C06CF">
        <w:t>As I just state</w:t>
      </w:r>
      <w:r w:rsidR="00C9588C">
        <w:t>d</w:t>
      </w:r>
      <w:r w:rsidR="002C06CF">
        <w:t>, i</w:t>
      </w:r>
      <w:r>
        <w:t xml:space="preserve">ncreasing financial leverage provides </w:t>
      </w:r>
      <w:r w:rsidR="00393AD9">
        <w:t xml:space="preserve">further </w:t>
      </w:r>
      <w:r>
        <w:t>incentive for Avista to control its costs.</w:t>
      </w:r>
      <w:r w:rsidR="001235FB">
        <w:rPr>
          <w:rStyle w:val="FootnoteReference"/>
        </w:rPr>
        <w:footnoteReference w:id="66"/>
      </w:r>
      <w:r>
        <w:t xml:space="preserve">  If it can do so, the greater financial leverage increases the probability that </w:t>
      </w:r>
      <w:r w:rsidR="00393AD9">
        <w:t xml:space="preserve">Avista </w:t>
      </w:r>
      <w:r>
        <w:t>will earn a fair return</w:t>
      </w:r>
      <w:r w:rsidR="00393AD9">
        <w:t xml:space="preserve"> on equity</w:t>
      </w:r>
      <w:r w:rsidR="00703470">
        <w:t xml:space="preserve"> or more</w:t>
      </w:r>
      <w:r>
        <w:t xml:space="preserve">, because all cost savings accrue to shareholders </w:t>
      </w:r>
      <w:r w:rsidR="008B6B54">
        <w:t>and</w:t>
      </w:r>
      <w:r>
        <w:t xml:space="preserve"> increase the return on equity.</w:t>
      </w:r>
      <w:r w:rsidR="00803225">
        <w:t xml:space="preserve">   This adjustment is also consistent with the obligations of management to minimize the cost of capital in order to maximize the value of the firm. </w:t>
      </w:r>
      <w:r w:rsidR="004D4CBB">
        <w:t xml:space="preserve"> This </w:t>
      </w:r>
      <w:r w:rsidR="00B162BC">
        <w:t xml:space="preserve">is why I prefer </w:t>
      </w:r>
      <w:r w:rsidR="004D4CBB">
        <w:t>an adjustment to the equity ratio</w:t>
      </w:r>
      <w:r w:rsidR="00B162BC">
        <w:t xml:space="preserve"> in this conte</w:t>
      </w:r>
      <w:r w:rsidR="00EC5A5A">
        <w:t>x</w:t>
      </w:r>
      <w:r w:rsidR="00B162BC">
        <w:t>t</w:t>
      </w:r>
      <w:r w:rsidR="004D4CBB">
        <w:t xml:space="preserve">; it focuses management on cost controls to maximize </w:t>
      </w:r>
      <w:r w:rsidR="00B162BC">
        <w:t xml:space="preserve">shareholder </w:t>
      </w:r>
      <w:r w:rsidR="004D4CBB">
        <w:t>return on boo</w:t>
      </w:r>
      <w:r w:rsidR="00230D43">
        <w:t>k</w:t>
      </w:r>
      <w:r w:rsidR="00B162BC">
        <w:t xml:space="preserve"> value</w:t>
      </w:r>
      <w:r w:rsidR="004D4CBB">
        <w:t>.</w:t>
      </w:r>
    </w:p>
    <w:p w14:paraId="34EA9C06" w14:textId="77777777" w:rsidR="005D3B74" w:rsidRDefault="005D3B74" w:rsidP="00E25B05">
      <w:pPr>
        <w:tabs>
          <w:tab w:val="left" w:pos="720"/>
          <w:tab w:val="left" w:pos="1440"/>
          <w:tab w:val="left" w:pos="9240"/>
        </w:tabs>
        <w:spacing w:line="480" w:lineRule="auto"/>
        <w:ind w:left="720" w:hanging="720"/>
        <w:rPr>
          <w:b/>
        </w:rPr>
      </w:pPr>
    </w:p>
    <w:p w14:paraId="34EA9C07" w14:textId="77777777" w:rsidR="005D3B74" w:rsidRDefault="00437513" w:rsidP="00E5511E">
      <w:pPr>
        <w:keepNext/>
        <w:tabs>
          <w:tab w:val="left" w:pos="720"/>
          <w:tab w:val="left" w:pos="1440"/>
          <w:tab w:val="left" w:pos="9240"/>
        </w:tabs>
        <w:spacing w:line="480" w:lineRule="auto"/>
        <w:jc w:val="center"/>
        <w:rPr>
          <w:b/>
          <w:u w:val="single"/>
        </w:rPr>
      </w:pPr>
      <w:r>
        <w:rPr>
          <w:b/>
        </w:rPr>
        <w:t>I</w:t>
      </w:r>
      <w:r w:rsidR="009C44DA">
        <w:rPr>
          <w:b/>
        </w:rPr>
        <w:t>X</w:t>
      </w:r>
      <w:r w:rsidR="005D3B74">
        <w:rPr>
          <w:b/>
        </w:rPr>
        <w:t>.</w:t>
      </w:r>
      <w:r w:rsidR="005D3B74">
        <w:rPr>
          <w:b/>
        </w:rPr>
        <w:tab/>
        <w:t>RESPONSE TO</w:t>
      </w:r>
      <w:r w:rsidR="005D3B74" w:rsidRPr="00F6556C">
        <w:rPr>
          <w:b/>
        </w:rPr>
        <w:t xml:space="preserve"> COMPANY </w:t>
      </w:r>
      <w:r w:rsidR="005D3B74">
        <w:rPr>
          <w:b/>
        </w:rPr>
        <w:t xml:space="preserve">COST OF CAPITAL </w:t>
      </w:r>
      <w:r w:rsidR="005D3B74" w:rsidRPr="00F6556C">
        <w:rPr>
          <w:b/>
        </w:rPr>
        <w:t>TESTIMONY</w:t>
      </w:r>
    </w:p>
    <w:p w14:paraId="34EA9C08" w14:textId="77777777" w:rsidR="005D3B74" w:rsidRDefault="005D3B74" w:rsidP="00E5511E">
      <w:pPr>
        <w:keepNext/>
        <w:tabs>
          <w:tab w:val="left" w:pos="720"/>
          <w:tab w:val="left" w:pos="1440"/>
          <w:tab w:val="left" w:pos="9240"/>
        </w:tabs>
        <w:spacing w:line="480" w:lineRule="auto"/>
        <w:ind w:left="720" w:hanging="720"/>
        <w:jc w:val="both"/>
      </w:pPr>
    </w:p>
    <w:p w14:paraId="34EA9C09" w14:textId="77777777" w:rsidR="005D3B74" w:rsidRDefault="005D3B74" w:rsidP="005D3B74">
      <w:pPr>
        <w:tabs>
          <w:tab w:val="left" w:pos="720"/>
          <w:tab w:val="left" w:pos="1440"/>
          <w:tab w:val="left" w:pos="9240"/>
        </w:tabs>
        <w:spacing w:line="480" w:lineRule="auto"/>
        <w:ind w:left="720" w:hanging="720"/>
        <w:rPr>
          <w:b/>
        </w:rPr>
      </w:pPr>
      <w:r>
        <w:rPr>
          <w:b/>
        </w:rPr>
        <w:t>Q.</w:t>
      </w:r>
      <w:r>
        <w:rPr>
          <w:b/>
        </w:rPr>
        <w:tab/>
        <w:t xml:space="preserve">Have you reviewed the testimony of </w:t>
      </w:r>
      <w:r w:rsidR="00300C21">
        <w:rPr>
          <w:b/>
        </w:rPr>
        <w:t>Avista</w:t>
      </w:r>
      <w:r w:rsidR="00857EEC">
        <w:rPr>
          <w:b/>
        </w:rPr>
        <w:t>’s</w:t>
      </w:r>
      <w:r w:rsidR="009F2ECE">
        <w:rPr>
          <w:b/>
        </w:rPr>
        <w:t xml:space="preserve"> cost of capital witnesses</w:t>
      </w:r>
      <w:r w:rsidR="00D8636F">
        <w:rPr>
          <w:b/>
        </w:rPr>
        <w:t>,</w:t>
      </w:r>
      <w:r w:rsidR="009F2ECE">
        <w:rPr>
          <w:b/>
        </w:rPr>
        <w:t xml:space="preserve"> </w:t>
      </w:r>
      <w:r w:rsidR="00902C53">
        <w:rPr>
          <w:b/>
        </w:rPr>
        <w:t xml:space="preserve">Mr. Mark </w:t>
      </w:r>
      <w:proofErr w:type="spellStart"/>
      <w:r w:rsidR="00902C53">
        <w:rPr>
          <w:b/>
        </w:rPr>
        <w:t>Thies</w:t>
      </w:r>
      <w:proofErr w:type="spellEnd"/>
      <w:r w:rsidR="00902C53">
        <w:rPr>
          <w:b/>
        </w:rPr>
        <w:t xml:space="preserve"> and </w:t>
      </w:r>
      <w:r w:rsidR="00A10778">
        <w:rPr>
          <w:b/>
        </w:rPr>
        <w:t>Mr. Andrew McKenzie</w:t>
      </w:r>
      <w:r>
        <w:rPr>
          <w:b/>
        </w:rPr>
        <w:t>?</w:t>
      </w:r>
    </w:p>
    <w:p w14:paraId="34EA9C0A" w14:textId="77777777" w:rsidR="005D3B74" w:rsidRDefault="005D3B74" w:rsidP="005D3B74">
      <w:pPr>
        <w:tabs>
          <w:tab w:val="left" w:pos="720"/>
          <w:tab w:val="left" w:pos="1440"/>
          <w:tab w:val="left" w:pos="9240"/>
        </w:tabs>
        <w:spacing w:line="480" w:lineRule="auto"/>
        <w:ind w:left="720" w:hanging="720"/>
      </w:pPr>
      <w:r w:rsidRPr="00973FA0">
        <w:t>A.</w:t>
      </w:r>
      <w:r w:rsidRPr="00DC1895">
        <w:rPr>
          <w:b/>
        </w:rPr>
        <w:tab/>
      </w:r>
      <w:r>
        <w:t>Yes.</w:t>
      </w:r>
    </w:p>
    <w:p w14:paraId="34EA9C0B" w14:textId="77777777" w:rsidR="005D3B74" w:rsidRDefault="005D3B74" w:rsidP="005D3B74">
      <w:pPr>
        <w:tabs>
          <w:tab w:val="left" w:pos="720"/>
          <w:tab w:val="left" w:pos="1440"/>
          <w:tab w:val="left" w:pos="9240"/>
        </w:tabs>
        <w:spacing w:line="480" w:lineRule="auto"/>
        <w:ind w:left="720" w:hanging="720"/>
      </w:pPr>
    </w:p>
    <w:p w14:paraId="34EA9C0C" w14:textId="77777777" w:rsidR="005D3B74" w:rsidRPr="00754502" w:rsidRDefault="005D3B74" w:rsidP="005D3B74">
      <w:pPr>
        <w:tabs>
          <w:tab w:val="left" w:pos="720"/>
          <w:tab w:val="left" w:pos="1440"/>
          <w:tab w:val="left" w:pos="9240"/>
        </w:tabs>
        <w:spacing w:line="480" w:lineRule="auto"/>
        <w:ind w:left="720" w:hanging="720"/>
        <w:rPr>
          <w:b/>
        </w:rPr>
      </w:pPr>
      <w:r>
        <w:rPr>
          <w:b/>
        </w:rPr>
        <w:lastRenderedPageBreak/>
        <w:t>Q.</w:t>
      </w:r>
      <w:r>
        <w:rPr>
          <w:b/>
        </w:rPr>
        <w:tab/>
      </w:r>
      <w:r w:rsidR="003A7512">
        <w:rPr>
          <w:b/>
        </w:rPr>
        <w:t xml:space="preserve">Please summarize again </w:t>
      </w:r>
      <w:r>
        <w:rPr>
          <w:b/>
        </w:rPr>
        <w:t>the primary difference</w:t>
      </w:r>
      <w:r w:rsidR="00800834">
        <w:rPr>
          <w:b/>
        </w:rPr>
        <w:t>s</w:t>
      </w:r>
      <w:r>
        <w:rPr>
          <w:b/>
        </w:rPr>
        <w:t xml:space="preserve"> between your cost of capital recommendation and </w:t>
      </w:r>
      <w:r w:rsidR="00406131">
        <w:rPr>
          <w:b/>
        </w:rPr>
        <w:t>Avista’s</w:t>
      </w:r>
      <w:r w:rsidR="00363355">
        <w:rPr>
          <w:b/>
        </w:rPr>
        <w:t xml:space="preserve"> </w:t>
      </w:r>
      <w:r w:rsidR="00800834">
        <w:rPr>
          <w:b/>
        </w:rPr>
        <w:t>proposal</w:t>
      </w:r>
      <w:r w:rsidR="00393AD9">
        <w:rPr>
          <w:b/>
        </w:rPr>
        <w:t>.</w:t>
      </w:r>
    </w:p>
    <w:p w14:paraId="34EA9C0D" w14:textId="6C481155" w:rsidR="005D3B74" w:rsidRDefault="005D3B74" w:rsidP="005D3B74">
      <w:pPr>
        <w:tabs>
          <w:tab w:val="left" w:pos="720"/>
          <w:tab w:val="left" w:pos="1440"/>
          <w:tab w:val="left" w:pos="9240"/>
        </w:tabs>
        <w:spacing w:line="480" w:lineRule="auto"/>
        <w:ind w:left="720" w:hanging="720"/>
      </w:pPr>
      <w:r>
        <w:t>A.</w:t>
      </w:r>
      <w:r>
        <w:tab/>
      </w:r>
      <w:r w:rsidR="00283764">
        <w:t>As I identified earlier, t</w:t>
      </w:r>
      <w:r>
        <w:t>he</w:t>
      </w:r>
      <w:r w:rsidR="006816D6">
        <w:t>re are t</w:t>
      </w:r>
      <w:r w:rsidR="00AA6368">
        <w:t>hree</w:t>
      </w:r>
      <w:r w:rsidR="006816D6">
        <w:t xml:space="preserve"> </w:t>
      </w:r>
      <w:r>
        <w:t>primary difference</w:t>
      </w:r>
      <w:r w:rsidR="00800834">
        <w:t>s</w:t>
      </w:r>
      <w:r w:rsidR="00902C53">
        <w:t xml:space="preserve">:  1) </w:t>
      </w:r>
      <w:r>
        <w:t>Equity Ratio – I recommend a 4</w:t>
      </w:r>
      <w:r w:rsidR="0051344A">
        <w:t>6</w:t>
      </w:r>
      <w:r w:rsidR="00391D86">
        <w:t>.0</w:t>
      </w:r>
      <w:r w:rsidR="00902C53">
        <w:t xml:space="preserve"> percent equity ratio</w:t>
      </w:r>
      <w:r w:rsidR="00C92E3E">
        <w:t xml:space="preserve"> before considering the effect of full decoupling</w:t>
      </w:r>
      <w:r w:rsidR="00902C53">
        <w:t xml:space="preserve">; </w:t>
      </w:r>
      <w:r w:rsidRPr="008A3B9A">
        <w:t xml:space="preserve">the Company proposes a </w:t>
      </w:r>
      <w:r w:rsidR="00391D86">
        <w:t>49.0</w:t>
      </w:r>
      <w:r w:rsidRPr="008A3B9A">
        <w:t xml:space="preserve"> percent </w:t>
      </w:r>
      <w:r>
        <w:t xml:space="preserve">equity ratio; 2) Cost of Equity – </w:t>
      </w:r>
      <w:r w:rsidR="00A10778">
        <w:t>I recommend a ROE of 8.75</w:t>
      </w:r>
      <w:r w:rsidR="00902C53">
        <w:t xml:space="preserve"> percent</w:t>
      </w:r>
      <w:r w:rsidR="00636EE4">
        <w:t>;</w:t>
      </w:r>
      <w:r w:rsidR="00902C53">
        <w:t xml:space="preserve"> </w:t>
      </w:r>
      <w:r w:rsidR="009C1404">
        <w:t>Mr. McKenzie</w:t>
      </w:r>
      <w:r>
        <w:t xml:space="preserve"> </w:t>
      </w:r>
      <w:r w:rsidR="00902C53">
        <w:t xml:space="preserve">proposes a </w:t>
      </w:r>
      <w:r w:rsidR="00A554A4">
        <w:t>significantly</w:t>
      </w:r>
      <w:r w:rsidR="00636EE4">
        <w:t xml:space="preserve"> higher </w:t>
      </w:r>
      <w:r w:rsidR="00902C53">
        <w:t>ROE</w:t>
      </w:r>
      <w:r w:rsidR="0095653D">
        <w:t xml:space="preserve"> of</w:t>
      </w:r>
      <w:r w:rsidR="00A10778">
        <w:t xml:space="preserve"> 10.1</w:t>
      </w:r>
      <w:r w:rsidR="00902C53">
        <w:t xml:space="preserve"> percent</w:t>
      </w:r>
      <w:r w:rsidR="00087704">
        <w:t xml:space="preserve">; and 3) I provide an adjustment to the overall rate of return because ratepayers now bear the risk of fluctuations in energy sales due to the effect </w:t>
      </w:r>
      <w:r w:rsidR="00391D86">
        <w:t xml:space="preserve">of </w:t>
      </w:r>
      <w:r w:rsidR="00087704">
        <w:t>full decoupling.</w:t>
      </w:r>
      <w:r w:rsidR="00C07E70">
        <w:t xml:space="preserve">  Avista proposes nothing in this regard.</w:t>
      </w:r>
    </w:p>
    <w:p w14:paraId="34EA9C0E" w14:textId="77777777" w:rsidR="005D3B74" w:rsidRDefault="005D3B74" w:rsidP="005D3B74">
      <w:pPr>
        <w:tabs>
          <w:tab w:val="left" w:pos="720"/>
          <w:tab w:val="left" w:pos="1440"/>
          <w:tab w:val="left" w:pos="9240"/>
        </w:tabs>
        <w:spacing w:line="480" w:lineRule="auto"/>
        <w:ind w:left="720" w:hanging="720"/>
      </w:pPr>
    </w:p>
    <w:p w14:paraId="34EA9C0F" w14:textId="77777777" w:rsidR="005D3B74" w:rsidRPr="00342E8F" w:rsidRDefault="005D3B74" w:rsidP="00D26E1D">
      <w:pPr>
        <w:pStyle w:val="ListParagraph"/>
        <w:keepNext/>
        <w:numPr>
          <w:ilvl w:val="0"/>
          <w:numId w:val="36"/>
        </w:numPr>
        <w:tabs>
          <w:tab w:val="left" w:pos="9240"/>
        </w:tabs>
        <w:spacing w:line="480" w:lineRule="auto"/>
        <w:rPr>
          <w:b/>
        </w:rPr>
      </w:pPr>
      <w:r w:rsidRPr="00342E8F">
        <w:rPr>
          <w:b/>
        </w:rPr>
        <w:t xml:space="preserve">Equity Ratio </w:t>
      </w:r>
    </w:p>
    <w:p w14:paraId="34EA9C10" w14:textId="77777777" w:rsidR="0040142E" w:rsidRDefault="0040142E" w:rsidP="0040142E">
      <w:pPr>
        <w:keepNext/>
        <w:tabs>
          <w:tab w:val="left" w:pos="720"/>
          <w:tab w:val="left" w:pos="1440"/>
          <w:tab w:val="left" w:pos="9240"/>
        </w:tabs>
        <w:spacing w:line="480" w:lineRule="auto"/>
        <w:ind w:left="720" w:hanging="720"/>
        <w:rPr>
          <w:b/>
        </w:rPr>
      </w:pPr>
    </w:p>
    <w:p w14:paraId="34EA9C11" w14:textId="77777777" w:rsidR="0040142E" w:rsidRDefault="0040142E" w:rsidP="0040142E">
      <w:pPr>
        <w:keepNext/>
        <w:tabs>
          <w:tab w:val="left" w:pos="720"/>
          <w:tab w:val="left" w:pos="1440"/>
          <w:tab w:val="left" w:pos="9240"/>
        </w:tabs>
        <w:spacing w:line="480" w:lineRule="auto"/>
        <w:ind w:left="720" w:hanging="720"/>
      </w:pPr>
      <w:r>
        <w:rPr>
          <w:b/>
        </w:rPr>
        <w:t>Q.</w:t>
      </w:r>
      <w:r>
        <w:rPr>
          <w:b/>
        </w:rPr>
        <w:tab/>
        <w:t>What ratemaking capital structure is Avista requesting in this case?</w:t>
      </w:r>
    </w:p>
    <w:p w14:paraId="34EA9C12" w14:textId="77777777" w:rsidR="0040142E" w:rsidRDefault="00A10778" w:rsidP="0040142E">
      <w:pPr>
        <w:tabs>
          <w:tab w:val="left" w:pos="720"/>
          <w:tab w:val="left" w:pos="1440"/>
          <w:tab w:val="left" w:pos="9240"/>
        </w:tabs>
        <w:spacing w:line="480" w:lineRule="auto"/>
        <w:ind w:left="720" w:hanging="720"/>
      </w:pPr>
      <w:r>
        <w:t>A.</w:t>
      </w:r>
      <w:r>
        <w:tab/>
        <w:t>Avista proposes a 49.0</w:t>
      </w:r>
      <w:r w:rsidR="00AA6368">
        <w:t>0</w:t>
      </w:r>
      <w:r w:rsidR="0040142E">
        <w:t xml:space="preserve"> percent equity ratio.  </w:t>
      </w:r>
    </w:p>
    <w:p w14:paraId="34EA9C13" w14:textId="77777777" w:rsidR="0040142E" w:rsidRDefault="0040142E" w:rsidP="0040142E">
      <w:pPr>
        <w:tabs>
          <w:tab w:val="left" w:pos="720"/>
          <w:tab w:val="left" w:pos="1440"/>
          <w:tab w:val="left" w:pos="9240"/>
        </w:tabs>
        <w:spacing w:line="480" w:lineRule="auto"/>
        <w:ind w:left="720" w:hanging="720"/>
      </w:pPr>
    </w:p>
    <w:p w14:paraId="34EA9C14" w14:textId="77777777" w:rsidR="0040142E" w:rsidRDefault="0040142E" w:rsidP="0040142E">
      <w:pPr>
        <w:tabs>
          <w:tab w:val="left" w:pos="720"/>
          <w:tab w:val="left" w:pos="1440"/>
          <w:tab w:val="left" w:pos="9240"/>
        </w:tabs>
        <w:spacing w:line="480" w:lineRule="auto"/>
        <w:ind w:left="720" w:hanging="720"/>
        <w:rPr>
          <w:b/>
        </w:rPr>
      </w:pPr>
      <w:r>
        <w:rPr>
          <w:b/>
        </w:rPr>
        <w:t>Q.</w:t>
      </w:r>
      <w:r>
        <w:rPr>
          <w:b/>
        </w:rPr>
        <w:tab/>
        <w:t xml:space="preserve">What is the basis for Avista’s proposed </w:t>
      </w:r>
      <w:r w:rsidR="00106592">
        <w:rPr>
          <w:b/>
        </w:rPr>
        <w:t>49.</w:t>
      </w:r>
      <w:r w:rsidR="00AA6368">
        <w:rPr>
          <w:b/>
        </w:rPr>
        <w:t>0</w:t>
      </w:r>
      <w:r w:rsidR="00106592">
        <w:rPr>
          <w:b/>
        </w:rPr>
        <w:t>0</w:t>
      </w:r>
      <w:r>
        <w:rPr>
          <w:b/>
        </w:rPr>
        <w:t xml:space="preserve"> percent equity ratio?</w:t>
      </w:r>
    </w:p>
    <w:p w14:paraId="34EA9C15" w14:textId="77777777" w:rsidR="0040142E" w:rsidRPr="004F4604" w:rsidRDefault="0040142E" w:rsidP="0040142E">
      <w:pPr>
        <w:tabs>
          <w:tab w:val="left" w:pos="720"/>
          <w:tab w:val="left" w:pos="1440"/>
          <w:tab w:val="left" w:pos="9240"/>
        </w:tabs>
        <w:spacing w:line="480" w:lineRule="auto"/>
        <w:ind w:left="720" w:hanging="720"/>
      </w:pPr>
      <w:r>
        <w:t>A.</w:t>
      </w:r>
      <w:r>
        <w:tab/>
      </w:r>
      <w:r w:rsidR="00283764">
        <w:t>Avista derives its proposed 49.</w:t>
      </w:r>
      <w:r w:rsidR="00AA6368">
        <w:t>0</w:t>
      </w:r>
      <w:r w:rsidR="00283764">
        <w:t xml:space="preserve">0 percent equity ratio after several </w:t>
      </w:r>
      <w:r>
        <w:t xml:space="preserve">adjustments </w:t>
      </w:r>
      <w:r w:rsidR="00283764">
        <w:t xml:space="preserve">designed </w:t>
      </w:r>
      <w:r>
        <w:t xml:space="preserve">to </w:t>
      </w:r>
      <w:r w:rsidR="00F91F2B">
        <w:t xml:space="preserve">estimate </w:t>
      </w:r>
      <w:r>
        <w:t>Avista Corporation’s consolidated capital structure as of December 31, 201</w:t>
      </w:r>
      <w:r w:rsidR="00A10778">
        <w:t>4</w:t>
      </w:r>
      <w:r w:rsidR="00283764">
        <w:t>.</w:t>
      </w:r>
      <w:r>
        <w:rPr>
          <w:rStyle w:val="FootnoteReference"/>
        </w:rPr>
        <w:footnoteReference w:id="67"/>
      </w:r>
      <w:r>
        <w:t xml:space="preserve">  </w:t>
      </w:r>
    </w:p>
    <w:p w14:paraId="34EA9C16" w14:textId="77777777" w:rsidR="0040142E" w:rsidRDefault="0040142E" w:rsidP="0040142E">
      <w:pPr>
        <w:tabs>
          <w:tab w:val="left" w:pos="720"/>
          <w:tab w:val="left" w:pos="1440"/>
          <w:tab w:val="left" w:pos="9240"/>
        </w:tabs>
        <w:spacing w:line="480" w:lineRule="auto"/>
        <w:ind w:left="720" w:hanging="720"/>
      </w:pPr>
    </w:p>
    <w:p w14:paraId="34EA9C17" w14:textId="77777777" w:rsidR="0040142E" w:rsidRDefault="0040142E" w:rsidP="0040142E">
      <w:pPr>
        <w:tabs>
          <w:tab w:val="left" w:pos="720"/>
          <w:tab w:val="left" w:pos="1440"/>
          <w:tab w:val="left" w:pos="9240"/>
        </w:tabs>
        <w:spacing w:line="480" w:lineRule="auto"/>
        <w:ind w:left="720" w:hanging="720"/>
        <w:rPr>
          <w:b/>
        </w:rPr>
      </w:pPr>
      <w:r>
        <w:rPr>
          <w:b/>
        </w:rPr>
        <w:t>Q.</w:t>
      </w:r>
      <w:r>
        <w:rPr>
          <w:b/>
        </w:rPr>
        <w:tab/>
        <w:t xml:space="preserve">Is </w:t>
      </w:r>
      <w:r w:rsidR="00406131" w:rsidRPr="00A14C0F">
        <w:rPr>
          <w:b/>
        </w:rPr>
        <w:t>Avist</w:t>
      </w:r>
      <w:r w:rsidR="00406131">
        <w:rPr>
          <w:b/>
        </w:rPr>
        <w:t>a’s</w:t>
      </w:r>
      <w:r w:rsidR="00F91F2B">
        <w:rPr>
          <w:b/>
        </w:rPr>
        <w:t xml:space="preserve"> </w:t>
      </w:r>
      <w:r w:rsidR="00A10778">
        <w:rPr>
          <w:b/>
        </w:rPr>
        <w:t>calculation of its</w:t>
      </w:r>
      <w:r>
        <w:rPr>
          <w:b/>
        </w:rPr>
        <w:t xml:space="preserve"> equity ratio proper for ratemaking</w:t>
      </w:r>
      <w:r w:rsidR="004A6E38">
        <w:rPr>
          <w:b/>
        </w:rPr>
        <w:t xml:space="preserve"> appropriate</w:t>
      </w:r>
      <w:r>
        <w:rPr>
          <w:b/>
        </w:rPr>
        <w:t>?</w:t>
      </w:r>
    </w:p>
    <w:p w14:paraId="34EA9C1B" w14:textId="7A33DEC2" w:rsidR="0040142E" w:rsidRPr="00A11C81" w:rsidRDefault="0040142E" w:rsidP="0040142E">
      <w:pPr>
        <w:tabs>
          <w:tab w:val="left" w:pos="720"/>
          <w:tab w:val="left" w:pos="1440"/>
          <w:tab w:val="left" w:pos="9240"/>
        </w:tabs>
        <w:spacing w:line="480" w:lineRule="auto"/>
        <w:ind w:left="720" w:hanging="720"/>
      </w:pPr>
      <w:r>
        <w:t>A.</w:t>
      </w:r>
      <w:r>
        <w:tab/>
        <w:t xml:space="preserve">No.  </w:t>
      </w:r>
      <w:r w:rsidR="008020E3">
        <w:t xml:space="preserve">The most significant flaw with </w:t>
      </w:r>
      <w:r>
        <w:t>Avista</w:t>
      </w:r>
      <w:r w:rsidR="008020E3">
        <w:t>’s</w:t>
      </w:r>
      <w:r>
        <w:t xml:space="preserve"> </w:t>
      </w:r>
      <w:r w:rsidR="008020E3">
        <w:t xml:space="preserve">proposed hypothetical </w:t>
      </w:r>
      <w:r>
        <w:t>capital</w:t>
      </w:r>
      <w:r w:rsidR="003A7512">
        <w:t xml:space="preserve"> structure </w:t>
      </w:r>
      <w:r w:rsidR="008020E3">
        <w:t xml:space="preserve">is that it </w:t>
      </w:r>
      <w:r w:rsidR="003A7512">
        <w:t>includes</w:t>
      </w:r>
      <w:r>
        <w:t xml:space="preserve"> </w:t>
      </w:r>
      <w:r w:rsidR="00283764">
        <w:t xml:space="preserve">$112 million </w:t>
      </w:r>
      <w:r w:rsidR="004A6E38">
        <w:t>equity investment</w:t>
      </w:r>
      <w:r>
        <w:t xml:space="preserve"> in </w:t>
      </w:r>
      <w:r w:rsidR="00642227">
        <w:t xml:space="preserve">the </w:t>
      </w:r>
      <w:r>
        <w:t>unregulated operations</w:t>
      </w:r>
      <w:r w:rsidR="00642227">
        <w:t xml:space="preserve"> </w:t>
      </w:r>
      <w:r w:rsidR="00642227">
        <w:lastRenderedPageBreak/>
        <w:t xml:space="preserve">Avista </w:t>
      </w:r>
      <w:r w:rsidR="00F91F2B">
        <w:t>Corporation</w:t>
      </w:r>
      <w:r>
        <w:t xml:space="preserve">.  </w:t>
      </w:r>
      <w:r w:rsidR="00283764">
        <w:t>Therefore, it</w:t>
      </w:r>
      <w:r w:rsidR="00311F27">
        <w:t xml:space="preserve"> </w:t>
      </w:r>
      <w:r>
        <w:t>overstates the actua</w:t>
      </w:r>
      <w:r w:rsidR="00642227">
        <w:t xml:space="preserve">l equity investment </w:t>
      </w:r>
      <w:r w:rsidR="003A7512">
        <w:t>supporting</w:t>
      </w:r>
      <w:r w:rsidR="00642227">
        <w:t xml:space="preserve"> </w:t>
      </w:r>
      <w:r>
        <w:t>regulated utility operations</w:t>
      </w:r>
      <w:r w:rsidR="0079476C">
        <w:t xml:space="preserve">.   </w:t>
      </w:r>
      <w:r w:rsidR="00AA6368">
        <w:t xml:space="preserve">I explained </w:t>
      </w:r>
      <w:r w:rsidR="00C82F4A">
        <w:t>earlier</w:t>
      </w:r>
      <w:r w:rsidR="00AA6368">
        <w:t>, a</w:t>
      </w:r>
      <w:r w:rsidR="00283764">
        <w:t xml:space="preserve">fter removing </w:t>
      </w:r>
      <w:r>
        <w:t>the $</w:t>
      </w:r>
      <w:r w:rsidR="00F91F2B">
        <w:t xml:space="preserve">112.2 </w:t>
      </w:r>
      <w:r>
        <w:t xml:space="preserve">million of equity </w:t>
      </w:r>
      <w:r w:rsidR="00A16D09">
        <w:t>supporting</w:t>
      </w:r>
      <w:r>
        <w:t xml:space="preserve"> Avista Corporation’s unregulated operations </w:t>
      </w:r>
      <w:r w:rsidR="00642227">
        <w:t xml:space="preserve">along with </w:t>
      </w:r>
      <w:r w:rsidR="00283764">
        <w:t xml:space="preserve">the </w:t>
      </w:r>
      <w:r w:rsidR="00642227">
        <w:t xml:space="preserve">debt associated with </w:t>
      </w:r>
      <w:r w:rsidR="00283764">
        <w:t xml:space="preserve">those </w:t>
      </w:r>
      <w:r w:rsidR="00642227">
        <w:t xml:space="preserve">unregulated </w:t>
      </w:r>
      <w:r w:rsidR="00283764">
        <w:t>operations</w:t>
      </w:r>
      <w:r w:rsidR="00A16D09">
        <w:t>, Avista’s equity ratio is</w:t>
      </w:r>
      <w:r w:rsidR="0079476C">
        <w:t xml:space="preserve"> 44.2 percent</w:t>
      </w:r>
      <w:r w:rsidR="00642227">
        <w:t>.</w:t>
      </w:r>
    </w:p>
    <w:p w14:paraId="34EA9C1C" w14:textId="77777777" w:rsidR="0040142E" w:rsidRDefault="0040142E" w:rsidP="005D3B74">
      <w:pPr>
        <w:tabs>
          <w:tab w:val="left" w:pos="720"/>
          <w:tab w:val="left" w:pos="1440"/>
          <w:tab w:val="left" w:pos="9240"/>
        </w:tabs>
        <w:spacing w:line="480" w:lineRule="auto"/>
        <w:ind w:left="720" w:hanging="720"/>
        <w:rPr>
          <w:b/>
        </w:rPr>
      </w:pPr>
    </w:p>
    <w:p w14:paraId="34EA9C1D" w14:textId="77777777" w:rsidR="005D3B74" w:rsidRPr="00C04229" w:rsidRDefault="005D3B74" w:rsidP="005D3B74">
      <w:pPr>
        <w:tabs>
          <w:tab w:val="left" w:pos="720"/>
          <w:tab w:val="left" w:pos="1440"/>
          <w:tab w:val="left" w:pos="9240"/>
        </w:tabs>
        <w:spacing w:line="480" w:lineRule="auto"/>
        <w:ind w:left="720" w:hanging="720"/>
      </w:pPr>
      <w:r w:rsidRPr="00C04229">
        <w:rPr>
          <w:b/>
        </w:rPr>
        <w:t>Q.</w:t>
      </w:r>
      <w:r w:rsidRPr="00C04229">
        <w:rPr>
          <w:b/>
        </w:rPr>
        <w:tab/>
      </w:r>
      <w:r w:rsidR="00283764">
        <w:rPr>
          <w:b/>
        </w:rPr>
        <w:t xml:space="preserve">How does </w:t>
      </w:r>
      <w:r w:rsidR="00406131">
        <w:rPr>
          <w:b/>
        </w:rPr>
        <w:t>Avista</w:t>
      </w:r>
      <w:r w:rsidR="00283764">
        <w:rPr>
          <w:b/>
        </w:rPr>
        <w:t xml:space="preserve"> attempt to </w:t>
      </w:r>
      <w:r w:rsidRPr="00C04229">
        <w:rPr>
          <w:b/>
        </w:rPr>
        <w:t>justif</w:t>
      </w:r>
      <w:r w:rsidR="00283764">
        <w:rPr>
          <w:b/>
        </w:rPr>
        <w:t>y</w:t>
      </w:r>
      <w:r w:rsidRPr="00C04229">
        <w:rPr>
          <w:b/>
        </w:rPr>
        <w:t xml:space="preserve"> its </w:t>
      </w:r>
      <w:r w:rsidR="00642227">
        <w:rPr>
          <w:b/>
        </w:rPr>
        <w:t xml:space="preserve">proposed 49.0 </w:t>
      </w:r>
      <w:r w:rsidRPr="00C04229">
        <w:rPr>
          <w:b/>
        </w:rPr>
        <w:t>percent equity ratio?</w:t>
      </w:r>
    </w:p>
    <w:p w14:paraId="34EA9C1E" w14:textId="77777777" w:rsidR="005D3B74" w:rsidRPr="00EA341C" w:rsidRDefault="005D3B74" w:rsidP="00223960">
      <w:pPr>
        <w:tabs>
          <w:tab w:val="left" w:pos="720"/>
          <w:tab w:val="left" w:pos="1440"/>
          <w:tab w:val="left" w:pos="9240"/>
        </w:tabs>
        <w:spacing w:line="480" w:lineRule="auto"/>
        <w:ind w:left="720" w:hanging="720"/>
      </w:pPr>
      <w:r w:rsidRPr="00C04229">
        <w:t>A.</w:t>
      </w:r>
      <w:r w:rsidRPr="00C04229">
        <w:tab/>
        <w:t xml:space="preserve">Mr. </w:t>
      </w:r>
      <w:proofErr w:type="spellStart"/>
      <w:r w:rsidR="00902C53">
        <w:t>Thies</w:t>
      </w:r>
      <w:proofErr w:type="spellEnd"/>
      <w:r w:rsidRPr="00C04229">
        <w:t xml:space="preserve"> </w:t>
      </w:r>
      <w:r w:rsidR="00223960">
        <w:t>asserts</w:t>
      </w:r>
      <w:r w:rsidR="00C17B8D">
        <w:t xml:space="preserve"> </w:t>
      </w:r>
      <w:r w:rsidR="00283764">
        <w:t xml:space="preserve">that a 49 percent equity ratio </w:t>
      </w:r>
      <w:r w:rsidR="00223960">
        <w:t xml:space="preserve">is necessary to </w:t>
      </w:r>
      <w:r w:rsidRPr="00C04229">
        <w:t xml:space="preserve">provide </w:t>
      </w:r>
      <w:r w:rsidR="00283764">
        <w:t xml:space="preserve">Avista </w:t>
      </w:r>
      <w:r w:rsidR="00223960">
        <w:t>financial</w:t>
      </w:r>
      <w:r w:rsidRPr="00C04229">
        <w:t xml:space="preserve"> flexibility</w:t>
      </w:r>
      <w:r w:rsidR="00223960">
        <w:t xml:space="preserve"> </w:t>
      </w:r>
      <w:r w:rsidR="00223960" w:rsidRPr="00C04229">
        <w:t>to access additional sources of external capital</w:t>
      </w:r>
      <w:r w:rsidR="00223960">
        <w:t xml:space="preserve"> to fund its requirements as a public service company</w:t>
      </w:r>
      <w:r w:rsidR="00283764">
        <w:t xml:space="preserve">.  He also says this equity ratio is </w:t>
      </w:r>
      <w:r w:rsidR="00A554A4">
        <w:t xml:space="preserve">part of a </w:t>
      </w:r>
      <w:r w:rsidR="00D8636F">
        <w:t xml:space="preserve">Company </w:t>
      </w:r>
      <w:r w:rsidR="00A554A4">
        <w:t>plan to achieve</w:t>
      </w:r>
      <w:r w:rsidR="005605B9">
        <w:t xml:space="preserve"> a higher bond rating: BBB+</w:t>
      </w:r>
      <w:r w:rsidR="00223960" w:rsidRPr="00C04229">
        <w:t>.</w:t>
      </w:r>
      <w:r w:rsidR="008C33DC">
        <w:rPr>
          <w:rStyle w:val="FootnoteReference"/>
        </w:rPr>
        <w:footnoteReference w:id="68"/>
      </w:r>
      <w:r w:rsidR="00223960">
        <w:rPr>
          <w:i/>
        </w:rPr>
        <w:t xml:space="preserve"> </w:t>
      </w:r>
      <w:r w:rsidR="00636EE4">
        <w:rPr>
          <w:i/>
        </w:rPr>
        <w:t xml:space="preserve"> </w:t>
      </w:r>
      <w:r w:rsidR="00EA341C">
        <w:t xml:space="preserve">Finally, </w:t>
      </w:r>
      <w:r w:rsidR="009C1404">
        <w:t>Mr. McKenzie</w:t>
      </w:r>
      <w:r w:rsidR="00EA341C">
        <w:t xml:space="preserve"> observes that the higher equity ratio is consistent with the inherent uncertainty and risks in today’s markets</w:t>
      </w:r>
      <w:r w:rsidR="00642227">
        <w:t xml:space="preserve"> and some additional risks unique to Avista</w:t>
      </w:r>
      <w:r w:rsidR="00EA341C">
        <w:t>.</w:t>
      </w:r>
      <w:r w:rsidR="00EA341C">
        <w:rPr>
          <w:rStyle w:val="FootnoteReference"/>
        </w:rPr>
        <w:footnoteReference w:id="69"/>
      </w:r>
      <w:r w:rsidR="00EA341C">
        <w:t xml:space="preserve">  </w:t>
      </w:r>
    </w:p>
    <w:p w14:paraId="34EA9C1F" w14:textId="77777777" w:rsidR="005D3B74" w:rsidRPr="00C04229" w:rsidRDefault="005D3B74" w:rsidP="005D3B74">
      <w:pPr>
        <w:tabs>
          <w:tab w:val="left" w:pos="720"/>
          <w:tab w:val="left" w:pos="1440"/>
          <w:tab w:val="left" w:pos="9240"/>
        </w:tabs>
        <w:spacing w:line="480" w:lineRule="auto"/>
        <w:ind w:left="720" w:hanging="720"/>
      </w:pPr>
    </w:p>
    <w:p w14:paraId="34EA9C20" w14:textId="77777777" w:rsidR="005D3B74" w:rsidRPr="00C04229" w:rsidRDefault="005D3B74" w:rsidP="005D3B74">
      <w:pPr>
        <w:tabs>
          <w:tab w:val="left" w:pos="720"/>
          <w:tab w:val="left" w:pos="1440"/>
          <w:tab w:val="left" w:pos="9240"/>
        </w:tabs>
        <w:spacing w:line="480" w:lineRule="auto"/>
        <w:ind w:left="720" w:hanging="720"/>
      </w:pPr>
      <w:r w:rsidRPr="00C04229">
        <w:rPr>
          <w:b/>
        </w:rPr>
        <w:t>Q.</w:t>
      </w:r>
      <w:r w:rsidRPr="00C04229">
        <w:rPr>
          <w:b/>
        </w:rPr>
        <w:tab/>
      </w:r>
      <w:r w:rsidR="00283764">
        <w:rPr>
          <w:b/>
        </w:rPr>
        <w:t xml:space="preserve">Do you agree that in general, a higher equity ratio can provide a firm additional financial </w:t>
      </w:r>
      <w:r w:rsidR="00363355">
        <w:rPr>
          <w:b/>
        </w:rPr>
        <w:t>flexibility</w:t>
      </w:r>
      <w:r w:rsidR="00283764">
        <w:rPr>
          <w:b/>
        </w:rPr>
        <w:t xml:space="preserve"> and a higher </w:t>
      </w:r>
      <w:r w:rsidR="003D6BDD">
        <w:rPr>
          <w:b/>
        </w:rPr>
        <w:t xml:space="preserve">credit </w:t>
      </w:r>
      <w:r w:rsidR="00283764">
        <w:rPr>
          <w:b/>
        </w:rPr>
        <w:t>rating</w:t>
      </w:r>
      <w:r w:rsidRPr="00C04229">
        <w:rPr>
          <w:b/>
        </w:rPr>
        <w:t>?</w:t>
      </w:r>
    </w:p>
    <w:p w14:paraId="34EA9C21" w14:textId="77777777" w:rsidR="002A491D" w:rsidRDefault="005D3B74" w:rsidP="00F36533">
      <w:pPr>
        <w:tabs>
          <w:tab w:val="left" w:pos="720"/>
          <w:tab w:val="left" w:pos="1440"/>
          <w:tab w:val="left" w:pos="9240"/>
        </w:tabs>
        <w:spacing w:line="480" w:lineRule="auto"/>
        <w:ind w:left="720" w:hanging="720"/>
      </w:pPr>
      <w:r w:rsidRPr="00C04229">
        <w:t>A.</w:t>
      </w:r>
      <w:r w:rsidRPr="00C04229">
        <w:tab/>
      </w:r>
      <w:r w:rsidR="00283764">
        <w:t>Yes.  All else equal, the greater the equity ratio, the lower the debt ratio, thus giving bondholders more security</w:t>
      </w:r>
      <w:r w:rsidR="003D6BDD">
        <w:t xml:space="preserve">, and this can lead to a higher credit rating.  However, the Company’s rationale fails to address the  </w:t>
      </w:r>
      <w:r w:rsidR="007A0902">
        <w:t>Commission</w:t>
      </w:r>
      <w:r w:rsidR="00A14C0F">
        <w:t>’s</w:t>
      </w:r>
      <w:r w:rsidR="007A0902">
        <w:t xml:space="preserve"> </w:t>
      </w:r>
      <w:r w:rsidR="00621939">
        <w:t xml:space="preserve">policy to </w:t>
      </w:r>
      <w:r w:rsidR="007A0902">
        <w:t>balance safety and economy</w:t>
      </w:r>
      <w:r w:rsidR="003D6BDD">
        <w:t xml:space="preserve"> when evaluating an appropriate capital structure for ratemaking purposes</w:t>
      </w:r>
      <w:r w:rsidR="007A0902">
        <w:t xml:space="preserve">.  </w:t>
      </w:r>
    </w:p>
    <w:p w14:paraId="34EA9C22" w14:textId="6F49D171" w:rsidR="00AA6368" w:rsidRDefault="00A0224C" w:rsidP="00F36533">
      <w:pPr>
        <w:tabs>
          <w:tab w:val="left" w:pos="720"/>
          <w:tab w:val="left" w:pos="1440"/>
          <w:tab w:val="left" w:pos="9240"/>
        </w:tabs>
        <w:spacing w:line="480" w:lineRule="auto"/>
        <w:ind w:left="720" w:hanging="720"/>
      </w:pPr>
      <w:r>
        <w:tab/>
      </w:r>
      <w:r w:rsidR="00C4519E">
        <w:tab/>
      </w:r>
      <w:r w:rsidR="00406131">
        <w:t>Avista’s</w:t>
      </w:r>
      <w:r w:rsidR="00106592">
        <w:t xml:space="preserve"> </w:t>
      </w:r>
      <w:r w:rsidR="00FD6155">
        <w:t xml:space="preserve">direct case </w:t>
      </w:r>
      <w:r w:rsidR="003D6BDD">
        <w:t xml:space="preserve">fails to demonstrate that </w:t>
      </w:r>
      <w:r w:rsidR="003C52C4">
        <w:t>additional equity</w:t>
      </w:r>
      <w:r w:rsidR="005456A4">
        <w:t xml:space="preserve"> is cost justified</w:t>
      </w:r>
      <w:r w:rsidR="003C52C4">
        <w:t>.</w:t>
      </w:r>
      <w:r w:rsidR="00F36533">
        <w:t xml:space="preserve">  </w:t>
      </w:r>
      <w:r w:rsidR="00C07E70">
        <w:t xml:space="preserve"> </w:t>
      </w:r>
    </w:p>
    <w:p w14:paraId="34EA9C23" w14:textId="1183CBD5" w:rsidR="009E707D" w:rsidRDefault="009E707D" w:rsidP="00F36533">
      <w:pPr>
        <w:tabs>
          <w:tab w:val="left" w:pos="720"/>
          <w:tab w:val="left" w:pos="1440"/>
          <w:tab w:val="left" w:pos="9240"/>
        </w:tabs>
        <w:spacing w:line="480" w:lineRule="auto"/>
        <w:ind w:left="720" w:hanging="720"/>
      </w:pPr>
    </w:p>
    <w:p w14:paraId="34EA9C25" w14:textId="5B27AAC5" w:rsidR="009E707D" w:rsidRDefault="009E707D" w:rsidP="00F36533">
      <w:pPr>
        <w:tabs>
          <w:tab w:val="left" w:pos="720"/>
          <w:tab w:val="left" w:pos="1440"/>
          <w:tab w:val="left" w:pos="9240"/>
        </w:tabs>
        <w:spacing w:line="480" w:lineRule="auto"/>
        <w:ind w:left="720" w:hanging="720"/>
        <w:rPr>
          <w:b/>
        </w:rPr>
      </w:pPr>
      <w:r>
        <w:rPr>
          <w:b/>
        </w:rPr>
        <w:lastRenderedPageBreak/>
        <w:t>Q.</w:t>
      </w:r>
      <w:r>
        <w:rPr>
          <w:b/>
        </w:rPr>
        <w:tab/>
        <w:t xml:space="preserve">Did Avista’s direct case provide any evidence that the additional cost associated with </w:t>
      </w:r>
      <w:r w:rsidR="00053D68">
        <w:rPr>
          <w:b/>
        </w:rPr>
        <w:t>achieving</w:t>
      </w:r>
      <w:r>
        <w:rPr>
          <w:b/>
        </w:rPr>
        <w:t xml:space="preserve"> its target equity ratio of 49.00 percent provides tangible benefits to ratepayers?</w:t>
      </w:r>
    </w:p>
    <w:p w14:paraId="34EA9C26" w14:textId="3242B3F4" w:rsidR="009E707D" w:rsidRPr="009E707D" w:rsidRDefault="009E707D" w:rsidP="00F36533">
      <w:pPr>
        <w:tabs>
          <w:tab w:val="left" w:pos="720"/>
          <w:tab w:val="left" w:pos="1440"/>
          <w:tab w:val="left" w:pos="9240"/>
        </w:tabs>
        <w:spacing w:line="480" w:lineRule="auto"/>
        <w:ind w:left="720" w:hanging="720"/>
      </w:pPr>
      <w:r>
        <w:t>A.</w:t>
      </w:r>
      <w:r>
        <w:tab/>
        <w:t>No.  Its direct case alludes to benefits, but it provides nothing explicit other than the possibility of lower interest costs and additional financial flexibility</w:t>
      </w:r>
      <w:r w:rsidR="00FD2AAC">
        <w:t>,</w:t>
      </w:r>
      <w:r>
        <w:t xml:space="preserve"> if </w:t>
      </w:r>
      <w:r w:rsidR="00FD2AAC">
        <w:t xml:space="preserve">Avista </w:t>
      </w:r>
      <w:r>
        <w:t>is able to achieve a higher bond rating.</w:t>
      </w:r>
      <w:r>
        <w:rPr>
          <w:rStyle w:val="FootnoteReference"/>
        </w:rPr>
        <w:footnoteReference w:id="70"/>
      </w:r>
      <w:r>
        <w:t xml:space="preserve">  </w:t>
      </w:r>
      <w:r w:rsidR="00FD2AAC">
        <w:t xml:space="preserve">Avista’s direct case makes no attempt to prove </w:t>
      </w:r>
      <w:r w:rsidR="00A16D09">
        <w:t>that its proposed equity ratio results in lowest reasonable costs</w:t>
      </w:r>
      <w:r w:rsidR="00FD2AAC">
        <w:t>.</w:t>
      </w:r>
    </w:p>
    <w:p w14:paraId="34EA9C27" w14:textId="77777777" w:rsidR="003D6BDD" w:rsidRDefault="003D6BDD" w:rsidP="00D15AE9">
      <w:pPr>
        <w:spacing w:line="480" w:lineRule="auto"/>
        <w:ind w:left="720" w:hanging="720"/>
      </w:pPr>
    </w:p>
    <w:p w14:paraId="34EA9C28" w14:textId="4BD7F170" w:rsidR="003D6BDD" w:rsidRPr="002A491D" w:rsidRDefault="003D6BDD" w:rsidP="00D15AE9">
      <w:pPr>
        <w:spacing w:line="480" w:lineRule="auto"/>
        <w:ind w:left="720" w:hanging="720"/>
        <w:rPr>
          <w:b/>
        </w:rPr>
      </w:pPr>
      <w:r>
        <w:rPr>
          <w:b/>
        </w:rPr>
        <w:t>Q.</w:t>
      </w:r>
      <w:r>
        <w:rPr>
          <w:b/>
        </w:rPr>
        <w:tab/>
        <w:t>Does the equity ratio you recommend satisfy the Commission’s safety and economy standard?</w:t>
      </w:r>
    </w:p>
    <w:p w14:paraId="34EA9C29" w14:textId="096B9F1B" w:rsidR="006D1D3F" w:rsidRDefault="003D6BDD" w:rsidP="005D3B74">
      <w:pPr>
        <w:tabs>
          <w:tab w:val="left" w:pos="720"/>
          <w:tab w:val="left" w:pos="1440"/>
          <w:tab w:val="left" w:pos="9240"/>
        </w:tabs>
        <w:spacing w:line="480" w:lineRule="auto"/>
        <w:ind w:left="720" w:hanging="720"/>
      </w:pPr>
      <w:r>
        <w:t>A.</w:t>
      </w:r>
      <w:r>
        <w:tab/>
        <w:t xml:space="preserve">Yes.  </w:t>
      </w:r>
      <w:r w:rsidR="00501B39">
        <w:t>As I explained earlier, m</w:t>
      </w:r>
      <w:r w:rsidR="00501B39" w:rsidRPr="0061646F">
        <w:t xml:space="preserve">y recommended equity ratio is </w:t>
      </w:r>
      <w:r w:rsidR="005456A4">
        <w:t xml:space="preserve">market-tested and is </w:t>
      </w:r>
      <w:r w:rsidR="00501B39">
        <w:t xml:space="preserve">appropriate and sufficient for Avista </w:t>
      </w:r>
      <w:r w:rsidR="00AC332F">
        <w:t xml:space="preserve">Corporation </w:t>
      </w:r>
      <w:r w:rsidR="00501B39">
        <w:t>to achieve a</w:t>
      </w:r>
      <w:r w:rsidR="00501B39" w:rsidRPr="00C04229">
        <w:t xml:space="preserve"> corporate credit rating of “BBB”</w:t>
      </w:r>
      <w:r w:rsidR="00D8636F">
        <w:t xml:space="preserve"> and</w:t>
      </w:r>
      <w:r w:rsidR="00501B39" w:rsidRPr="00C04229">
        <w:t xml:space="preserve"> </w:t>
      </w:r>
      <w:r w:rsidR="003C52C4">
        <w:t>a secured bond rating of “A-</w:t>
      </w:r>
      <w:r w:rsidR="00D8636F">
        <w:t>”</w:t>
      </w:r>
      <w:r w:rsidR="00824649">
        <w:t>.  The</w:t>
      </w:r>
      <w:r>
        <w:t xml:space="preserve">se are solid ratings Avista Corporation has operated successfully </w:t>
      </w:r>
      <w:r w:rsidR="00363355">
        <w:t>under</w:t>
      </w:r>
      <w:r>
        <w:t xml:space="preserve"> for many years.  The </w:t>
      </w:r>
      <w:r w:rsidR="00824649">
        <w:t xml:space="preserve">evidence is clear that </w:t>
      </w:r>
      <w:r>
        <w:t xml:space="preserve">a </w:t>
      </w:r>
      <w:r w:rsidR="00824649">
        <w:t xml:space="preserve">capital </w:t>
      </w:r>
      <w:r w:rsidR="00843DDD">
        <w:t>structure</w:t>
      </w:r>
      <w:r w:rsidR="00843DDD" w:rsidRPr="00C04229">
        <w:t xml:space="preserve"> </w:t>
      </w:r>
      <w:r>
        <w:t>containing 46</w:t>
      </w:r>
      <w:r w:rsidR="005462F1">
        <w:t>.00</w:t>
      </w:r>
      <w:r>
        <w:t xml:space="preserve"> percent equity</w:t>
      </w:r>
      <w:r w:rsidR="005462F1">
        <w:t>, or 42.00 percent equity with full decoupling,</w:t>
      </w:r>
      <w:r>
        <w:t xml:space="preserve"> </w:t>
      </w:r>
      <w:r w:rsidR="00B4103B">
        <w:t>will enable</w:t>
      </w:r>
      <w:r w:rsidR="00501B39" w:rsidRPr="00C04229">
        <w:t xml:space="preserve"> </w:t>
      </w:r>
      <w:r w:rsidR="00B4103B">
        <w:t>Avista Corporation</w:t>
      </w:r>
      <w:r w:rsidR="00501B39" w:rsidRPr="00C04229">
        <w:t xml:space="preserve"> to access </w:t>
      </w:r>
      <w:r w:rsidR="00501B39">
        <w:t xml:space="preserve">any new external </w:t>
      </w:r>
      <w:r w:rsidR="00501B39" w:rsidRPr="00C04229">
        <w:t xml:space="preserve">capital </w:t>
      </w:r>
      <w:r w:rsidR="00501B39">
        <w:t xml:space="preserve">requirements </w:t>
      </w:r>
      <w:r w:rsidR="00501B39" w:rsidRPr="00C04229">
        <w:t>on reasonable terms</w:t>
      </w:r>
      <w:r w:rsidR="00B4103B">
        <w:t xml:space="preserve"> for its utility operations</w:t>
      </w:r>
      <w:r w:rsidR="00501B39" w:rsidRPr="00C04229">
        <w:t>.</w:t>
      </w:r>
      <w:r w:rsidR="0079476C">
        <w:t xml:space="preserve">  </w:t>
      </w:r>
    </w:p>
    <w:p w14:paraId="34EA9C2A" w14:textId="77777777" w:rsidR="00621939" w:rsidRDefault="00621939" w:rsidP="005D3B74">
      <w:pPr>
        <w:tabs>
          <w:tab w:val="left" w:pos="720"/>
          <w:tab w:val="left" w:pos="1440"/>
          <w:tab w:val="left" w:pos="9240"/>
        </w:tabs>
        <w:spacing w:line="480" w:lineRule="auto"/>
        <w:ind w:left="720" w:hanging="720"/>
      </w:pPr>
    </w:p>
    <w:p w14:paraId="34EA9C2B" w14:textId="77777777" w:rsidR="00621939" w:rsidRDefault="00621939" w:rsidP="005D3B74">
      <w:pPr>
        <w:tabs>
          <w:tab w:val="left" w:pos="720"/>
          <w:tab w:val="left" w:pos="1440"/>
          <w:tab w:val="left" w:pos="9240"/>
        </w:tabs>
        <w:spacing w:line="480" w:lineRule="auto"/>
        <w:ind w:left="720" w:hanging="720"/>
        <w:rPr>
          <w:b/>
        </w:rPr>
      </w:pPr>
      <w:r>
        <w:rPr>
          <w:b/>
        </w:rPr>
        <w:t>Q.</w:t>
      </w:r>
      <w:r>
        <w:rPr>
          <w:b/>
        </w:rPr>
        <w:tab/>
        <w:t xml:space="preserve">Is there any objective proof that </w:t>
      </w:r>
      <w:r w:rsidR="00D8636F">
        <w:rPr>
          <w:b/>
        </w:rPr>
        <w:t>a 46 percent equity ratio</w:t>
      </w:r>
      <w:r>
        <w:rPr>
          <w:b/>
        </w:rPr>
        <w:t xml:space="preserve"> is reasonable for Avista?</w:t>
      </w:r>
    </w:p>
    <w:p w14:paraId="34EA9C2C" w14:textId="0208E8CB" w:rsidR="00501B39" w:rsidRDefault="00621939" w:rsidP="005D3B74">
      <w:pPr>
        <w:tabs>
          <w:tab w:val="left" w:pos="720"/>
          <w:tab w:val="left" w:pos="1440"/>
          <w:tab w:val="left" w:pos="9240"/>
        </w:tabs>
        <w:spacing w:line="480" w:lineRule="auto"/>
        <w:ind w:left="720" w:hanging="720"/>
      </w:pPr>
      <w:r>
        <w:t>A.</w:t>
      </w:r>
      <w:r>
        <w:tab/>
        <w:t xml:space="preserve">Yes.  </w:t>
      </w:r>
      <w:r w:rsidR="003D6BDD">
        <w:t xml:space="preserve">Under its current credit ratings, </w:t>
      </w:r>
      <w:r w:rsidR="00AA6368">
        <w:t>and with a 4</w:t>
      </w:r>
      <w:r w:rsidR="005462F1">
        <w:t xml:space="preserve">4.0 supporting Avista’s utility </w:t>
      </w:r>
      <w:r w:rsidR="00E035CD">
        <w:t>operations</w:t>
      </w:r>
      <w:r w:rsidR="005462F1">
        <w:t>,</w:t>
      </w:r>
      <w:r w:rsidR="00AA6368">
        <w:t xml:space="preserve"> </w:t>
      </w:r>
      <w:r w:rsidR="00087704">
        <w:t xml:space="preserve">Avista Corporation </w:t>
      </w:r>
      <w:r w:rsidR="003D6BDD">
        <w:t xml:space="preserve">has been able to </w:t>
      </w:r>
      <w:r w:rsidR="00EC6BCB">
        <w:t xml:space="preserve">sell debt on reasonable terms, issue </w:t>
      </w:r>
      <w:r w:rsidR="00EC6BCB">
        <w:lastRenderedPageBreak/>
        <w:t>new equity at prices above book value</w:t>
      </w:r>
      <w:r w:rsidR="00AA6368">
        <w:t xml:space="preserve"> and i</w:t>
      </w:r>
      <w:r w:rsidR="00087704">
        <w:t xml:space="preserve">ts </w:t>
      </w:r>
      <w:r w:rsidR="003D6BDD">
        <w:t>bond ratings are</w:t>
      </w:r>
      <w:r w:rsidR="003A7512">
        <w:t xml:space="preserve"> within industry norms.</w:t>
      </w:r>
      <w:r w:rsidR="003A7512">
        <w:rPr>
          <w:rStyle w:val="FootnoteReference"/>
        </w:rPr>
        <w:footnoteReference w:id="71"/>
      </w:r>
      <w:r w:rsidR="003A7512">
        <w:t xml:space="preserve">  </w:t>
      </w:r>
    </w:p>
    <w:p w14:paraId="34EA9C2D" w14:textId="77777777" w:rsidR="002158E6" w:rsidRDefault="002158E6" w:rsidP="005D3B74">
      <w:pPr>
        <w:tabs>
          <w:tab w:val="left" w:pos="720"/>
          <w:tab w:val="left" w:pos="1440"/>
          <w:tab w:val="left" w:pos="9240"/>
        </w:tabs>
        <w:spacing w:line="480" w:lineRule="auto"/>
        <w:ind w:left="720" w:hanging="720"/>
        <w:rPr>
          <w:b/>
        </w:rPr>
      </w:pPr>
    </w:p>
    <w:p w14:paraId="34EA9C2E" w14:textId="77777777" w:rsidR="005D3B74" w:rsidRPr="00C04229" w:rsidRDefault="005D3B74" w:rsidP="005D3B74">
      <w:pPr>
        <w:tabs>
          <w:tab w:val="left" w:pos="720"/>
          <w:tab w:val="left" w:pos="1440"/>
          <w:tab w:val="left" w:pos="9240"/>
        </w:tabs>
        <w:spacing w:line="480" w:lineRule="auto"/>
        <w:ind w:left="720" w:hanging="720"/>
        <w:rPr>
          <w:b/>
        </w:rPr>
      </w:pPr>
      <w:r w:rsidRPr="00C04229">
        <w:rPr>
          <w:b/>
        </w:rPr>
        <w:t>Q.</w:t>
      </w:r>
      <w:r w:rsidRPr="00C04229">
        <w:rPr>
          <w:b/>
        </w:rPr>
        <w:tab/>
        <w:t xml:space="preserve">Mr. </w:t>
      </w:r>
      <w:proofErr w:type="spellStart"/>
      <w:r w:rsidR="00223960">
        <w:rPr>
          <w:b/>
        </w:rPr>
        <w:t>Thies</w:t>
      </w:r>
      <w:proofErr w:type="spellEnd"/>
      <w:r w:rsidRPr="00C04229">
        <w:rPr>
          <w:b/>
        </w:rPr>
        <w:t xml:space="preserve"> argues </w:t>
      </w:r>
      <w:r w:rsidR="00D8636F">
        <w:rPr>
          <w:b/>
        </w:rPr>
        <w:t xml:space="preserve">that </w:t>
      </w:r>
      <w:r w:rsidR="00D15AE9">
        <w:rPr>
          <w:b/>
        </w:rPr>
        <w:t xml:space="preserve">more equity </w:t>
      </w:r>
      <w:r w:rsidRPr="00C04229">
        <w:rPr>
          <w:b/>
        </w:rPr>
        <w:t xml:space="preserve">in </w:t>
      </w:r>
      <w:r w:rsidR="00D8636F">
        <w:rPr>
          <w:b/>
        </w:rPr>
        <w:t>the</w:t>
      </w:r>
      <w:r w:rsidRPr="00C04229">
        <w:rPr>
          <w:b/>
        </w:rPr>
        <w:t xml:space="preserve"> capital structure </w:t>
      </w:r>
      <w:r w:rsidR="00D8636F">
        <w:rPr>
          <w:b/>
        </w:rPr>
        <w:t>is</w:t>
      </w:r>
      <w:r>
        <w:rPr>
          <w:b/>
        </w:rPr>
        <w:t xml:space="preserve"> necessary </w:t>
      </w:r>
      <w:r w:rsidRPr="00C04229">
        <w:rPr>
          <w:b/>
        </w:rPr>
        <w:t xml:space="preserve">to cope with </w:t>
      </w:r>
      <w:r w:rsidR="00363355">
        <w:rPr>
          <w:b/>
        </w:rPr>
        <w:t>Avist</w:t>
      </w:r>
      <w:r w:rsidR="003D6BDD">
        <w:rPr>
          <w:b/>
        </w:rPr>
        <w:t>a’s</w:t>
      </w:r>
      <w:r w:rsidR="00106592">
        <w:rPr>
          <w:b/>
        </w:rPr>
        <w:t xml:space="preserve"> </w:t>
      </w:r>
      <w:r w:rsidR="00535FEE">
        <w:rPr>
          <w:b/>
        </w:rPr>
        <w:t xml:space="preserve">significant </w:t>
      </w:r>
      <w:r w:rsidRPr="00C04229">
        <w:rPr>
          <w:b/>
        </w:rPr>
        <w:t>capital budget and the need to access capital</w:t>
      </w:r>
      <w:r w:rsidR="00535FEE">
        <w:rPr>
          <w:b/>
        </w:rPr>
        <w:t xml:space="preserve"> </w:t>
      </w:r>
      <w:r w:rsidR="00D15AE9">
        <w:rPr>
          <w:b/>
        </w:rPr>
        <w:t xml:space="preserve">to </w:t>
      </w:r>
      <w:r w:rsidR="00535FEE">
        <w:rPr>
          <w:b/>
        </w:rPr>
        <w:t>carry out its obligations as a public service company</w:t>
      </w:r>
      <w:r w:rsidR="003D6BDD">
        <w:rPr>
          <w:b/>
        </w:rPr>
        <w:t>.</w:t>
      </w:r>
      <w:r w:rsidR="00D15AE9">
        <w:rPr>
          <w:rStyle w:val="FootnoteReference"/>
          <w:b/>
        </w:rPr>
        <w:footnoteReference w:id="72"/>
      </w:r>
      <w:r w:rsidRPr="00C04229">
        <w:rPr>
          <w:b/>
        </w:rPr>
        <w:t xml:space="preserve">  What is your response?</w:t>
      </w:r>
    </w:p>
    <w:p w14:paraId="34EA9C2F" w14:textId="77777777" w:rsidR="00140E58" w:rsidRDefault="005D3B74" w:rsidP="00106592">
      <w:pPr>
        <w:tabs>
          <w:tab w:val="left" w:pos="720"/>
          <w:tab w:val="left" w:pos="1440"/>
          <w:tab w:val="left" w:pos="9240"/>
        </w:tabs>
        <w:spacing w:line="480" w:lineRule="auto"/>
        <w:ind w:left="720" w:hanging="720"/>
      </w:pPr>
      <w:r w:rsidRPr="00C04229">
        <w:t>A.</w:t>
      </w:r>
      <w:r w:rsidRPr="00C04229">
        <w:tab/>
      </w:r>
      <w:r w:rsidR="009E707D">
        <w:t xml:space="preserve">First, the company provides no analysis whatsoever proving that the Company cannot reasonably access capital markets with a 46.00 percent equity ratio.  In any event, Mr. </w:t>
      </w:r>
      <w:proofErr w:type="spellStart"/>
      <w:r w:rsidR="009E707D">
        <w:t>Thies</w:t>
      </w:r>
      <w:proofErr w:type="spellEnd"/>
      <w:r w:rsidR="009E707D">
        <w:t>’</w:t>
      </w:r>
      <w:r w:rsidR="00140E58">
        <w:t xml:space="preserve"> </w:t>
      </w:r>
      <w:r w:rsidR="007A0902">
        <w:t xml:space="preserve">testimony is </w:t>
      </w:r>
      <w:r w:rsidR="00140E58">
        <w:t xml:space="preserve">not </w:t>
      </w:r>
      <w:r w:rsidR="007A0902">
        <w:t>consistent with the facts</w:t>
      </w:r>
      <w:r w:rsidR="00EC6BCB">
        <w:t xml:space="preserve">.  </w:t>
      </w:r>
      <w:r w:rsidR="00140E58">
        <w:t xml:space="preserve">Historically, </w:t>
      </w:r>
      <w:r w:rsidR="00732008">
        <w:t xml:space="preserve">Avista Corporation </w:t>
      </w:r>
      <w:r w:rsidR="00A14C0F">
        <w:t>was</w:t>
      </w:r>
      <w:r w:rsidR="00732008">
        <w:t xml:space="preserve"> </w:t>
      </w:r>
      <w:r w:rsidR="00140E58">
        <w:t xml:space="preserve">able to </w:t>
      </w:r>
      <w:r w:rsidR="00732008">
        <w:t>generat</w:t>
      </w:r>
      <w:r w:rsidR="00140E58">
        <w:t>e</w:t>
      </w:r>
      <w:r w:rsidR="00732008">
        <w:t xml:space="preserve"> </w:t>
      </w:r>
      <w:r w:rsidR="00140E58">
        <w:t xml:space="preserve">internally </w:t>
      </w:r>
      <w:r w:rsidR="00535FEE">
        <w:t xml:space="preserve">all the cash </w:t>
      </w:r>
      <w:r w:rsidR="00D8636F">
        <w:t xml:space="preserve">it </w:t>
      </w:r>
      <w:r w:rsidR="00535FEE">
        <w:t>need</w:t>
      </w:r>
      <w:r w:rsidR="00140E58">
        <w:t>ed</w:t>
      </w:r>
      <w:r w:rsidR="00535FEE">
        <w:t xml:space="preserve"> to fund its </w:t>
      </w:r>
      <w:r w:rsidR="00D8636F">
        <w:t xml:space="preserve">utility </w:t>
      </w:r>
      <w:r w:rsidR="00732008">
        <w:t>construction budget</w:t>
      </w:r>
      <w:r w:rsidR="00535FEE">
        <w:t>.</w:t>
      </w:r>
      <w:r w:rsidR="00FD6155">
        <w:t xml:space="preserve">  </w:t>
      </w:r>
      <w:r w:rsidR="00140E58">
        <w:t xml:space="preserve">Only recently has the Company’s </w:t>
      </w:r>
      <w:r w:rsidR="00F72524">
        <w:t>capital budget exceed</w:t>
      </w:r>
      <w:r w:rsidR="00140E58">
        <w:t>ed</w:t>
      </w:r>
      <w:r w:rsidR="00F72524">
        <w:t xml:space="preserve"> its capacity to fund construction with internally generated funds.  </w:t>
      </w:r>
    </w:p>
    <w:p w14:paraId="34EA9C30" w14:textId="458210A8" w:rsidR="002158E6" w:rsidRDefault="00140E58" w:rsidP="00106592">
      <w:pPr>
        <w:tabs>
          <w:tab w:val="left" w:pos="720"/>
          <w:tab w:val="left" w:pos="1440"/>
          <w:tab w:val="left" w:pos="9240"/>
        </w:tabs>
        <w:spacing w:line="480" w:lineRule="auto"/>
        <w:ind w:left="720" w:hanging="720"/>
      </w:pPr>
      <w:r>
        <w:tab/>
      </w:r>
      <w:r>
        <w:tab/>
        <w:t>However, e</w:t>
      </w:r>
      <w:r w:rsidR="00F72524">
        <w:t>ven with this recent</w:t>
      </w:r>
      <w:r w:rsidR="00E674E9">
        <w:t xml:space="preserve"> expected</w:t>
      </w:r>
      <w:r w:rsidR="00F72524">
        <w:t xml:space="preserve"> </w:t>
      </w:r>
      <w:r w:rsidR="003A7512">
        <w:t>increase</w:t>
      </w:r>
      <w:r w:rsidR="00F72524">
        <w:t xml:space="preserve"> in its capital expenditures</w:t>
      </w:r>
      <w:r w:rsidR="00A14C0F">
        <w:t>,</w:t>
      </w:r>
      <w:r w:rsidR="00F72524">
        <w:t xml:space="preserve"> I see no compelling need for additional financing flexibility to fund its construction budget.  </w:t>
      </w:r>
      <w:r w:rsidR="002158E6">
        <w:t>As</w:t>
      </w:r>
      <w:r w:rsidR="00391D86">
        <w:t xml:space="preserve"> a financial analyst</w:t>
      </w:r>
      <w:r w:rsidR="00AA6368">
        <w:t>,</w:t>
      </w:r>
      <w:r w:rsidR="00391D86">
        <w:t xml:space="preserve"> I am cautious </w:t>
      </w:r>
      <w:r w:rsidR="002158E6">
        <w:t>of any company with little or any material growth in the demand for its services should be undertaking new construction at a rate that exceeds its ability to fund those investments internally.</w:t>
      </w:r>
      <w:r w:rsidR="00087704">
        <w:t xml:space="preserve">  The Commission should </w:t>
      </w:r>
      <w:r w:rsidR="008020E3">
        <w:t>require</w:t>
      </w:r>
      <w:r w:rsidR="00087704">
        <w:t xml:space="preserve"> compelling reasons for the proposal to ratchet up </w:t>
      </w:r>
      <w:r w:rsidR="0018510D">
        <w:t>its</w:t>
      </w:r>
      <w:r w:rsidR="00087704">
        <w:t xml:space="preserve"> capital expenditures.  </w:t>
      </w:r>
      <w:r w:rsidR="00D979D1">
        <w:t xml:space="preserve">The Company’s </w:t>
      </w:r>
      <w:r w:rsidR="00087704">
        <w:t>direct case is deficient on this point.</w:t>
      </w:r>
      <w:r w:rsidR="008020E3">
        <w:t xml:space="preserve">  The Company’s </w:t>
      </w:r>
      <w:r w:rsidR="00FE0DB7">
        <w:t>statements that capital spending is expected to be $1.7 billion</w:t>
      </w:r>
      <w:r w:rsidR="008020E3">
        <w:t xml:space="preserve"> </w:t>
      </w:r>
      <w:r w:rsidR="00FE0DB7">
        <w:t xml:space="preserve">over the </w:t>
      </w:r>
      <w:r w:rsidR="00FE0DB7">
        <w:lastRenderedPageBreak/>
        <w:t>next five years</w:t>
      </w:r>
      <w:r w:rsidR="00FE0DB7">
        <w:rPr>
          <w:rStyle w:val="FootnoteReference"/>
        </w:rPr>
        <w:footnoteReference w:id="73"/>
      </w:r>
      <w:r w:rsidR="00FE0DB7">
        <w:t xml:space="preserve"> </w:t>
      </w:r>
      <w:r w:rsidR="008020E3">
        <w:t xml:space="preserve">will only exacerbate </w:t>
      </w:r>
      <w:r w:rsidR="00FE0DB7">
        <w:t>its</w:t>
      </w:r>
      <w:r w:rsidR="008020E3">
        <w:t xml:space="preserve"> continuing need for higher rates to support the costs of </w:t>
      </w:r>
      <w:r w:rsidR="0018510D">
        <w:t>its</w:t>
      </w:r>
      <w:r w:rsidR="008020E3">
        <w:t xml:space="preserve"> burgeoning capital budget.</w:t>
      </w:r>
      <w:r w:rsidR="00A92E9F">
        <w:t xml:space="preserve">  </w:t>
      </w:r>
    </w:p>
    <w:p w14:paraId="34EA9C31" w14:textId="2C2051B2" w:rsidR="00106592" w:rsidRDefault="002158E6" w:rsidP="00106592">
      <w:pPr>
        <w:tabs>
          <w:tab w:val="left" w:pos="720"/>
          <w:tab w:val="left" w:pos="1440"/>
          <w:tab w:val="left" w:pos="9240"/>
        </w:tabs>
        <w:spacing w:line="480" w:lineRule="auto"/>
        <w:ind w:left="720" w:hanging="720"/>
      </w:pPr>
      <w:r>
        <w:tab/>
      </w:r>
      <w:r>
        <w:tab/>
        <w:t>In short, t</w:t>
      </w:r>
      <w:r w:rsidR="00106592">
        <w:t xml:space="preserve">he Company offers no </w:t>
      </w:r>
      <w:r>
        <w:t>compelling evidence as to why it</w:t>
      </w:r>
      <w:r w:rsidR="00106592">
        <w:t xml:space="preserve"> </w:t>
      </w:r>
      <w:r w:rsidR="0079476C">
        <w:t>must have</w:t>
      </w:r>
      <w:r w:rsidR="00106592">
        <w:t xml:space="preserve"> </w:t>
      </w:r>
      <w:r w:rsidR="0079476C">
        <w:t xml:space="preserve">a higher equity ratio to </w:t>
      </w:r>
      <w:r w:rsidR="00106592">
        <w:t xml:space="preserve">finance its utility operations.  </w:t>
      </w:r>
    </w:p>
    <w:p w14:paraId="34EA9C32" w14:textId="77777777" w:rsidR="00806577" w:rsidRDefault="00806577" w:rsidP="00342E8F">
      <w:pPr>
        <w:tabs>
          <w:tab w:val="left" w:pos="720"/>
          <w:tab w:val="left" w:pos="1440"/>
          <w:tab w:val="left" w:pos="9240"/>
        </w:tabs>
        <w:spacing w:line="480" w:lineRule="auto"/>
        <w:ind w:left="720" w:hanging="720"/>
        <w:rPr>
          <w:b/>
        </w:rPr>
      </w:pPr>
    </w:p>
    <w:p w14:paraId="34EA9C33" w14:textId="77777777" w:rsidR="00B95918" w:rsidRDefault="00B95918" w:rsidP="00B95918">
      <w:pPr>
        <w:tabs>
          <w:tab w:val="left" w:pos="720"/>
          <w:tab w:val="left" w:pos="1440"/>
          <w:tab w:val="left" w:pos="9240"/>
        </w:tabs>
        <w:spacing w:line="480" w:lineRule="auto"/>
        <w:ind w:left="720" w:hanging="720"/>
        <w:rPr>
          <w:b/>
        </w:rPr>
      </w:pPr>
      <w:r>
        <w:rPr>
          <w:b/>
        </w:rPr>
        <w:t>Q.</w:t>
      </w:r>
      <w:r>
        <w:rPr>
          <w:b/>
        </w:rPr>
        <w:tab/>
        <w:t xml:space="preserve">In </w:t>
      </w:r>
      <w:r w:rsidR="00140E58">
        <w:rPr>
          <w:b/>
        </w:rPr>
        <w:t xml:space="preserve">the </w:t>
      </w:r>
      <w:r>
        <w:rPr>
          <w:b/>
        </w:rPr>
        <w:t xml:space="preserve">recent contested </w:t>
      </w:r>
      <w:r w:rsidR="00CA7AA5">
        <w:rPr>
          <w:b/>
        </w:rPr>
        <w:t xml:space="preserve">rate </w:t>
      </w:r>
      <w:r>
        <w:rPr>
          <w:b/>
        </w:rPr>
        <w:t>cases involving PacifiCorp and Puget Sound Energy</w:t>
      </w:r>
      <w:r w:rsidR="00202BCD">
        <w:rPr>
          <w:b/>
        </w:rPr>
        <w:t>,</w:t>
      </w:r>
      <w:r>
        <w:rPr>
          <w:b/>
        </w:rPr>
        <w:t xml:space="preserve"> the Commission</w:t>
      </w:r>
      <w:r w:rsidR="00806577" w:rsidRPr="00806577">
        <w:rPr>
          <w:b/>
        </w:rPr>
        <w:t xml:space="preserve"> </w:t>
      </w:r>
      <w:r>
        <w:rPr>
          <w:b/>
        </w:rPr>
        <w:t>rejected your recommendation to use a capital structure with 46 percent equity</w:t>
      </w:r>
      <w:r w:rsidR="00140E58">
        <w:rPr>
          <w:b/>
        </w:rPr>
        <w:t xml:space="preserve"> for those utilities</w:t>
      </w:r>
      <w:r>
        <w:rPr>
          <w:b/>
        </w:rPr>
        <w:t xml:space="preserve">.  </w:t>
      </w:r>
      <w:r w:rsidR="00CA7AA5">
        <w:rPr>
          <w:b/>
        </w:rPr>
        <w:t>Does that change your recommendation</w:t>
      </w:r>
      <w:r w:rsidR="00140E58">
        <w:rPr>
          <w:b/>
        </w:rPr>
        <w:t xml:space="preserve"> for Avista</w:t>
      </w:r>
      <w:r>
        <w:rPr>
          <w:b/>
        </w:rPr>
        <w:t>?</w:t>
      </w:r>
    </w:p>
    <w:p w14:paraId="34EA9C34" w14:textId="0D719FCF" w:rsidR="00764ACA" w:rsidRDefault="00B95918" w:rsidP="00B95918">
      <w:pPr>
        <w:tabs>
          <w:tab w:val="left" w:pos="720"/>
          <w:tab w:val="left" w:pos="1440"/>
          <w:tab w:val="left" w:pos="9240"/>
        </w:tabs>
        <w:spacing w:line="480" w:lineRule="auto"/>
        <w:ind w:left="720" w:hanging="720"/>
      </w:pPr>
      <w:r>
        <w:t>A.</w:t>
      </w:r>
      <w:r>
        <w:tab/>
      </w:r>
      <w:r w:rsidR="00CA7AA5">
        <w:t xml:space="preserve">No.  A </w:t>
      </w:r>
      <w:r w:rsidR="00DC16BB">
        <w:t xml:space="preserve">46 percent equity ratio </w:t>
      </w:r>
      <w:r w:rsidR="005462F1">
        <w:t>is</w:t>
      </w:r>
      <w:r w:rsidR="00140E58">
        <w:t xml:space="preserve"> </w:t>
      </w:r>
      <w:r w:rsidR="00CA7AA5">
        <w:t xml:space="preserve">reasonable for Avista.  </w:t>
      </w:r>
      <w:r w:rsidR="00C17B8D">
        <w:t>It</w:t>
      </w:r>
      <w:r w:rsidR="00D15AE9">
        <w:t xml:space="preserve"> </w:t>
      </w:r>
      <w:r>
        <w:t>support</w:t>
      </w:r>
      <w:r w:rsidR="0079476C">
        <w:t>ed</w:t>
      </w:r>
      <w:r>
        <w:t xml:space="preserve"> a</w:t>
      </w:r>
      <w:r w:rsidR="00274310">
        <w:t>n A- secured</w:t>
      </w:r>
      <w:r>
        <w:t xml:space="preserve"> credit rating for Avista Corporation</w:t>
      </w:r>
      <w:r w:rsidR="00764ACA">
        <w:t xml:space="preserve">, and </w:t>
      </w:r>
      <w:r>
        <w:t>enable</w:t>
      </w:r>
      <w:r w:rsidR="0079476C">
        <w:t>d</w:t>
      </w:r>
      <w:r>
        <w:t xml:space="preserve"> </w:t>
      </w:r>
      <w:r w:rsidR="00DC16BB">
        <w:t>Avista</w:t>
      </w:r>
      <w:r>
        <w:t xml:space="preserve"> to attract capital on reasonable terms</w:t>
      </w:r>
      <w:r w:rsidR="00857EEC">
        <w:t>,</w:t>
      </w:r>
      <w:r>
        <w:t xml:space="preserve"> consistent with </w:t>
      </w:r>
      <w:r w:rsidRPr="003A6178">
        <w:rPr>
          <w:i/>
        </w:rPr>
        <w:t>Bluefield</w:t>
      </w:r>
      <w:r>
        <w:t xml:space="preserve"> and </w:t>
      </w:r>
      <w:r w:rsidRPr="003A6178">
        <w:rPr>
          <w:i/>
        </w:rPr>
        <w:t>Hope</w:t>
      </w:r>
      <w:r>
        <w:t xml:space="preserve">.  </w:t>
      </w:r>
      <w:r w:rsidR="00CA7AA5">
        <w:t>No more is</w:t>
      </w:r>
      <w:r w:rsidR="00274310">
        <w:t xml:space="preserve"> needed</w:t>
      </w:r>
      <w:r w:rsidR="00CA7AA5">
        <w:t>.</w:t>
      </w:r>
      <w:r>
        <w:t xml:space="preserve"> </w:t>
      </w:r>
    </w:p>
    <w:p w14:paraId="34EA9C35" w14:textId="77777777" w:rsidR="0040142E" w:rsidRDefault="0040142E" w:rsidP="0040142E">
      <w:pPr>
        <w:tabs>
          <w:tab w:val="left" w:pos="720"/>
          <w:tab w:val="left" w:pos="1440"/>
          <w:tab w:val="left" w:pos="9240"/>
        </w:tabs>
        <w:spacing w:line="480" w:lineRule="auto"/>
        <w:ind w:left="720" w:hanging="720"/>
      </w:pPr>
    </w:p>
    <w:p w14:paraId="34EA9C36" w14:textId="77777777" w:rsidR="003A7512" w:rsidRPr="003A7512" w:rsidRDefault="003A7512" w:rsidP="0040142E">
      <w:pPr>
        <w:tabs>
          <w:tab w:val="left" w:pos="720"/>
          <w:tab w:val="left" w:pos="1440"/>
          <w:tab w:val="left" w:pos="9240"/>
        </w:tabs>
        <w:spacing w:line="480" w:lineRule="auto"/>
        <w:ind w:left="720" w:hanging="720"/>
        <w:rPr>
          <w:b/>
        </w:rPr>
      </w:pPr>
      <w:r>
        <w:rPr>
          <w:b/>
        </w:rPr>
        <w:t>Q.</w:t>
      </w:r>
      <w:r>
        <w:rPr>
          <w:b/>
        </w:rPr>
        <w:tab/>
        <w:t>Finally, Mr. McKenzie discusses the</w:t>
      </w:r>
      <w:r w:rsidR="00FD08C6">
        <w:rPr>
          <w:b/>
        </w:rPr>
        <w:t xml:space="preserve"> added</w:t>
      </w:r>
      <w:r>
        <w:rPr>
          <w:b/>
        </w:rPr>
        <w:t xml:space="preserve"> risks </w:t>
      </w:r>
      <w:r w:rsidR="00FD08C6">
        <w:rPr>
          <w:b/>
        </w:rPr>
        <w:t>to</w:t>
      </w:r>
      <w:r>
        <w:rPr>
          <w:b/>
        </w:rPr>
        <w:t xml:space="preserve"> Avista </w:t>
      </w:r>
      <w:r w:rsidR="00140E58">
        <w:rPr>
          <w:b/>
        </w:rPr>
        <w:t xml:space="preserve">because </w:t>
      </w:r>
      <w:r w:rsidR="00FD08C6">
        <w:rPr>
          <w:b/>
        </w:rPr>
        <w:t xml:space="preserve">its primary resource is </w:t>
      </w:r>
      <w:r>
        <w:rPr>
          <w:b/>
        </w:rPr>
        <w:t>hydro</w:t>
      </w:r>
      <w:r w:rsidR="00FD08C6">
        <w:rPr>
          <w:b/>
        </w:rPr>
        <w:t xml:space="preserve"> generation</w:t>
      </w:r>
      <w:r>
        <w:rPr>
          <w:b/>
        </w:rPr>
        <w:t>.</w:t>
      </w:r>
      <w:r>
        <w:rPr>
          <w:rStyle w:val="FootnoteReference"/>
          <w:b/>
        </w:rPr>
        <w:footnoteReference w:id="74"/>
      </w:r>
      <w:r>
        <w:rPr>
          <w:b/>
        </w:rPr>
        <w:t xml:space="preserve">  </w:t>
      </w:r>
      <w:r w:rsidR="00140E58">
        <w:rPr>
          <w:b/>
        </w:rPr>
        <w:t xml:space="preserve">Does that justify </w:t>
      </w:r>
      <w:r>
        <w:rPr>
          <w:b/>
        </w:rPr>
        <w:t>the need for additional equity</w:t>
      </w:r>
      <w:r w:rsidR="00F1764E">
        <w:rPr>
          <w:b/>
        </w:rPr>
        <w:t xml:space="preserve"> in the capital structure</w:t>
      </w:r>
      <w:r>
        <w:rPr>
          <w:b/>
        </w:rPr>
        <w:t>?</w:t>
      </w:r>
    </w:p>
    <w:p w14:paraId="34EA9C37" w14:textId="33A3C262" w:rsidR="008B4E83" w:rsidRDefault="003A7512" w:rsidP="0040142E">
      <w:pPr>
        <w:tabs>
          <w:tab w:val="left" w:pos="720"/>
          <w:tab w:val="left" w:pos="1440"/>
          <w:tab w:val="left" w:pos="9240"/>
        </w:tabs>
        <w:spacing w:line="480" w:lineRule="auto"/>
        <w:ind w:left="720" w:hanging="720"/>
      </w:pPr>
      <w:r>
        <w:t>A.</w:t>
      </w:r>
      <w:r>
        <w:tab/>
      </w:r>
      <w:r w:rsidR="00140E58">
        <w:t xml:space="preserve">No.  There is no added risk associated with hydro generation.  </w:t>
      </w:r>
      <w:r w:rsidR="00052B88">
        <w:t>T</w:t>
      </w:r>
      <w:r>
        <w:t>he Commission</w:t>
      </w:r>
      <w:r w:rsidR="008B4E83">
        <w:t xml:space="preserve"> includes hydro variation i</w:t>
      </w:r>
      <w:r w:rsidR="00FD08C6">
        <w:t>n the normalized price of power.  In other words,</w:t>
      </w:r>
      <w:r w:rsidR="00ED0067">
        <w:t xml:space="preserve"> </w:t>
      </w:r>
      <w:r w:rsidR="005C6116">
        <w:t xml:space="preserve">the </w:t>
      </w:r>
      <w:r w:rsidR="004A6E38">
        <w:t>cost</w:t>
      </w:r>
      <w:r w:rsidR="00ED0067">
        <w:t xml:space="preserve"> of power </w:t>
      </w:r>
      <w:r w:rsidR="005C6116">
        <w:t xml:space="preserve">for ratepayers </w:t>
      </w:r>
      <w:r w:rsidR="00ED0067">
        <w:t xml:space="preserve">explicitly includes the impact of stream flow variability and the added </w:t>
      </w:r>
      <w:r w:rsidR="00274310">
        <w:t>expense</w:t>
      </w:r>
      <w:r w:rsidR="00A14C0F">
        <w:t xml:space="preserve"> of </w:t>
      </w:r>
      <w:r w:rsidR="00274310">
        <w:t xml:space="preserve">alternate sources of </w:t>
      </w:r>
      <w:r w:rsidR="00A14C0F">
        <w:t xml:space="preserve">power </w:t>
      </w:r>
      <w:r w:rsidR="00ED0067">
        <w:t xml:space="preserve">under adverse </w:t>
      </w:r>
      <w:r w:rsidR="00FD08C6">
        <w:t xml:space="preserve">hydro </w:t>
      </w:r>
      <w:r w:rsidR="00ED0067">
        <w:t>conditions</w:t>
      </w:r>
      <w:r w:rsidR="00FD08C6">
        <w:t xml:space="preserve">.  </w:t>
      </w:r>
      <w:r w:rsidR="00391D86">
        <w:t xml:space="preserve"> </w:t>
      </w:r>
      <w:r w:rsidR="00140E58">
        <w:t xml:space="preserve">Moreover, </w:t>
      </w:r>
      <w:r w:rsidR="00FD08C6">
        <w:t>Avista has an ERM mechanism that h</w:t>
      </w:r>
      <w:r w:rsidR="008B4E83">
        <w:t xml:space="preserve">as asymmetrical sharing bands to </w:t>
      </w:r>
      <w:r w:rsidR="008B4E83">
        <w:lastRenderedPageBreak/>
        <w:t xml:space="preserve">account for the disparate impact of </w:t>
      </w:r>
      <w:r w:rsidR="00B72978">
        <w:t>variations in hydro</w:t>
      </w:r>
      <w:r w:rsidR="008B4E83">
        <w:t xml:space="preserve"> conditions on Avista’s actual cost</w:t>
      </w:r>
      <w:r w:rsidR="00E674E9">
        <w:t xml:space="preserve"> of power during the rate year</w:t>
      </w:r>
      <w:r w:rsidR="008B4E83">
        <w:t>.</w:t>
      </w:r>
    </w:p>
    <w:p w14:paraId="34EA9C38" w14:textId="77777777" w:rsidR="008B4E83" w:rsidRDefault="008B4E83" w:rsidP="0040142E">
      <w:pPr>
        <w:tabs>
          <w:tab w:val="left" w:pos="720"/>
          <w:tab w:val="left" w:pos="1440"/>
          <w:tab w:val="left" w:pos="9240"/>
        </w:tabs>
        <w:spacing w:line="480" w:lineRule="auto"/>
        <w:ind w:left="720" w:hanging="720"/>
      </w:pPr>
      <w:r>
        <w:tab/>
      </w:r>
      <w:r>
        <w:tab/>
        <w:t>Most importantly, a resource portfolio comprised of 40 percent low cost hydro</w:t>
      </w:r>
      <w:r w:rsidR="00106592">
        <w:t xml:space="preserve"> actually lowers Avista’s risk</w:t>
      </w:r>
      <w:r>
        <w:t>.</w:t>
      </w:r>
      <w:r w:rsidR="00FD08C6">
        <w:t xml:space="preserve"> </w:t>
      </w:r>
      <w:r w:rsidR="00895C85">
        <w:t xml:space="preserve"> Th</w:t>
      </w:r>
      <w:r w:rsidR="00FD08C6">
        <w:t xml:space="preserve">e </w:t>
      </w:r>
      <w:r w:rsidR="00D979D1">
        <w:t>C</w:t>
      </w:r>
      <w:r w:rsidR="00FD08C6">
        <w:t>ompany’s resource portfolio creates unique opportunities for Avista to offer products that no other utility can</w:t>
      </w:r>
      <w:r w:rsidR="00D979D1">
        <w:t>,</w:t>
      </w:r>
      <w:r w:rsidR="00FD08C6">
        <w:t xml:space="preserve"> because of its low cost resource stack consisting of significant hydro generation.</w:t>
      </w:r>
      <w:r w:rsidR="00140E58">
        <w:t xml:space="preserve">  Neither Mr. McKenzie nor S&amp;P appear to consider these benefits.  </w:t>
      </w:r>
    </w:p>
    <w:p w14:paraId="34EA9C39" w14:textId="77777777" w:rsidR="00FD08C6" w:rsidRDefault="008B4E83" w:rsidP="0040142E">
      <w:pPr>
        <w:tabs>
          <w:tab w:val="left" w:pos="720"/>
          <w:tab w:val="left" w:pos="1440"/>
          <w:tab w:val="left" w:pos="9240"/>
        </w:tabs>
        <w:spacing w:line="480" w:lineRule="auto"/>
        <w:ind w:left="720" w:hanging="720"/>
      </w:pPr>
      <w:r>
        <w:tab/>
      </w:r>
      <w:r>
        <w:tab/>
        <w:t>To conclude, the Commission’s practice of using all reasonably expected hydro conditions in determining normalized power supply expense</w:t>
      </w:r>
      <w:r w:rsidR="00391D86">
        <w:t>,</w:t>
      </w:r>
      <w:r>
        <w:t xml:space="preserve"> </w:t>
      </w:r>
      <w:r w:rsidR="00FD08C6">
        <w:t xml:space="preserve">and the ERM </w:t>
      </w:r>
      <w:r>
        <w:t xml:space="preserve">is </w:t>
      </w:r>
      <w:r w:rsidR="00140E58">
        <w:t xml:space="preserve">a positive for </w:t>
      </w:r>
      <w:r w:rsidR="0095653D">
        <w:t>investors</w:t>
      </w:r>
      <w:r w:rsidR="00140E58">
        <w:t>, not a negative</w:t>
      </w:r>
      <w:r>
        <w:t xml:space="preserve">.  </w:t>
      </w:r>
      <w:r w:rsidR="0095653D">
        <w:t xml:space="preserve"> </w:t>
      </w:r>
    </w:p>
    <w:p w14:paraId="34EA9C3A" w14:textId="77777777" w:rsidR="003A7512" w:rsidRDefault="003A7512" w:rsidP="0040142E">
      <w:pPr>
        <w:tabs>
          <w:tab w:val="left" w:pos="720"/>
          <w:tab w:val="left" w:pos="1440"/>
          <w:tab w:val="left" w:pos="9240"/>
        </w:tabs>
        <w:spacing w:line="480" w:lineRule="auto"/>
        <w:ind w:left="720" w:hanging="720"/>
      </w:pPr>
    </w:p>
    <w:p w14:paraId="34EA9C3B" w14:textId="77777777" w:rsidR="005D3B74" w:rsidRPr="00274310" w:rsidRDefault="00ED0067" w:rsidP="00274310">
      <w:pPr>
        <w:pStyle w:val="ListParagraph"/>
        <w:keepNext/>
        <w:numPr>
          <w:ilvl w:val="0"/>
          <w:numId w:val="36"/>
        </w:numPr>
        <w:tabs>
          <w:tab w:val="left" w:pos="720"/>
          <w:tab w:val="left" w:pos="1440"/>
          <w:tab w:val="left" w:pos="9240"/>
        </w:tabs>
        <w:spacing w:line="480" w:lineRule="auto"/>
        <w:rPr>
          <w:b/>
        </w:rPr>
      </w:pPr>
      <w:r w:rsidRPr="00274310">
        <w:rPr>
          <w:b/>
        </w:rPr>
        <w:t xml:space="preserve">Mr. McKenzie’s </w:t>
      </w:r>
      <w:r w:rsidR="005D3B74" w:rsidRPr="00274310">
        <w:rPr>
          <w:b/>
        </w:rPr>
        <w:t xml:space="preserve">DCF </w:t>
      </w:r>
      <w:r w:rsidRPr="00274310">
        <w:rPr>
          <w:b/>
        </w:rPr>
        <w:t>Results</w:t>
      </w:r>
    </w:p>
    <w:p w14:paraId="34EA9C3C" w14:textId="77777777" w:rsidR="00274310" w:rsidRDefault="00274310" w:rsidP="00274310">
      <w:pPr>
        <w:keepNext/>
        <w:tabs>
          <w:tab w:val="left" w:pos="720"/>
          <w:tab w:val="left" w:pos="1440"/>
          <w:tab w:val="left" w:pos="9240"/>
        </w:tabs>
        <w:spacing w:line="480" w:lineRule="auto"/>
        <w:rPr>
          <w:b/>
        </w:rPr>
      </w:pPr>
    </w:p>
    <w:p w14:paraId="34EA9C3D" w14:textId="77777777" w:rsidR="00274310" w:rsidRDefault="00274310" w:rsidP="00274310">
      <w:pPr>
        <w:keepNext/>
        <w:tabs>
          <w:tab w:val="left" w:pos="720"/>
          <w:tab w:val="left" w:pos="1440"/>
          <w:tab w:val="left" w:pos="9240"/>
        </w:tabs>
        <w:spacing w:line="480" w:lineRule="auto"/>
        <w:rPr>
          <w:b/>
        </w:rPr>
      </w:pPr>
      <w:r>
        <w:rPr>
          <w:b/>
        </w:rPr>
        <w:t>Q.</w:t>
      </w:r>
      <w:r>
        <w:rPr>
          <w:b/>
        </w:rPr>
        <w:tab/>
        <w:t>Please comment on Mr. McKenzie’s estimate of dividend yield</w:t>
      </w:r>
      <w:r w:rsidR="00140E58">
        <w:rPr>
          <w:b/>
        </w:rPr>
        <w:t>.</w:t>
      </w:r>
    </w:p>
    <w:p w14:paraId="34EA9C3E" w14:textId="0A899896" w:rsidR="00274310" w:rsidRPr="00274310" w:rsidRDefault="00274310" w:rsidP="00A0224C">
      <w:pPr>
        <w:tabs>
          <w:tab w:val="left" w:pos="720"/>
          <w:tab w:val="left" w:pos="1440"/>
          <w:tab w:val="left" w:pos="9240"/>
        </w:tabs>
        <w:spacing w:line="480" w:lineRule="auto"/>
        <w:ind w:left="720" w:hanging="720"/>
      </w:pPr>
      <w:r>
        <w:t>A.</w:t>
      </w:r>
      <w:r>
        <w:tab/>
      </w:r>
      <w:r w:rsidR="00140E58">
        <w:t xml:space="preserve">Mr. McKenzie’s 4.6 percent dividend yield </w:t>
      </w:r>
      <w:r>
        <w:t xml:space="preserve">is </w:t>
      </w:r>
      <w:r w:rsidR="00687EF9">
        <w:t>higher</w:t>
      </w:r>
      <w:r>
        <w:t xml:space="preserve"> than my estimate </w:t>
      </w:r>
      <w:r w:rsidR="00140E58">
        <w:t>of 4.</w:t>
      </w:r>
      <w:r w:rsidR="00687EF9">
        <w:t>1</w:t>
      </w:r>
      <w:r w:rsidR="00140E58">
        <w:t xml:space="preserve"> percent, because he </w:t>
      </w:r>
      <w:r>
        <w:t xml:space="preserve">uses older data </w:t>
      </w:r>
      <w:r w:rsidR="004A6E38">
        <w:t>that</w:t>
      </w:r>
      <w:r>
        <w:t xml:space="preserve"> does not reflect Avista Corporation’s recent increase dividend payment and </w:t>
      </w:r>
      <w:r w:rsidR="00140E58">
        <w:t xml:space="preserve">its </w:t>
      </w:r>
      <w:r>
        <w:t xml:space="preserve">subsequent </w:t>
      </w:r>
      <w:r w:rsidR="00363355">
        <w:t>effect</w:t>
      </w:r>
      <w:r>
        <w:t xml:space="preserve"> on the </w:t>
      </w:r>
      <w:r w:rsidR="00140E58">
        <w:t xml:space="preserve">stock </w:t>
      </w:r>
      <w:r>
        <w:t xml:space="preserve">price.  </w:t>
      </w:r>
      <w:r w:rsidR="00DD5A0C">
        <w:t xml:space="preserve">His estimate also does not take into account </w:t>
      </w:r>
      <w:r w:rsidR="005462F1">
        <w:t>recent</w:t>
      </w:r>
      <w:r w:rsidR="00DD5A0C">
        <w:t xml:space="preserve"> increases in </w:t>
      </w:r>
      <w:r w:rsidR="00FD2AAC">
        <w:t xml:space="preserve">the </w:t>
      </w:r>
      <w:r w:rsidR="00DD5A0C">
        <w:t>stock price</w:t>
      </w:r>
      <w:r w:rsidR="00FD2AAC">
        <w:t xml:space="preserve"> of Avista Corporation</w:t>
      </w:r>
      <w:r w:rsidR="00DD5A0C">
        <w:t>.</w:t>
      </w:r>
    </w:p>
    <w:p w14:paraId="34EA9C3F" w14:textId="77777777" w:rsidR="005D3B74" w:rsidRDefault="005D3B74" w:rsidP="00A0224C">
      <w:pPr>
        <w:tabs>
          <w:tab w:val="left" w:pos="720"/>
          <w:tab w:val="left" w:pos="1440"/>
          <w:tab w:val="left" w:pos="9240"/>
        </w:tabs>
        <w:spacing w:line="480" w:lineRule="auto"/>
        <w:ind w:left="720" w:hanging="720"/>
        <w:rPr>
          <w:b/>
        </w:rPr>
      </w:pPr>
    </w:p>
    <w:p w14:paraId="34EA9C40" w14:textId="77777777" w:rsidR="00274310" w:rsidRDefault="005D3B74" w:rsidP="005D3B74">
      <w:pPr>
        <w:tabs>
          <w:tab w:val="left" w:pos="720"/>
          <w:tab w:val="left" w:pos="1440"/>
          <w:tab w:val="left" w:pos="9240"/>
        </w:tabs>
        <w:spacing w:line="480" w:lineRule="auto"/>
        <w:ind w:left="720" w:hanging="720"/>
        <w:rPr>
          <w:b/>
        </w:rPr>
      </w:pPr>
      <w:r>
        <w:rPr>
          <w:b/>
        </w:rPr>
        <w:t>Q.</w:t>
      </w:r>
      <w:r>
        <w:rPr>
          <w:b/>
        </w:rPr>
        <w:tab/>
      </w:r>
      <w:r w:rsidR="00274310">
        <w:rPr>
          <w:b/>
        </w:rPr>
        <w:t xml:space="preserve">Does </w:t>
      </w:r>
      <w:r w:rsidR="00ED0067">
        <w:rPr>
          <w:b/>
        </w:rPr>
        <w:t>Mr. McKenzie provide a DCF analysis using constant growth estimate</w:t>
      </w:r>
      <w:r w:rsidR="00274310">
        <w:rPr>
          <w:b/>
        </w:rPr>
        <w:t>?</w:t>
      </w:r>
    </w:p>
    <w:p w14:paraId="34EA9C41" w14:textId="59FD13A9" w:rsidR="002700F9" w:rsidRDefault="00274310" w:rsidP="00AC0585">
      <w:pPr>
        <w:tabs>
          <w:tab w:val="left" w:pos="720"/>
          <w:tab w:val="left" w:pos="1440"/>
          <w:tab w:val="left" w:pos="9240"/>
        </w:tabs>
        <w:spacing w:line="480" w:lineRule="auto"/>
        <w:ind w:left="720" w:hanging="720"/>
      </w:pPr>
      <w:r>
        <w:t>A.</w:t>
      </w:r>
      <w:r>
        <w:tab/>
        <w:t>Yes.</w:t>
      </w:r>
      <w:r w:rsidR="00AC0585">
        <w:t xml:space="preserve">  </w:t>
      </w:r>
      <w:r w:rsidR="00140E58">
        <w:t xml:space="preserve">Mr. </w:t>
      </w:r>
      <w:r w:rsidR="00363355">
        <w:t>McKenzie’s</w:t>
      </w:r>
      <w:r w:rsidR="007931A0">
        <w:t xml:space="preserve"> </w:t>
      </w:r>
      <w:r w:rsidR="004353D6">
        <w:t xml:space="preserve">DCF estimate </w:t>
      </w:r>
      <w:r w:rsidR="00391D86">
        <w:t xml:space="preserve">of ROE </w:t>
      </w:r>
      <w:r w:rsidR="00140E58">
        <w:t xml:space="preserve">using </w:t>
      </w:r>
      <w:r w:rsidR="00CA1759">
        <w:t xml:space="preserve">constant growth </w:t>
      </w:r>
      <w:r w:rsidR="00391D86">
        <w:t>is</w:t>
      </w:r>
      <w:r w:rsidR="00140E58">
        <w:t xml:space="preserve"> 8.6 percent</w:t>
      </w:r>
      <w:r w:rsidR="00391D86">
        <w:t>.</w:t>
      </w:r>
      <w:r w:rsidR="00CA1759">
        <w:rPr>
          <w:rStyle w:val="FootnoteReference"/>
        </w:rPr>
        <w:footnoteReference w:id="75"/>
      </w:r>
      <w:r w:rsidR="00E11208">
        <w:t xml:space="preserve">  This </w:t>
      </w:r>
      <w:r w:rsidR="00140E58">
        <w:t xml:space="preserve">DCF ROE estimate </w:t>
      </w:r>
      <w:r w:rsidR="00E11208">
        <w:t>is essentially the</w:t>
      </w:r>
      <w:r w:rsidR="00140E58">
        <w:t xml:space="preserve"> same as mine.  </w:t>
      </w:r>
      <w:r w:rsidR="00CA1759">
        <w:t>Unfortunately</w:t>
      </w:r>
      <w:r w:rsidR="005456A4">
        <w:t xml:space="preserve">, </w:t>
      </w:r>
      <w:r w:rsidR="00CA1759">
        <w:t xml:space="preserve">he </w:t>
      </w:r>
      <w:r w:rsidR="009C33C6">
        <w:t xml:space="preserve">dismisses </w:t>
      </w:r>
      <w:r w:rsidR="00CA1759">
        <w:lastRenderedPageBreak/>
        <w:t>th</w:t>
      </w:r>
      <w:r w:rsidR="00140E58">
        <w:t>is</w:t>
      </w:r>
      <w:r w:rsidR="00CA1759">
        <w:t xml:space="preserve"> result</w:t>
      </w:r>
      <w:r w:rsidR="00843DDD">
        <w:t>.</w:t>
      </w:r>
      <w:r w:rsidR="00391D86">
        <w:t xml:space="preserve"> </w:t>
      </w:r>
      <w:r w:rsidR="00087704" w:rsidRPr="00087704">
        <w:t xml:space="preserve"> </w:t>
      </w:r>
      <w:r w:rsidR="00087704">
        <w:t xml:space="preserve">He then </w:t>
      </w:r>
      <w:r w:rsidR="00687EF9">
        <w:t>manipulate</w:t>
      </w:r>
      <w:r w:rsidR="00D979D1">
        <w:t>s</w:t>
      </w:r>
      <w:r w:rsidR="00087704">
        <w:t xml:space="preserve"> earnings estimates to create his inflated </w:t>
      </w:r>
      <w:r w:rsidR="00D979D1">
        <w:t xml:space="preserve">ROE </w:t>
      </w:r>
      <w:r w:rsidR="00087704">
        <w:t>estimate</w:t>
      </w:r>
      <w:r w:rsidR="00B72978">
        <w:t xml:space="preserve"> for his DCF analysis</w:t>
      </w:r>
      <w:r w:rsidR="00087704">
        <w:t>.</w:t>
      </w:r>
    </w:p>
    <w:p w14:paraId="34EA9C42" w14:textId="77777777" w:rsidR="002700F9" w:rsidRDefault="002700F9" w:rsidP="00AC0585">
      <w:pPr>
        <w:tabs>
          <w:tab w:val="left" w:pos="720"/>
          <w:tab w:val="left" w:pos="1440"/>
          <w:tab w:val="left" w:pos="9240"/>
        </w:tabs>
        <w:spacing w:line="480" w:lineRule="auto"/>
        <w:ind w:left="720" w:hanging="720"/>
      </w:pPr>
    </w:p>
    <w:p w14:paraId="34EA9C43" w14:textId="77777777" w:rsidR="002700F9" w:rsidRDefault="002700F9" w:rsidP="00AC0585">
      <w:pPr>
        <w:tabs>
          <w:tab w:val="left" w:pos="720"/>
          <w:tab w:val="left" w:pos="1440"/>
          <w:tab w:val="left" w:pos="9240"/>
        </w:tabs>
        <w:spacing w:line="480" w:lineRule="auto"/>
        <w:ind w:left="720" w:hanging="720"/>
        <w:rPr>
          <w:b/>
        </w:rPr>
      </w:pPr>
      <w:r>
        <w:rPr>
          <w:b/>
        </w:rPr>
        <w:t>Q.</w:t>
      </w:r>
      <w:r>
        <w:rPr>
          <w:b/>
        </w:rPr>
        <w:tab/>
        <w:t>Is it reasonable for Mr. McKenzie to dismiss his 8.6 percent ROE estimate for Avista using DCF and his constant growth estimate?</w:t>
      </w:r>
    </w:p>
    <w:p w14:paraId="34EA9C44" w14:textId="77777777" w:rsidR="000D31B5" w:rsidRDefault="00E11208" w:rsidP="00AC0585">
      <w:pPr>
        <w:tabs>
          <w:tab w:val="left" w:pos="720"/>
          <w:tab w:val="left" w:pos="1440"/>
          <w:tab w:val="left" w:pos="9240"/>
        </w:tabs>
        <w:spacing w:line="480" w:lineRule="auto"/>
        <w:ind w:left="720" w:hanging="720"/>
      </w:pPr>
      <w:r>
        <w:t>A.</w:t>
      </w:r>
      <w:r>
        <w:tab/>
        <w:t xml:space="preserve">No.  </w:t>
      </w:r>
    </w:p>
    <w:p w14:paraId="34EA9C45" w14:textId="77777777" w:rsidR="004353D6" w:rsidRDefault="004353D6" w:rsidP="005D3B74">
      <w:pPr>
        <w:tabs>
          <w:tab w:val="left" w:pos="720"/>
          <w:tab w:val="left" w:pos="1440"/>
          <w:tab w:val="left" w:pos="9240"/>
        </w:tabs>
        <w:spacing w:line="480" w:lineRule="auto"/>
        <w:ind w:left="720" w:hanging="720"/>
      </w:pPr>
    </w:p>
    <w:p w14:paraId="34EA9C46" w14:textId="77777777" w:rsidR="004353D6" w:rsidRDefault="004353D6" w:rsidP="005D3B74">
      <w:pPr>
        <w:tabs>
          <w:tab w:val="left" w:pos="720"/>
          <w:tab w:val="left" w:pos="1440"/>
          <w:tab w:val="left" w:pos="9240"/>
        </w:tabs>
        <w:spacing w:line="480" w:lineRule="auto"/>
        <w:ind w:left="720" w:hanging="720"/>
        <w:rPr>
          <w:b/>
        </w:rPr>
      </w:pPr>
      <w:r>
        <w:rPr>
          <w:b/>
        </w:rPr>
        <w:t>Q.</w:t>
      </w:r>
      <w:r>
        <w:rPr>
          <w:b/>
        </w:rPr>
        <w:tab/>
        <w:t xml:space="preserve">Please describe </w:t>
      </w:r>
      <w:r w:rsidR="00CA1759">
        <w:rPr>
          <w:b/>
        </w:rPr>
        <w:t>other aspects of Mr. McKenzie’s DCF</w:t>
      </w:r>
      <w:r w:rsidR="005456A4">
        <w:rPr>
          <w:b/>
        </w:rPr>
        <w:t xml:space="preserve"> results</w:t>
      </w:r>
      <w:r w:rsidR="00ED0067">
        <w:rPr>
          <w:b/>
        </w:rPr>
        <w:t xml:space="preserve"> using earnings </w:t>
      </w:r>
      <w:r w:rsidR="00AC0585">
        <w:rPr>
          <w:b/>
        </w:rPr>
        <w:t xml:space="preserve">estimates </w:t>
      </w:r>
      <w:r w:rsidR="00ED0067">
        <w:rPr>
          <w:b/>
        </w:rPr>
        <w:t>as an indicator of sustainable dividend growth</w:t>
      </w:r>
      <w:r>
        <w:rPr>
          <w:b/>
        </w:rPr>
        <w:t>.</w:t>
      </w:r>
    </w:p>
    <w:p w14:paraId="34EA9C47" w14:textId="77777777" w:rsidR="002700F9" w:rsidRDefault="004353D6" w:rsidP="005D3B74">
      <w:pPr>
        <w:tabs>
          <w:tab w:val="left" w:pos="720"/>
          <w:tab w:val="left" w:pos="1440"/>
          <w:tab w:val="left" w:pos="9240"/>
        </w:tabs>
        <w:spacing w:line="480" w:lineRule="auto"/>
        <w:ind w:left="720" w:hanging="720"/>
      </w:pPr>
      <w:r>
        <w:t>A.</w:t>
      </w:r>
      <w:r>
        <w:tab/>
      </w:r>
      <w:r w:rsidR="002700F9">
        <w:t xml:space="preserve">Referring to </w:t>
      </w:r>
      <w:r w:rsidR="009C1404">
        <w:t>Mr. McKenzie</w:t>
      </w:r>
      <w:r w:rsidR="005456A4">
        <w:t xml:space="preserve">’s </w:t>
      </w:r>
      <w:r w:rsidR="00901AF4">
        <w:t>Exhibit</w:t>
      </w:r>
      <w:r w:rsidR="005456A4">
        <w:t xml:space="preserve"> ___ (</w:t>
      </w:r>
      <w:r w:rsidR="00CA1759">
        <w:t>AMM-6</w:t>
      </w:r>
      <w:r w:rsidR="00ED0067">
        <w:t xml:space="preserve">), page </w:t>
      </w:r>
      <w:r w:rsidR="00901AF4">
        <w:t>3</w:t>
      </w:r>
      <w:r w:rsidR="002700F9">
        <w:t xml:space="preserve">, he </w:t>
      </w:r>
      <w:r w:rsidR="00901AF4">
        <w:t xml:space="preserve">shows ROE </w:t>
      </w:r>
      <w:r w:rsidR="00CA1759">
        <w:t>results all less than 10.0 percent</w:t>
      </w:r>
      <w:r w:rsidR="002700F9">
        <w:t>,</w:t>
      </w:r>
      <w:r w:rsidR="00CA1759">
        <w:t xml:space="preserve"> even after eliminating what h</w:t>
      </w:r>
      <w:r w:rsidR="00DB1656">
        <w:t>e</w:t>
      </w:r>
      <w:r w:rsidR="00CA1759">
        <w:t xml:space="preserve"> believes to be </w:t>
      </w:r>
      <w:r w:rsidR="00363355">
        <w:t>anomalous</w:t>
      </w:r>
      <w:r w:rsidR="00CA1759">
        <w:t xml:space="preserve"> results. </w:t>
      </w:r>
      <w:r w:rsidR="002933D0">
        <w:t xml:space="preserve"> </w:t>
      </w:r>
      <w:r w:rsidR="002700F9">
        <w:t xml:space="preserve">This page </w:t>
      </w:r>
      <w:r w:rsidR="00CA1759">
        <w:t xml:space="preserve">also shows how earnings estimates produce highly variable </w:t>
      </w:r>
      <w:r w:rsidR="00AC0585">
        <w:t>estimates in his study</w:t>
      </w:r>
      <w:r w:rsidR="00CA1759">
        <w:t xml:space="preserve">.    </w:t>
      </w:r>
    </w:p>
    <w:p w14:paraId="34EA9C48" w14:textId="77777777" w:rsidR="00D9476A" w:rsidRDefault="002700F9" w:rsidP="005D3B74">
      <w:pPr>
        <w:tabs>
          <w:tab w:val="left" w:pos="720"/>
          <w:tab w:val="left" w:pos="1440"/>
          <w:tab w:val="left" w:pos="9240"/>
        </w:tabs>
        <w:spacing w:line="480" w:lineRule="auto"/>
        <w:ind w:left="720" w:hanging="720"/>
      </w:pPr>
      <w:r>
        <w:tab/>
      </w:r>
      <w:r>
        <w:tab/>
      </w:r>
      <w:r w:rsidR="008B4E83">
        <w:t xml:space="preserve">For </w:t>
      </w:r>
      <w:r w:rsidR="00CA1759">
        <w:t xml:space="preserve">example, </w:t>
      </w:r>
      <w:r w:rsidR="007931A0">
        <w:t xml:space="preserve">the data show </w:t>
      </w:r>
      <w:r w:rsidR="00AC0585" w:rsidRPr="00DB1656">
        <w:rPr>
          <w:i/>
        </w:rPr>
        <w:t>Value Line</w:t>
      </w:r>
      <w:r w:rsidR="00AC0585">
        <w:t xml:space="preserve"> </w:t>
      </w:r>
      <w:r w:rsidR="00CA1759">
        <w:t xml:space="preserve">earnings </w:t>
      </w:r>
      <w:r w:rsidR="006F3C30">
        <w:t>estimate</w:t>
      </w:r>
      <w:r w:rsidR="00CA1759">
        <w:t>s</w:t>
      </w:r>
      <w:r w:rsidR="006F3C30">
        <w:t xml:space="preserve"> </w:t>
      </w:r>
      <w:r w:rsidR="00901AF4">
        <w:t xml:space="preserve">for </w:t>
      </w:r>
      <w:r w:rsidR="00CA1759">
        <w:t>Black Hill</w:t>
      </w:r>
      <w:r w:rsidR="00AC0585">
        <w:t>s</w:t>
      </w:r>
      <w:r w:rsidR="00CA1759">
        <w:t xml:space="preserve"> is 14.5 percent</w:t>
      </w:r>
      <w:r>
        <w:t>,</w:t>
      </w:r>
      <w:r w:rsidR="00CA1759">
        <w:t xml:space="preserve"> yet </w:t>
      </w:r>
      <w:r w:rsidR="00901AF4">
        <w:t xml:space="preserve">IBES </w:t>
      </w:r>
      <w:r w:rsidR="00CA1759">
        <w:t>and</w:t>
      </w:r>
      <w:r w:rsidR="00901AF4">
        <w:t xml:space="preserve"> </w:t>
      </w:r>
      <w:r w:rsidR="003977C6">
        <w:t>Zach’s</w:t>
      </w:r>
      <w:r w:rsidR="00901AF4">
        <w:t xml:space="preserve"> earnings estimates</w:t>
      </w:r>
      <w:r w:rsidR="00AC0585">
        <w:t xml:space="preserve"> </w:t>
      </w:r>
      <w:r w:rsidR="00CA1759">
        <w:t xml:space="preserve">are </w:t>
      </w:r>
      <w:r>
        <w:t xml:space="preserve">less than half that: </w:t>
      </w:r>
      <w:r w:rsidR="007931A0">
        <w:t xml:space="preserve">only </w:t>
      </w:r>
      <w:r w:rsidR="00CA1759">
        <w:t>7.0</w:t>
      </w:r>
      <w:r w:rsidR="00D15AE9">
        <w:t xml:space="preserve"> percent</w:t>
      </w:r>
      <w:r w:rsidR="0064563B">
        <w:t xml:space="preserve">. </w:t>
      </w:r>
      <w:r w:rsidR="007931A0">
        <w:t xml:space="preserve"> Such </w:t>
      </w:r>
      <w:r>
        <w:t xml:space="preserve">significant </w:t>
      </w:r>
      <w:r w:rsidR="007931A0">
        <w:t>differences warrant some explanation</w:t>
      </w:r>
      <w:r>
        <w:t>; Mr. McKenzie provides none</w:t>
      </w:r>
      <w:r w:rsidR="007931A0">
        <w:t>.</w:t>
      </w:r>
    </w:p>
    <w:p w14:paraId="34EA9C49" w14:textId="77777777" w:rsidR="002700F9" w:rsidRDefault="00D9476A" w:rsidP="005D3B74">
      <w:pPr>
        <w:tabs>
          <w:tab w:val="left" w:pos="720"/>
          <w:tab w:val="left" w:pos="1440"/>
          <w:tab w:val="left" w:pos="9240"/>
        </w:tabs>
        <w:spacing w:line="480" w:lineRule="auto"/>
        <w:ind w:left="720" w:hanging="720"/>
      </w:pPr>
      <w:r>
        <w:tab/>
      </w:r>
      <w:r>
        <w:tab/>
      </w:r>
      <w:r w:rsidR="002700F9">
        <w:t xml:space="preserve">Mr. McKenzie’s DCF estimates also exhibit a </w:t>
      </w:r>
      <w:r w:rsidR="00054233">
        <w:t xml:space="preserve">high degree of variability. </w:t>
      </w:r>
      <w:r w:rsidR="0064563B">
        <w:t xml:space="preserve"> </w:t>
      </w:r>
      <w:r w:rsidR="002700F9">
        <w:t>U</w:t>
      </w:r>
      <w:r w:rsidR="00054233">
        <w:t xml:space="preserve">sing </w:t>
      </w:r>
      <w:r w:rsidR="00054233" w:rsidRPr="00054233">
        <w:rPr>
          <w:i/>
        </w:rPr>
        <w:t>Value Line</w:t>
      </w:r>
      <w:r w:rsidR="00054233">
        <w:t xml:space="preserve"> earnings estimates</w:t>
      </w:r>
      <w:r w:rsidR="002700F9">
        <w:t xml:space="preserve">, the </w:t>
      </w:r>
      <w:r w:rsidR="00054233">
        <w:t xml:space="preserve">ROE estimates </w:t>
      </w:r>
      <w:r w:rsidR="002700F9">
        <w:t xml:space="preserve">for the companies in his proxy group range </w:t>
      </w:r>
      <w:r w:rsidR="00054233">
        <w:t xml:space="preserve">between -1.0 and 25.6 percent.  Using IBES </w:t>
      </w:r>
      <w:r w:rsidR="007931A0">
        <w:t>data</w:t>
      </w:r>
      <w:r w:rsidR="002700F9">
        <w:t>,</w:t>
      </w:r>
      <w:r w:rsidR="00054233">
        <w:t xml:space="preserve"> his proxy group ROE estimates range </w:t>
      </w:r>
      <w:r w:rsidR="002700F9">
        <w:t xml:space="preserve">between </w:t>
      </w:r>
      <w:r w:rsidR="00054233">
        <w:t xml:space="preserve">-1.2 </w:t>
      </w:r>
      <w:r w:rsidR="002700F9">
        <w:t xml:space="preserve">and </w:t>
      </w:r>
      <w:r w:rsidR="00054233">
        <w:t>12.5 percent</w:t>
      </w:r>
      <w:r w:rsidR="0064563B">
        <w:t>.</w:t>
      </w:r>
      <w:r w:rsidR="00A36D8B">
        <w:t xml:space="preserve">  </w:t>
      </w:r>
      <w:r w:rsidR="00054233">
        <w:t xml:space="preserve">Finally, </w:t>
      </w:r>
      <w:r w:rsidR="002700F9">
        <w:t>u</w:t>
      </w:r>
      <w:r w:rsidR="00054233">
        <w:t xml:space="preserve">sing </w:t>
      </w:r>
      <w:proofErr w:type="spellStart"/>
      <w:r w:rsidR="00054233">
        <w:t>Zacks</w:t>
      </w:r>
      <w:proofErr w:type="spellEnd"/>
      <w:r w:rsidR="00054233">
        <w:t xml:space="preserve"> </w:t>
      </w:r>
      <w:r w:rsidR="007931A0">
        <w:t>data</w:t>
      </w:r>
      <w:r w:rsidR="002700F9">
        <w:t>,</w:t>
      </w:r>
      <w:r w:rsidR="00054233">
        <w:t xml:space="preserve"> his proxy group produces a range of ROE estimates between -2.7 and 12.2 </w:t>
      </w:r>
      <w:r w:rsidR="00D15AE9">
        <w:t>percent</w:t>
      </w:r>
      <w:r w:rsidR="00A36D8B">
        <w:t xml:space="preserve">. </w:t>
      </w:r>
      <w:r w:rsidR="003F0103">
        <w:t xml:space="preserve"> </w:t>
      </w:r>
    </w:p>
    <w:p w14:paraId="34EA9C4A" w14:textId="77777777" w:rsidR="004353D6" w:rsidRDefault="002700F9" w:rsidP="005D3B74">
      <w:pPr>
        <w:tabs>
          <w:tab w:val="left" w:pos="720"/>
          <w:tab w:val="left" w:pos="1440"/>
          <w:tab w:val="left" w:pos="9240"/>
        </w:tabs>
        <w:spacing w:line="480" w:lineRule="auto"/>
        <w:ind w:left="720" w:hanging="720"/>
      </w:pPr>
      <w:r>
        <w:lastRenderedPageBreak/>
        <w:tab/>
      </w:r>
      <w:r>
        <w:tab/>
      </w:r>
      <w:r w:rsidR="003F0103">
        <w:t xml:space="preserve">It strains any sense of reasonableness that </w:t>
      </w:r>
      <w:r w:rsidR="00341DB8">
        <w:t>a</w:t>
      </w:r>
      <w:r w:rsidR="005E42A0">
        <w:t xml:space="preserve"> </w:t>
      </w:r>
      <w:r w:rsidR="003F0103">
        <w:t xml:space="preserve">set of utility companies </w:t>
      </w:r>
      <w:r w:rsidR="00DB1656">
        <w:t xml:space="preserve">allegedly </w:t>
      </w:r>
      <w:r w:rsidR="00587B90">
        <w:t>“</w:t>
      </w:r>
      <w:r w:rsidR="00DB1656">
        <w:t>comparable</w:t>
      </w:r>
      <w:r w:rsidR="00587B90">
        <w:t>”</w:t>
      </w:r>
      <w:r w:rsidR="00EA0A08">
        <w:t xml:space="preserve"> to Avista </w:t>
      </w:r>
      <w:r w:rsidR="003F0103">
        <w:t xml:space="preserve">can have ROE estimates </w:t>
      </w:r>
      <w:r w:rsidR="00E11208">
        <w:t>ranging from</w:t>
      </w:r>
      <w:r w:rsidR="003F0103">
        <w:t xml:space="preserve"> </w:t>
      </w:r>
      <w:r w:rsidR="00054233">
        <w:t>-2.7</w:t>
      </w:r>
      <w:r w:rsidR="003F0103">
        <w:t xml:space="preserve"> </w:t>
      </w:r>
      <w:r w:rsidR="00E11208">
        <w:t>to</w:t>
      </w:r>
      <w:r w:rsidR="003F0103">
        <w:t xml:space="preserve"> </w:t>
      </w:r>
      <w:r w:rsidR="00054233">
        <w:t>25.6</w:t>
      </w:r>
      <w:r w:rsidR="003F0103">
        <w:t xml:space="preserve"> percent.</w:t>
      </w:r>
      <w:r w:rsidR="00587B90">
        <w:rPr>
          <w:rStyle w:val="FootnoteReference"/>
        </w:rPr>
        <w:footnoteReference w:id="76"/>
      </w:r>
      <w:r w:rsidR="003F0103">
        <w:t xml:space="preserve">  </w:t>
      </w:r>
    </w:p>
    <w:p w14:paraId="34EA9C4B" w14:textId="77777777" w:rsidR="00F34393" w:rsidRDefault="00F34393" w:rsidP="00F34393">
      <w:pPr>
        <w:tabs>
          <w:tab w:val="left" w:pos="720"/>
          <w:tab w:val="left" w:pos="1440"/>
          <w:tab w:val="left" w:pos="9240"/>
        </w:tabs>
        <w:spacing w:line="480" w:lineRule="auto"/>
        <w:ind w:left="720" w:hanging="720"/>
        <w:rPr>
          <w:b/>
        </w:rPr>
      </w:pPr>
    </w:p>
    <w:p w14:paraId="34EA9C4C" w14:textId="77777777" w:rsidR="00F34393" w:rsidRPr="00162C84" w:rsidRDefault="00F34393" w:rsidP="00F34393">
      <w:pPr>
        <w:tabs>
          <w:tab w:val="left" w:pos="720"/>
          <w:tab w:val="left" w:pos="1440"/>
          <w:tab w:val="left" w:pos="9240"/>
        </w:tabs>
        <w:spacing w:line="480" w:lineRule="auto"/>
        <w:ind w:left="720" w:hanging="720"/>
        <w:rPr>
          <w:b/>
        </w:rPr>
      </w:pPr>
      <w:r>
        <w:rPr>
          <w:b/>
        </w:rPr>
        <w:t>Q.</w:t>
      </w:r>
      <w:r>
        <w:rPr>
          <w:b/>
        </w:rPr>
        <w:tab/>
        <w:t xml:space="preserve">What do you conclude from </w:t>
      </w:r>
      <w:r w:rsidR="002700F9">
        <w:rPr>
          <w:b/>
        </w:rPr>
        <w:t xml:space="preserve"> Mr. McKenzie’s DCF ROE study</w:t>
      </w:r>
      <w:r>
        <w:rPr>
          <w:b/>
        </w:rPr>
        <w:t>?</w:t>
      </w:r>
    </w:p>
    <w:p w14:paraId="34EA9C4D" w14:textId="77777777" w:rsidR="00F34393" w:rsidRDefault="00F34393" w:rsidP="00F34393">
      <w:pPr>
        <w:tabs>
          <w:tab w:val="left" w:pos="720"/>
          <w:tab w:val="left" w:pos="1440"/>
          <w:tab w:val="left" w:pos="9240"/>
        </w:tabs>
        <w:spacing w:line="480" w:lineRule="auto"/>
        <w:ind w:left="720" w:hanging="720"/>
      </w:pPr>
      <w:r>
        <w:t>A.</w:t>
      </w:r>
      <w:r>
        <w:tab/>
      </w:r>
      <w:r w:rsidR="007931A0">
        <w:t xml:space="preserve">The variability </w:t>
      </w:r>
      <w:r w:rsidR="00F36533">
        <w:t xml:space="preserve">inherent in </w:t>
      </w:r>
      <w:r w:rsidR="009C1404">
        <w:t>Mr. McKenzie</w:t>
      </w:r>
      <w:r w:rsidR="00F36533">
        <w:t xml:space="preserve">’s </w:t>
      </w:r>
      <w:r w:rsidR="002700F9">
        <w:t xml:space="preserve">DCF ROE </w:t>
      </w:r>
      <w:r w:rsidR="00F36533">
        <w:t xml:space="preserve">study </w:t>
      </w:r>
      <w:r>
        <w:t>suggests there are sig</w:t>
      </w:r>
      <w:r w:rsidR="002933D0">
        <w:t xml:space="preserve">nificant problems with the </w:t>
      </w:r>
      <w:r w:rsidR="00E11208">
        <w:t xml:space="preserve">earnings </w:t>
      </w:r>
      <w:r w:rsidR="002933D0">
        <w:t xml:space="preserve">data </w:t>
      </w:r>
      <w:r w:rsidR="00D9476A">
        <w:t xml:space="preserve">he </w:t>
      </w:r>
      <w:r w:rsidR="002700F9">
        <w:t>uses</w:t>
      </w:r>
      <w:r w:rsidR="00D9476A">
        <w:t xml:space="preserve"> </w:t>
      </w:r>
      <w:r w:rsidR="007931A0">
        <w:t xml:space="preserve">to estimate </w:t>
      </w:r>
      <w:r w:rsidR="00D9476A">
        <w:t>long-term dividend growth</w:t>
      </w:r>
      <w:r w:rsidR="005456A4">
        <w:t xml:space="preserve">. </w:t>
      </w:r>
      <w:r w:rsidR="00D15AE9">
        <w:t xml:space="preserve"> </w:t>
      </w:r>
      <w:r w:rsidR="007931A0">
        <w:t>T</w:t>
      </w:r>
      <w:r>
        <w:t xml:space="preserve">hese </w:t>
      </w:r>
      <w:r w:rsidR="00D9476A">
        <w:t>highly variable estimates of growth</w:t>
      </w:r>
      <w:r>
        <w:t xml:space="preserve"> render his </w:t>
      </w:r>
      <w:r w:rsidR="00504B5B">
        <w:t>study</w:t>
      </w:r>
      <w:r>
        <w:t xml:space="preserve"> useless. </w:t>
      </w:r>
      <w:r w:rsidR="00AA6368">
        <w:t xml:space="preserve"> This</w:t>
      </w:r>
      <w:r w:rsidR="006972AC">
        <w:t xml:space="preserve"> also supports the conclusion that earnings estimates are volatile and not a good surrogate for estimating long-term sustainable dividend growth in a DCF analysis.</w:t>
      </w:r>
    </w:p>
    <w:p w14:paraId="34EA9C4E" w14:textId="77777777" w:rsidR="00F34393" w:rsidRDefault="00F34393" w:rsidP="00F34393">
      <w:pPr>
        <w:tabs>
          <w:tab w:val="left" w:pos="720"/>
          <w:tab w:val="left" w:pos="1440"/>
          <w:tab w:val="left" w:pos="9240"/>
        </w:tabs>
        <w:spacing w:line="480" w:lineRule="auto"/>
        <w:ind w:left="720" w:hanging="720"/>
        <w:rPr>
          <w:b/>
        </w:rPr>
      </w:pPr>
    </w:p>
    <w:p w14:paraId="34EA9C4F" w14:textId="77777777" w:rsidR="00F34393" w:rsidRDefault="00F34393" w:rsidP="00F34393">
      <w:pPr>
        <w:tabs>
          <w:tab w:val="left" w:pos="720"/>
          <w:tab w:val="left" w:pos="1440"/>
          <w:tab w:val="left" w:pos="9240"/>
        </w:tabs>
        <w:spacing w:line="480" w:lineRule="auto"/>
        <w:ind w:left="720" w:hanging="720"/>
        <w:rPr>
          <w:b/>
        </w:rPr>
      </w:pPr>
      <w:r>
        <w:rPr>
          <w:b/>
        </w:rPr>
        <w:t>Q.</w:t>
      </w:r>
      <w:r>
        <w:rPr>
          <w:b/>
        </w:rPr>
        <w:tab/>
        <w:t xml:space="preserve">Does </w:t>
      </w:r>
      <w:r w:rsidR="009C1404">
        <w:rPr>
          <w:b/>
        </w:rPr>
        <w:t>Mr. McKenzie</w:t>
      </w:r>
      <w:r>
        <w:rPr>
          <w:b/>
        </w:rPr>
        <w:t xml:space="preserve"> do anything to address th</w:t>
      </w:r>
      <w:r w:rsidR="004132D6">
        <w:rPr>
          <w:b/>
        </w:rPr>
        <w:t>is</w:t>
      </w:r>
      <w:r>
        <w:rPr>
          <w:b/>
        </w:rPr>
        <w:t xml:space="preserve"> high degree of variability in his results</w:t>
      </w:r>
      <w:r w:rsidR="00AC0585">
        <w:rPr>
          <w:b/>
        </w:rPr>
        <w:t xml:space="preserve"> using earnings estimates as an indicator of long-term dividend growth</w:t>
      </w:r>
      <w:r>
        <w:rPr>
          <w:b/>
        </w:rPr>
        <w:t>?</w:t>
      </w:r>
    </w:p>
    <w:p w14:paraId="34EA9C50" w14:textId="77777777" w:rsidR="002700F9" w:rsidRDefault="00F34393" w:rsidP="00F34393">
      <w:pPr>
        <w:tabs>
          <w:tab w:val="left" w:pos="720"/>
          <w:tab w:val="left" w:pos="1440"/>
          <w:tab w:val="left" w:pos="9240"/>
        </w:tabs>
        <w:spacing w:line="480" w:lineRule="auto"/>
        <w:ind w:left="720" w:hanging="720"/>
      </w:pPr>
      <w:r>
        <w:t>A.</w:t>
      </w:r>
      <w:r>
        <w:tab/>
        <w:t xml:space="preserve">Yes.  </w:t>
      </w:r>
      <w:r w:rsidR="00E11208">
        <w:t xml:space="preserve">He simply rejects data </w:t>
      </w:r>
      <w:r w:rsidR="00D979D1">
        <w:t xml:space="preserve">by </w:t>
      </w:r>
      <w:r>
        <w:t>discard</w:t>
      </w:r>
      <w:r w:rsidR="002700F9">
        <w:t>ing</w:t>
      </w:r>
      <w:r>
        <w:t xml:space="preserve"> results he considers “</w:t>
      </w:r>
      <w:r w:rsidR="002933D0">
        <w:t>…</w:t>
      </w:r>
      <w:r>
        <w:t xml:space="preserve">implausibly low or </w:t>
      </w:r>
      <w:r w:rsidR="00843DDD">
        <w:t>high</w:t>
      </w:r>
      <w:r w:rsidR="005E42A0">
        <w:t>.</w:t>
      </w:r>
      <w:r w:rsidR="00843DDD">
        <w:t>”</w:t>
      </w:r>
      <w:r>
        <w:rPr>
          <w:rStyle w:val="FootnoteReference"/>
        </w:rPr>
        <w:footnoteReference w:id="77"/>
      </w:r>
      <w:r>
        <w:t xml:space="preserve">  </w:t>
      </w:r>
    </w:p>
    <w:p w14:paraId="34EA9C51" w14:textId="77777777" w:rsidR="002700F9" w:rsidRDefault="002700F9" w:rsidP="00F34393">
      <w:pPr>
        <w:tabs>
          <w:tab w:val="left" w:pos="720"/>
          <w:tab w:val="left" w:pos="1440"/>
          <w:tab w:val="left" w:pos="9240"/>
        </w:tabs>
        <w:spacing w:line="480" w:lineRule="auto"/>
        <w:ind w:left="720" w:hanging="720"/>
      </w:pPr>
    </w:p>
    <w:p w14:paraId="34EA9C52" w14:textId="77777777" w:rsidR="00BF08E9" w:rsidRPr="00742FE0" w:rsidRDefault="00BF08E9" w:rsidP="00BF08E9">
      <w:pPr>
        <w:tabs>
          <w:tab w:val="left" w:pos="720"/>
          <w:tab w:val="left" w:pos="1440"/>
          <w:tab w:val="left" w:pos="9240"/>
        </w:tabs>
        <w:spacing w:line="480" w:lineRule="auto"/>
        <w:ind w:left="720" w:hanging="720"/>
        <w:rPr>
          <w:b/>
        </w:rPr>
      </w:pPr>
      <w:r>
        <w:rPr>
          <w:b/>
        </w:rPr>
        <w:t>Q.</w:t>
      </w:r>
      <w:r>
        <w:rPr>
          <w:b/>
        </w:rPr>
        <w:tab/>
        <w:t xml:space="preserve">Did Mr. McKenzie provide any objective basis for rejecting an ROE result from his </w:t>
      </w:r>
      <w:r w:rsidR="00687EF9">
        <w:rPr>
          <w:b/>
        </w:rPr>
        <w:t xml:space="preserve">DCF </w:t>
      </w:r>
      <w:r>
        <w:rPr>
          <w:b/>
        </w:rPr>
        <w:t>analysis because it is too low or too high?</w:t>
      </w:r>
    </w:p>
    <w:p w14:paraId="34EA9C53" w14:textId="77777777" w:rsidR="00BF08E9" w:rsidRPr="000A730C" w:rsidRDefault="00BF08E9" w:rsidP="00BF08E9">
      <w:pPr>
        <w:tabs>
          <w:tab w:val="left" w:pos="720"/>
          <w:tab w:val="left" w:pos="1440"/>
          <w:tab w:val="left" w:pos="9240"/>
        </w:tabs>
        <w:spacing w:line="480" w:lineRule="auto"/>
        <w:ind w:left="720" w:hanging="720"/>
      </w:pPr>
      <w:r>
        <w:t>A.</w:t>
      </w:r>
      <w:r>
        <w:tab/>
        <w:t xml:space="preserve">No.  </w:t>
      </w:r>
    </w:p>
    <w:p w14:paraId="34EA9C54" w14:textId="77777777" w:rsidR="00BF08E9" w:rsidRDefault="00BF08E9" w:rsidP="00BF08E9">
      <w:pPr>
        <w:tabs>
          <w:tab w:val="left" w:pos="720"/>
          <w:tab w:val="left" w:pos="1440"/>
          <w:tab w:val="left" w:pos="9240"/>
        </w:tabs>
        <w:spacing w:line="480" w:lineRule="auto"/>
        <w:ind w:left="720" w:hanging="720"/>
        <w:rPr>
          <w:b/>
        </w:rPr>
      </w:pPr>
    </w:p>
    <w:p w14:paraId="34EA9C55" w14:textId="77777777" w:rsidR="00BF08E9" w:rsidRDefault="00BF08E9" w:rsidP="00BF08E9">
      <w:pPr>
        <w:tabs>
          <w:tab w:val="left" w:pos="720"/>
          <w:tab w:val="left" w:pos="1440"/>
          <w:tab w:val="left" w:pos="9240"/>
        </w:tabs>
        <w:spacing w:line="480" w:lineRule="auto"/>
        <w:ind w:left="720" w:hanging="720"/>
        <w:rPr>
          <w:b/>
        </w:rPr>
      </w:pPr>
      <w:r>
        <w:rPr>
          <w:b/>
        </w:rPr>
        <w:t>Q.</w:t>
      </w:r>
      <w:r>
        <w:rPr>
          <w:b/>
        </w:rPr>
        <w:tab/>
        <w:t>In particular, did Mr. McKenzie remove results for certain companies based on statistical analysis?</w:t>
      </w:r>
    </w:p>
    <w:p w14:paraId="34EA9C56" w14:textId="77777777" w:rsidR="002700F9" w:rsidRDefault="00BF08E9" w:rsidP="00BF08E9">
      <w:pPr>
        <w:tabs>
          <w:tab w:val="left" w:pos="720"/>
          <w:tab w:val="left" w:pos="1440"/>
          <w:tab w:val="left" w:pos="9240"/>
        </w:tabs>
        <w:spacing w:line="480" w:lineRule="auto"/>
        <w:ind w:left="720" w:hanging="720"/>
      </w:pPr>
      <w:r>
        <w:t>A.</w:t>
      </w:r>
      <w:r>
        <w:tab/>
        <w:t>No.</w:t>
      </w:r>
    </w:p>
    <w:p w14:paraId="34EA9C57" w14:textId="77777777" w:rsidR="002700F9" w:rsidRDefault="002700F9" w:rsidP="00F34393">
      <w:pPr>
        <w:tabs>
          <w:tab w:val="left" w:pos="720"/>
          <w:tab w:val="left" w:pos="1440"/>
          <w:tab w:val="left" w:pos="9240"/>
        </w:tabs>
        <w:spacing w:line="480" w:lineRule="auto"/>
        <w:ind w:left="720" w:hanging="720"/>
      </w:pPr>
    </w:p>
    <w:p w14:paraId="34EA9C58" w14:textId="77777777" w:rsidR="002700F9" w:rsidRDefault="002700F9" w:rsidP="00F34393">
      <w:pPr>
        <w:tabs>
          <w:tab w:val="left" w:pos="720"/>
          <w:tab w:val="left" w:pos="1440"/>
          <w:tab w:val="left" w:pos="9240"/>
        </w:tabs>
        <w:spacing w:line="480" w:lineRule="auto"/>
        <w:ind w:left="720" w:hanging="720"/>
        <w:rPr>
          <w:b/>
        </w:rPr>
      </w:pPr>
      <w:r>
        <w:rPr>
          <w:b/>
        </w:rPr>
        <w:t>Q.</w:t>
      </w:r>
      <w:r>
        <w:rPr>
          <w:b/>
        </w:rPr>
        <w:tab/>
        <w:t>How many estimates did Mr. McKenzie discard</w:t>
      </w:r>
      <w:r w:rsidR="00E11208">
        <w:rPr>
          <w:b/>
        </w:rPr>
        <w:t xml:space="preserve"> as </w:t>
      </w:r>
      <w:r>
        <w:rPr>
          <w:b/>
        </w:rPr>
        <w:t xml:space="preserve">implausibly </w:t>
      </w:r>
      <w:r w:rsidR="002A491D">
        <w:rPr>
          <w:b/>
        </w:rPr>
        <w:t>high</w:t>
      </w:r>
      <w:r w:rsidR="00E11208">
        <w:rPr>
          <w:b/>
        </w:rPr>
        <w:t>?</w:t>
      </w:r>
    </w:p>
    <w:p w14:paraId="34EA9C59" w14:textId="77777777" w:rsidR="00F34393" w:rsidRDefault="002700F9" w:rsidP="00F34393">
      <w:pPr>
        <w:tabs>
          <w:tab w:val="left" w:pos="720"/>
          <w:tab w:val="left" w:pos="1440"/>
          <w:tab w:val="left" w:pos="9240"/>
        </w:tabs>
        <w:spacing w:line="480" w:lineRule="auto"/>
        <w:ind w:left="720" w:hanging="720"/>
      </w:pPr>
      <w:r>
        <w:t>A.</w:t>
      </w:r>
      <w:r>
        <w:tab/>
        <w:t>One.</w:t>
      </w:r>
      <w:r w:rsidR="006F3C30">
        <w:rPr>
          <w:rStyle w:val="FootnoteReference"/>
        </w:rPr>
        <w:footnoteReference w:id="78"/>
      </w:r>
    </w:p>
    <w:p w14:paraId="34EA9C5A" w14:textId="77777777" w:rsidR="00CF7A90" w:rsidRDefault="00CF7A90" w:rsidP="002700F9">
      <w:pPr>
        <w:tabs>
          <w:tab w:val="left" w:pos="720"/>
          <w:tab w:val="left" w:pos="1440"/>
          <w:tab w:val="left" w:pos="9240"/>
        </w:tabs>
        <w:spacing w:line="480" w:lineRule="auto"/>
        <w:ind w:left="720" w:hanging="720"/>
        <w:rPr>
          <w:b/>
        </w:rPr>
      </w:pPr>
    </w:p>
    <w:p w14:paraId="34EA9C5B" w14:textId="77777777" w:rsidR="002700F9" w:rsidRDefault="002700F9" w:rsidP="002700F9">
      <w:pPr>
        <w:tabs>
          <w:tab w:val="left" w:pos="720"/>
          <w:tab w:val="left" w:pos="1440"/>
          <w:tab w:val="left" w:pos="9240"/>
        </w:tabs>
        <w:spacing w:line="480" w:lineRule="auto"/>
        <w:ind w:left="720" w:hanging="720"/>
        <w:rPr>
          <w:b/>
        </w:rPr>
      </w:pPr>
      <w:r>
        <w:rPr>
          <w:b/>
        </w:rPr>
        <w:t>Q.</w:t>
      </w:r>
      <w:r>
        <w:rPr>
          <w:b/>
        </w:rPr>
        <w:tab/>
        <w:t>How many estimates did Mr. McKenz</w:t>
      </w:r>
      <w:r w:rsidR="00E11208">
        <w:rPr>
          <w:b/>
        </w:rPr>
        <w:t>ie discard as implausibly low?</w:t>
      </w:r>
    </w:p>
    <w:p w14:paraId="34EA9C5C" w14:textId="77777777" w:rsidR="002700F9" w:rsidRDefault="002700F9" w:rsidP="002700F9">
      <w:pPr>
        <w:tabs>
          <w:tab w:val="left" w:pos="720"/>
          <w:tab w:val="left" w:pos="1440"/>
          <w:tab w:val="left" w:pos="9240"/>
        </w:tabs>
        <w:spacing w:line="480" w:lineRule="auto"/>
        <w:ind w:left="720" w:hanging="720"/>
      </w:pPr>
      <w:r>
        <w:t>A.</w:t>
      </w:r>
      <w:r>
        <w:tab/>
        <w:t>Thirty.</w:t>
      </w:r>
      <w:r w:rsidR="00BF08E9">
        <w:rPr>
          <w:rStyle w:val="FootnoteReference"/>
        </w:rPr>
        <w:footnoteReference w:id="79"/>
      </w:r>
    </w:p>
    <w:p w14:paraId="34EA9C5D" w14:textId="77777777" w:rsidR="00F34393" w:rsidRDefault="00F34393" w:rsidP="00F34393">
      <w:pPr>
        <w:tabs>
          <w:tab w:val="left" w:pos="720"/>
          <w:tab w:val="left" w:pos="1440"/>
          <w:tab w:val="left" w:pos="9240"/>
        </w:tabs>
        <w:spacing w:line="480" w:lineRule="auto"/>
        <w:ind w:left="720" w:hanging="720"/>
      </w:pPr>
    </w:p>
    <w:p w14:paraId="34EA9C5E" w14:textId="77777777" w:rsidR="00F34393" w:rsidRDefault="00F34393" w:rsidP="00F34393">
      <w:pPr>
        <w:tabs>
          <w:tab w:val="left" w:pos="720"/>
          <w:tab w:val="left" w:pos="1440"/>
          <w:tab w:val="left" w:pos="9240"/>
        </w:tabs>
        <w:spacing w:line="480" w:lineRule="auto"/>
        <w:ind w:left="720" w:hanging="720"/>
        <w:rPr>
          <w:b/>
        </w:rPr>
      </w:pPr>
      <w:r>
        <w:rPr>
          <w:b/>
        </w:rPr>
        <w:t>Q.</w:t>
      </w:r>
      <w:r>
        <w:rPr>
          <w:b/>
        </w:rPr>
        <w:tab/>
        <w:t xml:space="preserve">What was the single company </w:t>
      </w:r>
      <w:r w:rsidR="009C1404">
        <w:rPr>
          <w:b/>
        </w:rPr>
        <w:t>Mr. McKenzie</w:t>
      </w:r>
      <w:r>
        <w:rPr>
          <w:b/>
        </w:rPr>
        <w:t xml:space="preserve"> remov</w:t>
      </w:r>
      <w:r w:rsidR="002933D0">
        <w:rPr>
          <w:b/>
        </w:rPr>
        <w:t>ed on the basis the result was too high</w:t>
      </w:r>
      <w:r>
        <w:rPr>
          <w:b/>
        </w:rPr>
        <w:t>?</w:t>
      </w:r>
    </w:p>
    <w:p w14:paraId="34EA9C5F" w14:textId="77777777" w:rsidR="00F34393" w:rsidRDefault="00F34393" w:rsidP="00F34393">
      <w:pPr>
        <w:tabs>
          <w:tab w:val="left" w:pos="720"/>
          <w:tab w:val="left" w:pos="1440"/>
          <w:tab w:val="left" w:pos="9240"/>
        </w:tabs>
        <w:spacing w:line="480" w:lineRule="auto"/>
        <w:ind w:left="720" w:hanging="720"/>
      </w:pPr>
      <w:r>
        <w:t>A.</w:t>
      </w:r>
      <w:r>
        <w:tab/>
        <w:t xml:space="preserve">That company was </w:t>
      </w:r>
      <w:r w:rsidR="000629F1">
        <w:t>Otter Tail</w:t>
      </w:r>
      <w:r w:rsidR="00AC0585">
        <w:t>.  His study shows a</w:t>
      </w:r>
      <w:r>
        <w:t xml:space="preserve"> ROE estimate</w:t>
      </w:r>
      <w:r w:rsidR="00504B5B">
        <w:t xml:space="preserve"> </w:t>
      </w:r>
      <w:r w:rsidR="008D5A3F">
        <w:t>of</w:t>
      </w:r>
      <w:r w:rsidR="00504B5B">
        <w:t xml:space="preserve"> </w:t>
      </w:r>
      <w:r w:rsidR="000629F1">
        <w:t>25.6</w:t>
      </w:r>
      <w:r w:rsidR="00504B5B">
        <w:t xml:space="preserve"> percent</w:t>
      </w:r>
      <w:r>
        <w:t>.</w:t>
      </w:r>
    </w:p>
    <w:p w14:paraId="34EA9C60" w14:textId="77777777" w:rsidR="00F34393" w:rsidRDefault="00F34393" w:rsidP="00F34393">
      <w:pPr>
        <w:tabs>
          <w:tab w:val="left" w:pos="720"/>
          <w:tab w:val="left" w:pos="1440"/>
          <w:tab w:val="left" w:pos="9240"/>
        </w:tabs>
        <w:spacing w:line="480" w:lineRule="auto"/>
        <w:ind w:left="720" w:hanging="720"/>
        <w:rPr>
          <w:b/>
        </w:rPr>
      </w:pPr>
    </w:p>
    <w:p w14:paraId="34EA9C61" w14:textId="77777777" w:rsidR="004353D6" w:rsidRPr="00901AF4" w:rsidRDefault="004353D6" w:rsidP="003C3782">
      <w:pPr>
        <w:tabs>
          <w:tab w:val="left" w:pos="720"/>
          <w:tab w:val="left" w:pos="1440"/>
          <w:tab w:val="left" w:pos="9240"/>
        </w:tabs>
        <w:spacing w:line="480" w:lineRule="auto"/>
        <w:ind w:left="720" w:hanging="720"/>
      </w:pPr>
      <w:r>
        <w:rPr>
          <w:b/>
        </w:rPr>
        <w:t>Q.</w:t>
      </w:r>
      <w:r>
        <w:rPr>
          <w:b/>
        </w:rPr>
        <w:tab/>
        <w:t>What is the primary cause of such wide variations</w:t>
      </w:r>
      <w:r w:rsidR="00361D49">
        <w:rPr>
          <w:b/>
        </w:rPr>
        <w:t xml:space="preserve"> in </w:t>
      </w:r>
      <w:r w:rsidR="009C1404">
        <w:rPr>
          <w:b/>
        </w:rPr>
        <w:t>Mr. McKenzie</w:t>
      </w:r>
      <w:r w:rsidR="00361D49">
        <w:rPr>
          <w:b/>
        </w:rPr>
        <w:t xml:space="preserve">’s </w:t>
      </w:r>
      <w:r w:rsidR="00BF08E9">
        <w:rPr>
          <w:b/>
        </w:rPr>
        <w:t xml:space="preserve">DCF </w:t>
      </w:r>
      <w:r w:rsidR="00BE1330">
        <w:rPr>
          <w:b/>
        </w:rPr>
        <w:t>results</w:t>
      </w:r>
      <w:r>
        <w:rPr>
          <w:b/>
        </w:rPr>
        <w:t>?</w:t>
      </w:r>
      <w:r>
        <w:t xml:space="preserve"> </w:t>
      </w:r>
    </w:p>
    <w:p w14:paraId="34EA9C62" w14:textId="77777777" w:rsidR="004353D6" w:rsidRPr="004353D6" w:rsidRDefault="004353D6" w:rsidP="003C3782">
      <w:pPr>
        <w:tabs>
          <w:tab w:val="left" w:pos="720"/>
          <w:tab w:val="left" w:pos="1440"/>
          <w:tab w:val="left" w:pos="9240"/>
        </w:tabs>
        <w:spacing w:line="480" w:lineRule="auto"/>
        <w:ind w:left="720" w:hanging="720"/>
        <w:rPr>
          <w:b/>
        </w:rPr>
      </w:pPr>
      <w:r>
        <w:t>A.</w:t>
      </w:r>
      <w:r>
        <w:tab/>
        <w:t xml:space="preserve">The primary cause of this wide variation is </w:t>
      </w:r>
      <w:r w:rsidR="009C1404">
        <w:t>Mr. McKenzie</w:t>
      </w:r>
      <w:r>
        <w:t xml:space="preserve">’s reliance on analysts’ </w:t>
      </w:r>
      <w:r w:rsidR="005E42A0">
        <w:t xml:space="preserve">estimates of </w:t>
      </w:r>
      <w:r>
        <w:t xml:space="preserve">earnings growth as a proxy for </w:t>
      </w:r>
      <w:r w:rsidR="00E5511E">
        <w:t xml:space="preserve">long-term dividend growth.  </w:t>
      </w:r>
    </w:p>
    <w:p w14:paraId="34EA9C63" w14:textId="77777777" w:rsidR="004353D6" w:rsidRDefault="004353D6" w:rsidP="003C3782">
      <w:pPr>
        <w:tabs>
          <w:tab w:val="left" w:pos="720"/>
          <w:tab w:val="left" w:pos="1440"/>
          <w:tab w:val="left" w:pos="9240"/>
        </w:tabs>
        <w:spacing w:line="480" w:lineRule="auto"/>
        <w:ind w:left="720" w:hanging="720"/>
        <w:rPr>
          <w:b/>
        </w:rPr>
      </w:pPr>
    </w:p>
    <w:p w14:paraId="34EA9C64" w14:textId="77777777" w:rsidR="003C3782" w:rsidRDefault="003C3782" w:rsidP="003C3782">
      <w:pPr>
        <w:tabs>
          <w:tab w:val="left" w:pos="720"/>
          <w:tab w:val="left" w:pos="1440"/>
          <w:tab w:val="left" w:pos="9240"/>
        </w:tabs>
        <w:spacing w:line="480" w:lineRule="auto"/>
        <w:ind w:left="720" w:hanging="720"/>
      </w:pPr>
      <w:r>
        <w:rPr>
          <w:b/>
        </w:rPr>
        <w:t>Q.</w:t>
      </w:r>
      <w:r>
        <w:rPr>
          <w:b/>
        </w:rPr>
        <w:tab/>
      </w:r>
      <w:r w:rsidR="003225E3">
        <w:rPr>
          <w:b/>
        </w:rPr>
        <w:t>A</w:t>
      </w:r>
      <w:r>
        <w:rPr>
          <w:b/>
        </w:rPr>
        <w:t xml:space="preserve">re </w:t>
      </w:r>
      <w:r w:rsidR="00BF08E9">
        <w:rPr>
          <w:b/>
        </w:rPr>
        <w:t xml:space="preserve">analysts’ </w:t>
      </w:r>
      <w:r>
        <w:rPr>
          <w:b/>
        </w:rPr>
        <w:t>earnings estimates a reliable indicator of long-term sustainable growth in dividends per share for use in the DCF formula?</w:t>
      </w:r>
    </w:p>
    <w:p w14:paraId="34EA9C65" w14:textId="77777777" w:rsidR="004353D6" w:rsidRDefault="003C3782" w:rsidP="003C3782">
      <w:pPr>
        <w:tabs>
          <w:tab w:val="left" w:pos="720"/>
          <w:tab w:val="left" w:pos="1440"/>
          <w:tab w:val="left" w:pos="9240"/>
        </w:tabs>
        <w:spacing w:line="480" w:lineRule="auto"/>
        <w:ind w:left="720" w:hanging="720"/>
      </w:pPr>
      <w:r>
        <w:t>A</w:t>
      </w:r>
      <w:r w:rsidR="004A400D">
        <w:t>.</w:t>
      </w:r>
      <w:r w:rsidR="004A400D">
        <w:tab/>
        <w:t>No</w:t>
      </w:r>
      <w:r>
        <w:t xml:space="preserve">. </w:t>
      </w:r>
      <w:r w:rsidR="004A400D">
        <w:t xml:space="preserve"> </w:t>
      </w:r>
      <w:r w:rsidR="00BF08E9">
        <w:t>Analysts’ e</w:t>
      </w:r>
      <w:r w:rsidR="004A400D">
        <w:t>arnings esti</w:t>
      </w:r>
      <w:r w:rsidR="00ED2E06">
        <w:t>mates might be good indicators of future growth f</w:t>
      </w:r>
      <w:r w:rsidR="004A400D">
        <w:t>or competitive firms not subject to rate of return regulation</w:t>
      </w:r>
      <w:r w:rsidR="004353D6">
        <w:t>,</w:t>
      </w:r>
      <w:r w:rsidR="003225E3">
        <w:t xml:space="preserve"> or firms with no significant investment in long-lived asset</w:t>
      </w:r>
      <w:r w:rsidR="00504B5B">
        <w:t>s</w:t>
      </w:r>
      <w:r w:rsidR="004132D6">
        <w:t xml:space="preserve">. </w:t>
      </w:r>
      <w:r w:rsidR="00687EF9">
        <w:t xml:space="preserve"> Earnings estimates may even be good </w:t>
      </w:r>
      <w:r w:rsidR="00925156">
        <w:t>indicators</w:t>
      </w:r>
      <w:r w:rsidR="00687EF9">
        <w:t xml:space="preserve"> of near-term events especially when a utility is recovering from some event that caused </w:t>
      </w:r>
      <w:r w:rsidR="00687EF9">
        <w:lastRenderedPageBreak/>
        <w:t xml:space="preserve">a prior drop in earnings. </w:t>
      </w:r>
      <w:r w:rsidR="004132D6">
        <w:t xml:space="preserve"> </w:t>
      </w:r>
      <w:r w:rsidR="002A491D">
        <w:t>H</w:t>
      </w:r>
      <w:r w:rsidR="00BF08E9">
        <w:t>owever, analysts’ estimates of earnings growth are not a good measure of long-term sustainable growth in dividends, especially for the utility industry that is regulated on the basis of a rate of return applied to book value.</w:t>
      </w:r>
      <w:r w:rsidR="007A5A8A">
        <w:t xml:space="preserve">  Ultimately, earnings </w:t>
      </w:r>
      <w:r w:rsidR="004353D6">
        <w:t xml:space="preserve">estimates </w:t>
      </w:r>
      <w:r w:rsidR="007931A0">
        <w:t>must be re</w:t>
      </w:r>
      <w:r w:rsidR="007A5A8A">
        <w:t xml:space="preserve">conciled with earned returns on book.  Short-term estimates </w:t>
      </w:r>
      <w:r w:rsidR="00AA6368">
        <w:t xml:space="preserve">can be </w:t>
      </w:r>
      <w:r>
        <w:t xml:space="preserve">a reliable indicator of </w:t>
      </w:r>
      <w:r w:rsidR="007A5A8A">
        <w:t xml:space="preserve">long-term sustainable </w:t>
      </w:r>
      <w:r>
        <w:t xml:space="preserve">dividend growth </w:t>
      </w:r>
      <w:r w:rsidR="00ED2E06">
        <w:t>for a regulated firm</w:t>
      </w:r>
      <w:r w:rsidR="00BF08E9">
        <w:t>, but</w:t>
      </w:r>
      <w:r w:rsidR="002933D0">
        <w:t xml:space="preserve"> only to the extent they can be reconciled with reasonable earned returns on book value</w:t>
      </w:r>
      <w:r w:rsidR="003225E3">
        <w:t xml:space="preserve">.  </w:t>
      </w:r>
      <w:r w:rsidR="007A5A8A">
        <w:t xml:space="preserve"> </w:t>
      </w:r>
    </w:p>
    <w:p w14:paraId="34EA9C66" w14:textId="77777777" w:rsidR="007A5A8A" w:rsidRDefault="007A5A8A" w:rsidP="003C3782">
      <w:pPr>
        <w:tabs>
          <w:tab w:val="left" w:pos="720"/>
          <w:tab w:val="left" w:pos="1440"/>
          <w:tab w:val="left" w:pos="9240"/>
        </w:tabs>
        <w:spacing w:line="480" w:lineRule="auto"/>
        <w:ind w:left="720" w:hanging="720"/>
      </w:pPr>
    </w:p>
    <w:p w14:paraId="34EA9C67" w14:textId="77777777" w:rsidR="008D5A3F" w:rsidRPr="008D5A3F" w:rsidRDefault="008D5A3F" w:rsidP="003C3782">
      <w:pPr>
        <w:tabs>
          <w:tab w:val="left" w:pos="720"/>
          <w:tab w:val="left" w:pos="1440"/>
          <w:tab w:val="left" w:pos="9240"/>
        </w:tabs>
        <w:spacing w:line="480" w:lineRule="auto"/>
        <w:ind w:left="720" w:hanging="720"/>
        <w:rPr>
          <w:b/>
        </w:rPr>
      </w:pPr>
      <w:r>
        <w:rPr>
          <w:b/>
        </w:rPr>
        <w:t>Q.</w:t>
      </w:r>
      <w:r>
        <w:rPr>
          <w:b/>
        </w:rPr>
        <w:tab/>
        <w:t>How does DCF theory capture and reconcile these various financial indices?</w:t>
      </w:r>
    </w:p>
    <w:p w14:paraId="34EA9C68" w14:textId="77777777" w:rsidR="003C3782" w:rsidRDefault="008D5A3F" w:rsidP="003C3782">
      <w:pPr>
        <w:tabs>
          <w:tab w:val="left" w:pos="720"/>
          <w:tab w:val="left" w:pos="1440"/>
          <w:tab w:val="left" w:pos="9240"/>
        </w:tabs>
        <w:spacing w:line="480" w:lineRule="auto"/>
        <w:ind w:left="720" w:hanging="720"/>
      </w:pPr>
      <w:r>
        <w:t>A.</w:t>
      </w:r>
      <w:r w:rsidR="004353D6">
        <w:tab/>
      </w:r>
      <w:r w:rsidR="004132D6">
        <w:t xml:space="preserve">Under DCF theory, </w:t>
      </w:r>
      <w:r w:rsidR="004353D6">
        <w:t>e</w:t>
      </w:r>
      <w:r w:rsidR="003C3782">
        <w:t>arnings growth must eventually be supported</w:t>
      </w:r>
      <w:r w:rsidR="00ED2E06">
        <w:t xml:space="preserve"> by similar growth in retained earnings, constant earnings on book and growth in book value</w:t>
      </w:r>
      <w:r w:rsidR="003C3782">
        <w:t xml:space="preserve">.  It is not lost on investors that earned book returns </w:t>
      </w:r>
      <w:r w:rsidR="00E11208">
        <w:t xml:space="preserve">for any regulated </w:t>
      </w:r>
      <w:r w:rsidR="003225E3">
        <w:t xml:space="preserve">utility </w:t>
      </w:r>
      <w:r w:rsidR="003C3782">
        <w:t>would have to increase significantly to support higher earnings</w:t>
      </w:r>
      <w:r w:rsidR="004353D6">
        <w:t xml:space="preserve">, which in turn </w:t>
      </w:r>
      <w:r w:rsidR="003C3782">
        <w:t xml:space="preserve">support of </w:t>
      </w:r>
      <w:r w:rsidR="004F33B7">
        <w:t xml:space="preserve">higher </w:t>
      </w:r>
      <w:r w:rsidR="003C3782">
        <w:t xml:space="preserve">long-term dividend growth.  </w:t>
      </w:r>
    </w:p>
    <w:p w14:paraId="34EA9C69" w14:textId="77777777" w:rsidR="004353D6" w:rsidRDefault="00B2719C" w:rsidP="003C3782">
      <w:pPr>
        <w:tabs>
          <w:tab w:val="left" w:pos="720"/>
          <w:tab w:val="left" w:pos="1440"/>
          <w:tab w:val="left" w:pos="9240"/>
        </w:tabs>
        <w:spacing w:line="480" w:lineRule="auto"/>
        <w:ind w:left="720" w:hanging="720"/>
      </w:pPr>
      <w:r>
        <w:tab/>
      </w:r>
      <w:r>
        <w:tab/>
      </w:r>
      <w:r w:rsidR="009C1404">
        <w:t>Mr. McKenzie</w:t>
      </w:r>
      <w:r w:rsidR="004132D6">
        <w:t xml:space="preserve"> simply </w:t>
      </w:r>
      <w:r w:rsidR="00A36D8B">
        <w:t>believes earnings estimates are a more reliable indicator of sustainable growth.</w:t>
      </w:r>
      <w:r w:rsidR="00802162">
        <w:rPr>
          <w:rStyle w:val="FootnoteReference"/>
        </w:rPr>
        <w:footnoteReference w:id="80"/>
      </w:r>
      <w:r w:rsidR="00A36D8B">
        <w:t xml:space="preserve">  </w:t>
      </w:r>
      <w:r w:rsidR="00DE5036">
        <w:t xml:space="preserve">As I have </w:t>
      </w:r>
      <w:r w:rsidR="00E321FB">
        <w:t>shown</w:t>
      </w:r>
      <w:r w:rsidR="00DE5036">
        <w:t>, he is mistaken.</w:t>
      </w:r>
      <w:r w:rsidR="008D5A3F">
        <w:t xml:space="preserve">  His own data show the </w:t>
      </w:r>
      <w:r w:rsidR="007A5A8A">
        <w:t xml:space="preserve">unreliable nature of the data and expose the </w:t>
      </w:r>
      <w:r w:rsidR="008D5A3F">
        <w:t>flaw of relying exclusively on earnings estimates</w:t>
      </w:r>
      <w:r w:rsidR="007A5A8A">
        <w:t xml:space="preserve"> for sustainable long-term dividend growth</w:t>
      </w:r>
      <w:r w:rsidR="008D5A3F">
        <w:t>.</w:t>
      </w:r>
    </w:p>
    <w:p w14:paraId="34EA9C6A" w14:textId="77777777" w:rsidR="002933D0" w:rsidRDefault="002933D0" w:rsidP="00B2719C">
      <w:pPr>
        <w:tabs>
          <w:tab w:val="left" w:pos="720"/>
          <w:tab w:val="left" w:pos="1440"/>
          <w:tab w:val="left" w:pos="9240"/>
        </w:tabs>
        <w:spacing w:line="480" w:lineRule="auto"/>
        <w:ind w:left="720" w:hanging="720"/>
        <w:rPr>
          <w:i/>
        </w:rPr>
      </w:pPr>
    </w:p>
    <w:p w14:paraId="34EA9C6B" w14:textId="77777777" w:rsidR="00B2719C" w:rsidRPr="00C2172F" w:rsidRDefault="00B2719C" w:rsidP="00B2719C">
      <w:pPr>
        <w:tabs>
          <w:tab w:val="left" w:pos="720"/>
          <w:tab w:val="left" w:pos="1440"/>
          <w:tab w:val="left" w:pos="9240"/>
        </w:tabs>
        <w:spacing w:line="480" w:lineRule="auto"/>
        <w:ind w:left="720" w:hanging="720"/>
        <w:rPr>
          <w:b/>
        </w:rPr>
      </w:pPr>
      <w:r>
        <w:rPr>
          <w:b/>
        </w:rPr>
        <w:t>Q.</w:t>
      </w:r>
      <w:r>
        <w:rPr>
          <w:b/>
        </w:rPr>
        <w:tab/>
        <w:t xml:space="preserve">What are the most important points the Commission should understand about </w:t>
      </w:r>
      <w:r w:rsidR="009C1404">
        <w:rPr>
          <w:b/>
        </w:rPr>
        <w:t>Mr. McKenzie</w:t>
      </w:r>
      <w:r>
        <w:rPr>
          <w:b/>
        </w:rPr>
        <w:t xml:space="preserve">’s DCF results?  </w:t>
      </w:r>
    </w:p>
    <w:p w14:paraId="34EA9C6C" w14:textId="77777777" w:rsidR="00B2719C" w:rsidRDefault="00B2719C" w:rsidP="00B2719C">
      <w:pPr>
        <w:tabs>
          <w:tab w:val="left" w:pos="720"/>
          <w:tab w:val="left" w:pos="1440"/>
          <w:tab w:val="left" w:pos="9240"/>
        </w:tabs>
        <w:spacing w:line="480" w:lineRule="auto"/>
        <w:ind w:left="720" w:hanging="720"/>
      </w:pPr>
      <w:r>
        <w:t>A.</w:t>
      </w:r>
      <w:r>
        <w:tab/>
        <w:t xml:space="preserve">The most important points are: 1) </w:t>
      </w:r>
      <w:r w:rsidR="009C1404">
        <w:t>Mr. McKenzie</w:t>
      </w:r>
      <w:r>
        <w:t xml:space="preserve">’s earnings estimates </w:t>
      </w:r>
      <w:r w:rsidR="00F00A0E">
        <w:t xml:space="preserve">as a proxy for </w:t>
      </w:r>
      <w:r w:rsidR="007931A0">
        <w:t xml:space="preserve">long-term </w:t>
      </w:r>
      <w:r w:rsidR="00F00A0E">
        <w:t xml:space="preserve">dividend growth </w:t>
      </w:r>
      <w:r w:rsidR="001B27C3">
        <w:t>produce</w:t>
      </w:r>
      <w:r>
        <w:t xml:space="preserve"> highly variable ROE estimates; 2) </w:t>
      </w:r>
      <w:r w:rsidR="009C1404">
        <w:t xml:space="preserve">Mr. </w:t>
      </w:r>
      <w:r w:rsidR="009C1404">
        <w:lastRenderedPageBreak/>
        <w:t>McKenzie</w:t>
      </w:r>
      <w:r>
        <w:t>’s DCF estimate</w:t>
      </w:r>
      <w:r w:rsidR="00587B90">
        <w:t>s</w:t>
      </w:r>
      <w:r>
        <w:t xml:space="preserve"> </w:t>
      </w:r>
      <w:r w:rsidR="00587B90">
        <w:t xml:space="preserve">are </w:t>
      </w:r>
      <w:r w:rsidR="007254C3">
        <w:t xml:space="preserve">biased </w:t>
      </w:r>
      <w:r w:rsidR="00BF08E9">
        <w:t xml:space="preserve">because he </w:t>
      </w:r>
      <w:r w:rsidR="007254C3">
        <w:t>arbitrarily remov</w:t>
      </w:r>
      <w:r w:rsidR="00BF08E9">
        <w:t>ed</w:t>
      </w:r>
      <w:r>
        <w:t xml:space="preserve"> </w:t>
      </w:r>
      <w:r w:rsidR="007A5A8A">
        <w:t>thirty</w:t>
      </w:r>
      <w:r w:rsidR="00504B5B">
        <w:t xml:space="preserve"> </w:t>
      </w:r>
      <w:r w:rsidR="007A5A8A">
        <w:t xml:space="preserve">DCF estimates he </w:t>
      </w:r>
      <w:r w:rsidR="00587B90">
        <w:t>deemed</w:t>
      </w:r>
      <w:r w:rsidR="007A5A8A">
        <w:t xml:space="preserve"> too low</w:t>
      </w:r>
      <w:r>
        <w:t xml:space="preserve"> and only one that </w:t>
      </w:r>
      <w:r w:rsidR="00587B90">
        <w:t xml:space="preserve">he deemed </w:t>
      </w:r>
      <w:r w:rsidR="007A5A8A">
        <w:t>t</w:t>
      </w:r>
      <w:r w:rsidR="008D5A3F">
        <w:t>oo high</w:t>
      </w:r>
      <w:r>
        <w:t xml:space="preserve">; and 3) </w:t>
      </w:r>
      <w:r w:rsidR="00587B90">
        <w:t xml:space="preserve">if </w:t>
      </w:r>
      <w:r w:rsidR="009C1404">
        <w:t>Mr. McKenzie</w:t>
      </w:r>
      <w:r>
        <w:t xml:space="preserve"> used </w:t>
      </w:r>
      <w:r w:rsidR="00EA0A08">
        <w:t xml:space="preserve">his </w:t>
      </w:r>
      <w:r>
        <w:t xml:space="preserve">internal growth </w:t>
      </w:r>
      <w:r w:rsidR="00EA0A08">
        <w:t xml:space="preserve">estimates </w:t>
      </w:r>
      <w:r>
        <w:t xml:space="preserve">rather than analysts’ </w:t>
      </w:r>
      <w:r w:rsidR="00EA0A08">
        <w:t xml:space="preserve">earnings </w:t>
      </w:r>
      <w:r w:rsidR="007D159B">
        <w:t xml:space="preserve">estimates, his DCF ROE would </w:t>
      </w:r>
      <w:r w:rsidR="008D5A3F">
        <w:t>be similar to my</w:t>
      </w:r>
      <w:r w:rsidR="007D159B">
        <w:t xml:space="preserve"> result</w:t>
      </w:r>
      <w:r>
        <w:t xml:space="preserve">.  </w:t>
      </w:r>
    </w:p>
    <w:p w14:paraId="34EA9C6D" w14:textId="77777777" w:rsidR="00B2719C" w:rsidRDefault="00B2719C" w:rsidP="00B2719C">
      <w:pPr>
        <w:tabs>
          <w:tab w:val="left" w:pos="720"/>
          <w:tab w:val="left" w:pos="1440"/>
          <w:tab w:val="left" w:pos="9240"/>
        </w:tabs>
        <w:spacing w:line="480" w:lineRule="auto"/>
        <w:ind w:left="720" w:hanging="720"/>
      </w:pPr>
      <w:r>
        <w:tab/>
      </w:r>
      <w:r>
        <w:tab/>
        <w:t xml:space="preserve">In short, the high variability in </w:t>
      </w:r>
      <w:r w:rsidR="009C1404">
        <w:t>Mr. McKenzie</w:t>
      </w:r>
      <w:r>
        <w:t xml:space="preserve">’s data and his selective elimination of data render his </w:t>
      </w:r>
      <w:r w:rsidR="007D159B">
        <w:t xml:space="preserve">DCF </w:t>
      </w:r>
      <w:r>
        <w:t>analysis unreliable and biased in favor of an ROE estimate that is too high</w:t>
      </w:r>
      <w:r w:rsidR="00F25E1D">
        <w:t>.</w:t>
      </w:r>
    </w:p>
    <w:p w14:paraId="34EA9C6E" w14:textId="77777777" w:rsidR="002A1398" w:rsidRDefault="002A1398" w:rsidP="00B2719C">
      <w:pPr>
        <w:tabs>
          <w:tab w:val="left" w:pos="720"/>
          <w:tab w:val="left" w:pos="1440"/>
          <w:tab w:val="left" w:pos="9240"/>
        </w:tabs>
        <w:spacing w:line="480" w:lineRule="auto"/>
        <w:ind w:left="720" w:hanging="720"/>
      </w:pPr>
    </w:p>
    <w:p w14:paraId="34EA9C6F" w14:textId="0EDD4A87" w:rsidR="002A1398" w:rsidRDefault="002A1398" w:rsidP="00B2719C">
      <w:pPr>
        <w:tabs>
          <w:tab w:val="left" w:pos="720"/>
          <w:tab w:val="left" w:pos="1440"/>
          <w:tab w:val="left" w:pos="9240"/>
        </w:tabs>
        <w:spacing w:line="480" w:lineRule="auto"/>
        <w:ind w:left="720" w:hanging="720"/>
        <w:rPr>
          <w:b/>
        </w:rPr>
      </w:pPr>
      <w:r>
        <w:rPr>
          <w:b/>
        </w:rPr>
        <w:t>Q.</w:t>
      </w:r>
      <w:r>
        <w:rPr>
          <w:b/>
        </w:rPr>
        <w:tab/>
        <w:t xml:space="preserve">In evaluating Mr. McKenzie’s 10.10 percent ROE recommendation, </w:t>
      </w:r>
      <w:r w:rsidR="00FD2AAC">
        <w:rPr>
          <w:b/>
        </w:rPr>
        <w:t xml:space="preserve">did you calculate </w:t>
      </w:r>
      <w:r w:rsidR="00DD5A0C">
        <w:rPr>
          <w:b/>
        </w:rPr>
        <w:t xml:space="preserve">the implied earned return on </w:t>
      </w:r>
      <w:r>
        <w:rPr>
          <w:b/>
        </w:rPr>
        <w:t xml:space="preserve">Avista </w:t>
      </w:r>
      <w:r w:rsidR="00053D68">
        <w:rPr>
          <w:b/>
        </w:rPr>
        <w:t>Corporation’s</w:t>
      </w:r>
      <w:r>
        <w:rPr>
          <w:b/>
        </w:rPr>
        <w:t xml:space="preserve"> book equity for that to be a reasonable estimate</w:t>
      </w:r>
      <w:r w:rsidR="00DD5A0C">
        <w:rPr>
          <w:b/>
        </w:rPr>
        <w:t xml:space="preserve"> </w:t>
      </w:r>
      <w:r w:rsidR="005462F1">
        <w:rPr>
          <w:b/>
        </w:rPr>
        <w:t xml:space="preserve">of sustainable growth </w:t>
      </w:r>
      <w:r w:rsidR="00DD5A0C">
        <w:rPr>
          <w:b/>
        </w:rPr>
        <w:t>for an investor</w:t>
      </w:r>
      <w:r>
        <w:rPr>
          <w:b/>
        </w:rPr>
        <w:t>?</w:t>
      </w:r>
    </w:p>
    <w:p w14:paraId="34EA9C70" w14:textId="229444D6" w:rsidR="00073F46" w:rsidRDefault="002A1398" w:rsidP="00B2719C">
      <w:pPr>
        <w:tabs>
          <w:tab w:val="left" w:pos="720"/>
          <w:tab w:val="left" w:pos="1440"/>
          <w:tab w:val="left" w:pos="9240"/>
        </w:tabs>
        <w:spacing w:line="480" w:lineRule="auto"/>
        <w:ind w:left="720" w:hanging="720"/>
      </w:pPr>
      <w:r>
        <w:t>A.</w:t>
      </w:r>
      <w:r>
        <w:tab/>
      </w:r>
      <w:r w:rsidR="00073F46">
        <w:t xml:space="preserve">Yes.  </w:t>
      </w:r>
      <w:r>
        <w:t xml:space="preserve">An investor’s expectation for earned return on book can be calculated using the traditional </w:t>
      </w:r>
      <w:r w:rsidRPr="00816D6A">
        <w:rPr>
          <w:i/>
        </w:rPr>
        <w:t>“b*r”</w:t>
      </w:r>
      <w:r>
        <w:t xml:space="preserve"> formula.   Assume </w:t>
      </w:r>
      <w:r w:rsidR="00073F46">
        <w:t xml:space="preserve">Avista’s </w:t>
      </w:r>
      <w:r>
        <w:t xml:space="preserve">10.10 percent </w:t>
      </w:r>
      <w:r w:rsidR="00073F46">
        <w:t xml:space="preserve">ROE </w:t>
      </w:r>
      <w:r w:rsidR="00DD5A0C">
        <w:t>is accurate</w:t>
      </w:r>
      <w:r w:rsidR="00073F46">
        <w:t>, t</w:t>
      </w:r>
      <w:r w:rsidR="00DD5A0C">
        <w:t>he</w:t>
      </w:r>
      <w:r>
        <w:t xml:space="preserve"> current dividend yield of 4.0 per</w:t>
      </w:r>
      <w:r w:rsidR="00DD5A0C">
        <w:t>cent impl</w:t>
      </w:r>
      <w:r w:rsidR="00073F46">
        <w:t>ies</w:t>
      </w:r>
      <w:r w:rsidR="00DD5A0C">
        <w:t xml:space="preserve"> that</w:t>
      </w:r>
      <w:r>
        <w:t xml:space="preserve"> investors expect long-term </w:t>
      </w:r>
      <w:r w:rsidR="00053D68">
        <w:t>sustainable</w:t>
      </w:r>
      <w:r>
        <w:t xml:space="preserve"> </w:t>
      </w:r>
      <w:r w:rsidR="00DD5A0C">
        <w:t xml:space="preserve">dividend </w:t>
      </w:r>
      <w:r>
        <w:t xml:space="preserve">growth </w:t>
      </w:r>
      <w:r w:rsidR="00073F46">
        <w:t>of</w:t>
      </w:r>
      <w:r>
        <w:t xml:space="preserve"> 6.10 percent.  If Avista’s retention ratio is 40 percent, the implied return on book is 15.25 percent.</w:t>
      </w:r>
      <w:r>
        <w:rPr>
          <w:rStyle w:val="FootnoteReference"/>
        </w:rPr>
        <w:footnoteReference w:id="81"/>
      </w:r>
      <w:r>
        <w:t xml:space="preserve">  </w:t>
      </w:r>
    </w:p>
    <w:p w14:paraId="34EA9C71" w14:textId="22099928" w:rsidR="002A1398" w:rsidRPr="002A1398" w:rsidRDefault="00073F46" w:rsidP="00B2719C">
      <w:pPr>
        <w:tabs>
          <w:tab w:val="left" w:pos="720"/>
          <w:tab w:val="left" w:pos="1440"/>
          <w:tab w:val="left" w:pos="9240"/>
        </w:tabs>
        <w:spacing w:line="480" w:lineRule="auto"/>
        <w:ind w:left="720" w:hanging="720"/>
      </w:pPr>
      <w:r>
        <w:tab/>
      </w:r>
      <w:r>
        <w:tab/>
      </w:r>
      <w:r w:rsidR="002A1398">
        <w:t xml:space="preserve">There is no possible scenario where an investor </w:t>
      </w:r>
      <w:r w:rsidR="006A1641">
        <w:t xml:space="preserve">today </w:t>
      </w:r>
      <w:r w:rsidR="002A1398">
        <w:t xml:space="preserve">can </w:t>
      </w:r>
      <w:r w:rsidR="00053D68">
        <w:t>reasonably</w:t>
      </w:r>
      <w:r w:rsidR="002A1398">
        <w:t xml:space="preserve"> expect Avista Corporation to earn </w:t>
      </w:r>
      <w:r>
        <w:t xml:space="preserve">15.25 percent </w:t>
      </w:r>
      <w:r w:rsidR="00DD5A0C">
        <w:t>on book.</w:t>
      </w:r>
      <w:r>
        <w:t xml:space="preserve">  This is further proof Avista’s proposed ROE is excessive.</w:t>
      </w:r>
    </w:p>
    <w:p w14:paraId="34EA9C72" w14:textId="77777777" w:rsidR="00DB1656" w:rsidRDefault="00DB1656" w:rsidP="00B2719C">
      <w:pPr>
        <w:tabs>
          <w:tab w:val="left" w:pos="720"/>
          <w:tab w:val="left" w:pos="1440"/>
          <w:tab w:val="left" w:pos="9240"/>
        </w:tabs>
        <w:spacing w:line="480" w:lineRule="auto"/>
        <w:ind w:left="720" w:hanging="720"/>
      </w:pPr>
    </w:p>
    <w:p w14:paraId="34EA9C73" w14:textId="77777777" w:rsidR="00DB1656" w:rsidRDefault="00DB1656" w:rsidP="00B2719C">
      <w:pPr>
        <w:tabs>
          <w:tab w:val="left" w:pos="720"/>
          <w:tab w:val="left" w:pos="1440"/>
          <w:tab w:val="left" w:pos="9240"/>
        </w:tabs>
        <w:spacing w:line="480" w:lineRule="auto"/>
        <w:ind w:left="720" w:hanging="720"/>
        <w:rPr>
          <w:b/>
        </w:rPr>
      </w:pPr>
      <w:r>
        <w:rPr>
          <w:b/>
        </w:rPr>
        <w:t>Q.</w:t>
      </w:r>
      <w:r>
        <w:rPr>
          <w:b/>
        </w:rPr>
        <w:tab/>
        <w:t>Do you have any other comments about Mr. McKenzie’s study and the data underlying his estimate?</w:t>
      </w:r>
    </w:p>
    <w:p w14:paraId="34EA9C74" w14:textId="26D79DD7" w:rsidR="00F72A4B" w:rsidRDefault="00DB1656" w:rsidP="00B2719C">
      <w:pPr>
        <w:tabs>
          <w:tab w:val="left" w:pos="720"/>
          <w:tab w:val="left" w:pos="1440"/>
          <w:tab w:val="left" w:pos="9240"/>
        </w:tabs>
        <w:spacing w:line="480" w:lineRule="auto"/>
        <w:ind w:left="720" w:hanging="720"/>
      </w:pPr>
      <w:r>
        <w:lastRenderedPageBreak/>
        <w:t>A.</w:t>
      </w:r>
      <w:r>
        <w:tab/>
        <w:t xml:space="preserve">Yes.  </w:t>
      </w:r>
      <w:r w:rsidR="00BF08E9">
        <w:t xml:space="preserve">In addition to all the other problems I have identified, Mr. McKenzie </w:t>
      </w:r>
      <w:r w:rsidR="00AC6FF8">
        <w:t xml:space="preserve">also </w:t>
      </w:r>
      <w:r>
        <w:t>adjust</w:t>
      </w:r>
      <w:r w:rsidR="00BF08E9">
        <w:t>ed</w:t>
      </w:r>
      <w:r>
        <w:t xml:space="preserve"> </w:t>
      </w:r>
      <w:r w:rsidR="00BF08E9">
        <w:t xml:space="preserve">certain of </w:t>
      </w:r>
      <w:r w:rsidR="00824EEC">
        <w:t>his ROE estimate</w:t>
      </w:r>
      <w:r>
        <w:t xml:space="preserve"> for </w:t>
      </w:r>
      <w:r w:rsidR="007A5A8A">
        <w:t xml:space="preserve">the alleged added risk </w:t>
      </w:r>
      <w:r w:rsidR="00BF08E9">
        <w:t xml:space="preserve">for </w:t>
      </w:r>
      <w:r w:rsidR="00533ED7">
        <w:t xml:space="preserve">smaller </w:t>
      </w:r>
      <w:r w:rsidR="00BF08E9">
        <w:t>companies</w:t>
      </w:r>
      <w:r w:rsidR="00533ED7">
        <w:t>.</w:t>
      </w:r>
      <w:r w:rsidR="00E11208">
        <w:rPr>
          <w:rStyle w:val="FootnoteReference"/>
        </w:rPr>
        <w:footnoteReference w:id="82"/>
      </w:r>
      <w:r w:rsidR="001B27C3">
        <w:t xml:space="preserve"> </w:t>
      </w:r>
      <w:r>
        <w:t xml:space="preserve"> It is much</w:t>
      </w:r>
      <w:r w:rsidR="00B77E32">
        <w:t xml:space="preserve"> </w:t>
      </w:r>
      <w:r w:rsidR="00F72A4B">
        <w:t xml:space="preserve">more direct and </w:t>
      </w:r>
      <w:r w:rsidR="00B77E32">
        <w:t>simpler to do what I have done</w:t>
      </w:r>
      <w:r w:rsidR="00824EEC">
        <w:t>:</w:t>
      </w:r>
      <w:r w:rsidR="007254C3">
        <w:t xml:space="preserve"> </w:t>
      </w:r>
      <w:r w:rsidR="00F72A4B">
        <w:t>use a proxy group of similar size companies</w:t>
      </w:r>
      <w:r w:rsidR="00B72978">
        <w:t>, if size is a critical factor for assessing risk.</w:t>
      </w:r>
    </w:p>
    <w:p w14:paraId="34EA9C75" w14:textId="6A114BB6" w:rsidR="00F25E1D" w:rsidRDefault="00F72A4B" w:rsidP="00B2719C">
      <w:pPr>
        <w:tabs>
          <w:tab w:val="left" w:pos="720"/>
          <w:tab w:val="left" w:pos="1440"/>
          <w:tab w:val="left" w:pos="9240"/>
        </w:tabs>
        <w:spacing w:line="480" w:lineRule="auto"/>
        <w:ind w:left="720" w:hanging="720"/>
      </w:pPr>
      <w:r>
        <w:tab/>
      </w:r>
      <w:r>
        <w:tab/>
      </w:r>
      <w:r w:rsidR="00B77E32">
        <w:t xml:space="preserve">Furthermore, </w:t>
      </w:r>
      <w:r w:rsidR="006972AC">
        <w:t>under</w:t>
      </w:r>
      <w:r>
        <w:t xml:space="preserve"> CAPM </w:t>
      </w:r>
      <w:r w:rsidR="006972AC">
        <w:t>theory</w:t>
      </w:r>
      <w:r>
        <w:t>,”</w:t>
      </w:r>
      <w:r w:rsidR="00C77D21" w:rsidRPr="00C77D21">
        <w:rPr>
          <w:i/>
        </w:rPr>
        <w:t>β</w:t>
      </w:r>
      <w:r w:rsidR="00C77D21">
        <w:t xml:space="preserve">” will capture all the non-diversifiable risk of that stock to the market.  </w:t>
      </w:r>
      <w:r>
        <w:t xml:space="preserve">Consequently, it is </w:t>
      </w:r>
      <w:r w:rsidR="006972AC">
        <w:t>double-counting</w:t>
      </w:r>
      <w:r w:rsidR="00533ED7">
        <w:t xml:space="preserve"> </w:t>
      </w:r>
      <w:r w:rsidR="00AC6FF8">
        <w:t xml:space="preserve">for Mr. McKenzie to also </w:t>
      </w:r>
      <w:r>
        <w:t>make a “</w:t>
      </w:r>
      <w:r w:rsidR="00C77D21">
        <w:t>size adjustment</w:t>
      </w:r>
      <w:r>
        <w:t>”</w:t>
      </w:r>
      <w:r w:rsidR="00C77D21">
        <w:t xml:space="preserve"> </w:t>
      </w:r>
      <w:r w:rsidR="00533ED7">
        <w:t xml:space="preserve">in </w:t>
      </w:r>
      <w:r w:rsidR="007254C3">
        <w:t>the CAPM analysis</w:t>
      </w:r>
      <w:r w:rsidR="006972AC">
        <w:t xml:space="preserve">; </w:t>
      </w:r>
      <w:r w:rsidR="006A1641">
        <w:t xml:space="preserve">under CAPM theory, </w:t>
      </w:r>
      <w:r w:rsidR="006972AC">
        <w:t>investors are compensated for only non-diversifiable risk.</w:t>
      </w:r>
    </w:p>
    <w:p w14:paraId="34EA9C76" w14:textId="77777777" w:rsidR="006972AC" w:rsidRDefault="006972AC" w:rsidP="00B2719C">
      <w:pPr>
        <w:tabs>
          <w:tab w:val="left" w:pos="720"/>
          <w:tab w:val="left" w:pos="1440"/>
          <w:tab w:val="left" w:pos="9240"/>
        </w:tabs>
        <w:spacing w:line="480" w:lineRule="auto"/>
        <w:ind w:left="720" w:hanging="720"/>
      </w:pPr>
    </w:p>
    <w:p w14:paraId="34EA9C77" w14:textId="77777777" w:rsidR="00F25E1D" w:rsidRPr="00F25E1D" w:rsidRDefault="00D26E1D" w:rsidP="00B2719C">
      <w:pPr>
        <w:tabs>
          <w:tab w:val="left" w:pos="720"/>
          <w:tab w:val="left" w:pos="1440"/>
          <w:tab w:val="left" w:pos="9240"/>
        </w:tabs>
        <w:spacing w:line="480" w:lineRule="auto"/>
        <w:ind w:left="720" w:hanging="720"/>
        <w:rPr>
          <w:b/>
        </w:rPr>
      </w:pPr>
      <w:r>
        <w:rPr>
          <w:b/>
        </w:rPr>
        <w:tab/>
      </w:r>
      <w:r w:rsidR="009B70DF">
        <w:rPr>
          <w:b/>
        </w:rPr>
        <w:t>C.</w:t>
      </w:r>
      <w:r w:rsidR="00F25E1D">
        <w:rPr>
          <w:b/>
        </w:rPr>
        <w:tab/>
        <w:t>Expected Earnings Approach</w:t>
      </w:r>
    </w:p>
    <w:p w14:paraId="34EA9C78" w14:textId="77777777" w:rsidR="00B2719C" w:rsidRDefault="00B2719C" w:rsidP="005D3B74">
      <w:pPr>
        <w:tabs>
          <w:tab w:val="left" w:pos="720"/>
          <w:tab w:val="left" w:pos="1440"/>
          <w:tab w:val="left" w:pos="9240"/>
        </w:tabs>
        <w:spacing w:line="480" w:lineRule="auto"/>
        <w:ind w:left="720" w:hanging="720"/>
        <w:rPr>
          <w:b/>
        </w:rPr>
      </w:pPr>
    </w:p>
    <w:p w14:paraId="34EA9C79" w14:textId="77777777" w:rsidR="00491764" w:rsidRDefault="00491764" w:rsidP="00491764">
      <w:pPr>
        <w:tabs>
          <w:tab w:val="left" w:pos="720"/>
          <w:tab w:val="left" w:pos="1440"/>
          <w:tab w:val="left" w:pos="9240"/>
        </w:tabs>
        <w:spacing w:line="480" w:lineRule="auto"/>
        <w:ind w:left="720" w:hanging="720"/>
        <w:rPr>
          <w:b/>
        </w:rPr>
      </w:pPr>
      <w:r>
        <w:rPr>
          <w:b/>
        </w:rPr>
        <w:t>Q.</w:t>
      </w:r>
      <w:r>
        <w:rPr>
          <w:b/>
        </w:rPr>
        <w:tab/>
        <w:t xml:space="preserve">Mr. McKenzie also calculates an estimate of ROE based on what he calls the expected earnings approach. </w:t>
      </w:r>
      <w:r w:rsidR="001933EF">
        <w:rPr>
          <w:b/>
        </w:rPr>
        <w:t xml:space="preserve"> </w:t>
      </w:r>
      <w:r>
        <w:rPr>
          <w:b/>
        </w:rPr>
        <w:t xml:space="preserve">Is there anything the Commission can take from Mr. McKenzie’s comparable earnings study </w:t>
      </w:r>
      <w:r w:rsidR="00F72A4B">
        <w:rPr>
          <w:b/>
        </w:rPr>
        <w:t xml:space="preserve">as </w:t>
      </w:r>
      <w:r>
        <w:rPr>
          <w:b/>
        </w:rPr>
        <w:t>evidence of a fair ROE for Avista</w:t>
      </w:r>
      <w:r w:rsidR="00C9286A">
        <w:rPr>
          <w:b/>
        </w:rPr>
        <w:t xml:space="preserve"> Corporation</w:t>
      </w:r>
      <w:r>
        <w:rPr>
          <w:b/>
        </w:rPr>
        <w:t>?</w:t>
      </w:r>
    </w:p>
    <w:p w14:paraId="34EA9C7A" w14:textId="76A9996A" w:rsidR="00F25E1D" w:rsidRDefault="00C9286A" w:rsidP="00F72A4B">
      <w:pPr>
        <w:tabs>
          <w:tab w:val="left" w:pos="720"/>
        </w:tabs>
        <w:spacing w:line="480" w:lineRule="auto"/>
        <w:ind w:left="720" w:hanging="720"/>
      </w:pPr>
      <w:r>
        <w:t>A.</w:t>
      </w:r>
      <w:r>
        <w:tab/>
        <w:t xml:space="preserve">Yes.  </w:t>
      </w:r>
      <w:r w:rsidR="00F72A4B">
        <w:t xml:space="preserve">The </w:t>
      </w:r>
      <w:r w:rsidRPr="00C9286A">
        <w:rPr>
          <w:i/>
        </w:rPr>
        <w:t>Value Line</w:t>
      </w:r>
      <w:r>
        <w:t xml:space="preserve"> data </w:t>
      </w:r>
      <w:r w:rsidR="00F72A4B">
        <w:t xml:space="preserve">used by Mr. McKenzie show Avista Corporation </w:t>
      </w:r>
      <w:r w:rsidR="001B27C3">
        <w:t>earning 8.5</w:t>
      </w:r>
      <w:r w:rsidR="007C2405">
        <w:t>0</w:t>
      </w:r>
      <w:r w:rsidR="001B27C3">
        <w:t xml:space="preserve"> percent on book</w:t>
      </w:r>
      <w:r>
        <w:t xml:space="preserve"> through 2016</w:t>
      </w:r>
      <w:r w:rsidR="00F72A4B">
        <w:t xml:space="preserve">, and that the market to book ratio will remain </w:t>
      </w:r>
      <w:r w:rsidR="004377FB">
        <w:t xml:space="preserve">well above </w:t>
      </w:r>
      <w:r w:rsidR="00F72A4B">
        <w:t>1.0</w:t>
      </w:r>
      <w:r w:rsidR="00100E2B">
        <w:t>.</w:t>
      </w:r>
      <w:r w:rsidR="00BF64CB">
        <w:t xml:space="preserve"> </w:t>
      </w:r>
      <w:r w:rsidR="00BF64CB">
        <w:rPr>
          <w:rStyle w:val="FootnoteReference"/>
        </w:rPr>
        <w:footnoteReference w:id="83"/>
      </w:r>
      <w:r>
        <w:t xml:space="preserve">  </w:t>
      </w:r>
      <w:r w:rsidR="00100E2B">
        <w:t>T</w:t>
      </w:r>
      <w:r w:rsidR="00363355">
        <w:t>his</w:t>
      </w:r>
      <w:r w:rsidR="00F72A4B">
        <w:t xml:space="preserve"> </w:t>
      </w:r>
      <w:r w:rsidR="001B27C3">
        <w:t xml:space="preserve">data </w:t>
      </w:r>
      <w:r w:rsidR="00100E2B">
        <w:t>indicates</w:t>
      </w:r>
      <w:r w:rsidR="00F72A4B">
        <w:t xml:space="preserve"> </w:t>
      </w:r>
      <w:r w:rsidR="001B27C3">
        <w:t>that</w:t>
      </w:r>
      <w:r w:rsidR="00FF672E">
        <w:t xml:space="preserve"> </w:t>
      </w:r>
      <w:r w:rsidR="001B27C3">
        <w:t>investors</w:t>
      </w:r>
      <w:r w:rsidR="00F72A4B">
        <w:t>’</w:t>
      </w:r>
      <w:r w:rsidR="001B27C3">
        <w:t xml:space="preserve"> cost of capital today is </w:t>
      </w:r>
      <w:r w:rsidR="00587B90">
        <w:t xml:space="preserve">no more than </w:t>
      </w:r>
      <w:r w:rsidR="001B27C3">
        <w:t>8.5</w:t>
      </w:r>
      <w:r w:rsidR="007C2405">
        <w:t>0</w:t>
      </w:r>
      <w:r w:rsidR="001B27C3">
        <w:t xml:space="preserve"> percent</w:t>
      </w:r>
      <w:r w:rsidR="00F72A4B">
        <w:t xml:space="preserve">, because </w:t>
      </w:r>
      <w:r w:rsidR="0008434E">
        <w:t xml:space="preserve">investors </w:t>
      </w:r>
      <w:r w:rsidR="001B27C3">
        <w:t xml:space="preserve">are willing to pay more than book value for </w:t>
      </w:r>
      <w:r w:rsidR="00F72A4B">
        <w:t xml:space="preserve">Avista Corporation’s </w:t>
      </w:r>
      <w:r w:rsidR="001B27C3">
        <w:t>cash flows</w:t>
      </w:r>
      <w:r w:rsidR="006A1641">
        <w:t xml:space="preserve"> based upon that return on book</w:t>
      </w:r>
      <w:r w:rsidR="001B27C3">
        <w:t xml:space="preserve">.  </w:t>
      </w:r>
      <w:r w:rsidR="00BF64CB" w:rsidRPr="00BF64CB">
        <w:rPr>
          <w:i/>
        </w:rPr>
        <w:t>Value Line</w:t>
      </w:r>
      <w:r w:rsidR="00BF64CB">
        <w:t xml:space="preserve"> </w:t>
      </w:r>
      <w:r w:rsidR="005F3934">
        <w:t>data shows th</w:t>
      </w:r>
      <w:r w:rsidR="00F72A4B">
        <w:t>is condition to prevail through 2</w:t>
      </w:r>
      <w:r w:rsidR="005F3934">
        <w:t>016.</w:t>
      </w:r>
      <w:r w:rsidR="00CC5CD1">
        <w:t xml:space="preserve">  </w:t>
      </w:r>
      <w:r w:rsidR="00AC6FF8">
        <w:t xml:space="preserve">This is another instance where Mr. </w:t>
      </w:r>
      <w:r w:rsidR="00AC6FF8">
        <w:lastRenderedPageBreak/>
        <w:t>McKenzie’s own data refutes his conclusions</w:t>
      </w:r>
      <w:r w:rsidR="00016EA9">
        <w:t xml:space="preserve"> and support</w:t>
      </w:r>
      <w:r w:rsidR="00073F46">
        <w:t>s</w:t>
      </w:r>
      <w:r w:rsidR="00016EA9">
        <w:t xml:space="preserve"> the reasonableness of my </w:t>
      </w:r>
      <w:r w:rsidR="006A1641">
        <w:t xml:space="preserve">ROE </w:t>
      </w:r>
      <w:r w:rsidR="00016EA9">
        <w:t>estimate.</w:t>
      </w:r>
    </w:p>
    <w:p w14:paraId="34EA9C7B" w14:textId="77777777" w:rsidR="00C9286A" w:rsidRDefault="00C9286A" w:rsidP="004E17E1">
      <w:pPr>
        <w:tabs>
          <w:tab w:val="left" w:pos="720"/>
          <w:tab w:val="left" w:pos="1440"/>
          <w:tab w:val="left" w:pos="9240"/>
        </w:tabs>
        <w:spacing w:line="480" w:lineRule="auto"/>
        <w:ind w:left="720" w:hanging="720"/>
      </w:pPr>
    </w:p>
    <w:p w14:paraId="34EA9C7C" w14:textId="77777777" w:rsidR="00491764" w:rsidRPr="00491764" w:rsidRDefault="00491764" w:rsidP="00A0224C">
      <w:pPr>
        <w:tabs>
          <w:tab w:val="left" w:pos="720"/>
          <w:tab w:val="left" w:pos="1440"/>
          <w:tab w:val="left" w:pos="9240"/>
        </w:tabs>
        <w:spacing w:line="480" w:lineRule="auto"/>
        <w:ind w:left="720"/>
        <w:rPr>
          <w:b/>
        </w:rPr>
      </w:pPr>
      <w:r>
        <w:rPr>
          <w:b/>
        </w:rPr>
        <w:t>D.</w:t>
      </w:r>
      <w:r>
        <w:rPr>
          <w:b/>
        </w:rPr>
        <w:tab/>
        <w:t>Capital Asset Pricing Model</w:t>
      </w:r>
    </w:p>
    <w:p w14:paraId="34EA9C7D" w14:textId="77777777" w:rsidR="00491764" w:rsidRDefault="00491764" w:rsidP="00F25E1D">
      <w:pPr>
        <w:tabs>
          <w:tab w:val="left" w:pos="720"/>
          <w:tab w:val="left" w:pos="1440"/>
          <w:tab w:val="left" w:pos="9240"/>
        </w:tabs>
        <w:spacing w:line="480" w:lineRule="auto"/>
        <w:ind w:left="720" w:hanging="720"/>
        <w:rPr>
          <w:b/>
        </w:rPr>
      </w:pPr>
    </w:p>
    <w:p w14:paraId="34EA9C7E" w14:textId="77777777" w:rsidR="00F25E1D" w:rsidRDefault="00F25E1D" w:rsidP="00F25E1D">
      <w:pPr>
        <w:tabs>
          <w:tab w:val="left" w:pos="720"/>
          <w:tab w:val="left" w:pos="1440"/>
          <w:tab w:val="left" w:pos="9240"/>
        </w:tabs>
        <w:spacing w:line="480" w:lineRule="auto"/>
        <w:ind w:left="720" w:hanging="720"/>
        <w:rPr>
          <w:b/>
        </w:rPr>
      </w:pPr>
      <w:r>
        <w:rPr>
          <w:b/>
        </w:rPr>
        <w:t>Q.</w:t>
      </w:r>
      <w:r>
        <w:rPr>
          <w:b/>
        </w:rPr>
        <w:tab/>
      </w:r>
      <w:r w:rsidR="009C1404">
        <w:rPr>
          <w:b/>
        </w:rPr>
        <w:t>Mr. McKenzie</w:t>
      </w:r>
      <w:r>
        <w:rPr>
          <w:b/>
        </w:rPr>
        <w:t xml:space="preserve"> also presents a </w:t>
      </w:r>
      <w:r w:rsidR="00A4253C">
        <w:rPr>
          <w:b/>
        </w:rPr>
        <w:t>two different CAPM studies</w:t>
      </w:r>
      <w:r>
        <w:rPr>
          <w:b/>
        </w:rPr>
        <w:t xml:space="preserve">.  What is your critique of </w:t>
      </w:r>
      <w:r w:rsidR="008D5A3F">
        <w:rPr>
          <w:b/>
        </w:rPr>
        <w:t>those studies</w:t>
      </w:r>
      <w:r>
        <w:rPr>
          <w:b/>
        </w:rPr>
        <w:t>?</w:t>
      </w:r>
    </w:p>
    <w:p w14:paraId="34EA9C7F" w14:textId="77777777" w:rsidR="00EA0A08" w:rsidRDefault="00F25E1D" w:rsidP="00F25E1D">
      <w:pPr>
        <w:tabs>
          <w:tab w:val="left" w:pos="720"/>
          <w:tab w:val="left" w:pos="1440"/>
          <w:tab w:val="left" w:pos="9240"/>
        </w:tabs>
        <w:spacing w:line="480" w:lineRule="auto"/>
        <w:ind w:left="720" w:hanging="720"/>
      </w:pPr>
      <w:r>
        <w:t>A.</w:t>
      </w:r>
      <w:r>
        <w:tab/>
        <w:t xml:space="preserve">There are several </w:t>
      </w:r>
      <w:r w:rsidR="00AC6FF8">
        <w:t xml:space="preserve">problems with Mr. McKenzie’s </w:t>
      </w:r>
      <w:r>
        <w:t>CA</w:t>
      </w:r>
      <w:r w:rsidR="000A3611">
        <w:t>PM stud</w:t>
      </w:r>
      <w:r w:rsidR="00013DFF">
        <w:t>y</w:t>
      </w:r>
      <w:r w:rsidR="00AC6FF8">
        <w:t xml:space="preserve">.  </w:t>
      </w:r>
      <w:r w:rsidR="000A3611">
        <w:t>Firs</w:t>
      </w:r>
      <w:r w:rsidR="00BE1330">
        <w:t>t</w:t>
      </w:r>
      <w:r w:rsidR="000A3611">
        <w:t>,</w:t>
      </w:r>
      <w:r w:rsidR="00442190">
        <w:t xml:space="preserve"> </w:t>
      </w:r>
      <w:r w:rsidR="00F72A4B">
        <w:t xml:space="preserve">he uses </w:t>
      </w:r>
      <w:r w:rsidR="00BE1330">
        <w:t>a</w:t>
      </w:r>
      <w:r w:rsidR="00DE4368">
        <w:t xml:space="preserve"> 12.4</w:t>
      </w:r>
      <w:r>
        <w:t xml:space="preserve"> percent </w:t>
      </w:r>
      <w:r w:rsidR="00BE1330">
        <w:t>expected</w:t>
      </w:r>
      <w:r w:rsidR="000A3611">
        <w:t xml:space="preserve"> return on the market (Rm)</w:t>
      </w:r>
      <w:r w:rsidR="00F72A4B">
        <w:t>,</w:t>
      </w:r>
      <w:r w:rsidR="00DE4368">
        <w:rPr>
          <w:rStyle w:val="FootnoteReference"/>
        </w:rPr>
        <w:footnoteReference w:id="84"/>
      </w:r>
      <w:r w:rsidR="000A3611">
        <w:t xml:space="preserve"> </w:t>
      </w:r>
      <w:r w:rsidR="00F72A4B">
        <w:t xml:space="preserve">which </w:t>
      </w:r>
      <w:r>
        <w:t xml:space="preserve">is far too optimistic.  </w:t>
      </w:r>
      <w:r w:rsidR="00491764">
        <w:t xml:space="preserve">Also, </w:t>
      </w:r>
      <w:r w:rsidR="009C1404">
        <w:t>Mr. McKenzie</w:t>
      </w:r>
      <w:r>
        <w:t xml:space="preserve"> is wrong to use an earnings estimate of only dividend</w:t>
      </w:r>
      <w:r w:rsidR="00AC2C6B">
        <w:t>-</w:t>
      </w:r>
      <w:r>
        <w:t xml:space="preserve">paying firms in the S&amp;P 500 as a proxy for the </w:t>
      </w:r>
      <w:r w:rsidR="00410425">
        <w:t>market return</w:t>
      </w:r>
      <w:r>
        <w:t xml:space="preserve">.  </w:t>
      </w:r>
      <w:r w:rsidR="00410425">
        <w:t>This group of equities</w:t>
      </w:r>
      <w:r>
        <w:t xml:space="preserve"> is too narrow a proxy</w:t>
      </w:r>
      <w:r w:rsidR="00410425">
        <w:t xml:space="preserve"> for the </w:t>
      </w:r>
      <w:r w:rsidR="000A3611">
        <w:t xml:space="preserve">total </w:t>
      </w:r>
      <w:r w:rsidR="00410425">
        <w:t>market</w:t>
      </w:r>
      <w:r>
        <w:t xml:space="preserve">.  </w:t>
      </w:r>
      <w:r w:rsidR="004377FB">
        <w:t>A</w:t>
      </w:r>
      <w:r w:rsidR="00013DFF">
        <w:t xml:space="preserve"> </w:t>
      </w:r>
      <w:r w:rsidR="00AC6FF8">
        <w:t xml:space="preserve">return on the market of no more than </w:t>
      </w:r>
      <w:r w:rsidR="00013DFF">
        <w:t>10 percent is reasonable.</w:t>
      </w:r>
      <w:r w:rsidR="004377FB">
        <w:t xml:space="preserve">  </w:t>
      </w:r>
    </w:p>
    <w:p w14:paraId="34EA9C80" w14:textId="77777777" w:rsidR="00F25E1D" w:rsidRDefault="00EA0A08" w:rsidP="00F25E1D">
      <w:pPr>
        <w:tabs>
          <w:tab w:val="left" w:pos="720"/>
          <w:tab w:val="left" w:pos="1440"/>
          <w:tab w:val="left" w:pos="9240"/>
        </w:tabs>
        <w:spacing w:line="480" w:lineRule="auto"/>
        <w:ind w:left="720" w:hanging="720"/>
      </w:pPr>
      <w:r>
        <w:tab/>
      </w:r>
      <w:r>
        <w:tab/>
      </w:r>
      <w:r w:rsidR="00F25E1D">
        <w:t xml:space="preserve">Also, </w:t>
      </w:r>
      <w:r w:rsidR="009C1404">
        <w:t>Mr. McKenzie</w:t>
      </w:r>
      <w:r w:rsidR="00F25E1D">
        <w:t>’s estimate of the risk</w:t>
      </w:r>
      <w:r w:rsidR="00AC2C6B">
        <w:t>-</w:t>
      </w:r>
      <w:r w:rsidR="00F25E1D">
        <w:t xml:space="preserve">free rate is too high.  Current 30-year Treasury bonds are yielding </w:t>
      </w:r>
      <w:r w:rsidR="005F2488">
        <w:t>3.</w:t>
      </w:r>
      <w:r w:rsidR="00016EA9">
        <w:t>4</w:t>
      </w:r>
      <w:r w:rsidR="005F2488">
        <w:t>0</w:t>
      </w:r>
      <w:r w:rsidR="00013DFF">
        <w:t xml:space="preserve"> percent, yet he uses a projected yield of 4.4</w:t>
      </w:r>
      <w:r w:rsidR="00262CB3">
        <w:t>0</w:t>
      </w:r>
      <w:r w:rsidR="00F25E1D">
        <w:t xml:space="preserve"> percent</w:t>
      </w:r>
      <w:r w:rsidR="00013DFF">
        <w:rPr>
          <w:rStyle w:val="FootnoteReference"/>
        </w:rPr>
        <w:footnoteReference w:id="85"/>
      </w:r>
      <w:r w:rsidR="00F25E1D">
        <w:t xml:space="preserve"> for his risk-free rate.  </w:t>
      </w:r>
      <w:r w:rsidR="009C1404">
        <w:t>Mr. McKenzie</w:t>
      </w:r>
      <w:r w:rsidR="00F25E1D">
        <w:t xml:space="preserve">’s size adjustment </w:t>
      </w:r>
      <w:r w:rsidR="003023FE">
        <w:t>is improper</w:t>
      </w:r>
      <w:r w:rsidR="00406BC7">
        <w:t>,</w:t>
      </w:r>
      <w:r w:rsidR="003023FE">
        <w:t xml:space="preserve"> too</w:t>
      </w:r>
      <w:r w:rsidR="00406BC7">
        <w:t>; i</w:t>
      </w:r>
      <w:r w:rsidR="00013DFF">
        <w:t>t raises his estimate by a full 70 to 90 basis points.</w:t>
      </w:r>
      <w:r w:rsidR="00013DFF">
        <w:rPr>
          <w:rStyle w:val="FootnoteReference"/>
        </w:rPr>
        <w:footnoteReference w:id="86"/>
      </w:r>
    </w:p>
    <w:p w14:paraId="34EA9C81" w14:textId="77777777" w:rsidR="007F371C" w:rsidRDefault="000A3611" w:rsidP="004E17E1">
      <w:pPr>
        <w:tabs>
          <w:tab w:val="left" w:pos="720"/>
          <w:tab w:val="left" w:pos="1440"/>
          <w:tab w:val="left" w:pos="9240"/>
        </w:tabs>
        <w:spacing w:line="480" w:lineRule="auto"/>
        <w:ind w:left="720" w:hanging="720"/>
      </w:pPr>
      <w:r>
        <w:tab/>
      </w:r>
      <w:r>
        <w:tab/>
        <w:t xml:space="preserve">In conclusion, the components of </w:t>
      </w:r>
      <w:r w:rsidR="009C1404">
        <w:t>Mr. McKenzie</w:t>
      </w:r>
      <w:r w:rsidR="007109FB">
        <w:t>’s</w:t>
      </w:r>
      <w:r w:rsidR="00467C26">
        <w:t xml:space="preserve"> CAPM analyse</w:t>
      </w:r>
      <w:r w:rsidR="00C80A50">
        <w:t xml:space="preserve">s </w:t>
      </w:r>
      <w:r w:rsidR="00262CB3">
        <w:t xml:space="preserve">with </w:t>
      </w:r>
      <w:r w:rsidR="004377FB">
        <w:t xml:space="preserve">ROE </w:t>
      </w:r>
      <w:r w:rsidR="00262CB3">
        <w:t>e</w:t>
      </w:r>
      <w:r>
        <w:t>s</w:t>
      </w:r>
      <w:r w:rsidR="007109FB">
        <w:t>timate</w:t>
      </w:r>
      <w:r w:rsidR="005F2488">
        <w:t>s</w:t>
      </w:r>
      <w:r w:rsidR="007109FB">
        <w:t xml:space="preserve"> </w:t>
      </w:r>
      <w:r w:rsidR="004377FB">
        <w:t xml:space="preserve">ranging between 11.5 </w:t>
      </w:r>
      <w:r w:rsidR="00467C26">
        <w:t>and 11.8</w:t>
      </w:r>
      <w:r w:rsidR="005F2488">
        <w:t xml:space="preserve"> percent</w:t>
      </w:r>
      <w:r w:rsidR="007109FB">
        <w:t xml:space="preserve"> </w:t>
      </w:r>
      <w:r w:rsidR="005F2488">
        <w:t>are</w:t>
      </w:r>
      <w:r w:rsidR="007109FB">
        <w:t xml:space="preserve"> too high</w:t>
      </w:r>
      <w:r w:rsidR="005F2488">
        <w:t xml:space="preserve"> and not credible</w:t>
      </w:r>
      <w:r w:rsidR="007109FB">
        <w:t>.</w:t>
      </w:r>
      <w:r w:rsidR="005F2488">
        <w:rPr>
          <w:rStyle w:val="FootnoteReference"/>
        </w:rPr>
        <w:footnoteReference w:id="87"/>
      </w:r>
      <w:r w:rsidR="007109FB">
        <w:t xml:space="preserve">  </w:t>
      </w:r>
      <w:r w:rsidR="005F2488">
        <w:t>The</w:t>
      </w:r>
      <w:r w:rsidR="007109FB">
        <w:t xml:space="preserve"> </w:t>
      </w:r>
      <w:r w:rsidR="00406BC7">
        <w:t xml:space="preserve">Commission should not give these estimates any weight </w:t>
      </w:r>
      <w:r w:rsidR="007109FB">
        <w:t xml:space="preserve">in </w:t>
      </w:r>
      <w:r w:rsidR="00406BC7">
        <w:t xml:space="preserve">the </w:t>
      </w:r>
      <w:r w:rsidR="007109FB">
        <w:t>determination of a fair ROE</w:t>
      </w:r>
      <w:r w:rsidR="00D26E1D">
        <w:t>.</w:t>
      </w:r>
    </w:p>
    <w:p w14:paraId="34EA9C82" w14:textId="77777777" w:rsidR="000A3611" w:rsidRDefault="000A3611" w:rsidP="004E17E1">
      <w:pPr>
        <w:tabs>
          <w:tab w:val="left" w:pos="720"/>
          <w:tab w:val="left" w:pos="1440"/>
          <w:tab w:val="left" w:pos="9240"/>
        </w:tabs>
        <w:spacing w:line="480" w:lineRule="auto"/>
        <w:ind w:left="720" w:hanging="720"/>
      </w:pPr>
    </w:p>
    <w:p w14:paraId="34EA9C83" w14:textId="77777777" w:rsidR="007F371C" w:rsidRDefault="009B70DF" w:rsidP="009B2C90">
      <w:pPr>
        <w:keepNext/>
        <w:tabs>
          <w:tab w:val="left" w:pos="720"/>
          <w:tab w:val="left" w:pos="1440"/>
          <w:tab w:val="left" w:pos="9240"/>
        </w:tabs>
        <w:spacing w:line="480" w:lineRule="auto"/>
        <w:ind w:left="720" w:hanging="720"/>
        <w:jc w:val="center"/>
        <w:rPr>
          <w:b/>
        </w:rPr>
      </w:pPr>
      <w:r>
        <w:rPr>
          <w:b/>
        </w:rPr>
        <w:t>X.</w:t>
      </w:r>
      <w:r>
        <w:rPr>
          <w:b/>
        </w:rPr>
        <w:tab/>
      </w:r>
      <w:r w:rsidR="007F371C" w:rsidRPr="007F371C">
        <w:rPr>
          <w:b/>
        </w:rPr>
        <w:t>SUMMARY</w:t>
      </w:r>
      <w:r w:rsidR="00406BC7">
        <w:rPr>
          <w:b/>
        </w:rPr>
        <w:t xml:space="preserve"> ON COST OF CAPITAL</w:t>
      </w:r>
    </w:p>
    <w:p w14:paraId="34EA9C84" w14:textId="77777777" w:rsidR="00516A80" w:rsidRDefault="00516A80" w:rsidP="009B2C90">
      <w:pPr>
        <w:keepNext/>
        <w:tabs>
          <w:tab w:val="left" w:pos="720"/>
          <w:tab w:val="left" w:pos="1440"/>
          <w:tab w:val="left" w:pos="9240"/>
        </w:tabs>
        <w:spacing w:line="480" w:lineRule="auto"/>
        <w:ind w:left="720" w:hanging="720"/>
      </w:pPr>
    </w:p>
    <w:p w14:paraId="34EA9C85" w14:textId="77777777" w:rsidR="006A126C" w:rsidRPr="006A126C" w:rsidRDefault="006A126C" w:rsidP="006A126C">
      <w:pPr>
        <w:tabs>
          <w:tab w:val="left" w:pos="720"/>
          <w:tab w:val="left" w:pos="1440"/>
          <w:tab w:val="left" w:pos="9240"/>
        </w:tabs>
        <w:spacing w:line="480" w:lineRule="auto"/>
        <w:rPr>
          <w:b/>
        </w:rPr>
      </w:pPr>
      <w:r>
        <w:rPr>
          <w:b/>
        </w:rPr>
        <w:t>Q.</w:t>
      </w:r>
      <w:r>
        <w:rPr>
          <w:b/>
        </w:rPr>
        <w:tab/>
        <w:t>Please summarize your cost of capital testimony</w:t>
      </w:r>
      <w:r w:rsidR="0098522B">
        <w:rPr>
          <w:b/>
        </w:rPr>
        <w:t>.</w:t>
      </w:r>
    </w:p>
    <w:p w14:paraId="34EA9C86" w14:textId="77777777" w:rsidR="0098522B" w:rsidRDefault="006A126C" w:rsidP="005E6CAD">
      <w:pPr>
        <w:tabs>
          <w:tab w:val="left" w:pos="720"/>
          <w:tab w:val="left" w:pos="1440"/>
          <w:tab w:val="left" w:pos="9240"/>
        </w:tabs>
        <w:spacing w:line="480" w:lineRule="auto"/>
        <w:ind w:left="720" w:hanging="720"/>
      </w:pPr>
      <w:r>
        <w:t>A.</w:t>
      </w:r>
      <w:r w:rsidR="002F4106">
        <w:tab/>
      </w:r>
      <w:r w:rsidR="00BE1673">
        <w:t xml:space="preserve">Avista </w:t>
      </w:r>
      <w:r w:rsidR="00067F09">
        <w:t>is</w:t>
      </w:r>
      <w:r w:rsidR="002F4106">
        <w:t xml:space="preserve"> </w:t>
      </w:r>
      <w:r w:rsidR="0098522B">
        <w:t xml:space="preserve">a healthy utility.  It is </w:t>
      </w:r>
      <w:r w:rsidR="002F4106">
        <w:t>generating</w:t>
      </w:r>
      <w:r>
        <w:t xml:space="preserve"> cash flows </w:t>
      </w:r>
      <w:r w:rsidR="00B23BE4">
        <w:t xml:space="preserve">sufficient </w:t>
      </w:r>
      <w:r>
        <w:t xml:space="preserve">to </w:t>
      </w:r>
      <w:r w:rsidR="002F4106">
        <w:t xml:space="preserve">fund </w:t>
      </w:r>
      <w:r w:rsidR="003023FE">
        <w:t xml:space="preserve">a significant portion of its </w:t>
      </w:r>
      <w:r w:rsidR="002F4106">
        <w:t xml:space="preserve">utility capital budget.  </w:t>
      </w:r>
      <w:r w:rsidR="003023FE">
        <w:t xml:space="preserve">It will be </w:t>
      </w:r>
      <w:r w:rsidR="005F2488">
        <w:t>able</w:t>
      </w:r>
      <w:r w:rsidR="003023FE">
        <w:t xml:space="preserve"> to raise new external capital</w:t>
      </w:r>
      <w:r w:rsidR="00D979D1">
        <w:t xml:space="preserve"> on reasonable terms</w:t>
      </w:r>
      <w:r w:rsidR="003023FE">
        <w:t xml:space="preserve"> either through issuing new secured debt or</w:t>
      </w:r>
      <w:r w:rsidR="00670C23">
        <w:t xml:space="preserve"> s</w:t>
      </w:r>
      <w:r w:rsidR="003023FE">
        <w:t>ell</w:t>
      </w:r>
      <w:r w:rsidR="00406BC7">
        <w:t>ing</w:t>
      </w:r>
      <w:r w:rsidR="003023FE">
        <w:t xml:space="preserve"> new equity above book value.</w:t>
      </w:r>
    </w:p>
    <w:p w14:paraId="34EA9C87" w14:textId="7044C6CD" w:rsidR="00406BC7" w:rsidRDefault="0098522B" w:rsidP="005E6CAD">
      <w:pPr>
        <w:tabs>
          <w:tab w:val="left" w:pos="720"/>
          <w:tab w:val="left" w:pos="1440"/>
          <w:tab w:val="left" w:pos="9240"/>
        </w:tabs>
        <w:spacing w:line="480" w:lineRule="auto"/>
        <w:ind w:left="720" w:hanging="720"/>
      </w:pPr>
      <w:r>
        <w:tab/>
      </w:r>
      <w:r>
        <w:tab/>
      </w:r>
      <w:r w:rsidR="0075585D">
        <w:t>A</w:t>
      </w:r>
      <w:r w:rsidR="00A53432">
        <w:t xml:space="preserve"> </w:t>
      </w:r>
      <w:r w:rsidR="006A1641">
        <w:t>6.90</w:t>
      </w:r>
      <w:r w:rsidR="004D2D9D">
        <w:t xml:space="preserve"> </w:t>
      </w:r>
      <w:r w:rsidR="0075585D">
        <w:t>percent</w:t>
      </w:r>
      <w:r w:rsidR="002402B7">
        <w:t xml:space="preserve"> </w:t>
      </w:r>
      <w:r w:rsidR="00406BC7">
        <w:t xml:space="preserve">overall </w:t>
      </w:r>
      <w:r w:rsidR="002402B7">
        <w:t xml:space="preserve">rate of return, </w:t>
      </w:r>
      <w:r w:rsidR="00406BC7">
        <w:t xml:space="preserve">based on </w:t>
      </w:r>
      <w:r w:rsidR="004D2D9D">
        <w:t xml:space="preserve">a </w:t>
      </w:r>
      <w:r w:rsidR="003023FE">
        <w:t>8.75</w:t>
      </w:r>
      <w:r w:rsidR="004D2D9D">
        <w:t xml:space="preserve"> percent return on equity</w:t>
      </w:r>
      <w:r w:rsidR="00BE1330">
        <w:t xml:space="preserve"> and an equity ratio of 4</w:t>
      </w:r>
      <w:r w:rsidR="006A1641">
        <w:t>6</w:t>
      </w:r>
      <w:r w:rsidR="003023FE">
        <w:t>.0</w:t>
      </w:r>
      <w:r w:rsidR="00BE1330">
        <w:t xml:space="preserve"> </w:t>
      </w:r>
      <w:r w:rsidR="002402B7">
        <w:t>percent</w:t>
      </w:r>
      <w:r w:rsidR="00D979D1">
        <w:t>,</w:t>
      </w:r>
      <w:r w:rsidR="00A53432">
        <w:t xml:space="preserve"> </w:t>
      </w:r>
      <w:r w:rsidR="006A1641">
        <w:t xml:space="preserve">will </w:t>
      </w:r>
      <w:r w:rsidR="00670C23">
        <w:t xml:space="preserve">support </w:t>
      </w:r>
      <w:r w:rsidR="00406BC7">
        <w:t xml:space="preserve">solid </w:t>
      </w:r>
      <w:r w:rsidR="00670C23">
        <w:t xml:space="preserve">financial position and fairly compensates shareholders for their investment </w:t>
      </w:r>
      <w:r w:rsidR="006A1641">
        <w:t xml:space="preserve">and risk </w:t>
      </w:r>
      <w:r w:rsidR="00670C23">
        <w:t xml:space="preserve">in utility </w:t>
      </w:r>
      <w:r w:rsidR="00735C4E">
        <w:t xml:space="preserve">operations. </w:t>
      </w:r>
      <w:r w:rsidR="00DE5036">
        <w:t xml:space="preserve"> </w:t>
      </w:r>
      <w:r w:rsidR="00AC6FF8">
        <w:t>A 4</w:t>
      </w:r>
      <w:r w:rsidR="006A1641">
        <w:t>2</w:t>
      </w:r>
      <w:r w:rsidR="00AC6FF8">
        <w:t xml:space="preserve"> percent equity ratio </w:t>
      </w:r>
      <w:r w:rsidR="006A1641">
        <w:t xml:space="preserve">for a utility with fully decoupled revenues </w:t>
      </w:r>
      <w:r w:rsidR="00AC6FF8">
        <w:t>satisfies the Commission standard by properly balancing safety and economy.</w:t>
      </w:r>
    </w:p>
    <w:p w14:paraId="47F8CBC2" w14:textId="1AAFE83A" w:rsidR="00B72978" w:rsidRDefault="00B72978" w:rsidP="005E6CAD">
      <w:pPr>
        <w:tabs>
          <w:tab w:val="left" w:pos="720"/>
          <w:tab w:val="left" w:pos="1440"/>
          <w:tab w:val="left" w:pos="9240"/>
        </w:tabs>
        <w:spacing w:line="480" w:lineRule="auto"/>
        <w:ind w:left="720" w:hanging="720"/>
      </w:pPr>
      <w:r>
        <w:tab/>
      </w:r>
      <w:r>
        <w:tab/>
        <w:t>My proposed adjustment to the equity ratio</w:t>
      </w:r>
      <w:r w:rsidR="006A1641">
        <w:t xml:space="preserve"> </w:t>
      </w:r>
      <w:r w:rsidR="004527B4">
        <w:t xml:space="preserve">and reduction in the cost of capital </w:t>
      </w:r>
      <w:r>
        <w:t xml:space="preserve">to account for </w:t>
      </w:r>
      <w:r w:rsidR="004527B4">
        <w:t xml:space="preserve">fully decoupling </w:t>
      </w:r>
      <w:r>
        <w:t xml:space="preserve">Avista’s revenue from energy sales is rational and transparent.  It is consistent with the Commission’s policy that rate of return should take into account the lower risk associated with implementing a full decoupling mechanism.  </w:t>
      </w:r>
    </w:p>
    <w:p w14:paraId="34EA9C88" w14:textId="77777777" w:rsidR="00DE5036" w:rsidRDefault="00406BC7" w:rsidP="005E6CAD">
      <w:pPr>
        <w:tabs>
          <w:tab w:val="left" w:pos="720"/>
          <w:tab w:val="left" w:pos="1440"/>
          <w:tab w:val="left" w:pos="9240"/>
        </w:tabs>
        <w:spacing w:line="480" w:lineRule="auto"/>
        <w:ind w:left="720" w:hanging="720"/>
      </w:pPr>
      <w:r>
        <w:tab/>
      </w:r>
      <w:r>
        <w:tab/>
      </w:r>
      <w:r w:rsidR="00735C4E">
        <w:t>My</w:t>
      </w:r>
      <w:r w:rsidR="00067F09">
        <w:t xml:space="preserve"> recommendation </w:t>
      </w:r>
      <w:r w:rsidR="00802D95">
        <w:t xml:space="preserve">is consistent with the standards of </w:t>
      </w:r>
      <w:r w:rsidR="00802D95" w:rsidRPr="00802D95">
        <w:rPr>
          <w:i/>
        </w:rPr>
        <w:t>Bluefield</w:t>
      </w:r>
      <w:r w:rsidR="00802D95">
        <w:t xml:space="preserve"> and </w:t>
      </w:r>
      <w:r w:rsidR="00802D95" w:rsidRPr="00802D95">
        <w:rPr>
          <w:i/>
        </w:rPr>
        <w:t>Hope</w:t>
      </w:r>
      <w:r w:rsidR="00802D95">
        <w:t xml:space="preserve">: it </w:t>
      </w:r>
      <w:r w:rsidR="00067F09">
        <w:t xml:space="preserve">fairly balances investor and consumer interests.  </w:t>
      </w:r>
      <w:r w:rsidR="004D2D9D">
        <w:t>Capital costs have declined, and m</w:t>
      </w:r>
      <w:r w:rsidR="008327EE">
        <w:t xml:space="preserve">y </w:t>
      </w:r>
      <w:r w:rsidR="004D2D9D">
        <w:t xml:space="preserve">recommendation </w:t>
      </w:r>
      <w:r w:rsidR="008327EE">
        <w:t>reflects the impact of changed circu</w:t>
      </w:r>
      <w:r w:rsidR="004377FB">
        <w:t>mstances in capital markets</w:t>
      </w:r>
      <w:r w:rsidR="008327EE">
        <w:t xml:space="preserve">.  </w:t>
      </w:r>
    </w:p>
    <w:p w14:paraId="34EA9C89" w14:textId="77777777" w:rsidR="006A126C" w:rsidRDefault="00B2719C" w:rsidP="005E6CAD">
      <w:pPr>
        <w:tabs>
          <w:tab w:val="left" w:pos="720"/>
          <w:tab w:val="left" w:pos="1440"/>
          <w:tab w:val="left" w:pos="9240"/>
        </w:tabs>
        <w:spacing w:line="480" w:lineRule="auto"/>
        <w:ind w:left="720" w:hanging="720"/>
      </w:pPr>
      <w:r>
        <w:tab/>
      </w:r>
      <w:r w:rsidR="00DE5036">
        <w:tab/>
      </w:r>
      <w:r w:rsidR="00406BC7">
        <w:t xml:space="preserve">Avista’s </w:t>
      </w:r>
      <w:r w:rsidR="008327EE">
        <w:t xml:space="preserve">cost of </w:t>
      </w:r>
      <w:r w:rsidR="00406BC7">
        <w:t xml:space="preserve">capital </w:t>
      </w:r>
      <w:r w:rsidR="008327EE">
        <w:t xml:space="preserve">recommendation </w:t>
      </w:r>
      <w:r w:rsidR="00406BC7">
        <w:t xml:space="preserve">is excessive and places </w:t>
      </w:r>
      <w:r w:rsidR="00491764">
        <w:t>excessive cost pressures on rates</w:t>
      </w:r>
      <w:r w:rsidR="008327EE">
        <w:t>.</w:t>
      </w:r>
    </w:p>
    <w:p w14:paraId="34EA9C8A" w14:textId="77777777" w:rsidR="00893529" w:rsidRDefault="00893529" w:rsidP="00882FCA">
      <w:pPr>
        <w:keepNext/>
        <w:tabs>
          <w:tab w:val="left" w:pos="720"/>
          <w:tab w:val="left" w:pos="9240"/>
        </w:tabs>
        <w:spacing w:line="480" w:lineRule="auto"/>
      </w:pPr>
    </w:p>
    <w:p w14:paraId="34EA9C8B" w14:textId="77777777" w:rsidR="00087704" w:rsidRPr="00F6556C" w:rsidRDefault="00437513" w:rsidP="00087704">
      <w:pPr>
        <w:keepNext/>
        <w:tabs>
          <w:tab w:val="left" w:pos="720"/>
          <w:tab w:val="left" w:pos="9240"/>
        </w:tabs>
        <w:spacing w:line="480" w:lineRule="auto"/>
        <w:jc w:val="center"/>
        <w:rPr>
          <w:b/>
        </w:rPr>
      </w:pPr>
      <w:r>
        <w:rPr>
          <w:b/>
        </w:rPr>
        <w:t>X</w:t>
      </w:r>
      <w:r w:rsidR="00087704">
        <w:rPr>
          <w:b/>
        </w:rPr>
        <w:t>I.</w:t>
      </w:r>
      <w:r w:rsidR="00087704">
        <w:rPr>
          <w:b/>
        </w:rPr>
        <w:tab/>
        <w:t xml:space="preserve">SUMMARY ON </w:t>
      </w:r>
      <w:r w:rsidR="00087704" w:rsidRPr="00F6556C">
        <w:rPr>
          <w:b/>
        </w:rPr>
        <w:t>COST OF CAPITAL</w:t>
      </w:r>
    </w:p>
    <w:p w14:paraId="34EA9C8C" w14:textId="77777777" w:rsidR="00087704" w:rsidRDefault="00087704" w:rsidP="00087704">
      <w:pPr>
        <w:keepNext/>
        <w:tabs>
          <w:tab w:val="left" w:pos="720"/>
          <w:tab w:val="left" w:pos="1440"/>
          <w:tab w:val="left" w:pos="9240"/>
        </w:tabs>
        <w:spacing w:line="480" w:lineRule="auto"/>
        <w:ind w:left="720" w:hanging="720"/>
        <w:jc w:val="both"/>
        <w:rPr>
          <w:b/>
        </w:rPr>
      </w:pPr>
    </w:p>
    <w:p w14:paraId="34EA9C8D" w14:textId="77777777" w:rsidR="00087704" w:rsidRDefault="00087704" w:rsidP="00087704">
      <w:pPr>
        <w:tabs>
          <w:tab w:val="left" w:pos="720"/>
          <w:tab w:val="left" w:pos="1440"/>
          <w:tab w:val="left" w:pos="9240"/>
        </w:tabs>
        <w:spacing w:line="480" w:lineRule="auto"/>
        <w:ind w:left="720" w:hanging="720"/>
        <w:rPr>
          <w:b/>
        </w:rPr>
      </w:pPr>
      <w:r>
        <w:rPr>
          <w:b/>
        </w:rPr>
        <w:t>Q.</w:t>
      </w:r>
      <w:r>
        <w:rPr>
          <w:b/>
        </w:rPr>
        <w:tab/>
        <w:t>What is the total cost of capital for Avista?</w:t>
      </w:r>
    </w:p>
    <w:p w14:paraId="34EA9C8E" w14:textId="77777777" w:rsidR="00087704" w:rsidRDefault="00087704" w:rsidP="00087704">
      <w:pPr>
        <w:tabs>
          <w:tab w:val="left" w:pos="720"/>
          <w:tab w:val="left" w:pos="1440"/>
          <w:tab w:val="left" w:pos="9240"/>
        </w:tabs>
        <w:spacing w:line="480" w:lineRule="auto"/>
        <w:ind w:left="720" w:hanging="720"/>
      </w:pPr>
      <w:r>
        <w:t>A.</w:t>
      </w:r>
      <w:r>
        <w:tab/>
        <w:t>As shown on the table on page 2 of my testimony, Avista’s total cost of capital is 6.9</w:t>
      </w:r>
      <w:r w:rsidR="002A1398">
        <w:t>0</w:t>
      </w:r>
      <w:r>
        <w:t xml:space="preserve"> percent.  </w:t>
      </w:r>
      <w:r w:rsidR="00893529">
        <w:t xml:space="preserve">If the Commission accepts full decoupling in this case, the overall </w:t>
      </w:r>
      <w:r w:rsidR="009C44DA">
        <w:t xml:space="preserve">fair rate of </w:t>
      </w:r>
      <w:r w:rsidR="00893529">
        <w:t xml:space="preserve">return </w:t>
      </w:r>
      <w:r w:rsidR="008652EE">
        <w:t>is</w:t>
      </w:r>
      <w:r w:rsidR="00893529">
        <w:t xml:space="preserve"> </w:t>
      </w:r>
      <w:r w:rsidR="005D0937">
        <w:t>6.</w:t>
      </w:r>
      <w:r w:rsidR="002A1398">
        <w:t>77</w:t>
      </w:r>
      <w:r w:rsidR="00893529">
        <w:t xml:space="preserve"> percent</w:t>
      </w:r>
      <w:r w:rsidR="00016EA9">
        <w:t xml:space="preserve"> to take into account the effect of full decoupling and the transfer of risk from shareholders to ratepayers</w:t>
      </w:r>
      <w:r w:rsidR="00893529">
        <w:t>.</w:t>
      </w:r>
    </w:p>
    <w:p w14:paraId="34EA9C8F" w14:textId="77777777" w:rsidR="00087704" w:rsidRDefault="00087704" w:rsidP="00087704">
      <w:pPr>
        <w:tabs>
          <w:tab w:val="left" w:pos="720"/>
          <w:tab w:val="left" w:pos="1440"/>
          <w:tab w:val="left" w:pos="9240"/>
        </w:tabs>
        <w:spacing w:line="480" w:lineRule="auto"/>
        <w:ind w:left="720" w:hanging="720"/>
        <w:rPr>
          <w:b/>
        </w:rPr>
      </w:pPr>
    </w:p>
    <w:p w14:paraId="34EA9C90" w14:textId="77777777" w:rsidR="00087704" w:rsidRDefault="00087704" w:rsidP="00087704">
      <w:pPr>
        <w:tabs>
          <w:tab w:val="left" w:pos="720"/>
          <w:tab w:val="left" w:pos="1440"/>
          <w:tab w:val="left" w:pos="9240"/>
        </w:tabs>
        <w:spacing w:line="480" w:lineRule="auto"/>
        <w:ind w:left="720" w:hanging="720"/>
        <w:rPr>
          <w:b/>
        </w:rPr>
      </w:pPr>
      <w:r>
        <w:rPr>
          <w:b/>
        </w:rPr>
        <w:t>Q.</w:t>
      </w:r>
      <w:r>
        <w:rPr>
          <w:b/>
        </w:rPr>
        <w:tab/>
        <w:t xml:space="preserve">Is </w:t>
      </w:r>
      <w:r w:rsidR="00893529">
        <w:rPr>
          <w:b/>
        </w:rPr>
        <w:t>your recommendation for</w:t>
      </w:r>
      <w:r>
        <w:rPr>
          <w:b/>
        </w:rPr>
        <w:t xml:space="preserve"> cost of capital adequate to provide the Company a sufficient level of earnings to maintain its financial integrity?</w:t>
      </w:r>
    </w:p>
    <w:p w14:paraId="34EA9C91" w14:textId="77777777" w:rsidR="00087704" w:rsidRDefault="00087704" w:rsidP="00087704">
      <w:pPr>
        <w:tabs>
          <w:tab w:val="left" w:pos="720"/>
          <w:tab w:val="left" w:pos="1440"/>
          <w:tab w:val="left" w:pos="9240"/>
        </w:tabs>
        <w:spacing w:line="480" w:lineRule="auto"/>
        <w:ind w:left="720" w:hanging="720"/>
      </w:pPr>
      <w:r>
        <w:t>A.</w:t>
      </w:r>
      <w:r>
        <w:tab/>
        <w:t>Yes.</w:t>
      </w:r>
    </w:p>
    <w:p w14:paraId="34EA9C92" w14:textId="77777777" w:rsidR="00893529" w:rsidRDefault="00893529" w:rsidP="00893529">
      <w:pPr>
        <w:tabs>
          <w:tab w:val="left" w:pos="720"/>
          <w:tab w:val="left" w:pos="1440"/>
          <w:tab w:val="left" w:pos="9240"/>
        </w:tabs>
        <w:spacing w:line="480" w:lineRule="auto"/>
        <w:ind w:left="720" w:hanging="720"/>
      </w:pPr>
    </w:p>
    <w:p w14:paraId="34EA9C93" w14:textId="77777777" w:rsidR="005D3B74" w:rsidRDefault="005D3B74" w:rsidP="007C2405">
      <w:pPr>
        <w:tabs>
          <w:tab w:val="left" w:pos="720"/>
          <w:tab w:val="left" w:pos="1440"/>
          <w:tab w:val="left" w:pos="9240"/>
        </w:tabs>
        <w:spacing w:line="480" w:lineRule="auto"/>
        <w:ind w:left="720" w:hanging="720"/>
        <w:rPr>
          <w:b/>
        </w:rPr>
      </w:pPr>
      <w:r>
        <w:rPr>
          <w:b/>
        </w:rPr>
        <w:t>Q.</w:t>
      </w:r>
      <w:r>
        <w:rPr>
          <w:b/>
        </w:rPr>
        <w:tab/>
        <w:t>Does this conclude your direct testimony?</w:t>
      </w:r>
    </w:p>
    <w:p w14:paraId="34EA9C94" w14:textId="77777777" w:rsidR="00AE102D" w:rsidRDefault="005D3B74" w:rsidP="00914379">
      <w:pPr>
        <w:tabs>
          <w:tab w:val="left" w:pos="720"/>
          <w:tab w:val="left" w:pos="1440"/>
          <w:tab w:val="left" w:pos="9240"/>
        </w:tabs>
        <w:spacing w:line="480" w:lineRule="auto"/>
        <w:ind w:left="720" w:hanging="720"/>
      </w:pPr>
      <w:r>
        <w:t>A.</w:t>
      </w:r>
      <w:r>
        <w:tab/>
        <w:t>Yes.</w:t>
      </w:r>
    </w:p>
    <w:p w14:paraId="34EA9C95" w14:textId="77777777" w:rsidR="00CA67A1" w:rsidRDefault="00CA67A1" w:rsidP="004E17E1">
      <w:pPr>
        <w:tabs>
          <w:tab w:val="left" w:pos="720"/>
          <w:tab w:val="left" w:pos="1440"/>
          <w:tab w:val="left" w:pos="9240"/>
        </w:tabs>
        <w:spacing w:line="480" w:lineRule="auto"/>
      </w:pPr>
    </w:p>
    <w:sectPr w:rsidR="00CA67A1" w:rsidSect="00F56B1C">
      <w:footerReference w:type="default" r:id="rId17"/>
      <w:pgSz w:w="12240" w:h="15840" w:code="1"/>
      <w:pgMar w:top="1440" w:right="1440" w:bottom="1440" w:left="1872" w:header="720" w:footer="720" w:gutter="0"/>
      <w:lnNumType w:countBy="1"/>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A9C99" w14:textId="77777777" w:rsidR="00C455AB" w:rsidRDefault="00C455AB">
      <w:r>
        <w:separator/>
      </w:r>
    </w:p>
  </w:endnote>
  <w:endnote w:type="continuationSeparator" w:id="0">
    <w:p w14:paraId="34EA9C9A" w14:textId="77777777" w:rsidR="00C455AB" w:rsidRDefault="00C4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A9C9B" w14:textId="77777777" w:rsidR="00C455AB" w:rsidRDefault="00C455AB" w:rsidP="00755F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EA9C9C" w14:textId="77777777" w:rsidR="00C455AB" w:rsidRDefault="00C455AB" w:rsidP="00755F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A9C9D" w14:textId="77777777" w:rsidR="00C455AB" w:rsidRDefault="00C455AB" w:rsidP="00A83246">
    <w:pPr>
      <w:pStyle w:val="Footer"/>
      <w:tabs>
        <w:tab w:val="clear" w:pos="8640"/>
        <w:tab w:val="right" w:pos="9240"/>
      </w:tabs>
      <w:rPr>
        <w:sz w:val="22"/>
        <w:szCs w:val="22"/>
      </w:rPr>
    </w:pPr>
  </w:p>
  <w:p w14:paraId="34EA9C9E" w14:textId="77777777" w:rsidR="00C455AB" w:rsidRPr="001E33FD" w:rsidRDefault="00C455AB" w:rsidP="00A83246">
    <w:pPr>
      <w:pStyle w:val="Footer"/>
      <w:tabs>
        <w:tab w:val="clear" w:pos="8640"/>
        <w:tab w:val="right" w:pos="9240"/>
      </w:tabs>
      <w:rPr>
        <w:sz w:val="22"/>
        <w:szCs w:val="22"/>
        <w:lang w:val="fr-FR"/>
      </w:rPr>
    </w:pPr>
    <w:r w:rsidRPr="000D7E15">
      <w:rPr>
        <w:sz w:val="22"/>
        <w:szCs w:val="22"/>
      </w:rPr>
      <w:t>T</w:t>
    </w:r>
    <w:r>
      <w:rPr>
        <w:sz w:val="22"/>
        <w:szCs w:val="22"/>
      </w:rPr>
      <w:t>ESTIMONY OF KENNETH L. ELGIN</w:t>
    </w:r>
    <w:r w:rsidRPr="000D7E15">
      <w:rPr>
        <w:sz w:val="22"/>
        <w:szCs w:val="22"/>
      </w:rPr>
      <w:tab/>
    </w:r>
    <w:r w:rsidRPr="000D7E15">
      <w:rPr>
        <w:sz w:val="22"/>
        <w:szCs w:val="22"/>
      </w:rPr>
      <w:tab/>
      <w:t xml:space="preserve">Exhibit No. </w:t>
    </w:r>
    <w:r w:rsidRPr="001E33FD">
      <w:rPr>
        <w:sz w:val="22"/>
        <w:szCs w:val="22"/>
        <w:lang w:val="fr-FR"/>
      </w:rPr>
      <w:t>___T (KLE-1T)</w:t>
    </w:r>
  </w:p>
  <w:p w14:paraId="34EA9C9F" w14:textId="77777777" w:rsidR="00C455AB" w:rsidRPr="001E33FD" w:rsidRDefault="00C455AB" w:rsidP="00A83246">
    <w:pPr>
      <w:pStyle w:val="Footer"/>
      <w:tabs>
        <w:tab w:val="clear" w:pos="8640"/>
        <w:tab w:val="right" w:pos="9240"/>
      </w:tabs>
      <w:rPr>
        <w:b/>
        <w:sz w:val="22"/>
        <w:szCs w:val="22"/>
        <w:lang w:val="fr-FR"/>
      </w:rPr>
    </w:pPr>
    <w:proofErr w:type="spellStart"/>
    <w:r w:rsidRPr="001E33FD">
      <w:rPr>
        <w:sz w:val="22"/>
        <w:szCs w:val="22"/>
        <w:lang w:val="fr-FR"/>
      </w:rPr>
      <w:t>Docket</w:t>
    </w:r>
    <w:proofErr w:type="spellEnd"/>
    <w:r w:rsidRPr="001E33FD">
      <w:rPr>
        <w:sz w:val="22"/>
        <w:szCs w:val="22"/>
        <w:lang w:val="fr-FR"/>
      </w:rPr>
      <w:t xml:space="preserve"> </w:t>
    </w:r>
    <w:proofErr w:type="spellStart"/>
    <w:r w:rsidRPr="001E33FD">
      <w:rPr>
        <w:sz w:val="22"/>
        <w:szCs w:val="22"/>
        <w:lang w:val="fr-FR"/>
      </w:rPr>
      <w:t>UE-100749</w:t>
    </w:r>
    <w:proofErr w:type="spellEnd"/>
    <w:r w:rsidRPr="001E33FD">
      <w:rPr>
        <w:sz w:val="22"/>
        <w:szCs w:val="22"/>
        <w:lang w:val="fr-FR"/>
      </w:rPr>
      <w:tab/>
    </w:r>
    <w:r w:rsidRPr="001E33FD">
      <w:rPr>
        <w:sz w:val="22"/>
        <w:szCs w:val="22"/>
        <w:lang w:val="fr-FR"/>
      </w:rPr>
      <w:tab/>
      <w:t xml:space="preserve">Page </w:t>
    </w:r>
    <w:r w:rsidRPr="000D7E15">
      <w:rPr>
        <w:sz w:val="22"/>
        <w:szCs w:val="22"/>
      </w:rPr>
      <w:fldChar w:fldCharType="begin"/>
    </w:r>
    <w:r w:rsidRPr="001E33FD">
      <w:rPr>
        <w:sz w:val="22"/>
        <w:szCs w:val="22"/>
        <w:lang w:val="fr-FR"/>
      </w:rPr>
      <w:instrText xml:space="preserve"> PAGE   \* MERGEFORMAT </w:instrText>
    </w:r>
    <w:r w:rsidRPr="000D7E15">
      <w:rPr>
        <w:sz w:val="22"/>
        <w:szCs w:val="22"/>
      </w:rPr>
      <w:fldChar w:fldCharType="separate"/>
    </w:r>
    <w:r>
      <w:rPr>
        <w:noProof/>
        <w:sz w:val="22"/>
        <w:szCs w:val="22"/>
        <w:lang w:val="fr-FR"/>
      </w:rPr>
      <w:t>1</w:t>
    </w:r>
    <w:r w:rsidRPr="000D7E15">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A9CA0" w14:textId="77777777" w:rsidR="00C455AB" w:rsidRDefault="00C455AB" w:rsidP="00617709">
    <w:pPr>
      <w:pStyle w:val="Footer"/>
      <w:rPr>
        <w:sz w:val="22"/>
        <w:szCs w:val="22"/>
      </w:rPr>
    </w:pPr>
  </w:p>
  <w:p w14:paraId="34EA9CA1" w14:textId="77777777" w:rsidR="00C455AB" w:rsidRPr="001E33FD" w:rsidRDefault="00C455AB" w:rsidP="00617709">
    <w:pPr>
      <w:pStyle w:val="Footer"/>
      <w:rPr>
        <w:sz w:val="22"/>
        <w:szCs w:val="22"/>
        <w:lang w:val="fr-FR"/>
      </w:rPr>
    </w:pPr>
    <w:r w:rsidRPr="000D7E15">
      <w:rPr>
        <w:sz w:val="22"/>
        <w:szCs w:val="22"/>
      </w:rPr>
      <w:t>T</w:t>
    </w:r>
    <w:r>
      <w:rPr>
        <w:sz w:val="22"/>
        <w:szCs w:val="22"/>
      </w:rPr>
      <w:t>ESTIMONY OF KENNETH L. ELGIN</w:t>
    </w:r>
    <w:r w:rsidRPr="000D7E15">
      <w:rPr>
        <w:sz w:val="22"/>
        <w:szCs w:val="22"/>
      </w:rPr>
      <w:tab/>
    </w:r>
    <w:r w:rsidRPr="000D7E15">
      <w:rPr>
        <w:sz w:val="22"/>
        <w:szCs w:val="22"/>
      </w:rPr>
      <w:tab/>
      <w:t xml:space="preserve">Exhibit No. </w:t>
    </w:r>
    <w:r>
      <w:rPr>
        <w:sz w:val="22"/>
        <w:szCs w:val="22"/>
        <w:lang w:val="fr-FR"/>
      </w:rPr>
      <w:t>___T (KLE-1</w:t>
    </w:r>
    <w:r w:rsidRPr="001E33FD">
      <w:rPr>
        <w:sz w:val="22"/>
        <w:szCs w:val="22"/>
        <w:lang w:val="fr-FR"/>
      </w:rPr>
      <w:t>T)</w:t>
    </w:r>
  </w:p>
  <w:p w14:paraId="34EA9CA2" w14:textId="77777777" w:rsidR="00C455AB" w:rsidRPr="001E33FD" w:rsidRDefault="00C455AB" w:rsidP="00617709">
    <w:pPr>
      <w:pStyle w:val="Footer"/>
      <w:rPr>
        <w:b/>
        <w:sz w:val="22"/>
        <w:szCs w:val="22"/>
        <w:lang w:val="fr-FR"/>
      </w:rPr>
    </w:pPr>
    <w:proofErr w:type="spellStart"/>
    <w:r w:rsidRPr="001E33FD">
      <w:rPr>
        <w:sz w:val="22"/>
        <w:szCs w:val="22"/>
        <w:lang w:val="fr-FR"/>
      </w:rPr>
      <w:t>Docket</w:t>
    </w:r>
    <w:r>
      <w:rPr>
        <w:sz w:val="22"/>
        <w:szCs w:val="22"/>
        <w:lang w:val="fr-FR"/>
      </w:rPr>
      <w:t>s</w:t>
    </w:r>
    <w:proofErr w:type="spellEnd"/>
    <w:r w:rsidRPr="001E33FD">
      <w:rPr>
        <w:sz w:val="22"/>
        <w:szCs w:val="22"/>
        <w:lang w:val="fr-FR"/>
      </w:rPr>
      <w:t xml:space="preserve"> </w:t>
    </w:r>
    <w:proofErr w:type="spellStart"/>
    <w:r w:rsidRPr="001E33FD">
      <w:rPr>
        <w:sz w:val="22"/>
        <w:szCs w:val="22"/>
        <w:lang w:val="fr-FR"/>
      </w:rPr>
      <w:t>UE-</w:t>
    </w:r>
    <w:r>
      <w:rPr>
        <w:sz w:val="22"/>
        <w:szCs w:val="22"/>
        <w:lang w:val="fr-FR"/>
      </w:rPr>
      <w:t>140188</w:t>
    </w:r>
    <w:proofErr w:type="spellEnd"/>
    <w:r>
      <w:rPr>
        <w:sz w:val="22"/>
        <w:szCs w:val="22"/>
        <w:lang w:val="fr-FR"/>
      </w:rPr>
      <w:t>/</w:t>
    </w:r>
    <w:proofErr w:type="spellStart"/>
    <w:r>
      <w:rPr>
        <w:sz w:val="22"/>
        <w:szCs w:val="22"/>
        <w:lang w:val="fr-FR"/>
      </w:rPr>
      <w:t>UG</w:t>
    </w:r>
    <w:proofErr w:type="spellEnd"/>
    <w:r>
      <w:rPr>
        <w:sz w:val="22"/>
        <w:szCs w:val="22"/>
        <w:lang w:val="fr-FR"/>
      </w:rPr>
      <w:t>-140189</w:t>
    </w:r>
    <w:r w:rsidRPr="001E33FD">
      <w:rPr>
        <w:sz w:val="22"/>
        <w:szCs w:val="22"/>
        <w:lang w:val="fr-FR"/>
      </w:rPr>
      <w:tab/>
    </w:r>
    <w:r w:rsidRPr="001E33FD">
      <w:rPr>
        <w:sz w:val="22"/>
        <w:szCs w:val="22"/>
        <w:lang w:val="fr-FR"/>
      </w:rPr>
      <w:tab/>
      <w:t xml:space="preserve">Page </w:t>
    </w:r>
    <w:r w:rsidRPr="000D7E15">
      <w:rPr>
        <w:sz w:val="22"/>
        <w:szCs w:val="22"/>
      </w:rPr>
      <w:fldChar w:fldCharType="begin"/>
    </w:r>
    <w:r w:rsidRPr="001E33FD">
      <w:rPr>
        <w:sz w:val="22"/>
        <w:szCs w:val="22"/>
        <w:lang w:val="fr-FR"/>
      </w:rPr>
      <w:instrText xml:space="preserve"> PAGE   \* MERGEFORMAT </w:instrText>
    </w:r>
    <w:r w:rsidRPr="000D7E15">
      <w:rPr>
        <w:sz w:val="22"/>
        <w:szCs w:val="22"/>
      </w:rPr>
      <w:fldChar w:fldCharType="separate"/>
    </w:r>
    <w:r w:rsidR="009420ED">
      <w:rPr>
        <w:noProof/>
        <w:sz w:val="22"/>
        <w:szCs w:val="22"/>
        <w:lang w:val="fr-FR"/>
      </w:rPr>
      <w:t>ii</w:t>
    </w:r>
    <w:r w:rsidRPr="000D7E15">
      <w:rPr>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A9CA3" w14:textId="77777777" w:rsidR="00C455AB" w:rsidRPr="00A11684" w:rsidRDefault="00C455AB" w:rsidP="00A83246">
    <w:pPr>
      <w:pStyle w:val="Footer"/>
      <w:tabs>
        <w:tab w:val="clear" w:pos="8640"/>
        <w:tab w:val="right" w:pos="9240"/>
      </w:tabs>
      <w:rPr>
        <w:sz w:val="20"/>
        <w:szCs w:val="20"/>
      </w:rPr>
    </w:pPr>
  </w:p>
  <w:p w14:paraId="34EA9CA4" w14:textId="77777777" w:rsidR="00C455AB" w:rsidRPr="001E33FD" w:rsidRDefault="00C455AB" w:rsidP="00617709">
    <w:pPr>
      <w:pStyle w:val="Footer"/>
      <w:rPr>
        <w:sz w:val="20"/>
        <w:szCs w:val="20"/>
        <w:lang w:val="fr-FR"/>
      </w:rPr>
    </w:pPr>
    <w:r w:rsidRPr="00A11684">
      <w:rPr>
        <w:sz w:val="20"/>
        <w:szCs w:val="20"/>
      </w:rPr>
      <w:t>TESTIMONY OF KENNETH L. ELGIN</w:t>
    </w:r>
    <w:r w:rsidRPr="00A11684">
      <w:rPr>
        <w:sz w:val="20"/>
        <w:szCs w:val="20"/>
      </w:rPr>
      <w:tab/>
    </w:r>
    <w:r w:rsidRPr="00A11684">
      <w:rPr>
        <w:sz w:val="20"/>
        <w:szCs w:val="20"/>
      </w:rPr>
      <w:tab/>
      <w:t xml:space="preserve">Exhibit No. </w:t>
    </w:r>
    <w:r>
      <w:rPr>
        <w:sz w:val="20"/>
        <w:szCs w:val="20"/>
        <w:lang w:val="fr-FR"/>
      </w:rPr>
      <w:t>___T (KLE-1</w:t>
    </w:r>
    <w:r w:rsidRPr="001E33FD">
      <w:rPr>
        <w:sz w:val="20"/>
        <w:szCs w:val="20"/>
        <w:lang w:val="fr-FR"/>
      </w:rPr>
      <w:t>T)</w:t>
    </w:r>
  </w:p>
  <w:p w14:paraId="34EA9CA5" w14:textId="77777777" w:rsidR="00C455AB" w:rsidRPr="001E33FD" w:rsidRDefault="00C455AB" w:rsidP="00617709">
    <w:pPr>
      <w:pStyle w:val="Footer"/>
      <w:rPr>
        <w:b/>
        <w:sz w:val="20"/>
        <w:szCs w:val="20"/>
        <w:lang w:val="fr-FR"/>
      </w:rPr>
    </w:pPr>
    <w:proofErr w:type="spellStart"/>
    <w:r w:rsidRPr="001E33FD">
      <w:rPr>
        <w:sz w:val="20"/>
        <w:szCs w:val="20"/>
        <w:lang w:val="fr-FR"/>
      </w:rPr>
      <w:t>Docket</w:t>
    </w:r>
    <w:r>
      <w:rPr>
        <w:sz w:val="20"/>
        <w:szCs w:val="20"/>
        <w:lang w:val="fr-FR"/>
      </w:rPr>
      <w:t>s</w:t>
    </w:r>
    <w:proofErr w:type="spellEnd"/>
    <w:r>
      <w:rPr>
        <w:sz w:val="20"/>
        <w:szCs w:val="20"/>
        <w:lang w:val="fr-FR"/>
      </w:rPr>
      <w:t xml:space="preserve"> </w:t>
    </w:r>
    <w:proofErr w:type="spellStart"/>
    <w:r>
      <w:rPr>
        <w:sz w:val="20"/>
        <w:szCs w:val="20"/>
        <w:lang w:val="fr-FR"/>
      </w:rPr>
      <w:t>UE-140188</w:t>
    </w:r>
    <w:proofErr w:type="spellEnd"/>
    <w:r>
      <w:rPr>
        <w:sz w:val="20"/>
        <w:szCs w:val="20"/>
        <w:lang w:val="fr-FR"/>
      </w:rPr>
      <w:t>/</w:t>
    </w:r>
    <w:proofErr w:type="spellStart"/>
    <w:r>
      <w:rPr>
        <w:sz w:val="20"/>
        <w:szCs w:val="20"/>
        <w:lang w:val="fr-FR"/>
      </w:rPr>
      <w:t>UG</w:t>
    </w:r>
    <w:proofErr w:type="spellEnd"/>
    <w:r>
      <w:rPr>
        <w:sz w:val="20"/>
        <w:szCs w:val="20"/>
        <w:lang w:val="fr-FR"/>
      </w:rPr>
      <w:t xml:space="preserve">-140189 </w:t>
    </w:r>
    <w:r w:rsidRPr="001E33FD">
      <w:rPr>
        <w:sz w:val="20"/>
        <w:szCs w:val="20"/>
        <w:lang w:val="fr-FR"/>
      </w:rPr>
      <w:tab/>
    </w:r>
    <w:r w:rsidRPr="001E33FD">
      <w:rPr>
        <w:sz w:val="20"/>
        <w:szCs w:val="20"/>
        <w:lang w:val="fr-FR"/>
      </w:rPr>
      <w:tab/>
      <w:t xml:space="preserve">Page </w:t>
    </w:r>
    <w:r w:rsidRPr="00A11684">
      <w:rPr>
        <w:sz w:val="20"/>
        <w:szCs w:val="20"/>
      </w:rPr>
      <w:fldChar w:fldCharType="begin"/>
    </w:r>
    <w:r w:rsidRPr="001E33FD">
      <w:rPr>
        <w:sz w:val="20"/>
        <w:szCs w:val="20"/>
        <w:lang w:val="fr-FR"/>
      </w:rPr>
      <w:instrText xml:space="preserve"> PAGE   \* MERGEFORMAT </w:instrText>
    </w:r>
    <w:r w:rsidRPr="00A11684">
      <w:rPr>
        <w:sz w:val="20"/>
        <w:szCs w:val="20"/>
      </w:rPr>
      <w:fldChar w:fldCharType="separate"/>
    </w:r>
    <w:r w:rsidR="00444DF2">
      <w:rPr>
        <w:noProof/>
        <w:sz w:val="20"/>
        <w:szCs w:val="20"/>
        <w:lang w:val="fr-FR"/>
      </w:rPr>
      <w:t>62</w:t>
    </w:r>
    <w:r w:rsidRPr="00A11684">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A9C97" w14:textId="77777777" w:rsidR="00C455AB" w:rsidRDefault="00C455AB">
      <w:r>
        <w:separator/>
      </w:r>
    </w:p>
  </w:footnote>
  <w:footnote w:type="continuationSeparator" w:id="0">
    <w:p w14:paraId="34EA9C98" w14:textId="77777777" w:rsidR="00C455AB" w:rsidRDefault="00C455AB">
      <w:r>
        <w:continuationSeparator/>
      </w:r>
    </w:p>
  </w:footnote>
  <w:footnote w:id="1">
    <w:p w14:paraId="34EA9CA6" w14:textId="0DA381E0" w:rsidR="00C455AB" w:rsidRPr="00C82F4A" w:rsidRDefault="00C455AB">
      <w:pPr>
        <w:rPr>
          <w:sz w:val="20"/>
          <w:szCs w:val="20"/>
        </w:rPr>
      </w:pPr>
      <w:r w:rsidRPr="00C82F4A">
        <w:rPr>
          <w:sz w:val="20"/>
          <w:szCs w:val="20"/>
          <w:vertAlign w:val="superscript"/>
        </w:rPr>
        <w:t>1</w:t>
      </w:r>
      <w:r w:rsidRPr="00C82F4A">
        <w:rPr>
          <w:sz w:val="20"/>
          <w:szCs w:val="20"/>
        </w:rPr>
        <w:t xml:space="preserve"> Docket. U-100522</w:t>
      </w:r>
      <w:r>
        <w:rPr>
          <w:sz w:val="20"/>
          <w:szCs w:val="20"/>
        </w:rPr>
        <w:t>,</w:t>
      </w:r>
      <w:r w:rsidRPr="00C82F4A">
        <w:rPr>
          <w:sz w:val="20"/>
          <w:szCs w:val="20"/>
        </w:rPr>
        <w:t xml:space="preserve"> </w:t>
      </w:r>
      <w:r w:rsidRPr="00C455AB">
        <w:rPr>
          <w:i/>
          <w:sz w:val="20"/>
          <w:szCs w:val="20"/>
        </w:rPr>
        <w:t>Report and Policy Statement on Regulatory Mechanisms, Including Decoupling, to Encourage Utilities to Meet or Exceed their Conservation Targets</w:t>
      </w:r>
      <w:r w:rsidRPr="00C82F4A">
        <w:rPr>
          <w:sz w:val="20"/>
          <w:szCs w:val="20"/>
        </w:rPr>
        <w:t xml:space="preserve"> </w:t>
      </w:r>
      <w:r>
        <w:rPr>
          <w:sz w:val="20"/>
          <w:szCs w:val="20"/>
        </w:rPr>
        <w:t xml:space="preserve">(Decoupling Policy Statement) at </w:t>
      </w:r>
      <w:r w:rsidRPr="00C82F4A">
        <w:rPr>
          <w:sz w:val="20"/>
          <w:szCs w:val="20"/>
        </w:rPr>
        <w:t>¶ 27</w:t>
      </w:r>
      <w:r>
        <w:rPr>
          <w:sz w:val="20"/>
          <w:szCs w:val="20"/>
        </w:rPr>
        <w:t xml:space="preserve"> (</w:t>
      </w:r>
      <w:r w:rsidRPr="00C82F4A">
        <w:rPr>
          <w:sz w:val="20"/>
          <w:szCs w:val="20"/>
        </w:rPr>
        <w:t>November 4, 2010</w:t>
      </w:r>
      <w:r>
        <w:rPr>
          <w:sz w:val="20"/>
          <w:szCs w:val="20"/>
        </w:rPr>
        <w:t>).</w:t>
      </w:r>
    </w:p>
  </w:footnote>
  <w:footnote w:id="2">
    <w:p w14:paraId="34EA9CA7" w14:textId="70D934DA" w:rsidR="00C455AB" w:rsidRDefault="00C455AB">
      <w:pPr>
        <w:pStyle w:val="FootnoteText"/>
      </w:pPr>
      <w:r>
        <w:rPr>
          <w:rStyle w:val="FootnoteReference"/>
        </w:rPr>
        <w:footnoteRef/>
      </w:r>
      <w:r>
        <w:t xml:space="preserve"> Exhibit No.___(SLM-2), at 3.</w:t>
      </w:r>
    </w:p>
  </w:footnote>
  <w:footnote w:id="3">
    <w:p w14:paraId="34EA9CA8" w14:textId="1A9ECD9E" w:rsidR="00C455AB" w:rsidRDefault="00C455AB">
      <w:pPr>
        <w:pStyle w:val="FootnoteText"/>
      </w:pPr>
      <w:r>
        <w:rPr>
          <w:rStyle w:val="FootnoteReference"/>
        </w:rPr>
        <w:footnoteRef/>
      </w:r>
      <w:r>
        <w:t xml:space="preserve"> Avista Corp. SEC Form 10-K (December 31, 2013) at 71 &amp; 28, respectively.</w:t>
      </w:r>
    </w:p>
  </w:footnote>
  <w:footnote w:id="4">
    <w:p w14:paraId="34EA9CA9" w14:textId="6518CA8A" w:rsidR="00C455AB" w:rsidRDefault="00C455AB">
      <w:pPr>
        <w:pStyle w:val="FootnoteText"/>
      </w:pPr>
      <w:r>
        <w:rPr>
          <w:rStyle w:val="FootnoteReference"/>
        </w:rPr>
        <w:footnoteRef/>
      </w:r>
      <w:r>
        <w:t xml:space="preserve"> In this case, both Avista and Staff provide an attrition analysis examining how test year relationships will differ from those in the rate year to ensure Avista has an opportunity to earn a fair rate of return.</w:t>
      </w:r>
    </w:p>
  </w:footnote>
  <w:footnote w:id="5">
    <w:p w14:paraId="34EA9CAA" w14:textId="77777777" w:rsidR="00C455AB" w:rsidRDefault="00C455AB">
      <w:pPr>
        <w:pStyle w:val="FootnoteText"/>
      </w:pPr>
      <w:r>
        <w:rPr>
          <w:rStyle w:val="FootnoteReference"/>
        </w:rPr>
        <w:footnoteRef/>
      </w:r>
      <w:r>
        <w:t xml:space="preserve"> </w:t>
      </w:r>
      <w:r w:rsidRPr="001163C8">
        <w:rPr>
          <w:i/>
        </w:rPr>
        <w:t>Utilities and Transp. Comm’n v. Puget Sound Energy,</w:t>
      </w:r>
      <w:r>
        <w:rPr>
          <w:i/>
        </w:rPr>
        <w:t xml:space="preserve"> Inc.,</w:t>
      </w:r>
      <w:r w:rsidRPr="001163C8">
        <w:rPr>
          <w:i/>
        </w:rPr>
        <w:t xml:space="preserve"> </w:t>
      </w:r>
      <w:r>
        <w:t>Dockets UE-12</w:t>
      </w:r>
      <w:r w:rsidRPr="004D5334">
        <w:t>1</w:t>
      </w:r>
      <w:r>
        <w:t>697</w:t>
      </w:r>
      <w:r w:rsidRPr="004D5334">
        <w:t xml:space="preserve"> </w:t>
      </w:r>
      <w:r>
        <w:t>et al.</w:t>
      </w:r>
      <w:r w:rsidRPr="004D5334">
        <w:t>, Order 0</w:t>
      </w:r>
      <w:r>
        <w:t>7</w:t>
      </w:r>
      <w:r w:rsidRPr="004D5334">
        <w:t xml:space="preserve"> (</w:t>
      </w:r>
      <w:r>
        <w:t>June 25, 201</w:t>
      </w:r>
      <w:r w:rsidRPr="004D5334">
        <w:t>)</w:t>
      </w:r>
      <w:r>
        <w:t xml:space="preserve"> at 49, ¶107.</w:t>
      </w:r>
    </w:p>
  </w:footnote>
  <w:footnote w:id="6">
    <w:p w14:paraId="34EA9CAB" w14:textId="4B35E6FF" w:rsidR="00C455AB" w:rsidRDefault="00C455AB">
      <w:pPr>
        <w:pStyle w:val="FootnoteText"/>
      </w:pPr>
      <w:r>
        <w:rPr>
          <w:rStyle w:val="FootnoteReference"/>
        </w:rPr>
        <w:footnoteRef/>
      </w:r>
      <w:r>
        <w:t xml:space="preserve"> </w:t>
      </w:r>
      <w:r w:rsidRPr="00554A38">
        <w:rPr>
          <w:u w:val="single"/>
        </w:rPr>
        <w:t>Wall Street Journal</w:t>
      </w:r>
      <w:r>
        <w:t xml:space="preserve">, </w:t>
      </w:r>
      <w:r w:rsidRPr="00554A38">
        <w:rPr>
          <w:i/>
        </w:rPr>
        <w:t xml:space="preserve">Inside </w:t>
      </w:r>
      <w:r>
        <w:rPr>
          <w:i/>
        </w:rPr>
        <w:t>F</w:t>
      </w:r>
      <w:r w:rsidRPr="00554A38">
        <w:rPr>
          <w:i/>
        </w:rPr>
        <w:t>ed Statement Lurks Hint on Rates</w:t>
      </w:r>
      <w:r>
        <w:t>, (March 24, 2014), at 1.</w:t>
      </w:r>
    </w:p>
  </w:footnote>
  <w:footnote w:id="7">
    <w:p w14:paraId="34EA9CAC" w14:textId="061C9E1D" w:rsidR="00C455AB" w:rsidRDefault="00C455AB">
      <w:pPr>
        <w:pStyle w:val="FootnoteText"/>
      </w:pPr>
      <w:r>
        <w:rPr>
          <w:rStyle w:val="FootnoteReference"/>
        </w:rPr>
        <w:footnoteRef/>
      </w:r>
      <w:r>
        <w:t xml:space="preserve"> </w:t>
      </w:r>
      <w:r w:rsidRPr="00554A38">
        <w:rPr>
          <w:u w:val="single"/>
        </w:rPr>
        <w:t>Wall Street Journal</w:t>
      </w:r>
      <w:r>
        <w:t xml:space="preserve">, </w:t>
      </w:r>
      <w:r>
        <w:rPr>
          <w:i/>
        </w:rPr>
        <w:t>Fed Minutes Show Growing Worry About Low inflation</w:t>
      </w:r>
      <w:r>
        <w:t>, (April 10, 2014), at 1.</w:t>
      </w:r>
    </w:p>
  </w:footnote>
  <w:footnote w:id="8">
    <w:p w14:paraId="34EA9CAD" w14:textId="6F5030F9" w:rsidR="00C455AB" w:rsidRDefault="00C455AB">
      <w:pPr>
        <w:pStyle w:val="FootnoteText"/>
      </w:pPr>
      <w:r>
        <w:rPr>
          <w:rStyle w:val="FootnoteReference"/>
        </w:rPr>
        <w:footnoteRef/>
      </w:r>
      <w:r>
        <w:t xml:space="preserve"> </w:t>
      </w:r>
      <w:r w:rsidRPr="00554A38">
        <w:rPr>
          <w:u w:val="single"/>
        </w:rPr>
        <w:t>Wall Street Journal</w:t>
      </w:r>
      <w:r>
        <w:t xml:space="preserve">, </w:t>
      </w:r>
      <w:r>
        <w:rPr>
          <w:i/>
        </w:rPr>
        <w:t>Housing Doldrums Worry Fed Officials</w:t>
      </w:r>
      <w:r>
        <w:t xml:space="preserve"> (May 8, 2014), at 1.</w:t>
      </w:r>
    </w:p>
  </w:footnote>
  <w:footnote w:id="9">
    <w:p w14:paraId="34EA9CAE" w14:textId="15D91F9B" w:rsidR="00C455AB" w:rsidRDefault="00C455AB" w:rsidP="00B14A3E">
      <w:pPr>
        <w:pStyle w:val="FootnoteText"/>
      </w:pPr>
      <w:r>
        <w:rPr>
          <w:rStyle w:val="FootnoteReference"/>
        </w:rPr>
        <w:footnoteRef/>
      </w:r>
      <w:r>
        <w:t xml:space="preserve"> Yahoo Finance-(Reuters) (June 17, 2014); “Fed suggests lower end-point for rate-hike cycle.”</w:t>
      </w:r>
    </w:p>
  </w:footnote>
  <w:footnote w:id="10">
    <w:p w14:paraId="34EA9CB0" w14:textId="1E72C1D5" w:rsidR="00C455AB" w:rsidRDefault="00C455AB">
      <w:pPr>
        <w:pStyle w:val="FootnoteText"/>
      </w:pPr>
      <w:r>
        <w:rPr>
          <w:rStyle w:val="FootnoteReference"/>
        </w:rPr>
        <w:footnoteRef/>
      </w:r>
      <w:r>
        <w:t xml:space="preserve"> S&amp;P </w:t>
      </w:r>
      <w:proofErr w:type="spellStart"/>
      <w:r w:rsidRPr="00816D6A">
        <w:rPr>
          <w:i/>
        </w:rPr>
        <w:t>RatingsDirect</w:t>
      </w:r>
      <w:proofErr w:type="spellEnd"/>
      <w:r>
        <w:t xml:space="preserve"> (May 9, 2014).</w:t>
      </w:r>
    </w:p>
  </w:footnote>
  <w:footnote w:id="11">
    <w:p w14:paraId="34EA9CB1" w14:textId="77777777" w:rsidR="00C455AB" w:rsidRPr="001163C8" w:rsidRDefault="00C455AB">
      <w:pPr>
        <w:pStyle w:val="FootnoteText"/>
      </w:pPr>
      <w:r w:rsidRPr="001163C8">
        <w:rPr>
          <w:rStyle w:val="FootnoteReference"/>
        </w:rPr>
        <w:footnoteRef/>
      </w:r>
      <w:r w:rsidRPr="001163C8">
        <w:t xml:space="preserve"> </w:t>
      </w:r>
      <w:r w:rsidRPr="001163C8">
        <w:rPr>
          <w:i/>
        </w:rPr>
        <w:t xml:space="preserve">Utilities and Transp. Comm’n v. PacifiCorp, </w:t>
      </w:r>
      <w:r w:rsidRPr="005B3705">
        <w:t>Docket UE-110749, Order 08 (May 12</w:t>
      </w:r>
      <w:r>
        <w:t>,</w:t>
      </w:r>
      <w:r w:rsidRPr="005B3705">
        <w:t xml:space="preserve"> 2011)</w:t>
      </w:r>
      <w:r>
        <w:t>,</w:t>
      </w:r>
      <w:r w:rsidRPr="005B3705">
        <w:t xml:space="preserve"> at 4, ¶10.</w:t>
      </w:r>
      <w:r w:rsidRPr="001163C8">
        <w:rPr>
          <w:i/>
        </w:rPr>
        <w:t xml:space="preserve">  </w:t>
      </w:r>
    </w:p>
  </w:footnote>
  <w:footnote w:id="12">
    <w:p w14:paraId="34EA9CB2" w14:textId="3ED31270" w:rsidR="00C455AB" w:rsidRPr="004D5334" w:rsidRDefault="00C455AB" w:rsidP="00E5662A">
      <w:pPr>
        <w:pStyle w:val="FootnoteText"/>
      </w:pPr>
      <w:r w:rsidRPr="001163C8">
        <w:rPr>
          <w:rStyle w:val="FootnoteReference"/>
        </w:rPr>
        <w:footnoteRef/>
      </w:r>
      <w:r w:rsidRPr="001163C8">
        <w:t xml:space="preserve"> </w:t>
      </w:r>
      <w:r w:rsidRPr="001163C8">
        <w:rPr>
          <w:i/>
        </w:rPr>
        <w:t>Utilities and Transp. Comm’n v. Puget Sound Energy,</w:t>
      </w:r>
      <w:r>
        <w:rPr>
          <w:i/>
        </w:rPr>
        <w:t xml:space="preserve"> Inc.,</w:t>
      </w:r>
      <w:r w:rsidRPr="001163C8">
        <w:rPr>
          <w:i/>
        </w:rPr>
        <w:t xml:space="preserve"> </w:t>
      </w:r>
      <w:r w:rsidRPr="004D5334">
        <w:t>Dockets UE-111048 &amp; UG-111049, Order 08 (May 7, 2012)</w:t>
      </w:r>
      <w:r>
        <w:t>,</w:t>
      </w:r>
      <w:r w:rsidRPr="004D5334">
        <w:t xml:space="preserve"> at 16</w:t>
      </w:r>
      <w:r w:rsidR="007B2327">
        <w:t>,</w:t>
      </w:r>
      <w:r w:rsidRPr="004D5334">
        <w:t xml:space="preserve"> n. 42.</w:t>
      </w:r>
    </w:p>
  </w:footnote>
  <w:footnote w:id="13">
    <w:p w14:paraId="34EA9CB3" w14:textId="545A0238" w:rsidR="00C455AB" w:rsidRDefault="00C455AB">
      <w:pPr>
        <w:pStyle w:val="FootnoteText"/>
      </w:pPr>
      <w:r>
        <w:rPr>
          <w:rStyle w:val="FootnoteReference"/>
        </w:rPr>
        <w:footnoteRef/>
      </w:r>
      <w:r>
        <w:t xml:space="preserve"> Avista Corp. SEC Form 10-K</w:t>
      </w:r>
      <w:r w:rsidR="00B734EF">
        <w:t xml:space="preserve"> (December 31, 2013)</w:t>
      </w:r>
      <w:r>
        <w:t xml:space="preserve"> at.52.</w:t>
      </w:r>
    </w:p>
  </w:footnote>
  <w:footnote w:id="14">
    <w:p w14:paraId="34EA9CB4" w14:textId="77777777" w:rsidR="00C455AB" w:rsidRDefault="00C455AB">
      <w:pPr>
        <w:pStyle w:val="FootnoteText"/>
      </w:pPr>
      <w:r>
        <w:rPr>
          <w:rStyle w:val="FootnoteReference"/>
        </w:rPr>
        <w:footnoteRef/>
      </w:r>
      <w:r>
        <w:t xml:space="preserve"> See </w:t>
      </w:r>
      <w:proofErr w:type="spellStart"/>
      <w:r>
        <w:t>Thies</w:t>
      </w:r>
      <w:proofErr w:type="spellEnd"/>
      <w:r>
        <w:t xml:space="preserve"> Direct, Exhibit No. ___ (MTT-1T) at 13:1 through 14:9.</w:t>
      </w:r>
    </w:p>
  </w:footnote>
  <w:footnote w:id="15">
    <w:p w14:paraId="34EA9CB5" w14:textId="406D32D2" w:rsidR="00C455AB" w:rsidRDefault="00C455AB" w:rsidP="009352EF">
      <w:pPr>
        <w:pStyle w:val="FootnoteText"/>
      </w:pPr>
      <w:r>
        <w:rPr>
          <w:rStyle w:val="FootnoteReference"/>
        </w:rPr>
        <w:footnoteRef/>
      </w:r>
      <w:r>
        <w:t xml:space="preserve"> Avista Corp. SEC Form 10-K (December 31, 2013), at 52.</w:t>
      </w:r>
    </w:p>
  </w:footnote>
  <w:footnote w:id="16">
    <w:p w14:paraId="34EA9CB6" w14:textId="0CCA9485" w:rsidR="00C455AB" w:rsidRDefault="00C455AB">
      <w:pPr>
        <w:pStyle w:val="FootnoteText"/>
      </w:pPr>
      <w:r>
        <w:rPr>
          <w:rStyle w:val="FootnoteReference"/>
        </w:rPr>
        <w:footnoteRef/>
      </w:r>
      <w:r>
        <w:t xml:space="preserve"> </w:t>
      </w:r>
      <w:r w:rsidRPr="00C63DBA">
        <w:rPr>
          <w:i/>
        </w:rPr>
        <w:t>Id</w:t>
      </w:r>
      <w:r>
        <w:t>., at 4.</w:t>
      </w:r>
    </w:p>
  </w:footnote>
  <w:footnote w:id="17">
    <w:p w14:paraId="34EA9CB8" w14:textId="7A9D3DB0" w:rsidR="00C455AB" w:rsidRDefault="00C455AB" w:rsidP="00B75447">
      <w:pPr>
        <w:pStyle w:val="FootnoteText"/>
      </w:pPr>
      <w:r>
        <w:rPr>
          <w:rStyle w:val="FootnoteReference"/>
        </w:rPr>
        <w:footnoteRef/>
      </w:r>
      <w:r>
        <w:t xml:space="preserve"> Avista Corp. SEC Form 10-K (December 31, 2013), Exhibit 12.</w:t>
      </w:r>
    </w:p>
  </w:footnote>
  <w:footnote w:id="18">
    <w:p w14:paraId="34EA9CB9" w14:textId="4A6D5FC0" w:rsidR="00C455AB" w:rsidRPr="001163C8" w:rsidRDefault="00C455AB" w:rsidP="00467170">
      <w:pPr>
        <w:tabs>
          <w:tab w:val="left" w:pos="720"/>
          <w:tab w:val="left" w:pos="1440"/>
          <w:tab w:val="left" w:pos="9240"/>
        </w:tabs>
        <w:rPr>
          <w:sz w:val="20"/>
          <w:szCs w:val="20"/>
        </w:rPr>
      </w:pPr>
      <w:r w:rsidRPr="001163C8">
        <w:rPr>
          <w:rStyle w:val="FootnoteReference"/>
          <w:sz w:val="20"/>
          <w:szCs w:val="20"/>
        </w:rPr>
        <w:footnoteRef/>
      </w:r>
      <w:r>
        <w:rPr>
          <w:sz w:val="20"/>
          <w:szCs w:val="20"/>
        </w:rPr>
        <w:t xml:space="preserve"> </w:t>
      </w:r>
      <w:proofErr w:type="spellStart"/>
      <w:r>
        <w:rPr>
          <w:sz w:val="20"/>
          <w:szCs w:val="20"/>
        </w:rPr>
        <w:t>Thies</w:t>
      </w:r>
      <w:proofErr w:type="spellEnd"/>
      <w:r>
        <w:rPr>
          <w:sz w:val="20"/>
          <w:szCs w:val="20"/>
        </w:rPr>
        <w:t xml:space="preserve"> Direct, Exhibit No.___(</w:t>
      </w:r>
      <w:proofErr w:type="spellStart"/>
      <w:r>
        <w:rPr>
          <w:sz w:val="20"/>
          <w:szCs w:val="20"/>
        </w:rPr>
        <w:t>MTT-1T</w:t>
      </w:r>
      <w:proofErr w:type="spellEnd"/>
      <w:r>
        <w:rPr>
          <w:sz w:val="20"/>
          <w:szCs w:val="20"/>
        </w:rPr>
        <w:t>) at 9:5</w:t>
      </w:r>
      <w:r w:rsidRPr="001163C8">
        <w:rPr>
          <w:sz w:val="20"/>
          <w:szCs w:val="20"/>
        </w:rPr>
        <w:t>.</w:t>
      </w:r>
    </w:p>
  </w:footnote>
  <w:footnote w:id="19">
    <w:p w14:paraId="34EA9CBA" w14:textId="2E5DC656" w:rsidR="00C455AB" w:rsidRPr="001163C8" w:rsidRDefault="00C455AB" w:rsidP="00A24F38">
      <w:pPr>
        <w:pStyle w:val="FootnoteText"/>
      </w:pPr>
      <w:r w:rsidRPr="001163C8">
        <w:rPr>
          <w:rStyle w:val="FootnoteReference"/>
        </w:rPr>
        <w:footnoteRef/>
      </w:r>
      <w:r>
        <w:t xml:space="preserve"> </w:t>
      </w:r>
      <w:proofErr w:type="spellStart"/>
      <w:r>
        <w:t>Thies</w:t>
      </w:r>
      <w:proofErr w:type="spellEnd"/>
      <w:r>
        <w:t>, Exhibit ___ (</w:t>
      </w:r>
      <w:proofErr w:type="spellStart"/>
      <w:r>
        <w:t>MTT</w:t>
      </w:r>
      <w:proofErr w:type="spellEnd"/>
      <w:r>
        <w:t>-2</w:t>
      </w:r>
      <w:r w:rsidRPr="001163C8">
        <w:t>)</w:t>
      </w:r>
      <w:r>
        <w:t>,</w:t>
      </w:r>
      <w:r w:rsidRPr="001163C8">
        <w:t xml:space="preserve"> </w:t>
      </w:r>
      <w:r>
        <w:t>at 3</w:t>
      </w:r>
      <w:r w:rsidRPr="001163C8">
        <w:t>, line</w:t>
      </w:r>
      <w:r>
        <w:t>s 1</w:t>
      </w:r>
      <w:r w:rsidRPr="001163C8">
        <w:t>9</w:t>
      </w:r>
      <w:r>
        <w:t xml:space="preserve"> &amp; 20</w:t>
      </w:r>
      <w:r w:rsidRPr="001163C8">
        <w:t>, column</w:t>
      </w:r>
      <w:r>
        <w:t>s</w:t>
      </w:r>
      <w:r w:rsidRPr="001163C8">
        <w:t xml:space="preserve"> (</w:t>
      </w:r>
      <w:r>
        <w:t>e</w:t>
      </w:r>
      <w:r w:rsidRPr="001163C8">
        <w:t>)</w:t>
      </w:r>
      <w:r>
        <w:t xml:space="preserve"> &amp; (k)</w:t>
      </w:r>
      <w:r w:rsidRPr="001163C8">
        <w:t>.</w:t>
      </w:r>
    </w:p>
  </w:footnote>
  <w:footnote w:id="20">
    <w:p w14:paraId="34EA9CBB" w14:textId="21D31B7A" w:rsidR="00C455AB" w:rsidRDefault="00C455AB">
      <w:pPr>
        <w:pStyle w:val="FootnoteText"/>
      </w:pPr>
      <w:r>
        <w:rPr>
          <w:rStyle w:val="FootnoteReference"/>
        </w:rPr>
        <w:footnoteRef/>
      </w:r>
      <w:r>
        <w:t xml:space="preserve"> Exhibit No.___ (MTT-1T</w:t>
      </w:r>
      <w:r w:rsidRPr="001163C8">
        <w:t>)</w:t>
      </w:r>
      <w:r>
        <w:t>,</w:t>
      </w:r>
      <w:r w:rsidRPr="001163C8">
        <w:t xml:space="preserve"> </w:t>
      </w:r>
      <w:r>
        <w:t>at 33</w:t>
      </w:r>
      <w:r w:rsidRPr="001163C8">
        <w:t>, line</w:t>
      </w:r>
      <w:r>
        <w:t xml:space="preserve"> 16. </w:t>
      </w:r>
    </w:p>
  </w:footnote>
  <w:footnote w:id="21">
    <w:p w14:paraId="34EA9CBC" w14:textId="03AE3937" w:rsidR="00C455AB" w:rsidRDefault="00C455AB" w:rsidP="0001130B">
      <w:pPr>
        <w:pStyle w:val="FootnoteText"/>
      </w:pPr>
      <w:r>
        <w:rPr>
          <w:rStyle w:val="FootnoteReference"/>
        </w:rPr>
        <w:footnoteRef/>
      </w:r>
      <w:r>
        <w:t xml:space="preserve"> Exhibit No. ___ (MTT-2</w:t>
      </w:r>
      <w:r w:rsidRPr="001163C8">
        <w:t>)</w:t>
      </w:r>
      <w:r>
        <w:t>,</w:t>
      </w:r>
      <w:r w:rsidRPr="001163C8">
        <w:t xml:space="preserve"> </w:t>
      </w:r>
      <w:r>
        <w:t>at 3</w:t>
      </w:r>
      <w:r w:rsidRPr="001163C8">
        <w:t xml:space="preserve">, </w:t>
      </w:r>
      <w:r>
        <w:t xml:space="preserve">Sum of </w:t>
      </w:r>
      <w:r w:rsidRPr="001163C8">
        <w:t>line</w:t>
      </w:r>
      <w:r>
        <w:t>s 9-10, &amp;16-18 20</w:t>
      </w:r>
      <w:r w:rsidRPr="001163C8">
        <w:t>, column (</w:t>
      </w:r>
      <w:r>
        <w:t>g), (i) and (l)</w:t>
      </w:r>
      <w:r w:rsidRPr="001163C8">
        <w:t>.</w:t>
      </w:r>
    </w:p>
  </w:footnote>
  <w:footnote w:id="22">
    <w:p w14:paraId="597B347F" w14:textId="0E68C660" w:rsidR="00C455AB" w:rsidRDefault="00C455AB">
      <w:pPr>
        <w:pStyle w:val="FootnoteText"/>
      </w:pPr>
      <w:r>
        <w:rPr>
          <w:rStyle w:val="FootnoteReference"/>
        </w:rPr>
        <w:footnoteRef/>
      </w:r>
      <w:r>
        <w:t xml:space="preserve"> Company’s response to Staff Data Request No.  045.</w:t>
      </w:r>
    </w:p>
  </w:footnote>
  <w:footnote w:id="23">
    <w:p w14:paraId="34EA9CBE" w14:textId="5C326B12" w:rsidR="00C455AB" w:rsidRDefault="00C455AB">
      <w:pPr>
        <w:pStyle w:val="FootnoteText"/>
      </w:pPr>
      <w:r>
        <w:rPr>
          <w:rStyle w:val="FootnoteReference"/>
        </w:rPr>
        <w:footnoteRef/>
      </w:r>
      <w:r>
        <w:t xml:space="preserve"> </w:t>
      </w:r>
      <w:proofErr w:type="spellStart"/>
      <w:r>
        <w:t>Thies</w:t>
      </w:r>
      <w:proofErr w:type="spellEnd"/>
      <w:r>
        <w:t xml:space="preserve"> Direct, Exhibit No.___(</w:t>
      </w:r>
      <w:proofErr w:type="spellStart"/>
      <w:r>
        <w:t>MTT-1T</w:t>
      </w:r>
      <w:proofErr w:type="spellEnd"/>
      <w:r>
        <w:t>) at 13:17-18</w:t>
      </w:r>
      <w:r w:rsidR="007B2327">
        <w:t>.</w:t>
      </w:r>
    </w:p>
  </w:footnote>
  <w:footnote w:id="24">
    <w:p w14:paraId="65617D0F" w14:textId="6461869D" w:rsidR="00C455AB" w:rsidRDefault="00C455AB">
      <w:pPr>
        <w:pStyle w:val="FootnoteText"/>
      </w:pPr>
      <w:r>
        <w:rPr>
          <w:rStyle w:val="FootnoteReference"/>
        </w:rPr>
        <w:footnoteRef/>
      </w:r>
      <w:r>
        <w:t xml:space="preserve"> Exhibit No.___(MTT-2), sum of lines 15-17, column (g).</w:t>
      </w:r>
    </w:p>
  </w:footnote>
  <w:footnote w:id="25">
    <w:p w14:paraId="34EA9CC0" w14:textId="77777777" w:rsidR="00C455AB" w:rsidRDefault="00C455AB">
      <w:pPr>
        <w:pStyle w:val="FootnoteText"/>
      </w:pPr>
      <w:r>
        <w:rPr>
          <w:rStyle w:val="FootnoteReference"/>
        </w:rPr>
        <w:footnoteRef/>
      </w:r>
      <w:r>
        <w:t xml:space="preserve"> </w:t>
      </w:r>
      <w:r w:rsidRPr="001163C8">
        <w:rPr>
          <w:i/>
        </w:rPr>
        <w:t xml:space="preserve">See </w:t>
      </w:r>
      <w:r>
        <w:rPr>
          <w:i/>
        </w:rPr>
        <w:t>PacifiCorp d/b/a Pacific Power &amp; Light Co.</w:t>
      </w:r>
      <w:r w:rsidRPr="001163C8">
        <w:rPr>
          <w:i/>
        </w:rPr>
        <w:t xml:space="preserve"> v Utilities &amp; Transp. Comm’n, </w:t>
      </w:r>
      <w:r w:rsidRPr="001163C8">
        <w:t>Dockets UE</w:t>
      </w:r>
      <w:r>
        <w:t xml:space="preserve">-130043, Order 05 (December 4, 2013), at 27, </w:t>
      </w:r>
      <w:r w:rsidRPr="001163C8">
        <w:t>¶</w:t>
      </w:r>
      <w:r>
        <w:t xml:space="preserve"> 70.</w:t>
      </w:r>
    </w:p>
  </w:footnote>
  <w:footnote w:id="26">
    <w:p w14:paraId="34EA9CC1" w14:textId="77777777" w:rsidR="00C455AB" w:rsidRPr="001163C8" w:rsidRDefault="00C455AB" w:rsidP="00A67C4C">
      <w:pPr>
        <w:pStyle w:val="FootnoteText"/>
      </w:pPr>
      <w:r w:rsidRPr="001163C8">
        <w:rPr>
          <w:rStyle w:val="FootnoteReference"/>
        </w:rPr>
        <w:footnoteRef/>
      </w:r>
      <w:r w:rsidRPr="001163C8">
        <w:t xml:space="preserve"> </w:t>
      </w:r>
      <w:r w:rsidRPr="001163C8">
        <w:rPr>
          <w:i/>
        </w:rPr>
        <w:t xml:space="preserve">See Puget Sound Energy, Inc. v Utilities &amp; Transp. Comm’n, </w:t>
      </w:r>
      <w:r w:rsidRPr="001163C8">
        <w:t>Dockets UE</w:t>
      </w:r>
      <w:r>
        <w:t>-111048 &amp; 111049, Order 08 (May </w:t>
      </w:r>
      <w:r w:rsidRPr="001163C8">
        <w:t>7, 2012)</w:t>
      </w:r>
      <w:r>
        <w:t>,</w:t>
      </w:r>
      <w:r w:rsidRPr="001163C8">
        <w:t xml:space="preserve"> at 33, ¶ 89.  </w:t>
      </w:r>
    </w:p>
  </w:footnote>
  <w:footnote w:id="27">
    <w:p w14:paraId="34EA9CC2" w14:textId="77777777" w:rsidR="00C455AB" w:rsidRPr="001163C8" w:rsidRDefault="00C455AB" w:rsidP="00A67C4C">
      <w:pPr>
        <w:pStyle w:val="FootnoteText"/>
      </w:pPr>
      <w:r w:rsidRPr="001163C8">
        <w:rPr>
          <w:rStyle w:val="FootnoteReference"/>
        </w:rPr>
        <w:footnoteRef/>
      </w:r>
      <w:r w:rsidRPr="001163C8">
        <w:t xml:space="preserve"> </w:t>
      </w:r>
      <w:r w:rsidRPr="007651FD">
        <w:rPr>
          <w:i/>
        </w:rPr>
        <w:t>Id</w:t>
      </w:r>
      <w:r w:rsidRPr="001163C8">
        <w:t>.</w:t>
      </w:r>
    </w:p>
  </w:footnote>
  <w:footnote w:id="28">
    <w:p w14:paraId="34EA9CC3" w14:textId="77777777" w:rsidR="00C455AB" w:rsidRDefault="00C455AB">
      <w:pPr>
        <w:pStyle w:val="FootnoteText"/>
      </w:pPr>
      <w:r>
        <w:rPr>
          <w:rStyle w:val="FootnoteReference"/>
        </w:rPr>
        <w:footnoteRef/>
      </w:r>
      <w:r>
        <w:t xml:space="preserve"> Data from 2</w:t>
      </w:r>
      <w:r w:rsidRPr="008D6576">
        <w:rPr>
          <w:vertAlign w:val="superscript"/>
        </w:rPr>
        <w:t>nd</w:t>
      </w:r>
      <w:r>
        <w:t xml:space="preserve">  quarter 2013.</w:t>
      </w:r>
    </w:p>
  </w:footnote>
  <w:footnote w:id="29">
    <w:p w14:paraId="34EA9CC4" w14:textId="77777777" w:rsidR="00C455AB" w:rsidRPr="001163C8" w:rsidRDefault="00C455AB">
      <w:pPr>
        <w:pStyle w:val="FootnoteText"/>
      </w:pPr>
      <w:r w:rsidRPr="001163C8">
        <w:rPr>
          <w:rStyle w:val="FootnoteReference"/>
        </w:rPr>
        <w:footnoteRef/>
      </w:r>
      <w:r w:rsidRPr="001163C8">
        <w:t xml:space="preserve"> Retention ratio is complementary to the dividend payout ratio</w:t>
      </w:r>
      <w:r>
        <w:t>:</w:t>
      </w:r>
      <w:r w:rsidRPr="001163C8">
        <w:t xml:space="preserve"> 1 </w:t>
      </w:r>
      <w:r>
        <w:t>–</w:t>
      </w:r>
      <w:r w:rsidRPr="001163C8">
        <w:t xml:space="preserve"> </w:t>
      </w:r>
      <w:r>
        <w:t>(</w:t>
      </w:r>
      <w:r w:rsidRPr="001163C8">
        <w:t>pay</w:t>
      </w:r>
      <w:r>
        <w:t>o</w:t>
      </w:r>
      <w:r w:rsidRPr="001163C8">
        <w:t>ut ratio</w:t>
      </w:r>
      <w:r>
        <w:t>)</w:t>
      </w:r>
      <w:r w:rsidRPr="001163C8">
        <w:t xml:space="preserve"> = retention ratio.</w:t>
      </w:r>
    </w:p>
  </w:footnote>
  <w:footnote w:id="30">
    <w:p w14:paraId="34EA9CC5" w14:textId="77777777" w:rsidR="00C455AB" w:rsidRPr="001163C8" w:rsidRDefault="00C455AB" w:rsidP="00244E07">
      <w:pPr>
        <w:pStyle w:val="FootnoteText"/>
      </w:pPr>
      <w:r w:rsidRPr="001163C8">
        <w:rPr>
          <w:rStyle w:val="FootnoteReference"/>
        </w:rPr>
        <w:footnoteRef/>
      </w:r>
      <w:r>
        <w:t xml:space="preserve"> Exhibit No. ___ (AMM-6</w:t>
      </w:r>
      <w:r w:rsidRPr="001163C8">
        <w:t xml:space="preserve">-5), </w:t>
      </w:r>
      <w:r>
        <w:t>at 1, line 4</w:t>
      </w:r>
      <w:r w:rsidRPr="001163C8">
        <w:t>, last column: “Yield”.</w:t>
      </w:r>
    </w:p>
  </w:footnote>
  <w:footnote w:id="31">
    <w:p w14:paraId="34EA9CC6" w14:textId="2B69E4D8" w:rsidR="00C455AB" w:rsidRDefault="00C455AB" w:rsidP="00244E07">
      <w:pPr>
        <w:pStyle w:val="FootnoteText"/>
      </w:pPr>
      <w:r>
        <w:rPr>
          <w:rStyle w:val="FootnoteReference"/>
        </w:rPr>
        <w:footnoteRef/>
      </w:r>
      <w:r>
        <w:t xml:space="preserve"> </w:t>
      </w:r>
      <w:r w:rsidRPr="007C2405">
        <w:rPr>
          <w:i/>
        </w:rPr>
        <w:t>Id</w:t>
      </w:r>
      <w:r>
        <w:t>., line 4, column (a).</w:t>
      </w:r>
    </w:p>
  </w:footnote>
  <w:footnote w:id="32">
    <w:p w14:paraId="34EA9CC7" w14:textId="142193ED" w:rsidR="00C455AB" w:rsidRPr="001163C8" w:rsidRDefault="00C455AB" w:rsidP="00CE2E99">
      <w:pPr>
        <w:pStyle w:val="FootnoteText"/>
      </w:pPr>
      <w:r w:rsidRPr="001163C8">
        <w:rPr>
          <w:rStyle w:val="FootnoteReference"/>
        </w:rPr>
        <w:footnoteRef/>
      </w:r>
      <w:r w:rsidRPr="001163C8">
        <w:t xml:space="preserve"> </w:t>
      </w:r>
      <w:r w:rsidRPr="001163C8">
        <w:rPr>
          <w:i/>
        </w:rPr>
        <w:t>Morningstar</w:t>
      </w:r>
      <w:r w:rsidRPr="001163C8">
        <w:t xml:space="preserve"> data is extract</w:t>
      </w:r>
      <w:r>
        <w:t>ed from data reported by Yahoo F</w:t>
      </w:r>
      <w:r w:rsidRPr="001163C8">
        <w:t>inance.</w:t>
      </w:r>
    </w:p>
  </w:footnote>
  <w:footnote w:id="33">
    <w:p w14:paraId="34EA9CC8" w14:textId="6734A22B" w:rsidR="00C455AB" w:rsidRDefault="00C455AB">
      <w:pPr>
        <w:pStyle w:val="FootnoteText"/>
      </w:pPr>
      <w:r>
        <w:rPr>
          <w:rStyle w:val="FootnoteReference"/>
        </w:rPr>
        <w:footnoteRef/>
      </w:r>
      <w:r>
        <w:t xml:space="preserve"> </w:t>
      </w:r>
      <w:proofErr w:type="spellStart"/>
      <w:r>
        <w:t>Thies</w:t>
      </w:r>
      <w:proofErr w:type="spellEnd"/>
      <w:r>
        <w:t xml:space="preserve"> Direct, Exhibit No.___(</w:t>
      </w:r>
      <w:proofErr w:type="spellStart"/>
      <w:r>
        <w:t>MTT-1T</w:t>
      </w:r>
      <w:proofErr w:type="spellEnd"/>
      <w:r>
        <w:t>) at 14:11-12.</w:t>
      </w:r>
    </w:p>
  </w:footnote>
  <w:footnote w:id="34">
    <w:p w14:paraId="34EA9CC9" w14:textId="77777777" w:rsidR="00C455AB" w:rsidRPr="001163C8" w:rsidRDefault="00C455AB">
      <w:pPr>
        <w:pStyle w:val="FootnoteText"/>
      </w:pPr>
      <w:r w:rsidRPr="001163C8">
        <w:rPr>
          <w:rStyle w:val="FootnoteReference"/>
        </w:rPr>
        <w:footnoteRef/>
      </w:r>
      <w:r w:rsidRPr="001163C8">
        <w:t xml:space="preserve"> 0.40 * </w:t>
      </w:r>
      <w:r>
        <w:t>8.5% = 3.4</w:t>
      </w:r>
      <w:r w:rsidRPr="001163C8">
        <w:t>%.</w:t>
      </w:r>
    </w:p>
  </w:footnote>
  <w:footnote w:id="35">
    <w:p w14:paraId="63832732" w14:textId="77777777" w:rsidR="00C455AB" w:rsidRDefault="00C455AB">
      <w:pPr>
        <w:pStyle w:val="FootnoteText"/>
      </w:pPr>
      <w:r>
        <w:rPr>
          <w:rStyle w:val="FootnoteReference"/>
        </w:rPr>
        <w:footnoteRef/>
      </w:r>
      <w:r>
        <w:t xml:space="preserve"> Exhibit No.___ (AMM-7) at 2. line 4 </w:t>
      </w:r>
      <w:proofErr w:type="gramStart"/>
      <w:r>
        <w:t>column</w:t>
      </w:r>
      <w:proofErr w:type="gramEnd"/>
      <w:r>
        <w:t xml:space="preserve"> ‘</w:t>
      </w:r>
      <w:proofErr w:type="spellStart"/>
      <w:r>
        <w:t>br+sv</w:t>
      </w:r>
      <w:proofErr w:type="spellEnd"/>
      <w:r>
        <w:t>’.</w:t>
      </w:r>
    </w:p>
  </w:footnote>
  <w:footnote w:id="36">
    <w:p w14:paraId="34EA9CCB" w14:textId="77777777" w:rsidR="00C455AB" w:rsidRPr="001163C8" w:rsidRDefault="00C455AB">
      <w:pPr>
        <w:pStyle w:val="FootnoteText"/>
      </w:pPr>
      <w:r w:rsidRPr="001163C8">
        <w:rPr>
          <w:rStyle w:val="FootnoteReference"/>
        </w:rPr>
        <w:footnoteRef/>
      </w:r>
      <w:r w:rsidRPr="001163C8">
        <w:t xml:space="preserve"> 4.0% ÷ 0.40 = 10.00%.</w:t>
      </w:r>
    </w:p>
  </w:footnote>
  <w:footnote w:id="37">
    <w:p w14:paraId="34EA9CCD" w14:textId="66F0FAAD" w:rsidR="00C455AB" w:rsidRDefault="00C455AB">
      <w:pPr>
        <w:pStyle w:val="FootnoteText"/>
      </w:pPr>
      <w:r>
        <w:rPr>
          <w:rStyle w:val="FootnoteReference"/>
        </w:rPr>
        <w:footnoteRef/>
      </w:r>
      <w:r>
        <w:t xml:space="preserve"> 5.0% ÷ 0.40 = 12.5</w:t>
      </w:r>
      <w:r w:rsidRPr="001163C8">
        <w:t>%.</w:t>
      </w:r>
    </w:p>
  </w:footnote>
  <w:footnote w:id="38">
    <w:p w14:paraId="34EA9CCE" w14:textId="77777777" w:rsidR="00C455AB" w:rsidRPr="003062FD" w:rsidRDefault="00C455AB" w:rsidP="00725D90">
      <w:pPr>
        <w:tabs>
          <w:tab w:val="left" w:pos="720"/>
          <w:tab w:val="left" w:pos="1440"/>
          <w:tab w:val="left" w:pos="9240"/>
        </w:tabs>
        <w:spacing w:line="480" w:lineRule="auto"/>
        <w:ind w:left="720" w:hanging="720"/>
        <w:rPr>
          <w:sz w:val="20"/>
          <w:szCs w:val="20"/>
        </w:rPr>
      </w:pPr>
      <w:r w:rsidRPr="003062FD">
        <w:rPr>
          <w:rStyle w:val="FootnoteReference"/>
          <w:sz w:val="20"/>
          <w:szCs w:val="20"/>
        </w:rPr>
        <w:footnoteRef/>
      </w:r>
      <w:r w:rsidRPr="003062FD">
        <w:rPr>
          <w:sz w:val="20"/>
          <w:szCs w:val="20"/>
        </w:rPr>
        <w:t xml:space="preserve"> Exhibit No. ___ (</w:t>
      </w:r>
      <w:r>
        <w:rPr>
          <w:sz w:val="20"/>
          <w:szCs w:val="20"/>
        </w:rPr>
        <w:t>AMM-6</w:t>
      </w:r>
      <w:r w:rsidRPr="003062FD">
        <w:rPr>
          <w:sz w:val="20"/>
          <w:szCs w:val="20"/>
        </w:rPr>
        <w:t>)</w:t>
      </w:r>
      <w:r>
        <w:rPr>
          <w:sz w:val="20"/>
          <w:szCs w:val="20"/>
        </w:rPr>
        <w:t>,</w:t>
      </w:r>
      <w:r w:rsidRPr="003062FD">
        <w:rPr>
          <w:sz w:val="20"/>
          <w:szCs w:val="20"/>
        </w:rPr>
        <w:t xml:space="preserve"> at 2, line </w:t>
      </w:r>
      <w:r>
        <w:rPr>
          <w:sz w:val="20"/>
          <w:szCs w:val="20"/>
        </w:rPr>
        <w:t>4</w:t>
      </w:r>
      <w:r w:rsidRPr="003062FD">
        <w:rPr>
          <w:sz w:val="20"/>
          <w:szCs w:val="20"/>
        </w:rPr>
        <w:t>, columns (</w:t>
      </w:r>
      <w:r>
        <w:rPr>
          <w:sz w:val="20"/>
          <w:szCs w:val="20"/>
        </w:rPr>
        <w:t>b</w:t>
      </w:r>
      <w:r w:rsidRPr="003062FD">
        <w:rPr>
          <w:sz w:val="20"/>
          <w:szCs w:val="20"/>
        </w:rPr>
        <w:t>) &amp; (</w:t>
      </w:r>
      <w:r>
        <w:rPr>
          <w:sz w:val="20"/>
          <w:szCs w:val="20"/>
        </w:rPr>
        <w:t>c)</w:t>
      </w:r>
      <w:r w:rsidRPr="003062FD">
        <w:rPr>
          <w:sz w:val="20"/>
          <w:szCs w:val="20"/>
        </w:rPr>
        <w:t>.</w:t>
      </w:r>
    </w:p>
  </w:footnote>
  <w:footnote w:id="39">
    <w:p w14:paraId="34EA9CCF" w14:textId="77777777" w:rsidR="00C455AB" w:rsidRDefault="00C455AB">
      <w:pPr>
        <w:pStyle w:val="FootnoteText"/>
      </w:pPr>
      <w:r>
        <w:rPr>
          <w:rStyle w:val="FootnoteReference"/>
        </w:rPr>
        <w:footnoteRef/>
      </w:r>
      <w:r>
        <w:t xml:space="preserve"> If the dividend yield and growth factors were put together the precise calculation produces a range of ROE estimates between 7.90 and 8.70 percent.</w:t>
      </w:r>
    </w:p>
  </w:footnote>
  <w:footnote w:id="40">
    <w:p w14:paraId="34EA9CD0" w14:textId="2E54D75B" w:rsidR="00C455AB" w:rsidRDefault="00C455AB">
      <w:pPr>
        <w:pStyle w:val="FootnoteText"/>
      </w:pPr>
      <w:r>
        <w:rPr>
          <w:rStyle w:val="FootnoteReference"/>
        </w:rPr>
        <w:footnoteRef/>
      </w:r>
      <w:r>
        <w:t xml:space="preserve"> Market data from February 13, 2014</w:t>
      </w:r>
      <w:r w:rsidR="007B2327">
        <w:t>.</w:t>
      </w:r>
    </w:p>
  </w:footnote>
  <w:footnote w:id="41">
    <w:p w14:paraId="34EA9CD1" w14:textId="6BD13ED2" w:rsidR="00C455AB" w:rsidRPr="009B70DF" w:rsidRDefault="00C455AB">
      <w:pPr>
        <w:pStyle w:val="FootnoteText"/>
      </w:pPr>
      <w:r w:rsidRPr="009B70DF">
        <w:rPr>
          <w:rStyle w:val="FootnoteReference"/>
        </w:rPr>
        <w:footnoteRef/>
      </w:r>
      <w:r w:rsidRPr="009B70DF">
        <w:t xml:space="preserve"> Exhibit No. ___ (</w:t>
      </w:r>
      <w:r>
        <w:t>AMM-6</w:t>
      </w:r>
      <w:r w:rsidRPr="009B70DF">
        <w:t>)</w:t>
      </w:r>
      <w:r>
        <w:t xml:space="preserve">, at 1, </w:t>
      </w:r>
      <w:r w:rsidRPr="009B70DF">
        <w:t xml:space="preserve">column (Yield), average of lines </w:t>
      </w:r>
      <w:r>
        <w:t>3</w:t>
      </w:r>
      <w:r w:rsidRPr="009B70DF">
        <w:t xml:space="preserve">, </w:t>
      </w:r>
      <w:r>
        <w:t>5</w:t>
      </w:r>
      <w:r w:rsidRPr="009B70DF">
        <w:t xml:space="preserve">, 14, </w:t>
      </w:r>
      <w:r>
        <w:t>16, 17, 20 and 25</w:t>
      </w:r>
      <w:r w:rsidRPr="009B70DF">
        <w:t>.</w:t>
      </w:r>
    </w:p>
  </w:footnote>
  <w:footnote w:id="42">
    <w:p w14:paraId="34EA9CD2" w14:textId="69FF9250" w:rsidR="00C455AB" w:rsidRDefault="00C455AB">
      <w:pPr>
        <w:pStyle w:val="FootnoteText"/>
      </w:pPr>
      <w:r>
        <w:rPr>
          <w:rStyle w:val="FootnoteReference"/>
        </w:rPr>
        <w:footnoteRef/>
      </w:r>
      <w:r>
        <w:t xml:space="preserve"> S&amp;P </w:t>
      </w:r>
      <w:proofErr w:type="spellStart"/>
      <w:r>
        <w:t>RatingsDirect</w:t>
      </w:r>
      <w:proofErr w:type="spellEnd"/>
      <w:r>
        <w:t xml:space="preserve"> (April 19, 2013) at 8; Avista work papers AMM p.</w:t>
      </w:r>
      <w:r w:rsidR="007B2327">
        <w:t xml:space="preserve"> </w:t>
      </w:r>
      <w:r>
        <w:t>42.</w:t>
      </w:r>
    </w:p>
  </w:footnote>
  <w:footnote w:id="43">
    <w:p w14:paraId="34EA9CD3" w14:textId="495A752D" w:rsidR="00C455AB" w:rsidRDefault="00C455AB">
      <w:pPr>
        <w:pStyle w:val="FootnoteText"/>
      </w:pPr>
      <w:r>
        <w:rPr>
          <w:rStyle w:val="FootnoteReference"/>
        </w:rPr>
        <w:footnoteRef/>
      </w:r>
      <w:r>
        <w:t xml:space="preserve"> </w:t>
      </w:r>
      <w:r w:rsidRPr="009B70DF">
        <w:t>Exhibit No. ___ (</w:t>
      </w:r>
      <w:r>
        <w:t>AMM-6</w:t>
      </w:r>
      <w:r w:rsidRPr="009B70DF">
        <w:t>)</w:t>
      </w:r>
      <w:r>
        <w:t xml:space="preserve">, at 2, </w:t>
      </w:r>
      <w:r w:rsidRPr="009B70DF">
        <w:t>column (</w:t>
      </w:r>
      <w:r>
        <w:t>e</w:t>
      </w:r>
      <w:r w:rsidRPr="009B70DF">
        <w:t xml:space="preserve">), average of lines </w:t>
      </w:r>
      <w:r>
        <w:t>3</w:t>
      </w:r>
      <w:r w:rsidRPr="009B70DF">
        <w:t xml:space="preserve">, </w:t>
      </w:r>
      <w:r>
        <w:t>5</w:t>
      </w:r>
      <w:r w:rsidRPr="009B70DF">
        <w:t xml:space="preserve">, 14, </w:t>
      </w:r>
      <w:r>
        <w:t>16, 17, 20 and 25</w:t>
      </w:r>
      <w:r w:rsidRPr="009B70DF">
        <w:t>.</w:t>
      </w:r>
    </w:p>
  </w:footnote>
  <w:footnote w:id="44">
    <w:p w14:paraId="34EA9CD4" w14:textId="10A1DE54" w:rsidR="00C455AB" w:rsidRPr="009B70DF" w:rsidRDefault="00C455AB">
      <w:pPr>
        <w:pStyle w:val="FootnoteText"/>
      </w:pPr>
      <w:r w:rsidRPr="009B70DF">
        <w:rPr>
          <w:rStyle w:val="FootnoteReference"/>
        </w:rPr>
        <w:footnoteRef/>
      </w:r>
      <w:r w:rsidRPr="009B70DF">
        <w:t xml:space="preserve"> Source: Exhibit No. ___ (</w:t>
      </w:r>
      <w:r>
        <w:t>AMM-6),</w:t>
      </w:r>
      <w:r w:rsidRPr="009B70DF">
        <w:t xml:space="preserve"> at </w:t>
      </w:r>
      <w:r>
        <w:t>2,</w:t>
      </w:r>
      <w:r w:rsidRPr="009B70DF">
        <w:t xml:space="preserve"> </w:t>
      </w:r>
      <w:r>
        <w:t>columns (b) &amp; (c) lines 3,5, 14, 16, 17, 20, 25.</w:t>
      </w:r>
    </w:p>
  </w:footnote>
  <w:footnote w:id="45">
    <w:p w14:paraId="34EA9CD5" w14:textId="77777777" w:rsidR="00C455AB" w:rsidRPr="009B70DF" w:rsidRDefault="00C455AB">
      <w:pPr>
        <w:pStyle w:val="FootnoteText"/>
      </w:pPr>
      <w:r w:rsidRPr="009B70DF">
        <w:rPr>
          <w:rStyle w:val="FootnoteReference"/>
        </w:rPr>
        <w:footnoteRef/>
      </w:r>
      <w:r w:rsidRPr="009B70DF">
        <w:t xml:space="preserve"> 12.5% * 0.40 = 5.0 percent.</w:t>
      </w:r>
    </w:p>
  </w:footnote>
  <w:footnote w:id="46">
    <w:p w14:paraId="34EA9CD6" w14:textId="77777777" w:rsidR="00C455AB" w:rsidRDefault="00C455AB">
      <w:pPr>
        <w:pStyle w:val="FootnoteText"/>
      </w:pPr>
      <w:r>
        <w:rPr>
          <w:rStyle w:val="FootnoteReference"/>
        </w:rPr>
        <w:footnoteRef/>
      </w:r>
      <w:r>
        <w:t xml:space="preserve"> </w:t>
      </w:r>
      <w:r w:rsidRPr="001163C8">
        <w:rPr>
          <w:i/>
        </w:rPr>
        <w:t xml:space="preserve">See </w:t>
      </w:r>
      <w:r>
        <w:rPr>
          <w:i/>
        </w:rPr>
        <w:t>PacifiCorp d/b/a Pacific Power &amp; light Co.</w:t>
      </w:r>
      <w:r w:rsidRPr="001163C8">
        <w:rPr>
          <w:i/>
        </w:rPr>
        <w:t xml:space="preserve"> v Utilities &amp; Transp. Comm’n, </w:t>
      </w:r>
      <w:r w:rsidRPr="001163C8">
        <w:t>Dockets UE</w:t>
      </w:r>
      <w:r>
        <w:t>-130043, Order 05 (December 4, 2013), at 17, ¶ 46.</w:t>
      </w:r>
    </w:p>
  </w:footnote>
  <w:footnote w:id="47">
    <w:p w14:paraId="34EA9CD7" w14:textId="77777777" w:rsidR="00C455AB" w:rsidRPr="009B70DF" w:rsidRDefault="00C455AB" w:rsidP="00A0224C">
      <w:pPr>
        <w:pStyle w:val="FootnoteText"/>
        <w:ind w:right="-252"/>
      </w:pPr>
      <w:r w:rsidRPr="009B70DF">
        <w:rPr>
          <w:rStyle w:val="FootnoteReference"/>
        </w:rPr>
        <w:footnoteRef/>
      </w:r>
      <w:r w:rsidRPr="009B70DF">
        <w:t xml:space="preserve"> See </w:t>
      </w:r>
      <w:r w:rsidRPr="009B70DF">
        <w:rPr>
          <w:i/>
        </w:rPr>
        <w:t>Journal of Finance</w:t>
      </w:r>
      <w:r w:rsidRPr="009B70DF">
        <w:rPr>
          <w:u w:val="single"/>
        </w:rPr>
        <w:t>,</w:t>
      </w:r>
      <w:r w:rsidRPr="009B70DF">
        <w:t xml:space="preserve"> </w:t>
      </w:r>
      <w:proofErr w:type="spellStart"/>
      <w:r w:rsidRPr="009B70DF">
        <w:t>Fama</w:t>
      </w:r>
      <w:proofErr w:type="spellEnd"/>
      <w:r w:rsidRPr="009B70DF">
        <w:t xml:space="preserve"> &amp; French. “The Cross-Section of Expected Stock Returns”</w:t>
      </w:r>
      <w:r>
        <w:t xml:space="preserve"> (June 1992) at 427.</w:t>
      </w:r>
    </w:p>
  </w:footnote>
  <w:footnote w:id="48">
    <w:p w14:paraId="34EA9CD8" w14:textId="77777777" w:rsidR="00C455AB" w:rsidRPr="00DE4368" w:rsidRDefault="00C455AB">
      <w:pPr>
        <w:pStyle w:val="FootnoteText"/>
      </w:pPr>
      <w:r>
        <w:rPr>
          <w:rStyle w:val="FootnoteReference"/>
        </w:rPr>
        <w:footnoteRef/>
      </w:r>
      <w:r>
        <w:t xml:space="preserve"> </w:t>
      </w:r>
      <w:r>
        <w:rPr>
          <w:i/>
        </w:rPr>
        <w:t xml:space="preserve">Global Financial Data, </w:t>
      </w:r>
      <w:r>
        <w:t>as of 2/14/14 shows long-term return on the market of 10 percent.</w:t>
      </w:r>
    </w:p>
  </w:footnote>
  <w:footnote w:id="49">
    <w:p w14:paraId="34EA9CD9" w14:textId="77777777" w:rsidR="00C455AB" w:rsidRDefault="00C455AB">
      <w:pPr>
        <w:pStyle w:val="FootnoteText"/>
      </w:pPr>
      <w:r>
        <w:rPr>
          <w:rStyle w:val="FootnoteReference"/>
        </w:rPr>
        <w:footnoteRef/>
      </w:r>
      <w:r>
        <w:t xml:space="preserve"> June 26, 2014 Yield on 30-year Treasury bonds</w:t>
      </w:r>
    </w:p>
  </w:footnote>
  <w:footnote w:id="50">
    <w:p w14:paraId="34EA9CDA" w14:textId="77777777" w:rsidR="00C455AB" w:rsidRPr="009B70DF" w:rsidRDefault="00C455AB">
      <w:pPr>
        <w:pStyle w:val="FootnoteText"/>
      </w:pPr>
      <w:r w:rsidRPr="009B70DF">
        <w:rPr>
          <w:rStyle w:val="FootnoteReference"/>
        </w:rPr>
        <w:footnoteRef/>
      </w:r>
      <w:r>
        <w:t xml:space="preserve"> [10.00</w:t>
      </w:r>
      <w:r w:rsidRPr="009B70DF">
        <w:t xml:space="preserve">% - </w:t>
      </w:r>
      <w:r>
        <w:t>3.40</w:t>
      </w:r>
      <w:r w:rsidRPr="009B70DF">
        <w:t xml:space="preserve">%]*.70 + </w:t>
      </w:r>
      <w:r>
        <w:t>3.40</w:t>
      </w:r>
      <w:r w:rsidRPr="009B70DF">
        <w:t xml:space="preserve">% = </w:t>
      </w:r>
      <w:r>
        <w:t>8.13</w:t>
      </w:r>
      <w:r w:rsidRPr="009B70DF">
        <w:t>%</w:t>
      </w:r>
      <w:r>
        <w:t>.</w:t>
      </w:r>
      <w:r w:rsidRPr="009B70DF">
        <w:t xml:space="preserve"> </w:t>
      </w:r>
    </w:p>
  </w:footnote>
  <w:footnote w:id="51">
    <w:p w14:paraId="34EA9CDB" w14:textId="77777777" w:rsidR="00C455AB" w:rsidRDefault="00C455AB">
      <w:pPr>
        <w:pStyle w:val="FootnoteText"/>
      </w:pPr>
      <w:r>
        <w:rPr>
          <w:rStyle w:val="FootnoteReference"/>
        </w:rPr>
        <w:footnoteRef/>
      </w:r>
      <w:r>
        <w:t xml:space="preserve"> [10</w:t>
      </w:r>
      <w:r w:rsidRPr="009B70DF">
        <w:t>.0%-</w:t>
      </w:r>
      <w:r>
        <w:t>3.40%] *0.55 +3.0 = 7.03%.</w:t>
      </w:r>
    </w:p>
  </w:footnote>
  <w:footnote w:id="52">
    <w:p w14:paraId="34EA9CDC" w14:textId="75DBD824" w:rsidR="00C455AB" w:rsidRDefault="00C455AB">
      <w:pPr>
        <w:pStyle w:val="FootnoteText"/>
      </w:pPr>
      <w:r>
        <w:rPr>
          <w:rStyle w:val="FootnoteReference"/>
        </w:rPr>
        <w:footnoteRef/>
      </w:r>
      <w:r>
        <w:t xml:space="preserve"> Exhibit No. ___ (AMM-9), at 3, column (a), Allowed ROE.</w:t>
      </w:r>
    </w:p>
  </w:footnote>
  <w:footnote w:id="53">
    <w:p w14:paraId="34EA9CDD" w14:textId="77777777" w:rsidR="00C455AB" w:rsidRPr="009B70DF" w:rsidRDefault="00C455AB">
      <w:pPr>
        <w:pStyle w:val="FootnoteText"/>
      </w:pPr>
      <w:r w:rsidRPr="009B70DF">
        <w:rPr>
          <w:rStyle w:val="FootnoteReference"/>
        </w:rPr>
        <w:footnoteRef/>
      </w:r>
      <w:r w:rsidRPr="009B70DF">
        <w:t xml:space="preserve"> Exhibit No. ___ (MTT-2)</w:t>
      </w:r>
      <w:r>
        <w:t>, at 3, line 17</w:t>
      </w:r>
      <w:r w:rsidRPr="009B70DF">
        <w:t xml:space="preserve">, column </w:t>
      </w:r>
      <w:r>
        <w:t xml:space="preserve">(b).  </w:t>
      </w:r>
    </w:p>
  </w:footnote>
  <w:footnote w:id="54">
    <w:p w14:paraId="34EA9CDE" w14:textId="5F383022" w:rsidR="00C455AB" w:rsidRDefault="00C455AB">
      <w:pPr>
        <w:pStyle w:val="FootnoteText"/>
      </w:pPr>
      <w:r>
        <w:rPr>
          <w:rStyle w:val="FootnoteReference"/>
        </w:rPr>
        <w:footnoteRef/>
      </w:r>
      <w:r>
        <w:t xml:space="preserve"> Avista response to Staff Data Request 118 Attachment B at 3.</w:t>
      </w:r>
    </w:p>
  </w:footnote>
  <w:footnote w:id="55">
    <w:p w14:paraId="34EA9CDF" w14:textId="77777777" w:rsidR="00C455AB" w:rsidRPr="009B70DF" w:rsidRDefault="00C455AB">
      <w:pPr>
        <w:pStyle w:val="FootnoteText"/>
      </w:pPr>
      <w:r w:rsidRPr="009B70DF">
        <w:rPr>
          <w:rStyle w:val="FootnoteReference"/>
        </w:rPr>
        <w:footnoteRef/>
      </w:r>
      <w:r w:rsidRPr="009B70DF">
        <w:t xml:space="preserve"> </w:t>
      </w:r>
      <w:r>
        <w:t>8.75% - 4.23% = 4.52</w:t>
      </w:r>
      <w:r w:rsidRPr="009B70DF">
        <w:t>%, or 45</w:t>
      </w:r>
      <w:r>
        <w:t>2</w:t>
      </w:r>
      <w:r w:rsidRPr="009B70DF">
        <w:t xml:space="preserve"> basis points.</w:t>
      </w:r>
    </w:p>
  </w:footnote>
  <w:footnote w:id="56">
    <w:p w14:paraId="34EA9CE1" w14:textId="0D502F13" w:rsidR="00C455AB" w:rsidRDefault="00C455AB">
      <w:pPr>
        <w:pStyle w:val="FootnoteText"/>
      </w:pPr>
      <w:r>
        <w:rPr>
          <w:rStyle w:val="FootnoteReference"/>
        </w:rPr>
        <w:footnoteRef/>
      </w:r>
      <w:r>
        <w:t xml:space="preserve"> Exhibit No.___ (MTT-2), at 6, footnote (f) - Capital Stock Expense.</w:t>
      </w:r>
    </w:p>
  </w:footnote>
  <w:footnote w:id="57">
    <w:p w14:paraId="34EA9CE2" w14:textId="13CE41F9" w:rsidR="00C455AB" w:rsidRPr="009B70DF" w:rsidRDefault="00C455AB" w:rsidP="009420ED">
      <w:pPr>
        <w:tabs>
          <w:tab w:val="left" w:pos="9240"/>
        </w:tabs>
        <w:rPr>
          <w:sz w:val="20"/>
          <w:szCs w:val="20"/>
        </w:rPr>
      </w:pPr>
      <w:r w:rsidRPr="009B70DF">
        <w:rPr>
          <w:rStyle w:val="FootnoteReference"/>
          <w:sz w:val="20"/>
          <w:szCs w:val="20"/>
        </w:rPr>
        <w:footnoteRef/>
      </w:r>
      <w:r w:rsidRPr="009B70DF">
        <w:rPr>
          <w:sz w:val="20"/>
          <w:szCs w:val="20"/>
        </w:rPr>
        <w:t xml:space="preserve"> </w:t>
      </w:r>
      <w:r>
        <w:rPr>
          <w:sz w:val="20"/>
          <w:szCs w:val="20"/>
        </w:rPr>
        <w:t xml:space="preserve">McKenzie Direct, </w:t>
      </w:r>
      <w:r w:rsidRPr="009B70DF">
        <w:rPr>
          <w:sz w:val="20"/>
          <w:szCs w:val="20"/>
        </w:rPr>
        <w:t>Exhibit</w:t>
      </w:r>
      <w:r>
        <w:rPr>
          <w:sz w:val="20"/>
          <w:szCs w:val="20"/>
        </w:rPr>
        <w:t xml:space="preserve"> No.</w:t>
      </w:r>
      <w:r w:rsidRPr="009B70DF">
        <w:rPr>
          <w:sz w:val="20"/>
          <w:szCs w:val="20"/>
        </w:rPr>
        <w:t xml:space="preserve"> ___ (</w:t>
      </w:r>
      <w:r>
        <w:rPr>
          <w:sz w:val="20"/>
          <w:szCs w:val="20"/>
        </w:rPr>
        <w:t>AMM</w:t>
      </w:r>
      <w:r w:rsidRPr="009B70DF">
        <w:rPr>
          <w:sz w:val="20"/>
          <w:szCs w:val="20"/>
        </w:rPr>
        <w:t>-1T)</w:t>
      </w:r>
      <w:r>
        <w:rPr>
          <w:sz w:val="20"/>
          <w:szCs w:val="20"/>
        </w:rPr>
        <w:t xml:space="preserve"> at 38:3-5, &amp; Exhibit No.___ (AMM-4) at 4: Flotation Cost Percentage Adjustment.</w:t>
      </w:r>
    </w:p>
  </w:footnote>
  <w:footnote w:id="58">
    <w:p w14:paraId="34EA9CE3" w14:textId="029CB27D" w:rsidR="00C455AB" w:rsidRPr="009B70DF" w:rsidRDefault="00C455AB">
      <w:pPr>
        <w:pStyle w:val="FootnoteText"/>
      </w:pPr>
      <w:r w:rsidRPr="009B70DF">
        <w:rPr>
          <w:rStyle w:val="FootnoteReference"/>
        </w:rPr>
        <w:footnoteRef/>
      </w:r>
      <w:r w:rsidRPr="009B70DF">
        <w:t xml:space="preserve"> </w:t>
      </w:r>
      <w:r>
        <w:t xml:space="preserve">McKenzie Direct, </w:t>
      </w:r>
      <w:r w:rsidRPr="009B70DF">
        <w:t>Exhibit No. ___ (</w:t>
      </w:r>
      <w:r>
        <w:t>AMM</w:t>
      </w:r>
      <w:r w:rsidRPr="009B70DF">
        <w:t>-1T)</w:t>
      </w:r>
      <w:r>
        <w:t>, at 38:6-8</w:t>
      </w:r>
      <w:r w:rsidRPr="009B70DF">
        <w:t>.</w:t>
      </w:r>
    </w:p>
  </w:footnote>
  <w:footnote w:id="59">
    <w:p w14:paraId="34EA9CE4" w14:textId="6FF9726F" w:rsidR="00C455AB" w:rsidRDefault="00C455AB">
      <w:pPr>
        <w:pStyle w:val="FootnoteText"/>
      </w:pPr>
      <w:r>
        <w:rPr>
          <w:rStyle w:val="FootnoteReference"/>
        </w:rPr>
        <w:footnoteRef/>
      </w:r>
      <w:r>
        <w:t xml:space="preserve"> Decoupling Policy Statement at ¶ 27.</w:t>
      </w:r>
    </w:p>
  </w:footnote>
  <w:footnote w:id="60">
    <w:p w14:paraId="34EA9CE5" w14:textId="43F9DBF4" w:rsidR="00C455AB" w:rsidRDefault="00C455AB" w:rsidP="00D043A6">
      <w:pPr>
        <w:pStyle w:val="FootnoteText"/>
      </w:pPr>
      <w:r>
        <w:rPr>
          <w:rStyle w:val="FootnoteReference"/>
        </w:rPr>
        <w:footnoteRef/>
      </w:r>
      <w:r>
        <w:t xml:space="preserve"> </w:t>
      </w:r>
      <w:proofErr w:type="spellStart"/>
      <w:r>
        <w:t>Ehrbar</w:t>
      </w:r>
      <w:proofErr w:type="spellEnd"/>
      <w:r>
        <w:t xml:space="preserve"> Direct, Exhibit No. ___ (PDE-1T), at 48:16-18.</w:t>
      </w:r>
    </w:p>
  </w:footnote>
  <w:footnote w:id="61">
    <w:p w14:paraId="114F92B8" w14:textId="38753167" w:rsidR="00C455AB" w:rsidRDefault="00C455AB">
      <w:pPr>
        <w:pStyle w:val="FootnoteText"/>
      </w:pPr>
      <w:r>
        <w:rPr>
          <w:rStyle w:val="FootnoteReference"/>
        </w:rPr>
        <w:footnoteRef/>
      </w:r>
      <w:r>
        <w:t xml:space="preserve"> Avista Corp. SEC Form 10-K (December 31, 2013), at 17.</w:t>
      </w:r>
    </w:p>
  </w:footnote>
  <w:footnote w:id="62">
    <w:p w14:paraId="34EA9CE7" w14:textId="2A454D76" w:rsidR="00C455AB" w:rsidRDefault="00C455AB" w:rsidP="00D043A6">
      <w:pPr>
        <w:pStyle w:val="FootnoteText"/>
      </w:pPr>
      <w:r>
        <w:rPr>
          <w:rStyle w:val="FootnoteReference"/>
        </w:rPr>
        <w:footnoteRef/>
      </w:r>
      <w:r>
        <w:t xml:space="preserve"> Avista Corporation SEC Form 10-K</w:t>
      </w:r>
      <w:r w:rsidR="00B734EF">
        <w:t xml:space="preserve"> (December 31, 2013)</w:t>
      </w:r>
      <w:r>
        <w:t>, Exhibit 12.</w:t>
      </w:r>
    </w:p>
  </w:footnote>
  <w:footnote w:id="63">
    <w:p w14:paraId="34EA9CE8" w14:textId="063C1DDC" w:rsidR="00C455AB" w:rsidRDefault="00C455AB" w:rsidP="00D043A6">
      <w:pPr>
        <w:pStyle w:val="FootnoteText"/>
      </w:pPr>
      <w:r>
        <w:rPr>
          <w:rStyle w:val="FootnoteReference"/>
        </w:rPr>
        <w:footnoteRef/>
      </w:r>
      <w:r>
        <w:t xml:space="preserve"> </w:t>
      </w:r>
      <w:proofErr w:type="spellStart"/>
      <w:r>
        <w:t>Thies</w:t>
      </w:r>
      <w:proofErr w:type="spellEnd"/>
      <w:r>
        <w:t xml:space="preserve"> Direct, Exhibit No.___</w:t>
      </w:r>
      <w:proofErr w:type="spellStart"/>
      <w:r>
        <w:t>MTT-1T</w:t>
      </w:r>
      <w:proofErr w:type="spellEnd"/>
      <w:r>
        <w:t xml:space="preserve"> at 2:24-25.</w:t>
      </w:r>
    </w:p>
  </w:footnote>
  <w:footnote w:id="64">
    <w:p w14:paraId="554B9025" w14:textId="6AAC89F5" w:rsidR="00C455AB" w:rsidRDefault="00C455AB">
      <w:pPr>
        <w:pStyle w:val="FootnoteText"/>
      </w:pPr>
      <w:r>
        <w:rPr>
          <w:rStyle w:val="FootnoteReference"/>
        </w:rPr>
        <w:footnoteRef/>
      </w:r>
      <w:r>
        <w:t xml:space="preserve"> These margins were also impacted by rate increases in Washington.</w:t>
      </w:r>
    </w:p>
  </w:footnote>
  <w:footnote w:id="65">
    <w:p w14:paraId="54EA68BD" w14:textId="6F75FC08" w:rsidR="00C455AB" w:rsidRDefault="00C455AB">
      <w:pPr>
        <w:pStyle w:val="FootnoteText"/>
      </w:pPr>
      <w:r>
        <w:rPr>
          <w:rStyle w:val="FootnoteReference"/>
        </w:rPr>
        <w:footnoteRef/>
      </w:r>
      <w:r>
        <w:t xml:space="preserve"> Decoupling Policy Statement at ¶ 27.</w:t>
      </w:r>
    </w:p>
  </w:footnote>
  <w:footnote w:id="66">
    <w:p w14:paraId="74C1B14E" w14:textId="1F2BE467" w:rsidR="00C455AB" w:rsidRDefault="00C455AB">
      <w:pPr>
        <w:pStyle w:val="FootnoteText"/>
      </w:pPr>
      <w:r>
        <w:rPr>
          <w:rStyle w:val="FootnoteReference"/>
        </w:rPr>
        <w:footnoteRef/>
      </w:r>
      <w:r>
        <w:t xml:space="preserve"> Decoupling Policy Statement at ¶ 26.</w:t>
      </w:r>
    </w:p>
  </w:footnote>
  <w:footnote w:id="67">
    <w:p w14:paraId="34EA9CE9" w14:textId="77777777" w:rsidR="00C455AB" w:rsidRPr="00A10778" w:rsidRDefault="00C455AB" w:rsidP="00A0224C">
      <w:pPr>
        <w:tabs>
          <w:tab w:val="left" w:pos="720"/>
          <w:tab w:val="left" w:pos="1440"/>
          <w:tab w:val="left" w:pos="9240"/>
        </w:tabs>
        <w:ind w:left="720" w:hanging="720"/>
        <w:rPr>
          <w:sz w:val="20"/>
          <w:szCs w:val="20"/>
        </w:rPr>
      </w:pPr>
      <w:r w:rsidRPr="009B70DF">
        <w:rPr>
          <w:rStyle w:val="FootnoteReference"/>
          <w:sz w:val="20"/>
          <w:szCs w:val="20"/>
        </w:rPr>
        <w:footnoteRef/>
      </w:r>
      <w:r>
        <w:rPr>
          <w:sz w:val="20"/>
          <w:szCs w:val="20"/>
        </w:rPr>
        <w:t xml:space="preserve"> Exhibit No.___ (MTT-2</w:t>
      </w:r>
      <w:r w:rsidRPr="009B70DF">
        <w:rPr>
          <w:sz w:val="20"/>
          <w:szCs w:val="20"/>
        </w:rPr>
        <w:t>)</w:t>
      </w:r>
      <w:r>
        <w:rPr>
          <w:sz w:val="20"/>
          <w:szCs w:val="20"/>
        </w:rPr>
        <w:t xml:space="preserve"> at</w:t>
      </w:r>
      <w:r w:rsidRPr="009B70DF">
        <w:rPr>
          <w:sz w:val="20"/>
          <w:szCs w:val="20"/>
        </w:rPr>
        <w:t xml:space="preserve"> </w:t>
      </w:r>
      <w:r>
        <w:rPr>
          <w:sz w:val="20"/>
          <w:szCs w:val="20"/>
        </w:rPr>
        <w:t>2 &amp; 6.</w:t>
      </w:r>
    </w:p>
  </w:footnote>
  <w:footnote w:id="68">
    <w:p w14:paraId="34EA9CEA" w14:textId="497F0889" w:rsidR="00C455AB" w:rsidRPr="009B70DF" w:rsidRDefault="00C455AB">
      <w:pPr>
        <w:pStyle w:val="FootnoteText"/>
      </w:pPr>
      <w:r w:rsidRPr="009B70DF">
        <w:rPr>
          <w:rStyle w:val="FootnoteReference"/>
        </w:rPr>
        <w:footnoteRef/>
      </w:r>
      <w:r>
        <w:t xml:space="preserve"> </w:t>
      </w:r>
      <w:proofErr w:type="spellStart"/>
      <w:r>
        <w:t>Thies</w:t>
      </w:r>
      <w:proofErr w:type="spellEnd"/>
      <w:r>
        <w:t xml:space="preserve"> Direct, Exhibit No___ (MTT-1T), at 10, lines 8-14</w:t>
      </w:r>
      <w:r w:rsidRPr="009B70DF">
        <w:t>.</w:t>
      </w:r>
    </w:p>
  </w:footnote>
  <w:footnote w:id="69">
    <w:p w14:paraId="34EA9CEB" w14:textId="23D7F18D" w:rsidR="00C455AB" w:rsidRPr="009B70DF" w:rsidRDefault="00C455AB">
      <w:pPr>
        <w:pStyle w:val="FootnoteText"/>
      </w:pPr>
      <w:r w:rsidRPr="009B70DF">
        <w:rPr>
          <w:rStyle w:val="FootnoteReference"/>
        </w:rPr>
        <w:footnoteRef/>
      </w:r>
      <w:r w:rsidRPr="009B70DF">
        <w:t xml:space="preserve"> </w:t>
      </w:r>
      <w:r>
        <w:t>McKenzie Direct, Exhibit No.___ (AMM-1T), at 8-10.</w:t>
      </w:r>
    </w:p>
  </w:footnote>
  <w:footnote w:id="70">
    <w:p w14:paraId="34EA9CEC" w14:textId="44614066" w:rsidR="00C455AB" w:rsidRDefault="00C455AB">
      <w:pPr>
        <w:pStyle w:val="FootnoteText"/>
      </w:pPr>
      <w:r>
        <w:rPr>
          <w:rStyle w:val="FootnoteReference"/>
        </w:rPr>
        <w:footnoteRef/>
      </w:r>
      <w:r>
        <w:t xml:space="preserve"> </w:t>
      </w:r>
      <w:r w:rsidR="00444DF2">
        <w:t xml:space="preserve"> </w:t>
      </w:r>
      <w:bookmarkStart w:id="0" w:name="_GoBack"/>
      <w:bookmarkEnd w:id="0"/>
      <w:r w:rsidR="007B2327">
        <w:t xml:space="preserve"> Direct, </w:t>
      </w:r>
      <w:r w:rsidRPr="009B70DF">
        <w:t xml:space="preserve">Exhibit </w:t>
      </w:r>
      <w:r>
        <w:t xml:space="preserve"> No. </w:t>
      </w:r>
      <w:r w:rsidRPr="009B70DF">
        <w:t>___ (MTT-1T)</w:t>
      </w:r>
      <w:r>
        <w:t xml:space="preserve"> at 10:1-14.</w:t>
      </w:r>
    </w:p>
  </w:footnote>
  <w:footnote w:id="71">
    <w:p w14:paraId="34EA9CED" w14:textId="6499550A" w:rsidR="00C455AB" w:rsidRDefault="00C455AB">
      <w:pPr>
        <w:pStyle w:val="FootnoteText"/>
      </w:pPr>
      <w:r>
        <w:rPr>
          <w:rStyle w:val="FootnoteReference"/>
        </w:rPr>
        <w:footnoteRef/>
      </w:r>
      <w:r w:rsidRPr="00816D6A">
        <w:rPr>
          <w:i/>
        </w:rPr>
        <w:t>Id</w:t>
      </w:r>
      <w:r w:rsidR="007B2327">
        <w:rPr>
          <w:i/>
        </w:rPr>
        <w:t>.</w:t>
      </w:r>
      <w:r>
        <w:t>,</w:t>
      </w:r>
      <w:r w:rsidRPr="009B70DF">
        <w:t xml:space="preserve"> </w:t>
      </w:r>
      <w:r>
        <w:t>Illustration 5.</w:t>
      </w:r>
    </w:p>
  </w:footnote>
  <w:footnote w:id="72">
    <w:p w14:paraId="34EA9CEE" w14:textId="69605059" w:rsidR="00C455AB" w:rsidRPr="009B70DF" w:rsidRDefault="00C455AB">
      <w:pPr>
        <w:pStyle w:val="FootnoteText"/>
      </w:pPr>
      <w:r w:rsidRPr="009B70DF">
        <w:rPr>
          <w:rStyle w:val="FootnoteReference"/>
        </w:rPr>
        <w:footnoteRef/>
      </w:r>
      <w:r w:rsidRPr="009B70DF">
        <w:t xml:space="preserve"> </w:t>
      </w:r>
      <w:r w:rsidRPr="007B2327">
        <w:rPr>
          <w:i/>
        </w:rPr>
        <w:t>Id</w:t>
      </w:r>
      <w:r w:rsidR="007B2327">
        <w:t>.,</w:t>
      </w:r>
      <w:r w:rsidRPr="009B70DF">
        <w:t xml:space="preserve"> at 2</w:t>
      </w:r>
      <w:r>
        <w:t>:8-14</w:t>
      </w:r>
      <w:r w:rsidRPr="009B70DF">
        <w:t>.</w:t>
      </w:r>
    </w:p>
  </w:footnote>
  <w:footnote w:id="73">
    <w:p w14:paraId="34EA9CEF" w14:textId="3CFE2B2E" w:rsidR="00C455AB" w:rsidRDefault="00C455AB">
      <w:pPr>
        <w:pStyle w:val="FootnoteText"/>
      </w:pPr>
      <w:r>
        <w:rPr>
          <w:rStyle w:val="FootnoteReference"/>
        </w:rPr>
        <w:footnoteRef/>
      </w:r>
      <w:r>
        <w:t xml:space="preserve"> </w:t>
      </w:r>
      <w:r w:rsidRPr="007B2327">
        <w:rPr>
          <w:i/>
        </w:rPr>
        <w:t>Id</w:t>
      </w:r>
      <w:r w:rsidR="007B2327">
        <w:t>.,</w:t>
      </w:r>
      <w:r>
        <w:t xml:space="preserve"> at 14:13-14</w:t>
      </w:r>
      <w:r w:rsidR="007B2327">
        <w:t>.</w:t>
      </w:r>
    </w:p>
  </w:footnote>
  <w:footnote w:id="74">
    <w:p w14:paraId="34EA9CF0" w14:textId="7CB70891" w:rsidR="00C455AB" w:rsidRDefault="00C455AB">
      <w:pPr>
        <w:pStyle w:val="FootnoteText"/>
      </w:pPr>
      <w:r>
        <w:rPr>
          <w:rStyle w:val="FootnoteReference"/>
        </w:rPr>
        <w:footnoteRef/>
      </w:r>
      <w:r>
        <w:t xml:space="preserve"> </w:t>
      </w:r>
      <w:r w:rsidR="007B2327">
        <w:t xml:space="preserve">McKenzie Direct, </w:t>
      </w:r>
      <w:r>
        <w:t xml:space="preserve">Exhibit No. ____ (AMM-1T) </w:t>
      </w:r>
      <w:r w:rsidR="007B2327">
        <w:t xml:space="preserve">at </w:t>
      </w:r>
      <w:r>
        <w:t>10:12-26.</w:t>
      </w:r>
    </w:p>
  </w:footnote>
  <w:footnote w:id="75">
    <w:p w14:paraId="34EA9CF1" w14:textId="59EEAE56" w:rsidR="00C455AB" w:rsidRDefault="00C455AB">
      <w:pPr>
        <w:pStyle w:val="FootnoteText"/>
      </w:pPr>
      <w:r>
        <w:rPr>
          <w:rStyle w:val="FootnoteReference"/>
        </w:rPr>
        <w:footnoteRef/>
      </w:r>
      <w:r>
        <w:t xml:space="preserve"> </w:t>
      </w:r>
      <w:r w:rsidR="007B2327">
        <w:t xml:space="preserve">McKenzie Direct, </w:t>
      </w:r>
      <w:r>
        <w:t>Exhibit No.___ (AMM-6)</w:t>
      </w:r>
      <w:r w:rsidR="007B2327">
        <w:t>,</w:t>
      </w:r>
      <w:r>
        <w:t xml:space="preserve"> at 3, line “Average”, column (a): </w:t>
      </w:r>
      <w:proofErr w:type="spellStart"/>
      <w:r>
        <w:t>br+sv</w:t>
      </w:r>
      <w:proofErr w:type="spellEnd"/>
      <w:r>
        <w:t xml:space="preserve"> growth.</w:t>
      </w:r>
    </w:p>
  </w:footnote>
  <w:footnote w:id="76">
    <w:p w14:paraId="34EA9CF2" w14:textId="628DFA96" w:rsidR="00C455AB" w:rsidRDefault="00C455AB">
      <w:pPr>
        <w:pStyle w:val="FootnoteText"/>
      </w:pPr>
      <w:r>
        <w:rPr>
          <w:rStyle w:val="FootnoteReference"/>
        </w:rPr>
        <w:footnoteRef/>
      </w:r>
      <w:r>
        <w:t xml:space="preserve"> Exhibit No.___ (</w:t>
      </w:r>
      <w:r w:rsidRPr="009B70DF">
        <w:t>A</w:t>
      </w:r>
      <w:r>
        <w:t>MM-6</w:t>
      </w:r>
      <w:r w:rsidRPr="009B70DF">
        <w:t>)</w:t>
      </w:r>
      <w:r>
        <w:t>,</w:t>
      </w:r>
      <w:r w:rsidRPr="009B70DF">
        <w:t xml:space="preserve"> at </w:t>
      </w:r>
      <w:r>
        <w:t>3</w:t>
      </w:r>
      <w:r w:rsidR="007B2327">
        <w:t>,</w:t>
      </w:r>
      <w:r>
        <w:t xml:space="preserve"> line 13</w:t>
      </w:r>
      <w:r w:rsidR="007B2327">
        <w:t>,</w:t>
      </w:r>
      <w:r>
        <w:t xml:space="preserve"> col</w:t>
      </w:r>
      <w:r w:rsidR="007B2327">
        <w:t xml:space="preserve">umn </w:t>
      </w:r>
      <w:r>
        <w:t xml:space="preserve">(a) IBES &amp; 18 </w:t>
      </w:r>
      <w:r w:rsidR="007B2327">
        <w:t>column</w:t>
      </w:r>
      <w:r>
        <w:t xml:space="preserve"> (a) V Line</w:t>
      </w:r>
      <w:r w:rsidR="007B2327">
        <w:t>,</w:t>
      </w:r>
      <w:r>
        <w:t xml:space="preserve"> respectively.</w:t>
      </w:r>
    </w:p>
  </w:footnote>
  <w:footnote w:id="77">
    <w:p w14:paraId="34EA9CF3" w14:textId="2630179F" w:rsidR="00C455AB" w:rsidRPr="009B70DF" w:rsidRDefault="00C455AB" w:rsidP="00F34393">
      <w:pPr>
        <w:pStyle w:val="FootnoteText"/>
        <w:rPr>
          <w:i/>
        </w:rPr>
      </w:pPr>
      <w:r w:rsidRPr="009B70DF">
        <w:rPr>
          <w:rStyle w:val="FootnoteReference"/>
        </w:rPr>
        <w:footnoteRef/>
      </w:r>
      <w:r>
        <w:t xml:space="preserve"> Exhibit No.___ (</w:t>
      </w:r>
      <w:r w:rsidRPr="009B70DF">
        <w:t>A</w:t>
      </w:r>
      <w:r>
        <w:t>MM</w:t>
      </w:r>
      <w:r w:rsidRPr="009B70DF">
        <w:t>-3)</w:t>
      </w:r>
      <w:r>
        <w:t>,</w:t>
      </w:r>
      <w:r w:rsidRPr="009B70DF">
        <w:t xml:space="preserve"> at </w:t>
      </w:r>
      <w:r>
        <w:t>22:15-1</w:t>
      </w:r>
      <w:r w:rsidR="00B734EF">
        <w:t>7.</w:t>
      </w:r>
    </w:p>
  </w:footnote>
  <w:footnote w:id="78">
    <w:p w14:paraId="34EA9CF4" w14:textId="77777777" w:rsidR="00C455AB" w:rsidRPr="009B70DF" w:rsidRDefault="00C455AB">
      <w:pPr>
        <w:pStyle w:val="FootnoteText"/>
      </w:pPr>
      <w:r w:rsidRPr="009B70DF">
        <w:rPr>
          <w:rStyle w:val="FootnoteReference"/>
        </w:rPr>
        <w:footnoteRef/>
      </w:r>
      <w:r w:rsidRPr="009B70DF">
        <w:t xml:space="preserve"> </w:t>
      </w:r>
      <w:r>
        <w:t>Mr. McKenzie</w:t>
      </w:r>
      <w:r w:rsidRPr="009B70DF">
        <w:t xml:space="preserve"> eliminated each point estimate enclosed in a box on Exhibit </w:t>
      </w:r>
      <w:r>
        <w:t>No.</w:t>
      </w:r>
      <w:r w:rsidRPr="009B70DF">
        <w:t>___ (</w:t>
      </w:r>
      <w:r>
        <w:t>AMM-6</w:t>
      </w:r>
      <w:r w:rsidRPr="009B70DF">
        <w:t>)</w:t>
      </w:r>
      <w:r>
        <w:t>,</w:t>
      </w:r>
      <w:r w:rsidRPr="009B70DF">
        <w:t xml:space="preserve"> at 3.</w:t>
      </w:r>
    </w:p>
  </w:footnote>
  <w:footnote w:id="79">
    <w:p w14:paraId="34EA9CF5" w14:textId="77777777" w:rsidR="00C455AB" w:rsidRDefault="00C455AB">
      <w:pPr>
        <w:pStyle w:val="FootnoteText"/>
      </w:pPr>
      <w:r>
        <w:rPr>
          <w:rStyle w:val="FootnoteReference"/>
        </w:rPr>
        <w:footnoteRef/>
      </w:r>
      <w:r>
        <w:t xml:space="preserve"> </w:t>
      </w:r>
      <w:r w:rsidRPr="00816D6A">
        <w:rPr>
          <w:i/>
        </w:rPr>
        <w:t>Id</w:t>
      </w:r>
      <w:r>
        <w:t>.</w:t>
      </w:r>
    </w:p>
  </w:footnote>
  <w:footnote w:id="80">
    <w:p w14:paraId="34EA9CF6" w14:textId="77777777" w:rsidR="00C455AB" w:rsidRPr="009B70DF" w:rsidRDefault="00C455AB">
      <w:pPr>
        <w:pStyle w:val="FootnoteText"/>
      </w:pPr>
      <w:r w:rsidRPr="009B70DF">
        <w:rPr>
          <w:rStyle w:val="FootnoteReference"/>
        </w:rPr>
        <w:footnoteRef/>
      </w:r>
      <w:r w:rsidRPr="009B70DF">
        <w:t xml:space="preserve"> Exhibit </w:t>
      </w:r>
      <w:r>
        <w:t>No</w:t>
      </w:r>
      <w:r w:rsidRPr="009B70DF">
        <w:t>___ (</w:t>
      </w:r>
      <w:r>
        <w:t>AMM</w:t>
      </w:r>
      <w:r w:rsidRPr="009B70DF">
        <w:t>-3)</w:t>
      </w:r>
      <w:r>
        <w:t>,</w:t>
      </w:r>
      <w:r w:rsidRPr="009B70DF">
        <w:t xml:space="preserve"> at </w:t>
      </w:r>
      <w:r>
        <w:t>13-19.</w:t>
      </w:r>
    </w:p>
  </w:footnote>
  <w:footnote w:id="81">
    <w:p w14:paraId="34EA9CF7" w14:textId="77777777" w:rsidR="00C455AB" w:rsidRDefault="00C455AB">
      <w:pPr>
        <w:pStyle w:val="FootnoteText"/>
      </w:pPr>
      <w:r>
        <w:rPr>
          <w:rStyle w:val="FootnoteReference"/>
        </w:rPr>
        <w:footnoteRef/>
      </w:r>
      <w:r w:rsidRPr="00073F46">
        <w:t xml:space="preserve"> (b*r</w:t>
      </w:r>
      <w:r w:rsidRPr="00816D6A">
        <w:t xml:space="preserve"> </w:t>
      </w:r>
      <w:r w:rsidRPr="00073F46">
        <w:t xml:space="preserve">= g) or  0.40 * 15.25% </w:t>
      </w:r>
      <w:r w:rsidRPr="00816D6A">
        <w:t xml:space="preserve"> =  6.1%.</w:t>
      </w:r>
    </w:p>
  </w:footnote>
  <w:footnote w:id="82">
    <w:p w14:paraId="34EA9CF8" w14:textId="7EB71321" w:rsidR="00C455AB" w:rsidRDefault="00C455AB">
      <w:pPr>
        <w:pStyle w:val="FootnoteText"/>
      </w:pPr>
      <w:r>
        <w:rPr>
          <w:rStyle w:val="FootnoteReference"/>
        </w:rPr>
        <w:footnoteRef/>
      </w:r>
      <w:r>
        <w:t xml:space="preserve"> </w:t>
      </w:r>
      <w:r w:rsidRPr="009B70DF">
        <w:t xml:space="preserve">Exhibit </w:t>
      </w:r>
      <w:r>
        <w:t>No.</w:t>
      </w:r>
      <w:r w:rsidRPr="009B70DF">
        <w:t>___ (</w:t>
      </w:r>
      <w:r>
        <w:t>AMM-4</w:t>
      </w:r>
      <w:r w:rsidRPr="009B70DF">
        <w:t>)</w:t>
      </w:r>
      <w:r w:rsidR="007B2327">
        <w:t>,</w:t>
      </w:r>
      <w:r>
        <w:t xml:space="preserve"> </w:t>
      </w:r>
      <w:r w:rsidR="007B2327">
        <w:t xml:space="preserve">at </w:t>
      </w:r>
      <w:r>
        <w:t>1.</w:t>
      </w:r>
    </w:p>
  </w:footnote>
  <w:footnote w:id="83">
    <w:p w14:paraId="34EA9CF9" w14:textId="77777777" w:rsidR="00C455AB" w:rsidRDefault="00C455AB">
      <w:pPr>
        <w:pStyle w:val="FootnoteText"/>
      </w:pPr>
      <w:r>
        <w:rPr>
          <w:rStyle w:val="FootnoteReference"/>
        </w:rPr>
        <w:footnoteRef/>
      </w:r>
      <w:r>
        <w:t xml:space="preserve"> Exhibit No.___(KLE-5).</w:t>
      </w:r>
    </w:p>
  </w:footnote>
  <w:footnote w:id="84">
    <w:p w14:paraId="34EA9CFA" w14:textId="7E8F19C7" w:rsidR="00C455AB" w:rsidRDefault="00C455AB">
      <w:pPr>
        <w:pStyle w:val="FootnoteText"/>
      </w:pPr>
      <w:r>
        <w:rPr>
          <w:rStyle w:val="FootnoteReference"/>
        </w:rPr>
        <w:footnoteRef/>
      </w:r>
      <w:r>
        <w:t xml:space="preserve"> Exhibit Nos.___ (AMM-8) and (AMM-10), </w:t>
      </w:r>
      <w:r w:rsidR="007B2327">
        <w:t>at</w:t>
      </w:r>
      <w:r>
        <w:t xml:space="preserve"> 1, sum of col</w:t>
      </w:r>
      <w:r w:rsidR="007B2327">
        <w:t>umns</w:t>
      </w:r>
      <w:r>
        <w:t>. (a) &amp; (b).</w:t>
      </w:r>
    </w:p>
  </w:footnote>
  <w:footnote w:id="85">
    <w:p w14:paraId="34EA9CFB" w14:textId="4F6A3F14" w:rsidR="00C455AB" w:rsidRDefault="00C455AB">
      <w:pPr>
        <w:pStyle w:val="FootnoteText"/>
      </w:pPr>
      <w:r>
        <w:rPr>
          <w:rStyle w:val="FootnoteReference"/>
        </w:rPr>
        <w:footnoteRef/>
      </w:r>
      <w:r>
        <w:t xml:space="preserve"> </w:t>
      </w:r>
      <w:r w:rsidRPr="00816D6A">
        <w:rPr>
          <w:i/>
        </w:rPr>
        <w:t>Id</w:t>
      </w:r>
      <w:r w:rsidR="007B2327">
        <w:t>.,</w:t>
      </w:r>
      <w:r>
        <w:t xml:space="preserve"> </w:t>
      </w:r>
      <w:r w:rsidR="007B2327">
        <w:t>at</w:t>
      </w:r>
      <w:r>
        <w:t xml:space="preserve"> 2</w:t>
      </w:r>
      <w:r w:rsidR="007B2327">
        <w:t>,</w:t>
      </w:r>
      <w:r>
        <w:t xml:space="preserve"> col</w:t>
      </w:r>
      <w:r w:rsidR="007B2327">
        <w:t>umn</w:t>
      </w:r>
      <w:r>
        <w:t xml:space="preserve"> (c).</w:t>
      </w:r>
    </w:p>
  </w:footnote>
  <w:footnote w:id="86">
    <w:p w14:paraId="34EA9CFC" w14:textId="1EC2E9AA" w:rsidR="00C455AB" w:rsidRDefault="00C455AB">
      <w:pPr>
        <w:pStyle w:val="FootnoteText"/>
      </w:pPr>
      <w:r>
        <w:rPr>
          <w:rStyle w:val="FootnoteReference"/>
        </w:rPr>
        <w:footnoteRef/>
      </w:r>
      <w:r>
        <w:t xml:space="preserve"> </w:t>
      </w:r>
      <w:r w:rsidRPr="00816D6A">
        <w:rPr>
          <w:i/>
        </w:rPr>
        <w:t>Id</w:t>
      </w:r>
      <w:r w:rsidR="007B2327">
        <w:rPr>
          <w:i/>
        </w:rPr>
        <w:t>.,</w:t>
      </w:r>
      <w:r>
        <w:t xml:space="preserve"> col</w:t>
      </w:r>
      <w:r w:rsidR="007B2327">
        <w:t>umn</w:t>
      </w:r>
      <w:r>
        <w:t xml:space="preserve"> </w:t>
      </w:r>
      <w:r w:rsidR="007B2327">
        <w:t>l</w:t>
      </w:r>
      <w:r>
        <w:t xml:space="preserve">abeled “Size </w:t>
      </w:r>
      <w:r w:rsidR="007B2327">
        <w:t>A</w:t>
      </w:r>
      <w:r>
        <w:t>djusted (k)”.</w:t>
      </w:r>
    </w:p>
  </w:footnote>
  <w:footnote w:id="87">
    <w:p w14:paraId="34EA9CFD" w14:textId="0A00367E" w:rsidR="00C455AB" w:rsidRDefault="00C455AB">
      <w:pPr>
        <w:pStyle w:val="FootnoteText"/>
      </w:pPr>
      <w:r>
        <w:rPr>
          <w:rStyle w:val="FootnoteReference"/>
        </w:rPr>
        <w:footnoteRef/>
      </w:r>
      <w:r>
        <w:t xml:space="preserve"> Exhibit No.___(AMM-4), </w:t>
      </w:r>
      <w:r w:rsidR="007B2327">
        <w:t xml:space="preserve">at </w:t>
      </w:r>
      <w:r>
        <w:t xml:space="preserve">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548"/>
    <w:multiLevelType w:val="hybridMultilevel"/>
    <w:tmpl w:val="E63C1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D111C"/>
    <w:multiLevelType w:val="hybridMultilevel"/>
    <w:tmpl w:val="3A34653E"/>
    <w:lvl w:ilvl="0" w:tplc="289072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4A6DB2"/>
    <w:multiLevelType w:val="hybridMultilevel"/>
    <w:tmpl w:val="B330A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724D9"/>
    <w:multiLevelType w:val="hybridMultilevel"/>
    <w:tmpl w:val="02AAB6D4"/>
    <w:lvl w:ilvl="0" w:tplc="9CE6BF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47630C"/>
    <w:multiLevelType w:val="hybridMultilevel"/>
    <w:tmpl w:val="5FB2C358"/>
    <w:lvl w:ilvl="0" w:tplc="04090015">
      <w:start w:val="17"/>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466BD0"/>
    <w:multiLevelType w:val="hybridMultilevel"/>
    <w:tmpl w:val="55A07174"/>
    <w:lvl w:ilvl="0" w:tplc="1DB89CE4">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A072C7"/>
    <w:multiLevelType w:val="hybridMultilevel"/>
    <w:tmpl w:val="060C5BF6"/>
    <w:lvl w:ilvl="0" w:tplc="A0BAA9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4A3D19"/>
    <w:multiLevelType w:val="hybridMultilevel"/>
    <w:tmpl w:val="0C0C9554"/>
    <w:lvl w:ilvl="0" w:tplc="016AC1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1856C7"/>
    <w:multiLevelType w:val="hybridMultilevel"/>
    <w:tmpl w:val="CDC6B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B72E51"/>
    <w:multiLevelType w:val="hybridMultilevel"/>
    <w:tmpl w:val="46F2229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15ED5CF7"/>
    <w:multiLevelType w:val="hybridMultilevel"/>
    <w:tmpl w:val="0CDE191E"/>
    <w:lvl w:ilvl="0" w:tplc="66A082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C548AF"/>
    <w:multiLevelType w:val="hybridMultilevel"/>
    <w:tmpl w:val="F078CE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984A9A"/>
    <w:multiLevelType w:val="hybridMultilevel"/>
    <w:tmpl w:val="5BE83B4A"/>
    <w:lvl w:ilvl="0" w:tplc="F000EA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7A53E6B"/>
    <w:multiLevelType w:val="hybridMultilevel"/>
    <w:tmpl w:val="9BBE34C6"/>
    <w:lvl w:ilvl="0" w:tplc="BD34E804">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EA0485"/>
    <w:multiLevelType w:val="hybridMultilevel"/>
    <w:tmpl w:val="6BB8DA44"/>
    <w:lvl w:ilvl="0" w:tplc="482C4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6E74A6"/>
    <w:multiLevelType w:val="hybridMultilevel"/>
    <w:tmpl w:val="B2F4C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93513B0"/>
    <w:multiLevelType w:val="hybridMultilevel"/>
    <w:tmpl w:val="C5B093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466976"/>
    <w:multiLevelType w:val="hybridMultilevel"/>
    <w:tmpl w:val="7DEC5560"/>
    <w:lvl w:ilvl="0" w:tplc="B026509A">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8335D7"/>
    <w:multiLevelType w:val="hybridMultilevel"/>
    <w:tmpl w:val="BA68B2B6"/>
    <w:lvl w:ilvl="0" w:tplc="666CA3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840C1D"/>
    <w:multiLevelType w:val="hybridMultilevel"/>
    <w:tmpl w:val="CD84E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6940A0"/>
    <w:multiLevelType w:val="hybridMultilevel"/>
    <w:tmpl w:val="D2384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BA14DA"/>
    <w:multiLevelType w:val="hybridMultilevel"/>
    <w:tmpl w:val="3B86D5FC"/>
    <w:lvl w:ilvl="0" w:tplc="554C97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8927225"/>
    <w:multiLevelType w:val="hybridMultilevel"/>
    <w:tmpl w:val="1EACF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330B14"/>
    <w:multiLevelType w:val="hybridMultilevel"/>
    <w:tmpl w:val="5F9C4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53603F"/>
    <w:multiLevelType w:val="hybridMultilevel"/>
    <w:tmpl w:val="1F26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B16801"/>
    <w:multiLevelType w:val="hybridMultilevel"/>
    <w:tmpl w:val="F37EE7FC"/>
    <w:lvl w:ilvl="0" w:tplc="9E5E19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31427E"/>
    <w:multiLevelType w:val="hybridMultilevel"/>
    <w:tmpl w:val="59BCE844"/>
    <w:lvl w:ilvl="0" w:tplc="7E306F82">
      <w:start w:val="17"/>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88E21E0"/>
    <w:multiLevelType w:val="hybridMultilevel"/>
    <w:tmpl w:val="1A8CC2B4"/>
    <w:lvl w:ilvl="0" w:tplc="D1CE49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C2F6F42"/>
    <w:multiLevelType w:val="hybridMultilevel"/>
    <w:tmpl w:val="87E60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8447D3"/>
    <w:multiLevelType w:val="hybridMultilevel"/>
    <w:tmpl w:val="46C8F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3C7DA4"/>
    <w:multiLevelType w:val="hybridMultilevel"/>
    <w:tmpl w:val="1F044DC0"/>
    <w:lvl w:ilvl="0" w:tplc="A3D80214">
      <w:start w:val="17"/>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54B456A9"/>
    <w:multiLevelType w:val="hybridMultilevel"/>
    <w:tmpl w:val="BEDA52B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FB0287"/>
    <w:multiLevelType w:val="hybridMultilevel"/>
    <w:tmpl w:val="27D2F10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nsid w:val="5D46024C"/>
    <w:multiLevelType w:val="hybridMultilevel"/>
    <w:tmpl w:val="7C5E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16244F"/>
    <w:multiLevelType w:val="hybridMultilevel"/>
    <w:tmpl w:val="AA18EFE4"/>
    <w:lvl w:ilvl="0" w:tplc="979A5A4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A03FB8"/>
    <w:multiLevelType w:val="hybridMultilevel"/>
    <w:tmpl w:val="B636A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370092"/>
    <w:multiLevelType w:val="hybridMultilevel"/>
    <w:tmpl w:val="D0D618C6"/>
    <w:lvl w:ilvl="0" w:tplc="AAEA68A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67B84AEF"/>
    <w:multiLevelType w:val="hybridMultilevel"/>
    <w:tmpl w:val="0FA4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2D50EF"/>
    <w:multiLevelType w:val="hybridMultilevel"/>
    <w:tmpl w:val="DB5634F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6076A4"/>
    <w:multiLevelType w:val="hybridMultilevel"/>
    <w:tmpl w:val="F6469602"/>
    <w:lvl w:ilvl="0" w:tplc="CBF05FA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1C86284"/>
    <w:multiLevelType w:val="hybridMultilevel"/>
    <w:tmpl w:val="3CC4C0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86D4A8F"/>
    <w:multiLevelType w:val="hybridMultilevel"/>
    <w:tmpl w:val="AB08D658"/>
    <w:lvl w:ilvl="0" w:tplc="EAE60C6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2948B3"/>
    <w:multiLevelType w:val="hybridMultilevel"/>
    <w:tmpl w:val="9FAE6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6C3259"/>
    <w:multiLevelType w:val="hybridMultilevel"/>
    <w:tmpl w:val="83CEE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F075DE"/>
    <w:multiLevelType w:val="hybridMultilevel"/>
    <w:tmpl w:val="9D369544"/>
    <w:lvl w:ilvl="0" w:tplc="06BC9B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FD86156"/>
    <w:multiLevelType w:val="hybridMultilevel"/>
    <w:tmpl w:val="EFCC0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2"/>
  </w:num>
  <w:num w:numId="3">
    <w:abstractNumId w:val="37"/>
  </w:num>
  <w:num w:numId="4">
    <w:abstractNumId w:val="42"/>
  </w:num>
  <w:num w:numId="5">
    <w:abstractNumId w:val="13"/>
  </w:num>
  <w:num w:numId="6">
    <w:abstractNumId w:val="17"/>
  </w:num>
  <w:num w:numId="7">
    <w:abstractNumId w:val="5"/>
  </w:num>
  <w:num w:numId="8">
    <w:abstractNumId w:val="24"/>
  </w:num>
  <w:num w:numId="9">
    <w:abstractNumId w:val="14"/>
  </w:num>
  <w:num w:numId="10">
    <w:abstractNumId w:val="28"/>
  </w:num>
  <w:num w:numId="11">
    <w:abstractNumId w:val="11"/>
  </w:num>
  <w:num w:numId="12">
    <w:abstractNumId w:val="33"/>
  </w:num>
  <w:num w:numId="13">
    <w:abstractNumId w:val="43"/>
  </w:num>
  <w:num w:numId="14">
    <w:abstractNumId w:val="7"/>
  </w:num>
  <w:num w:numId="15">
    <w:abstractNumId w:val="1"/>
  </w:num>
  <w:num w:numId="16">
    <w:abstractNumId w:val="10"/>
  </w:num>
  <w:num w:numId="17">
    <w:abstractNumId w:val="20"/>
  </w:num>
  <w:num w:numId="18">
    <w:abstractNumId w:val="27"/>
  </w:num>
  <w:num w:numId="19">
    <w:abstractNumId w:val="3"/>
  </w:num>
  <w:num w:numId="20">
    <w:abstractNumId w:val="6"/>
  </w:num>
  <w:num w:numId="21">
    <w:abstractNumId w:val="44"/>
  </w:num>
  <w:num w:numId="22">
    <w:abstractNumId w:val="41"/>
  </w:num>
  <w:num w:numId="23">
    <w:abstractNumId w:val="23"/>
  </w:num>
  <w:num w:numId="24">
    <w:abstractNumId w:val="30"/>
  </w:num>
  <w:num w:numId="25">
    <w:abstractNumId w:val="8"/>
  </w:num>
  <w:num w:numId="26">
    <w:abstractNumId w:val="18"/>
  </w:num>
  <w:num w:numId="27">
    <w:abstractNumId w:val="12"/>
  </w:num>
  <w:num w:numId="28">
    <w:abstractNumId w:val="21"/>
  </w:num>
  <w:num w:numId="29">
    <w:abstractNumId w:val="16"/>
  </w:num>
  <w:num w:numId="30">
    <w:abstractNumId w:val="25"/>
  </w:num>
  <w:num w:numId="31">
    <w:abstractNumId w:val="29"/>
  </w:num>
  <w:num w:numId="32">
    <w:abstractNumId w:val="31"/>
  </w:num>
  <w:num w:numId="33">
    <w:abstractNumId w:val="4"/>
  </w:num>
  <w:num w:numId="34">
    <w:abstractNumId w:val="45"/>
  </w:num>
  <w:num w:numId="35">
    <w:abstractNumId w:val="22"/>
  </w:num>
  <w:num w:numId="36">
    <w:abstractNumId w:val="39"/>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5"/>
  </w:num>
  <w:num w:numId="42">
    <w:abstractNumId w:val="2"/>
  </w:num>
  <w:num w:numId="43">
    <w:abstractNumId w:val="0"/>
  </w:num>
  <w:num w:numId="44">
    <w:abstractNumId w:val="9"/>
  </w:num>
  <w:num w:numId="45">
    <w:abstractNumId w:val="34"/>
  </w:num>
  <w:num w:numId="46">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16C"/>
    <w:rsid w:val="000005A4"/>
    <w:rsid w:val="00000F4D"/>
    <w:rsid w:val="00001FE2"/>
    <w:rsid w:val="0000207D"/>
    <w:rsid w:val="000022CC"/>
    <w:rsid w:val="00002810"/>
    <w:rsid w:val="00002A1F"/>
    <w:rsid w:val="000031E3"/>
    <w:rsid w:val="00003CEB"/>
    <w:rsid w:val="00004DC5"/>
    <w:rsid w:val="00005361"/>
    <w:rsid w:val="00005F33"/>
    <w:rsid w:val="0000650F"/>
    <w:rsid w:val="0000670C"/>
    <w:rsid w:val="00006AE2"/>
    <w:rsid w:val="00006B9D"/>
    <w:rsid w:val="00006BFC"/>
    <w:rsid w:val="0001130B"/>
    <w:rsid w:val="00011879"/>
    <w:rsid w:val="000125A4"/>
    <w:rsid w:val="00012C53"/>
    <w:rsid w:val="000132A9"/>
    <w:rsid w:val="00013DFF"/>
    <w:rsid w:val="00013E75"/>
    <w:rsid w:val="0001444C"/>
    <w:rsid w:val="000146AC"/>
    <w:rsid w:val="00014E26"/>
    <w:rsid w:val="000159D4"/>
    <w:rsid w:val="00015F9D"/>
    <w:rsid w:val="00016EA9"/>
    <w:rsid w:val="00020CCA"/>
    <w:rsid w:val="00021B27"/>
    <w:rsid w:val="00022912"/>
    <w:rsid w:val="00022BF5"/>
    <w:rsid w:val="00022D1B"/>
    <w:rsid w:val="0002420F"/>
    <w:rsid w:val="000248CE"/>
    <w:rsid w:val="00024B1F"/>
    <w:rsid w:val="00024B48"/>
    <w:rsid w:val="00024C25"/>
    <w:rsid w:val="0002576B"/>
    <w:rsid w:val="00026DC1"/>
    <w:rsid w:val="000302FD"/>
    <w:rsid w:val="00030D66"/>
    <w:rsid w:val="00031BF8"/>
    <w:rsid w:val="00032172"/>
    <w:rsid w:val="000325EE"/>
    <w:rsid w:val="00032E71"/>
    <w:rsid w:val="0003332A"/>
    <w:rsid w:val="00034475"/>
    <w:rsid w:val="000353A4"/>
    <w:rsid w:val="00035AE6"/>
    <w:rsid w:val="00036B59"/>
    <w:rsid w:val="00036C19"/>
    <w:rsid w:val="000371AF"/>
    <w:rsid w:val="00040BDE"/>
    <w:rsid w:val="00040D3B"/>
    <w:rsid w:val="000413B0"/>
    <w:rsid w:val="00041B4F"/>
    <w:rsid w:val="000432B3"/>
    <w:rsid w:val="00045081"/>
    <w:rsid w:val="00045683"/>
    <w:rsid w:val="00045852"/>
    <w:rsid w:val="00045AA1"/>
    <w:rsid w:val="00046AC7"/>
    <w:rsid w:val="00047992"/>
    <w:rsid w:val="00047D47"/>
    <w:rsid w:val="00047E3E"/>
    <w:rsid w:val="00050F23"/>
    <w:rsid w:val="000519C7"/>
    <w:rsid w:val="0005258F"/>
    <w:rsid w:val="00052B88"/>
    <w:rsid w:val="00053D68"/>
    <w:rsid w:val="00054233"/>
    <w:rsid w:val="00054C7A"/>
    <w:rsid w:val="00054F2D"/>
    <w:rsid w:val="00055A72"/>
    <w:rsid w:val="0005749A"/>
    <w:rsid w:val="000578EB"/>
    <w:rsid w:val="00057CCD"/>
    <w:rsid w:val="00057D2C"/>
    <w:rsid w:val="00060719"/>
    <w:rsid w:val="00060B17"/>
    <w:rsid w:val="00061F19"/>
    <w:rsid w:val="000629F1"/>
    <w:rsid w:val="000631E4"/>
    <w:rsid w:val="00063467"/>
    <w:rsid w:val="000634DD"/>
    <w:rsid w:val="00064184"/>
    <w:rsid w:val="00064532"/>
    <w:rsid w:val="00064607"/>
    <w:rsid w:val="000646B8"/>
    <w:rsid w:val="00064CF3"/>
    <w:rsid w:val="00065A35"/>
    <w:rsid w:val="000664EE"/>
    <w:rsid w:val="00066809"/>
    <w:rsid w:val="000673F9"/>
    <w:rsid w:val="00067784"/>
    <w:rsid w:val="00067F09"/>
    <w:rsid w:val="00070096"/>
    <w:rsid w:val="00070E10"/>
    <w:rsid w:val="000710C6"/>
    <w:rsid w:val="0007132B"/>
    <w:rsid w:val="00071615"/>
    <w:rsid w:val="000719EF"/>
    <w:rsid w:val="00071EAF"/>
    <w:rsid w:val="000734B1"/>
    <w:rsid w:val="00073F46"/>
    <w:rsid w:val="000744E0"/>
    <w:rsid w:val="00076120"/>
    <w:rsid w:val="0007661C"/>
    <w:rsid w:val="00076781"/>
    <w:rsid w:val="0007721D"/>
    <w:rsid w:val="00077499"/>
    <w:rsid w:val="00077575"/>
    <w:rsid w:val="00077A46"/>
    <w:rsid w:val="000804C1"/>
    <w:rsid w:val="00080ACB"/>
    <w:rsid w:val="000825F7"/>
    <w:rsid w:val="00082766"/>
    <w:rsid w:val="00082AE8"/>
    <w:rsid w:val="00083351"/>
    <w:rsid w:val="00083C6E"/>
    <w:rsid w:val="0008434E"/>
    <w:rsid w:val="0008512B"/>
    <w:rsid w:val="00085235"/>
    <w:rsid w:val="00085EB7"/>
    <w:rsid w:val="000865E5"/>
    <w:rsid w:val="00087359"/>
    <w:rsid w:val="00087704"/>
    <w:rsid w:val="00087BE3"/>
    <w:rsid w:val="000900C9"/>
    <w:rsid w:val="00090400"/>
    <w:rsid w:val="0009103A"/>
    <w:rsid w:val="0009199E"/>
    <w:rsid w:val="000931CB"/>
    <w:rsid w:val="00093972"/>
    <w:rsid w:val="00093D60"/>
    <w:rsid w:val="00093E1F"/>
    <w:rsid w:val="00094B5F"/>
    <w:rsid w:val="000950BB"/>
    <w:rsid w:val="00095C1A"/>
    <w:rsid w:val="00095CAD"/>
    <w:rsid w:val="000964E3"/>
    <w:rsid w:val="00096611"/>
    <w:rsid w:val="00096F67"/>
    <w:rsid w:val="00097107"/>
    <w:rsid w:val="000971DB"/>
    <w:rsid w:val="000A06DC"/>
    <w:rsid w:val="000A13EF"/>
    <w:rsid w:val="000A1D6B"/>
    <w:rsid w:val="000A24C4"/>
    <w:rsid w:val="000A27F3"/>
    <w:rsid w:val="000A2FD0"/>
    <w:rsid w:val="000A3611"/>
    <w:rsid w:val="000A3918"/>
    <w:rsid w:val="000A406E"/>
    <w:rsid w:val="000A4196"/>
    <w:rsid w:val="000A5267"/>
    <w:rsid w:val="000A582A"/>
    <w:rsid w:val="000A62DA"/>
    <w:rsid w:val="000A6801"/>
    <w:rsid w:val="000A6B4E"/>
    <w:rsid w:val="000A730C"/>
    <w:rsid w:val="000A79F0"/>
    <w:rsid w:val="000B013F"/>
    <w:rsid w:val="000B10C3"/>
    <w:rsid w:val="000B19DB"/>
    <w:rsid w:val="000B1C42"/>
    <w:rsid w:val="000B1D32"/>
    <w:rsid w:val="000B2156"/>
    <w:rsid w:val="000B4855"/>
    <w:rsid w:val="000B5257"/>
    <w:rsid w:val="000B5980"/>
    <w:rsid w:val="000B5FEE"/>
    <w:rsid w:val="000B6E4D"/>
    <w:rsid w:val="000B75D9"/>
    <w:rsid w:val="000B7828"/>
    <w:rsid w:val="000C01D4"/>
    <w:rsid w:val="000C075E"/>
    <w:rsid w:val="000C1E61"/>
    <w:rsid w:val="000C2E80"/>
    <w:rsid w:val="000C3C1B"/>
    <w:rsid w:val="000C4F25"/>
    <w:rsid w:val="000C54D0"/>
    <w:rsid w:val="000C5A26"/>
    <w:rsid w:val="000C5B64"/>
    <w:rsid w:val="000C6CA7"/>
    <w:rsid w:val="000C6E7D"/>
    <w:rsid w:val="000C7034"/>
    <w:rsid w:val="000C7836"/>
    <w:rsid w:val="000D10FD"/>
    <w:rsid w:val="000D1BFA"/>
    <w:rsid w:val="000D1E58"/>
    <w:rsid w:val="000D2E7B"/>
    <w:rsid w:val="000D31B5"/>
    <w:rsid w:val="000D39B2"/>
    <w:rsid w:val="000D3E28"/>
    <w:rsid w:val="000D4226"/>
    <w:rsid w:val="000D5C8F"/>
    <w:rsid w:val="000D71D1"/>
    <w:rsid w:val="000D7319"/>
    <w:rsid w:val="000D7A3B"/>
    <w:rsid w:val="000D7AF8"/>
    <w:rsid w:val="000E06F9"/>
    <w:rsid w:val="000E1B1C"/>
    <w:rsid w:val="000E2057"/>
    <w:rsid w:val="000E3E47"/>
    <w:rsid w:val="000E4116"/>
    <w:rsid w:val="000E5371"/>
    <w:rsid w:val="000E59BC"/>
    <w:rsid w:val="000E617A"/>
    <w:rsid w:val="000E6194"/>
    <w:rsid w:val="000E62C6"/>
    <w:rsid w:val="000E71DC"/>
    <w:rsid w:val="000E72B1"/>
    <w:rsid w:val="000E7713"/>
    <w:rsid w:val="000E7CE8"/>
    <w:rsid w:val="000F04C0"/>
    <w:rsid w:val="000F101A"/>
    <w:rsid w:val="000F29BC"/>
    <w:rsid w:val="000F2DB1"/>
    <w:rsid w:val="000F2DF8"/>
    <w:rsid w:val="000F41BB"/>
    <w:rsid w:val="000F4399"/>
    <w:rsid w:val="000F46E8"/>
    <w:rsid w:val="000F4D60"/>
    <w:rsid w:val="000F5237"/>
    <w:rsid w:val="000F56CF"/>
    <w:rsid w:val="000F5CF9"/>
    <w:rsid w:val="000F6032"/>
    <w:rsid w:val="000F63A5"/>
    <w:rsid w:val="000F6A6E"/>
    <w:rsid w:val="000F7BBA"/>
    <w:rsid w:val="000F7D5F"/>
    <w:rsid w:val="000F7F30"/>
    <w:rsid w:val="0010016E"/>
    <w:rsid w:val="00100786"/>
    <w:rsid w:val="00100E2B"/>
    <w:rsid w:val="001018D3"/>
    <w:rsid w:val="00101F0D"/>
    <w:rsid w:val="00102343"/>
    <w:rsid w:val="00105605"/>
    <w:rsid w:val="00105611"/>
    <w:rsid w:val="00106592"/>
    <w:rsid w:val="001079AB"/>
    <w:rsid w:val="00107B71"/>
    <w:rsid w:val="00110D27"/>
    <w:rsid w:val="001116FE"/>
    <w:rsid w:val="00114C6B"/>
    <w:rsid w:val="00114E33"/>
    <w:rsid w:val="00115DF1"/>
    <w:rsid w:val="00115E09"/>
    <w:rsid w:val="00115ECC"/>
    <w:rsid w:val="00116398"/>
    <w:rsid w:val="001163C8"/>
    <w:rsid w:val="00117B71"/>
    <w:rsid w:val="0012193D"/>
    <w:rsid w:val="00122E63"/>
    <w:rsid w:val="00122E94"/>
    <w:rsid w:val="001234E0"/>
    <w:rsid w:val="001235FB"/>
    <w:rsid w:val="00124060"/>
    <w:rsid w:val="001257ED"/>
    <w:rsid w:val="00125C16"/>
    <w:rsid w:val="00125D4B"/>
    <w:rsid w:val="0012606D"/>
    <w:rsid w:val="00126113"/>
    <w:rsid w:val="001269CD"/>
    <w:rsid w:val="00126B2F"/>
    <w:rsid w:val="0012730C"/>
    <w:rsid w:val="001303A5"/>
    <w:rsid w:val="00131071"/>
    <w:rsid w:val="001322F3"/>
    <w:rsid w:val="00133EDD"/>
    <w:rsid w:val="00134D2D"/>
    <w:rsid w:val="00135533"/>
    <w:rsid w:val="001360B8"/>
    <w:rsid w:val="001368C1"/>
    <w:rsid w:val="00136AF6"/>
    <w:rsid w:val="001370EC"/>
    <w:rsid w:val="0013777A"/>
    <w:rsid w:val="00140E58"/>
    <w:rsid w:val="0014170E"/>
    <w:rsid w:val="001436D4"/>
    <w:rsid w:val="001439C9"/>
    <w:rsid w:val="0014630C"/>
    <w:rsid w:val="001469ED"/>
    <w:rsid w:val="00147058"/>
    <w:rsid w:val="001471E8"/>
    <w:rsid w:val="0015022B"/>
    <w:rsid w:val="00150424"/>
    <w:rsid w:val="00150C57"/>
    <w:rsid w:val="00150E39"/>
    <w:rsid w:val="00151DE4"/>
    <w:rsid w:val="001536B3"/>
    <w:rsid w:val="001543A6"/>
    <w:rsid w:val="00154A48"/>
    <w:rsid w:val="001558B1"/>
    <w:rsid w:val="00155A98"/>
    <w:rsid w:val="001565A6"/>
    <w:rsid w:val="00157277"/>
    <w:rsid w:val="00157E2E"/>
    <w:rsid w:val="00157E62"/>
    <w:rsid w:val="00160808"/>
    <w:rsid w:val="001609A7"/>
    <w:rsid w:val="00160BCA"/>
    <w:rsid w:val="00160E04"/>
    <w:rsid w:val="00161901"/>
    <w:rsid w:val="001627E6"/>
    <w:rsid w:val="00162BAB"/>
    <w:rsid w:val="00162C84"/>
    <w:rsid w:val="00163C4A"/>
    <w:rsid w:val="00163EBB"/>
    <w:rsid w:val="0016415A"/>
    <w:rsid w:val="001646F9"/>
    <w:rsid w:val="00165179"/>
    <w:rsid w:val="00165A5C"/>
    <w:rsid w:val="001660DD"/>
    <w:rsid w:val="001661BE"/>
    <w:rsid w:val="00167624"/>
    <w:rsid w:val="001703D5"/>
    <w:rsid w:val="001705C1"/>
    <w:rsid w:val="0017190A"/>
    <w:rsid w:val="00171D14"/>
    <w:rsid w:val="00171EC7"/>
    <w:rsid w:val="0017206E"/>
    <w:rsid w:val="00172082"/>
    <w:rsid w:val="0017330B"/>
    <w:rsid w:val="0017464D"/>
    <w:rsid w:val="00175460"/>
    <w:rsid w:val="001761A0"/>
    <w:rsid w:val="00176B99"/>
    <w:rsid w:val="001771B6"/>
    <w:rsid w:val="001778E1"/>
    <w:rsid w:val="00177959"/>
    <w:rsid w:val="001800DB"/>
    <w:rsid w:val="00180928"/>
    <w:rsid w:val="00180C3C"/>
    <w:rsid w:val="0018128C"/>
    <w:rsid w:val="00182469"/>
    <w:rsid w:val="00182608"/>
    <w:rsid w:val="00182992"/>
    <w:rsid w:val="00182BB6"/>
    <w:rsid w:val="00182EDD"/>
    <w:rsid w:val="0018510D"/>
    <w:rsid w:val="001853F9"/>
    <w:rsid w:val="00185B41"/>
    <w:rsid w:val="00185C84"/>
    <w:rsid w:val="00185FF9"/>
    <w:rsid w:val="00187617"/>
    <w:rsid w:val="001911B7"/>
    <w:rsid w:val="00192952"/>
    <w:rsid w:val="00192ED3"/>
    <w:rsid w:val="001933EF"/>
    <w:rsid w:val="00194648"/>
    <w:rsid w:val="00194C04"/>
    <w:rsid w:val="00195294"/>
    <w:rsid w:val="0019600F"/>
    <w:rsid w:val="001973FF"/>
    <w:rsid w:val="00197E85"/>
    <w:rsid w:val="001A202A"/>
    <w:rsid w:val="001A2C15"/>
    <w:rsid w:val="001A2EA1"/>
    <w:rsid w:val="001A5484"/>
    <w:rsid w:val="001A6172"/>
    <w:rsid w:val="001A6795"/>
    <w:rsid w:val="001A6DFF"/>
    <w:rsid w:val="001A7B8F"/>
    <w:rsid w:val="001B0293"/>
    <w:rsid w:val="001B12CB"/>
    <w:rsid w:val="001B27C3"/>
    <w:rsid w:val="001B2AB1"/>
    <w:rsid w:val="001B2BD2"/>
    <w:rsid w:val="001B3253"/>
    <w:rsid w:val="001B4E30"/>
    <w:rsid w:val="001B5775"/>
    <w:rsid w:val="001B5EF1"/>
    <w:rsid w:val="001B6335"/>
    <w:rsid w:val="001B651C"/>
    <w:rsid w:val="001B68D9"/>
    <w:rsid w:val="001B6C8A"/>
    <w:rsid w:val="001C0E29"/>
    <w:rsid w:val="001C1979"/>
    <w:rsid w:val="001C1DDC"/>
    <w:rsid w:val="001C2309"/>
    <w:rsid w:val="001C296D"/>
    <w:rsid w:val="001C2D2C"/>
    <w:rsid w:val="001C3526"/>
    <w:rsid w:val="001C38E3"/>
    <w:rsid w:val="001C3B4F"/>
    <w:rsid w:val="001C3D3E"/>
    <w:rsid w:val="001C45C2"/>
    <w:rsid w:val="001C53F2"/>
    <w:rsid w:val="001C5671"/>
    <w:rsid w:val="001C665C"/>
    <w:rsid w:val="001C67D3"/>
    <w:rsid w:val="001D18D1"/>
    <w:rsid w:val="001D1F6D"/>
    <w:rsid w:val="001D315D"/>
    <w:rsid w:val="001D366D"/>
    <w:rsid w:val="001D3E6E"/>
    <w:rsid w:val="001D56D1"/>
    <w:rsid w:val="001D59C9"/>
    <w:rsid w:val="001D5A1F"/>
    <w:rsid w:val="001D5BA5"/>
    <w:rsid w:val="001D6411"/>
    <w:rsid w:val="001D667C"/>
    <w:rsid w:val="001D6B2C"/>
    <w:rsid w:val="001D72E0"/>
    <w:rsid w:val="001D78F5"/>
    <w:rsid w:val="001D7E1E"/>
    <w:rsid w:val="001E061E"/>
    <w:rsid w:val="001E23B0"/>
    <w:rsid w:val="001E33FD"/>
    <w:rsid w:val="001E3EC1"/>
    <w:rsid w:val="001E4EDA"/>
    <w:rsid w:val="001E5AF7"/>
    <w:rsid w:val="001E5B8F"/>
    <w:rsid w:val="001E5DD1"/>
    <w:rsid w:val="001E67DD"/>
    <w:rsid w:val="001E6CEA"/>
    <w:rsid w:val="001E6FA9"/>
    <w:rsid w:val="001F0C74"/>
    <w:rsid w:val="001F0C89"/>
    <w:rsid w:val="001F2090"/>
    <w:rsid w:val="001F22EC"/>
    <w:rsid w:val="001F23E2"/>
    <w:rsid w:val="001F2653"/>
    <w:rsid w:val="001F2A1D"/>
    <w:rsid w:val="001F6397"/>
    <w:rsid w:val="00200F81"/>
    <w:rsid w:val="00202B00"/>
    <w:rsid w:val="00202BCD"/>
    <w:rsid w:val="00202C25"/>
    <w:rsid w:val="002048D0"/>
    <w:rsid w:val="00206074"/>
    <w:rsid w:val="00206B43"/>
    <w:rsid w:val="00206F0C"/>
    <w:rsid w:val="002106C0"/>
    <w:rsid w:val="002122A0"/>
    <w:rsid w:val="00212857"/>
    <w:rsid w:val="00212950"/>
    <w:rsid w:val="00212AC3"/>
    <w:rsid w:val="00213E1C"/>
    <w:rsid w:val="00214065"/>
    <w:rsid w:val="0021423E"/>
    <w:rsid w:val="00214F8E"/>
    <w:rsid w:val="002158E6"/>
    <w:rsid w:val="00215A85"/>
    <w:rsid w:val="00215C18"/>
    <w:rsid w:val="00216357"/>
    <w:rsid w:val="00216D06"/>
    <w:rsid w:val="00216DF2"/>
    <w:rsid w:val="00220296"/>
    <w:rsid w:val="00220752"/>
    <w:rsid w:val="00221B2B"/>
    <w:rsid w:val="00221C4D"/>
    <w:rsid w:val="00222123"/>
    <w:rsid w:val="002229E9"/>
    <w:rsid w:val="00222ACB"/>
    <w:rsid w:val="00223960"/>
    <w:rsid w:val="002248E1"/>
    <w:rsid w:val="00224D9B"/>
    <w:rsid w:val="00226C1B"/>
    <w:rsid w:val="00227462"/>
    <w:rsid w:val="0022765F"/>
    <w:rsid w:val="002278E6"/>
    <w:rsid w:val="00227FD7"/>
    <w:rsid w:val="002301AD"/>
    <w:rsid w:val="00230408"/>
    <w:rsid w:val="0023097B"/>
    <w:rsid w:val="00230984"/>
    <w:rsid w:val="00230B62"/>
    <w:rsid w:val="00230D43"/>
    <w:rsid w:val="00231066"/>
    <w:rsid w:val="00231487"/>
    <w:rsid w:val="00231862"/>
    <w:rsid w:val="0023190E"/>
    <w:rsid w:val="00231B99"/>
    <w:rsid w:val="00232324"/>
    <w:rsid w:val="002323DA"/>
    <w:rsid w:val="00232E73"/>
    <w:rsid w:val="00232EC1"/>
    <w:rsid w:val="002341C0"/>
    <w:rsid w:val="00236234"/>
    <w:rsid w:val="00236B35"/>
    <w:rsid w:val="00237974"/>
    <w:rsid w:val="002402B7"/>
    <w:rsid w:val="0024041B"/>
    <w:rsid w:val="00240D35"/>
    <w:rsid w:val="00241AAD"/>
    <w:rsid w:val="00241B95"/>
    <w:rsid w:val="00241DA6"/>
    <w:rsid w:val="002425D9"/>
    <w:rsid w:val="00242C70"/>
    <w:rsid w:val="00242F21"/>
    <w:rsid w:val="00243004"/>
    <w:rsid w:val="002431CB"/>
    <w:rsid w:val="00243901"/>
    <w:rsid w:val="002443AE"/>
    <w:rsid w:val="00244609"/>
    <w:rsid w:val="00244E07"/>
    <w:rsid w:val="00250EE1"/>
    <w:rsid w:val="0025162F"/>
    <w:rsid w:val="002518FB"/>
    <w:rsid w:val="00252380"/>
    <w:rsid w:val="00252456"/>
    <w:rsid w:val="00252941"/>
    <w:rsid w:val="002530F7"/>
    <w:rsid w:val="00254430"/>
    <w:rsid w:val="002567A8"/>
    <w:rsid w:val="002567B4"/>
    <w:rsid w:val="002579B9"/>
    <w:rsid w:val="00260074"/>
    <w:rsid w:val="00260B13"/>
    <w:rsid w:val="00260C07"/>
    <w:rsid w:val="00261A68"/>
    <w:rsid w:val="00262CB3"/>
    <w:rsid w:val="002636C6"/>
    <w:rsid w:val="00264043"/>
    <w:rsid w:val="00264BA4"/>
    <w:rsid w:val="00264C53"/>
    <w:rsid w:val="002700F9"/>
    <w:rsid w:val="00270407"/>
    <w:rsid w:val="00270C19"/>
    <w:rsid w:val="002716A7"/>
    <w:rsid w:val="00271987"/>
    <w:rsid w:val="00271C19"/>
    <w:rsid w:val="002723D6"/>
    <w:rsid w:val="00272811"/>
    <w:rsid w:val="00273108"/>
    <w:rsid w:val="00274310"/>
    <w:rsid w:val="002747F4"/>
    <w:rsid w:val="00274B23"/>
    <w:rsid w:val="0027527D"/>
    <w:rsid w:val="00275C54"/>
    <w:rsid w:val="00276567"/>
    <w:rsid w:val="002802D6"/>
    <w:rsid w:val="002803FB"/>
    <w:rsid w:val="00282224"/>
    <w:rsid w:val="002831DC"/>
    <w:rsid w:val="0028349E"/>
    <w:rsid w:val="0028354D"/>
    <w:rsid w:val="00283764"/>
    <w:rsid w:val="00283C4D"/>
    <w:rsid w:val="00283DD8"/>
    <w:rsid w:val="00284844"/>
    <w:rsid w:val="002848E6"/>
    <w:rsid w:val="002849ED"/>
    <w:rsid w:val="00286918"/>
    <w:rsid w:val="002869F7"/>
    <w:rsid w:val="00286AFB"/>
    <w:rsid w:val="0028725B"/>
    <w:rsid w:val="00287CBB"/>
    <w:rsid w:val="00291956"/>
    <w:rsid w:val="00291F33"/>
    <w:rsid w:val="002926E2"/>
    <w:rsid w:val="00292913"/>
    <w:rsid w:val="002929F4"/>
    <w:rsid w:val="0029300B"/>
    <w:rsid w:val="002933D0"/>
    <w:rsid w:val="00293A6B"/>
    <w:rsid w:val="00293B41"/>
    <w:rsid w:val="002953C6"/>
    <w:rsid w:val="002959FA"/>
    <w:rsid w:val="00295A10"/>
    <w:rsid w:val="00296391"/>
    <w:rsid w:val="002977A8"/>
    <w:rsid w:val="002A00D4"/>
    <w:rsid w:val="002A1398"/>
    <w:rsid w:val="002A1E59"/>
    <w:rsid w:val="002A22E3"/>
    <w:rsid w:val="002A30AF"/>
    <w:rsid w:val="002A37CF"/>
    <w:rsid w:val="002A3E6E"/>
    <w:rsid w:val="002A491D"/>
    <w:rsid w:val="002A4B3A"/>
    <w:rsid w:val="002A4F27"/>
    <w:rsid w:val="002A6793"/>
    <w:rsid w:val="002A728C"/>
    <w:rsid w:val="002A7F85"/>
    <w:rsid w:val="002B09B2"/>
    <w:rsid w:val="002B0B79"/>
    <w:rsid w:val="002B10F7"/>
    <w:rsid w:val="002B17A0"/>
    <w:rsid w:val="002B5D87"/>
    <w:rsid w:val="002B5F94"/>
    <w:rsid w:val="002B5FAE"/>
    <w:rsid w:val="002B603B"/>
    <w:rsid w:val="002C05AB"/>
    <w:rsid w:val="002C06CF"/>
    <w:rsid w:val="002C0CAC"/>
    <w:rsid w:val="002C27BB"/>
    <w:rsid w:val="002C2D25"/>
    <w:rsid w:val="002C351B"/>
    <w:rsid w:val="002C5FDC"/>
    <w:rsid w:val="002C671D"/>
    <w:rsid w:val="002C6DFE"/>
    <w:rsid w:val="002C73BB"/>
    <w:rsid w:val="002D21E9"/>
    <w:rsid w:val="002D2B72"/>
    <w:rsid w:val="002D48D0"/>
    <w:rsid w:val="002D4FBE"/>
    <w:rsid w:val="002D68F8"/>
    <w:rsid w:val="002D7D51"/>
    <w:rsid w:val="002E0769"/>
    <w:rsid w:val="002E0F54"/>
    <w:rsid w:val="002E2819"/>
    <w:rsid w:val="002E2F66"/>
    <w:rsid w:val="002E3472"/>
    <w:rsid w:val="002E3A56"/>
    <w:rsid w:val="002E3F74"/>
    <w:rsid w:val="002E401B"/>
    <w:rsid w:val="002E4475"/>
    <w:rsid w:val="002E4EC0"/>
    <w:rsid w:val="002E7503"/>
    <w:rsid w:val="002F116C"/>
    <w:rsid w:val="002F1E6B"/>
    <w:rsid w:val="002F1F96"/>
    <w:rsid w:val="002F2A44"/>
    <w:rsid w:val="002F2AE5"/>
    <w:rsid w:val="002F2E10"/>
    <w:rsid w:val="002F311A"/>
    <w:rsid w:val="002F3C17"/>
    <w:rsid w:val="002F4106"/>
    <w:rsid w:val="002F4420"/>
    <w:rsid w:val="002F5642"/>
    <w:rsid w:val="002F5AF6"/>
    <w:rsid w:val="002F5F03"/>
    <w:rsid w:val="002F72BE"/>
    <w:rsid w:val="00300627"/>
    <w:rsid w:val="003009FC"/>
    <w:rsid w:val="00300AA6"/>
    <w:rsid w:val="00300C21"/>
    <w:rsid w:val="003013BC"/>
    <w:rsid w:val="003016D0"/>
    <w:rsid w:val="003023FE"/>
    <w:rsid w:val="00302D4E"/>
    <w:rsid w:val="00302E5E"/>
    <w:rsid w:val="00302F91"/>
    <w:rsid w:val="00305083"/>
    <w:rsid w:val="003051F4"/>
    <w:rsid w:val="003056F7"/>
    <w:rsid w:val="003062FD"/>
    <w:rsid w:val="0030670E"/>
    <w:rsid w:val="003107AA"/>
    <w:rsid w:val="00311F27"/>
    <w:rsid w:val="0031207E"/>
    <w:rsid w:val="00312ADF"/>
    <w:rsid w:val="00312F96"/>
    <w:rsid w:val="00313495"/>
    <w:rsid w:val="00313981"/>
    <w:rsid w:val="00313DAB"/>
    <w:rsid w:val="00313EC7"/>
    <w:rsid w:val="00314832"/>
    <w:rsid w:val="00315728"/>
    <w:rsid w:val="00315833"/>
    <w:rsid w:val="00316027"/>
    <w:rsid w:val="00317446"/>
    <w:rsid w:val="0031750B"/>
    <w:rsid w:val="003177DB"/>
    <w:rsid w:val="00320045"/>
    <w:rsid w:val="00321C66"/>
    <w:rsid w:val="003221D3"/>
    <w:rsid w:val="003225E3"/>
    <w:rsid w:val="00323191"/>
    <w:rsid w:val="003231DA"/>
    <w:rsid w:val="00323804"/>
    <w:rsid w:val="00323FA6"/>
    <w:rsid w:val="003241DF"/>
    <w:rsid w:val="0032457C"/>
    <w:rsid w:val="003263FA"/>
    <w:rsid w:val="003265DC"/>
    <w:rsid w:val="003267A6"/>
    <w:rsid w:val="00327E47"/>
    <w:rsid w:val="003303F3"/>
    <w:rsid w:val="00330710"/>
    <w:rsid w:val="003309C5"/>
    <w:rsid w:val="003322D9"/>
    <w:rsid w:val="003323EB"/>
    <w:rsid w:val="003327FF"/>
    <w:rsid w:val="003334B7"/>
    <w:rsid w:val="00333C72"/>
    <w:rsid w:val="00334182"/>
    <w:rsid w:val="003350BD"/>
    <w:rsid w:val="0033549C"/>
    <w:rsid w:val="003363B9"/>
    <w:rsid w:val="0034078A"/>
    <w:rsid w:val="00341DB8"/>
    <w:rsid w:val="003424DE"/>
    <w:rsid w:val="003428F6"/>
    <w:rsid w:val="0034294C"/>
    <w:rsid w:val="00342E8F"/>
    <w:rsid w:val="00343F4D"/>
    <w:rsid w:val="003449EE"/>
    <w:rsid w:val="003462CC"/>
    <w:rsid w:val="00346C73"/>
    <w:rsid w:val="0034704C"/>
    <w:rsid w:val="0034777A"/>
    <w:rsid w:val="00347794"/>
    <w:rsid w:val="0035031E"/>
    <w:rsid w:val="00351CC0"/>
    <w:rsid w:val="00352840"/>
    <w:rsid w:val="00352912"/>
    <w:rsid w:val="00353726"/>
    <w:rsid w:val="00354D74"/>
    <w:rsid w:val="003554F9"/>
    <w:rsid w:val="00355CEF"/>
    <w:rsid w:val="00356CC1"/>
    <w:rsid w:val="003604A5"/>
    <w:rsid w:val="00360B86"/>
    <w:rsid w:val="00360D43"/>
    <w:rsid w:val="003614AD"/>
    <w:rsid w:val="00361D49"/>
    <w:rsid w:val="00362792"/>
    <w:rsid w:val="00362B96"/>
    <w:rsid w:val="00363355"/>
    <w:rsid w:val="00364262"/>
    <w:rsid w:val="00365E17"/>
    <w:rsid w:val="0036615A"/>
    <w:rsid w:val="0036651D"/>
    <w:rsid w:val="00367D3C"/>
    <w:rsid w:val="00370108"/>
    <w:rsid w:val="0037021D"/>
    <w:rsid w:val="0037109B"/>
    <w:rsid w:val="003718A4"/>
    <w:rsid w:val="00371EB3"/>
    <w:rsid w:val="00372768"/>
    <w:rsid w:val="00374540"/>
    <w:rsid w:val="00374DA4"/>
    <w:rsid w:val="00375422"/>
    <w:rsid w:val="0037641C"/>
    <w:rsid w:val="00376659"/>
    <w:rsid w:val="00376889"/>
    <w:rsid w:val="00380259"/>
    <w:rsid w:val="003805B4"/>
    <w:rsid w:val="00380E23"/>
    <w:rsid w:val="00380F9F"/>
    <w:rsid w:val="0038118D"/>
    <w:rsid w:val="00383046"/>
    <w:rsid w:val="003839D0"/>
    <w:rsid w:val="00384A07"/>
    <w:rsid w:val="00385791"/>
    <w:rsid w:val="003857BE"/>
    <w:rsid w:val="00386F48"/>
    <w:rsid w:val="00387040"/>
    <w:rsid w:val="003874FA"/>
    <w:rsid w:val="003907EA"/>
    <w:rsid w:val="0039100E"/>
    <w:rsid w:val="00391BA0"/>
    <w:rsid w:val="00391D86"/>
    <w:rsid w:val="00392003"/>
    <w:rsid w:val="003931E2"/>
    <w:rsid w:val="00393A34"/>
    <w:rsid w:val="00393AD9"/>
    <w:rsid w:val="00393EF9"/>
    <w:rsid w:val="00395A36"/>
    <w:rsid w:val="003961B1"/>
    <w:rsid w:val="00396B02"/>
    <w:rsid w:val="00396FD6"/>
    <w:rsid w:val="00397310"/>
    <w:rsid w:val="0039740C"/>
    <w:rsid w:val="003977C6"/>
    <w:rsid w:val="003A057C"/>
    <w:rsid w:val="003A2114"/>
    <w:rsid w:val="003A254D"/>
    <w:rsid w:val="003A2A31"/>
    <w:rsid w:val="003A3D9D"/>
    <w:rsid w:val="003A480D"/>
    <w:rsid w:val="003A52EA"/>
    <w:rsid w:val="003A5E26"/>
    <w:rsid w:val="003A6178"/>
    <w:rsid w:val="003A6343"/>
    <w:rsid w:val="003A6B3C"/>
    <w:rsid w:val="003A70C0"/>
    <w:rsid w:val="003A7512"/>
    <w:rsid w:val="003A79BD"/>
    <w:rsid w:val="003A7A0A"/>
    <w:rsid w:val="003A7EEF"/>
    <w:rsid w:val="003A7F73"/>
    <w:rsid w:val="003B0114"/>
    <w:rsid w:val="003B0F85"/>
    <w:rsid w:val="003B166C"/>
    <w:rsid w:val="003B199E"/>
    <w:rsid w:val="003B1FEE"/>
    <w:rsid w:val="003B253B"/>
    <w:rsid w:val="003B32DA"/>
    <w:rsid w:val="003B421C"/>
    <w:rsid w:val="003B4762"/>
    <w:rsid w:val="003B55EC"/>
    <w:rsid w:val="003B5DE3"/>
    <w:rsid w:val="003B6883"/>
    <w:rsid w:val="003B6D63"/>
    <w:rsid w:val="003B79BB"/>
    <w:rsid w:val="003B7EF5"/>
    <w:rsid w:val="003C0CC4"/>
    <w:rsid w:val="003C139A"/>
    <w:rsid w:val="003C13B4"/>
    <w:rsid w:val="003C1526"/>
    <w:rsid w:val="003C265C"/>
    <w:rsid w:val="003C2EF6"/>
    <w:rsid w:val="003C3782"/>
    <w:rsid w:val="003C3DAF"/>
    <w:rsid w:val="003C3EBC"/>
    <w:rsid w:val="003C43EC"/>
    <w:rsid w:val="003C52C4"/>
    <w:rsid w:val="003C568F"/>
    <w:rsid w:val="003C6005"/>
    <w:rsid w:val="003C6ECE"/>
    <w:rsid w:val="003C7477"/>
    <w:rsid w:val="003C7E4C"/>
    <w:rsid w:val="003D009F"/>
    <w:rsid w:val="003D0CE3"/>
    <w:rsid w:val="003D1D65"/>
    <w:rsid w:val="003D20B1"/>
    <w:rsid w:val="003D3630"/>
    <w:rsid w:val="003D364C"/>
    <w:rsid w:val="003D3714"/>
    <w:rsid w:val="003D403F"/>
    <w:rsid w:val="003D4605"/>
    <w:rsid w:val="003D4AF9"/>
    <w:rsid w:val="003D53C6"/>
    <w:rsid w:val="003D5606"/>
    <w:rsid w:val="003D6BDD"/>
    <w:rsid w:val="003D6C81"/>
    <w:rsid w:val="003D75B3"/>
    <w:rsid w:val="003E019F"/>
    <w:rsid w:val="003E05DF"/>
    <w:rsid w:val="003E1632"/>
    <w:rsid w:val="003E21B9"/>
    <w:rsid w:val="003E3864"/>
    <w:rsid w:val="003E3C63"/>
    <w:rsid w:val="003E5056"/>
    <w:rsid w:val="003E53BB"/>
    <w:rsid w:val="003E6811"/>
    <w:rsid w:val="003E791B"/>
    <w:rsid w:val="003E7E3C"/>
    <w:rsid w:val="003E7E96"/>
    <w:rsid w:val="003E7FFE"/>
    <w:rsid w:val="003F0103"/>
    <w:rsid w:val="003F1833"/>
    <w:rsid w:val="003F2F18"/>
    <w:rsid w:val="003F3A1A"/>
    <w:rsid w:val="003F443E"/>
    <w:rsid w:val="003F4535"/>
    <w:rsid w:val="003F58CF"/>
    <w:rsid w:val="003F5B87"/>
    <w:rsid w:val="003F7A64"/>
    <w:rsid w:val="00400F7D"/>
    <w:rsid w:val="00401069"/>
    <w:rsid w:val="0040142E"/>
    <w:rsid w:val="004015BE"/>
    <w:rsid w:val="00401BB4"/>
    <w:rsid w:val="00402EB2"/>
    <w:rsid w:val="00402FB7"/>
    <w:rsid w:val="004030F7"/>
    <w:rsid w:val="004035F0"/>
    <w:rsid w:val="00404433"/>
    <w:rsid w:val="004044AF"/>
    <w:rsid w:val="00404856"/>
    <w:rsid w:val="00404962"/>
    <w:rsid w:val="00406131"/>
    <w:rsid w:val="00406BC7"/>
    <w:rsid w:val="00406F71"/>
    <w:rsid w:val="00410425"/>
    <w:rsid w:val="004107BE"/>
    <w:rsid w:val="00410A06"/>
    <w:rsid w:val="00410AB9"/>
    <w:rsid w:val="00412257"/>
    <w:rsid w:val="004132D6"/>
    <w:rsid w:val="00413704"/>
    <w:rsid w:val="00413833"/>
    <w:rsid w:val="00413B15"/>
    <w:rsid w:val="004151F8"/>
    <w:rsid w:val="00415AA1"/>
    <w:rsid w:val="00415B2D"/>
    <w:rsid w:val="00415F0C"/>
    <w:rsid w:val="00416652"/>
    <w:rsid w:val="0041698B"/>
    <w:rsid w:val="00416B89"/>
    <w:rsid w:val="00416E9F"/>
    <w:rsid w:val="00417CC8"/>
    <w:rsid w:val="00417CF7"/>
    <w:rsid w:val="004202B9"/>
    <w:rsid w:val="00420579"/>
    <w:rsid w:val="00420828"/>
    <w:rsid w:val="004209B0"/>
    <w:rsid w:val="004219BE"/>
    <w:rsid w:val="00423BCE"/>
    <w:rsid w:val="00423F29"/>
    <w:rsid w:val="00424343"/>
    <w:rsid w:val="00424ABF"/>
    <w:rsid w:val="00426240"/>
    <w:rsid w:val="00426419"/>
    <w:rsid w:val="00426460"/>
    <w:rsid w:val="00426492"/>
    <w:rsid w:val="004272A9"/>
    <w:rsid w:val="00427840"/>
    <w:rsid w:val="00430395"/>
    <w:rsid w:val="00431620"/>
    <w:rsid w:val="0043177C"/>
    <w:rsid w:val="00431956"/>
    <w:rsid w:val="00432B3F"/>
    <w:rsid w:val="00432D5C"/>
    <w:rsid w:val="00433C62"/>
    <w:rsid w:val="00434C09"/>
    <w:rsid w:val="004353D6"/>
    <w:rsid w:val="00436AFA"/>
    <w:rsid w:val="00437513"/>
    <w:rsid w:val="004377FB"/>
    <w:rsid w:val="00437876"/>
    <w:rsid w:val="004413A8"/>
    <w:rsid w:val="00442190"/>
    <w:rsid w:val="00442C7E"/>
    <w:rsid w:val="00442DD4"/>
    <w:rsid w:val="00444396"/>
    <w:rsid w:val="00444DF2"/>
    <w:rsid w:val="00445CB1"/>
    <w:rsid w:val="00445E4A"/>
    <w:rsid w:val="0044607C"/>
    <w:rsid w:val="00446B11"/>
    <w:rsid w:val="00450804"/>
    <w:rsid w:val="00450EAC"/>
    <w:rsid w:val="004510AD"/>
    <w:rsid w:val="004522CE"/>
    <w:rsid w:val="0045267D"/>
    <w:rsid w:val="004527B4"/>
    <w:rsid w:val="004537D6"/>
    <w:rsid w:val="0045428A"/>
    <w:rsid w:val="00454820"/>
    <w:rsid w:val="00454954"/>
    <w:rsid w:val="004554C1"/>
    <w:rsid w:val="0045670E"/>
    <w:rsid w:val="00456743"/>
    <w:rsid w:val="004576DA"/>
    <w:rsid w:val="00460926"/>
    <w:rsid w:val="004614B3"/>
    <w:rsid w:val="00461A34"/>
    <w:rsid w:val="00461D17"/>
    <w:rsid w:val="00461F7F"/>
    <w:rsid w:val="0046245D"/>
    <w:rsid w:val="004630EC"/>
    <w:rsid w:val="00463666"/>
    <w:rsid w:val="00463B0D"/>
    <w:rsid w:val="00464B84"/>
    <w:rsid w:val="00464CA2"/>
    <w:rsid w:val="00465DB1"/>
    <w:rsid w:val="00465E45"/>
    <w:rsid w:val="00467170"/>
    <w:rsid w:val="00467390"/>
    <w:rsid w:val="00467C26"/>
    <w:rsid w:val="00471E2D"/>
    <w:rsid w:val="0047203A"/>
    <w:rsid w:val="004723F2"/>
    <w:rsid w:val="00472A6B"/>
    <w:rsid w:val="00473D4B"/>
    <w:rsid w:val="0047411D"/>
    <w:rsid w:val="004745A8"/>
    <w:rsid w:val="00474A64"/>
    <w:rsid w:val="00474AF7"/>
    <w:rsid w:val="00475E7A"/>
    <w:rsid w:val="004760D2"/>
    <w:rsid w:val="00476DED"/>
    <w:rsid w:val="00477404"/>
    <w:rsid w:val="004775D3"/>
    <w:rsid w:val="00477660"/>
    <w:rsid w:val="00482282"/>
    <w:rsid w:val="0048472B"/>
    <w:rsid w:val="004850C7"/>
    <w:rsid w:val="00485356"/>
    <w:rsid w:val="00485658"/>
    <w:rsid w:val="00486156"/>
    <w:rsid w:val="004864FD"/>
    <w:rsid w:val="00486614"/>
    <w:rsid w:val="0049060D"/>
    <w:rsid w:val="00490DB1"/>
    <w:rsid w:val="00490ECF"/>
    <w:rsid w:val="00491509"/>
    <w:rsid w:val="00491764"/>
    <w:rsid w:val="004924C7"/>
    <w:rsid w:val="004929A8"/>
    <w:rsid w:val="00492BFD"/>
    <w:rsid w:val="00492C7E"/>
    <w:rsid w:val="00493A69"/>
    <w:rsid w:val="00493EA5"/>
    <w:rsid w:val="0049708A"/>
    <w:rsid w:val="004971DE"/>
    <w:rsid w:val="004A05A5"/>
    <w:rsid w:val="004A09F8"/>
    <w:rsid w:val="004A0D16"/>
    <w:rsid w:val="004A2542"/>
    <w:rsid w:val="004A2794"/>
    <w:rsid w:val="004A2BAB"/>
    <w:rsid w:val="004A3F74"/>
    <w:rsid w:val="004A400D"/>
    <w:rsid w:val="004A5468"/>
    <w:rsid w:val="004A617C"/>
    <w:rsid w:val="004A64FB"/>
    <w:rsid w:val="004A6642"/>
    <w:rsid w:val="004A6E38"/>
    <w:rsid w:val="004A78E8"/>
    <w:rsid w:val="004A7ED7"/>
    <w:rsid w:val="004B003A"/>
    <w:rsid w:val="004B0165"/>
    <w:rsid w:val="004B068F"/>
    <w:rsid w:val="004B0B15"/>
    <w:rsid w:val="004B0FAE"/>
    <w:rsid w:val="004B110C"/>
    <w:rsid w:val="004B124B"/>
    <w:rsid w:val="004B2229"/>
    <w:rsid w:val="004B2A00"/>
    <w:rsid w:val="004B3233"/>
    <w:rsid w:val="004B51E2"/>
    <w:rsid w:val="004B525D"/>
    <w:rsid w:val="004B64E0"/>
    <w:rsid w:val="004B6959"/>
    <w:rsid w:val="004B7405"/>
    <w:rsid w:val="004B7968"/>
    <w:rsid w:val="004B7BDD"/>
    <w:rsid w:val="004B7DF6"/>
    <w:rsid w:val="004C0C50"/>
    <w:rsid w:val="004C0FFD"/>
    <w:rsid w:val="004C1063"/>
    <w:rsid w:val="004C238D"/>
    <w:rsid w:val="004C25F7"/>
    <w:rsid w:val="004C34F0"/>
    <w:rsid w:val="004C461C"/>
    <w:rsid w:val="004C4EFD"/>
    <w:rsid w:val="004C5CFE"/>
    <w:rsid w:val="004C5EB7"/>
    <w:rsid w:val="004C62A4"/>
    <w:rsid w:val="004C6AF9"/>
    <w:rsid w:val="004C78E6"/>
    <w:rsid w:val="004D0810"/>
    <w:rsid w:val="004D1A75"/>
    <w:rsid w:val="004D21F5"/>
    <w:rsid w:val="004D2D9D"/>
    <w:rsid w:val="004D3526"/>
    <w:rsid w:val="004D4C73"/>
    <w:rsid w:val="004D4CBB"/>
    <w:rsid w:val="004D4EAE"/>
    <w:rsid w:val="004D4F51"/>
    <w:rsid w:val="004D51B9"/>
    <w:rsid w:val="004D5334"/>
    <w:rsid w:val="004D5C64"/>
    <w:rsid w:val="004D6128"/>
    <w:rsid w:val="004D68A2"/>
    <w:rsid w:val="004E11E4"/>
    <w:rsid w:val="004E17E1"/>
    <w:rsid w:val="004E1CE2"/>
    <w:rsid w:val="004E1DCD"/>
    <w:rsid w:val="004E1DE8"/>
    <w:rsid w:val="004E1FA1"/>
    <w:rsid w:val="004E3BF1"/>
    <w:rsid w:val="004E3C98"/>
    <w:rsid w:val="004E47F4"/>
    <w:rsid w:val="004E5981"/>
    <w:rsid w:val="004E63BB"/>
    <w:rsid w:val="004E6C99"/>
    <w:rsid w:val="004E6FBE"/>
    <w:rsid w:val="004F1C78"/>
    <w:rsid w:val="004F1D7D"/>
    <w:rsid w:val="004F25FA"/>
    <w:rsid w:val="004F27C2"/>
    <w:rsid w:val="004F33B7"/>
    <w:rsid w:val="004F43FB"/>
    <w:rsid w:val="004F459E"/>
    <w:rsid w:val="004F45CF"/>
    <w:rsid w:val="004F4604"/>
    <w:rsid w:val="004F4B20"/>
    <w:rsid w:val="004F4EE9"/>
    <w:rsid w:val="004F6297"/>
    <w:rsid w:val="004F7F47"/>
    <w:rsid w:val="0050052D"/>
    <w:rsid w:val="0050087C"/>
    <w:rsid w:val="00501B39"/>
    <w:rsid w:val="00502308"/>
    <w:rsid w:val="00503AEF"/>
    <w:rsid w:val="00504B5B"/>
    <w:rsid w:val="005057D6"/>
    <w:rsid w:val="00506291"/>
    <w:rsid w:val="0050678B"/>
    <w:rsid w:val="00506D17"/>
    <w:rsid w:val="00507BF1"/>
    <w:rsid w:val="00510892"/>
    <w:rsid w:val="00510E57"/>
    <w:rsid w:val="005122C2"/>
    <w:rsid w:val="00512722"/>
    <w:rsid w:val="00512D5C"/>
    <w:rsid w:val="0051344A"/>
    <w:rsid w:val="0051374E"/>
    <w:rsid w:val="00513861"/>
    <w:rsid w:val="00514779"/>
    <w:rsid w:val="00514832"/>
    <w:rsid w:val="00514890"/>
    <w:rsid w:val="00516A80"/>
    <w:rsid w:val="00516E51"/>
    <w:rsid w:val="00521FC2"/>
    <w:rsid w:val="005222A2"/>
    <w:rsid w:val="00522BE7"/>
    <w:rsid w:val="0052437E"/>
    <w:rsid w:val="00524BC3"/>
    <w:rsid w:val="00524ECB"/>
    <w:rsid w:val="005258CA"/>
    <w:rsid w:val="0052757A"/>
    <w:rsid w:val="005315A4"/>
    <w:rsid w:val="00531AEF"/>
    <w:rsid w:val="0053223F"/>
    <w:rsid w:val="00533ED7"/>
    <w:rsid w:val="005343C0"/>
    <w:rsid w:val="00535579"/>
    <w:rsid w:val="00535C07"/>
    <w:rsid w:val="00535FEE"/>
    <w:rsid w:val="005367BB"/>
    <w:rsid w:val="00536E4A"/>
    <w:rsid w:val="00536E7F"/>
    <w:rsid w:val="0053708C"/>
    <w:rsid w:val="00537151"/>
    <w:rsid w:val="005371FC"/>
    <w:rsid w:val="0054012B"/>
    <w:rsid w:val="005405C6"/>
    <w:rsid w:val="00540BE5"/>
    <w:rsid w:val="00541D96"/>
    <w:rsid w:val="005427E1"/>
    <w:rsid w:val="005428EC"/>
    <w:rsid w:val="00542A25"/>
    <w:rsid w:val="00544BBF"/>
    <w:rsid w:val="005456A4"/>
    <w:rsid w:val="005457A9"/>
    <w:rsid w:val="005460F6"/>
    <w:rsid w:val="005462F1"/>
    <w:rsid w:val="00546D72"/>
    <w:rsid w:val="0054781E"/>
    <w:rsid w:val="005479C9"/>
    <w:rsid w:val="00547F78"/>
    <w:rsid w:val="00551169"/>
    <w:rsid w:val="00551941"/>
    <w:rsid w:val="005523D5"/>
    <w:rsid w:val="005525C9"/>
    <w:rsid w:val="00552C8B"/>
    <w:rsid w:val="00553139"/>
    <w:rsid w:val="005531B0"/>
    <w:rsid w:val="0055327A"/>
    <w:rsid w:val="005532B8"/>
    <w:rsid w:val="00553DDA"/>
    <w:rsid w:val="0055486F"/>
    <w:rsid w:val="00554A38"/>
    <w:rsid w:val="00554A57"/>
    <w:rsid w:val="005550A7"/>
    <w:rsid w:val="005559B2"/>
    <w:rsid w:val="00555FB4"/>
    <w:rsid w:val="005605B9"/>
    <w:rsid w:val="00564C25"/>
    <w:rsid w:val="00565478"/>
    <w:rsid w:val="005658B0"/>
    <w:rsid w:val="00565A9A"/>
    <w:rsid w:val="00566B64"/>
    <w:rsid w:val="00566F0E"/>
    <w:rsid w:val="0056725C"/>
    <w:rsid w:val="00567C27"/>
    <w:rsid w:val="0057065C"/>
    <w:rsid w:val="00570FE0"/>
    <w:rsid w:val="005716BA"/>
    <w:rsid w:val="005725A3"/>
    <w:rsid w:val="00572A89"/>
    <w:rsid w:val="00572B45"/>
    <w:rsid w:val="00573B8F"/>
    <w:rsid w:val="00573D41"/>
    <w:rsid w:val="005741BD"/>
    <w:rsid w:val="00574772"/>
    <w:rsid w:val="00574F51"/>
    <w:rsid w:val="005755FE"/>
    <w:rsid w:val="005759E2"/>
    <w:rsid w:val="00575A49"/>
    <w:rsid w:val="0057686C"/>
    <w:rsid w:val="005771A1"/>
    <w:rsid w:val="00577360"/>
    <w:rsid w:val="00580078"/>
    <w:rsid w:val="005812E2"/>
    <w:rsid w:val="005826E3"/>
    <w:rsid w:val="00582A23"/>
    <w:rsid w:val="00582F43"/>
    <w:rsid w:val="005832F8"/>
    <w:rsid w:val="00583AB1"/>
    <w:rsid w:val="00585384"/>
    <w:rsid w:val="0058580D"/>
    <w:rsid w:val="00586A80"/>
    <w:rsid w:val="00587295"/>
    <w:rsid w:val="00587687"/>
    <w:rsid w:val="00587B90"/>
    <w:rsid w:val="0059011B"/>
    <w:rsid w:val="00590B81"/>
    <w:rsid w:val="005911A7"/>
    <w:rsid w:val="005914A5"/>
    <w:rsid w:val="00591C54"/>
    <w:rsid w:val="00591FE4"/>
    <w:rsid w:val="00592207"/>
    <w:rsid w:val="00592482"/>
    <w:rsid w:val="0059265F"/>
    <w:rsid w:val="00594C46"/>
    <w:rsid w:val="005957C3"/>
    <w:rsid w:val="00595C5E"/>
    <w:rsid w:val="00595F4A"/>
    <w:rsid w:val="0059609B"/>
    <w:rsid w:val="005A00E4"/>
    <w:rsid w:val="005A150F"/>
    <w:rsid w:val="005A3FC6"/>
    <w:rsid w:val="005A4510"/>
    <w:rsid w:val="005A4CEB"/>
    <w:rsid w:val="005A52F8"/>
    <w:rsid w:val="005A579F"/>
    <w:rsid w:val="005A5A9E"/>
    <w:rsid w:val="005A6287"/>
    <w:rsid w:val="005A7899"/>
    <w:rsid w:val="005B04EA"/>
    <w:rsid w:val="005B0AF3"/>
    <w:rsid w:val="005B2504"/>
    <w:rsid w:val="005B3705"/>
    <w:rsid w:val="005B3918"/>
    <w:rsid w:val="005B431F"/>
    <w:rsid w:val="005B462B"/>
    <w:rsid w:val="005B466D"/>
    <w:rsid w:val="005B5723"/>
    <w:rsid w:val="005B5FD1"/>
    <w:rsid w:val="005B648F"/>
    <w:rsid w:val="005B714B"/>
    <w:rsid w:val="005B76B7"/>
    <w:rsid w:val="005C015C"/>
    <w:rsid w:val="005C1452"/>
    <w:rsid w:val="005C1967"/>
    <w:rsid w:val="005C1A38"/>
    <w:rsid w:val="005C2589"/>
    <w:rsid w:val="005C2F28"/>
    <w:rsid w:val="005C375B"/>
    <w:rsid w:val="005C43CC"/>
    <w:rsid w:val="005C45A7"/>
    <w:rsid w:val="005C6116"/>
    <w:rsid w:val="005C6795"/>
    <w:rsid w:val="005C6E23"/>
    <w:rsid w:val="005D081A"/>
    <w:rsid w:val="005D0937"/>
    <w:rsid w:val="005D10CF"/>
    <w:rsid w:val="005D12A4"/>
    <w:rsid w:val="005D136D"/>
    <w:rsid w:val="005D1B58"/>
    <w:rsid w:val="005D245F"/>
    <w:rsid w:val="005D31B1"/>
    <w:rsid w:val="005D3A4B"/>
    <w:rsid w:val="005D3B74"/>
    <w:rsid w:val="005D3D42"/>
    <w:rsid w:val="005D487F"/>
    <w:rsid w:val="005D5187"/>
    <w:rsid w:val="005D51D2"/>
    <w:rsid w:val="005D5D5B"/>
    <w:rsid w:val="005D74AD"/>
    <w:rsid w:val="005D7A6E"/>
    <w:rsid w:val="005E0717"/>
    <w:rsid w:val="005E10AE"/>
    <w:rsid w:val="005E13FE"/>
    <w:rsid w:val="005E160D"/>
    <w:rsid w:val="005E27FA"/>
    <w:rsid w:val="005E2C4B"/>
    <w:rsid w:val="005E2E17"/>
    <w:rsid w:val="005E3169"/>
    <w:rsid w:val="005E31A0"/>
    <w:rsid w:val="005E407C"/>
    <w:rsid w:val="005E42A0"/>
    <w:rsid w:val="005E4AFC"/>
    <w:rsid w:val="005E4EFC"/>
    <w:rsid w:val="005E5834"/>
    <w:rsid w:val="005E5AFE"/>
    <w:rsid w:val="005E5BD4"/>
    <w:rsid w:val="005E6A82"/>
    <w:rsid w:val="005E6CAD"/>
    <w:rsid w:val="005E7B7B"/>
    <w:rsid w:val="005F0C99"/>
    <w:rsid w:val="005F1509"/>
    <w:rsid w:val="005F2488"/>
    <w:rsid w:val="005F32FB"/>
    <w:rsid w:val="005F3748"/>
    <w:rsid w:val="005F3934"/>
    <w:rsid w:val="005F39D5"/>
    <w:rsid w:val="005F4373"/>
    <w:rsid w:val="005F57AA"/>
    <w:rsid w:val="005F5D4B"/>
    <w:rsid w:val="005F6182"/>
    <w:rsid w:val="005F625F"/>
    <w:rsid w:val="005F64B9"/>
    <w:rsid w:val="005F65E8"/>
    <w:rsid w:val="005F7122"/>
    <w:rsid w:val="005F7C92"/>
    <w:rsid w:val="006003F3"/>
    <w:rsid w:val="00600F9E"/>
    <w:rsid w:val="006012B6"/>
    <w:rsid w:val="00601B5D"/>
    <w:rsid w:val="006045FA"/>
    <w:rsid w:val="00604975"/>
    <w:rsid w:val="00605989"/>
    <w:rsid w:val="0060762C"/>
    <w:rsid w:val="00610D8D"/>
    <w:rsid w:val="00611673"/>
    <w:rsid w:val="006131BB"/>
    <w:rsid w:val="00613340"/>
    <w:rsid w:val="00613AAF"/>
    <w:rsid w:val="00614505"/>
    <w:rsid w:val="00614BAE"/>
    <w:rsid w:val="00615FBC"/>
    <w:rsid w:val="00616126"/>
    <w:rsid w:val="0061646F"/>
    <w:rsid w:val="00616A5A"/>
    <w:rsid w:val="00616C6D"/>
    <w:rsid w:val="00617709"/>
    <w:rsid w:val="00621939"/>
    <w:rsid w:val="00621A63"/>
    <w:rsid w:val="00622413"/>
    <w:rsid w:val="00622D28"/>
    <w:rsid w:val="00623BC8"/>
    <w:rsid w:val="00624AE3"/>
    <w:rsid w:val="006259E7"/>
    <w:rsid w:val="00626338"/>
    <w:rsid w:val="00626606"/>
    <w:rsid w:val="006272FA"/>
    <w:rsid w:val="0062741C"/>
    <w:rsid w:val="006306EB"/>
    <w:rsid w:val="00630733"/>
    <w:rsid w:val="00630984"/>
    <w:rsid w:val="0063124F"/>
    <w:rsid w:val="00633582"/>
    <w:rsid w:val="0063400A"/>
    <w:rsid w:val="00634698"/>
    <w:rsid w:val="00634CAD"/>
    <w:rsid w:val="00634EF0"/>
    <w:rsid w:val="00635591"/>
    <w:rsid w:val="006361BB"/>
    <w:rsid w:val="00636315"/>
    <w:rsid w:val="00636EE4"/>
    <w:rsid w:val="0063736F"/>
    <w:rsid w:val="00640246"/>
    <w:rsid w:val="00641B33"/>
    <w:rsid w:val="00642227"/>
    <w:rsid w:val="00642497"/>
    <w:rsid w:val="0064476E"/>
    <w:rsid w:val="0064563B"/>
    <w:rsid w:val="00646538"/>
    <w:rsid w:val="0064654B"/>
    <w:rsid w:val="006465EB"/>
    <w:rsid w:val="00647849"/>
    <w:rsid w:val="00647938"/>
    <w:rsid w:val="00650549"/>
    <w:rsid w:val="006505DA"/>
    <w:rsid w:val="006506CC"/>
    <w:rsid w:val="00651A01"/>
    <w:rsid w:val="00654097"/>
    <w:rsid w:val="00654877"/>
    <w:rsid w:val="0066037F"/>
    <w:rsid w:val="006603CC"/>
    <w:rsid w:val="00660F51"/>
    <w:rsid w:val="00663953"/>
    <w:rsid w:val="0066457A"/>
    <w:rsid w:val="006649E6"/>
    <w:rsid w:val="0066532D"/>
    <w:rsid w:val="0066574E"/>
    <w:rsid w:val="006659EB"/>
    <w:rsid w:val="00665AC7"/>
    <w:rsid w:val="00666176"/>
    <w:rsid w:val="00666A3A"/>
    <w:rsid w:val="00666F31"/>
    <w:rsid w:val="0066777B"/>
    <w:rsid w:val="006701CD"/>
    <w:rsid w:val="00670C23"/>
    <w:rsid w:val="006716B6"/>
    <w:rsid w:val="006727F2"/>
    <w:rsid w:val="00672973"/>
    <w:rsid w:val="00672E62"/>
    <w:rsid w:val="00673E5F"/>
    <w:rsid w:val="00673EFE"/>
    <w:rsid w:val="00676088"/>
    <w:rsid w:val="006774BD"/>
    <w:rsid w:val="00680253"/>
    <w:rsid w:val="00680729"/>
    <w:rsid w:val="006816D6"/>
    <w:rsid w:val="00681F1D"/>
    <w:rsid w:val="00682CA0"/>
    <w:rsid w:val="0068362A"/>
    <w:rsid w:val="00683907"/>
    <w:rsid w:val="0068440D"/>
    <w:rsid w:val="00686151"/>
    <w:rsid w:val="00686A20"/>
    <w:rsid w:val="00687220"/>
    <w:rsid w:val="00687B57"/>
    <w:rsid w:val="00687EF9"/>
    <w:rsid w:val="0069039E"/>
    <w:rsid w:val="00690925"/>
    <w:rsid w:val="006933A0"/>
    <w:rsid w:val="00693EE2"/>
    <w:rsid w:val="00696622"/>
    <w:rsid w:val="006972AC"/>
    <w:rsid w:val="0069761E"/>
    <w:rsid w:val="006A0BB3"/>
    <w:rsid w:val="006A126C"/>
    <w:rsid w:val="006A1357"/>
    <w:rsid w:val="006A1641"/>
    <w:rsid w:val="006A1803"/>
    <w:rsid w:val="006A18D3"/>
    <w:rsid w:val="006A1916"/>
    <w:rsid w:val="006A2615"/>
    <w:rsid w:val="006A277E"/>
    <w:rsid w:val="006A2A94"/>
    <w:rsid w:val="006A2DEC"/>
    <w:rsid w:val="006A307D"/>
    <w:rsid w:val="006A3BF2"/>
    <w:rsid w:val="006A425C"/>
    <w:rsid w:val="006A4441"/>
    <w:rsid w:val="006A47DC"/>
    <w:rsid w:val="006A49E6"/>
    <w:rsid w:val="006A515C"/>
    <w:rsid w:val="006A5161"/>
    <w:rsid w:val="006A51B0"/>
    <w:rsid w:val="006A5741"/>
    <w:rsid w:val="006A58AE"/>
    <w:rsid w:val="006A58BB"/>
    <w:rsid w:val="006A6DF9"/>
    <w:rsid w:val="006A7043"/>
    <w:rsid w:val="006B0A11"/>
    <w:rsid w:val="006B1CD6"/>
    <w:rsid w:val="006B1E1A"/>
    <w:rsid w:val="006B1F36"/>
    <w:rsid w:val="006B276D"/>
    <w:rsid w:val="006B4096"/>
    <w:rsid w:val="006B4EBB"/>
    <w:rsid w:val="006B5DAC"/>
    <w:rsid w:val="006B5DDE"/>
    <w:rsid w:val="006B5DEA"/>
    <w:rsid w:val="006B635F"/>
    <w:rsid w:val="006B67FA"/>
    <w:rsid w:val="006B681F"/>
    <w:rsid w:val="006B6E94"/>
    <w:rsid w:val="006B71F5"/>
    <w:rsid w:val="006C00A9"/>
    <w:rsid w:val="006C021A"/>
    <w:rsid w:val="006C13D9"/>
    <w:rsid w:val="006C1633"/>
    <w:rsid w:val="006C2193"/>
    <w:rsid w:val="006C3530"/>
    <w:rsid w:val="006C4567"/>
    <w:rsid w:val="006C4D95"/>
    <w:rsid w:val="006C5402"/>
    <w:rsid w:val="006C55FE"/>
    <w:rsid w:val="006C61CF"/>
    <w:rsid w:val="006C622B"/>
    <w:rsid w:val="006C6454"/>
    <w:rsid w:val="006C645F"/>
    <w:rsid w:val="006C6FFD"/>
    <w:rsid w:val="006C7807"/>
    <w:rsid w:val="006D0004"/>
    <w:rsid w:val="006D088A"/>
    <w:rsid w:val="006D1943"/>
    <w:rsid w:val="006D1D3F"/>
    <w:rsid w:val="006D2C1E"/>
    <w:rsid w:val="006D394C"/>
    <w:rsid w:val="006D447C"/>
    <w:rsid w:val="006D56F0"/>
    <w:rsid w:val="006D5B8D"/>
    <w:rsid w:val="006D5E0B"/>
    <w:rsid w:val="006D615D"/>
    <w:rsid w:val="006D680B"/>
    <w:rsid w:val="006D68D6"/>
    <w:rsid w:val="006D696E"/>
    <w:rsid w:val="006D6C58"/>
    <w:rsid w:val="006D7C5D"/>
    <w:rsid w:val="006E02D5"/>
    <w:rsid w:val="006E089F"/>
    <w:rsid w:val="006E0D23"/>
    <w:rsid w:val="006E1B79"/>
    <w:rsid w:val="006E2572"/>
    <w:rsid w:val="006E342D"/>
    <w:rsid w:val="006E5E1F"/>
    <w:rsid w:val="006E6612"/>
    <w:rsid w:val="006F09DA"/>
    <w:rsid w:val="006F1546"/>
    <w:rsid w:val="006F18C7"/>
    <w:rsid w:val="006F19EF"/>
    <w:rsid w:val="006F1B56"/>
    <w:rsid w:val="006F2392"/>
    <w:rsid w:val="006F289E"/>
    <w:rsid w:val="006F292D"/>
    <w:rsid w:val="006F3C30"/>
    <w:rsid w:val="006F4437"/>
    <w:rsid w:val="006F4AA2"/>
    <w:rsid w:val="006F5614"/>
    <w:rsid w:val="006F6E06"/>
    <w:rsid w:val="006F7C14"/>
    <w:rsid w:val="00700A73"/>
    <w:rsid w:val="007010E4"/>
    <w:rsid w:val="00701E82"/>
    <w:rsid w:val="00702EC3"/>
    <w:rsid w:val="00703470"/>
    <w:rsid w:val="007034C6"/>
    <w:rsid w:val="00704151"/>
    <w:rsid w:val="00704EE2"/>
    <w:rsid w:val="00705FE3"/>
    <w:rsid w:val="00707669"/>
    <w:rsid w:val="00710627"/>
    <w:rsid w:val="00710901"/>
    <w:rsid w:val="007109F3"/>
    <w:rsid w:val="007109FB"/>
    <w:rsid w:val="00710EAB"/>
    <w:rsid w:val="00711920"/>
    <w:rsid w:val="0071342D"/>
    <w:rsid w:val="00713E1F"/>
    <w:rsid w:val="0071516A"/>
    <w:rsid w:val="00715226"/>
    <w:rsid w:val="007178D0"/>
    <w:rsid w:val="00720809"/>
    <w:rsid w:val="00720B18"/>
    <w:rsid w:val="00722BEF"/>
    <w:rsid w:val="00723137"/>
    <w:rsid w:val="00723296"/>
    <w:rsid w:val="00723F8C"/>
    <w:rsid w:val="0072412A"/>
    <w:rsid w:val="007242E5"/>
    <w:rsid w:val="00724546"/>
    <w:rsid w:val="00724582"/>
    <w:rsid w:val="00724BA0"/>
    <w:rsid w:val="0072541E"/>
    <w:rsid w:val="007254C3"/>
    <w:rsid w:val="00725D90"/>
    <w:rsid w:val="007263AB"/>
    <w:rsid w:val="0072649E"/>
    <w:rsid w:val="0072688F"/>
    <w:rsid w:val="00726D9E"/>
    <w:rsid w:val="007274AE"/>
    <w:rsid w:val="00730604"/>
    <w:rsid w:val="00731109"/>
    <w:rsid w:val="0073134E"/>
    <w:rsid w:val="00731822"/>
    <w:rsid w:val="00731854"/>
    <w:rsid w:val="00731996"/>
    <w:rsid w:val="00731CEC"/>
    <w:rsid w:val="00731D52"/>
    <w:rsid w:val="00732008"/>
    <w:rsid w:val="007328C6"/>
    <w:rsid w:val="007332A4"/>
    <w:rsid w:val="00733626"/>
    <w:rsid w:val="00735C4E"/>
    <w:rsid w:val="0073644F"/>
    <w:rsid w:val="0073688A"/>
    <w:rsid w:val="00736C73"/>
    <w:rsid w:val="00736FAB"/>
    <w:rsid w:val="0073737E"/>
    <w:rsid w:val="00737BF3"/>
    <w:rsid w:val="00737E9D"/>
    <w:rsid w:val="00741014"/>
    <w:rsid w:val="00741869"/>
    <w:rsid w:val="00741B9C"/>
    <w:rsid w:val="00744577"/>
    <w:rsid w:val="00745019"/>
    <w:rsid w:val="00745AEB"/>
    <w:rsid w:val="00746810"/>
    <w:rsid w:val="00746AD5"/>
    <w:rsid w:val="00747046"/>
    <w:rsid w:val="00747AE1"/>
    <w:rsid w:val="00747CD4"/>
    <w:rsid w:val="00750382"/>
    <w:rsid w:val="0075056A"/>
    <w:rsid w:val="0075072A"/>
    <w:rsid w:val="00750F94"/>
    <w:rsid w:val="00751CAE"/>
    <w:rsid w:val="00751FDD"/>
    <w:rsid w:val="00753D53"/>
    <w:rsid w:val="00753F80"/>
    <w:rsid w:val="007542FD"/>
    <w:rsid w:val="00754502"/>
    <w:rsid w:val="007550E9"/>
    <w:rsid w:val="0075548E"/>
    <w:rsid w:val="0075585D"/>
    <w:rsid w:val="00755F86"/>
    <w:rsid w:val="0075626B"/>
    <w:rsid w:val="00756862"/>
    <w:rsid w:val="00760CAB"/>
    <w:rsid w:val="007610E0"/>
    <w:rsid w:val="00761E67"/>
    <w:rsid w:val="00762126"/>
    <w:rsid w:val="00762B98"/>
    <w:rsid w:val="00763996"/>
    <w:rsid w:val="00763B89"/>
    <w:rsid w:val="007642E9"/>
    <w:rsid w:val="00764777"/>
    <w:rsid w:val="00764ACA"/>
    <w:rsid w:val="00764D67"/>
    <w:rsid w:val="007651FD"/>
    <w:rsid w:val="00766255"/>
    <w:rsid w:val="0076681D"/>
    <w:rsid w:val="00767FCD"/>
    <w:rsid w:val="00770969"/>
    <w:rsid w:val="00772498"/>
    <w:rsid w:val="00772A57"/>
    <w:rsid w:val="007732E5"/>
    <w:rsid w:val="00773786"/>
    <w:rsid w:val="007746D0"/>
    <w:rsid w:val="00774809"/>
    <w:rsid w:val="00774B6F"/>
    <w:rsid w:val="00774C6D"/>
    <w:rsid w:val="00774EFE"/>
    <w:rsid w:val="00774F86"/>
    <w:rsid w:val="0077501B"/>
    <w:rsid w:val="00775334"/>
    <w:rsid w:val="007768C9"/>
    <w:rsid w:val="00776B79"/>
    <w:rsid w:val="00777FCA"/>
    <w:rsid w:val="007811C8"/>
    <w:rsid w:val="00782967"/>
    <w:rsid w:val="007836CE"/>
    <w:rsid w:val="00783A9E"/>
    <w:rsid w:val="00784855"/>
    <w:rsid w:val="0078562E"/>
    <w:rsid w:val="00785CF4"/>
    <w:rsid w:val="00786125"/>
    <w:rsid w:val="00786294"/>
    <w:rsid w:val="00786384"/>
    <w:rsid w:val="00786722"/>
    <w:rsid w:val="00787CAC"/>
    <w:rsid w:val="00787E0B"/>
    <w:rsid w:val="00790367"/>
    <w:rsid w:val="0079045E"/>
    <w:rsid w:val="00790E38"/>
    <w:rsid w:val="007911B0"/>
    <w:rsid w:val="007921FE"/>
    <w:rsid w:val="00792347"/>
    <w:rsid w:val="007931A0"/>
    <w:rsid w:val="00793737"/>
    <w:rsid w:val="007945A4"/>
    <w:rsid w:val="0079476C"/>
    <w:rsid w:val="00794E79"/>
    <w:rsid w:val="00795D40"/>
    <w:rsid w:val="00797478"/>
    <w:rsid w:val="007979A0"/>
    <w:rsid w:val="007A0902"/>
    <w:rsid w:val="007A18AF"/>
    <w:rsid w:val="007A1E51"/>
    <w:rsid w:val="007A2287"/>
    <w:rsid w:val="007A2B9E"/>
    <w:rsid w:val="007A30AA"/>
    <w:rsid w:val="007A35D1"/>
    <w:rsid w:val="007A3B49"/>
    <w:rsid w:val="007A3C02"/>
    <w:rsid w:val="007A3F0B"/>
    <w:rsid w:val="007A4110"/>
    <w:rsid w:val="007A4930"/>
    <w:rsid w:val="007A5A8A"/>
    <w:rsid w:val="007A5F43"/>
    <w:rsid w:val="007A7A12"/>
    <w:rsid w:val="007A7E0E"/>
    <w:rsid w:val="007B0B59"/>
    <w:rsid w:val="007B22E3"/>
    <w:rsid w:val="007B2327"/>
    <w:rsid w:val="007B235E"/>
    <w:rsid w:val="007B2977"/>
    <w:rsid w:val="007B2A8E"/>
    <w:rsid w:val="007B308C"/>
    <w:rsid w:val="007B476C"/>
    <w:rsid w:val="007B4C67"/>
    <w:rsid w:val="007B77AF"/>
    <w:rsid w:val="007B77CB"/>
    <w:rsid w:val="007C0455"/>
    <w:rsid w:val="007C0FA0"/>
    <w:rsid w:val="007C0FA1"/>
    <w:rsid w:val="007C11DD"/>
    <w:rsid w:val="007C1982"/>
    <w:rsid w:val="007C215A"/>
    <w:rsid w:val="007C2405"/>
    <w:rsid w:val="007C2626"/>
    <w:rsid w:val="007C3990"/>
    <w:rsid w:val="007C4402"/>
    <w:rsid w:val="007C51A8"/>
    <w:rsid w:val="007C528F"/>
    <w:rsid w:val="007C540D"/>
    <w:rsid w:val="007C566D"/>
    <w:rsid w:val="007C6D8B"/>
    <w:rsid w:val="007C6E29"/>
    <w:rsid w:val="007D0452"/>
    <w:rsid w:val="007D159B"/>
    <w:rsid w:val="007D1A02"/>
    <w:rsid w:val="007D309C"/>
    <w:rsid w:val="007D3AFE"/>
    <w:rsid w:val="007D4202"/>
    <w:rsid w:val="007D4340"/>
    <w:rsid w:val="007D44B6"/>
    <w:rsid w:val="007D479B"/>
    <w:rsid w:val="007D5F05"/>
    <w:rsid w:val="007D66E1"/>
    <w:rsid w:val="007D68F9"/>
    <w:rsid w:val="007D7222"/>
    <w:rsid w:val="007D7845"/>
    <w:rsid w:val="007D7F83"/>
    <w:rsid w:val="007E0535"/>
    <w:rsid w:val="007E1B44"/>
    <w:rsid w:val="007E1E0D"/>
    <w:rsid w:val="007E2989"/>
    <w:rsid w:val="007E2A1B"/>
    <w:rsid w:val="007E2EFC"/>
    <w:rsid w:val="007E4B48"/>
    <w:rsid w:val="007E4EC7"/>
    <w:rsid w:val="007E5358"/>
    <w:rsid w:val="007E5CC1"/>
    <w:rsid w:val="007E7984"/>
    <w:rsid w:val="007F0345"/>
    <w:rsid w:val="007F1560"/>
    <w:rsid w:val="007F1C80"/>
    <w:rsid w:val="007F3314"/>
    <w:rsid w:val="007F371C"/>
    <w:rsid w:val="007F3941"/>
    <w:rsid w:val="007F48A7"/>
    <w:rsid w:val="007F5042"/>
    <w:rsid w:val="007F506D"/>
    <w:rsid w:val="007F613A"/>
    <w:rsid w:val="007F6A2A"/>
    <w:rsid w:val="007F6EC3"/>
    <w:rsid w:val="007F6FBA"/>
    <w:rsid w:val="008007DD"/>
    <w:rsid w:val="00800834"/>
    <w:rsid w:val="00800D40"/>
    <w:rsid w:val="00801A98"/>
    <w:rsid w:val="00801F02"/>
    <w:rsid w:val="008020E3"/>
    <w:rsid w:val="00802162"/>
    <w:rsid w:val="0080253E"/>
    <w:rsid w:val="00802D95"/>
    <w:rsid w:val="00802E01"/>
    <w:rsid w:val="00803225"/>
    <w:rsid w:val="00803E09"/>
    <w:rsid w:val="00806577"/>
    <w:rsid w:val="008066E8"/>
    <w:rsid w:val="008100EC"/>
    <w:rsid w:val="00810522"/>
    <w:rsid w:val="00811106"/>
    <w:rsid w:val="00811B8D"/>
    <w:rsid w:val="0081359B"/>
    <w:rsid w:val="00813757"/>
    <w:rsid w:val="008137C3"/>
    <w:rsid w:val="00815010"/>
    <w:rsid w:val="00815E26"/>
    <w:rsid w:val="00816392"/>
    <w:rsid w:val="00816686"/>
    <w:rsid w:val="00816D6A"/>
    <w:rsid w:val="00817DC6"/>
    <w:rsid w:val="00820A8F"/>
    <w:rsid w:val="00820E6E"/>
    <w:rsid w:val="0082200B"/>
    <w:rsid w:val="008243EC"/>
    <w:rsid w:val="00824649"/>
    <w:rsid w:val="00824EEC"/>
    <w:rsid w:val="00825051"/>
    <w:rsid w:val="0082563F"/>
    <w:rsid w:val="0082581C"/>
    <w:rsid w:val="00827E87"/>
    <w:rsid w:val="008300B1"/>
    <w:rsid w:val="0083100A"/>
    <w:rsid w:val="00831280"/>
    <w:rsid w:val="00831399"/>
    <w:rsid w:val="00831C36"/>
    <w:rsid w:val="0083229F"/>
    <w:rsid w:val="008327EE"/>
    <w:rsid w:val="00832AFE"/>
    <w:rsid w:val="00832CC9"/>
    <w:rsid w:val="008333A3"/>
    <w:rsid w:val="0083407C"/>
    <w:rsid w:val="00834493"/>
    <w:rsid w:val="00834BC1"/>
    <w:rsid w:val="008363A0"/>
    <w:rsid w:val="008363DF"/>
    <w:rsid w:val="0083793C"/>
    <w:rsid w:val="008379B7"/>
    <w:rsid w:val="00837FC3"/>
    <w:rsid w:val="008405C8"/>
    <w:rsid w:val="0084097F"/>
    <w:rsid w:val="00840E13"/>
    <w:rsid w:val="00841A8F"/>
    <w:rsid w:val="00841E5A"/>
    <w:rsid w:val="00841ED8"/>
    <w:rsid w:val="00842C3F"/>
    <w:rsid w:val="00843C07"/>
    <w:rsid w:val="00843DDD"/>
    <w:rsid w:val="00845590"/>
    <w:rsid w:val="0084621D"/>
    <w:rsid w:val="008471F4"/>
    <w:rsid w:val="0084770C"/>
    <w:rsid w:val="008506D7"/>
    <w:rsid w:val="00851434"/>
    <w:rsid w:val="00851AC8"/>
    <w:rsid w:val="00851B2A"/>
    <w:rsid w:val="00852221"/>
    <w:rsid w:val="008525AB"/>
    <w:rsid w:val="0085307B"/>
    <w:rsid w:val="008535E7"/>
    <w:rsid w:val="008537AC"/>
    <w:rsid w:val="008537ED"/>
    <w:rsid w:val="00853D9F"/>
    <w:rsid w:val="008561A6"/>
    <w:rsid w:val="0085627D"/>
    <w:rsid w:val="00856CF5"/>
    <w:rsid w:val="00857401"/>
    <w:rsid w:val="00857AC6"/>
    <w:rsid w:val="00857C4E"/>
    <w:rsid w:val="00857EEC"/>
    <w:rsid w:val="0086062A"/>
    <w:rsid w:val="00860C87"/>
    <w:rsid w:val="00860D21"/>
    <w:rsid w:val="00861B68"/>
    <w:rsid w:val="00861FAC"/>
    <w:rsid w:val="008633FA"/>
    <w:rsid w:val="00863999"/>
    <w:rsid w:val="00863AF7"/>
    <w:rsid w:val="00864382"/>
    <w:rsid w:val="008652EE"/>
    <w:rsid w:val="00867635"/>
    <w:rsid w:val="00870307"/>
    <w:rsid w:val="00870403"/>
    <w:rsid w:val="0087097E"/>
    <w:rsid w:val="008710B7"/>
    <w:rsid w:val="008724C2"/>
    <w:rsid w:val="00873437"/>
    <w:rsid w:val="008734B5"/>
    <w:rsid w:val="00873F99"/>
    <w:rsid w:val="00873FE8"/>
    <w:rsid w:val="008741E7"/>
    <w:rsid w:val="008746EF"/>
    <w:rsid w:val="00874923"/>
    <w:rsid w:val="008759B0"/>
    <w:rsid w:val="00877190"/>
    <w:rsid w:val="0087726B"/>
    <w:rsid w:val="0087796B"/>
    <w:rsid w:val="00877D7A"/>
    <w:rsid w:val="008802FE"/>
    <w:rsid w:val="008807A8"/>
    <w:rsid w:val="00880EB7"/>
    <w:rsid w:val="008816CA"/>
    <w:rsid w:val="0088260C"/>
    <w:rsid w:val="00882FCA"/>
    <w:rsid w:val="00884333"/>
    <w:rsid w:val="00884790"/>
    <w:rsid w:val="008847B7"/>
    <w:rsid w:val="00885392"/>
    <w:rsid w:val="008854A7"/>
    <w:rsid w:val="00885C69"/>
    <w:rsid w:val="0088606D"/>
    <w:rsid w:val="008862D6"/>
    <w:rsid w:val="00886BB6"/>
    <w:rsid w:val="008873B4"/>
    <w:rsid w:val="00890174"/>
    <w:rsid w:val="00890541"/>
    <w:rsid w:val="00890770"/>
    <w:rsid w:val="00890826"/>
    <w:rsid w:val="00891B1A"/>
    <w:rsid w:val="00892D45"/>
    <w:rsid w:val="00893529"/>
    <w:rsid w:val="00893D31"/>
    <w:rsid w:val="00894228"/>
    <w:rsid w:val="008944F0"/>
    <w:rsid w:val="00894C6C"/>
    <w:rsid w:val="00894EE5"/>
    <w:rsid w:val="00895029"/>
    <w:rsid w:val="00895C85"/>
    <w:rsid w:val="00896376"/>
    <w:rsid w:val="00896511"/>
    <w:rsid w:val="0089671A"/>
    <w:rsid w:val="00896C52"/>
    <w:rsid w:val="0089713A"/>
    <w:rsid w:val="00897DCB"/>
    <w:rsid w:val="00897EC7"/>
    <w:rsid w:val="00897FD6"/>
    <w:rsid w:val="008A03E6"/>
    <w:rsid w:val="008A08D6"/>
    <w:rsid w:val="008A13C0"/>
    <w:rsid w:val="008A180F"/>
    <w:rsid w:val="008A26EA"/>
    <w:rsid w:val="008A2D0B"/>
    <w:rsid w:val="008A343B"/>
    <w:rsid w:val="008A3B9A"/>
    <w:rsid w:val="008A5C51"/>
    <w:rsid w:val="008A5E1D"/>
    <w:rsid w:val="008A6603"/>
    <w:rsid w:val="008A6B0B"/>
    <w:rsid w:val="008A720D"/>
    <w:rsid w:val="008B08B0"/>
    <w:rsid w:val="008B175D"/>
    <w:rsid w:val="008B2320"/>
    <w:rsid w:val="008B2770"/>
    <w:rsid w:val="008B3242"/>
    <w:rsid w:val="008B33EC"/>
    <w:rsid w:val="008B371C"/>
    <w:rsid w:val="008B3B8D"/>
    <w:rsid w:val="008B3BB8"/>
    <w:rsid w:val="008B3D66"/>
    <w:rsid w:val="008B4E83"/>
    <w:rsid w:val="008B5201"/>
    <w:rsid w:val="008B57B0"/>
    <w:rsid w:val="008B6B54"/>
    <w:rsid w:val="008B6B7C"/>
    <w:rsid w:val="008B6D41"/>
    <w:rsid w:val="008B7A9B"/>
    <w:rsid w:val="008B7B05"/>
    <w:rsid w:val="008C1BE5"/>
    <w:rsid w:val="008C2629"/>
    <w:rsid w:val="008C2B8C"/>
    <w:rsid w:val="008C33DC"/>
    <w:rsid w:val="008C354C"/>
    <w:rsid w:val="008C3BE0"/>
    <w:rsid w:val="008C405B"/>
    <w:rsid w:val="008C4B11"/>
    <w:rsid w:val="008C5027"/>
    <w:rsid w:val="008C6053"/>
    <w:rsid w:val="008C7271"/>
    <w:rsid w:val="008C7A08"/>
    <w:rsid w:val="008C7E19"/>
    <w:rsid w:val="008D05EA"/>
    <w:rsid w:val="008D1553"/>
    <w:rsid w:val="008D4156"/>
    <w:rsid w:val="008D415C"/>
    <w:rsid w:val="008D5895"/>
    <w:rsid w:val="008D5A3F"/>
    <w:rsid w:val="008D5EAB"/>
    <w:rsid w:val="008D61AA"/>
    <w:rsid w:val="008D6576"/>
    <w:rsid w:val="008E01EB"/>
    <w:rsid w:val="008E09E5"/>
    <w:rsid w:val="008E10BB"/>
    <w:rsid w:val="008E1145"/>
    <w:rsid w:val="008E18BF"/>
    <w:rsid w:val="008E26B7"/>
    <w:rsid w:val="008E286A"/>
    <w:rsid w:val="008E2933"/>
    <w:rsid w:val="008E4AFE"/>
    <w:rsid w:val="008E57E3"/>
    <w:rsid w:val="008E79F0"/>
    <w:rsid w:val="008F0A10"/>
    <w:rsid w:val="008F15A3"/>
    <w:rsid w:val="008F1720"/>
    <w:rsid w:val="008F1F66"/>
    <w:rsid w:val="008F28A7"/>
    <w:rsid w:val="008F2EFD"/>
    <w:rsid w:val="008F2FF0"/>
    <w:rsid w:val="008F3432"/>
    <w:rsid w:val="008F4356"/>
    <w:rsid w:val="008F44CA"/>
    <w:rsid w:val="008F50AD"/>
    <w:rsid w:val="008F5323"/>
    <w:rsid w:val="008F546F"/>
    <w:rsid w:val="008F5C54"/>
    <w:rsid w:val="008F64DF"/>
    <w:rsid w:val="008F6992"/>
    <w:rsid w:val="008F70D0"/>
    <w:rsid w:val="008F7176"/>
    <w:rsid w:val="008F7AF5"/>
    <w:rsid w:val="008F7E4E"/>
    <w:rsid w:val="00901487"/>
    <w:rsid w:val="00901AF4"/>
    <w:rsid w:val="00901B84"/>
    <w:rsid w:val="00901CD9"/>
    <w:rsid w:val="00901E08"/>
    <w:rsid w:val="009022FE"/>
    <w:rsid w:val="00902C53"/>
    <w:rsid w:val="0090332A"/>
    <w:rsid w:val="0090371E"/>
    <w:rsid w:val="00903D6D"/>
    <w:rsid w:val="00904D6E"/>
    <w:rsid w:val="00906CA5"/>
    <w:rsid w:val="009072F1"/>
    <w:rsid w:val="009101BE"/>
    <w:rsid w:val="00910212"/>
    <w:rsid w:val="00910296"/>
    <w:rsid w:val="009108EF"/>
    <w:rsid w:val="00911022"/>
    <w:rsid w:val="009116BA"/>
    <w:rsid w:val="00911C1E"/>
    <w:rsid w:val="00912261"/>
    <w:rsid w:val="009127AD"/>
    <w:rsid w:val="00913136"/>
    <w:rsid w:val="0091353D"/>
    <w:rsid w:val="00913DDF"/>
    <w:rsid w:val="009140A0"/>
    <w:rsid w:val="00914379"/>
    <w:rsid w:val="00914730"/>
    <w:rsid w:val="00914E0A"/>
    <w:rsid w:val="00915181"/>
    <w:rsid w:val="00915A46"/>
    <w:rsid w:val="00915DC2"/>
    <w:rsid w:val="00916147"/>
    <w:rsid w:val="00920833"/>
    <w:rsid w:val="00921CBB"/>
    <w:rsid w:val="00924A36"/>
    <w:rsid w:val="00925156"/>
    <w:rsid w:val="00925FF4"/>
    <w:rsid w:val="00926409"/>
    <w:rsid w:val="00927D75"/>
    <w:rsid w:val="009306FA"/>
    <w:rsid w:val="00930D28"/>
    <w:rsid w:val="00932088"/>
    <w:rsid w:val="009345D4"/>
    <w:rsid w:val="00934A2A"/>
    <w:rsid w:val="00934B60"/>
    <w:rsid w:val="00934B66"/>
    <w:rsid w:val="00934D1A"/>
    <w:rsid w:val="009352EF"/>
    <w:rsid w:val="00935508"/>
    <w:rsid w:val="00936546"/>
    <w:rsid w:val="009376E6"/>
    <w:rsid w:val="00940B21"/>
    <w:rsid w:val="00940F5E"/>
    <w:rsid w:val="00940F6E"/>
    <w:rsid w:val="00941785"/>
    <w:rsid w:val="00941C50"/>
    <w:rsid w:val="009420ED"/>
    <w:rsid w:val="00942FE5"/>
    <w:rsid w:val="00943DAA"/>
    <w:rsid w:val="009444A5"/>
    <w:rsid w:val="009464DC"/>
    <w:rsid w:val="009466D2"/>
    <w:rsid w:val="00947570"/>
    <w:rsid w:val="00947D98"/>
    <w:rsid w:val="00951160"/>
    <w:rsid w:val="00951B10"/>
    <w:rsid w:val="00953202"/>
    <w:rsid w:val="00953DE6"/>
    <w:rsid w:val="00954065"/>
    <w:rsid w:val="00954205"/>
    <w:rsid w:val="0095446F"/>
    <w:rsid w:val="00954E2B"/>
    <w:rsid w:val="009555C1"/>
    <w:rsid w:val="0095560D"/>
    <w:rsid w:val="0095653D"/>
    <w:rsid w:val="0095771C"/>
    <w:rsid w:val="00961462"/>
    <w:rsid w:val="0096348C"/>
    <w:rsid w:val="0096374C"/>
    <w:rsid w:val="009642D7"/>
    <w:rsid w:val="0096530F"/>
    <w:rsid w:val="00965BCB"/>
    <w:rsid w:val="00966715"/>
    <w:rsid w:val="009672E1"/>
    <w:rsid w:val="009677F0"/>
    <w:rsid w:val="009708ED"/>
    <w:rsid w:val="00970A4F"/>
    <w:rsid w:val="0097186F"/>
    <w:rsid w:val="00972413"/>
    <w:rsid w:val="0097331F"/>
    <w:rsid w:val="00973ABF"/>
    <w:rsid w:val="00973FA0"/>
    <w:rsid w:val="00974666"/>
    <w:rsid w:val="009752B4"/>
    <w:rsid w:val="0097621E"/>
    <w:rsid w:val="00976545"/>
    <w:rsid w:val="00976A27"/>
    <w:rsid w:val="00977270"/>
    <w:rsid w:val="00980441"/>
    <w:rsid w:val="009806B5"/>
    <w:rsid w:val="009810F2"/>
    <w:rsid w:val="00981B1F"/>
    <w:rsid w:val="00981E8F"/>
    <w:rsid w:val="00981EF3"/>
    <w:rsid w:val="00982418"/>
    <w:rsid w:val="00982CC5"/>
    <w:rsid w:val="00982EB3"/>
    <w:rsid w:val="00983314"/>
    <w:rsid w:val="00983761"/>
    <w:rsid w:val="00983863"/>
    <w:rsid w:val="00985024"/>
    <w:rsid w:val="0098522B"/>
    <w:rsid w:val="00985366"/>
    <w:rsid w:val="00985AC6"/>
    <w:rsid w:val="00985E3D"/>
    <w:rsid w:val="00985F45"/>
    <w:rsid w:val="00986276"/>
    <w:rsid w:val="009864AC"/>
    <w:rsid w:val="00986FA2"/>
    <w:rsid w:val="009908B9"/>
    <w:rsid w:val="00990AA9"/>
    <w:rsid w:val="00991EAC"/>
    <w:rsid w:val="00993663"/>
    <w:rsid w:val="00993D58"/>
    <w:rsid w:val="00993DA9"/>
    <w:rsid w:val="00993F86"/>
    <w:rsid w:val="00995232"/>
    <w:rsid w:val="0099553C"/>
    <w:rsid w:val="00995D52"/>
    <w:rsid w:val="00995D8D"/>
    <w:rsid w:val="00996E47"/>
    <w:rsid w:val="00997050"/>
    <w:rsid w:val="00997AD4"/>
    <w:rsid w:val="009A17CB"/>
    <w:rsid w:val="009A18D8"/>
    <w:rsid w:val="009A1923"/>
    <w:rsid w:val="009A23D1"/>
    <w:rsid w:val="009A242C"/>
    <w:rsid w:val="009A2731"/>
    <w:rsid w:val="009A274B"/>
    <w:rsid w:val="009A2E6C"/>
    <w:rsid w:val="009A38CB"/>
    <w:rsid w:val="009A4874"/>
    <w:rsid w:val="009A48F4"/>
    <w:rsid w:val="009A4CC1"/>
    <w:rsid w:val="009A4E01"/>
    <w:rsid w:val="009A5905"/>
    <w:rsid w:val="009A73C3"/>
    <w:rsid w:val="009A76DB"/>
    <w:rsid w:val="009B040F"/>
    <w:rsid w:val="009B1466"/>
    <w:rsid w:val="009B2797"/>
    <w:rsid w:val="009B2C90"/>
    <w:rsid w:val="009B3034"/>
    <w:rsid w:val="009B343F"/>
    <w:rsid w:val="009B39C7"/>
    <w:rsid w:val="009B3F56"/>
    <w:rsid w:val="009B46E6"/>
    <w:rsid w:val="009B4C69"/>
    <w:rsid w:val="009B5844"/>
    <w:rsid w:val="009B6A04"/>
    <w:rsid w:val="009B6EDD"/>
    <w:rsid w:val="009B70DF"/>
    <w:rsid w:val="009B74FC"/>
    <w:rsid w:val="009C0785"/>
    <w:rsid w:val="009C0945"/>
    <w:rsid w:val="009C1404"/>
    <w:rsid w:val="009C1FEF"/>
    <w:rsid w:val="009C2C61"/>
    <w:rsid w:val="009C33C6"/>
    <w:rsid w:val="009C3491"/>
    <w:rsid w:val="009C4180"/>
    <w:rsid w:val="009C44DA"/>
    <w:rsid w:val="009C452E"/>
    <w:rsid w:val="009C5209"/>
    <w:rsid w:val="009C702F"/>
    <w:rsid w:val="009C7FBB"/>
    <w:rsid w:val="009D0086"/>
    <w:rsid w:val="009D1021"/>
    <w:rsid w:val="009D1515"/>
    <w:rsid w:val="009D1DED"/>
    <w:rsid w:val="009D2CAA"/>
    <w:rsid w:val="009D4932"/>
    <w:rsid w:val="009D5DC0"/>
    <w:rsid w:val="009D62AD"/>
    <w:rsid w:val="009D7110"/>
    <w:rsid w:val="009E2363"/>
    <w:rsid w:val="009E2531"/>
    <w:rsid w:val="009E2FCA"/>
    <w:rsid w:val="009E381A"/>
    <w:rsid w:val="009E3861"/>
    <w:rsid w:val="009E3EF5"/>
    <w:rsid w:val="009E4C3A"/>
    <w:rsid w:val="009E55D0"/>
    <w:rsid w:val="009E6480"/>
    <w:rsid w:val="009E6E2A"/>
    <w:rsid w:val="009E707D"/>
    <w:rsid w:val="009F01C7"/>
    <w:rsid w:val="009F107D"/>
    <w:rsid w:val="009F13CA"/>
    <w:rsid w:val="009F2546"/>
    <w:rsid w:val="009F2ECE"/>
    <w:rsid w:val="009F3315"/>
    <w:rsid w:val="009F38EF"/>
    <w:rsid w:val="009F3C71"/>
    <w:rsid w:val="009F4182"/>
    <w:rsid w:val="009F4C6D"/>
    <w:rsid w:val="009F75B5"/>
    <w:rsid w:val="00A0224C"/>
    <w:rsid w:val="00A02505"/>
    <w:rsid w:val="00A04B67"/>
    <w:rsid w:val="00A04DC9"/>
    <w:rsid w:val="00A050A5"/>
    <w:rsid w:val="00A06E4D"/>
    <w:rsid w:val="00A0719E"/>
    <w:rsid w:val="00A10438"/>
    <w:rsid w:val="00A10778"/>
    <w:rsid w:val="00A11684"/>
    <w:rsid w:val="00A11C81"/>
    <w:rsid w:val="00A12148"/>
    <w:rsid w:val="00A12754"/>
    <w:rsid w:val="00A1291B"/>
    <w:rsid w:val="00A12F4F"/>
    <w:rsid w:val="00A13BB1"/>
    <w:rsid w:val="00A146CF"/>
    <w:rsid w:val="00A14C0F"/>
    <w:rsid w:val="00A14ED7"/>
    <w:rsid w:val="00A14F0B"/>
    <w:rsid w:val="00A15099"/>
    <w:rsid w:val="00A1545D"/>
    <w:rsid w:val="00A154D5"/>
    <w:rsid w:val="00A159C4"/>
    <w:rsid w:val="00A15C8A"/>
    <w:rsid w:val="00A16D09"/>
    <w:rsid w:val="00A172BB"/>
    <w:rsid w:val="00A17692"/>
    <w:rsid w:val="00A201C8"/>
    <w:rsid w:val="00A20239"/>
    <w:rsid w:val="00A206FB"/>
    <w:rsid w:val="00A208D6"/>
    <w:rsid w:val="00A2161D"/>
    <w:rsid w:val="00A22269"/>
    <w:rsid w:val="00A23054"/>
    <w:rsid w:val="00A243D0"/>
    <w:rsid w:val="00A24A13"/>
    <w:rsid w:val="00A24F38"/>
    <w:rsid w:val="00A25BF6"/>
    <w:rsid w:val="00A25DAA"/>
    <w:rsid w:val="00A27976"/>
    <w:rsid w:val="00A27FF5"/>
    <w:rsid w:val="00A301C8"/>
    <w:rsid w:val="00A3061C"/>
    <w:rsid w:val="00A30C34"/>
    <w:rsid w:val="00A32572"/>
    <w:rsid w:val="00A32D2C"/>
    <w:rsid w:val="00A331E8"/>
    <w:rsid w:val="00A347D9"/>
    <w:rsid w:val="00A348E1"/>
    <w:rsid w:val="00A34C8E"/>
    <w:rsid w:val="00A36C23"/>
    <w:rsid w:val="00A36D8B"/>
    <w:rsid w:val="00A37899"/>
    <w:rsid w:val="00A4001B"/>
    <w:rsid w:val="00A4034B"/>
    <w:rsid w:val="00A41C00"/>
    <w:rsid w:val="00A41C18"/>
    <w:rsid w:val="00A41DA6"/>
    <w:rsid w:val="00A4253C"/>
    <w:rsid w:val="00A428CC"/>
    <w:rsid w:val="00A43061"/>
    <w:rsid w:val="00A43CC4"/>
    <w:rsid w:val="00A43F50"/>
    <w:rsid w:val="00A4440B"/>
    <w:rsid w:val="00A4473A"/>
    <w:rsid w:val="00A44B0F"/>
    <w:rsid w:val="00A45184"/>
    <w:rsid w:val="00A453C1"/>
    <w:rsid w:val="00A45682"/>
    <w:rsid w:val="00A462AA"/>
    <w:rsid w:val="00A462AB"/>
    <w:rsid w:val="00A463F1"/>
    <w:rsid w:val="00A46721"/>
    <w:rsid w:val="00A46C62"/>
    <w:rsid w:val="00A46D58"/>
    <w:rsid w:val="00A46F7F"/>
    <w:rsid w:val="00A47B54"/>
    <w:rsid w:val="00A50D93"/>
    <w:rsid w:val="00A5285E"/>
    <w:rsid w:val="00A53432"/>
    <w:rsid w:val="00A53D81"/>
    <w:rsid w:val="00A545DC"/>
    <w:rsid w:val="00A54EF3"/>
    <w:rsid w:val="00A554A4"/>
    <w:rsid w:val="00A567A9"/>
    <w:rsid w:val="00A56A02"/>
    <w:rsid w:val="00A56B96"/>
    <w:rsid w:val="00A57658"/>
    <w:rsid w:val="00A57728"/>
    <w:rsid w:val="00A60F4A"/>
    <w:rsid w:val="00A61072"/>
    <w:rsid w:val="00A612C8"/>
    <w:rsid w:val="00A61652"/>
    <w:rsid w:val="00A63424"/>
    <w:rsid w:val="00A63CB4"/>
    <w:rsid w:val="00A64A1C"/>
    <w:rsid w:val="00A64DDF"/>
    <w:rsid w:val="00A66410"/>
    <w:rsid w:val="00A66867"/>
    <w:rsid w:val="00A669EA"/>
    <w:rsid w:val="00A66F5A"/>
    <w:rsid w:val="00A67003"/>
    <w:rsid w:val="00A67521"/>
    <w:rsid w:val="00A67C4C"/>
    <w:rsid w:val="00A67D90"/>
    <w:rsid w:val="00A718AD"/>
    <w:rsid w:val="00A71E75"/>
    <w:rsid w:val="00A73CC0"/>
    <w:rsid w:val="00A7423D"/>
    <w:rsid w:val="00A74A4C"/>
    <w:rsid w:val="00A75D95"/>
    <w:rsid w:val="00A80F22"/>
    <w:rsid w:val="00A81E8B"/>
    <w:rsid w:val="00A81EDF"/>
    <w:rsid w:val="00A823A7"/>
    <w:rsid w:val="00A83246"/>
    <w:rsid w:val="00A8463F"/>
    <w:rsid w:val="00A84CE8"/>
    <w:rsid w:val="00A85310"/>
    <w:rsid w:val="00A85EDC"/>
    <w:rsid w:val="00A874AF"/>
    <w:rsid w:val="00A87D78"/>
    <w:rsid w:val="00A90714"/>
    <w:rsid w:val="00A90D2C"/>
    <w:rsid w:val="00A9144B"/>
    <w:rsid w:val="00A91CC6"/>
    <w:rsid w:val="00A92D83"/>
    <w:rsid w:val="00A92E9F"/>
    <w:rsid w:val="00A93053"/>
    <w:rsid w:val="00A93367"/>
    <w:rsid w:val="00A93F90"/>
    <w:rsid w:val="00A946D6"/>
    <w:rsid w:val="00A96B6D"/>
    <w:rsid w:val="00A97012"/>
    <w:rsid w:val="00A977A5"/>
    <w:rsid w:val="00AA0154"/>
    <w:rsid w:val="00AA1EBC"/>
    <w:rsid w:val="00AA2DF4"/>
    <w:rsid w:val="00AA505D"/>
    <w:rsid w:val="00AA5709"/>
    <w:rsid w:val="00AA6368"/>
    <w:rsid w:val="00AA692B"/>
    <w:rsid w:val="00AA7394"/>
    <w:rsid w:val="00AA7873"/>
    <w:rsid w:val="00AB0B64"/>
    <w:rsid w:val="00AB16F3"/>
    <w:rsid w:val="00AB17BA"/>
    <w:rsid w:val="00AB3122"/>
    <w:rsid w:val="00AB3B8C"/>
    <w:rsid w:val="00AB3CFD"/>
    <w:rsid w:val="00AB418B"/>
    <w:rsid w:val="00AB5252"/>
    <w:rsid w:val="00AB6066"/>
    <w:rsid w:val="00AB62D7"/>
    <w:rsid w:val="00AB6860"/>
    <w:rsid w:val="00AB6C70"/>
    <w:rsid w:val="00AB75CE"/>
    <w:rsid w:val="00AC0097"/>
    <w:rsid w:val="00AC0585"/>
    <w:rsid w:val="00AC074F"/>
    <w:rsid w:val="00AC0923"/>
    <w:rsid w:val="00AC2908"/>
    <w:rsid w:val="00AC2C6B"/>
    <w:rsid w:val="00AC332F"/>
    <w:rsid w:val="00AC3750"/>
    <w:rsid w:val="00AC571F"/>
    <w:rsid w:val="00AC6079"/>
    <w:rsid w:val="00AC67F7"/>
    <w:rsid w:val="00AC6FF8"/>
    <w:rsid w:val="00AC7F21"/>
    <w:rsid w:val="00AD034F"/>
    <w:rsid w:val="00AD0A58"/>
    <w:rsid w:val="00AD1EB5"/>
    <w:rsid w:val="00AD2360"/>
    <w:rsid w:val="00AD359B"/>
    <w:rsid w:val="00AD4718"/>
    <w:rsid w:val="00AD4A8D"/>
    <w:rsid w:val="00AD4D4D"/>
    <w:rsid w:val="00AD4F58"/>
    <w:rsid w:val="00AD5745"/>
    <w:rsid w:val="00AD5974"/>
    <w:rsid w:val="00AD60D4"/>
    <w:rsid w:val="00AD6A76"/>
    <w:rsid w:val="00AD78CD"/>
    <w:rsid w:val="00AD78F3"/>
    <w:rsid w:val="00AE02B8"/>
    <w:rsid w:val="00AE09CC"/>
    <w:rsid w:val="00AE0B12"/>
    <w:rsid w:val="00AE102D"/>
    <w:rsid w:val="00AE18A3"/>
    <w:rsid w:val="00AE1959"/>
    <w:rsid w:val="00AE19A8"/>
    <w:rsid w:val="00AE1FAF"/>
    <w:rsid w:val="00AE2631"/>
    <w:rsid w:val="00AE3510"/>
    <w:rsid w:val="00AE6B3D"/>
    <w:rsid w:val="00AE799C"/>
    <w:rsid w:val="00AF0155"/>
    <w:rsid w:val="00AF015C"/>
    <w:rsid w:val="00AF0311"/>
    <w:rsid w:val="00AF0FB4"/>
    <w:rsid w:val="00AF10CB"/>
    <w:rsid w:val="00AF13B3"/>
    <w:rsid w:val="00AF1A2A"/>
    <w:rsid w:val="00AF257A"/>
    <w:rsid w:val="00AF3499"/>
    <w:rsid w:val="00AF3571"/>
    <w:rsid w:val="00AF42EA"/>
    <w:rsid w:val="00AF432A"/>
    <w:rsid w:val="00AF4BB1"/>
    <w:rsid w:val="00AF5AE4"/>
    <w:rsid w:val="00AF6290"/>
    <w:rsid w:val="00AF63C9"/>
    <w:rsid w:val="00B00244"/>
    <w:rsid w:val="00B0082C"/>
    <w:rsid w:val="00B00993"/>
    <w:rsid w:val="00B00F58"/>
    <w:rsid w:val="00B01733"/>
    <w:rsid w:val="00B01F29"/>
    <w:rsid w:val="00B02CBC"/>
    <w:rsid w:val="00B03F90"/>
    <w:rsid w:val="00B0420D"/>
    <w:rsid w:val="00B04253"/>
    <w:rsid w:val="00B05604"/>
    <w:rsid w:val="00B05BC3"/>
    <w:rsid w:val="00B07E38"/>
    <w:rsid w:val="00B10348"/>
    <w:rsid w:val="00B104CD"/>
    <w:rsid w:val="00B112FC"/>
    <w:rsid w:val="00B117D0"/>
    <w:rsid w:val="00B11C5F"/>
    <w:rsid w:val="00B1253E"/>
    <w:rsid w:val="00B13EAD"/>
    <w:rsid w:val="00B1481C"/>
    <w:rsid w:val="00B14A3E"/>
    <w:rsid w:val="00B14EDE"/>
    <w:rsid w:val="00B1565F"/>
    <w:rsid w:val="00B15843"/>
    <w:rsid w:val="00B15ED9"/>
    <w:rsid w:val="00B162BC"/>
    <w:rsid w:val="00B16ADF"/>
    <w:rsid w:val="00B1726B"/>
    <w:rsid w:val="00B17651"/>
    <w:rsid w:val="00B17BE7"/>
    <w:rsid w:val="00B17C88"/>
    <w:rsid w:val="00B17E02"/>
    <w:rsid w:val="00B20FFF"/>
    <w:rsid w:val="00B211F5"/>
    <w:rsid w:val="00B21A8A"/>
    <w:rsid w:val="00B23456"/>
    <w:rsid w:val="00B235F1"/>
    <w:rsid w:val="00B23BE4"/>
    <w:rsid w:val="00B25914"/>
    <w:rsid w:val="00B25FE0"/>
    <w:rsid w:val="00B26F6C"/>
    <w:rsid w:val="00B26FED"/>
    <w:rsid w:val="00B2719C"/>
    <w:rsid w:val="00B2761C"/>
    <w:rsid w:val="00B30085"/>
    <w:rsid w:val="00B30656"/>
    <w:rsid w:val="00B311F3"/>
    <w:rsid w:val="00B31539"/>
    <w:rsid w:val="00B31865"/>
    <w:rsid w:val="00B31FCD"/>
    <w:rsid w:val="00B3206C"/>
    <w:rsid w:val="00B32572"/>
    <w:rsid w:val="00B3270C"/>
    <w:rsid w:val="00B328FF"/>
    <w:rsid w:val="00B3301A"/>
    <w:rsid w:val="00B3305C"/>
    <w:rsid w:val="00B33D57"/>
    <w:rsid w:val="00B34738"/>
    <w:rsid w:val="00B349F9"/>
    <w:rsid w:val="00B3501B"/>
    <w:rsid w:val="00B350B0"/>
    <w:rsid w:val="00B358DE"/>
    <w:rsid w:val="00B360C6"/>
    <w:rsid w:val="00B36FE5"/>
    <w:rsid w:val="00B37266"/>
    <w:rsid w:val="00B37658"/>
    <w:rsid w:val="00B37E63"/>
    <w:rsid w:val="00B4103B"/>
    <w:rsid w:val="00B41296"/>
    <w:rsid w:val="00B4341E"/>
    <w:rsid w:val="00B437BB"/>
    <w:rsid w:val="00B43D1A"/>
    <w:rsid w:val="00B44B56"/>
    <w:rsid w:val="00B45432"/>
    <w:rsid w:val="00B45638"/>
    <w:rsid w:val="00B46AF4"/>
    <w:rsid w:val="00B4766C"/>
    <w:rsid w:val="00B478A2"/>
    <w:rsid w:val="00B509D5"/>
    <w:rsid w:val="00B51709"/>
    <w:rsid w:val="00B51B99"/>
    <w:rsid w:val="00B51C04"/>
    <w:rsid w:val="00B52B77"/>
    <w:rsid w:val="00B52EA4"/>
    <w:rsid w:val="00B53EF8"/>
    <w:rsid w:val="00B55F8F"/>
    <w:rsid w:val="00B561EC"/>
    <w:rsid w:val="00B56420"/>
    <w:rsid w:val="00B57444"/>
    <w:rsid w:val="00B57AAA"/>
    <w:rsid w:val="00B57E63"/>
    <w:rsid w:val="00B60547"/>
    <w:rsid w:val="00B6204D"/>
    <w:rsid w:val="00B625D3"/>
    <w:rsid w:val="00B6278D"/>
    <w:rsid w:val="00B62A1F"/>
    <w:rsid w:val="00B62CDB"/>
    <w:rsid w:val="00B630D4"/>
    <w:rsid w:val="00B66464"/>
    <w:rsid w:val="00B679FC"/>
    <w:rsid w:val="00B70B53"/>
    <w:rsid w:val="00B711B0"/>
    <w:rsid w:val="00B71948"/>
    <w:rsid w:val="00B72978"/>
    <w:rsid w:val="00B729A3"/>
    <w:rsid w:val="00B72AF1"/>
    <w:rsid w:val="00B734EF"/>
    <w:rsid w:val="00B73CA2"/>
    <w:rsid w:val="00B753FC"/>
    <w:rsid w:val="00B75447"/>
    <w:rsid w:val="00B756A3"/>
    <w:rsid w:val="00B76166"/>
    <w:rsid w:val="00B763DD"/>
    <w:rsid w:val="00B77D01"/>
    <w:rsid w:val="00B77E32"/>
    <w:rsid w:val="00B80610"/>
    <w:rsid w:val="00B822A6"/>
    <w:rsid w:val="00B82F22"/>
    <w:rsid w:val="00B82FA5"/>
    <w:rsid w:val="00B841CB"/>
    <w:rsid w:val="00B84520"/>
    <w:rsid w:val="00B85716"/>
    <w:rsid w:val="00B85F2D"/>
    <w:rsid w:val="00B86167"/>
    <w:rsid w:val="00B8674B"/>
    <w:rsid w:val="00B90A49"/>
    <w:rsid w:val="00B911D0"/>
    <w:rsid w:val="00B91BA3"/>
    <w:rsid w:val="00B92444"/>
    <w:rsid w:val="00B93DA6"/>
    <w:rsid w:val="00B9416C"/>
    <w:rsid w:val="00B945C1"/>
    <w:rsid w:val="00B948C6"/>
    <w:rsid w:val="00B9498F"/>
    <w:rsid w:val="00B95918"/>
    <w:rsid w:val="00B95C8C"/>
    <w:rsid w:val="00B9691F"/>
    <w:rsid w:val="00B97AD6"/>
    <w:rsid w:val="00BA050C"/>
    <w:rsid w:val="00BA0AAE"/>
    <w:rsid w:val="00BA0BBA"/>
    <w:rsid w:val="00BA0C6F"/>
    <w:rsid w:val="00BA0EA8"/>
    <w:rsid w:val="00BA1129"/>
    <w:rsid w:val="00BA1ECB"/>
    <w:rsid w:val="00BA2178"/>
    <w:rsid w:val="00BA3C80"/>
    <w:rsid w:val="00BA45CB"/>
    <w:rsid w:val="00BA476F"/>
    <w:rsid w:val="00BA50DB"/>
    <w:rsid w:val="00BA5BE0"/>
    <w:rsid w:val="00BA6358"/>
    <w:rsid w:val="00BA725C"/>
    <w:rsid w:val="00BB0289"/>
    <w:rsid w:val="00BB066D"/>
    <w:rsid w:val="00BB0995"/>
    <w:rsid w:val="00BB1065"/>
    <w:rsid w:val="00BB1A95"/>
    <w:rsid w:val="00BB26F4"/>
    <w:rsid w:val="00BB319D"/>
    <w:rsid w:val="00BB3FC4"/>
    <w:rsid w:val="00BB5987"/>
    <w:rsid w:val="00BB6562"/>
    <w:rsid w:val="00BB6691"/>
    <w:rsid w:val="00BB6AEC"/>
    <w:rsid w:val="00BB6FA1"/>
    <w:rsid w:val="00BB73C4"/>
    <w:rsid w:val="00BB7DC9"/>
    <w:rsid w:val="00BC01B6"/>
    <w:rsid w:val="00BC09DA"/>
    <w:rsid w:val="00BC18E6"/>
    <w:rsid w:val="00BC1E54"/>
    <w:rsid w:val="00BC2F14"/>
    <w:rsid w:val="00BC46C8"/>
    <w:rsid w:val="00BC4910"/>
    <w:rsid w:val="00BC507A"/>
    <w:rsid w:val="00BC50F9"/>
    <w:rsid w:val="00BC54BA"/>
    <w:rsid w:val="00BC5C2B"/>
    <w:rsid w:val="00BC5D55"/>
    <w:rsid w:val="00BC6067"/>
    <w:rsid w:val="00BC6A84"/>
    <w:rsid w:val="00BC74D0"/>
    <w:rsid w:val="00BD02E5"/>
    <w:rsid w:val="00BD0945"/>
    <w:rsid w:val="00BD0B89"/>
    <w:rsid w:val="00BD13E4"/>
    <w:rsid w:val="00BD161A"/>
    <w:rsid w:val="00BD1A9F"/>
    <w:rsid w:val="00BD25E3"/>
    <w:rsid w:val="00BD264A"/>
    <w:rsid w:val="00BD48EF"/>
    <w:rsid w:val="00BD4B2B"/>
    <w:rsid w:val="00BD54C2"/>
    <w:rsid w:val="00BD5CB9"/>
    <w:rsid w:val="00BD6CA1"/>
    <w:rsid w:val="00BD7F71"/>
    <w:rsid w:val="00BE09C5"/>
    <w:rsid w:val="00BE0DAB"/>
    <w:rsid w:val="00BE0E91"/>
    <w:rsid w:val="00BE1330"/>
    <w:rsid w:val="00BE15D6"/>
    <w:rsid w:val="00BE1673"/>
    <w:rsid w:val="00BE204A"/>
    <w:rsid w:val="00BE27F7"/>
    <w:rsid w:val="00BE28B6"/>
    <w:rsid w:val="00BE4430"/>
    <w:rsid w:val="00BE59FD"/>
    <w:rsid w:val="00BF04BB"/>
    <w:rsid w:val="00BF08E9"/>
    <w:rsid w:val="00BF35E6"/>
    <w:rsid w:val="00BF3CAA"/>
    <w:rsid w:val="00BF45AC"/>
    <w:rsid w:val="00BF4BC9"/>
    <w:rsid w:val="00BF5C8C"/>
    <w:rsid w:val="00BF64CB"/>
    <w:rsid w:val="00C00AE6"/>
    <w:rsid w:val="00C00CC7"/>
    <w:rsid w:val="00C013E2"/>
    <w:rsid w:val="00C019E0"/>
    <w:rsid w:val="00C01E4D"/>
    <w:rsid w:val="00C01F88"/>
    <w:rsid w:val="00C024A9"/>
    <w:rsid w:val="00C024AB"/>
    <w:rsid w:val="00C024BA"/>
    <w:rsid w:val="00C02ADB"/>
    <w:rsid w:val="00C02CDA"/>
    <w:rsid w:val="00C03689"/>
    <w:rsid w:val="00C04229"/>
    <w:rsid w:val="00C04242"/>
    <w:rsid w:val="00C04676"/>
    <w:rsid w:val="00C0589D"/>
    <w:rsid w:val="00C05FD4"/>
    <w:rsid w:val="00C062E9"/>
    <w:rsid w:val="00C07E70"/>
    <w:rsid w:val="00C11FA8"/>
    <w:rsid w:val="00C12043"/>
    <w:rsid w:val="00C12BF7"/>
    <w:rsid w:val="00C146BB"/>
    <w:rsid w:val="00C14DD6"/>
    <w:rsid w:val="00C1604E"/>
    <w:rsid w:val="00C16990"/>
    <w:rsid w:val="00C16B36"/>
    <w:rsid w:val="00C170E6"/>
    <w:rsid w:val="00C17B8D"/>
    <w:rsid w:val="00C20355"/>
    <w:rsid w:val="00C20AD0"/>
    <w:rsid w:val="00C2172F"/>
    <w:rsid w:val="00C21B20"/>
    <w:rsid w:val="00C23022"/>
    <w:rsid w:val="00C232F8"/>
    <w:rsid w:val="00C2334B"/>
    <w:rsid w:val="00C248CF"/>
    <w:rsid w:val="00C24DE5"/>
    <w:rsid w:val="00C257C0"/>
    <w:rsid w:val="00C2630D"/>
    <w:rsid w:val="00C267BF"/>
    <w:rsid w:val="00C269AC"/>
    <w:rsid w:val="00C310E8"/>
    <w:rsid w:val="00C312B4"/>
    <w:rsid w:val="00C31532"/>
    <w:rsid w:val="00C32318"/>
    <w:rsid w:val="00C32954"/>
    <w:rsid w:val="00C32D5F"/>
    <w:rsid w:val="00C32D79"/>
    <w:rsid w:val="00C332FE"/>
    <w:rsid w:val="00C3403E"/>
    <w:rsid w:val="00C3435B"/>
    <w:rsid w:val="00C3482C"/>
    <w:rsid w:val="00C35F45"/>
    <w:rsid w:val="00C3657B"/>
    <w:rsid w:val="00C4030D"/>
    <w:rsid w:val="00C40358"/>
    <w:rsid w:val="00C4065F"/>
    <w:rsid w:val="00C42288"/>
    <w:rsid w:val="00C43E36"/>
    <w:rsid w:val="00C4467D"/>
    <w:rsid w:val="00C4485B"/>
    <w:rsid w:val="00C44BC1"/>
    <w:rsid w:val="00C45049"/>
    <w:rsid w:val="00C4519E"/>
    <w:rsid w:val="00C455AB"/>
    <w:rsid w:val="00C4591F"/>
    <w:rsid w:val="00C45D24"/>
    <w:rsid w:val="00C46DBB"/>
    <w:rsid w:val="00C475DA"/>
    <w:rsid w:val="00C476EC"/>
    <w:rsid w:val="00C47C21"/>
    <w:rsid w:val="00C53087"/>
    <w:rsid w:val="00C53ADD"/>
    <w:rsid w:val="00C53D45"/>
    <w:rsid w:val="00C54952"/>
    <w:rsid w:val="00C55C8D"/>
    <w:rsid w:val="00C55F0E"/>
    <w:rsid w:val="00C5672A"/>
    <w:rsid w:val="00C57BAF"/>
    <w:rsid w:val="00C60211"/>
    <w:rsid w:val="00C60AD0"/>
    <w:rsid w:val="00C60C39"/>
    <w:rsid w:val="00C60E6C"/>
    <w:rsid w:val="00C61754"/>
    <w:rsid w:val="00C61B5C"/>
    <w:rsid w:val="00C628EF"/>
    <w:rsid w:val="00C635C3"/>
    <w:rsid w:val="00C63DBA"/>
    <w:rsid w:val="00C64682"/>
    <w:rsid w:val="00C646C3"/>
    <w:rsid w:val="00C64784"/>
    <w:rsid w:val="00C6480D"/>
    <w:rsid w:val="00C648A0"/>
    <w:rsid w:val="00C65AA5"/>
    <w:rsid w:val="00C66B76"/>
    <w:rsid w:val="00C67CF2"/>
    <w:rsid w:val="00C70687"/>
    <w:rsid w:val="00C70A2B"/>
    <w:rsid w:val="00C70BE3"/>
    <w:rsid w:val="00C7186F"/>
    <w:rsid w:val="00C718C7"/>
    <w:rsid w:val="00C71CD0"/>
    <w:rsid w:val="00C72795"/>
    <w:rsid w:val="00C73221"/>
    <w:rsid w:val="00C74C8E"/>
    <w:rsid w:val="00C7534F"/>
    <w:rsid w:val="00C7568B"/>
    <w:rsid w:val="00C771B2"/>
    <w:rsid w:val="00C77418"/>
    <w:rsid w:val="00C77C1F"/>
    <w:rsid w:val="00C77D21"/>
    <w:rsid w:val="00C77EAC"/>
    <w:rsid w:val="00C80594"/>
    <w:rsid w:val="00C80A50"/>
    <w:rsid w:val="00C8108A"/>
    <w:rsid w:val="00C8219C"/>
    <w:rsid w:val="00C8222F"/>
    <w:rsid w:val="00C82325"/>
    <w:rsid w:val="00C82F4A"/>
    <w:rsid w:val="00C82F65"/>
    <w:rsid w:val="00C839D7"/>
    <w:rsid w:val="00C84B7F"/>
    <w:rsid w:val="00C852E8"/>
    <w:rsid w:val="00C85469"/>
    <w:rsid w:val="00C8575B"/>
    <w:rsid w:val="00C85D54"/>
    <w:rsid w:val="00C869B0"/>
    <w:rsid w:val="00C872DE"/>
    <w:rsid w:val="00C87EE0"/>
    <w:rsid w:val="00C9096D"/>
    <w:rsid w:val="00C91469"/>
    <w:rsid w:val="00C91725"/>
    <w:rsid w:val="00C91A02"/>
    <w:rsid w:val="00C9286A"/>
    <w:rsid w:val="00C92E3E"/>
    <w:rsid w:val="00C9300D"/>
    <w:rsid w:val="00C941C3"/>
    <w:rsid w:val="00C94F0D"/>
    <w:rsid w:val="00C95762"/>
    <w:rsid w:val="00C95764"/>
    <w:rsid w:val="00C9588C"/>
    <w:rsid w:val="00C96D7D"/>
    <w:rsid w:val="00C975AD"/>
    <w:rsid w:val="00CA0292"/>
    <w:rsid w:val="00CA1759"/>
    <w:rsid w:val="00CA1E35"/>
    <w:rsid w:val="00CA2476"/>
    <w:rsid w:val="00CA27E3"/>
    <w:rsid w:val="00CA2E3F"/>
    <w:rsid w:val="00CA394A"/>
    <w:rsid w:val="00CA450E"/>
    <w:rsid w:val="00CA5AAD"/>
    <w:rsid w:val="00CA5D22"/>
    <w:rsid w:val="00CA666A"/>
    <w:rsid w:val="00CA67A1"/>
    <w:rsid w:val="00CA694C"/>
    <w:rsid w:val="00CA6ADA"/>
    <w:rsid w:val="00CA6B16"/>
    <w:rsid w:val="00CA7AA5"/>
    <w:rsid w:val="00CA7E06"/>
    <w:rsid w:val="00CB00E7"/>
    <w:rsid w:val="00CB1308"/>
    <w:rsid w:val="00CB303F"/>
    <w:rsid w:val="00CB3124"/>
    <w:rsid w:val="00CB3C86"/>
    <w:rsid w:val="00CB40FD"/>
    <w:rsid w:val="00CB50A4"/>
    <w:rsid w:val="00CB558B"/>
    <w:rsid w:val="00CB55BA"/>
    <w:rsid w:val="00CB5875"/>
    <w:rsid w:val="00CB619E"/>
    <w:rsid w:val="00CB745A"/>
    <w:rsid w:val="00CB7C78"/>
    <w:rsid w:val="00CB7C99"/>
    <w:rsid w:val="00CB7F4B"/>
    <w:rsid w:val="00CC06DB"/>
    <w:rsid w:val="00CC0AAB"/>
    <w:rsid w:val="00CC0AAD"/>
    <w:rsid w:val="00CC2B52"/>
    <w:rsid w:val="00CC38AA"/>
    <w:rsid w:val="00CC4349"/>
    <w:rsid w:val="00CC46B8"/>
    <w:rsid w:val="00CC47F7"/>
    <w:rsid w:val="00CC4CFA"/>
    <w:rsid w:val="00CC4DA0"/>
    <w:rsid w:val="00CC4E73"/>
    <w:rsid w:val="00CC5414"/>
    <w:rsid w:val="00CC5B9F"/>
    <w:rsid w:val="00CC5CD1"/>
    <w:rsid w:val="00CC6A99"/>
    <w:rsid w:val="00CC6EED"/>
    <w:rsid w:val="00CC7188"/>
    <w:rsid w:val="00CC7C30"/>
    <w:rsid w:val="00CC7F19"/>
    <w:rsid w:val="00CD000D"/>
    <w:rsid w:val="00CD0320"/>
    <w:rsid w:val="00CD0847"/>
    <w:rsid w:val="00CD09E0"/>
    <w:rsid w:val="00CD1857"/>
    <w:rsid w:val="00CD212E"/>
    <w:rsid w:val="00CD244A"/>
    <w:rsid w:val="00CD3E7D"/>
    <w:rsid w:val="00CD50AA"/>
    <w:rsid w:val="00CD5DF0"/>
    <w:rsid w:val="00CD6D2B"/>
    <w:rsid w:val="00CD6F7C"/>
    <w:rsid w:val="00CD7025"/>
    <w:rsid w:val="00CD762C"/>
    <w:rsid w:val="00CD7DDD"/>
    <w:rsid w:val="00CE03E6"/>
    <w:rsid w:val="00CE0D91"/>
    <w:rsid w:val="00CE18D5"/>
    <w:rsid w:val="00CE2059"/>
    <w:rsid w:val="00CE2157"/>
    <w:rsid w:val="00CE2388"/>
    <w:rsid w:val="00CE2E99"/>
    <w:rsid w:val="00CE3203"/>
    <w:rsid w:val="00CE36D0"/>
    <w:rsid w:val="00CE395B"/>
    <w:rsid w:val="00CE4D10"/>
    <w:rsid w:val="00CE55E9"/>
    <w:rsid w:val="00CE5F92"/>
    <w:rsid w:val="00CE63DE"/>
    <w:rsid w:val="00CE63E5"/>
    <w:rsid w:val="00CE657A"/>
    <w:rsid w:val="00CE6BD5"/>
    <w:rsid w:val="00CF2DC4"/>
    <w:rsid w:val="00CF4F23"/>
    <w:rsid w:val="00CF52FF"/>
    <w:rsid w:val="00CF56B9"/>
    <w:rsid w:val="00CF56ED"/>
    <w:rsid w:val="00CF57A4"/>
    <w:rsid w:val="00CF5DFC"/>
    <w:rsid w:val="00CF658E"/>
    <w:rsid w:val="00CF7180"/>
    <w:rsid w:val="00CF739E"/>
    <w:rsid w:val="00CF7963"/>
    <w:rsid w:val="00CF7A90"/>
    <w:rsid w:val="00CF7BFC"/>
    <w:rsid w:val="00D002E6"/>
    <w:rsid w:val="00D01CB7"/>
    <w:rsid w:val="00D02976"/>
    <w:rsid w:val="00D02E39"/>
    <w:rsid w:val="00D0370F"/>
    <w:rsid w:val="00D038CA"/>
    <w:rsid w:val="00D0398A"/>
    <w:rsid w:val="00D043A6"/>
    <w:rsid w:val="00D043B6"/>
    <w:rsid w:val="00D0449C"/>
    <w:rsid w:val="00D04B33"/>
    <w:rsid w:val="00D04CEE"/>
    <w:rsid w:val="00D05EF4"/>
    <w:rsid w:val="00D06014"/>
    <w:rsid w:val="00D06DF8"/>
    <w:rsid w:val="00D075DE"/>
    <w:rsid w:val="00D07965"/>
    <w:rsid w:val="00D07D6F"/>
    <w:rsid w:val="00D1052F"/>
    <w:rsid w:val="00D10611"/>
    <w:rsid w:val="00D10C96"/>
    <w:rsid w:val="00D120B5"/>
    <w:rsid w:val="00D122AF"/>
    <w:rsid w:val="00D12744"/>
    <w:rsid w:val="00D140DF"/>
    <w:rsid w:val="00D14119"/>
    <w:rsid w:val="00D14427"/>
    <w:rsid w:val="00D15AE9"/>
    <w:rsid w:val="00D16E73"/>
    <w:rsid w:val="00D17A3B"/>
    <w:rsid w:val="00D21175"/>
    <w:rsid w:val="00D217FA"/>
    <w:rsid w:val="00D22F4E"/>
    <w:rsid w:val="00D23099"/>
    <w:rsid w:val="00D23924"/>
    <w:rsid w:val="00D23DEB"/>
    <w:rsid w:val="00D26E1D"/>
    <w:rsid w:val="00D2788B"/>
    <w:rsid w:val="00D27CA5"/>
    <w:rsid w:val="00D3033C"/>
    <w:rsid w:val="00D30928"/>
    <w:rsid w:val="00D310C1"/>
    <w:rsid w:val="00D31405"/>
    <w:rsid w:val="00D316DB"/>
    <w:rsid w:val="00D32C17"/>
    <w:rsid w:val="00D32F09"/>
    <w:rsid w:val="00D336CE"/>
    <w:rsid w:val="00D33942"/>
    <w:rsid w:val="00D341AA"/>
    <w:rsid w:val="00D34C7D"/>
    <w:rsid w:val="00D34F38"/>
    <w:rsid w:val="00D36448"/>
    <w:rsid w:val="00D371A1"/>
    <w:rsid w:val="00D372E3"/>
    <w:rsid w:val="00D37833"/>
    <w:rsid w:val="00D40076"/>
    <w:rsid w:val="00D41A90"/>
    <w:rsid w:val="00D42EFC"/>
    <w:rsid w:val="00D44791"/>
    <w:rsid w:val="00D44D35"/>
    <w:rsid w:val="00D45AAD"/>
    <w:rsid w:val="00D45C91"/>
    <w:rsid w:val="00D46CAD"/>
    <w:rsid w:val="00D46EE9"/>
    <w:rsid w:val="00D47C0B"/>
    <w:rsid w:val="00D47F30"/>
    <w:rsid w:val="00D512F5"/>
    <w:rsid w:val="00D51311"/>
    <w:rsid w:val="00D51814"/>
    <w:rsid w:val="00D524C2"/>
    <w:rsid w:val="00D52975"/>
    <w:rsid w:val="00D52A4D"/>
    <w:rsid w:val="00D56076"/>
    <w:rsid w:val="00D57207"/>
    <w:rsid w:val="00D5751A"/>
    <w:rsid w:val="00D579D0"/>
    <w:rsid w:val="00D57DCF"/>
    <w:rsid w:val="00D6005E"/>
    <w:rsid w:val="00D603CF"/>
    <w:rsid w:val="00D60641"/>
    <w:rsid w:val="00D6083D"/>
    <w:rsid w:val="00D617B1"/>
    <w:rsid w:val="00D62483"/>
    <w:rsid w:val="00D639AA"/>
    <w:rsid w:val="00D644AC"/>
    <w:rsid w:val="00D648DC"/>
    <w:rsid w:val="00D64C85"/>
    <w:rsid w:val="00D64FE1"/>
    <w:rsid w:val="00D656DE"/>
    <w:rsid w:val="00D65F39"/>
    <w:rsid w:val="00D66B41"/>
    <w:rsid w:val="00D708CF"/>
    <w:rsid w:val="00D7105E"/>
    <w:rsid w:val="00D71990"/>
    <w:rsid w:val="00D72AD5"/>
    <w:rsid w:val="00D73513"/>
    <w:rsid w:val="00D73B8E"/>
    <w:rsid w:val="00D74A7E"/>
    <w:rsid w:val="00D74CE5"/>
    <w:rsid w:val="00D75B2E"/>
    <w:rsid w:val="00D75FDA"/>
    <w:rsid w:val="00D76004"/>
    <w:rsid w:val="00D76780"/>
    <w:rsid w:val="00D768D0"/>
    <w:rsid w:val="00D77594"/>
    <w:rsid w:val="00D77729"/>
    <w:rsid w:val="00D779C1"/>
    <w:rsid w:val="00D77BE8"/>
    <w:rsid w:val="00D801D7"/>
    <w:rsid w:val="00D8029D"/>
    <w:rsid w:val="00D80583"/>
    <w:rsid w:val="00D8063E"/>
    <w:rsid w:val="00D8176F"/>
    <w:rsid w:val="00D826C5"/>
    <w:rsid w:val="00D82CF7"/>
    <w:rsid w:val="00D82FBA"/>
    <w:rsid w:val="00D833BB"/>
    <w:rsid w:val="00D834F0"/>
    <w:rsid w:val="00D83761"/>
    <w:rsid w:val="00D83C85"/>
    <w:rsid w:val="00D85081"/>
    <w:rsid w:val="00D862ED"/>
    <w:rsid w:val="00D8636F"/>
    <w:rsid w:val="00D86851"/>
    <w:rsid w:val="00D8705C"/>
    <w:rsid w:val="00D9246F"/>
    <w:rsid w:val="00D93B41"/>
    <w:rsid w:val="00D942AB"/>
    <w:rsid w:val="00D945CB"/>
    <w:rsid w:val="00D9476A"/>
    <w:rsid w:val="00D94B1F"/>
    <w:rsid w:val="00D953E0"/>
    <w:rsid w:val="00D95AA2"/>
    <w:rsid w:val="00D979D1"/>
    <w:rsid w:val="00D97ED0"/>
    <w:rsid w:val="00DA0576"/>
    <w:rsid w:val="00DA070D"/>
    <w:rsid w:val="00DA14EF"/>
    <w:rsid w:val="00DA16B0"/>
    <w:rsid w:val="00DA171E"/>
    <w:rsid w:val="00DA1BB4"/>
    <w:rsid w:val="00DA4368"/>
    <w:rsid w:val="00DA64FF"/>
    <w:rsid w:val="00DA6BB6"/>
    <w:rsid w:val="00DB1656"/>
    <w:rsid w:val="00DB16C9"/>
    <w:rsid w:val="00DB196E"/>
    <w:rsid w:val="00DB2FA7"/>
    <w:rsid w:val="00DB46FA"/>
    <w:rsid w:val="00DB5543"/>
    <w:rsid w:val="00DB5A14"/>
    <w:rsid w:val="00DB6361"/>
    <w:rsid w:val="00DB663D"/>
    <w:rsid w:val="00DB6EB5"/>
    <w:rsid w:val="00DB7DA5"/>
    <w:rsid w:val="00DB7E93"/>
    <w:rsid w:val="00DB7FE3"/>
    <w:rsid w:val="00DC0087"/>
    <w:rsid w:val="00DC16BB"/>
    <w:rsid w:val="00DC27CF"/>
    <w:rsid w:val="00DC2C0E"/>
    <w:rsid w:val="00DC4025"/>
    <w:rsid w:val="00DC467A"/>
    <w:rsid w:val="00DC4D26"/>
    <w:rsid w:val="00DC5E48"/>
    <w:rsid w:val="00DC6BA0"/>
    <w:rsid w:val="00DD0144"/>
    <w:rsid w:val="00DD0BAC"/>
    <w:rsid w:val="00DD0D6B"/>
    <w:rsid w:val="00DD0ECD"/>
    <w:rsid w:val="00DD16CB"/>
    <w:rsid w:val="00DD24E8"/>
    <w:rsid w:val="00DD2C59"/>
    <w:rsid w:val="00DD4E0B"/>
    <w:rsid w:val="00DD5502"/>
    <w:rsid w:val="00DD5A0C"/>
    <w:rsid w:val="00DD5A46"/>
    <w:rsid w:val="00DD6B9A"/>
    <w:rsid w:val="00DD721F"/>
    <w:rsid w:val="00DD7D62"/>
    <w:rsid w:val="00DE0279"/>
    <w:rsid w:val="00DE055E"/>
    <w:rsid w:val="00DE0990"/>
    <w:rsid w:val="00DE2546"/>
    <w:rsid w:val="00DE3E4F"/>
    <w:rsid w:val="00DE4368"/>
    <w:rsid w:val="00DE4585"/>
    <w:rsid w:val="00DE4C6A"/>
    <w:rsid w:val="00DE4C86"/>
    <w:rsid w:val="00DE5036"/>
    <w:rsid w:val="00DE69DC"/>
    <w:rsid w:val="00DE6B43"/>
    <w:rsid w:val="00DE6D5E"/>
    <w:rsid w:val="00DF047C"/>
    <w:rsid w:val="00DF0633"/>
    <w:rsid w:val="00DF0C2E"/>
    <w:rsid w:val="00DF1EE4"/>
    <w:rsid w:val="00DF1FB6"/>
    <w:rsid w:val="00DF224C"/>
    <w:rsid w:val="00DF2683"/>
    <w:rsid w:val="00DF2B20"/>
    <w:rsid w:val="00DF33DC"/>
    <w:rsid w:val="00DF3765"/>
    <w:rsid w:val="00DF4FD7"/>
    <w:rsid w:val="00DF512A"/>
    <w:rsid w:val="00DF5181"/>
    <w:rsid w:val="00DF62A4"/>
    <w:rsid w:val="00DF6F8E"/>
    <w:rsid w:val="00DF76C5"/>
    <w:rsid w:val="00DF79BF"/>
    <w:rsid w:val="00DF7A19"/>
    <w:rsid w:val="00E005CF"/>
    <w:rsid w:val="00E01BA7"/>
    <w:rsid w:val="00E02DDE"/>
    <w:rsid w:val="00E035CD"/>
    <w:rsid w:val="00E03B82"/>
    <w:rsid w:val="00E04AA4"/>
    <w:rsid w:val="00E05795"/>
    <w:rsid w:val="00E05CC8"/>
    <w:rsid w:val="00E05CFC"/>
    <w:rsid w:val="00E069F5"/>
    <w:rsid w:val="00E06B1F"/>
    <w:rsid w:val="00E06C8C"/>
    <w:rsid w:val="00E06ED1"/>
    <w:rsid w:val="00E07C0E"/>
    <w:rsid w:val="00E11208"/>
    <w:rsid w:val="00E1129E"/>
    <w:rsid w:val="00E112C6"/>
    <w:rsid w:val="00E114A4"/>
    <w:rsid w:val="00E125D9"/>
    <w:rsid w:val="00E12ED8"/>
    <w:rsid w:val="00E150A3"/>
    <w:rsid w:val="00E15841"/>
    <w:rsid w:val="00E15A55"/>
    <w:rsid w:val="00E16E5C"/>
    <w:rsid w:val="00E17DDA"/>
    <w:rsid w:val="00E214FC"/>
    <w:rsid w:val="00E21FA4"/>
    <w:rsid w:val="00E22AE6"/>
    <w:rsid w:val="00E236EB"/>
    <w:rsid w:val="00E24A73"/>
    <w:rsid w:val="00E256BA"/>
    <w:rsid w:val="00E25B05"/>
    <w:rsid w:val="00E25BEA"/>
    <w:rsid w:val="00E26DA1"/>
    <w:rsid w:val="00E26F30"/>
    <w:rsid w:val="00E302A9"/>
    <w:rsid w:val="00E30879"/>
    <w:rsid w:val="00E321FB"/>
    <w:rsid w:val="00E32F7A"/>
    <w:rsid w:val="00E346F9"/>
    <w:rsid w:val="00E3480B"/>
    <w:rsid w:val="00E34ABC"/>
    <w:rsid w:val="00E34E67"/>
    <w:rsid w:val="00E35348"/>
    <w:rsid w:val="00E36E9C"/>
    <w:rsid w:val="00E37433"/>
    <w:rsid w:val="00E377A7"/>
    <w:rsid w:val="00E37CEB"/>
    <w:rsid w:val="00E37F01"/>
    <w:rsid w:val="00E404B0"/>
    <w:rsid w:val="00E41803"/>
    <w:rsid w:val="00E41DA3"/>
    <w:rsid w:val="00E422D8"/>
    <w:rsid w:val="00E423D2"/>
    <w:rsid w:val="00E4281A"/>
    <w:rsid w:val="00E433E2"/>
    <w:rsid w:val="00E43DFB"/>
    <w:rsid w:val="00E440D8"/>
    <w:rsid w:val="00E44699"/>
    <w:rsid w:val="00E455E3"/>
    <w:rsid w:val="00E45A5F"/>
    <w:rsid w:val="00E464A6"/>
    <w:rsid w:val="00E465D2"/>
    <w:rsid w:val="00E46BA8"/>
    <w:rsid w:val="00E47CCF"/>
    <w:rsid w:val="00E50392"/>
    <w:rsid w:val="00E50458"/>
    <w:rsid w:val="00E504EB"/>
    <w:rsid w:val="00E5062C"/>
    <w:rsid w:val="00E50ACE"/>
    <w:rsid w:val="00E5350A"/>
    <w:rsid w:val="00E53766"/>
    <w:rsid w:val="00E53CA3"/>
    <w:rsid w:val="00E5511E"/>
    <w:rsid w:val="00E5578F"/>
    <w:rsid w:val="00E55DE0"/>
    <w:rsid w:val="00E56220"/>
    <w:rsid w:val="00E562CF"/>
    <w:rsid w:val="00E56564"/>
    <w:rsid w:val="00E5662A"/>
    <w:rsid w:val="00E57427"/>
    <w:rsid w:val="00E57C81"/>
    <w:rsid w:val="00E6038F"/>
    <w:rsid w:val="00E6045F"/>
    <w:rsid w:val="00E609DA"/>
    <w:rsid w:val="00E611FB"/>
    <w:rsid w:val="00E62D29"/>
    <w:rsid w:val="00E62D68"/>
    <w:rsid w:val="00E64D72"/>
    <w:rsid w:val="00E650F6"/>
    <w:rsid w:val="00E652C8"/>
    <w:rsid w:val="00E653FE"/>
    <w:rsid w:val="00E65A4F"/>
    <w:rsid w:val="00E66708"/>
    <w:rsid w:val="00E66A6E"/>
    <w:rsid w:val="00E67088"/>
    <w:rsid w:val="00E6745D"/>
    <w:rsid w:val="00E674E9"/>
    <w:rsid w:val="00E6779A"/>
    <w:rsid w:val="00E70002"/>
    <w:rsid w:val="00E70B7A"/>
    <w:rsid w:val="00E71AE8"/>
    <w:rsid w:val="00E727EF"/>
    <w:rsid w:val="00E733AA"/>
    <w:rsid w:val="00E73CB2"/>
    <w:rsid w:val="00E745C0"/>
    <w:rsid w:val="00E74B4C"/>
    <w:rsid w:val="00E75DCE"/>
    <w:rsid w:val="00E760E6"/>
    <w:rsid w:val="00E768C4"/>
    <w:rsid w:val="00E77A66"/>
    <w:rsid w:val="00E8037E"/>
    <w:rsid w:val="00E80D53"/>
    <w:rsid w:val="00E8124F"/>
    <w:rsid w:val="00E814D6"/>
    <w:rsid w:val="00E822AC"/>
    <w:rsid w:val="00E824A6"/>
    <w:rsid w:val="00E83E63"/>
    <w:rsid w:val="00E85352"/>
    <w:rsid w:val="00E85739"/>
    <w:rsid w:val="00E906DD"/>
    <w:rsid w:val="00E923E4"/>
    <w:rsid w:val="00E92D90"/>
    <w:rsid w:val="00E930A9"/>
    <w:rsid w:val="00E93465"/>
    <w:rsid w:val="00E9387A"/>
    <w:rsid w:val="00E94123"/>
    <w:rsid w:val="00E9443F"/>
    <w:rsid w:val="00E94DAF"/>
    <w:rsid w:val="00E953E1"/>
    <w:rsid w:val="00E95677"/>
    <w:rsid w:val="00E9584B"/>
    <w:rsid w:val="00E97ADF"/>
    <w:rsid w:val="00EA024A"/>
    <w:rsid w:val="00EA07DA"/>
    <w:rsid w:val="00EA0A08"/>
    <w:rsid w:val="00EA204B"/>
    <w:rsid w:val="00EA24E9"/>
    <w:rsid w:val="00EA2F82"/>
    <w:rsid w:val="00EA2F9F"/>
    <w:rsid w:val="00EA341C"/>
    <w:rsid w:val="00EA3793"/>
    <w:rsid w:val="00EA3D17"/>
    <w:rsid w:val="00EA4B87"/>
    <w:rsid w:val="00EA51CE"/>
    <w:rsid w:val="00EA5B28"/>
    <w:rsid w:val="00EA6115"/>
    <w:rsid w:val="00EA691A"/>
    <w:rsid w:val="00EA695C"/>
    <w:rsid w:val="00EB0520"/>
    <w:rsid w:val="00EB0AF8"/>
    <w:rsid w:val="00EB138C"/>
    <w:rsid w:val="00EB23F1"/>
    <w:rsid w:val="00EB2F7F"/>
    <w:rsid w:val="00EB3B96"/>
    <w:rsid w:val="00EB47BE"/>
    <w:rsid w:val="00EB49CF"/>
    <w:rsid w:val="00EB52D7"/>
    <w:rsid w:val="00EB5BBE"/>
    <w:rsid w:val="00EB5F3F"/>
    <w:rsid w:val="00EB6E61"/>
    <w:rsid w:val="00EB7008"/>
    <w:rsid w:val="00EC1C93"/>
    <w:rsid w:val="00EC1E0C"/>
    <w:rsid w:val="00EC2096"/>
    <w:rsid w:val="00EC2366"/>
    <w:rsid w:val="00EC2CE9"/>
    <w:rsid w:val="00EC2E60"/>
    <w:rsid w:val="00EC32DE"/>
    <w:rsid w:val="00EC3B45"/>
    <w:rsid w:val="00EC5A5A"/>
    <w:rsid w:val="00EC6BCB"/>
    <w:rsid w:val="00EC6F19"/>
    <w:rsid w:val="00EC73D9"/>
    <w:rsid w:val="00EC74AD"/>
    <w:rsid w:val="00ED0067"/>
    <w:rsid w:val="00ED0578"/>
    <w:rsid w:val="00ED0B23"/>
    <w:rsid w:val="00ED2572"/>
    <w:rsid w:val="00ED2E06"/>
    <w:rsid w:val="00ED35DC"/>
    <w:rsid w:val="00ED3AE5"/>
    <w:rsid w:val="00ED3E26"/>
    <w:rsid w:val="00ED4F04"/>
    <w:rsid w:val="00ED52BD"/>
    <w:rsid w:val="00ED6106"/>
    <w:rsid w:val="00ED6874"/>
    <w:rsid w:val="00ED71A8"/>
    <w:rsid w:val="00ED7318"/>
    <w:rsid w:val="00ED75A8"/>
    <w:rsid w:val="00ED783A"/>
    <w:rsid w:val="00EE0279"/>
    <w:rsid w:val="00EE0C54"/>
    <w:rsid w:val="00EE1E93"/>
    <w:rsid w:val="00EE213B"/>
    <w:rsid w:val="00EE26E2"/>
    <w:rsid w:val="00EE37FE"/>
    <w:rsid w:val="00EE6446"/>
    <w:rsid w:val="00EE6988"/>
    <w:rsid w:val="00EE6AF7"/>
    <w:rsid w:val="00EE6DE0"/>
    <w:rsid w:val="00EE77C1"/>
    <w:rsid w:val="00EE781B"/>
    <w:rsid w:val="00EE7E17"/>
    <w:rsid w:val="00EF0453"/>
    <w:rsid w:val="00EF089D"/>
    <w:rsid w:val="00EF09C3"/>
    <w:rsid w:val="00EF111F"/>
    <w:rsid w:val="00EF152E"/>
    <w:rsid w:val="00EF163E"/>
    <w:rsid w:val="00EF17E7"/>
    <w:rsid w:val="00EF190D"/>
    <w:rsid w:val="00EF2A99"/>
    <w:rsid w:val="00EF2B75"/>
    <w:rsid w:val="00EF2CF2"/>
    <w:rsid w:val="00EF36A2"/>
    <w:rsid w:val="00EF3820"/>
    <w:rsid w:val="00EF39F5"/>
    <w:rsid w:val="00EF3D00"/>
    <w:rsid w:val="00EF48B0"/>
    <w:rsid w:val="00EF503B"/>
    <w:rsid w:val="00EF56E4"/>
    <w:rsid w:val="00EF57B5"/>
    <w:rsid w:val="00EF6233"/>
    <w:rsid w:val="00EF641B"/>
    <w:rsid w:val="00EF69CA"/>
    <w:rsid w:val="00EF6EC0"/>
    <w:rsid w:val="00EF7059"/>
    <w:rsid w:val="00EF79A5"/>
    <w:rsid w:val="00EF7D32"/>
    <w:rsid w:val="00F00A0E"/>
    <w:rsid w:val="00F00B85"/>
    <w:rsid w:val="00F0110C"/>
    <w:rsid w:val="00F01823"/>
    <w:rsid w:val="00F01BDC"/>
    <w:rsid w:val="00F01C96"/>
    <w:rsid w:val="00F01E6E"/>
    <w:rsid w:val="00F02434"/>
    <w:rsid w:val="00F02641"/>
    <w:rsid w:val="00F0289E"/>
    <w:rsid w:val="00F02F26"/>
    <w:rsid w:val="00F039DC"/>
    <w:rsid w:val="00F03A39"/>
    <w:rsid w:val="00F03BB0"/>
    <w:rsid w:val="00F04329"/>
    <w:rsid w:val="00F045FE"/>
    <w:rsid w:val="00F04BD3"/>
    <w:rsid w:val="00F05074"/>
    <w:rsid w:val="00F06384"/>
    <w:rsid w:val="00F066DE"/>
    <w:rsid w:val="00F07C3F"/>
    <w:rsid w:val="00F07D01"/>
    <w:rsid w:val="00F100A4"/>
    <w:rsid w:val="00F1033F"/>
    <w:rsid w:val="00F10442"/>
    <w:rsid w:val="00F10BCB"/>
    <w:rsid w:val="00F10C54"/>
    <w:rsid w:val="00F115A1"/>
    <w:rsid w:val="00F12B11"/>
    <w:rsid w:val="00F12BE9"/>
    <w:rsid w:val="00F12C1A"/>
    <w:rsid w:val="00F12ED0"/>
    <w:rsid w:val="00F132C4"/>
    <w:rsid w:val="00F14E97"/>
    <w:rsid w:val="00F156EB"/>
    <w:rsid w:val="00F15E51"/>
    <w:rsid w:val="00F1669E"/>
    <w:rsid w:val="00F1764E"/>
    <w:rsid w:val="00F17CD8"/>
    <w:rsid w:val="00F17F6E"/>
    <w:rsid w:val="00F22418"/>
    <w:rsid w:val="00F230C4"/>
    <w:rsid w:val="00F23953"/>
    <w:rsid w:val="00F247AA"/>
    <w:rsid w:val="00F2491C"/>
    <w:rsid w:val="00F25E1D"/>
    <w:rsid w:val="00F270AA"/>
    <w:rsid w:val="00F276F2"/>
    <w:rsid w:val="00F278D6"/>
    <w:rsid w:val="00F31339"/>
    <w:rsid w:val="00F31CB4"/>
    <w:rsid w:val="00F3259A"/>
    <w:rsid w:val="00F329BE"/>
    <w:rsid w:val="00F32CAF"/>
    <w:rsid w:val="00F33A4B"/>
    <w:rsid w:val="00F34393"/>
    <w:rsid w:val="00F34DB1"/>
    <w:rsid w:val="00F34DD0"/>
    <w:rsid w:val="00F3528F"/>
    <w:rsid w:val="00F35624"/>
    <w:rsid w:val="00F36533"/>
    <w:rsid w:val="00F40F8A"/>
    <w:rsid w:val="00F418FA"/>
    <w:rsid w:val="00F42B29"/>
    <w:rsid w:val="00F43247"/>
    <w:rsid w:val="00F437CC"/>
    <w:rsid w:val="00F4530A"/>
    <w:rsid w:val="00F463A8"/>
    <w:rsid w:val="00F4677F"/>
    <w:rsid w:val="00F47C45"/>
    <w:rsid w:val="00F47E80"/>
    <w:rsid w:val="00F47FF7"/>
    <w:rsid w:val="00F509D0"/>
    <w:rsid w:val="00F52D01"/>
    <w:rsid w:val="00F53702"/>
    <w:rsid w:val="00F53C0A"/>
    <w:rsid w:val="00F53D87"/>
    <w:rsid w:val="00F54468"/>
    <w:rsid w:val="00F548C1"/>
    <w:rsid w:val="00F54BBD"/>
    <w:rsid w:val="00F54DB0"/>
    <w:rsid w:val="00F554DD"/>
    <w:rsid w:val="00F56258"/>
    <w:rsid w:val="00F56B1C"/>
    <w:rsid w:val="00F571FA"/>
    <w:rsid w:val="00F60559"/>
    <w:rsid w:val="00F60940"/>
    <w:rsid w:val="00F61257"/>
    <w:rsid w:val="00F6145D"/>
    <w:rsid w:val="00F623C3"/>
    <w:rsid w:val="00F6260A"/>
    <w:rsid w:val="00F62D5C"/>
    <w:rsid w:val="00F63EA6"/>
    <w:rsid w:val="00F643C9"/>
    <w:rsid w:val="00F64542"/>
    <w:rsid w:val="00F6556C"/>
    <w:rsid w:val="00F65DE5"/>
    <w:rsid w:val="00F66875"/>
    <w:rsid w:val="00F66DC0"/>
    <w:rsid w:val="00F676FA"/>
    <w:rsid w:val="00F702EB"/>
    <w:rsid w:val="00F7189E"/>
    <w:rsid w:val="00F72524"/>
    <w:rsid w:val="00F72A4B"/>
    <w:rsid w:val="00F72AD8"/>
    <w:rsid w:val="00F739C2"/>
    <w:rsid w:val="00F73C7B"/>
    <w:rsid w:val="00F73E84"/>
    <w:rsid w:val="00F740A0"/>
    <w:rsid w:val="00F7430F"/>
    <w:rsid w:val="00F75B5C"/>
    <w:rsid w:val="00F76F3A"/>
    <w:rsid w:val="00F7717E"/>
    <w:rsid w:val="00F77222"/>
    <w:rsid w:val="00F7766F"/>
    <w:rsid w:val="00F77785"/>
    <w:rsid w:val="00F80B6F"/>
    <w:rsid w:val="00F81266"/>
    <w:rsid w:val="00F81803"/>
    <w:rsid w:val="00F81B72"/>
    <w:rsid w:val="00F81E7F"/>
    <w:rsid w:val="00F82614"/>
    <w:rsid w:val="00F827BA"/>
    <w:rsid w:val="00F83731"/>
    <w:rsid w:val="00F84281"/>
    <w:rsid w:val="00F850E7"/>
    <w:rsid w:val="00F8516C"/>
    <w:rsid w:val="00F8603C"/>
    <w:rsid w:val="00F872DC"/>
    <w:rsid w:val="00F8743F"/>
    <w:rsid w:val="00F87888"/>
    <w:rsid w:val="00F87B80"/>
    <w:rsid w:val="00F90D6B"/>
    <w:rsid w:val="00F91DD0"/>
    <w:rsid w:val="00F91F2B"/>
    <w:rsid w:val="00F9209D"/>
    <w:rsid w:val="00F9332A"/>
    <w:rsid w:val="00F94FDD"/>
    <w:rsid w:val="00F95081"/>
    <w:rsid w:val="00F95AD8"/>
    <w:rsid w:val="00F95C1C"/>
    <w:rsid w:val="00F96B41"/>
    <w:rsid w:val="00F970C6"/>
    <w:rsid w:val="00F97E14"/>
    <w:rsid w:val="00FA04B1"/>
    <w:rsid w:val="00FA0B27"/>
    <w:rsid w:val="00FA0B4A"/>
    <w:rsid w:val="00FA0D4F"/>
    <w:rsid w:val="00FA191E"/>
    <w:rsid w:val="00FA45DE"/>
    <w:rsid w:val="00FA47CE"/>
    <w:rsid w:val="00FA56C1"/>
    <w:rsid w:val="00FB10AF"/>
    <w:rsid w:val="00FB1A15"/>
    <w:rsid w:val="00FB1E69"/>
    <w:rsid w:val="00FB3226"/>
    <w:rsid w:val="00FB32C5"/>
    <w:rsid w:val="00FB36E4"/>
    <w:rsid w:val="00FB40DD"/>
    <w:rsid w:val="00FB41A8"/>
    <w:rsid w:val="00FB5FF0"/>
    <w:rsid w:val="00FB617F"/>
    <w:rsid w:val="00FB64B8"/>
    <w:rsid w:val="00FB683A"/>
    <w:rsid w:val="00FB711D"/>
    <w:rsid w:val="00FB7B49"/>
    <w:rsid w:val="00FC07C7"/>
    <w:rsid w:val="00FC1AF2"/>
    <w:rsid w:val="00FC238F"/>
    <w:rsid w:val="00FC34A5"/>
    <w:rsid w:val="00FC4DB1"/>
    <w:rsid w:val="00FC67CE"/>
    <w:rsid w:val="00FC7663"/>
    <w:rsid w:val="00FD03B4"/>
    <w:rsid w:val="00FD08C6"/>
    <w:rsid w:val="00FD0C9C"/>
    <w:rsid w:val="00FD1285"/>
    <w:rsid w:val="00FD1808"/>
    <w:rsid w:val="00FD226E"/>
    <w:rsid w:val="00FD2AAC"/>
    <w:rsid w:val="00FD2B4F"/>
    <w:rsid w:val="00FD39B8"/>
    <w:rsid w:val="00FD4C97"/>
    <w:rsid w:val="00FD5247"/>
    <w:rsid w:val="00FD6155"/>
    <w:rsid w:val="00FD6458"/>
    <w:rsid w:val="00FD65C1"/>
    <w:rsid w:val="00FD761B"/>
    <w:rsid w:val="00FD7D42"/>
    <w:rsid w:val="00FD7EF6"/>
    <w:rsid w:val="00FE0022"/>
    <w:rsid w:val="00FE06D0"/>
    <w:rsid w:val="00FE0726"/>
    <w:rsid w:val="00FE0B6C"/>
    <w:rsid w:val="00FE0DB7"/>
    <w:rsid w:val="00FE0DD3"/>
    <w:rsid w:val="00FE1F65"/>
    <w:rsid w:val="00FE2E38"/>
    <w:rsid w:val="00FE2EDB"/>
    <w:rsid w:val="00FE4E56"/>
    <w:rsid w:val="00FE4EC9"/>
    <w:rsid w:val="00FE573C"/>
    <w:rsid w:val="00FE673A"/>
    <w:rsid w:val="00FE6DCE"/>
    <w:rsid w:val="00FE7404"/>
    <w:rsid w:val="00FE7BD7"/>
    <w:rsid w:val="00FF0363"/>
    <w:rsid w:val="00FF0AE2"/>
    <w:rsid w:val="00FF0F00"/>
    <w:rsid w:val="00FF14D8"/>
    <w:rsid w:val="00FF222B"/>
    <w:rsid w:val="00FF272A"/>
    <w:rsid w:val="00FF2C8F"/>
    <w:rsid w:val="00FF2FF4"/>
    <w:rsid w:val="00FF32EE"/>
    <w:rsid w:val="00FF33D7"/>
    <w:rsid w:val="00FF4767"/>
    <w:rsid w:val="00FF4D0A"/>
    <w:rsid w:val="00FF4E4A"/>
    <w:rsid w:val="00FF51B0"/>
    <w:rsid w:val="00FF5781"/>
    <w:rsid w:val="00FF672E"/>
    <w:rsid w:val="00FF672F"/>
    <w:rsid w:val="00FF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4EA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3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54C1"/>
    <w:pPr>
      <w:tabs>
        <w:tab w:val="center" w:pos="4320"/>
        <w:tab w:val="right" w:pos="8640"/>
      </w:tabs>
    </w:pPr>
  </w:style>
  <w:style w:type="character" w:styleId="PageNumber">
    <w:name w:val="page number"/>
    <w:basedOn w:val="DefaultParagraphFont"/>
    <w:rsid w:val="004554C1"/>
  </w:style>
  <w:style w:type="paragraph" w:styleId="Header">
    <w:name w:val="header"/>
    <w:basedOn w:val="Normal"/>
    <w:link w:val="HeaderChar"/>
    <w:rsid w:val="004554C1"/>
    <w:pPr>
      <w:tabs>
        <w:tab w:val="center" w:pos="4320"/>
        <w:tab w:val="right" w:pos="8640"/>
      </w:tabs>
    </w:pPr>
  </w:style>
  <w:style w:type="character" w:styleId="LineNumber">
    <w:name w:val="line number"/>
    <w:basedOn w:val="DefaultParagraphFont"/>
    <w:rsid w:val="00FE0726"/>
  </w:style>
  <w:style w:type="table" w:styleId="TableGrid">
    <w:name w:val="Table Grid"/>
    <w:basedOn w:val="TableNormal"/>
    <w:rsid w:val="00730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1163C8"/>
    <w:rPr>
      <w:sz w:val="20"/>
      <w:szCs w:val="20"/>
    </w:rPr>
  </w:style>
  <w:style w:type="character" w:styleId="FootnoteReference">
    <w:name w:val="footnote reference"/>
    <w:basedOn w:val="DefaultParagraphFont"/>
    <w:semiHidden/>
    <w:rsid w:val="00897EC7"/>
    <w:rPr>
      <w:vertAlign w:val="superscript"/>
    </w:rPr>
  </w:style>
  <w:style w:type="character" w:styleId="Hyperlink">
    <w:name w:val="Hyperlink"/>
    <w:basedOn w:val="DefaultParagraphFont"/>
    <w:rsid w:val="00117B71"/>
    <w:rPr>
      <w:color w:val="0000FF"/>
      <w:u w:val="single"/>
    </w:rPr>
  </w:style>
  <w:style w:type="paragraph" w:styleId="BalloonText">
    <w:name w:val="Balloon Text"/>
    <w:basedOn w:val="Normal"/>
    <w:link w:val="BalloonTextChar"/>
    <w:semiHidden/>
    <w:rsid w:val="00064184"/>
    <w:rPr>
      <w:rFonts w:ascii="Tahoma" w:hAnsi="Tahoma" w:cs="Tahoma"/>
      <w:sz w:val="16"/>
      <w:szCs w:val="16"/>
    </w:rPr>
  </w:style>
  <w:style w:type="character" w:styleId="CommentReference">
    <w:name w:val="annotation reference"/>
    <w:basedOn w:val="DefaultParagraphFont"/>
    <w:uiPriority w:val="99"/>
    <w:semiHidden/>
    <w:unhideWhenUsed/>
    <w:rsid w:val="00C70687"/>
    <w:rPr>
      <w:sz w:val="16"/>
      <w:szCs w:val="16"/>
    </w:rPr>
  </w:style>
  <w:style w:type="paragraph" w:styleId="CommentText">
    <w:name w:val="annotation text"/>
    <w:basedOn w:val="Normal"/>
    <w:link w:val="CommentTextChar"/>
    <w:uiPriority w:val="99"/>
    <w:semiHidden/>
    <w:unhideWhenUsed/>
    <w:rsid w:val="00C70687"/>
    <w:rPr>
      <w:sz w:val="20"/>
      <w:szCs w:val="20"/>
    </w:rPr>
  </w:style>
  <w:style w:type="character" w:customStyle="1" w:styleId="CommentTextChar">
    <w:name w:val="Comment Text Char"/>
    <w:basedOn w:val="DefaultParagraphFont"/>
    <w:link w:val="CommentText"/>
    <w:uiPriority w:val="99"/>
    <w:semiHidden/>
    <w:rsid w:val="00C70687"/>
  </w:style>
  <w:style w:type="paragraph" w:styleId="CommentSubject">
    <w:name w:val="annotation subject"/>
    <w:basedOn w:val="CommentText"/>
    <w:next w:val="CommentText"/>
    <w:link w:val="CommentSubjectChar"/>
    <w:uiPriority w:val="99"/>
    <w:semiHidden/>
    <w:unhideWhenUsed/>
    <w:rsid w:val="00C70687"/>
    <w:rPr>
      <w:b/>
      <w:bCs/>
    </w:rPr>
  </w:style>
  <w:style w:type="character" w:customStyle="1" w:styleId="CommentSubjectChar">
    <w:name w:val="Comment Subject Char"/>
    <w:basedOn w:val="CommentTextChar"/>
    <w:link w:val="CommentSubject"/>
    <w:uiPriority w:val="99"/>
    <w:semiHidden/>
    <w:rsid w:val="00C70687"/>
    <w:rPr>
      <w:b/>
      <w:bCs/>
    </w:rPr>
  </w:style>
  <w:style w:type="paragraph" w:customStyle="1" w:styleId="TestimonyAnswer">
    <w:name w:val="Testimony Answer"/>
    <w:basedOn w:val="Normal"/>
    <w:qFormat/>
    <w:rsid w:val="00A612C8"/>
    <w:pPr>
      <w:tabs>
        <w:tab w:val="left" w:pos="720"/>
        <w:tab w:val="right" w:leader="dot" w:pos="8640"/>
        <w:tab w:val="left" w:pos="9240"/>
      </w:tabs>
      <w:spacing w:after="360" w:line="360" w:lineRule="auto"/>
      <w:ind w:left="720" w:hanging="720"/>
      <w:jc w:val="both"/>
    </w:pPr>
    <w:rPr>
      <w:rFonts w:eastAsia="Calibri"/>
    </w:rPr>
  </w:style>
  <w:style w:type="paragraph" w:customStyle="1" w:styleId="TestimonyQuestion">
    <w:name w:val="Testimony Question"/>
    <w:basedOn w:val="Normal"/>
    <w:rsid w:val="00A612C8"/>
    <w:pPr>
      <w:tabs>
        <w:tab w:val="left" w:pos="720"/>
        <w:tab w:val="right" w:leader="dot" w:pos="8640"/>
        <w:tab w:val="left" w:pos="9240"/>
      </w:tabs>
      <w:spacing w:before="240" w:after="240"/>
      <w:ind w:left="720" w:hanging="720"/>
      <w:jc w:val="both"/>
    </w:pPr>
    <w:rPr>
      <w:rFonts w:eastAsia="Calibri"/>
      <w:b/>
      <w:caps/>
    </w:rPr>
  </w:style>
  <w:style w:type="paragraph" w:styleId="ListParagraph">
    <w:name w:val="List Paragraph"/>
    <w:basedOn w:val="Normal"/>
    <w:uiPriority w:val="34"/>
    <w:qFormat/>
    <w:rsid w:val="00392003"/>
    <w:pPr>
      <w:ind w:left="720"/>
    </w:pPr>
  </w:style>
  <w:style w:type="character" w:customStyle="1" w:styleId="FooterChar">
    <w:name w:val="Footer Char"/>
    <w:basedOn w:val="DefaultParagraphFont"/>
    <w:link w:val="Footer"/>
    <w:rsid w:val="00A83246"/>
    <w:rPr>
      <w:sz w:val="24"/>
      <w:szCs w:val="24"/>
    </w:rPr>
  </w:style>
  <w:style w:type="paragraph" w:styleId="Revision">
    <w:name w:val="Revision"/>
    <w:hidden/>
    <w:uiPriority w:val="99"/>
    <w:semiHidden/>
    <w:rsid w:val="008F7AF5"/>
    <w:rPr>
      <w:sz w:val="24"/>
      <w:szCs w:val="24"/>
    </w:rPr>
  </w:style>
  <w:style w:type="character" w:customStyle="1" w:styleId="HeaderChar">
    <w:name w:val="Header Char"/>
    <w:basedOn w:val="DefaultParagraphFont"/>
    <w:link w:val="Header"/>
    <w:rsid w:val="005D3B74"/>
    <w:rPr>
      <w:sz w:val="24"/>
      <w:szCs w:val="24"/>
    </w:rPr>
  </w:style>
  <w:style w:type="character" w:customStyle="1" w:styleId="FootnoteTextChar">
    <w:name w:val="Footnote Text Char"/>
    <w:basedOn w:val="DefaultParagraphFont"/>
    <w:link w:val="FootnoteText"/>
    <w:semiHidden/>
    <w:rsid w:val="001163C8"/>
  </w:style>
  <w:style w:type="character" w:customStyle="1" w:styleId="BalloonTextChar">
    <w:name w:val="Balloon Text Char"/>
    <w:basedOn w:val="DefaultParagraphFont"/>
    <w:link w:val="BalloonText"/>
    <w:semiHidden/>
    <w:rsid w:val="005D3B74"/>
    <w:rPr>
      <w:rFonts w:ascii="Tahoma" w:hAnsi="Tahoma" w:cs="Tahoma"/>
      <w:sz w:val="16"/>
      <w:szCs w:val="16"/>
    </w:rPr>
  </w:style>
  <w:style w:type="paragraph" w:styleId="EndnoteText">
    <w:name w:val="endnote text"/>
    <w:basedOn w:val="Normal"/>
    <w:link w:val="EndnoteTextChar"/>
    <w:uiPriority w:val="99"/>
    <w:semiHidden/>
    <w:unhideWhenUsed/>
    <w:rsid w:val="00C32318"/>
    <w:rPr>
      <w:sz w:val="20"/>
      <w:szCs w:val="20"/>
    </w:rPr>
  </w:style>
  <w:style w:type="character" w:customStyle="1" w:styleId="EndnoteTextChar">
    <w:name w:val="Endnote Text Char"/>
    <w:basedOn w:val="DefaultParagraphFont"/>
    <w:link w:val="EndnoteText"/>
    <w:uiPriority w:val="99"/>
    <w:semiHidden/>
    <w:rsid w:val="00C32318"/>
  </w:style>
  <w:style w:type="character" w:styleId="EndnoteReference">
    <w:name w:val="endnote reference"/>
    <w:basedOn w:val="DefaultParagraphFont"/>
    <w:uiPriority w:val="99"/>
    <w:semiHidden/>
    <w:unhideWhenUsed/>
    <w:rsid w:val="00C32318"/>
    <w:rPr>
      <w:vertAlign w:val="superscript"/>
    </w:rPr>
  </w:style>
  <w:style w:type="paragraph" w:styleId="HTMLPreformatted">
    <w:name w:val="HTML Preformatted"/>
    <w:basedOn w:val="Normal"/>
    <w:link w:val="HTMLPreformattedChar"/>
    <w:uiPriority w:val="99"/>
    <w:semiHidden/>
    <w:unhideWhenUsed/>
    <w:rsid w:val="00C92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9286A"/>
    <w:rPr>
      <w:rFonts w:ascii="Courier New" w:eastAsiaTheme="minorHAnsi" w:hAnsi="Courier New" w:cs="Courier New"/>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3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54C1"/>
    <w:pPr>
      <w:tabs>
        <w:tab w:val="center" w:pos="4320"/>
        <w:tab w:val="right" w:pos="8640"/>
      </w:tabs>
    </w:pPr>
  </w:style>
  <w:style w:type="character" w:styleId="PageNumber">
    <w:name w:val="page number"/>
    <w:basedOn w:val="DefaultParagraphFont"/>
    <w:rsid w:val="004554C1"/>
  </w:style>
  <w:style w:type="paragraph" w:styleId="Header">
    <w:name w:val="header"/>
    <w:basedOn w:val="Normal"/>
    <w:link w:val="HeaderChar"/>
    <w:rsid w:val="004554C1"/>
    <w:pPr>
      <w:tabs>
        <w:tab w:val="center" w:pos="4320"/>
        <w:tab w:val="right" w:pos="8640"/>
      </w:tabs>
    </w:pPr>
  </w:style>
  <w:style w:type="character" w:styleId="LineNumber">
    <w:name w:val="line number"/>
    <w:basedOn w:val="DefaultParagraphFont"/>
    <w:rsid w:val="00FE0726"/>
  </w:style>
  <w:style w:type="table" w:styleId="TableGrid">
    <w:name w:val="Table Grid"/>
    <w:basedOn w:val="TableNormal"/>
    <w:rsid w:val="00730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1163C8"/>
    <w:rPr>
      <w:sz w:val="20"/>
      <w:szCs w:val="20"/>
    </w:rPr>
  </w:style>
  <w:style w:type="character" w:styleId="FootnoteReference">
    <w:name w:val="footnote reference"/>
    <w:basedOn w:val="DefaultParagraphFont"/>
    <w:semiHidden/>
    <w:rsid w:val="00897EC7"/>
    <w:rPr>
      <w:vertAlign w:val="superscript"/>
    </w:rPr>
  </w:style>
  <w:style w:type="character" w:styleId="Hyperlink">
    <w:name w:val="Hyperlink"/>
    <w:basedOn w:val="DefaultParagraphFont"/>
    <w:rsid w:val="00117B71"/>
    <w:rPr>
      <w:color w:val="0000FF"/>
      <w:u w:val="single"/>
    </w:rPr>
  </w:style>
  <w:style w:type="paragraph" w:styleId="BalloonText">
    <w:name w:val="Balloon Text"/>
    <w:basedOn w:val="Normal"/>
    <w:link w:val="BalloonTextChar"/>
    <w:semiHidden/>
    <w:rsid w:val="00064184"/>
    <w:rPr>
      <w:rFonts w:ascii="Tahoma" w:hAnsi="Tahoma" w:cs="Tahoma"/>
      <w:sz w:val="16"/>
      <w:szCs w:val="16"/>
    </w:rPr>
  </w:style>
  <w:style w:type="character" w:styleId="CommentReference">
    <w:name w:val="annotation reference"/>
    <w:basedOn w:val="DefaultParagraphFont"/>
    <w:uiPriority w:val="99"/>
    <w:semiHidden/>
    <w:unhideWhenUsed/>
    <w:rsid w:val="00C70687"/>
    <w:rPr>
      <w:sz w:val="16"/>
      <w:szCs w:val="16"/>
    </w:rPr>
  </w:style>
  <w:style w:type="paragraph" w:styleId="CommentText">
    <w:name w:val="annotation text"/>
    <w:basedOn w:val="Normal"/>
    <w:link w:val="CommentTextChar"/>
    <w:uiPriority w:val="99"/>
    <w:semiHidden/>
    <w:unhideWhenUsed/>
    <w:rsid w:val="00C70687"/>
    <w:rPr>
      <w:sz w:val="20"/>
      <w:szCs w:val="20"/>
    </w:rPr>
  </w:style>
  <w:style w:type="character" w:customStyle="1" w:styleId="CommentTextChar">
    <w:name w:val="Comment Text Char"/>
    <w:basedOn w:val="DefaultParagraphFont"/>
    <w:link w:val="CommentText"/>
    <w:uiPriority w:val="99"/>
    <w:semiHidden/>
    <w:rsid w:val="00C70687"/>
  </w:style>
  <w:style w:type="paragraph" w:styleId="CommentSubject">
    <w:name w:val="annotation subject"/>
    <w:basedOn w:val="CommentText"/>
    <w:next w:val="CommentText"/>
    <w:link w:val="CommentSubjectChar"/>
    <w:uiPriority w:val="99"/>
    <w:semiHidden/>
    <w:unhideWhenUsed/>
    <w:rsid w:val="00C70687"/>
    <w:rPr>
      <w:b/>
      <w:bCs/>
    </w:rPr>
  </w:style>
  <w:style w:type="character" w:customStyle="1" w:styleId="CommentSubjectChar">
    <w:name w:val="Comment Subject Char"/>
    <w:basedOn w:val="CommentTextChar"/>
    <w:link w:val="CommentSubject"/>
    <w:uiPriority w:val="99"/>
    <w:semiHidden/>
    <w:rsid w:val="00C70687"/>
    <w:rPr>
      <w:b/>
      <w:bCs/>
    </w:rPr>
  </w:style>
  <w:style w:type="paragraph" w:customStyle="1" w:styleId="TestimonyAnswer">
    <w:name w:val="Testimony Answer"/>
    <w:basedOn w:val="Normal"/>
    <w:qFormat/>
    <w:rsid w:val="00A612C8"/>
    <w:pPr>
      <w:tabs>
        <w:tab w:val="left" w:pos="720"/>
        <w:tab w:val="right" w:leader="dot" w:pos="8640"/>
        <w:tab w:val="left" w:pos="9240"/>
      </w:tabs>
      <w:spacing w:after="360" w:line="360" w:lineRule="auto"/>
      <w:ind w:left="720" w:hanging="720"/>
      <w:jc w:val="both"/>
    </w:pPr>
    <w:rPr>
      <w:rFonts w:eastAsia="Calibri"/>
    </w:rPr>
  </w:style>
  <w:style w:type="paragraph" w:customStyle="1" w:styleId="TestimonyQuestion">
    <w:name w:val="Testimony Question"/>
    <w:basedOn w:val="Normal"/>
    <w:rsid w:val="00A612C8"/>
    <w:pPr>
      <w:tabs>
        <w:tab w:val="left" w:pos="720"/>
        <w:tab w:val="right" w:leader="dot" w:pos="8640"/>
        <w:tab w:val="left" w:pos="9240"/>
      </w:tabs>
      <w:spacing w:before="240" w:after="240"/>
      <w:ind w:left="720" w:hanging="720"/>
      <w:jc w:val="both"/>
    </w:pPr>
    <w:rPr>
      <w:rFonts w:eastAsia="Calibri"/>
      <w:b/>
      <w:caps/>
    </w:rPr>
  </w:style>
  <w:style w:type="paragraph" w:styleId="ListParagraph">
    <w:name w:val="List Paragraph"/>
    <w:basedOn w:val="Normal"/>
    <w:uiPriority w:val="34"/>
    <w:qFormat/>
    <w:rsid w:val="00392003"/>
    <w:pPr>
      <w:ind w:left="720"/>
    </w:pPr>
  </w:style>
  <w:style w:type="character" w:customStyle="1" w:styleId="FooterChar">
    <w:name w:val="Footer Char"/>
    <w:basedOn w:val="DefaultParagraphFont"/>
    <w:link w:val="Footer"/>
    <w:rsid w:val="00A83246"/>
    <w:rPr>
      <w:sz w:val="24"/>
      <w:szCs w:val="24"/>
    </w:rPr>
  </w:style>
  <w:style w:type="paragraph" w:styleId="Revision">
    <w:name w:val="Revision"/>
    <w:hidden/>
    <w:uiPriority w:val="99"/>
    <w:semiHidden/>
    <w:rsid w:val="008F7AF5"/>
    <w:rPr>
      <w:sz w:val="24"/>
      <w:szCs w:val="24"/>
    </w:rPr>
  </w:style>
  <w:style w:type="character" w:customStyle="1" w:styleId="HeaderChar">
    <w:name w:val="Header Char"/>
    <w:basedOn w:val="DefaultParagraphFont"/>
    <w:link w:val="Header"/>
    <w:rsid w:val="005D3B74"/>
    <w:rPr>
      <w:sz w:val="24"/>
      <w:szCs w:val="24"/>
    </w:rPr>
  </w:style>
  <w:style w:type="character" w:customStyle="1" w:styleId="FootnoteTextChar">
    <w:name w:val="Footnote Text Char"/>
    <w:basedOn w:val="DefaultParagraphFont"/>
    <w:link w:val="FootnoteText"/>
    <w:semiHidden/>
    <w:rsid w:val="001163C8"/>
  </w:style>
  <w:style w:type="character" w:customStyle="1" w:styleId="BalloonTextChar">
    <w:name w:val="Balloon Text Char"/>
    <w:basedOn w:val="DefaultParagraphFont"/>
    <w:link w:val="BalloonText"/>
    <w:semiHidden/>
    <w:rsid w:val="005D3B74"/>
    <w:rPr>
      <w:rFonts w:ascii="Tahoma" w:hAnsi="Tahoma" w:cs="Tahoma"/>
      <w:sz w:val="16"/>
      <w:szCs w:val="16"/>
    </w:rPr>
  </w:style>
  <w:style w:type="paragraph" w:styleId="EndnoteText">
    <w:name w:val="endnote text"/>
    <w:basedOn w:val="Normal"/>
    <w:link w:val="EndnoteTextChar"/>
    <w:uiPriority w:val="99"/>
    <w:semiHidden/>
    <w:unhideWhenUsed/>
    <w:rsid w:val="00C32318"/>
    <w:rPr>
      <w:sz w:val="20"/>
      <w:szCs w:val="20"/>
    </w:rPr>
  </w:style>
  <w:style w:type="character" w:customStyle="1" w:styleId="EndnoteTextChar">
    <w:name w:val="Endnote Text Char"/>
    <w:basedOn w:val="DefaultParagraphFont"/>
    <w:link w:val="EndnoteText"/>
    <w:uiPriority w:val="99"/>
    <w:semiHidden/>
    <w:rsid w:val="00C32318"/>
  </w:style>
  <w:style w:type="character" w:styleId="EndnoteReference">
    <w:name w:val="endnote reference"/>
    <w:basedOn w:val="DefaultParagraphFont"/>
    <w:uiPriority w:val="99"/>
    <w:semiHidden/>
    <w:unhideWhenUsed/>
    <w:rsid w:val="00C32318"/>
    <w:rPr>
      <w:vertAlign w:val="superscript"/>
    </w:rPr>
  </w:style>
  <w:style w:type="paragraph" w:styleId="HTMLPreformatted">
    <w:name w:val="HTML Preformatted"/>
    <w:basedOn w:val="Normal"/>
    <w:link w:val="HTMLPreformattedChar"/>
    <w:uiPriority w:val="99"/>
    <w:semiHidden/>
    <w:unhideWhenUsed/>
    <w:rsid w:val="00C92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9286A"/>
    <w:rPr>
      <w:rFonts w:ascii="Courier New" w:eastAsiaTheme="minorHAnsi"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2705">
      <w:bodyDiv w:val="1"/>
      <w:marLeft w:val="0"/>
      <w:marRight w:val="0"/>
      <w:marTop w:val="0"/>
      <w:marBottom w:val="0"/>
      <w:divBdr>
        <w:top w:val="none" w:sz="0" w:space="0" w:color="auto"/>
        <w:left w:val="none" w:sz="0" w:space="0" w:color="auto"/>
        <w:bottom w:val="none" w:sz="0" w:space="0" w:color="auto"/>
        <w:right w:val="none" w:sz="0" w:space="0" w:color="auto"/>
      </w:divBdr>
    </w:div>
    <w:div w:id="469248598">
      <w:bodyDiv w:val="1"/>
      <w:marLeft w:val="0"/>
      <w:marRight w:val="0"/>
      <w:marTop w:val="0"/>
      <w:marBottom w:val="0"/>
      <w:divBdr>
        <w:top w:val="none" w:sz="0" w:space="0" w:color="auto"/>
        <w:left w:val="none" w:sz="0" w:space="0" w:color="auto"/>
        <w:bottom w:val="none" w:sz="0" w:space="0" w:color="auto"/>
        <w:right w:val="none" w:sz="0" w:space="0" w:color="auto"/>
      </w:divBdr>
    </w:div>
    <w:div w:id="910700506">
      <w:bodyDiv w:val="1"/>
      <w:marLeft w:val="0"/>
      <w:marRight w:val="0"/>
      <w:marTop w:val="0"/>
      <w:marBottom w:val="0"/>
      <w:divBdr>
        <w:top w:val="none" w:sz="0" w:space="0" w:color="auto"/>
        <w:left w:val="none" w:sz="0" w:space="0" w:color="auto"/>
        <w:bottom w:val="none" w:sz="0" w:space="0" w:color="auto"/>
        <w:right w:val="none" w:sz="0" w:space="0" w:color="auto"/>
      </w:divBdr>
    </w:div>
    <w:div w:id="1746101738">
      <w:bodyDiv w:val="1"/>
      <w:marLeft w:val="0"/>
      <w:marRight w:val="0"/>
      <w:marTop w:val="0"/>
      <w:marBottom w:val="0"/>
      <w:divBdr>
        <w:top w:val="none" w:sz="0" w:space="0" w:color="auto"/>
        <w:left w:val="none" w:sz="0" w:space="0" w:color="auto"/>
        <w:bottom w:val="none" w:sz="0" w:space="0" w:color="auto"/>
        <w:right w:val="none" w:sz="0" w:space="0" w:color="auto"/>
      </w:divBdr>
    </w:div>
    <w:div w:id="211185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2014-07-22T07:00:00+00:00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3D99D-EC6E-4092-87AB-9C080BC90A47}"/>
</file>

<file path=customXml/itemProps2.xml><?xml version="1.0" encoding="utf-8"?>
<ds:datastoreItem xmlns:ds="http://schemas.openxmlformats.org/officeDocument/2006/customXml" ds:itemID="{BC1DA2ED-CDE3-4759-B2EF-C221021C38B7}"/>
</file>

<file path=customXml/itemProps3.xml><?xml version="1.0" encoding="utf-8"?>
<ds:datastoreItem xmlns:ds="http://schemas.openxmlformats.org/officeDocument/2006/customXml" ds:itemID="{6F463E42-5881-4B00-966D-141010DE6243}"/>
</file>

<file path=customXml/itemProps4.xml><?xml version="1.0" encoding="utf-8"?>
<ds:datastoreItem xmlns:ds="http://schemas.openxmlformats.org/officeDocument/2006/customXml" ds:itemID="{CB75AE3B-C143-43AE-BA37-B809833289C2}"/>
</file>

<file path=customXml/itemProps5.xml><?xml version="1.0" encoding="utf-8"?>
<ds:datastoreItem xmlns:ds="http://schemas.openxmlformats.org/officeDocument/2006/customXml" ds:itemID="{33FA434E-4BA5-4522-9EA5-3E073148D87D}"/>
</file>

<file path=docProps/app.xml><?xml version="1.0" encoding="utf-8"?>
<Properties xmlns="http://schemas.openxmlformats.org/officeDocument/2006/extended-properties" xmlns:vt="http://schemas.openxmlformats.org/officeDocument/2006/docPropsVTypes">
  <Template>Normal.dotm</Template>
  <TotalTime>47</TotalTime>
  <Pages>76</Pages>
  <Words>16292</Words>
  <Characters>86574</Characters>
  <Application>Microsoft Office Word</Application>
  <DocSecurity>0</DocSecurity>
  <Lines>721</Lines>
  <Paragraphs>205</Paragraphs>
  <ScaleCrop>false</ScaleCrop>
  <HeadingPairs>
    <vt:vector size="2" baseType="variant">
      <vt:variant>
        <vt:lpstr>Title</vt:lpstr>
      </vt:variant>
      <vt:variant>
        <vt:i4>1</vt:i4>
      </vt:variant>
    </vt:vector>
  </HeadingPairs>
  <TitlesOfParts>
    <vt:vector size="1" baseType="lpstr">
      <vt:lpstr/>
    </vt:vector>
  </TitlesOfParts>
  <Company>Washington Utilities and Transportation Commission</Company>
  <LinksUpToDate>false</LinksUpToDate>
  <CharactersWithSpaces>102661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Krista Gross</cp:lastModifiedBy>
  <cp:revision>9</cp:revision>
  <cp:lastPrinted>2014-07-21T21:27:00Z</cp:lastPrinted>
  <dcterms:created xsi:type="dcterms:W3CDTF">2014-07-21T15:49:00Z</dcterms:created>
  <dcterms:modified xsi:type="dcterms:W3CDTF">2014-07-21T21:28:00Z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Witness">
    <vt:lpwstr/>
  </property>
  <property fmtid="{D5CDD505-2E9C-101B-9397-08002B2CF9AE}" pid="4" name="Document Type">
    <vt:lpwstr>Testimony</vt:lpwstr>
  </property>
  <property fmtid="{D5CDD505-2E9C-101B-9397-08002B2CF9AE}" pid="5" name="_docset_NoMedatataSyncRequired">
    <vt:lpwstr>False</vt:lpwstr>
  </property>
</Properties>
</file>