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93277" w14:textId="741ADD81" w:rsidR="001D4A50" w:rsidRDefault="001D4A50" w:rsidP="001D4A50">
      <w:pPr>
        <w:pStyle w:val="Court"/>
        <w:widowControl/>
        <w:spacing w:after="480" w:line="240" w:lineRule="auto"/>
      </w:pPr>
      <w:r>
        <w:rPr>
          <w:b/>
          <w:bCs/>
          <w:szCs w:val="24"/>
        </w:rPr>
        <w:t>BEFORE THE</w:t>
      </w:r>
      <w:r>
        <w:rPr>
          <w:b/>
          <w:bCs/>
          <w:szCs w:val="24"/>
        </w:rPr>
        <w:br/>
        <w:t>WASHINGTON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1D4A50" w:rsidRPr="0055504A" w14:paraId="3FF3F341" w14:textId="77777777" w:rsidTr="0095261A">
        <w:tc>
          <w:tcPr>
            <w:tcW w:w="4428" w:type="dxa"/>
            <w:tcBorders>
              <w:top w:val="nil"/>
              <w:bottom w:val="single" w:sz="4" w:space="0" w:color="auto"/>
            </w:tcBorders>
          </w:tcPr>
          <w:p w14:paraId="76F1AAFC" w14:textId="77777777" w:rsidR="001D4A50" w:rsidRPr="0055504A" w:rsidRDefault="001D4A50" w:rsidP="0095261A">
            <w:pPr>
              <w:widowControl/>
              <w:spacing w:before="80" w:after="80" w:line="240" w:lineRule="auto"/>
              <w:rPr>
                <w:lang w:eastAsia="zh-CN"/>
              </w:rPr>
            </w:pPr>
            <w:bookmarkStart w:id="0" w:name="_zzmpFIXED_CaptionTable"/>
            <w:r w:rsidRPr="0055504A">
              <w:rPr>
                <w:lang w:eastAsia="zh-CN"/>
              </w:rPr>
              <w:t>In the Matter of the Petition of</w:t>
            </w:r>
          </w:p>
          <w:p w14:paraId="303988BF" w14:textId="77777777" w:rsidR="001D4A50" w:rsidRPr="0055504A" w:rsidRDefault="001D4A50" w:rsidP="0095261A">
            <w:pPr>
              <w:widowControl/>
              <w:spacing w:before="80" w:after="80" w:line="240" w:lineRule="auto"/>
              <w:rPr>
                <w:lang w:eastAsia="zh-CN"/>
              </w:rPr>
            </w:pPr>
            <w:r w:rsidRPr="0055504A">
              <w:rPr>
                <w:lang w:eastAsia="zh-CN"/>
              </w:rPr>
              <w:t>PUGET SOUND ENERGY, INC.</w:t>
            </w:r>
          </w:p>
          <w:p w14:paraId="2A3FE353" w14:textId="77777777" w:rsidR="001D4A50" w:rsidRPr="0055504A" w:rsidRDefault="001D4A50" w:rsidP="0095261A">
            <w:pPr>
              <w:widowControl/>
              <w:spacing w:before="80" w:after="80" w:line="240" w:lineRule="auto"/>
              <w:rPr>
                <w:lang w:eastAsia="zh-CN"/>
              </w:rPr>
            </w:pPr>
            <w:r w:rsidRPr="0055504A">
              <w:rPr>
                <w:lang w:eastAsia="zh-CN"/>
              </w:rPr>
              <w:t>for (i) Approval of a Special Contract for Liquefied Natural Gas Fuel Service with Totem Ocean Trailer Express, Inc. and (ii)</w:t>
            </w:r>
            <w:r>
              <w:rPr>
                <w:lang w:eastAsia="zh-CN"/>
              </w:rPr>
              <w:t> </w:t>
            </w:r>
            <w:r w:rsidRPr="0055504A">
              <w:rPr>
                <w:lang w:eastAsia="zh-CN"/>
              </w:rPr>
              <w:t>a Declaratory Order Approving the Methodology for Allocating Costs Between Regulated and Non-regulated Liquefied Natural Gas Services</w:t>
            </w:r>
          </w:p>
        </w:tc>
        <w:tc>
          <w:tcPr>
            <w:tcW w:w="5040" w:type="dxa"/>
          </w:tcPr>
          <w:p w14:paraId="7000BC1E" w14:textId="77777777" w:rsidR="001D4A50" w:rsidRPr="0055504A" w:rsidRDefault="001D4A50" w:rsidP="0095261A">
            <w:pPr>
              <w:pStyle w:val="Caption"/>
              <w:widowControl/>
              <w:tabs>
                <w:tab w:val="left" w:pos="1238"/>
              </w:tabs>
              <w:spacing w:before="80" w:after="80" w:line="240" w:lineRule="auto"/>
              <w:ind w:left="259" w:right="115"/>
            </w:pPr>
            <w:r w:rsidRPr="0055504A">
              <w:t>Docket No. UG-15</w:t>
            </w:r>
            <w:r>
              <w:t>1663</w:t>
            </w:r>
          </w:p>
          <w:p w14:paraId="673DCA59" w14:textId="77777777" w:rsidR="001D4A50" w:rsidRDefault="001D4A50" w:rsidP="001D4A50">
            <w:pPr>
              <w:pStyle w:val="DocumentTitle"/>
              <w:widowControl/>
              <w:spacing w:before="80" w:after="80" w:line="240" w:lineRule="auto"/>
              <w:ind w:right="432"/>
              <w:rPr>
                <w:lang w:eastAsia="zh-CN"/>
              </w:rPr>
            </w:pPr>
          </w:p>
          <w:p w14:paraId="4888B77C" w14:textId="005D050B" w:rsidR="001D4A50" w:rsidRPr="0055504A" w:rsidRDefault="001D4A50" w:rsidP="00302799">
            <w:pPr>
              <w:pStyle w:val="DocumentTitle"/>
              <w:widowControl/>
              <w:spacing w:after="0" w:line="240" w:lineRule="atLeast"/>
              <w:ind w:right="432"/>
            </w:pPr>
            <w:r>
              <w:rPr>
                <w:lang w:eastAsia="zh-CN"/>
              </w:rPr>
              <w:t>COMMISSION STAFF</w:t>
            </w:r>
            <w:r w:rsidR="00302799">
              <w:rPr>
                <w:lang w:eastAsia="zh-CN"/>
              </w:rPr>
              <w:t xml:space="preserve"> RESPONSE TO PUGET SOUND ENERGY</w:t>
            </w:r>
            <w:r w:rsidR="007B0DA5">
              <w:rPr>
                <w:lang w:eastAsia="zh-CN"/>
              </w:rPr>
              <w:t>’S</w:t>
            </w:r>
            <w:r w:rsidR="00302799">
              <w:rPr>
                <w:lang w:eastAsia="zh-CN"/>
              </w:rPr>
              <w:t xml:space="preserve"> PETITION FOR </w:t>
            </w:r>
            <w:r w:rsidR="007B0DA5">
              <w:rPr>
                <w:lang w:eastAsia="zh-CN"/>
              </w:rPr>
              <w:t xml:space="preserve">APPROVAL OF A SPECIAL CONTRACT AND </w:t>
            </w:r>
            <w:r w:rsidR="00302799">
              <w:rPr>
                <w:lang w:eastAsia="zh-CN"/>
              </w:rPr>
              <w:t xml:space="preserve">DECLARATORY ORDER </w:t>
            </w:r>
            <w:r>
              <w:rPr>
                <w:lang w:eastAsia="zh-CN"/>
              </w:rPr>
              <w:t xml:space="preserve"> </w:t>
            </w:r>
          </w:p>
        </w:tc>
      </w:tr>
      <w:bookmarkEnd w:id="0"/>
    </w:tbl>
    <w:p w14:paraId="0CC7CAF9" w14:textId="77777777" w:rsidR="000F6F8C" w:rsidRDefault="000F6F8C" w:rsidP="001D4A50">
      <w:pPr>
        <w:spacing w:line="480" w:lineRule="auto"/>
      </w:pPr>
    </w:p>
    <w:p w14:paraId="67C27B6F" w14:textId="77777777" w:rsidR="008B36DA" w:rsidRDefault="008B36DA" w:rsidP="008B36DA">
      <w:pPr>
        <w:pStyle w:val="ListParagraph"/>
        <w:numPr>
          <w:ilvl w:val="0"/>
          <w:numId w:val="2"/>
        </w:numPr>
        <w:jc w:val="center"/>
        <w:rPr>
          <w:b/>
          <w:sz w:val="24"/>
        </w:rPr>
      </w:pPr>
      <w:r w:rsidRPr="00022EC7">
        <w:rPr>
          <w:b/>
          <w:sz w:val="24"/>
        </w:rPr>
        <w:t>INTRODUCTION</w:t>
      </w:r>
    </w:p>
    <w:p w14:paraId="2B064E62" w14:textId="77777777" w:rsidR="008B36DA" w:rsidRPr="00022EC7" w:rsidRDefault="008B36DA" w:rsidP="008B36DA">
      <w:pPr>
        <w:pStyle w:val="ListParagraph"/>
        <w:ind w:left="1080"/>
        <w:rPr>
          <w:b/>
          <w:sz w:val="24"/>
        </w:rPr>
      </w:pPr>
    </w:p>
    <w:p w14:paraId="2BF9BF26" w14:textId="49D1FBA7" w:rsidR="005C001C" w:rsidRDefault="00302799" w:rsidP="00302799">
      <w:pPr>
        <w:pStyle w:val="ListParagraph"/>
        <w:numPr>
          <w:ilvl w:val="0"/>
          <w:numId w:val="4"/>
        </w:numPr>
        <w:spacing w:line="480" w:lineRule="auto"/>
        <w:rPr>
          <w:sz w:val="24"/>
        </w:rPr>
      </w:pPr>
      <w:r w:rsidRPr="00302799">
        <w:rPr>
          <w:sz w:val="24"/>
        </w:rPr>
        <w:tab/>
      </w:r>
      <w:r w:rsidR="008B36DA" w:rsidRPr="00302799">
        <w:rPr>
          <w:sz w:val="24"/>
        </w:rPr>
        <w:t xml:space="preserve">Commission Staff (“Staff”) requests </w:t>
      </w:r>
      <w:r w:rsidR="008B213F" w:rsidRPr="00302799">
        <w:rPr>
          <w:sz w:val="24"/>
        </w:rPr>
        <w:t xml:space="preserve">that </w:t>
      </w:r>
      <w:r w:rsidR="008B36DA" w:rsidRPr="00302799">
        <w:rPr>
          <w:sz w:val="24"/>
        </w:rPr>
        <w:t xml:space="preserve">the Washington Utilities and Transportation Commission (“Commission”) </w:t>
      </w:r>
      <w:r w:rsidR="008B213F" w:rsidRPr="00302799">
        <w:rPr>
          <w:sz w:val="24"/>
        </w:rPr>
        <w:t xml:space="preserve">convert </w:t>
      </w:r>
      <w:r w:rsidR="008B36DA" w:rsidRPr="00302799">
        <w:rPr>
          <w:sz w:val="24"/>
        </w:rPr>
        <w:t>Puget Sound Energy, Inc.’s (“PSE” or “Compan</w:t>
      </w:r>
      <w:r w:rsidR="007B0DA5">
        <w:rPr>
          <w:sz w:val="24"/>
        </w:rPr>
        <w:t>y”) petition for a</w:t>
      </w:r>
      <w:r w:rsidR="00E04BF2">
        <w:rPr>
          <w:sz w:val="24"/>
        </w:rPr>
        <w:t xml:space="preserve">pproval of a </w:t>
      </w:r>
      <w:r w:rsidR="007B0DA5">
        <w:rPr>
          <w:sz w:val="24"/>
        </w:rPr>
        <w:t>s</w:t>
      </w:r>
      <w:r w:rsidR="00E04BF2">
        <w:rPr>
          <w:sz w:val="24"/>
        </w:rPr>
        <w:t xml:space="preserve">pecial </w:t>
      </w:r>
      <w:r w:rsidR="007B0DA5">
        <w:rPr>
          <w:sz w:val="24"/>
        </w:rPr>
        <w:t>contract and to enter a d</w:t>
      </w:r>
      <w:r w:rsidR="008B36DA" w:rsidRPr="00302799">
        <w:rPr>
          <w:sz w:val="24"/>
        </w:rPr>
        <w:t xml:space="preserve">eclaratory </w:t>
      </w:r>
      <w:r w:rsidR="007B0DA5">
        <w:rPr>
          <w:sz w:val="24"/>
        </w:rPr>
        <w:t>o</w:t>
      </w:r>
      <w:r w:rsidR="008B36DA" w:rsidRPr="00302799">
        <w:rPr>
          <w:sz w:val="24"/>
        </w:rPr>
        <w:t>rder approving its requested cost allocation methodology</w:t>
      </w:r>
      <w:r w:rsidR="008B213F" w:rsidRPr="00302799">
        <w:rPr>
          <w:sz w:val="24"/>
        </w:rPr>
        <w:t xml:space="preserve"> to </w:t>
      </w:r>
      <w:r w:rsidR="008B36DA" w:rsidRPr="00302799">
        <w:rPr>
          <w:sz w:val="24"/>
        </w:rPr>
        <w:t xml:space="preserve">a formal adjudicative process. </w:t>
      </w:r>
    </w:p>
    <w:p w14:paraId="2726DB77" w14:textId="623AF111" w:rsidR="008B36DA" w:rsidRPr="00302799" w:rsidRDefault="005C001C" w:rsidP="00E10316">
      <w:pPr>
        <w:pStyle w:val="ListParagraph"/>
        <w:widowControl/>
        <w:numPr>
          <w:ilvl w:val="0"/>
          <w:numId w:val="4"/>
        </w:numPr>
        <w:spacing w:line="480" w:lineRule="auto"/>
        <w:rPr>
          <w:sz w:val="24"/>
        </w:rPr>
      </w:pPr>
      <w:r w:rsidRPr="00302799">
        <w:rPr>
          <w:sz w:val="24"/>
        </w:rPr>
        <w:tab/>
      </w:r>
      <w:r w:rsidR="008B36DA" w:rsidRPr="00302799">
        <w:rPr>
          <w:sz w:val="24"/>
        </w:rPr>
        <w:t>PSE</w:t>
      </w:r>
      <w:r w:rsidR="007B0DA5">
        <w:rPr>
          <w:sz w:val="24"/>
        </w:rPr>
        <w:t xml:space="preserve"> has </w:t>
      </w:r>
      <w:r w:rsidR="008B36DA" w:rsidRPr="00302799">
        <w:rPr>
          <w:sz w:val="24"/>
        </w:rPr>
        <w:t>requested approval of a special contract, a new class of customer, a major capital project, allocations between new and old regulated services and non-regulated operations, and several “related approvals under the terms and conditions.”</w:t>
      </w:r>
      <w:r w:rsidR="008B36DA" w:rsidRPr="00302799">
        <w:rPr>
          <w:rStyle w:val="FootnoteReference"/>
          <w:sz w:val="24"/>
        </w:rPr>
        <w:footnoteReference w:id="2"/>
      </w:r>
      <w:r w:rsidR="008B36DA" w:rsidRPr="00302799">
        <w:rPr>
          <w:sz w:val="24"/>
        </w:rPr>
        <w:t xml:space="preserve"> PSE’s petition is a complex and detailed filing that implicates a number of ratemaking issues, an interpretation of prior Commission orders, and the treatment of stranded investments made possible by the agreement predicating this filing. Plainly stated, Staff cannot provide meaningful review and recommendation</w:t>
      </w:r>
      <w:r w:rsidR="00F229F2" w:rsidRPr="00302799">
        <w:rPr>
          <w:sz w:val="24"/>
        </w:rPr>
        <w:t>s</w:t>
      </w:r>
      <w:r w:rsidR="008B36DA" w:rsidRPr="00302799">
        <w:rPr>
          <w:sz w:val="24"/>
        </w:rPr>
        <w:t xml:space="preserve"> to the Commission without additional time, information, and formal process. </w:t>
      </w:r>
    </w:p>
    <w:p w14:paraId="18BE22B9" w14:textId="5FED0ECB" w:rsidR="001D4A50" w:rsidRPr="00302799" w:rsidRDefault="00302799" w:rsidP="00302799">
      <w:pPr>
        <w:keepNext/>
        <w:spacing w:line="480" w:lineRule="auto"/>
        <w:jc w:val="center"/>
        <w:rPr>
          <w:b/>
        </w:rPr>
      </w:pPr>
      <w:r w:rsidRPr="00302799">
        <w:rPr>
          <w:b/>
        </w:rPr>
        <w:lastRenderedPageBreak/>
        <w:t>II.</w:t>
      </w:r>
      <w:r w:rsidRPr="00302799">
        <w:rPr>
          <w:b/>
        </w:rPr>
        <w:tab/>
      </w:r>
      <w:r w:rsidR="00541945" w:rsidRPr="00302799">
        <w:rPr>
          <w:b/>
        </w:rPr>
        <w:t xml:space="preserve">FACTUAL AND </w:t>
      </w:r>
      <w:r w:rsidR="001D4A50" w:rsidRPr="00302799">
        <w:rPr>
          <w:b/>
        </w:rPr>
        <w:t>PROCEDURAL HISTORY</w:t>
      </w:r>
    </w:p>
    <w:p w14:paraId="5146D96A" w14:textId="39F60499" w:rsidR="00BA1C63" w:rsidRDefault="00302799" w:rsidP="00302799">
      <w:pPr>
        <w:pStyle w:val="NoSpacing"/>
        <w:numPr>
          <w:ilvl w:val="0"/>
          <w:numId w:val="4"/>
        </w:numPr>
        <w:spacing w:line="480" w:lineRule="auto"/>
        <w:rPr>
          <w:sz w:val="24"/>
          <w:szCs w:val="24"/>
        </w:rPr>
      </w:pPr>
      <w:r>
        <w:rPr>
          <w:sz w:val="24"/>
          <w:szCs w:val="24"/>
        </w:rPr>
        <w:tab/>
      </w:r>
      <w:r w:rsidR="001D4A50" w:rsidRPr="001D4A50">
        <w:rPr>
          <w:sz w:val="24"/>
          <w:szCs w:val="24"/>
        </w:rPr>
        <w:t xml:space="preserve">On August 11, 2015, PSE filed a </w:t>
      </w:r>
      <w:r w:rsidR="00E04BF2">
        <w:rPr>
          <w:sz w:val="24"/>
          <w:szCs w:val="24"/>
        </w:rPr>
        <w:t>petition seeking approval of a special c</w:t>
      </w:r>
      <w:r w:rsidR="001D4A50">
        <w:rPr>
          <w:sz w:val="24"/>
          <w:szCs w:val="24"/>
        </w:rPr>
        <w:t>ontract to provide liquid natural gas fuel service to</w:t>
      </w:r>
      <w:r w:rsidR="00091ACC" w:rsidRPr="00091ACC">
        <w:rPr>
          <w:sz w:val="24"/>
          <w:szCs w:val="24"/>
        </w:rPr>
        <w:t xml:space="preserve"> </w:t>
      </w:r>
      <w:r w:rsidR="00091ACC" w:rsidRPr="001D4A50">
        <w:rPr>
          <w:sz w:val="24"/>
          <w:szCs w:val="24"/>
        </w:rPr>
        <w:t>Totem Ocean Trailer Express, Inc</w:t>
      </w:r>
      <w:r w:rsidR="00091ACC">
        <w:rPr>
          <w:sz w:val="24"/>
          <w:szCs w:val="24"/>
        </w:rPr>
        <w:t xml:space="preserve">. </w:t>
      </w:r>
      <w:r w:rsidR="00666310">
        <w:rPr>
          <w:sz w:val="24"/>
          <w:szCs w:val="24"/>
        </w:rPr>
        <w:t>(</w:t>
      </w:r>
      <w:r w:rsidR="00091ACC">
        <w:rPr>
          <w:sz w:val="24"/>
          <w:szCs w:val="24"/>
        </w:rPr>
        <w:t>Petition</w:t>
      </w:r>
      <w:r w:rsidR="00666310">
        <w:rPr>
          <w:sz w:val="24"/>
          <w:szCs w:val="24"/>
        </w:rPr>
        <w:t xml:space="preserve">). PSE’s service to </w:t>
      </w:r>
      <w:r w:rsidR="00091ACC" w:rsidRPr="001D4A50">
        <w:rPr>
          <w:sz w:val="24"/>
          <w:szCs w:val="24"/>
        </w:rPr>
        <w:t>Totem Ocean Trailer Express, Inc</w:t>
      </w:r>
      <w:r w:rsidR="00091ACC">
        <w:rPr>
          <w:sz w:val="24"/>
          <w:szCs w:val="24"/>
        </w:rPr>
        <w:t>. (TOTE)</w:t>
      </w:r>
      <w:r w:rsidR="00666310">
        <w:rPr>
          <w:sz w:val="24"/>
          <w:szCs w:val="24"/>
        </w:rPr>
        <w:t xml:space="preserve"> would require </w:t>
      </w:r>
      <w:r w:rsidR="00091ACC">
        <w:rPr>
          <w:sz w:val="24"/>
          <w:szCs w:val="24"/>
        </w:rPr>
        <w:t xml:space="preserve">it </w:t>
      </w:r>
      <w:r w:rsidR="00666310">
        <w:rPr>
          <w:sz w:val="24"/>
          <w:szCs w:val="24"/>
        </w:rPr>
        <w:t xml:space="preserve">to construct a new liquid natural gas </w:t>
      </w:r>
      <w:r w:rsidR="00091ACC">
        <w:rPr>
          <w:sz w:val="24"/>
          <w:szCs w:val="24"/>
        </w:rPr>
        <w:t xml:space="preserve">(LNG) </w:t>
      </w:r>
      <w:r w:rsidR="00666310">
        <w:rPr>
          <w:sz w:val="24"/>
          <w:szCs w:val="24"/>
        </w:rPr>
        <w:t xml:space="preserve">compression and storage facility at the </w:t>
      </w:r>
      <w:r w:rsidR="00091ACC">
        <w:rPr>
          <w:sz w:val="24"/>
          <w:szCs w:val="24"/>
        </w:rPr>
        <w:t xml:space="preserve">Port of Tacoma capable of delivering </w:t>
      </w:r>
      <w:r w:rsidR="00091ACC">
        <w:t xml:space="preserve">approximately 39.6 million </w:t>
      </w:r>
      <w:r w:rsidR="00091ACC" w:rsidRPr="00132AC2">
        <w:t>gallons of LNG</w:t>
      </w:r>
      <w:r w:rsidR="00091ACC">
        <w:rPr>
          <w:sz w:val="24"/>
          <w:szCs w:val="24"/>
        </w:rPr>
        <w:t xml:space="preserve"> to TOTE.</w:t>
      </w:r>
      <w:r w:rsidR="00091ACC">
        <w:rPr>
          <w:rStyle w:val="FootnoteReference"/>
          <w:sz w:val="24"/>
          <w:szCs w:val="24"/>
        </w:rPr>
        <w:footnoteReference w:id="3"/>
      </w:r>
      <w:r w:rsidR="00091ACC">
        <w:rPr>
          <w:sz w:val="24"/>
          <w:szCs w:val="24"/>
        </w:rPr>
        <w:t xml:space="preserve"> To serve this new project, PSE will </w:t>
      </w:r>
      <w:r w:rsidR="00F229F2">
        <w:rPr>
          <w:sz w:val="24"/>
          <w:szCs w:val="24"/>
        </w:rPr>
        <w:t xml:space="preserve">also </w:t>
      </w:r>
      <w:r w:rsidR="00091ACC">
        <w:rPr>
          <w:sz w:val="24"/>
          <w:szCs w:val="24"/>
        </w:rPr>
        <w:t xml:space="preserve">be required to </w:t>
      </w:r>
      <w:r w:rsidR="00BA1C63">
        <w:rPr>
          <w:sz w:val="24"/>
          <w:szCs w:val="24"/>
        </w:rPr>
        <w:t xml:space="preserve">increase the capacity of certain distribution </w:t>
      </w:r>
      <w:r w:rsidR="00666310">
        <w:rPr>
          <w:sz w:val="24"/>
          <w:szCs w:val="24"/>
        </w:rPr>
        <w:t xml:space="preserve">service </w:t>
      </w:r>
      <w:r w:rsidR="00BA1C63">
        <w:rPr>
          <w:sz w:val="24"/>
          <w:szCs w:val="24"/>
        </w:rPr>
        <w:t>lines.</w:t>
      </w:r>
      <w:r w:rsidR="00BA1C63">
        <w:rPr>
          <w:rStyle w:val="FootnoteReference"/>
          <w:sz w:val="24"/>
          <w:szCs w:val="24"/>
        </w:rPr>
        <w:footnoteReference w:id="4"/>
      </w:r>
      <w:r w:rsidR="00BA1C63">
        <w:rPr>
          <w:sz w:val="24"/>
          <w:szCs w:val="24"/>
        </w:rPr>
        <w:t xml:space="preserve"> </w:t>
      </w:r>
      <w:r w:rsidR="005001ED">
        <w:rPr>
          <w:sz w:val="24"/>
          <w:szCs w:val="24"/>
        </w:rPr>
        <w:t xml:space="preserve">Finally, PSE expects to operate an unregulated natural gas sales business on the LNG site. </w:t>
      </w:r>
      <w:r w:rsidR="00F74175">
        <w:rPr>
          <w:sz w:val="24"/>
          <w:szCs w:val="24"/>
        </w:rPr>
        <w:t>The</w:t>
      </w:r>
      <w:r w:rsidR="00F229F2">
        <w:rPr>
          <w:sz w:val="24"/>
          <w:szCs w:val="24"/>
        </w:rPr>
        <w:t xml:space="preserve"> capital investment</w:t>
      </w:r>
      <w:r w:rsidR="00F74175">
        <w:rPr>
          <w:sz w:val="24"/>
          <w:szCs w:val="24"/>
        </w:rPr>
        <w:t xml:space="preserve"> necessary</w:t>
      </w:r>
      <w:r w:rsidR="00F229F2">
        <w:rPr>
          <w:sz w:val="24"/>
          <w:szCs w:val="24"/>
        </w:rPr>
        <w:t xml:space="preserve"> to accomplish these objectives is considerable, and may be the most expensive capital project PSE has ever attempted for its natural gas business</w:t>
      </w:r>
      <w:r w:rsidR="00F74175">
        <w:rPr>
          <w:sz w:val="24"/>
          <w:szCs w:val="24"/>
        </w:rPr>
        <w:t xml:space="preserve"> </w:t>
      </w:r>
      <w:r w:rsidR="00F74175" w:rsidRPr="007249F9">
        <w:rPr>
          <w:sz w:val="24"/>
          <w:szCs w:val="24"/>
        </w:rPr>
        <w:t>in nominal dollars</w:t>
      </w:r>
      <w:r w:rsidR="00F229F2" w:rsidRPr="007249F9">
        <w:rPr>
          <w:sz w:val="24"/>
          <w:szCs w:val="24"/>
        </w:rPr>
        <w:t>.</w:t>
      </w:r>
      <w:r w:rsidR="00F229F2">
        <w:rPr>
          <w:sz w:val="24"/>
          <w:szCs w:val="24"/>
        </w:rPr>
        <w:t xml:space="preserve">  </w:t>
      </w:r>
    </w:p>
    <w:p w14:paraId="260F98EB" w14:textId="751567E3" w:rsidR="007F6F47" w:rsidRDefault="00BA1C63" w:rsidP="001D4A50">
      <w:pPr>
        <w:pStyle w:val="NoSpacing"/>
        <w:numPr>
          <w:ilvl w:val="0"/>
          <w:numId w:val="4"/>
        </w:numPr>
        <w:spacing w:line="480" w:lineRule="auto"/>
        <w:rPr>
          <w:sz w:val="24"/>
          <w:szCs w:val="24"/>
        </w:rPr>
      </w:pPr>
      <w:r w:rsidRPr="00302799">
        <w:rPr>
          <w:sz w:val="24"/>
          <w:szCs w:val="24"/>
        </w:rPr>
        <w:tab/>
        <w:t>I</w:t>
      </w:r>
      <w:r w:rsidR="001D4A50" w:rsidRPr="00302799">
        <w:rPr>
          <w:sz w:val="24"/>
          <w:szCs w:val="24"/>
        </w:rPr>
        <w:t>n the same filing, PSE ask</w:t>
      </w:r>
      <w:r w:rsidRPr="00302799">
        <w:rPr>
          <w:sz w:val="24"/>
          <w:szCs w:val="24"/>
        </w:rPr>
        <w:t xml:space="preserve">ed </w:t>
      </w:r>
      <w:r w:rsidR="001D4A50" w:rsidRPr="00302799">
        <w:rPr>
          <w:sz w:val="24"/>
          <w:szCs w:val="24"/>
        </w:rPr>
        <w:t>the Commission</w:t>
      </w:r>
      <w:r w:rsidR="008B36DA" w:rsidRPr="00302799">
        <w:rPr>
          <w:sz w:val="24"/>
          <w:szCs w:val="24"/>
        </w:rPr>
        <w:t xml:space="preserve"> </w:t>
      </w:r>
      <w:r w:rsidR="00EC4C22">
        <w:rPr>
          <w:sz w:val="24"/>
          <w:szCs w:val="24"/>
        </w:rPr>
        <w:t>to issue a declaratory o</w:t>
      </w:r>
      <w:r w:rsidR="001D4A50" w:rsidRPr="00302799">
        <w:rPr>
          <w:sz w:val="24"/>
          <w:szCs w:val="24"/>
        </w:rPr>
        <w:t xml:space="preserve">rder approving a specific methodology </w:t>
      </w:r>
      <w:r w:rsidR="005001ED" w:rsidRPr="00302799">
        <w:rPr>
          <w:sz w:val="24"/>
          <w:szCs w:val="24"/>
        </w:rPr>
        <w:t xml:space="preserve">for the allocation of </w:t>
      </w:r>
      <w:r w:rsidR="007F6F47" w:rsidRPr="00302799">
        <w:rPr>
          <w:sz w:val="24"/>
          <w:szCs w:val="24"/>
        </w:rPr>
        <w:t>costs between PSE’s regulated and unregulated operations at the Port of Tacoma site and any required improvements to PSE’s natural gas distribution system.</w:t>
      </w:r>
      <w:r w:rsidR="007F6F47">
        <w:rPr>
          <w:rStyle w:val="FootnoteReference"/>
          <w:sz w:val="24"/>
          <w:szCs w:val="24"/>
        </w:rPr>
        <w:footnoteReference w:id="5"/>
      </w:r>
      <w:r w:rsidR="007F6F47" w:rsidRPr="00302799">
        <w:rPr>
          <w:sz w:val="24"/>
          <w:szCs w:val="24"/>
        </w:rPr>
        <w:t xml:space="preserve"> </w:t>
      </w:r>
    </w:p>
    <w:p w14:paraId="3F6A27F1" w14:textId="77777777" w:rsidR="007F6F47" w:rsidRPr="00302799" w:rsidRDefault="007F6F47" w:rsidP="001D4A50">
      <w:pPr>
        <w:pStyle w:val="NoSpacing"/>
        <w:numPr>
          <w:ilvl w:val="0"/>
          <w:numId w:val="4"/>
        </w:numPr>
        <w:spacing w:line="480" w:lineRule="auto"/>
        <w:rPr>
          <w:sz w:val="24"/>
          <w:szCs w:val="24"/>
        </w:rPr>
      </w:pPr>
      <w:r w:rsidRPr="00302799">
        <w:rPr>
          <w:sz w:val="24"/>
          <w:szCs w:val="24"/>
        </w:rPr>
        <w:tab/>
        <w:t>On August 13, 2015, the</w:t>
      </w:r>
      <w:r w:rsidR="008B36DA" w:rsidRPr="00302799">
        <w:rPr>
          <w:sz w:val="24"/>
          <w:szCs w:val="24"/>
        </w:rPr>
        <w:t xml:space="preserve"> Commission</w:t>
      </w:r>
      <w:r w:rsidRPr="00302799">
        <w:rPr>
          <w:sz w:val="24"/>
          <w:szCs w:val="24"/>
        </w:rPr>
        <w:t xml:space="preserve"> issued its Notice Of Receipt Of Petition For Declaratory Order And Opportunity To Submit Statements Of Fact And Law And Notice Of Opportunity To File Response To Motion For Amended Protective Order</w:t>
      </w:r>
      <w:r w:rsidR="00541945" w:rsidRPr="00302799">
        <w:rPr>
          <w:sz w:val="24"/>
          <w:szCs w:val="24"/>
        </w:rPr>
        <w:t>. Staff responds to the Commission’s Notice with this filing</w:t>
      </w:r>
      <w:r w:rsidR="008B36DA" w:rsidRPr="00302799">
        <w:rPr>
          <w:sz w:val="24"/>
          <w:szCs w:val="24"/>
        </w:rPr>
        <w:t xml:space="preserve">. </w:t>
      </w:r>
      <w:r w:rsidR="005C001C" w:rsidRPr="00302799">
        <w:rPr>
          <w:sz w:val="24"/>
          <w:szCs w:val="24"/>
        </w:rPr>
        <w:t xml:space="preserve"> </w:t>
      </w:r>
    </w:p>
    <w:p w14:paraId="668B27B5" w14:textId="652FC387" w:rsidR="005C001C" w:rsidRPr="00302799" w:rsidRDefault="00302799" w:rsidP="00302799">
      <w:pPr>
        <w:keepNext/>
        <w:spacing w:line="480" w:lineRule="auto"/>
        <w:ind w:left="360"/>
        <w:jc w:val="center"/>
        <w:rPr>
          <w:b/>
        </w:rPr>
      </w:pPr>
      <w:r>
        <w:rPr>
          <w:b/>
        </w:rPr>
        <w:t>III.</w:t>
      </w:r>
      <w:r>
        <w:rPr>
          <w:b/>
        </w:rPr>
        <w:tab/>
      </w:r>
      <w:r>
        <w:rPr>
          <w:b/>
        </w:rPr>
        <w:tab/>
      </w:r>
      <w:r w:rsidR="005C001C" w:rsidRPr="00302799">
        <w:rPr>
          <w:b/>
        </w:rPr>
        <w:t>APPLICABLE RULES AND REGULATIONS</w:t>
      </w:r>
    </w:p>
    <w:p w14:paraId="4399BFA0" w14:textId="239F05FE" w:rsidR="00324721" w:rsidRPr="00290F18" w:rsidRDefault="00290F18" w:rsidP="00290F18">
      <w:pPr>
        <w:pStyle w:val="ListParagraph"/>
        <w:keepNext/>
        <w:numPr>
          <w:ilvl w:val="0"/>
          <w:numId w:val="4"/>
        </w:numPr>
        <w:spacing w:line="480" w:lineRule="auto"/>
        <w:rPr>
          <w:sz w:val="24"/>
        </w:rPr>
      </w:pPr>
      <w:r w:rsidRPr="00290F18">
        <w:rPr>
          <w:sz w:val="24"/>
        </w:rPr>
        <w:tab/>
      </w:r>
      <w:r w:rsidR="005C001C" w:rsidRPr="00290F18">
        <w:rPr>
          <w:sz w:val="24"/>
        </w:rPr>
        <w:t xml:space="preserve">Under Washington’s Administrative Procedure Act (“APA”), an agency may commence an adjudicative proceeding at any time for matters within the agency’s jurisdiction and scope of authority. RCW 34.05.413.  </w:t>
      </w:r>
      <w:r w:rsidR="00535B5A" w:rsidRPr="00290F18">
        <w:rPr>
          <w:sz w:val="24"/>
        </w:rPr>
        <w:t xml:space="preserve">Clearly, the Commission’s authority encompasses PSE’s natural gas distribution facilities, the Company’s proposed accounting treatments for utility capital investments, and its regulated utility operations. </w:t>
      </w:r>
      <w:r w:rsidR="00535B5A" w:rsidRPr="00290F18">
        <w:rPr>
          <w:i/>
          <w:sz w:val="24"/>
        </w:rPr>
        <w:t xml:space="preserve">See, e.g. </w:t>
      </w:r>
      <w:r w:rsidR="00535B5A" w:rsidRPr="00290F18">
        <w:rPr>
          <w:sz w:val="24"/>
        </w:rPr>
        <w:t xml:space="preserve">RCW 80.01.040. </w:t>
      </w:r>
      <w:r w:rsidR="00F74175" w:rsidRPr="00290F18">
        <w:rPr>
          <w:sz w:val="24"/>
        </w:rPr>
        <w:t>Indeed, the Company’s petition d</w:t>
      </w:r>
      <w:r w:rsidR="005C001C" w:rsidRPr="00290F18">
        <w:rPr>
          <w:sz w:val="24"/>
        </w:rPr>
        <w:t>iscuss</w:t>
      </w:r>
      <w:r w:rsidR="00F74175" w:rsidRPr="00290F18">
        <w:rPr>
          <w:sz w:val="24"/>
        </w:rPr>
        <w:t xml:space="preserve">es </w:t>
      </w:r>
      <w:r w:rsidR="005C001C" w:rsidRPr="00290F18">
        <w:rPr>
          <w:sz w:val="24"/>
        </w:rPr>
        <w:t>the Commission’s authority at length</w:t>
      </w:r>
      <w:r w:rsidR="00F74175" w:rsidRPr="00290F18">
        <w:rPr>
          <w:sz w:val="24"/>
        </w:rPr>
        <w:t>,</w:t>
      </w:r>
      <w:r w:rsidR="005C001C" w:rsidRPr="00290F18">
        <w:rPr>
          <w:sz w:val="24"/>
        </w:rPr>
        <w:t xml:space="preserve"> and seek</w:t>
      </w:r>
      <w:r w:rsidR="00F74175" w:rsidRPr="00290F18">
        <w:rPr>
          <w:sz w:val="24"/>
        </w:rPr>
        <w:t xml:space="preserve">s the </w:t>
      </w:r>
      <w:r w:rsidR="005C001C" w:rsidRPr="00290F18">
        <w:rPr>
          <w:sz w:val="24"/>
        </w:rPr>
        <w:t>Commission</w:t>
      </w:r>
      <w:r w:rsidR="00F74175" w:rsidRPr="00290F18">
        <w:rPr>
          <w:sz w:val="24"/>
        </w:rPr>
        <w:t>’s</w:t>
      </w:r>
      <w:r w:rsidR="005C001C" w:rsidRPr="00290F18">
        <w:rPr>
          <w:sz w:val="24"/>
        </w:rPr>
        <w:t xml:space="preserve"> approval</w:t>
      </w:r>
      <w:r w:rsidR="00025AFB" w:rsidRPr="00290F18">
        <w:rPr>
          <w:sz w:val="24"/>
        </w:rPr>
        <w:t xml:space="preserve"> for a special contract with TOTE. </w:t>
      </w:r>
      <w:r w:rsidR="00E04BF2" w:rsidRPr="00290F18">
        <w:rPr>
          <w:sz w:val="24"/>
        </w:rPr>
        <w:t xml:space="preserve">Based on PSE’s </w:t>
      </w:r>
      <w:r w:rsidR="00324721" w:rsidRPr="00290F18">
        <w:rPr>
          <w:sz w:val="24"/>
        </w:rPr>
        <w:t xml:space="preserve">proposed treatment of its sales to </w:t>
      </w:r>
      <w:r w:rsidR="00E04BF2" w:rsidRPr="00290F18">
        <w:rPr>
          <w:sz w:val="24"/>
        </w:rPr>
        <w:t>TOTE, the service to be provided</w:t>
      </w:r>
      <w:r w:rsidR="00324721" w:rsidRPr="00290F18">
        <w:rPr>
          <w:sz w:val="24"/>
        </w:rPr>
        <w:t xml:space="preserve"> would be the basis for Commission jurisdiction.   </w:t>
      </w:r>
    </w:p>
    <w:p w14:paraId="7C5945F2" w14:textId="0396A27F" w:rsidR="005C001C" w:rsidRPr="00302799" w:rsidRDefault="00324721" w:rsidP="00A66628">
      <w:pPr>
        <w:pStyle w:val="ListParagraph"/>
        <w:numPr>
          <w:ilvl w:val="0"/>
          <w:numId w:val="4"/>
        </w:numPr>
        <w:spacing w:line="480" w:lineRule="auto"/>
        <w:rPr>
          <w:sz w:val="24"/>
        </w:rPr>
      </w:pPr>
      <w:r w:rsidRPr="00302799">
        <w:rPr>
          <w:sz w:val="24"/>
        </w:rPr>
        <w:tab/>
      </w:r>
      <w:r w:rsidR="00025AFB" w:rsidRPr="00302799">
        <w:rPr>
          <w:sz w:val="24"/>
        </w:rPr>
        <w:t>PSE also seeks a declaratory order on its proposed accounting treatment</w:t>
      </w:r>
      <w:r w:rsidR="005C001C" w:rsidRPr="00302799">
        <w:rPr>
          <w:sz w:val="24"/>
        </w:rPr>
        <w:t xml:space="preserve">. </w:t>
      </w:r>
      <w:r w:rsidRPr="00302799">
        <w:rPr>
          <w:sz w:val="24"/>
        </w:rPr>
        <w:t>As noted above</w:t>
      </w:r>
      <w:r w:rsidR="000B399B" w:rsidRPr="00302799">
        <w:rPr>
          <w:sz w:val="24"/>
        </w:rPr>
        <w:t>, PSE</w:t>
      </w:r>
      <w:r w:rsidR="00E04BF2">
        <w:rPr>
          <w:sz w:val="24"/>
        </w:rPr>
        <w:t xml:space="preserve">’s contemplated </w:t>
      </w:r>
      <w:r w:rsidRPr="00302799">
        <w:rPr>
          <w:sz w:val="24"/>
        </w:rPr>
        <w:t xml:space="preserve">capital project would implicate both </w:t>
      </w:r>
      <w:r w:rsidR="000B399B" w:rsidRPr="00302799">
        <w:rPr>
          <w:sz w:val="24"/>
        </w:rPr>
        <w:t xml:space="preserve">its </w:t>
      </w:r>
      <w:r w:rsidRPr="00302799">
        <w:rPr>
          <w:sz w:val="24"/>
        </w:rPr>
        <w:t xml:space="preserve">regulated </w:t>
      </w:r>
      <w:r w:rsidR="000B399B" w:rsidRPr="00302799">
        <w:rPr>
          <w:sz w:val="24"/>
        </w:rPr>
        <w:t xml:space="preserve">gas operations </w:t>
      </w:r>
      <w:r w:rsidRPr="00302799">
        <w:rPr>
          <w:sz w:val="24"/>
        </w:rPr>
        <w:t xml:space="preserve">and </w:t>
      </w:r>
      <w:r w:rsidR="000B399B" w:rsidRPr="00302799">
        <w:rPr>
          <w:sz w:val="24"/>
        </w:rPr>
        <w:t xml:space="preserve">a possible </w:t>
      </w:r>
      <w:r w:rsidRPr="00302799">
        <w:rPr>
          <w:sz w:val="24"/>
        </w:rPr>
        <w:t xml:space="preserve">unregulated </w:t>
      </w:r>
      <w:r w:rsidR="000B399B" w:rsidRPr="00302799">
        <w:rPr>
          <w:sz w:val="24"/>
        </w:rPr>
        <w:t xml:space="preserve">business line. Specifically, PSE seeks to allocate the costs and benefits associated with the project’s multiple purposes between TOTE, </w:t>
      </w:r>
      <w:r w:rsidR="004570D9" w:rsidRPr="00302799">
        <w:rPr>
          <w:sz w:val="24"/>
        </w:rPr>
        <w:t xml:space="preserve">its </w:t>
      </w:r>
      <w:r w:rsidR="000B399B" w:rsidRPr="00302799">
        <w:rPr>
          <w:sz w:val="24"/>
        </w:rPr>
        <w:t>system reliability</w:t>
      </w:r>
      <w:r w:rsidR="004570D9" w:rsidRPr="00302799">
        <w:rPr>
          <w:sz w:val="24"/>
        </w:rPr>
        <w:t xml:space="preserve"> needs</w:t>
      </w:r>
      <w:r w:rsidR="000B399B" w:rsidRPr="00302799">
        <w:rPr>
          <w:sz w:val="24"/>
        </w:rPr>
        <w:t xml:space="preserve">, and its unregulated enterprise. PSE’s </w:t>
      </w:r>
      <w:r w:rsidR="00EC7990" w:rsidRPr="00302799">
        <w:rPr>
          <w:sz w:val="24"/>
        </w:rPr>
        <w:t xml:space="preserve">proposes an </w:t>
      </w:r>
      <w:r w:rsidR="004570D9" w:rsidRPr="00302799">
        <w:rPr>
          <w:sz w:val="24"/>
        </w:rPr>
        <w:t xml:space="preserve">allocation scheme </w:t>
      </w:r>
      <w:r w:rsidR="00EC7990" w:rsidRPr="00302799">
        <w:rPr>
          <w:sz w:val="24"/>
        </w:rPr>
        <w:t xml:space="preserve">and supports it with </w:t>
      </w:r>
      <w:r w:rsidR="000B399B" w:rsidRPr="00302799">
        <w:rPr>
          <w:sz w:val="24"/>
        </w:rPr>
        <w:t xml:space="preserve">prior Commission orders </w:t>
      </w:r>
      <w:r w:rsidR="00EC7990" w:rsidRPr="00302799">
        <w:rPr>
          <w:sz w:val="24"/>
        </w:rPr>
        <w:t xml:space="preserve">addressing </w:t>
      </w:r>
      <w:r w:rsidR="000B399B" w:rsidRPr="00302799">
        <w:rPr>
          <w:sz w:val="24"/>
        </w:rPr>
        <w:t>its merger with Northwest Natural Gas and</w:t>
      </w:r>
      <w:r w:rsidR="004A2129" w:rsidRPr="00302799">
        <w:rPr>
          <w:sz w:val="24"/>
        </w:rPr>
        <w:t xml:space="preserve"> its acquisition by </w:t>
      </w:r>
      <w:r w:rsidR="00EC7990" w:rsidRPr="00302799">
        <w:rPr>
          <w:sz w:val="24"/>
        </w:rPr>
        <w:t xml:space="preserve">an Investor Consortium. </w:t>
      </w:r>
      <w:r w:rsidR="004570D9" w:rsidRPr="00302799">
        <w:rPr>
          <w:sz w:val="24"/>
        </w:rPr>
        <w:t xml:space="preserve">Given the scope of PSE’s proposed project, </w:t>
      </w:r>
      <w:r w:rsidR="002A3052" w:rsidRPr="00302799">
        <w:rPr>
          <w:sz w:val="24"/>
        </w:rPr>
        <w:t xml:space="preserve">Staff turns directly to the Commission’s authority to convert PSE’s petition to </w:t>
      </w:r>
      <w:r w:rsidR="005C001C" w:rsidRPr="00302799">
        <w:rPr>
          <w:sz w:val="24"/>
        </w:rPr>
        <w:t>an adjudicative proceeding.</w:t>
      </w:r>
      <w:r w:rsidR="007C1046" w:rsidRPr="00302799">
        <w:rPr>
          <w:rStyle w:val="FootnoteReference"/>
          <w:sz w:val="24"/>
        </w:rPr>
        <w:footnoteReference w:id="6"/>
      </w:r>
      <w:r w:rsidR="005C001C" w:rsidRPr="00302799">
        <w:rPr>
          <w:sz w:val="24"/>
        </w:rPr>
        <w:t xml:space="preserve"> </w:t>
      </w:r>
      <w:r w:rsidR="00FC2A24" w:rsidRPr="00302799">
        <w:rPr>
          <w:sz w:val="24"/>
        </w:rPr>
        <w:t xml:space="preserve">  </w:t>
      </w:r>
    </w:p>
    <w:p w14:paraId="07DD598A" w14:textId="27449DC1" w:rsidR="007C1046" w:rsidRPr="00302799" w:rsidRDefault="00302799" w:rsidP="00302799">
      <w:pPr>
        <w:pStyle w:val="ListParagraph"/>
        <w:numPr>
          <w:ilvl w:val="0"/>
          <w:numId w:val="4"/>
        </w:numPr>
        <w:spacing w:line="480" w:lineRule="auto"/>
        <w:rPr>
          <w:sz w:val="24"/>
        </w:rPr>
      </w:pPr>
      <w:r>
        <w:rPr>
          <w:sz w:val="24"/>
        </w:rPr>
        <w:tab/>
      </w:r>
      <w:r w:rsidR="005C001C" w:rsidRPr="00302799">
        <w:rPr>
          <w:sz w:val="24"/>
        </w:rPr>
        <w:t xml:space="preserve">The </w:t>
      </w:r>
      <w:r w:rsidR="00FC2A24" w:rsidRPr="00302799">
        <w:rPr>
          <w:sz w:val="24"/>
        </w:rPr>
        <w:t xml:space="preserve">Commission’s </w:t>
      </w:r>
      <w:r w:rsidR="002A3052" w:rsidRPr="00302799">
        <w:rPr>
          <w:sz w:val="24"/>
        </w:rPr>
        <w:t xml:space="preserve">“conversion” authority is set </w:t>
      </w:r>
      <w:r w:rsidR="00FC2A24" w:rsidRPr="00302799">
        <w:rPr>
          <w:sz w:val="24"/>
        </w:rPr>
        <w:t xml:space="preserve">forth in </w:t>
      </w:r>
      <w:r w:rsidR="005C001C" w:rsidRPr="00302799">
        <w:rPr>
          <w:sz w:val="24"/>
        </w:rPr>
        <w:t xml:space="preserve">RCW 34.05.240(5)(b).  </w:t>
      </w:r>
      <w:r w:rsidR="002A3052" w:rsidRPr="00302799">
        <w:rPr>
          <w:sz w:val="24"/>
        </w:rPr>
        <w:t xml:space="preserve">Consistent with the statute, </w:t>
      </w:r>
      <w:r w:rsidR="00973254" w:rsidRPr="00302799">
        <w:rPr>
          <w:sz w:val="24"/>
        </w:rPr>
        <w:t>once a proceeding is “converted”</w:t>
      </w:r>
      <w:r w:rsidR="00EC4C22">
        <w:rPr>
          <w:sz w:val="24"/>
        </w:rPr>
        <w:t xml:space="preserve"> to an adjudication</w:t>
      </w:r>
      <w:r w:rsidR="00973254" w:rsidRPr="00302799">
        <w:rPr>
          <w:sz w:val="24"/>
        </w:rPr>
        <w:t xml:space="preserve"> </w:t>
      </w:r>
      <w:r w:rsidR="002A3052" w:rsidRPr="00302799">
        <w:rPr>
          <w:sz w:val="24"/>
        </w:rPr>
        <w:t xml:space="preserve">any subsequent </w:t>
      </w:r>
      <w:r w:rsidR="005C001C" w:rsidRPr="00302799">
        <w:rPr>
          <w:sz w:val="24"/>
        </w:rPr>
        <w:t xml:space="preserve">proceedings must be held within 90 days of </w:t>
      </w:r>
      <w:r w:rsidR="002A3052" w:rsidRPr="00302799">
        <w:rPr>
          <w:sz w:val="24"/>
        </w:rPr>
        <w:t>PSE’s initial</w:t>
      </w:r>
      <w:r w:rsidR="005C001C" w:rsidRPr="00302799">
        <w:rPr>
          <w:sz w:val="24"/>
        </w:rPr>
        <w:t xml:space="preserve"> filing</w:t>
      </w:r>
      <w:r w:rsidR="002A3052" w:rsidRPr="00302799">
        <w:rPr>
          <w:sz w:val="24"/>
        </w:rPr>
        <w:t xml:space="preserve">. However, the </w:t>
      </w:r>
      <w:r w:rsidR="007C1046" w:rsidRPr="00302799">
        <w:rPr>
          <w:sz w:val="24"/>
        </w:rPr>
        <w:t xml:space="preserve">statute’s </w:t>
      </w:r>
      <w:r w:rsidR="00E81E5D" w:rsidRPr="00302799">
        <w:rPr>
          <w:sz w:val="24"/>
        </w:rPr>
        <w:t xml:space="preserve">limited </w:t>
      </w:r>
      <w:r w:rsidR="002A3052" w:rsidRPr="00302799">
        <w:rPr>
          <w:sz w:val="24"/>
        </w:rPr>
        <w:t xml:space="preserve">period </w:t>
      </w:r>
      <w:r w:rsidR="00E81E5D" w:rsidRPr="00302799">
        <w:rPr>
          <w:sz w:val="24"/>
        </w:rPr>
        <w:t xml:space="preserve">for resolution </w:t>
      </w:r>
      <w:r w:rsidR="007C1046" w:rsidRPr="00302799">
        <w:rPr>
          <w:sz w:val="24"/>
        </w:rPr>
        <w:t>can be extended fo</w:t>
      </w:r>
      <w:r w:rsidR="005C001C" w:rsidRPr="00302799">
        <w:rPr>
          <w:sz w:val="24"/>
        </w:rPr>
        <w:t>r good cause.</w:t>
      </w:r>
      <w:r w:rsidR="00973254" w:rsidRPr="00302799">
        <w:rPr>
          <w:rStyle w:val="FootnoteReference"/>
          <w:sz w:val="24"/>
        </w:rPr>
        <w:footnoteReference w:id="7"/>
      </w:r>
      <w:r w:rsidR="00973254" w:rsidRPr="00302799">
        <w:rPr>
          <w:sz w:val="24"/>
        </w:rPr>
        <w:t xml:space="preserve"> </w:t>
      </w:r>
      <w:r w:rsidR="00EC7990" w:rsidRPr="00302799">
        <w:rPr>
          <w:sz w:val="24"/>
        </w:rPr>
        <w:t xml:space="preserve"> </w:t>
      </w:r>
      <w:r w:rsidR="00936F43" w:rsidRPr="00302799">
        <w:rPr>
          <w:sz w:val="24"/>
        </w:rPr>
        <w:t xml:space="preserve">Given </w:t>
      </w:r>
      <w:r w:rsidR="00EC7990" w:rsidRPr="00302799">
        <w:rPr>
          <w:sz w:val="24"/>
        </w:rPr>
        <w:t>the scope and complexity of PSE’s filing</w:t>
      </w:r>
      <w:r w:rsidR="00936F43" w:rsidRPr="00302799">
        <w:rPr>
          <w:sz w:val="24"/>
        </w:rPr>
        <w:t xml:space="preserve">, the Commission should </w:t>
      </w:r>
      <w:r w:rsidR="00EC7990" w:rsidRPr="00302799">
        <w:rPr>
          <w:sz w:val="24"/>
        </w:rPr>
        <w:t xml:space="preserve">convert </w:t>
      </w:r>
      <w:r w:rsidR="00936F43" w:rsidRPr="00302799">
        <w:rPr>
          <w:sz w:val="24"/>
        </w:rPr>
        <w:t>this matter to an adjudication, and extend the period for review t</w:t>
      </w:r>
      <w:r w:rsidR="007C1046" w:rsidRPr="00302799">
        <w:rPr>
          <w:sz w:val="24"/>
        </w:rPr>
        <w:t xml:space="preserve">o accommodate the foreseeable needs </w:t>
      </w:r>
      <w:r w:rsidR="00973254" w:rsidRPr="00302799">
        <w:rPr>
          <w:sz w:val="24"/>
        </w:rPr>
        <w:t xml:space="preserve">attendant to </w:t>
      </w:r>
      <w:r w:rsidR="007C1046" w:rsidRPr="00302799">
        <w:rPr>
          <w:sz w:val="24"/>
        </w:rPr>
        <w:t>litigation</w:t>
      </w:r>
      <w:r w:rsidR="00973254" w:rsidRPr="00302799">
        <w:rPr>
          <w:sz w:val="24"/>
        </w:rPr>
        <w:t xml:space="preserve"> on the issues presented</w:t>
      </w:r>
      <w:r w:rsidR="00936F43" w:rsidRPr="00302799">
        <w:rPr>
          <w:sz w:val="24"/>
        </w:rPr>
        <w:t xml:space="preserve">. </w:t>
      </w:r>
      <w:r w:rsidR="007C1046" w:rsidRPr="00302799">
        <w:rPr>
          <w:sz w:val="24"/>
        </w:rPr>
        <w:t xml:space="preserve">  </w:t>
      </w:r>
    </w:p>
    <w:p w14:paraId="51C0CA17" w14:textId="10AA7F3A" w:rsidR="005C001C" w:rsidRPr="0095261A" w:rsidRDefault="0095261A" w:rsidP="0095261A">
      <w:pPr>
        <w:pStyle w:val="ListParagraph"/>
        <w:numPr>
          <w:ilvl w:val="0"/>
          <w:numId w:val="4"/>
        </w:numPr>
        <w:spacing w:line="480" w:lineRule="auto"/>
        <w:rPr>
          <w:sz w:val="24"/>
        </w:rPr>
      </w:pPr>
      <w:r>
        <w:tab/>
      </w:r>
      <w:r w:rsidR="005C001C" w:rsidRPr="0095261A">
        <w:rPr>
          <w:sz w:val="24"/>
        </w:rPr>
        <w:t xml:space="preserve">The Commission’s rules </w:t>
      </w:r>
      <w:r w:rsidR="00973254" w:rsidRPr="0095261A">
        <w:rPr>
          <w:sz w:val="24"/>
        </w:rPr>
        <w:t xml:space="preserve">support </w:t>
      </w:r>
      <w:r w:rsidR="00EC4C22">
        <w:rPr>
          <w:sz w:val="24"/>
        </w:rPr>
        <w:t xml:space="preserve">the </w:t>
      </w:r>
      <w:r w:rsidR="00973254" w:rsidRPr="0095261A">
        <w:rPr>
          <w:sz w:val="24"/>
        </w:rPr>
        <w:t xml:space="preserve">authority to set PSE’s petition for an adjudicative proceeding. </w:t>
      </w:r>
      <w:r w:rsidR="005C001C" w:rsidRPr="0095261A">
        <w:rPr>
          <w:sz w:val="24"/>
        </w:rPr>
        <w:t xml:space="preserve">Under WAC 480-07-305(3), the Commission </w:t>
      </w:r>
      <w:r w:rsidR="00973254" w:rsidRPr="0095261A">
        <w:rPr>
          <w:sz w:val="24"/>
        </w:rPr>
        <w:t xml:space="preserve">has </w:t>
      </w:r>
      <w:r w:rsidR="005C001C" w:rsidRPr="0095261A">
        <w:rPr>
          <w:sz w:val="24"/>
        </w:rPr>
        <w:t>define</w:t>
      </w:r>
      <w:r w:rsidR="00973254" w:rsidRPr="0095261A">
        <w:rPr>
          <w:sz w:val="24"/>
        </w:rPr>
        <w:t>d</w:t>
      </w:r>
      <w:r w:rsidR="005C001C" w:rsidRPr="0095261A">
        <w:rPr>
          <w:sz w:val="24"/>
        </w:rPr>
        <w:t xml:space="preserve"> the types of pleadings that initiate adjudicative proceedings. </w:t>
      </w:r>
      <w:r w:rsidR="00973254" w:rsidRPr="0095261A">
        <w:rPr>
          <w:sz w:val="24"/>
        </w:rPr>
        <w:t>N</w:t>
      </w:r>
      <w:r w:rsidR="00090497" w:rsidRPr="0095261A">
        <w:rPr>
          <w:sz w:val="24"/>
        </w:rPr>
        <w:t>otably, section</w:t>
      </w:r>
      <w:r w:rsidR="005C001C" w:rsidRPr="0095261A">
        <w:rPr>
          <w:sz w:val="24"/>
        </w:rPr>
        <w:t xml:space="preserve"> 3(b) </w:t>
      </w:r>
      <w:r w:rsidR="00090497" w:rsidRPr="0095261A">
        <w:rPr>
          <w:sz w:val="24"/>
        </w:rPr>
        <w:t xml:space="preserve">speaks to petitions where the action sought requires adjudication, </w:t>
      </w:r>
      <w:r w:rsidR="005C001C" w:rsidRPr="0095261A">
        <w:rPr>
          <w:sz w:val="24"/>
        </w:rPr>
        <w:t xml:space="preserve">and 3(c) </w:t>
      </w:r>
      <w:r w:rsidR="00090497" w:rsidRPr="0095261A">
        <w:rPr>
          <w:sz w:val="24"/>
        </w:rPr>
        <w:t xml:space="preserve">specifically </w:t>
      </w:r>
      <w:r w:rsidR="00711D9F" w:rsidRPr="0095261A">
        <w:rPr>
          <w:sz w:val="24"/>
        </w:rPr>
        <w:t>addresses peti</w:t>
      </w:r>
      <w:r w:rsidR="005C001C" w:rsidRPr="0095261A">
        <w:rPr>
          <w:sz w:val="24"/>
        </w:rPr>
        <w:t xml:space="preserve">tions for declaratory orders where the Commission determines an adjudicative process is necessary. </w:t>
      </w:r>
      <w:r w:rsidR="00973254" w:rsidRPr="0095261A">
        <w:rPr>
          <w:sz w:val="24"/>
        </w:rPr>
        <w:t>Later in this pleading, Staff will address</w:t>
      </w:r>
      <w:r w:rsidR="00EC4C22">
        <w:rPr>
          <w:sz w:val="24"/>
        </w:rPr>
        <w:t xml:space="preserve"> the need for an adjudicatory process in this instance, and </w:t>
      </w:r>
      <w:r w:rsidR="00973254" w:rsidRPr="0095261A">
        <w:rPr>
          <w:sz w:val="24"/>
        </w:rPr>
        <w:t>the insufficiency of the 90-day period to effectively litigate the factual and legal questions presented by PSE.</w:t>
      </w:r>
    </w:p>
    <w:p w14:paraId="6C15AEB7" w14:textId="700679A9" w:rsidR="00711D9F" w:rsidRPr="00302799" w:rsidRDefault="00302799" w:rsidP="00302799">
      <w:pPr>
        <w:pStyle w:val="ListParagraph"/>
        <w:numPr>
          <w:ilvl w:val="0"/>
          <w:numId w:val="4"/>
        </w:numPr>
        <w:spacing w:line="480" w:lineRule="auto"/>
        <w:rPr>
          <w:sz w:val="24"/>
        </w:rPr>
      </w:pPr>
      <w:r>
        <w:rPr>
          <w:sz w:val="24"/>
        </w:rPr>
        <w:tab/>
      </w:r>
      <w:r w:rsidR="00711D9F" w:rsidRPr="00302799">
        <w:rPr>
          <w:sz w:val="24"/>
        </w:rPr>
        <w:t xml:space="preserve">In summary, the subject project envisioned by PSE falls squarely within the jurisdictional oversight of the Commission. However, the Commission is not bound to accept PSE’s preferred process for disposing of the many issues it has presented for decision. To decide this case, the Commission would be better served by </w:t>
      </w:r>
      <w:r w:rsidR="00B43282" w:rsidRPr="00302799">
        <w:rPr>
          <w:sz w:val="24"/>
        </w:rPr>
        <w:t xml:space="preserve">converting this matter for an adjudication. Such a “conversion” will allow Staff and other parties to also address the issues presented after discovery and analysis, creating a </w:t>
      </w:r>
      <w:r w:rsidR="00711D9F" w:rsidRPr="00302799">
        <w:rPr>
          <w:sz w:val="24"/>
        </w:rPr>
        <w:t xml:space="preserve">comprehensive and multi-faceted record </w:t>
      </w:r>
      <w:r w:rsidR="00B43282" w:rsidRPr="00302799">
        <w:rPr>
          <w:sz w:val="24"/>
        </w:rPr>
        <w:t xml:space="preserve">from which a decision can be rendered. </w:t>
      </w:r>
      <w:r w:rsidR="00711D9F" w:rsidRPr="00302799">
        <w:rPr>
          <w:sz w:val="24"/>
        </w:rPr>
        <w:t xml:space="preserve"> </w:t>
      </w:r>
    </w:p>
    <w:p w14:paraId="16DCA4EF" w14:textId="40BE81A5" w:rsidR="00B43282" w:rsidRPr="00302799" w:rsidRDefault="00302799" w:rsidP="00302799">
      <w:pPr>
        <w:pStyle w:val="ListParagraph"/>
        <w:numPr>
          <w:ilvl w:val="0"/>
          <w:numId w:val="4"/>
        </w:numPr>
        <w:spacing w:line="480" w:lineRule="auto"/>
        <w:rPr>
          <w:sz w:val="24"/>
        </w:rPr>
      </w:pPr>
      <w:r>
        <w:rPr>
          <w:sz w:val="24"/>
        </w:rPr>
        <w:tab/>
      </w:r>
      <w:r w:rsidR="00EC4C22">
        <w:rPr>
          <w:sz w:val="24"/>
        </w:rPr>
        <w:t xml:space="preserve">Even though </w:t>
      </w:r>
      <w:r w:rsidR="00B43282" w:rsidRPr="00302799">
        <w:rPr>
          <w:sz w:val="24"/>
        </w:rPr>
        <w:t xml:space="preserve">Staff has had </w:t>
      </w:r>
      <w:r w:rsidR="00EC4C22">
        <w:rPr>
          <w:sz w:val="24"/>
        </w:rPr>
        <w:t xml:space="preserve">little time </w:t>
      </w:r>
      <w:r w:rsidR="00B43282" w:rsidRPr="00302799">
        <w:rPr>
          <w:sz w:val="24"/>
        </w:rPr>
        <w:t xml:space="preserve">to review PSE’s initial pleading, its initial evaluation </w:t>
      </w:r>
      <w:r w:rsidR="006C2872">
        <w:rPr>
          <w:sz w:val="24"/>
        </w:rPr>
        <w:t xml:space="preserve">has </w:t>
      </w:r>
      <w:r w:rsidR="00B43282" w:rsidRPr="00302799">
        <w:rPr>
          <w:sz w:val="24"/>
        </w:rPr>
        <w:t>reveal</w:t>
      </w:r>
      <w:r w:rsidR="006C2872">
        <w:rPr>
          <w:sz w:val="24"/>
        </w:rPr>
        <w:t xml:space="preserve">ed </w:t>
      </w:r>
      <w:r w:rsidR="00B43282" w:rsidRPr="00302799">
        <w:rPr>
          <w:sz w:val="24"/>
        </w:rPr>
        <w:t>many important factual, ratemaking, and policy issues that it believes compel converting this matter to an adjudication. These</w:t>
      </w:r>
      <w:r w:rsidR="00E91CAD" w:rsidRPr="00302799">
        <w:rPr>
          <w:sz w:val="24"/>
        </w:rPr>
        <w:t xml:space="preserve"> issues are addressed below. </w:t>
      </w:r>
      <w:r w:rsidR="00B43282" w:rsidRPr="00302799">
        <w:rPr>
          <w:sz w:val="24"/>
        </w:rPr>
        <w:t xml:space="preserve"> </w:t>
      </w:r>
    </w:p>
    <w:p w14:paraId="29B02171" w14:textId="407665D5" w:rsidR="005C001C" w:rsidRPr="00302799" w:rsidRDefault="00302799" w:rsidP="00302799">
      <w:pPr>
        <w:keepNext/>
        <w:spacing w:line="480" w:lineRule="auto"/>
        <w:jc w:val="center"/>
        <w:rPr>
          <w:b/>
        </w:rPr>
      </w:pPr>
      <w:r>
        <w:rPr>
          <w:b/>
        </w:rPr>
        <w:t>IV.</w:t>
      </w:r>
      <w:r>
        <w:rPr>
          <w:b/>
        </w:rPr>
        <w:tab/>
      </w:r>
      <w:r w:rsidR="00D917FE" w:rsidRPr="00302799">
        <w:rPr>
          <w:b/>
        </w:rPr>
        <w:t>STAFF’</w:t>
      </w:r>
      <w:r w:rsidR="00F27D21" w:rsidRPr="00302799">
        <w:rPr>
          <w:b/>
        </w:rPr>
        <w:t>S INITIAL REVIEW</w:t>
      </w:r>
    </w:p>
    <w:p w14:paraId="64FFC3DD" w14:textId="01928C7E" w:rsidR="00D917FE" w:rsidRPr="006C2850" w:rsidRDefault="00302799" w:rsidP="00302799">
      <w:pPr>
        <w:keepNext/>
        <w:spacing w:line="480" w:lineRule="auto"/>
        <w:rPr>
          <w:b/>
        </w:rPr>
      </w:pPr>
      <w:r>
        <w:rPr>
          <w:b/>
        </w:rPr>
        <w:t>A.</w:t>
      </w:r>
      <w:r>
        <w:rPr>
          <w:b/>
        </w:rPr>
        <w:tab/>
      </w:r>
      <w:r w:rsidR="00D917FE" w:rsidRPr="006C2850">
        <w:rPr>
          <w:b/>
        </w:rPr>
        <w:t>PSE’s proposed timeline is insufficient for substantive review</w:t>
      </w:r>
    </w:p>
    <w:p w14:paraId="4309F0FE" w14:textId="5A180E10" w:rsidR="00D917FE" w:rsidRDefault="00302799" w:rsidP="00302799">
      <w:pPr>
        <w:pStyle w:val="ListParagraph"/>
        <w:numPr>
          <w:ilvl w:val="0"/>
          <w:numId w:val="4"/>
        </w:numPr>
        <w:spacing w:line="480" w:lineRule="auto"/>
        <w:rPr>
          <w:sz w:val="24"/>
        </w:rPr>
      </w:pPr>
      <w:r>
        <w:rPr>
          <w:sz w:val="24"/>
        </w:rPr>
        <w:tab/>
      </w:r>
      <w:r w:rsidR="00D917FE" w:rsidRPr="00302799">
        <w:rPr>
          <w:sz w:val="24"/>
        </w:rPr>
        <w:t xml:space="preserve">PSE’s requested timeline </w:t>
      </w:r>
      <w:r w:rsidR="001A70B7" w:rsidRPr="00302799">
        <w:rPr>
          <w:sz w:val="24"/>
        </w:rPr>
        <w:t>would allow</w:t>
      </w:r>
      <w:r w:rsidR="00D917FE" w:rsidRPr="00302799">
        <w:rPr>
          <w:sz w:val="24"/>
        </w:rPr>
        <w:t xml:space="preserve"> Staff and other parties approximately 47 working days to formulate </w:t>
      </w:r>
      <w:r w:rsidR="001A70B7" w:rsidRPr="00302799">
        <w:rPr>
          <w:sz w:val="24"/>
        </w:rPr>
        <w:t xml:space="preserve">informed </w:t>
      </w:r>
      <w:r w:rsidR="00D917FE" w:rsidRPr="00302799">
        <w:rPr>
          <w:sz w:val="24"/>
        </w:rPr>
        <w:t xml:space="preserve">recommendations to the Commission. For Staff, this schedule is unrealistic given current workloads and the time required for meaningful review.  PSE has submitted hundreds of pages of testimony from eight separate witnesses with exhibits and work papers that contain complex, multi-worksheet formulae based on a number of different business scenarios. Staff simply cannot review </w:t>
      </w:r>
      <w:r w:rsidR="008B213F" w:rsidRPr="00302799">
        <w:rPr>
          <w:sz w:val="24"/>
        </w:rPr>
        <w:t xml:space="preserve">and analyze </w:t>
      </w:r>
      <w:r w:rsidR="00D917FE" w:rsidRPr="00302799">
        <w:rPr>
          <w:sz w:val="24"/>
        </w:rPr>
        <w:t xml:space="preserve">such a significant volume of information within the Company’s proposed </w:t>
      </w:r>
      <w:r w:rsidR="00F27D21" w:rsidRPr="00302799">
        <w:rPr>
          <w:sz w:val="24"/>
        </w:rPr>
        <w:t xml:space="preserve">time </w:t>
      </w:r>
      <w:r w:rsidR="00D917FE" w:rsidRPr="00302799">
        <w:rPr>
          <w:sz w:val="24"/>
        </w:rPr>
        <w:t>period.</w:t>
      </w:r>
      <w:r>
        <w:rPr>
          <w:sz w:val="24"/>
        </w:rPr>
        <w:t xml:space="preserve">  </w:t>
      </w:r>
    </w:p>
    <w:p w14:paraId="6F6F15D7" w14:textId="08111496" w:rsidR="00310B07" w:rsidRDefault="001A70B7" w:rsidP="00007236">
      <w:pPr>
        <w:pStyle w:val="ListParagraph"/>
        <w:numPr>
          <w:ilvl w:val="0"/>
          <w:numId w:val="4"/>
        </w:numPr>
        <w:spacing w:line="480" w:lineRule="auto"/>
        <w:rPr>
          <w:sz w:val="24"/>
        </w:rPr>
      </w:pPr>
      <w:r w:rsidRPr="00302799">
        <w:rPr>
          <w:sz w:val="24"/>
        </w:rPr>
        <w:tab/>
      </w:r>
      <w:r w:rsidR="007929F0" w:rsidRPr="00302799">
        <w:rPr>
          <w:sz w:val="24"/>
        </w:rPr>
        <w:t xml:space="preserve">PSE has been in complete control of the timing of this case. Given the complexity of the business arrangements proposed by PSE, it should be no surprise to find Staff and perhaps other parties arguing for additional process permitting a full analysis of the issues in play. </w:t>
      </w:r>
      <w:r w:rsidR="00B047FE" w:rsidRPr="00302799">
        <w:rPr>
          <w:sz w:val="24"/>
        </w:rPr>
        <w:t>N</w:t>
      </w:r>
      <w:r w:rsidR="00007236" w:rsidRPr="00302799">
        <w:rPr>
          <w:sz w:val="24"/>
        </w:rPr>
        <w:t>o</w:t>
      </w:r>
      <w:r w:rsidR="00B047FE" w:rsidRPr="00302799">
        <w:rPr>
          <w:sz w:val="24"/>
        </w:rPr>
        <w:t xml:space="preserve"> </w:t>
      </w:r>
      <w:r w:rsidR="008B213F" w:rsidRPr="00302799">
        <w:rPr>
          <w:sz w:val="24"/>
        </w:rPr>
        <w:t>party should</w:t>
      </w:r>
      <w:r w:rsidR="001A49B6" w:rsidRPr="00302799">
        <w:rPr>
          <w:sz w:val="24"/>
        </w:rPr>
        <w:t xml:space="preserve"> be pressured to set aside existing and scheduled work in order to accommodate PSE’s</w:t>
      </w:r>
      <w:r w:rsidR="00310B07" w:rsidRPr="00302799">
        <w:rPr>
          <w:sz w:val="24"/>
        </w:rPr>
        <w:t xml:space="preserve"> preferred</w:t>
      </w:r>
      <w:r w:rsidR="001A49B6" w:rsidRPr="00302799">
        <w:rPr>
          <w:sz w:val="24"/>
        </w:rPr>
        <w:t xml:space="preserve"> schedule. </w:t>
      </w:r>
    </w:p>
    <w:p w14:paraId="13A5C395" w14:textId="476D8686" w:rsidR="006C2872" w:rsidRDefault="00310B07" w:rsidP="006C2872">
      <w:pPr>
        <w:pStyle w:val="ListParagraph"/>
        <w:numPr>
          <w:ilvl w:val="0"/>
          <w:numId w:val="4"/>
        </w:numPr>
        <w:spacing w:line="480" w:lineRule="auto"/>
        <w:rPr>
          <w:sz w:val="24"/>
        </w:rPr>
      </w:pPr>
      <w:r>
        <w:tab/>
      </w:r>
      <w:r w:rsidR="001A49B6" w:rsidRPr="003E6631">
        <w:rPr>
          <w:sz w:val="24"/>
        </w:rPr>
        <w:t xml:space="preserve">Yogi Berra </w:t>
      </w:r>
      <w:r w:rsidR="00AF5702" w:rsidRPr="003E6631">
        <w:rPr>
          <w:sz w:val="24"/>
        </w:rPr>
        <w:t>is known to have said</w:t>
      </w:r>
      <w:r w:rsidR="001A49B6" w:rsidRPr="003E6631">
        <w:rPr>
          <w:sz w:val="24"/>
        </w:rPr>
        <w:t xml:space="preserve">: “it ain’t over till </w:t>
      </w:r>
      <w:r w:rsidR="008B213F" w:rsidRPr="003E6631">
        <w:rPr>
          <w:sz w:val="24"/>
        </w:rPr>
        <w:t>it’s</w:t>
      </w:r>
      <w:r w:rsidR="001A49B6" w:rsidRPr="003E6631">
        <w:rPr>
          <w:sz w:val="24"/>
        </w:rPr>
        <w:t xml:space="preserve"> over.” Admittedly, he was discussing the season of baseball, but the sentiment holds true here; Staff will need </w:t>
      </w:r>
      <w:r w:rsidRPr="003E6631">
        <w:rPr>
          <w:sz w:val="24"/>
        </w:rPr>
        <w:t xml:space="preserve">sufficient </w:t>
      </w:r>
      <w:r w:rsidR="001A49B6" w:rsidRPr="003E6631">
        <w:rPr>
          <w:sz w:val="24"/>
        </w:rPr>
        <w:t xml:space="preserve">time </w:t>
      </w:r>
      <w:r w:rsidRPr="003E6631">
        <w:rPr>
          <w:sz w:val="24"/>
        </w:rPr>
        <w:t>to thoroughly review</w:t>
      </w:r>
      <w:r w:rsidR="001A49B6" w:rsidRPr="003E6631">
        <w:rPr>
          <w:sz w:val="24"/>
        </w:rPr>
        <w:t xml:space="preserve"> and analyze PSE’s TOTE filing. </w:t>
      </w:r>
      <w:r w:rsidR="00AF5702" w:rsidRPr="003E6631">
        <w:rPr>
          <w:sz w:val="24"/>
        </w:rPr>
        <w:t>The Company r</w:t>
      </w:r>
      <w:r w:rsidR="00B047FE" w:rsidRPr="003E6631">
        <w:rPr>
          <w:sz w:val="24"/>
        </w:rPr>
        <w:t xml:space="preserve">equests approval of the TOTE proposal on or before November 3, 2015 - less than 90 days after its filing. This </w:t>
      </w:r>
      <w:r w:rsidR="008B213F" w:rsidRPr="003E6631">
        <w:rPr>
          <w:sz w:val="24"/>
        </w:rPr>
        <w:t>abbreviated</w:t>
      </w:r>
      <w:r w:rsidR="00B047FE" w:rsidRPr="003E6631">
        <w:rPr>
          <w:sz w:val="24"/>
        </w:rPr>
        <w:t xml:space="preserve"> schedule will not </w:t>
      </w:r>
      <w:r w:rsidR="001A49B6" w:rsidRPr="003E6631">
        <w:rPr>
          <w:sz w:val="24"/>
        </w:rPr>
        <w:t>permit necessary discovery and analysis of its pr</w:t>
      </w:r>
      <w:r w:rsidR="00B047FE" w:rsidRPr="003E6631">
        <w:rPr>
          <w:sz w:val="24"/>
        </w:rPr>
        <w:t>oposal - let alone time to conduct a hearing and brief the arguments. The Commission will then require time to</w:t>
      </w:r>
      <w:r w:rsidR="008B213F" w:rsidRPr="003E6631">
        <w:rPr>
          <w:sz w:val="24"/>
        </w:rPr>
        <w:t xml:space="preserve"> analyze the evidence and issue</w:t>
      </w:r>
      <w:r w:rsidR="00B047FE" w:rsidRPr="003E6631">
        <w:rPr>
          <w:sz w:val="24"/>
        </w:rPr>
        <w:t xml:space="preserve"> an order. </w:t>
      </w:r>
      <w:r w:rsidR="00007236" w:rsidRPr="003E6631">
        <w:rPr>
          <w:sz w:val="24"/>
        </w:rPr>
        <w:t>PSE’s pro</w:t>
      </w:r>
      <w:r w:rsidR="008B213F" w:rsidRPr="003E6631">
        <w:rPr>
          <w:sz w:val="24"/>
        </w:rPr>
        <w:t>posed timeline cannot reasonably</w:t>
      </w:r>
      <w:r w:rsidR="00007236" w:rsidRPr="003E6631">
        <w:rPr>
          <w:sz w:val="24"/>
        </w:rPr>
        <w:t xml:space="preserve"> accommodate these events. </w:t>
      </w:r>
      <w:r w:rsidR="003E6631" w:rsidRPr="003E6631">
        <w:rPr>
          <w:sz w:val="24"/>
        </w:rPr>
        <w:t xml:space="preserve"> </w:t>
      </w:r>
    </w:p>
    <w:p w14:paraId="0A28EB0D" w14:textId="1F6F2932" w:rsidR="006C2872" w:rsidRPr="00302799" w:rsidRDefault="006C2872" w:rsidP="006C2872">
      <w:pPr>
        <w:pStyle w:val="ListParagraph"/>
        <w:numPr>
          <w:ilvl w:val="0"/>
          <w:numId w:val="4"/>
        </w:numPr>
        <w:spacing w:line="480" w:lineRule="auto"/>
        <w:rPr>
          <w:sz w:val="24"/>
        </w:rPr>
      </w:pPr>
      <w:r>
        <w:rPr>
          <w:sz w:val="24"/>
        </w:rPr>
        <w:tab/>
        <w:t xml:space="preserve">In addition, Staff does not believe that PSE would be harmed by converting this matter to an adjudication. It is Staff’s understanding the project is still in the permit development process, with its most recent event being the submittal of its Environmental Impact Statement for review and comment. Given this stage in the permitting process, Staff sees no harm in allowing the adjudication and permitting process to run concurrently. </w:t>
      </w:r>
    </w:p>
    <w:p w14:paraId="594CE2F3" w14:textId="77777777" w:rsidR="007929F0" w:rsidRPr="003E6631" w:rsidRDefault="00B047FE" w:rsidP="007D1FDB">
      <w:pPr>
        <w:pStyle w:val="ListParagraph"/>
        <w:widowControl/>
        <w:numPr>
          <w:ilvl w:val="0"/>
          <w:numId w:val="4"/>
        </w:numPr>
        <w:spacing w:line="480" w:lineRule="auto"/>
        <w:rPr>
          <w:sz w:val="24"/>
        </w:rPr>
      </w:pPr>
      <w:r w:rsidRPr="003E6631">
        <w:rPr>
          <w:sz w:val="24"/>
        </w:rPr>
        <w:tab/>
      </w:r>
      <w:r w:rsidR="00310B07" w:rsidRPr="003E6631">
        <w:rPr>
          <w:sz w:val="24"/>
        </w:rPr>
        <w:t xml:space="preserve">By converting this matter to an adjudication, the Commission can set a schedule that will allow parties the opportunity to diligently pursue their respective interests in this case. Staff is not seeking to unnecessarily delay a decision by the Commission. It simply requests a reasonable opportunity to conduct discovery, analyze the issues, and present its work to the Commission. Staff commits to diligently pursue these objectives, without unreasonable process or delay. </w:t>
      </w:r>
    </w:p>
    <w:p w14:paraId="75AB6A7A" w14:textId="23343CE9" w:rsidR="00D917FE" w:rsidRPr="003E6631" w:rsidRDefault="003E6631" w:rsidP="003E6631">
      <w:pPr>
        <w:spacing w:line="480" w:lineRule="auto"/>
        <w:rPr>
          <w:b/>
        </w:rPr>
      </w:pPr>
      <w:r w:rsidRPr="003E6631">
        <w:rPr>
          <w:b/>
        </w:rPr>
        <w:t>B.</w:t>
      </w:r>
      <w:r>
        <w:tab/>
      </w:r>
      <w:r w:rsidR="00D917FE" w:rsidRPr="003E6631">
        <w:rPr>
          <w:b/>
        </w:rPr>
        <w:t>PSE’s proposed allocations should be subject to thorough stakeholder review</w:t>
      </w:r>
    </w:p>
    <w:p w14:paraId="4C20C13B" w14:textId="3A6CAB1E" w:rsidR="001E08B2" w:rsidRPr="003E6631" w:rsidRDefault="003E6631" w:rsidP="003E6631">
      <w:pPr>
        <w:pStyle w:val="ListParagraph"/>
        <w:numPr>
          <w:ilvl w:val="0"/>
          <w:numId w:val="4"/>
        </w:numPr>
        <w:spacing w:line="480" w:lineRule="auto"/>
        <w:jc w:val="both"/>
        <w:rPr>
          <w:sz w:val="24"/>
        </w:rPr>
      </w:pPr>
      <w:r w:rsidRPr="003E6631">
        <w:rPr>
          <w:sz w:val="24"/>
        </w:rPr>
        <w:tab/>
      </w:r>
      <w:r w:rsidR="00D917FE" w:rsidRPr="003E6631">
        <w:rPr>
          <w:sz w:val="24"/>
        </w:rPr>
        <w:t xml:space="preserve">The gravitas of </w:t>
      </w:r>
      <w:r w:rsidR="007D5C68" w:rsidRPr="003E6631">
        <w:rPr>
          <w:sz w:val="24"/>
        </w:rPr>
        <w:t xml:space="preserve">PSE’s proposed allocation scheme is of significant concern to Staff. PSE’s proposal will require allocating </w:t>
      </w:r>
      <w:r w:rsidR="007827EC" w:rsidRPr="003E6631">
        <w:rPr>
          <w:sz w:val="24"/>
        </w:rPr>
        <w:t xml:space="preserve">capital costs, ongoing operations and maintenance costs, and human resource costs between TOTE, system peaking requirements, and </w:t>
      </w:r>
      <w:r w:rsidR="003334D2">
        <w:rPr>
          <w:sz w:val="24"/>
        </w:rPr>
        <w:t xml:space="preserve">a </w:t>
      </w:r>
      <w:r w:rsidR="007827EC" w:rsidRPr="003E6631">
        <w:rPr>
          <w:sz w:val="24"/>
        </w:rPr>
        <w:t xml:space="preserve">largely undefined unregulated sales operation. </w:t>
      </w:r>
    </w:p>
    <w:p w14:paraId="0E9E4A08" w14:textId="5D463E20" w:rsidR="006D150D" w:rsidRPr="00BC1CD9" w:rsidRDefault="003E6631" w:rsidP="00290F18">
      <w:pPr>
        <w:pStyle w:val="ListParagraph"/>
        <w:numPr>
          <w:ilvl w:val="0"/>
          <w:numId w:val="4"/>
        </w:numPr>
        <w:spacing w:line="480" w:lineRule="auto"/>
        <w:rPr>
          <w:sz w:val="24"/>
        </w:rPr>
      </w:pPr>
      <w:r w:rsidRPr="003E6631">
        <w:rPr>
          <w:sz w:val="24"/>
        </w:rPr>
        <w:tab/>
      </w:r>
      <w:r w:rsidR="00D917FE" w:rsidRPr="00BC1CD9">
        <w:rPr>
          <w:sz w:val="24"/>
        </w:rPr>
        <w:t>As noted above, th</w:t>
      </w:r>
      <w:r w:rsidR="00007236" w:rsidRPr="00BC1CD9">
        <w:rPr>
          <w:sz w:val="24"/>
        </w:rPr>
        <w:t xml:space="preserve">e proposed LNG </w:t>
      </w:r>
      <w:r w:rsidR="00D917FE" w:rsidRPr="00BC1CD9">
        <w:rPr>
          <w:sz w:val="24"/>
        </w:rPr>
        <w:t xml:space="preserve">project may be </w:t>
      </w:r>
      <w:r w:rsidR="001E08B2" w:rsidRPr="00BC1CD9">
        <w:rPr>
          <w:sz w:val="24"/>
        </w:rPr>
        <w:t xml:space="preserve">PSE’s </w:t>
      </w:r>
      <w:r w:rsidR="00D917FE" w:rsidRPr="00BC1CD9">
        <w:rPr>
          <w:sz w:val="24"/>
        </w:rPr>
        <w:t xml:space="preserve">largest capital investment </w:t>
      </w:r>
      <w:r w:rsidR="001E08B2" w:rsidRPr="00BC1CD9">
        <w:rPr>
          <w:sz w:val="24"/>
        </w:rPr>
        <w:t>on a single project</w:t>
      </w:r>
      <w:r w:rsidR="00547D5E" w:rsidRPr="00BC1CD9">
        <w:rPr>
          <w:sz w:val="24"/>
        </w:rPr>
        <w:t xml:space="preserve"> built for </w:t>
      </w:r>
      <w:r w:rsidR="001E08B2" w:rsidRPr="00BC1CD9">
        <w:rPr>
          <w:sz w:val="24"/>
        </w:rPr>
        <w:t>its</w:t>
      </w:r>
      <w:r w:rsidR="00D917FE" w:rsidRPr="00BC1CD9">
        <w:rPr>
          <w:sz w:val="24"/>
        </w:rPr>
        <w:t xml:space="preserve"> natural gas business. By the year 2018, PSE’s propo</w:t>
      </w:r>
      <w:r w:rsidR="00007236" w:rsidRPr="00BC1CD9">
        <w:rPr>
          <w:sz w:val="24"/>
        </w:rPr>
        <w:t xml:space="preserve">sed allocation methodology would </w:t>
      </w:r>
      <w:r w:rsidR="00D917FE" w:rsidRPr="00BC1CD9">
        <w:rPr>
          <w:sz w:val="24"/>
        </w:rPr>
        <w:t>add hundreds of millions of dollars to regulated rate base.</w:t>
      </w:r>
      <w:r w:rsidR="00D917FE" w:rsidRPr="003E6631">
        <w:rPr>
          <w:rStyle w:val="FootnoteReference"/>
          <w:sz w:val="24"/>
        </w:rPr>
        <w:footnoteReference w:id="8"/>
      </w:r>
      <w:r w:rsidR="00F27D21" w:rsidRPr="00BC1CD9">
        <w:rPr>
          <w:sz w:val="24"/>
        </w:rPr>
        <w:t xml:space="preserve"> Given the size and novelty of PSE’s proposal, Staff questions </w:t>
      </w:r>
      <w:r w:rsidR="00007236" w:rsidRPr="00BC1CD9">
        <w:rPr>
          <w:sz w:val="24"/>
        </w:rPr>
        <w:t>whether PSE’s</w:t>
      </w:r>
      <w:r w:rsidR="00547D5E" w:rsidRPr="00BC1CD9">
        <w:rPr>
          <w:sz w:val="24"/>
        </w:rPr>
        <w:t xml:space="preserve"> proposed</w:t>
      </w:r>
      <w:r w:rsidR="00007236" w:rsidRPr="00BC1CD9">
        <w:rPr>
          <w:sz w:val="24"/>
        </w:rPr>
        <w:t xml:space="preserve"> </w:t>
      </w:r>
      <w:r w:rsidR="00F27D21" w:rsidRPr="00BC1CD9">
        <w:rPr>
          <w:sz w:val="24"/>
        </w:rPr>
        <w:t>allocation</w:t>
      </w:r>
      <w:r w:rsidR="00007236" w:rsidRPr="00BC1CD9">
        <w:rPr>
          <w:sz w:val="24"/>
        </w:rPr>
        <w:t xml:space="preserve"> scheme is reasonable </w:t>
      </w:r>
      <w:r w:rsidR="00547D5E" w:rsidRPr="00BC1CD9">
        <w:rPr>
          <w:sz w:val="24"/>
        </w:rPr>
        <w:t xml:space="preserve">given </w:t>
      </w:r>
      <w:r w:rsidR="00007236" w:rsidRPr="00BC1CD9">
        <w:rPr>
          <w:sz w:val="24"/>
        </w:rPr>
        <w:t xml:space="preserve">the circumstances contemplated by the Company. </w:t>
      </w:r>
      <w:r w:rsidR="00F27D21" w:rsidRPr="00BC1CD9">
        <w:rPr>
          <w:sz w:val="24"/>
        </w:rPr>
        <w:t xml:space="preserve">For example, Staff’s initial review </w:t>
      </w:r>
      <w:r w:rsidR="00EC4C22" w:rsidRPr="00BC1CD9">
        <w:rPr>
          <w:sz w:val="24"/>
        </w:rPr>
        <w:t xml:space="preserve">shows </w:t>
      </w:r>
      <w:r w:rsidR="00F27D21" w:rsidRPr="00BC1CD9">
        <w:rPr>
          <w:sz w:val="24"/>
        </w:rPr>
        <w:t xml:space="preserve">that almost 40 percent of the budget for </w:t>
      </w:r>
      <w:r w:rsidR="00007236" w:rsidRPr="00BC1CD9">
        <w:rPr>
          <w:sz w:val="24"/>
        </w:rPr>
        <w:t xml:space="preserve">projected </w:t>
      </w:r>
      <w:r w:rsidR="00F27D21" w:rsidRPr="00BC1CD9">
        <w:rPr>
          <w:sz w:val="24"/>
        </w:rPr>
        <w:t>distribution system upgrades reflect contingencies,</w:t>
      </w:r>
      <w:r w:rsidR="00F27D21" w:rsidRPr="003E6631">
        <w:rPr>
          <w:rStyle w:val="FootnoteReference"/>
          <w:sz w:val="24"/>
        </w:rPr>
        <w:footnoteReference w:id="9"/>
      </w:r>
      <w:r w:rsidR="00F27D21" w:rsidRPr="00BC1CD9">
        <w:rPr>
          <w:sz w:val="24"/>
        </w:rPr>
        <w:t xml:space="preserve"> and many of the capital and operational costs presented by the Company appear to be estimates. </w:t>
      </w:r>
      <w:r w:rsidR="00007236" w:rsidRPr="00BC1CD9">
        <w:rPr>
          <w:sz w:val="24"/>
        </w:rPr>
        <w:t>Certainly, these contingencies and estimates are not enough to base the Commission</w:t>
      </w:r>
      <w:r w:rsidR="003334D2" w:rsidRPr="00BC1CD9">
        <w:rPr>
          <w:sz w:val="24"/>
        </w:rPr>
        <w:t>’s</w:t>
      </w:r>
      <w:r w:rsidR="00007236" w:rsidRPr="00BC1CD9">
        <w:rPr>
          <w:sz w:val="24"/>
        </w:rPr>
        <w:t xml:space="preserve"> decisions requested by PSE. </w:t>
      </w:r>
    </w:p>
    <w:p w14:paraId="698ADF15" w14:textId="7D6617A4" w:rsidR="00D64405" w:rsidRPr="003E6631" w:rsidRDefault="003E6631" w:rsidP="003E6631">
      <w:pPr>
        <w:pStyle w:val="ListParagraph"/>
        <w:numPr>
          <w:ilvl w:val="0"/>
          <w:numId w:val="4"/>
        </w:numPr>
        <w:spacing w:line="480" w:lineRule="auto"/>
        <w:rPr>
          <w:sz w:val="24"/>
        </w:rPr>
      </w:pPr>
      <w:r w:rsidRPr="003E6631">
        <w:rPr>
          <w:sz w:val="24"/>
        </w:rPr>
        <w:tab/>
      </w:r>
      <w:r w:rsidR="00547D5E" w:rsidRPr="003E6631">
        <w:rPr>
          <w:sz w:val="24"/>
        </w:rPr>
        <w:t xml:space="preserve">PSE </w:t>
      </w:r>
      <w:r w:rsidR="001117CF" w:rsidRPr="003E6631">
        <w:rPr>
          <w:sz w:val="24"/>
        </w:rPr>
        <w:t>cites two past cases for sup</w:t>
      </w:r>
      <w:r w:rsidR="00007236" w:rsidRPr="003E6631">
        <w:rPr>
          <w:sz w:val="24"/>
        </w:rPr>
        <w:t>port of its proposed allocation scheme</w:t>
      </w:r>
      <w:r w:rsidR="00547D5E" w:rsidRPr="003E6631">
        <w:rPr>
          <w:sz w:val="24"/>
        </w:rPr>
        <w:t xml:space="preserve">. However, </w:t>
      </w:r>
      <w:r w:rsidR="00007236" w:rsidRPr="003E6631">
        <w:rPr>
          <w:sz w:val="24"/>
        </w:rPr>
        <w:t>Staff’s initial review shows that the</w:t>
      </w:r>
      <w:r w:rsidR="003334D2">
        <w:rPr>
          <w:sz w:val="24"/>
        </w:rPr>
        <w:t xml:space="preserve">se </w:t>
      </w:r>
      <w:r w:rsidR="001117CF" w:rsidRPr="003E6631">
        <w:rPr>
          <w:sz w:val="24"/>
        </w:rPr>
        <w:t>cases i</w:t>
      </w:r>
      <w:r w:rsidR="00413EDB" w:rsidRPr="003E6631">
        <w:rPr>
          <w:sz w:val="24"/>
        </w:rPr>
        <w:t>nvolved PSE</w:t>
      </w:r>
      <w:r w:rsidR="003334D2">
        <w:rPr>
          <w:sz w:val="24"/>
        </w:rPr>
        <w:t>’s</w:t>
      </w:r>
      <w:r w:rsidR="00413EDB" w:rsidRPr="003E6631">
        <w:rPr>
          <w:sz w:val="24"/>
        </w:rPr>
        <w:t xml:space="preserve"> </w:t>
      </w:r>
      <w:r w:rsidR="006D150D" w:rsidRPr="003E6631">
        <w:rPr>
          <w:sz w:val="24"/>
        </w:rPr>
        <w:t>merger</w:t>
      </w:r>
      <w:r w:rsidR="00413EDB" w:rsidRPr="003E6631">
        <w:rPr>
          <w:sz w:val="24"/>
        </w:rPr>
        <w:t xml:space="preserve"> with Northwest Natural Gas and the acquisition of PSE by the Investor Consortium led by Macquarie. Importantly, </w:t>
      </w:r>
      <w:r w:rsidR="006D150D" w:rsidRPr="003E6631">
        <w:rPr>
          <w:sz w:val="24"/>
        </w:rPr>
        <w:t xml:space="preserve">the approved </w:t>
      </w:r>
      <w:r w:rsidR="00007236" w:rsidRPr="003E6631">
        <w:rPr>
          <w:sz w:val="24"/>
        </w:rPr>
        <w:t xml:space="preserve">allocation </w:t>
      </w:r>
      <w:r w:rsidR="006D150D" w:rsidRPr="003E6631">
        <w:rPr>
          <w:sz w:val="24"/>
        </w:rPr>
        <w:t>methodolog</w:t>
      </w:r>
      <w:r w:rsidR="00007236" w:rsidRPr="003E6631">
        <w:rPr>
          <w:sz w:val="24"/>
        </w:rPr>
        <w:t xml:space="preserve">ies </w:t>
      </w:r>
      <w:r w:rsidR="00D64405" w:rsidRPr="003E6631">
        <w:rPr>
          <w:sz w:val="24"/>
        </w:rPr>
        <w:t>upon which PSE now relies d</w:t>
      </w:r>
      <w:r w:rsidR="003334D2">
        <w:rPr>
          <w:sz w:val="24"/>
        </w:rPr>
        <w:t xml:space="preserve">o </w:t>
      </w:r>
      <w:r w:rsidR="00D64405" w:rsidRPr="003E6631">
        <w:rPr>
          <w:sz w:val="24"/>
        </w:rPr>
        <w:t xml:space="preserve">not address a new service or special contract. Rather, the cited </w:t>
      </w:r>
      <w:r w:rsidR="003334D2" w:rsidRPr="003E6631">
        <w:rPr>
          <w:sz w:val="24"/>
        </w:rPr>
        <w:t xml:space="preserve">cases </w:t>
      </w:r>
      <w:r w:rsidR="00D64405" w:rsidRPr="003E6631">
        <w:rPr>
          <w:sz w:val="24"/>
        </w:rPr>
        <w:t xml:space="preserve">involved the allocation of costs </w:t>
      </w:r>
      <w:r w:rsidR="006D150D" w:rsidRPr="003E6631">
        <w:rPr>
          <w:sz w:val="24"/>
        </w:rPr>
        <w:t>between electric and natural gas service</w:t>
      </w:r>
      <w:r w:rsidR="00413EDB" w:rsidRPr="003E6631">
        <w:rPr>
          <w:sz w:val="24"/>
        </w:rPr>
        <w:t xml:space="preserve">, and </w:t>
      </w:r>
      <w:r w:rsidR="00052A29" w:rsidRPr="003E6631">
        <w:rPr>
          <w:sz w:val="24"/>
        </w:rPr>
        <w:t>the allocation of corporate and affiliate costs to PSE.</w:t>
      </w:r>
    </w:p>
    <w:p w14:paraId="0F9D2217" w14:textId="4172DC8A" w:rsidR="00D64405" w:rsidRPr="003E6631" w:rsidRDefault="003E6631" w:rsidP="003E6631">
      <w:pPr>
        <w:pStyle w:val="ListParagraph"/>
        <w:numPr>
          <w:ilvl w:val="0"/>
          <w:numId w:val="4"/>
        </w:numPr>
        <w:spacing w:line="480" w:lineRule="auto"/>
        <w:rPr>
          <w:sz w:val="24"/>
        </w:rPr>
      </w:pPr>
      <w:r w:rsidRPr="003E6631">
        <w:rPr>
          <w:sz w:val="24"/>
        </w:rPr>
        <w:tab/>
      </w:r>
      <w:r w:rsidR="00D64405" w:rsidRPr="003E6631">
        <w:rPr>
          <w:sz w:val="24"/>
        </w:rPr>
        <w:t>As noted, t</w:t>
      </w:r>
      <w:r w:rsidR="006D150D" w:rsidRPr="003E6631">
        <w:rPr>
          <w:sz w:val="24"/>
        </w:rPr>
        <w:t xml:space="preserve">he present case </w:t>
      </w:r>
      <w:r w:rsidR="00F27D21" w:rsidRPr="003E6631">
        <w:rPr>
          <w:sz w:val="24"/>
        </w:rPr>
        <w:t>involves</w:t>
      </w:r>
      <w:r w:rsidR="006D150D" w:rsidRPr="003E6631">
        <w:rPr>
          <w:sz w:val="24"/>
        </w:rPr>
        <w:t xml:space="preserve"> natural gas facilities and </w:t>
      </w:r>
      <w:r w:rsidR="00052A29" w:rsidRPr="003E6631">
        <w:rPr>
          <w:sz w:val="24"/>
        </w:rPr>
        <w:t>the allocation of costs between</w:t>
      </w:r>
      <w:r w:rsidR="003334D2">
        <w:rPr>
          <w:sz w:val="24"/>
        </w:rPr>
        <w:t xml:space="preserve"> a special contract, </w:t>
      </w:r>
      <w:r w:rsidR="006D150D" w:rsidRPr="003E6631">
        <w:rPr>
          <w:sz w:val="24"/>
        </w:rPr>
        <w:t>regulated</w:t>
      </w:r>
      <w:r w:rsidR="00F27D21" w:rsidRPr="003E6631">
        <w:rPr>
          <w:sz w:val="24"/>
        </w:rPr>
        <w:t xml:space="preserve"> operations</w:t>
      </w:r>
      <w:r w:rsidR="006D150D" w:rsidRPr="003E6631">
        <w:rPr>
          <w:sz w:val="24"/>
        </w:rPr>
        <w:t xml:space="preserve">, </w:t>
      </w:r>
      <w:r w:rsidR="003334D2">
        <w:rPr>
          <w:sz w:val="24"/>
        </w:rPr>
        <w:t xml:space="preserve">and any </w:t>
      </w:r>
      <w:r w:rsidR="006D150D" w:rsidRPr="003E6631">
        <w:rPr>
          <w:sz w:val="24"/>
        </w:rPr>
        <w:t>non-regulated</w:t>
      </w:r>
      <w:r w:rsidR="00F27D21" w:rsidRPr="003E6631">
        <w:rPr>
          <w:sz w:val="24"/>
        </w:rPr>
        <w:t xml:space="preserve"> operations</w:t>
      </w:r>
      <w:r w:rsidR="003334D2">
        <w:rPr>
          <w:sz w:val="24"/>
        </w:rPr>
        <w:t xml:space="preserve">. </w:t>
      </w:r>
      <w:r w:rsidR="00D917FE" w:rsidRPr="003E6631">
        <w:rPr>
          <w:sz w:val="24"/>
        </w:rPr>
        <w:t xml:space="preserve">In short, </w:t>
      </w:r>
      <w:r w:rsidR="006D150D" w:rsidRPr="003E6631">
        <w:rPr>
          <w:sz w:val="24"/>
        </w:rPr>
        <w:t xml:space="preserve">the Company’s proposal is clearly unique and </w:t>
      </w:r>
      <w:r w:rsidR="00D917FE" w:rsidRPr="003E6631">
        <w:rPr>
          <w:sz w:val="24"/>
        </w:rPr>
        <w:t xml:space="preserve">PSE’s own assurances on the adequacy of their allocations in testimony are not sufficient to limit the review process and should not substitute for </w:t>
      </w:r>
      <w:r w:rsidR="00D64405" w:rsidRPr="003E6631">
        <w:rPr>
          <w:sz w:val="24"/>
        </w:rPr>
        <w:t xml:space="preserve">robust </w:t>
      </w:r>
      <w:r w:rsidR="00D917FE" w:rsidRPr="003E6631">
        <w:rPr>
          <w:sz w:val="24"/>
        </w:rPr>
        <w:t>stakeholder review</w:t>
      </w:r>
      <w:r w:rsidR="00D64405" w:rsidRPr="003E6631">
        <w:rPr>
          <w:sz w:val="24"/>
        </w:rPr>
        <w:t xml:space="preserve">. </w:t>
      </w:r>
    </w:p>
    <w:p w14:paraId="1A3190B1" w14:textId="2AD1A21F" w:rsidR="005C001C" w:rsidRPr="003E6631" w:rsidRDefault="003E6631" w:rsidP="003E6631">
      <w:pPr>
        <w:pStyle w:val="ListParagraph"/>
        <w:numPr>
          <w:ilvl w:val="0"/>
          <w:numId w:val="4"/>
        </w:numPr>
        <w:spacing w:line="480" w:lineRule="auto"/>
        <w:rPr>
          <w:sz w:val="24"/>
        </w:rPr>
      </w:pPr>
      <w:r w:rsidRPr="003E6631">
        <w:rPr>
          <w:sz w:val="24"/>
        </w:rPr>
        <w:tab/>
      </w:r>
      <w:r w:rsidR="00097459" w:rsidRPr="003E6631">
        <w:rPr>
          <w:sz w:val="24"/>
        </w:rPr>
        <w:t>In sum, t</w:t>
      </w:r>
      <w:r w:rsidR="00D64405" w:rsidRPr="003E6631">
        <w:rPr>
          <w:sz w:val="24"/>
        </w:rPr>
        <w:t xml:space="preserve">he allocation methodology proposed by PSE must be based on facts - not </w:t>
      </w:r>
      <w:r w:rsidR="003334D2">
        <w:rPr>
          <w:sz w:val="24"/>
        </w:rPr>
        <w:t xml:space="preserve">contingencies or </w:t>
      </w:r>
      <w:r w:rsidR="00D64405" w:rsidRPr="003E6631">
        <w:rPr>
          <w:sz w:val="24"/>
        </w:rPr>
        <w:t xml:space="preserve">estimates, and a review of applicable law and policy, perhaps including the cases PSE’s propounds to govern here. </w:t>
      </w:r>
      <w:r w:rsidR="00097459" w:rsidRPr="003E6631">
        <w:rPr>
          <w:sz w:val="24"/>
        </w:rPr>
        <w:t>Staff may come to agree that t</w:t>
      </w:r>
      <w:r w:rsidR="00D64405" w:rsidRPr="003E6631">
        <w:rPr>
          <w:sz w:val="24"/>
        </w:rPr>
        <w:t>he</w:t>
      </w:r>
      <w:r w:rsidR="00097459" w:rsidRPr="003E6631">
        <w:rPr>
          <w:sz w:val="24"/>
        </w:rPr>
        <w:t>se previously approved allocation methodologies f</w:t>
      </w:r>
      <w:r w:rsidR="00D64405" w:rsidRPr="003E6631">
        <w:rPr>
          <w:sz w:val="24"/>
        </w:rPr>
        <w:t>it the unique circumstances presented here, but it would be premature to recommend adoption of PSE</w:t>
      </w:r>
      <w:r w:rsidR="00097459" w:rsidRPr="003E6631">
        <w:rPr>
          <w:sz w:val="24"/>
        </w:rPr>
        <w:t>’s</w:t>
      </w:r>
      <w:r w:rsidR="00D64405" w:rsidRPr="003E6631">
        <w:rPr>
          <w:sz w:val="24"/>
        </w:rPr>
        <w:t xml:space="preserve"> </w:t>
      </w:r>
      <w:r w:rsidR="00F27D21" w:rsidRPr="003E6631">
        <w:rPr>
          <w:sz w:val="24"/>
        </w:rPr>
        <w:t>allocation</w:t>
      </w:r>
      <w:r w:rsidR="00D64405" w:rsidRPr="003E6631">
        <w:rPr>
          <w:sz w:val="24"/>
        </w:rPr>
        <w:t xml:space="preserve"> scheme </w:t>
      </w:r>
      <w:r w:rsidR="00F27D21" w:rsidRPr="003E6631">
        <w:rPr>
          <w:sz w:val="24"/>
        </w:rPr>
        <w:t>without further review.</w:t>
      </w:r>
    </w:p>
    <w:p w14:paraId="7A88A2F3" w14:textId="499AC21F" w:rsidR="00E400B3" w:rsidRPr="003E6631" w:rsidRDefault="003E6631" w:rsidP="003E6631">
      <w:pPr>
        <w:keepNext/>
        <w:keepLines/>
        <w:ind w:left="720" w:hanging="720"/>
        <w:rPr>
          <w:b/>
        </w:rPr>
      </w:pPr>
      <w:r>
        <w:rPr>
          <w:b/>
        </w:rPr>
        <w:t>C.</w:t>
      </w:r>
      <w:r>
        <w:rPr>
          <w:b/>
        </w:rPr>
        <w:tab/>
      </w:r>
      <w:r w:rsidR="00E400B3" w:rsidRPr="003E6631">
        <w:rPr>
          <w:b/>
        </w:rPr>
        <w:t xml:space="preserve">PSE’s request for approval of a special contract requires review of the contract terms and conditions as well as </w:t>
      </w:r>
      <w:r w:rsidR="00547D5E" w:rsidRPr="003E6631">
        <w:rPr>
          <w:b/>
        </w:rPr>
        <w:t xml:space="preserve">its </w:t>
      </w:r>
      <w:r w:rsidR="00E400B3" w:rsidRPr="003E6631">
        <w:rPr>
          <w:b/>
        </w:rPr>
        <w:t>alternatives</w:t>
      </w:r>
    </w:p>
    <w:p w14:paraId="66E03D82" w14:textId="77777777" w:rsidR="00E400B3" w:rsidRPr="00E400B3" w:rsidRDefault="00E400B3" w:rsidP="003E6631">
      <w:pPr>
        <w:pStyle w:val="ListParagraph"/>
        <w:keepNext/>
        <w:keepLines/>
        <w:rPr>
          <w:b/>
          <w:sz w:val="24"/>
        </w:rPr>
      </w:pPr>
    </w:p>
    <w:p w14:paraId="43A4A088" w14:textId="107A52DC" w:rsidR="00E400B3" w:rsidRPr="003E6631" w:rsidRDefault="003E6631" w:rsidP="003E6631">
      <w:pPr>
        <w:pStyle w:val="ListParagraph"/>
        <w:numPr>
          <w:ilvl w:val="0"/>
          <w:numId w:val="4"/>
        </w:numPr>
        <w:spacing w:line="480" w:lineRule="auto"/>
        <w:rPr>
          <w:sz w:val="24"/>
        </w:rPr>
      </w:pPr>
      <w:r>
        <w:rPr>
          <w:sz w:val="24"/>
        </w:rPr>
        <w:tab/>
      </w:r>
      <w:r w:rsidR="00E400B3" w:rsidRPr="003E6631">
        <w:rPr>
          <w:sz w:val="24"/>
        </w:rPr>
        <w:t xml:space="preserve">PSE’s petition seeks an order approving the special contract by and between TOTE and PSE. </w:t>
      </w:r>
      <w:r w:rsidR="00EE3FF4">
        <w:rPr>
          <w:sz w:val="24"/>
        </w:rPr>
        <w:t>The Company’s</w:t>
      </w:r>
      <w:r w:rsidR="00E400B3" w:rsidRPr="003E6631">
        <w:rPr>
          <w:sz w:val="24"/>
        </w:rPr>
        <w:t xml:space="preserve"> petition </w:t>
      </w:r>
      <w:r w:rsidR="00EE3FF4">
        <w:rPr>
          <w:sz w:val="24"/>
        </w:rPr>
        <w:t xml:space="preserve">appears to indicate </w:t>
      </w:r>
      <w:r w:rsidR="00E400B3" w:rsidRPr="003E6631">
        <w:rPr>
          <w:sz w:val="24"/>
        </w:rPr>
        <w:t xml:space="preserve">that </w:t>
      </w:r>
      <w:r w:rsidR="00EE3FF4">
        <w:rPr>
          <w:sz w:val="24"/>
        </w:rPr>
        <w:t>PSE</w:t>
      </w:r>
      <w:r w:rsidR="00E400B3" w:rsidRPr="003E6631">
        <w:rPr>
          <w:sz w:val="24"/>
        </w:rPr>
        <w:t xml:space="preserve"> could simply sell LNG to TOTE as a non-regulated service instead of pursuing </w:t>
      </w:r>
      <w:r w:rsidR="00591767">
        <w:rPr>
          <w:sz w:val="24"/>
        </w:rPr>
        <w:t xml:space="preserve">approval of a </w:t>
      </w:r>
      <w:r w:rsidR="00E400B3" w:rsidRPr="003E6631">
        <w:rPr>
          <w:sz w:val="24"/>
        </w:rPr>
        <w:t>special contract.</w:t>
      </w:r>
      <w:r w:rsidR="00E400B3" w:rsidRPr="003E6631">
        <w:rPr>
          <w:rStyle w:val="FootnoteReference"/>
          <w:sz w:val="24"/>
        </w:rPr>
        <w:footnoteReference w:id="10"/>
      </w:r>
      <w:r w:rsidR="00E400B3" w:rsidRPr="003E6631">
        <w:rPr>
          <w:sz w:val="24"/>
        </w:rPr>
        <w:t xml:space="preserve">  Proper review will require an analysis of the terms and co</w:t>
      </w:r>
      <w:r w:rsidR="00591767">
        <w:rPr>
          <w:sz w:val="24"/>
        </w:rPr>
        <w:t xml:space="preserve">nditions of the proposed agreement </w:t>
      </w:r>
      <w:r w:rsidR="00E400B3" w:rsidRPr="003E6631">
        <w:rPr>
          <w:sz w:val="24"/>
        </w:rPr>
        <w:t xml:space="preserve">and an evaluation of </w:t>
      </w:r>
      <w:r w:rsidR="00547D5E" w:rsidRPr="003E6631">
        <w:rPr>
          <w:sz w:val="24"/>
        </w:rPr>
        <w:t>its potential</w:t>
      </w:r>
      <w:r w:rsidR="00E400B3" w:rsidRPr="003E6631">
        <w:rPr>
          <w:sz w:val="24"/>
        </w:rPr>
        <w:t xml:space="preserve"> alternatives.  </w:t>
      </w:r>
    </w:p>
    <w:p w14:paraId="5AA1BB9A" w14:textId="6F1705B6" w:rsidR="00DC39AD" w:rsidRPr="00DC39AD" w:rsidRDefault="003E6631" w:rsidP="009B0C03">
      <w:pPr>
        <w:pStyle w:val="ListParagraph"/>
        <w:numPr>
          <w:ilvl w:val="0"/>
          <w:numId w:val="4"/>
        </w:numPr>
        <w:spacing w:line="480" w:lineRule="auto"/>
        <w:rPr>
          <w:sz w:val="24"/>
        </w:rPr>
      </w:pPr>
      <w:r w:rsidRPr="00DC39AD">
        <w:rPr>
          <w:sz w:val="24"/>
        </w:rPr>
        <w:tab/>
      </w:r>
      <w:r w:rsidR="001117CF" w:rsidRPr="00DC39AD">
        <w:rPr>
          <w:sz w:val="24"/>
        </w:rPr>
        <w:t xml:space="preserve">Staff’s initial review </w:t>
      </w:r>
      <w:r w:rsidR="00547D5E" w:rsidRPr="00DC39AD">
        <w:rPr>
          <w:sz w:val="24"/>
        </w:rPr>
        <w:t xml:space="preserve">of the TOTE contract </w:t>
      </w:r>
      <w:r w:rsidR="001117CF" w:rsidRPr="00DC39AD">
        <w:rPr>
          <w:sz w:val="24"/>
        </w:rPr>
        <w:t xml:space="preserve">generated a </w:t>
      </w:r>
      <w:r w:rsidR="00547D5E" w:rsidRPr="00DC39AD">
        <w:rPr>
          <w:sz w:val="24"/>
        </w:rPr>
        <w:t xml:space="preserve">number of </w:t>
      </w:r>
      <w:r w:rsidR="001117CF" w:rsidRPr="00DC39AD">
        <w:rPr>
          <w:sz w:val="24"/>
        </w:rPr>
        <w:t xml:space="preserve">questions and concerns. For example, </w:t>
      </w:r>
      <w:r w:rsidR="00E400B3" w:rsidRPr="00DC39AD">
        <w:rPr>
          <w:sz w:val="24"/>
        </w:rPr>
        <w:t xml:space="preserve">Staff’s initial examination of </w:t>
      </w:r>
      <w:r w:rsidR="00DC39AD" w:rsidRPr="00DC39AD">
        <w:rPr>
          <w:sz w:val="24"/>
        </w:rPr>
        <w:t xml:space="preserve">the agreement’s </w:t>
      </w:r>
      <w:r w:rsidR="00E400B3" w:rsidRPr="00DC39AD">
        <w:rPr>
          <w:sz w:val="24"/>
        </w:rPr>
        <w:t xml:space="preserve">termination </w:t>
      </w:r>
      <w:r w:rsidR="00DC39AD" w:rsidRPr="00DC39AD">
        <w:rPr>
          <w:sz w:val="24"/>
        </w:rPr>
        <w:t>clauses revealed</w:t>
      </w:r>
      <w:r w:rsidR="00E400B3" w:rsidRPr="00DC39AD">
        <w:rPr>
          <w:sz w:val="24"/>
        </w:rPr>
        <w:t xml:space="preserve"> certain commodity triggers based on price combinations</w:t>
      </w:r>
      <w:r w:rsidR="00DC39AD" w:rsidRPr="00DC39AD">
        <w:rPr>
          <w:sz w:val="24"/>
        </w:rPr>
        <w:t xml:space="preserve">. In addition, </w:t>
      </w:r>
      <w:r w:rsidR="00E400B3" w:rsidRPr="00DC39AD">
        <w:rPr>
          <w:sz w:val="24"/>
        </w:rPr>
        <w:t>TOTE’s Orcas Class ships will be dual-fueled and not s</w:t>
      </w:r>
      <w:r w:rsidR="001117CF" w:rsidRPr="00DC39AD">
        <w:rPr>
          <w:sz w:val="24"/>
        </w:rPr>
        <w:t xml:space="preserve">olely reliant on PSE for fuel. </w:t>
      </w:r>
      <w:r w:rsidR="00DC39AD" w:rsidRPr="00DC39AD">
        <w:rPr>
          <w:sz w:val="24"/>
        </w:rPr>
        <w:t xml:space="preserve">Should TOTE terminate the contract because of fuel commodity prices, it does not appear that </w:t>
      </w:r>
      <w:r w:rsidR="00547D5E" w:rsidRPr="00DC39AD">
        <w:rPr>
          <w:sz w:val="24"/>
        </w:rPr>
        <w:t>the t</w:t>
      </w:r>
      <w:r w:rsidR="00E400B3" w:rsidRPr="00DC39AD">
        <w:rPr>
          <w:sz w:val="24"/>
        </w:rPr>
        <w:t xml:space="preserve">ermination fees paid by TOTE </w:t>
      </w:r>
      <w:r w:rsidR="00DC39AD" w:rsidRPr="00DC39AD">
        <w:rPr>
          <w:sz w:val="24"/>
        </w:rPr>
        <w:t xml:space="preserve">would </w:t>
      </w:r>
      <w:r w:rsidR="00FC6DDC" w:rsidRPr="00DC39AD">
        <w:rPr>
          <w:sz w:val="24"/>
        </w:rPr>
        <w:t>fully compensate PSE for TOTE’s share of the LNG plant investment</w:t>
      </w:r>
      <w:r w:rsidR="00DC39AD" w:rsidRPr="00DC39AD">
        <w:rPr>
          <w:sz w:val="24"/>
        </w:rPr>
        <w:t>.</w:t>
      </w:r>
      <w:r w:rsidR="00DC39AD">
        <w:rPr>
          <w:sz w:val="24"/>
        </w:rPr>
        <w:t xml:space="preserve"> S</w:t>
      </w:r>
      <w:r w:rsidR="00E400B3" w:rsidRPr="00DC39AD">
        <w:rPr>
          <w:sz w:val="24"/>
        </w:rPr>
        <w:t xml:space="preserve">taff </w:t>
      </w:r>
      <w:r w:rsidR="00292742" w:rsidRPr="00DC39AD">
        <w:rPr>
          <w:sz w:val="24"/>
        </w:rPr>
        <w:t>will need</w:t>
      </w:r>
      <w:r w:rsidR="00E400B3" w:rsidRPr="00DC39AD">
        <w:rPr>
          <w:sz w:val="24"/>
        </w:rPr>
        <w:t xml:space="preserve"> additional time to properly assess the termination risk and implications for rate payers in the event TOTE cancels its contract and strands a significant portion of the asset.  </w:t>
      </w:r>
    </w:p>
    <w:p w14:paraId="6D435AED" w14:textId="3B6652B7" w:rsidR="001117CF" w:rsidRPr="003E6631" w:rsidRDefault="00DC39AD" w:rsidP="003E6631">
      <w:pPr>
        <w:pStyle w:val="ListParagraph"/>
        <w:numPr>
          <w:ilvl w:val="0"/>
          <w:numId w:val="4"/>
        </w:numPr>
        <w:spacing w:line="480" w:lineRule="auto"/>
        <w:rPr>
          <w:sz w:val="24"/>
        </w:rPr>
      </w:pPr>
      <w:r>
        <w:rPr>
          <w:sz w:val="24"/>
        </w:rPr>
        <w:tab/>
      </w:r>
      <w:r w:rsidR="00E400B3" w:rsidRPr="003E6631">
        <w:rPr>
          <w:sz w:val="24"/>
        </w:rPr>
        <w:t xml:space="preserve">Staff also needs additional time to understand the specific risks and costs to ratepayers </w:t>
      </w:r>
      <w:r w:rsidR="00292742" w:rsidRPr="003E6631">
        <w:rPr>
          <w:sz w:val="24"/>
        </w:rPr>
        <w:t xml:space="preserve">associated with possible </w:t>
      </w:r>
      <w:r w:rsidR="00E400B3" w:rsidRPr="003E6631">
        <w:rPr>
          <w:sz w:val="24"/>
        </w:rPr>
        <w:t xml:space="preserve">alternatives to </w:t>
      </w:r>
      <w:r w:rsidR="00292742" w:rsidRPr="003E6631">
        <w:rPr>
          <w:sz w:val="24"/>
        </w:rPr>
        <w:t xml:space="preserve">PSE’s </w:t>
      </w:r>
      <w:r w:rsidR="00E400B3" w:rsidRPr="003E6631">
        <w:rPr>
          <w:sz w:val="24"/>
        </w:rPr>
        <w:t>curre</w:t>
      </w:r>
      <w:r w:rsidR="001117CF" w:rsidRPr="003E6631">
        <w:rPr>
          <w:sz w:val="24"/>
        </w:rPr>
        <w:t>nt proposal</w:t>
      </w:r>
      <w:r w:rsidR="00E400B3" w:rsidRPr="003E6631">
        <w:rPr>
          <w:sz w:val="24"/>
        </w:rPr>
        <w:t xml:space="preserve">. A comparative analysis of </w:t>
      </w:r>
      <w:r w:rsidR="00292742" w:rsidRPr="003E6631">
        <w:rPr>
          <w:sz w:val="24"/>
        </w:rPr>
        <w:t xml:space="preserve">regulatory options </w:t>
      </w:r>
      <w:r w:rsidR="00E400B3" w:rsidRPr="003E6631">
        <w:rPr>
          <w:sz w:val="24"/>
        </w:rPr>
        <w:t xml:space="preserve">is the </w:t>
      </w:r>
      <w:r w:rsidR="00292742" w:rsidRPr="003E6631">
        <w:rPr>
          <w:sz w:val="24"/>
        </w:rPr>
        <w:t xml:space="preserve">appropriate </w:t>
      </w:r>
      <w:r w:rsidR="00E400B3" w:rsidRPr="003E6631">
        <w:rPr>
          <w:sz w:val="24"/>
        </w:rPr>
        <w:t>way to determine whether the Company’s proposal is</w:t>
      </w:r>
      <w:r w:rsidR="001117CF" w:rsidRPr="003E6631">
        <w:rPr>
          <w:sz w:val="24"/>
        </w:rPr>
        <w:t xml:space="preserve"> the most</w:t>
      </w:r>
      <w:r w:rsidR="00E400B3" w:rsidRPr="003E6631">
        <w:rPr>
          <w:sz w:val="24"/>
        </w:rPr>
        <w:t xml:space="preserve"> cost-e</w:t>
      </w:r>
      <w:r w:rsidR="00292742" w:rsidRPr="003E6631">
        <w:rPr>
          <w:sz w:val="24"/>
        </w:rPr>
        <w:t>ffective and useful option for ratepayers</w:t>
      </w:r>
      <w:r w:rsidR="00E400B3" w:rsidRPr="003E6631">
        <w:rPr>
          <w:sz w:val="24"/>
        </w:rPr>
        <w:t>.</w:t>
      </w:r>
      <w:r w:rsidR="001117CF" w:rsidRPr="003E6631">
        <w:rPr>
          <w:sz w:val="24"/>
        </w:rPr>
        <w:t xml:space="preserve"> Staff’s concern is particularly true given that the Company’s own petition acknowledges at least one alternative scenario that would be unregulated. </w:t>
      </w:r>
    </w:p>
    <w:p w14:paraId="4C041734" w14:textId="1420DB46" w:rsidR="001117CF" w:rsidRPr="003E6631" w:rsidRDefault="003E6631" w:rsidP="003E6631">
      <w:pPr>
        <w:keepNext/>
        <w:keepLines/>
        <w:ind w:left="720" w:hanging="720"/>
        <w:rPr>
          <w:b/>
        </w:rPr>
      </w:pPr>
      <w:r w:rsidRPr="003E6631">
        <w:rPr>
          <w:b/>
        </w:rPr>
        <w:t>D.</w:t>
      </w:r>
      <w:r w:rsidRPr="003E6631">
        <w:rPr>
          <w:b/>
        </w:rPr>
        <w:tab/>
      </w:r>
      <w:r w:rsidR="00DC39AD">
        <w:rPr>
          <w:b/>
        </w:rPr>
        <w:t>PSE’s p</w:t>
      </w:r>
      <w:r w:rsidR="001117CF" w:rsidRPr="003E6631">
        <w:rPr>
          <w:b/>
        </w:rPr>
        <w:t xml:space="preserve">etition states a need for peaking capacity but the Company’s load forecasts </w:t>
      </w:r>
      <w:r w:rsidR="009A1035" w:rsidRPr="003E6631">
        <w:rPr>
          <w:b/>
        </w:rPr>
        <w:t xml:space="preserve">appear to be </w:t>
      </w:r>
      <w:r w:rsidR="001117CF" w:rsidRPr="003E6631">
        <w:rPr>
          <w:b/>
        </w:rPr>
        <w:t>outdated</w:t>
      </w:r>
    </w:p>
    <w:p w14:paraId="53FB0F50" w14:textId="77777777" w:rsidR="001117CF" w:rsidRDefault="001117CF" w:rsidP="003E6631">
      <w:pPr>
        <w:keepNext/>
        <w:keepLines/>
      </w:pPr>
    </w:p>
    <w:p w14:paraId="61875FB4" w14:textId="2D2F0C15" w:rsidR="009A1035" w:rsidRPr="003E6631" w:rsidRDefault="003E6631" w:rsidP="003E6631">
      <w:pPr>
        <w:pStyle w:val="ListParagraph"/>
        <w:numPr>
          <w:ilvl w:val="0"/>
          <w:numId w:val="4"/>
        </w:numPr>
        <w:spacing w:line="480" w:lineRule="auto"/>
        <w:rPr>
          <w:sz w:val="24"/>
        </w:rPr>
      </w:pPr>
      <w:r>
        <w:rPr>
          <w:sz w:val="24"/>
        </w:rPr>
        <w:tab/>
      </w:r>
      <w:r w:rsidR="001117CF" w:rsidRPr="003E6631">
        <w:rPr>
          <w:sz w:val="24"/>
        </w:rPr>
        <w:t xml:space="preserve">PSE’s proposed schedule in this filing </w:t>
      </w:r>
      <w:r w:rsidR="00386D61">
        <w:rPr>
          <w:sz w:val="24"/>
        </w:rPr>
        <w:t xml:space="preserve">would </w:t>
      </w:r>
      <w:r w:rsidR="001117CF" w:rsidRPr="003E6631">
        <w:rPr>
          <w:sz w:val="24"/>
        </w:rPr>
        <w:t xml:space="preserve">not allow Staff </w:t>
      </w:r>
      <w:r w:rsidR="00386D61">
        <w:rPr>
          <w:sz w:val="24"/>
        </w:rPr>
        <w:t xml:space="preserve">sufficient time </w:t>
      </w:r>
      <w:r w:rsidR="001117CF" w:rsidRPr="003E6631">
        <w:rPr>
          <w:sz w:val="24"/>
        </w:rPr>
        <w:t xml:space="preserve">to examine </w:t>
      </w:r>
      <w:r w:rsidR="00292742" w:rsidRPr="003E6631">
        <w:rPr>
          <w:sz w:val="24"/>
        </w:rPr>
        <w:t xml:space="preserve">whether </w:t>
      </w:r>
      <w:r w:rsidR="00386D61">
        <w:rPr>
          <w:sz w:val="24"/>
        </w:rPr>
        <w:t xml:space="preserve">the </w:t>
      </w:r>
      <w:r w:rsidR="00292742" w:rsidRPr="003E6631">
        <w:rPr>
          <w:sz w:val="24"/>
        </w:rPr>
        <w:t xml:space="preserve">proposed LNG facility is necessary to </w:t>
      </w:r>
      <w:r w:rsidR="00386D61">
        <w:rPr>
          <w:sz w:val="24"/>
        </w:rPr>
        <w:t xml:space="preserve">meet peak demand. </w:t>
      </w:r>
      <w:r w:rsidR="001117CF" w:rsidRPr="003E6631">
        <w:rPr>
          <w:sz w:val="24"/>
        </w:rPr>
        <w:t>PSE</w:t>
      </w:r>
      <w:r w:rsidR="009A1035" w:rsidRPr="003E6631">
        <w:rPr>
          <w:sz w:val="24"/>
        </w:rPr>
        <w:t xml:space="preserve"> </w:t>
      </w:r>
      <w:r w:rsidR="001117CF" w:rsidRPr="003E6631">
        <w:rPr>
          <w:sz w:val="24"/>
        </w:rPr>
        <w:t>has already filed a second request for an extension to file its 2015 Integrated Resource Plan (IRP).</w:t>
      </w:r>
      <w:r w:rsidR="001117CF" w:rsidRPr="003E6631">
        <w:rPr>
          <w:rStyle w:val="FootnoteReference"/>
          <w:sz w:val="24"/>
        </w:rPr>
        <w:footnoteReference w:id="11"/>
      </w:r>
      <w:r w:rsidR="00F27D21" w:rsidRPr="003E6631">
        <w:rPr>
          <w:sz w:val="24"/>
        </w:rPr>
        <w:t xml:space="preserve"> </w:t>
      </w:r>
      <w:r w:rsidR="009A1035" w:rsidRPr="003E6631">
        <w:rPr>
          <w:sz w:val="24"/>
        </w:rPr>
        <w:t xml:space="preserve">In part, </w:t>
      </w:r>
      <w:r w:rsidR="001117CF" w:rsidRPr="003E6631">
        <w:rPr>
          <w:sz w:val="24"/>
        </w:rPr>
        <w:t xml:space="preserve">PSE requested the additional time to complete its analysis of resource adequacy and flexibility vital to its resource acquisition decisions. </w:t>
      </w:r>
    </w:p>
    <w:p w14:paraId="216F6EF5" w14:textId="0E5700D0" w:rsidR="001117CF" w:rsidRPr="003E6631" w:rsidRDefault="003E6631" w:rsidP="00A12644">
      <w:pPr>
        <w:pStyle w:val="ListParagraph"/>
        <w:widowControl/>
        <w:numPr>
          <w:ilvl w:val="0"/>
          <w:numId w:val="4"/>
        </w:numPr>
        <w:spacing w:line="480" w:lineRule="auto"/>
        <w:rPr>
          <w:sz w:val="24"/>
        </w:rPr>
      </w:pPr>
      <w:r>
        <w:rPr>
          <w:sz w:val="24"/>
        </w:rPr>
        <w:tab/>
      </w:r>
      <w:r w:rsidR="001117CF" w:rsidRPr="003E6631">
        <w:rPr>
          <w:sz w:val="24"/>
        </w:rPr>
        <w:t xml:space="preserve">PSE’s petition relies on </w:t>
      </w:r>
      <w:r w:rsidR="009A1035" w:rsidRPr="003E6631">
        <w:rPr>
          <w:sz w:val="24"/>
        </w:rPr>
        <w:t xml:space="preserve">the professed </w:t>
      </w:r>
      <w:r w:rsidR="001117CF" w:rsidRPr="003E6631">
        <w:rPr>
          <w:sz w:val="24"/>
        </w:rPr>
        <w:t>need for additional peaking capacity</w:t>
      </w:r>
      <w:r w:rsidR="009A1035" w:rsidRPr="003E6631">
        <w:rPr>
          <w:sz w:val="24"/>
        </w:rPr>
        <w:t xml:space="preserve">. Yet, near in time to the filing in this case, </w:t>
      </w:r>
      <w:r w:rsidR="001117CF" w:rsidRPr="003E6631">
        <w:rPr>
          <w:sz w:val="24"/>
        </w:rPr>
        <w:t xml:space="preserve">the Company acknowledged </w:t>
      </w:r>
      <w:r w:rsidR="009A1035" w:rsidRPr="003E6631">
        <w:rPr>
          <w:sz w:val="24"/>
        </w:rPr>
        <w:t xml:space="preserve">in a separate docket </w:t>
      </w:r>
      <w:r w:rsidR="001117CF" w:rsidRPr="003E6631">
        <w:rPr>
          <w:sz w:val="24"/>
        </w:rPr>
        <w:t xml:space="preserve">that </w:t>
      </w:r>
      <w:r w:rsidR="009A1035" w:rsidRPr="003E6631">
        <w:rPr>
          <w:sz w:val="24"/>
        </w:rPr>
        <w:t>it has</w:t>
      </w:r>
      <w:r w:rsidR="001117CF" w:rsidRPr="003E6631">
        <w:rPr>
          <w:sz w:val="24"/>
        </w:rPr>
        <w:t xml:space="preserve"> not completed an updated analysis of its </w:t>
      </w:r>
      <w:r w:rsidR="009A1035" w:rsidRPr="003E6631">
        <w:rPr>
          <w:sz w:val="24"/>
        </w:rPr>
        <w:t xml:space="preserve">required </w:t>
      </w:r>
      <w:r w:rsidR="001117CF" w:rsidRPr="003E6631">
        <w:rPr>
          <w:sz w:val="24"/>
        </w:rPr>
        <w:t xml:space="preserve">load forecasts. </w:t>
      </w:r>
      <w:r w:rsidR="009A1035" w:rsidRPr="003E6631">
        <w:rPr>
          <w:sz w:val="24"/>
        </w:rPr>
        <w:t xml:space="preserve">Without accurate and up to date load forecasts, </w:t>
      </w:r>
      <w:r w:rsidR="00386D61">
        <w:rPr>
          <w:sz w:val="24"/>
        </w:rPr>
        <w:t xml:space="preserve">Staff </w:t>
      </w:r>
      <w:r w:rsidR="009A1035" w:rsidRPr="003E6631">
        <w:rPr>
          <w:sz w:val="24"/>
        </w:rPr>
        <w:t xml:space="preserve">cannot determine whether a </w:t>
      </w:r>
      <w:r w:rsidR="001117CF" w:rsidRPr="003E6631">
        <w:rPr>
          <w:sz w:val="24"/>
        </w:rPr>
        <w:t xml:space="preserve">peaking resource </w:t>
      </w:r>
      <w:r w:rsidR="009A1035" w:rsidRPr="003E6631">
        <w:rPr>
          <w:sz w:val="24"/>
        </w:rPr>
        <w:t xml:space="preserve">such as that contemplated by </w:t>
      </w:r>
      <w:r w:rsidR="00CE5881" w:rsidRPr="003E6631">
        <w:rPr>
          <w:sz w:val="24"/>
        </w:rPr>
        <w:t xml:space="preserve">PSE </w:t>
      </w:r>
      <w:r w:rsidR="00386D61">
        <w:rPr>
          <w:sz w:val="24"/>
        </w:rPr>
        <w:t xml:space="preserve">will be </w:t>
      </w:r>
      <w:r w:rsidR="00CE5881" w:rsidRPr="003E6631">
        <w:rPr>
          <w:sz w:val="24"/>
        </w:rPr>
        <w:t xml:space="preserve">needed. </w:t>
      </w:r>
      <w:r w:rsidR="00FF62E8">
        <w:rPr>
          <w:sz w:val="24"/>
        </w:rPr>
        <w:t>The Company’s future IRP filing should inform this issue. Until then, ratepayers</w:t>
      </w:r>
      <w:r w:rsidR="00CE5881" w:rsidRPr="003E6631">
        <w:rPr>
          <w:sz w:val="24"/>
        </w:rPr>
        <w:t xml:space="preserve"> should not have to pay for a peaking resource </w:t>
      </w:r>
      <w:r w:rsidR="00386D61">
        <w:rPr>
          <w:sz w:val="24"/>
        </w:rPr>
        <w:t>supported only by outdated natural g</w:t>
      </w:r>
      <w:r w:rsidR="001117CF" w:rsidRPr="003E6631">
        <w:rPr>
          <w:sz w:val="24"/>
        </w:rPr>
        <w:t>as load forecasts.</w:t>
      </w:r>
      <w:r w:rsidR="00FF62E8">
        <w:rPr>
          <w:sz w:val="24"/>
        </w:rPr>
        <w:t xml:space="preserve"> </w:t>
      </w:r>
    </w:p>
    <w:p w14:paraId="4B007C6D" w14:textId="3200BF07" w:rsidR="00E400B3" w:rsidRPr="003E6631" w:rsidRDefault="003E6631" w:rsidP="003E6631">
      <w:pPr>
        <w:spacing w:line="480" w:lineRule="auto"/>
        <w:jc w:val="center"/>
        <w:rPr>
          <w:b/>
        </w:rPr>
      </w:pPr>
      <w:r w:rsidRPr="003E6631">
        <w:rPr>
          <w:b/>
        </w:rPr>
        <w:t>V.</w:t>
      </w:r>
      <w:r w:rsidRPr="003E6631">
        <w:rPr>
          <w:b/>
        </w:rPr>
        <w:tab/>
      </w:r>
      <w:r w:rsidR="00CE5881" w:rsidRPr="003E6631">
        <w:rPr>
          <w:b/>
        </w:rPr>
        <w:t>CONCLUSION</w:t>
      </w:r>
    </w:p>
    <w:p w14:paraId="4C4222C0" w14:textId="54C3A452" w:rsidR="00FF62E8" w:rsidRDefault="003E6631" w:rsidP="003E6631">
      <w:pPr>
        <w:pStyle w:val="ListParagraph"/>
        <w:numPr>
          <w:ilvl w:val="0"/>
          <w:numId w:val="4"/>
        </w:numPr>
        <w:tabs>
          <w:tab w:val="left" w:pos="0"/>
        </w:tabs>
        <w:spacing w:line="480" w:lineRule="auto"/>
        <w:rPr>
          <w:sz w:val="24"/>
        </w:rPr>
      </w:pPr>
      <w:r w:rsidRPr="003E6631">
        <w:rPr>
          <w:sz w:val="24"/>
        </w:rPr>
        <w:tab/>
      </w:r>
      <w:r w:rsidR="00CE5881" w:rsidRPr="003E6631">
        <w:rPr>
          <w:sz w:val="24"/>
        </w:rPr>
        <w:t xml:space="preserve">PSE’s TOTE proposal involves a special contract with significant financial implications, </w:t>
      </w:r>
      <w:r w:rsidR="00FF62E8">
        <w:rPr>
          <w:sz w:val="24"/>
        </w:rPr>
        <w:t xml:space="preserve">a </w:t>
      </w:r>
      <w:r w:rsidR="00CE5881" w:rsidRPr="003E6631">
        <w:rPr>
          <w:sz w:val="24"/>
        </w:rPr>
        <w:t xml:space="preserve">professed need for </w:t>
      </w:r>
      <w:r w:rsidR="00FF62E8">
        <w:rPr>
          <w:sz w:val="24"/>
        </w:rPr>
        <w:t xml:space="preserve">a </w:t>
      </w:r>
      <w:r w:rsidR="00CE5881" w:rsidRPr="003E6631">
        <w:rPr>
          <w:sz w:val="24"/>
        </w:rPr>
        <w:t>system peaking resource</w:t>
      </w:r>
      <w:r w:rsidR="00FF62E8">
        <w:rPr>
          <w:sz w:val="24"/>
        </w:rPr>
        <w:t xml:space="preserve"> </w:t>
      </w:r>
      <w:r w:rsidR="00CE5881" w:rsidRPr="003E6631">
        <w:rPr>
          <w:sz w:val="24"/>
        </w:rPr>
        <w:t xml:space="preserve">even though </w:t>
      </w:r>
      <w:r w:rsidR="00FE7406" w:rsidRPr="003E6631">
        <w:rPr>
          <w:sz w:val="24"/>
        </w:rPr>
        <w:t xml:space="preserve">the need for it has not been revealed in PSE’s </w:t>
      </w:r>
      <w:r w:rsidR="00CE5881" w:rsidRPr="003E6631">
        <w:rPr>
          <w:sz w:val="24"/>
        </w:rPr>
        <w:t xml:space="preserve">2015 IRP, and the potential for an unregulated business without </w:t>
      </w:r>
      <w:r w:rsidR="00FE7406" w:rsidRPr="003E6631">
        <w:rPr>
          <w:sz w:val="24"/>
        </w:rPr>
        <w:t xml:space="preserve">an identified </w:t>
      </w:r>
      <w:r w:rsidR="00CE5881" w:rsidRPr="003E6631">
        <w:rPr>
          <w:sz w:val="24"/>
        </w:rPr>
        <w:t xml:space="preserve">structure or </w:t>
      </w:r>
      <w:r w:rsidR="00677330" w:rsidRPr="003E6631">
        <w:rPr>
          <w:sz w:val="24"/>
        </w:rPr>
        <w:t xml:space="preserve">even </w:t>
      </w:r>
      <w:r w:rsidR="00CE5881" w:rsidRPr="003E6631">
        <w:rPr>
          <w:sz w:val="24"/>
        </w:rPr>
        <w:t xml:space="preserve">the benefit of a rudimentary business plan. </w:t>
      </w:r>
      <w:r w:rsidR="00677330" w:rsidRPr="003E6631">
        <w:rPr>
          <w:sz w:val="24"/>
        </w:rPr>
        <w:t xml:space="preserve">As these </w:t>
      </w:r>
      <w:r w:rsidR="00FE7406" w:rsidRPr="003E6631">
        <w:rPr>
          <w:sz w:val="24"/>
        </w:rPr>
        <w:t xml:space="preserve">multiple </w:t>
      </w:r>
      <w:r w:rsidR="00677330" w:rsidRPr="003E6631">
        <w:rPr>
          <w:sz w:val="24"/>
        </w:rPr>
        <w:t xml:space="preserve">business lines are merged in one filing, the Commission would be required to allocate the </w:t>
      </w:r>
      <w:r w:rsidR="00FF62E8">
        <w:rPr>
          <w:sz w:val="24"/>
        </w:rPr>
        <w:t xml:space="preserve">project’s </w:t>
      </w:r>
      <w:r w:rsidR="00677330" w:rsidRPr="003E6631">
        <w:rPr>
          <w:sz w:val="24"/>
        </w:rPr>
        <w:t>costs</w:t>
      </w:r>
      <w:r w:rsidR="00FE7406" w:rsidRPr="003E6631">
        <w:rPr>
          <w:sz w:val="24"/>
        </w:rPr>
        <w:t>, benefits and risks</w:t>
      </w:r>
      <w:r w:rsidR="00677330" w:rsidRPr="003E6631">
        <w:rPr>
          <w:sz w:val="24"/>
        </w:rPr>
        <w:t xml:space="preserve">. PSE presents its preferred allocation scheme, but it is not </w:t>
      </w:r>
      <w:r w:rsidR="00FF62E8">
        <w:rPr>
          <w:sz w:val="24"/>
        </w:rPr>
        <w:t>yet c</w:t>
      </w:r>
      <w:r w:rsidR="00677330" w:rsidRPr="003E6631">
        <w:rPr>
          <w:sz w:val="24"/>
        </w:rPr>
        <w:t xml:space="preserve">lear that </w:t>
      </w:r>
      <w:r w:rsidR="00FF62E8">
        <w:rPr>
          <w:sz w:val="24"/>
        </w:rPr>
        <w:t xml:space="preserve">it would protect the ratepayers and avoid the cross-subsidization of PSE’s contemplated unregulated business. </w:t>
      </w:r>
    </w:p>
    <w:p w14:paraId="5C2A2B2C" w14:textId="77777777" w:rsidR="00E10316" w:rsidRDefault="00CE5881" w:rsidP="00604C29">
      <w:pPr>
        <w:pStyle w:val="ListParagraph"/>
        <w:numPr>
          <w:ilvl w:val="0"/>
          <w:numId w:val="4"/>
        </w:numPr>
        <w:tabs>
          <w:tab w:val="left" w:pos="0"/>
        </w:tabs>
        <w:spacing w:line="480" w:lineRule="auto"/>
        <w:rPr>
          <w:sz w:val="24"/>
        </w:rPr>
      </w:pPr>
      <w:r w:rsidRPr="00E10316">
        <w:rPr>
          <w:sz w:val="24"/>
        </w:rPr>
        <w:tab/>
        <w:t xml:space="preserve">Staff cannot </w:t>
      </w:r>
      <w:r w:rsidR="00AF5702" w:rsidRPr="00E10316">
        <w:rPr>
          <w:sz w:val="24"/>
        </w:rPr>
        <w:t xml:space="preserve">at this time </w:t>
      </w:r>
      <w:r w:rsidRPr="00E10316">
        <w:rPr>
          <w:sz w:val="24"/>
        </w:rPr>
        <w:t xml:space="preserve">provide </w:t>
      </w:r>
      <w:r w:rsidR="00AF5702" w:rsidRPr="00E10316">
        <w:rPr>
          <w:sz w:val="24"/>
        </w:rPr>
        <w:t xml:space="preserve">the Commission </w:t>
      </w:r>
      <w:r w:rsidRPr="00E10316">
        <w:rPr>
          <w:sz w:val="24"/>
        </w:rPr>
        <w:t>meaningful recommendations</w:t>
      </w:r>
      <w:r w:rsidR="00AF5702" w:rsidRPr="00E10316">
        <w:rPr>
          <w:sz w:val="24"/>
        </w:rPr>
        <w:t xml:space="preserve"> on the factual, legal and policy issues presented by PSE’s filing.  Staff requests that the Commission convert PSE’s filing to an adjudication. By taking this action, the Commission w</w:t>
      </w:r>
      <w:r w:rsidR="00FF62E8" w:rsidRPr="00E10316">
        <w:rPr>
          <w:sz w:val="24"/>
        </w:rPr>
        <w:t xml:space="preserve">ould </w:t>
      </w:r>
      <w:r w:rsidR="00DC39AD" w:rsidRPr="00E10316">
        <w:rPr>
          <w:sz w:val="24"/>
        </w:rPr>
        <w:t>provide Staff</w:t>
      </w:r>
      <w:r w:rsidR="00AF5702" w:rsidRPr="00E10316">
        <w:rPr>
          <w:sz w:val="24"/>
        </w:rPr>
        <w:t xml:space="preserve"> and other </w:t>
      </w:r>
      <w:r w:rsidR="00E92640" w:rsidRPr="00E10316">
        <w:rPr>
          <w:sz w:val="24"/>
        </w:rPr>
        <w:t xml:space="preserve">parties the </w:t>
      </w:r>
      <w:r w:rsidR="00FF62E8" w:rsidRPr="00E10316">
        <w:rPr>
          <w:sz w:val="24"/>
        </w:rPr>
        <w:t xml:space="preserve">time </w:t>
      </w:r>
      <w:r w:rsidR="00E92640" w:rsidRPr="00E10316">
        <w:rPr>
          <w:sz w:val="24"/>
        </w:rPr>
        <w:t xml:space="preserve">needed </w:t>
      </w:r>
      <w:r w:rsidR="00FF62E8" w:rsidRPr="00E10316">
        <w:rPr>
          <w:sz w:val="24"/>
        </w:rPr>
        <w:t>t</w:t>
      </w:r>
      <w:r w:rsidR="00AF5702" w:rsidRPr="00E10316">
        <w:rPr>
          <w:sz w:val="24"/>
        </w:rPr>
        <w:t xml:space="preserve">o </w:t>
      </w:r>
      <w:r w:rsidR="009B7A11" w:rsidRPr="00E10316">
        <w:rPr>
          <w:sz w:val="24"/>
        </w:rPr>
        <w:t xml:space="preserve">conduct discovery and analysis, address the issues </w:t>
      </w:r>
    </w:p>
    <w:p w14:paraId="6A30458D" w14:textId="77777777" w:rsidR="00E10316" w:rsidRDefault="00E10316" w:rsidP="00E10316">
      <w:pPr>
        <w:pStyle w:val="ListParagraph"/>
        <w:tabs>
          <w:tab w:val="left" w:pos="0"/>
        </w:tabs>
        <w:spacing w:line="480" w:lineRule="auto"/>
        <w:ind w:left="0"/>
        <w:rPr>
          <w:sz w:val="24"/>
        </w:rPr>
      </w:pPr>
      <w:r>
        <w:rPr>
          <w:sz w:val="24"/>
        </w:rPr>
        <w:t>//</w:t>
      </w:r>
    </w:p>
    <w:p w14:paraId="03D341B3" w14:textId="77777777" w:rsidR="00E10316" w:rsidRDefault="00E10316" w:rsidP="00E10316">
      <w:pPr>
        <w:pStyle w:val="ListParagraph"/>
        <w:tabs>
          <w:tab w:val="left" w:pos="0"/>
        </w:tabs>
        <w:spacing w:line="480" w:lineRule="auto"/>
        <w:ind w:left="0"/>
        <w:rPr>
          <w:sz w:val="24"/>
        </w:rPr>
      </w:pPr>
      <w:r>
        <w:rPr>
          <w:sz w:val="24"/>
        </w:rPr>
        <w:t>//</w:t>
      </w:r>
    </w:p>
    <w:p w14:paraId="4B1B95FA" w14:textId="77777777" w:rsidR="00E10316" w:rsidRDefault="00E10316" w:rsidP="00E10316">
      <w:pPr>
        <w:pStyle w:val="ListParagraph"/>
        <w:tabs>
          <w:tab w:val="left" w:pos="0"/>
        </w:tabs>
        <w:spacing w:line="480" w:lineRule="auto"/>
        <w:ind w:left="0"/>
        <w:rPr>
          <w:sz w:val="24"/>
        </w:rPr>
      </w:pPr>
      <w:r>
        <w:rPr>
          <w:sz w:val="24"/>
        </w:rPr>
        <w:t>//</w:t>
      </w:r>
    </w:p>
    <w:p w14:paraId="76A27ECB" w14:textId="77777777" w:rsidR="00E10316" w:rsidRDefault="00E10316" w:rsidP="00E10316">
      <w:pPr>
        <w:pStyle w:val="ListParagraph"/>
        <w:tabs>
          <w:tab w:val="left" w:pos="0"/>
        </w:tabs>
        <w:spacing w:line="480" w:lineRule="auto"/>
        <w:ind w:left="0"/>
        <w:rPr>
          <w:sz w:val="24"/>
        </w:rPr>
      </w:pPr>
    </w:p>
    <w:p w14:paraId="0B312499" w14:textId="7C557CD2" w:rsidR="003E6631" w:rsidRPr="00E10316" w:rsidRDefault="009B7A11" w:rsidP="00E10316">
      <w:pPr>
        <w:pStyle w:val="ListParagraph"/>
        <w:tabs>
          <w:tab w:val="left" w:pos="0"/>
        </w:tabs>
        <w:spacing w:line="480" w:lineRule="auto"/>
        <w:ind w:left="0"/>
        <w:rPr>
          <w:sz w:val="24"/>
        </w:rPr>
      </w:pPr>
      <w:bookmarkStart w:id="1" w:name="_GoBack"/>
      <w:bookmarkEnd w:id="1"/>
      <w:r w:rsidRPr="00E10316">
        <w:rPr>
          <w:sz w:val="24"/>
        </w:rPr>
        <w:t xml:space="preserve">presented, and assist the Commission in developing </w:t>
      </w:r>
      <w:r w:rsidR="00AF5702" w:rsidRPr="00E10316">
        <w:rPr>
          <w:sz w:val="24"/>
        </w:rPr>
        <w:t xml:space="preserve">a comprehensive record from which a decision can be rendered.  </w:t>
      </w:r>
    </w:p>
    <w:p w14:paraId="7FB41C7D" w14:textId="675F975A" w:rsidR="005C001C" w:rsidRDefault="005C001C" w:rsidP="005C001C">
      <w:pPr>
        <w:ind w:left="720"/>
      </w:pPr>
      <w:r w:rsidRPr="004A2910">
        <w:t xml:space="preserve">DATED this </w:t>
      </w:r>
      <w:r w:rsidR="00302799">
        <w:t>27</w:t>
      </w:r>
      <w:r w:rsidR="00302799" w:rsidRPr="00302799">
        <w:rPr>
          <w:vertAlign w:val="superscript"/>
        </w:rPr>
        <w:t>th</w:t>
      </w:r>
      <w:r w:rsidR="00302799">
        <w:t xml:space="preserve"> </w:t>
      </w:r>
      <w:r w:rsidRPr="004A2910">
        <w:t xml:space="preserve">day of </w:t>
      </w:r>
      <w:r w:rsidR="00302799">
        <w:t>August</w:t>
      </w:r>
      <w:r w:rsidRPr="004A2910">
        <w:t xml:space="preserve"> 20</w:t>
      </w:r>
      <w:r w:rsidR="00302799">
        <w:t>15</w:t>
      </w:r>
      <w:r w:rsidRPr="004A2910">
        <w:t>.</w:t>
      </w:r>
    </w:p>
    <w:p w14:paraId="3BB5EAC3" w14:textId="77777777" w:rsidR="005C001C" w:rsidRDefault="005C001C" w:rsidP="005C001C">
      <w:pPr>
        <w:ind w:left="720"/>
      </w:pPr>
    </w:p>
    <w:p w14:paraId="4CFBFE5A" w14:textId="77777777" w:rsidR="005C001C" w:rsidRPr="004A2910" w:rsidRDefault="005C001C" w:rsidP="005C001C">
      <w:pPr>
        <w:ind w:left="720"/>
      </w:pPr>
      <w:r>
        <w:tab/>
      </w:r>
      <w:r>
        <w:tab/>
      </w:r>
      <w:r>
        <w:tab/>
      </w:r>
      <w:r>
        <w:tab/>
      </w:r>
      <w:r>
        <w:tab/>
      </w:r>
      <w:r>
        <w:tab/>
        <w:t xml:space="preserve">Respectfully submitted, </w:t>
      </w:r>
    </w:p>
    <w:p w14:paraId="7A598F6B" w14:textId="77777777" w:rsidR="005C001C" w:rsidRPr="004A2910" w:rsidRDefault="005C001C" w:rsidP="005C001C">
      <w:pPr>
        <w:pStyle w:val="BodyTextIndent2"/>
        <w:rPr>
          <w:rFonts w:ascii="Times New Roman" w:hAnsi="Times New Roman"/>
        </w:rPr>
      </w:pPr>
    </w:p>
    <w:p w14:paraId="58DFFC12" w14:textId="77777777" w:rsidR="005C001C" w:rsidRPr="004A2910" w:rsidRDefault="005C001C" w:rsidP="005C001C">
      <w:pPr>
        <w:ind w:left="5040"/>
        <w:jc w:val="both"/>
      </w:pPr>
      <w:r w:rsidRPr="004A2910">
        <w:t>ROB</w:t>
      </w:r>
      <w:r>
        <w:t>ERT W. FERGUSON</w:t>
      </w:r>
      <w:r w:rsidRPr="004A2910">
        <w:t xml:space="preserve"> </w:t>
      </w:r>
    </w:p>
    <w:p w14:paraId="23D636A7" w14:textId="77777777" w:rsidR="005C001C" w:rsidRPr="004A2910" w:rsidRDefault="005C001C" w:rsidP="005C001C">
      <w:pPr>
        <w:ind w:firstLine="5040"/>
        <w:jc w:val="both"/>
      </w:pPr>
      <w:r w:rsidRPr="004A2910">
        <w:t>Attorney General</w:t>
      </w:r>
    </w:p>
    <w:p w14:paraId="6BFB5EA9" w14:textId="77777777" w:rsidR="005C001C" w:rsidRPr="004A2910" w:rsidRDefault="005C001C" w:rsidP="005C001C">
      <w:pPr>
        <w:jc w:val="both"/>
      </w:pPr>
    </w:p>
    <w:p w14:paraId="256B69DD" w14:textId="77777777" w:rsidR="005C001C" w:rsidRDefault="005C001C" w:rsidP="005C001C">
      <w:pPr>
        <w:jc w:val="both"/>
      </w:pPr>
    </w:p>
    <w:p w14:paraId="24C90F7D" w14:textId="77777777" w:rsidR="005C001C" w:rsidRPr="004A2910" w:rsidRDefault="005C001C" w:rsidP="005C001C">
      <w:pPr>
        <w:jc w:val="both"/>
      </w:pPr>
    </w:p>
    <w:p w14:paraId="5063FDD5" w14:textId="77777777" w:rsidR="005C001C" w:rsidRPr="004A2910" w:rsidRDefault="005C001C" w:rsidP="005C001C">
      <w:pPr>
        <w:ind w:left="1440" w:firstLine="3600"/>
        <w:jc w:val="both"/>
      </w:pPr>
      <w:r w:rsidRPr="004A2910">
        <w:t>______________________________</w:t>
      </w:r>
    </w:p>
    <w:p w14:paraId="270DC2E6" w14:textId="7F575AF3" w:rsidR="005C001C" w:rsidRPr="004A2910" w:rsidRDefault="00302799" w:rsidP="005C001C">
      <w:pPr>
        <w:ind w:firstLine="5040"/>
        <w:jc w:val="both"/>
      </w:pPr>
      <w:r>
        <w:t>PATRICK J. OSHIE</w:t>
      </w:r>
    </w:p>
    <w:p w14:paraId="55FAC852" w14:textId="77777777" w:rsidR="005C001C" w:rsidRPr="004A2910" w:rsidRDefault="005C001C" w:rsidP="005C001C">
      <w:pPr>
        <w:ind w:left="1440" w:firstLine="3600"/>
        <w:jc w:val="both"/>
      </w:pPr>
      <w:r w:rsidRPr="004A2910">
        <w:t>Assistant Attorney General</w:t>
      </w:r>
    </w:p>
    <w:p w14:paraId="10E3D8AB" w14:textId="77777777" w:rsidR="005C001C" w:rsidRPr="004A2910" w:rsidRDefault="005C001C" w:rsidP="005C001C">
      <w:pPr>
        <w:ind w:left="2160" w:firstLine="2880"/>
        <w:jc w:val="both"/>
      </w:pPr>
      <w:r w:rsidRPr="004A2910">
        <w:t xml:space="preserve">Counsel for </w:t>
      </w:r>
      <w:smartTag w:uri="urn:schemas-microsoft-com:office:smarttags" w:element="place">
        <w:smartTag w:uri="urn:schemas-microsoft-com:office:smarttags" w:element="PostalCode">
          <w:r w:rsidRPr="004A2910">
            <w:t>Washington</w:t>
          </w:r>
        </w:smartTag>
      </w:smartTag>
      <w:r w:rsidRPr="004A2910">
        <w:t xml:space="preserve"> Utilities and</w:t>
      </w:r>
    </w:p>
    <w:p w14:paraId="0FFBDAA9" w14:textId="77777777" w:rsidR="005C001C" w:rsidRPr="004A2910" w:rsidRDefault="005C001C" w:rsidP="005C001C">
      <w:pPr>
        <w:ind w:left="2880" w:firstLine="2160"/>
        <w:jc w:val="both"/>
      </w:pPr>
      <w:r>
        <w:t>Transportation Commission Staff</w:t>
      </w:r>
    </w:p>
    <w:sectPr w:rsidR="005C001C" w:rsidRPr="004A29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B820" w14:textId="77777777" w:rsidR="0095261A" w:rsidRDefault="0095261A" w:rsidP="001D4A50">
      <w:pPr>
        <w:spacing w:line="240" w:lineRule="auto"/>
      </w:pPr>
      <w:r>
        <w:separator/>
      </w:r>
    </w:p>
  </w:endnote>
  <w:endnote w:type="continuationSeparator" w:id="0">
    <w:p w14:paraId="707B7882" w14:textId="77777777" w:rsidR="0095261A" w:rsidRDefault="0095261A" w:rsidP="001D4A50">
      <w:pPr>
        <w:spacing w:line="240" w:lineRule="auto"/>
      </w:pPr>
      <w:r>
        <w:continuationSeparator/>
      </w:r>
    </w:p>
  </w:endnote>
  <w:endnote w:type="continuationNotice" w:id="1">
    <w:p w14:paraId="5A9E7579" w14:textId="77777777" w:rsidR="00997BBA" w:rsidRDefault="00997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06E2" w14:textId="77777777" w:rsidR="0095261A" w:rsidRPr="00302799" w:rsidRDefault="0095261A">
    <w:pPr>
      <w:pStyle w:val="Footer"/>
      <w:rPr>
        <w:sz w:val="20"/>
        <w:lang w:eastAsia="zh-CN"/>
      </w:rPr>
    </w:pPr>
  </w:p>
  <w:p w14:paraId="3BE0DE85" w14:textId="77777777" w:rsidR="00A12644" w:rsidRDefault="0095261A">
    <w:pPr>
      <w:pStyle w:val="Footer"/>
      <w:rPr>
        <w:sz w:val="20"/>
        <w:lang w:eastAsia="zh-CN"/>
      </w:rPr>
    </w:pPr>
    <w:r w:rsidRPr="00302799">
      <w:rPr>
        <w:sz w:val="20"/>
        <w:lang w:eastAsia="zh-CN"/>
      </w:rPr>
      <w:t xml:space="preserve">COMMISSION STAFF RESPONSE TO </w:t>
    </w:r>
    <w:r>
      <w:rPr>
        <w:sz w:val="20"/>
        <w:lang w:eastAsia="zh-CN"/>
      </w:rPr>
      <w:t>PSE</w:t>
    </w:r>
    <w:r w:rsidRPr="00302799">
      <w:rPr>
        <w:sz w:val="20"/>
        <w:lang w:eastAsia="zh-CN"/>
      </w:rPr>
      <w:t xml:space="preserve"> </w:t>
    </w:r>
  </w:p>
  <w:p w14:paraId="1CE79BB3" w14:textId="77777777" w:rsidR="00A12644" w:rsidRDefault="0095261A">
    <w:pPr>
      <w:pStyle w:val="Footer"/>
      <w:rPr>
        <w:sz w:val="20"/>
        <w:lang w:eastAsia="zh-CN"/>
      </w:rPr>
    </w:pPr>
    <w:r w:rsidRPr="00302799">
      <w:rPr>
        <w:sz w:val="20"/>
        <w:lang w:eastAsia="zh-CN"/>
      </w:rPr>
      <w:t xml:space="preserve">PETITION FOR </w:t>
    </w:r>
    <w:r w:rsidR="00A12644">
      <w:rPr>
        <w:sz w:val="20"/>
        <w:lang w:eastAsia="zh-CN"/>
      </w:rPr>
      <w:t xml:space="preserve">APPROVAL OF A SPECIAL </w:t>
    </w:r>
  </w:p>
  <w:p w14:paraId="5D310C0E" w14:textId="7C4CDABF" w:rsidR="0095261A" w:rsidRPr="00302799" w:rsidRDefault="00A12644">
    <w:pPr>
      <w:pStyle w:val="Footer"/>
      <w:rPr>
        <w:sz w:val="20"/>
      </w:rPr>
    </w:pPr>
    <w:r>
      <w:rPr>
        <w:sz w:val="20"/>
        <w:lang w:eastAsia="zh-CN"/>
      </w:rPr>
      <w:t xml:space="preserve">CONTRACT AND </w:t>
    </w:r>
    <w:r w:rsidR="0095261A" w:rsidRPr="00302799">
      <w:rPr>
        <w:sz w:val="20"/>
        <w:lang w:eastAsia="zh-CN"/>
      </w:rPr>
      <w:t xml:space="preserve">DECLARATORY ORDER - </w:t>
    </w:r>
    <w:r w:rsidR="0095261A" w:rsidRPr="00302799">
      <w:rPr>
        <w:sz w:val="20"/>
        <w:lang w:eastAsia="zh-CN"/>
      </w:rPr>
      <w:fldChar w:fldCharType="begin"/>
    </w:r>
    <w:r w:rsidR="0095261A" w:rsidRPr="00302799">
      <w:rPr>
        <w:sz w:val="20"/>
        <w:lang w:eastAsia="zh-CN"/>
      </w:rPr>
      <w:instrText xml:space="preserve"> PAGE   \* MERGEFORMAT </w:instrText>
    </w:r>
    <w:r w:rsidR="0095261A" w:rsidRPr="00302799">
      <w:rPr>
        <w:sz w:val="20"/>
        <w:lang w:eastAsia="zh-CN"/>
      </w:rPr>
      <w:fldChar w:fldCharType="separate"/>
    </w:r>
    <w:r w:rsidR="00E10316">
      <w:rPr>
        <w:noProof/>
        <w:sz w:val="20"/>
        <w:lang w:eastAsia="zh-CN"/>
      </w:rPr>
      <w:t>10</w:t>
    </w:r>
    <w:r w:rsidR="0095261A" w:rsidRPr="00302799">
      <w:rPr>
        <w:noProof/>
        <w:sz w:val="20"/>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54E9" w14:textId="77777777" w:rsidR="0095261A" w:rsidRDefault="0095261A" w:rsidP="001D4A50">
      <w:pPr>
        <w:spacing w:line="240" w:lineRule="auto"/>
      </w:pPr>
      <w:r>
        <w:separator/>
      </w:r>
    </w:p>
  </w:footnote>
  <w:footnote w:type="continuationSeparator" w:id="0">
    <w:p w14:paraId="69BE94D0" w14:textId="77777777" w:rsidR="0095261A" w:rsidRDefault="0095261A" w:rsidP="001D4A50">
      <w:pPr>
        <w:spacing w:line="240" w:lineRule="auto"/>
      </w:pPr>
      <w:r>
        <w:continuationSeparator/>
      </w:r>
    </w:p>
  </w:footnote>
  <w:footnote w:type="continuationNotice" w:id="1">
    <w:p w14:paraId="7F4A3FE9" w14:textId="77777777" w:rsidR="00997BBA" w:rsidRDefault="00997BBA">
      <w:pPr>
        <w:spacing w:line="240" w:lineRule="auto"/>
      </w:pPr>
    </w:p>
  </w:footnote>
  <w:footnote w:id="2">
    <w:p w14:paraId="24D7279B" w14:textId="0BAD1808" w:rsidR="0095261A" w:rsidRDefault="0095261A" w:rsidP="008B36DA">
      <w:pPr>
        <w:pStyle w:val="FootnoteText"/>
      </w:pPr>
      <w:r>
        <w:rPr>
          <w:rStyle w:val="FootnoteReference"/>
        </w:rPr>
        <w:footnoteRef/>
      </w:r>
      <w:r>
        <w:t xml:space="preserve"> </w:t>
      </w:r>
      <w:r w:rsidR="00236F6B" w:rsidRPr="001D4A50">
        <w:rPr>
          <w:i/>
        </w:rPr>
        <w:t>In the Matter of the Petition of Puget Sound Energy For Approval of a Special Con</w:t>
      </w:r>
      <w:r w:rsidR="00236F6B">
        <w:rPr>
          <w:i/>
        </w:rPr>
        <w:t xml:space="preserve">tract for Liquefied Natural Gas </w:t>
      </w:r>
      <w:r w:rsidR="00236F6B" w:rsidRPr="001D4A50">
        <w:rPr>
          <w:i/>
        </w:rPr>
        <w:t>Fuel Service with Totem Ocean Trailer Express, Inc., and a Declaratory Order Approving the Methodology for Allocating Costs Between Regulated and Non-regulated Liquefied Natural Gas Services</w:t>
      </w:r>
      <w:r w:rsidR="00236F6B" w:rsidRPr="001D4A50">
        <w:t xml:space="preserve">, Docket </w:t>
      </w:r>
      <w:r w:rsidR="00236F6B">
        <w:t>UG-151661</w:t>
      </w:r>
      <w:r w:rsidR="00236F6B" w:rsidRPr="00BA1C63">
        <w:t xml:space="preserve"> </w:t>
      </w:r>
      <w:r w:rsidR="00236F6B">
        <w:t xml:space="preserve">at </w:t>
      </w:r>
      <w:r w:rsidR="00236F6B">
        <w:t xml:space="preserve">1 </w:t>
      </w:r>
      <w:r w:rsidR="00236F6B" w:rsidRPr="00BA1C63">
        <w:t>¶</w:t>
      </w:r>
      <w:r w:rsidR="00236F6B">
        <w:t xml:space="preserve"> 1 (August 11, 2015)</w:t>
      </w:r>
      <w:r>
        <w:t>.</w:t>
      </w:r>
    </w:p>
  </w:footnote>
  <w:footnote w:id="3">
    <w:p w14:paraId="2537A3FD" w14:textId="427CE442" w:rsidR="0095261A" w:rsidRPr="00236F6B" w:rsidRDefault="0095261A" w:rsidP="007D1FDB">
      <w:pPr>
        <w:pStyle w:val="NoSpacing"/>
        <w:rPr>
          <w:sz w:val="20"/>
          <w:szCs w:val="20"/>
        </w:rPr>
      </w:pPr>
      <w:r>
        <w:rPr>
          <w:rStyle w:val="FootnoteReference"/>
        </w:rPr>
        <w:footnoteRef/>
      </w:r>
      <w:r>
        <w:t xml:space="preserve"> </w:t>
      </w:r>
      <w:r w:rsidR="00236F6B" w:rsidRPr="00236F6B">
        <w:rPr>
          <w:i/>
          <w:sz w:val="20"/>
          <w:szCs w:val="20"/>
        </w:rPr>
        <w:t>Id. at</w:t>
      </w:r>
      <w:r w:rsidR="00236F6B" w:rsidRPr="00236F6B">
        <w:rPr>
          <w:sz w:val="20"/>
          <w:szCs w:val="20"/>
        </w:rPr>
        <w:t xml:space="preserve"> ¶18</w:t>
      </w:r>
      <w:r w:rsidR="00236F6B">
        <w:rPr>
          <w:sz w:val="20"/>
          <w:szCs w:val="20"/>
        </w:rPr>
        <w:t>.</w:t>
      </w:r>
    </w:p>
  </w:footnote>
  <w:footnote w:id="4">
    <w:p w14:paraId="629AEC10" w14:textId="2EAA2228" w:rsidR="0095261A" w:rsidRDefault="0095261A">
      <w:pPr>
        <w:pStyle w:val="FootnoteText"/>
      </w:pPr>
      <w:r>
        <w:rPr>
          <w:rStyle w:val="FootnoteReference"/>
        </w:rPr>
        <w:footnoteRef/>
      </w:r>
      <w:r>
        <w:t xml:space="preserve"> </w:t>
      </w:r>
      <w:r w:rsidRPr="007F6F47">
        <w:rPr>
          <w:i/>
        </w:rPr>
        <w:t>Id.</w:t>
      </w:r>
      <w:r>
        <w:t xml:space="preserve"> </w:t>
      </w:r>
      <w:r w:rsidR="00FF24E9" w:rsidRPr="00FF24E9">
        <w:t xml:space="preserve">at </w:t>
      </w:r>
      <w:r w:rsidR="00FF24E9" w:rsidRPr="00016183">
        <w:t>¶</w:t>
      </w:r>
      <w:r w:rsidR="00FF24E9">
        <w:t xml:space="preserve"> </w:t>
      </w:r>
      <w:r w:rsidR="00FF24E9" w:rsidRPr="00016183">
        <w:t>¶</w:t>
      </w:r>
      <w:r w:rsidR="00FF24E9">
        <w:t xml:space="preserve"> 7, 8, and 9.</w:t>
      </w:r>
    </w:p>
  </w:footnote>
  <w:footnote w:id="5">
    <w:p w14:paraId="6C5F02C4" w14:textId="77777777" w:rsidR="0095261A" w:rsidRDefault="0095261A">
      <w:pPr>
        <w:pStyle w:val="FootnoteText"/>
      </w:pPr>
      <w:r>
        <w:rPr>
          <w:rStyle w:val="FootnoteReference"/>
        </w:rPr>
        <w:footnoteRef/>
      </w:r>
      <w:r>
        <w:t xml:space="preserve"> </w:t>
      </w:r>
      <w:r w:rsidRPr="007F6F47">
        <w:rPr>
          <w:i/>
        </w:rPr>
        <w:t>Id.</w:t>
      </w:r>
      <w:r>
        <w:t xml:space="preserve"> at </w:t>
      </w:r>
      <w:r w:rsidRPr="00016183">
        <w:t>¶</w:t>
      </w:r>
      <w:r>
        <w:t xml:space="preserve"> 31.</w:t>
      </w:r>
    </w:p>
  </w:footnote>
  <w:footnote w:id="6">
    <w:p w14:paraId="13FA1B0F" w14:textId="77777777" w:rsidR="0095261A" w:rsidRDefault="0095261A">
      <w:pPr>
        <w:pStyle w:val="FootnoteText"/>
      </w:pPr>
      <w:r>
        <w:rPr>
          <w:rStyle w:val="FootnoteReference"/>
        </w:rPr>
        <w:footnoteRef/>
      </w:r>
      <w:r>
        <w:t xml:space="preserve"> Under RCW 34.05.240(5)(d), the Commission also has statutory authority to simply decline to enter a declaratory order in this case. However, this is not Staff’s recommended outcome. </w:t>
      </w:r>
    </w:p>
  </w:footnote>
  <w:footnote w:id="7">
    <w:p w14:paraId="7CECB9AE" w14:textId="77777777" w:rsidR="0095261A" w:rsidRDefault="0095261A">
      <w:pPr>
        <w:pStyle w:val="FootnoteText"/>
      </w:pPr>
      <w:r>
        <w:rPr>
          <w:rStyle w:val="FootnoteReference"/>
        </w:rPr>
        <w:footnoteRef/>
      </w:r>
      <w:r>
        <w:t xml:space="preserve"> </w:t>
      </w:r>
      <w:r w:rsidRPr="00973254">
        <w:rPr>
          <w:i/>
        </w:rPr>
        <w:t>See</w:t>
      </w:r>
      <w:r>
        <w:t xml:space="preserve"> RCW 34.05.240(5)(b) and RCW 34.05.240(6).</w:t>
      </w:r>
    </w:p>
  </w:footnote>
  <w:footnote w:id="8">
    <w:p w14:paraId="257648FC" w14:textId="3A44D3E7" w:rsidR="0095261A" w:rsidRDefault="0095261A" w:rsidP="00D917FE">
      <w:pPr>
        <w:pStyle w:val="FootnoteText"/>
      </w:pPr>
      <w:r>
        <w:rPr>
          <w:rStyle w:val="FootnoteReference"/>
        </w:rPr>
        <w:footnoteRef/>
      </w:r>
      <w:r>
        <w:t xml:space="preserve"> </w:t>
      </w:r>
      <w:r w:rsidRPr="00413EDB">
        <w:rPr>
          <w:i/>
        </w:rPr>
        <w:t>See</w:t>
      </w:r>
      <w:r>
        <w:t xml:space="preserve"> </w:t>
      </w:r>
      <w:r w:rsidR="00FF24E9" w:rsidRPr="001D4A50">
        <w:t xml:space="preserve">Docket </w:t>
      </w:r>
      <w:r w:rsidR="00FF24E9">
        <w:t>UG-151661,</w:t>
      </w:r>
      <w:r w:rsidR="00FF24E9" w:rsidRPr="00BA1C63">
        <w:t xml:space="preserve"> </w:t>
      </w:r>
      <w:r>
        <w:t xml:space="preserve">Garratt, Confidential Exhibit No. __ (RG-3C), Page 7 of 7 and Confidential Exhibit No. __ (RG-4C), Page 1 of 1, </w:t>
      </w:r>
      <w:r w:rsidRPr="00E019B6">
        <w:t>% of Plant Included in Gas Ratebase</w:t>
      </w:r>
      <w:r>
        <w:t xml:space="preserve">.  </w:t>
      </w:r>
    </w:p>
  </w:footnote>
  <w:footnote w:id="9">
    <w:p w14:paraId="45DAB6ED" w14:textId="7D821576" w:rsidR="0095261A" w:rsidRDefault="0095261A" w:rsidP="00F27D21">
      <w:pPr>
        <w:pStyle w:val="FootnoteText"/>
      </w:pPr>
      <w:r>
        <w:rPr>
          <w:rStyle w:val="FootnoteReference"/>
        </w:rPr>
        <w:footnoteRef/>
      </w:r>
      <w:r>
        <w:t xml:space="preserve"> </w:t>
      </w:r>
      <w:r w:rsidR="00FF24E9" w:rsidRPr="00FF24E9">
        <w:rPr>
          <w:i/>
        </w:rPr>
        <w:t>See</w:t>
      </w:r>
      <w:r w:rsidR="00FF24E9">
        <w:t xml:space="preserve"> </w:t>
      </w:r>
      <w:r w:rsidR="00FF24E9" w:rsidRPr="001D4A50">
        <w:t xml:space="preserve">Docket </w:t>
      </w:r>
      <w:r w:rsidR="00FF24E9">
        <w:t xml:space="preserve">UG-151661, </w:t>
      </w:r>
      <w:r w:rsidRPr="00B16DAD">
        <w:t xml:space="preserve">Garratt, Confidential Exhibit No. __ (RG-3C), Page </w:t>
      </w:r>
      <w:r>
        <w:t>6</w:t>
      </w:r>
      <w:r w:rsidRPr="00B16DAD">
        <w:t xml:space="preserve"> of 7</w:t>
      </w:r>
      <w:r>
        <w:t>.</w:t>
      </w:r>
    </w:p>
  </w:footnote>
  <w:footnote w:id="10">
    <w:p w14:paraId="72A87198" w14:textId="2EB4F954" w:rsidR="0095261A" w:rsidRPr="00FF24E9" w:rsidRDefault="0095261A" w:rsidP="00FF24E9">
      <w:pPr>
        <w:pStyle w:val="NoSpacing"/>
        <w:rPr>
          <w:sz w:val="20"/>
          <w:szCs w:val="20"/>
        </w:rPr>
      </w:pPr>
      <w:r>
        <w:rPr>
          <w:rStyle w:val="FootnoteReference"/>
        </w:rPr>
        <w:footnoteRef/>
      </w:r>
      <w:r w:rsidR="00E400B3">
        <w:t xml:space="preserve"> </w:t>
      </w:r>
      <w:r w:rsidR="00FF24E9" w:rsidRPr="001D4A50">
        <w:rPr>
          <w:i/>
          <w:sz w:val="20"/>
          <w:szCs w:val="20"/>
        </w:rPr>
        <w:t>In the Matter of the Petition of Puget Sound Energy For Approval of a Special Con</w:t>
      </w:r>
      <w:r w:rsidR="00FF24E9">
        <w:rPr>
          <w:i/>
          <w:sz w:val="20"/>
          <w:szCs w:val="20"/>
        </w:rPr>
        <w:t xml:space="preserve">tract for Liquefied Natural Gas </w:t>
      </w:r>
      <w:r w:rsidR="00FF24E9" w:rsidRPr="001D4A50">
        <w:rPr>
          <w:i/>
          <w:sz w:val="20"/>
          <w:szCs w:val="20"/>
        </w:rPr>
        <w:t>Fuel Service with Totem Ocean Trailer Express, Inc., and a Declaratory Order Approving the Methodology for Allocating Costs Between Regulated and Non-regulated Liquefied Natural Gas Services</w:t>
      </w:r>
      <w:r w:rsidR="00FF24E9" w:rsidRPr="001D4A50">
        <w:rPr>
          <w:sz w:val="20"/>
          <w:szCs w:val="20"/>
        </w:rPr>
        <w:t xml:space="preserve">, Docket </w:t>
      </w:r>
      <w:r w:rsidR="00FF24E9">
        <w:rPr>
          <w:sz w:val="20"/>
          <w:szCs w:val="20"/>
        </w:rPr>
        <w:t>UG-151661</w:t>
      </w:r>
      <w:r w:rsidR="00FF24E9" w:rsidRPr="00BA1C63">
        <w:rPr>
          <w:sz w:val="20"/>
          <w:szCs w:val="20"/>
        </w:rPr>
        <w:t xml:space="preserve"> </w:t>
      </w:r>
      <w:r w:rsidR="00FF24E9">
        <w:rPr>
          <w:sz w:val="20"/>
          <w:szCs w:val="20"/>
        </w:rPr>
        <w:t xml:space="preserve">at </w:t>
      </w:r>
      <w:r w:rsidR="00FF24E9" w:rsidRPr="00FF24E9">
        <w:rPr>
          <w:sz w:val="20"/>
          <w:szCs w:val="20"/>
        </w:rPr>
        <w:t>¶¶44-45</w:t>
      </w:r>
      <w:r w:rsidR="00FF24E9">
        <w:rPr>
          <w:sz w:val="20"/>
          <w:szCs w:val="20"/>
        </w:rPr>
        <w:t xml:space="preserve">. </w:t>
      </w:r>
    </w:p>
  </w:footnote>
  <w:footnote w:id="11">
    <w:p w14:paraId="431AC9B5" w14:textId="77777777" w:rsidR="0095261A" w:rsidRDefault="0095261A" w:rsidP="001117CF">
      <w:pPr>
        <w:pStyle w:val="FootnoteText"/>
      </w:pPr>
      <w:r>
        <w:rPr>
          <w:rStyle w:val="FootnoteReference"/>
        </w:rPr>
        <w:footnoteRef/>
      </w:r>
      <w:r>
        <w:t xml:space="preserve"> Dockets UG-141169 and UE-141170.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231"/>
    <w:multiLevelType w:val="hybridMultilevel"/>
    <w:tmpl w:val="D21C081C"/>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C462B"/>
    <w:multiLevelType w:val="hybridMultilevel"/>
    <w:tmpl w:val="39E6AB0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140F334C"/>
    <w:multiLevelType w:val="hybridMultilevel"/>
    <w:tmpl w:val="70FCF67E"/>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7861BB"/>
    <w:multiLevelType w:val="hybridMultilevel"/>
    <w:tmpl w:val="84E852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D67BF"/>
    <w:multiLevelType w:val="hybridMultilevel"/>
    <w:tmpl w:val="B8FC3A36"/>
    <w:lvl w:ilvl="0" w:tplc="F372E494">
      <w:start w:val="1"/>
      <w:numFmt w:val="decimal"/>
      <w:lvlText w:val="%1"/>
      <w:lvlJc w:val="left"/>
      <w:pPr>
        <w:ind w:left="1080" w:hanging="360"/>
      </w:pPr>
      <w:rPr>
        <w:rFonts w:ascii="Times New Roman" w:hAnsi="Times New Roman"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9E3187"/>
    <w:multiLevelType w:val="hybridMultilevel"/>
    <w:tmpl w:val="99C6D16C"/>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15:restartNumberingAfterBreak="0">
    <w:nsid w:val="544478CE"/>
    <w:multiLevelType w:val="hybridMultilevel"/>
    <w:tmpl w:val="6D3271D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558C3676"/>
    <w:multiLevelType w:val="hybridMultilevel"/>
    <w:tmpl w:val="545A7BF0"/>
    <w:lvl w:ilvl="0" w:tplc="09102076">
      <w:start w:val="1"/>
      <w:numFmt w:val="decimal"/>
      <w:lvlText w:val="%1"/>
      <w:lvlJc w:val="left"/>
      <w:pPr>
        <w:ind w:left="0" w:hanging="720"/>
      </w:pPr>
      <w:rPr>
        <w:rFonts w:ascii="Times New Roman" w:hAnsi="Times New Roman" w:hint="default"/>
        <w:b w:val="0"/>
        <w:i/>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A5778F3"/>
    <w:multiLevelType w:val="hybridMultilevel"/>
    <w:tmpl w:val="97120652"/>
    <w:lvl w:ilvl="0" w:tplc="64801330">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53C46"/>
    <w:multiLevelType w:val="hybridMultilevel"/>
    <w:tmpl w:val="F0F0B62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77346"/>
    <w:multiLevelType w:val="hybridMultilevel"/>
    <w:tmpl w:val="9C10B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D034D"/>
    <w:multiLevelType w:val="hybridMultilevel"/>
    <w:tmpl w:val="B27CF62E"/>
    <w:lvl w:ilvl="0" w:tplc="04090015">
      <w:start w:val="1"/>
      <w:numFmt w:val="upperLetter"/>
      <w:lvlText w:val="%1."/>
      <w:lvlJc w:val="left"/>
      <w:pPr>
        <w:ind w:left="720" w:hanging="360"/>
      </w:pPr>
    </w:lvl>
    <w:lvl w:ilvl="1" w:tplc="09102076">
      <w:start w:val="1"/>
      <w:numFmt w:val="decimal"/>
      <w:lvlText w:val="%2"/>
      <w:lvlJc w:val="left"/>
      <w:pPr>
        <w:ind w:left="1440" w:hanging="360"/>
      </w:pPr>
      <w:rPr>
        <w:rFonts w:ascii="Times New Roman" w:hAnsi="Times New Roman" w:hint="default"/>
        <w:b w:val="0"/>
        <w:i/>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F12F6"/>
    <w:multiLevelType w:val="hybridMultilevel"/>
    <w:tmpl w:val="562C5A6C"/>
    <w:lvl w:ilvl="0" w:tplc="F372E494">
      <w:start w:val="1"/>
      <w:numFmt w:val="decimal"/>
      <w:lvlText w:val="%1"/>
      <w:lvlJc w:val="left"/>
      <w:pPr>
        <w:ind w:left="720" w:hanging="360"/>
      </w:pPr>
      <w:rPr>
        <w:rFonts w:ascii="Times New Roman" w:hAnsi="Times New Roman" w:hint="default"/>
        <w:b w:val="0"/>
        <w:i/>
        <w:sz w:val="24"/>
      </w:rPr>
    </w:lvl>
    <w:lvl w:ilvl="1" w:tplc="F372E494">
      <w:start w:val="1"/>
      <w:numFmt w:val="decimal"/>
      <w:lvlText w:val="%2"/>
      <w:lvlJc w:val="left"/>
      <w:pPr>
        <w:ind w:left="1440" w:hanging="360"/>
      </w:pPr>
      <w:rPr>
        <w:rFonts w:ascii="Times New Roman" w:hAnsi="Times New Roman" w:hint="default"/>
        <w:b w:val="0"/>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5511B"/>
    <w:multiLevelType w:val="hybridMultilevel"/>
    <w:tmpl w:val="8862C1B8"/>
    <w:lvl w:ilvl="0" w:tplc="D4E28C42">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7BD310A1"/>
    <w:multiLevelType w:val="hybridMultilevel"/>
    <w:tmpl w:val="50E86D40"/>
    <w:lvl w:ilvl="0" w:tplc="09102076">
      <w:start w:val="1"/>
      <w:numFmt w:val="decimal"/>
      <w:lvlText w:val="%1"/>
      <w:lvlJc w:val="left"/>
      <w:pPr>
        <w:ind w:left="1440" w:hanging="360"/>
      </w:pPr>
      <w:rPr>
        <w:rFonts w:ascii="Times New Roman" w:hAnsi="Times New Roman" w:hint="default"/>
        <w:b w:val="0"/>
        <w:i/>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D1447E"/>
    <w:multiLevelType w:val="hybridMultilevel"/>
    <w:tmpl w:val="B3C2B53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6"/>
  </w:num>
  <w:num w:numId="6">
    <w:abstractNumId w:val="5"/>
  </w:num>
  <w:num w:numId="7">
    <w:abstractNumId w:val="1"/>
  </w:num>
  <w:num w:numId="8">
    <w:abstractNumId w:val="16"/>
  </w:num>
  <w:num w:numId="9">
    <w:abstractNumId w:val="2"/>
  </w:num>
  <w:num w:numId="10">
    <w:abstractNumId w:val="13"/>
  </w:num>
  <w:num w:numId="11">
    <w:abstractNumId w:val="0"/>
  </w:num>
  <w:num w:numId="12">
    <w:abstractNumId w:val="10"/>
  </w:num>
  <w:num w:numId="13">
    <w:abstractNumId w:val="14"/>
  </w:num>
  <w:num w:numId="14">
    <w:abstractNumId w:val="4"/>
  </w:num>
  <w:num w:numId="15">
    <w:abstractNumId w:val="1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50"/>
    <w:rsid w:val="00007236"/>
    <w:rsid w:val="00025AFB"/>
    <w:rsid w:val="00052A29"/>
    <w:rsid w:val="00090497"/>
    <w:rsid w:val="00091ACC"/>
    <w:rsid w:val="00097459"/>
    <w:rsid w:val="000B399B"/>
    <w:rsid w:val="000F6F8C"/>
    <w:rsid w:val="001117CF"/>
    <w:rsid w:val="001A49B6"/>
    <w:rsid w:val="001A6A6F"/>
    <w:rsid w:val="001A70B7"/>
    <w:rsid w:val="001D4A50"/>
    <w:rsid w:val="001E08B2"/>
    <w:rsid w:val="001E506A"/>
    <w:rsid w:val="00226752"/>
    <w:rsid w:val="00236F6B"/>
    <w:rsid w:val="00290F18"/>
    <w:rsid w:val="00292742"/>
    <w:rsid w:val="002A3052"/>
    <w:rsid w:val="002E4C72"/>
    <w:rsid w:val="00302799"/>
    <w:rsid w:val="00310B07"/>
    <w:rsid w:val="00324721"/>
    <w:rsid w:val="003334D2"/>
    <w:rsid w:val="00386D61"/>
    <w:rsid w:val="003E5F29"/>
    <w:rsid w:val="003E6631"/>
    <w:rsid w:val="00413EDB"/>
    <w:rsid w:val="004352D6"/>
    <w:rsid w:val="004570D9"/>
    <w:rsid w:val="004937E7"/>
    <w:rsid w:val="004A2129"/>
    <w:rsid w:val="005001ED"/>
    <w:rsid w:val="00535B5A"/>
    <w:rsid w:val="00541945"/>
    <w:rsid w:val="00547D5E"/>
    <w:rsid w:val="00591767"/>
    <w:rsid w:val="005C001C"/>
    <w:rsid w:val="00625785"/>
    <w:rsid w:val="00660DC5"/>
    <w:rsid w:val="00666310"/>
    <w:rsid w:val="00677330"/>
    <w:rsid w:val="006C2850"/>
    <w:rsid w:val="006C2872"/>
    <w:rsid w:val="006C4DC4"/>
    <w:rsid w:val="006D150D"/>
    <w:rsid w:val="006F7F75"/>
    <w:rsid w:val="00711D9F"/>
    <w:rsid w:val="007249F9"/>
    <w:rsid w:val="00745681"/>
    <w:rsid w:val="007827EC"/>
    <w:rsid w:val="007908F0"/>
    <w:rsid w:val="007929F0"/>
    <w:rsid w:val="007A2AAD"/>
    <w:rsid w:val="007B0DA5"/>
    <w:rsid w:val="007C1046"/>
    <w:rsid w:val="007D1FDB"/>
    <w:rsid w:val="007D5C68"/>
    <w:rsid w:val="007F6F47"/>
    <w:rsid w:val="008B213F"/>
    <w:rsid w:val="008B36DA"/>
    <w:rsid w:val="008E7A92"/>
    <w:rsid w:val="00936F43"/>
    <w:rsid w:val="0095261A"/>
    <w:rsid w:val="00973254"/>
    <w:rsid w:val="0098575B"/>
    <w:rsid w:val="00994E44"/>
    <w:rsid w:val="00997BBA"/>
    <w:rsid w:val="009A1035"/>
    <w:rsid w:val="009A50C9"/>
    <w:rsid w:val="009B7A11"/>
    <w:rsid w:val="00A12644"/>
    <w:rsid w:val="00A21619"/>
    <w:rsid w:val="00A66628"/>
    <w:rsid w:val="00AB6DAE"/>
    <w:rsid w:val="00AF5702"/>
    <w:rsid w:val="00B047FE"/>
    <w:rsid w:val="00B43282"/>
    <w:rsid w:val="00B471B0"/>
    <w:rsid w:val="00B731B6"/>
    <w:rsid w:val="00BA1C63"/>
    <w:rsid w:val="00BC1CD9"/>
    <w:rsid w:val="00CC2C4C"/>
    <w:rsid w:val="00CE5881"/>
    <w:rsid w:val="00D64405"/>
    <w:rsid w:val="00D917FE"/>
    <w:rsid w:val="00DB0B89"/>
    <w:rsid w:val="00DC39AD"/>
    <w:rsid w:val="00E04BF2"/>
    <w:rsid w:val="00E10316"/>
    <w:rsid w:val="00E400B3"/>
    <w:rsid w:val="00E81E5D"/>
    <w:rsid w:val="00E91CAD"/>
    <w:rsid w:val="00E92640"/>
    <w:rsid w:val="00EC4C22"/>
    <w:rsid w:val="00EC7990"/>
    <w:rsid w:val="00EE3FF4"/>
    <w:rsid w:val="00EE5349"/>
    <w:rsid w:val="00F229F2"/>
    <w:rsid w:val="00F27D21"/>
    <w:rsid w:val="00F72DCA"/>
    <w:rsid w:val="00F74175"/>
    <w:rsid w:val="00FC2A24"/>
    <w:rsid w:val="00FC6DDC"/>
    <w:rsid w:val="00FE7406"/>
    <w:rsid w:val="00FF24E9"/>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460A0D8"/>
  <w15:chartTrackingRefBased/>
  <w15:docId w15:val="{B7CAA335-BEC1-4BF5-9524-6B990056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A50"/>
    <w:pPr>
      <w:widowControl w:val="0"/>
      <w:spacing w:after="0" w:line="240" w:lineRule="exact"/>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4A50"/>
    <w:rPr>
      <w:bCs/>
    </w:rPr>
  </w:style>
  <w:style w:type="paragraph" w:customStyle="1" w:styleId="Court">
    <w:name w:val="Court"/>
    <w:basedOn w:val="Normal"/>
    <w:rsid w:val="001D4A50"/>
    <w:pPr>
      <w:spacing w:before="720" w:after="200"/>
      <w:jc w:val="center"/>
    </w:pPr>
    <w:rPr>
      <w:caps/>
    </w:rPr>
  </w:style>
  <w:style w:type="paragraph" w:customStyle="1" w:styleId="DocumentTitle">
    <w:name w:val="Document Title"/>
    <w:basedOn w:val="Normal"/>
    <w:rsid w:val="001D4A50"/>
    <w:pPr>
      <w:tabs>
        <w:tab w:val="left" w:pos="1238"/>
      </w:tabs>
      <w:spacing w:after="240"/>
      <w:ind w:left="259" w:right="115"/>
    </w:pPr>
    <w:rPr>
      <w:szCs w:val="24"/>
    </w:rPr>
  </w:style>
  <w:style w:type="paragraph" w:styleId="NoSpacing">
    <w:name w:val="No Spacing"/>
    <w:uiPriority w:val="1"/>
    <w:qFormat/>
    <w:rsid w:val="001D4A50"/>
    <w:pPr>
      <w:spacing w:after="0" w:line="240" w:lineRule="auto"/>
    </w:pPr>
    <w:rPr>
      <w:rFonts w:cstheme="minorBidi"/>
      <w:sz w:val="25"/>
      <w:szCs w:val="22"/>
    </w:rPr>
  </w:style>
  <w:style w:type="paragraph" w:styleId="FootnoteText">
    <w:name w:val="footnote text"/>
    <w:basedOn w:val="Normal"/>
    <w:link w:val="FootnoteTextChar"/>
    <w:uiPriority w:val="99"/>
    <w:semiHidden/>
    <w:unhideWhenUsed/>
    <w:rsid w:val="001D4A50"/>
    <w:pPr>
      <w:spacing w:line="240" w:lineRule="auto"/>
    </w:pPr>
    <w:rPr>
      <w:sz w:val="20"/>
    </w:rPr>
  </w:style>
  <w:style w:type="character" w:customStyle="1" w:styleId="FootnoteTextChar">
    <w:name w:val="Footnote Text Char"/>
    <w:basedOn w:val="DefaultParagraphFont"/>
    <w:link w:val="FootnoteText"/>
    <w:uiPriority w:val="99"/>
    <w:semiHidden/>
    <w:rsid w:val="001D4A50"/>
    <w:rPr>
      <w:rFonts w:eastAsia="Times New Roman"/>
      <w:sz w:val="20"/>
      <w:szCs w:val="20"/>
    </w:rPr>
  </w:style>
  <w:style w:type="character" w:styleId="FootnoteReference">
    <w:name w:val="footnote reference"/>
    <w:basedOn w:val="DefaultParagraphFont"/>
    <w:uiPriority w:val="99"/>
    <w:semiHidden/>
    <w:unhideWhenUsed/>
    <w:rsid w:val="001D4A50"/>
    <w:rPr>
      <w:vertAlign w:val="superscript"/>
    </w:rPr>
  </w:style>
  <w:style w:type="paragraph" w:styleId="ListParagraph">
    <w:name w:val="List Paragraph"/>
    <w:basedOn w:val="Normal"/>
    <w:uiPriority w:val="34"/>
    <w:qFormat/>
    <w:rsid w:val="008B36DA"/>
    <w:pPr>
      <w:autoSpaceDE w:val="0"/>
      <w:autoSpaceDN w:val="0"/>
      <w:adjustRightInd w:val="0"/>
      <w:spacing w:line="240" w:lineRule="auto"/>
      <w:ind w:left="720"/>
      <w:contextualSpacing/>
    </w:pPr>
    <w:rPr>
      <w:sz w:val="20"/>
      <w:szCs w:val="24"/>
    </w:rPr>
  </w:style>
  <w:style w:type="paragraph" w:styleId="BodyTextIndent2">
    <w:name w:val="Body Text Indent 2"/>
    <w:basedOn w:val="Normal"/>
    <w:link w:val="BodyTextIndent2Char"/>
    <w:rsid w:val="005C001C"/>
    <w:pPr>
      <w:widowControl/>
      <w:spacing w:line="240" w:lineRule="auto"/>
      <w:ind w:left="686"/>
    </w:pPr>
    <w:rPr>
      <w:rFonts w:ascii="Palatino Linotype" w:hAnsi="Palatino Linotype"/>
      <w:szCs w:val="24"/>
    </w:rPr>
  </w:style>
  <w:style w:type="character" w:customStyle="1" w:styleId="BodyTextIndent2Char">
    <w:name w:val="Body Text Indent 2 Char"/>
    <w:basedOn w:val="DefaultParagraphFont"/>
    <w:link w:val="BodyTextIndent2"/>
    <w:rsid w:val="005C001C"/>
    <w:rPr>
      <w:rFonts w:ascii="Palatino Linotype" w:eastAsia="Times New Roman" w:hAnsi="Palatino Linotype"/>
    </w:rPr>
  </w:style>
  <w:style w:type="character" w:styleId="CommentReference">
    <w:name w:val="annotation reference"/>
    <w:basedOn w:val="DefaultParagraphFont"/>
    <w:uiPriority w:val="99"/>
    <w:semiHidden/>
    <w:unhideWhenUsed/>
    <w:rsid w:val="00D917FE"/>
    <w:rPr>
      <w:sz w:val="16"/>
      <w:szCs w:val="16"/>
    </w:rPr>
  </w:style>
  <w:style w:type="paragraph" w:styleId="CommentText">
    <w:name w:val="annotation text"/>
    <w:basedOn w:val="Normal"/>
    <w:link w:val="CommentTextChar"/>
    <w:uiPriority w:val="99"/>
    <w:semiHidden/>
    <w:unhideWhenUsed/>
    <w:rsid w:val="00D917FE"/>
    <w:pPr>
      <w:spacing w:line="240" w:lineRule="auto"/>
    </w:pPr>
    <w:rPr>
      <w:sz w:val="20"/>
    </w:rPr>
  </w:style>
  <w:style w:type="character" w:customStyle="1" w:styleId="CommentTextChar">
    <w:name w:val="Comment Text Char"/>
    <w:basedOn w:val="DefaultParagraphFont"/>
    <w:link w:val="CommentText"/>
    <w:uiPriority w:val="99"/>
    <w:semiHidden/>
    <w:rsid w:val="00D917F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917FE"/>
    <w:rPr>
      <w:b/>
      <w:bCs/>
    </w:rPr>
  </w:style>
  <w:style w:type="character" w:customStyle="1" w:styleId="CommentSubjectChar">
    <w:name w:val="Comment Subject Char"/>
    <w:basedOn w:val="CommentTextChar"/>
    <w:link w:val="CommentSubject"/>
    <w:uiPriority w:val="99"/>
    <w:semiHidden/>
    <w:rsid w:val="00D917FE"/>
    <w:rPr>
      <w:rFonts w:eastAsia="Times New Roman"/>
      <w:b/>
      <w:bCs/>
      <w:sz w:val="20"/>
      <w:szCs w:val="20"/>
    </w:rPr>
  </w:style>
  <w:style w:type="paragraph" w:styleId="BalloonText">
    <w:name w:val="Balloon Text"/>
    <w:basedOn w:val="Normal"/>
    <w:link w:val="BalloonTextChar"/>
    <w:uiPriority w:val="99"/>
    <w:semiHidden/>
    <w:unhideWhenUsed/>
    <w:rsid w:val="00D917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FE"/>
    <w:rPr>
      <w:rFonts w:ascii="Segoe UI" w:eastAsia="Times New Roman" w:hAnsi="Segoe UI" w:cs="Segoe UI"/>
      <w:sz w:val="18"/>
      <w:szCs w:val="18"/>
    </w:rPr>
  </w:style>
  <w:style w:type="paragraph" w:styleId="Header">
    <w:name w:val="header"/>
    <w:basedOn w:val="Normal"/>
    <w:link w:val="HeaderChar"/>
    <w:uiPriority w:val="99"/>
    <w:unhideWhenUsed/>
    <w:rsid w:val="00302799"/>
    <w:pPr>
      <w:tabs>
        <w:tab w:val="center" w:pos="4680"/>
        <w:tab w:val="right" w:pos="9360"/>
      </w:tabs>
      <w:spacing w:line="240" w:lineRule="auto"/>
    </w:pPr>
  </w:style>
  <w:style w:type="character" w:customStyle="1" w:styleId="HeaderChar">
    <w:name w:val="Header Char"/>
    <w:basedOn w:val="DefaultParagraphFont"/>
    <w:link w:val="Header"/>
    <w:uiPriority w:val="99"/>
    <w:rsid w:val="00302799"/>
    <w:rPr>
      <w:rFonts w:eastAsia="Times New Roman"/>
      <w:szCs w:val="20"/>
    </w:rPr>
  </w:style>
  <w:style w:type="paragraph" w:styleId="Footer">
    <w:name w:val="footer"/>
    <w:basedOn w:val="Normal"/>
    <w:link w:val="FooterChar"/>
    <w:uiPriority w:val="99"/>
    <w:unhideWhenUsed/>
    <w:rsid w:val="00302799"/>
    <w:pPr>
      <w:tabs>
        <w:tab w:val="center" w:pos="4680"/>
        <w:tab w:val="right" w:pos="9360"/>
      </w:tabs>
      <w:spacing w:line="240" w:lineRule="auto"/>
    </w:pPr>
  </w:style>
  <w:style w:type="character" w:customStyle="1" w:styleId="FooterChar">
    <w:name w:val="Footer Char"/>
    <w:basedOn w:val="DefaultParagraphFont"/>
    <w:link w:val="Footer"/>
    <w:uiPriority w:val="99"/>
    <w:rsid w:val="00302799"/>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41DC71-7788-4F42-97BE-BD278F3611F3}"/>
</file>

<file path=customXml/itemProps2.xml><?xml version="1.0" encoding="utf-8"?>
<ds:datastoreItem xmlns:ds="http://schemas.openxmlformats.org/officeDocument/2006/customXml" ds:itemID="{15BFF678-4BFD-4A97-ADD2-271E853A9847}"/>
</file>

<file path=customXml/itemProps3.xml><?xml version="1.0" encoding="utf-8"?>
<ds:datastoreItem xmlns:ds="http://schemas.openxmlformats.org/officeDocument/2006/customXml" ds:itemID="{B73E1C4D-F221-432D-8753-94FFDF41385D}"/>
</file>

<file path=customXml/itemProps4.xml><?xml version="1.0" encoding="utf-8"?>
<ds:datastoreItem xmlns:ds="http://schemas.openxmlformats.org/officeDocument/2006/customXml" ds:itemID="{87249B4A-D3F8-4EFB-A736-EA8292105CFE}"/>
</file>

<file path=customXml/itemProps5.xml><?xml version="1.0" encoding="utf-8"?>
<ds:datastoreItem xmlns:ds="http://schemas.openxmlformats.org/officeDocument/2006/customXml" ds:itemID="{C6D94433-D1B7-4706-855F-1083187C3ECE}"/>
</file>

<file path=docProps/app.xml><?xml version="1.0" encoding="utf-8"?>
<Properties xmlns="http://schemas.openxmlformats.org/officeDocument/2006/extended-properties" xmlns:vt="http://schemas.openxmlformats.org/officeDocument/2006/docPropsVTypes">
  <Template>Normal.dotm</Template>
  <TotalTime>158</TotalTime>
  <Pages>10</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19</cp:revision>
  <cp:lastPrinted>2015-08-27T22:51:00Z</cp:lastPrinted>
  <dcterms:created xsi:type="dcterms:W3CDTF">2015-08-27T18:32:00Z</dcterms:created>
  <dcterms:modified xsi:type="dcterms:W3CDTF">2015-08-27T22:51:00Z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