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29" w:rsidRPr="00C11895" w:rsidRDefault="00C11895" w:rsidP="00261234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2266950" cy="619125"/>
            <wp:effectExtent l="0" t="0" r="0" b="0"/>
            <wp:docPr id="1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1234">
        <w:rPr>
          <w:sz w:val="20"/>
        </w:rPr>
        <w:br/>
      </w:r>
      <w:r>
        <w:rPr>
          <w:sz w:val="20"/>
        </w:rPr>
        <w:t xml:space="preserve">TEL (503) 241-7242     ●     FAX (503) 241-8160     ●     </w:t>
      </w:r>
      <w:r w:rsidR="00261234" w:rsidRPr="00261234">
        <w:rPr>
          <w:sz w:val="20"/>
        </w:rPr>
        <w:t>mail@dvclaw.com</w:t>
      </w:r>
      <w:r w:rsidR="00261234">
        <w:rPr>
          <w:sz w:val="20"/>
        </w:rPr>
        <w:br/>
      </w:r>
      <w:r>
        <w:rPr>
          <w:sz w:val="20"/>
        </w:rPr>
        <w:t>Suite 400</w:t>
      </w:r>
      <w:r w:rsidR="00261234">
        <w:rPr>
          <w:sz w:val="20"/>
        </w:rPr>
        <w:br/>
      </w:r>
      <w:r>
        <w:rPr>
          <w:sz w:val="20"/>
        </w:rPr>
        <w:t>333 SW Taylor</w:t>
      </w:r>
      <w:r w:rsidR="00261234">
        <w:rPr>
          <w:sz w:val="20"/>
        </w:rPr>
        <w:br/>
      </w:r>
      <w:r>
        <w:rPr>
          <w:sz w:val="20"/>
        </w:rPr>
        <w:t>Portland, OR 97204</w:t>
      </w:r>
    </w:p>
    <w:p w:rsidR="00F02C29" w:rsidRDefault="00F02C29" w:rsidP="006A0E8E">
      <w:pPr>
        <w:spacing w:after="0"/>
        <w:jc w:val="center"/>
      </w:pPr>
    </w:p>
    <w:p w:rsidR="006A0E8E" w:rsidRDefault="009260DF" w:rsidP="006A0E8E">
      <w:pPr>
        <w:spacing w:after="0"/>
        <w:jc w:val="center"/>
      </w:pPr>
      <w:r>
        <w:t xml:space="preserve">November </w:t>
      </w:r>
      <w:r w:rsidR="00B74FED">
        <w:t>21</w:t>
      </w:r>
      <w:r w:rsidR="006A0E8E">
        <w:t>, 2012</w:t>
      </w:r>
    </w:p>
    <w:p w:rsidR="006A0E8E" w:rsidRDefault="006A0E8E" w:rsidP="006A0E8E">
      <w:pPr>
        <w:pStyle w:val="Heading1"/>
      </w:pPr>
    </w:p>
    <w:p w:rsidR="006A0E8E" w:rsidRDefault="006A0E8E" w:rsidP="006A0E8E">
      <w:pPr>
        <w:spacing w:after="0"/>
      </w:pPr>
    </w:p>
    <w:p w:rsidR="00060432" w:rsidRDefault="00D54057" w:rsidP="006A0E8E">
      <w:pPr>
        <w:spacing w:after="0"/>
      </w:pPr>
      <w:r>
        <w:t>Chair Jeffrey Goltz</w:t>
      </w:r>
    </w:p>
    <w:p w:rsidR="00060432" w:rsidRDefault="00060432" w:rsidP="006A0E8E">
      <w:pPr>
        <w:spacing w:after="0"/>
      </w:pPr>
      <w:r>
        <w:t>Commissioner Phil Jones</w:t>
      </w:r>
    </w:p>
    <w:p w:rsidR="00060432" w:rsidRDefault="00060432" w:rsidP="006A0E8E">
      <w:pPr>
        <w:spacing w:after="0"/>
      </w:pPr>
      <w:r>
        <w:t>Commissioner Patrick Oshie</w:t>
      </w:r>
    </w:p>
    <w:p w:rsidR="006A0E8E" w:rsidRDefault="006A0E8E" w:rsidP="006A0E8E">
      <w:pPr>
        <w:spacing w:after="0"/>
      </w:pPr>
      <w:r>
        <w:t>Washington Utilities and Transportation Commission</w:t>
      </w:r>
    </w:p>
    <w:p w:rsidR="006A0E8E" w:rsidRDefault="006A0E8E" w:rsidP="006A0E8E">
      <w:pPr>
        <w:spacing w:after="0"/>
      </w:pPr>
      <w:r>
        <w:t>PO Box 47250</w:t>
      </w:r>
    </w:p>
    <w:p w:rsidR="006A0E8E" w:rsidRDefault="006A0E8E" w:rsidP="006A0E8E">
      <w:pPr>
        <w:spacing w:after="0"/>
      </w:pPr>
      <w:r>
        <w:t>1300 S Evergreen Park Drive SW</w:t>
      </w:r>
    </w:p>
    <w:p w:rsidR="006A0E8E" w:rsidRDefault="006A0E8E" w:rsidP="006A0E8E">
      <w:pPr>
        <w:spacing w:after="0"/>
      </w:pPr>
      <w:r>
        <w:t>Olympia, WA  98504-7250</w:t>
      </w:r>
    </w:p>
    <w:p w:rsidR="006A0E8E" w:rsidRDefault="006A0E8E" w:rsidP="006A0E8E">
      <w:pPr>
        <w:spacing w:after="0"/>
      </w:pPr>
    </w:p>
    <w:p w:rsidR="006A0E8E" w:rsidRDefault="006A0E8E" w:rsidP="006A0E8E">
      <w:pPr>
        <w:pStyle w:val="PlainText"/>
        <w:ind w:left="1440" w:hanging="720"/>
        <w:rPr>
          <w:rFonts w:ascii="Times New Roman" w:hAnsi="Times New Roman"/>
          <w:sz w:val="24"/>
          <w:szCs w:val="24"/>
        </w:rPr>
      </w:pPr>
      <w:r w:rsidRPr="0048532A">
        <w:rPr>
          <w:rFonts w:ascii="Times New Roman" w:hAnsi="Times New Roman"/>
          <w:sz w:val="24"/>
          <w:szCs w:val="24"/>
        </w:rPr>
        <w:t>Re:</w:t>
      </w:r>
      <w:r w:rsidRPr="0048532A">
        <w:rPr>
          <w:rFonts w:ascii="Times New Roman" w:hAnsi="Times New Roman"/>
          <w:sz w:val="24"/>
          <w:szCs w:val="24"/>
        </w:rPr>
        <w:tab/>
      </w:r>
      <w:r w:rsidR="00087CA4">
        <w:rPr>
          <w:rFonts w:ascii="Times New Roman" w:hAnsi="Times New Roman"/>
          <w:sz w:val="24"/>
          <w:szCs w:val="24"/>
        </w:rPr>
        <w:t>Joint P</w:t>
      </w:r>
      <w:r w:rsidR="005E6692" w:rsidRPr="005E6692">
        <w:rPr>
          <w:rFonts w:ascii="Times New Roman" w:hAnsi="Times New Roman"/>
          <w:sz w:val="24"/>
          <w:szCs w:val="24"/>
        </w:rPr>
        <w:t xml:space="preserve">etition of PSE </w:t>
      </w:r>
      <w:r w:rsidR="00087CA4">
        <w:rPr>
          <w:rFonts w:ascii="Times New Roman" w:hAnsi="Times New Roman"/>
          <w:sz w:val="24"/>
          <w:szCs w:val="24"/>
        </w:rPr>
        <w:t>and NW Energy Coalition for an Order A</w:t>
      </w:r>
      <w:r w:rsidR="005E6692" w:rsidRPr="005E6692">
        <w:rPr>
          <w:rFonts w:ascii="Times New Roman" w:hAnsi="Times New Roman"/>
          <w:sz w:val="24"/>
          <w:szCs w:val="24"/>
        </w:rPr>
        <w:t>uthorizing PS</w:t>
      </w:r>
      <w:r w:rsidR="00087CA4">
        <w:rPr>
          <w:rFonts w:ascii="Times New Roman" w:hAnsi="Times New Roman"/>
          <w:sz w:val="24"/>
          <w:szCs w:val="24"/>
        </w:rPr>
        <w:t>E to I</w:t>
      </w:r>
      <w:r w:rsidR="005E6692" w:rsidRPr="005E6692">
        <w:rPr>
          <w:rFonts w:ascii="Times New Roman" w:hAnsi="Times New Roman"/>
          <w:sz w:val="24"/>
          <w:szCs w:val="24"/>
        </w:rPr>
        <w:t xml:space="preserve">mplement </w:t>
      </w:r>
      <w:r w:rsidR="00087CA4">
        <w:rPr>
          <w:rFonts w:ascii="Times New Roman" w:hAnsi="Times New Roman"/>
          <w:sz w:val="24"/>
          <w:szCs w:val="24"/>
        </w:rPr>
        <w:t>Electric Decoupling M</w:t>
      </w:r>
      <w:r w:rsidR="005E6692" w:rsidRPr="005E6692">
        <w:rPr>
          <w:rFonts w:ascii="Times New Roman" w:hAnsi="Times New Roman"/>
          <w:sz w:val="24"/>
          <w:szCs w:val="24"/>
        </w:rPr>
        <w:t xml:space="preserve">echanisms </w:t>
      </w:r>
    </w:p>
    <w:p w:rsidR="006A0E8E" w:rsidRPr="00A41119" w:rsidRDefault="006A0E8E" w:rsidP="006A0E8E">
      <w:pPr>
        <w:pStyle w:val="PlainText"/>
        <w:ind w:left="1440" w:hanging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41119">
        <w:rPr>
          <w:rFonts w:ascii="Times New Roman" w:hAnsi="Times New Roman"/>
          <w:b/>
          <w:sz w:val="24"/>
          <w:szCs w:val="24"/>
        </w:rPr>
        <w:t>Docket No. UE-</w:t>
      </w:r>
      <w:r w:rsidR="006B56CA">
        <w:rPr>
          <w:rFonts w:ascii="Times New Roman" w:hAnsi="Times New Roman"/>
          <w:b/>
          <w:sz w:val="24"/>
          <w:szCs w:val="24"/>
        </w:rPr>
        <w:t>121697</w:t>
      </w:r>
    </w:p>
    <w:p w:rsidR="006A0E8E" w:rsidRDefault="006A0E8E" w:rsidP="006A0E8E">
      <w:pPr>
        <w:spacing w:after="0"/>
      </w:pPr>
    </w:p>
    <w:p w:rsidR="006A0E8E" w:rsidRDefault="006A0E8E" w:rsidP="006A0E8E">
      <w:pPr>
        <w:spacing w:after="0"/>
      </w:pPr>
      <w:r>
        <w:t>Dear Commissioners:</w:t>
      </w:r>
    </w:p>
    <w:p w:rsidR="006A0E8E" w:rsidRDefault="006A0E8E" w:rsidP="003B5746">
      <w:pPr>
        <w:spacing w:after="0"/>
      </w:pPr>
    </w:p>
    <w:p w:rsidR="00087CA4" w:rsidRDefault="006A0E8E" w:rsidP="003B5746">
      <w:pPr>
        <w:spacing w:after="0"/>
      </w:pPr>
      <w:r>
        <w:tab/>
      </w:r>
      <w:r>
        <w:tab/>
      </w:r>
      <w:r w:rsidR="006E543C">
        <w:t xml:space="preserve">The </w:t>
      </w:r>
      <w:r w:rsidR="006B56CA">
        <w:t>Industrial Customers of Northwest Utilities</w:t>
      </w:r>
      <w:r>
        <w:rPr>
          <w:rFonts w:eastAsia="Calibri" w:cs="Times New Roman"/>
        </w:rPr>
        <w:t xml:space="preserve"> (“</w:t>
      </w:r>
      <w:r w:rsidR="006B56CA">
        <w:rPr>
          <w:rFonts w:eastAsia="Calibri" w:cs="Times New Roman"/>
        </w:rPr>
        <w:t>ICNU</w:t>
      </w:r>
      <w:r>
        <w:rPr>
          <w:rFonts w:eastAsia="Calibri" w:cs="Times New Roman"/>
        </w:rPr>
        <w:t>”)</w:t>
      </w:r>
      <w:r>
        <w:t xml:space="preserve"> </w:t>
      </w:r>
      <w:r w:rsidR="00BE59D3">
        <w:t xml:space="preserve">appreciates the opportunity to submit comments regarding </w:t>
      </w:r>
      <w:r w:rsidR="005F4AF9">
        <w:t xml:space="preserve">its views </w:t>
      </w:r>
      <w:r w:rsidR="00B21517">
        <w:t>on</w:t>
      </w:r>
      <w:r w:rsidR="005F4AF9">
        <w:t xml:space="preserve"> the </w:t>
      </w:r>
      <w:r w:rsidR="00BE59D3">
        <w:t xml:space="preserve">appropriate procedures for review of the </w:t>
      </w:r>
      <w:r w:rsidR="00B21517">
        <w:t xml:space="preserve">Joint Petition </w:t>
      </w:r>
      <w:r w:rsidR="006B56CA">
        <w:t>of Puget Sound Energy (“PSE”) and the Northwest Energy Coalition (“NWEC”) (jointly, the “Petitioners”) requesting authorization</w:t>
      </w:r>
      <w:r w:rsidR="00A11B39">
        <w:t xml:space="preserve"> for PSE</w:t>
      </w:r>
      <w:r w:rsidR="006B56CA">
        <w:t xml:space="preserve"> to impl</w:t>
      </w:r>
      <w:r w:rsidR="00A11B39">
        <w:t xml:space="preserve">ement their decoupling proposal.  </w:t>
      </w:r>
    </w:p>
    <w:p w:rsidR="00087CA4" w:rsidRDefault="00087CA4" w:rsidP="00087CA4">
      <w:pPr>
        <w:spacing w:after="0"/>
        <w:ind w:firstLine="1440"/>
      </w:pPr>
    </w:p>
    <w:p w:rsidR="00B86FFD" w:rsidRDefault="00063B75" w:rsidP="00087CA4">
      <w:pPr>
        <w:spacing w:after="0"/>
        <w:ind w:firstLine="1440"/>
      </w:pPr>
      <w:r>
        <w:t xml:space="preserve">As </w:t>
      </w:r>
      <w:r w:rsidR="00D03D1C">
        <w:t>ICNU</w:t>
      </w:r>
      <w:r w:rsidR="00E76DAF">
        <w:t xml:space="preserve"> </w:t>
      </w:r>
      <w:r w:rsidR="00D03D1C">
        <w:t>noted</w:t>
      </w:r>
      <w:r>
        <w:t xml:space="preserve"> in its letter</w:t>
      </w:r>
      <w:r w:rsidR="00E76DAF">
        <w:t xml:space="preserve"> to the </w:t>
      </w:r>
      <w:r w:rsidR="00307425">
        <w:t>Commission</w:t>
      </w:r>
      <w:r>
        <w:t xml:space="preserve"> dated</w:t>
      </w:r>
      <w:r w:rsidR="00E76DAF">
        <w:t xml:space="preserve"> November 5, 2012,</w:t>
      </w:r>
      <w:r w:rsidR="00D03D1C">
        <w:t xml:space="preserve"> </w:t>
      </w:r>
      <w:r w:rsidR="00E76DAF">
        <w:t>the appropriate forum and procedure for considering the decoupling proposal filed by the Petitioners is PSE’s next general rate case.  The Commission</w:t>
      </w:r>
      <w:r>
        <w:t xml:space="preserve"> and the parties have</w:t>
      </w:r>
      <w:r w:rsidR="00E76DAF">
        <w:t xml:space="preserve"> devoted a great deal of </w:t>
      </w:r>
      <w:r>
        <w:t xml:space="preserve">time and </w:t>
      </w:r>
      <w:r w:rsidR="00E76DAF">
        <w:t>attention to the issue of decoupling</w:t>
      </w:r>
      <w:r w:rsidR="00D03D1C">
        <w:t xml:space="preserve"> over the</w:t>
      </w:r>
      <w:r>
        <w:t xml:space="preserve"> past several</w:t>
      </w:r>
      <w:r w:rsidR="00D03D1C">
        <w:t xml:space="preserve"> years</w:t>
      </w:r>
      <w:r w:rsidR="00E76DAF">
        <w:t xml:space="preserve">. </w:t>
      </w:r>
      <w:r>
        <w:t xml:space="preserve"> </w:t>
      </w:r>
      <w:r w:rsidR="00E76DAF">
        <w:t xml:space="preserve">The Commission </w:t>
      </w:r>
      <w:r>
        <w:t>issued</w:t>
      </w:r>
      <w:r w:rsidR="00E76DAF">
        <w:t xml:space="preserve"> its Policy Statement on Regulatory Mechanisms, Inclu</w:t>
      </w:r>
      <w:r w:rsidR="00B86FFD">
        <w:t xml:space="preserve">ding Decoupling in Docket No. </w:t>
      </w:r>
      <w:proofErr w:type="gramStart"/>
      <w:r w:rsidR="00B86FFD">
        <w:t>U</w:t>
      </w:r>
      <w:r w:rsidR="00E76DAF">
        <w:t xml:space="preserve">-100522 </w:t>
      </w:r>
      <w:r w:rsidR="005D418E">
        <w:t xml:space="preserve">(the “Policy Statement”) </w:t>
      </w:r>
      <w:r w:rsidR="00040163">
        <w:t>after considering</w:t>
      </w:r>
      <w:r w:rsidR="00E76DAF">
        <w:t xml:space="preserve"> extensive </w:t>
      </w:r>
      <w:r>
        <w:t>comments</w:t>
      </w:r>
      <w:r w:rsidR="00477C8F">
        <w:t xml:space="preserve"> presented by over a dozen</w:t>
      </w:r>
      <w:r w:rsidR="00040163">
        <w:t xml:space="preserve"> parties.</w:t>
      </w:r>
      <w:proofErr w:type="gramEnd"/>
      <w:r w:rsidR="00040163">
        <w:t xml:space="preserve">  </w:t>
      </w:r>
      <w:r w:rsidR="005F4AF9">
        <w:t xml:space="preserve">Numerous workshops were also held in the Policy Statement docket.  </w:t>
      </w:r>
      <w:r>
        <w:t>T</w:t>
      </w:r>
      <w:r w:rsidR="00040163">
        <w:t>he Commission</w:t>
      </w:r>
      <w:r w:rsidR="001F46A1">
        <w:t xml:space="preserve"> </w:t>
      </w:r>
      <w:r w:rsidR="005D418E">
        <w:t xml:space="preserve">concluded </w:t>
      </w:r>
      <w:r w:rsidR="00C411E4">
        <w:t>that</w:t>
      </w:r>
      <w:r w:rsidR="00040163">
        <w:t xml:space="preserve"> if</w:t>
      </w:r>
      <w:r w:rsidR="00C411E4">
        <w:t xml:space="preserve"> a utility desir</w:t>
      </w:r>
      <w:r w:rsidR="00285770">
        <w:t>e</w:t>
      </w:r>
      <w:r w:rsidR="005D418E">
        <w:t>s</w:t>
      </w:r>
      <w:r w:rsidR="00C411E4">
        <w:t xml:space="preserve"> </w:t>
      </w:r>
      <w:r>
        <w:t xml:space="preserve">full </w:t>
      </w:r>
      <w:r w:rsidR="00C411E4">
        <w:t>decoupling</w:t>
      </w:r>
      <w:r w:rsidR="00040163">
        <w:t>, it</w:t>
      </w:r>
      <w:r w:rsidR="00C411E4">
        <w:t xml:space="preserve"> should</w:t>
      </w:r>
      <w:r w:rsidR="005F4AF9">
        <w:t xml:space="preserve"> be</w:t>
      </w:r>
      <w:r>
        <w:t xml:space="preserve"> </w:t>
      </w:r>
      <w:r w:rsidR="00C411E4">
        <w:t>present</w:t>
      </w:r>
      <w:r w:rsidR="005F4AF9">
        <w:t>ed</w:t>
      </w:r>
      <w:r w:rsidR="005D418E">
        <w:t xml:space="preserve"> </w:t>
      </w:r>
      <w:r>
        <w:t>in the c</w:t>
      </w:r>
      <w:r w:rsidR="00C411E4">
        <w:t>ontext of a general rate case.</w:t>
      </w:r>
      <w:r w:rsidR="00B86FFD" w:rsidRPr="001777EF">
        <w:rPr>
          <w:rStyle w:val="FootnoteReference"/>
          <w:u w:val="single"/>
        </w:rPr>
        <w:footnoteReference w:id="1"/>
      </w:r>
      <w:proofErr w:type="gramStart"/>
      <w:r w:rsidR="00B86FFD" w:rsidRPr="001777EF">
        <w:rPr>
          <w:vertAlign w:val="superscript"/>
        </w:rPr>
        <w:t>/</w:t>
      </w:r>
      <w:r w:rsidR="00B86FFD">
        <w:t xml:space="preserve">  </w:t>
      </w:r>
      <w:r w:rsidR="00C411E4">
        <w:t>ICNU</w:t>
      </w:r>
      <w:proofErr w:type="gramEnd"/>
      <w:r w:rsidR="00C411E4">
        <w:t xml:space="preserve"> </w:t>
      </w:r>
      <w:r>
        <w:t>urges the Commission to apply its guidance from the Policy Statement and reject the present proposal from the Petitioners.</w:t>
      </w:r>
      <w:r w:rsidR="00477C8F">
        <w:t xml:space="preserve">  </w:t>
      </w:r>
    </w:p>
    <w:p w:rsidR="00C411E4" w:rsidRDefault="00C411E4" w:rsidP="00087CA4">
      <w:pPr>
        <w:spacing w:after="0"/>
        <w:ind w:firstLine="1440"/>
      </w:pPr>
      <w:r>
        <w:t xml:space="preserve"> </w:t>
      </w:r>
    </w:p>
    <w:p w:rsidR="001F46A1" w:rsidRDefault="00B21517" w:rsidP="00087CA4">
      <w:pPr>
        <w:spacing w:after="0"/>
        <w:ind w:firstLine="1440"/>
      </w:pPr>
      <w:r>
        <w:lastRenderedPageBreak/>
        <w:t>T</w:t>
      </w:r>
      <w:r w:rsidR="001F46A1">
        <w:t>he Petitioners present a mechanism that acts</w:t>
      </w:r>
      <w:r w:rsidR="00285770">
        <w:t xml:space="preserve"> simultaneously</w:t>
      </w:r>
      <w:r w:rsidR="001F46A1">
        <w:t xml:space="preserve"> as a full decoupling mechanism </w:t>
      </w:r>
      <w:r w:rsidR="00285770">
        <w:t>and</w:t>
      </w:r>
      <w:r w:rsidR="00477C8F">
        <w:t xml:space="preserve"> </w:t>
      </w:r>
      <w:r w:rsidR="005F4AF9">
        <w:t xml:space="preserve">also </w:t>
      </w:r>
      <w:r w:rsidR="00477C8F">
        <w:t>as a means to recover PSE’s claimed attrition losses</w:t>
      </w:r>
      <w:r>
        <w:t>, which</w:t>
      </w:r>
      <w:r w:rsidR="00477C8F">
        <w:t xml:space="preserve"> </w:t>
      </w:r>
      <w:r w:rsidR="001F46A1">
        <w:t>makes it even more important that this proposal be considered in a general rate case</w:t>
      </w:r>
      <w:r w:rsidR="00FA6755">
        <w:t>,</w:t>
      </w:r>
      <w:r w:rsidR="001F46A1">
        <w:t xml:space="preserve"> wherein all of PSE’s costs and revenues can be considered.</w:t>
      </w:r>
      <w:r w:rsidR="005F4AF9">
        <w:t xml:space="preserve">  For example,</w:t>
      </w:r>
      <w:r w:rsidR="00FA5E2C">
        <w:t xml:space="preserve"> such an aggressive proposal would warrant careful evaluation of a cost of capital adjustment.</w:t>
      </w:r>
      <w:r>
        <w:t xml:space="preserve">  PSE’s current return on equity appears to be out of line with the current financial and economic environment. There are many other issues that warrant consideration in the context of a general rate case.</w:t>
      </w:r>
    </w:p>
    <w:p w:rsidR="001F46A1" w:rsidRDefault="001F46A1" w:rsidP="00087CA4">
      <w:pPr>
        <w:spacing w:after="0"/>
        <w:ind w:firstLine="1440"/>
      </w:pPr>
    </w:p>
    <w:p w:rsidR="00040163" w:rsidRDefault="00040163" w:rsidP="00087CA4">
      <w:pPr>
        <w:spacing w:after="0"/>
        <w:ind w:firstLine="1440"/>
      </w:pPr>
      <w:r>
        <w:t xml:space="preserve">The </w:t>
      </w:r>
      <w:r w:rsidR="00285770">
        <w:t>Petitioners</w:t>
      </w:r>
      <w:r w:rsidR="00D03D1C">
        <w:t>’</w:t>
      </w:r>
      <w:r w:rsidR="00285770">
        <w:t xml:space="preserve"> </w:t>
      </w:r>
      <w:r>
        <w:t xml:space="preserve">full decoupling and attrition mechanism would represent a radical change to the Commission’s traditional ratemaking procedures. </w:t>
      </w:r>
      <w:r w:rsidR="00477C8F">
        <w:t xml:space="preserve"> Therefore, if the Commission determines that the Petitioners</w:t>
      </w:r>
      <w:r w:rsidR="005F4AF9">
        <w:t>’</w:t>
      </w:r>
      <w:r w:rsidR="00477C8F">
        <w:t xml:space="preserve"> mechanism should be considered in this docket, it is important that the </w:t>
      </w:r>
      <w:r w:rsidR="00285770">
        <w:t xml:space="preserve">Commission and the </w:t>
      </w:r>
      <w:r w:rsidR="00477C8F">
        <w:t xml:space="preserve">parties have </w:t>
      </w:r>
      <w:r w:rsidR="00B21517">
        <w:t xml:space="preserve">the </w:t>
      </w:r>
      <w:r w:rsidR="00477C8F">
        <w:t xml:space="preserve">opportunity for the fullest </w:t>
      </w:r>
      <w:r w:rsidR="00D03D1C">
        <w:t xml:space="preserve">possible </w:t>
      </w:r>
      <w:r w:rsidR="00477C8F">
        <w:t xml:space="preserve">review. </w:t>
      </w:r>
      <w:r>
        <w:t xml:space="preserve"> </w:t>
      </w:r>
      <w:r w:rsidR="00FA5E2C">
        <w:t xml:space="preserve">If the </w:t>
      </w:r>
      <w:r w:rsidR="005F4AF9">
        <w:t>P</w:t>
      </w:r>
      <w:r w:rsidR="00FA5E2C">
        <w:t xml:space="preserve">etition is not rejected, </w:t>
      </w:r>
      <w:r>
        <w:t xml:space="preserve">ICNU recommends that the </w:t>
      </w:r>
      <w:r w:rsidR="00285770">
        <w:t xml:space="preserve">Commission open a contested case proceeding </w:t>
      </w:r>
      <w:r w:rsidR="00B21517">
        <w:t xml:space="preserve">including </w:t>
      </w:r>
      <w:r w:rsidR="00285770">
        <w:t xml:space="preserve">full </w:t>
      </w:r>
      <w:r w:rsidR="00D03D1C">
        <w:t xml:space="preserve">discovery </w:t>
      </w:r>
      <w:r w:rsidR="00FA6755">
        <w:t>rights and the</w:t>
      </w:r>
      <w:r w:rsidR="00FA5E2C">
        <w:t xml:space="preserve"> right to a</w:t>
      </w:r>
      <w:r w:rsidR="00285770">
        <w:t xml:space="preserve"> hearing.</w:t>
      </w:r>
    </w:p>
    <w:p w:rsidR="00B21517" w:rsidRDefault="00B21517" w:rsidP="00087CA4">
      <w:pPr>
        <w:spacing w:after="0"/>
        <w:ind w:firstLine="1440"/>
      </w:pPr>
    </w:p>
    <w:p w:rsidR="00B21517" w:rsidRDefault="00B21517" w:rsidP="00087CA4">
      <w:pPr>
        <w:spacing w:after="0"/>
        <w:ind w:firstLine="1440"/>
      </w:pPr>
      <w:r>
        <w:t>Thank you for your consideration of ICNU’s comments.</w:t>
      </w:r>
      <w:bookmarkStart w:id="0" w:name="_GoBack"/>
      <w:bookmarkEnd w:id="0"/>
    </w:p>
    <w:p w:rsidR="00623E90" w:rsidRDefault="00623E90" w:rsidP="003B5746">
      <w:pPr>
        <w:spacing w:after="0"/>
      </w:pPr>
    </w:p>
    <w:p w:rsidR="00623E90" w:rsidRDefault="00623E90" w:rsidP="003B574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 yours,</w:t>
      </w:r>
    </w:p>
    <w:p w:rsidR="00623E90" w:rsidRDefault="00623E90" w:rsidP="003B5746">
      <w:pPr>
        <w:spacing w:after="0"/>
      </w:pPr>
    </w:p>
    <w:p w:rsidR="00261234" w:rsidRPr="00261234" w:rsidRDefault="00623E90" w:rsidP="003B5746">
      <w:pPr>
        <w:spacing w:after="0"/>
        <w:rPr>
          <w:i/>
          <w:u w:val="single"/>
        </w:rPr>
      </w:pPr>
      <w:r>
        <w:tab/>
      </w:r>
      <w:r w:rsidR="00BD208F">
        <w:tab/>
      </w:r>
      <w:r w:rsidR="00BD208F">
        <w:tab/>
      </w:r>
      <w:r w:rsidR="00261234">
        <w:tab/>
      </w:r>
      <w:r w:rsidR="00261234">
        <w:tab/>
      </w:r>
      <w:r w:rsidR="00261234">
        <w:tab/>
      </w:r>
      <w:r w:rsidR="00261234">
        <w:rPr>
          <w:i/>
          <w:u w:val="single"/>
        </w:rPr>
        <w:t>/s/ Melinda J. Davison</w:t>
      </w:r>
    </w:p>
    <w:p w:rsidR="00623E90" w:rsidRDefault="00623E90" w:rsidP="003B574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Melinda J. Davison</w:t>
      </w:r>
    </w:p>
    <w:p w:rsidR="00623E90" w:rsidRDefault="00623E90" w:rsidP="003B5746">
      <w:pPr>
        <w:spacing w:after="0"/>
      </w:pPr>
    </w:p>
    <w:p w:rsidR="00623E90" w:rsidRDefault="00623E90" w:rsidP="003B5746">
      <w:pPr>
        <w:spacing w:after="0"/>
      </w:pPr>
    </w:p>
    <w:p w:rsidR="00D63E59" w:rsidRDefault="00623E90" w:rsidP="00D63E59">
      <w:pPr>
        <w:spacing w:after="0"/>
      </w:pPr>
      <w:r>
        <w:t>cc:</w:t>
      </w:r>
      <w:r>
        <w:tab/>
      </w:r>
      <w:r w:rsidR="00D63E59">
        <w:t>Sheree Strom Carson</w:t>
      </w:r>
    </w:p>
    <w:p w:rsidR="00D261AC" w:rsidRDefault="00826C97" w:rsidP="00D63E59">
      <w:pPr>
        <w:spacing w:after="0"/>
      </w:pPr>
      <w:r>
        <w:tab/>
        <w:t>Simon ffitch</w:t>
      </w:r>
      <w:r w:rsidR="00623E90">
        <w:t xml:space="preserve"> </w:t>
      </w:r>
      <w:r w:rsidR="00623E90">
        <w:tab/>
      </w:r>
      <w:r w:rsidR="000F5552">
        <w:t xml:space="preserve">  </w:t>
      </w:r>
      <w:r w:rsidR="00523144">
        <w:t xml:space="preserve"> </w:t>
      </w:r>
    </w:p>
    <w:p w:rsidR="00D63E59" w:rsidRDefault="00786BE7" w:rsidP="003B5746">
      <w:pPr>
        <w:spacing w:after="0"/>
      </w:pPr>
      <w:r>
        <w:tab/>
      </w:r>
      <w:r w:rsidR="00D63E59">
        <w:t>Don Trotter</w:t>
      </w:r>
    </w:p>
    <w:p w:rsidR="00D63E59" w:rsidRDefault="00D63E59" w:rsidP="003B5746">
      <w:pPr>
        <w:spacing w:after="0"/>
      </w:pPr>
      <w:r>
        <w:tab/>
        <w:t>Tommy Brooks</w:t>
      </w:r>
    </w:p>
    <w:p w:rsidR="00750A33" w:rsidRDefault="00750A33" w:rsidP="00750A33">
      <w:pPr>
        <w:spacing w:after="0"/>
        <w:ind w:firstLine="720"/>
      </w:pPr>
      <w:r>
        <w:t>Todd True</w:t>
      </w:r>
    </w:p>
    <w:p w:rsidR="00786BE7" w:rsidRDefault="00D63E59" w:rsidP="003B5746">
      <w:pPr>
        <w:spacing w:after="0"/>
      </w:pPr>
      <w:r>
        <w:tab/>
      </w:r>
      <w:r w:rsidR="00786BE7">
        <w:tab/>
      </w:r>
    </w:p>
    <w:p w:rsidR="004424F1" w:rsidRDefault="004424F1" w:rsidP="003B5746">
      <w:pPr>
        <w:spacing w:after="0"/>
      </w:pPr>
    </w:p>
    <w:p w:rsidR="007A524A" w:rsidRDefault="004424F1" w:rsidP="003B5746">
      <w:pPr>
        <w:spacing w:after="0"/>
      </w:pPr>
      <w:r>
        <w:tab/>
      </w:r>
      <w:r>
        <w:tab/>
      </w:r>
      <w:r w:rsidR="00594DEE">
        <w:t xml:space="preserve">  </w:t>
      </w:r>
      <w:r w:rsidR="007A524A">
        <w:tab/>
      </w:r>
      <w:r w:rsidR="007A524A">
        <w:tab/>
      </w:r>
    </w:p>
    <w:p w:rsidR="00FC5CAC" w:rsidRDefault="00FC5CAC" w:rsidP="003B5746">
      <w:pPr>
        <w:spacing w:after="0"/>
      </w:pPr>
    </w:p>
    <w:p w:rsidR="00FC5CAC" w:rsidRDefault="00FC5CAC" w:rsidP="003B5746">
      <w:pPr>
        <w:spacing w:after="0"/>
      </w:pPr>
      <w:r>
        <w:tab/>
      </w:r>
      <w:r>
        <w:tab/>
      </w:r>
    </w:p>
    <w:p w:rsidR="003B5746" w:rsidRDefault="003B5746" w:rsidP="003B5746">
      <w:pPr>
        <w:spacing w:after="0"/>
      </w:pPr>
    </w:p>
    <w:p w:rsidR="003B5746" w:rsidRDefault="003B5746" w:rsidP="003B5746">
      <w:pPr>
        <w:spacing w:after="0"/>
      </w:pPr>
    </w:p>
    <w:p w:rsidR="00CA3A28" w:rsidRDefault="00CA3A28" w:rsidP="00CA3A28"/>
    <w:p w:rsidR="00CA3A28" w:rsidRDefault="00CA3A28" w:rsidP="006A0E8E"/>
    <w:sectPr w:rsidR="00CA3A28" w:rsidSect="008354F9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B03" w:rsidRDefault="000F4B03" w:rsidP="008354F9">
      <w:pPr>
        <w:spacing w:after="0"/>
      </w:pPr>
      <w:r>
        <w:separator/>
      </w:r>
    </w:p>
  </w:endnote>
  <w:endnote w:type="continuationSeparator" w:id="0">
    <w:p w:rsidR="000F4B03" w:rsidRDefault="000F4B03" w:rsidP="008354F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B03" w:rsidRDefault="000F4B03" w:rsidP="008354F9">
      <w:pPr>
        <w:spacing w:after="0"/>
      </w:pPr>
      <w:r>
        <w:separator/>
      </w:r>
    </w:p>
  </w:footnote>
  <w:footnote w:type="continuationSeparator" w:id="0">
    <w:p w:rsidR="000F4B03" w:rsidRDefault="000F4B03" w:rsidP="008354F9">
      <w:pPr>
        <w:spacing w:after="0"/>
      </w:pPr>
      <w:r>
        <w:continuationSeparator/>
      </w:r>
    </w:p>
  </w:footnote>
  <w:footnote w:id="1">
    <w:p w:rsidR="005F4AF9" w:rsidRDefault="005F4AF9" w:rsidP="00B86FFD">
      <w:pPr>
        <w:pStyle w:val="FootnoteText"/>
        <w:ind w:left="720" w:hanging="720"/>
      </w:pPr>
      <w:r w:rsidRPr="001777EF">
        <w:rPr>
          <w:rStyle w:val="FootnoteReference"/>
          <w:u w:val="single"/>
        </w:rPr>
        <w:footnoteRef/>
      </w:r>
      <w:r w:rsidRPr="001777EF">
        <w:rPr>
          <w:vertAlign w:val="superscript"/>
        </w:rPr>
        <w:t>/</w:t>
      </w:r>
      <w:r>
        <w:t xml:space="preserve"> </w:t>
      </w:r>
      <w:r>
        <w:tab/>
      </w:r>
      <w:r w:rsidRPr="00500094">
        <w:rPr>
          <w:u w:val="single"/>
        </w:rPr>
        <w:t xml:space="preserve">Re WUTC Investigation into Energy Conservation </w:t>
      </w:r>
      <w:proofErr w:type="gramStart"/>
      <w:r w:rsidRPr="00500094">
        <w:rPr>
          <w:u w:val="single"/>
        </w:rPr>
        <w:t>incentives</w:t>
      </w:r>
      <w:r w:rsidR="00FA6755">
        <w:t>,</w:t>
      </w:r>
      <w:proofErr w:type="gramEnd"/>
      <w:r w:rsidR="00FA6755">
        <w:t xml:space="preserve"> Docket No. </w:t>
      </w:r>
      <w:proofErr w:type="gramStart"/>
      <w:r w:rsidR="00FA6755">
        <w:t>U</w:t>
      </w:r>
      <w:r>
        <w:t xml:space="preserve">-100522, Report and Policy Statement on Regulatory Mechanism, Including Decoupling at </w:t>
      </w:r>
      <w:r>
        <w:rPr>
          <w:rFonts w:cs="Times New Roman"/>
        </w:rPr>
        <w:t>¶¶</w:t>
      </w:r>
      <w:r>
        <w:t xml:space="preserve"> 18, 28 (Nov. 4, 2010).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AF9" w:rsidRDefault="005F4AF9">
    <w:pPr>
      <w:pStyle w:val="Header"/>
    </w:pPr>
    <w:r>
      <w:t xml:space="preserve">Commissioners Goltz, Oshie, and Jones </w:t>
    </w:r>
  </w:p>
  <w:p w:rsidR="005F4AF9" w:rsidRDefault="005F4AF9">
    <w:pPr>
      <w:pStyle w:val="Header"/>
    </w:pPr>
    <w:r>
      <w:t>November 21, 2012</w:t>
    </w:r>
  </w:p>
  <w:p w:rsidR="005F4AF9" w:rsidRDefault="005F4AF9">
    <w:pPr>
      <w:pStyle w:val="Header"/>
    </w:pPr>
    <w:r>
      <w:t xml:space="preserve">Page </w:t>
    </w:r>
    <w:r w:rsidR="00675702">
      <w:fldChar w:fldCharType="begin"/>
    </w:r>
    <w:r>
      <w:instrText xml:space="preserve"> PAGE   \* MERGEFORMAT </w:instrText>
    </w:r>
    <w:r w:rsidR="00675702">
      <w:fldChar w:fldCharType="separate"/>
    </w:r>
    <w:r w:rsidR="00261234">
      <w:rPr>
        <w:noProof/>
      </w:rPr>
      <w:t>2</w:t>
    </w:r>
    <w:r w:rsidR="00675702">
      <w:rPr>
        <w:noProof/>
      </w:rPr>
      <w:fldChar w:fldCharType="end"/>
    </w:r>
  </w:p>
  <w:p w:rsidR="005F4AF9" w:rsidRDefault="005F4AF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E8E"/>
    <w:rsid w:val="00021A53"/>
    <w:rsid w:val="00040163"/>
    <w:rsid w:val="00043B81"/>
    <w:rsid w:val="000573F5"/>
    <w:rsid w:val="00060432"/>
    <w:rsid w:val="00063B75"/>
    <w:rsid w:val="00087CA4"/>
    <w:rsid w:val="000C564F"/>
    <w:rsid w:val="000D0CEF"/>
    <w:rsid w:val="000E579C"/>
    <w:rsid w:val="000E6187"/>
    <w:rsid w:val="000F4B03"/>
    <w:rsid w:val="000F5552"/>
    <w:rsid w:val="001777EF"/>
    <w:rsid w:val="001B11AE"/>
    <w:rsid w:val="001B2719"/>
    <w:rsid w:val="001B53D2"/>
    <w:rsid w:val="001E18AE"/>
    <w:rsid w:val="001F46A1"/>
    <w:rsid w:val="00231125"/>
    <w:rsid w:val="00231A6E"/>
    <w:rsid w:val="00232B09"/>
    <w:rsid w:val="00243452"/>
    <w:rsid w:val="002564A2"/>
    <w:rsid w:val="00261234"/>
    <w:rsid w:val="002774AB"/>
    <w:rsid w:val="00285770"/>
    <w:rsid w:val="002D0C55"/>
    <w:rsid w:val="002F6486"/>
    <w:rsid w:val="00307425"/>
    <w:rsid w:val="003808EC"/>
    <w:rsid w:val="00386FB7"/>
    <w:rsid w:val="003A0391"/>
    <w:rsid w:val="003A3007"/>
    <w:rsid w:val="003B5746"/>
    <w:rsid w:val="00406EEF"/>
    <w:rsid w:val="004424F1"/>
    <w:rsid w:val="004644D4"/>
    <w:rsid w:val="00477C8F"/>
    <w:rsid w:val="004C1083"/>
    <w:rsid w:val="004C68BB"/>
    <w:rsid w:val="004D1CCA"/>
    <w:rsid w:val="004F3AB5"/>
    <w:rsid w:val="004F6161"/>
    <w:rsid w:val="00500094"/>
    <w:rsid w:val="00511A47"/>
    <w:rsid w:val="00511C26"/>
    <w:rsid w:val="0051200B"/>
    <w:rsid w:val="00523144"/>
    <w:rsid w:val="00545664"/>
    <w:rsid w:val="00553ECD"/>
    <w:rsid w:val="00556B7E"/>
    <w:rsid w:val="00581D69"/>
    <w:rsid w:val="00594DEE"/>
    <w:rsid w:val="005956A0"/>
    <w:rsid w:val="005B5C7A"/>
    <w:rsid w:val="005D418E"/>
    <w:rsid w:val="005E6692"/>
    <w:rsid w:val="005F4AF9"/>
    <w:rsid w:val="006142C4"/>
    <w:rsid w:val="0061466C"/>
    <w:rsid w:val="00623E90"/>
    <w:rsid w:val="00666C20"/>
    <w:rsid w:val="0066796D"/>
    <w:rsid w:val="00675702"/>
    <w:rsid w:val="006A0E8E"/>
    <w:rsid w:val="006A4934"/>
    <w:rsid w:val="006B53ED"/>
    <w:rsid w:val="006B56CA"/>
    <w:rsid w:val="006D67A5"/>
    <w:rsid w:val="006E543C"/>
    <w:rsid w:val="006E76D5"/>
    <w:rsid w:val="00750A33"/>
    <w:rsid w:val="0075754C"/>
    <w:rsid w:val="00757DA9"/>
    <w:rsid w:val="00763BE2"/>
    <w:rsid w:val="00786BE7"/>
    <w:rsid w:val="007910C3"/>
    <w:rsid w:val="007A524A"/>
    <w:rsid w:val="007B2200"/>
    <w:rsid w:val="007E26AF"/>
    <w:rsid w:val="007E61F3"/>
    <w:rsid w:val="007E7F11"/>
    <w:rsid w:val="00826C97"/>
    <w:rsid w:val="008354F9"/>
    <w:rsid w:val="00890264"/>
    <w:rsid w:val="00893CFF"/>
    <w:rsid w:val="00896784"/>
    <w:rsid w:val="008A509F"/>
    <w:rsid w:val="008F6745"/>
    <w:rsid w:val="009260DF"/>
    <w:rsid w:val="00955A40"/>
    <w:rsid w:val="00961A7C"/>
    <w:rsid w:val="0097600E"/>
    <w:rsid w:val="0099143F"/>
    <w:rsid w:val="00995019"/>
    <w:rsid w:val="00995041"/>
    <w:rsid w:val="009966F6"/>
    <w:rsid w:val="00A06596"/>
    <w:rsid w:val="00A11B39"/>
    <w:rsid w:val="00A41119"/>
    <w:rsid w:val="00A574DE"/>
    <w:rsid w:val="00A73DC8"/>
    <w:rsid w:val="00A84157"/>
    <w:rsid w:val="00A94654"/>
    <w:rsid w:val="00AB485C"/>
    <w:rsid w:val="00B21517"/>
    <w:rsid w:val="00B24168"/>
    <w:rsid w:val="00B416D0"/>
    <w:rsid w:val="00B632AB"/>
    <w:rsid w:val="00B74FED"/>
    <w:rsid w:val="00B86FFD"/>
    <w:rsid w:val="00B93276"/>
    <w:rsid w:val="00BA42CD"/>
    <w:rsid w:val="00BD208F"/>
    <w:rsid w:val="00BE59D3"/>
    <w:rsid w:val="00C11895"/>
    <w:rsid w:val="00C2711E"/>
    <w:rsid w:val="00C411E4"/>
    <w:rsid w:val="00C50982"/>
    <w:rsid w:val="00C67966"/>
    <w:rsid w:val="00CA3A28"/>
    <w:rsid w:val="00CC0EE9"/>
    <w:rsid w:val="00CD4E8F"/>
    <w:rsid w:val="00D03D1C"/>
    <w:rsid w:val="00D164AC"/>
    <w:rsid w:val="00D261AC"/>
    <w:rsid w:val="00D54057"/>
    <w:rsid w:val="00D63E59"/>
    <w:rsid w:val="00DD09C4"/>
    <w:rsid w:val="00DD1F5E"/>
    <w:rsid w:val="00DF2BA3"/>
    <w:rsid w:val="00E048CF"/>
    <w:rsid w:val="00E15482"/>
    <w:rsid w:val="00E16B65"/>
    <w:rsid w:val="00E2768F"/>
    <w:rsid w:val="00E31A03"/>
    <w:rsid w:val="00E34401"/>
    <w:rsid w:val="00E41B37"/>
    <w:rsid w:val="00E76DAF"/>
    <w:rsid w:val="00F02C29"/>
    <w:rsid w:val="00FA0457"/>
    <w:rsid w:val="00FA5E2C"/>
    <w:rsid w:val="00FA6755"/>
    <w:rsid w:val="00FC5CAC"/>
    <w:rsid w:val="00FF7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E8E"/>
  </w:style>
  <w:style w:type="paragraph" w:styleId="Heading1">
    <w:name w:val="heading 1"/>
    <w:basedOn w:val="Normal"/>
    <w:next w:val="Normal"/>
    <w:link w:val="Heading1Char"/>
    <w:qFormat/>
    <w:rsid w:val="006A0E8E"/>
    <w:pPr>
      <w:keepNext/>
      <w:spacing w:after="0"/>
      <w:outlineLvl w:val="0"/>
    </w:pPr>
    <w:rPr>
      <w:rFonts w:eastAsia="Times New Roman" w:cs="Times New Roman"/>
      <w:szCs w:val="20"/>
    </w:rPr>
  </w:style>
  <w:style w:type="paragraph" w:styleId="Heading3">
    <w:name w:val="heading 3"/>
    <w:basedOn w:val="Normal"/>
    <w:next w:val="Normal"/>
    <w:link w:val="Heading3Char"/>
    <w:qFormat/>
    <w:rsid w:val="006A0E8E"/>
    <w:pPr>
      <w:keepNext/>
      <w:spacing w:after="0"/>
      <w:outlineLvl w:val="2"/>
    </w:pPr>
    <w:rPr>
      <w:rFonts w:eastAsia="Times New Roman" w:cs="Times New Roman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0E8E"/>
    <w:rPr>
      <w:rFonts w:eastAsia="Times New Roman" w:cs="Times New Roman"/>
      <w:szCs w:val="20"/>
    </w:rPr>
  </w:style>
  <w:style w:type="character" w:customStyle="1" w:styleId="Heading3Char">
    <w:name w:val="Heading 3 Char"/>
    <w:basedOn w:val="DefaultParagraphFont"/>
    <w:link w:val="Heading3"/>
    <w:rsid w:val="006A0E8E"/>
    <w:rPr>
      <w:rFonts w:eastAsia="Times New Roman" w:cs="Times New Roman"/>
      <w:b/>
      <w:bCs/>
      <w:i/>
      <w:i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6A0E8E"/>
    <w:pPr>
      <w:spacing w:after="0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A0E8E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E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E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54F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354F9"/>
  </w:style>
  <w:style w:type="paragraph" w:styleId="Footer">
    <w:name w:val="footer"/>
    <w:basedOn w:val="Normal"/>
    <w:link w:val="FooterChar"/>
    <w:uiPriority w:val="99"/>
    <w:unhideWhenUsed/>
    <w:rsid w:val="008354F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354F9"/>
  </w:style>
  <w:style w:type="paragraph" w:styleId="FootnoteText">
    <w:name w:val="footnote text"/>
    <w:basedOn w:val="Normal"/>
    <w:link w:val="FootnoteTextChar"/>
    <w:uiPriority w:val="99"/>
    <w:semiHidden/>
    <w:unhideWhenUsed/>
    <w:rsid w:val="0050009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00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009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63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E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E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E5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12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E8E"/>
  </w:style>
  <w:style w:type="paragraph" w:styleId="Heading1">
    <w:name w:val="heading 1"/>
    <w:basedOn w:val="Normal"/>
    <w:next w:val="Normal"/>
    <w:link w:val="Heading1Char"/>
    <w:qFormat/>
    <w:rsid w:val="006A0E8E"/>
    <w:pPr>
      <w:keepNext/>
      <w:spacing w:after="0"/>
      <w:outlineLvl w:val="0"/>
    </w:pPr>
    <w:rPr>
      <w:rFonts w:eastAsia="Times New Roman" w:cs="Times New Roman"/>
      <w:szCs w:val="20"/>
    </w:rPr>
  </w:style>
  <w:style w:type="paragraph" w:styleId="Heading3">
    <w:name w:val="heading 3"/>
    <w:basedOn w:val="Normal"/>
    <w:next w:val="Normal"/>
    <w:link w:val="Heading3Char"/>
    <w:qFormat/>
    <w:rsid w:val="006A0E8E"/>
    <w:pPr>
      <w:keepNext/>
      <w:spacing w:after="0"/>
      <w:outlineLvl w:val="2"/>
    </w:pPr>
    <w:rPr>
      <w:rFonts w:eastAsia="Times New Roman" w:cs="Times New Roman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0E8E"/>
    <w:rPr>
      <w:rFonts w:eastAsia="Times New Roman" w:cs="Times New Roman"/>
      <w:szCs w:val="20"/>
    </w:rPr>
  </w:style>
  <w:style w:type="character" w:customStyle="1" w:styleId="Heading3Char">
    <w:name w:val="Heading 3 Char"/>
    <w:basedOn w:val="DefaultParagraphFont"/>
    <w:link w:val="Heading3"/>
    <w:rsid w:val="006A0E8E"/>
    <w:rPr>
      <w:rFonts w:eastAsia="Times New Roman" w:cs="Times New Roman"/>
      <w:b/>
      <w:bCs/>
      <w:i/>
      <w:i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6A0E8E"/>
    <w:pPr>
      <w:spacing w:after="0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A0E8E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E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E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54F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354F9"/>
  </w:style>
  <w:style w:type="paragraph" w:styleId="Footer">
    <w:name w:val="footer"/>
    <w:basedOn w:val="Normal"/>
    <w:link w:val="FooterChar"/>
    <w:uiPriority w:val="99"/>
    <w:unhideWhenUsed/>
    <w:rsid w:val="008354F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354F9"/>
  </w:style>
  <w:style w:type="paragraph" w:styleId="FootnoteText">
    <w:name w:val="footnote text"/>
    <w:basedOn w:val="Normal"/>
    <w:link w:val="FootnoteTextChar"/>
    <w:uiPriority w:val="99"/>
    <w:semiHidden/>
    <w:unhideWhenUsed/>
    <w:rsid w:val="0050009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00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009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63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E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E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E5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2012-11-21T08:00:00+00:00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4CDA12-7031-40C0-AEF2-1B9E53E4BA8C}"/>
</file>

<file path=customXml/itemProps2.xml><?xml version="1.0" encoding="utf-8"?>
<ds:datastoreItem xmlns:ds="http://schemas.openxmlformats.org/officeDocument/2006/customXml" ds:itemID="{6DD04549-2FC0-46FB-AB5A-02A5305FD4BD}"/>
</file>

<file path=customXml/itemProps3.xml><?xml version="1.0" encoding="utf-8"?>
<ds:datastoreItem xmlns:ds="http://schemas.openxmlformats.org/officeDocument/2006/customXml" ds:itemID="{B2F8AD1B-9070-4D2A-9ED4-518959AC4958}"/>
</file>

<file path=customXml/itemProps4.xml><?xml version="1.0" encoding="utf-8"?>
<ds:datastoreItem xmlns:ds="http://schemas.openxmlformats.org/officeDocument/2006/customXml" ds:itemID="{FEE39CB5-8168-4B79-A84F-1F807DD7B22B}"/>
</file>

<file path=customXml/itemProps5.xml><?xml version="1.0" encoding="utf-8"?>
<ds:datastoreItem xmlns:ds="http://schemas.openxmlformats.org/officeDocument/2006/customXml" ds:itemID="{A1BF842F-AFDE-4584-BE08-46D781F1C3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Irion A. Sanger</dc:creator>
  <cp:lastModifiedBy>Sarah A. Kohler</cp:lastModifiedBy>
  <cp:revision>3</cp:revision>
  <cp:lastPrinted>2012-11-21T16:23:00Z</cp:lastPrinted>
  <dcterms:created xsi:type="dcterms:W3CDTF">2012-11-21T17:39:00Z</dcterms:created>
  <dcterms:modified xsi:type="dcterms:W3CDTF">2012-11-21T20:13:00Z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