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E8418" w14:textId="77777777" w:rsidR="00C0665B" w:rsidRPr="00131B57" w:rsidRDefault="00B814E2" w:rsidP="00506C7F">
      <w:pPr>
        <w:ind w:left="5400"/>
        <w:rPr>
          <w:b/>
          <w:lang w:val="fr-FR"/>
        </w:rPr>
      </w:pPr>
      <w:r w:rsidRPr="00B814E2">
        <w:rPr>
          <w:b/>
        </w:rPr>
        <w:t xml:space="preserve">Exhibit No. </w:t>
      </w:r>
      <w:r w:rsidRPr="00131B57">
        <w:rPr>
          <w:b/>
          <w:lang w:val="fr-FR"/>
        </w:rPr>
        <w:t>___</w:t>
      </w:r>
      <w:r w:rsidR="00656DA9" w:rsidRPr="00131B57">
        <w:rPr>
          <w:b/>
          <w:lang w:val="fr-FR"/>
        </w:rPr>
        <w:t xml:space="preserve"> </w:t>
      </w:r>
      <w:r w:rsidR="00506C7F">
        <w:rPr>
          <w:b/>
          <w:lang w:val="fr-FR"/>
        </w:rPr>
        <w:t>C</w:t>
      </w:r>
      <w:r w:rsidRPr="00131B57">
        <w:rPr>
          <w:b/>
          <w:lang w:val="fr-FR"/>
        </w:rPr>
        <w:t>T (</w:t>
      </w:r>
      <w:r w:rsidR="00656DA9" w:rsidRPr="00131B57">
        <w:rPr>
          <w:b/>
          <w:lang w:val="fr-FR"/>
        </w:rPr>
        <w:t>KHB</w:t>
      </w:r>
      <w:r w:rsidRPr="00131B57">
        <w:rPr>
          <w:b/>
          <w:lang w:val="fr-FR"/>
        </w:rPr>
        <w:t>-</w:t>
      </w:r>
      <w:r w:rsidR="00656DA9" w:rsidRPr="00131B57">
        <w:rPr>
          <w:b/>
          <w:lang w:val="fr-FR"/>
        </w:rPr>
        <w:t>1</w:t>
      </w:r>
      <w:r w:rsidRPr="00131B57">
        <w:rPr>
          <w:b/>
          <w:lang w:val="fr-FR"/>
        </w:rPr>
        <w:t>T</w:t>
      </w:r>
      <w:r w:rsidR="00DE4E77">
        <w:rPr>
          <w:b/>
          <w:lang w:val="fr-FR"/>
        </w:rPr>
        <w:t>C</w:t>
      </w:r>
      <w:r w:rsidRPr="00131B57">
        <w:rPr>
          <w:b/>
          <w:lang w:val="fr-FR"/>
        </w:rPr>
        <w:t>)</w:t>
      </w:r>
    </w:p>
    <w:p w14:paraId="36FE8419" w14:textId="77777777" w:rsidR="00B814E2" w:rsidRPr="00131B57" w:rsidRDefault="00B814E2" w:rsidP="00506C7F">
      <w:pPr>
        <w:ind w:left="5400"/>
        <w:rPr>
          <w:b/>
          <w:lang w:val="fr-FR"/>
        </w:rPr>
      </w:pPr>
      <w:r w:rsidRPr="00131B57">
        <w:rPr>
          <w:b/>
          <w:lang w:val="fr-FR"/>
        </w:rPr>
        <w:t>Docket</w:t>
      </w:r>
      <w:r w:rsidR="001C6920" w:rsidRPr="00131B57">
        <w:rPr>
          <w:b/>
          <w:lang w:val="fr-FR"/>
        </w:rPr>
        <w:t xml:space="preserve">s UE-120436, et al. </w:t>
      </w:r>
    </w:p>
    <w:p w14:paraId="36FE841A" w14:textId="77777777" w:rsidR="00B814E2" w:rsidRDefault="0046251D" w:rsidP="00506C7F">
      <w:pPr>
        <w:ind w:left="5400"/>
        <w:rPr>
          <w:b/>
        </w:rPr>
      </w:pPr>
      <w:r>
        <w:rPr>
          <w:b/>
        </w:rPr>
        <w:t xml:space="preserve">Witness:  </w:t>
      </w:r>
      <w:r w:rsidR="00656DA9">
        <w:rPr>
          <w:b/>
        </w:rPr>
        <w:t>Kathryn H. Breda</w:t>
      </w:r>
    </w:p>
    <w:p w14:paraId="36FE841B" w14:textId="66171776" w:rsidR="00506C7F" w:rsidRPr="00B814E2" w:rsidRDefault="001A228B" w:rsidP="00506C7F">
      <w:pPr>
        <w:ind w:left="5400"/>
        <w:rPr>
          <w:b/>
        </w:rPr>
      </w:pPr>
      <w:r>
        <w:rPr>
          <w:b/>
        </w:rPr>
        <w:t>REDACTED</w:t>
      </w:r>
      <w:r w:rsidR="00506C7F">
        <w:rPr>
          <w:b/>
        </w:rPr>
        <w:t xml:space="preserve"> VERSION </w:t>
      </w:r>
    </w:p>
    <w:p w14:paraId="36FE841C" w14:textId="77777777" w:rsidR="00B814E2" w:rsidRPr="00924165" w:rsidRDefault="00B814E2" w:rsidP="00B814E2">
      <w:pPr>
        <w:rPr>
          <w:b/>
        </w:rPr>
      </w:pPr>
    </w:p>
    <w:p w14:paraId="36FE841D" w14:textId="77777777" w:rsidR="00924165" w:rsidRPr="00924165" w:rsidRDefault="00924165" w:rsidP="00924165">
      <w:pPr>
        <w:pStyle w:val="Header"/>
        <w:ind w:left="-180" w:right="-252"/>
        <w:rPr>
          <w:b/>
        </w:rPr>
      </w:pPr>
      <w:r w:rsidRPr="00924165">
        <w:rPr>
          <w:b/>
        </w:rPr>
        <w:t>BEFORE THE WASHINGTON UTILITIES AND TRANSPORTATION COMMISSION</w:t>
      </w:r>
    </w:p>
    <w:p w14:paraId="36FE841E" w14:textId="77777777" w:rsidR="00924165" w:rsidRPr="00924165" w:rsidRDefault="00924165" w:rsidP="00924165">
      <w:pPr>
        <w:pStyle w:val="Header"/>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924165" w:rsidRPr="00924165" w14:paraId="36FE8444" w14:textId="77777777" w:rsidTr="00101C4E">
        <w:tc>
          <w:tcPr>
            <w:tcW w:w="4590" w:type="dxa"/>
            <w:tcBorders>
              <w:top w:val="single" w:sz="6" w:space="0" w:color="FFFFFF"/>
              <w:left w:val="single" w:sz="6" w:space="0" w:color="FFFFFF"/>
              <w:bottom w:val="single" w:sz="7" w:space="0" w:color="000000"/>
              <w:right w:val="single" w:sz="6" w:space="0" w:color="FFFFFF"/>
            </w:tcBorders>
          </w:tcPr>
          <w:p w14:paraId="36FE841F" w14:textId="77777777" w:rsidR="00924165" w:rsidRPr="00924165" w:rsidRDefault="00924165" w:rsidP="00101C4E">
            <w:pPr>
              <w:pStyle w:val="Header"/>
              <w:tabs>
                <w:tab w:val="left" w:pos="681"/>
                <w:tab w:val="left" w:pos="1401"/>
              </w:tabs>
              <w:rPr>
                <w:b/>
              </w:rPr>
            </w:pPr>
            <w:r w:rsidRPr="00924165">
              <w:rPr>
                <w:b/>
              </w:rPr>
              <w:t xml:space="preserve">WASHINGTON UTILITIES AND TRANSPORTATION COMMISSION, </w:t>
            </w:r>
          </w:p>
          <w:p w14:paraId="36FE8420" w14:textId="77777777" w:rsidR="00924165" w:rsidRPr="00924165" w:rsidRDefault="00924165" w:rsidP="00101C4E">
            <w:pPr>
              <w:pStyle w:val="Header"/>
              <w:tabs>
                <w:tab w:val="left" w:pos="681"/>
                <w:tab w:val="left" w:pos="1401"/>
              </w:tabs>
              <w:rPr>
                <w:b/>
              </w:rPr>
            </w:pPr>
          </w:p>
          <w:p w14:paraId="36FE8421" w14:textId="77777777" w:rsidR="00924165" w:rsidRPr="00924165" w:rsidRDefault="00924165" w:rsidP="00101C4E">
            <w:pPr>
              <w:pStyle w:val="Header"/>
              <w:tabs>
                <w:tab w:val="left" w:pos="681"/>
                <w:tab w:val="left" w:pos="1401"/>
              </w:tabs>
              <w:rPr>
                <w:b/>
              </w:rPr>
            </w:pPr>
            <w:r w:rsidRPr="00924165">
              <w:rPr>
                <w:b/>
              </w:rPr>
              <w:tab/>
            </w:r>
            <w:r w:rsidRPr="00924165">
              <w:rPr>
                <w:b/>
              </w:rPr>
              <w:tab/>
              <w:t>Complainant,</w:t>
            </w:r>
          </w:p>
          <w:p w14:paraId="36FE8422" w14:textId="77777777" w:rsidR="00924165" w:rsidRPr="00924165" w:rsidRDefault="00924165" w:rsidP="00101C4E">
            <w:pPr>
              <w:pStyle w:val="Header"/>
              <w:tabs>
                <w:tab w:val="left" w:pos="681"/>
                <w:tab w:val="left" w:pos="1401"/>
              </w:tabs>
              <w:rPr>
                <w:b/>
              </w:rPr>
            </w:pPr>
          </w:p>
          <w:p w14:paraId="36FE8423" w14:textId="77777777" w:rsidR="00924165" w:rsidRPr="00924165" w:rsidRDefault="00924165" w:rsidP="00101C4E">
            <w:pPr>
              <w:pStyle w:val="Header"/>
              <w:tabs>
                <w:tab w:val="left" w:pos="681"/>
                <w:tab w:val="left" w:pos="1401"/>
              </w:tabs>
              <w:rPr>
                <w:b/>
              </w:rPr>
            </w:pPr>
            <w:r w:rsidRPr="00924165">
              <w:rPr>
                <w:b/>
              </w:rPr>
              <w:tab/>
              <w:t>v.</w:t>
            </w:r>
          </w:p>
          <w:p w14:paraId="36FE8424" w14:textId="77777777" w:rsidR="00924165" w:rsidRPr="00924165" w:rsidRDefault="00924165" w:rsidP="00101C4E">
            <w:pPr>
              <w:pStyle w:val="Header"/>
              <w:tabs>
                <w:tab w:val="left" w:pos="681"/>
                <w:tab w:val="left" w:pos="1401"/>
              </w:tabs>
              <w:rPr>
                <w:b/>
              </w:rPr>
            </w:pPr>
          </w:p>
          <w:p w14:paraId="36FE8425" w14:textId="77777777" w:rsidR="00924165" w:rsidRPr="00924165" w:rsidRDefault="00924165" w:rsidP="00101C4E">
            <w:pPr>
              <w:pStyle w:val="Header"/>
              <w:tabs>
                <w:tab w:val="left" w:pos="681"/>
                <w:tab w:val="left" w:pos="1401"/>
              </w:tabs>
              <w:rPr>
                <w:b/>
              </w:rPr>
            </w:pPr>
            <w:r w:rsidRPr="00924165">
              <w:rPr>
                <w:b/>
              </w:rPr>
              <w:t xml:space="preserve">AVISTA CORPORATION, d/b/a AVISTA UTILITIES, </w:t>
            </w:r>
          </w:p>
          <w:p w14:paraId="36FE8426" w14:textId="77777777" w:rsidR="00924165" w:rsidRPr="00924165" w:rsidRDefault="00924165" w:rsidP="00101C4E">
            <w:pPr>
              <w:pStyle w:val="Header"/>
              <w:tabs>
                <w:tab w:val="left" w:pos="681"/>
                <w:tab w:val="left" w:pos="1401"/>
              </w:tabs>
              <w:rPr>
                <w:b/>
              </w:rPr>
            </w:pPr>
          </w:p>
          <w:p w14:paraId="36FE8427" w14:textId="77777777" w:rsidR="00924165" w:rsidRPr="00924165" w:rsidRDefault="00924165" w:rsidP="00101C4E">
            <w:pPr>
              <w:pStyle w:val="Header"/>
              <w:pBdr>
                <w:bottom w:val="single" w:sz="12" w:space="1" w:color="auto"/>
              </w:pBdr>
              <w:tabs>
                <w:tab w:val="left" w:pos="681"/>
                <w:tab w:val="left" w:pos="1401"/>
              </w:tabs>
              <w:rPr>
                <w:b/>
              </w:rPr>
            </w:pPr>
            <w:r w:rsidRPr="00924165">
              <w:rPr>
                <w:b/>
              </w:rPr>
              <w:tab/>
            </w:r>
            <w:r w:rsidRPr="00924165">
              <w:rPr>
                <w:b/>
              </w:rPr>
              <w:tab/>
              <w:t>Respondent.</w:t>
            </w:r>
          </w:p>
          <w:p w14:paraId="36FE8428" w14:textId="77777777" w:rsidR="00924165" w:rsidRPr="00924165" w:rsidRDefault="00924165" w:rsidP="00101C4E">
            <w:pPr>
              <w:pStyle w:val="Header"/>
              <w:pBdr>
                <w:bottom w:val="single" w:sz="12" w:space="1" w:color="auto"/>
              </w:pBdr>
              <w:tabs>
                <w:tab w:val="left" w:pos="681"/>
                <w:tab w:val="left" w:pos="1401"/>
              </w:tabs>
              <w:rPr>
                <w:b/>
              </w:rPr>
            </w:pPr>
          </w:p>
          <w:p w14:paraId="36FE8429" w14:textId="77777777" w:rsidR="00924165" w:rsidRPr="00924165" w:rsidRDefault="00924165" w:rsidP="00101C4E">
            <w:pPr>
              <w:tabs>
                <w:tab w:val="left" w:pos="2160"/>
              </w:tabs>
              <w:rPr>
                <w:b/>
                <w:bCs/>
              </w:rPr>
            </w:pPr>
          </w:p>
          <w:p w14:paraId="36FE842A" w14:textId="77777777" w:rsidR="00924165" w:rsidRPr="00924165" w:rsidRDefault="00924165" w:rsidP="00101C4E">
            <w:pPr>
              <w:tabs>
                <w:tab w:val="left" w:pos="2160"/>
              </w:tabs>
              <w:rPr>
                <w:b/>
                <w:bCs/>
              </w:rPr>
            </w:pPr>
            <w:r w:rsidRPr="00924165">
              <w:rPr>
                <w:b/>
                <w:bCs/>
              </w:rPr>
              <w:t>WASHINGTON UTILITIES AND TRANSPORTATION COMMISSION,</w:t>
            </w:r>
          </w:p>
          <w:p w14:paraId="36FE842B" w14:textId="77777777" w:rsidR="00924165" w:rsidRPr="00924165" w:rsidRDefault="00924165" w:rsidP="00101C4E">
            <w:pPr>
              <w:tabs>
                <w:tab w:val="left" w:pos="2160"/>
              </w:tabs>
              <w:rPr>
                <w:b/>
                <w:bCs/>
              </w:rPr>
            </w:pPr>
          </w:p>
          <w:p w14:paraId="36FE842C" w14:textId="77777777" w:rsidR="00924165" w:rsidRPr="00924165" w:rsidRDefault="00924165" w:rsidP="00101C4E">
            <w:pPr>
              <w:tabs>
                <w:tab w:val="left" w:pos="2160"/>
              </w:tabs>
              <w:rPr>
                <w:b/>
                <w:bCs/>
              </w:rPr>
            </w:pPr>
            <w:r w:rsidRPr="00924165">
              <w:rPr>
                <w:b/>
                <w:bCs/>
              </w:rPr>
              <w:tab/>
              <w:t>Complainant,</w:t>
            </w:r>
          </w:p>
          <w:p w14:paraId="36FE842D" w14:textId="77777777" w:rsidR="00924165" w:rsidRPr="00924165" w:rsidRDefault="00924165" w:rsidP="00101C4E">
            <w:pPr>
              <w:tabs>
                <w:tab w:val="left" w:pos="2160"/>
              </w:tabs>
              <w:rPr>
                <w:b/>
                <w:bCs/>
              </w:rPr>
            </w:pPr>
          </w:p>
          <w:p w14:paraId="36FE842E" w14:textId="77777777" w:rsidR="00924165" w:rsidRPr="00924165" w:rsidRDefault="00924165" w:rsidP="00101C4E">
            <w:pPr>
              <w:tabs>
                <w:tab w:val="left" w:pos="2160"/>
              </w:tabs>
              <w:rPr>
                <w:b/>
                <w:bCs/>
              </w:rPr>
            </w:pPr>
            <w:r w:rsidRPr="00924165">
              <w:rPr>
                <w:b/>
                <w:bCs/>
              </w:rPr>
              <w:t>v.</w:t>
            </w:r>
          </w:p>
          <w:p w14:paraId="36FE842F" w14:textId="77777777" w:rsidR="00924165" w:rsidRPr="00924165" w:rsidRDefault="00924165" w:rsidP="00101C4E">
            <w:pPr>
              <w:tabs>
                <w:tab w:val="left" w:pos="2160"/>
              </w:tabs>
              <w:rPr>
                <w:b/>
                <w:bCs/>
              </w:rPr>
            </w:pPr>
          </w:p>
          <w:p w14:paraId="36FE8430" w14:textId="77777777" w:rsidR="00924165" w:rsidRPr="00924165" w:rsidRDefault="00924165" w:rsidP="00101C4E">
            <w:pPr>
              <w:tabs>
                <w:tab w:val="left" w:pos="2160"/>
              </w:tabs>
              <w:rPr>
                <w:b/>
                <w:bCs/>
              </w:rPr>
            </w:pPr>
            <w:r w:rsidRPr="00924165">
              <w:rPr>
                <w:b/>
                <w:bCs/>
              </w:rPr>
              <w:t>AVISTA CORPORATION d/b/a AVISTA UTILITIES,</w:t>
            </w:r>
          </w:p>
          <w:p w14:paraId="36FE8431" w14:textId="77777777" w:rsidR="00924165" w:rsidRPr="00924165" w:rsidRDefault="00924165" w:rsidP="00101C4E">
            <w:pPr>
              <w:tabs>
                <w:tab w:val="left" w:pos="2160"/>
              </w:tabs>
              <w:rPr>
                <w:b/>
                <w:bCs/>
              </w:rPr>
            </w:pPr>
          </w:p>
          <w:p w14:paraId="36FE8432" w14:textId="77777777" w:rsidR="00924165" w:rsidRPr="00924165" w:rsidRDefault="00924165" w:rsidP="00101C4E">
            <w:pPr>
              <w:tabs>
                <w:tab w:val="left" w:pos="2160"/>
              </w:tabs>
              <w:rPr>
                <w:b/>
                <w:bCs/>
              </w:rPr>
            </w:pPr>
            <w:r w:rsidRPr="00924165">
              <w:rPr>
                <w:b/>
                <w:bCs/>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36FE8433" w14:textId="77777777" w:rsidR="00924165" w:rsidRPr="00924165" w:rsidRDefault="00924165" w:rsidP="00101C4E">
            <w:pPr>
              <w:pStyle w:val="Header"/>
              <w:ind w:left="416"/>
              <w:rPr>
                <w:b/>
              </w:rPr>
            </w:pPr>
            <w:r w:rsidRPr="00924165">
              <w:rPr>
                <w:b/>
              </w:rPr>
              <w:t>DOCKETS UE-120436/UG-120437</w:t>
            </w:r>
          </w:p>
          <w:p w14:paraId="36FE8434" w14:textId="77777777" w:rsidR="00924165" w:rsidRPr="00924165" w:rsidRDefault="00924165" w:rsidP="00101C4E">
            <w:pPr>
              <w:pStyle w:val="Header"/>
              <w:ind w:left="1496" w:hanging="1080"/>
              <w:rPr>
                <w:b/>
                <w:i/>
              </w:rPr>
            </w:pPr>
            <w:r w:rsidRPr="00924165">
              <w:rPr>
                <w:b/>
              </w:rPr>
              <w:tab/>
              <w:t>(</w:t>
            </w:r>
            <w:r w:rsidRPr="00924165">
              <w:rPr>
                <w:b/>
                <w:i/>
              </w:rPr>
              <w:t>consolidated)</w:t>
            </w:r>
          </w:p>
          <w:p w14:paraId="36FE8435" w14:textId="77777777" w:rsidR="00924165" w:rsidRPr="00924165" w:rsidRDefault="00924165" w:rsidP="00101C4E">
            <w:pPr>
              <w:pStyle w:val="Header"/>
              <w:ind w:left="416"/>
              <w:rPr>
                <w:b/>
              </w:rPr>
            </w:pPr>
          </w:p>
          <w:p w14:paraId="36FE8436" w14:textId="77777777" w:rsidR="00924165" w:rsidRPr="00924165" w:rsidRDefault="00924165" w:rsidP="00101C4E">
            <w:pPr>
              <w:pStyle w:val="Header"/>
              <w:ind w:left="416"/>
              <w:rPr>
                <w:b/>
              </w:rPr>
            </w:pPr>
          </w:p>
          <w:p w14:paraId="36FE8437" w14:textId="77777777" w:rsidR="00924165" w:rsidRPr="00924165" w:rsidRDefault="00924165" w:rsidP="00101C4E">
            <w:pPr>
              <w:pStyle w:val="Header"/>
              <w:ind w:left="416"/>
              <w:rPr>
                <w:b/>
              </w:rPr>
            </w:pPr>
          </w:p>
          <w:p w14:paraId="36FE8438" w14:textId="77777777" w:rsidR="00924165" w:rsidRPr="00924165" w:rsidRDefault="00924165" w:rsidP="00101C4E">
            <w:pPr>
              <w:pStyle w:val="Header"/>
              <w:ind w:left="416"/>
              <w:rPr>
                <w:b/>
              </w:rPr>
            </w:pPr>
          </w:p>
          <w:p w14:paraId="36FE8439" w14:textId="77777777" w:rsidR="00924165" w:rsidRPr="00924165" w:rsidRDefault="00924165" w:rsidP="00101C4E">
            <w:pPr>
              <w:pStyle w:val="Header"/>
              <w:ind w:left="416"/>
              <w:rPr>
                <w:b/>
              </w:rPr>
            </w:pPr>
          </w:p>
          <w:p w14:paraId="36FE843A" w14:textId="77777777" w:rsidR="00924165" w:rsidRPr="00924165" w:rsidRDefault="00924165" w:rsidP="00101C4E">
            <w:pPr>
              <w:pStyle w:val="Header"/>
              <w:ind w:left="416"/>
              <w:rPr>
                <w:b/>
              </w:rPr>
            </w:pPr>
          </w:p>
          <w:p w14:paraId="36FE843B" w14:textId="77777777" w:rsidR="00924165" w:rsidRPr="00924165" w:rsidRDefault="00924165" w:rsidP="00101C4E">
            <w:pPr>
              <w:pStyle w:val="Header"/>
              <w:ind w:left="416"/>
              <w:rPr>
                <w:b/>
              </w:rPr>
            </w:pPr>
          </w:p>
          <w:p w14:paraId="36FE843C" w14:textId="77777777" w:rsidR="00924165" w:rsidRPr="00924165" w:rsidRDefault="00924165" w:rsidP="00101C4E">
            <w:pPr>
              <w:pStyle w:val="Header"/>
              <w:ind w:left="416"/>
              <w:rPr>
                <w:b/>
              </w:rPr>
            </w:pPr>
          </w:p>
          <w:p w14:paraId="36FE843D" w14:textId="77777777" w:rsidR="00924165" w:rsidRPr="00924165" w:rsidRDefault="00924165" w:rsidP="00101C4E">
            <w:pPr>
              <w:pStyle w:val="Header"/>
              <w:ind w:left="416"/>
              <w:rPr>
                <w:b/>
              </w:rPr>
            </w:pPr>
          </w:p>
          <w:p w14:paraId="36FE843E" w14:textId="77777777" w:rsidR="00924165" w:rsidRPr="00924165" w:rsidRDefault="00924165" w:rsidP="00101C4E">
            <w:pPr>
              <w:pStyle w:val="Header"/>
              <w:ind w:left="416"/>
              <w:rPr>
                <w:b/>
              </w:rPr>
            </w:pPr>
          </w:p>
          <w:p w14:paraId="36FE843F" w14:textId="77777777" w:rsidR="00924165" w:rsidRPr="00924165" w:rsidRDefault="00924165" w:rsidP="00101C4E">
            <w:pPr>
              <w:pStyle w:val="Header"/>
              <w:ind w:left="416"/>
              <w:rPr>
                <w:b/>
              </w:rPr>
            </w:pPr>
            <w:r w:rsidRPr="00924165">
              <w:rPr>
                <w:b/>
              </w:rPr>
              <w:t>DOCKETS UE-110876/UG-110877</w:t>
            </w:r>
          </w:p>
          <w:p w14:paraId="36FE8440" w14:textId="77777777" w:rsidR="00924165" w:rsidRPr="00924165" w:rsidRDefault="00924165" w:rsidP="00101C4E">
            <w:pPr>
              <w:pStyle w:val="Header"/>
              <w:tabs>
                <w:tab w:val="left" w:pos="1543"/>
              </w:tabs>
              <w:ind w:left="416"/>
              <w:rPr>
                <w:b/>
                <w:i/>
              </w:rPr>
            </w:pPr>
            <w:r w:rsidRPr="00924165">
              <w:rPr>
                <w:b/>
              </w:rPr>
              <w:tab/>
            </w:r>
            <w:r w:rsidRPr="00924165">
              <w:rPr>
                <w:b/>
                <w:i/>
              </w:rPr>
              <w:t>(consolidated)</w:t>
            </w:r>
          </w:p>
          <w:p w14:paraId="36FE8441" w14:textId="77777777" w:rsidR="00924165" w:rsidRPr="00924165" w:rsidRDefault="00924165" w:rsidP="00101C4E">
            <w:pPr>
              <w:pStyle w:val="Header"/>
              <w:tabs>
                <w:tab w:val="left" w:pos="1543"/>
              </w:tabs>
              <w:ind w:left="416"/>
              <w:rPr>
                <w:b/>
                <w:i/>
              </w:rPr>
            </w:pPr>
          </w:p>
          <w:p w14:paraId="36FE8442" w14:textId="77777777" w:rsidR="00924165" w:rsidRPr="00924165" w:rsidRDefault="00924165" w:rsidP="00101C4E">
            <w:pPr>
              <w:pStyle w:val="Header"/>
              <w:tabs>
                <w:tab w:val="left" w:pos="1543"/>
              </w:tabs>
              <w:ind w:left="416"/>
              <w:rPr>
                <w:b/>
              </w:rPr>
            </w:pPr>
          </w:p>
          <w:p w14:paraId="36FE8443" w14:textId="77777777" w:rsidR="00924165" w:rsidRPr="00924165" w:rsidRDefault="00924165" w:rsidP="00101C4E">
            <w:pPr>
              <w:pStyle w:val="Header"/>
              <w:ind w:left="416"/>
              <w:rPr>
                <w:b/>
              </w:rPr>
            </w:pPr>
          </w:p>
        </w:tc>
      </w:tr>
    </w:tbl>
    <w:p w14:paraId="36FE8445" w14:textId="77777777" w:rsidR="00B814E2" w:rsidRPr="00924165" w:rsidRDefault="00B814E2" w:rsidP="00B814E2">
      <w:pPr>
        <w:rPr>
          <w:b/>
          <w:bCs/>
        </w:rPr>
      </w:pPr>
    </w:p>
    <w:p w14:paraId="36FE8446" w14:textId="77777777" w:rsidR="00B814E2" w:rsidRDefault="00B814E2" w:rsidP="00B814E2">
      <w:pPr>
        <w:tabs>
          <w:tab w:val="center" w:pos="4680"/>
        </w:tabs>
        <w:jc w:val="center"/>
        <w:rPr>
          <w:b/>
          <w:bCs/>
        </w:rPr>
      </w:pPr>
      <w:r>
        <w:rPr>
          <w:b/>
          <w:bCs/>
        </w:rPr>
        <w:t>TESTIMONY OF</w:t>
      </w:r>
    </w:p>
    <w:p w14:paraId="36FE8447" w14:textId="77777777" w:rsidR="00B814E2" w:rsidRDefault="00B814E2" w:rsidP="00924165">
      <w:pPr>
        <w:rPr>
          <w:b/>
          <w:bCs/>
        </w:rPr>
      </w:pPr>
    </w:p>
    <w:p w14:paraId="36FE8448" w14:textId="77777777" w:rsidR="00B814E2" w:rsidRDefault="00BE055B" w:rsidP="00B814E2">
      <w:pPr>
        <w:tabs>
          <w:tab w:val="center" w:pos="4680"/>
        </w:tabs>
        <w:jc w:val="center"/>
        <w:rPr>
          <w:b/>
          <w:bCs/>
        </w:rPr>
      </w:pPr>
      <w:r>
        <w:rPr>
          <w:b/>
          <w:bCs/>
        </w:rPr>
        <w:t>Kathryn H. Breda</w:t>
      </w:r>
    </w:p>
    <w:p w14:paraId="36FE8449" w14:textId="77777777" w:rsidR="00B814E2" w:rsidRDefault="00B814E2" w:rsidP="00924165">
      <w:pPr>
        <w:tabs>
          <w:tab w:val="center" w:pos="4680"/>
        </w:tabs>
        <w:rPr>
          <w:b/>
          <w:bCs/>
        </w:rPr>
      </w:pPr>
    </w:p>
    <w:p w14:paraId="36FE844A" w14:textId="77777777" w:rsidR="00B814E2" w:rsidRDefault="00B814E2" w:rsidP="00B814E2">
      <w:pPr>
        <w:tabs>
          <w:tab w:val="center" w:pos="4680"/>
        </w:tabs>
        <w:jc w:val="center"/>
        <w:rPr>
          <w:b/>
          <w:bCs/>
        </w:rPr>
      </w:pPr>
      <w:r>
        <w:rPr>
          <w:b/>
          <w:bCs/>
        </w:rPr>
        <w:t>STAFF OF</w:t>
      </w:r>
    </w:p>
    <w:p w14:paraId="36FE844B" w14:textId="77777777" w:rsidR="00B814E2" w:rsidRDefault="00B814E2" w:rsidP="00B814E2">
      <w:pPr>
        <w:tabs>
          <w:tab w:val="center" w:pos="4680"/>
        </w:tabs>
        <w:jc w:val="center"/>
        <w:rPr>
          <w:b/>
          <w:bCs/>
        </w:rPr>
      </w:pPr>
      <w:r>
        <w:rPr>
          <w:b/>
          <w:bCs/>
        </w:rPr>
        <w:t>WASHINGTON UTILITIES AND</w:t>
      </w:r>
    </w:p>
    <w:p w14:paraId="36FE844C" w14:textId="77777777" w:rsidR="00B814E2" w:rsidRDefault="00B814E2" w:rsidP="00B814E2">
      <w:pPr>
        <w:tabs>
          <w:tab w:val="center" w:pos="4680"/>
        </w:tabs>
        <w:jc w:val="center"/>
        <w:rPr>
          <w:b/>
          <w:bCs/>
        </w:rPr>
      </w:pPr>
      <w:r>
        <w:rPr>
          <w:b/>
          <w:bCs/>
        </w:rPr>
        <w:t>TRANSPORTATION COMMISSION</w:t>
      </w:r>
    </w:p>
    <w:p w14:paraId="36FE844D" w14:textId="77777777" w:rsidR="007D0DC0" w:rsidRDefault="007D0DC0" w:rsidP="00B814E2">
      <w:pPr>
        <w:tabs>
          <w:tab w:val="center" w:pos="4680"/>
        </w:tabs>
        <w:jc w:val="center"/>
        <w:rPr>
          <w:b/>
          <w:bCs/>
        </w:rPr>
      </w:pPr>
    </w:p>
    <w:p w14:paraId="36FE844E" w14:textId="77777777" w:rsidR="00E63256" w:rsidRPr="00B814E2" w:rsidRDefault="00E63256" w:rsidP="00E63256">
      <w:pPr>
        <w:jc w:val="center"/>
        <w:rPr>
          <w:b/>
          <w:bCs/>
          <w:i/>
        </w:rPr>
      </w:pPr>
      <w:r>
        <w:rPr>
          <w:b/>
          <w:bCs/>
          <w:i/>
        </w:rPr>
        <w:t>Attrition Study, Overall Electric and Natural Gas Revenue Requirement,</w:t>
      </w:r>
      <w:r w:rsidRPr="00706F37">
        <w:rPr>
          <w:b/>
          <w:bCs/>
          <w:i/>
        </w:rPr>
        <w:t xml:space="preserve"> </w:t>
      </w:r>
      <w:r>
        <w:rPr>
          <w:b/>
          <w:bCs/>
          <w:i/>
        </w:rPr>
        <w:t>Deferred Maintenance, Allocations,</w:t>
      </w:r>
      <w:r w:rsidRPr="007152BF">
        <w:rPr>
          <w:b/>
          <w:bCs/>
          <w:i/>
        </w:rPr>
        <w:t xml:space="preserve"> </w:t>
      </w:r>
      <w:r>
        <w:rPr>
          <w:b/>
          <w:bCs/>
          <w:i/>
        </w:rPr>
        <w:t>and Renewable Energy Credit Revenues</w:t>
      </w:r>
    </w:p>
    <w:p w14:paraId="36FE844F" w14:textId="77777777" w:rsidR="00E63256" w:rsidRDefault="00E63256" w:rsidP="00E63256">
      <w:pPr>
        <w:jc w:val="center"/>
        <w:rPr>
          <w:b/>
          <w:bCs/>
        </w:rPr>
      </w:pPr>
    </w:p>
    <w:p w14:paraId="36FE8450" w14:textId="77777777" w:rsidR="007D0DC0" w:rsidRDefault="001C6920" w:rsidP="00B814E2">
      <w:pPr>
        <w:jc w:val="center"/>
        <w:rPr>
          <w:b/>
          <w:bCs/>
        </w:rPr>
      </w:pPr>
      <w:r>
        <w:rPr>
          <w:b/>
          <w:bCs/>
        </w:rPr>
        <w:t>September 19, 2012</w:t>
      </w:r>
    </w:p>
    <w:p w14:paraId="36FE8451" w14:textId="77777777" w:rsidR="00506C7F" w:rsidRDefault="00506C7F" w:rsidP="00B814E2">
      <w:pPr>
        <w:jc w:val="center"/>
        <w:rPr>
          <w:b/>
          <w:bCs/>
        </w:rPr>
      </w:pPr>
      <w:r>
        <w:rPr>
          <w:b/>
          <w:bCs/>
        </w:rPr>
        <w:t>CONFIDENTIAL PER PROTECTIVE ORDER IN DOCKETS UE-120436 ET AL.</w:t>
      </w:r>
    </w:p>
    <w:p w14:paraId="36FE8452" w14:textId="77777777" w:rsidR="00506C7F" w:rsidRDefault="00506C7F" w:rsidP="00506C7F">
      <w:pPr>
        <w:rPr>
          <w:b/>
          <w:bCs/>
        </w:rPr>
      </w:pPr>
    </w:p>
    <w:p w14:paraId="36FE8453" w14:textId="77777777" w:rsidR="00407A29" w:rsidRDefault="00407A29" w:rsidP="00B814E2">
      <w:pPr>
        <w:jc w:val="center"/>
        <w:rPr>
          <w:b/>
          <w:bCs/>
        </w:rPr>
        <w:sectPr w:rsidR="00407A29" w:rsidSect="00407A29">
          <w:pgSz w:w="12240" w:h="15840" w:code="1"/>
          <w:pgMar w:top="1440" w:right="1440" w:bottom="1440" w:left="1872" w:header="720" w:footer="720" w:gutter="0"/>
          <w:pgNumType w:start="1"/>
          <w:cols w:space="720"/>
          <w:docGrid w:linePitch="360"/>
        </w:sectPr>
      </w:pPr>
    </w:p>
    <w:p w14:paraId="36FE8454" w14:textId="77777777" w:rsidR="00B814E2" w:rsidRDefault="00B814E2" w:rsidP="00B814E2">
      <w:pPr>
        <w:jc w:val="center"/>
      </w:pPr>
      <w:r>
        <w:rPr>
          <w:b/>
        </w:rPr>
        <w:lastRenderedPageBreak/>
        <w:t>TABLE OF CONTENTS</w:t>
      </w:r>
    </w:p>
    <w:p w14:paraId="36FE8455" w14:textId="77777777" w:rsidR="00B814E2" w:rsidRDefault="00B814E2" w:rsidP="00B814E2"/>
    <w:p w14:paraId="36FE8456" w14:textId="77777777" w:rsidR="00B814E2" w:rsidRDefault="00B814E2" w:rsidP="00B814E2"/>
    <w:p w14:paraId="36FE8457" w14:textId="77777777" w:rsidR="00B814E2" w:rsidRDefault="00B814E2" w:rsidP="00285BD5">
      <w:pPr>
        <w:tabs>
          <w:tab w:val="left" w:pos="720"/>
          <w:tab w:val="left" w:pos="1440"/>
          <w:tab w:val="left" w:pos="2160"/>
          <w:tab w:val="right" w:leader="dot" w:pos="8910"/>
        </w:tabs>
      </w:pPr>
      <w:r>
        <w:t>I.</w:t>
      </w:r>
      <w:r>
        <w:tab/>
        <w:t xml:space="preserve">INTRODUCTION </w:t>
      </w:r>
      <w:r>
        <w:tab/>
        <w:t>1</w:t>
      </w:r>
    </w:p>
    <w:p w14:paraId="36FE8458" w14:textId="77777777" w:rsidR="003503FC" w:rsidRDefault="003503FC" w:rsidP="00B814E2">
      <w:pPr>
        <w:tabs>
          <w:tab w:val="left" w:pos="720"/>
          <w:tab w:val="left" w:pos="1440"/>
          <w:tab w:val="left" w:pos="2160"/>
          <w:tab w:val="right" w:leader="dot" w:pos="8820"/>
        </w:tabs>
      </w:pPr>
    </w:p>
    <w:p w14:paraId="36FE8459" w14:textId="77777777" w:rsidR="0076350A" w:rsidRDefault="003503FC" w:rsidP="00285BD5">
      <w:pPr>
        <w:tabs>
          <w:tab w:val="left" w:pos="720"/>
          <w:tab w:val="left" w:pos="1440"/>
          <w:tab w:val="left" w:pos="2160"/>
          <w:tab w:val="right" w:leader="dot" w:pos="8910"/>
        </w:tabs>
      </w:pPr>
      <w:r>
        <w:t>II.</w:t>
      </w:r>
      <w:r>
        <w:tab/>
      </w:r>
      <w:r w:rsidR="0076350A">
        <w:t xml:space="preserve">SCOPE AND SUMMARY OF TESTIMONY </w:t>
      </w:r>
      <w:r w:rsidR="0076350A">
        <w:tab/>
        <w:t>2</w:t>
      </w:r>
    </w:p>
    <w:p w14:paraId="36FE845A" w14:textId="77777777" w:rsidR="0076350A" w:rsidRDefault="0076350A" w:rsidP="00285BD5">
      <w:pPr>
        <w:tabs>
          <w:tab w:val="left" w:pos="720"/>
          <w:tab w:val="left" w:pos="1440"/>
          <w:tab w:val="left" w:pos="2160"/>
          <w:tab w:val="right" w:leader="dot" w:pos="8910"/>
        </w:tabs>
      </w:pPr>
    </w:p>
    <w:p w14:paraId="36FE845B" w14:textId="77777777" w:rsidR="0076350A" w:rsidRDefault="0076350A" w:rsidP="00285BD5">
      <w:pPr>
        <w:tabs>
          <w:tab w:val="left" w:pos="720"/>
          <w:tab w:val="left" w:pos="1440"/>
          <w:tab w:val="left" w:pos="2160"/>
          <w:tab w:val="right" w:leader="dot" w:pos="8910"/>
        </w:tabs>
      </w:pPr>
      <w:r>
        <w:t>III.</w:t>
      </w:r>
      <w:r>
        <w:tab/>
        <w:t xml:space="preserve">STAFF’S OVERALL </w:t>
      </w:r>
      <w:r w:rsidR="003503FC">
        <w:t xml:space="preserve">ELECTRIC AND NATURAL GAS REVENUE </w:t>
      </w:r>
    </w:p>
    <w:p w14:paraId="36FE845C" w14:textId="77777777" w:rsidR="003503FC" w:rsidRDefault="0076350A" w:rsidP="00285BD5">
      <w:pPr>
        <w:tabs>
          <w:tab w:val="left" w:pos="720"/>
          <w:tab w:val="left" w:pos="1440"/>
          <w:tab w:val="left" w:pos="2160"/>
          <w:tab w:val="right" w:leader="dot" w:pos="8910"/>
        </w:tabs>
      </w:pPr>
      <w:r>
        <w:tab/>
      </w:r>
      <w:r w:rsidR="003503FC">
        <w:t>REQUIREMENT</w:t>
      </w:r>
      <w:r w:rsidR="00285BD5">
        <w:t xml:space="preserve"> </w:t>
      </w:r>
      <w:r>
        <w:t xml:space="preserve">ANALYSIS </w:t>
      </w:r>
      <w:r w:rsidR="00285BD5">
        <w:tab/>
      </w:r>
      <w:r>
        <w:t>4</w:t>
      </w:r>
    </w:p>
    <w:p w14:paraId="36FE845D" w14:textId="77777777" w:rsidR="003E6E6A" w:rsidRDefault="003E6E6A" w:rsidP="00B814E2">
      <w:pPr>
        <w:tabs>
          <w:tab w:val="left" w:pos="720"/>
          <w:tab w:val="left" w:pos="1440"/>
          <w:tab w:val="left" w:pos="2160"/>
          <w:tab w:val="right" w:leader="dot" w:pos="8820"/>
        </w:tabs>
      </w:pPr>
    </w:p>
    <w:p w14:paraId="36FE845E" w14:textId="77777777" w:rsidR="00DC406A" w:rsidRDefault="003E6E6A" w:rsidP="005C6B3F">
      <w:pPr>
        <w:tabs>
          <w:tab w:val="left" w:pos="720"/>
          <w:tab w:val="left" w:pos="1440"/>
          <w:tab w:val="left" w:pos="2160"/>
          <w:tab w:val="right" w:leader="dot" w:pos="8910"/>
        </w:tabs>
      </w:pPr>
      <w:r>
        <w:t>I</w:t>
      </w:r>
      <w:r w:rsidR="0076350A">
        <w:t>V</w:t>
      </w:r>
      <w:r w:rsidR="007D3D3C">
        <w:t>.</w:t>
      </w:r>
      <w:r w:rsidR="007D3D3C">
        <w:tab/>
      </w:r>
      <w:r w:rsidR="00DC406A">
        <w:t xml:space="preserve">CONTESTED ADJUSTMENTS </w:t>
      </w:r>
      <w:r w:rsidR="00DC406A">
        <w:tab/>
      </w:r>
      <w:r w:rsidR="0076350A">
        <w:t>5</w:t>
      </w:r>
    </w:p>
    <w:p w14:paraId="36FE845F" w14:textId="77777777" w:rsidR="00147415" w:rsidRDefault="00147415" w:rsidP="00DC406A">
      <w:pPr>
        <w:tabs>
          <w:tab w:val="left" w:pos="720"/>
          <w:tab w:val="left" w:pos="1440"/>
          <w:tab w:val="left" w:pos="2160"/>
          <w:tab w:val="right" w:leader="dot" w:pos="8820"/>
        </w:tabs>
      </w:pPr>
    </w:p>
    <w:p w14:paraId="36FE8460" w14:textId="77777777" w:rsidR="00285BD5" w:rsidRDefault="009D786E" w:rsidP="00DC406A">
      <w:pPr>
        <w:pStyle w:val="ListParagraph"/>
        <w:numPr>
          <w:ilvl w:val="0"/>
          <w:numId w:val="13"/>
        </w:numPr>
        <w:tabs>
          <w:tab w:val="left" w:pos="720"/>
          <w:tab w:val="left" w:pos="1440"/>
          <w:tab w:val="left" w:pos="2160"/>
          <w:tab w:val="right" w:leader="dot" w:pos="8820"/>
        </w:tabs>
        <w:ind w:hanging="720"/>
      </w:pPr>
      <w:r>
        <w:t xml:space="preserve">Staff </w:t>
      </w:r>
      <w:r w:rsidR="00DC406A">
        <w:t>Adjustment 1.04</w:t>
      </w:r>
      <w:r w:rsidR="00FC59D2">
        <w:t>, Electric and Natural Gas -</w:t>
      </w:r>
      <w:r w:rsidR="00207811">
        <w:t xml:space="preserve"> </w:t>
      </w:r>
      <w:r w:rsidR="002C3F48">
        <w:t xml:space="preserve">Federal Income </w:t>
      </w:r>
    </w:p>
    <w:p w14:paraId="36FE8461" w14:textId="77777777" w:rsidR="00DC406A" w:rsidRDefault="002C3F48" w:rsidP="00285BD5">
      <w:pPr>
        <w:pStyle w:val="ListParagraph"/>
        <w:tabs>
          <w:tab w:val="left" w:pos="720"/>
          <w:tab w:val="left" w:pos="1440"/>
          <w:tab w:val="left" w:pos="2160"/>
          <w:tab w:val="left" w:pos="2880"/>
          <w:tab w:val="right" w:leader="dot" w:pos="8910"/>
        </w:tabs>
        <w:ind w:left="1440"/>
      </w:pPr>
      <w:r>
        <w:t>Tax Correction</w:t>
      </w:r>
      <w:r w:rsidR="00FC59D2">
        <w:t xml:space="preserve"> </w:t>
      </w:r>
      <w:r w:rsidR="00285BD5">
        <w:tab/>
      </w:r>
      <w:r w:rsidR="005C6B3F">
        <w:t>5</w:t>
      </w:r>
    </w:p>
    <w:p w14:paraId="36FE8462" w14:textId="77777777" w:rsidR="00147415" w:rsidRDefault="00147415" w:rsidP="00147415">
      <w:pPr>
        <w:pStyle w:val="ListParagraph"/>
        <w:tabs>
          <w:tab w:val="left" w:pos="720"/>
          <w:tab w:val="left" w:pos="1440"/>
          <w:tab w:val="left" w:pos="2160"/>
          <w:tab w:val="right" w:leader="dot" w:pos="8820"/>
        </w:tabs>
        <w:ind w:left="1440"/>
      </w:pPr>
    </w:p>
    <w:p w14:paraId="36FE8463" w14:textId="77777777" w:rsidR="005C6B3F" w:rsidRDefault="005C6B3F" w:rsidP="00285BD5">
      <w:pPr>
        <w:pStyle w:val="ListParagraph"/>
        <w:numPr>
          <w:ilvl w:val="0"/>
          <w:numId w:val="13"/>
        </w:numPr>
        <w:tabs>
          <w:tab w:val="left" w:pos="720"/>
          <w:tab w:val="left" w:pos="1440"/>
          <w:tab w:val="left" w:pos="2160"/>
          <w:tab w:val="left" w:pos="2880"/>
          <w:tab w:val="left" w:pos="3600"/>
          <w:tab w:val="right" w:leader="dot" w:pos="8910"/>
        </w:tabs>
        <w:ind w:hanging="720"/>
      </w:pPr>
      <w:r>
        <w:t xml:space="preserve">Staff </w:t>
      </w:r>
      <w:r w:rsidR="002C3F48">
        <w:t>Adjustment 2.16</w:t>
      </w:r>
      <w:r w:rsidR="00FC59D2">
        <w:t>, Electric</w:t>
      </w:r>
      <w:r w:rsidR="002C3F48">
        <w:t xml:space="preserve"> </w:t>
      </w:r>
      <w:r w:rsidR="00FC59D2">
        <w:t xml:space="preserve">- </w:t>
      </w:r>
      <w:r w:rsidR="002C3F48">
        <w:t xml:space="preserve">Colstrip and Coyote Springs 2 </w:t>
      </w:r>
    </w:p>
    <w:p w14:paraId="36FE8464" w14:textId="77777777" w:rsidR="002C3F48" w:rsidRDefault="002C3F48" w:rsidP="005C6B3F">
      <w:pPr>
        <w:tabs>
          <w:tab w:val="left" w:pos="720"/>
          <w:tab w:val="left" w:pos="1440"/>
          <w:tab w:val="left" w:pos="2160"/>
          <w:tab w:val="right" w:leader="dot" w:pos="8910"/>
        </w:tabs>
        <w:ind w:left="1440"/>
      </w:pPr>
      <w:r>
        <w:t>Maintenance</w:t>
      </w:r>
      <w:r w:rsidR="00285BD5">
        <w:t xml:space="preserve"> </w:t>
      </w:r>
      <w:r w:rsidR="00285BD5">
        <w:tab/>
      </w:r>
      <w:r w:rsidR="005C6B3F">
        <w:t>6</w:t>
      </w:r>
    </w:p>
    <w:p w14:paraId="36FE8465" w14:textId="77777777" w:rsidR="00147415" w:rsidRDefault="00147415" w:rsidP="00147415">
      <w:pPr>
        <w:pStyle w:val="ListParagraph"/>
      </w:pPr>
    </w:p>
    <w:p w14:paraId="36FE8466" w14:textId="77777777" w:rsidR="00285BD5" w:rsidRDefault="009D786E" w:rsidP="00DC406A">
      <w:pPr>
        <w:pStyle w:val="ListParagraph"/>
        <w:numPr>
          <w:ilvl w:val="0"/>
          <w:numId w:val="13"/>
        </w:numPr>
        <w:tabs>
          <w:tab w:val="left" w:pos="720"/>
          <w:tab w:val="left" w:pos="1440"/>
          <w:tab w:val="left" w:pos="2160"/>
          <w:tab w:val="right" w:leader="dot" w:pos="8820"/>
        </w:tabs>
        <w:ind w:hanging="720"/>
      </w:pPr>
      <w:r>
        <w:t xml:space="preserve">Staff </w:t>
      </w:r>
      <w:r w:rsidR="00B6085F">
        <w:t>Adjustment</w:t>
      </w:r>
      <w:r w:rsidR="005C6B3F">
        <w:t>s</w:t>
      </w:r>
      <w:r w:rsidR="00B6085F">
        <w:t xml:space="preserve"> 2.18</w:t>
      </w:r>
      <w:r w:rsidR="00FC59D2">
        <w:t>, Electric</w:t>
      </w:r>
      <w:r w:rsidR="005C6B3F">
        <w:t>,</w:t>
      </w:r>
      <w:r w:rsidR="00B6085F">
        <w:t xml:space="preserve"> and 2.16</w:t>
      </w:r>
      <w:r w:rsidR="00FC59D2">
        <w:t xml:space="preserve">, Natural Gas </w:t>
      </w:r>
      <w:r w:rsidR="00285BD5">
        <w:t>–</w:t>
      </w:r>
      <w:r w:rsidR="00B6085F">
        <w:t xml:space="preserve"> </w:t>
      </w:r>
    </w:p>
    <w:p w14:paraId="36FE8467" w14:textId="77777777" w:rsidR="002C3F48" w:rsidRDefault="00B6085F" w:rsidP="00285BD5">
      <w:pPr>
        <w:pStyle w:val="ListParagraph"/>
        <w:tabs>
          <w:tab w:val="left" w:pos="720"/>
          <w:tab w:val="left" w:pos="1440"/>
          <w:tab w:val="left" w:pos="2160"/>
          <w:tab w:val="left" w:pos="2880"/>
          <w:tab w:val="left" w:pos="3600"/>
          <w:tab w:val="right" w:leader="dot" w:pos="8910"/>
        </w:tabs>
        <w:ind w:left="1440"/>
      </w:pPr>
      <w:r>
        <w:t xml:space="preserve">Booz </w:t>
      </w:r>
      <w:r w:rsidR="00EC2FF2">
        <w:t xml:space="preserve">&amp; Company </w:t>
      </w:r>
      <w:r>
        <w:t>Contract</w:t>
      </w:r>
      <w:r w:rsidR="00285BD5">
        <w:t xml:space="preserve"> </w:t>
      </w:r>
      <w:r w:rsidR="00285BD5">
        <w:tab/>
      </w:r>
      <w:r w:rsidR="005C6B3F">
        <w:t>6</w:t>
      </w:r>
    </w:p>
    <w:p w14:paraId="36FE8468" w14:textId="77777777" w:rsidR="00147415" w:rsidRDefault="00147415" w:rsidP="00147415">
      <w:pPr>
        <w:pStyle w:val="ListParagraph"/>
      </w:pPr>
    </w:p>
    <w:p w14:paraId="36FE8469" w14:textId="77777777" w:rsidR="00EC2FF2" w:rsidRDefault="00EC2FF2" w:rsidP="00285BD5">
      <w:pPr>
        <w:pStyle w:val="ListParagraph"/>
        <w:numPr>
          <w:ilvl w:val="0"/>
          <w:numId w:val="13"/>
        </w:numPr>
        <w:tabs>
          <w:tab w:val="left" w:pos="720"/>
          <w:tab w:val="left" w:pos="1440"/>
          <w:tab w:val="left" w:pos="2160"/>
          <w:tab w:val="left" w:pos="2880"/>
          <w:tab w:val="left" w:pos="3600"/>
          <w:tab w:val="right" w:leader="dot" w:pos="8910"/>
        </w:tabs>
        <w:ind w:hanging="720"/>
      </w:pPr>
      <w:r>
        <w:t xml:space="preserve">Adjustment </w:t>
      </w:r>
      <w:r w:rsidR="00AF3DA0">
        <w:t>3.00</w:t>
      </w:r>
      <w:r w:rsidR="00FC59D2">
        <w:t>, Electric -</w:t>
      </w:r>
      <w:r w:rsidR="00AF3DA0">
        <w:t xml:space="preserve"> Pro Forma Power Supply</w:t>
      </w:r>
      <w:r w:rsidR="00285BD5">
        <w:t xml:space="preserve"> </w:t>
      </w:r>
      <w:r w:rsidR="00285BD5">
        <w:tab/>
      </w:r>
      <w:r w:rsidR="00993C2F">
        <w:t>7</w:t>
      </w:r>
    </w:p>
    <w:p w14:paraId="36FE846A" w14:textId="77777777" w:rsidR="00147415" w:rsidRDefault="00147415" w:rsidP="00147415">
      <w:pPr>
        <w:pStyle w:val="ListParagraph"/>
      </w:pPr>
    </w:p>
    <w:p w14:paraId="36FE846B" w14:textId="77777777" w:rsidR="00285BD5" w:rsidRDefault="00790CB3" w:rsidP="00044830">
      <w:pPr>
        <w:pStyle w:val="ListParagraph"/>
        <w:numPr>
          <w:ilvl w:val="0"/>
          <w:numId w:val="13"/>
        </w:numPr>
        <w:tabs>
          <w:tab w:val="left" w:pos="720"/>
          <w:tab w:val="left" w:pos="1440"/>
          <w:tab w:val="left" w:pos="2160"/>
          <w:tab w:val="right" w:leader="dot" w:pos="8820"/>
        </w:tabs>
        <w:ind w:hanging="720"/>
      </w:pPr>
      <w:r>
        <w:t>Adjustment 3.07</w:t>
      </w:r>
      <w:r w:rsidR="00FC59D2">
        <w:t>,</w:t>
      </w:r>
      <w:r>
        <w:t xml:space="preserve"> </w:t>
      </w:r>
      <w:r w:rsidR="00FC59D2">
        <w:t>Electric</w:t>
      </w:r>
      <w:r>
        <w:t xml:space="preserve"> Adjustment 3.06</w:t>
      </w:r>
      <w:r w:rsidR="00FC59D2">
        <w:t xml:space="preserve">, Natural Gas </w:t>
      </w:r>
      <w:r w:rsidR="00285BD5">
        <w:t>–</w:t>
      </w:r>
      <w:r w:rsidR="0019004D">
        <w:t xml:space="preserve"> </w:t>
      </w:r>
    </w:p>
    <w:p w14:paraId="36FE846C" w14:textId="77777777" w:rsidR="00285BD5" w:rsidRDefault="0019004D" w:rsidP="00285BD5">
      <w:pPr>
        <w:pStyle w:val="ListParagraph"/>
        <w:tabs>
          <w:tab w:val="left" w:pos="720"/>
          <w:tab w:val="left" w:pos="1440"/>
          <w:tab w:val="left" w:pos="2160"/>
          <w:tab w:val="right" w:leader="dot" w:pos="8820"/>
        </w:tabs>
        <w:ind w:left="1440"/>
      </w:pPr>
      <w:r>
        <w:t>Restating 2011 Capital</w:t>
      </w:r>
      <w:r w:rsidR="00993C2F">
        <w:t>;</w:t>
      </w:r>
      <w:r w:rsidR="00670359">
        <w:t xml:space="preserve"> </w:t>
      </w:r>
      <w:r w:rsidR="001814EC">
        <w:t>Adjustment 4.00</w:t>
      </w:r>
      <w:r w:rsidR="00FC59D2">
        <w:t xml:space="preserve">, Electric and Natural Gas </w:t>
      </w:r>
      <w:r w:rsidR="00285BD5">
        <w:t>–</w:t>
      </w:r>
      <w:r w:rsidR="001814EC">
        <w:t xml:space="preserve"> </w:t>
      </w:r>
    </w:p>
    <w:p w14:paraId="36FE846D" w14:textId="77777777" w:rsidR="00285BD5" w:rsidRDefault="00993C2F" w:rsidP="00285BD5">
      <w:pPr>
        <w:pStyle w:val="ListParagraph"/>
        <w:tabs>
          <w:tab w:val="left" w:pos="720"/>
          <w:tab w:val="left" w:pos="1440"/>
          <w:tab w:val="left" w:pos="2160"/>
          <w:tab w:val="right" w:leader="dot" w:pos="8820"/>
        </w:tabs>
        <w:ind w:left="1440"/>
      </w:pPr>
      <w:r>
        <w:t>Planned Capital Additions 2012;</w:t>
      </w:r>
      <w:r w:rsidR="001814EC">
        <w:t xml:space="preserve"> Adjustment 4.01</w:t>
      </w:r>
      <w:r w:rsidR="00FC59D2">
        <w:t xml:space="preserve">, Electric and </w:t>
      </w:r>
    </w:p>
    <w:p w14:paraId="36FE846E" w14:textId="77777777" w:rsidR="00285BD5" w:rsidRDefault="00FC59D2" w:rsidP="00285BD5">
      <w:pPr>
        <w:pStyle w:val="ListParagraph"/>
        <w:tabs>
          <w:tab w:val="left" w:pos="720"/>
          <w:tab w:val="left" w:pos="1440"/>
          <w:tab w:val="left" w:pos="2160"/>
          <w:tab w:val="right" w:leader="dot" w:pos="8820"/>
        </w:tabs>
        <w:ind w:left="1440"/>
      </w:pPr>
      <w:r>
        <w:t>Natural Gas -</w:t>
      </w:r>
      <w:r w:rsidR="001814EC">
        <w:t xml:space="preserve"> Planned Capital Additions 2013 AMA</w:t>
      </w:r>
      <w:r w:rsidR="00993C2F">
        <w:t>;</w:t>
      </w:r>
      <w:r w:rsidR="006B5436">
        <w:t xml:space="preserve"> Adjustment 4.02</w:t>
      </w:r>
      <w:r>
        <w:t xml:space="preserve">, Electric </w:t>
      </w:r>
      <w:r w:rsidR="00993C2F">
        <w:t>– DSM;</w:t>
      </w:r>
      <w:r w:rsidR="006B5436">
        <w:t xml:space="preserve"> Adjustment 4.03</w:t>
      </w:r>
      <w:r>
        <w:t xml:space="preserve">, Electric </w:t>
      </w:r>
      <w:r w:rsidR="00044830">
        <w:t>–</w:t>
      </w:r>
      <w:r w:rsidR="006B5436">
        <w:t xml:space="preserve"> Other</w:t>
      </w:r>
      <w:r w:rsidR="00044830">
        <w:t>,</w:t>
      </w:r>
      <w:r w:rsidR="00044830" w:rsidRPr="00044830">
        <w:t xml:space="preserve"> </w:t>
      </w:r>
      <w:r w:rsidR="00044830">
        <w:t xml:space="preserve">Adjustment 4.06 </w:t>
      </w:r>
    </w:p>
    <w:p w14:paraId="36FE846F" w14:textId="77777777" w:rsidR="006B5436" w:rsidRDefault="00044830" w:rsidP="00285BD5">
      <w:pPr>
        <w:pStyle w:val="ListParagraph"/>
        <w:tabs>
          <w:tab w:val="left" w:pos="720"/>
          <w:tab w:val="left" w:pos="1440"/>
          <w:tab w:val="left" w:pos="2160"/>
          <w:tab w:val="left" w:pos="2880"/>
          <w:tab w:val="left" w:pos="3600"/>
          <w:tab w:val="right" w:leader="dot" w:pos="8910"/>
        </w:tabs>
        <w:ind w:left="1440"/>
      </w:pPr>
      <w:r>
        <w:t>Electric and 4.03 Natural Gas - O&amp;M Offsets</w:t>
      </w:r>
      <w:r w:rsidR="00285BD5">
        <w:t xml:space="preserve"> </w:t>
      </w:r>
      <w:r w:rsidR="00285BD5">
        <w:tab/>
      </w:r>
      <w:r w:rsidR="00993C2F">
        <w:t>8</w:t>
      </w:r>
    </w:p>
    <w:p w14:paraId="36FE8470" w14:textId="77777777" w:rsidR="00147415" w:rsidRDefault="00147415" w:rsidP="00285BD5">
      <w:pPr>
        <w:pStyle w:val="ListParagraph"/>
        <w:tabs>
          <w:tab w:val="right" w:leader="dot" w:pos="8910"/>
        </w:tabs>
      </w:pPr>
    </w:p>
    <w:p w14:paraId="36FE8471" w14:textId="77777777" w:rsidR="00790CB3" w:rsidRDefault="009D786E" w:rsidP="00285BD5">
      <w:pPr>
        <w:pStyle w:val="ListParagraph"/>
        <w:numPr>
          <w:ilvl w:val="0"/>
          <w:numId w:val="13"/>
        </w:numPr>
        <w:tabs>
          <w:tab w:val="left" w:pos="720"/>
          <w:tab w:val="left" w:pos="1440"/>
          <w:tab w:val="left" w:pos="2160"/>
          <w:tab w:val="left" w:pos="2880"/>
          <w:tab w:val="left" w:pos="3600"/>
          <w:tab w:val="right" w:leader="dot" w:pos="8910"/>
        </w:tabs>
        <w:ind w:hanging="720"/>
      </w:pPr>
      <w:r>
        <w:t xml:space="preserve">Staff </w:t>
      </w:r>
      <w:r w:rsidR="0027537A">
        <w:t>Adjustment 3.08</w:t>
      </w:r>
      <w:r w:rsidR="00FC59D2">
        <w:t>, Electric -</w:t>
      </w:r>
      <w:r w:rsidR="0027537A">
        <w:t xml:space="preserve"> </w:t>
      </w:r>
      <w:proofErr w:type="spellStart"/>
      <w:r w:rsidR="00DF743C">
        <w:t>Noxon</w:t>
      </w:r>
      <w:proofErr w:type="spellEnd"/>
      <w:r w:rsidR="00DF743C">
        <w:t xml:space="preserve"> Rapids Unit 4 Runner Upgrade</w:t>
      </w:r>
      <w:r w:rsidR="0027537A">
        <w:t xml:space="preserve"> </w:t>
      </w:r>
      <w:r w:rsidR="00285BD5">
        <w:tab/>
      </w:r>
      <w:r w:rsidR="00D007DA">
        <w:t>9</w:t>
      </w:r>
    </w:p>
    <w:p w14:paraId="36FE8472" w14:textId="77777777" w:rsidR="00147415" w:rsidRDefault="00147415" w:rsidP="00285BD5">
      <w:pPr>
        <w:pStyle w:val="ListParagraph"/>
        <w:tabs>
          <w:tab w:val="right" w:leader="dot" w:pos="8910"/>
        </w:tabs>
      </w:pPr>
    </w:p>
    <w:p w14:paraId="36FE8473" w14:textId="77777777" w:rsidR="00911778" w:rsidRDefault="009D786E" w:rsidP="00285BD5">
      <w:pPr>
        <w:pStyle w:val="ListParagraph"/>
        <w:numPr>
          <w:ilvl w:val="0"/>
          <w:numId w:val="13"/>
        </w:numPr>
        <w:tabs>
          <w:tab w:val="left" w:pos="720"/>
          <w:tab w:val="left" w:pos="1440"/>
          <w:tab w:val="left" w:pos="2160"/>
          <w:tab w:val="left" w:pos="2880"/>
          <w:tab w:val="left" w:pos="3600"/>
          <w:tab w:val="right" w:leader="dot" w:pos="8910"/>
        </w:tabs>
        <w:ind w:hanging="720"/>
      </w:pPr>
      <w:r>
        <w:t xml:space="preserve">Staff </w:t>
      </w:r>
      <w:r w:rsidR="00CF1836">
        <w:t>Adjustment 3.09</w:t>
      </w:r>
      <w:r w:rsidR="00FC59D2">
        <w:t>, Electric -</w:t>
      </w:r>
      <w:r w:rsidR="00A461BB" w:rsidRPr="00A461BB">
        <w:t xml:space="preserve"> Pu</w:t>
      </w:r>
      <w:r w:rsidR="00A461BB">
        <w:t>l</w:t>
      </w:r>
      <w:r w:rsidR="00A461BB" w:rsidRPr="00A461BB">
        <w:t>lman Smart Grid Adjustment</w:t>
      </w:r>
      <w:r w:rsidR="00285BD5">
        <w:t xml:space="preserve"> </w:t>
      </w:r>
      <w:r w:rsidR="00285BD5">
        <w:tab/>
      </w:r>
      <w:r w:rsidR="00D007DA">
        <w:t>10</w:t>
      </w:r>
    </w:p>
    <w:p w14:paraId="36FE8474" w14:textId="77777777" w:rsidR="00147415" w:rsidRDefault="00147415" w:rsidP="00285BD5">
      <w:pPr>
        <w:pStyle w:val="ListParagraph"/>
        <w:tabs>
          <w:tab w:val="right" w:leader="dot" w:pos="8910"/>
        </w:tabs>
      </w:pPr>
    </w:p>
    <w:p w14:paraId="36FE8475" w14:textId="77777777" w:rsidR="003A44B0" w:rsidRDefault="003A44B0" w:rsidP="00285BD5">
      <w:pPr>
        <w:pStyle w:val="ListParagraph"/>
        <w:numPr>
          <w:ilvl w:val="0"/>
          <w:numId w:val="13"/>
        </w:numPr>
        <w:tabs>
          <w:tab w:val="left" w:pos="720"/>
          <w:tab w:val="left" w:pos="1440"/>
          <w:tab w:val="left" w:pos="2160"/>
          <w:tab w:val="left" w:pos="2880"/>
          <w:tab w:val="left" w:pos="3600"/>
          <w:tab w:val="right" w:leader="dot" w:pos="8910"/>
        </w:tabs>
        <w:ind w:hanging="720"/>
      </w:pPr>
      <w:r>
        <w:t>Adjustment 4.04</w:t>
      </w:r>
      <w:r w:rsidR="00FC59D2">
        <w:t>, Electric -</w:t>
      </w:r>
      <w:r>
        <w:t xml:space="preserve"> Retail Revenue Credit</w:t>
      </w:r>
      <w:r w:rsidR="00285BD5">
        <w:t xml:space="preserve"> </w:t>
      </w:r>
      <w:r w:rsidR="00285BD5">
        <w:tab/>
      </w:r>
      <w:r w:rsidR="00D007DA">
        <w:t>10</w:t>
      </w:r>
    </w:p>
    <w:p w14:paraId="36FE8476" w14:textId="77777777" w:rsidR="00890705" w:rsidRDefault="00890705" w:rsidP="00285BD5">
      <w:pPr>
        <w:tabs>
          <w:tab w:val="left" w:pos="720"/>
          <w:tab w:val="left" w:pos="1440"/>
          <w:tab w:val="left" w:pos="2160"/>
          <w:tab w:val="right" w:leader="dot" w:pos="8820"/>
          <w:tab w:val="right" w:leader="dot" w:pos="8910"/>
        </w:tabs>
      </w:pPr>
    </w:p>
    <w:p w14:paraId="36FE8477" w14:textId="77777777" w:rsidR="00DC406A" w:rsidRDefault="003503FC" w:rsidP="00285BD5">
      <w:pPr>
        <w:tabs>
          <w:tab w:val="left" w:pos="720"/>
          <w:tab w:val="left" w:pos="1440"/>
          <w:tab w:val="left" w:pos="2160"/>
          <w:tab w:val="left" w:pos="2880"/>
          <w:tab w:val="left" w:pos="3600"/>
          <w:tab w:val="right" w:leader="dot" w:pos="8910"/>
          <w:tab w:val="right" w:leader="dot" w:pos="9090"/>
        </w:tabs>
      </w:pPr>
      <w:r>
        <w:t>V</w:t>
      </w:r>
      <w:r w:rsidR="001A29C6">
        <w:t>.</w:t>
      </w:r>
      <w:r w:rsidR="001A29C6">
        <w:tab/>
      </w:r>
      <w:r w:rsidR="00DC406A">
        <w:t>DEFERRED MAINTENANCE</w:t>
      </w:r>
      <w:r w:rsidR="00285BD5">
        <w:t xml:space="preserve"> </w:t>
      </w:r>
      <w:r w:rsidR="00285BD5">
        <w:tab/>
      </w:r>
      <w:r w:rsidR="00D007DA">
        <w:t>10</w:t>
      </w:r>
    </w:p>
    <w:p w14:paraId="36FE8478" w14:textId="77777777" w:rsidR="00DC406A" w:rsidRDefault="00DC406A" w:rsidP="00285BD5">
      <w:pPr>
        <w:tabs>
          <w:tab w:val="left" w:pos="720"/>
          <w:tab w:val="left" w:pos="1440"/>
          <w:tab w:val="left" w:pos="2160"/>
          <w:tab w:val="right" w:leader="dot" w:pos="8820"/>
          <w:tab w:val="right" w:leader="dot" w:pos="8910"/>
        </w:tabs>
      </w:pPr>
    </w:p>
    <w:p w14:paraId="36FE8479" w14:textId="77777777" w:rsidR="002A6719" w:rsidRDefault="00DC406A" w:rsidP="00285BD5">
      <w:pPr>
        <w:tabs>
          <w:tab w:val="left" w:pos="720"/>
          <w:tab w:val="left" w:pos="1440"/>
          <w:tab w:val="left" w:pos="2160"/>
          <w:tab w:val="right" w:leader="dot" w:pos="8910"/>
        </w:tabs>
      </w:pPr>
      <w:r>
        <w:t>V</w:t>
      </w:r>
      <w:r w:rsidR="0079306F">
        <w:t>I</w:t>
      </w:r>
      <w:r>
        <w:t>.</w:t>
      </w:r>
      <w:r>
        <w:tab/>
        <w:t>ALLOCATIONS</w:t>
      </w:r>
      <w:r w:rsidRPr="002942A6">
        <w:tab/>
      </w:r>
      <w:r w:rsidR="0079306F">
        <w:t>16</w:t>
      </w:r>
    </w:p>
    <w:p w14:paraId="36FE847A" w14:textId="77777777" w:rsidR="001A29C6" w:rsidRDefault="001A29C6" w:rsidP="00285BD5">
      <w:pPr>
        <w:tabs>
          <w:tab w:val="left" w:pos="720"/>
          <w:tab w:val="left" w:pos="1440"/>
          <w:tab w:val="left" w:pos="2160"/>
          <w:tab w:val="right" w:leader="dot" w:pos="8820"/>
          <w:tab w:val="right" w:leader="dot" w:pos="8910"/>
        </w:tabs>
      </w:pPr>
    </w:p>
    <w:p w14:paraId="36FE847B" w14:textId="77777777" w:rsidR="00E63256" w:rsidRDefault="00E63256" w:rsidP="00285BD5">
      <w:pPr>
        <w:tabs>
          <w:tab w:val="left" w:pos="720"/>
          <w:tab w:val="left" w:pos="1440"/>
          <w:tab w:val="left" w:pos="2160"/>
          <w:tab w:val="left" w:pos="2880"/>
          <w:tab w:val="left" w:pos="3600"/>
          <w:tab w:val="right" w:leader="dot" w:pos="8910"/>
        </w:tabs>
      </w:pPr>
      <w:r>
        <w:t>VI</w:t>
      </w:r>
      <w:r w:rsidR="000C4EA7">
        <w:t>I</w:t>
      </w:r>
      <w:r>
        <w:t>.</w:t>
      </w:r>
      <w:r>
        <w:tab/>
        <w:t>RENEWABLE ENERGY CREDITS REVENUE</w:t>
      </w:r>
      <w:r w:rsidR="00285BD5">
        <w:t xml:space="preserve"> </w:t>
      </w:r>
      <w:r w:rsidR="00285BD5">
        <w:tab/>
      </w:r>
      <w:r w:rsidR="000C4EA7">
        <w:t>17</w:t>
      </w:r>
    </w:p>
    <w:p w14:paraId="36FE847C" w14:textId="77777777" w:rsidR="00E63256" w:rsidRDefault="00E63256" w:rsidP="00285BD5">
      <w:pPr>
        <w:tabs>
          <w:tab w:val="left" w:pos="720"/>
          <w:tab w:val="left" w:pos="1440"/>
          <w:tab w:val="left" w:pos="2160"/>
          <w:tab w:val="right" w:leader="dot" w:pos="8820"/>
          <w:tab w:val="right" w:leader="dot" w:pos="8910"/>
        </w:tabs>
      </w:pPr>
    </w:p>
    <w:p w14:paraId="36FE847D" w14:textId="77777777" w:rsidR="00BE055B" w:rsidRDefault="00BE055B" w:rsidP="00285BD5">
      <w:pPr>
        <w:tabs>
          <w:tab w:val="left" w:pos="720"/>
          <w:tab w:val="left" w:pos="1440"/>
          <w:tab w:val="left" w:pos="2160"/>
          <w:tab w:val="right" w:leader="dot" w:pos="8910"/>
        </w:tabs>
      </w:pPr>
      <w:r>
        <w:t>V</w:t>
      </w:r>
      <w:r w:rsidR="002F4501">
        <w:t>I</w:t>
      </w:r>
      <w:r w:rsidR="003503FC">
        <w:t>I</w:t>
      </w:r>
      <w:r w:rsidR="00117A31">
        <w:t>I</w:t>
      </w:r>
      <w:r>
        <w:t>.</w:t>
      </w:r>
      <w:r>
        <w:tab/>
        <w:t xml:space="preserve">ATTRITION ANALYSIS </w:t>
      </w:r>
      <w:r>
        <w:tab/>
      </w:r>
      <w:r w:rsidR="00117A31">
        <w:t>19</w:t>
      </w:r>
    </w:p>
    <w:p w14:paraId="36FE847E" w14:textId="77777777" w:rsidR="00BE055B" w:rsidRDefault="00BE055B" w:rsidP="00285BD5">
      <w:pPr>
        <w:tabs>
          <w:tab w:val="left" w:pos="720"/>
          <w:tab w:val="left" w:pos="1440"/>
          <w:tab w:val="left" w:pos="2160"/>
          <w:tab w:val="right" w:leader="dot" w:pos="8820"/>
          <w:tab w:val="right" w:leader="dot" w:pos="8910"/>
        </w:tabs>
      </w:pPr>
    </w:p>
    <w:p w14:paraId="36FE847F" w14:textId="77777777" w:rsidR="005F21BF" w:rsidRDefault="005F21BF" w:rsidP="00285BD5">
      <w:pPr>
        <w:numPr>
          <w:ilvl w:val="0"/>
          <w:numId w:val="3"/>
        </w:numPr>
        <w:tabs>
          <w:tab w:val="left" w:pos="720"/>
          <w:tab w:val="left" w:pos="1440"/>
          <w:tab w:val="right" w:leader="dot" w:pos="8910"/>
        </w:tabs>
        <w:ind w:left="1440" w:hanging="720"/>
      </w:pPr>
      <w:r>
        <w:t>B</w:t>
      </w:r>
      <w:r w:rsidRPr="002942A6">
        <w:t>ackground</w:t>
      </w:r>
      <w:r w:rsidRPr="002942A6">
        <w:tab/>
      </w:r>
      <w:r w:rsidR="00195097">
        <w:t>19</w:t>
      </w:r>
    </w:p>
    <w:p w14:paraId="36FE8480" w14:textId="77777777" w:rsidR="00195097" w:rsidRPr="002942A6" w:rsidRDefault="00195097" w:rsidP="00195097">
      <w:pPr>
        <w:tabs>
          <w:tab w:val="left" w:pos="720"/>
          <w:tab w:val="left" w:pos="1440"/>
          <w:tab w:val="right" w:leader="dot" w:pos="8910"/>
        </w:tabs>
        <w:ind w:left="1440"/>
      </w:pPr>
    </w:p>
    <w:p w14:paraId="36FE8481" w14:textId="77777777" w:rsidR="005F21BF" w:rsidRDefault="00E0738A" w:rsidP="00285BD5">
      <w:pPr>
        <w:numPr>
          <w:ilvl w:val="0"/>
          <w:numId w:val="3"/>
        </w:numPr>
        <w:tabs>
          <w:tab w:val="left" w:pos="720"/>
          <w:tab w:val="left" w:pos="1440"/>
          <w:tab w:val="right" w:leader="dot" w:pos="8910"/>
        </w:tabs>
        <w:ind w:left="1440" w:hanging="720"/>
      </w:pPr>
      <w:r w:rsidRPr="00E0738A">
        <w:lastRenderedPageBreak/>
        <w:t>Scenarios Explaining How Attrition Works</w:t>
      </w:r>
      <w:r>
        <w:rPr>
          <w:b/>
        </w:rPr>
        <w:t xml:space="preserve">  </w:t>
      </w:r>
      <w:r w:rsidR="005F21BF" w:rsidRPr="00890705">
        <w:tab/>
      </w:r>
      <w:r w:rsidR="00195097">
        <w:t>21</w:t>
      </w:r>
    </w:p>
    <w:p w14:paraId="36FE8482" w14:textId="77777777" w:rsidR="00195097" w:rsidRPr="00890705" w:rsidRDefault="00195097" w:rsidP="00195097">
      <w:pPr>
        <w:tabs>
          <w:tab w:val="left" w:pos="720"/>
          <w:tab w:val="left" w:pos="1440"/>
          <w:tab w:val="right" w:leader="dot" w:pos="8910"/>
        </w:tabs>
        <w:ind w:left="1440"/>
      </w:pPr>
    </w:p>
    <w:p w14:paraId="36FE8483" w14:textId="645D50F5" w:rsidR="00195097" w:rsidRDefault="00195097" w:rsidP="00195097">
      <w:pPr>
        <w:tabs>
          <w:tab w:val="left" w:pos="720"/>
          <w:tab w:val="left" w:pos="1440"/>
          <w:tab w:val="right" w:leader="dot" w:pos="8910"/>
        </w:tabs>
      </w:pPr>
      <w:r>
        <w:tab/>
        <w:t>C.</w:t>
      </w:r>
      <w:r>
        <w:tab/>
        <w:t>How an Attrition Analysis is Per</w:t>
      </w:r>
      <w:r w:rsidR="008F43B0">
        <w:t xml:space="preserve">formed; Complicating Factors </w:t>
      </w:r>
      <w:r w:rsidR="008F43B0">
        <w:tab/>
        <w:t>24</w:t>
      </w:r>
    </w:p>
    <w:p w14:paraId="36FE8484" w14:textId="77777777" w:rsidR="00195097" w:rsidRDefault="00195097" w:rsidP="00195097">
      <w:pPr>
        <w:tabs>
          <w:tab w:val="left" w:pos="720"/>
          <w:tab w:val="left" w:pos="1440"/>
          <w:tab w:val="right" w:leader="dot" w:pos="8910"/>
        </w:tabs>
      </w:pPr>
    </w:p>
    <w:p w14:paraId="36FE8485" w14:textId="6CBDC65F" w:rsidR="00195097" w:rsidRDefault="008F43B0" w:rsidP="00195097">
      <w:pPr>
        <w:tabs>
          <w:tab w:val="left" w:pos="720"/>
          <w:tab w:val="left" w:pos="1440"/>
          <w:tab w:val="right" w:leader="dot" w:pos="8910"/>
        </w:tabs>
      </w:pPr>
      <w:r>
        <w:tab/>
        <w:t>D.</w:t>
      </w:r>
      <w:r>
        <w:tab/>
        <w:t xml:space="preserve">Staff’s Attrition Study </w:t>
      </w:r>
      <w:r>
        <w:tab/>
        <w:t>26</w:t>
      </w:r>
    </w:p>
    <w:p w14:paraId="36FE8486" w14:textId="77777777" w:rsidR="00195097" w:rsidRDefault="00195097" w:rsidP="00195097">
      <w:pPr>
        <w:tabs>
          <w:tab w:val="left" w:pos="720"/>
          <w:tab w:val="left" w:pos="1440"/>
          <w:tab w:val="right" w:leader="dot" w:pos="8910"/>
        </w:tabs>
      </w:pPr>
    </w:p>
    <w:p w14:paraId="36FE8487" w14:textId="3A02DB38" w:rsidR="00195097" w:rsidRDefault="008F43B0" w:rsidP="00195097">
      <w:pPr>
        <w:tabs>
          <w:tab w:val="left" w:pos="720"/>
          <w:tab w:val="left" w:pos="1440"/>
          <w:tab w:val="left" w:pos="2160"/>
          <w:tab w:val="right" w:leader="dot" w:pos="8910"/>
        </w:tabs>
      </w:pPr>
      <w:r>
        <w:tab/>
      </w:r>
      <w:r>
        <w:tab/>
        <w:t>1.</w:t>
      </w:r>
      <w:r>
        <w:tab/>
        <w:t xml:space="preserve">Summary </w:t>
      </w:r>
      <w:r>
        <w:tab/>
        <w:t>26</w:t>
      </w:r>
    </w:p>
    <w:p w14:paraId="36FE8488" w14:textId="77777777" w:rsidR="00195097" w:rsidRDefault="00195097" w:rsidP="00195097">
      <w:pPr>
        <w:tabs>
          <w:tab w:val="left" w:pos="720"/>
          <w:tab w:val="left" w:pos="1440"/>
          <w:tab w:val="left" w:pos="2160"/>
          <w:tab w:val="right" w:leader="dot" w:pos="8910"/>
        </w:tabs>
      </w:pPr>
    </w:p>
    <w:p w14:paraId="36FE8489" w14:textId="18AB165C" w:rsidR="00195097" w:rsidRDefault="00195097" w:rsidP="00195097">
      <w:pPr>
        <w:tabs>
          <w:tab w:val="left" w:pos="720"/>
          <w:tab w:val="left" w:pos="1440"/>
          <w:tab w:val="left" w:pos="2160"/>
          <w:tab w:val="right" w:leader="dot" w:pos="8910"/>
        </w:tabs>
      </w:pPr>
      <w:r>
        <w:tab/>
      </w:r>
      <w:r>
        <w:tab/>
        <w:t>2.</w:t>
      </w:r>
      <w:r>
        <w:tab/>
        <w:t>Staff’s General Appr</w:t>
      </w:r>
      <w:r w:rsidR="008F43B0">
        <w:t xml:space="preserve">oach to Estimating Attrition </w:t>
      </w:r>
      <w:r w:rsidR="008F43B0">
        <w:tab/>
        <w:t>27</w:t>
      </w:r>
    </w:p>
    <w:p w14:paraId="36FE848A" w14:textId="77777777" w:rsidR="00195097" w:rsidRDefault="00195097" w:rsidP="00195097">
      <w:pPr>
        <w:tabs>
          <w:tab w:val="left" w:pos="720"/>
          <w:tab w:val="left" w:pos="1440"/>
          <w:tab w:val="left" w:pos="2160"/>
          <w:tab w:val="right" w:leader="dot" w:pos="8910"/>
        </w:tabs>
      </w:pPr>
    </w:p>
    <w:p w14:paraId="36FE848B" w14:textId="77777777" w:rsidR="00195097" w:rsidRDefault="00195097" w:rsidP="00195097">
      <w:pPr>
        <w:tabs>
          <w:tab w:val="left" w:pos="720"/>
          <w:tab w:val="left" w:pos="1440"/>
          <w:tab w:val="left" w:pos="2160"/>
          <w:tab w:val="right" w:leader="dot" w:pos="8910"/>
        </w:tabs>
      </w:pPr>
      <w:r>
        <w:tab/>
      </w:r>
      <w:r>
        <w:tab/>
        <w:t>3.</w:t>
      </w:r>
      <w:r>
        <w:tab/>
        <w:t xml:space="preserve">Evaluating Changes in Revenues – Electric Operations </w:t>
      </w:r>
      <w:r>
        <w:tab/>
        <w:t>27</w:t>
      </w:r>
    </w:p>
    <w:p w14:paraId="36FE848C" w14:textId="77777777" w:rsidR="00195097" w:rsidRDefault="00195097" w:rsidP="00195097">
      <w:pPr>
        <w:tabs>
          <w:tab w:val="left" w:pos="720"/>
          <w:tab w:val="left" w:pos="1440"/>
          <w:tab w:val="left" w:pos="2160"/>
          <w:tab w:val="right" w:leader="dot" w:pos="8910"/>
        </w:tabs>
      </w:pPr>
    </w:p>
    <w:p w14:paraId="36FE848D" w14:textId="77777777" w:rsidR="00195097" w:rsidRDefault="00195097" w:rsidP="00195097">
      <w:pPr>
        <w:tabs>
          <w:tab w:val="left" w:pos="720"/>
          <w:tab w:val="left" w:pos="1440"/>
          <w:tab w:val="left" w:pos="2160"/>
          <w:tab w:val="right" w:leader="dot" w:pos="8910"/>
        </w:tabs>
      </w:pPr>
      <w:r>
        <w:tab/>
      </w:r>
      <w:r>
        <w:tab/>
        <w:t>4.</w:t>
      </w:r>
      <w:r>
        <w:tab/>
        <w:t xml:space="preserve">Evaluating Changes in Revenues – Gas Operations </w:t>
      </w:r>
      <w:r>
        <w:tab/>
        <w:t>30</w:t>
      </w:r>
    </w:p>
    <w:p w14:paraId="36FE848E" w14:textId="77777777" w:rsidR="00195097" w:rsidRDefault="00195097" w:rsidP="00195097">
      <w:pPr>
        <w:tabs>
          <w:tab w:val="left" w:pos="720"/>
          <w:tab w:val="left" w:pos="1440"/>
          <w:tab w:val="left" w:pos="2160"/>
          <w:tab w:val="right" w:leader="dot" w:pos="8910"/>
        </w:tabs>
      </w:pPr>
    </w:p>
    <w:p w14:paraId="36FE848F" w14:textId="77777777" w:rsidR="00195097" w:rsidRDefault="00195097" w:rsidP="00195097">
      <w:pPr>
        <w:tabs>
          <w:tab w:val="left" w:pos="720"/>
          <w:tab w:val="left" w:pos="1440"/>
          <w:tab w:val="left" w:pos="2160"/>
          <w:tab w:val="right" w:leader="dot" w:pos="8910"/>
        </w:tabs>
      </w:pPr>
      <w:r>
        <w:tab/>
      </w:r>
      <w:r>
        <w:tab/>
        <w:t>5.</w:t>
      </w:r>
      <w:r>
        <w:tab/>
        <w:t xml:space="preserve">Evaluating Changes in Expenses </w:t>
      </w:r>
      <w:r>
        <w:tab/>
        <w:t>32</w:t>
      </w:r>
    </w:p>
    <w:p w14:paraId="36FE8490" w14:textId="77777777" w:rsidR="00195097" w:rsidRDefault="00195097" w:rsidP="00195097">
      <w:pPr>
        <w:tabs>
          <w:tab w:val="left" w:pos="720"/>
          <w:tab w:val="left" w:pos="1440"/>
          <w:tab w:val="left" w:pos="2160"/>
          <w:tab w:val="right" w:leader="dot" w:pos="8910"/>
        </w:tabs>
      </w:pPr>
    </w:p>
    <w:p w14:paraId="36FE8491" w14:textId="38D08B79" w:rsidR="00195097" w:rsidRDefault="00195097" w:rsidP="00195097">
      <w:pPr>
        <w:tabs>
          <w:tab w:val="left" w:pos="720"/>
          <w:tab w:val="left" w:pos="1440"/>
          <w:tab w:val="left" w:pos="2160"/>
          <w:tab w:val="right" w:leader="dot" w:pos="8910"/>
        </w:tabs>
      </w:pPr>
      <w:r>
        <w:tab/>
      </w:r>
      <w:r>
        <w:tab/>
        <w:t>6.</w:t>
      </w:r>
      <w:r>
        <w:tab/>
        <w:t>Eva</w:t>
      </w:r>
      <w:r w:rsidR="008F43B0">
        <w:t xml:space="preserve">luating Changes in Rate Base </w:t>
      </w:r>
      <w:r w:rsidR="008F43B0">
        <w:tab/>
        <w:t>35</w:t>
      </w:r>
    </w:p>
    <w:p w14:paraId="36FE8492" w14:textId="77777777" w:rsidR="00195097" w:rsidRDefault="00195097" w:rsidP="00195097">
      <w:pPr>
        <w:tabs>
          <w:tab w:val="left" w:pos="720"/>
          <w:tab w:val="left" w:pos="1440"/>
          <w:tab w:val="left" w:pos="2160"/>
          <w:tab w:val="right" w:leader="dot" w:pos="8910"/>
        </w:tabs>
      </w:pPr>
    </w:p>
    <w:p w14:paraId="36FE8493" w14:textId="77777777" w:rsidR="00195097" w:rsidRDefault="00195097" w:rsidP="00195097">
      <w:pPr>
        <w:tabs>
          <w:tab w:val="left" w:pos="720"/>
          <w:tab w:val="left" w:pos="1440"/>
          <w:tab w:val="left" w:pos="2160"/>
          <w:tab w:val="right" w:leader="dot" w:pos="8910"/>
        </w:tabs>
      </w:pPr>
      <w:r>
        <w:tab/>
      </w:r>
      <w:r>
        <w:tab/>
        <w:t>7.</w:t>
      </w:r>
      <w:r>
        <w:tab/>
        <w:t xml:space="preserve">Results of Staff’s Attrition Study </w:t>
      </w:r>
      <w:r>
        <w:tab/>
        <w:t>36</w:t>
      </w:r>
    </w:p>
    <w:p w14:paraId="36FE8494" w14:textId="77777777" w:rsidR="00195097" w:rsidRDefault="00195097" w:rsidP="00195097">
      <w:pPr>
        <w:tabs>
          <w:tab w:val="left" w:pos="720"/>
          <w:tab w:val="left" w:pos="1440"/>
          <w:tab w:val="right" w:leader="dot" w:pos="8910"/>
        </w:tabs>
      </w:pPr>
    </w:p>
    <w:p w14:paraId="36FE8495" w14:textId="77777777" w:rsidR="00195097" w:rsidRDefault="00195097" w:rsidP="00285BD5">
      <w:pPr>
        <w:tabs>
          <w:tab w:val="left" w:pos="0"/>
          <w:tab w:val="left" w:pos="2160"/>
          <w:tab w:val="right" w:leader="dot" w:pos="8820"/>
          <w:tab w:val="right" w:leader="dot" w:pos="8910"/>
        </w:tabs>
        <w:jc w:val="center"/>
        <w:rPr>
          <w:b/>
        </w:rPr>
      </w:pPr>
    </w:p>
    <w:p w14:paraId="36FE8496" w14:textId="77777777" w:rsidR="00890705" w:rsidRDefault="00890705" w:rsidP="00285BD5">
      <w:pPr>
        <w:tabs>
          <w:tab w:val="left" w:pos="0"/>
          <w:tab w:val="left" w:pos="2160"/>
          <w:tab w:val="right" w:leader="dot" w:pos="8820"/>
          <w:tab w:val="right" w:leader="dot" w:pos="8910"/>
        </w:tabs>
        <w:jc w:val="center"/>
        <w:rPr>
          <w:b/>
        </w:rPr>
      </w:pPr>
    </w:p>
    <w:p w14:paraId="36FE8497" w14:textId="77777777" w:rsidR="00507D3D" w:rsidRDefault="00B814E2" w:rsidP="00507D3D">
      <w:pPr>
        <w:tabs>
          <w:tab w:val="left" w:pos="0"/>
          <w:tab w:val="left" w:pos="2160"/>
          <w:tab w:val="right" w:leader="dot" w:pos="8820"/>
        </w:tabs>
        <w:jc w:val="center"/>
        <w:rPr>
          <w:b/>
        </w:rPr>
      </w:pPr>
      <w:r>
        <w:rPr>
          <w:b/>
        </w:rPr>
        <w:t>List of Exhibits</w:t>
      </w:r>
    </w:p>
    <w:p w14:paraId="36FE8498" w14:textId="77777777" w:rsidR="00507D3D" w:rsidRDefault="00507D3D" w:rsidP="00EC2FF2">
      <w:pPr>
        <w:tabs>
          <w:tab w:val="left" w:pos="0"/>
          <w:tab w:val="left" w:pos="2160"/>
          <w:tab w:val="right" w:leader="dot" w:pos="8820"/>
        </w:tabs>
        <w:rPr>
          <w:b/>
        </w:rPr>
      </w:pPr>
    </w:p>
    <w:p w14:paraId="36FE8499" w14:textId="77777777" w:rsidR="008E2CBC" w:rsidRDefault="004273EF" w:rsidP="00EC2FF2">
      <w:pPr>
        <w:tabs>
          <w:tab w:val="left" w:pos="0"/>
          <w:tab w:val="left" w:pos="2160"/>
          <w:tab w:val="right" w:leader="dot" w:pos="8820"/>
        </w:tabs>
      </w:pPr>
      <w:r>
        <w:t>Exhibit No. ___ (KHB-2), Overall Electric and Natural Gas Revenue Requirement</w:t>
      </w:r>
    </w:p>
    <w:p w14:paraId="36FE849A" w14:textId="77777777" w:rsidR="008E2CBC" w:rsidRDefault="008E2CBC" w:rsidP="00EC2FF2">
      <w:pPr>
        <w:tabs>
          <w:tab w:val="left" w:pos="0"/>
          <w:tab w:val="left" w:pos="2160"/>
          <w:tab w:val="right" w:leader="dot" w:pos="8820"/>
        </w:tabs>
      </w:pPr>
    </w:p>
    <w:p w14:paraId="36FE849B" w14:textId="77777777" w:rsidR="00EC2FF2" w:rsidRDefault="00B814E2" w:rsidP="00285BD5">
      <w:pPr>
        <w:tabs>
          <w:tab w:val="left" w:pos="2160"/>
          <w:tab w:val="right" w:leader="dot" w:pos="8820"/>
        </w:tabs>
        <w:ind w:left="2610" w:hanging="2610"/>
      </w:pPr>
      <w:r>
        <w:t>Exhibit No</w:t>
      </w:r>
      <w:r w:rsidR="00BF5768">
        <w:t>. ___ (</w:t>
      </w:r>
      <w:r w:rsidR="00DC406A">
        <w:t>KHB</w:t>
      </w:r>
      <w:r>
        <w:t>-</w:t>
      </w:r>
      <w:r w:rsidR="004273EF">
        <w:t>3</w:t>
      </w:r>
      <w:r w:rsidR="00BF5768">
        <w:t>)</w:t>
      </w:r>
      <w:r>
        <w:t>,</w:t>
      </w:r>
      <w:r w:rsidR="00EC2FF2" w:rsidRPr="00EC2FF2">
        <w:t xml:space="preserve"> </w:t>
      </w:r>
      <w:r w:rsidR="009D786E">
        <w:t xml:space="preserve">Staff </w:t>
      </w:r>
      <w:r w:rsidR="00EC2FF2">
        <w:t>Adjustment 1.04</w:t>
      </w:r>
      <w:r w:rsidR="00147415">
        <w:t>, Electric and Gas -</w:t>
      </w:r>
      <w:r w:rsidR="00EC2FF2">
        <w:t xml:space="preserve"> Federal Income Tax Correction</w:t>
      </w:r>
    </w:p>
    <w:p w14:paraId="36FE849C" w14:textId="77777777" w:rsidR="00EC2FF2" w:rsidRDefault="00EC2FF2" w:rsidP="00EC2FF2">
      <w:pPr>
        <w:tabs>
          <w:tab w:val="left" w:pos="0"/>
          <w:tab w:val="left" w:pos="2160"/>
          <w:tab w:val="right" w:leader="dot" w:pos="8820"/>
        </w:tabs>
      </w:pPr>
    </w:p>
    <w:p w14:paraId="36FE849D" w14:textId="77777777" w:rsidR="00B814E2" w:rsidRDefault="00B814E2" w:rsidP="00285BD5">
      <w:pPr>
        <w:ind w:left="2610" w:hanging="2610"/>
      </w:pPr>
      <w:r>
        <w:t>Exhibit N</w:t>
      </w:r>
      <w:r w:rsidR="00DC406A">
        <w:t>o</w:t>
      </w:r>
      <w:r w:rsidR="00BF5768">
        <w:t>. ___ (</w:t>
      </w:r>
      <w:r w:rsidR="00DC406A">
        <w:t>KHB</w:t>
      </w:r>
      <w:r>
        <w:t>-</w:t>
      </w:r>
      <w:r w:rsidR="004273EF">
        <w:t>4</w:t>
      </w:r>
      <w:r w:rsidR="00BF5768">
        <w:t>)</w:t>
      </w:r>
      <w:r>
        <w:t xml:space="preserve">, </w:t>
      </w:r>
      <w:r w:rsidR="00EC2FF2">
        <w:t>Adjustment 2.16</w:t>
      </w:r>
      <w:r w:rsidR="00147415">
        <w:t>, Electric -</w:t>
      </w:r>
      <w:r w:rsidR="00EC2FF2">
        <w:t xml:space="preserve"> Colstrip and Coyote Springs 2 Maintenance </w:t>
      </w:r>
    </w:p>
    <w:p w14:paraId="36FE849E" w14:textId="77777777" w:rsidR="002E57B9" w:rsidRDefault="002E57B9" w:rsidP="00B814E2"/>
    <w:p w14:paraId="36FE849F" w14:textId="77777777" w:rsidR="00EC2FF2" w:rsidRDefault="00B6085F" w:rsidP="00285BD5">
      <w:pPr>
        <w:tabs>
          <w:tab w:val="left" w:pos="1440"/>
          <w:tab w:val="left" w:pos="2160"/>
          <w:tab w:val="right" w:leader="dot" w:pos="8820"/>
        </w:tabs>
        <w:ind w:left="2610" w:hanging="2610"/>
      </w:pPr>
      <w:r>
        <w:t>Exhibit No</w:t>
      </w:r>
      <w:r w:rsidR="00BF5768">
        <w:t>. ___ (</w:t>
      </w:r>
      <w:r>
        <w:t>KHB-</w:t>
      </w:r>
      <w:r w:rsidR="004273EF">
        <w:t>5</w:t>
      </w:r>
      <w:r w:rsidR="00BF5768">
        <w:t>),</w:t>
      </w:r>
      <w:r>
        <w:t xml:space="preserve"> </w:t>
      </w:r>
      <w:r w:rsidR="009D786E">
        <w:t xml:space="preserve">Staff </w:t>
      </w:r>
      <w:r w:rsidR="00EC2FF2">
        <w:t>Adjustment 2.18</w:t>
      </w:r>
      <w:r w:rsidR="00147415">
        <w:t xml:space="preserve">, Electric </w:t>
      </w:r>
      <w:r w:rsidR="00EC2FF2">
        <w:t>and Adjustment 2.16</w:t>
      </w:r>
      <w:r w:rsidR="00147415">
        <w:t xml:space="preserve">, Natural Gas, </w:t>
      </w:r>
      <w:r w:rsidR="00EC2FF2">
        <w:t>Booz &amp; Company Contract</w:t>
      </w:r>
    </w:p>
    <w:p w14:paraId="36FE84A0" w14:textId="77777777" w:rsidR="002E57B9" w:rsidRDefault="002E57B9" w:rsidP="00B814E2"/>
    <w:p w14:paraId="36FE84A1" w14:textId="77777777" w:rsidR="00B6085F" w:rsidRDefault="00EC2FF2" w:rsidP="00B814E2">
      <w:r>
        <w:t>Exhibit No</w:t>
      </w:r>
      <w:r w:rsidR="00BF5768">
        <w:t>. ___ (</w:t>
      </w:r>
      <w:r>
        <w:t>KHB-</w:t>
      </w:r>
      <w:r w:rsidR="004273EF">
        <w:t>6</w:t>
      </w:r>
      <w:r w:rsidR="00BF5768">
        <w:t>),</w:t>
      </w:r>
      <w:r>
        <w:t xml:space="preserve"> </w:t>
      </w:r>
      <w:r w:rsidR="00AF3DA0">
        <w:t>Adjustment 3.00</w:t>
      </w:r>
      <w:r w:rsidR="00147415">
        <w:t>, Electric -</w:t>
      </w:r>
      <w:r w:rsidR="00AF3DA0">
        <w:t xml:space="preserve"> Pro Forma Power Supply</w:t>
      </w:r>
    </w:p>
    <w:p w14:paraId="36FE84A2" w14:textId="77777777" w:rsidR="00747A4C" w:rsidRDefault="00747A4C" w:rsidP="00B814E2"/>
    <w:p w14:paraId="36FE84A3" w14:textId="77777777" w:rsidR="006B5436" w:rsidRDefault="006B5436" w:rsidP="00285BD5">
      <w:pPr>
        <w:ind w:left="2610" w:hanging="2610"/>
      </w:pPr>
      <w:r>
        <w:t>Exhibit No</w:t>
      </w:r>
      <w:r w:rsidR="00BF5768">
        <w:t>. ___ (</w:t>
      </w:r>
      <w:r>
        <w:t>KHB-</w:t>
      </w:r>
      <w:r w:rsidR="00044830">
        <w:t>7</w:t>
      </w:r>
      <w:r w:rsidR="00BF5768">
        <w:t>),</w:t>
      </w:r>
      <w:r>
        <w:t xml:space="preserve"> </w:t>
      </w:r>
      <w:r w:rsidR="009D786E">
        <w:t xml:space="preserve">Staff </w:t>
      </w:r>
      <w:r>
        <w:t>Adjustment 3.08</w:t>
      </w:r>
      <w:r w:rsidR="00147415">
        <w:t xml:space="preserve">, Electric - </w:t>
      </w:r>
      <w:r>
        <w:t xml:space="preserve"> </w:t>
      </w:r>
      <w:r w:rsidR="00DF743C">
        <w:t xml:space="preserve">Noxon Rapids Unit 4 Runner Upgrade </w:t>
      </w:r>
    </w:p>
    <w:p w14:paraId="36FE84A4" w14:textId="77777777" w:rsidR="006B5436" w:rsidRDefault="006B5436" w:rsidP="006B5436"/>
    <w:p w14:paraId="36FE84A5" w14:textId="77777777" w:rsidR="006B5436" w:rsidRPr="003A44B0" w:rsidRDefault="006B5436" w:rsidP="006B5436">
      <w:r>
        <w:t>Exhibit No</w:t>
      </w:r>
      <w:r w:rsidR="00BF5768">
        <w:t>. ___ (</w:t>
      </w:r>
      <w:r>
        <w:t>KHB-</w:t>
      </w:r>
      <w:r w:rsidR="00044830">
        <w:t>8</w:t>
      </w:r>
      <w:r w:rsidR="00BF5768">
        <w:t>),</w:t>
      </w:r>
      <w:r>
        <w:t xml:space="preserve"> </w:t>
      </w:r>
      <w:r w:rsidR="009D786E">
        <w:t xml:space="preserve">Staff </w:t>
      </w:r>
      <w:r w:rsidR="00CF1836">
        <w:t>Adjustment 3.09</w:t>
      </w:r>
      <w:r w:rsidR="00147415">
        <w:t>, Electric -</w:t>
      </w:r>
      <w:r>
        <w:t xml:space="preserve"> Pullman Smart Grid</w:t>
      </w:r>
      <w:r w:rsidR="00CF1836">
        <w:t xml:space="preserve"> Adjustment</w:t>
      </w:r>
    </w:p>
    <w:p w14:paraId="36FE84A6" w14:textId="77777777" w:rsidR="00077BBE" w:rsidRDefault="00077BBE" w:rsidP="00077BBE"/>
    <w:p w14:paraId="36FE84A7" w14:textId="77777777" w:rsidR="003A44B0" w:rsidRDefault="003C20D6" w:rsidP="00B814E2">
      <w:r>
        <w:t>Exhibit No</w:t>
      </w:r>
      <w:r w:rsidR="00BF5768">
        <w:t>. ___ (</w:t>
      </w:r>
      <w:r>
        <w:t>KHB-</w:t>
      </w:r>
      <w:r w:rsidR="00044830">
        <w:t>9</w:t>
      </w:r>
      <w:r w:rsidR="00E63256">
        <w:t>C</w:t>
      </w:r>
      <w:r w:rsidR="00BF5768">
        <w:t>),</w:t>
      </w:r>
      <w:r w:rsidR="003A44B0">
        <w:t xml:space="preserve"> Electric Attrition </w:t>
      </w:r>
      <w:r w:rsidR="00DE4E77">
        <w:t>Study</w:t>
      </w:r>
    </w:p>
    <w:p w14:paraId="36FE84A8" w14:textId="77777777" w:rsidR="003A44B0" w:rsidRDefault="003A44B0" w:rsidP="00B814E2"/>
    <w:p w14:paraId="36FE84A9" w14:textId="77777777" w:rsidR="003A44B0" w:rsidRDefault="003C20D6" w:rsidP="00B814E2">
      <w:r>
        <w:t>Exhibit No</w:t>
      </w:r>
      <w:r w:rsidR="00BF5768">
        <w:t>. ___ (</w:t>
      </w:r>
      <w:r>
        <w:t>KHB-</w:t>
      </w:r>
      <w:r w:rsidR="00044830">
        <w:t>10</w:t>
      </w:r>
      <w:r w:rsidR="00E63256">
        <w:t>C</w:t>
      </w:r>
      <w:r w:rsidR="00BF5768">
        <w:t>),</w:t>
      </w:r>
      <w:r w:rsidR="003A44B0">
        <w:t xml:space="preserve"> Natural Gas Attrition </w:t>
      </w:r>
      <w:r w:rsidR="00DE4E77">
        <w:t>Study</w:t>
      </w:r>
    </w:p>
    <w:p w14:paraId="36FE84AA" w14:textId="77777777" w:rsidR="003A44B0" w:rsidRDefault="003A44B0" w:rsidP="00B814E2"/>
    <w:p w14:paraId="36FE84AB" w14:textId="77777777" w:rsidR="00407A29" w:rsidRDefault="00407A29">
      <w:pPr>
        <w:spacing w:after="200" w:line="276" w:lineRule="auto"/>
        <w:rPr>
          <w:b/>
        </w:rPr>
        <w:sectPr w:rsidR="00407A29" w:rsidSect="00407A29">
          <w:footerReference w:type="default" r:id="rId14"/>
          <w:pgSz w:w="12240" w:h="15840" w:code="1"/>
          <w:pgMar w:top="1440" w:right="1440" w:bottom="1440" w:left="1872" w:header="720" w:footer="720" w:gutter="0"/>
          <w:pgNumType w:fmt="lowerRoman" w:start="1"/>
          <w:cols w:space="720"/>
          <w:docGrid w:linePitch="360"/>
        </w:sectPr>
      </w:pPr>
    </w:p>
    <w:p w14:paraId="36FE84AC" w14:textId="77777777" w:rsidR="00B814E2" w:rsidRDefault="00B814E2" w:rsidP="00B814E2">
      <w:pPr>
        <w:spacing w:line="480" w:lineRule="auto"/>
        <w:jc w:val="center"/>
        <w:rPr>
          <w:b/>
        </w:rPr>
      </w:pPr>
      <w:r>
        <w:rPr>
          <w:b/>
        </w:rPr>
        <w:lastRenderedPageBreak/>
        <w:t>I.</w:t>
      </w:r>
      <w:r>
        <w:rPr>
          <w:b/>
        </w:rPr>
        <w:tab/>
        <w:t>INTRODUCTION</w:t>
      </w:r>
    </w:p>
    <w:p w14:paraId="36FE84AD" w14:textId="77777777" w:rsidR="00B814E2" w:rsidRDefault="00B814E2" w:rsidP="00B814E2">
      <w:pPr>
        <w:spacing w:line="480" w:lineRule="auto"/>
        <w:rPr>
          <w:b/>
        </w:rPr>
      </w:pPr>
    </w:p>
    <w:p w14:paraId="36FE84AE" w14:textId="77777777" w:rsidR="00B814E2" w:rsidRDefault="00B814E2" w:rsidP="00B814E2">
      <w:pPr>
        <w:spacing w:line="480" w:lineRule="auto"/>
      </w:pPr>
      <w:r>
        <w:rPr>
          <w:b/>
        </w:rPr>
        <w:t>Q.</w:t>
      </w:r>
      <w:r>
        <w:rPr>
          <w:b/>
        </w:rPr>
        <w:tab/>
        <w:t xml:space="preserve">Please state your name and business address.  </w:t>
      </w:r>
    </w:p>
    <w:p w14:paraId="36FE84AF" w14:textId="77777777" w:rsidR="007C570B" w:rsidRPr="007C570B" w:rsidRDefault="00B814E2" w:rsidP="007C570B">
      <w:pPr>
        <w:spacing w:line="480" w:lineRule="auto"/>
        <w:ind w:left="720" w:hanging="720"/>
      </w:pPr>
      <w:r>
        <w:t>A.</w:t>
      </w:r>
      <w:r>
        <w:tab/>
      </w:r>
      <w:r w:rsidR="007C570B" w:rsidRPr="007C570B">
        <w:t>My name is Kathryn H. Breda</w:t>
      </w:r>
      <w:r w:rsidR="007C570B" w:rsidRPr="007C570B">
        <w:rPr>
          <w:b/>
        </w:rPr>
        <w:t>.</w:t>
      </w:r>
      <w:r w:rsidR="007C570B" w:rsidRPr="007C570B">
        <w:t xml:space="preserve">  My business address is The Richard Hemstad Building, 1300 S. Evergreen Park Drive S.W., P.O. Box 47250, Olympia, WA  98504.  My email address is kbreda@utc.wa.gov.</w:t>
      </w:r>
    </w:p>
    <w:p w14:paraId="36FE84B0" w14:textId="77777777" w:rsidR="00B814E2" w:rsidRDefault="00B814E2" w:rsidP="00B814E2">
      <w:pPr>
        <w:spacing w:line="480" w:lineRule="auto"/>
        <w:ind w:left="720" w:hanging="720"/>
      </w:pPr>
    </w:p>
    <w:p w14:paraId="36FE84B1" w14:textId="77777777" w:rsidR="00B814E2" w:rsidRDefault="00B814E2" w:rsidP="00B814E2">
      <w:pPr>
        <w:spacing w:line="480" w:lineRule="auto"/>
        <w:ind w:left="720" w:hanging="720"/>
      </w:pPr>
      <w:r>
        <w:rPr>
          <w:b/>
        </w:rPr>
        <w:t>Q.</w:t>
      </w:r>
      <w:r>
        <w:rPr>
          <w:b/>
        </w:rPr>
        <w:tab/>
        <w:t xml:space="preserve">By whom are you employed and in what capacity?  </w:t>
      </w:r>
    </w:p>
    <w:p w14:paraId="36FE84B2" w14:textId="77777777" w:rsidR="007C570B" w:rsidRPr="002942A6" w:rsidRDefault="00B814E2" w:rsidP="007C570B">
      <w:pPr>
        <w:tabs>
          <w:tab w:val="left" w:pos="-1440"/>
        </w:tabs>
        <w:spacing w:line="480" w:lineRule="auto"/>
        <w:ind w:left="720" w:hanging="720"/>
      </w:pPr>
      <w:r>
        <w:t>A.</w:t>
      </w:r>
      <w:r>
        <w:tab/>
      </w:r>
      <w:r w:rsidR="007C570B" w:rsidRPr="002942A6">
        <w:t>I am employed by the Washington Utilities and Transportation Commission (Commission) as a Regulatory Analyst.</w:t>
      </w:r>
    </w:p>
    <w:p w14:paraId="36FE84B3" w14:textId="77777777" w:rsidR="00B814E2" w:rsidRDefault="00B814E2" w:rsidP="00B814E2">
      <w:pPr>
        <w:spacing w:line="480" w:lineRule="auto"/>
        <w:ind w:left="720" w:hanging="720"/>
      </w:pPr>
    </w:p>
    <w:p w14:paraId="36FE84B4" w14:textId="77777777" w:rsidR="00B814E2" w:rsidRDefault="00B814E2" w:rsidP="00B814E2">
      <w:pPr>
        <w:spacing w:line="480" w:lineRule="auto"/>
        <w:ind w:left="720" w:hanging="720"/>
      </w:pPr>
      <w:r>
        <w:rPr>
          <w:b/>
        </w:rPr>
        <w:t>Q.</w:t>
      </w:r>
      <w:r>
        <w:rPr>
          <w:b/>
        </w:rPr>
        <w:tab/>
        <w:t xml:space="preserve">How long have you been employed by the Commission?  </w:t>
      </w:r>
      <w:r>
        <w:t xml:space="preserve"> </w:t>
      </w:r>
    </w:p>
    <w:p w14:paraId="36FE84B5" w14:textId="77777777" w:rsidR="007C570B" w:rsidRPr="002942A6" w:rsidRDefault="00B814E2" w:rsidP="007C570B">
      <w:pPr>
        <w:tabs>
          <w:tab w:val="left" w:pos="-1440"/>
        </w:tabs>
        <w:spacing w:line="480" w:lineRule="auto"/>
        <w:ind w:left="720" w:hanging="720"/>
      </w:pPr>
      <w:r>
        <w:t>A.</w:t>
      </w:r>
      <w:r>
        <w:tab/>
      </w:r>
      <w:r w:rsidR="007C570B" w:rsidRPr="002942A6">
        <w:t>I have been employed by the Commission since 2008.</w:t>
      </w:r>
    </w:p>
    <w:p w14:paraId="36FE84B6" w14:textId="77777777" w:rsidR="00B814E2" w:rsidRDefault="00B814E2" w:rsidP="00B814E2">
      <w:pPr>
        <w:spacing w:line="480" w:lineRule="auto"/>
        <w:ind w:left="720" w:hanging="720"/>
      </w:pPr>
    </w:p>
    <w:p w14:paraId="36FE84B7" w14:textId="77777777" w:rsidR="00B814E2" w:rsidRDefault="00B814E2" w:rsidP="00B814E2">
      <w:pPr>
        <w:spacing w:line="480" w:lineRule="auto"/>
        <w:ind w:left="720" w:hanging="720"/>
      </w:pPr>
      <w:r>
        <w:rPr>
          <w:b/>
        </w:rPr>
        <w:t xml:space="preserve">Q </w:t>
      </w:r>
      <w:r>
        <w:rPr>
          <w:b/>
        </w:rPr>
        <w:tab/>
        <w:t xml:space="preserve">Would you please state your educational and professional background?  </w:t>
      </w:r>
    </w:p>
    <w:p w14:paraId="36FE84B8" w14:textId="77777777" w:rsidR="007C570B" w:rsidRPr="002942A6" w:rsidRDefault="00B814E2" w:rsidP="007C570B">
      <w:pPr>
        <w:spacing w:line="480" w:lineRule="auto"/>
        <w:ind w:left="720" w:hanging="720"/>
      </w:pPr>
      <w:r>
        <w:t>A.</w:t>
      </w:r>
      <w:r>
        <w:tab/>
      </w:r>
      <w:r w:rsidR="007C570B" w:rsidRPr="002942A6">
        <w:t>I graduated from the University of Washington in 1980</w:t>
      </w:r>
      <w:r w:rsidR="00BF5768">
        <w:t>,</w:t>
      </w:r>
      <w:r w:rsidR="007C570B" w:rsidRPr="002942A6">
        <w:t xml:space="preserve"> receiving a Bachelor of Arts in Business Administration with a major in Accounting.  I am a licensed Certified Public Accountant in the State of Washington. </w:t>
      </w:r>
    </w:p>
    <w:p w14:paraId="36FE84B9" w14:textId="77777777" w:rsidR="007C570B" w:rsidRDefault="007C570B" w:rsidP="007C570B">
      <w:pPr>
        <w:spacing w:line="480" w:lineRule="auto"/>
        <w:ind w:left="720" w:hanging="720"/>
      </w:pPr>
      <w:r w:rsidRPr="002942A6">
        <w:tab/>
      </w:r>
      <w:r w:rsidRPr="002942A6">
        <w:tab/>
        <w:t>My responsibilities at the Commission generally comprise financial, accounting and other analyses in general rate cases, accounting petitions, other tariff filings, and compliance filings.  I testified in Docket</w:t>
      </w:r>
      <w:r>
        <w:t xml:space="preserve">s UE-111190, UE-100749 and </w:t>
      </w:r>
      <w:r w:rsidRPr="002942A6">
        <w:t>UE-090704</w:t>
      </w:r>
      <w:r>
        <w:t>,</w:t>
      </w:r>
      <w:r w:rsidRPr="002942A6">
        <w:t xml:space="preserve"> and participated in Staff’s review of Dockets </w:t>
      </w:r>
      <w:r w:rsidR="001C57BE">
        <w:t xml:space="preserve">UE-110876/UG-110877, </w:t>
      </w:r>
      <w:r w:rsidRPr="002942A6">
        <w:lastRenderedPageBreak/>
        <w:t xml:space="preserve">UE-100467/UG-100468, UE-090134/UG-090134, UE-090205, UE-080220 and UG-080546.  </w:t>
      </w:r>
    </w:p>
    <w:p w14:paraId="36FE84BA" w14:textId="77777777" w:rsidR="00B814E2" w:rsidRDefault="007C570B" w:rsidP="00762E11">
      <w:pPr>
        <w:spacing w:line="480" w:lineRule="auto"/>
        <w:ind w:left="720" w:firstLine="720"/>
      </w:pPr>
      <w:r w:rsidRPr="007C570B">
        <w:t xml:space="preserve">Prior to my employment with the Commission, I held various corporate accounting and regulatory management positions from 1980 through 2000 with Qwest Communication in Seattle and Pacific Gas and Electric Company in San Francisco.  </w:t>
      </w:r>
    </w:p>
    <w:p w14:paraId="36FE84BB" w14:textId="77777777" w:rsidR="000A07C4" w:rsidRDefault="000A07C4" w:rsidP="00762E11">
      <w:pPr>
        <w:spacing w:line="480" w:lineRule="auto"/>
        <w:ind w:left="720" w:firstLine="720"/>
      </w:pPr>
    </w:p>
    <w:p w14:paraId="36FE84BC" w14:textId="77777777" w:rsidR="00413A7E" w:rsidRPr="00413A7E" w:rsidRDefault="00413A7E" w:rsidP="00413A7E">
      <w:pPr>
        <w:spacing w:line="480" w:lineRule="auto"/>
        <w:ind w:left="720" w:hanging="720"/>
        <w:jc w:val="center"/>
        <w:rPr>
          <w:rFonts w:eastAsia="Calibri"/>
          <w:b/>
        </w:rPr>
      </w:pPr>
      <w:r w:rsidRPr="00413A7E">
        <w:rPr>
          <w:rFonts w:eastAsia="Calibri"/>
          <w:b/>
        </w:rPr>
        <w:t>II.</w:t>
      </w:r>
      <w:r w:rsidRPr="00413A7E">
        <w:rPr>
          <w:rFonts w:eastAsia="Calibri"/>
          <w:b/>
        </w:rPr>
        <w:tab/>
        <w:t>SCOPE AND SUMMARY OF TESTIMONY</w:t>
      </w:r>
    </w:p>
    <w:p w14:paraId="36FE84BD" w14:textId="77777777" w:rsidR="00413A7E" w:rsidRPr="00413A7E" w:rsidRDefault="00413A7E" w:rsidP="00413A7E">
      <w:pPr>
        <w:spacing w:line="480" w:lineRule="auto"/>
        <w:ind w:left="720" w:hanging="720"/>
        <w:rPr>
          <w:rFonts w:eastAsia="Calibri"/>
          <w:b/>
        </w:rPr>
      </w:pPr>
    </w:p>
    <w:p w14:paraId="36FE84BE" w14:textId="77777777" w:rsidR="00413A7E" w:rsidRPr="00413A7E" w:rsidRDefault="00413A7E" w:rsidP="00413A7E">
      <w:pPr>
        <w:spacing w:line="480" w:lineRule="auto"/>
        <w:ind w:left="720" w:hanging="720"/>
        <w:rPr>
          <w:rFonts w:eastAsia="Calibri"/>
          <w:b/>
        </w:rPr>
      </w:pPr>
      <w:r w:rsidRPr="00413A7E">
        <w:rPr>
          <w:rFonts w:eastAsia="Calibri"/>
          <w:b/>
        </w:rPr>
        <w:t>Q.</w:t>
      </w:r>
      <w:r w:rsidRPr="00413A7E">
        <w:rPr>
          <w:rFonts w:eastAsia="Calibri"/>
          <w:b/>
        </w:rPr>
        <w:tab/>
        <w:t>What is the purpose of your testimony?</w:t>
      </w:r>
    </w:p>
    <w:p w14:paraId="36FE84BF" w14:textId="77777777" w:rsidR="00413A7E" w:rsidRPr="00413A7E" w:rsidRDefault="00413A7E" w:rsidP="00413A7E">
      <w:pPr>
        <w:spacing w:line="480" w:lineRule="auto"/>
        <w:ind w:left="720" w:hanging="720"/>
        <w:rPr>
          <w:rFonts w:eastAsia="Calibri"/>
        </w:rPr>
      </w:pPr>
      <w:r w:rsidRPr="00413A7E">
        <w:rPr>
          <w:rFonts w:eastAsia="Calibri"/>
        </w:rPr>
        <w:t>A.</w:t>
      </w:r>
      <w:r w:rsidRPr="00413A7E">
        <w:rPr>
          <w:rFonts w:eastAsia="Calibri"/>
        </w:rPr>
        <w:tab/>
        <w:t xml:space="preserve">The primary purpose of my testimony is to present Staff’s recommendation regarding attrition.  I have prepared an attrition study and discuss the results in Section VIII.  </w:t>
      </w:r>
    </w:p>
    <w:p w14:paraId="36FE84C0" w14:textId="77777777" w:rsidR="00413A7E" w:rsidRPr="00413A7E" w:rsidRDefault="00413A7E" w:rsidP="00413A7E">
      <w:pPr>
        <w:spacing w:line="480" w:lineRule="auto"/>
        <w:ind w:left="720" w:hanging="720"/>
        <w:rPr>
          <w:rFonts w:eastAsia="Calibri"/>
        </w:rPr>
      </w:pPr>
      <w:r w:rsidRPr="00413A7E">
        <w:rPr>
          <w:rFonts w:eastAsia="Calibri"/>
        </w:rPr>
        <w:tab/>
      </w:r>
      <w:r w:rsidRPr="00413A7E">
        <w:rPr>
          <w:rFonts w:eastAsia="Calibri"/>
        </w:rPr>
        <w:tab/>
        <w:t>I also address the disposition of Avista Colstrip and Coyote Springs 2 deferred maintenance mechanism (Section V), future considerations for allocations (Section VI)</w:t>
      </w:r>
      <w:r w:rsidR="00E16FD7" w:rsidRPr="00413A7E">
        <w:rPr>
          <w:rFonts w:eastAsia="Calibri"/>
        </w:rPr>
        <w:t>, and</w:t>
      </w:r>
      <w:r w:rsidRPr="00413A7E">
        <w:rPr>
          <w:rFonts w:eastAsia="Calibri"/>
        </w:rPr>
        <w:t xml:space="preserve"> proper treatment of revenues from sales of renewable energy credits (RECs) (Section VII). </w:t>
      </w:r>
    </w:p>
    <w:p w14:paraId="36FE84C1" w14:textId="77777777" w:rsidR="00413A7E" w:rsidRPr="00413A7E" w:rsidRDefault="00413A7E" w:rsidP="00413A7E">
      <w:pPr>
        <w:spacing w:line="480" w:lineRule="auto"/>
        <w:ind w:left="720" w:hanging="720"/>
        <w:rPr>
          <w:rFonts w:eastAsia="Calibri"/>
        </w:rPr>
      </w:pPr>
      <w:r w:rsidRPr="00413A7E">
        <w:rPr>
          <w:rFonts w:eastAsia="Calibri"/>
        </w:rPr>
        <w:tab/>
      </w:r>
      <w:r w:rsidRPr="00413A7E">
        <w:rPr>
          <w:rFonts w:eastAsia="Calibri"/>
        </w:rPr>
        <w:tab/>
        <w:t>In Section IV</w:t>
      </w:r>
      <w:r w:rsidR="00E16FD7" w:rsidRPr="00413A7E">
        <w:rPr>
          <w:rFonts w:eastAsia="Calibri"/>
        </w:rPr>
        <w:t>, I</w:t>
      </w:r>
      <w:r w:rsidRPr="00413A7E">
        <w:rPr>
          <w:rFonts w:eastAsia="Calibri"/>
        </w:rPr>
        <w:t xml:space="preserve"> present Staff’s recommendation for the following adjustments: </w:t>
      </w:r>
    </w:p>
    <w:p w14:paraId="36FE84C2" w14:textId="77777777" w:rsidR="00413A7E" w:rsidRPr="00413A7E" w:rsidRDefault="00413A7E" w:rsidP="00847864">
      <w:pPr>
        <w:ind w:left="2160" w:hanging="720"/>
        <w:rPr>
          <w:rFonts w:eastAsia="Calibri"/>
        </w:rPr>
      </w:pPr>
      <w:r w:rsidRPr="00413A7E">
        <w:rPr>
          <w:rFonts w:eastAsia="Calibri"/>
        </w:rPr>
        <w:t>1)</w:t>
      </w:r>
      <w:r w:rsidR="00847864">
        <w:rPr>
          <w:rFonts w:eastAsia="Calibri"/>
        </w:rPr>
        <w:tab/>
      </w:r>
      <w:r w:rsidRPr="00413A7E">
        <w:rPr>
          <w:rFonts w:eastAsia="Calibri"/>
        </w:rPr>
        <w:t xml:space="preserve">Staff Adjustment 1.04, Electric and Natural Gas - Federal Income Tax Correction </w:t>
      </w:r>
    </w:p>
    <w:p w14:paraId="36FE84C3" w14:textId="77777777" w:rsidR="00413A7E" w:rsidRPr="00413A7E" w:rsidRDefault="00413A7E" w:rsidP="00847864">
      <w:pPr>
        <w:ind w:left="2160" w:hanging="720"/>
        <w:rPr>
          <w:rFonts w:eastAsia="Calibri"/>
        </w:rPr>
      </w:pPr>
      <w:r w:rsidRPr="00413A7E">
        <w:rPr>
          <w:rFonts w:eastAsia="Calibri"/>
        </w:rPr>
        <w:t>2)</w:t>
      </w:r>
      <w:r w:rsidR="00A97C97">
        <w:rPr>
          <w:rFonts w:eastAsia="Calibri"/>
        </w:rPr>
        <w:t xml:space="preserve">  </w:t>
      </w:r>
      <w:r w:rsidR="00847864">
        <w:rPr>
          <w:rFonts w:eastAsia="Calibri"/>
        </w:rPr>
        <w:tab/>
      </w:r>
      <w:r w:rsidRPr="00413A7E">
        <w:rPr>
          <w:rFonts w:eastAsia="Calibri"/>
        </w:rPr>
        <w:t>Adjustment 2.16, Electric - Colstrip and Coyote Springs 2 Maintenance</w:t>
      </w:r>
    </w:p>
    <w:p w14:paraId="36FE84C4" w14:textId="77777777" w:rsidR="00413A7E" w:rsidRPr="00413A7E" w:rsidRDefault="00413A7E" w:rsidP="00847864">
      <w:pPr>
        <w:ind w:left="2160" w:hanging="720"/>
        <w:rPr>
          <w:rFonts w:eastAsia="Calibri"/>
        </w:rPr>
      </w:pPr>
      <w:r w:rsidRPr="00413A7E">
        <w:rPr>
          <w:rFonts w:eastAsia="Calibri"/>
        </w:rPr>
        <w:t>3)</w:t>
      </w:r>
      <w:r w:rsidR="00A97C97">
        <w:rPr>
          <w:rFonts w:eastAsia="Calibri"/>
        </w:rPr>
        <w:t xml:space="preserve">  </w:t>
      </w:r>
      <w:r w:rsidR="00847864">
        <w:rPr>
          <w:rFonts w:eastAsia="Calibri"/>
        </w:rPr>
        <w:tab/>
      </w:r>
      <w:r w:rsidRPr="00413A7E">
        <w:rPr>
          <w:rFonts w:eastAsia="Calibri"/>
        </w:rPr>
        <w:t xml:space="preserve">Staff Adjustment 2.18, Electric and Adjustment 2.16, Natural Gas - Booz &amp; Company Contract </w:t>
      </w:r>
    </w:p>
    <w:p w14:paraId="36FE84C5" w14:textId="77777777" w:rsidR="00413A7E" w:rsidRPr="00413A7E" w:rsidRDefault="00413A7E" w:rsidP="00A97C97">
      <w:pPr>
        <w:ind w:left="1440"/>
        <w:rPr>
          <w:rFonts w:eastAsia="Calibri"/>
        </w:rPr>
      </w:pPr>
      <w:r w:rsidRPr="00413A7E">
        <w:rPr>
          <w:rFonts w:eastAsia="Calibri"/>
        </w:rPr>
        <w:t>4)</w:t>
      </w:r>
      <w:r w:rsidR="00A97C97">
        <w:rPr>
          <w:rFonts w:eastAsia="Calibri"/>
        </w:rPr>
        <w:t xml:space="preserve">  </w:t>
      </w:r>
      <w:r w:rsidR="00847864">
        <w:rPr>
          <w:rFonts w:eastAsia="Calibri"/>
        </w:rPr>
        <w:tab/>
      </w:r>
      <w:r w:rsidRPr="00413A7E">
        <w:rPr>
          <w:rFonts w:eastAsia="Calibri"/>
        </w:rPr>
        <w:t xml:space="preserve">Adjustment 3.00, Electric - Pro Forma Power Supply </w:t>
      </w:r>
    </w:p>
    <w:p w14:paraId="36FE84C6" w14:textId="092682D4" w:rsidR="00413A7E" w:rsidRPr="00413A7E" w:rsidRDefault="00413A7E" w:rsidP="00847864">
      <w:pPr>
        <w:ind w:left="2160" w:hanging="720"/>
        <w:rPr>
          <w:rFonts w:eastAsia="Calibri"/>
        </w:rPr>
      </w:pPr>
      <w:r w:rsidRPr="00413A7E">
        <w:rPr>
          <w:rFonts w:eastAsia="Calibri"/>
        </w:rPr>
        <w:lastRenderedPageBreak/>
        <w:t>5)</w:t>
      </w:r>
      <w:r w:rsidR="00A97C97">
        <w:rPr>
          <w:rFonts w:eastAsia="Calibri"/>
        </w:rPr>
        <w:t xml:space="preserve">  </w:t>
      </w:r>
      <w:r w:rsidR="00847864">
        <w:rPr>
          <w:rFonts w:eastAsia="Calibri"/>
        </w:rPr>
        <w:tab/>
      </w:r>
      <w:r w:rsidRPr="00413A7E">
        <w:rPr>
          <w:rFonts w:eastAsia="Calibri"/>
        </w:rPr>
        <w:t xml:space="preserve">Adjustment 3.07, Electric </w:t>
      </w:r>
      <w:r w:rsidR="00A65165">
        <w:rPr>
          <w:rFonts w:eastAsia="Calibri"/>
        </w:rPr>
        <w:t xml:space="preserve">and </w:t>
      </w:r>
      <w:r w:rsidRPr="00413A7E">
        <w:rPr>
          <w:rFonts w:eastAsia="Calibri"/>
        </w:rPr>
        <w:t>Adjustment 3.06, Natural Gas - Restating 2011 Capital</w:t>
      </w:r>
    </w:p>
    <w:p w14:paraId="36FE84C7" w14:textId="77777777" w:rsidR="00413A7E" w:rsidRPr="00413A7E" w:rsidRDefault="00413A7E" w:rsidP="00847864">
      <w:pPr>
        <w:ind w:left="2160" w:hanging="720"/>
        <w:rPr>
          <w:rFonts w:eastAsia="Calibri"/>
        </w:rPr>
      </w:pPr>
      <w:r w:rsidRPr="00413A7E">
        <w:rPr>
          <w:rFonts w:eastAsia="Calibri"/>
        </w:rPr>
        <w:t>6)</w:t>
      </w:r>
      <w:r w:rsidR="00A97C97">
        <w:rPr>
          <w:rFonts w:eastAsia="Calibri"/>
        </w:rPr>
        <w:t xml:space="preserve">  </w:t>
      </w:r>
      <w:r w:rsidR="00847864">
        <w:rPr>
          <w:rFonts w:eastAsia="Calibri"/>
        </w:rPr>
        <w:tab/>
      </w:r>
      <w:r w:rsidRPr="00413A7E">
        <w:rPr>
          <w:rFonts w:eastAsia="Calibri"/>
        </w:rPr>
        <w:t>Adjustment 4.00, Electric and Natural Gas - Planned Capital Additions 2012</w:t>
      </w:r>
    </w:p>
    <w:p w14:paraId="36FE84C8" w14:textId="77777777" w:rsidR="00413A7E" w:rsidRPr="00413A7E" w:rsidRDefault="00413A7E" w:rsidP="00847864">
      <w:pPr>
        <w:ind w:left="2160" w:hanging="720"/>
        <w:rPr>
          <w:rFonts w:eastAsia="Calibri"/>
        </w:rPr>
      </w:pPr>
      <w:r w:rsidRPr="00413A7E">
        <w:rPr>
          <w:rFonts w:eastAsia="Calibri"/>
        </w:rPr>
        <w:t>7)</w:t>
      </w:r>
      <w:r w:rsidR="00A97C97">
        <w:rPr>
          <w:rFonts w:eastAsia="Calibri"/>
        </w:rPr>
        <w:t xml:space="preserve">  </w:t>
      </w:r>
      <w:r w:rsidR="00847864">
        <w:rPr>
          <w:rFonts w:eastAsia="Calibri"/>
        </w:rPr>
        <w:tab/>
      </w:r>
      <w:r w:rsidRPr="00413A7E">
        <w:rPr>
          <w:rFonts w:eastAsia="Calibri"/>
        </w:rPr>
        <w:t xml:space="preserve">Adjustment 4.01, Electric and Natural Gas - Planned Capital Additions 2013 AMA </w:t>
      </w:r>
    </w:p>
    <w:p w14:paraId="36FE84C9" w14:textId="77777777" w:rsidR="00413A7E" w:rsidRPr="00413A7E" w:rsidRDefault="00413A7E" w:rsidP="00847864">
      <w:pPr>
        <w:ind w:left="2160" w:hanging="720"/>
        <w:rPr>
          <w:rFonts w:eastAsia="Calibri"/>
        </w:rPr>
      </w:pPr>
      <w:r w:rsidRPr="00413A7E">
        <w:rPr>
          <w:rFonts w:eastAsia="Calibri"/>
        </w:rPr>
        <w:t>8)</w:t>
      </w:r>
      <w:r w:rsidR="00A97C97">
        <w:rPr>
          <w:rFonts w:eastAsia="Calibri"/>
        </w:rPr>
        <w:t xml:space="preserve">  </w:t>
      </w:r>
      <w:r w:rsidR="00847864">
        <w:rPr>
          <w:rFonts w:eastAsia="Calibri"/>
        </w:rPr>
        <w:tab/>
      </w:r>
      <w:r w:rsidRPr="00413A7E">
        <w:rPr>
          <w:rFonts w:eastAsia="Calibri"/>
        </w:rPr>
        <w:t>Adjustment 4.02, Electric - DSM, Adjustment 4.03, Electric – Other</w:t>
      </w:r>
    </w:p>
    <w:p w14:paraId="36FE84CA" w14:textId="77777777" w:rsidR="00413A7E" w:rsidRPr="00413A7E" w:rsidRDefault="00413A7E" w:rsidP="00847864">
      <w:pPr>
        <w:ind w:left="2160" w:hanging="720"/>
        <w:rPr>
          <w:rFonts w:eastAsia="Calibri"/>
        </w:rPr>
      </w:pPr>
      <w:r w:rsidRPr="00413A7E">
        <w:rPr>
          <w:rFonts w:eastAsia="Calibri"/>
        </w:rPr>
        <w:t>9)</w:t>
      </w:r>
      <w:r w:rsidR="00A97C97">
        <w:rPr>
          <w:rFonts w:eastAsia="Calibri"/>
        </w:rPr>
        <w:t xml:space="preserve">  </w:t>
      </w:r>
      <w:r w:rsidR="00847864">
        <w:rPr>
          <w:rFonts w:eastAsia="Calibri"/>
        </w:rPr>
        <w:tab/>
      </w:r>
      <w:r w:rsidRPr="00413A7E">
        <w:rPr>
          <w:rFonts w:eastAsia="Calibri"/>
        </w:rPr>
        <w:t xml:space="preserve">Adjustment 4.06, Electric and Adjustment 4.03, Natural Gas - O&amp;M Offsets </w:t>
      </w:r>
    </w:p>
    <w:p w14:paraId="36FE84CB" w14:textId="77777777" w:rsidR="00413A7E" w:rsidRPr="00413A7E" w:rsidRDefault="00413A7E" w:rsidP="00847864">
      <w:pPr>
        <w:ind w:left="2160" w:hanging="720"/>
        <w:rPr>
          <w:rFonts w:eastAsia="Calibri"/>
        </w:rPr>
      </w:pPr>
      <w:r w:rsidRPr="00413A7E">
        <w:rPr>
          <w:rFonts w:eastAsia="Calibri"/>
        </w:rPr>
        <w:t>10</w:t>
      </w:r>
      <w:r w:rsidR="00A97C97">
        <w:rPr>
          <w:rFonts w:eastAsia="Calibri"/>
        </w:rPr>
        <w:t xml:space="preserve">)  </w:t>
      </w:r>
      <w:r w:rsidR="00847864">
        <w:rPr>
          <w:rFonts w:eastAsia="Calibri"/>
        </w:rPr>
        <w:tab/>
      </w:r>
      <w:r w:rsidRPr="00413A7E">
        <w:rPr>
          <w:rFonts w:eastAsia="Calibri"/>
        </w:rPr>
        <w:t>Staff Adjustment 3.08, Electric - Noxon Rapids Unit 4 Runner Upgrade</w:t>
      </w:r>
    </w:p>
    <w:p w14:paraId="36FE84CC" w14:textId="77777777" w:rsidR="00413A7E" w:rsidRPr="00413A7E" w:rsidRDefault="00413A7E" w:rsidP="00847864">
      <w:pPr>
        <w:ind w:left="2160" w:hanging="720"/>
        <w:rPr>
          <w:rFonts w:eastAsia="Calibri"/>
        </w:rPr>
      </w:pPr>
      <w:r w:rsidRPr="00413A7E">
        <w:rPr>
          <w:rFonts w:eastAsia="Calibri"/>
        </w:rPr>
        <w:t>11)</w:t>
      </w:r>
      <w:r w:rsidR="00A97C97">
        <w:rPr>
          <w:rFonts w:eastAsia="Calibri"/>
        </w:rPr>
        <w:t xml:space="preserve">  </w:t>
      </w:r>
      <w:r w:rsidR="00847864">
        <w:rPr>
          <w:rFonts w:eastAsia="Calibri"/>
        </w:rPr>
        <w:tab/>
      </w:r>
      <w:r w:rsidRPr="00413A7E">
        <w:rPr>
          <w:rFonts w:eastAsia="Calibri"/>
        </w:rPr>
        <w:t>Staff Adjustment 3.09, Electric - Pullman Smart Grid Adjustment, and</w:t>
      </w:r>
    </w:p>
    <w:p w14:paraId="36FE84CD" w14:textId="77777777" w:rsidR="00413A7E" w:rsidRPr="00413A7E" w:rsidRDefault="00413A7E" w:rsidP="00847864">
      <w:pPr>
        <w:ind w:left="2160" w:hanging="720"/>
        <w:rPr>
          <w:rFonts w:eastAsia="Calibri"/>
        </w:rPr>
      </w:pPr>
      <w:r w:rsidRPr="00413A7E">
        <w:rPr>
          <w:rFonts w:eastAsia="Calibri"/>
        </w:rPr>
        <w:t>12)</w:t>
      </w:r>
      <w:r w:rsidR="00A97C97">
        <w:rPr>
          <w:rFonts w:eastAsia="Calibri"/>
        </w:rPr>
        <w:t xml:space="preserve">  </w:t>
      </w:r>
      <w:r w:rsidR="00847864">
        <w:rPr>
          <w:rFonts w:eastAsia="Calibri"/>
        </w:rPr>
        <w:tab/>
      </w:r>
      <w:r w:rsidRPr="00413A7E">
        <w:rPr>
          <w:rFonts w:eastAsia="Calibri"/>
        </w:rPr>
        <w:t>Adjustment 4.04, Electric - Retail Revenue Credit</w:t>
      </w:r>
    </w:p>
    <w:p w14:paraId="36FE84CE" w14:textId="77777777" w:rsidR="00413A7E" w:rsidRPr="00413A7E" w:rsidRDefault="00413A7E" w:rsidP="00413A7E">
      <w:pPr>
        <w:spacing w:line="480" w:lineRule="auto"/>
        <w:ind w:left="720" w:hanging="720"/>
        <w:rPr>
          <w:rFonts w:eastAsia="Calibri"/>
          <w:b/>
        </w:rPr>
      </w:pPr>
    </w:p>
    <w:p w14:paraId="36FE84CF" w14:textId="77777777" w:rsidR="00413A7E" w:rsidRPr="00413A7E" w:rsidRDefault="00413A7E" w:rsidP="00413A7E">
      <w:pPr>
        <w:spacing w:line="480" w:lineRule="auto"/>
        <w:ind w:left="720" w:hanging="720"/>
        <w:rPr>
          <w:rFonts w:eastAsia="Calibri"/>
          <w:b/>
        </w:rPr>
      </w:pPr>
      <w:r w:rsidRPr="00413A7E">
        <w:rPr>
          <w:rFonts w:eastAsia="Calibri"/>
          <w:b/>
        </w:rPr>
        <w:t>Q.</w:t>
      </w:r>
      <w:r w:rsidRPr="00413A7E">
        <w:rPr>
          <w:rFonts w:eastAsia="Calibri"/>
          <w:b/>
        </w:rPr>
        <w:tab/>
        <w:t>Please summarize your recommendations.</w:t>
      </w:r>
    </w:p>
    <w:p w14:paraId="36FE84D0" w14:textId="77777777" w:rsidR="00413A7E" w:rsidRPr="00413A7E" w:rsidRDefault="00413A7E" w:rsidP="00413A7E">
      <w:pPr>
        <w:spacing w:line="480" w:lineRule="auto"/>
        <w:ind w:left="720" w:hanging="720"/>
        <w:rPr>
          <w:rFonts w:eastAsia="Calibri"/>
        </w:rPr>
      </w:pPr>
      <w:r w:rsidRPr="00413A7E">
        <w:rPr>
          <w:rFonts w:eastAsia="Calibri"/>
        </w:rPr>
        <w:t>A.</w:t>
      </w:r>
      <w:r w:rsidRPr="00413A7E">
        <w:rPr>
          <w:rFonts w:eastAsia="Calibri"/>
        </w:rPr>
        <w:tab/>
        <w:t xml:space="preserve">I recommend the Commission accept Staff’s case on the above listed </w:t>
      </w:r>
      <w:r w:rsidR="006C22F2">
        <w:rPr>
          <w:rFonts w:eastAsia="Calibri"/>
        </w:rPr>
        <w:t xml:space="preserve">twelve </w:t>
      </w:r>
      <w:r w:rsidRPr="00413A7E">
        <w:rPr>
          <w:rFonts w:eastAsia="Calibri"/>
        </w:rPr>
        <w:t>adjustments, and:</w:t>
      </w:r>
    </w:p>
    <w:p w14:paraId="36FE84D1" w14:textId="77777777" w:rsidR="00413A7E" w:rsidRPr="00413A7E" w:rsidRDefault="00413A7E" w:rsidP="00413A7E">
      <w:pPr>
        <w:numPr>
          <w:ilvl w:val="0"/>
          <w:numId w:val="44"/>
        </w:numPr>
        <w:spacing w:line="480" w:lineRule="auto"/>
        <w:contextualSpacing/>
        <w:rPr>
          <w:rFonts w:eastAsia="Calibri"/>
        </w:rPr>
      </w:pPr>
      <w:r w:rsidRPr="00413A7E">
        <w:rPr>
          <w:rFonts w:eastAsia="Calibri"/>
        </w:rPr>
        <w:t>Accept Staff’s attrition study and the resulting attrition-adjusted revenue requirement.</w:t>
      </w:r>
    </w:p>
    <w:p w14:paraId="36FE84D2" w14:textId="77777777" w:rsidR="00413A7E" w:rsidRPr="00413A7E" w:rsidRDefault="00413A7E" w:rsidP="00413A7E">
      <w:pPr>
        <w:numPr>
          <w:ilvl w:val="0"/>
          <w:numId w:val="44"/>
        </w:numPr>
        <w:spacing w:line="480" w:lineRule="auto"/>
        <w:contextualSpacing/>
        <w:rPr>
          <w:rFonts w:eastAsia="Calibri"/>
        </w:rPr>
      </w:pPr>
      <w:r w:rsidRPr="00413A7E">
        <w:rPr>
          <w:rFonts w:eastAsia="Calibri"/>
        </w:rPr>
        <w:t>Discontinue Avista’s deferred maintenance mechanism for Colstrip and Coyote Springs 2 after 2012.</w:t>
      </w:r>
    </w:p>
    <w:p w14:paraId="36FE84D3" w14:textId="77777777" w:rsidR="00413A7E" w:rsidRPr="00413A7E" w:rsidRDefault="00413A7E" w:rsidP="00413A7E">
      <w:pPr>
        <w:numPr>
          <w:ilvl w:val="0"/>
          <w:numId w:val="44"/>
        </w:numPr>
        <w:spacing w:line="480" w:lineRule="auto"/>
        <w:contextualSpacing/>
        <w:rPr>
          <w:rFonts w:eastAsia="Calibri"/>
        </w:rPr>
      </w:pPr>
      <w:r w:rsidRPr="00413A7E">
        <w:rPr>
          <w:rFonts w:eastAsia="Calibri"/>
        </w:rPr>
        <w:t>Order Avista in its next general rate case to provide full justification for the allocation methodologies it uses and to fully support those factors the Company deems appropriate.</w:t>
      </w:r>
    </w:p>
    <w:p w14:paraId="36FE84D4" w14:textId="77777777" w:rsidR="00413A7E" w:rsidRPr="00413A7E" w:rsidRDefault="00413A7E" w:rsidP="00413A7E">
      <w:pPr>
        <w:numPr>
          <w:ilvl w:val="0"/>
          <w:numId w:val="44"/>
        </w:numPr>
        <w:spacing w:line="480" w:lineRule="auto"/>
        <w:contextualSpacing/>
        <w:rPr>
          <w:rFonts w:eastAsia="Calibri"/>
        </w:rPr>
      </w:pPr>
      <w:r w:rsidRPr="00413A7E">
        <w:rPr>
          <w:rFonts w:eastAsia="Calibri"/>
        </w:rPr>
        <w:t>Order Avista to track REC revenues separately within the Company’s energy recovery mechanism (ERM), not subject to the ERM sharing bands.</w:t>
      </w:r>
    </w:p>
    <w:p w14:paraId="36FE84D5" w14:textId="77777777" w:rsidR="0041668E" w:rsidRDefault="0041668E" w:rsidP="0041668E">
      <w:pPr>
        <w:spacing w:line="480" w:lineRule="auto"/>
        <w:ind w:left="720" w:hanging="720"/>
        <w:rPr>
          <w:lang w:val="fr-FR"/>
        </w:rPr>
      </w:pPr>
    </w:p>
    <w:p w14:paraId="36FE84D6" w14:textId="77777777" w:rsidR="0041668E" w:rsidRPr="0041668E" w:rsidRDefault="00147415" w:rsidP="00506C7F">
      <w:pPr>
        <w:keepNext/>
        <w:ind w:left="720" w:hanging="720"/>
        <w:jc w:val="center"/>
        <w:rPr>
          <w:b/>
          <w:lang w:val="fr-FR"/>
        </w:rPr>
      </w:pPr>
      <w:r>
        <w:rPr>
          <w:b/>
          <w:lang w:val="fr-FR"/>
        </w:rPr>
        <w:lastRenderedPageBreak/>
        <w:t>I</w:t>
      </w:r>
      <w:r w:rsidR="00D52AC1">
        <w:rPr>
          <w:b/>
          <w:lang w:val="fr-FR"/>
        </w:rPr>
        <w:t>I</w:t>
      </w:r>
      <w:r>
        <w:rPr>
          <w:b/>
          <w:lang w:val="fr-FR"/>
        </w:rPr>
        <w:t>I.</w:t>
      </w:r>
      <w:r>
        <w:rPr>
          <w:b/>
          <w:lang w:val="fr-FR"/>
        </w:rPr>
        <w:tab/>
      </w:r>
      <w:r w:rsidR="000C76DD">
        <w:rPr>
          <w:b/>
          <w:lang w:val="fr-FR"/>
        </w:rPr>
        <w:t xml:space="preserve">STAFF’S </w:t>
      </w:r>
      <w:r>
        <w:rPr>
          <w:b/>
          <w:lang w:val="fr-FR"/>
        </w:rPr>
        <w:t xml:space="preserve">OVERALL ELECTRIC AND </w:t>
      </w:r>
      <w:r w:rsidR="0041668E">
        <w:rPr>
          <w:b/>
          <w:lang w:val="fr-FR"/>
        </w:rPr>
        <w:t>NATURAL GAS REVENUE REQUIREMENT</w:t>
      </w:r>
      <w:r w:rsidR="000C76DD">
        <w:rPr>
          <w:b/>
          <w:lang w:val="fr-FR"/>
        </w:rPr>
        <w:t xml:space="preserve"> ANALYSIS</w:t>
      </w:r>
    </w:p>
    <w:p w14:paraId="36FE84D7" w14:textId="77777777" w:rsidR="0041668E" w:rsidRDefault="0041668E" w:rsidP="00506C7F">
      <w:pPr>
        <w:keepNext/>
        <w:spacing w:line="480" w:lineRule="auto"/>
        <w:ind w:left="723" w:hangingChars="300" w:hanging="723"/>
        <w:jc w:val="center"/>
        <w:rPr>
          <w:b/>
        </w:rPr>
      </w:pPr>
    </w:p>
    <w:p w14:paraId="36FE84D8" w14:textId="77777777" w:rsidR="0041668E" w:rsidRDefault="0041668E" w:rsidP="0041668E">
      <w:pPr>
        <w:spacing w:line="480" w:lineRule="auto"/>
        <w:ind w:left="723" w:hangingChars="300" w:hanging="723"/>
        <w:rPr>
          <w:b/>
          <w:lang w:val="fr-FR"/>
        </w:rPr>
      </w:pPr>
      <w:r>
        <w:rPr>
          <w:b/>
        </w:rPr>
        <w:t>Q.</w:t>
      </w:r>
      <w:r>
        <w:rPr>
          <w:b/>
        </w:rPr>
        <w:tab/>
        <w:t xml:space="preserve">What </w:t>
      </w:r>
      <w:r w:rsidR="000C76DD">
        <w:rPr>
          <w:b/>
        </w:rPr>
        <w:t>are the results of Staff’s revenue requirement analysis for Avista?</w:t>
      </w:r>
    </w:p>
    <w:p w14:paraId="36FE84D9" w14:textId="48B1CA32" w:rsidR="00DE4E77" w:rsidRDefault="0041668E" w:rsidP="0041668E">
      <w:pPr>
        <w:spacing w:line="480" w:lineRule="auto"/>
        <w:ind w:left="720" w:hanging="720"/>
      </w:pPr>
      <w:r>
        <w:t>A.</w:t>
      </w:r>
      <w:r>
        <w:tab/>
        <w:t xml:space="preserve">For electric service, </w:t>
      </w:r>
      <w:r w:rsidR="000C76DD">
        <w:t xml:space="preserve">Staff’s analysis shows </w:t>
      </w:r>
      <w:r>
        <w:t xml:space="preserve">Avista has a revenue </w:t>
      </w:r>
      <w:r w:rsidR="00F00C3F">
        <w:t>surplus</w:t>
      </w:r>
      <w:r>
        <w:t xml:space="preserve"> of $</w:t>
      </w:r>
      <w:r w:rsidR="00BF24E5">
        <w:t>1,312</w:t>
      </w:r>
      <w:r>
        <w:t>,000</w:t>
      </w:r>
      <w:r w:rsidR="004711D8">
        <w:rPr>
          <w:rStyle w:val="FootnoteReference"/>
        </w:rPr>
        <w:footnoteReference w:id="2"/>
      </w:r>
      <w:r>
        <w:t xml:space="preserve"> on an attrition-adjusted basis.  </w:t>
      </w:r>
      <w:r w:rsidR="000C76DD">
        <w:t xml:space="preserve">Staff’s </w:t>
      </w:r>
      <w:r w:rsidR="008158DB">
        <w:t>“</w:t>
      </w:r>
      <w:r w:rsidR="000C76DD">
        <w:t>base case</w:t>
      </w:r>
      <w:r w:rsidR="008158DB">
        <w:t>”</w:t>
      </w:r>
      <w:r w:rsidR="000C76DD">
        <w:t xml:space="preserve"> shows</w:t>
      </w:r>
      <w:r>
        <w:t xml:space="preserve"> </w:t>
      </w:r>
      <w:r w:rsidR="00D85E79">
        <w:t>a</w:t>
      </w:r>
      <w:r>
        <w:t xml:space="preserve"> revenue surplus for electric of $20,</w:t>
      </w:r>
      <w:r w:rsidR="00BF24E5">
        <w:t>378</w:t>
      </w:r>
      <w:r>
        <w:t>,000</w:t>
      </w:r>
      <w:r w:rsidR="004711D8">
        <w:rPr>
          <w:rStyle w:val="FootnoteReference"/>
        </w:rPr>
        <w:footnoteReference w:id="3"/>
      </w:r>
      <w:r w:rsidR="00506C7F">
        <w:t xml:space="preserve">.  </w:t>
      </w:r>
      <w:r w:rsidR="00740114">
        <w:t>Staff’s attrition allowance is $19,066,000 ($(20,378,000) plus $19,066,000 equals $(1,312,000)</w:t>
      </w:r>
      <w:r w:rsidR="00A65165">
        <w:t>)</w:t>
      </w:r>
      <w:r w:rsidR="00740114">
        <w:t>.</w:t>
      </w:r>
    </w:p>
    <w:p w14:paraId="36FE84DA" w14:textId="706C7706" w:rsidR="00F00C3F" w:rsidRDefault="0041668E" w:rsidP="00DE4E77">
      <w:pPr>
        <w:spacing w:line="480" w:lineRule="auto"/>
        <w:ind w:left="720" w:firstLine="720"/>
      </w:pPr>
      <w:r>
        <w:t>For natural gas service, Avista has a revenue deficiency of $3,</w:t>
      </w:r>
      <w:r w:rsidR="00F00C3F">
        <w:t>972</w:t>
      </w:r>
      <w:r>
        <w:t>,000</w:t>
      </w:r>
      <w:r w:rsidR="004711D8">
        <w:rPr>
          <w:rStyle w:val="FootnoteReference"/>
        </w:rPr>
        <w:footnoteReference w:id="4"/>
      </w:r>
      <w:r>
        <w:t xml:space="preserve"> on an attrition-adjusted basis.  </w:t>
      </w:r>
      <w:r w:rsidR="000C76DD">
        <w:t xml:space="preserve">Staff’s “base case” </w:t>
      </w:r>
      <w:r w:rsidR="00C6408F">
        <w:t>shows Avista</w:t>
      </w:r>
      <w:r>
        <w:t xml:space="preserve"> has a revenue deficiency for gas of $1,13</w:t>
      </w:r>
      <w:r w:rsidR="00F00C3F">
        <w:t>5</w:t>
      </w:r>
      <w:r>
        <w:t>,000</w:t>
      </w:r>
      <w:r w:rsidR="004711D8">
        <w:rPr>
          <w:rStyle w:val="FootnoteReference"/>
        </w:rPr>
        <w:footnoteReference w:id="5"/>
      </w:r>
      <w:r>
        <w:t>.</w:t>
      </w:r>
      <w:r w:rsidR="00C4786E">
        <w:t xml:space="preserve">  </w:t>
      </w:r>
      <w:r w:rsidR="00A65165">
        <w:t>Staff’s</w:t>
      </w:r>
      <w:r w:rsidR="00C4786E">
        <w:t xml:space="preserve"> attrition allowance </w:t>
      </w:r>
      <w:r w:rsidR="00A65165">
        <w:t>is</w:t>
      </w:r>
      <w:r w:rsidR="00C4786E">
        <w:t xml:space="preserve"> $2,837,000 ($1,135,000 plus $2,837,000 equals $3,972,000).</w:t>
      </w:r>
    </w:p>
    <w:p w14:paraId="36FE84DB" w14:textId="77777777" w:rsidR="000C76DD" w:rsidRDefault="000C76DD" w:rsidP="0041668E">
      <w:pPr>
        <w:spacing w:line="480" w:lineRule="auto"/>
        <w:ind w:left="720" w:hanging="720"/>
      </w:pPr>
    </w:p>
    <w:p w14:paraId="36FE84DC" w14:textId="77777777" w:rsidR="000C76DD" w:rsidRDefault="000C76DD" w:rsidP="000C76DD">
      <w:pPr>
        <w:spacing w:line="480" w:lineRule="auto"/>
        <w:ind w:left="720" w:hanging="720"/>
        <w:rPr>
          <w:b/>
        </w:rPr>
      </w:pPr>
      <w:r>
        <w:rPr>
          <w:b/>
        </w:rPr>
        <w:t>Q.</w:t>
      </w:r>
      <w:r>
        <w:rPr>
          <w:b/>
        </w:rPr>
        <w:tab/>
        <w:t>Please explain what you mean by Staff’s “base case” and “attrition-adjusted basis” revenue requirement.</w:t>
      </w:r>
    </w:p>
    <w:p w14:paraId="36FE84DD" w14:textId="77777777" w:rsidR="000C76DD" w:rsidRDefault="000C76DD" w:rsidP="000C76DD">
      <w:pPr>
        <w:spacing w:line="480" w:lineRule="auto"/>
        <w:ind w:left="720" w:hanging="720"/>
      </w:pPr>
      <w:r w:rsidRPr="00DF1989">
        <w:t>A.</w:t>
      </w:r>
      <w:r w:rsidRPr="00DF1989">
        <w:tab/>
      </w:r>
      <w:r>
        <w:t>Staff’s “base case” refers to Staff’s restated and pro forma results of operations following the Commission’s generally-accepted</w:t>
      </w:r>
      <w:r w:rsidR="00D85E79">
        <w:t xml:space="preserve"> </w:t>
      </w:r>
      <w:r w:rsidR="00C6408F">
        <w:t>historical test</w:t>
      </w:r>
      <w:r w:rsidR="00D85E79">
        <w:t xml:space="preserve"> year </w:t>
      </w:r>
      <w:r>
        <w:t>rate making principles and practices.  It does not include the impact of an attrition allowance.</w:t>
      </w:r>
    </w:p>
    <w:p w14:paraId="36FE84DE" w14:textId="77777777" w:rsidR="000C76DD" w:rsidRDefault="000C76DD" w:rsidP="000C76DD">
      <w:pPr>
        <w:spacing w:line="480" w:lineRule="auto"/>
        <w:ind w:left="720" w:hanging="720"/>
      </w:pPr>
      <w:r>
        <w:tab/>
      </w:r>
      <w:r w:rsidR="00890705">
        <w:tab/>
      </w:r>
      <w:r>
        <w:t xml:space="preserve">“Attrition–adjusted basis” refers to Staff’s base case adjusted for the effects of attrition. </w:t>
      </w:r>
      <w:r w:rsidR="00E155A5">
        <w:t xml:space="preserve"> </w:t>
      </w:r>
      <w:r>
        <w:t>The attrition analysis quantifies the anticipated</w:t>
      </w:r>
      <w:r w:rsidR="00D85E79">
        <w:t xml:space="preserve"> changes in the</w:t>
      </w:r>
      <w:r>
        <w:t xml:space="preserve"> relationship between revenue, expense and rate base in the rate year compared to the </w:t>
      </w:r>
      <w:r w:rsidR="00D85E79">
        <w:lastRenderedPageBreak/>
        <w:t xml:space="preserve">test period </w:t>
      </w:r>
      <w:r>
        <w:t>base case</w:t>
      </w:r>
      <w:r w:rsidR="00C6408F">
        <w:t xml:space="preserve">.  </w:t>
      </w:r>
      <w:r>
        <w:t xml:space="preserve">Staff’s attrition-adjusted revenue requirement </w:t>
      </w:r>
      <w:r w:rsidR="00D85E79">
        <w:t>uses</w:t>
      </w:r>
      <w:r>
        <w:t xml:space="preserve"> projections to 2013, the rate year.  I discuss attrition further in Section VII of my testimony.</w:t>
      </w:r>
    </w:p>
    <w:p w14:paraId="36FE84DF" w14:textId="77777777" w:rsidR="00286545" w:rsidRDefault="00286545" w:rsidP="00C4786E">
      <w:pPr>
        <w:spacing w:line="480" w:lineRule="auto"/>
      </w:pPr>
    </w:p>
    <w:p w14:paraId="36FE84E3" w14:textId="77777777" w:rsidR="000C4FB8" w:rsidRDefault="009B1897" w:rsidP="00506C7F">
      <w:pPr>
        <w:keepNext/>
        <w:tabs>
          <w:tab w:val="left" w:pos="720"/>
          <w:tab w:val="left" w:pos="1440"/>
          <w:tab w:val="left" w:pos="2160"/>
          <w:tab w:val="left" w:pos="2880"/>
          <w:tab w:val="left" w:pos="3600"/>
          <w:tab w:val="left" w:pos="5611"/>
        </w:tabs>
        <w:spacing w:line="480" w:lineRule="auto"/>
        <w:ind w:left="723" w:hangingChars="300" w:hanging="723"/>
        <w:jc w:val="center"/>
        <w:rPr>
          <w:b/>
          <w:lang w:val="fr-FR"/>
        </w:rPr>
      </w:pPr>
      <w:r>
        <w:rPr>
          <w:b/>
          <w:lang w:val="fr-FR"/>
        </w:rPr>
        <w:t>I</w:t>
      </w:r>
      <w:r w:rsidR="00790B4C">
        <w:rPr>
          <w:b/>
          <w:lang w:val="fr-FR"/>
        </w:rPr>
        <w:t>V</w:t>
      </w:r>
      <w:r w:rsidR="000C4FB8">
        <w:rPr>
          <w:b/>
          <w:lang w:val="fr-FR"/>
        </w:rPr>
        <w:t>.</w:t>
      </w:r>
      <w:r w:rsidR="00C5056A">
        <w:rPr>
          <w:b/>
          <w:lang w:val="fr-FR"/>
        </w:rPr>
        <w:tab/>
      </w:r>
      <w:r w:rsidR="00147415">
        <w:rPr>
          <w:b/>
          <w:lang w:val="fr-FR"/>
        </w:rPr>
        <w:t>CONTESTED ADJUSTMENTS</w:t>
      </w:r>
    </w:p>
    <w:p w14:paraId="36FE84E4" w14:textId="77777777" w:rsidR="003F53A4" w:rsidRPr="0041668E" w:rsidRDefault="003F53A4" w:rsidP="00506C7F">
      <w:pPr>
        <w:keepNext/>
        <w:tabs>
          <w:tab w:val="left" w:pos="720"/>
          <w:tab w:val="left" w:pos="1440"/>
          <w:tab w:val="left" w:pos="2160"/>
          <w:tab w:val="left" w:pos="2880"/>
          <w:tab w:val="left" w:pos="3600"/>
          <w:tab w:val="left" w:pos="5611"/>
        </w:tabs>
        <w:spacing w:line="480" w:lineRule="auto"/>
        <w:ind w:left="720" w:hangingChars="300" w:hanging="720"/>
        <w:jc w:val="center"/>
      </w:pPr>
    </w:p>
    <w:p w14:paraId="36FE84E5" w14:textId="77777777" w:rsidR="00FC59D2" w:rsidRPr="003F53A4" w:rsidRDefault="003F53A4" w:rsidP="00506C7F">
      <w:pPr>
        <w:pStyle w:val="ListParagraph"/>
        <w:keepNext/>
        <w:numPr>
          <w:ilvl w:val="0"/>
          <w:numId w:val="45"/>
        </w:numPr>
        <w:tabs>
          <w:tab w:val="left" w:pos="0"/>
          <w:tab w:val="left" w:pos="1440"/>
          <w:tab w:val="left" w:pos="2160"/>
          <w:tab w:val="right" w:leader="dot" w:pos="8820"/>
        </w:tabs>
        <w:ind w:leftChars="298" w:left="1438" w:hangingChars="300" w:hanging="723"/>
        <w:rPr>
          <w:b/>
        </w:rPr>
      </w:pPr>
      <w:r w:rsidRPr="003F53A4">
        <w:rPr>
          <w:b/>
        </w:rPr>
        <w:t>Staff Adjustment 1.04, Electric and Natural Gas -Federal Income Tax Correction</w:t>
      </w:r>
    </w:p>
    <w:p w14:paraId="36FE84E6" w14:textId="77777777" w:rsidR="003F53A4" w:rsidRPr="003F53A4" w:rsidRDefault="003F53A4" w:rsidP="00506C7F">
      <w:pPr>
        <w:pStyle w:val="ListParagraph"/>
        <w:keepNext/>
        <w:tabs>
          <w:tab w:val="left" w:pos="0"/>
          <w:tab w:val="left" w:pos="1440"/>
          <w:tab w:val="left" w:pos="2160"/>
          <w:tab w:val="right" w:leader="dot" w:pos="8820"/>
        </w:tabs>
        <w:spacing w:line="480" w:lineRule="auto"/>
        <w:ind w:left="723" w:hangingChars="300" w:hanging="723"/>
        <w:rPr>
          <w:b/>
        </w:rPr>
      </w:pPr>
    </w:p>
    <w:p w14:paraId="36FE84E7" w14:textId="77777777" w:rsidR="000C4FB8" w:rsidRDefault="00C94E1E" w:rsidP="000C4FB8">
      <w:pPr>
        <w:tabs>
          <w:tab w:val="left" w:pos="0"/>
          <w:tab w:val="left" w:pos="1440"/>
          <w:tab w:val="left" w:pos="2160"/>
          <w:tab w:val="right" w:leader="dot" w:pos="8820"/>
        </w:tabs>
        <w:spacing w:line="480" w:lineRule="auto"/>
        <w:ind w:left="723" w:hangingChars="300" w:hanging="723"/>
        <w:rPr>
          <w:b/>
        </w:rPr>
      </w:pPr>
      <w:r>
        <w:rPr>
          <w:b/>
        </w:rPr>
        <w:t>Q.</w:t>
      </w:r>
      <w:r>
        <w:rPr>
          <w:b/>
        </w:rPr>
        <w:tab/>
        <w:t xml:space="preserve">Please explain Staff’s </w:t>
      </w:r>
      <w:r w:rsidR="00BF5768">
        <w:rPr>
          <w:b/>
        </w:rPr>
        <w:t>A</w:t>
      </w:r>
      <w:r>
        <w:rPr>
          <w:b/>
        </w:rPr>
        <w:t>djustment 1.04</w:t>
      </w:r>
      <w:r w:rsidR="00FC59D2">
        <w:rPr>
          <w:b/>
        </w:rPr>
        <w:t>,</w:t>
      </w:r>
      <w:r>
        <w:rPr>
          <w:b/>
        </w:rPr>
        <w:t xml:space="preserve"> F</w:t>
      </w:r>
      <w:r w:rsidR="00BF5768">
        <w:rPr>
          <w:b/>
        </w:rPr>
        <w:t xml:space="preserve">ederal Income Tax </w:t>
      </w:r>
      <w:r>
        <w:rPr>
          <w:b/>
        </w:rPr>
        <w:t>Correction.</w:t>
      </w:r>
    </w:p>
    <w:p w14:paraId="36FE84E8" w14:textId="77777777" w:rsidR="00FC59D2" w:rsidRDefault="00C94E1E" w:rsidP="00C94E1E">
      <w:pPr>
        <w:tabs>
          <w:tab w:val="left" w:pos="0"/>
          <w:tab w:val="left" w:pos="1440"/>
          <w:tab w:val="left" w:pos="2160"/>
          <w:tab w:val="right" w:leader="dot" w:pos="8820"/>
        </w:tabs>
        <w:spacing w:line="480" w:lineRule="auto"/>
        <w:ind w:left="720" w:hangingChars="300" w:hanging="720"/>
      </w:pPr>
      <w:r>
        <w:t>A.</w:t>
      </w:r>
      <w:r>
        <w:tab/>
        <w:t xml:space="preserve">Adjustment 1.04 for both Electric and Natural Gas Service </w:t>
      </w:r>
      <w:r w:rsidR="00C5056A">
        <w:t>is a Staff adjustment, which corrects error</w:t>
      </w:r>
      <w:r w:rsidR="001056F4">
        <w:t>s</w:t>
      </w:r>
      <w:r w:rsidR="00C5056A">
        <w:t xml:space="preserve"> </w:t>
      </w:r>
      <w:r>
        <w:t>to federal income tax</w:t>
      </w:r>
      <w:r w:rsidR="001056F4">
        <w:t xml:space="preserve"> </w:t>
      </w:r>
      <w:r w:rsidR="00FC59D2">
        <w:t xml:space="preserve">expense Avista </w:t>
      </w:r>
      <w:r w:rsidR="001056F4">
        <w:t xml:space="preserve">included in the Washington results of operations.  </w:t>
      </w:r>
      <w:r w:rsidR="005F7514">
        <w:t>Through discovery</w:t>
      </w:r>
      <w:r w:rsidR="00FC59D2">
        <w:t>,</w:t>
      </w:r>
      <w:r w:rsidR="005F7514">
        <w:t xml:space="preserve"> Avista correct</w:t>
      </w:r>
      <w:r w:rsidR="00FC59D2">
        <w:t>ed</w:t>
      </w:r>
      <w:r w:rsidR="001056F4">
        <w:t xml:space="preserve"> inconsistencies between the actual federal income tax </w:t>
      </w:r>
      <w:r w:rsidR="005F7514">
        <w:t xml:space="preserve">calculation </w:t>
      </w:r>
      <w:r w:rsidR="001056F4">
        <w:t xml:space="preserve">and what was included in the </w:t>
      </w:r>
      <w:r w:rsidR="00FC59D2">
        <w:t xml:space="preserve">Company’s </w:t>
      </w:r>
      <w:r w:rsidR="001056F4">
        <w:t>unadjusted results.  Th</w:t>
      </w:r>
      <w:r w:rsidR="00FC59D2">
        <w:t>e</w:t>
      </w:r>
      <w:r w:rsidR="001056F4">
        <w:t xml:space="preserve"> </w:t>
      </w:r>
      <w:r w:rsidR="00FC59D2">
        <w:t>corrections involved an</w:t>
      </w:r>
      <w:r w:rsidR="001056F4">
        <w:t xml:space="preserve"> adjustment for the allowance for funds used during construction (AFUDC), a correction to </w:t>
      </w:r>
      <w:r w:rsidR="002614A7">
        <w:t>Section 199 Manufacturing Deductions and other adjustments</w:t>
      </w:r>
      <w:r w:rsidR="00DE4E77">
        <w:t xml:space="preserve"> or corrections.</w:t>
      </w:r>
    </w:p>
    <w:p w14:paraId="36FE84E9" w14:textId="77777777" w:rsidR="00C94E1E" w:rsidRDefault="00FC59D2" w:rsidP="00C94E1E">
      <w:pPr>
        <w:tabs>
          <w:tab w:val="left" w:pos="0"/>
          <w:tab w:val="left" w:pos="1440"/>
          <w:tab w:val="left" w:pos="2160"/>
          <w:tab w:val="right" w:leader="dot" w:pos="8820"/>
        </w:tabs>
        <w:spacing w:line="480" w:lineRule="auto"/>
        <w:ind w:left="720" w:hangingChars="300" w:hanging="720"/>
      </w:pPr>
      <w:r>
        <w:tab/>
      </w:r>
      <w:r>
        <w:tab/>
      </w:r>
      <w:r w:rsidR="00C94E1E">
        <w:t>Adjustment 1.04</w:t>
      </w:r>
      <w:r w:rsidR="005F7514">
        <w:t>, Electric</w:t>
      </w:r>
      <w:r w:rsidR="00C94E1E">
        <w:t xml:space="preserve"> increases </w:t>
      </w:r>
      <w:r w:rsidR="008331B2">
        <w:t xml:space="preserve">Washington </w:t>
      </w:r>
      <w:r w:rsidR="00C94E1E">
        <w:t>net operating income by $1</w:t>
      </w:r>
      <w:r w:rsidR="00D01270">
        <w:t>,</w:t>
      </w:r>
      <w:r w:rsidR="00C94E1E">
        <w:t>826</w:t>
      </w:r>
      <w:r w:rsidR="002614A7">
        <w:t>,000</w:t>
      </w:r>
      <w:r w:rsidR="00C94E1E">
        <w:t xml:space="preserve"> and </w:t>
      </w:r>
      <w:r w:rsidR="001814EC">
        <w:t>decreases</w:t>
      </w:r>
      <w:r w:rsidR="00C94E1E">
        <w:t xml:space="preserve"> the electric revenue requirement by $2</w:t>
      </w:r>
      <w:r w:rsidR="002614A7">
        <w:t>,</w:t>
      </w:r>
      <w:r w:rsidR="00C94E1E">
        <w:t>94</w:t>
      </w:r>
      <w:r w:rsidR="007B6B68">
        <w:t>1</w:t>
      </w:r>
      <w:r w:rsidR="002614A7">
        <w:t>,000</w:t>
      </w:r>
      <w:r w:rsidR="00C94E1E">
        <w:t>.  Adjustment 1.04</w:t>
      </w:r>
      <w:r w:rsidR="005F7514">
        <w:t>, Natural Gas</w:t>
      </w:r>
      <w:r w:rsidR="00C94E1E">
        <w:t xml:space="preserve"> increases </w:t>
      </w:r>
      <w:r w:rsidR="008331B2">
        <w:t xml:space="preserve">Washington </w:t>
      </w:r>
      <w:r w:rsidR="00C94E1E">
        <w:t xml:space="preserve">net operating income by </w:t>
      </w:r>
      <w:r w:rsidR="003D759A">
        <w:t>$</w:t>
      </w:r>
      <w:r w:rsidR="0044675D">
        <w:t>20,000</w:t>
      </w:r>
      <w:r w:rsidR="003D759A">
        <w:t xml:space="preserve"> and </w:t>
      </w:r>
      <w:r w:rsidR="001814EC">
        <w:t>decreases</w:t>
      </w:r>
      <w:r w:rsidR="003D759A">
        <w:t xml:space="preserve"> the natural gas revenue requirement by $</w:t>
      </w:r>
      <w:r w:rsidR="0044675D">
        <w:t>3</w:t>
      </w:r>
      <w:r w:rsidR="002E3623">
        <w:t>2</w:t>
      </w:r>
      <w:r w:rsidR="0044675D">
        <w:t>,000</w:t>
      </w:r>
      <w:r w:rsidR="003D759A">
        <w:t>.</w:t>
      </w:r>
      <w:r w:rsidR="00246024">
        <w:rPr>
          <w:rStyle w:val="FootnoteReference"/>
        </w:rPr>
        <w:footnoteReference w:id="6"/>
      </w:r>
      <w:r w:rsidR="008331B2">
        <w:t xml:space="preserve"> </w:t>
      </w:r>
    </w:p>
    <w:p w14:paraId="36FE84EA" w14:textId="77777777" w:rsidR="003D759A" w:rsidRDefault="003D759A" w:rsidP="00C94E1E">
      <w:pPr>
        <w:tabs>
          <w:tab w:val="left" w:pos="0"/>
          <w:tab w:val="left" w:pos="1440"/>
          <w:tab w:val="left" w:pos="2160"/>
          <w:tab w:val="right" w:leader="dot" w:pos="8820"/>
        </w:tabs>
        <w:spacing w:line="480" w:lineRule="auto"/>
        <w:ind w:left="720" w:hangingChars="300" w:hanging="720"/>
      </w:pPr>
    </w:p>
    <w:p w14:paraId="36FE84EB" w14:textId="77777777" w:rsidR="003D759A" w:rsidRPr="003D759A" w:rsidRDefault="00C5056A" w:rsidP="00506C7F">
      <w:pPr>
        <w:pStyle w:val="ListParagraph"/>
        <w:keepNext/>
        <w:numPr>
          <w:ilvl w:val="0"/>
          <w:numId w:val="21"/>
        </w:numPr>
        <w:tabs>
          <w:tab w:val="right" w:leader="dot" w:pos="8820"/>
        </w:tabs>
        <w:ind w:leftChars="299" w:left="1434" w:hangingChars="297" w:hanging="716"/>
        <w:rPr>
          <w:b/>
        </w:rPr>
      </w:pPr>
      <w:r>
        <w:rPr>
          <w:b/>
        </w:rPr>
        <w:lastRenderedPageBreak/>
        <w:t xml:space="preserve">Staff </w:t>
      </w:r>
      <w:r w:rsidR="003D759A" w:rsidRPr="003D759A">
        <w:rPr>
          <w:b/>
        </w:rPr>
        <w:t>Adjustment 2.16</w:t>
      </w:r>
      <w:r w:rsidR="00BF5768">
        <w:rPr>
          <w:b/>
        </w:rPr>
        <w:t>,</w:t>
      </w:r>
      <w:r w:rsidR="003D759A" w:rsidRPr="003D759A">
        <w:rPr>
          <w:b/>
        </w:rPr>
        <w:t xml:space="preserve"> </w:t>
      </w:r>
      <w:r>
        <w:rPr>
          <w:b/>
        </w:rPr>
        <w:t>Electric -</w:t>
      </w:r>
      <w:r w:rsidR="003D759A" w:rsidRPr="003D759A">
        <w:rPr>
          <w:b/>
        </w:rPr>
        <w:t xml:space="preserve"> Colstrip and Coyote Springs 2 Maintenance</w:t>
      </w:r>
    </w:p>
    <w:p w14:paraId="36FE84EC" w14:textId="77777777" w:rsidR="00FC59D2" w:rsidRDefault="00FC59D2" w:rsidP="00506C7F">
      <w:pPr>
        <w:keepNext/>
        <w:tabs>
          <w:tab w:val="left" w:pos="0"/>
          <w:tab w:val="left" w:pos="1440"/>
          <w:tab w:val="left" w:pos="2160"/>
          <w:tab w:val="right" w:leader="dot" w:pos="8820"/>
        </w:tabs>
        <w:spacing w:line="480" w:lineRule="auto"/>
        <w:ind w:left="723" w:hangingChars="300" w:hanging="723"/>
        <w:rPr>
          <w:b/>
        </w:rPr>
      </w:pPr>
    </w:p>
    <w:p w14:paraId="36FE84ED" w14:textId="77777777" w:rsidR="003D759A" w:rsidRDefault="003D759A" w:rsidP="003D759A">
      <w:pPr>
        <w:tabs>
          <w:tab w:val="left" w:pos="0"/>
          <w:tab w:val="left" w:pos="1440"/>
          <w:tab w:val="left" w:pos="2160"/>
          <w:tab w:val="right" w:leader="dot" w:pos="8820"/>
        </w:tabs>
        <w:spacing w:line="480" w:lineRule="auto"/>
        <w:ind w:left="723" w:hangingChars="300" w:hanging="723"/>
        <w:rPr>
          <w:b/>
        </w:rPr>
      </w:pPr>
      <w:r>
        <w:rPr>
          <w:b/>
        </w:rPr>
        <w:t xml:space="preserve">Q. </w:t>
      </w:r>
      <w:r>
        <w:rPr>
          <w:b/>
        </w:rPr>
        <w:tab/>
        <w:t>Please explain Staff Adjustment 2.16</w:t>
      </w:r>
      <w:r w:rsidR="00FC59D2">
        <w:rPr>
          <w:b/>
        </w:rPr>
        <w:t>,</w:t>
      </w:r>
      <w:r>
        <w:rPr>
          <w:b/>
        </w:rPr>
        <w:t xml:space="preserve"> Colstrip and Coyote Springs 2 </w:t>
      </w:r>
      <w:r w:rsidR="00FC59D2">
        <w:rPr>
          <w:b/>
        </w:rPr>
        <w:t>M</w:t>
      </w:r>
      <w:r>
        <w:rPr>
          <w:b/>
        </w:rPr>
        <w:t>aintenance.</w:t>
      </w:r>
    </w:p>
    <w:p w14:paraId="36FE84EE" w14:textId="77777777" w:rsidR="00305835" w:rsidRDefault="003D759A" w:rsidP="00292C8C">
      <w:pPr>
        <w:tabs>
          <w:tab w:val="left" w:pos="720"/>
          <w:tab w:val="left" w:pos="1440"/>
          <w:tab w:val="left" w:pos="2160"/>
          <w:tab w:val="right" w:leader="dot" w:pos="8820"/>
        </w:tabs>
        <w:spacing w:line="480" w:lineRule="auto"/>
        <w:ind w:left="720" w:hanging="630"/>
      </w:pPr>
      <w:r>
        <w:t>A.</w:t>
      </w:r>
      <w:r>
        <w:tab/>
      </w:r>
      <w:r w:rsidR="0015270D">
        <w:t>Staff’s</w:t>
      </w:r>
      <w:r w:rsidR="001B39A9">
        <w:t xml:space="preserve"> </w:t>
      </w:r>
      <w:r w:rsidR="0015270D">
        <w:t>Adjustment 2.16</w:t>
      </w:r>
      <w:r w:rsidR="00FC59D2">
        <w:t xml:space="preserve"> reflects </w:t>
      </w:r>
      <w:r w:rsidR="00246024">
        <w:t xml:space="preserve">updated information </w:t>
      </w:r>
      <w:r w:rsidR="00FC59D2">
        <w:t>on Colstrip and Coyot</w:t>
      </w:r>
      <w:r w:rsidR="001B39A9">
        <w:t>e</w:t>
      </w:r>
      <w:r w:rsidR="00FC59D2">
        <w:t xml:space="preserve"> Springs 2 maintenance expense for</w:t>
      </w:r>
      <w:r w:rsidR="00246024">
        <w:t xml:space="preserve"> 2012</w:t>
      </w:r>
      <w:r w:rsidR="00FC59D2">
        <w:t xml:space="preserve">. </w:t>
      </w:r>
      <w:r w:rsidR="00246024">
        <w:t xml:space="preserve"> </w:t>
      </w:r>
      <w:r w:rsidR="00F46E50">
        <w:t>Avista</w:t>
      </w:r>
      <w:r w:rsidR="00246024">
        <w:t xml:space="preserve"> provided </w:t>
      </w:r>
      <w:r w:rsidR="00FC59D2">
        <w:t xml:space="preserve">this updated information </w:t>
      </w:r>
      <w:r w:rsidR="00246024">
        <w:t>through discovery.</w:t>
      </w:r>
      <w:r w:rsidR="00A374AB">
        <w:t xml:space="preserve"> </w:t>
      </w:r>
      <w:r w:rsidR="00FC59D2">
        <w:t xml:space="preserve"> </w:t>
      </w:r>
      <w:r w:rsidR="00305835">
        <w:t xml:space="preserve">This adjustment decreases electric net operating income $709,000 and </w:t>
      </w:r>
      <w:r w:rsidR="007C65A5">
        <w:t xml:space="preserve">increases </w:t>
      </w:r>
      <w:r w:rsidR="00305835">
        <w:t>revenue requirement by $1,142,000.</w:t>
      </w:r>
      <w:r w:rsidR="00305835">
        <w:rPr>
          <w:rStyle w:val="FootnoteReference"/>
        </w:rPr>
        <w:footnoteReference w:id="7"/>
      </w:r>
    </w:p>
    <w:p w14:paraId="36FE84EF" w14:textId="0610F772" w:rsidR="003D759A" w:rsidRDefault="00305835" w:rsidP="00292C8C">
      <w:pPr>
        <w:tabs>
          <w:tab w:val="left" w:pos="720"/>
          <w:tab w:val="left" w:pos="1440"/>
          <w:tab w:val="left" w:pos="2160"/>
          <w:tab w:val="right" w:leader="dot" w:pos="8820"/>
        </w:tabs>
        <w:spacing w:line="480" w:lineRule="auto"/>
        <w:ind w:left="720" w:hanging="630"/>
      </w:pPr>
      <w:r>
        <w:tab/>
      </w:r>
      <w:r>
        <w:tab/>
      </w:r>
      <w:r w:rsidR="00A374AB">
        <w:t>Th</w:t>
      </w:r>
      <w:r>
        <w:t>ese</w:t>
      </w:r>
      <w:r w:rsidR="00A374AB">
        <w:t xml:space="preserve"> deferral</w:t>
      </w:r>
      <w:r>
        <w:t>s</w:t>
      </w:r>
      <w:r w:rsidR="00A374AB">
        <w:t xml:space="preserve"> </w:t>
      </w:r>
      <w:r>
        <w:t>are</w:t>
      </w:r>
      <w:r w:rsidR="00A374AB">
        <w:t xml:space="preserve"> the result of the </w:t>
      </w:r>
      <w:r>
        <w:t>S</w:t>
      </w:r>
      <w:r w:rsidR="00A374AB">
        <w:t xml:space="preserve">ettlement </w:t>
      </w:r>
      <w:r>
        <w:t>S</w:t>
      </w:r>
      <w:r w:rsidR="00A374AB">
        <w:t xml:space="preserve">tipulation </w:t>
      </w:r>
      <w:r>
        <w:t xml:space="preserve">the Commission approved </w:t>
      </w:r>
      <w:r w:rsidR="00A374AB">
        <w:t xml:space="preserve">in </w:t>
      </w:r>
      <w:r>
        <w:t xml:space="preserve">Avista’s last rate case, </w:t>
      </w:r>
      <w:r w:rsidR="00A374AB">
        <w:t>Dockets UE-100876 and UG-100877.</w:t>
      </w:r>
      <w:r w:rsidR="00A374AB">
        <w:rPr>
          <w:rStyle w:val="FootnoteReference"/>
        </w:rPr>
        <w:footnoteReference w:id="8"/>
      </w:r>
      <w:r w:rsidR="00A374AB">
        <w:t xml:space="preserve"> </w:t>
      </w:r>
      <w:r w:rsidR="00A65165">
        <w:t xml:space="preserve"> </w:t>
      </w:r>
      <w:r>
        <w:t xml:space="preserve">Overall, </w:t>
      </w:r>
      <w:r w:rsidR="00A374AB">
        <w:t xml:space="preserve">Staff recommends the </w:t>
      </w:r>
      <w:r>
        <w:t xml:space="preserve">Commission </w:t>
      </w:r>
      <w:r w:rsidR="004912F7">
        <w:t>discontinue</w:t>
      </w:r>
      <w:r w:rsidR="00A374AB">
        <w:t xml:space="preserve"> this deferral</w:t>
      </w:r>
      <w:r w:rsidR="004273EF">
        <w:t xml:space="preserve"> after 2012</w:t>
      </w:r>
      <w:r w:rsidR="00A374AB">
        <w:t>.</w:t>
      </w:r>
      <w:r w:rsidR="00C5056A">
        <w:t xml:space="preserve"> </w:t>
      </w:r>
      <w:r>
        <w:t xml:space="preserve"> </w:t>
      </w:r>
      <w:r w:rsidR="00C5056A">
        <w:t xml:space="preserve">I discuss </w:t>
      </w:r>
      <w:r w:rsidR="00A374AB">
        <w:t>th</w:t>
      </w:r>
      <w:r>
        <w:t>e deferral mechanism and Staff’s recommendation</w:t>
      </w:r>
      <w:r w:rsidR="00A374AB">
        <w:t xml:space="preserve"> </w:t>
      </w:r>
      <w:r w:rsidR="00C5056A">
        <w:t xml:space="preserve">more </w:t>
      </w:r>
      <w:r w:rsidR="0015270D">
        <w:t xml:space="preserve">fully in </w:t>
      </w:r>
      <w:r w:rsidR="00C5056A">
        <w:t>S</w:t>
      </w:r>
      <w:r w:rsidR="0015270D">
        <w:t>ection V</w:t>
      </w:r>
      <w:r w:rsidR="00C5056A">
        <w:t xml:space="preserve"> below</w:t>
      </w:r>
      <w:r w:rsidR="0015270D">
        <w:t xml:space="preserve">.  </w:t>
      </w:r>
    </w:p>
    <w:p w14:paraId="36FE84F0" w14:textId="77777777" w:rsidR="00C5056A" w:rsidRDefault="00C5056A" w:rsidP="00292C8C">
      <w:pPr>
        <w:tabs>
          <w:tab w:val="left" w:pos="720"/>
          <w:tab w:val="left" w:pos="1440"/>
          <w:tab w:val="left" w:pos="2160"/>
          <w:tab w:val="right" w:leader="dot" w:pos="8820"/>
        </w:tabs>
        <w:spacing w:line="480" w:lineRule="auto"/>
        <w:ind w:left="720" w:hanging="630"/>
      </w:pPr>
    </w:p>
    <w:p w14:paraId="36FE84F1" w14:textId="77777777" w:rsidR="00B20278" w:rsidRDefault="00C5056A" w:rsidP="004912F7">
      <w:pPr>
        <w:pStyle w:val="ListParagraph"/>
        <w:numPr>
          <w:ilvl w:val="0"/>
          <w:numId w:val="23"/>
        </w:numPr>
        <w:ind w:left="1440" w:hanging="720"/>
        <w:rPr>
          <w:b/>
        </w:rPr>
      </w:pPr>
      <w:r>
        <w:rPr>
          <w:b/>
        </w:rPr>
        <w:t>Staff</w:t>
      </w:r>
      <w:r w:rsidR="00B20278" w:rsidRPr="00B20278">
        <w:rPr>
          <w:b/>
        </w:rPr>
        <w:t xml:space="preserve"> Adjustment</w:t>
      </w:r>
      <w:r w:rsidR="00305835">
        <w:rPr>
          <w:b/>
        </w:rPr>
        <w:t>s</w:t>
      </w:r>
      <w:r w:rsidR="00B20278" w:rsidRPr="00B20278">
        <w:rPr>
          <w:b/>
        </w:rPr>
        <w:t xml:space="preserve"> 2.18</w:t>
      </w:r>
      <w:r>
        <w:rPr>
          <w:b/>
        </w:rPr>
        <w:t>, Electric,</w:t>
      </w:r>
      <w:r w:rsidR="00B20278" w:rsidRPr="00B20278">
        <w:rPr>
          <w:b/>
        </w:rPr>
        <w:t xml:space="preserve"> and 2.16</w:t>
      </w:r>
      <w:r>
        <w:rPr>
          <w:b/>
        </w:rPr>
        <w:t xml:space="preserve">, Natural Gas - </w:t>
      </w:r>
      <w:r w:rsidR="00B20278" w:rsidRPr="00B20278">
        <w:rPr>
          <w:b/>
        </w:rPr>
        <w:t>Booz &amp; Company Contract</w:t>
      </w:r>
    </w:p>
    <w:p w14:paraId="36FE84F2" w14:textId="77777777" w:rsidR="004912F7" w:rsidRDefault="004912F7" w:rsidP="004912F7">
      <w:pPr>
        <w:pStyle w:val="ListParagraph"/>
        <w:ind w:left="1440"/>
        <w:rPr>
          <w:b/>
        </w:rPr>
      </w:pPr>
    </w:p>
    <w:p w14:paraId="36FE84F3" w14:textId="77777777" w:rsidR="00890705" w:rsidRDefault="00890705" w:rsidP="00B20278">
      <w:pPr>
        <w:tabs>
          <w:tab w:val="left" w:pos="0"/>
          <w:tab w:val="left" w:pos="720"/>
          <w:tab w:val="left" w:pos="1440"/>
          <w:tab w:val="left" w:pos="2160"/>
          <w:tab w:val="right" w:leader="dot" w:pos="8820"/>
        </w:tabs>
        <w:spacing w:line="480" w:lineRule="auto"/>
        <w:rPr>
          <w:b/>
        </w:rPr>
      </w:pPr>
    </w:p>
    <w:p w14:paraId="36FE84F4" w14:textId="77777777" w:rsidR="00B20278" w:rsidRDefault="00B20278" w:rsidP="00B20278">
      <w:pPr>
        <w:tabs>
          <w:tab w:val="left" w:pos="0"/>
          <w:tab w:val="left" w:pos="720"/>
          <w:tab w:val="left" w:pos="1440"/>
          <w:tab w:val="left" w:pos="2160"/>
          <w:tab w:val="right" w:leader="dot" w:pos="8820"/>
        </w:tabs>
        <w:spacing w:line="480" w:lineRule="auto"/>
        <w:rPr>
          <w:b/>
        </w:rPr>
      </w:pPr>
      <w:r>
        <w:rPr>
          <w:b/>
        </w:rPr>
        <w:t>Q.</w:t>
      </w:r>
      <w:r w:rsidR="0094713E">
        <w:rPr>
          <w:b/>
        </w:rPr>
        <w:tab/>
        <w:t xml:space="preserve">Please explain this Staff adjustment for </w:t>
      </w:r>
      <w:r w:rsidR="00890705">
        <w:rPr>
          <w:b/>
        </w:rPr>
        <w:t>the Booz and Company Contract</w:t>
      </w:r>
      <w:r w:rsidR="0094713E">
        <w:rPr>
          <w:b/>
        </w:rPr>
        <w:t>.</w:t>
      </w:r>
    </w:p>
    <w:p w14:paraId="36FE84F5" w14:textId="77777777" w:rsidR="00890705" w:rsidRDefault="0094713E" w:rsidP="00292C8C">
      <w:pPr>
        <w:tabs>
          <w:tab w:val="left" w:pos="720"/>
          <w:tab w:val="left" w:pos="1440"/>
          <w:tab w:val="left" w:pos="2160"/>
          <w:tab w:val="right" w:leader="dot" w:pos="8820"/>
        </w:tabs>
        <w:spacing w:line="480" w:lineRule="auto"/>
        <w:ind w:left="720" w:hanging="720"/>
      </w:pPr>
      <w:r>
        <w:t>A.</w:t>
      </w:r>
      <w:r>
        <w:tab/>
      </w:r>
      <w:r w:rsidR="0061223F">
        <w:t>Booz and Company is a consultant the Company retained to loo</w:t>
      </w:r>
      <w:r w:rsidR="00A350AF">
        <w:t xml:space="preserve">k at efficiencies and implement </w:t>
      </w:r>
      <w:r w:rsidR="0061223F">
        <w:t xml:space="preserve">the </w:t>
      </w:r>
      <w:r w:rsidR="00A350AF">
        <w:t>“</w:t>
      </w:r>
      <w:r w:rsidR="0061223F">
        <w:t xml:space="preserve">Performance </w:t>
      </w:r>
      <w:r w:rsidR="005A0F38">
        <w:t>Excellence Initiative</w:t>
      </w:r>
      <w:r w:rsidR="00A350AF">
        <w:t>”</w:t>
      </w:r>
      <w:r w:rsidR="005A0F38">
        <w:t xml:space="preserve">.  </w:t>
      </w:r>
      <w:r w:rsidR="00147415">
        <w:t xml:space="preserve">In total, Avista paid Booz and Company </w:t>
      </w:r>
      <w:r w:rsidR="009531D8">
        <w:t>$</w:t>
      </w:r>
      <w:r w:rsidR="007B6B68">
        <w:t>5,691,521</w:t>
      </w:r>
      <w:r w:rsidR="007B6B68">
        <w:rPr>
          <w:rStyle w:val="FootnoteReference"/>
        </w:rPr>
        <w:footnoteReference w:id="9"/>
      </w:r>
      <w:r w:rsidR="00890705">
        <w:t xml:space="preserve"> </w:t>
      </w:r>
      <w:r w:rsidR="00147415">
        <w:t xml:space="preserve">for this contract.  </w:t>
      </w:r>
    </w:p>
    <w:p w14:paraId="36FE84F6" w14:textId="77777777" w:rsidR="0015270D" w:rsidRDefault="00890705" w:rsidP="00292C8C">
      <w:pPr>
        <w:tabs>
          <w:tab w:val="left" w:pos="720"/>
          <w:tab w:val="left" w:pos="1440"/>
          <w:tab w:val="left" w:pos="2160"/>
          <w:tab w:val="right" w:leader="dot" w:pos="8820"/>
        </w:tabs>
        <w:spacing w:line="480" w:lineRule="auto"/>
        <w:ind w:left="720" w:hanging="720"/>
      </w:pPr>
      <w:r>
        <w:lastRenderedPageBreak/>
        <w:tab/>
      </w:r>
      <w:r>
        <w:tab/>
      </w:r>
      <w:r w:rsidR="00147415">
        <w:t xml:space="preserve">Work under this contract will be complete in </w:t>
      </w:r>
      <w:r w:rsidR="005A0F38">
        <w:t>201</w:t>
      </w:r>
      <w:r w:rsidR="00F57473">
        <w:t>2</w:t>
      </w:r>
      <w:r w:rsidR="005A0F38">
        <w:t xml:space="preserve">. </w:t>
      </w:r>
      <w:r w:rsidR="00305835">
        <w:t xml:space="preserve"> </w:t>
      </w:r>
      <w:r w:rsidR="00147415">
        <w:t>Therefore, t</w:t>
      </w:r>
      <w:r w:rsidR="00C061DC">
        <w:t xml:space="preserve">his contract </w:t>
      </w:r>
      <w:r w:rsidR="00305835">
        <w:t xml:space="preserve">does not represent </w:t>
      </w:r>
      <w:r w:rsidR="00C061DC">
        <w:t>an on-going expense</w:t>
      </w:r>
      <w:r w:rsidR="00147415">
        <w:t xml:space="preserve">, and Staff removes it as </w:t>
      </w:r>
      <w:r w:rsidR="005A0F38">
        <w:t>non-recurring.</w:t>
      </w:r>
      <w:r w:rsidR="00C061DC">
        <w:t xml:space="preserve">  </w:t>
      </w:r>
    </w:p>
    <w:p w14:paraId="36FE84F7" w14:textId="77777777" w:rsidR="005A0F38" w:rsidRDefault="005A0F38" w:rsidP="00292C8C">
      <w:pPr>
        <w:tabs>
          <w:tab w:val="left" w:pos="720"/>
          <w:tab w:val="left" w:pos="1440"/>
          <w:tab w:val="left" w:pos="2160"/>
          <w:tab w:val="right" w:leader="dot" w:pos="8820"/>
        </w:tabs>
        <w:spacing w:line="480" w:lineRule="auto"/>
        <w:ind w:left="720" w:hanging="720"/>
      </w:pPr>
    </w:p>
    <w:p w14:paraId="36FE84F8" w14:textId="77777777" w:rsidR="005A0F38" w:rsidRDefault="005A0F38" w:rsidP="00292C8C">
      <w:pPr>
        <w:tabs>
          <w:tab w:val="left" w:pos="720"/>
          <w:tab w:val="left" w:pos="1440"/>
          <w:tab w:val="left" w:pos="2160"/>
          <w:tab w:val="right" w:leader="dot" w:pos="8820"/>
        </w:tabs>
        <w:spacing w:line="480" w:lineRule="auto"/>
        <w:ind w:left="720" w:hanging="720"/>
        <w:rPr>
          <w:b/>
        </w:rPr>
      </w:pPr>
      <w:r>
        <w:rPr>
          <w:b/>
        </w:rPr>
        <w:t>Q.</w:t>
      </w:r>
      <w:r>
        <w:rPr>
          <w:b/>
        </w:rPr>
        <w:tab/>
        <w:t xml:space="preserve">Please </w:t>
      </w:r>
      <w:r w:rsidR="00305835">
        <w:rPr>
          <w:b/>
        </w:rPr>
        <w:t xml:space="preserve">identify </w:t>
      </w:r>
      <w:r>
        <w:rPr>
          <w:b/>
        </w:rPr>
        <w:t xml:space="preserve">the effect of this adjustment on </w:t>
      </w:r>
      <w:r w:rsidR="00305835">
        <w:rPr>
          <w:b/>
        </w:rPr>
        <w:t>revenue r</w:t>
      </w:r>
      <w:r>
        <w:rPr>
          <w:b/>
        </w:rPr>
        <w:t>equirement.</w:t>
      </w:r>
    </w:p>
    <w:p w14:paraId="36FE84F9" w14:textId="77777777" w:rsidR="00C061DC" w:rsidRDefault="005A0F38" w:rsidP="00292C8C">
      <w:pPr>
        <w:tabs>
          <w:tab w:val="left" w:pos="720"/>
          <w:tab w:val="left" w:pos="1440"/>
          <w:tab w:val="left" w:pos="2160"/>
          <w:tab w:val="right" w:leader="dot" w:pos="8820"/>
        </w:tabs>
        <w:spacing w:line="480" w:lineRule="auto"/>
        <w:ind w:left="720" w:hanging="720"/>
      </w:pPr>
      <w:r>
        <w:t>A.</w:t>
      </w:r>
      <w:r>
        <w:tab/>
      </w:r>
      <w:r w:rsidR="00A3242E">
        <w:t xml:space="preserve">Staff Adjustment 2.18 increases </w:t>
      </w:r>
      <w:r w:rsidR="008331B2">
        <w:t xml:space="preserve">Washington </w:t>
      </w:r>
      <w:r w:rsidR="00A3242E">
        <w:t xml:space="preserve">net operating income </w:t>
      </w:r>
      <w:r w:rsidR="00C5056A">
        <w:t xml:space="preserve">for electric operations </w:t>
      </w:r>
      <w:r w:rsidR="00305835">
        <w:t xml:space="preserve">by </w:t>
      </w:r>
      <w:r w:rsidR="00A3242E">
        <w:t>$73</w:t>
      </w:r>
      <w:r w:rsidR="007B6B68">
        <w:t>4</w:t>
      </w:r>
      <w:r w:rsidR="00F57473">
        <w:t>,000</w:t>
      </w:r>
      <w:r w:rsidR="00C5056A">
        <w:t>, thereby</w:t>
      </w:r>
      <w:r w:rsidR="00A3242E">
        <w:t xml:space="preserve"> reducing the revenue requirement by $1</w:t>
      </w:r>
      <w:r w:rsidR="004C65B1">
        <w:t>,</w:t>
      </w:r>
      <w:r w:rsidR="00A3242E">
        <w:t>18</w:t>
      </w:r>
      <w:r w:rsidR="007B6B68">
        <w:t>2</w:t>
      </w:r>
      <w:r w:rsidR="004C65B1">
        <w:t>,000</w:t>
      </w:r>
      <w:r w:rsidR="00A3242E">
        <w:t xml:space="preserve">.  Staff Adjustment </w:t>
      </w:r>
      <w:r w:rsidR="009333FA">
        <w:t>2.16</w:t>
      </w:r>
      <w:r w:rsidR="003D742B">
        <w:t xml:space="preserve"> </w:t>
      </w:r>
      <w:r w:rsidR="00A3242E">
        <w:t xml:space="preserve">increases </w:t>
      </w:r>
      <w:r w:rsidR="008331B2">
        <w:t xml:space="preserve">Washington </w:t>
      </w:r>
      <w:r w:rsidR="00A3242E">
        <w:t xml:space="preserve">net operating income </w:t>
      </w:r>
      <w:r w:rsidR="00C5056A">
        <w:t xml:space="preserve">for </w:t>
      </w:r>
      <w:r w:rsidR="004E5E87">
        <w:t>natural gas</w:t>
      </w:r>
      <w:r w:rsidR="004273EF">
        <w:t xml:space="preserve"> </w:t>
      </w:r>
      <w:r w:rsidR="00C5056A">
        <w:t xml:space="preserve">operations </w:t>
      </w:r>
      <w:r w:rsidR="00A3242E">
        <w:t>$</w:t>
      </w:r>
      <w:r w:rsidR="007B6B68">
        <w:t>200</w:t>
      </w:r>
      <w:r w:rsidR="004E5E87">
        <w:t>,000</w:t>
      </w:r>
      <w:r w:rsidR="00C5056A">
        <w:t>,</w:t>
      </w:r>
      <w:r w:rsidR="00FC217F">
        <w:t xml:space="preserve"> with a corresponding decrease in revenue requirement of $</w:t>
      </w:r>
      <w:r w:rsidR="004E5E87">
        <w:t>32</w:t>
      </w:r>
      <w:r w:rsidR="007B6B68">
        <w:t>2</w:t>
      </w:r>
      <w:r w:rsidR="004E5E87">
        <w:t>,000</w:t>
      </w:r>
      <w:r w:rsidR="00FC217F">
        <w:t>.</w:t>
      </w:r>
      <w:r w:rsidR="004273EF">
        <w:rPr>
          <w:rStyle w:val="FootnoteReference"/>
        </w:rPr>
        <w:footnoteReference w:id="10"/>
      </w:r>
      <w:r w:rsidR="008331B2">
        <w:t xml:space="preserve"> </w:t>
      </w:r>
      <w:r w:rsidR="00305835">
        <w:t xml:space="preserve"> </w:t>
      </w:r>
    </w:p>
    <w:p w14:paraId="36FE84FA" w14:textId="77777777" w:rsidR="004912F7" w:rsidRDefault="004912F7" w:rsidP="00292C8C">
      <w:pPr>
        <w:tabs>
          <w:tab w:val="left" w:pos="720"/>
          <w:tab w:val="left" w:pos="1440"/>
          <w:tab w:val="left" w:pos="2160"/>
          <w:tab w:val="right" w:leader="dot" w:pos="8820"/>
        </w:tabs>
        <w:spacing w:line="480" w:lineRule="auto"/>
        <w:ind w:left="720" w:hanging="720"/>
      </w:pPr>
    </w:p>
    <w:p w14:paraId="36FE84FB" w14:textId="77777777" w:rsidR="00C061DC" w:rsidRDefault="000C1406" w:rsidP="00292C8C">
      <w:pPr>
        <w:tabs>
          <w:tab w:val="left" w:pos="720"/>
          <w:tab w:val="left" w:pos="1440"/>
          <w:tab w:val="left" w:pos="2160"/>
          <w:tab w:val="right" w:leader="dot" w:pos="8820"/>
        </w:tabs>
        <w:spacing w:line="480" w:lineRule="auto"/>
        <w:ind w:left="720" w:hanging="720"/>
        <w:rPr>
          <w:b/>
        </w:rPr>
      </w:pPr>
      <w:r>
        <w:rPr>
          <w:b/>
        </w:rPr>
        <w:t>Q.</w:t>
      </w:r>
      <w:r>
        <w:rPr>
          <w:b/>
        </w:rPr>
        <w:tab/>
        <w:t>D</w:t>
      </w:r>
      <w:r w:rsidR="00305835">
        <w:rPr>
          <w:b/>
        </w:rPr>
        <w:t>id</w:t>
      </w:r>
      <w:r>
        <w:rPr>
          <w:b/>
        </w:rPr>
        <w:t xml:space="preserve"> Avista adjust </w:t>
      </w:r>
      <w:r w:rsidR="00305835">
        <w:rPr>
          <w:b/>
        </w:rPr>
        <w:t>the</w:t>
      </w:r>
      <w:r>
        <w:rPr>
          <w:b/>
        </w:rPr>
        <w:t xml:space="preserve"> test period for the Booz &amp; Company contract?</w:t>
      </w:r>
    </w:p>
    <w:p w14:paraId="36FE84FC" w14:textId="77777777" w:rsidR="000C1406" w:rsidRDefault="000C1406" w:rsidP="00292C8C">
      <w:pPr>
        <w:tabs>
          <w:tab w:val="left" w:pos="720"/>
          <w:tab w:val="left" w:pos="1440"/>
          <w:tab w:val="left" w:pos="2160"/>
          <w:tab w:val="right" w:leader="dot" w:pos="8820"/>
        </w:tabs>
        <w:spacing w:line="480" w:lineRule="auto"/>
        <w:ind w:left="720" w:hanging="720"/>
      </w:pPr>
      <w:r>
        <w:t xml:space="preserve">A. </w:t>
      </w:r>
      <w:r>
        <w:tab/>
        <w:t xml:space="preserve">Not in this rate case.  </w:t>
      </w:r>
      <w:r w:rsidR="00C5056A">
        <w:t>However, i</w:t>
      </w:r>
      <w:r>
        <w:t xml:space="preserve">n </w:t>
      </w:r>
      <w:r w:rsidR="00C5056A">
        <w:t>Avista’s direct evidence in its</w:t>
      </w:r>
      <w:r>
        <w:t xml:space="preserve"> </w:t>
      </w:r>
      <w:r w:rsidR="00C5056A">
        <w:t>prior</w:t>
      </w:r>
      <w:r>
        <w:t xml:space="preserve"> rate case, Dockets UE-110876 and UG-110877, Avista removed this contract</w:t>
      </w:r>
      <w:r>
        <w:rPr>
          <w:rStyle w:val="FootnoteReference"/>
        </w:rPr>
        <w:footnoteReference w:id="11"/>
      </w:r>
      <w:r w:rsidR="00C64A3A">
        <w:t>.</w:t>
      </w:r>
      <w:r w:rsidR="00C5056A">
        <w:t xml:space="preserve">  Staff’s adjustments in this case are consistent with that prior treatment by Avista.</w:t>
      </w:r>
    </w:p>
    <w:p w14:paraId="36FE84FD" w14:textId="77777777" w:rsidR="004912F7" w:rsidRDefault="004912F7" w:rsidP="00292C8C">
      <w:pPr>
        <w:tabs>
          <w:tab w:val="left" w:pos="720"/>
          <w:tab w:val="left" w:pos="1440"/>
          <w:tab w:val="left" w:pos="2160"/>
          <w:tab w:val="right" w:leader="dot" w:pos="8820"/>
        </w:tabs>
        <w:spacing w:line="480" w:lineRule="auto"/>
        <w:ind w:left="720" w:hanging="720"/>
      </w:pPr>
    </w:p>
    <w:p w14:paraId="36FE84FE" w14:textId="77777777" w:rsidR="008167A4" w:rsidRDefault="008167A4" w:rsidP="00147721">
      <w:pPr>
        <w:pStyle w:val="ListParagraph"/>
        <w:numPr>
          <w:ilvl w:val="0"/>
          <w:numId w:val="25"/>
        </w:numPr>
        <w:tabs>
          <w:tab w:val="right" w:leader="dot" w:pos="8820"/>
        </w:tabs>
        <w:spacing w:line="480" w:lineRule="auto"/>
        <w:ind w:left="1440" w:hanging="720"/>
        <w:rPr>
          <w:b/>
        </w:rPr>
      </w:pPr>
      <w:r w:rsidRPr="008167A4">
        <w:rPr>
          <w:b/>
        </w:rPr>
        <w:t>Adjustment 3.00</w:t>
      </w:r>
      <w:r w:rsidR="00C5056A">
        <w:rPr>
          <w:b/>
        </w:rPr>
        <w:t>, Electric -</w:t>
      </w:r>
      <w:r w:rsidRPr="008167A4">
        <w:rPr>
          <w:b/>
        </w:rPr>
        <w:t xml:space="preserve"> Pro Forma Power Supply</w:t>
      </w:r>
    </w:p>
    <w:p w14:paraId="36FE84FF" w14:textId="77777777" w:rsidR="008167A4" w:rsidRPr="008167A4" w:rsidRDefault="008167A4" w:rsidP="00292C8C">
      <w:pPr>
        <w:pStyle w:val="ListParagraph"/>
        <w:tabs>
          <w:tab w:val="left" w:pos="720"/>
          <w:tab w:val="left" w:pos="1440"/>
          <w:tab w:val="left" w:pos="2160"/>
          <w:tab w:val="right" w:leader="dot" w:pos="8820"/>
        </w:tabs>
        <w:spacing w:line="480" w:lineRule="auto"/>
        <w:ind w:hanging="720"/>
        <w:rPr>
          <w:b/>
        </w:rPr>
      </w:pPr>
    </w:p>
    <w:p w14:paraId="36FE8500" w14:textId="77777777" w:rsidR="003D759A" w:rsidRDefault="001C57BE" w:rsidP="00292C8C">
      <w:pPr>
        <w:tabs>
          <w:tab w:val="left" w:pos="0"/>
          <w:tab w:val="left" w:pos="1440"/>
          <w:tab w:val="left" w:pos="2160"/>
          <w:tab w:val="right" w:leader="dot" w:pos="8820"/>
        </w:tabs>
        <w:spacing w:line="480" w:lineRule="auto"/>
        <w:ind w:left="723" w:hanging="723"/>
        <w:rPr>
          <w:b/>
        </w:rPr>
      </w:pPr>
      <w:r>
        <w:rPr>
          <w:b/>
        </w:rPr>
        <w:t>Q.</w:t>
      </w:r>
      <w:r>
        <w:rPr>
          <w:b/>
        </w:rPr>
        <w:tab/>
        <w:t>Please explain Adjustment 3.00</w:t>
      </w:r>
      <w:r w:rsidR="00C5056A">
        <w:rPr>
          <w:b/>
        </w:rPr>
        <w:t xml:space="preserve">, </w:t>
      </w:r>
      <w:r w:rsidR="004273EF">
        <w:rPr>
          <w:b/>
        </w:rPr>
        <w:t>Electric</w:t>
      </w:r>
      <w:r w:rsidR="00C5056A">
        <w:rPr>
          <w:b/>
        </w:rPr>
        <w:t xml:space="preserve"> -</w:t>
      </w:r>
      <w:r>
        <w:rPr>
          <w:b/>
        </w:rPr>
        <w:t xml:space="preserve"> Pro Forma Power Supply</w:t>
      </w:r>
      <w:r w:rsidR="001814EC">
        <w:rPr>
          <w:b/>
        </w:rPr>
        <w:t>.</w:t>
      </w:r>
    </w:p>
    <w:p w14:paraId="36FE8501" w14:textId="77777777" w:rsidR="004E60B3" w:rsidRDefault="001814EC" w:rsidP="004E60B3">
      <w:pPr>
        <w:tabs>
          <w:tab w:val="left" w:pos="0"/>
          <w:tab w:val="left" w:pos="1440"/>
          <w:tab w:val="left" w:pos="2160"/>
          <w:tab w:val="left" w:pos="2805"/>
        </w:tabs>
        <w:spacing w:line="480" w:lineRule="auto"/>
        <w:ind w:left="720" w:hangingChars="300" w:hanging="720"/>
      </w:pPr>
      <w:r>
        <w:t>A.</w:t>
      </w:r>
      <w:r>
        <w:tab/>
        <w:t xml:space="preserve">This adjustment reflects </w:t>
      </w:r>
      <w:r w:rsidR="0044675D">
        <w:t xml:space="preserve">a revised </w:t>
      </w:r>
      <w:r w:rsidR="00305835">
        <w:t xml:space="preserve">electric </w:t>
      </w:r>
      <w:r>
        <w:t xml:space="preserve">power supply calculation.  Staff witness Alan Buckley </w:t>
      </w:r>
      <w:r w:rsidR="00C5056A">
        <w:t>explains</w:t>
      </w:r>
      <w:r>
        <w:t xml:space="preserve"> this adjustment.</w:t>
      </w:r>
      <w:r w:rsidR="003F53A4">
        <w:rPr>
          <w:rStyle w:val="FootnoteReference"/>
        </w:rPr>
        <w:footnoteReference w:id="12"/>
      </w:r>
      <w:r>
        <w:t xml:space="preserve">  Adjustment 3.00 decreases </w:t>
      </w:r>
      <w:r w:rsidR="008331B2">
        <w:t xml:space="preserve">Washington </w:t>
      </w:r>
      <w:r>
        <w:t xml:space="preserve">net </w:t>
      </w:r>
      <w:r>
        <w:lastRenderedPageBreak/>
        <w:t>operating income by $1</w:t>
      </w:r>
      <w:r w:rsidR="007B45D3">
        <w:t>,</w:t>
      </w:r>
      <w:r>
        <w:t>913</w:t>
      </w:r>
      <w:r w:rsidR="007B45D3">
        <w:t>,000</w:t>
      </w:r>
      <w:r w:rsidR="00305835">
        <w:t xml:space="preserve"> </w:t>
      </w:r>
      <w:r>
        <w:t>and increases the electric revenue requirement by $3</w:t>
      </w:r>
      <w:r w:rsidR="00305835">
        <w:t>,</w:t>
      </w:r>
      <w:r>
        <w:t>081</w:t>
      </w:r>
      <w:r w:rsidR="007B45D3">
        <w:t>,000</w:t>
      </w:r>
      <w:r>
        <w:t>.</w:t>
      </w:r>
      <w:r w:rsidR="003F53A4">
        <w:rPr>
          <w:rStyle w:val="FootnoteReference"/>
        </w:rPr>
        <w:footnoteReference w:id="13"/>
      </w:r>
      <w:r w:rsidR="004E60B3" w:rsidRPr="004E60B3">
        <w:t xml:space="preserve"> </w:t>
      </w:r>
      <w:r w:rsidR="00305835">
        <w:t xml:space="preserve"> </w:t>
      </w:r>
    </w:p>
    <w:p w14:paraId="36FE8502" w14:textId="77777777" w:rsidR="001C57BE" w:rsidRDefault="001814EC" w:rsidP="00292C8C">
      <w:pPr>
        <w:tabs>
          <w:tab w:val="left" w:pos="0"/>
          <w:tab w:val="left" w:pos="1440"/>
          <w:tab w:val="left" w:pos="2160"/>
          <w:tab w:val="right" w:leader="dot" w:pos="8820"/>
        </w:tabs>
        <w:spacing w:line="480" w:lineRule="auto"/>
        <w:ind w:left="723" w:hanging="723"/>
      </w:pPr>
      <w:r>
        <w:t xml:space="preserve">  </w:t>
      </w:r>
    </w:p>
    <w:p w14:paraId="36FE8503" w14:textId="77777777" w:rsidR="006B5436" w:rsidRPr="00FC0E1A" w:rsidRDefault="00FC0E1A" w:rsidP="00506C7F">
      <w:pPr>
        <w:ind w:left="1440" w:hanging="720"/>
        <w:rPr>
          <w:b/>
        </w:rPr>
      </w:pPr>
      <w:r>
        <w:rPr>
          <w:b/>
        </w:rPr>
        <w:t>E.</w:t>
      </w:r>
      <w:r>
        <w:rPr>
          <w:b/>
        </w:rPr>
        <w:tab/>
      </w:r>
      <w:r w:rsidR="006B5436" w:rsidRPr="00FC0E1A">
        <w:rPr>
          <w:b/>
        </w:rPr>
        <w:t>Adjustment 3.07, Electric and Adjustment 3.06</w:t>
      </w:r>
      <w:r w:rsidR="00C5056A" w:rsidRPr="00FC0E1A">
        <w:rPr>
          <w:b/>
        </w:rPr>
        <w:t>, Natural Gas -</w:t>
      </w:r>
      <w:r w:rsidR="0019004D" w:rsidRPr="00FC0E1A">
        <w:rPr>
          <w:b/>
        </w:rPr>
        <w:t xml:space="preserve"> Restating 2011 Capital</w:t>
      </w:r>
      <w:r w:rsidR="00C5056A" w:rsidRPr="00FC0E1A">
        <w:rPr>
          <w:b/>
        </w:rPr>
        <w:t>;</w:t>
      </w:r>
      <w:r w:rsidR="006B5436" w:rsidRPr="00FC0E1A">
        <w:rPr>
          <w:b/>
        </w:rPr>
        <w:t xml:space="preserve"> Adjustment 4.00</w:t>
      </w:r>
      <w:r w:rsidR="00C5056A" w:rsidRPr="00FC0E1A">
        <w:rPr>
          <w:b/>
        </w:rPr>
        <w:t xml:space="preserve">, </w:t>
      </w:r>
      <w:r w:rsidR="00305835" w:rsidRPr="00FC0E1A">
        <w:rPr>
          <w:b/>
        </w:rPr>
        <w:t>E</w:t>
      </w:r>
      <w:r w:rsidR="004273EF" w:rsidRPr="00FC0E1A">
        <w:rPr>
          <w:b/>
        </w:rPr>
        <w:t>lectric</w:t>
      </w:r>
      <w:r w:rsidR="00C5056A" w:rsidRPr="00FC0E1A">
        <w:rPr>
          <w:b/>
        </w:rPr>
        <w:t xml:space="preserve"> and </w:t>
      </w:r>
      <w:r w:rsidR="00147415" w:rsidRPr="00FC0E1A">
        <w:rPr>
          <w:b/>
        </w:rPr>
        <w:t>N</w:t>
      </w:r>
      <w:r w:rsidR="00C5056A" w:rsidRPr="00FC0E1A">
        <w:rPr>
          <w:b/>
        </w:rPr>
        <w:t>atural Gas -</w:t>
      </w:r>
      <w:r w:rsidR="006B5436" w:rsidRPr="00FC0E1A">
        <w:rPr>
          <w:b/>
        </w:rPr>
        <w:t xml:space="preserve"> Planned Capital Additions 2012</w:t>
      </w:r>
      <w:r w:rsidR="00C5056A" w:rsidRPr="00FC0E1A">
        <w:rPr>
          <w:b/>
        </w:rPr>
        <w:t>;</w:t>
      </w:r>
      <w:r w:rsidR="00305835" w:rsidRPr="00FC0E1A">
        <w:rPr>
          <w:b/>
        </w:rPr>
        <w:t xml:space="preserve"> </w:t>
      </w:r>
      <w:r w:rsidR="006B5436" w:rsidRPr="00FC0E1A">
        <w:rPr>
          <w:b/>
        </w:rPr>
        <w:t>Adjustment</w:t>
      </w:r>
      <w:r w:rsidR="00305835" w:rsidRPr="00FC0E1A">
        <w:rPr>
          <w:b/>
        </w:rPr>
        <w:t xml:space="preserve"> </w:t>
      </w:r>
      <w:r w:rsidR="006B5436" w:rsidRPr="00FC0E1A">
        <w:rPr>
          <w:b/>
        </w:rPr>
        <w:t>4.01</w:t>
      </w:r>
      <w:r w:rsidR="00C5056A" w:rsidRPr="00FC0E1A">
        <w:rPr>
          <w:b/>
        </w:rPr>
        <w:t>,</w:t>
      </w:r>
      <w:r w:rsidR="006B5436" w:rsidRPr="00FC0E1A">
        <w:rPr>
          <w:b/>
        </w:rPr>
        <w:t xml:space="preserve"> </w:t>
      </w:r>
      <w:r w:rsidR="003A6CBB" w:rsidRPr="00FC0E1A">
        <w:rPr>
          <w:b/>
        </w:rPr>
        <w:t>Electric and Natural Gas -</w:t>
      </w:r>
      <w:r w:rsidR="006B5436" w:rsidRPr="00FC0E1A">
        <w:rPr>
          <w:b/>
        </w:rPr>
        <w:t xml:space="preserve"> Planned Capital Additions 2013 AMA</w:t>
      </w:r>
      <w:r w:rsidR="00305835" w:rsidRPr="00FC0E1A">
        <w:rPr>
          <w:b/>
        </w:rPr>
        <w:t>;</w:t>
      </w:r>
      <w:r w:rsidR="006B5436" w:rsidRPr="00FC0E1A">
        <w:rPr>
          <w:b/>
        </w:rPr>
        <w:t xml:space="preserve"> Adjustment 4.02</w:t>
      </w:r>
      <w:r w:rsidR="003A6CBB" w:rsidRPr="00FC0E1A">
        <w:rPr>
          <w:b/>
        </w:rPr>
        <w:t>, Electric -</w:t>
      </w:r>
      <w:r w:rsidR="006B5436" w:rsidRPr="00FC0E1A">
        <w:rPr>
          <w:b/>
        </w:rPr>
        <w:t xml:space="preserve"> DSM</w:t>
      </w:r>
      <w:r w:rsidR="00305835" w:rsidRPr="00FC0E1A">
        <w:rPr>
          <w:b/>
        </w:rPr>
        <w:t>;</w:t>
      </w:r>
      <w:r w:rsidR="006B5436" w:rsidRPr="00FC0E1A">
        <w:rPr>
          <w:b/>
        </w:rPr>
        <w:t xml:space="preserve"> Adjustment 4.03</w:t>
      </w:r>
      <w:r w:rsidR="003A6CBB" w:rsidRPr="00FC0E1A">
        <w:rPr>
          <w:b/>
        </w:rPr>
        <w:t xml:space="preserve">, Electric </w:t>
      </w:r>
      <w:r w:rsidR="00044830" w:rsidRPr="00FC0E1A">
        <w:rPr>
          <w:b/>
        </w:rPr>
        <w:t>–</w:t>
      </w:r>
      <w:r w:rsidR="006B5436" w:rsidRPr="00FC0E1A">
        <w:rPr>
          <w:b/>
        </w:rPr>
        <w:t xml:space="preserve"> Other</w:t>
      </w:r>
      <w:r w:rsidR="00044830" w:rsidRPr="00FC0E1A">
        <w:rPr>
          <w:b/>
        </w:rPr>
        <w:t>, Adjustment 4.06 Electric and 4.03 Natural Gas – O&amp;M Offsets</w:t>
      </w:r>
    </w:p>
    <w:p w14:paraId="36FE8504" w14:textId="77777777" w:rsidR="001814EC" w:rsidRPr="001814EC" w:rsidRDefault="001814EC" w:rsidP="006B5436">
      <w:pPr>
        <w:tabs>
          <w:tab w:val="left" w:pos="0"/>
          <w:tab w:val="right" w:leader="dot" w:pos="8820"/>
        </w:tabs>
        <w:spacing w:line="480" w:lineRule="auto"/>
      </w:pPr>
    </w:p>
    <w:p w14:paraId="36FE8505" w14:textId="77777777" w:rsidR="000C4FB8" w:rsidRDefault="006B5436" w:rsidP="004E5E87">
      <w:pPr>
        <w:tabs>
          <w:tab w:val="left" w:pos="0"/>
          <w:tab w:val="left" w:pos="1440"/>
          <w:tab w:val="left" w:pos="2160"/>
          <w:tab w:val="right" w:leader="dot" w:pos="8820"/>
        </w:tabs>
        <w:spacing w:line="480" w:lineRule="auto"/>
        <w:ind w:left="723" w:hangingChars="300" w:hanging="723"/>
        <w:rPr>
          <w:b/>
        </w:rPr>
      </w:pPr>
      <w:r>
        <w:rPr>
          <w:b/>
        </w:rPr>
        <w:t>Q.</w:t>
      </w:r>
      <w:r>
        <w:rPr>
          <w:b/>
        </w:rPr>
        <w:tab/>
        <w:t xml:space="preserve">Please explain why you have grouped </w:t>
      </w:r>
      <w:r w:rsidR="003A6CBB">
        <w:rPr>
          <w:b/>
        </w:rPr>
        <w:t>A</w:t>
      </w:r>
      <w:r>
        <w:rPr>
          <w:b/>
        </w:rPr>
        <w:t>djustments</w:t>
      </w:r>
      <w:r w:rsidR="003A6CBB">
        <w:rPr>
          <w:b/>
        </w:rPr>
        <w:t xml:space="preserve"> 3.06, 3.07, 4.00, 4.01, 4.02</w:t>
      </w:r>
      <w:r w:rsidR="00044830">
        <w:rPr>
          <w:b/>
        </w:rPr>
        <w:t>, 4.03,</w:t>
      </w:r>
      <w:r w:rsidR="00890705">
        <w:rPr>
          <w:b/>
        </w:rPr>
        <w:t xml:space="preserve"> </w:t>
      </w:r>
      <w:r w:rsidR="003A6CBB">
        <w:rPr>
          <w:b/>
        </w:rPr>
        <w:t>and 4.0</w:t>
      </w:r>
      <w:r w:rsidR="00044830">
        <w:rPr>
          <w:b/>
        </w:rPr>
        <w:t>6</w:t>
      </w:r>
      <w:r w:rsidR="007B45D3">
        <w:rPr>
          <w:b/>
        </w:rPr>
        <w:t xml:space="preserve">. </w:t>
      </w:r>
    </w:p>
    <w:p w14:paraId="36FE8506" w14:textId="77777777" w:rsidR="00147415" w:rsidRDefault="006B5436" w:rsidP="006B5436">
      <w:pPr>
        <w:tabs>
          <w:tab w:val="left" w:pos="0"/>
          <w:tab w:val="left" w:pos="1440"/>
          <w:tab w:val="left" w:pos="2160"/>
          <w:tab w:val="right" w:leader="dot" w:pos="8820"/>
        </w:tabs>
        <w:spacing w:line="480" w:lineRule="auto"/>
        <w:ind w:left="720" w:hangingChars="300" w:hanging="720"/>
      </w:pPr>
      <w:r>
        <w:t>A.</w:t>
      </w:r>
      <w:r>
        <w:tab/>
      </w:r>
      <w:r w:rsidR="007B45D3">
        <w:t xml:space="preserve">Each of these </w:t>
      </w:r>
      <w:r w:rsidR="007B45D3" w:rsidRPr="004E5E87">
        <w:t>adjustments</w:t>
      </w:r>
      <w:r w:rsidR="003A6CBB">
        <w:t xml:space="preserve"> is related to the issue of attrition</w:t>
      </w:r>
      <w:r>
        <w:t xml:space="preserve">.  </w:t>
      </w:r>
      <w:r w:rsidR="00147415">
        <w:t>Because Staff addresses attrition through a separate attrition study, these adjustments are duplicative and therefore Staff does not separately address them.</w:t>
      </w:r>
    </w:p>
    <w:p w14:paraId="36FE8507" w14:textId="77777777" w:rsidR="006B5436" w:rsidRDefault="00147415" w:rsidP="006B5436">
      <w:pPr>
        <w:tabs>
          <w:tab w:val="left" w:pos="0"/>
          <w:tab w:val="left" w:pos="1440"/>
          <w:tab w:val="left" w:pos="2160"/>
          <w:tab w:val="right" w:leader="dot" w:pos="8820"/>
        </w:tabs>
        <w:spacing w:line="480" w:lineRule="auto"/>
        <w:ind w:left="720" w:hangingChars="300" w:hanging="720"/>
      </w:pPr>
      <w:r>
        <w:tab/>
      </w:r>
      <w:r>
        <w:tab/>
      </w:r>
      <w:r w:rsidR="006B5436">
        <w:t>Avista</w:t>
      </w:r>
      <w:r w:rsidR="003A6CBB">
        <w:t xml:space="preserve"> presents Adjustments 4.00 through 4.03 as attrition-related adjustments.</w:t>
      </w:r>
      <w:r w:rsidR="006B5436">
        <w:t xml:space="preserve">  </w:t>
      </w:r>
      <w:r w:rsidR="003A6CBB">
        <w:t xml:space="preserve">However, </w:t>
      </w:r>
      <w:r w:rsidR="0019004D">
        <w:t xml:space="preserve">Avista’s </w:t>
      </w:r>
      <w:r w:rsidR="003A6CBB">
        <w:t>A</w:t>
      </w:r>
      <w:r w:rsidR="0019004D">
        <w:t>djustment</w:t>
      </w:r>
      <w:r w:rsidR="003A6CBB">
        <w:t>s 3.06 and</w:t>
      </w:r>
      <w:r w:rsidR="0019004D">
        <w:t xml:space="preserve"> 3.07 </w:t>
      </w:r>
      <w:r w:rsidR="003A6CBB">
        <w:t xml:space="preserve">are </w:t>
      </w:r>
      <w:r w:rsidR="0019004D">
        <w:t>also attrition</w:t>
      </w:r>
      <w:r w:rsidR="003A6CBB">
        <w:t xml:space="preserve">-related because they reflect </w:t>
      </w:r>
      <w:r w:rsidR="0019004D">
        <w:t>rate base on an end</w:t>
      </w:r>
      <w:r w:rsidR="003A6CBB">
        <w:t>-</w:t>
      </w:r>
      <w:r w:rsidR="0019004D">
        <w:t>of</w:t>
      </w:r>
      <w:r w:rsidR="003A6CBB">
        <w:t>-</w:t>
      </w:r>
      <w:r w:rsidR="0019004D">
        <w:t>period basis</w:t>
      </w:r>
      <w:r w:rsidR="003A6CBB">
        <w:t>,</w:t>
      </w:r>
      <w:r w:rsidR="0019004D">
        <w:t xml:space="preserve"> </w:t>
      </w:r>
      <w:r w:rsidR="003A6CBB">
        <w:t>rather than</w:t>
      </w:r>
      <w:r w:rsidR="0019004D">
        <w:t xml:space="preserve"> an average of the monthly averages basis.</w:t>
      </w:r>
    </w:p>
    <w:p w14:paraId="36FE8508" w14:textId="77777777" w:rsidR="00B06EE3" w:rsidDel="00B06EE3" w:rsidRDefault="00CB741E" w:rsidP="00B06EE3">
      <w:pPr>
        <w:tabs>
          <w:tab w:val="left" w:pos="0"/>
          <w:tab w:val="left" w:pos="1440"/>
          <w:tab w:val="left" w:pos="2160"/>
          <w:tab w:val="right" w:leader="dot" w:pos="8820"/>
        </w:tabs>
        <w:spacing w:line="480" w:lineRule="auto"/>
        <w:ind w:left="720" w:hangingChars="300" w:hanging="720"/>
      </w:pPr>
      <w:r>
        <w:tab/>
      </w:r>
      <w:r>
        <w:tab/>
      </w:r>
      <w:r w:rsidR="000E306D">
        <w:t>The Commission has recognized that average of monthly averages rate base “is most favored”, but year</w:t>
      </w:r>
      <w:r w:rsidR="00B06EE3">
        <w:t>-</w:t>
      </w:r>
      <w:r w:rsidR="00C478B7">
        <w:t>end</w:t>
      </w:r>
      <w:r w:rsidR="000E306D">
        <w:t xml:space="preserve"> rate base is</w:t>
      </w:r>
      <w:r w:rsidR="00C478B7">
        <w:t xml:space="preserve"> a</w:t>
      </w:r>
      <w:r w:rsidR="00B06EE3">
        <w:t xml:space="preserve"> tool the Commission can use to address </w:t>
      </w:r>
      <w:r w:rsidR="000E306D">
        <w:t>attrition.</w:t>
      </w:r>
      <w:r w:rsidR="000E306D">
        <w:rPr>
          <w:rStyle w:val="FootnoteReference"/>
        </w:rPr>
        <w:footnoteReference w:id="14"/>
      </w:r>
      <w:r w:rsidR="00B06EE3">
        <w:t xml:space="preserve">  </w:t>
      </w:r>
      <w:r w:rsidR="00890705">
        <w:t>Because b</w:t>
      </w:r>
      <w:r w:rsidR="00B06EE3">
        <w:t>oth Staff</w:t>
      </w:r>
      <w:r w:rsidR="00147415">
        <w:t>’s</w:t>
      </w:r>
      <w:r w:rsidR="00B06EE3">
        <w:t xml:space="preserve"> and </w:t>
      </w:r>
      <w:r w:rsidR="00147415">
        <w:t xml:space="preserve">the </w:t>
      </w:r>
      <w:r w:rsidR="00B06EE3">
        <w:t>Company</w:t>
      </w:r>
      <w:r w:rsidR="00147415">
        <w:t>’s</w:t>
      </w:r>
      <w:r w:rsidR="00B06EE3">
        <w:t xml:space="preserve"> attrition </w:t>
      </w:r>
      <w:r w:rsidR="00147415">
        <w:t>studies</w:t>
      </w:r>
      <w:r w:rsidR="00B06EE3">
        <w:t xml:space="preserve"> consider plant additions through the rate year, Adjustments 3.06 and 3.07 </w:t>
      </w:r>
      <w:r w:rsidR="00147415">
        <w:t xml:space="preserve">are </w:t>
      </w:r>
      <w:r w:rsidR="00B06EE3">
        <w:t xml:space="preserve">duplicative. </w:t>
      </w:r>
    </w:p>
    <w:p w14:paraId="36FE8509" w14:textId="77777777" w:rsidR="00044830" w:rsidRDefault="00044830" w:rsidP="00044830">
      <w:pPr>
        <w:pStyle w:val="ListParagraph"/>
        <w:tabs>
          <w:tab w:val="left" w:pos="720"/>
          <w:tab w:val="left" w:pos="1440"/>
          <w:tab w:val="left" w:pos="2160"/>
          <w:tab w:val="right" w:leader="dot" w:pos="8820"/>
        </w:tabs>
        <w:spacing w:line="480" w:lineRule="auto"/>
        <w:ind w:hangingChars="300" w:hanging="720"/>
      </w:pPr>
      <w:r>
        <w:lastRenderedPageBreak/>
        <w:tab/>
      </w:r>
      <w:r>
        <w:tab/>
      </w:r>
      <w:r w:rsidR="00147415">
        <w:t xml:space="preserve">Similarly, </w:t>
      </w:r>
      <w:r>
        <w:t>Avista’s adjustments 4.06, Electric and 4.03, Natural Gas, O&amp;M Offsets, include projected reductions in operations and maintenance expense related to capital additions through the rate year 2013.  Staff removes these adjustments as separate items because</w:t>
      </w:r>
      <w:r w:rsidR="00207811">
        <w:t>,</w:t>
      </w:r>
      <w:r>
        <w:t xml:space="preserve"> </w:t>
      </w:r>
      <w:r w:rsidR="00147415">
        <w:t xml:space="preserve">again, </w:t>
      </w:r>
      <w:r>
        <w:t xml:space="preserve">I consider operations and maintenance expense </w:t>
      </w:r>
      <w:r w:rsidR="00147415">
        <w:t xml:space="preserve">growth </w:t>
      </w:r>
      <w:r>
        <w:t xml:space="preserve">in my attrition study.  </w:t>
      </w:r>
    </w:p>
    <w:p w14:paraId="36FE850A" w14:textId="77777777" w:rsidR="00C44DE4" w:rsidRDefault="00C44DE4">
      <w:pPr>
        <w:tabs>
          <w:tab w:val="left" w:pos="0"/>
          <w:tab w:val="left" w:pos="1440"/>
          <w:tab w:val="left" w:pos="2160"/>
          <w:tab w:val="left" w:pos="2805"/>
        </w:tabs>
        <w:spacing w:line="480" w:lineRule="auto"/>
        <w:ind w:left="720" w:hangingChars="300" w:hanging="720"/>
      </w:pPr>
    </w:p>
    <w:p w14:paraId="36FE850B" w14:textId="77777777" w:rsidR="002D2A3D" w:rsidRPr="00730D37" w:rsidRDefault="00730D37" w:rsidP="00B82FF4">
      <w:pPr>
        <w:spacing w:line="480" w:lineRule="auto"/>
        <w:ind w:left="1440" w:hanging="720"/>
        <w:jc w:val="center"/>
        <w:rPr>
          <w:b/>
        </w:rPr>
      </w:pPr>
      <w:r>
        <w:rPr>
          <w:b/>
        </w:rPr>
        <w:t>F.</w:t>
      </w:r>
      <w:r>
        <w:rPr>
          <w:b/>
        </w:rPr>
        <w:tab/>
      </w:r>
      <w:r w:rsidR="002D2A3D" w:rsidRPr="00730D37">
        <w:rPr>
          <w:b/>
        </w:rPr>
        <w:t>Staff Adjustment 3.08</w:t>
      </w:r>
      <w:r w:rsidR="003F168E" w:rsidRPr="00730D37">
        <w:rPr>
          <w:b/>
        </w:rPr>
        <w:t xml:space="preserve">, Electric </w:t>
      </w:r>
      <w:r w:rsidR="0054734A" w:rsidRPr="00730D37">
        <w:rPr>
          <w:b/>
        </w:rPr>
        <w:t>–</w:t>
      </w:r>
      <w:r w:rsidR="002D2A3D" w:rsidRPr="00730D37">
        <w:rPr>
          <w:b/>
        </w:rPr>
        <w:t xml:space="preserve"> </w:t>
      </w:r>
      <w:r w:rsidR="0054734A" w:rsidRPr="00730D37">
        <w:rPr>
          <w:b/>
        </w:rPr>
        <w:t>Noxon Rapids Unit 4 Runner Upgrade</w:t>
      </w:r>
    </w:p>
    <w:p w14:paraId="36FE850C" w14:textId="77777777" w:rsidR="003E6E6A" w:rsidRPr="002D2A3D" w:rsidRDefault="003E6E6A" w:rsidP="00506C7F">
      <w:pPr>
        <w:tabs>
          <w:tab w:val="left" w:pos="0"/>
          <w:tab w:val="left" w:pos="1440"/>
          <w:tab w:val="left" w:pos="2160"/>
          <w:tab w:val="left" w:pos="2805"/>
        </w:tabs>
        <w:spacing w:line="480" w:lineRule="auto"/>
        <w:ind w:left="723" w:hangingChars="300" w:hanging="723"/>
        <w:rPr>
          <w:b/>
        </w:rPr>
      </w:pPr>
    </w:p>
    <w:p w14:paraId="36FE850D" w14:textId="77777777" w:rsidR="003E6E6A" w:rsidRDefault="002D2A3D" w:rsidP="002D2A3D">
      <w:pPr>
        <w:tabs>
          <w:tab w:val="left" w:pos="0"/>
          <w:tab w:val="left" w:pos="1440"/>
          <w:tab w:val="left" w:pos="2160"/>
          <w:tab w:val="left" w:pos="2805"/>
        </w:tabs>
        <w:spacing w:line="480" w:lineRule="auto"/>
        <w:ind w:left="723" w:hangingChars="300" w:hanging="723"/>
        <w:rPr>
          <w:b/>
        </w:rPr>
      </w:pPr>
      <w:r>
        <w:rPr>
          <w:b/>
        </w:rPr>
        <w:t>Q.</w:t>
      </w:r>
      <w:r>
        <w:rPr>
          <w:b/>
        </w:rPr>
        <w:tab/>
        <w:t>Please explain Staff Adjustment 3.08</w:t>
      </w:r>
      <w:r w:rsidR="0054734A">
        <w:rPr>
          <w:b/>
        </w:rPr>
        <w:t>, Electric -</w:t>
      </w:r>
      <w:r>
        <w:rPr>
          <w:b/>
        </w:rPr>
        <w:t xml:space="preserve"> </w:t>
      </w:r>
      <w:r w:rsidR="00DF743C">
        <w:rPr>
          <w:b/>
        </w:rPr>
        <w:t xml:space="preserve">Noxon </w:t>
      </w:r>
      <w:r w:rsidR="003D742B">
        <w:rPr>
          <w:b/>
        </w:rPr>
        <w:t>Rapids Unit 4 Runner Upgrade</w:t>
      </w:r>
      <w:r>
        <w:rPr>
          <w:b/>
        </w:rPr>
        <w:t>.</w:t>
      </w:r>
    </w:p>
    <w:p w14:paraId="36FE850E" w14:textId="77777777" w:rsidR="002D2A3D" w:rsidRDefault="002D2A3D" w:rsidP="002D2A3D">
      <w:pPr>
        <w:tabs>
          <w:tab w:val="left" w:pos="0"/>
          <w:tab w:val="left" w:pos="1440"/>
          <w:tab w:val="left" w:pos="2160"/>
          <w:tab w:val="left" w:pos="2805"/>
        </w:tabs>
        <w:spacing w:line="480" w:lineRule="auto"/>
        <w:ind w:left="720" w:hangingChars="300" w:hanging="720"/>
      </w:pPr>
      <w:r>
        <w:t>A.</w:t>
      </w:r>
      <w:r>
        <w:tab/>
      </w:r>
      <w:r w:rsidR="0054734A">
        <w:t xml:space="preserve">Avista is making upgrades to its hydroelectric facility at Noxon.  Mr. Buckley, </w:t>
      </w:r>
      <w:r w:rsidR="00DF743C">
        <w:t>Staff</w:t>
      </w:r>
      <w:r w:rsidR="0054734A">
        <w:t>’s power supply witness, includes the impact of these upgrades on power supply costs.  Therefore, it is appropriate to reflect the impact of the upgrades on rate base.  Staff’s</w:t>
      </w:r>
      <w:r w:rsidR="00DF743C">
        <w:t xml:space="preserve"> </w:t>
      </w:r>
      <w:r w:rsidR="003D742B">
        <w:t xml:space="preserve">Adjustment 3.08 includes </w:t>
      </w:r>
      <w:r w:rsidR="0054734A">
        <w:t xml:space="preserve">the </w:t>
      </w:r>
      <w:r w:rsidR="003D742B">
        <w:t xml:space="preserve">plant additions related to </w:t>
      </w:r>
      <w:r w:rsidR="0054734A">
        <w:t xml:space="preserve">the </w:t>
      </w:r>
      <w:r w:rsidR="003D742B">
        <w:t xml:space="preserve">production assets </w:t>
      </w:r>
      <w:r w:rsidR="0054734A">
        <w:t>Staff</w:t>
      </w:r>
      <w:r w:rsidR="003D742B">
        <w:t xml:space="preserve"> considered in the dispatch of power in the rate year.  Staff witness Alan Buckley describes this adjustment in detail.</w:t>
      </w:r>
      <w:r w:rsidR="0059633B">
        <w:rPr>
          <w:rStyle w:val="FootnoteReference"/>
        </w:rPr>
        <w:footnoteReference w:id="15"/>
      </w:r>
    </w:p>
    <w:p w14:paraId="36FE850F" w14:textId="77777777" w:rsidR="00C44DE4" w:rsidRDefault="003D742B" w:rsidP="00AD0CDF">
      <w:pPr>
        <w:tabs>
          <w:tab w:val="left" w:pos="0"/>
          <w:tab w:val="left" w:pos="1440"/>
          <w:tab w:val="left" w:pos="2160"/>
          <w:tab w:val="left" w:pos="2805"/>
        </w:tabs>
        <w:spacing w:line="480" w:lineRule="auto"/>
        <w:ind w:left="720" w:hangingChars="300" w:hanging="720"/>
      </w:pPr>
      <w:r>
        <w:tab/>
      </w:r>
      <w:r>
        <w:tab/>
        <w:t>Staff Adjustment 3.08 decreases Washington net operating income by $</w:t>
      </w:r>
      <w:r w:rsidR="007B45D3">
        <w:t>15,000</w:t>
      </w:r>
      <w:r w:rsidR="00843FE2">
        <w:t xml:space="preserve"> and</w:t>
      </w:r>
      <w:r>
        <w:t xml:space="preserve"> increases net rate base $5</w:t>
      </w:r>
      <w:r w:rsidR="007B45D3">
        <w:t>,173,000</w:t>
      </w:r>
      <w:r w:rsidR="00C44DE4">
        <w:t>,</w:t>
      </w:r>
      <w:r>
        <w:t xml:space="preserve"> there</w:t>
      </w:r>
      <w:r w:rsidR="00C44DE4">
        <w:t>by</w:t>
      </w:r>
      <w:r>
        <w:t xml:space="preserve"> </w:t>
      </w:r>
      <w:r w:rsidR="007B45D3">
        <w:t>increasing</w:t>
      </w:r>
      <w:r>
        <w:t xml:space="preserve"> the </w:t>
      </w:r>
      <w:r w:rsidR="00890705">
        <w:t xml:space="preserve">electric </w:t>
      </w:r>
      <w:r>
        <w:t>revenue requirement by $</w:t>
      </w:r>
      <w:r w:rsidR="007B45D3">
        <w:t>62</w:t>
      </w:r>
      <w:r w:rsidR="00743B12">
        <w:t>5</w:t>
      </w:r>
      <w:r w:rsidR="007B45D3">
        <w:t>,000</w:t>
      </w:r>
      <w:r>
        <w:t>.</w:t>
      </w:r>
      <w:r w:rsidR="00FC0E1A">
        <w:rPr>
          <w:rStyle w:val="FootnoteReference"/>
        </w:rPr>
        <w:footnoteReference w:id="16"/>
      </w:r>
      <w:r w:rsidR="00843FE2">
        <w:t xml:space="preserve">  </w:t>
      </w:r>
    </w:p>
    <w:p w14:paraId="36FE8510" w14:textId="77777777" w:rsidR="00C44DE4" w:rsidRDefault="00C44DE4" w:rsidP="00C44DE4">
      <w:pPr>
        <w:tabs>
          <w:tab w:val="left" w:pos="0"/>
          <w:tab w:val="left" w:pos="1440"/>
          <w:tab w:val="left" w:pos="2160"/>
          <w:tab w:val="left" w:pos="2805"/>
        </w:tabs>
        <w:spacing w:line="480" w:lineRule="auto"/>
        <w:ind w:left="720" w:hangingChars="300" w:hanging="720"/>
      </w:pPr>
    </w:p>
    <w:p w14:paraId="36FE8511" w14:textId="77777777" w:rsidR="00CF1836" w:rsidRPr="00C44DE4" w:rsidRDefault="00C44DE4" w:rsidP="00506C7F">
      <w:pPr>
        <w:keepNext/>
        <w:tabs>
          <w:tab w:val="left" w:pos="0"/>
          <w:tab w:val="left" w:pos="1440"/>
          <w:tab w:val="left" w:pos="2160"/>
          <w:tab w:val="left" w:pos="2805"/>
        </w:tabs>
        <w:spacing w:line="480" w:lineRule="auto"/>
        <w:ind w:left="720" w:hanging="720"/>
      </w:pPr>
      <w:r>
        <w:lastRenderedPageBreak/>
        <w:tab/>
      </w:r>
      <w:r>
        <w:rPr>
          <w:b/>
        </w:rPr>
        <w:t>G.</w:t>
      </w:r>
      <w:r>
        <w:rPr>
          <w:b/>
        </w:rPr>
        <w:tab/>
      </w:r>
      <w:r w:rsidR="00CF1836" w:rsidRPr="00CF1836">
        <w:rPr>
          <w:b/>
        </w:rPr>
        <w:t>Staff Adjustment 3.09</w:t>
      </w:r>
      <w:r w:rsidR="0054734A">
        <w:rPr>
          <w:b/>
        </w:rPr>
        <w:t>, Electric -</w:t>
      </w:r>
      <w:r w:rsidR="00CF1836" w:rsidRPr="00CF1836">
        <w:rPr>
          <w:b/>
        </w:rPr>
        <w:t xml:space="preserve"> Pullman Smart Grid Adjustment</w:t>
      </w:r>
    </w:p>
    <w:p w14:paraId="36FE8512" w14:textId="77777777" w:rsidR="00147415" w:rsidRDefault="00147415" w:rsidP="00CF1836">
      <w:pPr>
        <w:tabs>
          <w:tab w:val="left" w:pos="0"/>
          <w:tab w:val="left" w:pos="1440"/>
          <w:tab w:val="left" w:pos="2160"/>
          <w:tab w:val="left" w:pos="2805"/>
        </w:tabs>
        <w:spacing w:line="480" w:lineRule="auto"/>
        <w:ind w:left="723" w:hangingChars="300" w:hanging="723"/>
        <w:rPr>
          <w:b/>
        </w:rPr>
      </w:pPr>
    </w:p>
    <w:p w14:paraId="36FE8513" w14:textId="77777777" w:rsidR="00CF1836" w:rsidRDefault="007B4A86" w:rsidP="00CF1836">
      <w:pPr>
        <w:tabs>
          <w:tab w:val="left" w:pos="0"/>
          <w:tab w:val="left" w:pos="1440"/>
          <w:tab w:val="left" w:pos="2160"/>
          <w:tab w:val="left" w:pos="2805"/>
        </w:tabs>
        <w:spacing w:line="480" w:lineRule="auto"/>
        <w:ind w:left="723" w:hangingChars="300" w:hanging="723"/>
        <w:rPr>
          <w:b/>
        </w:rPr>
      </w:pPr>
      <w:r>
        <w:rPr>
          <w:b/>
        </w:rPr>
        <w:t>Q.</w:t>
      </w:r>
      <w:r>
        <w:rPr>
          <w:b/>
        </w:rPr>
        <w:tab/>
        <w:t>Please e</w:t>
      </w:r>
      <w:r w:rsidR="00CF1836">
        <w:rPr>
          <w:b/>
        </w:rPr>
        <w:t xml:space="preserve">xplain Staff </w:t>
      </w:r>
      <w:r w:rsidR="00CF1836" w:rsidRPr="00CF1836">
        <w:rPr>
          <w:b/>
        </w:rPr>
        <w:t>Adjustment 3.09</w:t>
      </w:r>
      <w:r w:rsidR="0054734A">
        <w:rPr>
          <w:b/>
        </w:rPr>
        <w:t>, Electric -</w:t>
      </w:r>
      <w:r w:rsidR="00CF1836" w:rsidRPr="00CF1836">
        <w:rPr>
          <w:b/>
        </w:rPr>
        <w:t xml:space="preserve"> Pullman Smart Grid Adjustment</w:t>
      </w:r>
      <w:r w:rsidR="00CF1836">
        <w:rPr>
          <w:b/>
        </w:rPr>
        <w:t>.</w:t>
      </w:r>
    </w:p>
    <w:p w14:paraId="36FE8514" w14:textId="77777777" w:rsidR="0054734A" w:rsidRDefault="00CF1836" w:rsidP="00CF1836">
      <w:pPr>
        <w:tabs>
          <w:tab w:val="left" w:pos="0"/>
          <w:tab w:val="left" w:pos="1440"/>
          <w:tab w:val="left" w:pos="2160"/>
          <w:tab w:val="left" w:pos="2805"/>
        </w:tabs>
        <w:spacing w:line="480" w:lineRule="auto"/>
        <w:ind w:left="720" w:hangingChars="300" w:hanging="720"/>
      </w:pPr>
      <w:r>
        <w:t>A.</w:t>
      </w:r>
      <w:r>
        <w:tab/>
      </w:r>
      <w:r w:rsidR="0054734A">
        <w:t xml:space="preserve">This adjustment relates to Staff’s recommended disallowance of certain smart grid-related investment from rate base.  </w:t>
      </w:r>
      <w:r w:rsidR="007B4A86">
        <w:t xml:space="preserve">Staff witness </w:t>
      </w:r>
      <w:r w:rsidR="0054734A">
        <w:t xml:space="preserve">Mr. </w:t>
      </w:r>
      <w:r w:rsidR="007B4A86">
        <w:t>Nightingale explains this adjustment.</w:t>
      </w:r>
      <w:r w:rsidR="00730D37">
        <w:rPr>
          <w:rStyle w:val="FootnoteReference"/>
        </w:rPr>
        <w:footnoteReference w:id="17"/>
      </w:r>
      <w:r w:rsidR="007B4A86">
        <w:t xml:space="preserve">  </w:t>
      </w:r>
    </w:p>
    <w:p w14:paraId="36FE8515" w14:textId="77777777" w:rsidR="00C44DE4" w:rsidRDefault="0054734A" w:rsidP="00C44DE4">
      <w:pPr>
        <w:tabs>
          <w:tab w:val="left" w:pos="0"/>
          <w:tab w:val="left" w:pos="1440"/>
          <w:tab w:val="left" w:pos="2160"/>
          <w:tab w:val="left" w:pos="2805"/>
        </w:tabs>
        <w:spacing w:line="480" w:lineRule="auto"/>
        <w:ind w:left="720" w:hangingChars="300" w:hanging="720"/>
      </w:pPr>
      <w:r>
        <w:tab/>
      </w:r>
      <w:r>
        <w:tab/>
      </w:r>
      <w:r w:rsidR="007B4A86">
        <w:t>Staff</w:t>
      </w:r>
      <w:r w:rsidR="00FC0B83">
        <w:t xml:space="preserve"> </w:t>
      </w:r>
      <w:r w:rsidR="007B4A86">
        <w:t>Adjustment 3.0</w:t>
      </w:r>
      <w:r w:rsidR="008E2CBC">
        <w:t>9</w:t>
      </w:r>
      <w:r w:rsidR="00C44DE4">
        <w:t xml:space="preserve"> </w:t>
      </w:r>
      <w:r w:rsidR="00C83764" w:rsidRPr="00C83764">
        <w:t>decreases Washington</w:t>
      </w:r>
      <w:r w:rsidR="007B4A86" w:rsidRPr="00C83764">
        <w:t xml:space="preserve"> </w:t>
      </w:r>
      <w:r w:rsidR="0049468D">
        <w:t xml:space="preserve">net operating income by $9,000 and </w:t>
      </w:r>
      <w:r w:rsidR="007B4A86" w:rsidRPr="00C83764">
        <w:t xml:space="preserve">net rate base </w:t>
      </w:r>
      <w:r w:rsidR="007B4A86" w:rsidRPr="0047116B">
        <w:t>$</w:t>
      </w:r>
      <w:r w:rsidR="00C83764" w:rsidRPr="0047116B">
        <w:t>827,000</w:t>
      </w:r>
      <w:r w:rsidRPr="00C83764">
        <w:t>,</w:t>
      </w:r>
      <w:r w:rsidR="007B4A86" w:rsidRPr="00C83764">
        <w:t xml:space="preserve"> there</w:t>
      </w:r>
      <w:r w:rsidRPr="00C83764">
        <w:t>by</w:t>
      </w:r>
      <w:r w:rsidR="007B4A86" w:rsidRPr="00C83764">
        <w:t xml:space="preserve"> reducing the revenue requirement by </w:t>
      </w:r>
      <w:r w:rsidR="007B4A86" w:rsidRPr="0047116B">
        <w:t>$</w:t>
      </w:r>
      <w:r w:rsidR="00C83764">
        <w:t>82,000</w:t>
      </w:r>
      <w:r w:rsidR="007B4A86" w:rsidRPr="00C83764">
        <w:t>.</w:t>
      </w:r>
      <w:r w:rsidR="00A431F3">
        <w:rPr>
          <w:rStyle w:val="FootnoteReference"/>
        </w:rPr>
        <w:footnoteReference w:id="18"/>
      </w:r>
      <w:r w:rsidR="007B4A86">
        <w:t xml:space="preserve">  </w:t>
      </w:r>
    </w:p>
    <w:p w14:paraId="36FE8516" w14:textId="77777777" w:rsidR="00C44DE4" w:rsidRDefault="00C44DE4" w:rsidP="00C44DE4">
      <w:pPr>
        <w:tabs>
          <w:tab w:val="left" w:pos="0"/>
          <w:tab w:val="left" w:pos="1440"/>
          <w:tab w:val="left" w:pos="2160"/>
          <w:tab w:val="left" w:pos="2805"/>
        </w:tabs>
        <w:spacing w:line="480" w:lineRule="auto"/>
        <w:ind w:left="720" w:hangingChars="300" w:hanging="720"/>
      </w:pPr>
    </w:p>
    <w:p w14:paraId="36FE8517" w14:textId="77777777" w:rsidR="007B4A86" w:rsidRPr="00C44DE4" w:rsidRDefault="00C44DE4" w:rsidP="00C44DE4">
      <w:pPr>
        <w:spacing w:line="480" w:lineRule="auto"/>
        <w:ind w:leftChars="300" w:left="1438" w:hangingChars="298" w:hanging="718"/>
      </w:pPr>
      <w:r>
        <w:rPr>
          <w:b/>
        </w:rPr>
        <w:t>H.</w:t>
      </w:r>
      <w:r>
        <w:rPr>
          <w:b/>
        </w:rPr>
        <w:tab/>
      </w:r>
      <w:r w:rsidR="0054734A">
        <w:rPr>
          <w:b/>
        </w:rPr>
        <w:t xml:space="preserve">Staff </w:t>
      </w:r>
      <w:r w:rsidR="007B4A86" w:rsidRPr="007B4A86">
        <w:rPr>
          <w:b/>
        </w:rPr>
        <w:t>Adjustment 4.04</w:t>
      </w:r>
      <w:r w:rsidR="0054734A">
        <w:rPr>
          <w:b/>
        </w:rPr>
        <w:t xml:space="preserve">, </w:t>
      </w:r>
      <w:r w:rsidR="00AD0CDF">
        <w:rPr>
          <w:b/>
        </w:rPr>
        <w:t>Electric</w:t>
      </w:r>
      <w:r w:rsidR="0054734A">
        <w:rPr>
          <w:b/>
        </w:rPr>
        <w:t xml:space="preserve"> -</w:t>
      </w:r>
      <w:r w:rsidR="007B4A86" w:rsidRPr="007B4A86">
        <w:rPr>
          <w:b/>
        </w:rPr>
        <w:t xml:space="preserve"> Retail Revenue Credit</w:t>
      </w:r>
    </w:p>
    <w:p w14:paraId="36FE8518" w14:textId="77777777" w:rsidR="00147415" w:rsidRDefault="00147415" w:rsidP="007B4A86">
      <w:pPr>
        <w:pStyle w:val="ListParagraph"/>
        <w:tabs>
          <w:tab w:val="left" w:pos="720"/>
          <w:tab w:val="left" w:pos="1440"/>
          <w:tab w:val="left" w:pos="2160"/>
          <w:tab w:val="right" w:leader="dot" w:pos="8820"/>
        </w:tabs>
        <w:spacing w:line="480" w:lineRule="auto"/>
        <w:ind w:left="723" w:hangingChars="300" w:hanging="723"/>
        <w:rPr>
          <w:b/>
        </w:rPr>
      </w:pPr>
    </w:p>
    <w:p w14:paraId="36FE8519" w14:textId="77777777" w:rsidR="007B4A86" w:rsidRDefault="007B4A86" w:rsidP="007B4A86">
      <w:pPr>
        <w:pStyle w:val="ListParagraph"/>
        <w:tabs>
          <w:tab w:val="left" w:pos="720"/>
          <w:tab w:val="left" w:pos="1440"/>
          <w:tab w:val="left" w:pos="2160"/>
          <w:tab w:val="right" w:leader="dot" w:pos="8820"/>
        </w:tabs>
        <w:spacing w:line="480" w:lineRule="auto"/>
        <w:ind w:left="723" w:hangingChars="300" w:hanging="723"/>
        <w:rPr>
          <w:b/>
        </w:rPr>
      </w:pPr>
      <w:r>
        <w:rPr>
          <w:b/>
        </w:rPr>
        <w:t>Q.</w:t>
      </w:r>
      <w:r>
        <w:rPr>
          <w:b/>
        </w:rPr>
        <w:tab/>
        <w:t>Please explain Staff Adjustment 4.04</w:t>
      </w:r>
      <w:r w:rsidR="0054734A">
        <w:rPr>
          <w:b/>
        </w:rPr>
        <w:t>, Electric -</w:t>
      </w:r>
      <w:r>
        <w:rPr>
          <w:b/>
        </w:rPr>
        <w:t xml:space="preserve"> Retail Revenue Credit.</w:t>
      </w:r>
    </w:p>
    <w:p w14:paraId="36FE851A" w14:textId="77777777" w:rsidR="0054734A" w:rsidDel="0054734A" w:rsidRDefault="007B4A86" w:rsidP="0054734A">
      <w:pPr>
        <w:pStyle w:val="ListParagraph"/>
        <w:tabs>
          <w:tab w:val="left" w:pos="720"/>
          <w:tab w:val="left" w:pos="1440"/>
          <w:tab w:val="left" w:pos="2160"/>
          <w:tab w:val="right" w:leader="dot" w:pos="8820"/>
        </w:tabs>
        <w:spacing w:line="480" w:lineRule="auto"/>
        <w:ind w:hangingChars="300" w:hanging="720"/>
      </w:pPr>
      <w:r>
        <w:t>A.</w:t>
      </w:r>
      <w:r>
        <w:tab/>
      </w:r>
      <w:r w:rsidR="00C44DE4">
        <w:t xml:space="preserve">As Staff witness </w:t>
      </w:r>
      <w:r w:rsidR="0054734A">
        <w:t>Mr. Buckley</w:t>
      </w:r>
      <w:r w:rsidR="00C44DE4">
        <w:t xml:space="preserve"> </w:t>
      </w:r>
      <w:r w:rsidR="0054734A">
        <w:t xml:space="preserve">explains, </w:t>
      </w:r>
      <w:r w:rsidR="00C44DE4">
        <w:t xml:space="preserve">because </w:t>
      </w:r>
      <w:r w:rsidR="0054734A">
        <w:t xml:space="preserve">Staff has accepted the Company’s proposed change to the way the </w:t>
      </w:r>
      <w:r>
        <w:t xml:space="preserve">retail revenue credit is </w:t>
      </w:r>
      <w:r w:rsidR="0054734A">
        <w:t xml:space="preserve">calculated within the </w:t>
      </w:r>
      <w:r>
        <w:t>Energy Recovery Mechanism (ERM)</w:t>
      </w:r>
      <w:r w:rsidR="0054734A">
        <w:t xml:space="preserve">, </w:t>
      </w:r>
      <w:r w:rsidR="005E744A">
        <w:t xml:space="preserve">Adjustment </w:t>
      </w:r>
      <w:r w:rsidR="0054734A">
        <w:t>4.04 is moot.</w:t>
      </w:r>
      <w:r w:rsidR="00C44DE4">
        <w:rPr>
          <w:rStyle w:val="FootnoteReference"/>
        </w:rPr>
        <w:footnoteReference w:id="19"/>
      </w:r>
      <w:r w:rsidR="0054734A">
        <w:t xml:space="preserve">  Therefore, I remove </w:t>
      </w:r>
      <w:r w:rsidR="005E744A">
        <w:t>it</w:t>
      </w:r>
      <w:r w:rsidR="0054734A">
        <w:t xml:space="preserve">.  </w:t>
      </w:r>
    </w:p>
    <w:p w14:paraId="36FE851B" w14:textId="77777777" w:rsidR="00680878" w:rsidRDefault="00680878" w:rsidP="008422E2">
      <w:pPr>
        <w:tabs>
          <w:tab w:val="left" w:pos="0"/>
          <w:tab w:val="left" w:pos="1440"/>
          <w:tab w:val="left" w:pos="2160"/>
          <w:tab w:val="right" w:leader="dot" w:pos="8820"/>
        </w:tabs>
        <w:spacing w:line="480" w:lineRule="auto"/>
        <w:ind w:left="723" w:hangingChars="300" w:hanging="723"/>
        <w:jc w:val="center"/>
        <w:rPr>
          <w:b/>
        </w:rPr>
      </w:pPr>
    </w:p>
    <w:p w14:paraId="36FE851C" w14:textId="77777777" w:rsidR="00CF0F9E" w:rsidRPr="007148CF" w:rsidRDefault="00CF0F9E" w:rsidP="008422E2">
      <w:pPr>
        <w:tabs>
          <w:tab w:val="left" w:pos="0"/>
          <w:tab w:val="left" w:pos="1440"/>
          <w:tab w:val="left" w:pos="2160"/>
          <w:tab w:val="right" w:leader="dot" w:pos="8820"/>
        </w:tabs>
        <w:spacing w:line="480" w:lineRule="auto"/>
        <w:ind w:left="723" w:hangingChars="300" w:hanging="723"/>
        <w:jc w:val="center"/>
        <w:rPr>
          <w:b/>
        </w:rPr>
      </w:pPr>
      <w:r w:rsidRPr="007148CF">
        <w:rPr>
          <w:b/>
        </w:rPr>
        <w:t>V.</w:t>
      </w:r>
      <w:r w:rsidR="00680878">
        <w:rPr>
          <w:b/>
        </w:rPr>
        <w:tab/>
      </w:r>
      <w:r w:rsidRPr="007148CF">
        <w:rPr>
          <w:b/>
        </w:rPr>
        <w:t>DEFERRED MAINTENANCE</w:t>
      </w:r>
    </w:p>
    <w:p w14:paraId="36FE851D" w14:textId="77777777" w:rsidR="00CF0F9E" w:rsidRPr="007148CF" w:rsidRDefault="00CF0F9E" w:rsidP="004A7A42">
      <w:pPr>
        <w:spacing w:line="480" w:lineRule="auto"/>
        <w:ind w:left="720" w:hanging="720"/>
        <w:jc w:val="center"/>
        <w:rPr>
          <w:b/>
        </w:rPr>
      </w:pPr>
    </w:p>
    <w:p w14:paraId="36FE851E" w14:textId="77777777" w:rsidR="00CF0F9E" w:rsidRPr="007148CF" w:rsidRDefault="0053766E" w:rsidP="00AD0CDF">
      <w:pPr>
        <w:spacing w:line="480" w:lineRule="auto"/>
        <w:ind w:left="720" w:hanging="720"/>
        <w:rPr>
          <w:b/>
        </w:rPr>
      </w:pPr>
      <w:r w:rsidRPr="007148CF">
        <w:rPr>
          <w:b/>
        </w:rPr>
        <w:t>Q.</w:t>
      </w:r>
      <w:r w:rsidRPr="007148CF">
        <w:rPr>
          <w:b/>
        </w:rPr>
        <w:tab/>
        <w:t xml:space="preserve">Please </w:t>
      </w:r>
      <w:r w:rsidR="00764A98">
        <w:rPr>
          <w:b/>
        </w:rPr>
        <w:t xml:space="preserve">provide the background for </w:t>
      </w:r>
      <w:r w:rsidRPr="007148CF">
        <w:rPr>
          <w:b/>
        </w:rPr>
        <w:t xml:space="preserve">Avista’s </w:t>
      </w:r>
      <w:r w:rsidR="00680878">
        <w:rPr>
          <w:b/>
        </w:rPr>
        <w:t>Adjustment 2.16, D</w:t>
      </w:r>
      <w:r w:rsidRPr="007148CF">
        <w:rPr>
          <w:b/>
        </w:rPr>
        <w:t xml:space="preserve">eferred </w:t>
      </w:r>
      <w:r w:rsidR="00680878">
        <w:rPr>
          <w:b/>
        </w:rPr>
        <w:t>M</w:t>
      </w:r>
      <w:r w:rsidRPr="007148CF">
        <w:rPr>
          <w:b/>
        </w:rPr>
        <w:t>aintenance for Colstrip and Coy</w:t>
      </w:r>
      <w:r w:rsidR="00DF183D" w:rsidRPr="007148CF">
        <w:rPr>
          <w:b/>
        </w:rPr>
        <w:t>o</w:t>
      </w:r>
      <w:r w:rsidRPr="007148CF">
        <w:rPr>
          <w:b/>
        </w:rPr>
        <w:t>te Springs 2</w:t>
      </w:r>
      <w:r w:rsidR="0079306F">
        <w:rPr>
          <w:b/>
        </w:rPr>
        <w:t xml:space="preserve">.  </w:t>
      </w:r>
    </w:p>
    <w:p w14:paraId="36FE851F" w14:textId="77777777" w:rsidR="00764A98" w:rsidRDefault="00161FB8" w:rsidP="009E4424">
      <w:pPr>
        <w:spacing w:line="480" w:lineRule="auto"/>
        <w:ind w:left="720" w:hanging="720"/>
      </w:pPr>
      <w:r w:rsidRPr="007148CF">
        <w:lastRenderedPageBreak/>
        <w:t>A.</w:t>
      </w:r>
      <w:r w:rsidRPr="007148CF">
        <w:tab/>
      </w:r>
      <w:r w:rsidR="00764A98">
        <w:t>Avista’s Adjustment 2.16 applies a deferral mechanism described in t</w:t>
      </w:r>
      <w:r w:rsidR="00903635">
        <w:t>he Settlement Stipulation the Commission approved in</w:t>
      </w:r>
      <w:r w:rsidRPr="007148CF">
        <w:t xml:space="preserve"> Avista’s last general rate case</w:t>
      </w:r>
      <w:r w:rsidRPr="007148CF">
        <w:rPr>
          <w:rStyle w:val="FootnoteReference"/>
        </w:rPr>
        <w:footnoteReference w:id="20"/>
      </w:r>
      <w:r w:rsidR="00764A98">
        <w:t>.</w:t>
      </w:r>
      <w:r w:rsidR="004118D3" w:rsidRPr="007148CF">
        <w:t xml:space="preserve"> </w:t>
      </w:r>
      <w:r w:rsidR="00A84631">
        <w:t xml:space="preserve"> </w:t>
      </w:r>
      <w:r w:rsidR="00764A98">
        <w:t>Under that mechanism,</w:t>
      </w:r>
      <w:r w:rsidR="004118D3" w:rsidRPr="007148CF">
        <w:t xml:space="preserve"> </w:t>
      </w:r>
      <w:r w:rsidR="00903635">
        <w:t xml:space="preserve">Avista </w:t>
      </w:r>
      <w:r w:rsidR="00896331">
        <w:t>establish</w:t>
      </w:r>
      <w:r w:rsidR="00764A98">
        <w:t>ed</w:t>
      </w:r>
      <w:r w:rsidR="00896331">
        <w:t xml:space="preserve"> a regulatory asset</w:t>
      </w:r>
      <w:r w:rsidR="00903635">
        <w:t xml:space="preserve"> through a deferral of</w:t>
      </w:r>
      <w:r w:rsidR="00896331">
        <w:t xml:space="preserve"> certain Coyote Springs 2 and Colstrip maintenance expense</w:t>
      </w:r>
      <w:r w:rsidR="00903635">
        <w:t xml:space="preserve">s.  </w:t>
      </w:r>
    </w:p>
    <w:p w14:paraId="36FE8520" w14:textId="77777777" w:rsidR="0053766E" w:rsidRDefault="00764A98" w:rsidP="009E4424">
      <w:pPr>
        <w:spacing w:line="480" w:lineRule="auto"/>
        <w:ind w:left="720" w:hanging="720"/>
      </w:pPr>
      <w:r>
        <w:tab/>
      </w:r>
      <w:r>
        <w:tab/>
      </w:r>
      <w:r w:rsidR="00903635">
        <w:t xml:space="preserve">The amounts to be deferred depend on </w:t>
      </w:r>
      <w:r w:rsidR="00896331">
        <w:t xml:space="preserve">a moving baseline level of expense.  </w:t>
      </w:r>
      <w:r w:rsidR="00903635">
        <w:t>The Settlement Stipulation</w:t>
      </w:r>
      <w:r w:rsidR="00896331">
        <w:t xml:space="preserve"> also specified that the </w:t>
      </w:r>
      <w:r w:rsidR="00FC0B83">
        <w:t xml:space="preserve">future deferrals or pre-approved </w:t>
      </w:r>
      <w:r w:rsidR="00896331">
        <w:t>regulatory asset</w:t>
      </w:r>
      <w:r w:rsidR="00FC0B83">
        <w:t>s</w:t>
      </w:r>
      <w:r w:rsidR="00896331">
        <w:t xml:space="preserve"> would be amortized over a four year period and </w:t>
      </w:r>
      <w:r w:rsidR="006441D0">
        <w:t xml:space="preserve">would </w:t>
      </w:r>
      <w:r w:rsidR="00896331">
        <w:t xml:space="preserve">not </w:t>
      </w:r>
      <w:r w:rsidR="00903635">
        <w:t xml:space="preserve">accrue </w:t>
      </w:r>
      <w:r w:rsidR="00896331">
        <w:t>carrying charge</w:t>
      </w:r>
      <w:r w:rsidR="00903635">
        <w:t>s</w:t>
      </w:r>
      <w:r w:rsidR="008F243B">
        <w:t xml:space="preserve"> or </w:t>
      </w:r>
      <w:r w:rsidR="00903635">
        <w:t>otherwise earn a</w:t>
      </w:r>
      <w:r w:rsidR="008F243B">
        <w:t xml:space="preserve"> return</w:t>
      </w:r>
      <w:r w:rsidR="00896331">
        <w:t xml:space="preserve">. </w:t>
      </w:r>
      <w:r w:rsidR="00C44DE4">
        <w:t xml:space="preserve"> </w:t>
      </w:r>
      <w:r w:rsidR="00510E27">
        <w:t>Essentially</w:t>
      </w:r>
      <w:r w:rsidR="00C44DE4">
        <w:t>,</w:t>
      </w:r>
      <w:r w:rsidR="00510E27">
        <w:t xml:space="preserve"> this mechanism allows for the automatic deferral of certain maintenance costs over a threshold level.</w:t>
      </w:r>
    </w:p>
    <w:p w14:paraId="36FE8521" w14:textId="77777777" w:rsidR="005F3499" w:rsidRDefault="005F3499" w:rsidP="009E4424">
      <w:pPr>
        <w:spacing w:line="480" w:lineRule="auto"/>
        <w:ind w:left="720" w:hanging="720"/>
        <w:rPr>
          <w:rFonts w:ascii="Times" w:hAnsi="Times"/>
        </w:rPr>
      </w:pPr>
      <w:r>
        <w:tab/>
      </w:r>
      <w:r>
        <w:tab/>
        <w:t>According to the Settlement Stipulation, the deferral will occur annually and amortized beginning January of the following year.</w:t>
      </w:r>
      <w:r>
        <w:rPr>
          <w:rStyle w:val="FootnoteReference"/>
        </w:rPr>
        <w:footnoteReference w:id="21"/>
      </w:r>
      <w:r>
        <w:t xml:space="preserve">  Avista witness Elizabeth Andrews confirms this in her direct testimony</w:t>
      </w:r>
      <w:r w:rsidR="009E5EBF">
        <w:rPr>
          <w:rFonts w:ascii="Times" w:hAnsi="Times"/>
        </w:rPr>
        <w:t>.</w:t>
      </w:r>
      <w:r>
        <w:rPr>
          <w:rStyle w:val="FootnoteReference"/>
          <w:rFonts w:ascii="Times" w:hAnsi="Times"/>
        </w:rPr>
        <w:footnoteReference w:id="22"/>
      </w:r>
    </w:p>
    <w:p w14:paraId="36FE8522" w14:textId="77777777" w:rsidR="003C1593" w:rsidRPr="009E4424" w:rsidRDefault="003C1593" w:rsidP="009E4424">
      <w:pPr>
        <w:spacing w:line="480" w:lineRule="auto"/>
        <w:ind w:left="720" w:hanging="720"/>
      </w:pPr>
    </w:p>
    <w:p w14:paraId="36FE8523" w14:textId="77777777" w:rsidR="003C1593" w:rsidRDefault="003C1593" w:rsidP="00AD0CDF">
      <w:pPr>
        <w:spacing w:line="480" w:lineRule="auto"/>
        <w:ind w:left="720" w:hanging="720"/>
        <w:rPr>
          <w:b/>
        </w:rPr>
      </w:pPr>
      <w:r w:rsidRPr="003C1593">
        <w:rPr>
          <w:b/>
        </w:rPr>
        <w:t>Q</w:t>
      </w:r>
      <w:r w:rsidRPr="00AC0B17">
        <w:rPr>
          <w:b/>
        </w:rPr>
        <w:t>.</w:t>
      </w:r>
      <w:r w:rsidRPr="00AC0B17">
        <w:rPr>
          <w:b/>
        </w:rPr>
        <w:tab/>
      </w:r>
      <w:r w:rsidR="00C44DE4">
        <w:rPr>
          <w:b/>
        </w:rPr>
        <w:t>In approving the Settlement Stipulation, d</w:t>
      </w:r>
      <w:r w:rsidRPr="00AC0B17">
        <w:rPr>
          <w:b/>
        </w:rPr>
        <w:t xml:space="preserve">id the Commission </w:t>
      </w:r>
      <w:r w:rsidR="00C44DE4">
        <w:rPr>
          <w:b/>
        </w:rPr>
        <w:t xml:space="preserve">express </w:t>
      </w:r>
      <w:r w:rsidR="00764A98">
        <w:rPr>
          <w:b/>
        </w:rPr>
        <w:t>any reservations about this deferral mechanism</w:t>
      </w:r>
      <w:r w:rsidRPr="00AC0B17">
        <w:rPr>
          <w:b/>
        </w:rPr>
        <w:t xml:space="preserve">?  </w:t>
      </w:r>
    </w:p>
    <w:p w14:paraId="36FE8524" w14:textId="77777777" w:rsidR="00896331" w:rsidRDefault="003C1593" w:rsidP="00AC0B17">
      <w:pPr>
        <w:spacing w:line="480" w:lineRule="auto"/>
        <w:ind w:left="720" w:hanging="720"/>
      </w:pPr>
      <w:r>
        <w:t>A.</w:t>
      </w:r>
      <w:r>
        <w:tab/>
        <w:t xml:space="preserve">Yes. </w:t>
      </w:r>
      <w:r w:rsidR="00903635">
        <w:t xml:space="preserve"> </w:t>
      </w:r>
      <w:r w:rsidR="00764A98">
        <w:t>In its order, t</w:t>
      </w:r>
      <w:r>
        <w:t xml:space="preserve">he Commission </w:t>
      </w:r>
      <w:r w:rsidR="00764A98">
        <w:t>characterized the mechanism as “provisional” and subject to review again in this case:</w:t>
      </w:r>
      <w:r>
        <w:t xml:space="preserve"> </w:t>
      </w:r>
    </w:p>
    <w:p w14:paraId="36FE8525" w14:textId="77777777" w:rsidR="00DE478F" w:rsidRPr="003C1593" w:rsidRDefault="00DE478F" w:rsidP="003C1593">
      <w:pPr>
        <w:ind w:left="1440"/>
        <w:rPr>
          <w:rFonts w:eastAsia="Times New Roman"/>
          <w:b/>
        </w:rPr>
      </w:pPr>
    </w:p>
    <w:p w14:paraId="36FE8526" w14:textId="77777777" w:rsidR="00DE478F" w:rsidRPr="003C1593" w:rsidRDefault="00DE478F" w:rsidP="00AD0CDF">
      <w:pPr>
        <w:spacing w:line="276" w:lineRule="auto"/>
        <w:ind w:left="1440"/>
        <w:rPr>
          <w:rFonts w:eastAsia="Times New Roman"/>
          <w:b/>
        </w:rPr>
      </w:pPr>
      <w:r w:rsidRPr="003C1593">
        <w:rPr>
          <w:rFonts w:eastAsia="Times New Roman"/>
        </w:rPr>
        <w:t>We approve the deferral mechanism as a part of the overall Settlement package, but only because it appears to reduce immediate costs to ratepayers and it will only operate provisi</w:t>
      </w:r>
      <w:r w:rsidRPr="005E744A">
        <w:rPr>
          <w:rFonts w:eastAsia="Times New Roman"/>
        </w:rPr>
        <w:t xml:space="preserve">onally.  The fact that Avista </w:t>
      </w:r>
      <w:r w:rsidRPr="00E71FD9">
        <w:rPr>
          <w:rFonts w:eastAsia="Times New Roman"/>
        </w:rPr>
        <w:t xml:space="preserve">will not collect a return </w:t>
      </w:r>
      <w:r w:rsidRPr="005E744A">
        <w:rPr>
          <w:rFonts w:eastAsia="Times New Roman"/>
        </w:rPr>
        <w:t>on the deferred amount,</w:t>
      </w:r>
      <w:r w:rsidRPr="003C1593">
        <w:rPr>
          <w:rFonts w:eastAsia="Times New Roman"/>
        </w:rPr>
        <w:t xml:space="preserve"> as well as the reasonableness of a smoothing of only maintenance expenses above the baseline, allow us to conclude that </w:t>
      </w:r>
      <w:r w:rsidRPr="003C1593">
        <w:rPr>
          <w:rFonts w:eastAsia="Times New Roman"/>
        </w:rPr>
        <w:lastRenderedPageBreak/>
        <w:t>approval on a provisional basis is appropriate.  The Company has also indicated that we can revisit the mechanism at a future time without undue administrative difficulty.</w:t>
      </w:r>
      <w:r w:rsidRPr="00DE478F">
        <w:rPr>
          <w:rFonts w:eastAsia="Times New Roman"/>
          <w:vertAlign w:val="superscript"/>
        </w:rPr>
        <w:footnoteReference w:id="23"/>
      </w:r>
      <w:r w:rsidRPr="00DE478F">
        <w:rPr>
          <w:rFonts w:eastAsia="Times New Roman"/>
        </w:rPr>
        <w:t xml:space="preserve">  By providing this limited approval of the mechanism, </w:t>
      </w:r>
      <w:r w:rsidRPr="00DE478F">
        <w:rPr>
          <w:rFonts w:eastAsia="Times New Roman"/>
          <w:b/>
          <w:i/>
        </w:rPr>
        <w:t>we caution the parties and, especially Avista, that we will revisit this issue on an expanded basis and in a future proceeding,</w:t>
      </w:r>
      <w:r w:rsidRPr="00DE478F">
        <w:rPr>
          <w:rFonts w:eastAsia="Times New Roman"/>
        </w:rPr>
        <w:t xml:space="preserve"> possibly on an industry-wide basis so that other public utilities affected by the expenses at these units might also participate.  </w:t>
      </w:r>
      <w:r w:rsidRPr="008F243B">
        <w:rPr>
          <w:rFonts w:eastAsia="Times New Roman"/>
          <w:b/>
          <w:i/>
        </w:rPr>
        <w:t>If this proceeding has not commenced prior to Avista’s next rate filing, we expect the Company to include a proposal for such a tracker in that initial filing so that we can evaluate whether or not to terminate the provisional mechanism</w:t>
      </w:r>
      <w:r w:rsidRPr="00DE478F">
        <w:rPr>
          <w:rFonts w:eastAsia="Times New Roman"/>
        </w:rPr>
        <w:t>.</w:t>
      </w:r>
      <w:r w:rsidR="008F243B">
        <w:rPr>
          <w:rFonts w:eastAsia="Times New Roman"/>
        </w:rPr>
        <w:t>”</w:t>
      </w:r>
      <w:r w:rsidR="00903635">
        <w:rPr>
          <w:rStyle w:val="FootnoteReference"/>
        </w:rPr>
        <w:footnoteReference w:id="24"/>
      </w:r>
      <w:r w:rsidRPr="00DE478F">
        <w:rPr>
          <w:rFonts w:eastAsia="Times New Roman"/>
        </w:rPr>
        <w:t xml:space="preserve">  </w:t>
      </w:r>
      <w:r w:rsidRPr="005E744A">
        <w:rPr>
          <w:rFonts w:eastAsia="Times New Roman"/>
        </w:rPr>
        <w:t>(</w:t>
      </w:r>
      <w:r w:rsidR="003C1593" w:rsidRPr="00E71FD9">
        <w:rPr>
          <w:rFonts w:eastAsia="Times New Roman"/>
        </w:rPr>
        <w:t>Emphasis</w:t>
      </w:r>
      <w:r w:rsidRPr="00E71FD9">
        <w:rPr>
          <w:rFonts w:eastAsia="Times New Roman"/>
        </w:rPr>
        <w:t xml:space="preserve"> added</w:t>
      </w:r>
      <w:r w:rsidR="006F697C" w:rsidRPr="00E71FD9">
        <w:rPr>
          <w:rFonts w:eastAsia="Times New Roman"/>
        </w:rPr>
        <w:t>, footnotes included</w:t>
      </w:r>
      <w:r w:rsidRPr="00E71FD9">
        <w:rPr>
          <w:rFonts w:eastAsia="Times New Roman"/>
        </w:rPr>
        <w:t>)</w:t>
      </w:r>
      <w:r w:rsidR="00A84631">
        <w:rPr>
          <w:rFonts w:eastAsia="Times New Roman"/>
        </w:rPr>
        <w:t>.</w:t>
      </w:r>
    </w:p>
    <w:p w14:paraId="36FE8527" w14:textId="77777777" w:rsidR="00DE478F" w:rsidRPr="00DE478F" w:rsidRDefault="00DE478F" w:rsidP="00DE478F">
      <w:pPr>
        <w:spacing w:line="480" w:lineRule="auto"/>
        <w:ind w:left="1440"/>
      </w:pPr>
    </w:p>
    <w:p w14:paraId="36FE8528" w14:textId="77777777" w:rsidR="002D2FD5" w:rsidRDefault="00223034" w:rsidP="00223034">
      <w:pPr>
        <w:spacing w:line="480" w:lineRule="auto"/>
        <w:ind w:left="720" w:hanging="720"/>
        <w:rPr>
          <w:b/>
        </w:rPr>
      </w:pPr>
      <w:r>
        <w:rPr>
          <w:b/>
        </w:rPr>
        <w:t>Q.</w:t>
      </w:r>
      <w:r>
        <w:rPr>
          <w:b/>
        </w:rPr>
        <w:tab/>
        <w:t>Since th</w:t>
      </w:r>
      <w:r w:rsidR="00903635">
        <w:rPr>
          <w:b/>
        </w:rPr>
        <w:t>e Commission issued that order</w:t>
      </w:r>
      <w:r>
        <w:rPr>
          <w:b/>
        </w:rPr>
        <w:t>, has the Commission further clarified its view</w:t>
      </w:r>
      <w:r w:rsidR="00903635">
        <w:rPr>
          <w:b/>
        </w:rPr>
        <w:t>s</w:t>
      </w:r>
      <w:r>
        <w:rPr>
          <w:b/>
        </w:rPr>
        <w:t xml:space="preserve"> regarding the deferral and creation of regulatory assets for maintenance expense?</w:t>
      </w:r>
    </w:p>
    <w:p w14:paraId="36FE8529" w14:textId="77777777" w:rsidR="001B5CA2" w:rsidRDefault="00206F1C" w:rsidP="001B5CA2">
      <w:pPr>
        <w:spacing w:line="480" w:lineRule="auto"/>
        <w:ind w:left="720" w:hanging="720"/>
      </w:pPr>
      <w:r>
        <w:t>A.</w:t>
      </w:r>
      <w:r>
        <w:tab/>
        <w:t xml:space="preserve">Yes.  </w:t>
      </w:r>
      <w:r w:rsidR="00123C24">
        <w:t xml:space="preserve">In </w:t>
      </w:r>
      <w:r w:rsidR="00903635">
        <w:t xml:space="preserve">its </w:t>
      </w:r>
      <w:r w:rsidR="00A84631">
        <w:t xml:space="preserve">recent </w:t>
      </w:r>
      <w:r w:rsidR="00903635">
        <w:t xml:space="preserve">order in the Puget Sound Energy rate case, </w:t>
      </w:r>
      <w:r w:rsidR="00123C24">
        <w:t xml:space="preserve">Dockets UE-111048 and UG-111049, the Commission </w:t>
      </w:r>
      <w:r w:rsidR="00764A98">
        <w:t>stated:</w:t>
      </w:r>
      <w:r w:rsidR="00506C7F">
        <w:t xml:space="preserve">  </w:t>
      </w:r>
    </w:p>
    <w:p w14:paraId="36FE852A" w14:textId="77777777" w:rsidR="001B5CA2" w:rsidRDefault="003E3E42" w:rsidP="001B5CA2">
      <w:pPr>
        <w:tabs>
          <w:tab w:val="left" w:pos="2160"/>
        </w:tabs>
        <w:ind w:left="1440"/>
        <w:rPr>
          <w:rFonts w:eastAsia="Times New Roman"/>
        </w:rPr>
      </w:pPr>
      <w:r w:rsidRPr="00987878">
        <w:rPr>
          <w:rFonts w:eastAsia="Times New Roman"/>
        </w:rPr>
        <w:t>PSE also fails to establish any reason to allow automatic deferral of new major maintenance expense that it incurs between rate cases.  The Company can protect itself from any arguable inability to recover such costs by filing an appropriate accounting petition that, if approved, will relate back to the date of filing in terms of costs allowed for recovery on a prospective basis.</w:t>
      </w:r>
      <w:r w:rsidR="00E25A2B">
        <w:rPr>
          <w:rStyle w:val="FootnoteReference"/>
          <w:rFonts w:eastAsia="Times New Roman"/>
        </w:rPr>
        <w:footnoteReference w:id="25"/>
      </w:r>
    </w:p>
    <w:p w14:paraId="36FE852B" w14:textId="77777777" w:rsidR="006F697C" w:rsidRDefault="006F697C" w:rsidP="006F697C">
      <w:pPr>
        <w:tabs>
          <w:tab w:val="left" w:pos="1170"/>
          <w:tab w:val="left" w:pos="1530"/>
          <w:tab w:val="left" w:pos="2160"/>
        </w:tabs>
        <w:spacing w:line="480" w:lineRule="auto"/>
        <w:ind w:left="720" w:hanging="720"/>
        <w:rPr>
          <w:b/>
        </w:rPr>
      </w:pPr>
    </w:p>
    <w:p w14:paraId="36FE852C" w14:textId="77777777" w:rsidR="00510E27" w:rsidRDefault="00E95657" w:rsidP="00E41A80">
      <w:pPr>
        <w:tabs>
          <w:tab w:val="left" w:pos="1170"/>
          <w:tab w:val="left" w:pos="1530"/>
          <w:tab w:val="left" w:pos="2160"/>
        </w:tabs>
        <w:spacing w:line="480" w:lineRule="auto"/>
        <w:ind w:left="720" w:hanging="720"/>
        <w:rPr>
          <w:b/>
        </w:rPr>
      </w:pPr>
      <w:r>
        <w:rPr>
          <w:b/>
        </w:rPr>
        <w:lastRenderedPageBreak/>
        <w:t>Q.</w:t>
      </w:r>
      <w:r>
        <w:rPr>
          <w:b/>
        </w:rPr>
        <w:tab/>
        <w:t xml:space="preserve">Is Avista’s deferral mechanism of Colstrip and Coyote Springs 2 maintenance an </w:t>
      </w:r>
      <w:r w:rsidR="006F697C">
        <w:rPr>
          <w:b/>
        </w:rPr>
        <w:t>“</w:t>
      </w:r>
      <w:r>
        <w:rPr>
          <w:b/>
        </w:rPr>
        <w:t>automatic</w:t>
      </w:r>
      <w:r w:rsidR="006F697C">
        <w:rPr>
          <w:b/>
        </w:rPr>
        <w:t>”</w:t>
      </w:r>
      <w:r>
        <w:rPr>
          <w:b/>
        </w:rPr>
        <w:t xml:space="preserve"> deferral mechanism</w:t>
      </w:r>
      <w:r w:rsidR="006F697C">
        <w:rPr>
          <w:b/>
        </w:rPr>
        <w:t>?</w:t>
      </w:r>
    </w:p>
    <w:p w14:paraId="36FE852D" w14:textId="77777777" w:rsidR="00E95657" w:rsidRPr="00E95657" w:rsidRDefault="00E95657" w:rsidP="005E744A">
      <w:pPr>
        <w:tabs>
          <w:tab w:val="left" w:pos="1170"/>
          <w:tab w:val="left" w:pos="1530"/>
          <w:tab w:val="left" w:pos="2160"/>
        </w:tabs>
        <w:spacing w:line="480" w:lineRule="auto"/>
        <w:ind w:left="720" w:hanging="720"/>
      </w:pPr>
      <w:r>
        <w:t>A.</w:t>
      </w:r>
      <w:r>
        <w:tab/>
        <w:t>Yes</w:t>
      </w:r>
      <w:r w:rsidR="006F697C">
        <w:t xml:space="preserve">.  An automatic deferral mechanism is one that </w:t>
      </w:r>
      <w:r>
        <w:t>defer</w:t>
      </w:r>
      <w:r w:rsidR="006F697C">
        <w:t xml:space="preserve">s costs </w:t>
      </w:r>
      <w:r>
        <w:t xml:space="preserve">without </w:t>
      </w:r>
      <w:r w:rsidR="006F697C">
        <w:t>prior review</w:t>
      </w:r>
      <w:r>
        <w:t xml:space="preserve"> or approval by the Commission.</w:t>
      </w:r>
      <w:r w:rsidR="006F697C">
        <w:t xml:space="preserve">  Avista’s deferral mechanism meets this definition because Avista defers Colstrip and Coyote Springs 2 maintenance currently, subject to later review.</w:t>
      </w:r>
    </w:p>
    <w:p w14:paraId="36FE852E" w14:textId="77777777" w:rsidR="00510E27" w:rsidRPr="00223034" w:rsidRDefault="00510E27" w:rsidP="00E71FD9">
      <w:pPr>
        <w:tabs>
          <w:tab w:val="left" w:pos="2160"/>
        </w:tabs>
        <w:spacing w:line="480" w:lineRule="auto"/>
        <w:ind w:left="1440"/>
      </w:pPr>
    </w:p>
    <w:p w14:paraId="36FE852F" w14:textId="77777777" w:rsidR="002D2FD5" w:rsidRDefault="00A12F05" w:rsidP="005E744A">
      <w:pPr>
        <w:spacing w:line="480" w:lineRule="auto"/>
        <w:ind w:left="720" w:hanging="720"/>
        <w:rPr>
          <w:b/>
        </w:rPr>
      </w:pPr>
      <w:r>
        <w:rPr>
          <w:b/>
        </w:rPr>
        <w:t xml:space="preserve">Q. </w:t>
      </w:r>
      <w:r>
        <w:rPr>
          <w:b/>
        </w:rPr>
        <w:tab/>
        <w:t xml:space="preserve">What </w:t>
      </w:r>
      <w:r w:rsidR="00206403">
        <w:rPr>
          <w:b/>
        </w:rPr>
        <w:t xml:space="preserve">amounts has </w:t>
      </w:r>
      <w:r>
        <w:rPr>
          <w:b/>
        </w:rPr>
        <w:t>Avista defer</w:t>
      </w:r>
      <w:r w:rsidR="006F697C">
        <w:rPr>
          <w:b/>
        </w:rPr>
        <w:t>r</w:t>
      </w:r>
      <w:r w:rsidR="00FF23B6">
        <w:rPr>
          <w:b/>
        </w:rPr>
        <w:t>ed</w:t>
      </w:r>
      <w:r>
        <w:rPr>
          <w:b/>
        </w:rPr>
        <w:t xml:space="preserve"> </w:t>
      </w:r>
      <w:r w:rsidR="00206403">
        <w:rPr>
          <w:b/>
        </w:rPr>
        <w:t xml:space="preserve">for </w:t>
      </w:r>
      <w:r>
        <w:rPr>
          <w:b/>
        </w:rPr>
        <w:t>maintenance of Coyote Springs 2 and Colstrip?</w:t>
      </w:r>
    </w:p>
    <w:p w14:paraId="36FE8530" w14:textId="77777777" w:rsidR="006F697C" w:rsidRDefault="00A77B6F" w:rsidP="00AC0B17">
      <w:pPr>
        <w:spacing w:line="480" w:lineRule="auto"/>
        <w:ind w:left="720" w:hanging="720"/>
      </w:pPr>
      <w:r>
        <w:t>A.</w:t>
      </w:r>
      <w:r>
        <w:tab/>
      </w:r>
      <w:r w:rsidR="00764A98">
        <w:t>For 2011, Avista</w:t>
      </w:r>
      <w:r w:rsidR="00AD776A">
        <w:t>’s expenses were</w:t>
      </w:r>
      <w:r w:rsidR="006F697C">
        <w:t xml:space="preserve"> </w:t>
      </w:r>
      <w:r w:rsidR="00764A98">
        <w:t>$516,251</w:t>
      </w:r>
      <w:r w:rsidR="00FA4982">
        <w:rPr>
          <w:rStyle w:val="FootnoteReference"/>
        </w:rPr>
        <w:footnoteReference w:id="26"/>
      </w:r>
      <w:r w:rsidR="00E95657">
        <w:t xml:space="preserve"> </w:t>
      </w:r>
      <w:r w:rsidR="00AD776A">
        <w:t>less than</w:t>
      </w:r>
      <w:r w:rsidR="00E95657">
        <w:t xml:space="preserve"> the threshold level.  </w:t>
      </w:r>
      <w:r w:rsidR="005E744A">
        <w:t>This is</w:t>
      </w:r>
      <w:r w:rsidR="009B1897">
        <w:t xml:space="preserve"> </w:t>
      </w:r>
      <w:r w:rsidR="00AD776A">
        <w:t>deferred</w:t>
      </w:r>
      <w:r w:rsidR="005E744A">
        <w:t xml:space="preserve"> a credit balance</w:t>
      </w:r>
      <w:r w:rsidR="00AD776A">
        <w:t xml:space="preserve"> which will reduce future expenses</w:t>
      </w:r>
      <w:r w:rsidR="005E744A">
        <w:t>.</w:t>
      </w:r>
    </w:p>
    <w:p w14:paraId="36FE8531" w14:textId="77777777" w:rsidR="006F697C" w:rsidRDefault="006F697C" w:rsidP="00AC0B17">
      <w:pPr>
        <w:spacing w:line="480" w:lineRule="auto"/>
        <w:ind w:left="720" w:hanging="720"/>
      </w:pPr>
    </w:p>
    <w:p w14:paraId="36FE8532" w14:textId="77777777" w:rsidR="006F697C" w:rsidRPr="00E41A80" w:rsidRDefault="006F697C" w:rsidP="00AC0B17">
      <w:pPr>
        <w:spacing w:line="480" w:lineRule="auto"/>
        <w:ind w:left="720" w:hanging="720"/>
        <w:rPr>
          <w:b/>
        </w:rPr>
      </w:pPr>
      <w:r>
        <w:rPr>
          <w:b/>
        </w:rPr>
        <w:t>Q.</w:t>
      </w:r>
      <w:r>
        <w:rPr>
          <w:b/>
        </w:rPr>
        <w:tab/>
        <w:t>What deferral</w:t>
      </w:r>
      <w:r w:rsidR="001B7DCF">
        <w:rPr>
          <w:b/>
        </w:rPr>
        <w:t xml:space="preserve"> amounts</w:t>
      </w:r>
      <w:r>
        <w:rPr>
          <w:b/>
        </w:rPr>
        <w:t xml:space="preserve"> does Avista reflect for 2012 in its Adjustment 2.16?</w:t>
      </w:r>
    </w:p>
    <w:p w14:paraId="36FE8533" w14:textId="77777777" w:rsidR="000905FF" w:rsidRDefault="006F697C" w:rsidP="00AC0B17">
      <w:pPr>
        <w:spacing w:line="480" w:lineRule="auto"/>
        <w:ind w:left="720" w:hanging="720"/>
        <w:rPr>
          <w:b/>
        </w:rPr>
      </w:pPr>
      <w:r>
        <w:t>A.</w:t>
      </w:r>
      <w:r>
        <w:tab/>
        <w:t>Avista</w:t>
      </w:r>
      <w:r w:rsidR="001B7DCF">
        <w:t xml:space="preserve">’s adjustment </w:t>
      </w:r>
      <w:r w:rsidR="00E95657">
        <w:t>anticipate</w:t>
      </w:r>
      <w:r>
        <w:t>s</w:t>
      </w:r>
      <w:r w:rsidR="00E95657">
        <w:t xml:space="preserve"> </w:t>
      </w:r>
      <w:r w:rsidR="001B7DCF">
        <w:t xml:space="preserve">that the Company will </w:t>
      </w:r>
      <w:r w:rsidR="00AD776A">
        <w:t xml:space="preserve">incur </w:t>
      </w:r>
      <w:r w:rsidR="00E95657">
        <w:t>$4,880,262</w:t>
      </w:r>
      <w:r w:rsidR="00FA4982">
        <w:rPr>
          <w:rStyle w:val="FootnoteReference"/>
        </w:rPr>
        <w:footnoteReference w:id="27"/>
      </w:r>
      <w:r w:rsidR="00AD776A">
        <w:t xml:space="preserve"> more than the 2012 threshold. </w:t>
      </w:r>
      <w:r w:rsidR="006612CA">
        <w:t xml:space="preserve"> </w:t>
      </w:r>
      <w:r w:rsidR="005E744A">
        <w:t>Avista would amortize this</w:t>
      </w:r>
      <w:r w:rsidR="00AD776A" w:rsidRPr="00AD776A">
        <w:t xml:space="preserve"> </w:t>
      </w:r>
      <w:r w:rsidR="00AD776A">
        <w:t>debit balance</w:t>
      </w:r>
      <w:r w:rsidR="005E744A">
        <w:t xml:space="preserve"> </w:t>
      </w:r>
      <w:r w:rsidR="00E95657">
        <w:t xml:space="preserve">over </w:t>
      </w:r>
      <w:r>
        <w:t>the subsequent four</w:t>
      </w:r>
      <w:r w:rsidR="00E95657">
        <w:t xml:space="preserve"> years.  </w:t>
      </w:r>
      <w:r w:rsidR="001B7DCF">
        <w:t xml:space="preserve">Avista’s </w:t>
      </w:r>
      <w:r w:rsidR="00EB62E6">
        <w:t>Adjustment 2.16 increases maintenance expense by $1,091,000 for this anticipated amortization.</w:t>
      </w:r>
      <w:r w:rsidR="00EB62E6">
        <w:rPr>
          <w:rStyle w:val="FootnoteReference"/>
        </w:rPr>
        <w:footnoteReference w:id="28"/>
      </w:r>
    </w:p>
    <w:p w14:paraId="36FE8534" w14:textId="77777777" w:rsidR="007C47DC" w:rsidRDefault="007C47DC" w:rsidP="00AC0B17">
      <w:pPr>
        <w:spacing w:line="480" w:lineRule="auto"/>
        <w:ind w:left="720" w:hanging="720"/>
      </w:pPr>
    </w:p>
    <w:p w14:paraId="36FE8535" w14:textId="77777777" w:rsidR="00A302B2" w:rsidRDefault="00A302B2" w:rsidP="00AC0B17">
      <w:pPr>
        <w:spacing w:line="480" w:lineRule="auto"/>
        <w:ind w:left="720" w:hanging="720"/>
        <w:rPr>
          <w:b/>
        </w:rPr>
      </w:pPr>
      <w:r>
        <w:rPr>
          <w:b/>
        </w:rPr>
        <w:t>Q.</w:t>
      </w:r>
      <w:r>
        <w:rPr>
          <w:b/>
        </w:rPr>
        <w:tab/>
      </w:r>
      <w:r w:rsidR="005F3499">
        <w:rPr>
          <w:b/>
        </w:rPr>
        <w:t xml:space="preserve">Is </w:t>
      </w:r>
      <w:r>
        <w:rPr>
          <w:b/>
        </w:rPr>
        <w:t>maintenance</w:t>
      </w:r>
      <w:r w:rsidR="00EA2136">
        <w:rPr>
          <w:b/>
        </w:rPr>
        <w:t xml:space="preserve"> expense </w:t>
      </w:r>
      <w:r w:rsidR="005F3499">
        <w:rPr>
          <w:b/>
        </w:rPr>
        <w:t xml:space="preserve">an unusual expense </w:t>
      </w:r>
      <w:r w:rsidR="001B7DCF">
        <w:rPr>
          <w:b/>
        </w:rPr>
        <w:t>for</w:t>
      </w:r>
      <w:r w:rsidR="005F3499">
        <w:rPr>
          <w:b/>
        </w:rPr>
        <w:t xml:space="preserve"> an electric utility company</w:t>
      </w:r>
      <w:r>
        <w:rPr>
          <w:b/>
        </w:rPr>
        <w:t>?</w:t>
      </w:r>
    </w:p>
    <w:p w14:paraId="36FE8536" w14:textId="77777777" w:rsidR="001B7DCF" w:rsidRDefault="008C2C28" w:rsidP="00AC0B17">
      <w:pPr>
        <w:spacing w:line="480" w:lineRule="auto"/>
        <w:ind w:left="720" w:hanging="720"/>
      </w:pPr>
      <w:r>
        <w:t>A.</w:t>
      </w:r>
      <w:r>
        <w:tab/>
      </w:r>
      <w:r w:rsidR="005F3499">
        <w:t xml:space="preserve">No.  </w:t>
      </w:r>
      <w:r>
        <w:t>Maintenance expense is an ongoing</w:t>
      </w:r>
      <w:r w:rsidR="005F3499">
        <w:t>,</w:t>
      </w:r>
      <w:r>
        <w:t xml:space="preserve"> substantial portion of </w:t>
      </w:r>
      <w:r w:rsidR="005F3499">
        <w:t xml:space="preserve">an </w:t>
      </w:r>
      <w:r>
        <w:t>e</w:t>
      </w:r>
      <w:r w:rsidR="005F3499">
        <w:t xml:space="preserve">lectric utility </w:t>
      </w:r>
      <w:r>
        <w:t>compan</w:t>
      </w:r>
      <w:r w:rsidR="005F3499">
        <w:t>y’s</w:t>
      </w:r>
      <w:r>
        <w:t xml:space="preserve"> operating expense</w:t>
      </w:r>
      <w:r w:rsidR="005F3499">
        <w:t>s</w:t>
      </w:r>
      <w:r>
        <w:t>.  As with any ongoing expense</w:t>
      </w:r>
      <w:r w:rsidR="005F3499">
        <w:t>,</w:t>
      </w:r>
      <w:r>
        <w:t xml:space="preserve"> </w:t>
      </w:r>
      <w:r w:rsidR="001B7DCF">
        <w:t xml:space="preserve">maintenance </w:t>
      </w:r>
      <w:r>
        <w:t xml:space="preserve">expense </w:t>
      </w:r>
      <w:r>
        <w:lastRenderedPageBreak/>
        <w:t>may fluctuate over time, an</w:t>
      </w:r>
      <w:r w:rsidR="001B7DCF">
        <w:t>d</w:t>
      </w:r>
      <w:r>
        <w:t xml:space="preserve"> </w:t>
      </w:r>
      <w:r w:rsidR="001B7DCF">
        <w:t xml:space="preserve">therefore an </w:t>
      </w:r>
      <w:r>
        <w:t>adjustment may be included in the test period to “normalize”</w:t>
      </w:r>
      <w:r w:rsidR="00070D5A">
        <w:t xml:space="preserve"> the expense</w:t>
      </w:r>
      <w:r>
        <w:t xml:space="preserve">.  This would include considering an average </w:t>
      </w:r>
      <w:r w:rsidR="001B7DCF">
        <w:t xml:space="preserve">expense level </w:t>
      </w:r>
      <w:r>
        <w:t>over time</w:t>
      </w:r>
      <w:r w:rsidR="005F3499">
        <w:t xml:space="preserve">.  </w:t>
      </w:r>
    </w:p>
    <w:p w14:paraId="36FE8537" w14:textId="77777777" w:rsidR="00A302B2" w:rsidRDefault="001B7DCF" w:rsidP="00AC0B17">
      <w:pPr>
        <w:spacing w:line="480" w:lineRule="auto"/>
        <w:ind w:left="720" w:hanging="720"/>
      </w:pPr>
      <w:r>
        <w:tab/>
      </w:r>
      <w:r>
        <w:tab/>
      </w:r>
      <w:r w:rsidR="005F3499">
        <w:t>This is</w:t>
      </w:r>
      <w:r w:rsidR="008C2C28">
        <w:t xml:space="preserve"> </w:t>
      </w:r>
      <w:r w:rsidR="005F3499">
        <w:t>how accounts are commonly treated, such as</w:t>
      </w:r>
      <w:r w:rsidR="008C2C28">
        <w:t xml:space="preserve"> </w:t>
      </w:r>
      <w:r w:rsidR="00EA2136">
        <w:t>injuries and damages</w:t>
      </w:r>
      <w:r w:rsidR="005F3499">
        <w:t xml:space="preserve"> expense,</w:t>
      </w:r>
      <w:r w:rsidR="00E966FA">
        <w:rPr>
          <w:rStyle w:val="FootnoteReference"/>
        </w:rPr>
        <w:footnoteReference w:id="29"/>
      </w:r>
      <w:r w:rsidR="005F3499">
        <w:t xml:space="preserve"> which, for ratemaking purposes, is based</w:t>
      </w:r>
      <w:r w:rsidR="008C2C28">
        <w:t xml:space="preserve"> </w:t>
      </w:r>
      <w:r w:rsidR="005F3499">
        <w:t>on</w:t>
      </w:r>
      <w:r w:rsidR="008C2C28">
        <w:t xml:space="preserve"> </w:t>
      </w:r>
      <w:r w:rsidR="005F3499">
        <w:t>a</w:t>
      </w:r>
      <w:r w:rsidR="00EA2136">
        <w:t xml:space="preserve"> six year average of expense.</w:t>
      </w:r>
    </w:p>
    <w:p w14:paraId="36FE8538" w14:textId="77777777" w:rsidR="00EA2136" w:rsidRDefault="00EA2136" w:rsidP="00AC0B17">
      <w:pPr>
        <w:spacing w:line="480" w:lineRule="auto"/>
        <w:ind w:left="720" w:hanging="720"/>
      </w:pPr>
    </w:p>
    <w:p w14:paraId="36FE8539" w14:textId="77777777" w:rsidR="00EA2136" w:rsidRDefault="00070D5A" w:rsidP="00AC0B17">
      <w:pPr>
        <w:spacing w:line="480" w:lineRule="auto"/>
        <w:ind w:left="720" w:hanging="720"/>
        <w:rPr>
          <w:b/>
        </w:rPr>
      </w:pPr>
      <w:r>
        <w:rPr>
          <w:b/>
        </w:rPr>
        <w:t xml:space="preserve">Q.  </w:t>
      </w:r>
      <w:r>
        <w:rPr>
          <w:b/>
        </w:rPr>
        <w:tab/>
      </w:r>
      <w:r w:rsidR="005F3499">
        <w:rPr>
          <w:b/>
        </w:rPr>
        <w:t>Is such a normalization technique always appropriate?</w:t>
      </w:r>
    </w:p>
    <w:p w14:paraId="36FE853A" w14:textId="77777777" w:rsidR="00070D5A" w:rsidRDefault="00AC0B17" w:rsidP="00AC0B17">
      <w:pPr>
        <w:spacing w:line="480" w:lineRule="auto"/>
        <w:ind w:left="720" w:hanging="720"/>
      </w:pPr>
      <w:r>
        <w:t>A.</w:t>
      </w:r>
      <w:r>
        <w:tab/>
      </w:r>
      <w:r w:rsidR="005F3499">
        <w:t xml:space="preserve">No.  Normalization is appropriate only if the utility can prove the test period level of expense is unrepresentative.  For example, in its recent order in </w:t>
      </w:r>
      <w:r w:rsidR="001B7DCF">
        <w:t xml:space="preserve">the PSE rate case, </w:t>
      </w:r>
      <w:r>
        <w:t>Dockets UE-111048 and UG-111049</w:t>
      </w:r>
      <w:r w:rsidR="005F3499">
        <w:t>,</w:t>
      </w:r>
      <w:r>
        <w:t xml:space="preserve"> the Commission </w:t>
      </w:r>
      <w:r w:rsidR="005F3499">
        <w:t xml:space="preserve">used </w:t>
      </w:r>
      <w:r>
        <w:t xml:space="preserve">the current test period expense </w:t>
      </w:r>
      <w:r w:rsidR="005F3499">
        <w:t xml:space="preserve">for </w:t>
      </w:r>
      <w:r w:rsidR="00240E85">
        <w:t>maintenance rather than a five-year average.</w:t>
      </w:r>
      <w:r>
        <w:rPr>
          <w:rStyle w:val="FootnoteReference"/>
        </w:rPr>
        <w:footnoteReference w:id="30"/>
      </w:r>
    </w:p>
    <w:p w14:paraId="36FE853B" w14:textId="77777777" w:rsidR="00950815" w:rsidRDefault="00950815" w:rsidP="00AC0B17">
      <w:pPr>
        <w:spacing w:line="480" w:lineRule="auto"/>
        <w:ind w:left="720" w:hanging="720"/>
      </w:pPr>
    </w:p>
    <w:p w14:paraId="36FE853C" w14:textId="77777777" w:rsidR="00950815" w:rsidRDefault="0095704D" w:rsidP="00AC0B17">
      <w:pPr>
        <w:spacing w:line="480" w:lineRule="auto"/>
        <w:ind w:left="720" w:hanging="720"/>
        <w:rPr>
          <w:b/>
        </w:rPr>
      </w:pPr>
      <w:r>
        <w:rPr>
          <w:b/>
        </w:rPr>
        <w:t>Q.</w:t>
      </w:r>
      <w:r>
        <w:rPr>
          <w:b/>
        </w:rPr>
        <w:tab/>
        <w:t>What is Avista’s test period 2011 maintenance expense compared to prior periods?</w:t>
      </w:r>
    </w:p>
    <w:p w14:paraId="36FE853D" w14:textId="77777777" w:rsidR="0095704D" w:rsidRDefault="00232EDB" w:rsidP="00AC0B17">
      <w:pPr>
        <w:spacing w:line="480" w:lineRule="auto"/>
        <w:ind w:left="720" w:hanging="720"/>
      </w:pPr>
      <w:r>
        <w:lastRenderedPageBreak/>
        <w:t>A.</w:t>
      </w:r>
      <w:r>
        <w:tab/>
        <w:t>Avista’s 2011 maintenance expense in total is higher than the past two years for both electric and natural gas service</w:t>
      </w:r>
      <w:r w:rsidR="00240E85">
        <w:t>,</w:t>
      </w:r>
      <w:r>
        <w:t xml:space="preserve"> as </w:t>
      </w:r>
      <w:r w:rsidR="00240E85">
        <w:t>shown by the following figures:</w:t>
      </w:r>
      <w:r>
        <w:rPr>
          <w:rStyle w:val="FootnoteReference"/>
        </w:rPr>
        <w:footnoteReference w:id="31"/>
      </w:r>
    </w:p>
    <w:p w14:paraId="36FE853E" w14:textId="77777777" w:rsidR="00232EDB" w:rsidRPr="00232EDB" w:rsidRDefault="00232EDB" w:rsidP="00232EDB">
      <w:pPr>
        <w:spacing w:line="480" w:lineRule="auto"/>
        <w:ind w:left="720" w:hanging="720"/>
        <w:jc w:val="center"/>
      </w:pPr>
      <w:r w:rsidRPr="00232EDB">
        <w:rPr>
          <w:noProof/>
        </w:rPr>
        <w:drawing>
          <wp:inline distT="0" distB="0" distL="0" distR="0" wp14:anchorId="36FE8612" wp14:editId="36FE8613">
            <wp:extent cx="32861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6125" cy="809625"/>
                    </a:xfrm>
                    <a:prstGeom prst="rect">
                      <a:avLst/>
                    </a:prstGeom>
                    <a:noFill/>
                    <a:ln>
                      <a:noFill/>
                    </a:ln>
                  </pic:spPr>
                </pic:pic>
              </a:graphicData>
            </a:graphic>
          </wp:inline>
        </w:drawing>
      </w:r>
    </w:p>
    <w:p w14:paraId="36FE853F" w14:textId="77777777" w:rsidR="00A12F05" w:rsidRDefault="00A77B6F" w:rsidP="00AC0B17">
      <w:pPr>
        <w:spacing w:line="480" w:lineRule="auto"/>
        <w:ind w:left="720" w:hanging="720"/>
      </w:pPr>
      <w:r>
        <w:t xml:space="preserve"> </w:t>
      </w:r>
      <w:r w:rsidR="00232EDB">
        <w:tab/>
        <w:t>It is important to note that this is all maintenance</w:t>
      </w:r>
      <w:r w:rsidR="00240E85">
        <w:t>,</w:t>
      </w:r>
      <w:r w:rsidR="00232EDB">
        <w:t xml:space="preserve"> not just Colstrip and Coyote Springs 2 contract maintenance. </w:t>
      </w:r>
    </w:p>
    <w:p w14:paraId="36FE8540" w14:textId="77777777" w:rsidR="000A07C4" w:rsidRDefault="000A07C4" w:rsidP="00AC0B17">
      <w:pPr>
        <w:spacing w:line="480" w:lineRule="auto"/>
        <w:ind w:left="720" w:hanging="720"/>
      </w:pPr>
    </w:p>
    <w:p w14:paraId="36FE8541" w14:textId="77777777" w:rsidR="00232EDB" w:rsidRDefault="00232EDB" w:rsidP="00AC0B17">
      <w:pPr>
        <w:spacing w:line="480" w:lineRule="auto"/>
        <w:ind w:left="720" w:hanging="720"/>
        <w:rPr>
          <w:b/>
        </w:rPr>
      </w:pPr>
      <w:r>
        <w:rPr>
          <w:b/>
        </w:rPr>
        <w:t>Q.</w:t>
      </w:r>
      <w:r>
        <w:rPr>
          <w:b/>
        </w:rPr>
        <w:tab/>
        <w:t>What has Staff included in the test period for maintenance expense?</w:t>
      </w:r>
    </w:p>
    <w:p w14:paraId="36FE8542" w14:textId="702541C3" w:rsidR="00232EDB" w:rsidRDefault="001610B3" w:rsidP="00AC0B17">
      <w:pPr>
        <w:spacing w:line="480" w:lineRule="auto"/>
        <w:ind w:left="720" w:hanging="720"/>
      </w:pPr>
      <w:r>
        <w:t>A.</w:t>
      </w:r>
      <w:r>
        <w:tab/>
        <w:t>Staff</w:t>
      </w:r>
      <w:r w:rsidR="00240E85">
        <w:t xml:space="preserve"> includes </w:t>
      </w:r>
      <w:r>
        <w:t xml:space="preserve">the 2011 test period </w:t>
      </w:r>
      <w:r w:rsidR="00240E85">
        <w:t xml:space="preserve">maintenance </w:t>
      </w:r>
      <w:r>
        <w:t xml:space="preserve">expense </w:t>
      </w:r>
      <w:r w:rsidR="00EB62E6">
        <w:t>plus the anticipated amortization of the deferred maintenance</w:t>
      </w:r>
      <w:r w:rsidR="00240E85">
        <w:t>.  I</w:t>
      </w:r>
      <w:r>
        <w:t xml:space="preserve">n </w:t>
      </w:r>
      <w:r w:rsidR="00240E85">
        <w:t>my</w:t>
      </w:r>
      <w:r>
        <w:t xml:space="preserve"> attrition study, </w:t>
      </w:r>
      <w:r w:rsidR="00240E85">
        <w:t xml:space="preserve">I escalate </w:t>
      </w:r>
      <w:r w:rsidR="00EB62E6">
        <w:t>only the 2011 test period</w:t>
      </w:r>
      <w:r w:rsidR="00240E85">
        <w:t xml:space="preserve"> amount </w:t>
      </w:r>
      <w:r>
        <w:t>to determine the rate year level.</w:t>
      </w:r>
    </w:p>
    <w:p w14:paraId="36FE8543" w14:textId="77777777" w:rsidR="004A2871" w:rsidRDefault="004A2871" w:rsidP="00AC0B17">
      <w:pPr>
        <w:spacing w:line="480" w:lineRule="auto"/>
        <w:ind w:left="720" w:hanging="720"/>
      </w:pPr>
    </w:p>
    <w:p w14:paraId="36FE8544" w14:textId="77777777" w:rsidR="004A2871" w:rsidRDefault="005A76AB" w:rsidP="00AC0B17">
      <w:pPr>
        <w:spacing w:line="480" w:lineRule="auto"/>
        <w:ind w:left="720" w:hanging="720"/>
        <w:rPr>
          <w:b/>
        </w:rPr>
      </w:pPr>
      <w:r w:rsidRPr="005A76AB">
        <w:rPr>
          <w:b/>
        </w:rPr>
        <w:t>Q</w:t>
      </w:r>
      <w:r>
        <w:rPr>
          <w:b/>
        </w:rPr>
        <w:t>.</w:t>
      </w:r>
      <w:r>
        <w:rPr>
          <w:b/>
        </w:rPr>
        <w:tab/>
      </w:r>
      <w:r w:rsidR="008102EC">
        <w:rPr>
          <w:b/>
        </w:rPr>
        <w:t>What is Staff’s recommendation for th</w:t>
      </w:r>
      <w:r w:rsidR="001B7DCF">
        <w:rPr>
          <w:b/>
        </w:rPr>
        <w:t>e</w:t>
      </w:r>
      <w:r w:rsidR="008102EC">
        <w:rPr>
          <w:b/>
        </w:rPr>
        <w:t xml:space="preserve"> deferred maintenance mechanism?</w:t>
      </w:r>
    </w:p>
    <w:p w14:paraId="36FE8545" w14:textId="77777777" w:rsidR="00240E85" w:rsidRDefault="005A76AB" w:rsidP="00AC0B17">
      <w:pPr>
        <w:spacing w:line="480" w:lineRule="auto"/>
        <w:ind w:left="720" w:hanging="720"/>
      </w:pPr>
      <w:r>
        <w:t>A.</w:t>
      </w:r>
      <w:r>
        <w:tab/>
      </w:r>
      <w:r w:rsidR="008102EC">
        <w:t xml:space="preserve">Staff recommends </w:t>
      </w:r>
      <w:r w:rsidR="00240E85">
        <w:t xml:space="preserve">the Commission discontinue the mechanism beginning January 1, 2013, but allow Avista to </w:t>
      </w:r>
      <w:r w:rsidR="00891F7C">
        <w:t>amortiz</w:t>
      </w:r>
      <w:r w:rsidR="00240E85">
        <w:t>e</w:t>
      </w:r>
      <w:r w:rsidR="00891F7C">
        <w:t xml:space="preserve"> the deferred 2011 and 2012 major maintenance expenses</w:t>
      </w:r>
      <w:r w:rsidR="008102EC">
        <w:t xml:space="preserve">.  </w:t>
      </w:r>
    </w:p>
    <w:p w14:paraId="36FE8546" w14:textId="77777777" w:rsidR="005A76AB" w:rsidRDefault="00240E85" w:rsidP="00AC0B17">
      <w:pPr>
        <w:spacing w:line="480" w:lineRule="auto"/>
        <w:ind w:left="720" w:hanging="720"/>
      </w:pPr>
      <w:r>
        <w:tab/>
      </w:r>
      <w:r>
        <w:tab/>
        <w:t xml:space="preserve">First, Staff </w:t>
      </w:r>
      <w:r w:rsidR="00EB62E6">
        <w:t xml:space="preserve">recommends the </w:t>
      </w:r>
      <w:r w:rsidR="001B7DCF">
        <w:t xml:space="preserve">Commission </w:t>
      </w:r>
      <w:r w:rsidR="00EB62E6">
        <w:t>discontinu</w:t>
      </w:r>
      <w:r w:rsidR="001B7DCF">
        <w:t>e</w:t>
      </w:r>
      <w:r w:rsidR="00EB62E6">
        <w:t xml:space="preserve"> this deferral mechanism </w:t>
      </w:r>
      <w:r w:rsidR="001B7DCF">
        <w:t>because it is not consistent with the Commission’s recent decision in the PSE rate case, which I discussed earlier.</w:t>
      </w:r>
      <w:r w:rsidR="00F72FF9">
        <w:t xml:space="preserve"> </w:t>
      </w:r>
    </w:p>
    <w:p w14:paraId="36FE8547" w14:textId="77777777" w:rsidR="00F72FF9" w:rsidRDefault="008102EC" w:rsidP="00AC0B17">
      <w:pPr>
        <w:spacing w:line="480" w:lineRule="auto"/>
        <w:ind w:left="720" w:hanging="720"/>
      </w:pPr>
      <w:r>
        <w:tab/>
      </w:r>
      <w:r w:rsidR="004D6B84">
        <w:tab/>
      </w:r>
      <w:r w:rsidR="00240E85">
        <w:t xml:space="preserve">Second, </w:t>
      </w:r>
      <w:r>
        <w:t xml:space="preserve">Staff </w:t>
      </w:r>
      <w:r w:rsidR="00240E85">
        <w:t xml:space="preserve">believes </w:t>
      </w:r>
      <w:r w:rsidR="001B7DCF">
        <w:t xml:space="preserve">that </w:t>
      </w:r>
      <w:r w:rsidR="00240E85">
        <w:t>deferral mechanism</w:t>
      </w:r>
      <w:r w:rsidR="001B7DCF">
        <w:t>s</w:t>
      </w:r>
      <w:r w:rsidR="00240E85">
        <w:t xml:space="preserve"> should only be for truly </w:t>
      </w:r>
      <w:r>
        <w:t>extraordinary circumstances</w:t>
      </w:r>
      <w:r w:rsidR="00240E85">
        <w:t xml:space="preserve">, and only when a normalization technique or a pro </w:t>
      </w:r>
      <w:r w:rsidR="00240E85">
        <w:lastRenderedPageBreak/>
        <w:t>forma analysis is not practical</w:t>
      </w:r>
      <w:r w:rsidR="001B7DCF">
        <w:t xml:space="preserve"> or appropriate for policy reasons</w:t>
      </w:r>
      <w:r w:rsidR="00077BBE">
        <w:t xml:space="preserve">. </w:t>
      </w:r>
      <w:r w:rsidR="00A84631">
        <w:t xml:space="preserve"> Facility maintenance is not extraordinary, and a reasonable level can be determined for rate making purposes without the necessity of a deferral.</w:t>
      </w:r>
    </w:p>
    <w:p w14:paraId="36FE8548" w14:textId="77777777" w:rsidR="008102EC" w:rsidRDefault="00F72FF9" w:rsidP="00AC0B17">
      <w:pPr>
        <w:spacing w:line="480" w:lineRule="auto"/>
        <w:ind w:left="720" w:hanging="720"/>
      </w:pPr>
      <w:r>
        <w:tab/>
      </w:r>
      <w:r>
        <w:tab/>
      </w:r>
      <w:r w:rsidR="001B7DCF">
        <w:t xml:space="preserve">Nonetheless, to properly “wind down” the mechanism, </w:t>
      </w:r>
      <w:r>
        <w:t xml:space="preserve">Staff recommends the Commission allow the mechanism </w:t>
      </w:r>
      <w:r w:rsidR="001B7DCF">
        <w:t xml:space="preserve">to </w:t>
      </w:r>
      <w:r>
        <w:t>continue through December 2012</w:t>
      </w:r>
      <w:r w:rsidR="00A84631">
        <w:t>,</w:t>
      </w:r>
      <w:r>
        <w:t xml:space="preserve"> </w:t>
      </w:r>
      <w:r w:rsidR="001B7DCF">
        <w:t xml:space="preserve">because </w:t>
      </w:r>
      <w:r>
        <w:t xml:space="preserve">Avista incurred the majority of this cost through the current period.  </w:t>
      </w:r>
      <w:r w:rsidR="001B7DCF">
        <w:t xml:space="preserve">The Commission should order Avista to </w:t>
      </w:r>
      <w:r>
        <w:t xml:space="preserve">true-up </w:t>
      </w:r>
      <w:r w:rsidR="001B7DCF">
        <w:t xml:space="preserve">the 2012 expenses to </w:t>
      </w:r>
      <w:r>
        <w:t>actual</w:t>
      </w:r>
      <w:r w:rsidR="001B7DCF">
        <w:t xml:space="preserve"> when implementing the amortization</w:t>
      </w:r>
      <w:r>
        <w:t>.</w:t>
      </w:r>
      <w:r w:rsidR="008102EC">
        <w:t xml:space="preserve"> </w:t>
      </w:r>
      <w:r w:rsidR="001B7DCF">
        <w:t xml:space="preserve">  The Commission should allow Avista to amortize the deferred costs over four years.  </w:t>
      </w:r>
      <w:r w:rsidR="00A84631">
        <w:t>Staff Adjustment 2.16 reflects this treatment.</w:t>
      </w:r>
      <w:r w:rsidR="005B358A">
        <w:rPr>
          <w:rStyle w:val="FootnoteReference"/>
        </w:rPr>
        <w:footnoteReference w:id="32"/>
      </w:r>
    </w:p>
    <w:p w14:paraId="36FE8549" w14:textId="77777777" w:rsidR="00670359" w:rsidRPr="005A76AB" w:rsidRDefault="00670359" w:rsidP="00670359">
      <w:pPr>
        <w:tabs>
          <w:tab w:val="left" w:pos="720"/>
          <w:tab w:val="left" w:pos="1440"/>
          <w:tab w:val="left" w:pos="2160"/>
          <w:tab w:val="right" w:leader="dot" w:pos="8820"/>
        </w:tabs>
        <w:spacing w:line="480" w:lineRule="auto"/>
        <w:ind w:left="720" w:hanging="630"/>
      </w:pPr>
    </w:p>
    <w:p w14:paraId="36FE854A" w14:textId="77777777" w:rsidR="00A92443" w:rsidRPr="007148CF" w:rsidRDefault="00E966FA" w:rsidP="004A7A42">
      <w:pPr>
        <w:spacing w:line="480" w:lineRule="auto"/>
        <w:ind w:left="720" w:hanging="720"/>
        <w:jc w:val="center"/>
        <w:rPr>
          <w:b/>
        </w:rPr>
      </w:pPr>
      <w:r>
        <w:rPr>
          <w:b/>
        </w:rPr>
        <w:t>V</w:t>
      </w:r>
      <w:r w:rsidR="008F63C6">
        <w:rPr>
          <w:b/>
        </w:rPr>
        <w:t>I</w:t>
      </w:r>
      <w:r>
        <w:rPr>
          <w:b/>
        </w:rPr>
        <w:t>.</w:t>
      </w:r>
      <w:r w:rsidR="00CA3531">
        <w:rPr>
          <w:b/>
        </w:rPr>
        <w:tab/>
      </w:r>
      <w:r>
        <w:rPr>
          <w:b/>
        </w:rPr>
        <w:t>ALLOCATIONS</w:t>
      </w:r>
    </w:p>
    <w:p w14:paraId="36FE854B" w14:textId="77777777" w:rsidR="00A92443" w:rsidRPr="007148CF" w:rsidRDefault="00A92443" w:rsidP="00CF0F9E">
      <w:pPr>
        <w:spacing w:line="480" w:lineRule="auto"/>
        <w:ind w:left="720" w:hanging="720"/>
        <w:rPr>
          <w:b/>
        </w:rPr>
      </w:pPr>
    </w:p>
    <w:p w14:paraId="36FE854C" w14:textId="77777777" w:rsidR="004C2265" w:rsidRDefault="00A92443" w:rsidP="00CF0F9E">
      <w:pPr>
        <w:spacing w:line="480" w:lineRule="auto"/>
        <w:ind w:left="720" w:hanging="720"/>
        <w:rPr>
          <w:b/>
        </w:rPr>
      </w:pPr>
      <w:r w:rsidRPr="007148CF">
        <w:rPr>
          <w:b/>
        </w:rPr>
        <w:t>Q.</w:t>
      </w:r>
      <w:r w:rsidRPr="007148CF">
        <w:rPr>
          <w:b/>
        </w:rPr>
        <w:tab/>
      </w:r>
      <w:r w:rsidR="005E744A">
        <w:rPr>
          <w:b/>
        </w:rPr>
        <w:t>In this case, does Staff take issue with how the Company allocates costs between jurisdictions and between services</w:t>
      </w:r>
      <w:r w:rsidR="004C2265">
        <w:rPr>
          <w:b/>
        </w:rPr>
        <w:t>?</w:t>
      </w:r>
    </w:p>
    <w:p w14:paraId="36FE854D" w14:textId="77777777" w:rsidR="00CA3531" w:rsidRDefault="00A92443" w:rsidP="00CF0F9E">
      <w:pPr>
        <w:spacing w:line="480" w:lineRule="auto"/>
        <w:ind w:left="720" w:hanging="720"/>
      </w:pPr>
      <w:r w:rsidRPr="007148CF">
        <w:t>A.</w:t>
      </w:r>
      <w:r w:rsidRPr="007148CF">
        <w:tab/>
      </w:r>
      <w:r w:rsidR="00A972D0">
        <w:t>No</w:t>
      </w:r>
      <w:r w:rsidR="005E744A">
        <w:t xml:space="preserve">, with one exception: </w:t>
      </w:r>
      <w:r w:rsidR="00CA3531">
        <w:t xml:space="preserve"> </w:t>
      </w:r>
      <w:r w:rsidR="00CA3531" w:rsidRPr="007148CF">
        <w:t xml:space="preserve">Staff Witness </w:t>
      </w:r>
      <w:r w:rsidR="00CA3531">
        <w:t>Ms.</w:t>
      </w:r>
      <w:r w:rsidR="00CA3531" w:rsidRPr="007148CF">
        <w:t xml:space="preserve"> Huang </w:t>
      </w:r>
      <w:r w:rsidR="00CA3531">
        <w:t xml:space="preserve">adjusts </w:t>
      </w:r>
      <w:r w:rsidR="00CA3531" w:rsidRPr="007148CF">
        <w:t xml:space="preserve">the allocation of certain officer and other employee salaries to non-regulated </w:t>
      </w:r>
      <w:r w:rsidR="0041271F">
        <w:t xml:space="preserve">operations of Avista </w:t>
      </w:r>
      <w:r w:rsidR="00CA3531" w:rsidRPr="007148CF">
        <w:t xml:space="preserve">subsidiaries.  </w:t>
      </w:r>
    </w:p>
    <w:p w14:paraId="36FE854E" w14:textId="77777777" w:rsidR="00CF0F9E" w:rsidRPr="007148CF" w:rsidRDefault="00CF0F9E" w:rsidP="00CF0F9E">
      <w:pPr>
        <w:spacing w:line="480" w:lineRule="auto"/>
        <w:ind w:left="720" w:hanging="720"/>
        <w:rPr>
          <w:b/>
        </w:rPr>
      </w:pPr>
    </w:p>
    <w:p w14:paraId="36FE854F" w14:textId="77777777" w:rsidR="00A972D0" w:rsidRPr="00A84631" w:rsidRDefault="00D86939" w:rsidP="00CF0F9E">
      <w:pPr>
        <w:spacing w:line="480" w:lineRule="auto"/>
        <w:ind w:left="720" w:hanging="720"/>
        <w:rPr>
          <w:b/>
        </w:rPr>
      </w:pPr>
      <w:r w:rsidRPr="00A84631">
        <w:rPr>
          <w:b/>
        </w:rPr>
        <w:t>Q.</w:t>
      </w:r>
      <w:r w:rsidRPr="00A84631">
        <w:rPr>
          <w:b/>
        </w:rPr>
        <w:tab/>
      </w:r>
      <w:r w:rsidR="00A972D0" w:rsidRPr="00A84631">
        <w:rPr>
          <w:b/>
        </w:rPr>
        <w:t xml:space="preserve">Does Staff have any concerns </w:t>
      </w:r>
      <w:r w:rsidR="005E744A" w:rsidRPr="00A84631">
        <w:rPr>
          <w:b/>
        </w:rPr>
        <w:t xml:space="preserve">about </w:t>
      </w:r>
      <w:r w:rsidR="00A972D0" w:rsidRPr="00A84631">
        <w:rPr>
          <w:b/>
        </w:rPr>
        <w:t>the allocation factor</w:t>
      </w:r>
      <w:r w:rsidR="005E744A" w:rsidRPr="00A84631">
        <w:rPr>
          <w:b/>
        </w:rPr>
        <w:t>s</w:t>
      </w:r>
      <w:r w:rsidR="00A972D0" w:rsidRPr="00A84631">
        <w:rPr>
          <w:b/>
        </w:rPr>
        <w:t xml:space="preserve"> Avista </w:t>
      </w:r>
      <w:r w:rsidR="005E744A" w:rsidRPr="00A84631">
        <w:rPr>
          <w:b/>
        </w:rPr>
        <w:t>uses</w:t>
      </w:r>
      <w:r w:rsidR="00A972D0" w:rsidRPr="00A84631">
        <w:rPr>
          <w:b/>
        </w:rPr>
        <w:t>?</w:t>
      </w:r>
    </w:p>
    <w:p w14:paraId="36FE8550" w14:textId="77777777" w:rsidR="00A92443" w:rsidRPr="007148CF" w:rsidRDefault="007A4207" w:rsidP="005E744A">
      <w:pPr>
        <w:spacing w:line="480" w:lineRule="auto"/>
        <w:ind w:left="720" w:hanging="720"/>
        <w:rPr>
          <w:b/>
        </w:rPr>
      </w:pPr>
      <w:r w:rsidRPr="007148CF">
        <w:t>A.</w:t>
      </w:r>
      <w:r w:rsidRPr="007148CF">
        <w:tab/>
      </w:r>
      <w:r w:rsidR="00A972D0">
        <w:t xml:space="preserve">Yes. </w:t>
      </w:r>
      <w:r w:rsidR="005E744A">
        <w:t xml:space="preserve"> Avista’s</w:t>
      </w:r>
      <w:r w:rsidR="00CF0F9E" w:rsidRPr="007148CF">
        <w:t xml:space="preserve"> current </w:t>
      </w:r>
      <w:r w:rsidR="003867F9">
        <w:t>al</w:t>
      </w:r>
      <w:r w:rsidR="0041271F">
        <w:t>l</w:t>
      </w:r>
      <w:r w:rsidR="003867F9">
        <w:t xml:space="preserve">ocation </w:t>
      </w:r>
      <w:r w:rsidR="005E744A">
        <w:t xml:space="preserve">methods </w:t>
      </w:r>
      <w:r w:rsidR="003867F9">
        <w:t>have</w:t>
      </w:r>
      <w:r w:rsidR="00CF0F9E" w:rsidRPr="007148CF">
        <w:t xml:space="preserve"> been in place since the early 1990s</w:t>
      </w:r>
      <w:r w:rsidR="0041271F">
        <w:t>,</w:t>
      </w:r>
      <w:r w:rsidR="00CF0F9E" w:rsidRPr="007148CF">
        <w:t xml:space="preserve"> with only minor modification</w:t>
      </w:r>
      <w:r w:rsidR="0041271F">
        <w:t>s</w:t>
      </w:r>
      <w:r w:rsidR="00CF0F9E" w:rsidRPr="007148CF">
        <w:t xml:space="preserve"> over the years.  Staff </w:t>
      </w:r>
      <w:r w:rsidR="0041271F">
        <w:t xml:space="preserve">recommends </w:t>
      </w:r>
      <w:r w:rsidR="00CF0F9E" w:rsidRPr="007148CF">
        <w:t xml:space="preserve">the Commission </w:t>
      </w:r>
      <w:r w:rsidR="0041271F">
        <w:t xml:space="preserve">order Avista in its next general rate case to </w:t>
      </w:r>
      <w:r w:rsidR="00CF0F9E" w:rsidRPr="007148CF">
        <w:t xml:space="preserve">provide </w:t>
      </w:r>
      <w:r w:rsidR="00CA3531">
        <w:t xml:space="preserve">full </w:t>
      </w:r>
      <w:r w:rsidR="00CF0F9E" w:rsidRPr="007148CF">
        <w:t xml:space="preserve">justification </w:t>
      </w:r>
      <w:r w:rsidR="0041271F">
        <w:t xml:space="preserve">for </w:t>
      </w:r>
      <w:r w:rsidR="00CF0F9E" w:rsidRPr="007148CF">
        <w:t xml:space="preserve">the allocation </w:t>
      </w:r>
      <w:r w:rsidR="00CF0F9E" w:rsidRPr="007148CF">
        <w:lastRenderedPageBreak/>
        <w:t>methodolog</w:t>
      </w:r>
      <w:r w:rsidR="0041271F">
        <w:t xml:space="preserve">ies it uses and </w:t>
      </w:r>
      <w:r w:rsidR="005E744A">
        <w:t xml:space="preserve">to fully </w:t>
      </w:r>
      <w:r w:rsidR="00A972D0">
        <w:t>support those factors</w:t>
      </w:r>
      <w:r w:rsidR="00CF0F9E" w:rsidRPr="007148CF">
        <w:t xml:space="preserve"> </w:t>
      </w:r>
      <w:r w:rsidR="0041271F">
        <w:t xml:space="preserve">the Company </w:t>
      </w:r>
      <w:r w:rsidR="00A972D0">
        <w:t xml:space="preserve">deems </w:t>
      </w:r>
      <w:r w:rsidR="0041271F">
        <w:t>appropriate</w:t>
      </w:r>
      <w:r w:rsidR="00CF0F9E" w:rsidRPr="007148CF">
        <w:t>.</w:t>
      </w:r>
      <w:r w:rsidR="00A92443" w:rsidRPr="007148CF">
        <w:t xml:space="preserve">  </w:t>
      </w:r>
    </w:p>
    <w:p w14:paraId="36FE8551" w14:textId="77777777" w:rsidR="00077BBE" w:rsidRDefault="00077BBE" w:rsidP="004A7A42">
      <w:pPr>
        <w:spacing w:line="480" w:lineRule="auto"/>
        <w:ind w:left="720" w:hanging="720"/>
        <w:jc w:val="center"/>
        <w:rPr>
          <w:b/>
        </w:rPr>
      </w:pPr>
    </w:p>
    <w:p w14:paraId="36FE8552" w14:textId="77777777" w:rsidR="00B50664" w:rsidRDefault="00B50664" w:rsidP="004A7A42">
      <w:pPr>
        <w:spacing w:line="480" w:lineRule="auto"/>
        <w:ind w:left="720" w:hanging="720"/>
        <w:jc w:val="center"/>
        <w:rPr>
          <w:b/>
        </w:rPr>
      </w:pPr>
      <w:r>
        <w:rPr>
          <w:b/>
        </w:rPr>
        <w:t>V</w:t>
      </w:r>
      <w:r w:rsidR="000C4EA7">
        <w:rPr>
          <w:b/>
        </w:rPr>
        <w:t>II</w:t>
      </w:r>
      <w:r>
        <w:rPr>
          <w:b/>
        </w:rPr>
        <w:t>.</w:t>
      </w:r>
      <w:r>
        <w:rPr>
          <w:b/>
        </w:rPr>
        <w:tab/>
        <w:t>RENEWABLE ENERGY CREDITS REVENUE</w:t>
      </w:r>
    </w:p>
    <w:p w14:paraId="36FE8553" w14:textId="77777777" w:rsidR="000A07C4" w:rsidRDefault="000A07C4" w:rsidP="00B50664">
      <w:pPr>
        <w:spacing w:line="480" w:lineRule="auto"/>
        <w:rPr>
          <w:b/>
        </w:rPr>
      </w:pPr>
    </w:p>
    <w:p w14:paraId="36FE8554" w14:textId="77777777" w:rsidR="00B50664" w:rsidRPr="00B50664" w:rsidRDefault="00B50664" w:rsidP="00B50664">
      <w:pPr>
        <w:spacing w:line="480" w:lineRule="auto"/>
        <w:rPr>
          <w:b/>
        </w:rPr>
      </w:pPr>
      <w:r>
        <w:rPr>
          <w:b/>
        </w:rPr>
        <w:t>Q.</w:t>
      </w:r>
      <w:r>
        <w:rPr>
          <w:b/>
        </w:rPr>
        <w:tab/>
      </w:r>
      <w:r w:rsidRPr="00B50664">
        <w:rPr>
          <w:b/>
        </w:rPr>
        <w:t>What are RECs and REC revenues?</w:t>
      </w:r>
    </w:p>
    <w:p w14:paraId="36FE8555" w14:textId="77777777" w:rsidR="00B50664" w:rsidRPr="00B50664" w:rsidRDefault="00B50664" w:rsidP="00B50664">
      <w:pPr>
        <w:spacing w:line="480" w:lineRule="auto"/>
        <w:ind w:left="720" w:hanging="720"/>
      </w:pPr>
      <w:r w:rsidRPr="00B50664">
        <w:t>A.</w:t>
      </w:r>
      <w:r w:rsidRPr="00B50664">
        <w:tab/>
      </w:r>
      <w:r w:rsidR="005B358A">
        <w:t xml:space="preserve">RECs </w:t>
      </w:r>
      <w:r w:rsidRPr="00B50664">
        <w:t xml:space="preserve">are intangible assets that represent proof that 1 megawatt-hour of electricity was generated from an eligible renewable energy resource.  RECs represent the right to claim the environmental or other non-power attributes of the power produced from renewable energy facilities and can be “unbundled” and bought and sold separately from the underlying physical electricity associated with the generating renewable resource.  REC revenues are the revenues a company receives from the sale of RECs. </w:t>
      </w:r>
    </w:p>
    <w:p w14:paraId="36FE8556" w14:textId="77777777" w:rsidR="00B50664" w:rsidRPr="00B50664" w:rsidRDefault="00B50664" w:rsidP="00B50664">
      <w:pPr>
        <w:spacing w:line="480" w:lineRule="auto"/>
      </w:pPr>
    </w:p>
    <w:p w14:paraId="36FE8557" w14:textId="77777777" w:rsidR="00B50664" w:rsidRPr="00B50664" w:rsidRDefault="00B50664" w:rsidP="00B50664">
      <w:pPr>
        <w:spacing w:line="480" w:lineRule="auto"/>
        <w:ind w:left="720" w:hanging="720"/>
        <w:rPr>
          <w:b/>
        </w:rPr>
      </w:pPr>
      <w:r w:rsidRPr="00B50664">
        <w:rPr>
          <w:b/>
        </w:rPr>
        <w:t xml:space="preserve">Q.  </w:t>
      </w:r>
      <w:r w:rsidRPr="00B50664">
        <w:rPr>
          <w:b/>
        </w:rPr>
        <w:tab/>
        <w:t>Please summarize Commission policy regarding the proper regulatory treatment of REC revenues.</w:t>
      </w:r>
    </w:p>
    <w:p w14:paraId="36FE8558" w14:textId="77777777" w:rsidR="00B50664" w:rsidRPr="00B50664" w:rsidRDefault="00B50664" w:rsidP="00B50664">
      <w:pPr>
        <w:spacing w:line="480" w:lineRule="auto"/>
        <w:ind w:left="720" w:hanging="720"/>
        <w:rPr>
          <w:b/>
        </w:rPr>
      </w:pPr>
      <w:r w:rsidRPr="00B50664">
        <w:t xml:space="preserve">A.  </w:t>
      </w:r>
      <w:r w:rsidRPr="00B50664">
        <w:tab/>
        <w:t xml:space="preserve">The Commission’s policy is that “all REC revenues should be returned to the </w:t>
      </w:r>
      <w:r w:rsidR="00B82FF4" w:rsidRPr="00B50664">
        <w:t>ratepayers who pay</w:t>
      </w:r>
      <w:r w:rsidRPr="00B50664">
        <w:t xml:space="preserve"> rates to cover all the costs of the related resource…”.</w:t>
      </w:r>
      <w:r w:rsidRPr="00B50664">
        <w:rPr>
          <w:vertAlign w:val="superscript"/>
        </w:rPr>
        <w:footnoteReference w:id="33"/>
      </w:r>
      <w:r w:rsidRPr="00B50664">
        <w:t xml:space="preserve">  In PacifiCorp Docket UE-100749, the Commission confirmed this fundamental determination</w:t>
      </w:r>
      <w:r w:rsidRPr="00B50664">
        <w:rPr>
          <w:vertAlign w:val="superscript"/>
        </w:rPr>
        <w:footnoteReference w:id="34"/>
      </w:r>
      <w:r w:rsidRPr="00B50664">
        <w:t xml:space="preserve">. </w:t>
      </w:r>
    </w:p>
    <w:p w14:paraId="36FE8559" w14:textId="77777777" w:rsidR="00B50664" w:rsidRPr="00B50664" w:rsidRDefault="00B50664" w:rsidP="00B50664">
      <w:pPr>
        <w:spacing w:line="480" w:lineRule="auto"/>
      </w:pPr>
    </w:p>
    <w:p w14:paraId="36FE855A" w14:textId="77777777" w:rsidR="00B50664" w:rsidRPr="00B50664" w:rsidRDefault="00B50664" w:rsidP="006612CA">
      <w:pPr>
        <w:keepNext/>
        <w:spacing w:line="480" w:lineRule="auto"/>
        <w:ind w:left="720" w:hanging="720"/>
        <w:rPr>
          <w:b/>
        </w:rPr>
      </w:pPr>
      <w:r w:rsidRPr="00B50664">
        <w:rPr>
          <w:b/>
        </w:rPr>
        <w:lastRenderedPageBreak/>
        <w:t xml:space="preserve">Q. </w:t>
      </w:r>
      <w:r w:rsidRPr="00B50664">
        <w:rPr>
          <w:b/>
        </w:rPr>
        <w:tab/>
        <w:t>How does the ERM treat REC revenues?</w:t>
      </w:r>
    </w:p>
    <w:p w14:paraId="36FE855B" w14:textId="77777777" w:rsidR="00B50664" w:rsidRPr="00B50664" w:rsidRDefault="00B50664" w:rsidP="00B50664">
      <w:pPr>
        <w:spacing w:line="480" w:lineRule="auto"/>
        <w:ind w:left="720" w:hanging="720"/>
      </w:pPr>
      <w:r w:rsidRPr="00B50664">
        <w:t xml:space="preserve">A. </w:t>
      </w:r>
      <w:r w:rsidRPr="00B50664">
        <w:tab/>
        <w:t xml:space="preserve">The ERM tracks REC sales revenues </w:t>
      </w:r>
      <w:r w:rsidR="00BC2B63">
        <w:t xml:space="preserve">above a baseline level, and </w:t>
      </w:r>
      <w:r w:rsidR="00857A59">
        <w:t>deferrals</w:t>
      </w:r>
      <w:r w:rsidRPr="00B50664">
        <w:t>, the difference is subject to the ERM sharing bands.</w:t>
      </w:r>
      <w:r w:rsidRPr="00B50664">
        <w:rPr>
          <w:vertAlign w:val="superscript"/>
        </w:rPr>
        <w:footnoteReference w:id="35"/>
      </w:r>
      <w:r w:rsidRPr="00B50664">
        <w:t xml:space="preserve">  Sharing is not consistent with the Commission’s policy that REC revenues should be returned to the ratepayers in full.</w:t>
      </w:r>
    </w:p>
    <w:p w14:paraId="36FE855C" w14:textId="77777777" w:rsidR="00B50664" w:rsidRPr="00B50664" w:rsidRDefault="00B50664" w:rsidP="00B50664">
      <w:pPr>
        <w:spacing w:line="480" w:lineRule="auto"/>
      </w:pPr>
    </w:p>
    <w:p w14:paraId="36FE855D" w14:textId="77777777" w:rsidR="00B50664" w:rsidRPr="00B50664" w:rsidRDefault="00B50664" w:rsidP="00B50664">
      <w:pPr>
        <w:keepNext/>
        <w:spacing w:after="120" w:line="480" w:lineRule="auto"/>
        <w:rPr>
          <w:b/>
        </w:rPr>
      </w:pPr>
      <w:r w:rsidRPr="00B50664">
        <w:rPr>
          <w:b/>
        </w:rPr>
        <w:t>Q.</w:t>
      </w:r>
      <w:r w:rsidRPr="00B50664">
        <w:rPr>
          <w:b/>
        </w:rPr>
        <w:tab/>
        <w:t>How should the Commission return REC revenues to ratepayers?</w:t>
      </w:r>
    </w:p>
    <w:p w14:paraId="36FE855E" w14:textId="77777777" w:rsidR="00B50664" w:rsidRPr="00B50664" w:rsidRDefault="00B50664" w:rsidP="00B50664">
      <w:pPr>
        <w:spacing w:line="480" w:lineRule="auto"/>
        <w:ind w:left="720" w:hanging="720"/>
      </w:pPr>
      <w:r w:rsidRPr="00B50664">
        <w:t>A.</w:t>
      </w:r>
      <w:r w:rsidRPr="00B50664">
        <w:tab/>
        <w:t>The Commission should apply its policy that Washington ratepayers are entitled to 100 percent of a utility’s Washington-allocated REC revenues.  The Commission should order Avista to implement a separate line item within the ERM</w:t>
      </w:r>
      <w:r>
        <w:rPr>
          <w:rStyle w:val="FootnoteReference"/>
        </w:rPr>
        <w:footnoteReference w:id="36"/>
      </w:r>
      <w:r w:rsidRPr="00B50664">
        <w:t>, not subject to the ERM sharing bands</w:t>
      </w:r>
      <w:r w:rsidR="008158DB">
        <w:t xml:space="preserve"> in order to</w:t>
      </w:r>
      <w:r w:rsidRPr="00B50664">
        <w:t xml:space="preserve"> return </w:t>
      </w:r>
      <w:r w:rsidR="008158DB">
        <w:t>all</w:t>
      </w:r>
      <w:r w:rsidR="008158DB" w:rsidRPr="00B50664">
        <w:t xml:space="preserve"> </w:t>
      </w:r>
      <w:r w:rsidRPr="00B50664">
        <w:t>REC revenues in full to customers.</w:t>
      </w:r>
    </w:p>
    <w:p w14:paraId="36FE855F" w14:textId="77777777" w:rsidR="00B50664" w:rsidRDefault="00B50664" w:rsidP="00B50664">
      <w:pPr>
        <w:spacing w:line="480" w:lineRule="auto"/>
        <w:ind w:left="720" w:hanging="720"/>
      </w:pPr>
      <w:r w:rsidRPr="00B50664">
        <w:tab/>
      </w:r>
      <w:r w:rsidRPr="00B50664">
        <w:tab/>
        <w:t>The Commission should further direct Avista to include a rebate of these REC revenues each time an ERM-</w:t>
      </w:r>
      <w:r w:rsidR="00C6408F" w:rsidRPr="00B50664">
        <w:t>related</w:t>
      </w:r>
      <w:r w:rsidR="00C6408F">
        <w:t xml:space="preserve"> </w:t>
      </w:r>
      <w:r w:rsidR="00C6408F" w:rsidRPr="00B50664">
        <w:t>rate</w:t>
      </w:r>
      <w:r w:rsidRPr="00B50664">
        <w:t xml:space="preserve"> adjustment is triggered.  The Commission can exercise its discretion at that time whether to rebate the REC revenues in full, in part, or to hold the amounts for future rate treatment.</w:t>
      </w:r>
      <w:r w:rsidR="00857A59">
        <w:t xml:space="preserve">  </w:t>
      </w:r>
      <w:r w:rsidR="00BC2B63">
        <w:t>D</w:t>
      </w:r>
      <w:r w:rsidR="00857A59">
        <w:t xml:space="preserve">uring the ERM </w:t>
      </w:r>
      <w:r w:rsidR="00BC2B63">
        <w:t xml:space="preserve">annual </w:t>
      </w:r>
      <w:r w:rsidR="00B82FF4">
        <w:t xml:space="preserve">review, </w:t>
      </w:r>
      <w:r w:rsidR="00B82FF4" w:rsidRPr="00B50664">
        <w:t>the</w:t>
      </w:r>
      <w:r w:rsidRPr="00B50664">
        <w:t xml:space="preserve"> Commission could </w:t>
      </w:r>
      <w:r w:rsidR="00355789">
        <w:t>determine whether</w:t>
      </w:r>
      <w:r w:rsidRPr="00B50664">
        <w:t xml:space="preserve"> a separate trigger for the REC revenues independent of the ERM rate trigger</w:t>
      </w:r>
      <w:r w:rsidR="00355789">
        <w:t xml:space="preserve"> is warranted.</w:t>
      </w:r>
    </w:p>
    <w:p w14:paraId="36FE8560" w14:textId="77777777" w:rsidR="00B50664" w:rsidRPr="00B50664" w:rsidRDefault="00B50664" w:rsidP="00B50664">
      <w:pPr>
        <w:spacing w:line="480" w:lineRule="auto"/>
        <w:ind w:left="720" w:hanging="720"/>
      </w:pPr>
    </w:p>
    <w:p w14:paraId="36FE8561" w14:textId="77777777" w:rsidR="00B50664" w:rsidRPr="006C6D5C" w:rsidRDefault="00B50664" w:rsidP="00B50664">
      <w:pPr>
        <w:spacing w:line="480" w:lineRule="auto"/>
        <w:rPr>
          <w:b/>
        </w:rPr>
      </w:pPr>
      <w:r w:rsidRPr="006C6D5C">
        <w:rPr>
          <w:b/>
        </w:rPr>
        <w:t xml:space="preserve">Q.  </w:t>
      </w:r>
      <w:r>
        <w:rPr>
          <w:b/>
        </w:rPr>
        <w:tab/>
      </w:r>
      <w:r w:rsidRPr="006C6D5C">
        <w:rPr>
          <w:b/>
        </w:rPr>
        <w:t>Please summarize your recommendations.</w:t>
      </w:r>
    </w:p>
    <w:p w14:paraId="36FE8562" w14:textId="77777777" w:rsidR="00B50664" w:rsidRDefault="00B50664" w:rsidP="00B50664">
      <w:pPr>
        <w:spacing w:line="480" w:lineRule="auto"/>
        <w:ind w:left="720" w:hanging="720"/>
      </w:pPr>
      <w:r w:rsidRPr="006C6D5C">
        <w:t xml:space="preserve">A.  </w:t>
      </w:r>
      <w:r>
        <w:tab/>
      </w:r>
      <w:r w:rsidRPr="006C6D5C">
        <w:t xml:space="preserve">I recommend the Commission </w:t>
      </w:r>
      <w:r>
        <w:t>order Avista to create a separate line item within the Company’s Energy Recovery Mechanism (ERM) to</w:t>
      </w:r>
      <w:r w:rsidRPr="006C6D5C">
        <w:t xml:space="preserve"> track</w:t>
      </w:r>
      <w:r w:rsidR="00FD7497">
        <w:t xml:space="preserve"> separately</w:t>
      </w:r>
      <w:r>
        <w:t xml:space="preserve"> REC revenues to be available for a credit to customers.  Consequently, these REC revenues would </w:t>
      </w:r>
      <w:r>
        <w:lastRenderedPageBreak/>
        <w:t>not be subject to the ERM sharing bands and would accrue interest at the rate authorized in the ERM.</w:t>
      </w:r>
      <w:r w:rsidR="00355789">
        <w:t xml:space="preserve">  Th</w:t>
      </w:r>
      <w:r w:rsidR="00BC2B63">
        <w:t xml:space="preserve">e Commission should review this </w:t>
      </w:r>
      <w:r w:rsidR="00355789">
        <w:t xml:space="preserve">deferral and its disposition </w:t>
      </w:r>
      <w:r w:rsidR="00BC2B63">
        <w:t xml:space="preserve">during the annual </w:t>
      </w:r>
      <w:r w:rsidR="00355789">
        <w:t>ERM</w:t>
      </w:r>
      <w:r w:rsidR="00BC2B63">
        <w:t xml:space="preserve"> review</w:t>
      </w:r>
      <w:r w:rsidR="00355789">
        <w:t>.</w:t>
      </w:r>
    </w:p>
    <w:p w14:paraId="36FE8563" w14:textId="77777777" w:rsidR="00B50664" w:rsidRPr="00B50664" w:rsidRDefault="00B50664" w:rsidP="00B50664">
      <w:pPr>
        <w:spacing w:line="480" w:lineRule="auto"/>
        <w:ind w:left="720"/>
        <w:rPr>
          <w:b/>
        </w:rPr>
      </w:pPr>
    </w:p>
    <w:p w14:paraId="36FE8564" w14:textId="77777777" w:rsidR="005E744A" w:rsidRDefault="004A7A42" w:rsidP="004A7A42">
      <w:pPr>
        <w:spacing w:line="480" w:lineRule="auto"/>
        <w:ind w:left="720" w:hanging="720"/>
        <w:jc w:val="center"/>
        <w:rPr>
          <w:b/>
        </w:rPr>
      </w:pPr>
      <w:r w:rsidRPr="007148CF">
        <w:rPr>
          <w:b/>
        </w:rPr>
        <w:t>V</w:t>
      </w:r>
      <w:r w:rsidR="000744AF">
        <w:rPr>
          <w:b/>
        </w:rPr>
        <w:t>III</w:t>
      </w:r>
      <w:r w:rsidRPr="007148CF">
        <w:rPr>
          <w:b/>
        </w:rPr>
        <w:t>.</w:t>
      </w:r>
      <w:r w:rsidRPr="007148CF">
        <w:rPr>
          <w:b/>
        </w:rPr>
        <w:tab/>
        <w:t>ATTRITION A</w:t>
      </w:r>
      <w:r w:rsidR="005E744A">
        <w:rPr>
          <w:b/>
        </w:rPr>
        <w:t>NALYSIS</w:t>
      </w:r>
    </w:p>
    <w:p w14:paraId="36FE8565" w14:textId="77777777" w:rsidR="00574BEF" w:rsidRDefault="00574BEF" w:rsidP="005E744A">
      <w:pPr>
        <w:spacing w:line="480" w:lineRule="auto"/>
        <w:ind w:left="720" w:hanging="720"/>
        <w:rPr>
          <w:b/>
        </w:rPr>
      </w:pPr>
    </w:p>
    <w:p w14:paraId="36FE8566" w14:textId="77777777" w:rsidR="004A7A42" w:rsidRPr="005E744A" w:rsidRDefault="005E744A" w:rsidP="005E744A">
      <w:pPr>
        <w:spacing w:line="480" w:lineRule="auto"/>
        <w:ind w:left="720" w:hanging="720"/>
      </w:pPr>
      <w:r>
        <w:rPr>
          <w:b/>
        </w:rPr>
        <w:tab/>
      </w:r>
      <w:r w:rsidR="004A7A42">
        <w:rPr>
          <w:b/>
        </w:rPr>
        <w:t>A.</w:t>
      </w:r>
      <w:r w:rsidR="004A7A42">
        <w:rPr>
          <w:b/>
        </w:rPr>
        <w:tab/>
        <w:t>Background</w:t>
      </w:r>
    </w:p>
    <w:p w14:paraId="36FE8567" w14:textId="77777777" w:rsidR="004A7A42" w:rsidRDefault="004A7A42" w:rsidP="007E03FD">
      <w:pPr>
        <w:spacing w:line="480" w:lineRule="auto"/>
        <w:ind w:left="720" w:hanging="720"/>
      </w:pPr>
    </w:p>
    <w:p w14:paraId="36FE8568" w14:textId="77777777" w:rsidR="000D7FC8" w:rsidRDefault="004A7A42" w:rsidP="000D7FC8">
      <w:pPr>
        <w:spacing w:line="480" w:lineRule="auto"/>
        <w:ind w:left="720" w:hanging="720"/>
        <w:rPr>
          <w:b/>
        </w:rPr>
      </w:pPr>
      <w:r>
        <w:rPr>
          <w:b/>
        </w:rPr>
        <w:t>Q.</w:t>
      </w:r>
      <w:r>
        <w:rPr>
          <w:b/>
        </w:rPr>
        <w:tab/>
      </w:r>
      <w:r w:rsidR="000D7FC8">
        <w:rPr>
          <w:b/>
        </w:rPr>
        <w:t>What is attrition?</w:t>
      </w:r>
    </w:p>
    <w:p w14:paraId="36FE8569" w14:textId="513B2C36" w:rsidR="00E23848" w:rsidRDefault="000D7FC8" w:rsidP="000D7FC8">
      <w:pPr>
        <w:spacing w:line="480" w:lineRule="auto"/>
        <w:ind w:left="720" w:hanging="720"/>
      </w:pPr>
      <w:r>
        <w:t>A.</w:t>
      </w:r>
      <w:r>
        <w:tab/>
      </w:r>
      <w:r w:rsidRPr="0051798B">
        <w:t xml:space="preserve">Attrition refers to </w:t>
      </w:r>
      <w:r w:rsidR="00610985">
        <w:t xml:space="preserve">the </w:t>
      </w:r>
      <w:r>
        <w:t>change in</w:t>
      </w:r>
      <w:r w:rsidR="00B95EAB">
        <w:t xml:space="preserve"> </w:t>
      </w:r>
      <w:r w:rsidR="00131B57">
        <w:t xml:space="preserve">the relationship of test period </w:t>
      </w:r>
      <w:r w:rsidRPr="0051798B">
        <w:t>revenues, expenses</w:t>
      </w:r>
      <w:r w:rsidR="00B57D2F">
        <w:t>,</w:t>
      </w:r>
      <w:r w:rsidR="00EB2E9D">
        <w:t xml:space="preserve"> </w:t>
      </w:r>
      <w:r w:rsidR="00164D8D">
        <w:t>rate base</w:t>
      </w:r>
      <w:r>
        <w:t xml:space="preserve"> </w:t>
      </w:r>
      <w:r w:rsidR="00B57D2F">
        <w:t xml:space="preserve">and cost of capital </w:t>
      </w:r>
      <w:r w:rsidR="00131B57">
        <w:t>that</w:t>
      </w:r>
      <w:r w:rsidR="0074324D">
        <w:t xml:space="preserve"> </w:t>
      </w:r>
      <w:r w:rsidR="00131B57">
        <w:t>result</w:t>
      </w:r>
      <w:r w:rsidR="00610985">
        <w:t>s</w:t>
      </w:r>
      <w:r w:rsidR="00131B57">
        <w:t xml:space="preserve"> in an impact on rate year</w:t>
      </w:r>
      <w:r w:rsidR="00E32A1E">
        <w:t xml:space="preserve"> </w:t>
      </w:r>
      <w:r w:rsidR="00164D8D">
        <w:t>earnings</w:t>
      </w:r>
      <w:r w:rsidRPr="0051798B">
        <w:t xml:space="preserve">.  </w:t>
      </w:r>
      <w:r w:rsidR="00A171EB">
        <w:t xml:space="preserve">As the </w:t>
      </w:r>
      <w:r w:rsidR="00E23848">
        <w:t xml:space="preserve">Commission has </w:t>
      </w:r>
      <w:r w:rsidR="00A171EB">
        <w:t>observed:</w:t>
      </w:r>
    </w:p>
    <w:p w14:paraId="36FE856A" w14:textId="77777777" w:rsidR="00E23848" w:rsidRDefault="00E23848" w:rsidP="00BD0B1D">
      <w:pPr>
        <w:ind w:left="1440" w:hanging="720"/>
      </w:pPr>
      <w:r>
        <w:tab/>
      </w:r>
      <w:r w:rsidR="004F1EA8">
        <w:t>Attrition is the change in relationships among revenues, expenses, and rate base over time, in which growth in expenses exceeds growth in revenues from factors beyond the company’s control.</w:t>
      </w:r>
      <w:r w:rsidR="004F1EA8">
        <w:rPr>
          <w:rStyle w:val="FootnoteReference"/>
        </w:rPr>
        <w:footnoteReference w:id="37"/>
      </w:r>
    </w:p>
    <w:p w14:paraId="36FE856B" w14:textId="77777777" w:rsidR="00E23848" w:rsidRDefault="00E23848" w:rsidP="000D7FC8">
      <w:pPr>
        <w:spacing w:line="480" w:lineRule="auto"/>
        <w:ind w:left="720" w:hanging="720"/>
      </w:pPr>
    </w:p>
    <w:p w14:paraId="36FE856C" w14:textId="271A6A88" w:rsidR="00CB51C9" w:rsidRDefault="00B95EAB" w:rsidP="004F1EA8">
      <w:pPr>
        <w:spacing w:line="480" w:lineRule="auto"/>
        <w:ind w:left="720" w:firstLine="720"/>
      </w:pPr>
      <w:r>
        <w:t xml:space="preserve">An attrition </w:t>
      </w:r>
      <w:r w:rsidR="005E744A">
        <w:t xml:space="preserve">allowance </w:t>
      </w:r>
      <w:r>
        <w:t xml:space="preserve">may be warranted to provide a utility a reasonable opportunity to earn a fair return.  </w:t>
      </w:r>
      <w:r w:rsidR="00371F28">
        <w:t>T</w:t>
      </w:r>
      <w:r w:rsidR="00A171EB">
        <w:t xml:space="preserve">he Commission </w:t>
      </w:r>
      <w:r w:rsidR="00371F28">
        <w:t>used</w:t>
      </w:r>
      <w:r w:rsidR="00A171EB">
        <w:t xml:space="preserve"> attrition allowance</w:t>
      </w:r>
      <w:r w:rsidR="00E155A5">
        <w:t>s</w:t>
      </w:r>
      <w:r w:rsidR="00A171EB">
        <w:t xml:space="preserve"> </w:t>
      </w:r>
      <w:r w:rsidR="00610985">
        <w:t xml:space="preserve">during </w:t>
      </w:r>
      <w:r w:rsidR="00A171EB">
        <w:t>p</w:t>
      </w:r>
      <w:r w:rsidR="00CB51C9">
        <w:t xml:space="preserve">eriods of </w:t>
      </w:r>
      <w:r w:rsidR="00BA6534">
        <w:t>high inflation</w:t>
      </w:r>
      <w:r w:rsidR="00E155A5">
        <w:t>,</w:t>
      </w:r>
      <w:r w:rsidR="005E744A">
        <w:t xml:space="preserve"> high capital costs</w:t>
      </w:r>
      <w:r w:rsidR="000A07C4">
        <w:t>,</w:t>
      </w:r>
      <w:r w:rsidR="00E155A5">
        <w:t xml:space="preserve"> and high construction costs to serve growing demand</w:t>
      </w:r>
      <w:r w:rsidR="00533B1B">
        <w:t>.</w:t>
      </w:r>
      <w:r w:rsidR="0059633B">
        <w:rPr>
          <w:rStyle w:val="FootnoteReference"/>
        </w:rPr>
        <w:footnoteReference w:id="38"/>
      </w:r>
      <w:r w:rsidR="00CB51C9">
        <w:t xml:space="preserve">  </w:t>
      </w:r>
      <w:r w:rsidR="00371F28">
        <w:t>Only o</w:t>
      </w:r>
      <w:r w:rsidR="005E744A">
        <w:t>ne of these factors exists today:  high construction costs</w:t>
      </w:r>
      <w:r w:rsidR="00371F28">
        <w:t xml:space="preserve">, </w:t>
      </w:r>
      <w:r w:rsidR="00973B22">
        <w:lastRenderedPageBreak/>
        <w:t xml:space="preserve">though </w:t>
      </w:r>
      <w:r w:rsidR="00371F28">
        <w:t xml:space="preserve">with low growth in demand. </w:t>
      </w:r>
      <w:r w:rsidR="00E155A5">
        <w:t xml:space="preserve"> I</w:t>
      </w:r>
      <w:r w:rsidR="005E744A">
        <w:t xml:space="preserve">nflation and capital costs </w:t>
      </w:r>
      <w:r w:rsidR="00A84631">
        <w:t xml:space="preserve">are low and </w:t>
      </w:r>
      <w:r w:rsidR="00DA3405">
        <w:t xml:space="preserve">should not be </w:t>
      </w:r>
      <w:r w:rsidR="005E744A">
        <w:t>caus</w:t>
      </w:r>
      <w:r w:rsidR="00DA3405">
        <w:t>es of</w:t>
      </w:r>
      <w:r w:rsidR="005E744A">
        <w:t xml:space="preserve"> attrition currently.</w:t>
      </w:r>
    </w:p>
    <w:p w14:paraId="36FE856D" w14:textId="77777777" w:rsidR="00073A5C" w:rsidRDefault="00073A5C" w:rsidP="00073A5C">
      <w:pPr>
        <w:spacing w:line="480" w:lineRule="auto"/>
      </w:pPr>
    </w:p>
    <w:p w14:paraId="36FE856E" w14:textId="77777777" w:rsidR="00B57D2F" w:rsidRDefault="00073A5C" w:rsidP="00E35B0E">
      <w:pPr>
        <w:spacing w:line="480" w:lineRule="auto"/>
        <w:ind w:left="720" w:hanging="720"/>
        <w:rPr>
          <w:b/>
        </w:rPr>
      </w:pPr>
      <w:r>
        <w:rPr>
          <w:b/>
        </w:rPr>
        <w:t>Q.</w:t>
      </w:r>
      <w:r>
        <w:rPr>
          <w:b/>
        </w:rPr>
        <w:tab/>
      </w:r>
      <w:r w:rsidR="00A171EB">
        <w:rPr>
          <w:b/>
        </w:rPr>
        <w:t xml:space="preserve">According to Avista, what are the </w:t>
      </w:r>
      <w:r>
        <w:rPr>
          <w:b/>
        </w:rPr>
        <w:t>current circumstances f</w:t>
      </w:r>
      <w:r w:rsidR="00A171EB">
        <w:rPr>
          <w:b/>
        </w:rPr>
        <w:t>acing the Company</w:t>
      </w:r>
      <w:r>
        <w:rPr>
          <w:b/>
        </w:rPr>
        <w:t>?</w:t>
      </w:r>
    </w:p>
    <w:p w14:paraId="36FE856F" w14:textId="77777777" w:rsidR="00945C17" w:rsidRDefault="00073A5C" w:rsidP="00073A5C">
      <w:pPr>
        <w:spacing w:line="480" w:lineRule="auto"/>
        <w:ind w:left="720" w:hanging="720"/>
      </w:pPr>
      <w:r>
        <w:t>A.</w:t>
      </w:r>
      <w:r>
        <w:tab/>
      </w:r>
      <w:r w:rsidR="0041271F">
        <w:t xml:space="preserve">According to </w:t>
      </w:r>
      <w:r w:rsidR="00A84631">
        <w:t xml:space="preserve">Mr. Morris, </w:t>
      </w:r>
      <w:r w:rsidR="0041271F">
        <w:t>Avista’s</w:t>
      </w:r>
      <w:r w:rsidR="00533B1B">
        <w:t xml:space="preserve"> C</w:t>
      </w:r>
      <w:r w:rsidR="00466C82">
        <w:t>hairman of the Board, President and Chief Executive Officer</w:t>
      </w:r>
      <w:r w:rsidR="00A84631">
        <w:t>:</w:t>
      </w:r>
      <w:r w:rsidR="00A84631" w:rsidDel="00A84631">
        <w:t xml:space="preserve"> </w:t>
      </w:r>
    </w:p>
    <w:p w14:paraId="36FE8570" w14:textId="77777777" w:rsidR="00945C17" w:rsidRDefault="00073A5C" w:rsidP="00945C17">
      <w:pPr>
        <w:ind w:left="1440"/>
      </w:pPr>
      <w:r>
        <w:t xml:space="preserve">A large part of our need for a rate increase is driven by the costs associated </w:t>
      </w:r>
      <w:r w:rsidR="00945C17">
        <w:t>w</w:t>
      </w:r>
      <w:r>
        <w:t>ith continuing to expand and replace</w:t>
      </w:r>
      <w:r w:rsidR="00945C17">
        <w:t xml:space="preserve"> </w:t>
      </w:r>
      <w:r>
        <w:t>the facilities we use every day to serve our customers. When we remove the old equipment and</w:t>
      </w:r>
      <w:r w:rsidR="00945C17">
        <w:t xml:space="preserve"> </w:t>
      </w:r>
      <w:r>
        <w:t>replace it with new, it results in higher overall costs to serve customers. This was the primary reason for the proposed increase in our last rate increase request and it is expected to continue to</w:t>
      </w:r>
      <w:r w:rsidR="00945C17">
        <w:t xml:space="preserve"> </w:t>
      </w:r>
      <w:r>
        <w:t>cause a need for increased rates in the future.</w:t>
      </w:r>
      <w:r w:rsidR="00945C17">
        <w:rPr>
          <w:rStyle w:val="FootnoteReference"/>
        </w:rPr>
        <w:footnoteReference w:id="39"/>
      </w:r>
    </w:p>
    <w:p w14:paraId="36FE8571" w14:textId="77777777" w:rsidR="00945C17" w:rsidRDefault="00945C17" w:rsidP="00945C17">
      <w:pPr>
        <w:spacing w:line="480" w:lineRule="auto"/>
        <w:ind w:left="720" w:hangingChars="300" w:hanging="720"/>
      </w:pPr>
    </w:p>
    <w:p w14:paraId="36FE8572" w14:textId="77777777" w:rsidR="001875EE" w:rsidRDefault="00FD6EB7" w:rsidP="001875EE">
      <w:pPr>
        <w:autoSpaceDE w:val="0"/>
        <w:autoSpaceDN w:val="0"/>
        <w:adjustRightInd w:val="0"/>
      </w:pPr>
      <w:r>
        <w:tab/>
      </w:r>
      <w:r w:rsidR="0041271F">
        <w:t xml:space="preserve">He also refers to </w:t>
      </w:r>
      <w:r w:rsidR="001875EE">
        <w:t>increases in expenses of</w:t>
      </w:r>
      <w:r w:rsidR="0041271F">
        <w:t>:</w:t>
      </w:r>
      <w:r w:rsidR="001875EE">
        <w:t xml:space="preserve">  </w:t>
      </w:r>
    </w:p>
    <w:p w14:paraId="36FE8573" w14:textId="77777777" w:rsidR="001875EE" w:rsidRDefault="001875EE" w:rsidP="001875EE">
      <w:pPr>
        <w:autoSpaceDE w:val="0"/>
        <w:autoSpaceDN w:val="0"/>
        <w:adjustRightInd w:val="0"/>
      </w:pPr>
    </w:p>
    <w:p w14:paraId="36FE8574" w14:textId="77777777" w:rsidR="000E680A" w:rsidRDefault="00FF23B6" w:rsidP="001875EE">
      <w:pPr>
        <w:autoSpaceDE w:val="0"/>
        <w:autoSpaceDN w:val="0"/>
        <w:adjustRightInd w:val="0"/>
        <w:ind w:left="1440"/>
      </w:pPr>
      <w:r>
        <w:t>…</w:t>
      </w:r>
      <w:r w:rsidR="001875EE">
        <w:t>approximately $72 million over the six-year period from 2005 to 2011….</w:t>
      </w:r>
      <w:r w:rsidR="001875EE" w:rsidRPr="001875EE">
        <w:t xml:space="preserve"> </w:t>
      </w:r>
      <w:r w:rsidR="001875EE">
        <w:t>In recent years there has been a significant increase in costly, mandatory requirements on utilities related to, among others things, reliability, environmental compliance, safety, and security. These mandates, together with litigation and other claims related to the ownership and operation of hydroelectric resources, have added, and continue to add, significant costs to run the utility.</w:t>
      </w:r>
      <w:r w:rsidR="001875EE">
        <w:rPr>
          <w:rStyle w:val="FootnoteReference"/>
        </w:rPr>
        <w:footnoteReference w:id="40"/>
      </w:r>
    </w:p>
    <w:p w14:paraId="36FE8575" w14:textId="77777777" w:rsidR="001875EE" w:rsidRDefault="001875EE" w:rsidP="001875EE">
      <w:pPr>
        <w:autoSpaceDE w:val="0"/>
        <w:autoSpaceDN w:val="0"/>
        <w:adjustRightInd w:val="0"/>
        <w:spacing w:line="480" w:lineRule="auto"/>
        <w:ind w:left="720" w:hangingChars="300" w:hanging="720"/>
      </w:pPr>
    </w:p>
    <w:p w14:paraId="36FE8576" w14:textId="77777777" w:rsidR="001B6A12" w:rsidRDefault="001B6A12" w:rsidP="001B6A12">
      <w:pPr>
        <w:autoSpaceDE w:val="0"/>
        <w:autoSpaceDN w:val="0"/>
        <w:adjustRightInd w:val="0"/>
        <w:spacing w:line="480" w:lineRule="auto"/>
        <w:ind w:left="723" w:hangingChars="300" w:hanging="723"/>
        <w:rPr>
          <w:b/>
        </w:rPr>
      </w:pPr>
      <w:r>
        <w:rPr>
          <w:b/>
        </w:rPr>
        <w:t>Q.</w:t>
      </w:r>
      <w:r>
        <w:rPr>
          <w:b/>
        </w:rPr>
        <w:tab/>
      </w:r>
      <w:r w:rsidR="00286C5F">
        <w:rPr>
          <w:b/>
        </w:rPr>
        <w:t xml:space="preserve">In the testimony you quoted, </w:t>
      </w:r>
      <w:r w:rsidR="00A171EB">
        <w:rPr>
          <w:b/>
        </w:rPr>
        <w:t>Avista focuse</w:t>
      </w:r>
      <w:r w:rsidR="00286C5F">
        <w:rPr>
          <w:b/>
        </w:rPr>
        <w:t>d</w:t>
      </w:r>
      <w:r w:rsidR="00A171EB">
        <w:rPr>
          <w:b/>
        </w:rPr>
        <w:t xml:space="preserve"> on the 2005-2011 time period.  </w:t>
      </w:r>
      <w:r w:rsidR="00286C5F">
        <w:rPr>
          <w:b/>
        </w:rPr>
        <w:t xml:space="preserve">Did Avista omit any significant </w:t>
      </w:r>
      <w:r>
        <w:rPr>
          <w:b/>
        </w:rPr>
        <w:t>information relevant to th</w:t>
      </w:r>
      <w:r w:rsidR="00A171EB">
        <w:rPr>
          <w:b/>
        </w:rPr>
        <w:t>at</w:t>
      </w:r>
      <w:r>
        <w:rPr>
          <w:b/>
        </w:rPr>
        <w:t xml:space="preserve"> the period?</w:t>
      </w:r>
    </w:p>
    <w:p w14:paraId="36FE8577" w14:textId="2329427A" w:rsidR="001875EE" w:rsidRDefault="001B6A12" w:rsidP="001B6A12">
      <w:pPr>
        <w:autoSpaceDE w:val="0"/>
        <w:autoSpaceDN w:val="0"/>
        <w:adjustRightInd w:val="0"/>
        <w:spacing w:line="480" w:lineRule="auto"/>
        <w:ind w:left="720" w:hangingChars="300" w:hanging="720"/>
      </w:pPr>
      <w:r>
        <w:t>A.</w:t>
      </w:r>
      <w:r>
        <w:tab/>
      </w:r>
      <w:r w:rsidR="0041271F">
        <w:t xml:space="preserve">Yes. </w:t>
      </w:r>
      <w:r w:rsidR="00286C5F">
        <w:t xml:space="preserve"> </w:t>
      </w:r>
      <w:r>
        <w:t>Avista fail</w:t>
      </w:r>
      <w:r w:rsidR="0041271F">
        <w:t>ed</w:t>
      </w:r>
      <w:r>
        <w:t xml:space="preserve"> to mention </w:t>
      </w:r>
      <w:r w:rsidR="00752DB8">
        <w:t>it has</w:t>
      </w:r>
      <w:r>
        <w:t xml:space="preserve"> increased rates to cover the expense and capital costs described</w:t>
      </w:r>
      <w:r w:rsidR="00A171EB">
        <w:t xml:space="preserve"> by the Company</w:t>
      </w:r>
      <w:r>
        <w:t xml:space="preserve">. </w:t>
      </w:r>
      <w:r w:rsidR="00DA3405">
        <w:t xml:space="preserve">  </w:t>
      </w:r>
      <w:r>
        <w:t xml:space="preserve">While Avista’s </w:t>
      </w:r>
      <w:r w:rsidR="00A171EB">
        <w:t xml:space="preserve">current </w:t>
      </w:r>
      <w:r>
        <w:t xml:space="preserve">claims may be valid, </w:t>
      </w:r>
      <w:r w:rsidR="00A171EB">
        <w:t xml:space="preserve">it is </w:t>
      </w:r>
      <w:r w:rsidR="00A171EB">
        <w:lastRenderedPageBreak/>
        <w:t>misleading to discuss</w:t>
      </w:r>
      <w:r w:rsidR="00BD0B1D">
        <w:t xml:space="preserve"> </w:t>
      </w:r>
      <w:r>
        <w:t xml:space="preserve">the increases </w:t>
      </w:r>
      <w:r w:rsidR="006A5897">
        <w:t xml:space="preserve">in expenditures without identifying </w:t>
      </w:r>
      <w:r w:rsidR="00A171EB">
        <w:t xml:space="preserve">the </w:t>
      </w:r>
      <w:r w:rsidR="006A5897">
        <w:t>increase</w:t>
      </w:r>
      <w:r w:rsidR="0041271F">
        <w:t>s</w:t>
      </w:r>
      <w:r w:rsidR="00BD0B1D">
        <w:t xml:space="preserve"> in</w:t>
      </w:r>
      <w:r w:rsidR="006A5897">
        <w:t xml:space="preserve"> </w:t>
      </w:r>
      <w:r w:rsidR="00A171EB">
        <w:t>revenues</w:t>
      </w:r>
      <w:r w:rsidR="00DD1DAB">
        <w:t>, or</w:t>
      </w:r>
      <w:r w:rsidR="00BD0B1D">
        <w:t xml:space="preserve"> the </w:t>
      </w:r>
      <w:r w:rsidR="0041271F">
        <w:t xml:space="preserve">rate </w:t>
      </w:r>
      <w:r w:rsidR="006A5897">
        <w:t>increase</w:t>
      </w:r>
      <w:r w:rsidR="0041271F">
        <w:t>s the Company</w:t>
      </w:r>
      <w:r w:rsidR="006A5897">
        <w:t xml:space="preserve"> received.</w:t>
      </w:r>
      <w:r w:rsidR="006A5897">
        <w:rPr>
          <w:rStyle w:val="FootnoteReference"/>
        </w:rPr>
        <w:footnoteReference w:id="41"/>
      </w:r>
      <w:r w:rsidR="00DA3405">
        <w:t xml:space="preserve">  Staff witness Mr. Elgin identifies Avista’s recent rate increase history.</w:t>
      </w:r>
      <w:r w:rsidR="004C2265">
        <w:rPr>
          <w:rStyle w:val="FootnoteReference"/>
        </w:rPr>
        <w:footnoteReference w:id="42"/>
      </w:r>
    </w:p>
    <w:p w14:paraId="36FE8578" w14:textId="77777777" w:rsidR="00A84631" w:rsidRDefault="00A84631" w:rsidP="00466C82">
      <w:pPr>
        <w:spacing w:line="480" w:lineRule="auto"/>
        <w:ind w:left="720" w:hangingChars="300" w:hanging="720"/>
      </w:pPr>
    </w:p>
    <w:p w14:paraId="36FE8579" w14:textId="77777777" w:rsidR="002773AE" w:rsidRPr="00DB793B" w:rsidRDefault="0016762B" w:rsidP="00466C82">
      <w:pPr>
        <w:spacing w:line="480" w:lineRule="auto"/>
        <w:ind w:left="720" w:hangingChars="300" w:hanging="720"/>
        <w:rPr>
          <w:b/>
        </w:rPr>
      </w:pPr>
      <w:r>
        <w:tab/>
      </w:r>
      <w:r>
        <w:rPr>
          <w:b/>
        </w:rPr>
        <w:t>B.</w:t>
      </w:r>
      <w:r>
        <w:rPr>
          <w:b/>
        </w:rPr>
        <w:tab/>
        <w:t xml:space="preserve">Scenarios Explaining How Attrition Works  </w:t>
      </w:r>
    </w:p>
    <w:p w14:paraId="36FE857A" w14:textId="77777777" w:rsidR="00A84631" w:rsidRDefault="00A84631" w:rsidP="00945C17">
      <w:pPr>
        <w:spacing w:line="480" w:lineRule="auto"/>
        <w:ind w:left="723" w:hangingChars="300" w:hanging="723"/>
        <w:rPr>
          <w:b/>
        </w:rPr>
      </w:pPr>
    </w:p>
    <w:p w14:paraId="36FE857B" w14:textId="77777777" w:rsidR="00CB51C9" w:rsidRDefault="00CB51C9" w:rsidP="00945C17">
      <w:pPr>
        <w:spacing w:line="480" w:lineRule="auto"/>
        <w:ind w:left="723" w:hangingChars="300" w:hanging="723"/>
      </w:pPr>
      <w:r>
        <w:rPr>
          <w:b/>
        </w:rPr>
        <w:t>Q.</w:t>
      </w:r>
      <w:r>
        <w:rPr>
          <w:b/>
        </w:rPr>
        <w:tab/>
      </w:r>
      <w:r w:rsidRPr="00164D8D">
        <w:rPr>
          <w:b/>
        </w:rPr>
        <w:t xml:space="preserve">Do </w:t>
      </w:r>
      <w:r w:rsidRPr="00E35B0E">
        <w:rPr>
          <w:b/>
        </w:rPr>
        <w:t>v</w:t>
      </w:r>
      <w:r w:rsidR="00BA6534" w:rsidRPr="00E35B0E">
        <w:rPr>
          <w:b/>
        </w:rPr>
        <w:t xml:space="preserve">arying growth patterns </w:t>
      </w:r>
      <w:r w:rsidRPr="00E35B0E">
        <w:rPr>
          <w:b/>
        </w:rPr>
        <w:t xml:space="preserve">in </w:t>
      </w:r>
      <w:r w:rsidR="00164D8D" w:rsidRPr="00164D8D">
        <w:rPr>
          <w:b/>
        </w:rPr>
        <w:t>revenues,</w:t>
      </w:r>
      <w:r w:rsidRPr="00E35B0E">
        <w:rPr>
          <w:b/>
        </w:rPr>
        <w:t xml:space="preserve"> expenses</w:t>
      </w:r>
      <w:r w:rsidR="00B57D2F">
        <w:rPr>
          <w:b/>
        </w:rPr>
        <w:t xml:space="preserve">, rate base and cost of capital </w:t>
      </w:r>
      <w:r w:rsidR="00BA6534" w:rsidRPr="00E35B0E">
        <w:rPr>
          <w:b/>
        </w:rPr>
        <w:t xml:space="preserve">always </w:t>
      </w:r>
      <w:r w:rsidR="002F291C" w:rsidRPr="00E35B0E">
        <w:rPr>
          <w:b/>
        </w:rPr>
        <w:t>result in attrition</w:t>
      </w:r>
      <w:r w:rsidR="00BB5BBD" w:rsidRPr="00E35B0E">
        <w:rPr>
          <w:b/>
        </w:rPr>
        <w:t xml:space="preserve"> or earnings erosion</w:t>
      </w:r>
      <w:r w:rsidRPr="00E35B0E">
        <w:rPr>
          <w:b/>
        </w:rPr>
        <w:t>?</w:t>
      </w:r>
    </w:p>
    <w:p w14:paraId="36FE857C" w14:textId="77777777" w:rsidR="00257678" w:rsidRDefault="00CB51C9" w:rsidP="00E71FD9">
      <w:pPr>
        <w:spacing w:line="480" w:lineRule="auto"/>
        <w:ind w:left="720" w:hangingChars="300" w:hanging="720"/>
      </w:pPr>
      <w:r>
        <w:t>A</w:t>
      </w:r>
      <w:r w:rsidR="002F291C">
        <w:t xml:space="preserve">.  </w:t>
      </w:r>
      <w:r>
        <w:tab/>
        <w:t xml:space="preserve">No.  </w:t>
      </w:r>
      <w:r w:rsidR="00DA3405">
        <w:t>T</w:t>
      </w:r>
      <w:r w:rsidR="00F122DE">
        <w:t xml:space="preserve">able </w:t>
      </w:r>
      <w:r w:rsidR="00DA3405">
        <w:t xml:space="preserve">1 below explains this, by </w:t>
      </w:r>
      <w:r w:rsidR="00F122DE">
        <w:t>show</w:t>
      </w:r>
      <w:r w:rsidR="00DA3405">
        <w:t>ing</w:t>
      </w:r>
      <w:r w:rsidR="00463D7F">
        <w:t xml:space="preserve"> different change</w:t>
      </w:r>
      <w:r w:rsidR="00DA3405">
        <w:t>s</w:t>
      </w:r>
      <w:r w:rsidR="00F122DE">
        <w:t xml:space="preserve"> </w:t>
      </w:r>
      <w:r w:rsidR="00DA3405">
        <w:t xml:space="preserve">in </w:t>
      </w:r>
      <w:r w:rsidR="00F122DE">
        <w:t xml:space="preserve">relationships </w:t>
      </w:r>
      <w:r w:rsidR="00DA3405">
        <w:t xml:space="preserve">of </w:t>
      </w:r>
      <w:r w:rsidR="00463D7F">
        <w:t xml:space="preserve">revenue, expenses and rate base </w:t>
      </w:r>
      <w:r w:rsidR="00F122DE">
        <w:t xml:space="preserve">between any test and </w:t>
      </w:r>
      <w:r w:rsidR="00463D7F">
        <w:t>rate year</w:t>
      </w:r>
      <w:r w:rsidR="00DA3405">
        <w:t xml:space="preserve">, assuming </w:t>
      </w:r>
      <w:r w:rsidR="00F122DE">
        <w:t>a</w:t>
      </w:r>
      <w:r w:rsidR="00DA3405">
        <w:t xml:space="preserve"> c</w:t>
      </w:r>
      <w:r w:rsidR="0059633B">
        <w:t xml:space="preserve">onstant utility </w:t>
      </w:r>
      <w:r w:rsidR="00337391">
        <w:t>cost of capital</w:t>
      </w:r>
      <w:r w:rsidR="0059633B">
        <w:t xml:space="preserve"> of 8.00</w:t>
      </w:r>
      <w:r w:rsidR="00466C82">
        <w:t xml:space="preserve"> </w:t>
      </w:r>
      <w:r w:rsidR="0059633B">
        <w:t>percent.</w:t>
      </w:r>
      <w:r w:rsidR="00001F5F">
        <w:t xml:space="preserve">  </w:t>
      </w:r>
    </w:p>
    <w:p w14:paraId="3AB08433" w14:textId="77777777" w:rsidR="00E44AB6" w:rsidRDefault="00E44AB6" w:rsidP="00E71FD9">
      <w:pPr>
        <w:spacing w:line="480" w:lineRule="auto"/>
        <w:ind w:left="720" w:hangingChars="300" w:hanging="720"/>
      </w:pPr>
    </w:p>
    <w:p w14:paraId="046D319E" w14:textId="77777777" w:rsidR="00E44AB6" w:rsidRDefault="00E44AB6" w:rsidP="00E71FD9">
      <w:pPr>
        <w:spacing w:line="480" w:lineRule="auto"/>
        <w:ind w:left="720" w:hangingChars="300" w:hanging="720"/>
      </w:pPr>
    </w:p>
    <w:p w14:paraId="5A3EFFC9" w14:textId="67D93866" w:rsidR="00E44AB6" w:rsidRDefault="00E44AB6" w:rsidP="00E44AB6">
      <w:pPr>
        <w:spacing w:line="480" w:lineRule="auto"/>
        <w:ind w:left="720" w:hangingChars="300" w:hanging="720"/>
        <w:jc w:val="center"/>
      </w:pPr>
      <w:r>
        <w:t>Remainder of page intentionally left blank</w:t>
      </w:r>
    </w:p>
    <w:p w14:paraId="7C4CD002" w14:textId="4EB1980D" w:rsidR="00E44AB6" w:rsidRDefault="00E44AB6">
      <w:pPr>
        <w:spacing w:after="200" w:line="276" w:lineRule="auto"/>
      </w:pPr>
      <w:r>
        <w:br w:type="page"/>
      </w:r>
    </w:p>
    <w:p w14:paraId="36FE857D" w14:textId="77777777" w:rsidR="00905047" w:rsidRDefault="00905047" w:rsidP="00905047">
      <w:pPr>
        <w:spacing w:line="480" w:lineRule="auto"/>
        <w:jc w:val="center"/>
      </w:pPr>
      <w:r>
        <w:lastRenderedPageBreak/>
        <w:t>Table 1</w:t>
      </w:r>
    </w:p>
    <w:p w14:paraId="36FE857E" w14:textId="77777777" w:rsidR="00905047" w:rsidRDefault="00905047" w:rsidP="00905047">
      <w:pPr>
        <w:spacing w:line="480" w:lineRule="auto"/>
        <w:ind w:left="720"/>
      </w:pPr>
    </w:p>
    <w:p w14:paraId="36FE857F" w14:textId="77777777" w:rsidR="00905047" w:rsidRDefault="00905047" w:rsidP="00905047">
      <w:pPr>
        <w:spacing w:line="480" w:lineRule="auto"/>
        <w:ind w:left="720" w:firstLine="720"/>
      </w:pPr>
    </w:p>
    <w:p w14:paraId="36FE8580" w14:textId="77777777" w:rsidR="00905047" w:rsidRDefault="00015205" w:rsidP="00905047">
      <w:pPr>
        <w:spacing w:line="480" w:lineRule="auto"/>
        <w:ind w:left="720" w:firstLine="720"/>
      </w:pPr>
      <w:r w:rsidRPr="0023506C">
        <w:rPr>
          <w:noProof/>
        </w:rPr>
        <w:drawing>
          <wp:anchor distT="0" distB="0" distL="114300" distR="114300" simplePos="0" relativeHeight="251679744" behindDoc="1" locked="0" layoutInCell="1" allowOverlap="1" wp14:anchorId="36FE8614" wp14:editId="36FE8615">
            <wp:simplePos x="0" y="0"/>
            <wp:positionH relativeFrom="column">
              <wp:posOffset>354330</wp:posOffset>
            </wp:positionH>
            <wp:positionV relativeFrom="paragraph">
              <wp:posOffset>-582930</wp:posOffset>
            </wp:positionV>
            <wp:extent cx="5124450" cy="2105025"/>
            <wp:effectExtent l="0" t="0" r="0" b="9525"/>
            <wp:wrapTight wrapText="bothSides">
              <wp:wrapPolygon edited="0">
                <wp:start x="0" y="0"/>
                <wp:lineTo x="0" y="21502"/>
                <wp:lineTo x="21520" y="21502"/>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24450" cy="2105025"/>
                    </a:xfrm>
                    <a:prstGeom prst="rect">
                      <a:avLst/>
                    </a:prstGeom>
                    <a:noFill/>
                    <a:ln>
                      <a:noFill/>
                    </a:ln>
                  </pic:spPr>
                </pic:pic>
              </a:graphicData>
            </a:graphic>
          </wp:anchor>
        </w:drawing>
      </w:r>
    </w:p>
    <w:p w14:paraId="36FE8581" w14:textId="77777777" w:rsidR="001248B8" w:rsidRDefault="001248B8" w:rsidP="003936B6">
      <w:pPr>
        <w:spacing w:line="480" w:lineRule="auto"/>
      </w:pPr>
    </w:p>
    <w:p w14:paraId="36FE8582" w14:textId="77777777" w:rsidR="001248B8" w:rsidRDefault="001248B8" w:rsidP="00634D5B">
      <w:pPr>
        <w:pStyle w:val="ListParagraph"/>
        <w:spacing w:line="480" w:lineRule="auto"/>
        <w:ind w:firstLine="720"/>
      </w:pPr>
    </w:p>
    <w:p w14:paraId="36FE8583" w14:textId="77777777" w:rsidR="0016762B" w:rsidRDefault="0016762B" w:rsidP="00634D5B">
      <w:pPr>
        <w:pStyle w:val="ListParagraph"/>
        <w:spacing w:line="480" w:lineRule="auto"/>
        <w:ind w:firstLine="720"/>
      </w:pPr>
    </w:p>
    <w:p w14:paraId="36FE8584" w14:textId="77777777" w:rsidR="0016762B" w:rsidRDefault="0016762B" w:rsidP="00634D5B">
      <w:pPr>
        <w:pStyle w:val="ListParagraph"/>
        <w:spacing w:line="480" w:lineRule="auto"/>
        <w:ind w:firstLine="720"/>
      </w:pPr>
    </w:p>
    <w:p w14:paraId="36FE8585" w14:textId="0329DA87" w:rsidR="00F85DB4" w:rsidRDefault="00AF3C6B" w:rsidP="00634D5B">
      <w:pPr>
        <w:pStyle w:val="ListParagraph"/>
        <w:spacing w:line="480" w:lineRule="auto"/>
        <w:ind w:firstLine="720"/>
      </w:pPr>
      <w:r>
        <w:t>S</w:t>
      </w:r>
      <w:r w:rsidR="00EF4BF7">
        <w:t>cenario</w:t>
      </w:r>
      <w:r w:rsidR="00E10F5E">
        <w:t xml:space="preserve"> </w:t>
      </w:r>
      <w:r>
        <w:t xml:space="preserve">1 </w:t>
      </w:r>
      <w:r w:rsidR="00E10F5E">
        <w:t xml:space="preserve">reflects </w:t>
      </w:r>
      <w:r w:rsidR="00915678">
        <w:t xml:space="preserve">a </w:t>
      </w:r>
      <w:r w:rsidR="00E10F5E">
        <w:t>rate year</w:t>
      </w:r>
      <w:r w:rsidR="005355A1">
        <w:t xml:space="preserve"> </w:t>
      </w:r>
      <w:r>
        <w:t xml:space="preserve">during which </w:t>
      </w:r>
      <w:r w:rsidR="005355A1">
        <w:t>revenue</w:t>
      </w:r>
      <w:r w:rsidR="00E32A1E">
        <w:t xml:space="preserve">, </w:t>
      </w:r>
      <w:r w:rsidR="00C72E4B">
        <w:t>expense</w:t>
      </w:r>
      <w:r>
        <w:t>s</w:t>
      </w:r>
      <w:r w:rsidR="00C72E4B">
        <w:t xml:space="preserve"> and rate base </w:t>
      </w:r>
      <w:r>
        <w:t>al</w:t>
      </w:r>
      <w:r w:rsidR="00E32A1E">
        <w:t xml:space="preserve">l grew at a rate of </w:t>
      </w:r>
      <w:r w:rsidR="00164D8D">
        <w:t>two percent</w:t>
      </w:r>
      <w:r>
        <w:t xml:space="preserve">.  The result </w:t>
      </w:r>
      <w:r w:rsidR="00E32A1E">
        <w:t>is</w:t>
      </w:r>
      <w:r>
        <w:t xml:space="preserve"> that the utility earned the </w:t>
      </w:r>
      <w:r w:rsidR="00C72E4B">
        <w:t>8.00</w:t>
      </w:r>
      <w:r w:rsidR="00D07860">
        <w:t xml:space="preserve"> percent </w:t>
      </w:r>
      <w:r w:rsidR="000A4D9F">
        <w:t>rate of return (</w:t>
      </w:r>
      <w:proofErr w:type="spellStart"/>
      <w:r>
        <w:t>ROR</w:t>
      </w:r>
      <w:proofErr w:type="spellEnd"/>
      <w:r w:rsidR="000A4D9F">
        <w:t>)</w:t>
      </w:r>
      <w:r w:rsidR="00C72E4B">
        <w:t xml:space="preserve">.  </w:t>
      </w:r>
      <w:r w:rsidR="00BF2BA1">
        <w:t xml:space="preserve">The </w:t>
      </w:r>
      <w:r w:rsidR="00C72E4B">
        <w:t xml:space="preserve">relationships </w:t>
      </w:r>
      <w:r w:rsidR="00BF2BA1">
        <w:t xml:space="preserve">between revenues, expenses and rate base </w:t>
      </w:r>
      <w:r>
        <w:t>were</w:t>
      </w:r>
      <w:r w:rsidR="00C72E4B">
        <w:t xml:space="preserve"> maintained and no earnings erosion </w:t>
      </w:r>
      <w:r w:rsidR="0016762B">
        <w:t xml:space="preserve">(attrition) </w:t>
      </w:r>
      <w:r>
        <w:t>resulted</w:t>
      </w:r>
      <w:r w:rsidR="00C72E4B">
        <w:t>.</w:t>
      </w:r>
    </w:p>
    <w:p w14:paraId="36FE8586" w14:textId="77777777" w:rsidR="006D7451" w:rsidRDefault="0059633B" w:rsidP="000D6FA1">
      <w:pPr>
        <w:spacing w:line="480" w:lineRule="auto"/>
        <w:ind w:left="720" w:firstLine="720"/>
      </w:pPr>
      <w:r>
        <w:t xml:space="preserve">Under </w:t>
      </w:r>
      <w:r w:rsidR="0016762B">
        <w:t>S</w:t>
      </w:r>
      <w:r w:rsidR="00AF3C6B">
        <w:t xml:space="preserve">cenario 2, </w:t>
      </w:r>
      <w:r w:rsidR="00C72E4B">
        <w:t xml:space="preserve">the </w:t>
      </w:r>
      <w:r w:rsidR="00AF3C6B">
        <w:t>utility did not maintain the rate case relationships between revenues, expenses and rate base</w:t>
      </w:r>
      <w:r w:rsidR="00915678">
        <w:t xml:space="preserve">, yet </w:t>
      </w:r>
      <w:r w:rsidR="00BF2BA1">
        <w:t xml:space="preserve">still </w:t>
      </w:r>
      <w:r w:rsidR="00AF3C6B">
        <w:t>earn</w:t>
      </w:r>
      <w:r w:rsidR="00786013">
        <w:t>ed</w:t>
      </w:r>
      <w:r w:rsidR="00AF3C6B">
        <w:t xml:space="preserve"> </w:t>
      </w:r>
      <w:r w:rsidR="00164D8D">
        <w:t>an</w:t>
      </w:r>
      <w:r w:rsidR="00AF3C6B">
        <w:t xml:space="preserve"> </w:t>
      </w:r>
      <w:r w:rsidR="00727B1F">
        <w:t>8.00</w:t>
      </w:r>
      <w:r w:rsidR="00164D8D">
        <w:t xml:space="preserve"> percent</w:t>
      </w:r>
      <w:r w:rsidR="00BF2BA1">
        <w:t xml:space="preserve"> ROR</w:t>
      </w:r>
      <w:r w:rsidR="00727B1F">
        <w:t>.  In this scenario, r</w:t>
      </w:r>
      <w:r w:rsidR="00C72E4B">
        <w:t>ate year revenue</w:t>
      </w:r>
      <w:r w:rsidR="00B57D2F">
        <w:t>s</w:t>
      </w:r>
      <w:r w:rsidR="00C72E4B">
        <w:t xml:space="preserve"> gr</w:t>
      </w:r>
      <w:r w:rsidR="00AF3C6B">
        <w:t>e</w:t>
      </w:r>
      <w:r w:rsidR="00C72E4B">
        <w:t xml:space="preserve">w </w:t>
      </w:r>
      <w:r w:rsidR="00164D8D">
        <w:t>three percent</w:t>
      </w:r>
      <w:r w:rsidR="00C72E4B">
        <w:t xml:space="preserve">, expenses </w:t>
      </w:r>
      <w:r w:rsidR="00AF3C6B">
        <w:t>grew</w:t>
      </w:r>
      <w:r w:rsidR="00164D8D">
        <w:t xml:space="preserve"> two percent</w:t>
      </w:r>
      <w:r w:rsidR="00C72E4B">
        <w:t xml:space="preserve"> and rate base </w:t>
      </w:r>
      <w:r w:rsidR="00AF3C6B">
        <w:t>grew</w:t>
      </w:r>
      <w:r w:rsidR="00C72E4B">
        <w:t xml:space="preserve"> </w:t>
      </w:r>
      <w:r w:rsidR="00164D8D">
        <w:t>six percent</w:t>
      </w:r>
      <w:r w:rsidR="00C72E4B">
        <w:t xml:space="preserve">.  This demonstrates that </w:t>
      </w:r>
      <w:r w:rsidR="00727B1F">
        <w:t xml:space="preserve">even </w:t>
      </w:r>
      <w:r w:rsidR="00C72E4B">
        <w:t xml:space="preserve">with </w:t>
      </w:r>
      <w:r w:rsidR="00AF3C6B">
        <w:t xml:space="preserve">rate base increasing </w:t>
      </w:r>
      <w:r w:rsidR="00BF2BA1">
        <w:t>more rapidly</w:t>
      </w:r>
      <w:r w:rsidR="00B57D2F">
        <w:t xml:space="preserve"> than other elements</w:t>
      </w:r>
      <w:r w:rsidR="00BF2BA1">
        <w:t xml:space="preserve">, </w:t>
      </w:r>
      <w:r w:rsidR="001D1FE0">
        <w:t>there is no negative impact to earnings due to attrition</w:t>
      </w:r>
      <w:r w:rsidR="00BF2BA1">
        <w:t>.</w:t>
      </w:r>
      <w:r w:rsidR="00B832C6">
        <w:t xml:space="preserve"> </w:t>
      </w:r>
      <w:r w:rsidR="00F25FCD">
        <w:t xml:space="preserve"> It also shows that </w:t>
      </w:r>
      <w:r w:rsidR="001D1FE0">
        <w:t>growth in</w:t>
      </w:r>
      <w:r w:rsidR="00F25FCD">
        <w:t xml:space="preserve"> rate base</w:t>
      </w:r>
      <w:r w:rsidR="001D1FE0">
        <w:t xml:space="preserve"> does not require proportional growth in revenue to</w:t>
      </w:r>
      <w:r w:rsidR="00053939">
        <w:t xml:space="preserve"> </w:t>
      </w:r>
      <w:r w:rsidR="00F25FCD">
        <w:t>avoid attrition.</w:t>
      </w:r>
      <w:r w:rsidR="0016762B">
        <w:t xml:space="preserve">  </w:t>
      </w:r>
      <w:r w:rsidR="00B832C6">
        <w:t xml:space="preserve"> </w:t>
      </w:r>
    </w:p>
    <w:p w14:paraId="36FE8587" w14:textId="77777777" w:rsidR="000D6FA1" w:rsidRDefault="001248B8" w:rsidP="001248B8">
      <w:pPr>
        <w:pStyle w:val="ListParagraph"/>
        <w:spacing w:line="480" w:lineRule="auto"/>
        <w:ind w:firstLine="720"/>
        <w:rPr>
          <w:noProof/>
        </w:rPr>
      </w:pPr>
      <w:r>
        <w:t>I</w:t>
      </w:r>
      <w:r w:rsidR="0059633B">
        <w:t xml:space="preserve">n </w:t>
      </w:r>
      <w:r w:rsidR="00F25FCD">
        <w:t>S</w:t>
      </w:r>
      <w:r w:rsidR="00AF3C6B">
        <w:t>cenario 3</w:t>
      </w:r>
      <w:r w:rsidR="00B57D2F">
        <w:t>,</w:t>
      </w:r>
      <w:r w:rsidR="00E10F5E">
        <w:t xml:space="preserve"> rate year revenue</w:t>
      </w:r>
      <w:r w:rsidR="00B57D2F">
        <w:t>s</w:t>
      </w:r>
      <w:r w:rsidR="00E10F5E">
        <w:t xml:space="preserve"> </w:t>
      </w:r>
      <w:r w:rsidR="00AF3C6B">
        <w:t xml:space="preserve">grew </w:t>
      </w:r>
      <w:r w:rsidR="00164D8D">
        <w:t>two</w:t>
      </w:r>
      <w:r w:rsidR="00AF3C6B">
        <w:t xml:space="preserve"> percent</w:t>
      </w:r>
      <w:r w:rsidR="00E10F5E">
        <w:t xml:space="preserve">, expenses </w:t>
      </w:r>
      <w:r w:rsidR="00AF3C6B">
        <w:t xml:space="preserve">increased </w:t>
      </w:r>
      <w:r w:rsidR="00164D8D">
        <w:t>two</w:t>
      </w:r>
      <w:r w:rsidR="00AF3C6B">
        <w:t xml:space="preserve"> percent </w:t>
      </w:r>
      <w:r w:rsidR="00DD4A63">
        <w:t xml:space="preserve">and rate base </w:t>
      </w:r>
      <w:r w:rsidR="00AF3C6B">
        <w:t xml:space="preserve">increased </w:t>
      </w:r>
      <w:r w:rsidR="00164D8D">
        <w:t>six</w:t>
      </w:r>
      <w:r w:rsidR="00AA0E15">
        <w:t xml:space="preserve"> percent.  The result</w:t>
      </w:r>
      <w:r w:rsidR="00DD4A63">
        <w:t xml:space="preserve"> </w:t>
      </w:r>
      <w:r w:rsidR="00AF3C6B">
        <w:t xml:space="preserve">is a </w:t>
      </w:r>
      <w:r w:rsidR="00DD4A63">
        <w:t>7.</w:t>
      </w:r>
      <w:r w:rsidR="00922693">
        <w:t>70</w:t>
      </w:r>
      <w:r w:rsidR="00AF3C6B">
        <w:t xml:space="preserve"> percent ROR, which </w:t>
      </w:r>
      <w:r w:rsidR="006D7451">
        <w:t>reflect</w:t>
      </w:r>
      <w:r w:rsidR="00AF3C6B">
        <w:t>s</w:t>
      </w:r>
      <w:r w:rsidR="006D7451">
        <w:t xml:space="preserve"> </w:t>
      </w:r>
      <w:r w:rsidR="00164D8D">
        <w:t>erosion</w:t>
      </w:r>
      <w:r w:rsidR="006D7451">
        <w:t xml:space="preserve"> in earnings</w:t>
      </w:r>
      <w:r w:rsidR="00A072A4">
        <w:t xml:space="preserve"> due to attrition.</w:t>
      </w:r>
    </w:p>
    <w:p w14:paraId="36FE8588" w14:textId="7F5D0391" w:rsidR="00E10F5E" w:rsidRDefault="0059633B" w:rsidP="00E35B0E">
      <w:pPr>
        <w:pStyle w:val="ListParagraph"/>
        <w:spacing w:line="480" w:lineRule="auto"/>
      </w:pPr>
      <w:r>
        <w:lastRenderedPageBreak/>
        <w:tab/>
      </w:r>
      <w:r w:rsidR="00F25FCD">
        <w:t>S</w:t>
      </w:r>
      <w:r w:rsidR="00897953">
        <w:t xml:space="preserve">cenario 4 </w:t>
      </w:r>
      <w:r w:rsidR="00DD4A63">
        <w:t xml:space="preserve">reflects </w:t>
      </w:r>
      <w:r w:rsidR="00922693">
        <w:t xml:space="preserve">a </w:t>
      </w:r>
      <w:r w:rsidR="000D6FA1">
        <w:t>two</w:t>
      </w:r>
      <w:r w:rsidR="00AF3C6B">
        <w:t xml:space="preserve"> percent growth in </w:t>
      </w:r>
      <w:r w:rsidR="00DD4A63">
        <w:t>ra</w:t>
      </w:r>
      <w:r w:rsidR="00B832C6">
        <w:t>te year revenue</w:t>
      </w:r>
      <w:r w:rsidR="00AF3C6B">
        <w:t xml:space="preserve">s, a </w:t>
      </w:r>
      <w:r w:rsidR="00164D8D">
        <w:t>four</w:t>
      </w:r>
      <w:r w:rsidR="00AF3C6B">
        <w:t xml:space="preserve"> percent growth in expenses, and a </w:t>
      </w:r>
      <w:r w:rsidR="00164D8D">
        <w:t>six percent</w:t>
      </w:r>
      <w:r w:rsidR="00AF3C6B">
        <w:t xml:space="preserve"> growth in rate base</w:t>
      </w:r>
      <w:r w:rsidR="00DD4A63">
        <w:t xml:space="preserve">.  The resulting </w:t>
      </w:r>
      <w:r w:rsidR="00922693">
        <w:t>7.27</w:t>
      </w:r>
      <w:r w:rsidR="00AF3C6B">
        <w:t xml:space="preserve"> percent ROR </w:t>
      </w:r>
      <w:r w:rsidR="00DD4A63">
        <w:t xml:space="preserve">reflects </w:t>
      </w:r>
      <w:r w:rsidR="00A072A4">
        <w:t>the largest earnings erosion</w:t>
      </w:r>
      <w:r w:rsidR="00F25FCD">
        <w:t>,</w:t>
      </w:r>
      <w:r w:rsidR="00A072A4">
        <w:t xml:space="preserve"> or</w:t>
      </w:r>
      <w:r w:rsidR="00DD4A63">
        <w:t xml:space="preserve"> attrition</w:t>
      </w:r>
      <w:r w:rsidR="00F25FCD">
        <w:t>,</w:t>
      </w:r>
      <w:r w:rsidR="00AF3C6B">
        <w:t xml:space="preserve"> in these examples</w:t>
      </w:r>
      <w:r w:rsidR="00DD4A63">
        <w:t>.</w:t>
      </w:r>
    </w:p>
    <w:p w14:paraId="36FE8589" w14:textId="77777777" w:rsidR="00747243" w:rsidRPr="00747243" w:rsidRDefault="00AF3C6B" w:rsidP="000D6FA1">
      <w:pPr>
        <w:pStyle w:val="ListParagraph"/>
        <w:spacing w:line="480" w:lineRule="auto"/>
        <w:ind w:firstLine="720"/>
      </w:pPr>
      <w:r>
        <w:t>Scenario 5</w:t>
      </w:r>
      <w:r w:rsidR="00BF2BA1">
        <w:t xml:space="preserve"> is an example of attrition working in the utility’s favor. </w:t>
      </w:r>
      <w:r w:rsidR="00B57D2F">
        <w:t xml:space="preserve"> </w:t>
      </w:r>
      <w:r w:rsidR="00BF2BA1">
        <w:t>R</w:t>
      </w:r>
      <w:r w:rsidR="00747243">
        <w:t xml:space="preserve">ate year revenue </w:t>
      </w:r>
      <w:r w:rsidR="00164D8D">
        <w:t>grew</w:t>
      </w:r>
      <w:r w:rsidR="00747243">
        <w:t xml:space="preserve"> 2</w:t>
      </w:r>
      <w:r>
        <w:t xml:space="preserve"> percent</w:t>
      </w:r>
      <w:r w:rsidR="00747243">
        <w:t>, expense</w:t>
      </w:r>
      <w:r>
        <w:t>s</w:t>
      </w:r>
      <w:r w:rsidR="00747243">
        <w:t xml:space="preserve"> gr</w:t>
      </w:r>
      <w:r w:rsidR="00BF2BA1">
        <w:t>e</w:t>
      </w:r>
      <w:r w:rsidR="00747243">
        <w:t xml:space="preserve">w </w:t>
      </w:r>
      <w:r w:rsidR="00164D8D">
        <w:t>one</w:t>
      </w:r>
      <w:r>
        <w:t xml:space="preserve"> percent </w:t>
      </w:r>
      <w:r w:rsidR="00B522CC">
        <w:t xml:space="preserve">and </w:t>
      </w:r>
      <w:r w:rsidR="00747243">
        <w:t xml:space="preserve">rate base </w:t>
      </w:r>
      <w:r w:rsidR="00164D8D">
        <w:t>grew</w:t>
      </w:r>
      <w:r w:rsidR="00747243">
        <w:t xml:space="preserve"> </w:t>
      </w:r>
      <w:r w:rsidR="00164D8D">
        <w:t>three</w:t>
      </w:r>
      <w:r>
        <w:t xml:space="preserve"> percent.  The result is </w:t>
      </w:r>
      <w:r w:rsidR="00BF2BA1">
        <w:t xml:space="preserve">a ROR of 8.15 percent.  </w:t>
      </w:r>
      <w:r w:rsidR="00164D8D">
        <w:t xml:space="preserve">This is an example of negative attrition.  </w:t>
      </w:r>
    </w:p>
    <w:p w14:paraId="36FE858A" w14:textId="77777777" w:rsidR="00E366E7" w:rsidRDefault="00E366E7" w:rsidP="00BF2BA1">
      <w:pPr>
        <w:spacing w:line="480" w:lineRule="auto"/>
        <w:rPr>
          <w:b/>
        </w:rPr>
      </w:pPr>
    </w:p>
    <w:p w14:paraId="36FE858B" w14:textId="77777777" w:rsidR="00BF2BA1" w:rsidRDefault="00BF2BA1" w:rsidP="0074324D">
      <w:pPr>
        <w:spacing w:line="480" w:lineRule="auto"/>
        <w:ind w:left="720" w:hanging="720"/>
        <w:rPr>
          <w:b/>
        </w:rPr>
      </w:pPr>
      <w:r>
        <w:rPr>
          <w:b/>
        </w:rPr>
        <w:t>Q.</w:t>
      </w:r>
      <w:r>
        <w:rPr>
          <w:b/>
        </w:rPr>
        <w:tab/>
        <w:t xml:space="preserve">What </w:t>
      </w:r>
      <w:r w:rsidR="007A6300">
        <w:rPr>
          <w:b/>
        </w:rPr>
        <w:t xml:space="preserve">critical element of attrition </w:t>
      </w:r>
      <w:r w:rsidR="00DA3405">
        <w:rPr>
          <w:b/>
        </w:rPr>
        <w:t xml:space="preserve">does </w:t>
      </w:r>
      <w:r w:rsidR="00F122DE">
        <w:rPr>
          <w:b/>
        </w:rPr>
        <w:t xml:space="preserve">this table </w:t>
      </w:r>
      <w:r w:rsidR="00DA3405">
        <w:rPr>
          <w:b/>
        </w:rPr>
        <w:t>confirm</w:t>
      </w:r>
      <w:r w:rsidR="00F122DE">
        <w:rPr>
          <w:b/>
        </w:rPr>
        <w:t>?</w:t>
      </w:r>
      <w:r>
        <w:rPr>
          <w:b/>
        </w:rPr>
        <w:t xml:space="preserve"> </w:t>
      </w:r>
    </w:p>
    <w:p w14:paraId="36FE858C" w14:textId="77777777" w:rsidR="00747243" w:rsidRPr="00BF2BA1" w:rsidRDefault="00850382" w:rsidP="00E35B0E">
      <w:pPr>
        <w:spacing w:line="480" w:lineRule="auto"/>
        <w:ind w:left="720" w:hanging="720"/>
        <w:rPr>
          <w:b/>
        </w:rPr>
      </w:pPr>
      <w:r>
        <w:t>A.</w:t>
      </w:r>
      <w:r>
        <w:tab/>
      </w:r>
      <w:r w:rsidR="00DA3405">
        <w:t xml:space="preserve">This table </w:t>
      </w:r>
      <w:r>
        <w:t>confirm</w:t>
      </w:r>
      <w:r w:rsidR="00F122DE">
        <w:t>s</w:t>
      </w:r>
      <w:r w:rsidR="00F25FCD">
        <w:t xml:space="preserve"> that </w:t>
      </w:r>
      <w:r>
        <w:t xml:space="preserve">the Commission </w:t>
      </w:r>
      <w:r w:rsidR="00DA3405">
        <w:t xml:space="preserve">must </w:t>
      </w:r>
      <w:r>
        <w:t>consider</w:t>
      </w:r>
      <w:r w:rsidR="00533B1B">
        <w:t xml:space="preserve"> all components of revenue requirements: </w:t>
      </w:r>
      <w:r w:rsidR="00BA2FA5" w:rsidRPr="00BA2FA5">
        <w:t xml:space="preserve"> </w:t>
      </w:r>
      <w:r w:rsidR="00BA2FA5">
        <w:t>revenues, expenses and rate base.</w:t>
      </w:r>
      <w:r>
        <w:t xml:space="preserve">  </w:t>
      </w:r>
      <w:r w:rsidR="00DA3405">
        <w:t xml:space="preserve">Each </w:t>
      </w:r>
      <w:r w:rsidR="00F122DE">
        <w:t>s</w:t>
      </w:r>
      <w:r w:rsidR="00747243">
        <w:t>cenario</w:t>
      </w:r>
      <w:r w:rsidR="00DA3405">
        <w:t xml:space="preserve"> </w:t>
      </w:r>
      <w:r w:rsidR="00747243">
        <w:t>illustrate</w:t>
      </w:r>
      <w:r w:rsidR="00DA3405">
        <w:t>s</w:t>
      </w:r>
      <w:r w:rsidR="00F122DE">
        <w:t xml:space="preserve"> the potential for </w:t>
      </w:r>
      <w:r w:rsidR="00DA3405">
        <w:t xml:space="preserve">each </w:t>
      </w:r>
      <w:r w:rsidR="00BA2FA5">
        <w:t xml:space="preserve">of these </w:t>
      </w:r>
      <w:r w:rsidR="00F122DE">
        <w:t>element</w:t>
      </w:r>
      <w:r w:rsidR="00BA2FA5">
        <w:t>s</w:t>
      </w:r>
      <w:r w:rsidR="00F122DE">
        <w:t xml:space="preserve"> of the rate making equation</w:t>
      </w:r>
      <w:r w:rsidR="00DA3405">
        <w:t xml:space="preserve"> to</w:t>
      </w:r>
      <w:r w:rsidR="00F122DE">
        <w:t xml:space="preserve"> have an impact on the </w:t>
      </w:r>
      <w:r w:rsidR="00DA3405">
        <w:t xml:space="preserve">utility’s </w:t>
      </w:r>
      <w:r w:rsidR="00F122DE">
        <w:t>opportunity to earn a fair return.</w:t>
      </w:r>
      <w:r w:rsidR="00786013">
        <w:t xml:space="preserve"> </w:t>
      </w:r>
    </w:p>
    <w:p w14:paraId="36FE858D" w14:textId="77777777" w:rsidR="00E366E7" w:rsidRDefault="00E366E7" w:rsidP="002D2FD5">
      <w:pPr>
        <w:spacing w:line="480" w:lineRule="auto"/>
        <w:ind w:left="720" w:hanging="720"/>
        <w:rPr>
          <w:b/>
        </w:rPr>
      </w:pPr>
    </w:p>
    <w:p w14:paraId="36FE858E" w14:textId="77777777" w:rsidR="00E366E7" w:rsidRDefault="00E366E7" w:rsidP="002D2FD5">
      <w:pPr>
        <w:spacing w:line="480" w:lineRule="auto"/>
        <w:ind w:left="720" w:hanging="720"/>
        <w:rPr>
          <w:b/>
        </w:rPr>
      </w:pPr>
      <w:r>
        <w:rPr>
          <w:b/>
        </w:rPr>
        <w:t>Q.</w:t>
      </w:r>
      <w:r>
        <w:rPr>
          <w:b/>
        </w:rPr>
        <w:tab/>
        <w:t xml:space="preserve">You </w:t>
      </w:r>
      <w:r w:rsidR="00BA2FA5">
        <w:rPr>
          <w:b/>
        </w:rPr>
        <w:t xml:space="preserve">just mentioned revenues, expenses and rate base.  You also </w:t>
      </w:r>
      <w:r>
        <w:rPr>
          <w:b/>
        </w:rPr>
        <w:t xml:space="preserve">noted at the outset of your discussion </w:t>
      </w:r>
      <w:r w:rsidR="0074324D">
        <w:rPr>
          <w:b/>
        </w:rPr>
        <w:t xml:space="preserve">of these scenarios </w:t>
      </w:r>
      <w:r>
        <w:rPr>
          <w:b/>
        </w:rPr>
        <w:t>assume</w:t>
      </w:r>
      <w:r w:rsidR="00BA2FA5">
        <w:rPr>
          <w:b/>
        </w:rPr>
        <w:t xml:space="preserve"> an</w:t>
      </w:r>
      <w:r>
        <w:rPr>
          <w:b/>
        </w:rPr>
        <w:t xml:space="preserve"> 8.00 percent ROR remained </w:t>
      </w:r>
      <w:r w:rsidR="0074324D">
        <w:rPr>
          <w:b/>
        </w:rPr>
        <w:t>constant.</w:t>
      </w:r>
      <w:r>
        <w:rPr>
          <w:b/>
        </w:rPr>
        <w:t xml:space="preserve">  Please explain the importance of that assumption.</w:t>
      </w:r>
    </w:p>
    <w:p w14:paraId="36FE858F" w14:textId="544D5342" w:rsidR="00E366E7" w:rsidRDefault="00E366E7" w:rsidP="002D2FD5">
      <w:pPr>
        <w:spacing w:line="480" w:lineRule="auto"/>
        <w:ind w:left="720" w:hanging="720"/>
      </w:pPr>
      <w:r>
        <w:t>A.</w:t>
      </w:r>
      <w:r>
        <w:tab/>
      </w:r>
      <w:r w:rsidR="00164D8D">
        <w:t>The assumption of a constant 8.00</w:t>
      </w:r>
      <w:r w:rsidR="000D6FA1">
        <w:t xml:space="preserve"> percent</w:t>
      </w:r>
      <w:r w:rsidR="00164D8D">
        <w:t xml:space="preserve"> ROR was a simplifying assumption</w:t>
      </w:r>
      <w:r w:rsidR="00F122DE">
        <w:t>.  The table clearly shows</w:t>
      </w:r>
      <w:r w:rsidR="00BA2FA5">
        <w:t xml:space="preserve"> that </w:t>
      </w:r>
      <w:r w:rsidR="00AF2C07">
        <w:t xml:space="preserve">if the utility’s cost of capital decreased </w:t>
      </w:r>
      <w:r w:rsidR="00B95EAB">
        <w:t>to</w:t>
      </w:r>
      <w:r w:rsidR="0074324D">
        <w:t xml:space="preserve"> </w:t>
      </w:r>
      <w:r w:rsidR="00AF2C07">
        <w:t xml:space="preserve">7.70 percent </w:t>
      </w:r>
      <w:r w:rsidR="00B95EAB">
        <w:t xml:space="preserve">or </w:t>
      </w:r>
      <w:r w:rsidR="00AF2C07">
        <w:t xml:space="preserve">7.27 </w:t>
      </w:r>
      <w:r w:rsidR="00E0738A">
        <w:t xml:space="preserve">percent, </w:t>
      </w:r>
      <w:r w:rsidR="00A23F1C">
        <w:t>it</w:t>
      </w:r>
      <w:r w:rsidR="00BA2FA5">
        <w:t xml:space="preserve"> would </w:t>
      </w:r>
      <w:r w:rsidR="00AF2C07">
        <w:t xml:space="preserve">offset any attrition the utility might </w:t>
      </w:r>
      <w:r w:rsidR="00F25FCD">
        <w:t xml:space="preserve">otherwise </w:t>
      </w:r>
      <w:r w:rsidR="00AF2C07">
        <w:t xml:space="preserve">experience.  </w:t>
      </w:r>
      <w:r w:rsidR="00BA2FA5">
        <w:t xml:space="preserve">This demonstrates that cost of capital is also a critical element for the Commission to consider.  </w:t>
      </w:r>
      <w:r w:rsidR="0074324D">
        <w:t xml:space="preserve">This is an important element of Staff’s presentation in this case and it is a material element influencing the result of my attrition analysis.  </w:t>
      </w:r>
      <w:r w:rsidR="00B95EAB">
        <w:t xml:space="preserve">As Mr. Elgin </w:t>
      </w:r>
      <w:r w:rsidR="00B95EAB">
        <w:lastRenderedPageBreak/>
        <w:t>testifies, t</w:t>
      </w:r>
      <w:r w:rsidR="0074324D">
        <w:t>he cost of capital is lower today than before.</w:t>
      </w:r>
      <w:r w:rsidR="00F25FCD">
        <w:rPr>
          <w:rStyle w:val="FootnoteReference"/>
        </w:rPr>
        <w:footnoteReference w:id="43"/>
      </w:r>
      <w:r w:rsidR="0074324D">
        <w:t xml:space="preserve">  </w:t>
      </w:r>
      <w:r w:rsidR="00B95EAB">
        <w:t>M</w:t>
      </w:r>
      <w:r w:rsidR="0074324D">
        <w:t xml:space="preserve">y attrition analysis </w:t>
      </w:r>
      <w:r w:rsidR="0080210D">
        <w:t xml:space="preserve">captures </w:t>
      </w:r>
      <w:r w:rsidR="00BA2FA5">
        <w:t xml:space="preserve">this </w:t>
      </w:r>
      <w:r w:rsidR="00A972D0">
        <w:t xml:space="preserve">effect in order </w:t>
      </w:r>
      <w:r w:rsidR="0074324D">
        <w:t>to provide Avista a</w:t>
      </w:r>
      <w:r w:rsidR="00B95EAB">
        <w:t xml:space="preserve"> reasonable</w:t>
      </w:r>
      <w:r w:rsidR="0074324D">
        <w:t xml:space="preserve"> opportunity to earn a fair rate of return.</w:t>
      </w:r>
    </w:p>
    <w:p w14:paraId="36FE8590" w14:textId="77777777" w:rsidR="001C03E3" w:rsidRDefault="001C03E3" w:rsidP="002D2FD5">
      <w:pPr>
        <w:spacing w:line="480" w:lineRule="auto"/>
        <w:ind w:left="720" w:hanging="720"/>
      </w:pPr>
    </w:p>
    <w:p w14:paraId="36FE8591" w14:textId="77777777" w:rsidR="00F25FCD" w:rsidRPr="00E71FD9" w:rsidRDefault="00F25FCD" w:rsidP="00047A83">
      <w:pPr>
        <w:pStyle w:val="ListParagraph"/>
        <w:numPr>
          <w:ilvl w:val="0"/>
          <w:numId w:val="21"/>
        </w:numPr>
        <w:spacing w:line="480" w:lineRule="auto"/>
        <w:ind w:left="1440" w:hanging="720"/>
        <w:rPr>
          <w:b/>
        </w:rPr>
      </w:pPr>
      <w:r w:rsidRPr="00E71FD9">
        <w:rPr>
          <w:b/>
        </w:rPr>
        <w:t>How an Attrition Analysis is Performed; Complicating Factors</w:t>
      </w:r>
    </w:p>
    <w:p w14:paraId="36FE8592" w14:textId="77777777" w:rsidR="00F122DE" w:rsidRPr="00E71FD9" w:rsidRDefault="00F122DE" w:rsidP="00E71FD9">
      <w:pPr>
        <w:spacing w:line="480" w:lineRule="auto"/>
        <w:ind w:left="720"/>
        <w:rPr>
          <w:b/>
        </w:rPr>
      </w:pPr>
    </w:p>
    <w:p w14:paraId="36FE8593" w14:textId="77777777" w:rsidR="00302287" w:rsidRDefault="002D2FD5" w:rsidP="0074324D">
      <w:pPr>
        <w:spacing w:line="480" w:lineRule="auto"/>
        <w:rPr>
          <w:b/>
        </w:rPr>
      </w:pPr>
      <w:r>
        <w:rPr>
          <w:b/>
        </w:rPr>
        <w:t>Q.</w:t>
      </w:r>
      <w:r>
        <w:rPr>
          <w:b/>
        </w:rPr>
        <w:tab/>
      </w:r>
      <w:r w:rsidR="007E6164">
        <w:rPr>
          <w:b/>
        </w:rPr>
        <w:t xml:space="preserve">Briefly </w:t>
      </w:r>
      <w:r w:rsidR="00302287">
        <w:rPr>
          <w:b/>
        </w:rPr>
        <w:t>describe</w:t>
      </w:r>
      <w:r w:rsidR="007E6164">
        <w:rPr>
          <w:b/>
        </w:rPr>
        <w:t xml:space="preserve"> how an attrition </w:t>
      </w:r>
      <w:r w:rsidR="00302287">
        <w:rPr>
          <w:b/>
        </w:rPr>
        <w:t>analysis</w:t>
      </w:r>
      <w:r w:rsidR="007E6164">
        <w:rPr>
          <w:b/>
        </w:rPr>
        <w:t xml:space="preserve"> is </w:t>
      </w:r>
      <w:r w:rsidR="00850382">
        <w:rPr>
          <w:b/>
        </w:rPr>
        <w:t>performed</w:t>
      </w:r>
      <w:r w:rsidR="00786013">
        <w:rPr>
          <w:b/>
        </w:rPr>
        <w:t>.</w:t>
      </w:r>
    </w:p>
    <w:p w14:paraId="36FE8594" w14:textId="77777777" w:rsidR="00347F50" w:rsidRDefault="00302287" w:rsidP="0074324D">
      <w:pPr>
        <w:spacing w:line="480" w:lineRule="auto"/>
        <w:ind w:left="720" w:hanging="720"/>
      </w:pPr>
      <w:r w:rsidRPr="0074324D">
        <w:t>A.</w:t>
      </w:r>
      <w:r>
        <w:rPr>
          <w:b/>
        </w:rPr>
        <w:tab/>
      </w:r>
      <w:r w:rsidR="007E6164">
        <w:t>A</w:t>
      </w:r>
      <w:r w:rsidR="00AE3613">
        <w:t xml:space="preserve">n attrition </w:t>
      </w:r>
      <w:r>
        <w:t>study</w:t>
      </w:r>
      <w:r w:rsidR="00AE3613">
        <w:t xml:space="preserve"> starts with the</w:t>
      </w:r>
      <w:r w:rsidR="00371F28">
        <w:t xml:space="preserve"> base case </w:t>
      </w:r>
      <w:r w:rsidR="00AE3613">
        <w:t xml:space="preserve">historical test period results of </w:t>
      </w:r>
      <w:r w:rsidR="00850382">
        <w:t>operations, with</w:t>
      </w:r>
      <w:r w:rsidR="00786013">
        <w:t xml:space="preserve"> restating and </w:t>
      </w:r>
      <w:r w:rsidR="00337391">
        <w:t xml:space="preserve">certain </w:t>
      </w:r>
      <w:r w:rsidR="009060A8">
        <w:t>pro forma adjustments</w:t>
      </w:r>
      <w:r w:rsidR="00347F50">
        <w:t xml:space="preserve">.  The attrition study then </w:t>
      </w:r>
      <w:r w:rsidR="00F122DE">
        <w:t xml:space="preserve">estimates </w:t>
      </w:r>
      <w:r w:rsidR="00AE3613">
        <w:t xml:space="preserve">how </w:t>
      </w:r>
      <w:r w:rsidR="00016569">
        <w:t xml:space="preserve">the relationship between </w:t>
      </w:r>
      <w:r w:rsidR="00AE3613">
        <w:t xml:space="preserve">expenses, revenues and rate base are likely to change </w:t>
      </w:r>
      <w:r w:rsidR="00016569">
        <w:t xml:space="preserve">in </w:t>
      </w:r>
      <w:r w:rsidR="00347F50">
        <w:t>the rate year from the base case level.</w:t>
      </w:r>
      <w:r w:rsidR="007A6300">
        <w:t xml:space="preserve">  </w:t>
      </w:r>
    </w:p>
    <w:p w14:paraId="36FE8595" w14:textId="77777777" w:rsidR="00786013" w:rsidRDefault="00347F50" w:rsidP="0074324D">
      <w:pPr>
        <w:spacing w:line="480" w:lineRule="auto"/>
        <w:ind w:left="720" w:hanging="720"/>
      </w:pPr>
      <w:r>
        <w:tab/>
      </w:r>
      <w:r>
        <w:tab/>
      </w:r>
      <w:r w:rsidR="007A6300">
        <w:t>If the analysis shows that there is a high probability of changing relationships</w:t>
      </w:r>
      <w:r>
        <w:t xml:space="preserve"> between revenues</w:t>
      </w:r>
      <w:r w:rsidR="00786013">
        <w:t>,</w:t>
      </w:r>
      <w:r w:rsidR="007A6300">
        <w:t xml:space="preserve"> </w:t>
      </w:r>
      <w:r>
        <w:t xml:space="preserve">expenses and rate base, </w:t>
      </w:r>
      <w:r w:rsidR="007A6300">
        <w:t xml:space="preserve">then an </w:t>
      </w:r>
      <w:r w:rsidR="00337391">
        <w:t xml:space="preserve">attrition allowance </w:t>
      </w:r>
      <w:r w:rsidR="00371F28">
        <w:t>providing additional revenue</w:t>
      </w:r>
      <w:r w:rsidR="007A6300">
        <w:t xml:space="preserve"> </w:t>
      </w:r>
      <w:r>
        <w:t xml:space="preserve">may be </w:t>
      </w:r>
      <w:r w:rsidR="007A6300">
        <w:t>necessary</w:t>
      </w:r>
      <w:r w:rsidR="00786013">
        <w:t xml:space="preserve"> </w:t>
      </w:r>
      <w:r w:rsidR="007A6300">
        <w:t xml:space="preserve">so the </w:t>
      </w:r>
      <w:r w:rsidR="00AE3613">
        <w:t>utility will have a reasonable opportunity to earn a fair return.</w:t>
      </w:r>
      <w:r w:rsidR="00F16CFB">
        <w:t xml:space="preserve">  </w:t>
      </w:r>
    </w:p>
    <w:p w14:paraId="36FE8596" w14:textId="77777777" w:rsidR="00347F50" w:rsidRDefault="00347F50" w:rsidP="00D7759D">
      <w:pPr>
        <w:spacing w:line="480" w:lineRule="auto"/>
        <w:ind w:left="720" w:hanging="720"/>
      </w:pPr>
    </w:p>
    <w:p w14:paraId="36FE8597" w14:textId="77777777" w:rsidR="00347F50" w:rsidRPr="00D7759D" w:rsidRDefault="00347F50" w:rsidP="00D7759D">
      <w:pPr>
        <w:spacing w:line="480" w:lineRule="auto"/>
        <w:ind w:left="720" w:hanging="720"/>
        <w:rPr>
          <w:b/>
        </w:rPr>
      </w:pPr>
      <w:r>
        <w:rPr>
          <w:b/>
        </w:rPr>
        <w:t>Q.</w:t>
      </w:r>
      <w:r>
        <w:rPr>
          <w:b/>
        </w:rPr>
        <w:tab/>
        <w:t>Is an attrition study consistent with the matching principle of ratemaking?</w:t>
      </w:r>
    </w:p>
    <w:p w14:paraId="36FE8598" w14:textId="02BDAE9A" w:rsidR="002D2FD5" w:rsidRDefault="00347F50" w:rsidP="00D7759D">
      <w:pPr>
        <w:spacing w:line="480" w:lineRule="auto"/>
        <w:ind w:left="720" w:hanging="720"/>
        <w:rPr>
          <w:b/>
        </w:rPr>
      </w:pPr>
      <w:r>
        <w:t>A.</w:t>
      </w:r>
      <w:r>
        <w:tab/>
        <w:t xml:space="preserve">Yes.  </w:t>
      </w:r>
      <w:r w:rsidR="001248B8">
        <w:t>An attrition study honors the matching principle because it evaluates all ratemaking elements</w:t>
      </w:r>
      <w:r w:rsidR="00B95EAB">
        <w:t xml:space="preserve"> for the rate year</w:t>
      </w:r>
      <w:r w:rsidR="000A4D9F">
        <w:t xml:space="preserve">: </w:t>
      </w:r>
      <w:r w:rsidR="001248B8">
        <w:t xml:space="preserve"> revenues, expenses, rate base and rate of return.  Moreover, b</w:t>
      </w:r>
      <w:r w:rsidR="00786013">
        <w:t xml:space="preserve">ecause an attrition study begins with the historical results of operations, </w:t>
      </w:r>
      <w:r w:rsidR="00337391">
        <w:t>including restating and certain pro forma adjustment</w:t>
      </w:r>
      <w:r w:rsidR="00371F28">
        <w:t>s</w:t>
      </w:r>
      <w:r w:rsidR="00786013">
        <w:t xml:space="preserve">, </w:t>
      </w:r>
      <w:r w:rsidR="009060A8">
        <w:t>a</w:t>
      </w:r>
      <w:r w:rsidR="007E6164">
        <w:t>n</w:t>
      </w:r>
      <w:r w:rsidR="00AE3613">
        <w:t xml:space="preserve"> attrition </w:t>
      </w:r>
      <w:r w:rsidR="00302287">
        <w:t>study</w:t>
      </w:r>
      <w:r w:rsidR="00AE3613">
        <w:t xml:space="preserve"> </w:t>
      </w:r>
      <w:r w:rsidR="00E53CAB">
        <w:lastRenderedPageBreak/>
        <w:t xml:space="preserve">complements </w:t>
      </w:r>
      <w:r w:rsidR="00786013">
        <w:t xml:space="preserve">the </w:t>
      </w:r>
      <w:r w:rsidR="00E53CAB">
        <w:t xml:space="preserve">Commission’s </w:t>
      </w:r>
      <w:r w:rsidR="00786013">
        <w:t xml:space="preserve">longstanding </w:t>
      </w:r>
      <w:r w:rsidR="00E53CAB">
        <w:t xml:space="preserve">policy </w:t>
      </w:r>
      <w:r w:rsidR="00786013">
        <w:t xml:space="preserve">of using </w:t>
      </w:r>
      <w:r w:rsidR="001248B8">
        <w:t xml:space="preserve">historical, </w:t>
      </w:r>
      <w:r w:rsidR="006836CA">
        <w:t xml:space="preserve">restated and </w:t>
      </w:r>
      <w:r w:rsidR="001248B8">
        <w:t xml:space="preserve">pro formed </w:t>
      </w:r>
      <w:r w:rsidR="00786013">
        <w:t xml:space="preserve">results of operations for </w:t>
      </w:r>
      <w:r w:rsidR="00850382">
        <w:t>rate setting</w:t>
      </w:r>
      <w:r w:rsidR="00786013">
        <w:t xml:space="preserve"> purposes</w:t>
      </w:r>
      <w:r w:rsidR="00AE3613">
        <w:t>.</w:t>
      </w:r>
      <w:r w:rsidR="00ED64A7">
        <w:t xml:space="preserve">  </w:t>
      </w:r>
    </w:p>
    <w:p w14:paraId="36FE8599" w14:textId="77777777" w:rsidR="000955B6" w:rsidRDefault="000955B6" w:rsidP="000955B6">
      <w:pPr>
        <w:spacing w:line="480" w:lineRule="auto"/>
        <w:ind w:left="720" w:hanging="720"/>
        <w:rPr>
          <w:b/>
        </w:rPr>
      </w:pPr>
    </w:p>
    <w:p w14:paraId="36FE859A" w14:textId="77777777" w:rsidR="000955B6" w:rsidRDefault="000955B6" w:rsidP="000955B6">
      <w:pPr>
        <w:spacing w:line="480" w:lineRule="auto"/>
        <w:ind w:left="720" w:hanging="720"/>
        <w:rPr>
          <w:b/>
        </w:rPr>
      </w:pPr>
      <w:r>
        <w:rPr>
          <w:b/>
        </w:rPr>
        <w:t>Q.</w:t>
      </w:r>
      <w:r>
        <w:rPr>
          <w:b/>
        </w:rPr>
        <w:tab/>
      </w:r>
      <w:r w:rsidR="00F25FCD">
        <w:rPr>
          <w:b/>
        </w:rPr>
        <w:t xml:space="preserve">Is </w:t>
      </w:r>
      <w:r w:rsidR="00AE3613">
        <w:rPr>
          <w:b/>
        </w:rPr>
        <w:t xml:space="preserve">an attrition </w:t>
      </w:r>
      <w:r w:rsidR="00F25FCD">
        <w:rPr>
          <w:b/>
        </w:rPr>
        <w:t>analysis simple to undertake</w:t>
      </w:r>
      <w:r>
        <w:rPr>
          <w:b/>
        </w:rPr>
        <w:t>?</w:t>
      </w:r>
    </w:p>
    <w:p w14:paraId="36FE859B" w14:textId="77777777" w:rsidR="00482F7B" w:rsidRDefault="000955B6" w:rsidP="00171D85">
      <w:pPr>
        <w:spacing w:line="480" w:lineRule="auto"/>
        <w:ind w:left="720" w:hanging="720"/>
      </w:pPr>
      <w:r>
        <w:t>A.</w:t>
      </w:r>
      <w:r>
        <w:tab/>
      </w:r>
      <w:r w:rsidR="00F25FCD">
        <w:t>No.</w:t>
      </w:r>
      <w:r w:rsidR="00BE20BF">
        <w:t xml:space="preserve">  Properly </w:t>
      </w:r>
      <w:r w:rsidR="005B55E6">
        <w:t>measuring</w:t>
      </w:r>
      <w:r w:rsidR="00BE20BF">
        <w:t xml:space="preserve"> </w:t>
      </w:r>
      <w:r w:rsidR="005B55E6">
        <w:t>attrition</w:t>
      </w:r>
      <w:r w:rsidR="00BE20BF">
        <w:t xml:space="preserve"> is a very complex undertaking.  </w:t>
      </w:r>
      <w:r w:rsidR="00AE3613">
        <w:t>First, a</w:t>
      </w:r>
      <w:r>
        <w:t xml:space="preserve">n attrition study </w:t>
      </w:r>
      <w:r w:rsidR="00BE20BF">
        <w:t xml:space="preserve">measures the likelihood the utility will earn a fair return, </w:t>
      </w:r>
      <w:r w:rsidR="00786013">
        <w:t>which</w:t>
      </w:r>
      <w:r w:rsidR="00BE20BF">
        <w:t xml:space="preserve"> means the attrition study must be consistent with </w:t>
      </w:r>
      <w:r w:rsidR="00B80766">
        <w:t>standard rate making principles and practice.</w:t>
      </w:r>
      <w:r w:rsidR="00BE20BF">
        <w:t xml:space="preserve"> </w:t>
      </w:r>
    </w:p>
    <w:p w14:paraId="36FE859C" w14:textId="419E2908" w:rsidR="00AE3613" w:rsidRDefault="00AE0BCB" w:rsidP="00482F7B">
      <w:pPr>
        <w:tabs>
          <w:tab w:val="left" w:pos="1440"/>
        </w:tabs>
        <w:spacing w:line="480" w:lineRule="auto"/>
        <w:ind w:left="720" w:firstLine="720"/>
      </w:pPr>
      <w:r>
        <w:t>Second, attrition analyses use</w:t>
      </w:r>
      <w:r w:rsidR="00AE3613">
        <w:t xml:space="preserve"> </w:t>
      </w:r>
      <w:r w:rsidR="00EC2879">
        <w:t>forecasts</w:t>
      </w:r>
      <w:r w:rsidR="001248B8">
        <w:t>, trends and/</w:t>
      </w:r>
      <w:r w:rsidR="00EC2879">
        <w:t xml:space="preserve">or </w:t>
      </w:r>
      <w:r w:rsidR="00ED64A7">
        <w:t>budgets</w:t>
      </w:r>
      <w:r w:rsidR="001248B8">
        <w:t xml:space="preserve"> to estimate growth</w:t>
      </w:r>
      <w:r w:rsidR="00016569">
        <w:t xml:space="preserve"> and </w:t>
      </w:r>
      <w:r w:rsidR="000A4D9F">
        <w:t xml:space="preserve">are </w:t>
      </w:r>
      <w:r w:rsidR="00B80766">
        <w:t>unavoidably</w:t>
      </w:r>
      <w:r w:rsidR="00016569">
        <w:t xml:space="preserve"> subject to uncertainty</w:t>
      </w:r>
      <w:r w:rsidR="001248B8">
        <w:t xml:space="preserve">.  </w:t>
      </w:r>
      <w:r w:rsidR="00016569">
        <w:t>E</w:t>
      </w:r>
      <w:r w:rsidR="001248B8">
        <w:t xml:space="preserve">stimates </w:t>
      </w:r>
      <w:r w:rsidR="00016569">
        <w:t xml:space="preserve">of load and revenue </w:t>
      </w:r>
      <w:r w:rsidR="001248B8">
        <w:t xml:space="preserve">are </w:t>
      </w:r>
      <w:r w:rsidR="00016569">
        <w:t xml:space="preserve">particularly </w:t>
      </w:r>
      <w:r w:rsidR="001248B8">
        <w:t xml:space="preserve">challenging due to the effects of weather, fuel costs, the economy and other factors.  </w:t>
      </w:r>
      <w:r w:rsidR="00016569">
        <w:t>As a result of this uncertainty inherent in forecasts</w:t>
      </w:r>
      <w:r w:rsidR="00BA2FA5">
        <w:t>,</w:t>
      </w:r>
      <w:r w:rsidR="00016569">
        <w:t xml:space="preserve"> the</w:t>
      </w:r>
      <w:r w:rsidR="00AE3613">
        <w:t xml:space="preserve"> attrition </w:t>
      </w:r>
      <w:r w:rsidR="00347F50">
        <w:t xml:space="preserve">study </w:t>
      </w:r>
      <w:r w:rsidR="00AE3613">
        <w:t>results can vary widely, d</w:t>
      </w:r>
      <w:r w:rsidR="00B522CC">
        <w:t>e</w:t>
      </w:r>
      <w:r w:rsidR="000955B6">
        <w:t xml:space="preserve">pending upon </w:t>
      </w:r>
      <w:r w:rsidR="00B80766">
        <w:t xml:space="preserve">assumptions </w:t>
      </w:r>
      <w:r w:rsidR="00A23F1C">
        <w:t xml:space="preserve">used </w:t>
      </w:r>
      <w:r w:rsidR="00B80766">
        <w:t>to estimate the future period.</w:t>
      </w:r>
      <w:r w:rsidR="00ED64A7">
        <w:t xml:space="preserve">  </w:t>
      </w:r>
      <w:r w:rsidR="00B522CC">
        <w:t xml:space="preserve">  </w:t>
      </w:r>
    </w:p>
    <w:p w14:paraId="36FE859D" w14:textId="6E7EBFA2" w:rsidR="00AE3613" w:rsidRDefault="007A6300" w:rsidP="00D7759D">
      <w:pPr>
        <w:spacing w:line="480" w:lineRule="auto"/>
        <w:ind w:left="720" w:firstLine="720"/>
      </w:pPr>
      <w:r>
        <w:t xml:space="preserve">In the end, </w:t>
      </w:r>
      <w:r w:rsidR="0011401B">
        <w:t xml:space="preserve">an attrition analysis should be transparent, and </w:t>
      </w:r>
      <w:r>
        <w:t>the Commission should be confident that the attrition analysis reasonabl</w:t>
      </w:r>
      <w:r w:rsidR="003F56C2">
        <w:t>y</w:t>
      </w:r>
      <w:r>
        <w:t xml:space="preserve"> reflects </w:t>
      </w:r>
      <w:r w:rsidR="0011401B">
        <w:t xml:space="preserve">the </w:t>
      </w:r>
      <w:r>
        <w:t>future relationships between costs and revenues.</w:t>
      </w:r>
    </w:p>
    <w:p w14:paraId="36FE859E" w14:textId="77777777" w:rsidR="00551641" w:rsidRDefault="00551641" w:rsidP="0031475B">
      <w:pPr>
        <w:spacing w:line="480" w:lineRule="auto"/>
        <w:ind w:left="360"/>
      </w:pPr>
    </w:p>
    <w:p w14:paraId="36FE859F" w14:textId="77777777" w:rsidR="00551641" w:rsidRDefault="00551641" w:rsidP="00551641">
      <w:pPr>
        <w:spacing w:line="480" w:lineRule="auto"/>
        <w:ind w:left="720" w:hanging="720"/>
        <w:rPr>
          <w:b/>
        </w:rPr>
      </w:pPr>
      <w:r>
        <w:rPr>
          <w:b/>
        </w:rPr>
        <w:t>Q.</w:t>
      </w:r>
      <w:r>
        <w:rPr>
          <w:b/>
        </w:rPr>
        <w:tab/>
        <w:t>Please provide a specific example of the uncertainties surrounding forecasts.</w:t>
      </w:r>
    </w:p>
    <w:p w14:paraId="36FE85A0" w14:textId="77777777" w:rsidR="00161EBD" w:rsidRDefault="00551641" w:rsidP="00EF2BD1">
      <w:pPr>
        <w:spacing w:line="480" w:lineRule="auto"/>
        <w:ind w:left="720" w:hanging="720"/>
      </w:pPr>
      <w:r w:rsidRPr="00551641">
        <w:t>A.</w:t>
      </w:r>
      <w:r>
        <w:rPr>
          <w:b/>
        </w:rPr>
        <w:tab/>
      </w:r>
      <w:r>
        <w:t>The load forecasts the Company provide</w:t>
      </w:r>
      <w:r w:rsidR="00D6243F">
        <w:t>d</w:t>
      </w:r>
      <w:r>
        <w:t xml:space="preserve"> for use in the attrition study </w:t>
      </w:r>
      <w:r w:rsidR="00D6243F">
        <w:t xml:space="preserve">show a singular </w:t>
      </w:r>
      <w:r>
        <w:t xml:space="preserve">result </w:t>
      </w:r>
      <w:r w:rsidR="00D6243F">
        <w:t xml:space="preserve">with a 95 percent confidence </w:t>
      </w:r>
      <w:r>
        <w:t>that</w:t>
      </w:r>
      <w:r w:rsidR="00D6243F">
        <w:t xml:space="preserve"> actual results may vary by</w:t>
      </w:r>
      <w:r>
        <w:t xml:space="preserve"> 2.5 percent, plus or minus.</w:t>
      </w:r>
      <w:r>
        <w:rPr>
          <w:rStyle w:val="FootnoteReference"/>
        </w:rPr>
        <w:footnoteReference w:id="44"/>
      </w:r>
      <w:r>
        <w:t xml:space="preserve">  This is a swing of five percent. </w:t>
      </w:r>
      <w:r w:rsidR="00870C5E">
        <w:t xml:space="preserve"> </w:t>
      </w:r>
    </w:p>
    <w:p w14:paraId="36FE85A1" w14:textId="77777777" w:rsidR="0041668E" w:rsidRDefault="00161EBD" w:rsidP="00510058">
      <w:pPr>
        <w:spacing w:after="240" w:line="480" w:lineRule="auto"/>
        <w:ind w:left="720" w:hanging="720"/>
      </w:pPr>
      <w:r>
        <w:lastRenderedPageBreak/>
        <w:tab/>
      </w:r>
      <w:r>
        <w:tab/>
      </w:r>
      <w:r w:rsidR="00551641">
        <w:t>A positive 2.5 percent change in electric revenues is $11,357,000,</w:t>
      </w:r>
      <w:r w:rsidR="00551641">
        <w:rPr>
          <w:rStyle w:val="FootnoteReference"/>
        </w:rPr>
        <w:footnoteReference w:id="45"/>
      </w:r>
      <w:r w:rsidR="00551641" w:rsidDel="00551641">
        <w:t xml:space="preserve"> </w:t>
      </w:r>
      <w:r w:rsidR="00551641">
        <w:t xml:space="preserve">which is enough </w:t>
      </w:r>
      <w:r w:rsidR="00EF2BD1">
        <w:t xml:space="preserve">to </w:t>
      </w:r>
      <w:r w:rsidR="00CF3313">
        <w:t>support a</w:t>
      </w:r>
      <w:r w:rsidR="00551641">
        <w:t xml:space="preserve"> 14 percent </w:t>
      </w:r>
      <w:r w:rsidR="00CF3313">
        <w:t xml:space="preserve">increase in net plant </w:t>
      </w:r>
      <w:r w:rsidR="0041668E">
        <w:t>(</w:t>
      </w:r>
      <w:r w:rsidR="00CF3313">
        <w:t>$</w:t>
      </w:r>
      <w:r w:rsidR="00443E92">
        <w:t>157,299</w:t>
      </w:r>
      <w:r w:rsidR="00CF3313">
        <w:t>,000</w:t>
      </w:r>
      <w:r w:rsidR="0041668E">
        <w:t>)</w:t>
      </w:r>
      <w:r w:rsidR="00443E92">
        <w:t xml:space="preserve"> in one year</w:t>
      </w:r>
      <w:r w:rsidR="00551641">
        <w:t xml:space="preserve">, </w:t>
      </w:r>
      <w:r w:rsidR="0041668E">
        <w:t xml:space="preserve">or </w:t>
      </w:r>
      <w:r w:rsidR="00551641">
        <w:t xml:space="preserve">about $60 million more net plant than </w:t>
      </w:r>
      <w:r w:rsidR="00CF3313">
        <w:t>Avista is requesting in this case</w:t>
      </w:r>
      <w:r w:rsidR="00443E92">
        <w:t xml:space="preserve"> for two years</w:t>
      </w:r>
      <w:r w:rsidR="00551641">
        <w:rPr>
          <w:rStyle w:val="FootnoteReference"/>
        </w:rPr>
        <w:footnoteReference w:id="46"/>
      </w:r>
      <w:r w:rsidR="00551641">
        <w:t>.</w:t>
      </w:r>
      <w:r w:rsidR="00EF2BD1">
        <w:t xml:space="preserve">  </w:t>
      </w:r>
      <w:r w:rsidR="0041668E">
        <w:t xml:space="preserve">This shows the uncertainty at play when using forecasts.  </w:t>
      </w:r>
    </w:p>
    <w:p w14:paraId="0BE7DE9D" w14:textId="77777777" w:rsidR="00E44AB6" w:rsidRPr="001F652C" w:rsidRDefault="00E44AB6" w:rsidP="00510058">
      <w:pPr>
        <w:spacing w:after="240" w:line="480" w:lineRule="auto"/>
        <w:ind w:left="720" w:hanging="720"/>
      </w:pPr>
    </w:p>
    <w:p w14:paraId="36FE85A2" w14:textId="77777777" w:rsidR="002A6132" w:rsidRDefault="00EF2BD1" w:rsidP="00510058">
      <w:pPr>
        <w:keepNext/>
        <w:spacing w:line="480" w:lineRule="auto"/>
        <w:ind w:left="720"/>
        <w:rPr>
          <w:b/>
        </w:rPr>
      </w:pPr>
      <w:r>
        <w:rPr>
          <w:b/>
        </w:rPr>
        <w:t>D</w:t>
      </w:r>
      <w:r w:rsidR="002A6132">
        <w:rPr>
          <w:b/>
        </w:rPr>
        <w:t>.</w:t>
      </w:r>
      <w:r w:rsidR="002A6132">
        <w:rPr>
          <w:b/>
        </w:rPr>
        <w:tab/>
      </w:r>
      <w:r w:rsidR="0011401B">
        <w:rPr>
          <w:b/>
        </w:rPr>
        <w:t xml:space="preserve">Staff’s </w:t>
      </w:r>
      <w:r w:rsidR="00C1339E">
        <w:rPr>
          <w:b/>
        </w:rPr>
        <w:t>Attrition Study</w:t>
      </w:r>
    </w:p>
    <w:p w14:paraId="36FE85A3" w14:textId="77777777" w:rsidR="00824AB1" w:rsidRDefault="00824AB1" w:rsidP="00510058">
      <w:pPr>
        <w:keepNext/>
        <w:spacing w:line="480" w:lineRule="auto"/>
        <w:ind w:left="720"/>
        <w:rPr>
          <w:b/>
        </w:rPr>
      </w:pPr>
    </w:p>
    <w:p w14:paraId="36FE85A4" w14:textId="77777777" w:rsidR="0092305B" w:rsidRDefault="0092305B" w:rsidP="00510058">
      <w:pPr>
        <w:pStyle w:val="ListParagraph"/>
        <w:keepNext/>
        <w:numPr>
          <w:ilvl w:val="0"/>
          <w:numId w:val="33"/>
        </w:numPr>
        <w:spacing w:line="480" w:lineRule="auto"/>
        <w:ind w:left="1440" w:firstLine="0"/>
        <w:rPr>
          <w:b/>
        </w:rPr>
      </w:pPr>
      <w:r>
        <w:rPr>
          <w:b/>
        </w:rPr>
        <w:t>Summary</w:t>
      </w:r>
    </w:p>
    <w:p w14:paraId="36FE85A5" w14:textId="77777777" w:rsidR="00824AB1" w:rsidRPr="00824AB1" w:rsidRDefault="00824AB1" w:rsidP="00510058">
      <w:pPr>
        <w:keepNext/>
        <w:spacing w:line="480" w:lineRule="auto"/>
        <w:rPr>
          <w:b/>
        </w:rPr>
      </w:pPr>
    </w:p>
    <w:p w14:paraId="36FE85A6" w14:textId="77777777" w:rsidR="00E6497C" w:rsidRDefault="00E6497C" w:rsidP="00D7759D">
      <w:pPr>
        <w:spacing w:line="480" w:lineRule="auto"/>
        <w:ind w:left="720" w:hanging="720"/>
        <w:rPr>
          <w:b/>
        </w:rPr>
      </w:pPr>
      <w:r>
        <w:rPr>
          <w:b/>
        </w:rPr>
        <w:t>Q</w:t>
      </w:r>
      <w:r w:rsidR="00510058">
        <w:rPr>
          <w:b/>
        </w:rPr>
        <w:t>.</w:t>
      </w:r>
      <w:r>
        <w:rPr>
          <w:b/>
        </w:rPr>
        <w:tab/>
        <w:t>Please state the amount you recommend that the Commission provide Avista for an attrition allowance</w:t>
      </w:r>
      <w:r w:rsidR="00161EBD">
        <w:rPr>
          <w:b/>
        </w:rPr>
        <w:t>, and how that relates to the overall Staff case</w:t>
      </w:r>
      <w:r w:rsidR="0041668E">
        <w:rPr>
          <w:b/>
        </w:rPr>
        <w:t>.</w:t>
      </w:r>
    </w:p>
    <w:p w14:paraId="36FE85A7" w14:textId="77777777" w:rsidR="00161EBD" w:rsidRDefault="00F25FCD" w:rsidP="00D7759D">
      <w:pPr>
        <w:spacing w:line="480" w:lineRule="auto"/>
        <w:ind w:left="720" w:hanging="720"/>
      </w:pPr>
      <w:r>
        <w:t>A.</w:t>
      </w:r>
      <w:r>
        <w:tab/>
      </w:r>
      <w:r w:rsidR="00161EBD">
        <w:t>Staff recommends the Commission provide an attrition allowance for electric service of $19,066,000</w:t>
      </w:r>
      <w:r w:rsidR="00E155A5">
        <w:t>.  T</w:t>
      </w:r>
      <w:r w:rsidR="00371F28">
        <w:t>he net impact of including that amount of additional revenue to</w:t>
      </w:r>
      <w:r w:rsidR="00161EBD">
        <w:t xml:space="preserve"> Staff’s base case </w:t>
      </w:r>
      <w:r w:rsidR="00E155A5">
        <w:t xml:space="preserve">is </w:t>
      </w:r>
      <w:r w:rsidR="00161EBD">
        <w:t xml:space="preserve">an attrition-adjusted revenue surplus of </w:t>
      </w:r>
      <w:r w:rsidR="00A44C69">
        <w:t>$1,312</w:t>
      </w:r>
      <w:r w:rsidR="00530F33">
        <w:t>,000</w:t>
      </w:r>
      <w:r w:rsidR="00161EBD">
        <w:t xml:space="preserve">.  </w:t>
      </w:r>
    </w:p>
    <w:p w14:paraId="36FE85A8" w14:textId="77777777" w:rsidR="00F25FCD" w:rsidRDefault="00161EBD" w:rsidP="00D7759D">
      <w:pPr>
        <w:spacing w:line="480" w:lineRule="auto"/>
        <w:ind w:left="720" w:hanging="720"/>
      </w:pPr>
      <w:r>
        <w:tab/>
      </w:r>
      <w:r>
        <w:tab/>
      </w:r>
      <w:r w:rsidR="00C6408F">
        <w:t xml:space="preserve">For gas service, Staff recommends the Commission provide an attrition allowance of $2,837,000.  </w:t>
      </w:r>
      <w:r w:rsidR="00371F28">
        <w:t xml:space="preserve">The net impact of including </w:t>
      </w:r>
      <w:r w:rsidR="00C6408F">
        <w:t>that amount</w:t>
      </w:r>
      <w:r w:rsidR="00371F28">
        <w:t xml:space="preserve"> of additional revenue</w:t>
      </w:r>
      <w:r>
        <w:t xml:space="preserve"> to </w:t>
      </w:r>
      <w:r w:rsidR="00EB4B29">
        <w:t xml:space="preserve">Staff’s base case </w:t>
      </w:r>
      <w:r w:rsidR="00E155A5">
        <w:t>is</w:t>
      </w:r>
      <w:r w:rsidR="006C2E7B">
        <w:t xml:space="preserve"> </w:t>
      </w:r>
      <w:r>
        <w:t xml:space="preserve">an attrition-adjusted revenue deficiency of </w:t>
      </w:r>
      <w:r w:rsidR="00EB4B29">
        <w:t>$3,972,000</w:t>
      </w:r>
      <w:r w:rsidR="00E6497C">
        <w:t xml:space="preserve">.  </w:t>
      </w:r>
    </w:p>
    <w:p w14:paraId="36FE85A9" w14:textId="77777777" w:rsidR="00371F28" w:rsidRDefault="00371F28" w:rsidP="00D7759D">
      <w:pPr>
        <w:spacing w:line="480" w:lineRule="auto"/>
        <w:ind w:left="720" w:hanging="720"/>
      </w:pPr>
    </w:p>
    <w:p w14:paraId="36FE85AA" w14:textId="77777777" w:rsidR="005746CB" w:rsidRDefault="005746CB" w:rsidP="00E44AB6">
      <w:pPr>
        <w:keepNext/>
        <w:spacing w:line="480" w:lineRule="auto"/>
        <w:ind w:left="720" w:hanging="720"/>
        <w:rPr>
          <w:b/>
        </w:rPr>
      </w:pPr>
      <w:r>
        <w:rPr>
          <w:b/>
        </w:rPr>
        <w:lastRenderedPageBreak/>
        <w:tab/>
      </w:r>
      <w:r w:rsidR="00F25FCD">
        <w:rPr>
          <w:b/>
        </w:rPr>
        <w:tab/>
      </w:r>
      <w:r w:rsidR="0092305B">
        <w:rPr>
          <w:b/>
        </w:rPr>
        <w:t>2.</w:t>
      </w:r>
      <w:r>
        <w:rPr>
          <w:b/>
        </w:rPr>
        <w:tab/>
        <w:t xml:space="preserve">Staff’s General Approach to </w:t>
      </w:r>
      <w:r w:rsidR="00BE3A67">
        <w:rPr>
          <w:b/>
        </w:rPr>
        <w:t xml:space="preserve">Estimating </w:t>
      </w:r>
      <w:r>
        <w:rPr>
          <w:b/>
        </w:rPr>
        <w:t>Attrition</w:t>
      </w:r>
    </w:p>
    <w:p w14:paraId="36FE85AB" w14:textId="77777777" w:rsidR="00371F28" w:rsidRDefault="00371F28" w:rsidP="00EF31F5">
      <w:pPr>
        <w:spacing w:line="480" w:lineRule="auto"/>
        <w:ind w:left="720" w:hanging="720"/>
        <w:rPr>
          <w:b/>
        </w:rPr>
      </w:pPr>
    </w:p>
    <w:p w14:paraId="36FE85AC" w14:textId="77777777" w:rsidR="00EF31F5" w:rsidRDefault="00B95EAB" w:rsidP="00EF31F5">
      <w:pPr>
        <w:spacing w:line="480" w:lineRule="auto"/>
        <w:ind w:left="720" w:hanging="720"/>
        <w:rPr>
          <w:b/>
        </w:rPr>
      </w:pPr>
      <w:r>
        <w:rPr>
          <w:b/>
        </w:rPr>
        <w:t>Q</w:t>
      </w:r>
      <w:r w:rsidR="00EF31F5">
        <w:rPr>
          <w:b/>
        </w:rPr>
        <w:t xml:space="preserve">. </w:t>
      </w:r>
      <w:r w:rsidR="00EF31F5">
        <w:rPr>
          <w:b/>
        </w:rPr>
        <w:tab/>
        <w:t xml:space="preserve">Please summarize </w:t>
      </w:r>
      <w:r w:rsidR="0092305B">
        <w:rPr>
          <w:b/>
        </w:rPr>
        <w:t>the</w:t>
      </w:r>
      <w:r w:rsidR="00EF31F5">
        <w:rPr>
          <w:b/>
        </w:rPr>
        <w:t xml:space="preserve"> </w:t>
      </w:r>
      <w:r w:rsidR="0092305B">
        <w:rPr>
          <w:b/>
        </w:rPr>
        <w:t xml:space="preserve">approach you used to conduct </w:t>
      </w:r>
      <w:r w:rsidR="00EF31F5">
        <w:rPr>
          <w:b/>
        </w:rPr>
        <w:t>your attrition study.</w:t>
      </w:r>
    </w:p>
    <w:p w14:paraId="36FE85AD" w14:textId="2ADF32B6" w:rsidR="00280D4F" w:rsidRDefault="00EF31F5" w:rsidP="00B63356">
      <w:pPr>
        <w:spacing w:line="480" w:lineRule="auto"/>
        <w:ind w:left="720" w:hanging="720"/>
      </w:pPr>
      <w:r w:rsidRPr="00EF31F5">
        <w:t>A.</w:t>
      </w:r>
      <w:r w:rsidRPr="00EF31F5">
        <w:tab/>
      </w:r>
      <w:r w:rsidR="00BE3A67">
        <w:t xml:space="preserve">My </w:t>
      </w:r>
      <w:r w:rsidR="0092305B">
        <w:t xml:space="preserve">approach </w:t>
      </w:r>
      <w:r w:rsidR="008E6D28">
        <w:t xml:space="preserve">is similar to </w:t>
      </w:r>
      <w:r w:rsidR="00BE3A67">
        <w:t>that</w:t>
      </w:r>
      <w:r w:rsidR="0092305B">
        <w:t xml:space="preserve"> used by </w:t>
      </w:r>
      <w:r w:rsidR="008E6D28">
        <w:t>Avista witness</w:t>
      </w:r>
      <w:r w:rsidR="0092305B">
        <w:t>es</w:t>
      </w:r>
      <w:r w:rsidR="008E6D28">
        <w:t xml:space="preserve"> </w:t>
      </w:r>
      <w:r w:rsidR="0092305B">
        <w:t>Mr.</w:t>
      </w:r>
      <w:r w:rsidR="008E6D28">
        <w:t xml:space="preserve"> Lowry and </w:t>
      </w:r>
      <w:r w:rsidR="0092305B">
        <w:t>Ms.</w:t>
      </w:r>
      <w:r w:rsidR="008E6D28">
        <w:t xml:space="preserve"> Andrews.</w:t>
      </w:r>
      <w:r w:rsidR="00AD464C">
        <w:t xml:space="preserve">  </w:t>
      </w:r>
      <w:r w:rsidR="00B23396">
        <w:t>I</w:t>
      </w:r>
      <w:r w:rsidR="00A5351A">
        <w:t>n general, I</w:t>
      </w:r>
      <w:r w:rsidR="00B23396">
        <w:t xml:space="preserve"> </w:t>
      </w:r>
      <w:r w:rsidR="00A5351A">
        <w:t>developed growth rates for revenues, expenses and rate base</w:t>
      </w:r>
      <w:r w:rsidR="00BE3A67">
        <w:t>.  I considered</w:t>
      </w:r>
      <w:r w:rsidR="00280D4F">
        <w:t xml:space="preserve"> </w:t>
      </w:r>
      <w:r w:rsidR="00B23396">
        <w:t>past growth in revenue, expenses and rate base as well as forecasts and budgets</w:t>
      </w:r>
      <w:r w:rsidR="00BE3A67">
        <w:t xml:space="preserve"> for these items</w:t>
      </w:r>
      <w:r w:rsidR="00B23396">
        <w:t>.</w:t>
      </w:r>
      <w:r w:rsidR="00BA2773">
        <w:t xml:space="preserve">  </w:t>
      </w:r>
      <w:r w:rsidR="00A5351A">
        <w:t xml:space="preserve">I </w:t>
      </w:r>
      <w:r w:rsidR="00BE3A67">
        <w:t xml:space="preserve">then </w:t>
      </w:r>
      <w:r w:rsidR="00A5351A">
        <w:t xml:space="preserve">applied </w:t>
      </w:r>
      <w:r w:rsidR="00BE3A67">
        <w:t xml:space="preserve">my estimate of the </w:t>
      </w:r>
      <w:r w:rsidR="00A5351A">
        <w:t>growth</w:t>
      </w:r>
      <w:r w:rsidR="00EB4B29">
        <w:t xml:space="preserve"> to</w:t>
      </w:r>
      <w:r w:rsidR="00280D4F">
        <w:t xml:space="preserve"> Staff’s </w:t>
      </w:r>
      <w:r w:rsidR="00444DA9">
        <w:t>test period restated results</w:t>
      </w:r>
      <w:r w:rsidR="00BE3A67">
        <w:t xml:space="preserve">.  I also </w:t>
      </w:r>
      <w:r w:rsidR="00444DA9">
        <w:t>adjust</w:t>
      </w:r>
      <w:r w:rsidR="00280D4F">
        <w:t>ed</w:t>
      </w:r>
      <w:r w:rsidR="00444DA9">
        <w:t xml:space="preserve"> </w:t>
      </w:r>
      <w:r w:rsidR="00EB4B29">
        <w:t xml:space="preserve">the restated test period results </w:t>
      </w:r>
      <w:r w:rsidR="00444DA9">
        <w:t xml:space="preserve">for the effect of the </w:t>
      </w:r>
      <w:r w:rsidR="00280D4F">
        <w:t xml:space="preserve">Company’s </w:t>
      </w:r>
      <w:r w:rsidR="00444DA9">
        <w:t xml:space="preserve">depreciation study </w:t>
      </w:r>
      <w:r w:rsidR="00A23F1C">
        <w:t>and other ongoing changes.</w:t>
      </w:r>
      <w:r w:rsidR="00A5351A">
        <w:t xml:space="preserve"> </w:t>
      </w:r>
    </w:p>
    <w:p w14:paraId="36FE85AE" w14:textId="77777777" w:rsidR="00081142" w:rsidRDefault="00280D4F" w:rsidP="00B63356">
      <w:pPr>
        <w:spacing w:line="480" w:lineRule="auto"/>
        <w:ind w:left="720" w:hanging="720"/>
      </w:pPr>
      <w:r>
        <w:tab/>
      </w:r>
      <w:r>
        <w:tab/>
      </w:r>
      <w:r w:rsidR="00BA2773">
        <w:t xml:space="preserve">I </w:t>
      </w:r>
      <w:r w:rsidR="00A5351A">
        <w:t>explain my attrition analysis in more detail bel</w:t>
      </w:r>
      <w:r w:rsidR="00171D85">
        <w:t>ow</w:t>
      </w:r>
      <w:r w:rsidR="00A5351A">
        <w:t>, wher</w:t>
      </w:r>
      <w:r w:rsidR="00171D85">
        <w:t>e</w:t>
      </w:r>
      <w:r w:rsidR="00A5351A">
        <w:t xml:space="preserve"> I </w:t>
      </w:r>
      <w:r w:rsidR="005B2255">
        <w:t xml:space="preserve">discuss each </w:t>
      </w:r>
      <w:r w:rsidR="00A5351A">
        <w:t xml:space="preserve">cost </w:t>
      </w:r>
      <w:r w:rsidR="005B2255">
        <w:t>category</w:t>
      </w:r>
      <w:r w:rsidR="00A5351A">
        <w:t xml:space="preserve"> </w:t>
      </w:r>
      <w:r w:rsidR="005B2255">
        <w:t>and how I applied growth</w:t>
      </w:r>
      <w:r w:rsidR="00327FB6">
        <w:t xml:space="preserve"> to determine </w:t>
      </w:r>
      <w:r w:rsidR="00A5351A">
        <w:t xml:space="preserve">revenues, expenses and rate base for </w:t>
      </w:r>
      <w:r w:rsidR="00327FB6">
        <w:t>the projected rate year.</w:t>
      </w:r>
      <w:r w:rsidR="0092305B">
        <w:t xml:space="preserve"> </w:t>
      </w:r>
    </w:p>
    <w:p w14:paraId="36FE85AF" w14:textId="77777777" w:rsidR="00BE4657" w:rsidRDefault="00BE4657" w:rsidP="00B63356">
      <w:pPr>
        <w:spacing w:line="480" w:lineRule="auto"/>
        <w:ind w:left="720" w:hanging="720"/>
      </w:pPr>
    </w:p>
    <w:p w14:paraId="36FE85B0" w14:textId="77777777" w:rsidR="005746CB" w:rsidRPr="005746CB" w:rsidRDefault="000D56B4" w:rsidP="001312BB">
      <w:pPr>
        <w:keepNext/>
        <w:spacing w:line="480" w:lineRule="auto"/>
        <w:ind w:left="720"/>
        <w:rPr>
          <w:b/>
        </w:rPr>
      </w:pPr>
      <w:r>
        <w:rPr>
          <w:b/>
        </w:rPr>
        <w:tab/>
        <w:t>3</w:t>
      </w:r>
      <w:r w:rsidR="005746CB">
        <w:rPr>
          <w:b/>
        </w:rPr>
        <w:t>.</w:t>
      </w:r>
      <w:r w:rsidR="005746CB">
        <w:rPr>
          <w:b/>
        </w:rPr>
        <w:tab/>
      </w:r>
      <w:r w:rsidR="00AB2A98">
        <w:rPr>
          <w:b/>
        </w:rPr>
        <w:t xml:space="preserve">Evaluating Changes in </w:t>
      </w:r>
      <w:r w:rsidR="005746CB">
        <w:rPr>
          <w:b/>
        </w:rPr>
        <w:t>Revenues</w:t>
      </w:r>
      <w:r w:rsidR="006F6B51">
        <w:rPr>
          <w:b/>
        </w:rPr>
        <w:t xml:space="preserve"> – Electric Operations</w:t>
      </w:r>
    </w:p>
    <w:p w14:paraId="36FE85B1" w14:textId="77777777" w:rsidR="00BE4657" w:rsidRDefault="00BE4657" w:rsidP="001312BB">
      <w:pPr>
        <w:keepNext/>
        <w:spacing w:line="480" w:lineRule="auto"/>
        <w:ind w:left="720" w:hanging="720"/>
        <w:rPr>
          <w:b/>
        </w:rPr>
      </w:pPr>
    </w:p>
    <w:p w14:paraId="36FE85B2" w14:textId="77777777" w:rsidR="007D3D3C" w:rsidRDefault="007D3D3C" w:rsidP="007D3D3C">
      <w:pPr>
        <w:spacing w:line="480" w:lineRule="auto"/>
        <w:ind w:left="720" w:hanging="720"/>
        <w:rPr>
          <w:b/>
        </w:rPr>
      </w:pPr>
      <w:r>
        <w:rPr>
          <w:b/>
        </w:rPr>
        <w:t>Q.</w:t>
      </w:r>
      <w:r>
        <w:rPr>
          <w:b/>
        </w:rPr>
        <w:tab/>
        <w:t xml:space="preserve">Please </w:t>
      </w:r>
      <w:r w:rsidR="005746CB">
        <w:rPr>
          <w:b/>
        </w:rPr>
        <w:t xml:space="preserve">explain how you developed </w:t>
      </w:r>
      <w:r w:rsidR="00463D7F">
        <w:rPr>
          <w:b/>
        </w:rPr>
        <w:t xml:space="preserve">growth in </w:t>
      </w:r>
      <w:r w:rsidR="00A5351A">
        <w:rPr>
          <w:b/>
        </w:rPr>
        <w:t xml:space="preserve">electric </w:t>
      </w:r>
      <w:r w:rsidR="00463D7F">
        <w:rPr>
          <w:b/>
        </w:rPr>
        <w:t>revenue for the</w:t>
      </w:r>
      <w:r w:rsidR="005746CB">
        <w:rPr>
          <w:b/>
        </w:rPr>
        <w:t xml:space="preserve"> rate year </w:t>
      </w:r>
      <w:r>
        <w:rPr>
          <w:b/>
        </w:rPr>
        <w:t>2013.</w:t>
      </w:r>
    </w:p>
    <w:p w14:paraId="36FE85B3" w14:textId="77777777" w:rsidR="00B128B5" w:rsidRDefault="007C6C46" w:rsidP="007C6C46">
      <w:pPr>
        <w:spacing w:line="480" w:lineRule="auto"/>
        <w:ind w:left="720" w:hanging="720"/>
      </w:pPr>
      <w:r>
        <w:t>A.</w:t>
      </w:r>
      <w:r>
        <w:tab/>
      </w:r>
      <w:r w:rsidR="00BE3A67">
        <w:t>M</w:t>
      </w:r>
      <w:r w:rsidR="005746CB">
        <w:t xml:space="preserve">y starting point for evaluating </w:t>
      </w:r>
      <w:r>
        <w:t xml:space="preserve">revenue </w:t>
      </w:r>
      <w:r w:rsidR="00850382">
        <w:t>growth</w:t>
      </w:r>
      <w:r w:rsidR="005746CB">
        <w:t xml:space="preserve"> is </w:t>
      </w:r>
      <w:r>
        <w:t xml:space="preserve">the </w:t>
      </w:r>
      <w:r w:rsidR="00BE3A67">
        <w:t xml:space="preserve">normalized and restated </w:t>
      </w:r>
      <w:r w:rsidR="007A6300">
        <w:t xml:space="preserve">test year </w:t>
      </w:r>
      <w:r w:rsidR="001E7384">
        <w:t xml:space="preserve">of </w:t>
      </w:r>
      <w:r>
        <w:t xml:space="preserve">Staff’s </w:t>
      </w:r>
      <w:r w:rsidR="00463D7F">
        <w:t xml:space="preserve">base </w:t>
      </w:r>
      <w:r>
        <w:t xml:space="preserve">case. </w:t>
      </w:r>
      <w:r w:rsidR="000D56B4">
        <w:t xml:space="preserve"> I separately categorized and analyzed </w:t>
      </w:r>
      <w:r w:rsidR="006C47BE">
        <w:t>electric service</w:t>
      </w:r>
      <w:r w:rsidR="00113955">
        <w:t xml:space="preserve"> revenue</w:t>
      </w:r>
      <w:r w:rsidR="005746CB">
        <w:t>,</w:t>
      </w:r>
      <w:r w:rsidR="006C47BE">
        <w:t xml:space="preserve"> </w:t>
      </w:r>
      <w:r w:rsidR="006836CA">
        <w:t xml:space="preserve">general business revenue and </w:t>
      </w:r>
      <w:r w:rsidR="00C30853">
        <w:t>powe</w:t>
      </w:r>
      <w:r w:rsidR="00AA4D1D">
        <w:t>r supply revenue</w:t>
      </w:r>
      <w:r w:rsidR="000D56B4">
        <w:t>,</w:t>
      </w:r>
      <w:r w:rsidR="00AA4D1D">
        <w:t xml:space="preserve"> which includes</w:t>
      </w:r>
      <w:r w:rsidR="00113955">
        <w:t xml:space="preserve"> </w:t>
      </w:r>
      <w:r w:rsidR="006836CA">
        <w:t>sales for resale.</w:t>
      </w:r>
    </w:p>
    <w:p w14:paraId="4727B533" w14:textId="77777777" w:rsidR="00E44AB6" w:rsidRDefault="005746CB" w:rsidP="00E44AB6">
      <w:pPr>
        <w:spacing w:line="480" w:lineRule="auto"/>
        <w:ind w:left="720" w:hanging="720"/>
        <w:rPr>
          <w:b/>
        </w:rPr>
      </w:pPr>
      <w:r>
        <w:tab/>
      </w:r>
      <w:r>
        <w:tab/>
      </w:r>
      <w:r w:rsidR="00A5351A">
        <w:t>For power supply revenue</w:t>
      </w:r>
      <w:r w:rsidR="001E7384">
        <w:t>s</w:t>
      </w:r>
      <w:r w:rsidR="00A5351A">
        <w:t xml:space="preserve">, </w:t>
      </w:r>
      <w:r w:rsidR="001E7384">
        <w:t xml:space="preserve">I used </w:t>
      </w:r>
      <w:r w:rsidR="00E71FD9">
        <w:t>the</w:t>
      </w:r>
      <w:r w:rsidR="001E7384">
        <w:t xml:space="preserve"> secondary purchases from </w:t>
      </w:r>
      <w:r w:rsidR="00B128B5">
        <w:t>Staff</w:t>
      </w:r>
      <w:r w:rsidR="001312BB">
        <w:t>’</w:t>
      </w:r>
      <w:r w:rsidR="001E7384">
        <w:t>s</w:t>
      </w:r>
      <w:r w:rsidR="00B128B5">
        <w:t xml:space="preserve"> power cost adjustment </w:t>
      </w:r>
      <w:r w:rsidR="00296C9E">
        <w:t>already modeled to the rate year, consistent with Avista.</w:t>
      </w:r>
      <w:r w:rsidR="00E44AB6">
        <w:t xml:space="preserve"> </w:t>
      </w:r>
    </w:p>
    <w:p w14:paraId="595F3C98" w14:textId="77777777" w:rsidR="00E44AB6" w:rsidRDefault="00E44AB6" w:rsidP="00E44AB6">
      <w:pPr>
        <w:spacing w:line="480" w:lineRule="auto"/>
        <w:ind w:left="720" w:hanging="720"/>
        <w:rPr>
          <w:b/>
        </w:rPr>
        <w:sectPr w:rsidR="00E44AB6" w:rsidSect="0015026F">
          <w:pgSz w:w="12240" w:h="15840" w:code="1"/>
          <w:pgMar w:top="1440" w:right="1440" w:bottom="1440" w:left="1872" w:header="720" w:footer="720" w:gutter="0"/>
          <w:lnNumType w:countBy="1"/>
          <w:pgNumType w:start="1"/>
          <w:cols w:space="720"/>
          <w:docGrid w:linePitch="360"/>
        </w:sectPr>
      </w:pPr>
    </w:p>
    <w:p w14:paraId="36FE85B5" w14:textId="77777777" w:rsidR="00360E37" w:rsidRDefault="00DB3227" w:rsidP="00E71FD9">
      <w:pPr>
        <w:spacing w:line="480" w:lineRule="auto"/>
        <w:ind w:left="720" w:firstLine="720"/>
      </w:pPr>
      <w:r>
        <w:lastRenderedPageBreak/>
        <w:t xml:space="preserve">For general business revenue, </w:t>
      </w:r>
      <w:r w:rsidR="004519CB">
        <w:t xml:space="preserve">I </w:t>
      </w:r>
      <w:r w:rsidR="000D56B4">
        <w:t xml:space="preserve">trended the </w:t>
      </w:r>
      <w:r w:rsidR="004519CB">
        <w:t xml:space="preserve">revenue </w:t>
      </w:r>
      <w:r w:rsidR="000D56B4">
        <w:t xml:space="preserve">data </w:t>
      </w:r>
      <w:r w:rsidR="00BC20B6">
        <w:t xml:space="preserve">from Company load forecasts </w:t>
      </w:r>
      <w:r w:rsidR="004519CB">
        <w:t xml:space="preserve">to determine a reasonable </w:t>
      </w:r>
      <w:r w:rsidR="000D56B4">
        <w:t>level</w:t>
      </w:r>
      <w:r w:rsidR="00BC20B6">
        <w:t xml:space="preserve"> of revenue growth</w:t>
      </w:r>
      <w:r w:rsidR="004519CB">
        <w:t>.</w:t>
      </w:r>
      <w:r w:rsidR="008B2FBD">
        <w:t xml:space="preserve"> </w:t>
      </w:r>
      <w:r w:rsidR="00A5351A">
        <w:t xml:space="preserve"> </w:t>
      </w:r>
      <w:r w:rsidR="00360E37">
        <w:t>For other revenue, I used the 0.8 percent escalation based on trended increase from 2000 to 2011</w:t>
      </w:r>
      <w:r w:rsidR="00296C9E">
        <w:t>, again consistent with Avista</w:t>
      </w:r>
      <w:r w:rsidR="00360E37">
        <w:t>.</w:t>
      </w:r>
    </w:p>
    <w:p w14:paraId="36FE85B6" w14:textId="77777777" w:rsidR="001C220C" w:rsidRDefault="001C220C" w:rsidP="007C6C46">
      <w:pPr>
        <w:spacing w:line="480" w:lineRule="auto"/>
        <w:ind w:left="720" w:hanging="720"/>
      </w:pPr>
    </w:p>
    <w:p w14:paraId="36FE85B7" w14:textId="77777777" w:rsidR="00BC20B6" w:rsidRDefault="00EB1817" w:rsidP="007C6C46">
      <w:pPr>
        <w:spacing w:line="480" w:lineRule="auto"/>
        <w:ind w:left="720" w:hanging="720"/>
        <w:rPr>
          <w:b/>
        </w:rPr>
      </w:pPr>
      <w:r>
        <w:rPr>
          <w:b/>
        </w:rPr>
        <w:t>Q.</w:t>
      </w:r>
      <w:r>
        <w:rPr>
          <w:b/>
        </w:rPr>
        <w:tab/>
      </w:r>
      <w:r w:rsidR="001E7384">
        <w:rPr>
          <w:b/>
        </w:rPr>
        <w:t>What problems did you encounter in your estimation of load growth</w:t>
      </w:r>
      <w:r w:rsidR="00BC20B6">
        <w:rPr>
          <w:b/>
        </w:rPr>
        <w:t xml:space="preserve">? </w:t>
      </w:r>
    </w:p>
    <w:p w14:paraId="4AF5FD02" w14:textId="77777777" w:rsidR="00F05EAC" w:rsidRDefault="00BC20B6" w:rsidP="007C6C46">
      <w:pPr>
        <w:spacing w:line="480" w:lineRule="auto"/>
        <w:ind w:left="720" w:hanging="720"/>
      </w:pPr>
      <w:r>
        <w:t>A.</w:t>
      </w:r>
      <w:r>
        <w:tab/>
        <w:t>Avista supplied two load forecasts</w:t>
      </w:r>
      <w:r w:rsidR="00280D4F">
        <w:t xml:space="preserve"> in this case. </w:t>
      </w:r>
      <w:r w:rsidR="00BE4657">
        <w:t xml:space="preserve"> Its original forecast </w:t>
      </w:r>
      <w:r w:rsidR="00BE4657" w:rsidRPr="00047A83">
        <w:t>estimated load growth.</w:t>
      </w:r>
      <w:r w:rsidR="00C955ED" w:rsidRPr="00047A83">
        <w:t xml:space="preserve"> </w:t>
      </w:r>
      <w:r w:rsidR="00280D4F" w:rsidRPr="00047A83">
        <w:t xml:space="preserve"> Staff received the second load forecast on</w:t>
      </w:r>
      <w:r w:rsidR="004645CB" w:rsidRPr="00047A83">
        <w:t xml:space="preserve"> July 27, 2012</w:t>
      </w:r>
      <w:r w:rsidR="00280D4F" w:rsidRPr="00047A83">
        <w:t>.</w:t>
      </w:r>
      <w:r w:rsidR="0012683B" w:rsidRPr="00047A83">
        <w:rPr>
          <w:rStyle w:val="FootnoteReference"/>
        </w:rPr>
        <w:footnoteReference w:id="47"/>
      </w:r>
      <w:r w:rsidR="00280D4F" w:rsidRPr="00047A83">
        <w:t xml:space="preserve">  In </w:t>
      </w:r>
      <w:r w:rsidR="001E7384" w:rsidRPr="00047A83">
        <w:t xml:space="preserve">this </w:t>
      </w:r>
      <w:r w:rsidR="00280D4F" w:rsidRPr="00047A83">
        <w:t xml:space="preserve">second load </w:t>
      </w:r>
      <w:r w:rsidR="001E7384" w:rsidRPr="00047A83">
        <w:t>forecast</w:t>
      </w:r>
      <w:r w:rsidR="00280D4F" w:rsidRPr="00047A83">
        <w:t xml:space="preserve">, Avista </w:t>
      </w:r>
      <w:r w:rsidR="001E7384" w:rsidRPr="00047A83">
        <w:t xml:space="preserve">estimated a </w:t>
      </w:r>
      <w:r w:rsidR="001E7384" w:rsidRPr="00047A83">
        <w:rPr>
          <w:u w:val="single"/>
        </w:rPr>
        <w:t>decline</w:t>
      </w:r>
      <w:r w:rsidR="001E7384" w:rsidRPr="00047A83">
        <w:t xml:space="preserve"> in load for the rate year </w:t>
      </w:r>
      <w:r w:rsidR="00280D4F" w:rsidRPr="00047A83">
        <w:t xml:space="preserve">that is </w:t>
      </w:r>
      <w:r w:rsidR="001E7384" w:rsidRPr="00047A83">
        <w:t xml:space="preserve">materially </w:t>
      </w:r>
      <w:r w:rsidR="00280D4F" w:rsidRPr="00047A83">
        <w:t>different from its first load forecast</w:t>
      </w:r>
      <w:r w:rsidR="001E7384" w:rsidRPr="00047A83">
        <w:t>.</w:t>
      </w:r>
    </w:p>
    <w:p w14:paraId="4370F47C" w14:textId="77777777" w:rsidR="00E44AB6" w:rsidRDefault="00E44AB6" w:rsidP="007C6C46">
      <w:pPr>
        <w:spacing w:line="480" w:lineRule="auto"/>
        <w:ind w:left="720" w:hanging="720"/>
        <w:rPr>
          <w:b/>
        </w:rPr>
      </w:pPr>
    </w:p>
    <w:p w14:paraId="36FE85BA" w14:textId="77777777" w:rsidR="00EB1817" w:rsidRDefault="00EB1817" w:rsidP="007C6C46">
      <w:pPr>
        <w:spacing w:line="480" w:lineRule="auto"/>
        <w:ind w:left="720" w:hanging="720"/>
        <w:rPr>
          <w:b/>
        </w:rPr>
      </w:pPr>
      <w:r>
        <w:rPr>
          <w:b/>
        </w:rPr>
        <w:t>Q.</w:t>
      </w:r>
      <w:r>
        <w:rPr>
          <w:b/>
        </w:rPr>
        <w:tab/>
        <w:t xml:space="preserve">Please </w:t>
      </w:r>
      <w:r w:rsidR="004645CB">
        <w:rPr>
          <w:b/>
        </w:rPr>
        <w:t>compare the results of these two load forecasts.</w:t>
      </w:r>
      <w:r w:rsidR="008F7D54">
        <w:rPr>
          <w:rStyle w:val="FootnoteReference"/>
          <w:b/>
        </w:rPr>
        <w:footnoteReference w:id="48"/>
      </w:r>
      <w:r w:rsidR="004645CB">
        <w:rPr>
          <w:b/>
        </w:rPr>
        <w:t xml:space="preserve"> </w:t>
      </w:r>
    </w:p>
    <w:p w14:paraId="36FE85BB" w14:textId="27A766E6" w:rsidR="000D56B4" w:rsidRDefault="00280D4F" w:rsidP="007C6C46">
      <w:pPr>
        <w:spacing w:line="480" w:lineRule="auto"/>
        <w:ind w:left="720" w:hanging="720"/>
      </w:pPr>
      <w:r>
        <w:t>A.</w:t>
      </w:r>
      <w:r>
        <w:tab/>
      </w:r>
      <w:r w:rsidR="001E7384">
        <w:t xml:space="preserve">The </w:t>
      </w:r>
      <w:r>
        <w:t xml:space="preserve">second </w:t>
      </w:r>
      <w:r w:rsidR="001E7384">
        <w:t>load</w:t>
      </w:r>
      <w:r w:rsidR="004645CB">
        <w:t xml:space="preserve"> </w:t>
      </w:r>
      <w:r w:rsidR="00F705D6">
        <w:t>forecast result</w:t>
      </w:r>
      <w:r w:rsidR="0012683B">
        <w:t>s</w:t>
      </w:r>
      <w:r w:rsidR="00F705D6">
        <w:t xml:space="preserve"> in </w:t>
      </w:r>
      <w:r w:rsidR="0024185F">
        <w:t xml:space="preserve">lower growth in </w:t>
      </w:r>
      <w:r w:rsidR="000D56B4">
        <w:t xml:space="preserve">revenue </w:t>
      </w:r>
      <w:r w:rsidR="0024185F">
        <w:t xml:space="preserve">for </w:t>
      </w:r>
      <w:r w:rsidR="00817C32">
        <w:t xml:space="preserve">the rate year </w:t>
      </w:r>
      <w:r w:rsidR="00F705D6">
        <w:t>2013</w:t>
      </w:r>
      <w:r w:rsidR="004519CB">
        <w:t xml:space="preserve"> compared to 2012</w:t>
      </w:r>
      <w:r w:rsidR="00F705D6">
        <w:t>.</w:t>
      </w:r>
      <w:r w:rsidR="008B2FBD">
        <w:t xml:space="preserve">  </w:t>
      </w:r>
      <w:r w:rsidR="004645CB">
        <w:t>For 2012, t</w:t>
      </w:r>
      <w:r w:rsidR="008B2FBD">
        <w:t xml:space="preserve">he </w:t>
      </w:r>
      <w:r w:rsidR="000D56B4">
        <w:t xml:space="preserve">Company’s first </w:t>
      </w:r>
      <w:r w:rsidR="004645CB">
        <w:t xml:space="preserve">load </w:t>
      </w:r>
      <w:r w:rsidR="008B2FBD">
        <w:t xml:space="preserve">forecast included a </w:t>
      </w:r>
      <w:r w:rsidR="004645CB">
        <w:t xml:space="preserve">weather </w:t>
      </w:r>
      <w:r w:rsidR="004645CB" w:rsidRPr="00047A83">
        <w:t xml:space="preserve">normalized </w:t>
      </w:r>
      <w:r w:rsidR="008B2FBD" w:rsidRPr="00786B88">
        <w:t>increase</w:t>
      </w:r>
      <w:r w:rsidR="008B2FBD">
        <w:t xml:space="preserve"> </w:t>
      </w:r>
      <w:r w:rsidR="000D56B4">
        <w:t xml:space="preserve">in </w:t>
      </w:r>
      <w:r w:rsidR="008B2FBD">
        <w:t xml:space="preserve">electric load of </w:t>
      </w:r>
      <w:r w:rsidR="004E48A4" w:rsidRPr="004E48A4">
        <w:rPr>
          <w:highlight w:val="black"/>
        </w:rPr>
        <w:t>XX</w:t>
      </w:r>
      <w:r w:rsidR="008B2FBD">
        <w:t xml:space="preserve"> percent</w:t>
      </w:r>
      <w:r w:rsidR="004645CB">
        <w:t xml:space="preserve">.  </w:t>
      </w:r>
      <w:r w:rsidR="0012683B">
        <w:t>In</w:t>
      </w:r>
      <w:r w:rsidR="004645CB">
        <w:t xml:space="preserve"> July</w:t>
      </w:r>
      <w:r w:rsidR="0012683B">
        <w:t xml:space="preserve">, the Company revised its </w:t>
      </w:r>
      <w:r w:rsidR="00BC20B6">
        <w:t xml:space="preserve">load </w:t>
      </w:r>
      <w:r w:rsidR="008B2FBD">
        <w:t xml:space="preserve">forecast </w:t>
      </w:r>
      <w:r>
        <w:t xml:space="preserve">to </w:t>
      </w:r>
      <w:r w:rsidRPr="00786B88">
        <w:t>a decrease</w:t>
      </w:r>
      <w:r w:rsidRPr="00047A83">
        <w:t xml:space="preserve"> in</w:t>
      </w:r>
      <w:r>
        <w:t xml:space="preserve"> electric load of </w:t>
      </w:r>
      <w:r w:rsidR="004E48A4" w:rsidRPr="004E48A4">
        <w:rPr>
          <w:highlight w:val="black"/>
        </w:rPr>
        <w:t>XX</w:t>
      </w:r>
      <w:r w:rsidR="008B2FBD">
        <w:t xml:space="preserve"> percent.  </w:t>
      </w:r>
      <w:r w:rsidR="009B5207">
        <w:t xml:space="preserve">This reflects a change in load of </w:t>
      </w:r>
      <w:r w:rsidR="004E48A4" w:rsidRPr="004E48A4">
        <w:rPr>
          <w:highlight w:val="black"/>
        </w:rPr>
        <w:t>XX</w:t>
      </w:r>
      <w:r w:rsidR="009B5207" w:rsidRPr="00786B88">
        <w:t xml:space="preserve"> percent</w:t>
      </w:r>
      <w:r w:rsidR="009B5207" w:rsidRPr="00047A83">
        <w:t xml:space="preserve"> for</w:t>
      </w:r>
      <w:r w:rsidR="009B5207">
        <w:t xml:space="preserve"> electric service.</w:t>
      </w:r>
    </w:p>
    <w:p w14:paraId="36FE85BC" w14:textId="518F47A4" w:rsidR="0096185D" w:rsidRDefault="000D56B4" w:rsidP="007C6C46">
      <w:pPr>
        <w:spacing w:line="480" w:lineRule="auto"/>
        <w:ind w:left="720" w:hanging="720"/>
      </w:pPr>
      <w:r>
        <w:tab/>
      </w:r>
      <w:r>
        <w:tab/>
        <w:t>Overall, t</w:t>
      </w:r>
      <w:r w:rsidR="008B2FBD">
        <w:t xml:space="preserve">his changed the load forecast for the two year period from the test period to the rate year, 2011 to 2013, </w:t>
      </w:r>
      <w:r w:rsidR="008B2FBD" w:rsidRPr="00047A83">
        <w:t xml:space="preserve">from an increase </w:t>
      </w:r>
      <w:r w:rsidR="008B2FBD" w:rsidRPr="006C2E7B">
        <w:t>of 3.6 percent to</w:t>
      </w:r>
      <w:r w:rsidR="008B2FBD">
        <w:t xml:space="preserve"> </w:t>
      </w:r>
      <w:r w:rsidR="008B2FBD" w:rsidRPr="00047A83">
        <w:t>a</w:t>
      </w:r>
      <w:r w:rsidR="008B2FBD">
        <w:t xml:space="preserve"> </w:t>
      </w:r>
      <w:r w:rsidR="008B2FBD" w:rsidRPr="00047A83">
        <w:t xml:space="preserve">decrease of </w:t>
      </w:r>
      <w:r w:rsidR="008B2FBD" w:rsidRPr="00A65165">
        <w:t xml:space="preserve">0.1 </w:t>
      </w:r>
      <w:r w:rsidR="008B2FBD" w:rsidRPr="00047A83">
        <w:t>percent</w:t>
      </w:r>
      <w:r w:rsidR="00817C32">
        <w:t xml:space="preserve">.  This </w:t>
      </w:r>
      <w:r w:rsidR="007452D2">
        <w:t>equates to the change in revenue of $</w:t>
      </w:r>
      <w:r w:rsidR="007452D2" w:rsidRPr="00A65165">
        <w:t>12,600,000</w:t>
      </w:r>
      <w:r w:rsidR="0096185D" w:rsidRPr="00A65165">
        <w:t>,</w:t>
      </w:r>
      <w:r w:rsidR="007452D2" w:rsidRPr="00A65165">
        <w:t xml:space="preserve"> or 2.8</w:t>
      </w:r>
      <w:r w:rsidR="007452D2">
        <w:t xml:space="preserve"> </w:t>
      </w:r>
      <w:r w:rsidR="007452D2" w:rsidRPr="00786B88">
        <w:t>percent</w:t>
      </w:r>
      <w:r w:rsidR="00786B88" w:rsidRPr="00786B88">
        <w:t xml:space="preserve"> between forecasts</w:t>
      </w:r>
      <w:r w:rsidR="008B2FBD">
        <w:t>.</w:t>
      </w:r>
      <w:r w:rsidR="00280D4F">
        <w:t xml:space="preserve">  As I mentioned above in my example of the range of load </w:t>
      </w:r>
      <w:r w:rsidR="00280D4F">
        <w:lastRenderedPageBreak/>
        <w:t>forecast outcomes, this is a very significant change</w:t>
      </w:r>
      <w:r w:rsidR="00296C9E">
        <w:t xml:space="preserve"> when considering the effect on an attrition study</w:t>
      </w:r>
      <w:r w:rsidR="00280D4F">
        <w:t>.</w:t>
      </w:r>
    </w:p>
    <w:p w14:paraId="36FE85BD" w14:textId="77777777" w:rsidR="00A0321A" w:rsidRDefault="00A0321A" w:rsidP="007C6C46">
      <w:pPr>
        <w:spacing w:line="480" w:lineRule="auto"/>
        <w:ind w:left="720" w:hanging="720"/>
        <w:rPr>
          <w:b/>
        </w:rPr>
      </w:pPr>
    </w:p>
    <w:p w14:paraId="36FE85BE" w14:textId="77777777" w:rsidR="000D56B4" w:rsidRPr="0024185F" w:rsidRDefault="000D56B4" w:rsidP="007C6C46">
      <w:pPr>
        <w:spacing w:line="480" w:lineRule="auto"/>
        <w:ind w:left="720" w:hanging="720"/>
        <w:rPr>
          <w:b/>
        </w:rPr>
      </w:pPr>
      <w:r>
        <w:rPr>
          <w:b/>
        </w:rPr>
        <w:t>Q.</w:t>
      </w:r>
      <w:r>
        <w:rPr>
          <w:b/>
        </w:rPr>
        <w:tab/>
      </w:r>
      <w:r w:rsidR="00A0321A">
        <w:rPr>
          <w:b/>
        </w:rPr>
        <w:t xml:space="preserve">Do the </w:t>
      </w:r>
      <w:r>
        <w:rPr>
          <w:b/>
        </w:rPr>
        <w:t>Company</w:t>
      </w:r>
      <w:r w:rsidR="00A0321A">
        <w:rPr>
          <w:b/>
        </w:rPr>
        <w:t>’s</w:t>
      </w:r>
      <w:r w:rsidR="00BC20B6">
        <w:rPr>
          <w:b/>
        </w:rPr>
        <w:t xml:space="preserve"> </w:t>
      </w:r>
      <w:r w:rsidR="006F6B51">
        <w:rPr>
          <w:b/>
        </w:rPr>
        <w:t xml:space="preserve">electric </w:t>
      </w:r>
      <w:r w:rsidR="00BC20B6">
        <w:rPr>
          <w:b/>
        </w:rPr>
        <w:t xml:space="preserve">load </w:t>
      </w:r>
      <w:r>
        <w:rPr>
          <w:b/>
        </w:rPr>
        <w:t>forecast</w:t>
      </w:r>
      <w:r w:rsidR="00BC20B6">
        <w:rPr>
          <w:b/>
        </w:rPr>
        <w:t>s</w:t>
      </w:r>
      <w:r>
        <w:rPr>
          <w:b/>
        </w:rPr>
        <w:t xml:space="preserve"> </w:t>
      </w:r>
      <w:r w:rsidR="00A0321A">
        <w:rPr>
          <w:b/>
        </w:rPr>
        <w:t xml:space="preserve">show loads declining </w:t>
      </w:r>
      <w:r>
        <w:rPr>
          <w:b/>
        </w:rPr>
        <w:t>after 201</w:t>
      </w:r>
      <w:r w:rsidR="00760D1A">
        <w:rPr>
          <w:b/>
        </w:rPr>
        <w:t>3</w:t>
      </w:r>
      <w:r>
        <w:rPr>
          <w:b/>
        </w:rPr>
        <w:t>?</w:t>
      </w:r>
    </w:p>
    <w:p w14:paraId="36FE85BF" w14:textId="77777777" w:rsidR="00BC20B6" w:rsidRDefault="000D56B4" w:rsidP="000D56B4">
      <w:pPr>
        <w:spacing w:line="480" w:lineRule="auto"/>
        <w:ind w:left="720" w:hanging="720"/>
      </w:pPr>
      <w:r w:rsidRPr="0024185F">
        <w:t>A.</w:t>
      </w:r>
      <w:r w:rsidRPr="0024185F">
        <w:tab/>
        <w:t>No.</w:t>
      </w:r>
      <w:r>
        <w:t xml:space="preserve">  </w:t>
      </w:r>
      <w:r w:rsidR="008B2FBD">
        <w:t xml:space="preserve">Both of the Company’s electric load </w:t>
      </w:r>
      <w:r w:rsidR="008B2FBD" w:rsidRPr="00786B88">
        <w:t xml:space="preserve">forecasts reflect an overall upward trend in </w:t>
      </w:r>
      <w:r w:rsidR="005851FA" w:rsidRPr="0059264A">
        <w:t>load</w:t>
      </w:r>
      <w:r w:rsidR="008B2FBD" w:rsidRPr="00786B88">
        <w:t xml:space="preserve"> growth</w:t>
      </w:r>
      <w:r w:rsidR="00BC20B6" w:rsidRPr="00786B88">
        <w:t xml:space="preserve"> </w:t>
      </w:r>
      <w:r w:rsidR="00FB7397" w:rsidRPr="00786B88">
        <w:t>after 2013</w:t>
      </w:r>
      <w:r w:rsidR="008B2FBD" w:rsidRPr="00786B88">
        <w:t>.</w:t>
      </w:r>
      <w:r w:rsidR="008B2FBD">
        <w:t xml:space="preserve">  </w:t>
      </w:r>
    </w:p>
    <w:p w14:paraId="36FE85C0" w14:textId="77777777" w:rsidR="00FB7397" w:rsidRDefault="00FB7397" w:rsidP="000D56B4">
      <w:pPr>
        <w:spacing w:line="480" w:lineRule="auto"/>
        <w:ind w:left="720" w:hanging="720"/>
      </w:pPr>
    </w:p>
    <w:p w14:paraId="36FE85C1" w14:textId="77777777" w:rsidR="00B44466" w:rsidRDefault="00B44466" w:rsidP="0024185F">
      <w:pPr>
        <w:spacing w:line="480" w:lineRule="auto"/>
        <w:ind w:left="720" w:hanging="720"/>
        <w:rPr>
          <w:b/>
        </w:rPr>
      </w:pPr>
      <w:r>
        <w:rPr>
          <w:b/>
        </w:rPr>
        <w:t>Q.</w:t>
      </w:r>
      <w:r>
        <w:rPr>
          <w:b/>
        </w:rPr>
        <w:tab/>
      </w:r>
      <w:r w:rsidR="006A7239">
        <w:rPr>
          <w:b/>
        </w:rPr>
        <w:t>What do the forecasts show for changes in numbers of customers?</w:t>
      </w:r>
    </w:p>
    <w:p w14:paraId="36FE85C2" w14:textId="5B089B6F" w:rsidR="00B44466" w:rsidRPr="00B44466" w:rsidRDefault="00B44466" w:rsidP="0024185F">
      <w:pPr>
        <w:spacing w:line="480" w:lineRule="auto"/>
        <w:ind w:left="720" w:hanging="720"/>
      </w:pPr>
      <w:r>
        <w:t>A.</w:t>
      </w:r>
      <w:r>
        <w:tab/>
        <w:t xml:space="preserve">Both </w:t>
      </w:r>
      <w:r w:rsidR="00A0321A">
        <w:t>of the Company’s</w:t>
      </w:r>
      <w:r w:rsidR="009B5207">
        <w:t xml:space="preserve"> electric</w:t>
      </w:r>
      <w:r w:rsidR="00A0321A">
        <w:t xml:space="preserve"> </w:t>
      </w:r>
      <w:r>
        <w:t xml:space="preserve">load forecasts </w:t>
      </w:r>
      <w:r w:rsidRPr="00786B88">
        <w:t>include an average annual growth</w:t>
      </w:r>
      <w:r>
        <w:t xml:space="preserve"> </w:t>
      </w:r>
      <w:r w:rsidR="006120B5">
        <w:t xml:space="preserve">in </w:t>
      </w:r>
      <w:r w:rsidR="00A0321A">
        <w:t xml:space="preserve">number of </w:t>
      </w:r>
      <w:r w:rsidR="006120B5">
        <w:t>customer</w:t>
      </w:r>
      <w:r w:rsidR="00933C03">
        <w:t>s</w:t>
      </w:r>
      <w:r w:rsidR="006120B5">
        <w:t xml:space="preserve">.  The </w:t>
      </w:r>
      <w:r w:rsidR="00933C03">
        <w:t xml:space="preserve">Company’s </w:t>
      </w:r>
      <w:r w:rsidR="006120B5">
        <w:t xml:space="preserve">first forecast includes average annual customer </w:t>
      </w:r>
      <w:r w:rsidR="006120B5" w:rsidRPr="00786B88">
        <w:t xml:space="preserve">growth </w:t>
      </w:r>
      <w:r w:rsidRPr="00786B88">
        <w:t xml:space="preserve">of </w:t>
      </w:r>
      <w:r w:rsidR="00186666" w:rsidRPr="00186666">
        <w:rPr>
          <w:highlight w:val="black"/>
        </w:rPr>
        <w:t>xx</w:t>
      </w:r>
      <w:r>
        <w:t xml:space="preserve"> percent</w:t>
      </w:r>
      <w:r w:rsidR="006120B5">
        <w:t xml:space="preserve"> and the July forecast includes</w:t>
      </w:r>
      <w:r w:rsidR="008C560B">
        <w:t xml:space="preserve"> customer </w:t>
      </w:r>
      <w:r w:rsidR="008C560B" w:rsidRPr="00786B88">
        <w:t xml:space="preserve">growth of </w:t>
      </w:r>
      <w:r w:rsidR="00186666" w:rsidRPr="00186666">
        <w:rPr>
          <w:highlight w:val="black"/>
        </w:rPr>
        <w:t>XX</w:t>
      </w:r>
      <w:r w:rsidR="008C560B" w:rsidRPr="00186666">
        <w:rPr>
          <w:highlight w:val="black"/>
        </w:rPr>
        <w:t xml:space="preserve"> </w:t>
      </w:r>
      <w:r w:rsidR="008C560B" w:rsidRPr="00786B88">
        <w:t>percent.</w:t>
      </w:r>
      <w:r>
        <w:t xml:space="preserve">  </w:t>
      </w:r>
      <w:r w:rsidR="008C560B">
        <w:t xml:space="preserve">Both forecasts include 2012 customer </w:t>
      </w:r>
      <w:r w:rsidR="008C560B" w:rsidRPr="00786B88">
        <w:t xml:space="preserve">growth of </w:t>
      </w:r>
      <w:r w:rsidR="00186666" w:rsidRPr="00186666">
        <w:rPr>
          <w:highlight w:val="black"/>
        </w:rPr>
        <w:t>XX</w:t>
      </w:r>
      <w:r w:rsidR="008C560B" w:rsidRPr="00186666">
        <w:rPr>
          <w:highlight w:val="black"/>
        </w:rPr>
        <w:t xml:space="preserve"> </w:t>
      </w:r>
      <w:r w:rsidR="008C560B" w:rsidRPr="00786B88">
        <w:t>percent.  For</w:t>
      </w:r>
      <w:r w:rsidR="008C560B">
        <w:t xml:space="preserve"> the year 2013, t</w:t>
      </w:r>
      <w:r>
        <w:t xml:space="preserve">he first forecast includes </w:t>
      </w:r>
      <w:r w:rsidRPr="00786B88">
        <w:t xml:space="preserve">an increase of </w:t>
      </w:r>
      <w:r w:rsidR="00186666" w:rsidRPr="00186666">
        <w:rPr>
          <w:highlight w:val="black"/>
        </w:rPr>
        <w:t>XX</w:t>
      </w:r>
      <w:r w:rsidRPr="00186666">
        <w:rPr>
          <w:highlight w:val="black"/>
        </w:rPr>
        <w:t xml:space="preserve"> </w:t>
      </w:r>
      <w:r w:rsidRPr="00786B88">
        <w:t>percent</w:t>
      </w:r>
      <w:r w:rsidR="008C560B" w:rsidRPr="00786B88">
        <w:t>.</w:t>
      </w:r>
      <w:r w:rsidR="008C560B">
        <w:t xml:space="preserve">  The July forecast </w:t>
      </w:r>
      <w:r w:rsidR="008C560B" w:rsidRPr="00786B88">
        <w:t xml:space="preserve">includes an increase of </w:t>
      </w:r>
      <w:r w:rsidR="00186666" w:rsidRPr="00186666">
        <w:rPr>
          <w:highlight w:val="black"/>
        </w:rPr>
        <w:t>XX</w:t>
      </w:r>
      <w:r w:rsidR="008C560B" w:rsidRPr="00186666">
        <w:rPr>
          <w:highlight w:val="black"/>
        </w:rPr>
        <w:t xml:space="preserve"> </w:t>
      </w:r>
      <w:r w:rsidR="008C560B" w:rsidRPr="00786B88">
        <w:t>percent,</w:t>
      </w:r>
      <w:r w:rsidR="008C560B">
        <w:t xml:space="preserve"> </w:t>
      </w:r>
      <w:r>
        <w:t xml:space="preserve">although it averages </w:t>
      </w:r>
      <w:r w:rsidR="00186666" w:rsidRPr="00186666">
        <w:rPr>
          <w:highlight w:val="black"/>
        </w:rPr>
        <w:t>XX</w:t>
      </w:r>
      <w:r w:rsidRPr="00186666">
        <w:rPr>
          <w:highlight w:val="black"/>
        </w:rPr>
        <w:t xml:space="preserve"> </w:t>
      </w:r>
      <w:r w:rsidRPr="00786B88">
        <w:t>percent for</w:t>
      </w:r>
      <w:r>
        <w:t xml:space="preserve"> the period 2011 to 2016.</w:t>
      </w:r>
      <w:r w:rsidR="008C560B">
        <w:t xml:space="preserve"> </w:t>
      </w:r>
      <w:r w:rsidR="00933C03">
        <w:t xml:space="preserve"> </w:t>
      </w:r>
      <w:r w:rsidR="008C560B">
        <w:t xml:space="preserve">The </w:t>
      </w:r>
      <w:r w:rsidR="008C560B" w:rsidRPr="00786B88">
        <w:t>customer growth for the</w:t>
      </w:r>
      <w:r w:rsidR="008C560B">
        <w:t xml:space="preserve"> period 2011 to </w:t>
      </w:r>
      <w:r w:rsidR="008C560B" w:rsidRPr="00786B88">
        <w:t xml:space="preserve">2013 is </w:t>
      </w:r>
      <w:r w:rsidR="00186666" w:rsidRPr="00186666">
        <w:rPr>
          <w:highlight w:val="black"/>
        </w:rPr>
        <w:t>XX</w:t>
      </w:r>
      <w:r w:rsidR="008C560B" w:rsidRPr="00786B88">
        <w:t xml:space="preserve"> percent in the first forecast and </w:t>
      </w:r>
      <w:r w:rsidR="00186666" w:rsidRPr="00186666">
        <w:rPr>
          <w:highlight w:val="black"/>
        </w:rPr>
        <w:t>XX</w:t>
      </w:r>
      <w:r w:rsidR="008C560B" w:rsidRPr="00786B88">
        <w:t xml:space="preserve"> percent in the July forecast.</w:t>
      </w:r>
    </w:p>
    <w:p w14:paraId="36FE85C3" w14:textId="77777777" w:rsidR="009D28C0" w:rsidRDefault="009D28C0" w:rsidP="004519CB">
      <w:pPr>
        <w:spacing w:line="480" w:lineRule="auto"/>
        <w:ind w:left="720" w:firstLine="720"/>
      </w:pPr>
    </w:p>
    <w:p w14:paraId="36FE85C4" w14:textId="77777777" w:rsidR="008A55EF" w:rsidRPr="008A55EF" w:rsidRDefault="008A55EF" w:rsidP="00113955">
      <w:pPr>
        <w:spacing w:line="480" w:lineRule="auto"/>
        <w:ind w:left="720" w:hanging="720"/>
        <w:rPr>
          <w:b/>
        </w:rPr>
      </w:pPr>
      <w:r>
        <w:rPr>
          <w:b/>
        </w:rPr>
        <w:t>Q.</w:t>
      </w:r>
      <w:r>
        <w:rPr>
          <w:b/>
        </w:rPr>
        <w:tab/>
      </w:r>
      <w:r w:rsidR="00BC20B6">
        <w:rPr>
          <w:b/>
        </w:rPr>
        <w:t xml:space="preserve">How did you incorporate these two different load forecasts in your </w:t>
      </w:r>
      <w:r w:rsidR="009B5207">
        <w:rPr>
          <w:b/>
        </w:rPr>
        <w:t xml:space="preserve">electric </w:t>
      </w:r>
      <w:r w:rsidR="009F3C63">
        <w:rPr>
          <w:b/>
        </w:rPr>
        <w:t xml:space="preserve">attrition </w:t>
      </w:r>
      <w:r w:rsidR="005851FA">
        <w:rPr>
          <w:b/>
        </w:rPr>
        <w:t>study</w:t>
      </w:r>
      <w:r w:rsidR="009F3C63">
        <w:rPr>
          <w:b/>
        </w:rPr>
        <w:t>?</w:t>
      </w:r>
    </w:p>
    <w:p w14:paraId="36FE85C5" w14:textId="07D2CB85" w:rsidR="004441EF" w:rsidRDefault="008A55EF" w:rsidP="00B83F51">
      <w:pPr>
        <w:spacing w:line="480" w:lineRule="auto"/>
        <w:ind w:left="720" w:hanging="720"/>
      </w:pPr>
      <w:r>
        <w:t>A.</w:t>
      </w:r>
      <w:r>
        <w:tab/>
      </w:r>
      <w:r w:rsidR="00A0321A" w:rsidRPr="00786B88">
        <w:t xml:space="preserve">Given the </w:t>
      </w:r>
      <w:r w:rsidR="00BE4657" w:rsidRPr="00786B88">
        <w:t xml:space="preserve">inherent uncertainty </w:t>
      </w:r>
      <w:r w:rsidR="00A0321A" w:rsidRPr="00786B88">
        <w:t>of load forecasting, the dramatic changes Avista made</w:t>
      </w:r>
      <w:r w:rsidR="00BE4657" w:rsidRPr="00786B88">
        <w:t xml:space="preserve"> to its forecast</w:t>
      </w:r>
      <w:r w:rsidR="00A0321A" w:rsidRPr="00786B88">
        <w:t xml:space="preserve">, and the fact that Avista is predicting </w:t>
      </w:r>
      <w:r w:rsidR="00A0321A" w:rsidRPr="002F283A">
        <w:t>steady growth</w:t>
      </w:r>
      <w:r w:rsidR="00A0321A" w:rsidRPr="00786B88">
        <w:t xml:space="preserve"> over the longer term</w:t>
      </w:r>
      <w:r w:rsidR="00BE4657" w:rsidRPr="00786B88">
        <w:t>,</w:t>
      </w:r>
      <w:r w:rsidR="00A0321A" w:rsidRPr="00786B88">
        <w:t xml:space="preserve"> I did not use either forecast.  </w:t>
      </w:r>
      <w:r w:rsidR="00E71FD9" w:rsidRPr="00786B88">
        <w:t xml:space="preserve">I based my forecast on </w:t>
      </w:r>
      <w:r w:rsidR="00E71FD9" w:rsidRPr="002F283A">
        <w:t xml:space="preserve">the </w:t>
      </w:r>
      <w:r w:rsidR="0031475B" w:rsidRPr="002F283A">
        <w:t>average growth</w:t>
      </w:r>
      <w:r w:rsidR="0031475B" w:rsidRPr="00786B88">
        <w:t xml:space="preserve"> of the </w:t>
      </w:r>
      <w:r w:rsidR="00136788">
        <w:t>July</w:t>
      </w:r>
      <w:r w:rsidR="0031475B" w:rsidRPr="00786B88">
        <w:t xml:space="preserve"> forecast</w:t>
      </w:r>
      <w:r w:rsidR="00A0321A" w:rsidRPr="00786B88">
        <w:t xml:space="preserve"> by </w:t>
      </w:r>
      <w:r w:rsidR="00AC16D4" w:rsidRPr="00786B88">
        <w:t>smooth</w:t>
      </w:r>
      <w:r w:rsidR="00A0321A" w:rsidRPr="00786B88">
        <w:t>ing</w:t>
      </w:r>
      <w:r w:rsidR="00AC16D4" w:rsidRPr="00786B88">
        <w:t xml:space="preserve"> the </w:t>
      </w:r>
      <w:r w:rsidR="00AC16D4" w:rsidRPr="002F283A">
        <w:t>growth</w:t>
      </w:r>
      <w:r w:rsidR="00AC16D4" w:rsidRPr="00786B88">
        <w:t xml:space="preserve"> over the </w:t>
      </w:r>
      <w:r w:rsidR="00BC20B6" w:rsidRPr="00786B88">
        <w:t>2012-201</w:t>
      </w:r>
      <w:r w:rsidR="00435E43" w:rsidRPr="00786B88">
        <w:t>6</w:t>
      </w:r>
      <w:r w:rsidR="00BC20B6" w:rsidRPr="00786B88">
        <w:t xml:space="preserve"> </w:t>
      </w:r>
      <w:r w:rsidR="00AC16D4" w:rsidRPr="00786B88">
        <w:t>period</w:t>
      </w:r>
      <w:r w:rsidR="00A0321A" w:rsidRPr="00786B88">
        <w:t xml:space="preserve">.  This </w:t>
      </w:r>
      <w:r w:rsidR="00933C03" w:rsidRPr="00786B88">
        <w:t xml:space="preserve">resulted in </w:t>
      </w:r>
      <w:r w:rsidR="004F02A8" w:rsidRPr="002F283A">
        <w:t xml:space="preserve">a </w:t>
      </w:r>
      <w:r w:rsidR="004F02A8" w:rsidRPr="002F283A">
        <w:lastRenderedPageBreak/>
        <w:t xml:space="preserve">growth rate of </w:t>
      </w:r>
      <w:r w:rsidR="0013021C" w:rsidRPr="0013021C">
        <w:rPr>
          <w:highlight w:val="black"/>
        </w:rPr>
        <w:t>XX</w:t>
      </w:r>
      <w:r w:rsidR="004F02A8" w:rsidRPr="00786B88">
        <w:t xml:space="preserve"> percent per year or </w:t>
      </w:r>
      <w:r w:rsidR="004F02A8" w:rsidRPr="00A65165">
        <w:t>1.</w:t>
      </w:r>
      <w:r w:rsidR="00A519E7" w:rsidRPr="00A65165">
        <w:t>24</w:t>
      </w:r>
      <w:r w:rsidR="004F02A8" w:rsidRPr="00786B88">
        <w:t xml:space="preserve"> </w:t>
      </w:r>
      <w:r w:rsidR="004F02A8" w:rsidRPr="002F283A">
        <w:t>percent</w:t>
      </w:r>
      <w:r w:rsidR="004F02A8" w:rsidRPr="00786B88">
        <w:t xml:space="preserve"> for </w:t>
      </w:r>
      <w:r w:rsidR="004645CB" w:rsidRPr="00786B88">
        <w:t xml:space="preserve">that </w:t>
      </w:r>
      <w:r w:rsidR="00435E43" w:rsidRPr="00786B88">
        <w:t>2011 to 2013</w:t>
      </w:r>
      <w:r w:rsidR="00AC16D4" w:rsidRPr="00786B88">
        <w:t xml:space="preserve">. </w:t>
      </w:r>
      <w:r w:rsidR="004F02A8" w:rsidRPr="00786B88">
        <w:t xml:space="preserve"> Using Avista’s </w:t>
      </w:r>
      <w:r w:rsidR="00EB197A" w:rsidRPr="00786B88">
        <w:t>allocation method to determine revenue</w:t>
      </w:r>
      <w:r w:rsidR="00933C03" w:rsidRPr="00786B88">
        <w:t>,</w:t>
      </w:r>
      <w:r w:rsidR="004F02A8" w:rsidRPr="00786B88">
        <w:t xml:space="preserve"> this equates to a </w:t>
      </w:r>
      <w:r w:rsidR="0005597B" w:rsidRPr="002F283A">
        <w:t>0.</w:t>
      </w:r>
      <w:r w:rsidR="00A519E7" w:rsidRPr="002F283A">
        <w:t>93</w:t>
      </w:r>
      <w:r w:rsidR="0005597B" w:rsidRPr="002F283A">
        <w:t xml:space="preserve"> percent </w:t>
      </w:r>
      <w:r w:rsidR="004645CB" w:rsidRPr="002F283A">
        <w:t>increase</w:t>
      </w:r>
      <w:r w:rsidR="004645CB" w:rsidRPr="00786B88">
        <w:t xml:space="preserve"> </w:t>
      </w:r>
      <w:r w:rsidR="0005597B" w:rsidRPr="00786B88">
        <w:t>in revenue for th</w:t>
      </w:r>
      <w:r w:rsidR="004645CB" w:rsidRPr="00786B88">
        <w:t>at</w:t>
      </w:r>
      <w:r w:rsidR="00550C99" w:rsidRPr="00786B88">
        <w:t xml:space="preserve"> </w:t>
      </w:r>
      <w:r w:rsidR="0005597B" w:rsidRPr="00786B88">
        <w:t>two year period.</w:t>
      </w:r>
      <w:r w:rsidR="002F283A">
        <w:rPr>
          <w:rStyle w:val="FootnoteReference"/>
        </w:rPr>
        <w:footnoteReference w:id="49"/>
      </w:r>
      <w:r w:rsidR="00F705D6" w:rsidRPr="00786B88">
        <w:t xml:space="preserve">  </w:t>
      </w:r>
    </w:p>
    <w:p w14:paraId="36FE85C6" w14:textId="77777777" w:rsidR="00510058" w:rsidRPr="0059264A" w:rsidRDefault="00510058" w:rsidP="00B83F51">
      <w:pPr>
        <w:spacing w:line="480" w:lineRule="auto"/>
        <w:ind w:left="720" w:hanging="720"/>
      </w:pPr>
    </w:p>
    <w:p w14:paraId="36FE85C7" w14:textId="77777777" w:rsidR="0049270C" w:rsidRPr="00786B88" w:rsidRDefault="0049270C" w:rsidP="00B83F51">
      <w:pPr>
        <w:spacing w:line="480" w:lineRule="auto"/>
        <w:ind w:left="720" w:hanging="720"/>
        <w:rPr>
          <w:b/>
        </w:rPr>
      </w:pPr>
      <w:r w:rsidRPr="00786B88">
        <w:rPr>
          <w:b/>
        </w:rPr>
        <w:t>Q.</w:t>
      </w:r>
      <w:r w:rsidRPr="00786B88">
        <w:rPr>
          <w:b/>
        </w:rPr>
        <w:tab/>
        <w:t>Please summarize your electric revenue forecast for the purposes of your attrition analysis</w:t>
      </w:r>
      <w:r w:rsidR="00933C03" w:rsidRPr="00786B88">
        <w:rPr>
          <w:b/>
        </w:rPr>
        <w:t xml:space="preserve"> for electric operations</w:t>
      </w:r>
      <w:r w:rsidRPr="00786B88">
        <w:rPr>
          <w:b/>
        </w:rPr>
        <w:t>.</w:t>
      </w:r>
    </w:p>
    <w:p w14:paraId="36FE85C8" w14:textId="77777777" w:rsidR="0049270C" w:rsidRDefault="0049270C" w:rsidP="00B83F51">
      <w:pPr>
        <w:spacing w:line="480" w:lineRule="auto"/>
        <w:ind w:left="720" w:hanging="720"/>
      </w:pPr>
      <w:r w:rsidRPr="00786B88">
        <w:t>A.</w:t>
      </w:r>
      <w:r w:rsidRPr="00786B88">
        <w:tab/>
        <w:t>My rate year forecast includes a revenue</w:t>
      </w:r>
      <w:r w:rsidR="00A4556F" w:rsidRPr="00786B88">
        <w:t xml:space="preserve"> increase of $4,</w:t>
      </w:r>
      <w:r w:rsidR="00A576AA" w:rsidRPr="00786B88">
        <w:t>392</w:t>
      </w:r>
      <w:r w:rsidR="00A4556F" w:rsidRPr="00786B88">
        <w:t>,000</w:t>
      </w:r>
      <w:r w:rsidR="002F283A">
        <w:rPr>
          <w:rStyle w:val="FootnoteReference"/>
        </w:rPr>
        <w:footnoteReference w:id="50"/>
      </w:r>
      <w:r w:rsidR="00A4556F" w:rsidRPr="00786B88">
        <w:t xml:space="preserve"> </w:t>
      </w:r>
      <w:r w:rsidR="00A576AA" w:rsidRPr="00786B88">
        <w:t>compared to Staff’s base case</w:t>
      </w:r>
      <w:r w:rsidR="002F283A">
        <w:t>,</w:t>
      </w:r>
      <w:r w:rsidR="00A4556F" w:rsidRPr="00786B88">
        <w:t xml:space="preserve"> for a total </w:t>
      </w:r>
      <w:r w:rsidR="002F283A">
        <w:t xml:space="preserve">attrition </w:t>
      </w:r>
      <w:r w:rsidR="00933C03" w:rsidRPr="00786B88">
        <w:t xml:space="preserve">revenue </w:t>
      </w:r>
      <w:r w:rsidR="00A4556F" w:rsidRPr="00786B88">
        <w:t>forecast of $527,47</w:t>
      </w:r>
      <w:r w:rsidR="002F283A">
        <w:t>5</w:t>
      </w:r>
      <w:r w:rsidR="00A4556F" w:rsidRPr="00786B88">
        <w:t>,000.</w:t>
      </w:r>
    </w:p>
    <w:p w14:paraId="36FE85C9" w14:textId="77777777" w:rsidR="00824AB1" w:rsidRPr="00786B88" w:rsidRDefault="00824AB1" w:rsidP="00B83F51">
      <w:pPr>
        <w:spacing w:line="480" w:lineRule="auto"/>
        <w:ind w:left="720" w:hanging="720"/>
      </w:pPr>
    </w:p>
    <w:p w14:paraId="36FE85CA" w14:textId="77777777" w:rsidR="006F6B51" w:rsidRDefault="006F6B51" w:rsidP="00510058">
      <w:pPr>
        <w:keepNext/>
        <w:spacing w:line="480" w:lineRule="auto"/>
        <w:ind w:left="720" w:hanging="720"/>
        <w:rPr>
          <w:b/>
        </w:rPr>
      </w:pPr>
      <w:r w:rsidRPr="00786B88">
        <w:rPr>
          <w:b/>
        </w:rPr>
        <w:tab/>
      </w:r>
      <w:r w:rsidRPr="00786B88">
        <w:rPr>
          <w:b/>
        </w:rPr>
        <w:tab/>
        <w:t>4.</w:t>
      </w:r>
      <w:r w:rsidRPr="00786B88">
        <w:rPr>
          <w:b/>
        </w:rPr>
        <w:tab/>
        <w:t>Evaluating Changes in Revenues – Gas Operations</w:t>
      </w:r>
    </w:p>
    <w:p w14:paraId="36FE85CB" w14:textId="77777777" w:rsidR="00824AB1" w:rsidRPr="00786B88" w:rsidRDefault="00824AB1" w:rsidP="00510058">
      <w:pPr>
        <w:keepNext/>
        <w:spacing w:line="480" w:lineRule="auto"/>
        <w:ind w:left="720" w:hanging="720"/>
        <w:rPr>
          <w:b/>
        </w:rPr>
      </w:pPr>
    </w:p>
    <w:p w14:paraId="36FE85CC" w14:textId="77777777" w:rsidR="006F6B51" w:rsidRPr="006F6B51" w:rsidRDefault="006F6B51" w:rsidP="006F6B51">
      <w:pPr>
        <w:spacing w:line="480" w:lineRule="auto"/>
        <w:ind w:left="720" w:hanging="720"/>
        <w:rPr>
          <w:b/>
        </w:rPr>
      </w:pPr>
      <w:r w:rsidRPr="00786B88">
        <w:rPr>
          <w:b/>
        </w:rPr>
        <w:t>Q.</w:t>
      </w:r>
      <w:r w:rsidRPr="00786B88">
        <w:rPr>
          <w:b/>
        </w:rPr>
        <w:tab/>
        <w:t>How did you evaluate changes in revenues for gas operations in your attrition study?</w:t>
      </w:r>
    </w:p>
    <w:p w14:paraId="36FE85CD" w14:textId="77777777" w:rsidR="008E21C7" w:rsidRDefault="006F6B51" w:rsidP="00AC16D4">
      <w:pPr>
        <w:spacing w:line="480" w:lineRule="auto"/>
        <w:ind w:left="720" w:hanging="720"/>
        <w:rPr>
          <w:b/>
        </w:rPr>
      </w:pPr>
      <w:r>
        <w:t>A.</w:t>
      </w:r>
      <w:r>
        <w:tab/>
      </w:r>
      <w:r w:rsidR="00550C99" w:rsidRPr="00786B88">
        <w:t xml:space="preserve">As with electric service, I </w:t>
      </w:r>
      <w:r w:rsidR="00BF5D3C" w:rsidRPr="00786B88">
        <w:t>separately categorize and analyze general business revenue</w:t>
      </w:r>
      <w:r w:rsidR="004441EF" w:rsidRPr="00786B88">
        <w:t xml:space="preserve"> and</w:t>
      </w:r>
      <w:r w:rsidR="00BF5D3C" w:rsidRPr="00786B88">
        <w:t xml:space="preserve"> </w:t>
      </w:r>
      <w:r w:rsidR="00C6408F" w:rsidRPr="00786B88">
        <w:t>transportation revenue</w:t>
      </w:r>
      <w:r w:rsidR="00BF5D3C" w:rsidRPr="00786B88">
        <w:t>.</w:t>
      </w:r>
      <w:r w:rsidR="00BF5D3C">
        <w:t xml:space="preserve"> </w:t>
      </w:r>
      <w:r w:rsidR="00933C03">
        <w:t xml:space="preserve"> </w:t>
      </w:r>
      <w:r w:rsidR="00BF5D3C">
        <w:t>Again</w:t>
      </w:r>
      <w:r w:rsidR="00933C03">
        <w:t>,</w:t>
      </w:r>
      <w:r w:rsidR="00BF5D3C">
        <w:t xml:space="preserve"> I trended the </w:t>
      </w:r>
      <w:r w:rsidR="00933C03">
        <w:t xml:space="preserve">results in the Company’s </w:t>
      </w:r>
      <w:r w:rsidR="00A0321A">
        <w:t xml:space="preserve">two </w:t>
      </w:r>
      <w:r w:rsidR="00BF5D3C">
        <w:t>load forecast</w:t>
      </w:r>
      <w:r w:rsidR="00A0321A">
        <w:t>s</w:t>
      </w:r>
      <w:r w:rsidR="00BF5D3C">
        <w:t xml:space="preserve"> to </w:t>
      </w:r>
      <w:r w:rsidR="004441EF">
        <w:t>determine</w:t>
      </w:r>
      <w:r w:rsidR="00BF5D3C">
        <w:t xml:space="preserve"> a reasonable </w:t>
      </w:r>
      <w:r w:rsidR="00BF5D3C" w:rsidRPr="00786B88">
        <w:t>level of revenue growth</w:t>
      </w:r>
      <w:r w:rsidR="00A4556F" w:rsidRPr="00786B88">
        <w:t xml:space="preserve"> for the purposes</w:t>
      </w:r>
      <w:r w:rsidR="00A4556F">
        <w:t xml:space="preserve"> of this attrition analysis.</w:t>
      </w:r>
      <w:r w:rsidR="004441EF">
        <w:t xml:space="preserve"> </w:t>
      </w:r>
    </w:p>
    <w:p w14:paraId="36FE85CE" w14:textId="77777777" w:rsidR="00A0321A" w:rsidRDefault="00A0321A" w:rsidP="006F6B51">
      <w:pPr>
        <w:spacing w:line="480" w:lineRule="auto"/>
        <w:ind w:left="720" w:hanging="720"/>
        <w:rPr>
          <w:b/>
        </w:rPr>
      </w:pPr>
    </w:p>
    <w:p w14:paraId="36FE85CF" w14:textId="77777777" w:rsidR="006F6B51" w:rsidRPr="00A43F05" w:rsidRDefault="00E342D6" w:rsidP="006F6B51">
      <w:pPr>
        <w:spacing w:line="480" w:lineRule="auto"/>
        <w:ind w:left="720" w:hanging="720"/>
        <w:rPr>
          <w:b/>
        </w:rPr>
      </w:pPr>
      <w:r>
        <w:rPr>
          <w:b/>
        </w:rPr>
        <w:t xml:space="preserve">Q. </w:t>
      </w:r>
      <w:r>
        <w:rPr>
          <w:b/>
        </w:rPr>
        <w:tab/>
        <w:t xml:space="preserve">Please discuss </w:t>
      </w:r>
      <w:r w:rsidR="006F6B51">
        <w:rPr>
          <w:b/>
        </w:rPr>
        <w:t>the Company’s load forecasts for gas revenues for the rate year 2013.</w:t>
      </w:r>
      <w:r w:rsidR="00644308">
        <w:rPr>
          <w:rStyle w:val="FootnoteReference"/>
          <w:b/>
        </w:rPr>
        <w:footnoteReference w:id="51"/>
      </w:r>
    </w:p>
    <w:p w14:paraId="36FE85D0" w14:textId="28920030" w:rsidR="00933C03" w:rsidRDefault="006F6B51" w:rsidP="00A4556F">
      <w:pPr>
        <w:spacing w:line="480" w:lineRule="auto"/>
        <w:ind w:left="720" w:hanging="720"/>
      </w:pPr>
      <w:r>
        <w:lastRenderedPageBreak/>
        <w:t>A.</w:t>
      </w:r>
      <w:r>
        <w:tab/>
      </w:r>
      <w:r w:rsidRPr="00786B88">
        <w:t xml:space="preserve">The Company’s </w:t>
      </w:r>
      <w:r w:rsidR="00BF5D3C" w:rsidRPr="00786B88">
        <w:t xml:space="preserve">natural </w:t>
      </w:r>
      <w:r w:rsidR="002F6B4A" w:rsidRPr="00786B88">
        <w:t>gas</w:t>
      </w:r>
      <w:r w:rsidR="007C3A92" w:rsidRPr="00786B88">
        <w:t xml:space="preserve"> </w:t>
      </w:r>
      <w:r w:rsidR="00A43F05" w:rsidRPr="00786B88">
        <w:t>load forecast</w:t>
      </w:r>
      <w:r w:rsidR="007C3A92" w:rsidRPr="00786B88">
        <w:t>s</w:t>
      </w:r>
      <w:r w:rsidR="00A43F05" w:rsidRPr="00786B88">
        <w:t xml:space="preserve"> </w:t>
      </w:r>
      <w:r w:rsidR="00850382" w:rsidRPr="00786B88">
        <w:t>reflect</w:t>
      </w:r>
      <w:r w:rsidR="00A43F05" w:rsidRPr="00786B88">
        <w:t xml:space="preserve"> similar characteristics as the </w:t>
      </w:r>
      <w:r w:rsidR="009B23C3" w:rsidRPr="00786B88">
        <w:t xml:space="preserve">Company’s </w:t>
      </w:r>
      <w:r w:rsidR="00A43F05" w:rsidRPr="00786B88">
        <w:t xml:space="preserve">electric </w:t>
      </w:r>
      <w:r w:rsidR="009B23C3" w:rsidRPr="00786B88">
        <w:t xml:space="preserve">load </w:t>
      </w:r>
      <w:r w:rsidR="00A43F05" w:rsidRPr="00786B88">
        <w:t>forecast</w:t>
      </w:r>
      <w:r w:rsidR="007C3A92" w:rsidRPr="00786B88">
        <w:t>s</w:t>
      </w:r>
      <w:r w:rsidR="00A43F05" w:rsidRPr="00786B88">
        <w:t>.</w:t>
      </w:r>
      <w:r w:rsidR="007C3A92" w:rsidRPr="00786B88">
        <w:t xml:space="preserve"> </w:t>
      </w:r>
      <w:r w:rsidR="00D71533" w:rsidRPr="00786B88">
        <w:t xml:space="preserve"> </w:t>
      </w:r>
      <w:r w:rsidR="008948CC" w:rsidRPr="00786B88">
        <w:t>Like its electric load forecast, t</w:t>
      </w:r>
      <w:r w:rsidR="006E6B5E" w:rsidRPr="00786B88">
        <w:t xml:space="preserve">he </w:t>
      </w:r>
      <w:r w:rsidR="007C3A92" w:rsidRPr="00786B88">
        <w:t xml:space="preserve">Company </w:t>
      </w:r>
      <w:r w:rsidR="006E6B5E" w:rsidRPr="00786B88">
        <w:t>forecast</w:t>
      </w:r>
      <w:r w:rsidR="007C3A92" w:rsidRPr="00786B88">
        <w:t>s an</w:t>
      </w:r>
      <w:r w:rsidR="008948CC" w:rsidRPr="00786B88">
        <w:t xml:space="preserve"> overall increase in gas revenues over the </w:t>
      </w:r>
      <w:r w:rsidR="009B23C3" w:rsidRPr="00786B88">
        <w:t>2</w:t>
      </w:r>
      <w:r w:rsidR="008948CC" w:rsidRPr="00786B88">
        <w:t>011-2016 time frame</w:t>
      </w:r>
      <w:r w:rsidR="00933C03" w:rsidRPr="00786B88">
        <w:t>,</w:t>
      </w:r>
      <w:r w:rsidR="00BF5D3C" w:rsidRPr="00786B88">
        <w:t xml:space="preserve"> although </w:t>
      </w:r>
      <w:r w:rsidR="00933C03" w:rsidRPr="00786B88">
        <w:t xml:space="preserve">unlike the electric forecast, the Company’s </w:t>
      </w:r>
      <w:r w:rsidR="00BF5D3C" w:rsidRPr="00786B88">
        <w:t xml:space="preserve">natural gas service </w:t>
      </w:r>
      <w:r w:rsidR="00933C03" w:rsidRPr="00786B88">
        <w:t xml:space="preserve">forecast </w:t>
      </w:r>
      <w:r w:rsidR="00BF5D3C" w:rsidRPr="00786B88">
        <w:t>does not show an overall load decrease in</w:t>
      </w:r>
      <w:r w:rsidR="00BF5D3C">
        <w:t xml:space="preserve"> 2012.  Instead</w:t>
      </w:r>
      <w:r w:rsidR="004441EF">
        <w:t xml:space="preserve">, </w:t>
      </w:r>
      <w:r w:rsidR="00933C03">
        <w:t>the Company forecasts</w:t>
      </w:r>
      <w:r w:rsidR="00BF5D3C">
        <w:t xml:space="preserve"> </w:t>
      </w:r>
      <w:r w:rsidR="00644308">
        <w:t xml:space="preserve">a </w:t>
      </w:r>
      <w:r w:rsidR="00131A45">
        <w:t>G</w:t>
      </w:r>
      <w:r w:rsidR="00C60948">
        <w:t xml:space="preserve">eneral </w:t>
      </w:r>
      <w:r w:rsidR="00131A45">
        <w:t>Service</w:t>
      </w:r>
      <w:r w:rsidR="00C60948">
        <w:t xml:space="preserve"> volume </w:t>
      </w:r>
      <w:r w:rsidR="00A4556F" w:rsidRPr="00786B88">
        <w:t>increase</w:t>
      </w:r>
      <w:r w:rsidR="00644308" w:rsidRPr="00786B88">
        <w:t xml:space="preserve"> of</w:t>
      </w:r>
      <w:r w:rsidR="00AE5D88" w:rsidRPr="00786B88">
        <w:t xml:space="preserve"> </w:t>
      </w:r>
      <w:r w:rsidR="00680B66" w:rsidRPr="00680B66">
        <w:rPr>
          <w:highlight w:val="black"/>
        </w:rPr>
        <w:t>XX</w:t>
      </w:r>
      <w:r w:rsidR="00AE5D88">
        <w:t xml:space="preserve"> percent in 2012, and </w:t>
      </w:r>
      <w:r w:rsidR="00933C03">
        <w:t xml:space="preserve">this is </w:t>
      </w:r>
      <w:r w:rsidR="00C60948">
        <w:t>consistent</w:t>
      </w:r>
      <w:r w:rsidR="00A4556F">
        <w:t xml:space="preserve"> between </w:t>
      </w:r>
      <w:r w:rsidR="00933C03">
        <w:t xml:space="preserve">the two </w:t>
      </w:r>
      <w:r w:rsidR="00A4556F">
        <w:t>forecasts</w:t>
      </w:r>
      <w:r w:rsidR="00AE5D88">
        <w:t>.</w:t>
      </w:r>
      <w:r w:rsidR="00C60948">
        <w:t xml:space="preserve">  </w:t>
      </w:r>
      <w:r w:rsidR="005870D6">
        <w:t xml:space="preserve"> </w:t>
      </w:r>
    </w:p>
    <w:p w14:paraId="36FE85D1" w14:textId="68F96032" w:rsidR="004441EF" w:rsidRDefault="00933C03" w:rsidP="00A4556F">
      <w:pPr>
        <w:spacing w:line="480" w:lineRule="auto"/>
        <w:ind w:left="720" w:hanging="720"/>
      </w:pPr>
      <w:r>
        <w:tab/>
      </w:r>
      <w:r>
        <w:tab/>
      </w:r>
      <w:r w:rsidR="00583123">
        <w:t xml:space="preserve">Avista </w:t>
      </w:r>
      <w:r w:rsidR="00583123" w:rsidRPr="00136788">
        <w:t xml:space="preserve">forecasts </w:t>
      </w:r>
      <w:r w:rsidR="00583123" w:rsidRPr="00A65165">
        <w:t>decreases</w:t>
      </w:r>
      <w:r w:rsidR="00583123">
        <w:t xml:space="preserve"> in </w:t>
      </w:r>
      <w:r w:rsidR="005870D6">
        <w:t xml:space="preserve">General </w:t>
      </w:r>
      <w:r w:rsidR="00583123">
        <w:t>S</w:t>
      </w:r>
      <w:r w:rsidR="005870D6">
        <w:t xml:space="preserve">ervice </w:t>
      </w:r>
      <w:r w:rsidR="008B7C06">
        <w:t>volumes</w:t>
      </w:r>
      <w:r w:rsidR="005870D6">
        <w:t xml:space="preserve"> for the</w:t>
      </w:r>
      <w:r w:rsidR="00C60948">
        <w:t xml:space="preserve"> year </w:t>
      </w:r>
      <w:smartTag w:uri="urn:schemas-microsoft-com:office:smarttags" w:element="metricconverter">
        <w:smartTagPr>
          <w:attr w:name="ProductID" w:val="2013 in"/>
        </w:smartTagPr>
        <w:r w:rsidR="00C60948">
          <w:t xml:space="preserve">2013 </w:t>
        </w:r>
        <w:r w:rsidR="00AE5D88">
          <w:t>in</w:t>
        </w:r>
      </w:smartTag>
      <w:r w:rsidR="00AE5D88">
        <w:t xml:space="preserve"> both forecasts; the first forecast includes a </w:t>
      </w:r>
      <w:r w:rsidR="00AE5D88" w:rsidRPr="00786B88">
        <w:t xml:space="preserve">decrease of </w:t>
      </w:r>
      <w:r w:rsidR="00680B66" w:rsidRPr="00680B66">
        <w:rPr>
          <w:highlight w:val="black"/>
        </w:rPr>
        <w:t>XX</w:t>
      </w:r>
      <w:r w:rsidR="00AE5D88">
        <w:t xml:space="preserve"> percent</w:t>
      </w:r>
      <w:r w:rsidR="005870D6">
        <w:t xml:space="preserve"> and the July forecast </w:t>
      </w:r>
      <w:r w:rsidR="005870D6" w:rsidRPr="00786B88">
        <w:t>includes a decrease</w:t>
      </w:r>
      <w:r w:rsidR="00AE5D88" w:rsidRPr="00786B88">
        <w:t xml:space="preserve"> </w:t>
      </w:r>
      <w:r w:rsidR="008B7C06" w:rsidRPr="00786B88">
        <w:t xml:space="preserve">of </w:t>
      </w:r>
      <w:r w:rsidR="00680B66" w:rsidRPr="00680B66">
        <w:rPr>
          <w:highlight w:val="black"/>
        </w:rPr>
        <w:t>XX</w:t>
      </w:r>
      <w:r w:rsidR="008B7C06" w:rsidRPr="00680B66">
        <w:rPr>
          <w:highlight w:val="black"/>
        </w:rPr>
        <w:t xml:space="preserve"> </w:t>
      </w:r>
      <w:r w:rsidR="008B7C06" w:rsidRPr="00786B88">
        <w:t>percent.</w:t>
      </w:r>
      <w:r w:rsidR="00C60948" w:rsidRPr="00786B88">
        <w:t xml:space="preserve">  </w:t>
      </w:r>
      <w:r w:rsidR="008C560B" w:rsidRPr="00786B88">
        <w:t xml:space="preserve">The percentage volume growth </w:t>
      </w:r>
      <w:r w:rsidR="00583123" w:rsidRPr="00786B88">
        <w:t>forecast</w:t>
      </w:r>
      <w:r w:rsidR="00583123">
        <w:t xml:space="preserve"> </w:t>
      </w:r>
      <w:r w:rsidR="008C560B">
        <w:t>for the two</w:t>
      </w:r>
      <w:r w:rsidR="00583123">
        <w:t>-</w:t>
      </w:r>
      <w:r w:rsidR="008C560B">
        <w:t xml:space="preserve">year period 2011 to 2013 is </w:t>
      </w:r>
      <w:r w:rsidR="008C560B" w:rsidRPr="00A65165">
        <w:t xml:space="preserve">1.7 </w:t>
      </w:r>
      <w:r w:rsidR="008C560B" w:rsidRPr="00786B88">
        <w:t>percent in</w:t>
      </w:r>
      <w:r w:rsidR="008C560B">
        <w:t xml:space="preserve"> the first forecast and </w:t>
      </w:r>
      <w:r w:rsidR="008C560B" w:rsidRPr="00A65165">
        <w:t>0.7</w:t>
      </w:r>
      <w:r w:rsidR="00644308">
        <w:t xml:space="preserve"> </w:t>
      </w:r>
      <w:r w:rsidR="00644308" w:rsidRPr="00786B88">
        <w:t>percent</w:t>
      </w:r>
      <w:r w:rsidR="008C560B">
        <w:t xml:space="preserve"> in the July forecast.</w:t>
      </w:r>
    </w:p>
    <w:p w14:paraId="36FE85D2" w14:textId="595124AA" w:rsidR="008C560B" w:rsidRDefault="004441EF" w:rsidP="004441EF">
      <w:pPr>
        <w:spacing w:line="480" w:lineRule="auto"/>
        <w:ind w:left="720" w:firstLine="720"/>
      </w:pPr>
      <w:r>
        <w:t xml:space="preserve">Transportation volumes for </w:t>
      </w:r>
      <w:r w:rsidRPr="00786B88">
        <w:t xml:space="preserve">2012 decrease </w:t>
      </w:r>
      <w:r w:rsidR="00897342" w:rsidRPr="00897342">
        <w:rPr>
          <w:highlight w:val="black"/>
        </w:rPr>
        <w:t>X</w:t>
      </w:r>
      <w:r>
        <w:t xml:space="preserve"> percent in the first forecast and </w:t>
      </w:r>
      <w:r w:rsidRPr="00786B88">
        <w:t xml:space="preserve">only decrease </w:t>
      </w:r>
      <w:r w:rsidR="00897342" w:rsidRPr="00897342">
        <w:rPr>
          <w:highlight w:val="black"/>
        </w:rPr>
        <w:t>XX</w:t>
      </w:r>
      <w:r>
        <w:t xml:space="preserve"> percent in the July forecast.  For the year 2013, transportation </w:t>
      </w:r>
      <w:r w:rsidRPr="00786B88">
        <w:t xml:space="preserve">volumes increase </w:t>
      </w:r>
      <w:r w:rsidR="00897342" w:rsidRPr="00897342">
        <w:rPr>
          <w:highlight w:val="black"/>
        </w:rPr>
        <w:t>XX</w:t>
      </w:r>
      <w:r>
        <w:t xml:space="preserve"> percent in the first forecast and </w:t>
      </w:r>
      <w:r w:rsidR="00897342" w:rsidRPr="00897342">
        <w:rPr>
          <w:highlight w:val="black"/>
        </w:rPr>
        <w:t>X</w:t>
      </w:r>
      <w:r w:rsidRPr="00897342">
        <w:rPr>
          <w:highlight w:val="black"/>
        </w:rPr>
        <w:t xml:space="preserve"> </w:t>
      </w:r>
      <w:r w:rsidRPr="00786B88">
        <w:t>percent in</w:t>
      </w:r>
      <w:r>
        <w:t xml:space="preserve"> the July forecast.  </w:t>
      </w:r>
      <w:r w:rsidR="008C560B">
        <w:t xml:space="preserve">For the two year period 2011 to 2013, transportation </w:t>
      </w:r>
      <w:r w:rsidR="008C560B" w:rsidRPr="00786B88">
        <w:t xml:space="preserve">volumes </w:t>
      </w:r>
      <w:r w:rsidR="008C560B" w:rsidRPr="00136788">
        <w:t xml:space="preserve">decrease </w:t>
      </w:r>
      <w:r w:rsidR="008C560B" w:rsidRPr="00A65165">
        <w:t>2.9</w:t>
      </w:r>
      <w:r w:rsidR="008C560B">
        <w:t xml:space="preserve"> percent in the first </w:t>
      </w:r>
      <w:r w:rsidR="008C560B" w:rsidRPr="00786B88">
        <w:t xml:space="preserve">forecast and </w:t>
      </w:r>
      <w:r w:rsidR="00D83095" w:rsidRPr="00136788">
        <w:t xml:space="preserve">increase </w:t>
      </w:r>
      <w:r w:rsidR="00D83095" w:rsidRPr="00A65165">
        <w:t xml:space="preserve">4.0 </w:t>
      </w:r>
      <w:r w:rsidR="00D83095" w:rsidRPr="00136788">
        <w:t>percent</w:t>
      </w:r>
      <w:r w:rsidR="00D83095" w:rsidRPr="00786B88">
        <w:t xml:space="preserve"> in the</w:t>
      </w:r>
      <w:r w:rsidR="00D83095">
        <w:t xml:space="preserve"> July forecast.</w:t>
      </w:r>
    </w:p>
    <w:p w14:paraId="36FE85D3" w14:textId="77777777" w:rsidR="006120B5" w:rsidRDefault="006120B5" w:rsidP="006120B5">
      <w:pPr>
        <w:spacing w:line="480" w:lineRule="auto"/>
        <w:ind w:left="720" w:hanging="720"/>
        <w:rPr>
          <w:b/>
        </w:rPr>
      </w:pPr>
    </w:p>
    <w:p w14:paraId="36FE85D4" w14:textId="77777777" w:rsidR="006120B5" w:rsidRDefault="006120B5" w:rsidP="006120B5">
      <w:pPr>
        <w:spacing w:line="480" w:lineRule="auto"/>
        <w:ind w:left="720" w:hanging="720"/>
        <w:rPr>
          <w:b/>
        </w:rPr>
      </w:pPr>
      <w:r>
        <w:rPr>
          <w:b/>
        </w:rPr>
        <w:t>Q.</w:t>
      </w:r>
      <w:r>
        <w:rPr>
          <w:b/>
        </w:rPr>
        <w:tab/>
        <w:t xml:space="preserve">What do the forecasts </w:t>
      </w:r>
      <w:r w:rsidR="00A0321A">
        <w:rPr>
          <w:b/>
        </w:rPr>
        <w:t xml:space="preserve">include </w:t>
      </w:r>
      <w:r>
        <w:rPr>
          <w:b/>
        </w:rPr>
        <w:t xml:space="preserve">for </w:t>
      </w:r>
      <w:r w:rsidR="006A7239">
        <w:rPr>
          <w:b/>
        </w:rPr>
        <w:t xml:space="preserve">changes in </w:t>
      </w:r>
      <w:r w:rsidR="00A0321A">
        <w:rPr>
          <w:b/>
        </w:rPr>
        <w:t xml:space="preserve">numbers of </w:t>
      </w:r>
      <w:r w:rsidR="00161EBD">
        <w:rPr>
          <w:b/>
        </w:rPr>
        <w:t xml:space="preserve">gas </w:t>
      </w:r>
      <w:r w:rsidR="00A0321A">
        <w:rPr>
          <w:b/>
        </w:rPr>
        <w:t>customers</w:t>
      </w:r>
      <w:r>
        <w:rPr>
          <w:b/>
        </w:rPr>
        <w:t>?</w:t>
      </w:r>
    </w:p>
    <w:p w14:paraId="36FE85D5" w14:textId="6061936E" w:rsidR="00182CE7" w:rsidRDefault="006120B5" w:rsidP="00F47E6B">
      <w:pPr>
        <w:spacing w:line="480" w:lineRule="auto"/>
        <w:ind w:left="720" w:hanging="720"/>
      </w:pPr>
      <w:r>
        <w:t>A.</w:t>
      </w:r>
      <w:r>
        <w:tab/>
        <w:t xml:space="preserve">Both load forecasts include an </w:t>
      </w:r>
      <w:r w:rsidRPr="00786B88">
        <w:t xml:space="preserve">average annual growth </w:t>
      </w:r>
      <w:r w:rsidR="00583123" w:rsidRPr="00786B88">
        <w:t>in</w:t>
      </w:r>
      <w:r w:rsidR="00583123">
        <w:t xml:space="preserve"> customers </w:t>
      </w:r>
      <w:r>
        <w:t xml:space="preserve">of </w:t>
      </w:r>
      <w:r w:rsidR="00897342" w:rsidRPr="00897342">
        <w:rPr>
          <w:highlight w:val="black"/>
        </w:rPr>
        <w:t>XX</w:t>
      </w:r>
      <w:r>
        <w:t xml:space="preserve"> percent</w:t>
      </w:r>
      <w:r w:rsidR="00583123">
        <w:t xml:space="preserve"> over the period 2011 to 2016</w:t>
      </w:r>
      <w:r>
        <w:t xml:space="preserve">.  The first forecast </w:t>
      </w:r>
      <w:r w:rsidRPr="00786B88">
        <w:t>includes an increase</w:t>
      </w:r>
      <w:r>
        <w:t xml:space="preserve"> of </w:t>
      </w:r>
      <w:r w:rsidR="00897342" w:rsidRPr="00897342">
        <w:rPr>
          <w:highlight w:val="black"/>
        </w:rPr>
        <w:t>XX</w:t>
      </w:r>
      <w:r>
        <w:t xml:space="preserve"> percent for 2012 and </w:t>
      </w:r>
      <w:r w:rsidR="00897342" w:rsidRPr="00897342">
        <w:rPr>
          <w:highlight w:val="black"/>
        </w:rPr>
        <w:t>XX</w:t>
      </w:r>
      <w:r>
        <w:t xml:space="preserve"> percent for 2013.  The July forecast provides a customer </w:t>
      </w:r>
      <w:r w:rsidRPr="00786B88">
        <w:t>growth</w:t>
      </w:r>
      <w:r>
        <w:t xml:space="preserve"> of </w:t>
      </w:r>
      <w:r w:rsidR="00897342" w:rsidRPr="00897342">
        <w:rPr>
          <w:highlight w:val="black"/>
        </w:rPr>
        <w:t>XX</w:t>
      </w:r>
      <w:r>
        <w:t xml:space="preserve"> percent in 2012 and </w:t>
      </w:r>
      <w:r w:rsidR="00897342" w:rsidRPr="00897342">
        <w:rPr>
          <w:highlight w:val="black"/>
        </w:rPr>
        <w:t>XX</w:t>
      </w:r>
      <w:r>
        <w:t xml:space="preserve"> percent in 2013 although </w:t>
      </w:r>
      <w:r w:rsidRPr="00786B88">
        <w:t xml:space="preserve">it averages </w:t>
      </w:r>
      <w:r w:rsidR="00897342" w:rsidRPr="00897342">
        <w:rPr>
          <w:highlight w:val="black"/>
        </w:rPr>
        <w:t>XX</w:t>
      </w:r>
      <w:r>
        <w:t xml:space="preserve"> percent for the </w:t>
      </w:r>
      <w:r>
        <w:lastRenderedPageBreak/>
        <w:t>period 2011 to 2016.</w:t>
      </w:r>
      <w:r w:rsidR="00D83095">
        <w:t xml:space="preserve">  For the two year period </w:t>
      </w:r>
      <w:r w:rsidR="00313C51">
        <w:t>2011 to 2013</w:t>
      </w:r>
      <w:r w:rsidR="00583123">
        <w:t>,</w:t>
      </w:r>
      <w:r w:rsidR="00313C51">
        <w:t xml:space="preserve"> the first forecast reflects </w:t>
      </w:r>
      <w:r w:rsidR="00313C51" w:rsidRPr="00786B88">
        <w:t xml:space="preserve">customer growth of </w:t>
      </w:r>
      <w:r w:rsidR="00801E76" w:rsidRPr="00801E76">
        <w:rPr>
          <w:highlight w:val="black"/>
        </w:rPr>
        <w:t>X</w:t>
      </w:r>
      <w:r w:rsidR="00313C51" w:rsidRPr="00801E76">
        <w:rPr>
          <w:highlight w:val="black"/>
        </w:rPr>
        <w:t xml:space="preserve"> </w:t>
      </w:r>
      <w:r w:rsidR="00313C51" w:rsidRPr="00786B88">
        <w:t>percent and</w:t>
      </w:r>
      <w:r w:rsidR="00313C51">
        <w:t xml:space="preserve"> the July forecast includes </w:t>
      </w:r>
      <w:r w:rsidR="00313C51" w:rsidRPr="00786B88">
        <w:t xml:space="preserve">customer growth of </w:t>
      </w:r>
      <w:r w:rsidR="00801E76" w:rsidRPr="00801E76">
        <w:rPr>
          <w:highlight w:val="black"/>
        </w:rPr>
        <w:t>XX</w:t>
      </w:r>
      <w:r w:rsidR="00313C51">
        <w:t xml:space="preserve"> percent.</w:t>
      </w:r>
      <w:r w:rsidR="00A0321A">
        <w:t xml:space="preserve">  </w:t>
      </w:r>
      <w:r w:rsidR="00D65BBC">
        <w:t xml:space="preserve">As with electric service, the changes between the </w:t>
      </w:r>
      <w:r w:rsidR="00161EBD">
        <w:t xml:space="preserve">two </w:t>
      </w:r>
      <w:r w:rsidR="00D65BBC">
        <w:t>natural gas load for</w:t>
      </w:r>
      <w:r w:rsidR="000D57E6">
        <w:t>e</w:t>
      </w:r>
      <w:r w:rsidR="00D65BBC">
        <w:t xml:space="preserve">casts </w:t>
      </w:r>
      <w:r w:rsidR="00583123">
        <w:t xml:space="preserve">again </w:t>
      </w:r>
      <w:r w:rsidR="00D65BBC">
        <w:t xml:space="preserve">demonstrate how </w:t>
      </w:r>
      <w:r w:rsidR="00A0321A">
        <w:t xml:space="preserve">unstable </w:t>
      </w:r>
      <w:r w:rsidR="00D65BBC">
        <w:t>load forecasts can be</w:t>
      </w:r>
      <w:r w:rsidR="00583123">
        <w:t xml:space="preserve">, </w:t>
      </w:r>
      <w:r w:rsidR="00D65BBC">
        <w:t xml:space="preserve">even </w:t>
      </w:r>
      <w:r w:rsidR="00583123">
        <w:t xml:space="preserve">in the </w:t>
      </w:r>
      <w:r w:rsidR="00D65BBC">
        <w:t xml:space="preserve">near term. </w:t>
      </w:r>
      <w:r w:rsidR="008948CC" w:rsidDel="008948CC">
        <w:t xml:space="preserve"> </w:t>
      </w:r>
    </w:p>
    <w:p w14:paraId="36FE85D6" w14:textId="77777777" w:rsidR="000D57E6" w:rsidRDefault="000D57E6" w:rsidP="00F47E6B">
      <w:pPr>
        <w:spacing w:line="480" w:lineRule="auto"/>
        <w:ind w:left="720" w:hanging="720"/>
      </w:pPr>
    </w:p>
    <w:p w14:paraId="36FE85D7" w14:textId="77777777" w:rsidR="007C3A92" w:rsidRDefault="00AB2A98" w:rsidP="00D7759D">
      <w:pPr>
        <w:spacing w:line="480" w:lineRule="auto"/>
        <w:ind w:left="720" w:hanging="720"/>
        <w:rPr>
          <w:b/>
        </w:rPr>
      </w:pPr>
      <w:r>
        <w:rPr>
          <w:b/>
        </w:rPr>
        <w:t>Q.</w:t>
      </w:r>
      <w:r>
        <w:rPr>
          <w:b/>
        </w:rPr>
        <w:tab/>
      </w:r>
      <w:r w:rsidR="00583123">
        <w:rPr>
          <w:b/>
        </w:rPr>
        <w:t xml:space="preserve">How did you use the information </w:t>
      </w:r>
      <w:r w:rsidR="00161EBD">
        <w:rPr>
          <w:b/>
        </w:rPr>
        <w:t xml:space="preserve">from the two load forecasts </w:t>
      </w:r>
      <w:r w:rsidR="00583123">
        <w:rPr>
          <w:b/>
        </w:rPr>
        <w:t xml:space="preserve">to determine </w:t>
      </w:r>
      <w:r w:rsidR="00D702A6">
        <w:rPr>
          <w:b/>
        </w:rPr>
        <w:t xml:space="preserve">gas revenues for </w:t>
      </w:r>
      <w:r>
        <w:rPr>
          <w:b/>
        </w:rPr>
        <w:t>your attrition study?</w:t>
      </w:r>
    </w:p>
    <w:p w14:paraId="36FE85D8" w14:textId="77777777" w:rsidR="00583123" w:rsidRDefault="00AB2A98" w:rsidP="00F47E6B">
      <w:pPr>
        <w:spacing w:line="480" w:lineRule="auto"/>
        <w:ind w:left="720" w:hanging="720"/>
      </w:pPr>
      <w:r>
        <w:t>A.</w:t>
      </w:r>
      <w:r>
        <w:tab/>
      </w:r>
      <w:r w:rsidR="00182CE7">
        <w:t xml:space="preserve">As </w:t>
      </w:r>
      <w:r>
        <w:t xml:space="preserve">I did for </w:t>
      </w:r>
      <w:r w:rsidR="00182CE7">
        <w:t>electric</w:t>
      </w:r>
      <w:r w:rsidR="007C3A92">
        <w:t xml:space="preserve"> service</w:t>
      </w:r>
      <w:r>
        <w:t xml:space="preserve"> revenues</w:t>
      </w:r>
      <w:r w:rsidR="00182CE7">
        <w:t xml:space="preserve">, </w:t>
      </w:r>
      <w:r>
        <w:t xml:space="preserve">I </w:t>
      </w:r>
      <w:r w:rsidR="00D702A6">
        <w:t xml:space="preserve">did not accept </w:t>
      </w:r>
      <w:r w:rsidR="00583123">
        <w:t>either Company forecast</w:t>
      </w:r>
      <w:r w:rsidR="006F6B51">
        <w:t>.</w:t>
      </w:r>
      <w:r w:rsidR="00D702A6">
        <w:t xml:space="preserve">  Instead, I </w:t>
      </w:r>
      <w:r w:rsidR="00D702A6" w:rsidRPr="00786B88">
        <w:t xml:space="preserve">assumed </w:t>
      </w:r>
      <w:r w:rsidR="00F705D6" w:rsidRPr="00786B88">
        <w:t>g</w:t>
      </w:r>
      <w:r w:rsidR="00182CE7" w:rsidRPr="00786B88">
        <w:t xml:space="preserve">rowth </w:t>
      </w:r>
      <w:r w:rsidR="00F705D6" w:rsidRPr="00786B88">
        <w:t>based on the average</w:t>
      </w:r>
      <w:r w:rsidR="00F705D6">
        <w:t xml:space="preserve"> through 2016</w:t>
      </w:r>
      <w:r w:rsidR="00C6408F">
        <w:t>.</w:t>
      </w:r>
      <w:r w:rsidR="00131A45">
        <w:rPr>
          <w:rStyle w:val="FootnoteReference"/>
        </w:rPr>
        <w:footnoteReference w:id="52"/>
      </w:r>
      <w:r w:rsidR="00BE4657">
        <w:t xml:space="preserve">  The effect is </w:t>
      </w:r>
      <w:r w:rsidR="00C6408F">
        <w:t xml:space="preserve">to </w:t>
      </w:r>
      <w:r w:rsidR="00C6408F" w:rsidRPr="00786B88">
        <w:t>smooth</w:t>
      </w:r>
      <w:r w:rsidR="00BE4657" w:rsidRPr="00786B88">
        <w:t xml:space="preserve"> </w:t>
      </w:r>
      <w:r w:rsidR="00973B22" w:rsidRPr="00786B88">
        <w:t>f</w:t>
      </w:r>
      <w:r w:rsidR="00BE4657" w:rsidRPr="00786B88">
        <w:t>orecasted</w:t>
      </w:r>
      <w:r w:rsidR="00973B22" w:rsidRPr="00786B88">
        <w:t xml:space="preserve"> </w:t>
      </w:r>
      <w:r w:rsidR="006F6B51" w:rsidRPr="00786B88">
        <w:t>growth for</w:t>
      </w:r>
      <w:r w:rsidR="006F6B51">
        <w:t xml:space="preserve"> the period and </w:t>
      </w:r>
      <w:r w:rsidR="002F6B4A">
        <w:t>eliminates the anomaly</w:t>
      </w:r>
      <w:r w:rsidR="00BE4657">
        <w:t xml:space="preserve"> in the data Avista asserts for</w:t>
      </w:r>
      <w:r w:rsidR="002F6B4A">
        <w:t xml:space="preserve"> 2013</w:t>
      </w:r>
      <w:r w:rsidR="006F6B51">
        <w:t>.</w:t>
      </w:r>
      <w:r w:rsidR="00313C51" w:rsidRPr="00313C51">
        <w:t xml:space="preserve"> </w:t>
      </w:r>
      <w:r w:rsidR="00583123">
        <w:t xml:space="preserve"> </w:t>
      </w:r>
    </w:p>
    <w:p w14:paraId="36FE85D9" w14:textId="77777777" w:rsidR="00A0321A" w:rsidRDefault="00A0321A" w:rsidP="000D57E6">
      <w:pPr>
        <w:spacing w:line="480" w:lineRule="auto"/>
        <w:ind w:left="720" w:hanging="720"/>
        <w:rPr>
          <w:b/>
        </w:rPr>
      </w:pPr>
    </w:p>
    <w:p w14:paraId="36FE85DA" w14:textId="77777777" w:rsidR="000D57E6" w:rsidRDefault="000D57E6" w:rsidP="000D57E6">
      <w:pPr>
        <w:spacing w:line="480" w:lineRule="auto"/>
        <w:ind w:left="720" w:hanging="720"/>
        <w:rPr>
          <w:b/>
        </w:rPr>
      </w:pPr>
      <w:r>
        <w:rPr>
          <w:b/>
        </w:rPr>
        <w:t>Q.</w:t>
      </w:r>
      <w:r>
        <w:rPr>
          <w:b/>
        </w:rPr>
        <w:tab/>
        <w:t>Please summarize your natural gas revenue forecast for the purposes of your attrition analysis.</w:t>
      </w:r>
    </w:p>
    <w:p w14:paraId="36FE85DB" w14:textId="77777777" w:rsidR="000D57E6" w:rsidRDefault="000D57E6" w:rsidP="000D57E6">
      <w:pPr>
        <w:spacing w:line="480" w:lineRule="auto"/>
        <w:ind w:left="720" w:hanging="720"/>
      </w:pPr>
      <w:r>
        <w:t>A.</w:t>
      </w:r>
      <w:r>
        <w:tab/>
        <w:t xml:space="preserve">My rate year forecast </w:t>
      </w:r>
      <w:r w:rsidR="00A576AA">
        <w:t xml:space="preserve">reflects </w:t>
      </w:r>
      <w:r w:rsidR="00A576AA" w:rsidRPr="00131A45">
        <w:t>an increas</w:t>
      </w:r>
      <w:bookmarkStart w:id="0" w:name="_GoBack"/>
      <w:bookmarkEnd w:id="0"/>
      <w:r w:rsidR="00A576AA" w:rsidRPr="00131A45">
        <w:t>e of $</w:t>
      </w:r>
      <w:r w:rsidR="00A330BD" w:rsidRPr="00131A45">
        <w:t>3,076</w:t>
      </w:r>
      <w:r w:rsidR="00A576AA" w:rsidRPr="00131A45">
        <w:t>,000</w:t>
      </w:r>
      <w:r w:rsidR="00131A45">
        <w:rPr>
          <w:rStyle w:val="FootnoteReference"/>
        </w:rPr>
        <w:footnoteReference w:id="53"/>
      </w:r>
      <w:r w:rsidR="00A576AA" w:rsidRPr="00131A45">
        <w:t xml:space="preserve"> compared</w:t>
      </w:r>
      <w:r w:rsidR="00A576AA">
        <w:t xml:space="preserve"> to </w:t>
      </w:r>
      <w:r w:rsidR="00583123">
        <w:t>S</w:t>
      </w:r>
      <w:r w:rsidR="00A576AA">
        <w:t>taff’s base case</w:t>
      </w:r>
      <w:r w:rsidR="00583123">
        <w:t>,</w:t>
      </w:r>
      <w:r>
        <w:t xml:space="preserve"> for a total </w:t>
      </w:r>
      <w:r w:rsidR="00131A45">
        <w:t>attrition revenue forecast of</w:t>
      </w:r>
      <w:r>
        <w:t xml:space="preserve"> $</w:t>
      </w:r>
      <w:r w:rsidR="00A330BD">
        <w:t>148,794</w:t>
      </w:r>
      <w:r>
        <w:t>,000.</w:t>
      </w:r>
    </w:p>
    <w:p w14:paraId="36FE85DC" w14:textId="77777777" w:rsidR="00131A45" w:rsidRDefault="00131A45" w:rsidP="000D57E6">
      <w:pPr>
        <w:spacing w:line="480" w:lineRule="auto"/>
        <w:ind w:left="720" w:hanging="720"/>
      </w:pPr>
    </w:p>
    <w:p w14:paraId="36FE85DD" w14:textId="77777777" w:rsidR="006F6B51" w:rsidRDefault="00510058" w:rsidP="00B82FF4">
      <w:pPr>
        <w:spacing w:line="480" w:lineRule="auto"/>
        <w:ind w:left="1440"/>
        <w:rPr>
          <w:b/>
        </w:rPr>
      </w:pPr>
      <w:r>
        <w:rPr>
          <w:b/>
        </w:rPr>
        <w:t>5</w:t>
      </w:r>
      <w:r w:rsidR="002F6B4A">
        <w:rPr>
          <w:b/>
        </w:rPr>
        <w:t>.</w:t>
      </w:r>
      <w:r w:rsidR="002F6B4A">
        <w:rPr>
          <w:b/>
        </w:rPr>
        <w:tab/>
      </w:r>
      <w:r w:rsidR="004645CB" w:rsidRPr="00A330BD">
        <w:rPr>
          <w:b/>
        </w:rPr>
        <w:t>Evaluating Changes in Expenses</w:t>
      </w:r>
    </w:p>
    <w:p w14:paraId="36FE85DE" w14:textId="77777777" w:rsidR="00131A45" w:rsidRPr="00A330BD" w:rsidRDefault="00131A45" w:rsidP="00A330BD">
      <w:pPr>
        <w:spacing w:line="480" w:lineRule="auto"/>
        <w:ind w:left="1800"/>
        <w:rPr>
          <w:b/>
        </w:rPr>
      </w:pPr>
    </w:p>
    <w:p w14:paraId="58CD4B00" w14:textId="19FEDA33" w:rsidR="00E44AB6" w:rsidRDefault="00A330BD" w:rsidP="00E44AB6">
      <w:pPr>
        <w:spacing w:line="480" w:lineRule="auto"/>
        <w:ind w:left="720" w:hanging="720"/>
        <w:rPr>
          <w:b/>
        </w:rPr>
      </w:pPr>
      <w:r>
        <w:rPr>
          <w:b/>
        </w:rPr>
        <w:t>Q.</w:t>
      </w:r>
      <w:r>
        <w:rPr>
          <w:b/>
        </w:rPr>
        <w:tab/>
        <w:t>How did</w:t>
      </w:r>
      <w:r w:rsidR="004645CB" w:rsidRPr="006F6B51">
        <w:rPr>
          <w:b/>
        </w:rPr>
        <w:t xml:space="preserve"> you evaluate changes in expenses in your attrition study</w:t>
      </w:r>
      <w:r w:rsidR="00583123">
        <w:rPr>
          <w:b/>
        </w:rPr>
        <w:t>?</w:t>
      </w:r>
      <w:r w:rsidR="00E44AB6" w:rsidRPr="00E44AB6">
        <w:rPr>
          <w:b/>
        </w:rPr>
        <w:t xml:space="preserve"> </w:t>
      </w:r>
    </w:p>
    <w:p w14:paraId="56C32E58" w14:textId="77777777" w:rsidR="00E44AB6" w:rsidRDefault="00E44AB6" w:rsidP="00E44AB6">
      <w:pPr>
        <w:spacing w:line="480" w:lineRule="auto"/>
        <w:ind w:left="720" w:hanging="720"/>
        <w:sectPr w:rsidR="00E44AB6" w:rsidSect="00F05EAC">
          <w:footerReference w:type="default" r:id="rId17"/>
          <w:pgSz w:w="12240" w:h="15840" w:code="1"/>
          <w:pgMar w:top="1440" w:right="1440" w:bottom="1440" w:left="1872" w:header="720" w:footer="720" w:gutter="0"/>
          <w:lnNumType w:countBy="1"/>
          <w:cols w:space="720"/>
          <w:docGrid w:linePitch="360"/>
        </w:sectPr>
      </w:pPr>
    </w:p>
    <w:p w14:paraId="36FE85E0" w14:textId="77777777" w:rsidR="00147658" w:rsidRDefault="00E342D6" w:rsidP="00A330BD">
      <w:pPr>
        <w:spacing w:line="480" w:lineRule="auto"/>
        <w:ind w:left="720" w:hanging="720"/>
      </w:pPr>
      <w:r>
        <w:lastRenderedPageBreak/>
        <w:t>A.</w:t>
      </w:r>
      <w:r w:rsidR="00F758BE">
        <w:t xml:space="preserve"> </w:t>
      </w:r>
      <w:r w:rsidR="00A330BD">
        <w:tab/>
      </w:r>
      <w:r w:rsidR="00583123">
        <w:t xml:space="preserve">To evaluate growth in expenses, </w:t>
      </w:r>
      <w:r w:rsidR="00151A3D">
        <w:t xml:space="preserve">as my starting point </w:t>
      </w:r>
      <w:r w:rsidR="00583123">
        <w:t xml:space="preserve">I used </w:t>
      </w:r>
      <w:r w:rsidR="00F758BE">
        <w:t xml:space="preserve">the </w:t>
      </w:r>
      <w:r w:rsidR="00583123">
        <w:t xml:space="preserve">expenses from </w:t>
      </w:r>
      <w:r w:rsidR="00A0321A">
        <w:t xml:space="preserve">Staff’s </w:t>
      </w:r>
      <w:r w:rsidR="00F758BE">
        <w:t xml:space="preserve">restated test period </w:t>
      </w:r>
      <w:r w:rsidR="00583123">
        <w:t>results</w:t>
      </w:r>
      <w:r w:rsidR="00A550C0">
        <w:rPr>
          <w:rStyle w:val="FootnoteReference"/>
        </w:rPr>
        <w:footnoteReference w:id="54"/>
      </w:r>
      <w:r w:rsidR="00583123">
        <w:t xml:space="preserve"> </w:t>
      </w:r>
      <w:r w:rsidR="001024F1">
        <w:t xml:space="preserve">plus </w:t>
      </w:r>
      <w:r w:rsidR="0004525A">
        <w:t xml:space="preserve">certain pro forma adjustments.  </w:t>
      </w:r>
    </w:p>
    <w:p w14:paraId="36FE85E1" w14:textId="77777777" w:rsidR="0004525A" w:rsidRDefault="0004525A" w:rsidP="00815416">
      <w:pPr>
        <w:spacing w:line="480" w:lineRule="auto"/>
        <w:ind w:left="720" w:firstLine="720"/>
      </w:pPr>
      <w:r>
        <w:t>First, I reflect the impact of t</w:t>
      </w:r>
      <w:r w:rsidR="00147658">
        <w:t xml:space="preserve">he </w:t>
      </w:r>
      <w:r>
        <w:t>D</w:t>
      </w:r>
      <w:r w:rsidR="00147658">
        <w:t xml:space="preserve">epreciation </w:t>
      </w:r>
      <w:r>
        <w:t>S</w:t>
      </w:r>
      <w:r w:rsidR="00147658">
        <w:t xml:space="preserve">tudy </w:t>
      </w:r>
      <w:r>
        <w:t xml:space="preserve">and its </w:t>
      </w:r>
      <w:r w:rsidR="00147658">
        <w:t xml:space="preserve">updated depreciation rates.  </w:t>
      </w:r>
      <w:r>
        <w:t xml:space="preserve">Second, I reflect Staff witness </w:t>
      </w:r>
      <w:r w:rsidR="00147658">
        <w:t>Ms. Huang</w:t>
      </w:r>
      <w:r>
        <w:t xml:space="preserve">’s </w:t>
      </w:r>
      <w:r w:rsidR="00147658">
        <w:t xml:space="preserve">executive compensation </w:t>
      </w:r>
      <w:r>
        <w:t>adjustment.  Third,</w:t>
      </w:r>
      <w:r w:rsidR="00973B22">
        <w:t xml:space="preserve"> </w:t>
      </w:r>
      <w:r w:rsidR="008B6F29">
        <w:t>I remove operations and maintenance expenses the Company states will not exist in the rate year.</w:t>
      </w:r>
      <w:r w:rsidR="008B6F29">
        <w:rPr>
          <w:rStyle w:val="FootnoteReference"/>
        </w:rPr>
        <w:footnoteReference w:id="55"/>
      </w:r>
      <w:r w:rsidR="008B6F29">
        <w:t xml:space="preserve">  </w:t>
      </w:r>
      <w:r>
        <w:t xml:space="preserve">Next, </w:t>
      </w:r>
      <w:r w:rsidR="00815416">
        <w:t>I remove the regulatory amortization of the Deferred Colstrip and Coyote Springs 2 maintenance in electric service.</w:t>
      </w:r>
      <w:r w:rsidR="00815416">
        <w:rPr>
          <w:rStyle w:val="FootnoteReference"/>
        </w:rPr>
        <w:footnoteReference w:id="56"/>
      </w:r>
      <w:r w:rsidR="00815416">
        <w:t xml:space="preserve">  </w:t>
      </w:r>
    </w:p>
    <w:p w14:paraId="36FE85E2" w14:textId="77777777" w:rsidR="00583123" w:rsidRDefault="0004525A" w:rsidP="00815416">
      <w:pPr>
        <w:spacing w:line="480" w:lineRule="auto"/>
        <w:ind w:left="720" w:firstLine="720"/>
      </w:pPr>
      <w:r>
        <w:t xml:space="preserve">After reflecting each of </w:t>
      </w:r>
      <w:r w:rsidR="00815416">
        <w:t>these adjustment</w:t>
      </w:r>
      <w:r w:rsidR="00151A3D">
        <w:t>s</w:t>
      </w:r>
      <w:r w:rsidR="00815416">
        <w:t xml:space="preserve">, I have my starting point for </w:t>
      </w:r>
      <w:r>
        <w:t xml:space="preserve">evaluating </w:t>
      </w:r>
      <w:r w:rsidR="00815416">
        <w:t>growth in expenses other than power supply.</w:t>
      </w:r>
      <w:r w:rsidR="00151A3D">
        <w:rPr>
          <w:rStyle w:val="FootnoteReference"/>
        </w:rPr>
        <w:footnoteReference w:id="57"/>
      </w:r>
    </w:p>
    <w:p w14:paraId="36FE85E3" w14:textId="77777777" w:rsidR="00F758BE" w:rsidRPr="00A330BD" w:rsidRDefault="0004525A" w:rsidP="00A330BD">
      <w:pPr>
        <w:spacing w:line="480" w:lineRule="auto"/>
        <w:ind w:left="720" w:hanging="720"/>
        <w:rPr>
          <w:b/>
        </w:rPr>
      </w:pPr>
      <w:r>
        <w:tab/>
      </w:r>
      <w:r>
        <w:tab/>
      </w:r>
      <w:r w:rsidR="00151A3D">
        <w:t xml:space="preserve">I evaluated growth in expenses in a similar fashion to Avista.  </w:t>
      </w:r>
      <w:r w:rsidR="003866A1">
        <w:t xml:space="preserve">I accepted Avista’s use of aggregated categories.  </w:t>
      </w:r>
      <w:r w:rsidR="00151A3D">
        <w:t>In addition, I</w:t>
      </w:r>
      <w:r w:rsidR="00583123">
        <w:t xml:space="preserve"> </w:t>
      </w:r>
      <w:r w:rsidR="003866A1">
        <w:t>accept</w:t>
      </w:r>
      <w:r w:rsidR="00583123">
        <w:t>ed</w:t>
      </w:r>
      <w:r w:rsidR="003866A1">
        <w:t xml:space="preserve"> the </w:t>
      </w:r>
      <w:r w:rsidR="00583123">
        <w:t xml:space="preserve">Company’s </w:t>
      </w:r>
      <w:r w:rsidR="003866A1">
        <w:t>growth rates for aggregated non-energy operations and maintenance expense</w:t>
      </w:r>
      <w:r w:rsidR="00B82FF4">
        <w:t>,</w:t>
      </w:r>
      <w:r w:rsidR="003866A1">
        <w:t xml:space="preserve"> and taxes other than income tax as reasonable for the purposes of </w:t>
      </w:r>
      <w:r w:rsidR="00583123">
        <w:t xml:space="preserve">my </w:t>
      </w:r>
      <w:r w:rsidR="003866A1">
        <w:t>attrition study</w:t>
      </w:r>
      <w:r w:rsidR="005B46B4">
        <w:t xml:space="preserve"> for both electric and natural gas service.</w:t>
      </w:r>
      <w:r w:rsidR="00ED1E6D">
        <w:rPr>
          <w:rStyle w:val="FootnoteReference"/>
        </w:rPr>
        <w:footnoteReference w:id="58"/>
      </w:r>
    </w:p>
    <w:p w14:paraId="36FE85E4" w14:textId="77777777" w:rsidR="006F6B51" w:rsidRDefault="006F6B51" w:rsidP="006F6B51">
      <w:pPr>
        <w:spacing w:line="480" w:lineRule="auto"/>
        <w:ind w:left="720" w:hanging="720"/>
      </w:pPr>
    </w:p>
    <w:p w14:paraId="36FE85E5" w14:textId="77777777" w:rsidR="006F6B51" w:rsidRPr="006F6B51" w:rsidRDefault="006F6B51" w:rsidP="006F6B51">
      <w:pPr>
        <w:spacing w:line="480" w:lineRule="auto"/>
        <w:ind w:left="720" w:hanging="720"/>
      </w:pPr>
      <w:r>
        <w:rPr>
          <w:b/>
        </w:rPr>
        <w:t>Q.</w:t>
      </w:r>
      <w:r>
        <w:rPr>
          <w:b/>
        </w:rPr>
        <w:tab/>
        <w:t xml:space="preserve">Please explain in more detail how you evaluated depreciation expense in your attrition study. </w:t>
      </w:r>
    </w:p>
    <w:p w14:paraId="36FE85E6" w14:textId="77777777" w:rsidR="00360DAB" w:rsidRDefault="006F6B51" w:rsidP="00F47E6B">
      <w:pPr>
        <w:spacing w:line="480" w:lineRule="auto"/>
        <w:ind w:left="720" w:hanging="720"/>
      </w:pPr>
      <w:r>
        <w:lastRenderedPageBreak/>
        <w:t>A.</w:t>
      </w:r>
      <w:r>
        <w:tab/>
      </w:r>
      <w:r w:rsidR="004665F9">
        <w:t xml:space="preserve">As </w:t>
      </w:r>
      <w:r w:rsidR="00973B22">
        <w:t xml:space="preserve">I </w:t>
      </w:r>
      <w:r w:rsidR="004665F9">
        <w:t>stated earlier</w:t>
      </w:r>
      <w:r w:rsidR="00583123">
        <w:t>,</w:t>
      </w:r>
      <w:r w:rsidR="004665F9">
        <w:t xml:space="preserve"> </w:t>
      </w:r>
      <w:r w:rsidR="00641BFD">
        <w:t xml:space="preserve">my starting point </w:t>
      </w:r>
      <w:r w:rsidR="00BE4657">
        <w:t>includes</w:t>
      </w:r>
      <w:r w:rsidR="00641BFD">
        <w:t xml:space="preserve"> </w:t>
      </w:r>
      <w:r w:rsidR="004665F9">
        <w:t xml:space="preserve">the effect of the </w:t>
      </w:r>
      <w:r w:rsidR="0004525A">
        <w:t>D</w:t>
      </w:r>
      <w:r w:rsidR="004665F9">
        <w:t xml:space="preserve">epreciation </w:t>
      </w:r>
      <w:r w:rsidR="0004525A">
        <w:t>S</w:t>
      </w:r>
      <w:r w:rsidR="004665F9">
        <w:t xml:space="preserve">tudy presented </w:t>
      </w:r>
      <w:r w:rsidR="0004525A">
        <w:t xml:space="preserve">by Avista </w:t>
      </w:r>
      <w:r w:rsidR="004665F9">
        <w:t xml:space="preserve">in this case.  I then </w:t>
      </w:r>
      <w:r w:rsidR="00583123">
        <w:t xml:space="preserve">developed </w:t>
      </w:r>
      <w:r w:rsidR="004665F9">
        <w:t xml:space="preserve">growth factors </w:t>
      </w:r>
      <w:r w:rsidR="00583123">
        <w:t xml:space="preserve">based on depreciation expense growth from </w:t>
      </w:r>
      <w:r w:rsidR="004665F9">
        <w:t xml:space="preserve">2008 through 2011.  </w:t>
      </w:r>
      <w:r w:rsidR="00F47E6B">
        <w:t>I limit the years for trending because depreciation rates are updated on a periodic basis</w:t>
      </w:r>
      <w:r w:rsidR="00583123">
        <w:t>,</w:t>
      </w:r>
      <w:r w:rsidR="00F47E6B">
        <w:t xml:space="preserve"> so the </w:t>
      </w:r>
      <w:r w:rsidR="00641BFD">
        <w:t xml:space="preserve">more </w:t>
      </w:r>
      <w:r w:rsidR="00F47E6B">
        <w:t>recent past should be mo</w:t>
      </w:r>
      <w:r w:rsidR="00641BFD">
        <w:t>st</w:t>
      </w:r>
      <w:r w:rsidR="00F47E6B">
        <w:t xml:space="preserve"> indicative of the future.</w:t>
      </w:r>
      <w:r w:rsidR="00A44C69">
        <w:rPr>
          <w:rStyle w:val="FootnoteReference"/>
        </w:rPr>
        <w:footnoteReference w:id="59"/>
      </w:r>
      <w:r w:rsidR="00F47E6B">
        <w:t xml:space="preserve"> </w:t>
      </w:r>
      <w:r w:rsidR="00E45DFD">
        <w:t xml:space="preserve"> </w:t>
      </w:r>
    </w:p>
    <w:p w14:paraId="36FE85E7" w14:textId="77777777" w:rsidR="006F6B51" w:rsidRDefault="006F6B51" w:rsidP="006F6B51">
      <w:pPr>
        <w:spacing w:line="480" w:lineRule="auto"/>
        <w:ind w:left="720" w:hanging="720"/>
      </w:pPr>
    </w:p>
    <w:p w14:paraId="36FE85E8" w14:textId="77777777" w:rsidR="006F6B51" w:rsidRDefault="006F6B51" w:rsidP="00510058">
      <w:pPr>
        <w:keepNext/>
        <w:spacing w:line="480" w:lineRule="auto"/>
        <w:ind w:left="720" w:hanging="720"/>
        <w:rPr>
          <w:b/>
        </w:rPr>
      </w:pPr>
      <w:r>
        <w:rPr>
          <w:b/>
        </w:rPr>
        <w:t>Q.</w:t>
      </w:r>
      <w:r>
        <w:rPr>
          <w:b/>
        </w:rPr>
        <w:tab/>
        <w:t>How did you address regulatory amortizations?</w:t>
      </w:r>
    </w:p>
    <w:p w14:paraId="36FE85E9" w14:textId="77777777" w:rsidR="00E342D6" w:rsidRDefault="006F6B51" w:rsidP="00F47E6B">
      <w:pPr>
        <w:spacing w:line="480" w:lineRule="auto"/>
        <w:ind w:left="720" w:hanging="720"/>
      </w:pPr>
      <w:r>
        <w:t>A.</w:t>
      </w:r>
      <w:r>
        <w:tab/>
      </w:r>
      <w:r w:rsidR="00583123">
        <w:t>I did not adjust r</w:t>
      </w:r>
      <w:r w:rsidR="00F47E6B">
        <w:t>egulatory amortizations</w:t>
      </w:r>
      <w:r w:rsidR="00583123">
        <w:t xml:space="preserve">.  I used </w:t>
      </w:r>
      <w:r w:rsidR="00973B22">
        <w:t xml:space="preserve">amortization amounts from </w:t>
      </w:r>
      <w:r w:rsidR="00F47E6B">
        <w:t>Staff’s base case</w:t>
      </w:r>
      <w:r w:rsidR="00BE4657">
        <w:t>.  Amortization</w:t>
      </w:r>
      <w:r w:rsidR="00BB4420">
        <w:t>s of regulatory assets or liabilities are</w:t>
      </w:r>
      <w:r w:rsidR="00583123">
        <w:t xml:space="preserve"> typically</w:t>
      </w:r>
      <w:r w:rsidR="00BE4657">
        <w:t xml:space="preserve"> </w:t>
      </w:r>
      <w:r w:rsidR="00BB4420">
        <w:t xml:space="preserve">straight-line </w:t>
      </w:r>
      <w:r w:rsidR="00973B22">
        <w:t>f</w:t>
      </w:r>
      <w:r w:rsidR="00BE4657">
        <w:t>ixed</w:t>
      </w:r>
      <w:r w:rsidR="00583123">
        <w:t xml:space="preserve"> amounts that do not </w:t>
      </w:r>
      <w:r w:rsidR="00C6408F">
        <w:t>change over</w:t>
      </w:r>
      <w:r w:rsidR="00583123">
        <w:t xml:space="preserve"> time</w:t>
      </w:r>
      <w:r w:rsidR="00F47E6B">
        <w:t>.</w:t>
      </w:r>
      <w:r w:rsidR="00646C30">
        <w:rPr>
          <w:rStyle w:val="FootnoteReference"/>
        </w:rPr>
        <w:footnoteReference w:id="60"/>
      </w:r>
    </w:p>
    <w:p w14:paraId="36FE85EA" w14:textId="77777777" w:rsidR="00F47E6B" w:rsidRDefault="00F47E6B" w:rsidP="00F47E6B">
      <w:pPr>
        <w:spacing w:line="480" w:lineRule="auto"/>
        <w:ind w:left="720" w:hanging="720"/>
        <w:rPr>
          <w:b/>
        </w:rPr>
      </w:pPr>
    </w:p>
    <w:p w14:paraId="36FE85EB" w14:textId="77777777" w:rsidR="003866A1" w:rsidRDefault="00F47E6B" w:rsidP="00F47E6B">
      <w:pPr>
        <w:spacing w:line="480" w:lineRule="auto"/>
        <w:ind w:left="720" w:hanging="720"/>
        <w:rPr>
          <w:b/>
        </w:rPr>
      </w:pPr>
      <w:r>
        <w:rPr>
          <w:b/>
        </w:rPr>
        <w:t>Q.</w:t>
      </w:r>
      <w:r>
        <w:rPr>
          <w:b/>
        </w:rPr>
        <w:tab/>
      </w:r>
      <w:r w:rsidR="00E45DFD">
        <w:rPr>
          <w:b/>
        </w:rPr>
        <w:t>Please discuss the growth in electric power expense and natural gas purchases.</w:t>
      </w:r>
    </w:p>
    <w:p w14:paraId="36FE85EC" w14:textId="77777777" w:rsidR="003866A1" w:rsidRDefault="003866A1" w:rsidP="00F47E6B">
      <w:pPr>
        <w:spacing w:line="480" w:lineRule="auto"/>
        <w:ind w:left="720" w:hanging="720"/>
      </w:pPr>
      <w:r>
        <w:t>A.</w:t>
      </w:r>
      <w:r>
        <w:tab/>
      </w:r>
      <w:r w:rsidR="00A44C69">
        <w:t xml:space="preserve">I adjusted the electric 2013 modeled power supply from Staff’s base case only for load growth.  For natural gas, </w:t>
      </w:r>
      <w:r w:rsidR="00535045">
        <w:t xml:space="preserve">I priced the </w:t>
      </w:r>
      <w:r w:rsidR="00E45DFD">
        <w:t xml:space="preserve">change in load for natural gas </w:t>
      </w:r>
      <w:r w:rsidR="00291C7E">
        <w:t xml:space="preserve">purchases </w:t>
      </w:r>
      <w:r w:rsidR="00535045">
        <w:t xml:space="preserve">using </w:t>
      </w:r>
      <w:r w:rsidR="00E45DFD">
        <w:t>the weighted avera</w:t>
      </w:r>
      <w:r w:rsidR="005B46B4">
        <w:t xml:space="preserve">ge cost of gas for the test year. </w:t>
      </w:r>
      <w:r w:rsidR="00535045">
        <w:t xml:space="preserve"> </w:t>
      </w:r>
      <w:r w:rsidR="00973B22">
        <w:t xml:space="preserve">My </w:t>
      </w:r>
      <w:r w:rsidR="005B46B4">
        <w:t>approach is consistent with Avista</w:t>
      </w:r>
      <w:r w:rsidR="00535045">
        <w:t>’s approach for these items</w:t>
      </w:r>
      <w:r w:rsidR="005B46B4">
        <w:t>.</w:t>
      </w:r>
    </w:p>
    <w:p w14:paraId="36FE85ED" w14:textId="77777777" w:rsidR="005B46B4" w:rsidRDefault="005B46B4" w:rsidP="00F47E6B">
      <w:pPr>
        <w:spacing w:line="480" w:lineRule="auto"/>
        <w:ind w:left="720" w:hanging="720"/>
      </w:pPr>
    </w:p>
    <w:p w14:paraId="36FE85EE" w14:textId="77777777" w:rsidR="005B46B4" w:rsidRPr="005B46B4" w:rsidRDefault="005B46B4" w:rsidP="005B46B4">
      <w:pPr>
        <w:spacing w:line="480" w:lineRule="auto"/>
        <w:ind w:left="720" w:hanging="720"/>
        <w:rPr>
          <w:b/>
        </w:rPr>
      </w:pPr>
      <w:r>
        <w:rPr>
          <w:b/>
        </w:rPr>
        <w:t>Q.</w:t>
      </w:r>
      <w:r>
        <w:rPr>
          <w:b/>
        </w:rPr>
        <w:tab/>
        <w:t xml:space="preserve">What is the overall effect of your </w:t>
      </w:r>
      <w:r w:rsidR="00641BFD">
        <w:rPr>
          <w:b/>
        </w:rPr>
        <w:t xml:space="preserve">analysis of growth in </w:t>
      </w:r>
      <w:r>
        <w:rPr>
          <w:b/>
        </w:rPr>
        <w:t>expense</w:t>
      </w:r>
      <w:r w:rsidR="00535045">
        <w:rPr>
          <w:b/>
        </w:rPr>
        <w:t>s</w:t>
      </w:r>
      <w:r>
        <w:rPr>
          <w:b/>
        </w:rPr>
        <w:t xml:space="preserve"> for both electric and natural gas service</w:t>
      </w:r>
      <w:r w:rsidR="00535045">
        <w:rPr>
          <w:b/>
        </w:rPr>
        <w:t>,</w:t>
      </w:r>
      <w:r>
        <w:rPr>
          <w:b/>
        </w:rPr>
        <w:t xml:space="preserve"> compared to Staff’s base case?</w:t>
      </w:r>
    </w:p>
    <w:p w14:paraId="36FE85EF" w14:textId="77777777" w:rsidR="00641BFD" w:rsidRDefault="005B46B4" w:rsidP="00D7759D">
      <w:pPr>
        <w:spacing w:line="480" w:lineRule="auto"/>
        <w:ind w:left="720" w:hanging="720"/>
      </w:pPr>
      <w:r>
        <w:t>A.</w:t>
      </w:r>
      <w:r>
        <w:tab/>
      </w:r>
      <w:r w:rsidR="00BE4657">
        <w:t>R</w:t>
      </w:r>
      <w:r>
        <w:t>ate year electric expense</w:t>
      </w:r>
      <w:r w:rsidR="00641BFD">
        <w:t>s are</w:t>
      </w:r>
      <w:r>
        <w:t xml:space="preserve"> $</w:t>
      </w:r>
      <w:r w:rsidR="00646C30">
        <w:t>14,682</w:t>
      </w:r>
      <w:r>
        <w:t>,000</w:t>
      </w:r>
      <w:r w:rsidR="00294D41">
        <w:t xml:space="preserve"> </w:t>
      </w:r>
      <w:r w:rsidR="00641BFD">
        <w:t xml:space="preserve">greater than </w:t>
      </w:r>
      <w:r w:rsidR="00294D41">
        <w:t>Staff’s base case</w:t>
      </w:r>
      <w:r w:rsidR="00535045">
        <w:t>,</w:t>
      </w:r>
      <w:r w:rsidR="00294D41">
        <w:t xml:space="preserve"> for a total projected rate year expense of $41</w:t>
      </w:r>
      <w:r w:rsidR="00646C30">
        <w:t>4</w:t>
      </w:r>
      <w:r w:rsidR="00294D41">
        <w:t>,</w:t>
      </w:r>
      <w:r w:rsidR="00646C30">
        <w:t>450</w:t>
      </w:r>
      <w:r w:rsidR="00294D41">
        <w:t>,000.</w:t>
      </w:r>
      <w:r w:rsidR="00646C30">
        <w:rPr>
          <w:rStyle w:val="FootnoteReference"/>
        </w:rPr>
        <w:footnoteReference w:id="61"/>
      </w:r>
      <w:r w:rsidR="00824AB1">
        <w:t xml:space="preserve">  </w:t>
      </w:r>
    </w:p>
    <w:p w14:paraId="36FE85F0" w14:textId="77777777" w:rsidR="00F13692" w:rsidRDefault="00641BFD" w:rsidP="00D7759D">
      <w:pPr>
        <w:spacing w:line="480" w:lineRule="auto"/>
        <w:ind w:left="720" w:hanging="720"/>
      </w:pPr>
      <w:r>
        <w:lastRenderedPageBreak/>
        <w:tab/>
      </w:r>
      <w:r>
        <w:tab/>
      </w:r>
      <w:r w:rsidR="00294D41">
        <w:t>For natural gas service</w:t>
      </w:r>
      <w:r>
        <w:t>,</w:t>
      </w:r>
      <w:r w:rsidR="00294D41">
        <w:t xml:space="preserve"> rate year </w:t>
      </w:r>
      <w:r>
        <w:t xml:space="preserve">expenses </w:t>
      </w:r>
      <w:r w:rsidR="00BE4657">
        <w:t xml:space="preserve">show </w:t>
      </w:r>
      <w:r w:rsidR="00C6408F">
        <w:t>an increase</w:t>
      </w:r>
      <w:r w:rsidR="00294D41">
        <w:t xml:space="preserve"> of $4,</w:t>
      </w:r>
      <w:r w:rsidR="00646C30">
        <w:t>368</w:t>
      </w:r>
      <w:r w:rsidR="00294D41">
        <w:t>,000 over Staff’s base case</w:t>
      </w:r>
      <w:r w:rsidR="00535045">
        <w:t>,</w:t>
      </w:r>
      <w:r w:rsidR="00294D41">
        <w:t xml:space="preserve"> for a total rate year expense of $132,</w:t>
      </w:r>
      <w:r w:rsidR="00F13692">
        <w:t>181,</w:t>
      </w:r>
      <w:r w:rsidR="00294D41">
        <w:t>000.</w:t>
      </w:r>
      <w:r w:rsidR="00F13692">
        <w:rPr>
          <w:rStyle w:val="FootnoteReference"/>
        </w:rPr>
        <w:footnoteReference w:id="62"/>
      </w:r>
      <w:r w:rsidR="00294D41">
        <w:t xml:space="preserve">  </w:t>
      </w:r>
    </w:p>
    <w:p w14:paraId="36FE85F1" w14:textId="77777777" w:rsidR="00824AB1" w:rsidRDefault="00824AB1" w:rsidP="00D7759D">
      <w:pPr>
        <w:spacing w:line="480" w:lineRule="auto"/>
        <w:ind w:left="720" w:hanging="720"/>
      </w:pPr>
    </w:p>
    <w:p w14:paraId="36FE85F2" w14:textId="77777777" w:rsidR="002F6B4A" w:rsidRPr="00510058" w:rsidRDefault="00510058" w:rsidP="00510058">
      <w:pPr>
        <w:spacing w:line="480" w:lineRule="auto"/>
        <w:ind w:left="2160" w:hanging="720"/>
        <w:rPr>
          <w:b/>
        </w:rPr>
      </w:pPr>
      <w:r>
        <w:rPr>
          <w:b/>
        </w:rPr>
        <w:t>6.</w:t>
      </w:r>
      <w:r>
        <w:rPr>
          <w:b/>
        </w:rPr>
        <w:tab/>
      </w:r>
      <w:r w:rsidR="002F6B4A" w:rsidRPr="00510058">
        <w:rPr>
          <w:b/>
        </w:rPr>
        <w:t>Evaluating Changes in Rate Base</w:t>
      </w:r>
    </w:p>
    <w:p w14:paraId="36FE85F3" w14:textId="77777777" w:rsidR="00824AB1" w:rsidRPr="00824AB1" w:rsidRDefault="00824AB1" w:rsidP="00824AB1">
      <w:pPr>
        <w:spacing w:line="480" w:lineRule="auto"/>
        <w:rPr>
          <w:b/>
        </w:rPr>
      </w:pPr>
    </w:p>
    <w:p w14:paraId="36FE85F4" w14:textId="77777777" w:rsidR="002F6B4A" w:rsidRDefault="00E05215" w:rsidP="00D7759D">
      <w:pPr>
        <w:spacing w:line="480" w:lineRule="auto"/>
        <w:ind w:left="720" w:hanging="720"/>
        <w:rPr>
          <w:b/>
        </w:rPr>
      </w:pPr>
      <w:r>
        <w:rPr>
          <w:b/>
        </w:rPr>
        <w:t>Q.</w:t>
      </w:r>
      <w:r>
        <w:rPr>
          <w:b/>
        </w:rPr>
        <w:tab/>
        <w:t xml:space="preserve">Please discuss your approach to </w:t>
      </w:r>
      <w:r w:rsidR="002F3310">
        <w:rPr>
          <w:b/>
        </w:rPr>
        <w:t>estimating growth</w:t>
      </w:r>
      <w:r w:rsidR="00535045">
        <w:rPr>
          <w:b/>
        </w:rPr>
        <w:t xml:space="preserve"> in rate </w:t>
      </w:r>
      <w:r>
        <w:rPr>
          <w:b/>
        </w:rPr>
        <w:t>base.</w:t>
      </w:r>
    </w:p>
    <w:p w14:paraId="36FE85F5" w14:textId="77777777" w:rsidR="00A832CA" w:rsidRDefault="00E05215" w:rsidP="00D7759D">
      <w:pPr>
        <w:spacing w:line="480" w:lineRule="auto"/>
        <w:ind w:left="720" w:hanging="720"/>
      </w:pPr>
      <w:r>
        <w:t>A.</w:t>
      </w:r>
      <w:r>
        <w:tab/>
      </w:r>
      <w:r w:rsidR="00535045">
        <w:t xml:space="preserve">I use Avista’s </w:t>
      </w:r>
      <w:r w:rsidR="00C6408F">
        <w:t>estimated level</w:t>
      </w:r>
      <w:r w:rsidR="00535045">
        <w:t xml:space="preserve"> of net rate base for 2013</w:t>
      </w:r>
      <w:r w:rsidR="009031AC">
        <w:t>,</w:t>
      </w:r>
      <w:r w:rsidR="00535045">
        <w:t xml:space="preserve"> calculated on an average of the monthly averages basis.  I</w:t>
      </w:r>
      <w:r w:rsidR="00A832CA">
        <w:t>n its revenue requirement model,</w:t>
      </w:r>
      <w:r>
        <w:t xml:space="preserve"> </w:t>
      </w:r>
      <w:r w:rsidR="00535045">
        <w:t xml:space="preserve">Avista calculated Washington </w:t>
      </w:r>
      <w:r>
        <w:t xml:space="preserve">rate base additions </w:t>
      </w:r>
      <w:r w:rsidR="00535045">
        <w:t xml:space="preserve">for </w:t>
      </w:r>
      <w:r>
        <w:t>2012 and 2013</w:t>
      </w:r>
      <w:r w:rsidR="00A832CA">
        <w:t xml:space="preserve">.  </w:t>
      </w:r>
      <w:r w:rsidR="00535045">
        <w:t>I used these figures in my study</w:t>
      </w:r>
      <w:r w:rsidR="001670E0">
        <w:t xml:space="preserve"> as a reasonable approximation of net rate base</w:t>
      </w:r>
      <w:r w:rsidR="009031AC">
        <w:t xml:space="preserve"> for purposes of attrition</w:t>
      </w:r>
      <w:r w:rsidR="00535045">
        <w:t>.</w:t>
      </w:r>
      <w:r w:rsidR="00F13692">
        <w:rPr>
          <w:rStyle w:val="FootnoteReference"/>
        </w:rPr>
        <w:footnoteReference w:id="63"/>
      </w:r>
      <w:r w:rsidR="002F3310">
        <w:t xml:space="preserve">  </w:t>
      </w:r>
      <w:r w:rsidR="00BE4657">
        <w:t>An attrition study that uses estimates of rate base</w:t>
      </w:r>
      <w:r w:rsidR="00641BFD">
        <w:t xml:space="preserve"> </w:t>
      </w:r>
      <w:r w:rsidR="002F3310">
        <w:t xml:space="preserve">does not imply </w:t>
      </w:r>
      <w:r w:rsidR="00B82FF4">
        <w:t>Commission pre-approval of any project</w:t>
      </w:r>
      <w:r w:rsidR="00973B22">
        <w:t>.</w:t>
      </w:r>
    </w:p>
    <w:p w14:paraId="36FE85F6" w14:textId="77777777" w:rsidR="00A832CA" w:rsidRDefault="00A832CA" w:rsidP="00D7759D">
      <w:pPr>
        <w:spacing w:line="480" w:lineRule="auto"/>
        <w:ind w:left="720" w:hanging="720"/>
      </w:pPr>
    </w:p>
    <w:p w14:paraId="36FE85F7" w14:textId="77777777" w:rsidR="00E05215" w:rsidRDefault="00E05215" w:rsidP="00D7759D">
      <w:pPr>
        <w:spacing w:line="480" w:lineRule="auto"/>
        <w:ind w:left="720" w:hanging="720"/>
        <w:rPr>
          <w:b/>
        </w:rPr>
      </w:pPr>
      <w:r>
        <w:t xml:space="preserve"> </w:t>
      </w:r>
      <w:r w:rsidR="00A832CA">
        <w:rPr>
          <w:b/>
        </w:rPr>
        <w:t>Q.</w:t>
      </w:r>
      <w:r w:rsidR="00A832CA">
        <w:rPr>
          <w:b/>
        </w:rPr>
        <w:tab/>
        <w:t>Please explain how you address working capital, and other debits and credits.</w:t>
      </w:r>
    </w:p>
    <w:p w14:paraId="36FE85F8" w14:textId="1CA44BC4" w:rsidR="00A832CA" w:rsidRDefault="00401B10" w:rsidP="00D7759D">
      <w:pPr>
        <w:spacing w:line="480" w:lineRule="auto"/>
        <w:ind w:left="720" w:hanging="720"/>
      </w:pPr>
      <w:r>
        <w:t>A.</w:t>
      </w:r>
      <w:r>
        <w:tab/>
      </w:r>
      <w:r w:rsidR="00973B22">
        <w:t>I included t</w:t>
      </w:r>
      <w:r>
        <w:t xml:space="preserve">hese items at the level presented in Staff’s base case.  </w:t>
      </w:r>
      <w:r w:rsidR="00535045">
        <w:t>The Company does not book amounts of working capital, so I cannot compare historical trends.  In any event, trending is not appropriate because w</w:t>
      </w:r>
      <w:r>
        <w:t>orking capital does not automatically grow</w:t>
      </w:r>
      <w:r w:rsidR="00535045">
        <w:t xml:space="preserve"> year to year</w:t>
      </w:r>
      <w:r>
        <w:t xml:space="preserve">.  </w:t>
      </w:r>
      <w:r w:rsidR="00C6408F">
        <w:t xml:space="preserve">Working capital depends on the relationship between assets and liabilities on the balance sheet, </w:t>
      </w:r>
      <w:r w:rsidR="0099795B">
        <w:t>and it does not necessarily grow over time</w:t>
      </w:r>
      <w:r w:rsidR="00471642">
        <w:t>.</w:t>
      </w:r>
    </w:p>
    <w:p w14:paraId="36FE85F9" w14:textId="77777777" w:rsidR="00401B10" w:rsidRDefault="00401B10" w:rsidP="00D7759D">
      <w:pPr>
        <w:spacing w:line="480" w:lineRule="auto"/>
        <w:ind w:left="720" w:hanging="720"/>
      </w:pPr>
      <w:r>
        <w:lastRenderedPageBreak/>
        <w:tab/>
      </w:r>
      <w:r>
        <w:tab/>
      </w:r>
      <w:r w:rsidR="00641BFD">
        <w:t>For s</w:t>
      </w:r>
      <w:r w:rsidR="00535045">
        <w:t>imilar</w:t>
      </w:r>
      <w:r w:rsidR="00641BFD">
        <w:t xml:space="preserve"> reasons</w:t>
      </w:r>
      <w:r w:rsidR="00535045">
        <w:t>, I did not grow other debits and credits</w:t>
      </w:r>
      <w:r w:rsidR="00973B22">
        <w:t xml:space="preserve"> </w:t>
      </w:r>
      <w:r w:rsidR="00E55A60">
        <w:t>over</w:t>
      </w:r>
      <w:r w:rsidR="00535045">
        <w:t xml:space="preserve"> the Staff’s base case level.  Th</w:t>
      </w:r>
      <w:r w:rsidR="00B66072">
        <w:t xml:space="preserve">is line includes </w:t>
      </w:r>
      <w:r w:rsidR="009A06F1">
        <w:t xml:space="preserve">regulatory assets and liabilities </w:t>
      </w:r>
      <w:r w:rsidR="00B66072">
        <w:t>that are already adjusted to the rate year</w:t>
      </w:r>
      <w:r w:rsidR="009A06F1">
        <w:t>.</w:t>
      </w:r>
    </w:p>
    <w:p w14:paraId="36FE85FA" w14:textId="77777777" w:rsidR="002966BF" w:rsidRDefault="002966BF" w:rsidP="00D7759D">
      <w:pPr>
        <w:spacing w:line="480" w:lineRule="auto"/>
        <w:ind w:left="720" w:hanging="720"/>
      </w:pPr>
    </w:p>
    <w:p w14:paraId="36FE85FB" w14:textId="77777777" w:rsidR="002966BF" w:rsidRDefault="002966BF" w:rsidP="00D7759D">
      <w:pPr>
        <w:spacing w:line="480" w:lineRule="auto"/>
        <w:ind w:left="720" w:hanging="720"/>
        <w:rPr>
          <w:b/>
        </w:rPr>
      </w:pPr>
      <w:r w:rsidRPr="002966BF">
        <w:rPr>
          <w:b/>
        </w:rPr>
        <w:t>Q.</w:t>
      </w:r>
      <w:r w:rsidRPr="002966BF">
        <w:rPr>
          <w:b/>
        </w:rPr>
        <w:tab/>
        <w:t>Did you make another adjustment to your projected rate base?</w:t>
      </w:r>
    </w:p>
    <w:p w14:paraId="36FE85FC" w14:textId="77777777" w:rsidR="002966BF" w:rsidRPr="002966BF" w:rsidRDefault="002966BF" w:rsidP="00D7759D">
      <w:pPr>
        <w:spacing w:line="480" w:lineRule="auto"/>
        <w:ind w:left="720" w:hanging="720"/>
      </w:pPr>
      <w:r>
        <w:t>A.</w:t>
      </w:r>
      <w:r>
        <w:tab/>
      </w:r>
      <w:r w:rsidR="00722AC7">
        <w:t>Yes</w:t>
      </w:r>
      <w:r w:rsidR="00641BFD">
        <w:t>.</w:t>
      </w:r>
      <w:r w:rsidR="00722AC7">
        <w:t xml:space="preserve">  I included the Staff disallowance for the Pullman smart grid project through 2013. </w:t>
      </w:r>
      <w:r w:rsidR="00F71E38">
        <w:t xml:space="preserve"> This adjustment reduced </w:t>
      </w:r>
      <w:r w:rsidR="00641BFD">
        <w:t xml:space="preserve">attrition year </w:t>
      </w:r>
      <w:r w:rsidR="00F71E38">
        <w:t xml:space="preserve">net rate base </w:t>
      </w:r>
      <w:r w:rsidR="00641BFD">
        <w:t xml:space="preserve">by </w:t>
      </w:r>
      <w:r w:rsidR="00F71E38">
        <w:t>$3,685,000.</w:t>
      </w:r>
      <w:r w:rsidR="00F71E38">
        <w:rPr>
          <w:rStyle w:val="FootnoteReference"/>
        </w:rPr>
        <w:footnoteReference w:id="64"/>
      </w:r>
      <w:r w:rsidR="00722AC7">
        <w:t xml:space="preserve"> </w:t>
      </w:r>
    </w:p>
    <w:p w14:paraId="36FE85FD" w14:textId="77777777" w:rsidR="009A06F1" w:rsidRDefault="009A06F1" w:rsidP="00D7759D">
      <w:pPr>
        <w:spacing w:line="480" w:lineRule="auto"/>
        <w:ind w:left="720" w:hanging="720"/>
      </w:pPr>
    </w:p>
    <w:p w14:paraId="36FE85FE" w14:textId="77777777" w:rsidR="009A06F1" w:rsidRDefault="009A06F1" w:rsidP="00D7759D">
      <w:pPr>
        <w:spacing w:line="480" w:lineRule="auto"/>
        <w:ind w:left="720" w:hanging="720"/>
        <w:rPr>
          <w:b/>
        </w:rPr>
      </w:pPr>
      <w:r>
        <w:rPr>
          <w:b/>
        </w:rPr>
        <w:t>Q.</w:t>
      </w:r>
      <w:r>
        <w:rPr>
          <w:b/>
        </w:rPr>
        <w:tab/>
        <w:t xml:space="preserve">Please summarize your </w:t>
      </w:r>
      <w:r w:rsidR="009031AC">
        <w:rPr>
          <w:b/>
        </w:rPr>
        <w:t xml:space="preserve">electric and natural gas </w:t>
      </w:r>
      <w:r>
        <w:rPr>
          <w:b/>
        </w:rPr>
        <w:t xml:space="preserve">rate </w:t>
      </w:r>
      <w:r w:rsidR="009031AC">
        <w:rPr>
          <w:b/>
        </w:rPr>
        <w:t>base values for attrition</w:t>
      </w:r>
      <w:r>
        <w:rPr>
          <w:b/>
        </w:rPr>
        <w:t>.</w:t>
      </w:r>
    </w:p>
    <w:p w14:paraId="36FE85FF" w14:textId="77777777" w:rsidR="009031AC" w:rsidRDefault="009A06F1" w:rsidP="00B66072">
      <w:pPr>
        <w:spacing w:line="480" w:lineRule="auto"/>
        <w:ind w:left="720" w:hanging="720"/>
      </w:pPr>
      <w:r>
        <w:t>A.</w:t>
      </w:r>
      <w:r>
        <w:tab/>
      </w:r>
      <w:r w:rsidR="00E55A60">
        <w:t xml:space="preserve">The electric </w:t>
      </w:r>
      <w:r w:rsidR="009031AC">
        <w:t xml:space="preserve">rate base for </w:t>
      </w:r>
      <w:r w:rsidR="00E55A60">
        <w:t xml:space="preserve">the attrition rate year </w:t>
      </w:r>
      <w:r w:rsidR="00B66072">
        <w:t>increase</w:t>
      </w:r>
      <w:r w:rsidR="009031AC">
        <w:t>s</w:t>
      </w:r>
      <w:r w:rsidR="00B66072">
        <w:t xml:space="preserve"> </w:t>
      </w:r>
      <w:r w:rsidR="009031AC">
        <w:t xml:space="preserve">by </w:t>
      </w:r>
      <w:r w:rsidR="00B66072">
        <w:t>$83,722,000</w:t>
      </w:r>
      <w:r w:rsidR="009031AC">
        <w:t>,</w:t>
      </w:r>
      <w:r w:rsidR="00B66072">
        <w:t xml:space="preserve"> </w:t>
      </w:r>
      <w:r w:rsidR="00E55A60">
        <w:t>to</w:t>
      </w:r>
      <w:r w:rsidR="000206F4">
        <w:t xml:space="preserve"> </w:t>
      </w:r>
      <w:r w:rsidR="00B66072">
        <w:t>$1,208,995,000.</w:t>
      </w:r>
      <w:r w:rsidR="00F13692">
        <w:rPr>
          <w:rStyle w:val="FootnoteReference"/>
        </w:rPr>
        <w:footnoteReference w:id="65"/>
      </w:r>
      <w:r w:rsidR="00B66072">
        <w:t xml:space="preserve">  </w:t>
      </w:r>
    </w:p>
    <w:p w14:paraId="36FE8600" w14:textId="77777777" w:rsidR="00B66072" w:rsidRDefault="009031AC" w:rsidP="00B66072">
      <w:pPr>
        <w:spacing w:line="480" w:lineRule="auto"/>
        <w:ind w:left="720" w:hanging="720"/>
      </w:pPr>
      <w:r>
        <w:tab/>
      </w:r>
      <w:r>
        <w:tab/>
      </w:r>
      <w:r w:rsidR="00C6408F">
        <w:t>The natural gas rate base for the attrition year increases by $13,061,000 to $202,150,000</w:t>
      </w:r>
      <w:r w:rsidR="000206F4">
        <w:t>.</w:t>
      </w:r>
      <w:r w:rsidR="00C6408F">
        <w:rPr>
          <w:rStyle w:val="FootnoteReference"/>
        </w:rPr>
        <w:footnoteReference w:id="66"/>
      </w:r>
    </w:p>
    <w:p w14:paraId="36FE8601" w14:textId="77777777" w:rsidR="00510058" w:rsidRPr="009A06F1" w:rsidRDefault="00510058" w:rsidP="00510058">
      <w:pPr>
        <w:tabs>
          <w:tab w:val="left" w:pos="5846"/>
        </w:tabs>
        <w:spacing w:line="480" w:lineRule="auto"/>
        <w:ind w:left="720" w:hanging="720"/>
      </w:pPr>
    </w:p>
    <w:p w14:paraId="36FE8602" w14:textId="77777777" w:rsidR="00B66072" w:rsidRPr="00510058" w:rsidRDefault="00510058" w:rsidP="00510058">
      <w:pPr>
        <w:spacing w:line="480" w:lineRule="auto"/>
        <w:ind w:left="720" w:firstLine="720"/>
        <w:rPr>
          <w:b/>
        </w:rPr>
      </w:pPr>
      <w:r>
        <w:rPr>
          <w:b/>
        </w:rPr>
        <w:t>7.</w:t>
      </w:r>
      <w:r>
        <w:rPr>
          <w:b/>
        </w:rPr>
        <w:tab/>
      </w:r>
      <w:r w:rsidR="00B66072" w:rsidRPr="00510058">
        <w:rPr>
          <w:b/>
        </w:rPr>
        <w:t>Results of Staff’s Attrition Study</w:t>
      </w:r>
    </w:p>
    <w:p w14:paraId="36FE8603" w14:textId="77777777" w:rsidR="00510058" w:rsidRPr="00510058" w:rsidRDefault="00510058" w:rsidP="00510058">
      <w:pPr>
        <w:spacing w:line="480" w:lineRule="auto"/>
        <w:rPr>
          <w:b/>
        </w:rPr>
      </w:pPr>
    </w:p>
    <w:p w14:paraId="36FE8604" w14:textId="77777777" w:rsidR="00B66072" w:rsidRDefault="00B66072" w:rsidP="00B66072">
      <w:pPr>
        <w:spacing w:line="480" w:lineRule="auto"/>
        <w:ind w:left="720" w:hanging="720"/>
        <w:rPr>
          <w:b/>
        </w:rPr>
      </w:pPr>
      <w:r>
        <w:rPr>
          <w:b/>
        </w:rPr>
        <w:t>Q.</w:t>
      </w:r>
      <w:r>
        <w:rPr>
          <w:b/>
        </w:rPr>
        <w:tab/>
        <w:t>Please explain the results of your attrition study.</w:t>
      </w:r>
    </w:p>
    <w:p w14:paraId="36FE8605" w14:textId="77777777" w:rsidR="00097C73" w:rsidRDefault="00B66072" w:rsidP="00B66072">
      <w:pPr>
        <w:spacing w:line="480" w:lineRule="auto"/>
        <w:ind w:left="720" w:hanging="720"/>
      </w:pPr>
      <w:r>
        <w:t>A.</w:t>
      </w:r>
      <w:r>
        <w:tab/>
        <w:t>For electric service</w:t>
      </w:r>
      <w:r w:rsidR="009031AC">
        <w:t>,</w:t>
      </w:r>
      <w:r>
        <w:t xml:space="preserve"> </w:t>
      </w:r>
      <w:r w:rsidR="00E55A60">
        <w:t xml:space="preserve">the </w:t>
      </w:r>
      <w:r>
        <w:t xml:space="preserve">study </w:t>
      </w:r>
      <w:r w:rsidR="00E55A60">
        <w:t>show</w:t>
      </w:r>
      <w:r w:rsidR="00973B22">
        <w:t>s</w:t>
      </w:r>
      <w:r w:rsidR="00E55A60">
        <w:t xml:space="preserve"> </w:t>
      </w:r>
      <w:r>
        <w:t>an attrition</w:t>
      </w:r>
      <w:r w:rsidR="009031AC">
        <w:t>-</w:t>
      </w:r>
      <w:r>
        <w:t xml:space="preserve">adjusted revenue </w:t>
      </w:r>
      <w:r w:rsidR="005A5C5F">
        <w:t xml:space="preserve">surplus </w:t>
      </w:r>
      <w:r>
        <w:t>of $</w:t>
      </w:r>
      <w:r w:rsidR="005A5C5F">
        <w:t>1,312</w:t>
      </w:r>
      <w:r>
        <w:t xml:space="preserve">,000.  </w:t>
      </w:r>
      <w:r w:rsidR="009031AC">
        <w:t>The calculation is shown in m</w:t>
      </w:r>
      <w:r>
        <w:t>y Exhibit No. ___ (</w:t>
      </w:r>
      <w:r w:rsidR="00044830">
        <w:t>KHB-9</w:t>
      </w:r>
      <w:r w:rsidR="00BB123A">
        <w:t>C</w:t>
      </w:r>
      <w:r>
        <w:t>)</w:t>
      </w:r>
      <w:r w:rsidR="00641BFD">
        <w:t>,</w:t>
      </w:r>
      <w:r w:rsidR="005A5C5F">
        <w:t xml:space="preserve"> </w:t>
      </w:r>
      <w:r w:rsidR="000206F4">
        <w:t>at</w:t>
      </w:r>
      <w:r w:rsidR="005A5C5F">
        <w:t xml:space="preserve"> 1</w:t>
      </w:r>
      <w:r w:rsidR="009031AC">
        <w:t xml:space="preserve">.  </w:t>
      </w:r>
      <w:r>
        <w:t xml:space="preserve">Lines 1 through 6, column (c), </w:t>
      </w:r>
      <w:r w:rsidR="00C6408F">
        <w:t>show</w:t>
      </w:r>
      <w:r>
        <w:t xml:space="preserve"> the projected rate year revenue, expenses, resulting net operating income and rate base.  Line 7 </w:t>
      </w:r>
      <w:r w:rsidR="00E55A60">
        <w:t>indicates a</w:t>
      </w:r>
      <w:r>
        <w:t xml:space="preserve"> return on rate base of 7.2</w:t>
      </w:r>
      <w:r w:rsidR="005A5C5F">
        <w:t>9</w:t>
      </w:r>
      <w:r>
        <w:t xml:space="preserve"> </w:t>
      </w:r>
      <w:r>
        <w:lastRenderedPageBreak/>
        <w:t xml:space="preserve">percent.  </w:t>
      </w:r>
      <w:r w:rsidR="00E55A60">
        <w:t>The final result i</w:t>
      </w:r>
      <w:r>
        <w:t>s 0.0</w:t>
      </w:r>
      <w:r w:rsidR="005A5C5F">
        <w:t>7</w:t>
      </w:r>
      <w:r>
        <w:t xml:space="preserve"> percent </w:t>
      </w:r>
      <w:r w:rsidR="00B82FF4">
        <w:t>above</w:t>
      </w:r>
      <w:r>
        <w:t xml:space="preserve"> Staff’s recommended</w:t>
      </w:r>
      <w:r w:rsidR="00E55A60">
        <w:t xml:space="preserve"> 7.22 percent</w:t>
      </w:r>
      <w:r>
        <w:t xml:space="preserve"> return on rate base. </w:t>
      </w:r>
      <w:r w:rsidR="009031AC">
        <w:t xml:space="preserve"> </w:t>
      </w:r>
      <w:r w:rsidR="00E63256">
        <w:t>Th</w:t>
      </w:r>
      <w:r w:rsidR="00973B22">
        <w:t>e</w:t>
      </w:r>
      <w:r w:rsidR="00E55A60">
        <w:t>refor</w:t>
      </w:r>
      <w:r w:rsidR="00E63256">
        <w:t>e</w:t>
      </w:r>
      <w:r w:rsidR="00E55A60">
        <w:t>, the</w:t>
      </w:r>
      <w:r w:rsidR="00E63256">
        <w:t xml:space="preserve"> result</w:t>
      </w:r>
      <w:r w:rsidR="00E55A60">
        <w:t xml:space="preserve"> is an</w:t>
      </w:r>
      <w:r w:rsidR="00E63256">
        <w:t xml:space="preserve"> attrition-adjusted revenue su</w:t>
      </w:r>
      <w:r w:rsidR="00097C73">
        <w:t>r</w:t>
      </w:r>
      <w:r w:rsidR="00E63256">
        <w:t>plus of $1,312,000</w:t>
      </w:r>
      <w:r w:rsidR="00973B22">
        <w:t xml:space="preserve">, </w:t>
      </w:r>
      <w:r w:rsidR="00E63256">
        <w:t>shown on line 14.</w:t>
      </w:r>
    </w:p>
    <w:p w14:paraId="36FE8606" w14:textId="63C3DA0D" w:rsidR="00B66072" w:rsidRDefault="009031AC" w:rsidP="00346106">
      <w:pPr>
        <w:spacing w:line="480" w:lineRule="auto"/>
        <w:ind w:left="720" w:firstLine="720"/>
      </w:pPr>
      <w:r>
        <w:t xml:space="preserve">For </w:t>
      </w:r>
      <w:r w:rsidR="00DA53EF">
        <w:t xml:space="preserve">natural gas </w:t>
      </w:r>
      <w:r>
        <w:t xml:space="preserve">service, Staff’s </w:t>
      </w:r>
      <w:r w:rsidR="0099795B">
        <w:t>attrition-</w:t>
      </w:r>
      <w:r w:rsidR="00B66072">
        <w:t>adjusted revenue requirement is $3,</w:t>
      </w:r>
      <w:r w:rsidR="00DA53EF">
        <w:t>972</w:t>
      </w:r>
      <w:r w:rsidR="00B66072">
        <w:t>,000.  My Exhib</w:t>
      </w:r>
      <w:r w:rsidR="00044830">
        <w:t>it No.</w:t>
      </w:r>
      <w:r w:rsidR="00973B22">
        <w:t xml:space="preserve"> </w:t>
      </w:r>
      <w:r w:rsidR="00044830">
        <w:t>___</w:t>
      </w:r>
      <w:r w:rsidR="00641BFD">
        <w:t xml:space="preserve"> </w:t>
      </w:r>
      <w:r w:rsidR="00044830">
        <w:t>(KHB-10</w:t>
      </w:r>
      <w:r w:rsidR="00097C73">
        <w:t>C</w:t>
      </w:r>
      <w:r w:rsidR="00B66072">
        <w:t xml:space="preserve">) provides the calculation of the revenue </w:t>
      </w:r>
      <w:r w:rsidR="00DA53EF">
        <w:t xml:space="preserve">deficiency </w:t>
      </w:r>
      <w:r w:rsidR="00B66072">
        <w:t xml:space="preserve">in the same fashion </w:t>
      </w:r>
      <w:r>
        <w:t xml:space="preserve">I just explained for </w:t>
      </w:r>
      <w:r w:rsidR="00B66072">
        <w:t xml:space="preserve">electric </w:t>
      </w:r>
      <w:r>
        <w:t>service</w:t>
      </w:r>
      <w:r w:rsidR="00E55A60">
        <w:t xml:space="preserve">.  </w:t>
      </w:r>
      <w:r w:rsidR="00C6408F">
        <w:t xml:space="preserve">Line 7, column (c) shows the projected rate year return on equity for natural gas service is 5.97 percent.  </w:t>
      </w:r>
      <w:r w:rsidR="00E55A60">
        <w:t>Comparing this</w:t>
      </w:r>
      <w:r w:rsidR="00B66072">
        <w:t xml:space="preserve"> </w:t>
      </w:r>
      <w:r w:rsidR="00973B22">
        <w:t xml:space="preserve">to </w:t>
      </w:r>
      <w:r>
        <w:t xml:space="preserve">Staff’s </w:t>
      </w:r>
      <w:r w:rsidR="00B66072">
        <w:t>rate of return of 7.22 percent</w:t>
      </w:r>
      <w:r w:rsidR="00E55A60">
        <w:t xml:space="preserve"> produces an</w:t>
      </w:r>
      <w:r w:rsidR="00973B22">
        <w:t xml:space="preserve"> </w:t>
      </w:r>
      <w:r w:rsidR="00B66072">
        <w:t>attrition</w:t>
      </w:r>
      <w:r>
        <w:t>-</w:t>
      </w:r>
      <w:r w:rsidR="00B66072">
        <w:t xml:space="preserve">adjusted revenue </w:t>
      </w:r>
      <w:r w:rsidR="00B82FF4">
        <w:t xml:space="preserve">deficiency </w:t>
      </w:r>
      <w:r w:rsidR="00B66072">
        <w:t>of $3,</w:t>
      </w:r>
      <w:r w:rsidR="00DA53EF">
        <w:t>972</w:t>
      </w:r>
      <w:r w:rsidR="00B66072">
        <w:t>,000</w:t>
      </w:r>
      <w:r w:rsidR="00973B22">
        <w:t>,</w:t>
      </w:r>
      <w:r w:rsidR="00B66072">
        <w:t xml:space="preserve"> </w:t>
      </w:r>
      <w:r w:rsidR="00B67BAB">
        <w:t>shown on</w:t>
      </w:r>
      <w:r w:rsidR="00B82FF4">
        <w:t xml:space="preserve"> </w:t>
      </w:r>
      <w:r w:rsidR="00B66072">
        <w:t>line 1</w:t>
      </w:r>
      <w:r w:rsidR="00E63256">
        <w:t>4</w:t>
      </w:r>
      <w:r w:rsidR="00B66072">
        <w:t>.</w:t>
      </w:r>
    </w:p>
    <w:p w14:paraId="36FE8607" w14:textId="77777777" w:rsidR="00F0272E" w:rsidRDefault="00F0272E" w:rsidP="00F0272E">
      <w:pPr>
        <w:pStyle w:val="ListParagraph"/>
        <w:spacing w:line="480" w:lineRule="auto"/>
        <w:ind w:hanging="720"/>
      </w:pPr>
    </w:p>
    <w:p w14:paraId="36FE8608" w14:textId="77777777" w:rsidR="00F0272E" w:rsidRDefault="00F0272E" w:rsidP="00F0272E">
      <w:pPr>
        <w:pStyle w:val="ListParagraph"/>
        <w:spacing w:line="480" w:lineRule="auto"/>
        <w:ind w:hanging="720"/>
        <w:rPr>
          <w:b/>
        </w:rPr>
      </w:pPr>
      <w:r>
        <w:rPr>
          <w:b/>
        </w:rPr>
        <w:t>Q.</w:t>
      </w:r>
      <w:r>
        <w:rPr>
          <w:b/>
        </w:rPr>
        <w:tab/>
        <w:t>What other recommendations do you have regarding attrition allowances?</w:t>
      </w:r>
    </w:p>
    <w:p w14:paraId="36FE8609" w14:textId="77777777" w:rsidR="00F0272E" w:rsidRDefault="00F0272E" w:rsidP="00F0272E">
      <w:pPr>
        <w:spacing w:line="480" w:lineRule="auto"/>
        <w:ind w:left="720" w:hanging="720"/>
      </w:pPr>
      <w:r>
        <w:t xml:space="preserve">A. </w:t>
      </w:r>
      <w:r>
        <w:tab/>
        <w:t xml:space="preserve">Staff recommends the Commission require that </w:t>
      </w:r>
      <w:r w:rsidR="00C6408F">
        <w:t>Avista include with future attrition study</w:t>
      </w:r>
      <w:r w:rsidR="00346106">
        <w:t>,</w:t>
      </w:r>
      <w:r>
        <w:t xml:space="preserve"> testimony, exhibits and work</w:t>
      </w:r>
      <w:r w:rsidR="00B67BAB">
        <w:t xml:space="preserve"> </w:t>
      </w:r>
      <w:r>
        <w:t>papers support</w:t>
      </w:r>
      <w:r w:rsidR="00B67BAB">
        <w:t>ing</w:t>
      </w:r>
      <w:r>
        <w:t xml:space="preserve"> each forecast relied upon</w:t>
      </w:r>
      <w:r w:rsidR="00C6408F">
        <w:t>.</w:t>
      </w:r>
      <w:r>
        <w:t xml:space="preserve"> </w:t>
      </w:r>
    </w:p>
    <w:p w14:paraId="36FE860A" w14:textId="77777777" w:rsidR="00F0272E" w:rsidRDefault="00F0272E" w:rsidP="00F0272E">
      <w:pPr>
        <w:spacing w:line="480" w:lineRule="auto"/>
        <w:ind w:left="720" w:firstLine="720"/>
      </w:pPr>
      <w:r>
        <w:t xml:space="preserve">The testimony should explain the methodology and assumptions used and discuss any changes from prior cases.  The Company must explain each assumption </w:t>
      </w:r>
      <w:r w:rsidR="00C6408F">
        <w:t>and any</w:t>
      </w:r>
      <w:r w:rsidR="00B67BAB">
        <w:t xml:space="preserve"> </w:t>
      </w:r>
      <w:r>
        <w:t>changes in assumptions</w:t>
      </w:r>
      <w:r w:rsidR="00C6408F">
        <w:t xml:space="preserve"> and their impact</w:t>
      </w:r>
      <w:r w:rsidR="00B67BAB">
        <w:t>.  This data must be segregated</w:t>
      </w:r>
      <w:r>
        <w:t xml:space="preserve"> by rate schedule</w:t>
      </w:r>
      <w:r w:rsidR="00C6408F">
        <w:t>, and should</w:t>
      </w:r>
      <w:r w:rsidR="00B67BAB">
        <w:t xml:space="preserve"> includ</w:t>
      </w:r>
      <w:r w:rsidR="00C6408F">
        <w:t>e</w:t>
      </w:r>
      <w:r w:rsidR="00B67BAB">
        <w:t xml:space="preserve"> the impact to projected </w:t>
      </w:r>
      <w:r>
        <w:t xml:space="preserve">revenue, expense or investment level.  </w:t>
      </w:r>
    </w:p>
    <w:p w14:paraId="36FE860B" w14:textId="77777777" w:rsidR="00F0272E" w:rsidRDefault="00C6408F" w:rsidP="00F0272E">
      <w:pPr>
        <w:spacing w:line="480" w:lineRule="auto"/>
        <w:ind w:left="720" w:firstLine="720"/>
      </w:pPr>
      <w:r>
        <w:t>In particular, the s</w:t>
      </w:r>
      <w:r w:rsidR="00F0272E">
        <w:t>upporting documentation for testimony needs to include very specific information about the assumptions made in the forecasting process.</w:t>
      </w:r>
      <w:r w:rsidR="00F0272E">
        <w:rPr>
          <w:rStyle w:val="FootnoteReference"/>
        </w:rPr>
        <w:footnoteReference w:id="67"/>
      </w:r>
      <w:r w:rsidR="00F0272E">
        <w:t xml:space="preserve">  The information should include a working model with linked workbooks where Staff </w:t>
      </w:r>
      <w:r w:rsidR="00F0272E">
        <w:lastRenderedPageBreak/>
        <w:t>can input a different numerical assumption and test the input’s impact on the final forecasted load.</w:t>
      </w:r>
      <w:r w:rsidR="00F0272E">
        <w:rPr>
          <w:rStyle w:val="FootnoteReference"/>
        </w:rPr>
        <w:footnoteReference w:id="68"/>
      </w:r>
      <w:r w:rsidR="00824AB1">
        <w:t xml:space="preserve">  </w:t>
      </w:r>
    </w:p>
    <w:p w14:paraId="36FE860C" w14:textId="77777777" w:rsidR="00F0272E" w:rsidRDefault="00F0272E" w:rsidP="00F0272E">
      <w:pPr>
        <w:spacing w:line="480" w:lineRule="auto"/>
        <w:ind w:left="720" w:firstLine="720"/>
      </w:pPr>
    </w:p>
    <w:p w14:paraId="36FE860D" w14:textId="77777777" w:rsidR="00F0272E" w:rsidRDefault="00F0272E" w:rsidP="00F0272E">
      <w:pPr>
        <w:spacing w:line="480" w:lineRule="auto"/>
        <w:ind w:left="720" w:hanging="720"/>
        <w:rPr>
          <w:b/>
        </w:rPr>
      </w:pPr>
      <w:r>
        <w:rPr>
          <w:b/>
        </w:rPr>
        <w:t>Q.</w:t>
      </w:r>
      <w:r>
        <w:rPr>
          <w:b/>
        </w:rPr>
        <w:tab/>
        <w:t xml:space="preserve">Do you consider your attrition study </w:t>
      </w:r>
      <w:r w:rsidR="00641BFD">
        <w:rPr>
          <w:b/>
        </w:rPr>
        <w:t xml:space="preserve">in this case to be </w:t>
      </w:r>
      <w:r>
        <w:rPr>
          <w:b/>
        </w:rPr>
        <w:t>a framework for future attrition analys</w:t>
      </w:r>
      <w:r w:rsidR="00641BFD">
        <w:rPr>
          <w:b/>
        </w:rPr>
        <w:t>e</w:t>
      </w:r>
      <w:r>
        <w:rPr>
          <w:b/>
        </w:rPr>
        <w:t>s?</w:t>
      </w:r>
    </w:p>
    <w:p w14:paraId="36FE860E" w14:textId="77777777" w:rsidR="00F0272E" w:rsidRDefault="00F0272E" w:rsidP="00F0272E">
      <w:pPr>
        <w:spacing w:line="480" w:lineRule="auto"/>
        <w:ind w:left="720" w:hanging="720"/>
      </w:pPr>
      <w:r>
        <w:t>A.</w:t>
      </w:r>
      <w:r>
        <w:tab/>
        <w:t>No</w:t>
      </w:r>
      <w:r w:rsidR="00641BFD">
        <w:t>t necessarily</w:t>
      </w:r>
      <w:r>
        <w:t xml:space="preserve">.  An attrition study develops a forecast </w:t>
      </w:r>
      <w:r w:rsidR="00E155A5">
        <w:t xml:space="preserve">of the </w:t>
      </w:r>
      <w:r>
        <w:t>future</w:t>
      </w:r>
      <w:r w:rsidR="00E155A5">
        <w:t xml:space="preserve"> relationship between revenues</w:t>
      </w:r>
      <w:r w:rsidR="00C6408F">
        <w:t>,</w:t>
      </w:r>
      <w:r w:rsidR="00E155A5">
        <w:t xml:space="preserve"> expenses and rate base.  By their nature, a</w:t>
      </w:r>
      <w:r>
        <w:t>ny forecast</w:t>
      </w:r>
      <w:r w:rsidR="00E155A5">
        <w:t xml:space="preserve"> </w:t>
      </w:r>
      <w:r w:rsidR="00B67BAB">
        <w:t xml:space="preserve">is uncertain and </w:t>
      </w:r>
      <w:r w:rsidR="00C6408F">
        <w:t>the assumptions</w:t>
      </w:r>
      <w:r>
        <w:t xml:space="preserve"> </w:t>
      </w:r>
      <w:r w:rsidR="00B67BAB">
        <w:t xml:space="preserve">underlying a forecast </w:t>
      </w:r>
      <w:r>
        <w:t xml:space="preserve">can vary.  </w:t>
      </w:r>
      <w:r w:rsidR="00B67BAB">
        <w:t>A good attrition study require</w:t>
      </w:r>
      <w:r w:rsidR="00C6408F">
        <w:t>s</w:t>
      </w:r>
      <w:r w:rsidR="00B67BAB">
        <w:t xml:space="preserve"> the analyst</w:t>
      </w:r>
      <w:r>
        <w:t xml:space="preserve"> to consider current facts and circumstances </w:t>
      </w:r>
      <w:r w:rsidR="00B67BAB">
        <w:t xml:space="preserve">and </w:t>
      </w:r>
      <w:r w:rsidR="00C6408F">
        <w:t xml:space="preserve">this </w:t>
      </w:r>
      <w:r>
        <w:t>may justify a different approach</w:t>
      </w:r>
      <w:r w:rsidR="00B67BAB">
        <w:t xml:space="preserve"> in the future</w:t>
      </w:r>
      <w:r>
        <w:t>.</w:t>
      </w:r>
      <w:r w:rsidR="00641BFD">
        <w:t xml:space="preserve">  </w:t>
      </w:r>
      <w:r w:rsidR="00C6408F">
        <w:t xml:space="preserve">The framework could also change </w:t>
      </w:r>
      <w:r w:rsidR="00641BFD">
        <w:t>as Staff gains experience with attrition adjustments.</w:t>
      </w:r>
    </w:p>
    <w:p w14:paraId="36FE860F" w14:textId="77777777" w:rsidR="001E1D2A" w:rsidRDefault="001E1D2A" w:rsidP="0078327E">
      <w:pPr>
        <w:spacing w:line="480" w:lineRule="auto"/>
        <w:rPr>
          <w:b/>
        </w:rPr>
      </w:pPr>
    </w:p>
    <w:p w14:paraId="36FE8610" w14:textId="77777777" w:rsidR="00C6408F" w:rsidRDefault="00C6408F" w:rsidP="00B67BAB">
      <w:pPr>
        <w:spacing w:line="480" w:lineRule="auto"/>
        <w:rPr>
          <w:b/>
        </w:rPr>
      </w:pPr>
      <w:r>
        <w:rPr>
          <w:b/>
        </w:rPr>
        <w:t>Q,</w:t>
      </w:r>
      <w:r>
        <w:rPr>
          <w:b/>
        </w:rPr>
        <w:tab/>
        <w:t>Does that complete your direct testimony?</w:t>
      </w:r>
    </w:p>
    <w:p w14:paraId="36FE8611" w14:textId="77777777" w:rsidR="00097C73" w:rsidRPr="000206F4" w:rsidRDefault="00C6408F" w:rsidP="00346106">
      <w:pPr>
        <w:pStyle w:val="ListParagraph"/>
        <w:numPr>
          <w:ilvl w:val="0"/>
          <w:numId w:val="43"/>
        </w:numPr>
        <w:spacing w:line="480" w:lineRule="auto"/>
        <w:ind w:hanging="720"/>
      </w:pPr>
      <w:r w:rsidRPr="00B82FF4">
        <w:t>Yes.</w:t>
      </w:r>
      <w:r w:rsidRPr="00B82FF4" w:rsidDel="00B67BAB">
        <w:t xml:space="preserve"> </w:t>
      </w:r>
    </w:p>
    <w:sectPr w:rsidR="00097C73" w:rsidRPr="000206F4" w:rsidSect="00F05EAC">
      <w:footerReference w:type="default" r:id="rId18"/>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E8619" w14:textId="77777777" w:rsidR="000A4D9F" w:rsidRDefault="000A4D9F" w:rsidP="0015026F">
      <w:r>
        <w:separator/>
      </w:r>
    </w:p>
  </w:endnote>
  <w:endnote w:type="continuationSeparator" w:id="0">
    <w:p w14:paraId="36FE861A" w14:textId="77777777" w:rsidR="000A4D9F" w:rsidRDefault="000A4D9F" w:rsidP="0015026F">
      <w:r>
        <w:continuationSeparator/>
      </w:r>
    </w:p>
  </w:endnote>
  <w:endnote w:type="continuationNotice" w:id="1">
    <w:p w14:paraId="36FE861B" w14:textId="77777777" w:rsidR="000A4D9F" w:rsidRDefault="000A4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E861C" w14:textId="77777777" w:rsidR="000A4D9F" w:rsidRPr="0015026F" w:rsidRDefault="000A4D9F" w:rsidP="0015026F">
    <w:pPr>
      <w:pStyle w:val="Footer"/>
      <w:tabs>
        <w:tab w:val="clear" w:pos="9360"/>
        <w:tab w:val="right" w:pos="8910"/>
      </w:tabs>
      <w:rPr>
        <w:sz w:val="20"/>
        <w:szCs w:val="20"/>
      </w:rPr>
    </w:pPr>
  </w:p>
  <w:p w14:paraId="36FE861D" w14:textId="77777777" w:rsidR="000A4D9F" w:rsidRPr="00131B57" w:rsidRDefault="000A4D9F" w:rsidP="0015026F">
    <w:pPr>
      <w:pStyle w:val="Footer"/>
      <w:tabs>
        <w:tab w:val="clear" w:pos="9360"/>
        <w:tab w:val="right" w:pos="8910"/>
      </w:tabs>
      <w:rPr>
        <w:sz w:val="20"/>
        <w:szCs w:val="20"/>
        <w:lang w:val="fr-FR"/>
      </w:rPr>
    </w:pPr>
    <w:r w:rsidRPr="0015026F">
      <w:rPr>
        <w:sz w:val="20"/>
        <w:szCs w:val="20"/>
      </w:rPr>
      <w:t xml:space="preserve">TESTIMONY OF </w:t>
    </w:r>
    <w:r>
      <w:rPr>
        <w:sz w:val="20"/>
        <w:szCs w:val="20"/>
      </w:rPr>
      <w:t>KATHRYN H. BREDA</w:t>
    </w:r>
    <w:r w:rsidRPr="0015026F">
      <w:rPr>
        <w:sz w:val="20"/>
        <w:szCs w:val="20"/>
      </w:rPr>
      <w:tab/>
    </w:r>
    <w:r w:rsidRPr="0015026F">
      <w:rPr>
        <w:sz w:val="20"/>
        <w:szCs w:val="20"/>
      </w:rPr>
      <w:tab/>
      <w:t xml:space="preserve">Exhibit No. </w:t>
    </w:r>
    <w:r>
      <w:rPr>
        <w:sz w:val="20"/>
        <w:szCs w:val="20"/>
      </w:rPr>
      <w:t>___ (</w:t>
    </w:r>
    <w:r w:rsidRPr="00131B57">
      <w:rPr>
        <w:sz w:val="20"/>
        <w:szCs w:val="20"/>
        <w:lang w:val="fr-FR"/>
      </w:rPr>
      <w:t>KHB-1</w:t>
    </w:r>
    <w:r>
      <w:rPr>
        <w:sz w:val="20"/>
        <w:szCs w:val="20"/>
        <w:lang w:val="fr-FR"/>
      </w:rPr>
      <w:t>C</w:t>
    </w:r>
    <w:r w:rsidRPr="00131B57">
      <w:rPr>
        <w:sz w:val="20"/>
        <w:szCs w:val="20"/>
        <w:lang w:val="fr-FR"/>
      </w:rPr>
      <w:t>T</w:t>
    </w:r>
    <w:r>
      <w:rPr>
        <w:sz w:val="20"/>
        <w:szCs w:val="20"/>
        <w:lang w:val="fr-FR"/>
      </w:rPr>
      <w:t>)</w:t>
    </w:r>
  </w:p>
  <w:p w14:paraId="36FE861E" w14:textId="77777777" w:rsidR="000A4D9F" w:rsidRPr="0015026F" w:rsidRDefault="000A4D9F" w:rsidP="0015026F">
    <w:pPr>
      <w:pStyle w:val="Footer"/>
      <w:tabs>
        <w:tab w:val="clear" w:pos="9360"/>
        <w:tab w:val="right" w:pos="8910"/>
      </w:tabs>
      <w:rPr>
        <w:sz w:val="20"/>
        <w:szCs w:val="20"/>
      </w:rPr>
    </w:pPr>
    <w:r w:rsidRPr="00131B57">
      <w:rPr>
        <w:sz w:val="20"/>
        <w:szCs w:val="20"/>
        <w:lang w:val="fr-FR"/>
      </w:rPr>
      <w:t>Docket</w:t>
    </w:r>
    <w:r>
      <w:rPr>
        <w:sz w:val="20"/>
        <w:szCs w:val="20"/>
        <w:lang w:val="fr-FR"/>
      </w:rPr>
      <w:t>s</w:t>
    </w:r>
    <w:r w:rsidRPr="00131B57">
      <w:rPr>
        <w:sz w:val="20"/>
        <w:szCs w:val="20"/>
        <w:lang w:val="fr-FR"/>
      </w:rPr>
      <w:t xml:space="preserve"> UE-120436, et al. </w:t>
    </w:r>
    <w:r w:rsidRPr="00131B57">
      <w:rPr>
        <w:sz w:val="20"/>
        <w:szCs w:val="20"/>
        <w:lang w:val="fr-FR"/>
      </w:rPr>
      <w:tab/>
    </w:r>
    <w:r w:rsidRPr="00131B57">
      <w:rPr>
        <w:sz w:val="20"/>
        <w:szCs w:val="20"/>
        <w:lang w:val="fr-FR"/>
      </w:rPr>
      <w:tab/>
    </w:r>
    <w:r w:rsidRPr="0015026F">
      <w:rPr>
        <w:sz w:val="20"/>
        <w:szCs w:val="20"/>
      </w:rPr>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801E76">
      <w:rPr>
        <w:noProof/>
        <w:sz w:val="20"/>
        <w:szCs w:val="20"/>
      </w:rPr>
      <w:t>27</w:t>
    </w:r>
    <w:r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5BCAA" w14:textId="77777777" w:rsidR="00E44AB6" w:rsidRPr="0015026F" w:rsidRDefault="00E44AB6" w:rsidP="0015026F">
    <w:pPr>
      <w:pStyle w:val="Footer"/>
      <w:tabs>
        <w:tab w:val="clear" w:pos="9360"/>
        <w:tab w:val="right" w:pos="8910"/>
      </w:tabs>
      <w:rPr>
        <w:sz w:val="20"/>
        <w:szCs w:val="20"/>
      </w:rPr>
    </w:pPr>
  </w:p>
  <w:p w14:paraId="5AB37F4D" w14:textId="77777777" w:rsidR="00E44AB6" w:rsidRPr="00131B57" w:rsidRDefault="00E44AB6" w:rsidP="0015026F">
    <w:pPr>
      <w:pStyle w:val="Footer"/>
      <w:tabs>
        <w:tab w:val="clear" w:pos="9360"/>
        <w:tab w:val="right" w:pos="8910"/>
      </w:tabs>
      <w:rPr>
        <w:sz w:val="20"/>
        <w:szCs w:val="20"/>
        <w:lang w:val="fr-FR"/>
      </w:rPr>
    </w:pPr>
    <w:r w:rsidRPr="0015026F">
      <w:rPr>
        <w:sz w:val="20"/>
        <w:szCs w:val="20"/>
      </w:rPr>
      <w:t xml:space="preserve">TESTIMONY OF </w:t>
    </w:r>
    <w:r>
      <w:rPr>
        <w:sz w:val="20"/>
        <w:szCs w:val="20"/>
      </w:rPr>
      <w:t>KATHRYN H. BREDA</w:t>
    </w:r>
    <w:r w:rsidRPr="0015026F">
      <w:rPr>
        <w:sz w:val="20"/>
        <w:szCs w:val="20"/>
      </w:rPr>
      <w:tab/>
    </w:r>
    <w:r w:rsidRPr="0015026F">
      <w:rPr>
        <w:sz w:val="20"/>
        <w:szCs w:val="20"/>
      </w:rPr>
      <w:tab/>
      <w:t xml:space="preserve">Exhibit No. </w:t>
    </w:r>
    <w:r>
      <w:rPr>
        <w:sz w:val="20"/>
        <w:szCs w:val="20"/>
      </w:rPr>
      <w:t>___ (</w:t>
    </w:r>
    <w:proofErr w:type="spellStart"/>
    <w:r w:rsidRPr="00131B57">
      <w:rPr>
        <w:sz w:val="20"/>
        <w:szCs w:val="20"/>
        <w:lang w:val="fr-FR"/>
      </w:rPr>
      <w:t>KHB-1</w:t>
    </w:r>
    <w:r>
      <w:rPr>
        <w:sz w:val="20"/>
        <w:szCs w:val="20"/>
        <w:lang w:val="fr-FR"/>
      </w:rPr>
      <w:t>C</w:t>
    </w:r>
    <w:r w:rsidRPr="00131B57">
      <w:rPr>
        <w:sz w:val="20"/>
        <w:szCs w:val="20"/>
        <w:lang w:val="fr-FR"/>
      </w:rPr>
      <w:t>T</w:t>
    </w:r>
    <w:proofErr w:type="spellEnd"/>
    <w:r>
      <w:rPr>
        <w:sz w:val="20"/>
        <w:szCs w:val="20"/>
        <w:lang w:val="fr-FR"/>
      </w:rPr>
      <w:t>)</w:t>
    </w:r>
  </w:p>
  <w:p w14:paraId="332799FF" w14:textId="77777777" w:rsidR="00E44AB6" w:rsidRPr="0015026F" w:rsidRDefault="00E44AB6" w:rsidP="0015026F">
    <w:pPr>
      <w:pStyle w:val="Footer"/>
      <w:tabs>
        <w:tab w:val="clear" w:pos="9360"/>
        <w:tab w:val="right" w:pos="8910"/>
      </w:tabs>
      <w:rPr>
        <w:sz w:val="20"/>
        <w:szCs w:val="20"/>
      </w:rPr>
    </w:pPr>
    <w:proofErr w:type="spellStart"/>
    <w:r w:rsidRPr="00131B57">
      <w:rPr>
        <w:sz w:val="20"/>
        <w:szCs w:val="20"/>
        <w:lang w:val="fr-FR"/>
      </w:rPr>
      <w:t>Docket</w:t>
    </w:r>
    <w:r>
      <w:rPr>
        <w:sz w:val="20"/>
        <w:szCs w:val="20"/>
        <w:lang w:val="fr-FR"/>
      </w:rPr>
      <w:t>s</w:t>
    </w:r>
    <w:proofErr w:type="spellEnd"/>
    <w:r w:rsidRPr="00131B57">
      <w:rPr>
        <w:sz w:val="20"/>
        <w:szCs w:val="20"/>
        <w:lang w:val="fr-FR"/>
      </w:rPr>
      <w:t xml:space="preserve"> </w:t>
    </w:r>
    <w:proofErr w:type="spellStart"/>
    <w:r w:rsidRPr="00131B57">
      <w:rPr>
        <w:sz w:val="20"/>
        <w:szCs w:val="20"/>
        <w:lang w:val="fr-FR"/>
      </w:rPr>
      <w:t>UE-120436</w:t>
    </w:r>
    <w:proofErr w:type="spellEnd"/>
    <w:r w:rsidRPr="00131B57">
      <w:rPr>
        <w:sz w:val="20"/>
        <w:szCs w:val="20"/>
        <w:lang w:val="fr-FR"/>
      </w:rPr>
      <w:t xml:space="preserve">, et al. </w:t>
    </w:r>
    <w:r>
      <w:rPr>
        <w:sz w:val="20"/>
        <w:szCs w:val="20"/>
        <w:lang w:val="fr-FR"/>
      </w:rPr>
      <w:t xml:space="preserve"> </w:t>
    </w:r>
    <w:proofErr w:type="spellStart"/>
    <w:r>
      <w:rPr>
        <w:b/>
        <w:sz w:val="16"/>
        <w:szCs w:val="16"/>
        <w:lang w:val="fr-FR"/>
      </w:rPr>
      <w:t>CONFIDENTIAL</w:t>
    </w:r>
    <w:proofErr w:type="spellEnd"/>
    <w:r>
      <w:rPr>
        <w:b/>
        <w:sz w:val="16"/>
        <w:szCs w:val="16"/>
        <w:lang w:val="fr-FR"/>
      </w:rPr>
      <w:t xml:space="preserve"> PER PROTECTIVE </w:t>
    </w:r>
    <w:proofErr w:type="spellStart"/>
    <w:r>
      <w:rPr>
        <w:b/>
        <w:sz w:val="16"/>
        <w:szCs w:val="16"/>
        <w:lang w:val="fr-FR"/>
      </w:rPr>
      <w:t>ORDER</w:t>
    </w:r>
    <w:proofErr w:type="spellEnd"/>
    <w:r>
      <w:rPr>
        <w:b/>
        <w:sz w:val="16"/>
        <w:szCs w:val="16"/>
        <w:lang w:val="fr-FR"/>
      </w:rPr>
      <w:t xml:space="preserve"> IN </w:t>
    </w:r>
    <w:proofErr w:type="spellStart"/>
    <w:r>
      <w:rPr>
        <w:b/>
        <w:sz w:val="16"/>
        <w:szCs w:val="16"/>
        <w:lang w:val="fr-FR"/>
      </w:rPr>
      <w:t>DOCKETS</w:t>
    </w:r>
    <w:proofErr w:type="spellEnd"/>
    <w:r>
      <w:rPr>
        <w:b/>
        <w:sz w:val="16"/>
        <w:szCs w:val="16"/>
        <w:lang w:val="fr-FR"/>
      </w:rPr>
      <w:t xml:space="preserve"> </w:t>
    </w:r>
    <w:proofErr w:type="spellStart"/>
    <w:r>
      <w:rPr>
        <w:b/>
        <w:sz w:val="16"/>
        <w:szCs w:val="16"/>
        <w:lang w:val="fr-FR"/>
      </w:rPr>
      <w:t>UE-120436</w:t>
    </w:r>
    <w:proofErr w:type="spellEnd"/>
    <w:r>
      <w:rPr>
        <w:b/>
        <w:sz w:val="16"/>
        <w:szCs w:val="16"/>
        <w:lang w:val="fr-FR"/>
      </w:rPr>
      <w:t>, ET AL.</w:t>
    </w:r>
    <w:r w:rsidRPr="00131B57">
      <w:rPr>
        <w:sz w:val="20"/>
        <w:szCs w:val="20"/>
        <w:lang w:val="fr-FR"/>
      </w:rPr>
      <w:tab/>
    </w:r>
    <w:r w:rsidRPr="0015026F">
      <w:rPr>
        <w:sz w:val="20"/>
        <w:szCs w:val="20"/>
      </w:rPr>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801E76">
      <w:rPr>
        <w:noProof/>
        <w:sz w:val="20"/>
        <w:szCs w:val="20"/>
      </w:rPr>
      <w:t>32</w:t>
    </w:r>
    <w:r w:rsidRPr="0015026F">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D2F11" w14:textId="77777777" w:rsidR="00F05EAC" w:rsidRPr="0015026F" w:rsidRDefault="00F05EAC" w:rsidP="0015026F">
    <w:pPr>
      <w:pStyle w:val="Footer"/>
      <w:tabs>
        <w:tab w:val="clear" w:pos="9360"/>
        <w:tab w:val="right" w:pos="8910"/>
      </w:tabs>
      <w:rPr>
        <w:sz w:val="20"/>
        <w:szCs w:val="20"/>
      </w:rPr>
    </w:pPr>
  </w:p>
  <w:p w14:paraId="44B376FE" w14:textId="77777777" w:rsidR="00F05EAC" w:rsidRPr="00131B57" w:rsidRDefault="00F05EAC" w:rsidP="0015026F">
    <w:pPr>
      <w:pStyle w:val="Footer"/>
      <w:tabs>
        <w:tab w:val="clear" w:pos="9360"/>
        <w:tab w:val="right" w:pos="8910"/>
      </w:tabs>
      <w:rPr>
        <w:sz w:val="20"/>
        <w:szCs w:val="20"/>
        <w:lang w:val="fr-FR"/>
      </w:rPr>
    </w:pPr>
    <w:r w:rsidRPr="0015026F">
      <w:rPr>
        <w:sz w:val="20"/>
        <w:szCs w:val="20"/>
      </w:rPr>
      <w:t xml:space="preserve">TESTIMONY OF </w:t>
    </w:r>
    <w:r>
      <w:rPr>
        <w:sz w:val="20"/>
        <w:szCs w:val="20"/>
      </w:rPr>
      <w:t>KATHRYN H. BREDA</w:t>
    </w:r>
    <w:r w:rsidRPr="0015026F">
      <w:rPr>
        <w:sz w:val="20"/>
        <w:szCs w:val="20"/>
      </w:rPr>
      <w:tab/>
    </w:r>
    <w:r w:rsidRPr="0015026F">
      <w:rPr>
        <w:sz w:val="20"/>
        <w:szCs w:val="20"/>
      </w:rPr>
      <w:tab/>
      <w:t xml:space="preserve">Exhibit No. </w:t>
    </w:r>
    <w:r>
      <w:rPr>
        <w:sz w:val="20"/>
        <w:szCs w:val="20"/>
      </w:rPr>
      <w:t>___ (</w:t>
    </w:r>
    <w:proofErr w:type="spellStart"/>
    <w:r w:rsidRPr="00131B57">
      <w:rPr>
        <w:sz w:val="20"/>
        <w:szCs w:val="20"/>
        <w:lang w:val="fr-FR"/>
      </w:rPr>
      <w:t>KHB-1</w:t>
    </w:r>
    <w:r>
      <w:rPr>
        <w:sz w:val="20"/>
        <w:szCs w:val="20"/>
        <w:lang w:val="fr-FR"/>
      </w:rPr>
      <w:t>C</w:t>
    </w:r>
    <w:r w:rsidRPr="00131B57">
      <w:rPr>
        <w:sz w:val="20"/>
        <w:szCs w:val="20"/>
        <w:lang w:val="fr-FR"/>
      </w:rPr>
      <w:t>T</w:t>
    </w:r>
    <w:proofErr w:type="spellEnd"/>
    <w:r>
      <w:rPr>
        <w:sz w:val="20"/>
        <w:szCs w:val="20"/>
        <w:lang w:val="fr-FR"/>
      </w:rPr>
      <w:t>)</w:t>
    </w:r>
  </w:p>
  <w:p w14:paraId="33E8C39E" w14:textId="77777777" w:rsidR="00F05EAC" w:rsidRPr="0015026F" w:rsidRDefault="00F05EAC" w:rsidP="0015026F">
    <w:pPr>
      <w:pStyle w:val="Footer"/>
      <w:tabs>
        <w:tab w:val="clear" w:pos="9360"/>
        <w:tab w:val="right" w:pos="8910"/>
      </w:tabs>
      <w:rPr>
        <w:sz w:val="20"/>
        <w:szCs w:val="20"/>
      </w:rPr>
    </w:pPr>
    <w:proofErr w:type="spellStart"/>
    <w:r w:rsidRPr="00131B57">
      <w:rPr>
        <w:sz w:val="20"/>
        <w:szCs w:val="20"/>
        <w:lang w:val="fr-FR"/>
      </w:rPr>
      <w:t>Docket</w:t>
    </w:r>
    <w:r>
      <w:rPr>
        <w:sz w:val="20"/>
        <w:szCs w:val="20"/>
        <w:lang w:val="fr-FR"/>
      </w:rPr>
      <w:t>s</w:t>
    </w:r>
    <w:proofErr w:type="spellEnd"/>
    <w:r w:rsidRPr="00131B57">
      <w:rPr>
        <w:sz w:val="20"/>
        <w:szCs w:val="20"/>
        <w:lang w:val="fr-FR"/>
      </w:rPr>
      <w:t xml:space="preserve"> </w:t>
    </w:r>
    <w:proofErr w:type="spellStart"/>
    <w:r w:rsidRPr="00131B57">
      <w:rPr>
        <w:sz w:val="20"/>
        <w:szCs w:val="20"/>
        <w:lang w:val="fr-FR"/>
      </w:rPr>
      <w:t>UE-120436</w:t>
    </w:r>
    <w:proofErr w:type="spellEnd"/>
    <w:r w:rsidRPr="00131B57">
      <w:rPr>
        <w:sz w:val="20"/>
        <w:szCs w:val="20"/>
        <w:lang w:val="fr-FR"/>
      </w:rPr>
      <w:t xml:space="preserve">, et al. </w:t>
    </w:r>
    <w:r w:rsidRPr="00131B57">
      <w:rPr>
        <w:sz w:val="20"/>
        <w:szCs w:val="20"/>
        <w:lang w:val="fr-FR"/>
      </w:rPr>
      <w:tab/>
    </w:r>
    <w:r w:rsidRPr="00131B57">
      <w:rPr>
        <w:sz w:val="20"/>
        <w:szCs w:val="20"/>
        <w:lang w:val="fr-FR"/>
      </w:rPr>
      <w:tab/>
    </w:r>
    <w:r w:rsidRPr="0015026F">
      <w:rPr>
        <w:sz w:val="20"/>
        <w:szCs w:val="20"/>
      </w:rPr>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801E76">
      <w:rPr>
        <w:noProof/>
        <w:sz w:val="20"/>
        <w:szCs w:val="20"/>
      </w:rPr>
      <w:t>33</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E8616" w14:textId="77777777" w:rsidR="000A4D9F" w:rsidRDefault="000A4D9F" w:rsidP="0015026F">
      <w:r>
        <w:separator/>
      </w:r>
    </w:p>
  </w:footnote>
  <w:footnote w:type="continuationSeparator" w:id="0">
    <w:p w14:paraId="36FE8617" w14:textId="77777777" w:rsidR="000A4D9F" w:rsidRDefault="000A4D9F" w:rsidP="0015026F">
      <w:r>
        <w:continuationSeparator/>
      </w:r>
    </w:p>
  </w:footnote>
  <w:footnote w:type="continuationNotice" w:id="1">
    <w:p w14:paraId="36FE8618" w14:textId="77777777" w:rsidR="000A4D9F" w:rsidRDefault="000A4D9F"/>
  </w:footnote>
  <w:footnote w:id="2">
    <w:p w14:paraId="36FE861F" w14:textId="77777777" w:rsidR="000A4D9F" w:rsidRDefault="000A4D9F">
      <w:pPr>
        <w:pStyle w:val="FootnoteText"/>
      </w:pPr>
      <w:r>
        <w:rPr>
          <w:rStyle w:val="FootnoteReference"/>
        </w:rPr>
        <w:footnoteRef/>
      </w:r>
      <w:r>
        <w:t xml:space="preserve"> Breda, Exhibit No. ___ (KHB-2), line 9 and Breda, Exhibit No. ___ (KHB-9C), at 1, line 14, column c.</w:t>
      </w:r>
    </w:p>
  </w:footnote>
  <w:footnote w:id="3">
    <w:p w14:paraId="36FE8620" w14:textId="77777777" w:rsidR="000A4D9F" w:rsidRDefault="000A4D9F">
      <w:pPr>
        <w:pStyle w:val="FootnoteText"/>
      </w:pPr>
      <w:r>
        <w:rPr>
          <w:rStyle w:val="FootnoteReference"/>
        </w:rPr>
        <w:footnoteRef/>
      </w:r>
      <w:r>
        <w:t xml:space="preserve"> Breda, Exhibit No. ___ (KHB-2), line 7 and Huang, Exhibit No. ___ (JH</w:t>
      </w:r>
      <w:r w:rsidRPr="00D01455">
        <w:t>-2)</w:t>
      </w:r>
      <w:r>
        <w:t>,</w:t>
      </w:r>
      <w:r w:rsidRPr="00D01455">
        <w:t xml:space="preserve"> </w:t>
      </w:r>
      <w:r>
        <w:t xml:space="preserve">at 1, </w:t>
      </w:r>
      <w:r w:rsidRPr="00D01455">
        <w:t xml:space="preserve">line </w:t>
      </w:r>
      <w:r>
        <w:t>3</w:t>
      </w:r>
      <w:r w:rsidRPr="00D01455">
        <w:t>, column g</w:t>
      </w:r>
      <w:r>
        <w:t>.</w:t>
      </w:r>
    </w:p>
  </w:footnote>
  <w:footnote w:id="4">
    <w:p w14:paraId="36FE8621" w14:textId="77777777" w:rsidR="000A4D9F" w:rsidRDefault="000A4D9F">
      <w:pPr>
        <w:pStyle w:val="FootnoteText"/>
      </w:pPr>
      <w:r>
        <w:rPr>
          <w:rStyle w:val="FootnoteReference"/>
        </w:rPr>
        <w:footnoteRef/>
      </w:r>
      <w:r>
        <w:t xml:space="preserve"> Breda, Exhibit No. ___ (KHB-2), line 18 and Breda, Exhibit No. ___ (KHB-10C), at 1, line 14, column c.</w:t>
      </w:r>
    </w:p>
  </w:footnote>
  <w:footnote w:id="5">
    <w:p w14:paraId="36FE8622" w14:textId="233A21D2" w:rsidR="000A4D9F" w:rsidRDefault="000A4D9F">
      <w:pPr>
        <w:pStyle w:val="FootnoteText"/>
      </w:pPr>
      <w:r>
        <w:rPr>
          <w:rStyle w:val="FootnoteReference"/>
        </w:rPr>
        <w:footnoteRef/>
      </w:r>
      <w:r>
        <w:t xml:space="preserve"> Breda, Exhibit No. ___ (KHB-2), line 16 and Keating, Exhibit No. ___ (EJK-2), at 1, line 3, column g.</w:t>
      </w:r>
    </w:p>
  </w:footnote>
  <w:footnote w:id="6">
    <w:p w14:paraId="36FE8625" w14:textId="77777777" w:rsidR="000A4D9F" w:rsidRDefault="000A4D9F">
      <w:pPr>
        <w:pStyle w:val="FootnoteText"/>
      </w:pPr>
      <w:r>
        <w:rPr>
          <w:rStyle w:val="FootnoteReference"/>
        </w:rPr>
        <w:footnoteRef/>
      </w:r>
      <w:r>
        <w:t xml:space="preserve"> Breda, Exhibit No. ___ (KHB-3) details this adjustment.</w:t>
      </w:r>
    </w:p>
  </w:footnote>
  <w:footnote w:id="7">
    <w:p w14:paraId="36FE8626" w14:textId="77777777" w:rsidR="000A4D9F" w:rsidRDefault="000A4D9F" w:rsidP="00305835">
      <w:pPr>
        <w:pStyle w:val="FootnoteText"/>
      </w:pPr>
      <w:r>
        <w:rPr>
          <w:rStyle w:val="FootnoteReference"/>
        </w:rPr>
        <w:footnoteRef/>
      </w:r>
      <w:r>
        <w:t xml:space="preserve"> Breda, Exhibit No. ___ (KHB-4) details this adjustment.</w:t>
      </w:r>
    </w:p>
  </w:footnote>
  <w:footnote w:id="8">
    <w:p w14:paraId="36FE8627" w14:textId="77777777" w:rsidR="000A4D9F" w:rsidRDefault="000A4D9F">
      <w:pPr>
        <w:pStyle w:val="FootnoteText"/>
      </w:pPr>
      <w:r>
        <w:rPr>
          <w:rStyle w:val="FootnoteReference"/>
        </w:rPr>
        <w:footnoteRef/>
      </w:r>
      <w:r>
        <w:t xml:space="preserve"> </w:t>
      </w:r>
      <w:r w:rsidRPr="003C1593">
        <w:rPr>
          <w:i/>
        </w:rPr>
        <w:t>U</w:t>
      </w:r>
      <w:r>
        <w:rPr>
          <w:i/>
        </w:rPr>
        <w:t xml:space="preserve">tilities and Transp. Comm’n </w:t>
      </w:r>
      <w:r w:rsidRPr="003C1593">
        <w:rPr>
          <w:i/>
        </w:rPr>
        <w:t>v. Avista Corp</w:t>
      </w:r>
      <w:r>
        <w:rPr>
          <w:i/>
        </w:rPr>
        <w:t>.</w:t>
      </w:r>
      <w:r>
        <w:t>, Dockets UE-110876 and Docket UG-110877, Settlement Stipulation (September 30, 2011), at 7-8.</w:t>
      </w:r>
    </w:p>
  </w:footnote>
  <w:footnote w:id="9">
    <w:p w14:paraId="36FE8628" w14:textId="77777777" w:rsidR="000A4D9F" w:rsidRDefault="000A4D9F">
      <w:pPr>
        <w:pStyle w:val="FootnoteText"/>
      </w:pPr>
      <w:r>
        <w:rPr>
          <w:rStyle w:val="FootnoteReference"/>
        </w:rPr>
        <w:footnoteRef/>
      </w:r>
      <w:r>
        <w:t xml:space="preserve"> Avista response to Public Counsel Data Request 305, Attachment A.</w:t>
      </w:r>
    </w:p>
  </w:footnote>
  <w:footnote w:id="10">
    <w:p w14:paraId="36FE8629" w14:textId="77777777" w:rsidR="000A4D9F" w:rsidRDefault="000A4D9F" w:rsidP="007B6B68">
      <w:pPr>
        <w:tabs>
          <w:tab w:val="left" w:pos="720"/>
          <w:tab w:val="left" w:pos="1440"/>
          <w:tab w:val="left" w:pos="2160"/>
          <w:tab w:val="right" w:leader="dot" w:pos="8820"/>
        </w:tabs>
        <w:ind w:left="720" w:hanging="720"/>
      </w:pPr>
      <w:r>
        <w:rPr>
          <w:rStyle w:val="FootnoteReference"/>
        </w:rPr>
        <w:footnoteRef/>
      </w:r>
      <w:r>
        <w:t xml:space="preserve"> </w:t>
      </w:r>
      <w:r>
        <w:rPr>
          <w:sz w:val="20"/>
          <w:szCs w:val="20"/>
        </w:rPr>
        <w:t xml:space="preserve">Breda, </w:t>
      </w:r>
      <w:r w:rsidRPr="007B6B68">
        <w:rPr>
          <w:sz w:val="20"/>
          <w:szCs w:val="20"/>
        </w:rPr>
        <w:t>Exhibit No.___ (KHB-5) details this adjustment.</w:t>
      </w:r>
    </w:p>
  </w:footnote>
  <w:footnote w:id="11">
    <w:p w14:paraId="36FE862A" w14:textId="77777777" w:rsidR="000A4D9F" w:rsidRDefault="000A4D9F">
      <w:pPr>
        <w:pStyle w:val="FootnoteText"/>
      </w:pPr>
      <w:r>
        <w:rPr>
          <w:rStyle w:val="FootnoteReference"/>
        </w:rPr>
        <w:footnoteRef/>
      </w:r>
      <w:r>
        <w:t xml:space="preserve"> Avista response to Public Counsel Data Request 305.</w:t>
      </w:r>
    </w:p>
  </w:footnote>
  <w:footnote w:id="12">
    <w:p w14:paraId="36FE862B" w14:textId="771256A0" w:rsidR="000A4D9F" w:rsidRDefault="000A4D9F">
      <w:pPr>
        <w:pStyle w:val="FootnoteText"/>
      </w:pPr>
      <w:r>
        <w:rPr>
          <w:rStyle w:val="FootnoteReference"/>
        </w:rPr>
        <w:footnoteRef/>
      </w:r>
      <w:r w:rsidR="001E5FF4">
        <w:t xml:space="preserve"> Buckley, Exhibit No.</w:t>
      </w:r>
      <w:r>
        <w:t xml:space="preserve"> __ (APB-1CT), at 5, line 1 to 9, line 17.</w:t>
      </w:r>
    </w:p>
  </w:footnote>
  <w:footnote w:id="13">
    <w:p w14:paraId="36FE862C" w14:textId="77777777" w:rsidR="000A4D9F" w:rsidRDefault="000A4D9F">
      <w:pPr>
        <w:pStyle w:val="FootnoteText"/>
      </w:pPr>
      <w:r>
        <w:rPr>
          <w:rStyle w:val="FootnoteReference"/>
        </w:rPr>
        <w:footnoteRef/>
      </w:r>
      <w:r>
        <w:t xml:space="preserve"> Breda, Exhibit No. ___ (KHB-6) details this adjustment.</w:t>
      </w:r>
    </w:p>
  </w:footnote>
  <w:footnote w:id="14">
    <w:p w14:paraId="36FE862D" w14:textId="77777777" w:rsidR="000A4D9F" w:rsidRPr="00B045A7" w:rsidRDefault="000A4D9F">
      <w:pPr>
        <w:pStyle w:val="FootnoteText"/>
        <w:rPr>
          <w:i/>
        </w:rPr>
      </w:pPr>
      <w:r>
        <w:rPr>
          <w:rStyle w:val="FootnoteReference"/>
        </w:rPr>
        <w:footnoteRef/>
      </w:r>
      <w:r>
        <w:t xml:space="preserve"> </w:t>
      </w:r>
      <w:r>
        <w:rPr>
          <w:i/>
        </w:rPr>
        <w:t xml:space="preserve">Utilities and Transp. Comm’n v. Wash. Natural Gas Co., </w:t>
      </w:r>
      <w:r w:rsidRPr="00B045A7">
        <w:t>Cause U-80-111, Third Suppleme</w:t>
      </w:r>
      <w:r>
        <w:t xml:space="preserve">ntal Order (September 24, 1981), at </w:t>
      </w:r>
      <w:r w:rsidRPr="00B045A7">
        <w:t>6.</w:t>
      </w:r>
      <w:r>
        <w:t xml:space="preserve">  The Commission listed four conditions under which year-end rate based could be used: “a) Abnormal growth in plant; b) Inflation and/or attrition c) As a means to mitigate regulatory lag d) Failure of utility to earn its authorized rate of return over a historical period.”  Staff considers each of these conditions as indications of attrition.</w:t>
      </w:r>
    </w:p>
  </w:footnote>
  <w:footnote w:id="15">
    <w:p w14:paraId="36FE862E" w14:textId="77777777" w:rsidR="000A4D9F" w:rsidRDefault="000A4D9F">
      <w:pPr>
        <w:pStyle w:val="FootnoteText"/>
      </w:pPr>
      <w:r>
        <w:rPr>
          <w:rStyle w:val="FootnoteReference"/>
        </w:rPr>
        <w:footnoteRef/>
      </w:r>
      <w:r>
        <w:t xml:space="preserve"> Buckley, Exhibit No. ___ (APB-1CT) at 9, line19 to 13, line 2.</w:t>
      </w:r>
    </w:p>
  </w:footnote>
  <w:footnote w:id="16">
    <w:p w14:paraId="36FE862F" w14:textId="77777777" w:rsidR="000A4D9F" w:rsidRDefault="000A4D9F">
      <w:pPr>
        <w:pStyle w:val="FootnoteText"/>
      </w:pPr>
      <w:r>
        <w:rPr>
          <w:rStyle w:val="FootnoteReference"/>
        </w:rPr>
        <w:footnoteRef/>
      </w:r>
      <w:r>
        <w:t xml:space="preserve"> Breda, Exhibit No. ___ (KHB-7) details this adjustment.</w:t>
      </w:r>
    </w:p>
  </w:footnote>
  <w:footnote w:id="17">
    <w:p w14:paraId="36FE8630" w14:textId="77777777" w:rsidR="000A4D9F" w:rsidRDefault="000A4D9F">
      <w:pPr>
        <w:pStyle w:val="FootnoteText"/>
      </w:pPr>
      <w:r>
        <w:rPr>
          <w:rStyle w:val="FootnoteReference"/>
        </w:rPr>
        <w:footnoteRef/>
      </w:r>
      <w:r>
        <w:t xml:space="preserve"> Nightingale, Exhibit No. ___ (DN-1CT), at 31, line 12 to 55, line 11.</w:t>
      </w:r>
    </w:p>
  </w:footnote>
  <w:footnote w:id="18">
    <w:p w14:paraId="36FE8631" w14:textId="77777777" w:rsidR="000A4D9F" w:rsidRDefault="000A4D9F">
      <w:pPr>
        <w:pStyle w:val="FootnoteText"/>
      </w:pPr>
      <w:r>
        <w:rPr>
          <w:rStyle w:val="FootnoteReference"/>
        </w:rPr>
        <w:footnoteRef/>
      </w:r>
      <w:r>
        <w:t xml:space="preserve"> Breda, Exhibit No. ___ (KHB-8) details this adjustment.</w:t>
      </w:r>
    </w:p>
  </w:footnote>
  <w:footnote w:id="19">
    <w:p w14:paraId="36FE8632" w14:textId="77777777" w:rsidR="000A4D9F" w:rsidRDefault="000A4D9F">
      <w:pPr>
        <w:pStyle w:val="FootnoteText"/>
      </w:pPr>
      <w:r>
        <w:rPr>
          <w:rStyle w:val="FootnoteReference"/>
        </w:rPr>
        <w:footnoteRef/>
      </w:r>
      <w:r>
        <w:t xml:space="preserve"> Buckley, Exhibit No.___ (APB-1CT), at 24, line 17 to 25, line 7.</w:t>
      </w:r>
    </w:p>
  </w:footnote>
  <w:footnote w:id="20">
    <w:p w14:paraId="36FE8633" w14:textId="77777777" w:rsidR="000A4D9F" w:rsidRDefault="000A4D9F">
      <w:pPr>
        <w:pStyle w:val="FootnoteText"/>
      </w:pPr>
      <w:r>
        <w:rPr>
          <w:rStyle w:val="FootnoteReference"/>
        </w:rPr>
        <w:footnoteRef/>
      </w:r>
      <w:r>
        <w:t xml:space="preserve"> </w:t>
      </w:r>
      <w:r w:rsidRPr="003C1593">
        <w:rPr>
          <w:i/>
        </w:rPr>
        <w:t>U</w:t>
      </w:r>
      <w:r>
        <w:rPr>
          <w:i/>
        </w:rPr>
        <w:t xml:space="preserve">tilities and Transp. Comm’n </w:t>
      </w:r>
      <w:r w:rsidRPr="003C1593">
        <w:rPr>
          <w:i/>
        </w:rPr>
        <w:t>v. Avista Corp</w:t>
      </w:r>
      <w:r>
        <w:rPr>
          <w:i/>
        </w:rPr>
        <w:t>.</w:t>
      </w:r>
      <w:r>
        <w:t>, Dockets UE-110876 and Docket UG-110877, Settlement Stipulation (September 30, 2011), at 7-8.</w:t>
      </w:r>
    </w:p>
  </w:footnote>
  <w:footnote w:id="21">
    <w:p w14:paraId="36FE8634" w14:textId="77777777" w:rsidR="000A4D9F" w:rsidRDefault="000A4D9F" w:rsidP="005F3499">
      <w:pPr>
        <w:pStyle w:val="FootnoteText"/>
      </w:pPr>
      <w:r>
        <w:rPr>
          <w:rStyle w:val="FootnoteReference"/>
        </w:rPr>
        <w:footnoteRef/>
      </w:r>
      <w:r>
        <w:t xml:space="preserve"> Id. at 8.</w:t>
      </w:r>
    </w:p>
  </w:footnote>
  <w:footnote w:id="22">
    <w:p w14:paraId="36FE8635" w14:textId="77777777" w:rsidR="000A4D9F" w:rsidRDefault="000A4D9F" w:rsidP="005F3499">
      <w:pPr>
        <w:pStyle w:val="FootnoteText"/>
      </w:pPr>
      <w:r>
        <w:rPr>
          <w:rStyle w:val="FootnoteReference"/>
        </w:rPr>
        <w:footnoteRef/>
      </w:r>
      <w:r>
        <w:t xml:space="preserve"> Andrews, Exhibit No. ___ (EMA-1T), at 70, lines 24-25.</w:t>
      </w:r>
    </w:p>
  </w:footnote>
  <w:footnote w:id="23">
    <w:p w14:paraId="36FE8636" w14:textId="77777777" w:rsidR="000A4D9F" w:rsidRDefault="000A4D9F" w:rsidP="00DE478F">
      <w:pPr>
        <w:pStyle w:val="FootnoteText"/>
      </w:pPr>
      <w:r>
        <w:rPr>
          <w:rStyle w:val="FootnoteReference"/>
        </w:rPr>
        <w:footnoteRef/>
      </w:r>
      <w:r>
        <w:t xml:space="preserve"> COMMISSIONER JONES:  If the Commission were to approve this on a pilot basis, a year or so, and then we – since you’re filing about every 18 months, we have a chance to review these things frequently.  And in the next case we were to reject it, say it’s really not working the way it is, wouldn’t that create an issue on for – the company on a[n] earnings perspective?</w:t>
      </w:r>
    </w:p>
    <w:p w14:paraId="36FE8637" w14:textId="77777777" w:rsidR="000A4D9F" w:rsidRDefault="000A4D9F" w:rsidP="00DE478F">
      <w:pPr>
        <w:pStyle w:val="FootnoteText"/>
      </w:pPr>
      <w:r>
        <w:tab/>
      </w:r>
      <w:r>
        <w:tab/>
      </w:r>
      <w:r>
        <w:tab/>
      </w:r>
      <w:r>
        <w:tab/>
        <w:t>***</w:t>
      </w:r>
    </w:p>
    <w:p w14:paraId="36FE8638" w14:textId="77777777" w:rsidR="000A4D9F" w:rsidRDefault="000A4D9F" w:rsidP="00DE478F">
      <w:pPr>
        <w:pStyle w:val="FootnoteText"/>
      </w:pPr>
      <w:r>
        <w:t>MR. NORWOOD:  If the Commission were to choose to not approve it at some point in the future, it would be important that the opportunity would be there to recover the dollars that are already deferred.  And so if there’s an understanding that what’s already been deferred would be amortized, then that would not create an accounting issue.</w:t>
      </w:r>
    </w:p>
    <w:p w14:paraId="36FE8639" w14:textId="77777777" w:rsidR="000A4D9F" w:rsidRDefault="000A4D9F" w:rsidP="00DE478F">
      <w:pPr>
        <w:pStyle w:val="FootnoteText"/>
      </w:pPr>
      <w:r>
        <w:t>TR 190:20-191:1; 191:12-18 in Dockets UE-110876 and UG-110877.</w:t>
      </w:r>
    </w:p>
  </w:footnote>
  <w:footnote w:id="24">
    <w:p w14:paraId="36FE863A" w14:textId="77777777" w:rsidR="000A4D9F" w:rsidRDefault="000A4D9F" w:rsidP="00903635">
      <w:pPr>
        <w:pStyle w:val="FootnoteText"/>
      </w:pPr>
      <w:r>
        <w:rPr>
          <w:rStyle w:val="FootnoteReference"/>
        </w:rPr>
        <w:footnoteRef/>
      </w:r>
      <w:r>
        <w:t xml:space="preserve"> </w:t>
      </w:r>
      <w:r w:rsidRPr="00CC3E75">
        <w:rPr>
          <w:i/>
        </w:rPr>
        <w:t>U</w:t>
      </w:r>
      <w:r>
        <w:rPr>
          <w:i/>
        </w:rPr>
        <w:t>tilities and Transp. Comm’n</w:t>
      </w:r>
      <w:r w:rsidRPr="00CC3E75">
        <w:rPr>
          <w:i/>
        </w:rPr>
        <w:t xml:space="preserve"> v. Avista Corp</w:t>
      </w:r>
      <w:r>
        <w:rPr>
          <w:i/>
        </w:rPr>
        <w:t>.</w:t>
      </w:r>
      <w:r>
        <w:t xml:space="preserve">, Dockets UE-110876 and UG-110877, Order 06 ((December 16, 2011), at 15-16, ¶¶ 35-37. </w:t>
      </w:r>
    </w:p>
  </w:footnote>
  <w:footnote w:id="25">
    <w:p w14:paraId="36FE863B" w14:textId="77777777" w:rsidR="000A4D9F" w:rsidRDefault="000A4D9F">
      <w:pPr>
        <w:pStyle w:val="FootnoteText"/>
      </w:pPr>
      <w:r>
        <w:rPr>
          <w:rStyle w:val="FootnoteReference"/>
        </w:rPr>
        <w:footnoteRef/>
      </w:r>
      <w:r>
        <w:rPr>
          <w:i/>
        </w:rPr>
        <w:t xml:space="preserve">Utilities and Transp. Comm’n v. Puget Sound Energy, Inc. </w:t>
      </w:r>
      <w:r>
        <w:t>Dockets UE-1111048 and UG-111049, Order 08 (May 7, 2012), at 112, ¶ 321 (see full discussion at 110-13, ¶¶ 315-21.</w:t>
      </w:r>
    </w:p>
  </w:footnote>
  <w:footnote w:id="26">
    <w:p w14:paraId="36FE863C" w14:textId="77777777" w:rsidR="000A4D9F" w:rsidRDefault="000A4D9F">
      <w:pPr>
        <w:pStyle w:val="FootnoteText"/>
      </w:pPr>
      <w:r>
        <w:rPr>
          <w:rStyle w:val="FootnoteReference"/>
        </w:rPr>
        <w:footnoteRef/>
      </w:r>
      <w:r>
        <w:t xml:space="preserve"> Avista response to Public Counsel Data Request 93.</w:t>
      </w:r>
    </w:p>
  </w:footnote>
  <w:footnote w:id="27">
    <w:p w14:paraId="36FE863D" w14:textId="77777777" w:rsidR="000A4D9F" w:rsidRPr="00FA4982" w:rsidRDefault="000A4D9F">
      <w:pPr>
        <w:pStyle w:val="FootnoteText"/>
        <w:rPr>
          <w:i/>
        </w:rPr>
      </w:pPr>
      <w:r>
        <w:rPr>
          <w:rStyle w:val="FootnoteReference"/>
        </w:rPr>
        <w:footnoteRef/>
      </w:r>
      <w:r>
        <w:t xml:space="preserve"> </w:t>
      </w:r>
      <w:r w:rsidRPr="00574BEF">
        <w:t>Id</w:t>
      </w:r>
      <w:r w:rsidRPr="00FA4982">
        <w:rPr>
          <w:i/>
        </w:rPr>
        <w:t>.</w:t>
      </w:r>
    </w:p>
  </w:footnote>
  <w:footnote w:id="28">
    <w:p w14:paraId="36FE863E" w14:textId="77777777" w:rsidR="000A4D9F" w:rsidRDefault="000A4D9F">
      <w:pPr>
        <w:pStyle w:val="FootnoteText"/>
      </w:pPr>
      <w:r>
        <w:rPr>
          <w:rStyle w:val="FootnoteReference"/>
        </w:rPr>
        <w:footnoteRef/>
      </w:r>
      <w:r>
        <w:t xml:space="preserve"> Breda, Exhibit No. ___ (KHB-4) details this adjustment.</w:t>
      </w:r>
    </w:p>
  </w:footnote>
  <w:footnote w:id="29">
    <w:p w14:paraId="36FE863F" w14:textId="77777777" w:rsidR="000A4D9F" w:rsidRDefault="000A4D9F">
      <w:pPr>
        <w:pStyle w:val="FootnoteText"/>
      </w:pPr>
      <w:r>
        <w:rPr>
          <w:rStyle w:val="FootnoteReference"/>
        </w:rPr>
        <w:footnoteRef/>
      </w:r>
      <w:r>
        <w:t xml:space="preserve"> Andrews, Exhibit No. ___ (EMA-1T), at 20, lines 12-18, and 50, lines 3-8.  Electric Adjustment 2.04 and Gas Adjustment 2.05. </w:t>
      </w:r>
    </w:p>
  </w:footnote>
  <w:footnote w:id="30">
    <w:p w14:paraId="36FE8640" w14:textId="77777777" w:rsidR="000A4D9F" w:rsidRPr="003A218C" w:rsidRDefault="000A4D9F" w:rsidP="003A218C">
      <w:pPr>
        <w:pStyle w:val="FootnoteText"/>
      </w:pPr>
      <w:r>
        <w:rPr>
          <w:rStyle w:val="FootnoteReference"/>
        </w:rPr>
        <w:footnoteRef/>
      </w:r>
      <w:r>
        <w:t xml:space="preserve"> </w:t>
      </w:r>
      <w:r>
        <w:rPr>
          <w:i/>
        </w:rPr>
        <w:t xml:space="preserve">Utilities and Transp. Comm’n v. Puget Sound Energy, Inc. </w:t>
      </w:r>
      <w:r>
        <w:t>Dockets UE-1111048 and UG-111049, Order 08</w:t>
      </w:r>
      <w:r w:rsidRPr="009B1897">
        <w:t xml:space="preserve"> (May 7, 2012),</w:t>
      </w:r>
      <w:r w:rsidRPr="009B1897" w:rsidDel="00BC2B63">
        <w:t xml:space="preserve"> </w:t>
      </w:r>
      <w:r>
        <w:t xml:space="preserve">at 74-77, ¶¶ 209-18.  </w:t>
      </w:r>
      <w:r w:rsidRPr="003A218C">
        <w:t>Especially ¶ 217: “</w:t>
      </w:r>
      <w:r w:rsidRPr="003A218C">
        <w:rPr>
          <w:rFonts w:eastAsia="Times New Roman"/>
          <w:i/>
        </w:rPr>
        <w:t>Commission Determination:</w:t>
      </w:r>
      <w:r w:rsidRPr="003A218C">
        <w:rPr>
          <w:rFonts w:eastAsia="Times New Roman"/>
        </w:rPr>
        <w:t xml:space="preserve">  In PSE’s most recently completed general rate case, the Commission rejected the proposed use of a five-year average for this category of expenses stating: “O&amp;M is an ongoing expense and there is no evidence that the more recent historic data upon which PSE would have us rely requires any normalizing adjustments.”</w:t>
      </w:r>
      <w:r w:rsidRPr="003A218C">
        <w:rPr>
          <w:rFonts w:eastAsia="Times New Roman"/>
          <w:vertAlign w:val="superscript"/>
        </w:rPr>
        <w:footnoteRef/>
      </w:r>
      <w:r w:rsidRPr="003A218C">
        <w:rPr>
          <w:rFonts w:eastAsia="Times New Roman"/>
        </w:rPr>
        <w:t xml:space="preserve">  We find on the basis of the record here that the same is true today.  Considering PSE’s changing use of its fleet of thermal production facilities, as described by Mr. Gould, we are not surprised that maintenance costs are trending upward.  As PSE’s use of intermittent renewable resources such as wind farms continues to increase in response to state-mandated RPS, the pattern of more frequent start-ups, shorter run times, and total run times at thermal facilities that facilitate wind integration may lead to a continuing trend of increasing O&amp;M costs.  Absent evidence of a change in this regard, it is reasonable to continue our reliance on the more recent test year data rather than averages of historic data.”</w:t>
      </w:r>
    </w:p>
  </w:footnote>
  <w:footnote w:id="31">
    <w:p w14:paraId="36FE8641" w14:textId="77777777" w:rsidR="000A4D9F" w:rsidRDefault="000A4D9F">
      <w:pPr>
        <w:pStyle w:val="FootnoteText"/>
      </w:pPr>
      <w:r>
        <w:rPr>
          <w:rStyle w:val="FootnoteReference"/>
        </w:rPr>
        <w:footnoteRef/>
      </w:r>
      <w:r>
        <w:t xml:space="preserve"> This chart summarizes information provided in Avista’s response to Public Counsel Data Request 131.</w:t>
      </w:r>
    </w:p>
  </w:footnote>
  <w:footnote w:id="32">
    <w:p w14:paraId="36FE8642" w14:textId="77777777" w:rsidR="000A4D9F" w:rsidRDefault="000A4D9F">
      <w:pPr>
        <w:pStyle w:val="FootnoteText"/>
      </w:pPr>
      <w:r>
        <w:rPr>
          <w:rStyle w:val="FootnoteReference"/>
        </w:rPr>
        <w:footnoteRef/>
      </w:r>
      <w:r>
        <w:t xml:space="preserve"> Breda, Exhibit No. ___ (KHB-4).</w:t>
      </w:r>
    </w:p>
  </w:footnote>
  <w:footnote w:id="33">
    <w:p w14:paraId="36FE8643" w14:textId="77777777" w:rsidR="000A4D9F" w:rsidRPr="00785D5E" w:rsidRDefault="000A4D9F" w:rsidP="00B50664">
      <w:pPr>
        <w:pStyle w:val="FootnoteText"/>
      </w:pPr>
      <w:r>
        <w:rPr>
          <w:rStyle w:val="FootnoteReference"/>
        </w:rPr>
        <w:footnoteRef/>
      </w:r>
      <w:r>
        <w:t xml:space="preserve"> </w:t>
      </w:r>
      <w:r>
        <w:rPr>
          <w:i/>
        </w:rPr>
        <w:t xml:space="preserve">Utilities and Transp. Comm’n v. Puget Sound Energy Co., </w:t>
      </w:r>
      <w:r>
        <w:t>Docket UE-070725, Order 03 (May 20, 2010), at 28, ¶ 68.</w:t>
      </w:r>
    </w:p>
  </w:footnote>
  <w:footnote w:id="34">
    <w:p w14:paraId="36FE8644" w14:textId="77777777" w:rsidR="000A4D9F" w:rsidRPr="00DF7A13" w:rsidRDefault="000A4D9F" w:rsidP="00B50664">
      <w:pPr>
        <w:pStyle w:val="FootnoteText"/>
      </w:pPr>
      <w:r>
        <w:rPr>
          <w:rStyle w:val="FootnoteReference"/>
        </w:rPr>
        <w:footnoteRef/>
      </w:r>
      <w:r>
        <w:t xml:space="preserve"> </w:t>
      </w:r>
      <w:r>
        <w:rPr>
          <w:i/>
        </w:rPr>
        <w:t xml:space="preserve">Utilities and Transp. Comm’n  v. PacifiCorp d/b/a Pacific Power &amp; Light Co., </w:t>
      </w:r>
      <w:r>
        <w:t>Docket UE-100749, Order 06 (March 25, 2011), at 71, ¶ 200.</w:t>
      </w:r>
    </w:p>
  </w:footnote>
  <w:footnote w:id="35">
    <w:p w14:paraId="36FE8645" w14:textId="77777777" w:rsidR="000A4D9F" w:rsidRPr="00AF5899" w:rsidRDefault="000A4D9F" w:rsidP="00B50664">
      <w:pPr>
        <w:pStyle w:val="FootnoteText"/>
      </w:pPr>
      <w:r>
        <w:rPr>
          <w:rStyle w:val="FootnoteReference"/>
        </w:rPr>
        <w:footnoteRef/>
      </w:r>
      <w:r>
        <w:t xml:space="preserve"> </w:t>
      </w:r>
      <w:r w:rsidRPr="00B67FD7">
        <w:t>A rate adjustment is triggered when the total variation in power supply expense exceeds 10 percent</w:t>
      </w:r>
      <w:r>
        <w:t xml:space="preserve"> of total revenues.</w:t>
      </w:r>
    </w:p>
  </w:footnote>
  <w:footnote w:id="36">
    <w:p w14:paraId="36FE8646" w14:textId="6E967269" w:rsidR="000A4D9F" w:rsidRDefault="000A4D9F">
      <w:pPr>
        <w:pStyle w:val="FootnoteText"/>
      </w:pPr>
      <w:r>
        <w:rPr>
          <w:rStyle w:val="FootnoteReference"/>
        </w:rPr>
        <w:footnoteRef/>
      </w:r>
      <w:r>
        <w:t xml:space="preserve"> This line item would have a unique deferral account to track REC revenues separately from other </w:t>
      </w:r>
      <w:proofErr w:type="spellStart"/>
      <w:r>
        <w:t>ERM</w:t>
      </w:r>
      <w:proofErr w:type="spellEnd"/>
      <w:r>
        <w:t xml:space="preserve"> deferrals and be subject to the same interest accrual as the ERM deferrals.</w:t>
      </w:r>
    </w:p>
  </w:footnote>
  <w:footnote w:id="37">
    <w:p w14:paraId="36FE8647" w14:textId="77777777" w:rsidR="000A4D9F" w:rsidRDefault="000A4D9F">
      <w:pPr>
        <w:pStyle w:val="FootnoteText"/>
      </w:pPr>
      <w:r>
        <w:rPr>
          <w:rStyle w:val="FootnoteReference"/>
        </w:rPr>
        <w:footnoteRef/>
      </w:r>
      <w:r>
        <w:t xml:space="preserve"> </w:t>
      </w:r>
      <w:r>
        <w:rPr>
          <w:i/>
        </w:rPr>
        <w:t xml:space="preserve">Utilities and Transp. Comm’n v. Wash. Natural Gas Co., </w:t>
      </w:r>
      <w:r>
        <w:t xml:space="preserve">Docket UG-920840, Fourth Supplemental Order (September 27, 1993), at 29. </w:t>
      </w:r>
    </w:p>
  </w:footnote>
  <w:footnote w:id="38">
    <w:p w14:paraId="36FE8648" w14:textId="6B16D5D0" w:rsidR="000A4D9F" w:rsidRPr="003936B6" w:rsidRDefault="000A4D9F">
      <w:pPr>
        <w:pStyle w:val="FootnoteText"/>
      </w:pPr>
      <w:r>
        <w:rPr>
          <w:rStyle w:val="FootnoteReference"/>
        </w:rPr>
        <w:footnoteRef/>
      </w:r>
      <w:r>
        <w:t xml:space="preserve"> </w:t>
      </w:r>
      <w:r>
        <w:rPr>
          <w:i/>
        </w:rPr>
        <w:t xml:space="preserve">Utilities and Transp. Comm’n v. Wash. Water Power Co., </w:t>
      </w:r>
      <w:r>
        <w:t xml:space="preserve">CausesU-82-10 and U-82-11,  Second Supplemental Order (December 30, 1982), at 31-33; </w:t>
      </w:r>
      <w:r>
        <w:rPr>
          <w:i/>
        </w:rPr>
        <w:t xml:space="preserve">Utilities and Transp. Comm’n  v. Pacific Power and Light Co., </w:t>
      </w:r>
      <w:r>
        <w:t xml:space="preserve">Cause U-82-12, Fourth Supplemental Order (February 13, 1983), at 30-31; </w:t>
      </w:r>
      <w:r>
        <w:rPr>
          <w:i/>
        </w:rPr>
        <w:t xml:space="preserve">Utilities and Transp. Comm’n v. Puget Sound Power and Light Co., </w:t>
      </w:r>
      <w:r>
        <w:t xml:space="preserve">Cause U-82-38, Third Supplemental Order (July 25, 1983), at 29; </w:t>
      </w:r>
      <w:r>
        <w:rPr>
          <w:i/>
        </w:rPr>
        <w:t xml:space="preserve">Utilities and Transp. Comm’n v. Wash. Water Power Co., </w:t>
      </w:r>
      <w:r>
        <w:t xml:space="preserve">Cause U-83-26, Fifth Supplemental Order (January 19, 1984), at 29-30; </w:t>
      </w:r>
      <w:r>
        <w:rPr>
          <w:i/>
        </w:rPr>
        <w:t xml:space="preserve">Utilities and Transp. Comm’n v. Pacific Power and Light Co., </w:t>
      </w:r>
      <w:r>
        <w:t>Cause  83-33, Second Supplemental Order (February 9, 1984), at 29-30;</w:t>
      </w:r>
      <w:r w:rsidRPr="00015205">
        <w:rPr>
          <w:i/>
        </w:rPr>
        <w:t xml:space="preserve"> </w:t>
      </w:r>
      <w:r>
        <w:rPr>
          <w:i/>
        </w:rPr>
        <w:t xml:space="preserve">Utilities and Transp. Comm’n v. Pacific Power and Light Co., </w:t>
      </w:r>
      <w:r>
        <w:t xml:space="preserve">Cause 84-65, Fourth Supplemental Order (August 2, 1985), at 34-37; </w:t>
      </w:r>
      <w:r>
        <w:rPr>
          <w:i/>
        </w:rPr>
        <w:t xml:space="preserve">Utilities and Transp. Comm’n v. Puget Sound Power and Light Co., </w:t>
      </w:r>
      <w:r>
        <w:t xml:space="preserve">Cause U-85-53, Second Supplemental Order (May 16, 1986), at 56-57; and </w:t>
      </w:r>
      <w:r>
        <w:rPr>
          <w:i/>
        </w:rPr>
        <w:t xml:space="preserve">Utilities and Transp. Comm’n v. Pacific Power and Light Co., </w:t>
      </w:r>
      <w:r>
        <w:t xml:space="preserve">Cause 86-02, Second Supplemental Order (September 19, 1986), at 32-33. </w:t>
      </w:r>
    </w:p>
  </w:footnote>
  <w:footnote w:id="39">
    <w:p w14:paraId="36FE8649" w14:textId="77777777" w:rsidR="000A4D9F" w:rsidRDefault="000A4D9F">
      <w:pPr>
        <w:pStyle w:val="FootnoteText"/>
      </w:pPr>
      <w:r>
        <w:rPr>
          <w:rStyle w:val="FootnoteReference"/>
        </w:rPr>
        <w:footnoteRef/>
      </w:r>
      <w:r>
        <w:t xml:space="preserve"> Morris, Exhibit No. ___ (SLM-1T), at 2, lines 5-10.</w:t>
      </w:r>
    </w:p>
  </w:footnote>
  <w:footnote w:id="40">
    <w:p w14:paraId="36FE864A" w14:textId="77777777" w:rsidR="000A4D9F" w:rsidRDefault="000A4D9F">
      <w:pPr>
        <w:pStyle w:val="FootnoteText"/>
      </w:pPr>
      <w:r>
        <w:rPr>
          <w:rStyle w:val="FootnoteReference"/>
        </w:rPr>
        <w:footnoteRef/>
      </w:r>
      <w:r>
        <w:t xml:space="preserve"> Morris, Exhibit No. ___ (SLM-1T), at 10, line11 to 11, line39.</w:t>
      </w:r>
    </w:p>
  </w:footnote>
  <w:footnote w:id="41">
    <w:p w14:paraId="36FE864B" w14:textId="77777777" w:rsidR="000A4D9F" w:rsidRDefault="000A4D9F">
      <w:pPr>
        <w:pStyle w:val="FootnoteText"/>
      </w:pPr>
      <w:r>
        <w:rPr>
          <w:rStyle w:val="FootnoteReference"/>
        </w:rPr>
        <w:footnoteRef/>
      </w:r>
      <w:r>
        <w:t xml:space="preserve"> This discussion is referring to Mr. Morris’s direct testimony, Exhibit No. ___ (SLM-1T), at 9, line 3 to 11, line 39, particularly Illustration 3, and Mr. Norwood’s direct testimony, Exhibit No. ___ (KON-1T), at 3, line 6 to 4, line 11.</w:t>
      </w:r>
    </w:p>
  </w:footnote>
  <w:footnote w:id="42">
    <w:p w14:paraId="36FE864C" w14:textId="03D88BF3" w:rsidR="000A4D9F" w:rsidRDefault="000A4D9F">
      <w:pPr>
        <w:pStyle w:val="FootnoteText"/>
      </w:pPr>
      <w:r>
        <w:rPr>
          <w:rStyle w:val="FootnoteReference"/>
        </w:rPr>
        <w:footnoteRef/>
      </w:r>
      <w:r>
        <w:t xml:space="preserve"> Elgin, Exhibit No. ___ (</w:t>
      </w:r>
      <w:proofErr w:type="spellStart"/>
      <w:r>
        <w:t>KLE</w:t>
      </w:r>
      <w:proofErr w:type="spellEnd"/>
      <w:r>
        <w:t>-5).</w:t>
      </w:r>
    </w:p>
  </w:footnote>
  <w:footnote w:id="43">
    <w:p w14:paraId="36FE864D" w14:textId="77777777" w:rsidR="000A4D9F" w:rsidRPr="008518CA" w:rsidRDefault="000A4D9F">
      <w:pPr>
        <w:pStyle w:val="FootnoteText"/>
        <w:rPr>
          <w:color w:val="000000" w:themeColor="text1"/>
        </w:rPr>
      </w:pPr>
      <w:r>
        <w:rPr>
          <w:rStyle w:val="FootnoteReference"/>
        </w:rPr>
        <w:footnoteRef/>
      </w:r>
      <w:r>
        <w:t xml:space="preserve"> Id. </w:t>
      </w:r>
      <w:r w:rsidRPr="008518CA">
        <w:rPr>
          <w:color w:val="000000" w:themeColor="text1"/>
        </w:rPr>
        <w:t>6</w:t>
      </w:r>
      <w:r>
        <w:rPr>
          <w:color w:val="000000" w:themeColor="text1"/>
        </w:rPr>
        <w:t xml:space="preserve">, lines </w:t>
      </w:r>
      <w:r w:rsidRPr="008518CA">
        <w:rPr>
          <w:color w:val="000000" w:themeColor="text1"/>
        </w:rPr>
        <w:t>1-2.</w:t>
      </w:r>
    </w:p>
  </w:footnote>
  <w:footnote w:id="44">
    <w:p w14:paraId="36FE864E" w14:textId="77777777" w:rsidR="000A4D9F" w:rsidRDefault="000A4D9F" w:rsidP="00551641">
      <w:pPr>
        <w:pStyle w:val="FootnoteText"/>
      </w:pPr>
      <w:r>
        <w:rPr>
          <w:rStyle w:val="FootnoteReference"/>
        </w:rPr>
        <w:footnoteRef/>
      </w:r>
      <w:r>
        <w:t xml:space="preserve"> Avista’s supplemental response to Staff Data Request 395 states that the Company’s load forecast model approximates a 5% confidence level or a 95% confidence interval.  This means plus or minus 2.5 percent.</w:t>
      </w:r>
    </w:p>
  </w:footnote>
  <w:footnote w:id="45">
    <w:p w14:paraId="36FE864F" w14:textId="77777777" w:rsidR="000A4D9F" w:rsidRDefault="000A4D9F">
      <w:pPr>
        <w:pStyle w:val="FootnoteText"/>
      </w:pPr>
      <w:r>
        <w:rPr>
          <w:rStyle w:val="FootnoteReference"/>
        </w:rPr>
        <w:footnoteRef/>
      </w:r>
      <w:r>
        <w:t xml:space="preserve"> This figure is based on Staff’s ROR of 7.22 percent, Staff’s base case electric general business revenue of $454,285,000 and Staff’s net rate base of $1,121,292,000.</w:t>
      </w:r>
    </w:p>
  </w:footnote>
  <w:footnote w:id="46">
    <w:p w14:paraId="36FE8650" w14:textId="30EDDDE0" w:rsidR="000A4D9F" w:rsidRDefault="000A4D9F" w:rsidP="00551641">
      <w:pPr>
        <w:pStyle w:val="FootnoteText"/>
      </w:pPr>
      <w:r>
        <w:rPr>
          <w:rStyle w:val="FootnoteReference"/>
        </w:rPr>
        <w:footnoteRef/>
      </w:r>
      <w:r>
        <w:t xml:space="preserve"> Avista is requesting an increase of $98,714,000 in net rate base for two years.  Andrews, Exhibit No. ___ (EMA-2), at 1, line 48, column f, less line 48, column b.</w:t>
      </w:r>
    </w:p>
  </w:footnote>
  <w:footnote w:id="47">
    <w:p w14:paraId="36FE8651" w14:textId="77777777" w:rsidR="000A4D9F" w:rsidRPr="00824AB1" w:rsidRDefault="000A4D9F">
      <w:pPr>
        <w:pStyle w:val="FootnoteText"/>
      </w:pPr>
      <w:r w:rsidRPr="009B5207">
        <w:rPr>
          <w:rStyle w:val="FootnoteReference"/>
          <w:color w:val="000000" w:themeColor="text1"/>
        </w:rPr>
        <w:footnoteRef/>
      </w:r>
      <w:r w:rsidRPr="009B5207">
        <w:rPr>
          <w:color w:val="000000" w:themeColor="text1"/>
        </w:rPr>
        <w:t xml:space="preserve"> Avista </w:t>
      </w:r>
      <w:r>
        <w:rPr>
          <w:color w:val="000000" w:themeColor="text1"/>
        </w:rPr>
        <w:t>s</w:t>
      </w:r>
      <w:r w:rsidRPr="009B5207">
        <w:rPr>
          <w:color w:val="000000" w:themeColor="text1"/>
        </w:rPr>
        <w:t xml:space="preserve">upplemental </w:t>
      </w:r>
      <w:r>
        <w:rPr>
          <w:color w:val="000000" w:themeColor="text1"/>
        </w:rPr>
        <w:t>r</w:t>
      </w:r>
      <w:r w:rsidRPr="009B5207">
        <w:rPr>
          <w:color w:val="000000" w:themeColor="text1"/>
        </w:rPr>
        <w:t>esponse to Staff Data Request 178C</w:t>
      </w:r>
      <w:r w:rsidRPr="00824AB1">
        <w:t>.</w:t>
      </w:r>
    </w:p>
  </w:footnote>
  <w:footnote w:id="48">
    <w:p w14:paraId="36FE8652" w14:textId="77777777" w:rsidR="000A4D9F" w:rsidRDefault="000A4D9F">
      <w:pPr>
        <w:pStyle w:val="FootnoteText"/>
      </w:pPr>
      <w:r>
        <w:rPr>
          <w:rStyle w:val="FootnoteReference"/>
        </w:rPr>
        <w:footnoteRef/>
      </w:r>
      <w:r>
        <w:t xml:space="preserve"> My Exhibit No.___(KHB-9C), at 5, provides the results of the two load forecasts.</w:t>
      </w:r>
    </w:p>
  </w:footnote>
  <w:footnote w:id="49">
    <w:p w14:paraId="36FE8653" w14:textId="77777777" w:rsidR="000A4D9F" w:rsidRPr="002F283A" w:rsidRDefault="000A4D9F">
      <w:pPr>
        <w:pStyle w:val="FootnoteText"/>
      </w:pPr>
      <w:r>
        <w:rPr>
          <w:rStyle w:val="FootnoteReference"/>
        </w:rPr>
        <w:footnoteRef/>
      </w:r>
      <w:r>
        <w:t>Breda, Exhibit No. ___ (KHB-9C), at 5 provides the results of the two forecasts and my trended approach.</w:t>
      </w:r>
    </w:p>
  </w:footnote>
  <w:footnote w:id="50">
    <w:p w14:paraId="36FE8654" w14:textId="77777777" w:rsidR="000A4D9F" w:rsidRDefault="000A4D9F">
      <w:pPr>
        <w:pStyle w:val="FootnoteText"/>
      </w:pPr>
      <w:r>
        <w:rPr>
          <w:rStyle w:val="FootnoteReference"/>
        </w:rPr>
        <w:footnoteRef/>
      </w:r>
      <w:r>
        <w:t xml:space="preserve"> </w:t>
      </w:r>
      <w:r w:rsidRPr="00B82FF4">
        <w:t>Id</w:t>
      </w:r>
      <w:r>
        <w:t>. at 2, line 1, column h.</w:t>
      </w:r>
    </w:p>
  </w:footnote>
  <w:footnote w:id="51">
    <w:p w14:paraId="36FE8655" w14:textId="77777777" w:rsidR="000A4D9F" w:rsidRDefault="000A4D9F" w:rsidP="00644308">
      <w:pPr>
        <w:pStyle w:val="FootnoteText"/>
      </w:pPr>
      <w:r>
        <w:rPr>
          <w:rStyle w:val="FootnoteReference"/>
        </w:rPr>
        <w:footnoteRef/>
      </w:r>
      <w:r>
        <w:t>Breda, Exhibit No. ___ (KHB-10C), at 5, provides the results of the two load forecasts.</w:t>
      </w:r>
    </w:p>
    <w:p w14:paraId="36FE8656" w14:textId="77777777" w:rsidR="000A4D9F" w:rsidRDefault="000A4D9F">
      <w:pPr>
        <w:pStyle w:val="FootnoteText"/>
      </w:pPr>
    </w:p>
  </w:footnote>
  <w:footnote w:id="52">
    <w:p w14:paraId="36FE8657" w14:textId="77777777" w:rsidR="000A4D9F" w:rsidRDefault="000A4D9F">
      <w:pPr>
        <w:pStyle w:val="FootnoteText"/>
      </w:pPr>
      <w:r>
        <w:rPr>
          <w:rStyle w:val="FootnoteReference"/>
        </w:rPr>
        <w:footnoteRef/>
      </w:r>
      <w:r>
        <w:t xml:space="preserve"> Breda, Exhibit No.___ (KHB-10C), at 5 provides the results of the two forecasts and my trended approach.</w:t>
      </w:r>
    </w:p>
  </w:footnote>
  <w:footnote w:id="53">
    <w:p w14:paraId="36FE8658" w14:textId="77777777" w:rsidR="000A4D9F" w:rsidRDefault="000A4D9F">
      <w:pPr>
        <w:pStyle w:val="FootnoteText"/>
      </w:pPr>
      <w:r>
        <w:rPr>
          <w:rStyle w:val="FootnoteReference"/>
        </w:rPr>
        <w:footnoteRef/>
      </w:r>
      <w:r>
        <w:t xml:space="preserve"> Breda, Exhibit No.___ (KHB-10C), at 2, line 4, column f.</w:t>
      </w:r>
    </w:p>
  </w:footnote>
  <w:footnote w:id="54">
    <w:p w14:paraId="36FE8659" w14:textId="77777777" w:rsidR="000A4D9F" w:rsidRDefault="000A4D9F">
      <w:pPr>
        <w:pStyle w:val="FootnoteText"/>
      </w:pPr>
      <w:r>
        <w:rPr>
          <w:rStyle w:val="FootnoteReference"/>
        </w:rPr>
        <w:footnoteRef/>
      </w:r>
      <w:r>
        <w:t xml:space="preserve"> Huang, Exhibit No.___ (JH-2), at 1, column d.</w:t>
      </w:r>
    </w:p>
  </w:footnote>
  <w:footnote w:id="55">
    <w:p w14:paraId="36FE865A" w14:textId="77777777" w:rsidR="000A4D9F" w:rsidRDefault="000A4D9F">
      <w:pPr>
        <w:pStyle w:val="FootnoteText"/>
      </w:pPr>
      <w:r>
        <w:rPr>
          <w:rStyle w:val="FootnoteReference"/>
        </w:rPr>
        <w:footnoteRef/>
      </w:r>
      <w:r>
        <w:t xml:space="preserve"> This was originally provided in Adjustment 4.06, Electric and Adjustment 4.03, Natural Gas.  I use Avista’s revised figures provided in Avista’s response to Staff Data Request 30.</w:t>
      </w:r>
    </w:p>
  </w:footnote>
  <w:footnote w:id="56">
    <w:p w14:paraId="36FE865B" w14:textId="0F30651F" w:rsidR="000A4D9F" w:rsidRDefault="000A4D9F">
      <w:pPr>
        <w:pStyle w:val="FootnoteText"/>
      </w:pPr>
      <w:r>
        <w:rPr>
          <w:rStyle w:val="FootnoteReference"/>
        </w:rPr>
        <w:footnoteRef/>
      </w:r>
      <w:r>
        <w:t xml:space="preserve"> </w:t>
      </w:r>
      <w:r w:rsidR="0099795B">
        <w:t xml:space="preserve">Breda, </w:t>
      </w:r>
      <w:r>
        <w:t>Exhibit No. ___ (KHB-3).</w:t>
      </w:r>
    </w:p>
  </w:footnote>
  <w:footnote w:id="57">
    <w:p w14:paraId="36FE865C" w14:textId="4EA42217" w:rsidR="000A4D9F" w:rsidRDefault="000A4D9F">
      <w:pPr>
        <w:pStyle w:val="FootnoteText"/>
      </w:pPr>
      <w:r>
        <w:rPr>
          <w:rStyle w:val="FootnoteReference"/>
        </w:rPr>
        <w:footnoteRef/>
      </w:r>
      <w:r>
        <w:t xml:space="preserve"> </w:t>
      </w:r>
      <w:r w:rsidR="0099795B">
        <w:t xml:space="preserve">Breda, </w:t>
      </w:r>
      <w:r>
        <w:t>Exhibit No. ___ (KHB-9C), Electric, at 2, column a, and Exhibit No. ___ (KHB-10C), Natural Gas, at 2, column c.</w:t>
      </w:r>
    </w:p>
  </w:footnote>
  <w:footnote w:id="58">
    <w:p w14:paraId="36FE865D" w14:textId="09BC9F4E" w:rsidR="000A4D9F" w:rsidRDefault="000A4D9F">
      <w:pPr>
        <w:pStyle w:val="FootnoteText"/>
      </w:pPr>
      <w:r>
        <w:rPr>
          <w:rStyle w:val="FootnoteReference"/>
        </w:rPr>
        <w:footnoteRef/>
      </w:r>
      <w:r>
        <w:t xml:space="preserve"> </w:t>
      </w:r>
      <w:r w:rsidR="0099795B">
        <w:t xml:space="preserve">Breda, </w:t>
      </w:r>
      <w:r>
        <w:t>Exhibit No. ___ (KHB-9C), Electric, at 2, lines 7,11,13,15, 17 to 20 and 23, column d, and Exhibit No. ___(KHB-10C), Natural Gas, at 2, lines 9, 11, 13,15 17 to 20 and 23, column e.</w:t>
      </w:r>
    </w:p>
  </w:footnote>
  <w:footnote w:id="59">
    <w:p w14:paraId="36FE865F" w14:textId="25616C9C" w:rsidR="000A4D9F" w:rsidRDefault="000A4D9F">
      <w:pPr>
        <w:pStyle w:val="FootnoteText"/>
      </w:pPr>
      <w:r>
        <w:rPr>
          <w:rStyle w:val="FootnoteReference"/>
        </w:rPr>
        <w:footnoteRef/>
      </w:r>
      <w:r>
        <w:t xml:space="preserve"> See </w:t>
      </w:r>
      <w:r w:rsidR="00427598">
        <w:t xml:space="preserve">Breda, </w:t>
      </w:r>
      <w:r>
        <w:t>Exhibit No. ___ (KHB-9C), Electric, at 2 lines 9, 14 and 21, column d, and Exhibit No. ___ (KHB-10C), Natural Gas, at 2,</w:t>
      </w:r>
      <w:r w:rsidR="0099795B">
        <w:t xml:space="preserve"> lines 10, 14 and 21, column e.</w:t>
      </w:r>
    </w:p>
  </w:footnote>
  <w:footnote w:id="60">
    <w:p w14:paraId="36FE8660" w14:textId="36EA73E6" w:rsidR="000A4D9F" w:rsidRDefault="000A4D9F">
      <w:pPr>
        <w:pStyle w:val="FootnoteText"/>
      </w:pPr>
      <w:r>
        <w:rPr>
          <w:rStyle w:val="FootnoteReference"/>
        </w:rPr>
        <w:footnoteRef/>
      </w:r>
      <w:r>
        <w:t xml:space="preserve"> See </w:t>
      </w:r>
      <w:r w:rsidR="00427598">
        <w:t xml:space="preserve">Breda, </w:t>
      </w:r>
      <w:r>
        <w:t>Exhibit No. ___ (KHB-9C), Electric, at 2 lines 10, column d, and Exhibit No. ___ (KHB-10C), Natural Gas, at 2, lines 22, column e.</w:t>
      </w:r>
    </w:p>
  </w:footnote>
  <w:footnote w:id="61">
    <w:p w14:paraId="36FE8661" w14:textId="77777777" w:rsidR="000A4D9F" w:rsidRDefault="000A4D9F">
      <w:pPr>
        <w:pStyle w:val="FootnoteText"/>
      </w:pPr>
      <w:r>
        <w:rPr>
          <w:rStyle w:val="FootnoteReference"/>
        </w:rPr>
        <w:footnoteRef/>
      </w:r>
      <w:r>
        <w:t xml:space="preserve"> </w:t>
      </w:r>
      <w:r w:rsidRPr="00646C30">
        <w:t>This is present</w:t>
      </w:r>
      <w:r>
        <w:t>ed on my Exhibit No. ___ (KHB-9C</w:t>
      </w:r>
      <w:r w:rsidRPr="00646C30">
        <w:t xml:space="preserve">), </w:t>
      </w:r>
      <w:r>
        <w:t>at</w:t>
      </w:r>
      <w:r w:rsidRPr="00646C30">
        <w:t xml:space="preserve"> 1, line 2.</w:t>
      </w:r>
    </w:p>
  </w:footnote>
  <w:footnote w:id="62">
    <w:p w14:paraId="36FE8662" w14:textId="77777777" w:rsidR="000A4D9F" w:rsidRDefault="000A4D9F">
      <w:pPr>
        <w:pStyle w:val="FootnoteText"/>
      </w:pPr>
      <w:r>
        <w:rPr>
          <w:rStyle w:val="FootnoteReference"/>
        </w:rPr>
        <w:footnoteRef/>
      </w:r>
      <w:r>
        <w:t xml:space="preserve"> </w:t>
      </w:r>
      <w:r w:rsidRPr="00F13692">
        <w:t>This is shown on my Exhibit No. ___ (KHB-10</w:t>
      </w:r>
      <w:r>
        <w:t>C</w:t>
      </w:r>
      <w:r w:rsidRPr="00F13692">
        <w:t xml:space="preserve">), </w:t>
      </w:r>
      <w:r>
        <w:t>at</w:t>
      </w:r>
      <w:r w:rsidRPr="00F13692">
        <w:t xml:space="preserve"> 1, line 2.</w:t>
      </w:r>
    </w:p>
  </w:footnote>
  <w:footnote w:id="63">
    <w:p w14:paraId="36FE8663" w14:textId="79A2EF33" w:rsidR="000A4D9F" w:rsidRDefault="000A4D9F">
      <w:pPr>
        <w:pStyle w:val="FootnoteText"/>
      </w:pPr>
      <w:r>
        <w:rPr>
          <w:rStyle w:val="FootnoteReference"/>
        </w:rPr>
        <w:footnoteRef/>
      </w:r>
      <w:r>
        <w:t xml:space="preserve"> </w:t>
      </w:r>
      <w:r w:rsidR="0099795B">
        <w:t xml:space="preserve">Breda, </w:t>
      </w:r>
      <w:r>
        <w:t>Exhibit No.___(</w:t>
      </w:r>
      <w:proofErr w:type="spellStart"/>
      <w:r>
        <w:t>KHB-9C</w:t>
      </w:r>
      <w:proofErr w:type="spellEnd"/>
      <w:r>
        <w:t>), Electric, at 3, lines 31-45, column j equals Exhibit No.___(EMA-2) at 10, lines 31- 45. Exhibit No. ___ (KHB-10C), Natural Gas, at 3, lines 32-42, column g equals Exhibit No. ___ (EMA-3), at 9, lines 32-42.</w:t>
      </w:r>
    </w:p>
  </w:footnote>
  <w:footnote w:id="64">
    <w:p w14:paraId="36FE8664" w14:textId="192FA50A" w:rsidR="000A4D9F" w:rsidRDefault="000A4D9F">
      <w:pPr>
        <w:pStyle w:val="FootnoteText"/>
      </w:pPr>
      <w:r>
        <w:rPr>
          <w:rStyle w:val="FootnoteReference"/>
        </w:rPr>
        <w:footnoteRef/>
      </w:r>
      <w:r>
        <w:t xml:space="preserve"> </w:t>
      </w:r>
      <w:r w:rsidR="0099795B">
        <w:t xml:space="preserve">Breda, </w:t>
      </w:r>
      <w:r>
        <w:t>Exhibit No. ___ (KHB-8), at 2.</w:t>
      </w:r>
    </w:p>
  </w:footnote>
  <w:footnote w:id="65">
    <w:p w14:paraId="36FE8665" w14:textId="24DC0CEE" w:rsidR="000A4D9F" w:rsidRDefault="000A4D9F">
      <w:pPr>
        <w:pStyle w:val="FootnoteText"/>
      </w:pPr>
      <w:r>
        <w:rPr>
          <w:rStyle w:val="FootnoteReference"/>
        </w:rPr>
        <w:footnoteRef/>
      </w:r>
      <w:r>
        <w:t xml:space="preserve"> </w:t>
      </w:r>
      <w:r w:rsidR="0099795B">
        <w:t xml:space="preserve">Breda, </w:t>
      </w:r>
      <w:r>
        <w:t>Exhibit No. ___ (KHB-9C) Electric, at 1, line 6.</w:t>
      </w:r>
    </w:p>
  </w:footnote>
  <w:footnote w:id="66">
    <w:p w14:paraId="36FE8666" w14:textId="79BEB6B4" w:rsidR="000A4D9F" w:rsidRDefault="000A4D9F">
      <w:pPr>
        <w:pStyle w:val="FootnoteText"/>
      </w:pPr>
      <w:r>
        <w:rPr>
          <w:rStyle w:val="FootnoteReference"/>
        </w:rPr>
        <w:footnoteRef/>
      </w:r>
      <w:r>
        <w:t xml:space="preserve"> </w:t>
      </w:r>
      <w:r w:rsidR="0099795B">
        <w:t xml:space="preserve">Breda, </w:t>
      </w:r>
      <w:r>
        <w:t>Exhibit No. ___ (KHB-10C) Natural Gas, at 1, line 6.</w:t>
      </w:r>
    </w:p>
  </w:footnote>
  <w:footnote w:id="67">
    <w:p w14:paraId="36FE8667" w14:textId="77777777" w:rsidR="000A4D9F" w:rsidRPr="003613A2" w:rsidRDefault="000A4D9F" w:rsidP="00F0272E">
      <w:pPr>
        <w:pStyle w:val="FootnoteText"/>
      </w:pPr>
      <w:r w:rsidRPr="003613A2">
        <w:rPr>
          <w:rStyle w:val="FootnoteReference"/>
        </w:rPr>
        <w:footnoteRef/>
      </w:r>
      <w:r w:rsidRPr="003613A2">
        <w:t xml:space="preserve"> Documentation should include a comprehensive list of assumptions, including both the numerical value of inputs, such as GDP, housing starts, etc., and the assumed relations of such inputs on the load forecast model.  The assumed relationships should be further supported by economic/econometric research which supports the relationship.  Such research may include income elasticity and price elasticity studies.  </w:t>
      </w:r>
    </w:p>
  </w:footnote>
  <w:footnote w:id="68">
    <w:p w14:paraId="36FE8668" w14:textId="77777777" w:rsidR="000A4D9F" w:rsidRPr="00D17116" w:rsidRDefault="000A4D9F" w:rsidP="00F0272E">
      <w:pPr>
        <w:pStyle w:val="FootnoteText"/>
      </w:pPr>
      <w:r w:rsidRPr="00EE789C">
        <w:rPr>
          <w:rStyle w:val="FootnoteReference"/>
        </w:rPr>
        <w:footnoteRef/>
      </w:r>
      <w:r w:rsidRPr="00EE789C">
        <w:t xml:space="preserve"> The workbook should be in its native format with each assumption assigned a numerical value, and each value flowing through the entire workbook.</w:t>
      </w:r>
      <w:r>
        <w:t xml:space="preserve">  </w:t>
      </w:r>
      <w:r w:rsidRPr="00D17116">
        <w:t>Work</w:t>
      </w:r>
      <w:r>
        <w:t xml:space="preserve"> </w:t>
      </w:r>
      <w:r w:rsidRPr="00D17116">
        <w:t>papers should also be a written explanation which supports that each assumption is reasonable, including information on why each assumption is based on credible sources, highly probable, and will have a material impact on the load.</w:t>
      </w:r>
      <w:r w:rsidRPr="00D17116">
        <w:rPr>
          <w:rStyle w:val="FootnoteReference"/>
        </w:rPr>
        <w:footnoteRef/>
      </w:r>
      <w:r w:rsidRPr="00D17116">
        <w:t xml:space="preserve">  When the forecaster relies on data or information produced by other entities, the Company should name each entity and provide documentation which supports the inclusion of such data and information</w:t>
      </w:r>
      <w:r>
        <w:t xml:space="preserve">. </w:t>
      </w:r>
      <w:r w:rsidRPr="00D17116">
        <w:t xml:space="preserve"> This is meant to include data and information provided by other forecasters and information provided to by the company directly from customers.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A92"/>
    <w:multiLevelType w:val="hybridMultilevel"/>
    <w:tmpl w:val="8B98B9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C26531"/>
    <w:multiLevelType w:val="hybridMultilevel"/>
    <w:tmpl w:val="94F041C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782404"/>
    <w:multiLevelType w:val="hybridMultilevel"/>
    <w:tmpl w:val="E4764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F3CF8"/>
    <w:multiLevelType w:val="hybridMultilevel"/>
    <w:tmpl w:val="C1E04512"/>
    <w:lvl w:ilvl="0" w:tplc="028871CA">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E1E42F7"/>
    <w:multiLevelType w:val="hybridMultilevel"/>
    <w:tmpl w:val="BA48159E"/>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rPr>
        <w:b w:val="0"/>
      </w:r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DF3772"/>
    <w:multiLevelType w:val="hybridMultilevel"/>
    <w:tmpl w:val="BECE9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3A59AB"/>
    <w:multiLevelType w:val="hybridMultilevel"/>
    <w:tmpl w:val="8B3E3FC8"/>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7">
    <w:nsid w:val="158C45DE"/>
    <w:multiLevelType w:val="hybridMultilevel"/>
    <w:tmpl w:val="50369528"/>
    <w:lvl w:ilvl="0" w:tplc="2676EA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B03554"/>
    <w:multiLevelType w:val="hybridMultilevel"/>
    <w:tmpl w:val="4C1E9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1B2A53"/>
    <w:multiLevelType w:val="hybridMultilevel"/>
    <w:tmpl w:val="8B98B9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2A0D6F"/>
    <w:multiLevelType w:val="hybridMultilevel"/>
    <w:tmpl w:val="FC4455D2"/>
    <w:lvl w:ilvl="0" w:tplc="3258DB6C">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F61F0E"/>
    <w:multiLevelType w:val="hybridMultilevel"/>
    <w:tmpl w:val="E38C2B4A"/>
    <w:lvl w:ilvl="0" w:tplc="35A445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3A4233"/>
    <w:multiLevelType w:val="hybridMultilevel"/>
    <w:tmpl w:val="F24CDEA8"/>
    <w:lvl w:ilvl="0" w:tplc="400EAB66">
      <w:start w:val="1"/>
      <w:numFmt w:val="decimal"/>
      <w:lvlText w:val="%1"/>
      <w:lvlJc w:val="left"/>
      <w:pPr>
        <w:tabs>
          <w:tab w:val="num" w:pos="1440"/>
        </w:tabs>
        <w:ind w:left="1440" w:hanging="720"/>
      </w:pPr>
      <w:rPr>
        <w:rFonts w:ascii="Times New Roman" w:hAnsi="Times New Roman" w:hint="default"/>
        <w:b w:val="0"/>
        <w:i/>
        <w:spacing w:val="6"/>
        <w:sz w:val="20"/>
        <w:szCs w:val="25"/>
        <w:vertAlign w:val="baseline"/>
      </w:rPr>
    </w:lvl>
    <w:lvl w:ilvl="1" w:tplc="3594E306">
      <w:start w:val="1"/>
      <w:numFmt w:val="upperLetter"/>
      <w:lvlText w:val="%2."/>
      <w:lvlJc w:val="left"/>
      <w:pPr>
        <w:tabs>
          <w:tab w:val="num" w:pos="2160"/>
        </w:tabs>
        <w:ind w:left="2160" w:hanging="360"/>
      </w:pPr>
      <w:rPr>
        <w:rFonts w:hint="default"/>
      </w:rPr>
    </w:lvl>
    <w:lvl w:ilvl="2" w:tplc="5C6644E2">
      <w:start w:val="1"/>
      <w:numFmt w:val="decimal"/>
      <w:lvlText w:val="%3."/>
      <w:lvlJc w:val="left"/>
      <w:pPr>
        <w:tabs>
          <w:tab w:val="num" w:pos="3060"/>
        </w:tabs>
        <w:ind w:left="3060" w:hanging="360"/>
      </w:pPr>
      <w:rPr>
        <w:rFonts w:hint="default"/>
      </w:rPr>
    </w:lvl>
    <w:lvl w:ilvl="3" w:tplc="3F9826F0">
      <w:start w:val="1"/>
      <w:numFmt w:val="lowerLetter"/>
      <w:lvlText w:val="%4."/>
      <w:lvlJc w:val="left"/>
      <w:pPr>
        <w:tabs>
          <w:tab w:val="num" w:pos="3600"/>
        </w:tabs>
        <w:ind w:left="3600" w:hanging="360"/>
      </w:pPr>
      <w:rPr>
        <w:rFonts w:hint="default"/>
      </w:rPr>
    </w:lvl>
    <w:lvl w:ilvl="4" w:tplc="6F86D32A">
      <w:start w:val="1"/>
      <w:numFmt w:val="lowerLetter"/>
      <w:lvlText w:val="%5."/>
      <w:lvlJc w:val="left"/>
      <w:pPr>
        <w:tabs>
          <w:tab w:val="num" w:pos="4320"/>
        </w:tabs>
        <w:ind w:left="4320" w:hanging="360"/>
      </w:pPr>
      <w:rPr>
        <w:rFonts w:hint="default"/>
      </w:rPr>
    </w:lvl>
    <w:lvl w:ilvl="5" w:tplc="1ECA6D5E">
      <w:start w:val="1"/>
      <w:numFmt w:val="lowerRoman"/>
      <w:lvlText w:val="(%6)"/>
      <w:lvlJc w:val="left"/>
      <w:pPr>
        <w:ind w:left="5580" w:hanging="720"/>
      </w:pPr>
      <w:rPr>
        <w:rFonts w:hint="default"/>
      </w:rPr>
    </w:lvl>
    <w:lvl w:ilvl="6" w:tplc="FEC6B172">
      <w:start w:val="1"/>
      <w:numFmt w:val="lowerRoman"/>
      <w:lvlText w:val="%7)"/>
      <w:lvlJc w:val="left"/>
      <w:pPr>
        <w:ind w:left="6120" w:hanging="720"/>
      </w:pPr>
      <w:rPr>
        <w:rFonts w:hint="default"/>
      </w:rPr>
    </w:lvl>
    <w:lvl w:ilvl="7" w:tplc="5C1032FC">
      <w:start w:val="1"/>
      <w:numFmt w:val="decimal"/>
      <w:lvlText w:val="(%8)"/>
      <w:lvlJc w:val="left"/>
      <w:pPr>
        <w:ind w:left="6540" w:hanging="420"/>
      </w:pPr>
      <w:rPr>
        <w:rFonts w:hint="default"/>
      </w:rPr>
    </w:lvl>
    <w:lvl w:ilvl="8" w:tplc="0409001B" w:tentative="1">
      <w:start w:val="1"/>
      <w:numFmt w:val="lowerRoman"/>
      <w:lvlText w:val="%9."/>
      <w:lvlJc w:val="right"/>
      <w:pPr>
        <w:tabs>
          <w:tab w:val="num" w:pos="7200"/>
        </w:tabs>
        <w:ind w:left="7200" w:hanging="180"/>
      </w:pPr>
    </w:lvl>
  </w:abstractNum>
  <w:abstractNum w:abstractNumId="13">
    <w:nsid w:val="2E8F69A5"/>
    <w:multiLevelType w:val="hybridMultilevel"/>
    <w:tmpl w:val="7E723A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6E50E8"/>
    <w:multiLevelType w:val="hybridMultilevel"/>
    <w:tmpl w:val="129AF2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2745808"/>
    <w:multiLevelType w:val="hybridMultilevel"/>
    <w:tmpl w:val="9B2C97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33417E2"/>
    <w:multiLevelType w:val="hybridMultilevel"/>
    <w:tmpl w:val="EA091D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
    <w:nsid w:val="395E073C"/>
    <w:multiLevelType w:val="hybridMultilevel"/>
    <w:tmpl w:val="F9D27152"/>
    <w:lvl w:ilvl="0" w:tplc="160AFD82">
      <w:start w:val="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9912E4D"/>
    <w:multiLevelType w:val="hybridMultilevel"/>
    <w:tmpl w:val="E606F6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A18787F"/>
    <w:multiLevelType w:val="hybridMultilevel"/>
    <w:tmpl w:val="0C800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5E5D5B"/>
    <w:multiLevelType w:val="hybridMultilevel"/>
    <w:tmpl w:val="8B98B9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B1271E9"/>
    <w:multiLevelType w:val="hybridMultilevel"/>
    <w:tmpl w:val="7D14D278"/>
    <w:lvl w:ilvl="0" w:tplc="15747B6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81090A"/>
    <w:multiLevelType w:val="hybridMultilevel"/>
    <w:tmpl w:val="BECE9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3CB122B"/>
    <w:multiLevelType w:val="hybridMultilevel"/>
    <w:tmpl w:val="7D489A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4AB1450"/>
    <w:multiLevelType w:val="hybridMultilevel"/>
    <w:tmpl w:val="8B98B9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7E73645"/>
    <w:multiLevelType w:val="hybridMultilevel"/>
    <w:tmpl w:val="EEEC9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EB4D34"/>
    <w:multiLevelType w:val="hybridMultilevel"/>
    <w:tmpl w:val="A48E603E"/>
    <w:lvl w:ilvl="0" w:tplc="A11424BC">
      <w:start w:val="1"/>
      <w:numFmt w:val="decimal"/>
      <w:lvlText w:val="%1)"/>
      <w:lvlJc w:val="left"/>
      <w:pPr>
        <w:ind w:left="1860" w:hanging="360"/>
      </w:pPr>
      <w:rPr>
        <w:rFonts w:hint="default"/>
      </w:rPr>
    </w:lvl>
    <w:lvl w:ilvl="1" w:tplc="FABE0DD0">
      <w:start w:val="1"/>
      <w:numFmt w:val="lowerLetter"/>
      <w:lvlText w:val="(%2)"/>
      <w:lvlJc w:val="left"/>
      <w:pPr>
        <w:ind w:left="2580" w:hanging="360"/>
      </w:pPr>
      <w:rPr>
        <w:rFonts w:hint="default"/>
      </w:rPr>
    </w:lvl>
    <w:lvl w:ilvl="2" w:tplc="0409001B">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8">
    <w:nsid w:val="53564D58"/>
    <w:multiLevelType w:val="hybridMultilevel"/>
    <w:tmpl w:val="BECE9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4B31D17"/>
    <w:multiLevelType w:val="hybridMultilevel"/>
    <w:tmpl w:val="F9D27152"/>
    <w:lvl w:ilvl="0" w:tplc="160AFD82">
      <w:start w:val="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4F46E64"/>
    <w:multiLevelType w:val="hybridMultilevel"/>
    <w:tmpl w:val="BECE9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7051E48"/>
    <w:multiLevelType w:val="hybridMultilevel"/>
    <w:tmpl w:val="B2760882"/>
    <w:lvl w:ilvl="0" w:tplc="2E2C98EA">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E00F48"/>
    <w:multiLevelType w:val="hybridMultilevel"/>
    <w:tmpl w:val="F6744EE6"/>
    <w:lvl w:ilvl="0" w:tplc="B754A4BE">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A551D0"/>
    <w:multiLevelType w:val="hybridMultilevel"/>
    <w:tmpl w:val="62F6FF26"/>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2649BC"/>
    <w:multiLevelType w:val="hybridMultilevel"/>
    <w:tmpl w:val="F7E243D2"/>
    <w:lvl w:ilvl="0" w:tplc="041265F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293BFA"/>
    <w:multiLevelType w:val="hybridMultilevel"/>
    <w:tmpl w:val="4C0E1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C76CD4"/>
    <w:multiLevelType w:val="hybridMultilevel"/>
    <w:tmpl w:val="8B98B9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1EE36B4"/>
    <w:multiLevelType w:val="hybridMultilevel"/>
    <w:tmpl w:val="91FAB5FA"/>
    <w:lvl w:ilvl="0" w:tplc="F7286344">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B94E30"/>
    <w:multiLevelType w:val="hybridMultilevel"/>
    <w:tmpl w:val="1C042F46"/>
    <w:lvl w:ilvl="0" w:tplc="0BEE0794">
      <w:start w:val="8"/>
      <w:numFmt w:val="upp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9">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84322BF"/>
    <w:multiLevelType w:val="hybridMultilevel"/>
    <w:tmpl w:val="7248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D3456D"/>
    <w:multiLevelType w:val="hybridMultilevel"/>
    <w:tmpl w:val="47AC0C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5191820"/>
    <w:multiLevelType w:val="hybridMultilevel"/>
    <w:tmpl w:val="5868E6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2941A7"/>
    <w:multiLevelType w:val="hybridMultilevel"/>
    <w:tmpl w:val="38E8A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D3E0F0A"/>
    <w:multiLevelType w:val="hybridMultilevel"/>
    <w:tmpl w:val="88EE74F8"/>
    <w:lvl w:ilvl="0" w:tplc="742C4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D6D1279"/>
    <w:multiLevelType w:val="hybridMultilevel"/>
    <w:tmpl w:val="BECE9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9"/>
  </w:num>
  <w:num w:numId="2">
    <w:abstractNumId w:val="17"/>
  </w:num>
  <w:num w:numId="3">
    <w:abstractNumId w:val="4"/>
  </w:num>
  <w:num w:numId="4">
    <w:abstractNumId w:val="19"/>
  </w:num>
  <w:num w:numId="5">
    <w:abstractNumId w:val="24"/>
  </w:num>
  <w:num w:numId="6">
    <w:abstractNumId w:val="16"/>
  </w:num>
  <w:num w:numId="7">
    <w:abstractNumId w:val="41"/>
  </w:num>
  <w:num w:numId="8">
    <w:abstractNumId w:val="8"/>
  </w:num>
  <w:num w:numId="9">
    <w:abstractNumId w:val="40"/>
  </w:num>
  <w:num w:numId="10">
    <w:abstractNumId w:val="42"/>
  </w:num>
  <w:num w:numId="11">
    <w:abstractNumId w:val="14"/>
  </w:num>
  <w:num w:numId="12">
    <w:abstractNumId w:val="20"/>
  </w:num>
  <w:num w:numId="13">
    <w:abstractNumId w:val="1"/>
  </w:num>
  <w:num w:numId="14">
    <w:abstractNumId w:val="5"/>
  </w:num>
  <w:num w:numId="15">
    <w:abstractNumId w:val="23"/>
  </w:num>
  <w:num w:numId="16">
    <w:abstractNumId w:val="33"/>
  </w:num>
  <w:num w:numId="17">
    <w:abstractNumId w:val="12"/>
  </w:num>
  <w:num w:numId="18">
    <w:abstractNumId w:val="28"/>
  </w:num>
  <w:num w:numId="19">
    <w:abstractNumId w:val="34"/>
  </w:num>
  <w:num w:numId="20">
    <w:abstractNumId w:val="45"/>
  </w:num>
  <w:num w:numId="21">
    <w:abstractNumId w:val="10"/>
  </w:num>
  <w:num w:numId="22">
    <w:abstractNumId w:val="30"/>
  </w:num>
  <w:num w:numId="23">
    <w:abstractNumId w:val="37"/>
  </w:num>
  <w:num w:numId="24">
    <w:abstractNumId w:val="15"/>
  </w:num>
  <w:num w:numId="25">
    <w:abstractNumId w:val="31"/>
  </w:num>
  <w:num w:numId="26">
    <w:abstractNumId w:val="21"/>
  </w:num>
  <w:num w:numId="27">
    <w:abstractNumId w:val="36"/>
  </w:num>
  <w:num w:numId="28">
    <w:abstractNumId w:val="25"/>
  </w:num>
  <w:num w:numId="29">
    <w:abstractNumId w:val="9"/>
  </w:num>
  <w:num w:numId="30">
    <w:abstractNumId w:val="0"/>
  </w:num>
  <w:num w:numId="31">
    <w:abstractNumId w:val="13"/>
  </w:num>
  <w:num w:numId="32">
    <w:abstractNumId w:val="7"/>
  </w:num>
  <w:num w:numId="33">
    <w:abstractNumId w:val="44"/>
  </w:num>
  <w:num w:numId="34">
    <w:abstractNumId w:val="3"/>
  </w:num>
  <w:num w:numId="35">
    <w:abstractNumId w:val="29"/>
  </w:num>
  <w:num w:numId="36">
    <w:abstractNumId w:val="6"/>
  </w:num>
  <w:num w:numId="37">
    <w:abstractNumId w:val="27"/>
  </w:num>
  <w:num w:numId="38">
    <w:abstractNumId w:val="11"/>
  </w:num>
  <w:num w:numId="39">
    <w:abstractNumId w:val="38"/>
  </w:num>
  <w:num w:numId="40">
    <w:abstractNumId w:val="18"/>
  </w:num>
  <w:num w:numId="41">
    <w:abstractNumId w:val="35"/>
  </w:num>
  <w:num w:numId="42">
    <w:abstractNumId w:val="32"/>
  </w:num>
  <w:num w:numId="43">
    <w:abstractNumId w:val="2"/>
  </w:num>
  <w:num w:numId="44">
    <w:abstractNumId w:val="43"/>
  </w:num>
  <w:num w:numId="45">
    <w:abstractNumId w:val="2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E2"/>
    <w:rsid w:val="00001F5F"/>
    <w:rsid w:val="00004758"/>
    <w:rsid w:val="000108E9"/>
    <w:rsid w:val="00015205"/>
    <w:rsid w:val="00016032"/>
    <w:rsid w:val="00016569"/>
    <w:rsid w:val="000206F4"/>
    <w:rsid w:val="00022D3C"/>
    <w:rsid w:val="000237F6"/>
    <w:rsid w:val="00040F0C"/>
    <w:rsid w:val="00042723"/>
    <w:rsid w:val="00044830"/>
    <w:rsid w:val="0004525A"/>
    <w:rsid w:val="00047A83"/>
    <w:rsid w:val="00050218"/>
    <w:rsid w:val="00053939"/>
    <w:rsid w:val="0005597B"/>
    <w:rsid w:val="00060B0F"/>
    <w:rsid w:val="00063A36"/>
    <w:rsid w:val="00067DFF"/>
    <w:rsid w:val="00070D5A"/>
    <w:rsid w:val="0007120C"/>
    <w:rsid w:val="00071AB3"/>
    <w:rsid w:val="00072F25"/>
    <w:rsid w:val="00073298"/>
    <w:rsid w:val="00073A5C"/>
    <w:rsid w:val="00073FB9"/>
    <w:rsid w:val="000744AF"/>
    <w:rsid w:val="0007497C"/>
    <w:rsid w:val="0007509B"/>
    <w:rsid w:val="00076AEF"/>
    <w:rsid w:val="00077BBE"/>
    <w:rsid w:val="00081142"/>
    <w:rsid w:val="00087E38"/>
    <w:rsid w:val="000905FF"/>
    <w:rsid w:val="00093734"/>
    <w:rsid w:val="000955B6"/>
    <w:rsid w:val="00097C73"/>
    <w:rsid w:val="000A001E"/>
    <w:rsid w:val="000A07C4"/>
    <w:rsid w:val="000A4D9F"/>
    <w:rsid w:val="000A4E1C"/>
    <w:rsid w:val="000A677A"/>
    <w:rsid w:val="000A77BC"/>
    <w:rsid w:val="000B3B69"/>
    <w:rsid w:val="000B52A1"/>
    <w:rsid w:val="000C1406"/>
    <w:rsid w:val="000C1D72"/>
    <w:rsid w:val="000C3B96"/>
    <w:rsid w:val="000C4A20"/>
    <w:rsid w:val="000C4EA7"/>
    <w:rsid w:val="000C4FB8"/>
    <w:rsid w:val="000C76DD"/>
    <w:rsid w:val="000D1A9A"/>
    <w:rsid w:val="000D21EF"/>
    <w:rsid w:val="000D39FB"/>
    <w:rsid w:val="000D4C10"/>
    <w:rsid w:val="000D56B4"/>
    <w:rsid w:val="000D57E6"/>
    <w:rsid w:val="000D6FA1"/>
    <w:rsid w:val="000D70D0"/>
    <w:rsid w:val="000D7FC8"/>
    <w:rsid w:val="000E1AC3"/>
    <w:rsid w:val="000E23F0"/>
    <w:rsid w:val="000E306D"/>
    <w:rsid w:val="000E680A"/>
    <w:rsid w:val="001019B8"/>
    <w:rsid w:val="00101C4E"/>
    <w:rsid w:val="001024F1"/>
    <w:rsid w:val="001026E4"/>
    <w:rsid w:val="001042D9"/>
    <w:rsid w:val="001056F4"/>
    <w:rsid w:val="001116B9"/>
    <w:rsid w:val="00113955"/>
    <w:rsid w:val="0011401B"/>
    <w:rsid w:val="00117A31"/>
    <w:rsid w:val="0012327E"/>
    <w:rsid w:val="00123C24"/>
    <w:rsid w:val="00124235"/>
    <w:rsid w:val="001248B8"/>
    <w:rsid w:val="0012683B"/>
    <w:rsid w:val="0013021C"/>
    <w:rsid w:val="001312BB"/>
    <w:rsid w:val="00131A45"/>
    <w:rsid w:val="00131B57"/>
    <w:rsid w:val="00136788"/>
    <w:rsid w:val="0013794C"/>
    <w:rsid w:val="00145085"/>
    <w:rsid w:val="00145D5C"/>
    <w:rsid w:val="00147415"/>
    <w:rsid w:val="00147658"/>
    <w:rsid w:val="00147721"/>
    <w:rsid w:val="0015026F"/>
    <w:rsid w:val="00151A3D"/>
    <w:rsid w:val="0015270D"/>
    <w:rsid w:val="001610B3"/>
    <w:rsid w:val="00161EBD"/>
    <w:rsid w:val="00161FB8"/>
    <w:rsid w:val="00164725"/>
    <w:rsid w:val="00164D8D"/>
    <w:rsid w:val="001670E0"/>
    <w:rsid w:val="0016762B"/>
    <w:rsid w:val="00167CA6"/>
    <w:rsid w:val="00170F17"/>
    <w:rsid w:val="00171213"/>
    <w:rsid w:val="00171D85"/>
    <w:rsid w:val="00171DC6"/>
    <w:rsid w:val="00174A03"/>
    <w:rsid w:val="0017563F"/>
    <w:rsid w:val="001811C1"/>
    <w:rsid w:val="001814EC"/>
    <w:rsid w:val="00182CE7"/>
    <w:rsid w:val="00186666"/>
    <w:rsid w:val="00186D8A"/>
    <w:rsid w:val="001875EE"/>
    <w:rsid w:val="0019004D"/>
    <w:rsid w:val="00191D18"/>
    <w:rsid w:val="00195097"/>
    <w:rsid w:val="001958F0"/>
    <w:rsid w:val="001A2016"/>
    <w:rsid w:val="001A228B"/>
    <w:rsid w:val="001A29C6"/>
    <w:rsid w:val="001A44E0"/>
    <w:rsid w:val="001B345D"/>
    <w:rsid w:val="001B39A9"/>
    <w:rsid w:val="001B537B"/>
    <w:rsid w:val="001B565C"/>
    <w:rsid w:val="001B5CA2"/>
    <w:rsid w:val="001B6A12"/>
    <w:rsid w:val="001B774F"/>
    <w:rsid w:val="001B7DCF"/>
    <w:rsid w:val="001C03E3"/>
    <w:rsid w:val="001C220C"/>
    <w:rsid w:val="001C38E3"/>
    <w:rsid w:val="001C4522"/>
    <w:rsid w:val="001C57BE"/>
    <w:rsid w:val="001C6920"/>
    <w:rsid w:val="001C7E57"/>
    <w:rsid w:val="001D1FE0"/>
    <w:rsid w:val="001D34CE"/>
    <w:rsid w:val="001D609E"/>
    <w:rsid w:val="001D65F5"/>
    <w:rsid w:val="001D70C2"/>
    <w:rsid w:val="001E1D2A"/>
    <w:rsid w:val="001E5FF4"/>
    <w:rsid w:val="001E6490"/>
    <w:rsid w:val="001E6707"/>
    <w:rsid w:val="001E7384"/>
    <w:rsid w:val="001F136C"/>
    <w:rsid w:val="001F1F2C"/>
    <w:rsid w:val="001F3D4B"/>
    <w:rsid w:val="001F652C"/>
    <w:rsid w:val="00206403"/>
    <w:rsid w:val="00206F1C"/>
    <w:rsid w:val="00207811"/>
    <w:rsid w:val="00220817"/>
    <w:rsid w:val="00223034"/>
    <w:rsid w:val="00223301"/>
    <w:rsid w:val="00232EDB"/>
    <w:rsid w:val="0023506C"/>
    <w:rsid w:val="002372DB"/>
    <w:rsid w:val="002375D9"/>
    <w:rsid w:val="00240E85"/>
    <w:rsid w:val="0024185F"/>
    <w:rsid w:val="0024189F"/>
    <w:rsid w:val="00246024"/>
    <w:rsid w:val="00251938"/>
    <w:rsid w:val="00256A26"/>
    <w:rsid w:val="00257678"/>
    <w:rsid w:val="00260521"/>
    <w:rsid w:val="002614A7"/>
    <w:rsid w:val="00261B46"/>
    <w:rsid w:val="00262975"/>
    <w:rsid w:val="0026337D"/>
    <w:rsid w:val="00266324"/>
    <w:rsid w:val="0027041A"/>
    <w:rsid w:val="0027537A"/>
    <w:rsid w:val="002773AE"/>
    <w:rsid w:val="00280D4F"/>
    <w:rsid w:val="00285BD5"/>
    <w:rsid w:val="00285DFF"/>
    <w:rsid w:val="00286545"/>
    <w:rsid w:val="00286C5F"/>
    <w:rsid w:val="00290327"/>
    <w:rsid w:val="00290507"/>
    <w:rsid w:val="00290B01"/>
    <w:rsid w:val="00291C7E"/>
    <w:rsid w:val="00292A4B"/>
    <w:rsid w:val="00292C8C"/>
    <w:rsid w:val="002937F8"/>
    <w:rsid w:val="00294D41"/>
    <w:rsid w:val="002966BF"/>
    <w:rsid w:val="00296C9E"/>
    <w:rsid w:val="002A0840"/>
    <w:rsid w:val="002A6132"/>
    <w:rsid w:val="002A6719"/>
    <w:rsid w:val="002A7C2A"/>
    <w:rsid w:val="002B01C8"/>
    <w:rsid w:val="002B10D3"/>
    <w:rsid w:val="002B7975"/>
    <w:rsid w:val="002C3F48"/>
    <w:rsid w:val="002C3F71"/>
    <w:rsid w:val="002C7481"/>
    <w:rsid w:val="002C76DB"/>
    <w:rsid w:val="002D143B"/>
    <w:rsid w:val="002D2A3D"/>
    <w:rsid w:val="002D2FD5"/>
    <w:rsid w:val="002E21A4"/>
    <w:rsid w:val="002E2D6B"/>
    <w:rsid w:val="002E3623"/>
    <w:rsid w:val="002E57B9"/>
    <w:rsid w:val="002F283A"/>
    <w:rsid w:val="002F291C"/>
    <w:rsid w:val="002F3310"/>
    <w:rsid w:val="002F4501"/>
    <w:rsid w:val="002F6B4A"/>
    <w:rsid w:val="002F6C3C"/>
    <w:rsid w:val="00300738"/>
    <w:rsid w:val="00302287"/>
    <w:rsid w:val="0030489B"/>
    <w:rsid w:val="00305835"/>
    <w:rsid w:val="003103FD"/>
    <w:rsid w:val="00313C51"/>
    <w:rsid w:val="0031475B"/>
    <w:rsid w:val="00324B43"/>
    <w:rsid w:val="00327FB6"/>
    <w:rsid w:val="0033402C"/>
    <w:rsid w:val="00335111"/>
    <w:rsid w:val="00337391"/>
    <w:rsid w:val="00342310"/>
    <w:rsid w:val="00346106"/>
    <w:rsid w:val="00347F50"/>
    <w:rsid w:val="003503FC"/>
    <w:rsid w:val="003507D7"/>
    <w:rsid w:val="00353D68"/>
    <w:rsid w:val="00355789"/>
    <w:rsid w:val="0035649A"/>
    <w:rsid w:val="00360DAB"/>
    <w:rsid w:val="00360E37"/>
    <w:rsid w:val="00366392"/>
    <w:rsid w:val="003715E0"/>
    <w:rsid w:val="00371F28"/>
    <w:rsid w:val="0038009B"/>
    <w:rsid w:val="00381E78"/>
    <w:rsid w:val="0038491B"/>
    <w:rsid w:val="003855FE"/>
    <w:rsid w:val="003866A1"/>
    <w:rsid w:val="003867F9"/>
    <w:rsid w:val="00386E74"/>
    <w:rsid w:val="0039162F"/>
    <w:rsid w:val="00391BA6"/>
    <w:rsid w:val="003929B0"/>
    <w:rsid w:val="003936B6"/>
    <w:rsid w:val="00393B46"/>
    <w:rsid w:val="003A03F0"/>
    <w:rsid w:val="003A218C"/>
    <w:rsid w:val="003A307C"/>
    <w:rsid w:val="003A44B0"/>
    <w:rsid w:val="003A6CBB"/>
    <w:rsid w:val="003A730C"/>
    <w:rsid w:val="003C07C9"/>
    <w:rsid w:val="003C1593"/>
    <w:rsid w:val="003C20D6"/>
    <w:rsid w:val="003D1946"/>
    <w:rsid w:val="003D50AF"/>
    <w:rsid w:val="003D742B"/>
    <w:rsid w:val="003D759A"/>
    <w:rsid w:val="003E2997"/>
    <w:rsid w:val="003E3E42"/>
    <w:rsid w:val="003E40FA"/>
    <w:rsid w:val="003E5299"/>
    <w:rsid w:val="003E566F"/>
    <w:rsid w:val="003E5DCC"/>
    <w:rsid w:val="003E6CED"/>
    <w:rsid w:val="003E6E6A"/>
    <w:rsid w:val="003E7F82"/>
    <w:rsid w:val="003F168E"/>
    <w:rsid w:val="003F3EFD"/>
    <w:rsid w:val="003F4C47"/>
    <w:rsid w:val="003F53A4"/>
    <w:rsid w:val="003F56C2"/>
    <w:rsid w:val="00401B10"/>
    <w:rsid w:val="00402306"/>
    <w:rsid w:val="00407A29"/>
    <w:rsid w:val="004118D3"/>
    <w:rsid w:val="0041271F"/>
    <w:rsid w:val="00413A7E"/>
    <w:rsid w:val="0041668E"/>
    <w:rsid w:val="00421294"/>
    <w:rsid w:val="00421EC2"/>
    <w:rsid w:val="004273EF"/>
    <w:rsid w:val="00427598"/>
    <w:rsid w:val="00435E43"/>
    <w:rsid w:val="00441657"/>
    <w:rsid w:val="00443E92"/>
    <w:rsid w:val="004441EF"/>
    <w:rsid w:val="00444DA9"/>
    <w:rsid w:val="0044675D"/>
    <w:rsid w:val="0044799E"/>
    <w:rsid w:val="0045142C"/>
    <w:rsid w:val="004519CB"/>
    <w:rsid w:val="00452077"/>
    <w:rsid w:val="004542F0"/>
    <w:rsid w:val="004548E6"/>
    <w:rsid w:val="0045680C"/>
    <w:rsid w:val="00460ED8"/>
    <w:rsid w:val="0046251D"/>
    <w:rsid w:val="00463BD6"/>
    <w:rsid w:val="00463D7F"/>
    <w:rsid w:val="004645CB"/>
    <w:rsid w:val="004665F9"/>
    <w:rsid w:val="00466C82"/>
    <w:rsid w:val="00466CA4"/>
    <w:rsid w:val="0047116B"/>
    <w:rsid w:val="004711D8"/>
    <w:rsid w:val="00471642"/>
    <w:rsid w:val="00482F7B"/>
    <w:rsid w:val="004844C1"/>
    <w:rsid w:val="00485F5A"/>
    <w:rsid w:val="004912F7"/>
    <w:rsid w:val="004917A8"/>
    <w:rsid w:val="0049270C"/>
    <w:rsid w:val="0049468D"/>
    <w:rsid w:val="0049663D"/>
    <w:rsid w:val="004A2871"/>
    <w:rsid w:val="004A4C67"/>
    <w:rsid w:val="004A7A42"/>
    <w:rsid w:val="004B0B2E"/>
    <w:rsid w:val="004B0C65"/>
    <w:rsid w:val="004B379A"/>
    <w:rsid w:val="004B3883"/>
    <w:rsid w:val="004B78E5"/>
    <w:rsid w:val="004B7D8D"/>
    <w:rsid w:val="004C2265"/>
    <w:rsid w:val="004C5B06"/>
    <w:rsid w:val="004C65B1"/>
    <w:rsid w:val="004D1195"/>
    <w:rsid w:val="004D2890"/>
    <w:rsid w:val="004D6B84"/>
    <w:rsid w:val="004E48A4"/>
    <w:rsid w:val="004E5E87"/>
    <w:rsid w:val="004E5EDF"/>
    <w:rsid w:val="004E60B3"/>
    <w:rsid w:val="004F02A8"/>
    <w:rsid w:val="004F03FE"/>
    <w:rsid w:val="004F193E"/>
    <w:rsid w:val="004F1EA8"/>
    <w:rsid w:val="0050442E"/>
    <w:rsid w:val="00506C7F"/>
    <w:rsid w:val="00507D3D"/>
    <w:rsid w:val="00510058"/>
    <w:rsid w:val="00510060"/>
    <w:rsid w:val="00510E27"/>
    <w:rsid w:val="00515D6B"/>
    <w:rsid w:val="0051798B"/>
    <w:rsid w:val="00517E2C"/>
    <w:rsid w:val="00525658"/>
    <w:rsid w:val="0052728B"/>
    <w:rsid w:val="0053049C"/>
    <w:rsid w:val="00530C16"/>
    <w:rsid w:val="00530ECD"/>
    <w:rsid w:val="00530F33"/>
    <w:rsid w:val="00531D2F"/>
    <w:rsid w:val="0053339A"/>
    <w:rsid w:val="00533B1B"/>
    <w:rsid w:val="00535045"/>
    <w:rsid w:val="005352DC"/>
    <w:rsid w:val="005355A1"/>
    <w:rsid w:val="0053766E"/>
    <w:rsid w:val="00540FD3"/>
    <w:rsid w:val="00543E97"/>
    <w:rsid w:val="00546EB4"/>
    <w:rsid w:val="0054734A"/>
    <w:rsid w:val="00550C99"/>
    <w:rsid w:val="00551641"/>
    <w:rsid w:val="0055171A"/>
    <w:rsid w:val="005539BF"/>
    <w:rsid w:val="005545D0"/>
    <w:rsid w:val="0056000C"/>
    <w:rsid w:val="00560470"/>
    <w:rsid w:val="005636D7"/>
    <w:rsid w:val="005659B4"/>
    <w:rsid w:val="00573878"/>
    <w:rsid w:val="005746CB"/>
    <w:rsid w:val="00574A41"/>
    <w:rsid w:val="00574BEF"/>
    <w:rsid w:val="00583123"/>
    <w:rsid w:val="00583254"/>
    <w:rsid w:val="005851FA"/>
    <w:rsid w:val="005870D6"/>
    <w:rsid w:val="0059264A"/>
    <w:rsid w:val="0059633B"/>
    <w:rsid w:val="00596DE7"/>
    <w:rsid w:val="005A0F38"/>
    <w:rsid w:val="005A1E1A"/>
    <w:rsid w:val="005A444A"/>
    <w:rsid w:val="005A5C5F"/>
    <w:rsid w:val="005A76AB"/>
    <w:rsid w:val="005B0AC6"/>
    <w:rsid w:val="005B2255"/>
    <w:rsid w:val="005B2E1B"/>
    <w:rsid w:val="005B358A"/>
    <w:rsid w:val="005B46B4"/>
    <w:rsid w:val="005B55E6"/>
    <w:rsid w:val="005B7080"/>
    <w:rsid w:val="005C1D2D"/>
    <w:rsid w:val="005C2677"/>
    <w:rsid w:val="005C4662"/>
    <w:rsid w:val="005C5306"/>
    <w:rsid w:val="005C655F"/>
    <w:rsid w:val="005C6B3F"/>
    <w:rsid w:val="005E744A"/>
    <w:rsid w:val="005E7743"/>
    <w:rsid w:val="005F21BF"/>
    <w:rsid w:val="005F3499"/>
    <w:rsid w:val="005F3DB9"/>
    <w:rsid w:val="005F578B"/>
    <w:rsid w:val="005F7514"/>
    <w:rsid w:val="00610985"/>
    <w:rsid w:val="00611190"/>
    <w:rsid w:val="006120B5"/>
    <w:rsid w:val="0061223F"/>
    <w:rsid w:val="00613395"/>
    <w:rsid w:val="00614AAD"/>
    <w:rsid w:val="00617A54"/>
    <w:rsid w:val="00621039"/>
    <w:rsid w:val="006213FE"/>
    <w:rsid w:val="00621FD7"/>
    <w:rsid w:val="00624163"/>
    <w:rsid w:val="006311C7"/>
    <w:rsid w:val="00631B2E"/>
    <w:rsid w:val="00634D5B"/>
    <w:rsid w:val="00635BAD"/>
    <w:rsid w:val="00641BFD"/>
    <w:rsid w:val="00641CE8"/>
    <w:rsid w:val="006441D0"/>
    <w:rsid w:val="00644308"/>
    <w:rsid w:val="00646C30"/>
    <w:rsid w:val="0065041D"/>
    <w:rsid w:val="00653C49"/>
    <w:rsid w:val="00654069"/>
    <w:rsid w:val="00654444"/>
    <w:rsid w:val="00656DA9"/>
    <w:rsid w:val="006612CA"/>
    <w:rsid w:val="00662A90"/>
    <w:rsid w:val="00670359"/>
    <w:rsid w:val="00675A8A"/>
    <w:rsid w:val="00675AA0"/>
    <w:rsid w:val="00680878"/>
    <w:rsid w:val="00680B66"/>
    <w:rsid w:val="00680DB7"/>
    <w:rsid w:val="00680F4B"/>
    <w:rsid w:val="006820D6"/>
    <w:rsid w:val="006836CA"/>
    <w:rsid w:val="00692A24"/>
    <w:rsid w:val="0069634A"/>
    <w:rsid w:val="006A17EE"/>
    <w:rsid w:val="006A1814"/>
    <w:rsid w:val="006A441C"/>
    <w:rsid w:val="006A5405"/>
    <w:rsid w:val="006A5897"/>
    <w:rsid w:val="006A7239"/>
    <w:rsid w:val="006B5436"/>
    <w:rsid w:val="006C1AC2"/>
    <w:rsid w:val="006C1FF9"/>
    <w:rsid w:val="006C22F2"/>
    <w:rsid w:val="006C2E7B"/>
    <w:rsid w:val="006C34DD"/>
    <w:rsid w:val="006C3554"/>
    <w:rsid w:val="006C47BE"/>
    <w:rsid w:val="006C4891"/>
    <w:rsid w:val="006D58DA"/>
    <w:rsid w:val="006D6FE7"/>
    <w:rsid w:val="006D7451"/>
    <w:rsid w:val="006D7B09"/>
    <w:rsid w:val="006E1592"/>
    <w:rsid w:val="006E163F"/>
    <w:rsid w:val="006E31EF"/>
    <w:rsid w:val="006E56F0"/>
    <w:rsid w:val="006E611E"/>
    <w:rsid w:val="006E6B5E"/>
    <w:rsid w:val="006E79BD"/>
    <w:rsid w:val="006F0F53"/>
    <w:rsid w:val="006F1B31"/>
    <w:rsid w:val="006F38BF"/>
    <w:rsid w:val="006F646B"/>
    <w:rsid w:val="006F697C"/>
    <w:rsid w:val="006F6B51"/>
    <w:rsid w:val="00701AD4"/>
    <w:rsid w:val="00703BBB"/>
    <w:rsid w:val="00703E76"/>
    <w:rsid w:val="00707D15"/>
    <w:rsid w:val="00710DA9"/>
    <w:rsid w:val="007131BF"/>
    <w:rsid w:val="007148CF"/>
    <w:rsid w:val="00721076"/>
    <w:rsid w:val="00722AC7"/>
    <w:rsid w:val="00727B1F"/>
    <w:rsid w:val="00730D37"/>
    <w:rsid w:val="00731292"/>
    <w:rsid w:val="007321B7"/>
    <w:rsid w:val="00732A8D"/>
    <w:rsid w:val="007346F0"/>
    <w:rsid w:val="00740114"/>
    <w:rsid w:val="0074324D"/>
    <w:rsid w:val="00743B12"/>
    <w:rsid w:val="00743F3D"/>
    <w:rsid w:val="007452D2"/>
    <w:rsid w:val="00746929"/>
    <w:rsid w:val="00746AE5"/>
    <w:rsid w:val="00747243"/>
    <w:rsid w:val="00747A4C"/>
    <w:rsid w:val="007504D7"/>
    <w:rsid w:val="00752DB8"/>
    <w:rsid w:val="00756F4A"/>
    <w:rsid w:val="00757AEA"/>
    <w:rsid w:val="00760D1A"/>
    <w:rsid w:val="00762E11"/>
    <w:rsid w:val="0076350A"/>
    <w:rsid w:val="007640C1"/>
    <w:rsid w:val="00764A98"/>
    <w:rsid w:val="00766866"/>
    <w:rsid w:val="00771501"/>
    <w:rsid w:val="00771B0F"/>
    <w:rsid w:val="00780A71"/>
    <w:rsid w:val="00781670"/>
    <w:rsid w:val="0078327E"/>
    <w:rsid w:val="00785957"/>
    <w:rsid w:val="00786013"/>
    <w:rsid w:val="007866CB"/>
    <w:rsid w:val="00786B88"/>
    <w:rsid w:val="007909A9"/>
    <w:rsid w:val="00790B4C"/>
    <w:rsid w:val="00790CB3"/>
    <w:rsid w:val="0079306F"/>
    <w:rsid w:val="0079329A"/>
    <w:rsid w:val="00796B66"/>
    <w:rsid w:val="007A219B"/>
    <w:rsid w:val="007A4207"/>
    <w:rsid w:val="007A435C"/>
    <w:rsid w:val="007A6300"/>
    <w:rsid w:val="007A676E"/>
    <w:rsid w:val="007B45D3"/>
    <w:rsid w:val="007B4A86"/>
    <w:rsid w:val="007B6B68"/>
    <w:rsid w:val="007C32F8"/>
    <w:rsid w:val="007C3A92"/>
    <w:rsid w:val="007C47DC"/>
    <w:rsid w:val="007C570B"/>
    <w:rsid w:val="007C65A5"/>
    <w:rsid w:val="007C6C46"/>
    <w:rsid w:val="007C7A9A"/>
    <w:rsid w:val="007C7F86"/>
    <w:rsid w:val="007D0DC0"/>
    <w:rsid w:val="007D15D5"/>
    <w:rsid w:val="007D16FD"/>
    <w:rsid w:val="007D3108"/>
    <w:rsid w:val="007D35F4"/>
    <w:rsid w:val="007D3D3C"/>
    <w:rsid w:val="007D7E59"/>
    <w:rsid w:val="007E03FD"/>
    <w:rsid w:val="007E32D5"/>
    <w:rsid w:val="007E6164"/>
    <w:rsid w:val="007E65F1"/>
    <w:rsid w:val="007E7D75"/>
    <w:rsid w:val="007F12F3"/>
    <w:rsid w:val="007F6FC8"/>
    <w:rsid w:val="00800A04"/>
    <w:rsid w:val="00801E76"/>
    <w:rsid w:val="0080210D"/>
    <w:rsid w:val="008048ED"/>
    <w:rsid w:val="00805042"/>
    <w:rsid w:val="00807F2A"/>
    <w:rsid w:val="008102EC"/>
    <w:rsid w:val="00815416"/>
    <w:rsid w:val="008158DB"/>
    <w:rsid w:val="008167A4"/>
    <w:rsid w:val="00817450"/>
    <w:rsid w:val="00817C32"/>
    <w:rsid w:val="0082082F"/>
    <w:rsid w:val="008215C7"/>
    <w:rsid w:val="00824AB1"/>
    <w:rsid w:val="008331B2"/>
    <w:rsid w:val="00836072"/>
    <w:rsid w:val="0083694C"/>
    <w:rsid w:val="00837453"/>
    <w:rsid w:val="008409BB"/>
    <w:rsid w:val="008422E2"/>
    <w:rsid w:val="00842458"/>
    <w:rsid w:val="00842CB4"/>
    <w:rsid w:val="0084352F"/>
    <w:rsid w:val="00843FE2"/>
    <w:rsid w:val="00847864"/>
    <w:rsid w:val="00850382"/>
    <w:rsid w:val="008518CA"/>
    <w:rsid w:val="00851CCE"/>
    <w:rsid w:val="00857A59"/>
    <w:rsid w:val="00866890"/>
    <w:rsid w:val="008670D3"/>
    <w:rsid w:val="00870C5E"/>
    <w:rsid w:val="00875811"/>
    <w:rsid w:val="00877532"/>
    <w:rsid w:val="0088610B"/>
    <w:rsid w:val="00890705"/>
    <w:rsid w:val="00891F7C"/>
    <w:rsid w:val="008948CC"/>
    <w:rsid w:val="00896331"/>
    <w:rsid w:val="00897342"/>
    <w:rsid w:val="00897953"/>
    <w:rsid w:val="008A10BE"/>
    <w:rsid w:val="008A1C7A"/>
    <w:rsid w:val="008A55EF"/>
    <w:rsid w:val="008B2FBD"/>
    <w:rsid w:val="008B6F29"/>
    <w:rsid w:val="008B7C06"/>
    <w:rsid w:val="008C2C28"/>
    <w:rsid w:val="008C3691"/>
    <w:rsid w:val="008C560B"/>
    <w:rsid w:val="008D06AC"/>
    <w:rsid w:val="008D1556"/>
    <w:rsid w:val="008D1DA8"/>
    <w:rsid w:val="008D234E"/>
    <w:rsid w:val="008D4103"/>
    <w:rsid w:val="008E21C7"/>
    <w:rsid w:val="008E2CBC"/>
    <w:rsid w:val="008E4A52"/>
    <w:rsid w:val="008E5E38"/>
    <w:rsid w:val="008E6027"/>
    <w:rsid w:val="008E6D28"/>
    <w:rsid w:val="008E7568"/>
    <w:rsid w:val="008F243B"/>
    <w:rsid w:val="008F43B0"/>
    <w:rsid w:val="008F63C6"/>
    <w:rsid w:val="008F7D54"/>
    <w:rsid w:val="009015BB"/>
    <w:rsid w:val="00901A41"/>
    <w:rsid w:val="00901B72"/>
    <w:rsid w:val="009031AC"/>
    <w:rsid w:val="00903635"/>
    <w:rsid w:val="00903CE0"/>
    <w:rsid w:val="00905047"/>
    <w:rsid w:val="009060A8"/>
    <w:rsid w:val="00911778"/>
    <w:rsid w:val="009152B8"/>
    <w:rsid w:val="00915678"/>
    <w:rsid w:val="009205EF"/>
    <w:rsid w:val="00921482"/>
    <w:rsid w:val="00922693"/>
    <w:rsid w:val="0092305B"/>
    <w:rsid w:val="00924165"/>
    <w:rsid w:val="00926B3F"/>
    <w:rsid w:val="00930D78"/>
    <w:rsid w:val="00931F8A"/>
    <w:rsid w:val="009333FA"/>
    <w:rsid w:val="00933C03"/>
    <w:rsid w:val="0094168C"/>
    <w:rsid w:val="00945C17"/>
    <w:rsid w:val="0094713E"/>
    <w:rsid w:val="00950815"/>
    <w:rsid w:val="009531D8"/>
    <w:rsid w:val="0095704D"/>
    <w:rsid w:val="0096185D"/>
    <w:rsid w:val="00964736"/>
    <w:rsid w:val="00970BD9"/>
    <w:rsid w:val="00972C54"/>
    <w:rsid w:val="00972F74"/>
    <w:rsid w:val="00973B22"/>
    <w:rsid w:val="0097478E"/>
    <w:rsid w:val="00974FC8"/>
    <w:rsid w:val="00985753"/>
    <w:rsid w:val="00987878"/>
    <w:rsid w:val="00987D6F"/>
    <w:rsid w:val="00993C2F"/>
    <w:rsid w:val="00996DDE"/>
    <w:rsid w:val="0099795B"/>
    <w:rsid w:val="00997CEF"/>
    <w:rsid w:val="009A06F1"/>
    <w:rsid w:val="009A3924"/>
    <w:rsid w:val="009B1897"/>
    <w:rsid w:val="009B23C3"/>
    <w:rsid w:val="009B5207"/>
    <w:rsid w:val="009C7E50"/>
    <w:rsid w:val="009D0186"/>
    <w:rsid w:val="009D28C0"/>
    <w:rsid w:val="009D55B8"/>
    <w:rsid w:val="009D5769"/>
    <w:rsid w:val="009D786E"/>
    <w:rsid w:val="009E0186"/>
    <w:rsid w:val="009E2FD2"/>
    <w:rsid w:val="009E4424"/>
    <w:rsid w:val="009E57FB"/>
    <w:rsid w:val="009E5EBF"/>
    <w:rsid w:val="009F04E2"/>
    <w:rsid w:val="009F2BF3"/>
    <w:rsid w:val="009F3C63"/>
    <w:rsid w:val="009F4C65"/>
    <w:rsid w:val="00A0026E"/>
    <w:rsid w:val="00A0321A"/>
    <w:rsid w:val="00A06288"/>
    <w:rsid w:val="00A072A4"/>
    <w:rsid w:val="00A1028C"/>
    <w:rsid w:val="00A12A45"/>
    <w:rsid w:val="00A12F05"/>
    <w:rsid w:val="00A14E04"/>
    <w:rsid w:val="00A171EB"/>
    <w:rsid w:val="00A20BEE"/>
    <w:rsid w:val="00A21577"/>
    <w:rsid w:val="00A23F1C"/>
    <w:rsid w:val="00A26F7B"/>
    <w:rsid w:val="00A274CD"/>
    <w:rsid w:val="00A302B2"/>
    <w:rsid w:val="00A3242E"/>
    <w:rsid w:val="00A330BD"/>
    <w:rsid w:val="00A3481E"/>
    <w:rsid w:val="00A34F5F"/>
    <w:rsid w:val="00A350AF"/>
    <w:rsid w:val="00A36ADF"/>
    <w:rsid w:val="00A374AB"/>
    <w:rsid w:val="00A43144"/>
    <w:rsid w:val="00A431F3"/>
    <w:rsid w:val="00A43F05"/>
    <w:rsid w:val="00A44A29"/>
    <w:rsid w:val="00A44C69"/>
    <w:rsid w:val="00A4556F"/>
    <w:rsid w:val="00A461BB"/>
    <w:rsid w:val="00A519E7"/>
    <w:rsid w:val="00A5351A"/>
    <w:rsid w:val="00A550C0"/>
    <w:rsid w:val="00A576AA"/>
    <w:rsid w:val="00A601D8"/>
    <w:rsid w:val="00A61769"/>
    <w:rsid w:val="00A65165"/>
    <w:rsid w:val="00A669E8"/>
    <w:rsid w:val="00A70096"/>
    <w:rsid w:val="00A7187F"/>
    <w:rsid w:val="00A75E45"/>
    <w:rsid w:val="00A777F3"/>
    <w:rsid w:val="00A77B6F"/>
    <w:rsid w:val="00A81AC0"/>
    <w:rsid w:val="00A832CA"/>
    <w:rsid w:val="00A84631"/>
    <w:rsid w:val="00A91272"/>
    <w:rsid w:val="00A92443"/>
    <w:rsid w:val="00A92EED"/>
    <w:rsid w:val="00A972D0"/>
    <w:rsid w:val="00A97C97"/>
    <w:rsid w:val="00AA0E15"/>
    <w:rsid w:val="00AA4D1D"/>
    <w:rsid w:val="00AA59A9"/>
    <w:rsid w:val="00AB106C"/>
    <w:rsid w:val="00AB2A98"/>
    <w:rsid w:val="00AB5826"/>
    <w:rsid w:val="00AB72BD"/>
    <w:rsid w:val="00AC0428"/>
    <w:rsid w:val="00AC0B17"/>
    <w:rsid w:val="00AC16D4"/>
    <w:rsid w:val="00AC37BC"/>
    <w:rsid w:val="00AC7E08"/>
    <w:rsid w:val="00AD0CDF"/>
    <w:rsid w:val="00AD14EE"/>
    <w:rsid w:val="00AD156C"/>
    <w:rsid w:val="00AD2423"/>
    <w:rsid w:val="00AD41A4"/>
    <w:rsid w:val="00AD464C"/>
    <w:rsid w:val="00AD4DA9"/>
    <w:rsid w:val="00AD776A"/>
    <w:rsid w:val="00AE038C"/>
    <w:rsid w:val="00AE0BCB"/>
    <w:rsid w:val="00AE3613"/>
    <w:rsid w:val="00AE5D88"/>
    <w:rsid w:val="00AF2C07"/>
    <w:rsid w:val="00AF3C6B"/>
    <w:rsid w:val="00AF3DA0"/>
    <w:rsid w:val="00AF45B1"/>
    <w:rsid w:val="00B00073"/>
    <w:rsid w:val="00B045A7"/>
    <w:rsid w:val="00B06EE3"/>
    <w:rsid w:val="00B10062"/>
    <w:rsid w:val="00B1243B"/>
    <w:rsid w:val="00B128B5"/>
    <w:rsid w:val="00B20278"/>
    <w:rsid w:val="00B20D4B"/>
    <w:rsid w:val="00B23396"/>
    <w:rsid w:val="00B24689"/>
    <w:rsid w:val="00B3024C"/>
    <w:rsid w:val="00B325BB"/>
    <w:rsid w:val="00B33B9E"/>
    <w:rsid w:val="00B34D84"/>
    <w:rsid w:val="00B4143A"/>
    <w:rsid w:val="00B44466"/>
    <w:rsid w:val="00B50664"/>
    <w:rsid w:val="00B522CC"/>
    <w:rsid w:val="00B54E8B"/>
    <w:rsid w:val="00B56C6C"/>
    <w:rsid w:val="00B57D2F"/>
    <w:rsid w:val="00B6085F"/>
    <w:rsid w:val="00B63356"/>
    <w:rsid w:val="00B63E79"/>
    <w:rsid w:val="00B64039"/>
    <w:rsid w:val="00B66072"/>
    <w:rsid w:val="00B663E8"/>
    <w:rsid w:val="00B66A6D"/>
    <w:rsid w:val="00B67BAB"/>
    <w:rsid w:val="00B8025A"/>
    <w:rsid w:val="00B80766"/>
    <w:rsid w:val="00B814E2"/>
    <w:rsid w:val="00B82FF4"/>
    <w:rsid w:val="00B832C6"/>
    <w:rsid w:val="00B83793"/>
    <w:rsid w:val="00B83F51"/>
    <w:rsid w:val="00B91F37"/>
    <w:rsid w:val="00B92977"/>
    <w:rsid w:val="00B94417"/>
    <w:rsid w:val="00B94B32"/>
    <w:rsid w:val="00B95EAB"/>
    <w:rsid w:val="00B96A44"/>
    <w:rsid w:val="00BA1E75"/>
    <w:rsid w:val="00BA2773"/>
    <w:rsid w:val="00BA2FA5"/>
    <w:rsid w:val="00BA612B"/>
    <w:rsid w:val="00BA6534"/>
    <w:rsid w:val="00BB123A"/>
    <w:rsid w:val="00BB25A6"/>
    <w:rsid w:val="00BB293F"/>
    <w:rsid w:val="00BB4420"/>
    <w:rsid w:val="00BB5BBD"/>
    <w:rsid w:val="00BC1527"/>
    <w:rsid w:val="00BC1994"/>
    <w:rsid w:val="00BC2048"/>
    <w:rsid w:val="00BC20B6"/>
    <w:rsid w:val="00BC2B63"/>
    <w:rsid w:val="00BC55D9"/>
    <w:rsid w:val="00BC5A93"/>
    <w:rsid w:val="00BC5E69"/>
    <w:rsid w:val="00BD0B1D"/>
    <w:rsid w:val="00BD0C19"/>
    <w:rsid w:val="00BD3F6A"/>
    <w:rsid w:val="00BE055B"/>
    <w:rsid w:val="00BE20BF"/>
    <w:rsid w:val="00BE304C"/>
    <w:rsid w:val="00BE3A67"/>
    <w:rsid w:val="00BE4657"/>
    <w:rsid w:val="00BE54BD"/>
    <w:rsid w:val="00BF24E5"/>
    <w:rsid w:val="00BF2BA1"/>
    <w:rsid w:val="00BF5768"/>
    <w:rsid w:val="00BF5D3C"/>
    <w:rsid w:val="00BF5FB4"/>
    <w:rsid w:val="00BF766B"/>
    <w:rsid w:val="00C03158"/>
    <w:rsid w:val="00C061DC"/>
    <w:rsid w:val="00C0665B"/>
    <w:rsid w:val="00C07DCC"/>
    <w:rsid w:val="00C116AD"/>
    <w:rsid w:val="00C121FB"/>
    <w:rsid w:val="00C1318B"/>
    <w:rsid w:val="00C1339E"/>
    <w:rsid w:val="00C1623B"/>
    <w:rsid w:val="00C20367"/>
    <w:rsid w:val="00C25685"/>
    <w:rsid w:val="00C27EF1"/>
    <w:rsid w:val="00C30853"/>
    <w:rsid w:val="00C32C81"/>
    <w:rsid w:val="00C36330"/>
    <w:rsid w:val="00C366B0"/>
    <w:rsid w:val="00C44DE4"/>
    <w:rsid w:val="00C4786E"/>
    <w:rsid w:val="00C478B7"/>
    <w:rsid w:val="00C5056A"/>
    <w:rsid w:val="00C60948"/>
    <w:rsid w:val="00C6408F"/>
    <w:rsid w:val="00C64A3A"/>
    <w:rsid w:val="00C65B50"/>
    <w:rsid w:val="00C71FEE"/>
    <w:rsid w:val="00C723C4"/>
    <w:rsid w:val="00C72E4B"/>
    <w:rsid w:val="00C734A0"/>
    <w:rsid w:val="00C76530"/>
    <w:rsid w:val="00C77EF3"/>
    <w:rsid w:val="00C82F88"/>
    <w:rsid w:val="00C83764"/>
    <w:rsid w:val="00C94731"/>
    <w:rsid w:val="00C94852"/>
    <w:rsid w:val="00C94BBA"/>
    <w:rsid w:val="00C94E1E"/>
    <w:rsid w:val="00C955ED"/>
    <w:rsid w:val="00CA0E36"/>
    <w:rsid w:val="00CA3531"/>
    <w:rsid w:val="00CA58ED"/>
    <w:rsid w:val="00CA5A37"/>
    <w:rsid w:val="00CB51C9"/>
    <w:rsid w:val="00CB56BC"/>
    <w:rsid w:val="00CB741E"/>
    <w:rsid w:val="00CC37CB"/>
    <w:rsid w:val="00CC4C20"/>
    <w:rsid w:val="00CC706D"/>
    <w:rsid w:val="00CC7F61"/>
    <w:rsid w:val="00CD2EF6"/>
    <w:rsid w:val="00CD31CB"/>
    <w:rsid w:val="00CD37D3"/>
    <w:rsid w:val="00CD5B05"/>
    <w:rsid w:val="00CE0F59"/>
    <w:rsid w:val="00CE3877"/>
    <w:rsid w:val="00CF0E0A"/>
    <w:rsid w:val="00CF0F9E"/>
    <w:rsid w:val="00CF1836"/>
    <w:rsid w:val="00CF1E39"/>
    <w:rsid w:val="00CF3313"/>
    <w:rsid w:val="00D007DA"/>
    <w:rsid w:val="00D00AFE"/>
    <w:rsid w:val="00D01270"/>
    <w:rsid w:val="00D01455"/>
    <w:rsid w:val="00D05243"/>
    <w:rsid w:val="00D0685A"/>
    <w:rsid w:val="00D07860"/>
    <w:rsid w:val="00D10CAA"/>
    <w:rsid w:val="00D13281"/>
    <w:rsid w:val="00D2022E"/>
    <w:rsid w:val="00D22AB9"/>
    <w:rsid w:val="00D2605A"/>
    <w:rsid w:val="00D3125A"/>
    <w:rsid w:val="00D32D64"/>
    <w:rsid w:val="00D35E91"/>
    <w:rsid w:val="00D504BA"/>
    <w:rsid w:val="00D521FB"/>
    <w:rsid w:val="00D52AC1"/>
    <w:rsid w:val="00D5431F"/>
    <w:rsid w:val="00D57B72"/>
    <w:rsid w:val="00D6085E"/>
    <w:rsid w:val="00D60C92"/>
    <w:rsid w:val="00D6243F"/>
    <w:rsid w:val="00D65BBC"/>
    <w:rsid w:val="00D702A6"/>
    <w:rsid w:val="00D71533"/>
    <w:rsid w:val="00D75572"/>
    <w:rsid w:val="00D7759D"/>
    <w:rsid w:val="00D80876"/>
    <w:rsid w:val="00D80C08"/>
    <w:rsid w:val="00D83095"/>
    <w:rsid w:val="00D83B47"/>
    <w:rsid w:val="00D83F16"/>
    <w:rsid w:val="00D859B8"/>
    <w:rsid w:val="00D85E79"/>
    <w:rsid w:val="00D86939"/>
    <w:rsid w:val="00D870DF"/>
    <w:rsid w:val="00D8754E"/>
    <w:rsid w:val="00D87C92"/>
    <w:rsid w:val="00D90637"/>
    <w:rsid w:val="00D90C80"/>
    <w:rsid w:val="00D9308D"/>
    <w:rsid w:val="00D94F5C"/>
    <w:rsid w:val="00DA24DB"/>
    <w:rsid w:val="00DA3405"/>
    <w:rsid w:val="00DA53EF"/>
    <w:rsid w:val="00DA707F"/>
    <w:rsid w:val="00DA7E5B"/>
    <w:rsid w:val="00DB3227"/>
    <w:rsid w:val="00DB793B"/>
    <w:rsid w:val="00DC1250"/>
    <w:rsid w:val="00DC2E22"/>
    <w:rsid w:val="00DC406A"/>
    <w:rsid w:val="00DD1DAB"/>
    <w:rsid w:val="00DD3A35"/>
    <w:rsid w:val="00DD4A63"/>
    <w:rsid w:val="00DE359F"/>
    <w:rsid w:val="00DE478F"/>
    <w:rsid w:val="00DE4E77"/>
    <w:rsid w:val="00DE4E90"/>
    <w:rsid w:val="00DE56DF"/>
    <w:rsid w:val="00DE6C51"/>
    <w:rsid w:val="00DE7F49"/>
    <w:rsid w:val="00DF183D"/>
    <w:rsid w:val="00DF1989"/>
    <w:rsid w:val="00DF3756"/>
    <w:rsid w:val="00DF3CFA"/>
    <w:rsid w:val="00DF43F4"/>
    <w:rsid w:val="00DF741E"/>
    <w:rsid w:val="00DF743C"/>
    <w:rsid w:val="00E05215"/>
    <w:rsid w:val="00E0738A"/>
    <w:rsid w:val="00E10F5E"/>
    <w:rsid w:val="00E155A5"/>
    <w:rsid w:val="00E16FD7"/>
    <w:rsid w:val="00E23848"/>
    <w:rsid w:val="00E2458A"/>
    <w:rsid w:val="00E258ED"/>
    <w:rsid w:val="00E25A2B"/>
    <w:rsid w:val="00E26B52"/>
    <w:rsid w:val="00E30A15"/>
    <w:rsid w:val="00E32A1E"/>
    <w:rsid w:val="00E342D6"/>
    <w:rsid w:val="00E3552C"/>
    <w:rsid w:val="00E35AB0"/>
    <w:rsid w:val="00E35B0E"/>
    <w:rsid w:val="00E366E7"/>
    <w:rsid w:val="00E36A94"/>
    <w:rsid w:val="00E41A80"/>
    <w:rsid w:val="00E44AB6"/>
    <w:rsid w:val="00E45DFD"/>
    <w:rsid w:val="00E53CAB"/>
    <w:rsid w:val="00E551AC"/>
    <w:rsid w:val="00E55A60"/>
    <w:rsid w:val="00E569FD"/>
    <w:rsid w:val="00E57DC5"/>
    <w:rsid w:val="00E63256"/>
    <w:rsid w:val="00E6497C"/>
    <w:rsid w:val="00E71FD9"/>
    <w:rsid w:val="00E75202"/>
    <w:rsid w:val="00E80D04"/>
    <w:rsid w:val="00E8313D"/>
    <w:rsid w:val="00E84A27"/>
    <w:rsid w:val="00E859F9"/>
    <w:rsid w:val="00E87039"/>
    <w:rsid w:val="00E928DB"/>
    <w:rsid w:val="00E95657"/>
    <w:rsid w:val="00E966FA"/>
    <w:rsid w:val="00E977CA"/>
    <w:rsid w:val="00EA1911"/>
    <w:rsid w:val="00EA2136"/>
    <w:rsid w:val="00EA3752"/>
    <w:rsid w:val="00EA3980"/>
    <w:rsid w:val="00EA432C"/>
    <w:rsid w:val="00EA4AF8"/>
    <w:rsid w:val="00EB1817"/>
    <w:rsid w:val="00EB197A"/>
    <w:rsid w:val="00EB2E9D"/>
    <w:rsid w:val="00EB3F01"/>
    <w:rsid w:val="00EB447A"/>
    <w:rsid w:val="00EB4B29"/>
    <w:rsid w:val="00EB62E6"/>
    <w:rsid w:val="00EB6AEE"/>
    <w:rsid w:val="00EC2723"/>
    <w:rsid w:val="00EC2879"/>
    <w:rsid w:val="00EC2FF2"/>
    <w:rsid w:val="00ED0846"/>
    <w:rsid w:val="00ED090D"/>
    <w:rsid w:val="00ED1E6D"/>
    <w:rsid w:val="00ED2B89"/>
    <w:rsid w:val="00ED4635"/>
    <w:rsid w:val="00ED64A7"/>
    <w:rsid w:val="00EE6009"/>
    <w:rsid w:val="00EF09C1"/>
    <w:rsid w:val="00EF2BD1"/>
    <w:rsid w:val="00EF31F5"/>
    <w:rsid w:val="00EF4BE9"/>
    <w:rsid w:val="00EF4BF7"/>
    <w:rsid w:val="00F00C3F"/>
    <w:rsid w:val="00F01BDD"/>
    <w:rsid w:val="00F0272E"/>
    <w:rsid w:val="00F0290F"/>
    <w:rsid w:val="00F02ED2"/>
    <w:rsid w:val="00F05084"/>
    <w:rsid w:val="00F05EAC"/>
    <w:rsid w:val="00F0636B"/>
    <w:rsid w:val="00F10295"/>
    <w:rsid w:val="00F1114F"/>
    <w:rsid w:val="00F122DE"/>
    <w:rsid w:val="00F12AC6"/>
    <w:rsid w:val="00F13692"/>
    <w:rsid w:val="00F16CFB"/>
    <w:rsid w:val="00F22295"/>
    <w:rsid w:val="00F25FCD"/>
    <w:rsid w:val="00F30FB7"/>
    <w:rsid w:val="00F35F24"/>
    <w:rsid w:val="00F40F4F"/>
    <w:rsid w:val="00F43153"/>
    <w:rsid w:val="00F431C8"/>
    <w:rsid w:val="00F43DE6"/>
    <w:rsid w:val="00F43FC6"/>
    <w:rsid w:val="00F46E50"/>
    <w:rsid w:val="00F47671"/>
    <w:rsid w:val="00F47E6B"/>
    <w:rsid w:val="00F50A77"/>
    <w:rsid w:val="00F51FED"/>
    <w:rsid w:val="00F53A94"/>
    <w:rsid w:val="00F57473"/>
    <w:rsid w:val="00F6622F"/>
    <w:rsid w:val="00F705D6"/>
    <w:rsid w:val="00F71E38"/>
    <w:rsid w:val="00F72FF9"/>
    <w:rsid w:val="00F7399D"/>
    <w:rsid w:val="00F758BE"/>
    <w:rsid w:val="00F81CFB"/>
    <w:rsid w:val="00F83F94"/>
    <w:rsid w:val="00F85DB4"/>
    <w:rsid w:val="00F85E78"/>
    <w:rsid w:val="00F8784E"/>
    <w:rsid w:val="00FA052E"/>
    <w:rsid w:val="00FA1393"/>
    <w:rsid w:val="00FA4982"/>
    <w:rsid w:val="00FB418E"/>
    <w:rsid w:val="00FB7397"/>
    <w:rsid w:val="00FC02B3"/>
    <w:rsid w:val="00FC0B83"/>
    <w:rsid w:val="00FC0E1A"/>
    <w:rsid w:val="00FC18AA"/>
    <w:rsid w:val="00FC217F"/>
    <w:rsid w:val="00FC3538"/>
    <w:rsid w:val="00FC363E"/>
    <w:rsid w:val="00FC3762"/>
    <w:rsid w:val="00FC3FF7"/>
    <w:rsid w:val="00FC59D2"/>
    <w:rsid w:val="00FD484D"/>
    <w:rsid w:val="00FD4D82"/>
    <w:rsid w:val="00FD6EB7"/>
    <w:rsid w:val="00FD7497"/>
    <w:rsid w:val="00FE2298"/>
    <w:rsid w:val="00FF23B6"/>
    <w:rsid w:val="00FF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36FE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nhideWhenUsed/>
    <w:rsid w:val="0015026F"/>
    <w:pPr>
      <w:tabs>
        <w:tab w:val="center" w:pos="4680"/>
        <w:tab w:val="right" w:pos="9360"/>
      </w:tabs>
    </w:pPr>
  </w:style>
  <w:style w:type="character" w:customStyle="1" w:styleId="FooterChar">
    <w:name w:val="Footer Char"/>
    <w:basedOn w:val="DefaultParagraphFont"/>
    <w:link w:val="Footer"/>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paragraph" w:styleId="BodyTextIndent">
    <w:name w:val="Body Text Indent"/>
    <w:basedOn w:val="Normal"/>
    <w:link w:val="BodyTextIndentChar"/>
    <w:uiPriority w:val="99"/>
    <w:semiHidden/>
    <w:unhideWhenUsed/>
    <w:rsid w:val="007C570B"/>
    <w:pPr>
      <w:spacing w:after="120"/>
      <w:ind w:left="360"/>
    </w:pPr>
  </w:style>
  <w:style w:type="character" w:customStyle="1" w:styleId="BodyTextIndentChar">
    <w:name w:val="Body Text Indent Char"/>
    <w:basedOn w:val="DefaultParagraphFont"/>
    <w:link w:val="BodyTextIndent"/>
    <w:uiPriority w:val="99"/>
    <w:semiHidden/>
    <w:rsid w:val="007C570B"/>
  </w:style>
  <w:style w:type="paragraph" w:styleId="BalloonText">
    <w:name w:val="Balloon Text"/>
    <w:basedOn w:val="Normal"/>
    <w:link w:val="BalloonTextChar"/>
    <w:uiPriority w:val="99"/>
    <w:semiHidden/>
    <w:unhideWhenUsed/>
    <w:rsid w:val="00CB56BC"/>
    <w:rPr>
      <w:rFonts w:ascii="Tahoma" w:hAnsi="Tahoma" w:cs="Tahoma"/>
      <w:sz w:val="16"/>
      <w:szCs w:val="16"/>
    </w:rPr>
  </w:style>
  <w:style w:type="character" w:customStyle="1" w:styleId="BalloonTextChar">
    <w:name w:val="Balloon Text Char"/>
    <w:basedOn w:val="DefaultParagraphFont"/>
    <w:link w:val="BalloonText"/>
    <w:uiPriority w:val="99"/>
    <w:semiHidden/>
    <w:rsid w:val="00CB56BC"/>
    <w:rPr>
      <w:rFonts w:ascii="Tahoma" w:hAnsi="Tahoma" w:cs="Tahoma"/>
      <w:sz w:val="16"/>
      <w:szCs w:val="16"/>
    </w:rPr>
  </w:style>
  <w:style w:type="character" w:styleId="CommentReference">
    <w:name w:val="annotation reference"/>
    <w:basedOn w:val="DefaultParagraphFont"/>
    <w:uiPriority w:val="99"/>
    <w:semiHidden/>
    <w:unhideWhenUsed/>
    <w:rsid w:val="00CB51C9"/>
    <w:rPr>
      <w:sz w:val="16"/>
      <w:szCs w:val="16"/>
    </w:rPr>
  </w:style>
  <w:style w:type="paragraph" w:styleId="CommentText">
    <w:name w:val="annotation text"/>
    <w:basedOn w:val="Normal"/>
    <w:link w:val="CommentTextChar"/>
    <w:uiPriority w:val="99"/>
    <w:unhideWhenUsed/>
    <w:rsid w:val="00CB51C9"/>
    <w:rPr>
      <w:sz w:val="20"/>
      <w:szCs w:val="20"/>
    </w:rPr>
  </w:style>
  <w:style w:type="character" w:customStyle="1" w:styleId="CommentTextChar">
    <w:name w:val="Comment Text Char"/>
    <w:basedOn w:val="DefaultParagraphFont"/>
    <w:link w:val="CommentText"/>
    <w:uiPriority w:val="99"/>
    <w:rsid w:val="00CB51C9"/>
    <w:rPr>
      <w:sz w:val="20"/>
      <w:szCs w:val="20"/>
    </w:rPr>
  </w:style>
  <w:style w:type="paragraph" w:styleId="CommentSubject">
    <w:name w:val="annotation subject"/>
    <w:basedOn w:val="CommentText"/>
    <w:next w:val="CommentText"/>
    <w:link w:val="CommentSubjectChar"/>
    <w:uiPriority w:val="99"/>
    <w:semiHidden/>
    <w:unhideWhenUsed/>
    <w:rsid w:val="00CB51C9"/>
    <w:rPr>
      <w:b/>
      <w:bCs/>
    </w:rPr>
  </w:style>
  <w:style w:type="character" w:customStyle="1" w:styleId="CommentSubjectChar">
    <w:name w:val="Comment Subject Char"/>
    <w:basedOn w:val="CommentTextChar"/>
    <w:link w:val="CommentSubject"/>
    <w:uiPriority w:val="99"/>
    <w:semiHidden/>
    <w:rsid w:val="00CB51C9"/>
    <w:rPr>
      <w:b/>
      <w:bCs/>
      <w:sz w:val="20"/>
      <w:szCs w:val="20"/>
    </w:rPr>
  </w:style>
  <w:style w:type="paragraph" w:styleId="FootnoteText">
    <w:name w:val="footnote text"/>
    <w:basedOn w:val="Normal"/>
    <w:link w:val="FootnoteTextChar"/>
    <w:uiPriority w:val="99"/>
    <w:unhideWhenUsed/>
    <w:rsid w:val="00285DFF"/>
    <w:rPr>
      <w:sz w:val="20"/>
      <w:szCs w:val="20"/>
    </w:rPr>
  </w:style>
  <w:style w:type="character" w:customStyle="1" w:styleId="FootnoteTextChar">
    <w:name w:val="Footnote Text Char"/>
    <w:basedOn w:val="DefaultParagraphFont"/>
    <w:link w:val="FootnoteText"/>
    <w:uiPriority w:val="99"/>
    <w:rsid w:val="00285DFF"/>
    <w:rPr>
      <w:sz w:val="20"/>
      <w:szCs w:val="20"/>
    </w:rPr>
  </w:style>
  <w:style w:type="character" w:styleId="FootnoteReference">
    <w:name w:val="footnote reference"/>
    <w:basedOn w:val="DefaultParagraphFont"/>
    <w:unhideWhenUsed/>
    <w:qFormat/>
    <w:rsid w:val="00285DFF"/>
    <w:rPr>
      <w:vertAlign w:val="superscript"/>
    </w:rPr>
  </w:style>
  <w:style w:type="character" w:styleId="Hyperlink">
    <w:name w:val="Hyperlink"/>
    <w:basedOn w:val="DefaultParagraphFont"/>
    <w:uiPriority w:val="99"/>
    <w:unhideWhenUsed/>
    <w:rsid w:val="00285DFF"/>
    <w:rPr>
      <w:color w:val="0000FF" w:themeColor="hyperlink"/>
      <w:u w:val="single"/>
    </w:rPr>
  </w:style>
  <w:style w:type="paragraph" w:styleId="Revision">
    <w:name w:val="Revision"/>
    <w:hidden/>
    <w:uiPriority w:val="99"/>
    <w:semiHidden/>
    <w:rsid w:val="00AC37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nhideWhenUsed/>
    <w:rsid w:val="0015026F"/>
    <w:pPr>
      <w:tabs>
        <w:tab w:val="center" w:pos="4680"/>
        <w:tab w:val="right" w:pos="9360"/>
      </w:tabs>
    </w:pPr>
  </w:style>
  <w:style w:type="character" w:customStyle="1" w:styleId="FooterChar">
    <w:name w:val="Footer Char"/>
    <w:basedOn w:val="DefaultParagraphFont"/>
    <w:link w:val="Footer"/>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paragraph" w:styleId="BodyTextIndent">
    <w:name w:val="Body Text Indent"/>
    <w:basedOn w:val="Normal"/>
    <w:link w:val="BodyTextIndentChar"/>
    <w:uiPriority w:val="99"/>
    <w:semiHidden/>
    <w:unhideWhenUsed/>
    <w:rsid w:val="007C570B"/>
    <w:pPr>
      <w:spacing w:after="120"/>
      <w:ind w:left="360"/>
    </w:pPr>
  </w:style>
  <w:style w:type="character" w:customStyle="1" w:styleId="BodyTextIndentChar">
    <w:name w:val="Body Text Indent Char"/>
    <w:basedOn w:val="DefaultParagraphFont"/>
    <w:link w:val="BodyTextIndent"/>
    <w:uiPriority w:val="99"/>
    <w:semiHidden/>
    <w:rsid w:val="007C570B"/>
  </w:style>
  <w:style w:type="paragraph" w:styleId="BalloonText">
    <w:name w:val="Balloon Text"/>
    <w:basedOn w:val="Normal"/>
    <w:link w:val="BalloonTextChar"/>
    <w:uiPriority w:val="99"/>
    <w:semiHidden/>
    <w:unhideWhenUsed/>
    <w:rsid w:val="00CB56BC"/>
    <w:rPr>
      <w:rFonts w:ascii="Tahoma" w:hAnsi="Tahoma" w:cs="Tahoma"/>
      <w:sz w:val="16"/>
      <w:szCs w:val="16"/>
    </w:rPr>
  </w:style>
  <w:style w:type="character" w:customStyle="1" w:styleId="BalloonTextChar">
    <w:name w:val="Balloon Text Char"/>
    <w:basedOn w:val="DefaultParagraphFont"/>
    <w:link w:val="BalloonText"/>
    <w:uiPriority w:val="99"/>
    <w:semiHidden/>
    <w:rsid w:val="00CB56BC"/>
    <w:rPr>
      <w:rFonts w:ascii="Tahoma" w:hAnsi="Tahoma" w:cs="Tahoma"/>
      <w:sz w:val="16"/>
      <w:szCs w:val="16"/>
    </w:rPr>
  </w:style>
  <w:style w:type="character" w:styleId="CommentReference">
    <w:name w:val="annotation reference"/>
    <w:basedOn w:val="DefaultParagraphFont"/>
    <w:uiPriority w:val="99"/>
    <w:semiHidden/>
    <w:unhideWhenUsed/>
    <w:rsid w:val="00CB51C9"/>
    <w:rPr>
      <w:sz w:val="16"/>
      <w:szCs w:val="16"/>
    </w:rPr>
  </w:style>
  <w:style w:type="paragraph" w:styleId="CommentText">
    <w:name w:val="annotation text"/>
    <w:basedOn w:val="Normal"/>
    <w:link w:val="CommentTextChar"/>
    <w:uiPriority w:val="99"/>
    <w:unhideWhenUsed/>
    <w:rsid w:val="00CB51C9"/>
    <w:rPr>
      <w:sz w:val="20"/>
      <w:szCs w:val="20"/>
    </w:rPr>
  </w:style>
  <w:style w:type="character" w:customStyle="1" w:styleId="CommentTextChar">
    <w:name w:val="Comment Text Char"/>
    <w:basedOn w:val="DefaultParagraphFont"/>
    <w:link w:val="CommentText"/>
    <w:uiPriority w:val="99"/>
    <w:rsid w:val="00CB51C9"/>
    <w:rPr>
      <w:sz w:val="20"/>
      <w:szCs w:val="20"/>
    </w:rPr>
  </w:style>
  <w:style w:type="paragraph" w:styleId="CommentSubject">
    <w:name w:val="annotation subject"/>
    <w:basedOn w:val="CommentText"/>
    <w:next w:val="CommentText"/>
    <w:link w:val="CommentSubjectChar"/>
    <w:uiPriority w:val="99"/>
    <w:semiHidden/>
    <w:unhideWhenUsed/>
    <w:rsid w:val="00CB51C9"/>
    <w:rPr>
      <w:b/>
      <w:bCs/>
    </w:rPr>
  </w:style>
  <w:style w:type="character" w:customStyle="1" w:styleId="CommentSubjectChar">
    <w:name w:val="Comment Subject Char"/>
    <w:basedOn w:val="CommentTextChar"/>
    <w:link w:val="CommentSubject"/>
    <w:uiPriority w:val="99"/>
    <w:semiHidden/>
    <w:rsid w:val="00CB51C9"/>
    <w:rPr>
      <w:b/>
      <w:bCs/>
      <w:sz w:val="20"/>
      <w:szCs w:val="20"/>
    </w:rPr>
  </w:style>
  <w:style w:type="paragraph" w:styleId="FootnoteText">
    <w:name w:val="footnote text"/>
    <w:basedOn w:val="Normal"/>
    <w:link w:val="FootnoteTextChar"/>
    <w:uiPriority w:val="99"/>
    <w:unhideWhenUsed/>
    <w:rsid w:val="00285DFF"/>
    <w:rPr>
      <w:sz w:val="20"/>
      <w:szCs w:val="20"/>
    </w:rPr>
  </w:style>
  <w:style w:type="character" w:customStyle="1" w:styleId="FootnoteTextChar">
    <w:name w:val="Footnote Text Char"/>
    <w:basedOn w:val="DefaultParagraphFont"/>
    <w:link w:val="FootnoteText"/>
    <w:uiPriority w:val="99"/>
    <w:rsid w:val="00285DFF"/>
    <w:rPr>
      <w:sz w:val="20"/>
      <w:szCs w:val="20"/>
    </w:rPr>
  </w:style>
  <w:style w:type="character" w:styleId="FootnoteReference">
    <w:name w:val="footnote reference"/>
    <w:basedOn w:val="DefaultParagraphFont"/>
    <w:unhideWhenUsed/>
    <w:qFormat/>
    <w:rsid w:val="00285DFF"/>
    <w:rPr>
      <w:vertAlign w:val="superscript"/>
    </w:rPr>
  </w:style>
  <w:style w:type="character" w:styleId="Hyperlink">
    <w:name w:val="Hyperlink"/>
    <w:basedOn w:val="DefaultParagraphFont"/>
    <w:uiPriority w:val="99"/>
    <w:unhideWhenUsed/>
    <w:rsid w:val="00285DFF"/>
    <w:rPr>
      <w:color w:val="0000FF" w:themeColor="hyperlink"/>
      <w:u w:val="single"/>
    </w:rPr>
  </w:style>
  <w:style w:type="paragraph" w:styleId="Revision">
    <w:name w:val="Revision"/>
    <w:hidden/>
    <w:uiPriority w:val="99"/>
    <w:semiHidden/>
    <w:rsid w:val="00AC37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06592">
      <w:bodyDiv w:val="1"/>
      <w:marLeft w:val="0"/>
      <w:marRight w:val="0"/>
      <w:marTop w:val="0"/>
      <w:marBottom w:val="0"/>
      <w:divBdr>
        <w:top w:val="none" w:sz="0" w:space="0" w:color="auto"/>
        <w:left w:val="none" w:sz="0" w:space="0" w:color="auto"/>
        <w:bottom w:val="none" w:sz="0" w:space="0" w:color="auto"/>
        <w:right w:val="none" w:sz="0" w:space="0" w:color="auto"/>
      </w:divBdr>
    </w:div>
    <w:div w:id="1313824627">
      <w:bodyDiv w:val="1"/>
      <w:marLeft w:val="0"/>
      <w:marRight w:val="0"/>
      <w:marTop w:val="0"/>
      <w:marBottom w:val="0"/>
      <w:divBdr>
        <w:top w:val="none" w:sz="0" w:space="0" w:color="auto"/>
        <w:left w:val="none" w:sz="0" w:space="0" w:color="auto"/>
        <w:bottom w:val="none" w:sz="0" w:space="0" w:color="auto"/>
        <w:right w:val="none" w:sz="0" w:space="0" w:color="auto"/>
      </w:divBdr>
    </w:div>
    <w:div w:id="197474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54560-B374-47E0-971D-E654D8880A03}"/>
</file>

<file path=customXml/itemProps2.xml><?xml version="1.0" encoding="utf-8"?>
<ds:datastoreItem xmlns:ds="http://schemas.openxmlformats.org/officeDocument/2006/customXml" ds:itemID="{D9EF053F-B852-44E3-9F72-D5017A5E3B89}"/>
</file>

<file path=customXml/itemProps3.xml><?xml version="1.0" encoding="utf-8"?>
<ds:datastoreItem xmlns:ds="http://schemas.openxmlformats.org/officeDocument/2006/customXml" ds:itemID="{83733172-AEF4-45D6-93BD-A2A34DA57679}"/>
</file>

<file path=customXml/itemProps4.xml><?xml version="1.0" encoding="utf-8"?>
<ds:datastoreItem xmlns:ds="http://schemas.openxmlformats.org/officeDocument/2006/customXml" ds:itemID="{BDDE2622-7BA5-40D3-84CA-FCD43624E235}"/>
</file>

<file path=customXml/itemProps5.xml><?xml version="1.0" encoding="utf-8"?>
<ds:datastoreItem xmlns:ds="http://schemas.openxmlformats.org/officeDocument/2006/customXml" ds:itemID="{F6C8CA8B-7CBB-442D-9CFD-B93150A72F34}"/>
</file>

<file path=customXml/itemProps6.xml><?xml version="1.0" encoding="utf-8"?>
<ds:datastoreItem xmlns:ds="http://schemas.openxmlformats.org/officeDocument/2006/customXml" ds:itemID="{57AE79BF-D7B0-4934-BB8C-1A6C62B53588}"/>
</file>

<file path=customXml/itemProps7.xml><?xml version="1.0" encoding="utf-8"?>
<ds:datastoreItem xmlns:ds="http://schemas.openxmlformats.org/officeDocument/2006/customXml" ds:itemID="{69429B82-4BFF-4DCC-AE0C-3535855F4FD2}"/>
</file>

<file path=docProps/app.xml><?xml version="1.0" encoding="utf-8"?>
<Properties xmlns="http://schemas.openxmlformats.org/officeDocument/2006/extended-properties" xmlns:vt="http://schemas.openxmlformats.org/officeDocument/2006/docPropsVTypes">
  <Template>Normal.dotm</Template>
  <TotalTime>11</TotalTime>
  <Pages>41</Pages>
  <Words>7442</Words>
  <Characters>42426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Gross</dc:creator>
  <cp:lastModifiedBy>Krista Gross</cp:lastModifiedBy>
  <cp:revision>9</cp:revision>
  <cp:lastPrinted>2012-09-19T18:35:00Z</cp:lastPrinted>
  <dcterms:created xsi:type="dcterms:W3CDTF">2012-09-19T18:24:00Z</dcterms:created>
  <dcterms:modified xsi:type="dcterms:W3CDTF">2012-09-19T18:35:00Z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