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commentsExtended.xml" ContentType="application/vnd.openxmlformats-officedocument.wordprocessingml.commentsExtended+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FA1CD" w14:textId="77777777" w:rsidR="00C0665B" w:rsidRPr="00B814E2" w:rsidRDefault="00B814E2" w:rsidP="004F7B3B">
      <w:pPr>
        <w:ind w:left="5400"/>
        <w:rPr>
          <w:b/>
        </w:rPr>
      </w:pPr>
      <w:r w:rsidRPr="00B814E2">
        <w:rPr>
          <w:b/>
        </w:rPr>
        <w:t>Exhibit No. ___T (</w:t>
      </w:r>
      <w:r w:rsidR="00C65CFC">
        <w:rPr>
          <w:b/>
        </w:rPr>
        <w:t>B</w:t>
      </w:r>
      <w:r w:rsidR="007415C6">
        <w:rPr>
          <w:b/>
        </w:rPr>
        <w:t>T</w:t>
      </w:r>
      <w:r w:rsidR="00C65CFC">
        <w:rPr>
          <w:b/>
        </w:rPr>
        <w:t>C</w:t>
      </w:r>
      <w:r w:rsidRPr="00B814E2">
        <w:rPr>
          <w:b/>
        </w:rPr>
        <w:t>-</w:t>
      </w:r>
      <w:r w:rsidR="00C65CFC">
        <w:rPr>
          <w:b/>
        </w:rPr>
        <w:t>1</w:t>
      </w:r>
      <w:r w:rsidRPr="00B814E2">
        <w:rPr>
          <w:b/>
        </w:rPr>
        <w:t>T)</w:t>
      </w:r>
    </w:p>
    <w:p w14:paraId="695FA1CE" w14:textId="77777777" w:rsidR="00B814E2" w:rsidRPr="00B814E2" w:rsidRDefault="004F7B3B" w:rsidP="004F7B3B">
      <w:pPr>
        <w:ind w:left="5400"/>
        <w:rPr>
          <w:b/>
        </w:rPr>
      </w:pPr>
      <w:r>
        <w:rPr>
          <w:b/>
        </w:rPr>
        <w:t>Dockets UE-140188/UG-140189</w:t>
      </w:r>
    </w:p>
    <w:p w14:paraId="695FA1CF" w14:textId="77777777" w:rsidR="00B814E2" w:rsidRPr="00B814E2" w:rsidRDefault="0046251D" w:rsidP="004F7B3B">
      <w:pPr>
        <w:ind w:left="5400"/>
        <w:rPr>
          <w:b/>
        </w:rPr>
      </w:pPr>
      <w:r>
        <w:rPr>
          <w:b/>
        </w:rPr>
        <w:t xml:space="preserve">Witness:  </w:t>
      </w:r>
      <w:r w:rsidR="00401AF2">
        <w:rPr>
          <w:b/>
        </w:rPr>
        <w:t>Bradley Cebulko</w:t>
      </w:r>
      <w:r w:rsidR="00B814E2" w:rsidRPr="00B814E2">
        <w:rPr>
          <w:b/>
        </w:rPr>
        <w:t xml:space="preserve"> </w:t>
      </w:r>
    </w:p>
    <w:p w14:paraId="695FA1D0" w14:textId="77777777" w:rsidR="00B814E2" w:rsidRPr="00B814E2" w:rsidRDefault="00B814E2" w:rsidP="00B814E2">
      <w:pPr>
        <w:rPr>
          <w:b/>
        </w:rPr>
      </w:pPr>
    </w:p>
    <w:p w14:paraId="695FA1D1" w14:textId="77777777" w:rsidR="00B814E2" w:rsidRPr="00B814E2" w:rsidRDefault="00B814E2" w:rsidP="00B814E2">
      <w:pPr>
        <w:rPr>
          <w:b/>
        </w:rPr>
      </w:pPr>
    </w:p>
    <w:p w14:paraId="695FA1D2" w14:textId="77777777" w:rsidR="00B814E2" w:rsidRPr="00B814E2" w:rsidRDefault="00B814E2" w:rsidP="00B814E2">
      <w:pPr>
        <w:ind w:left="-360" w:right="-252"/>
        <w:jc w:val="center"/>
        <w:rPr>
          <w:b/>
        </w:rPr>
      </w:pPr>
      <w:r w:rsidRPr="00B814E2">
        <w:rPr>
          <w:b/>
        </w:rPr>
        <w:t>BEFORE THE WASHINGTON UTILITIES AND TRANSPORTATION COMMISSION</w:t>
      </w:r>
    </w:p>
    <w:p w14:paraId="695FA1D3" w14:textId="77777777" w:rsidR="00B814E2" w:rsidRPr="00B814E2" w:rsidRDefault="00B814E2" w:rsidP="00B814E2">
      <w:pPr>
        <w:rPr>
          <w:b/>
        </w:rPr>
      </w:pPr>
    </w:p>
    <w:p w14:paraId="695FA1D4" w14:textId="77777777" w:rsidR="004F7B3B" w:rsidRDefault="004F7B3B" w:rsidP="004F7B3B">
      <w:pPr>
        <w:tabs>
          <w:tab w:val="center" w:pos="4680"/>
        </w:tabs>
        <w:ind w:right="-252" w:hanging="360"/>
        <w:rPr>
          <w:b/>
          <w:bCs/>
        </w:rPr>
      </w:pPr>
    </w:p>
    <w:p w14:paraId="695FA1D5" w14:textId="77777777" w:rsidR="004F7B3B" w:rsidRPr="00622D28" w:rsidRDefault="004F7B3B" w:rsidP="004F7B3B">
      <w:pPr>
        <w:tabs>
          <w:tab w:val="center" w:pos="4680"/>
        </w:tabs>
        <w:jc w:val="center"/>
        <w:rPr>
          <w:b/>
        </w:rPr>
      </w:pPr>
    </w:p>
    <w:tbl>
      <w:tblPr>
        <w:tblW w:w="9180" w:type="dxa"/>
        <w:tblLayout w:type="fixed"/>
        <w:tblCellMar>
          <w:left w:w="124" w:type="dxa"/>
          <w:right w:w="124" w:type="dxa"/>
        </w:tblCellMar>
        <w:tblLook w:val="0000" w:firstRow="0" w:lastRow="0" w:firstColumn="0" w:lastColumn="0" w:noHBand="0" w:noVBand="0"/>
      </w:tblPr>
      <w:tblGrid>
        <w:gridCol w:w="4590"/>
        <w:gridCol w:w="4590"/>
      </w:tblGrid>
      <w:tr w:rsidR="004F7B3B" w:rsidRPr="00622D28" w14:paraId="695FA1E4" w14:textId="77777777" w:rsidTr="009F1194">
        <w:tc>
          <w:tcPr>
            <w:tcW w:w="4590" w:type="dxa"/>
            <w:tcBorders>
              <w:top w:val="single" w:sz="6" w:space="0" w:color="FFFFFF"/>
              <w:left w:val="single" w:sz="6" w:space="0" w:color="FFFFFF"/>
              <w:bottom w:val="single" w:sz="7" w:space="0" w:color="000000"/>
              <w:right w:val="single" w:sz="6" w:space="0" w:color="FFFFFF"/>
            </w:tcBorders>
          </w:tcPr>
          <w:p w14:paraId="695FA1D6" w14:textId="77777777" w:rsidR="004F7B3B" w:rsidRPr="00617709" w:rsidRDefault="004F7B3B" w:rsidP="009F1194">
            <w:pPr>
              <w:spacing w:line="264" w:lineRule="auto"/>
              <w:rPr>
                <w:b/>
              </w:rPr>
            </w:pPr>
            <w:r w:rsidRPr="00617709">
              <w:rPr>
                <w:b/>
              </w:rPr>
              <w:t>WASHINGTON UTILITIES AND TRANSPORTATION COMMISSION,</w:t>
            </w:r>
          </w:p>
          <w:p w14:paraId="695FA1D7" w14:textId="77777777" w:rsidR="004F7B3B" w:rsidRPr="00617709" w:rsidRDefault="004F7B3B" w:rsidP="009F1194">
            <w:pPr>
              <w:spacing w:line="264" w:lineRule="auto"/>
              <w:rPr>
                <w:b/>
              </w:rPr>
            </w:pPr>
          </w:p>
          <w:p w14:paraId="695FA1D8" w14:textId="77777777" w:rsidR="004F7B3B" w:rsidRPr="00617709" w:rsidRDefault="004F7B3B" w:rsidP="009F1194">
            <w:pPr>
              <w:tabs>
                <w:tab w:val="left" w:pos="1800"/>
              </w:tabs>
              <w:spacing w:line="264" w:lineRule="auto"/>
              <w:rPr>
                <w:b/>
              </w:rPr>
            </w:pPr>
            <w:r w:rsidRPr="00617709">
              <w:rPr>
                <w:b/>
              </w:rPr>
              <w:tab/>
              <w:t>Complainant,</w:t>
            </w:r>
          </w:p>
          <w:p w14:paraId="695FA1D9" w14:textId="77777777" w:rsidR="004F7B3B" w:rsidRPr="00617709" w:rsidRDefault="004F7B3B" w:rsidP="009F1194">
            <w:pPr>
              <w:spacing w:line="264" w:lineRule="auto"/>
              <w:rPr>
                <w:b/>
              </w:rPr>
            </w:pPr>
          </w:p>
          <w:p w14:paraId="695FA1DA" w14:textId="6667B80B" w:rsidR="004F7B3B" w:rsidRPr="00617709" w:rsidRDefault="007F6339" w:rsidP="009F1194">
            <w:pPr>
              <w:spacing w:line="264" w:lineRule="auto"/>
              <w:rPr>
                <w:b/>
              </w:rPr>
            </w:pPr>
            <w:r w:rsidRPr="00617709">
              <w:rPr>
                <w:b/>
              </w:rPr>
              <w:t>V</w:t>
            </w:r>
            <w:r w:rsidR="004F7B3B" w:rsidRPr="00617709">
              <w:rPr>
                <w:b/>
              </w:rPr>
              <w:t>.</w:t>
            </w:r>
          </w:p>
          <w:p w14:paraId="695FA1DB" w14:textId="77777777" w:rsidR="004F7B3B" w:rsidRPr="00617709" w:rsidRDefault="004F7B3B" w:rsidP="009F1194">
            <w:pPr>
              <w:spacing w:line="264" w:lineRule="auto"/>
              <w:jc w:val="center"/>
              <w:rPr>
                <w:b/>
              </w:rPr>
            </w:pPr>
          </w:p>
          <w:p w14:paraId="695FA1DC" w14:textId="77777777" w:rsidR="004F7B3B" w:rsidRPr="00617709" w:rsidRDefault="004F7B3B" w:rsidP="009F1194">
            <w:pPr>
              <w:spacing w:line="264" w:lineRule="auto"/>
              <w:rPr>
                <w:b/>
              </w:rPr>
            </w:pPr>
            <w:r w:rsidRPr="00617709">
              <w:rPr>
                <w:b/>
              </w:rPr>
              <w:t>AVISTA CORPORATION, DBA AVISTA UTILITIES,</w:t>
            </w:r>
          </w:p>
          <w:p w14:paraId="695FA1DD" w14:textId="77777777" w:rsidR="004F7B3B" w:rsidRPr="00617709" w:rsidRDefault="004F7B3B" w:rsidP="009F1194">
            <w:pPr>
              <w:spacing w:line="264" w:lineRule="auto"/>
              <w:jc w:val="center"/>
              <w:rPr>
                <w:b/>
              </w:rPr>
            </w:pPr>
          </w:p>
          <w:p w14:paraId="695FA1DE" w14:textId="77777777" w:rsidR="004F7B3B" w:rsidRPr="00617709" w:rsidRDefault="004F7B3B" w:rsidP="009F1194">
            <w:pPr>
              <w:tabs>
                <w:tab w:val="left" w:pos="1800"/>
              </w:tabs>
              <w:spacing w:line="264" w:lineRule="auto"/>
              <w:rPr>
                <w:b/>
              </w:rPr>
            </w:pPr>
            <w:r w:rsidRPr="00617709">
              <w:rPr>
                <w:b/>
              </w:rPr>
              <w:tab/>
              <w:t>Respondent.</w:t>
            </w:r>
          </w:p>
          <w:p w14:paraId="695FA1DF" w14:textId="77777777" w:rsidR="004F7B3B" w:rsidRPr="00617709" w:rsidRDefault="004F7B3B" w:rsidP="009F1194">
            <w:pPr>
              <w:tabs>
                <w:tab w:val="center" w:pos="4680"/>
              </w:tabs>
              <w:jc w:val="center"/>
              <w:rPr>
                <w:b/>
                <w:bCs/>
              </w:rPr>
            </w:pPr>
          </w:p>
        </w:tc>
        <w:tc>
          <w:tcPr>
            <w:tcW w:w="4590" w:type="dxa"/>
            <w:tcBorders>
              <w:top w:val="single" w:sz="6" w:space="0" w:color="FFFFFF"/>
              <w:left w:val="single" w:sz="7" w:space="0" w:color="000000"/>
              <w:bottom w:val="single" w:sz="6" w:space="0" w:color="FFFFFF"/>
              <w:right w:val="single" w:sz="6" w:space="0" w:color="FFFFFF"/>
            </w:tcBorders>
          </w:tcPr>
          <w:p w14:paraId="695FA1E0" w14:textId="77777777" w:rsidR="004F7B3B" w:rsidRPr="004F7B3B" w:rsidRDefault="004F7B3B" w:rsidP="009F1194">
            <w:pPr>
              <w:spacing w:line="264" w:lineRule="auto"/>
              <w:ind w:left="450"/>
              <w:rPr>
                <w:b/>
              </w:rPr>
            </w:pPr>
            <w:r w:rsidRPr="004F7B3B">
              <w:rPr>
                <w:b/>
              </w:rPr>
              <w:t xml:space="preserve">DOCKETS UE-140188 and </w:t>
            </w:r>
          </w:p>
          <w:p w14:paraId="25D08331" w14:textId="77777777" w:rsidR="004D6E52" w:rsidRDefault="004F7B3B" w:rsidP="009F1194">
            <w:pPr>
              <w:spacing w:line="264" w:lineRule="auto"/>
              <w:ind w:left="450"/>
              <w:rPr>
                <w:b/>
              </w:rPr>
            </w:pPr>
            <w:r w:rsidRPr="004F7B3B">
              <w:rPr>
                <w:b/>
              </w:rPr>
              <w:t xml:space="preserve">UG-140189 </w:t>
            </w:r>
          </w:p>
          <w:p w14:paraId="695FA1E1" w14:textId="4B45AE1D" w:rsidR="004F7B3B" w:rsidRPr="004F7B3B" w:rsidRDefault="004F7B3B" w:rsidP="009F1194">
            <w:pPr>
              <w:spacing w:line="264" w:lineRule="auto"/>
              <w:ind w:left="450"/>
              <w:rPr>
                <w:b/>
              </w:rPr>
            </w:pPr>
            <w:r w:rsidRPr="004F7B3B">
              <w:rPr>
                <w:b/>
                <w:i/>
              </w:rPr>
              <w:t>(Consolidated)</w:t>
            </w:r>
          </w:p>
          <w:p w14:paraId="695FA1E2" w14:textId="77777777" w:rsidR="004F7B3B" w:rsidRPr="00622D28" w:rsidRDefault="004F7B3B" w:rsidP="009F1194">
            <w:pPr>
              <w:tabs>
                <w:tab w:val="center" w:pos="4680"/>
              </w:tabs>
              <w:rPr>
                <w:b/>
              </w:rPr>
            </w:pPr>
          </w:p>
          <w:p w14:paraId="695FA1E3" w14:textId="77777777" w:rsidR="004F7B3B" w:rsidRPr="00622D28" w:rsidRDefault="004F7B3B" w:rsidP="009F1194">
            <w:pPr>
              <w:tabs>
                <w:tab w:val="center" w:pos="4680"/>
              </w:tabs>
              <w:jc w:val="center"/>
              <w:rPr>
                <w:b/>
              </w:rPr>
            </w:pPr>
          </w:p>
        </w:tc>
      </w:tr>
    </w:tbl>
    <w:p w14:paraId="695FA1E5" w14:textId="77777777" w:rsidR="004F7B3B" w:rsidRPr="00622D28" w:rsidRDefault="004F7B3B" w:rsidP="004F7B3B">
      <w:pPr>
        <w:tabs>
          <w:tab w:val="center" w:pos="4680"/>
        </w:tabs>
        <w:jc w:val="center"/>
        <w:rPr>
          <w:b/>
          <w:bCs/>
        </w:rPr>
      </w:pPr>
    </w:p>
    <w:p w14:paraId="695FA1E6" w14:textId="77777777" w:rsidR="00B814E2" w:rsidRDefault="00B814E2" w:rsidP="00B814E2">
      <w:pPr>
        <w:rPr>
          <w:b/>
          <w:bCs/>
        </w:rPr>
      </w:pPr>
    </w:p>
    <w:p w14:paraId="695FA1E7" w14:textId="77777777" w:rsidR="00B814E2" w:rsidRDefault="00B814E2" w:rsidP="00B814E2">
      <w:pPr>
        <w:rPr>
          <w:b/>
          <w:bCs/>
        </w:rPr>
      </w:pPr>
    </w:p>
    <w:p w14:paraId="695FA1E8" w14:textId="77777777" w:rsidR="00B814E2" w:rsidRDefault="00B814E2" w:rsidP="00B814E2">
      <w:pPr>
        <w:tabs>
          <w:tab w:val="center" w:pos="4680"/>
        </w:tabs>
        <w:jc w:val="center"/>
        <w:rPr>
          <w:b/>
          <w:bCs/>
        </w:rPr>
      </w:pPr>
      <w:r>
        <w:rPr>
          <w:b/>
          <w:bCs/>
        </w:rPr>
        <w:t>TESTIMONY OF</w:t>
      </w:r>
    </w:p>
    <w:p w14:paraId="695FA1E9" w14:textId="77777777" w:rsidR="00B814E2" w:rsidRDefault="00B814E2" w:rsidP="00B814E2">
      <w:pPr>
        <w:jc w:val="center"/>
        <w:rPr>
          <w:b/>
          <w:bCs/>
        </w:rPr>
      </w:pPr>
    </w:p>
    <w:p w14:paraId="695FA1EA" w14:textId="77777777" w:rsidR="00B814E2" w:rsidRDefault="006832D3" w:rsidP="00B814E2">
      <w:pPr>
        <w:tabs>
          <w:tab w:val="center" w:pos="4680"/>
        </w:tabs>
        <w:jc w:val="center"/>
        <w:rPr>
          <w:b/>
          <w:bCs/>
        </w:rPr>
      </w:pPr>
      <w:r>
        <w:rPr>
          <w:b/>
          <w:bCs/>
        </w:rPr>
        <w:t>BRADLEY T. CEBULKO</w:t>
      </w:r>
    </w:p>
    <w:p w14:paraId="695FA1EB" w14:textId="77777777" w:rsidR="00B814E2" w:rsidRDefault="00B814E2" w:rsidP="00B814E2">
      <w:pPr>
        <w:tabs>
          <w:tab w:val="center" w:pos="4680"/>
        </w:tabs>
        <w:jc w:val="center"/>
        <w:rPr>
          <w:b/>
          <w:bCs/>
        </w:rPr>
      </w:pPr>
    </w:p>
    <w:p w14:paraId="695FA1EC" w14:textId="77777777" w:rsidR="00B814E2" w:rsidRDefault="00B814E2" w:rsidP="00B814E2">
      <w:pPr>
        <w:tabs>
          <w:tab w:val="center" w:pos="4680"/>
        </w:tabs>
        <w:jc w:val="center"/>
        <w:rPr>
          <w:b/>
          <w:bCs/>
        </w:rPr>
      </w:pPr>
      <w:r>
        <w:rPr>
          <w:b/>
          <w:bCs/>
        </w:rPr>
        <w:t>STAFF OF</w:t>
      </w:r>
    </w:p>
    <w:p w14:paraId="695FA1ED" w14:textId="77777777" w:rsidR="00B814E2" w:rsidRDefault="00B814E2" w:rsidP="00B814E2">
      <w:pPr>
        <w:tabs>
          <w:tab w:val="center" w:pos="4680"/>
        </w:tabs>
        <w:jc w:val="center"/>
        <w:rPr>
          <w:b/>
          <w:bCs/>
        </w:rPr>
      </w:pPr>
      <w:smartTag w:uri="urn:schemas-microsoft-com:office:smarttags" w:element="place">
        <w:smartTag w:uri="urn:schemas-microsoft-com:office:smarttags" w:element="State">
          <w:r>
            <w:rPr>
              <w:b/>
              <w:bCs/>
            </w:rPr>
            <w:t>WASHINGTON</w:t>
          </w:r>
        </w:smartTag>
      </w:smartTag>
      <w:r>
        <w:rPr>
          <w:b/>
          <w:bCs/>
        </w:rPr>
        <w:t xml:space="preserve"> UTILITIES AND</w:t>
      </w:r>
    </w:p>
    <w:p w14:paraId="695FA1EE" w14:textId="77777777" w:rsidR="00B814E2" w:rsidRDefault="00B814E2" w:rsidP="00B814E2">
      <w:pPr>
        <w:tabs>
          <w:tab w:val="center" w:pos="4680"/>
        </w:tabs>
        <w:jc w:val="center"/>
        <w:rPr>
          <w:b/>
          <w:bCs/>
        </w:rPr>
      </w:pPr>
      <w:r>
        <w:rPr>
          <w:b/>
          <w:bCs/>
        </w:rPr>
        <w:t>TRANSPORTATION COMMISSION</w:t>
      </w:r>
    </w:p>
    <w:p w14:paraId="695FA1EF" w14:textId="77777777" w:rsidR="00B814E2" w:rsidRDefault="00B814E2" w:rsidP="00B814E2">
      <w:pPr>
        <w:jc w:val="center"/>
        <w:rPr>
          <w:b/>
          <w:bCs/>
        </w:rPr>
      </w:pPr>
    </w:p>
    <w:p w14:paraId="695FA1F0" w14:textId="77777777" w:rsidR="00B814E2" w:rsidRDefault="00B814E2" w:rsidP="00B814E2">
      <w:pPr>
        <w:rPr>
          <w:b/>
          <w:bCs/>
        </w:rPr>
      </w:pPr>
    </w:p>
    <w:p w14:paraId="695FA1F1" w14:textId="77777777" w:rsidR="00B814E2" w:rsidRDefault="00B814E2" w:rsidP="00B814E2">
      <w:pPr>
        <w:rPr>
          <w:b/>
          <w:bCs/>
        </w:rPr>
      </w:pPr>
    </w:p>
    <w:p w14:paraId="695FA1F2" w14:textId="77777777" w:rsidR="00B814E2" w:rsidRPr="00B814E2" w:rsidRDefault="00401AF2" w:rsidP="00B814E2">
      <w:pPr>
        <w:jc w:val="center"/>
        <w:rPr>
          <w:b/>
          <w:bCs/>
          <w:i/>
        </w:rPr>
      </w:pPr>
      <w:r>
        <w:rPr>
          <w:b/>
          <w:bCs/>
          <w:i/>
        </w:rPr>
        <w:t>Service Quality and Reliability</w:t>
      </w:r>
    </w:p>
    <w:p w14:paraId="695FA1F3" w14:textId="77777777" w:rsidR="00B814E2" w:rsidRDefault="00B814E2" w:rsidP="00B814E2">
      <w:pPr>
        <w:rPr>
          <w:b/>
          <w:bCs/>
        </w:rPr>
      </w:pPr>
    </w:p>
    <w:p w14:paraId="695FA1F4" w14:textId="77777777" w:rsidR="00B814E2" w:rsidRDefault="00B814E2" w:rsidP="00B814E2">
      <w:pPr>
        <w:rPr>
          <w:b/>
          <w:bCs/>
        </w:rPr>
      </w:pPr>
    </w:p>
    <w:p w14:paraId="695FA1F5" w14:textId="77777777" w:rsidR="00B814E2" w:rsidRDefault="00401AF2" w:rsidP="00B814E2">
      <w:pPr>
        <w:jc w:val="center"/>
        <w:rPr>
          <w:b/>
          <w:bCs/>
        </w:rPr>
      </w:pPr>
      <w:r>
        <w:rPr>
          <w:b/>
          <w:bCs/>
        </w:rPr>
        <w:t>July 2</w:t>
      </w:r>
      <w:r w:rsidR="00C65CFC">
        <w:rPr>
          <w:b/>
          <w:bCs/>
        </w:rPr>
        <w:t>2</w:t>
      </w:r>
      <w:r>
        <w:rPr>
          <w:b/>
          <w:bCs/>
        </w:rPr>
        <w:t>, 2014</w:t>
      </w:r>
    </w:p>
    <w:p w14:paraId="695FA1F6" w14:textId="77777777" w:rsidR="00B814E2" w:rsidRDefault="00B814E2" w:rsidP="00B814E2"/>
    <w:p w14:paraId="695FA1F7" w14:textId="77777777" w:rsidR="00B814E2" w:rsidRDefault="00B814E2" w:rsidP="00B814E2"/>
    <w:p w14:paraId="695FA1F8" w14:textId="77777777" w:rsidR="00B814E2" w:rsidRDefault="00B814E2" w:rsidP="00B814E2">
      <w:pPr>
        <w:sectPr w:rsidR="00B814E2" w:rsidSect="00B814E2">
          <w:pgSz w:w="12240" w:h="15840"/>
          <w:pgMar w:top="1440" w:right="1440" w:bottom="1440" w:left="1872" w:header="720" w:footer="720" w:gutter="0"/>
          <w:cols w:space="720"/>
          <w:docGrid w:linePitch="360"/>
        </w:sectPr>
      </w:pPr>
    </w:p>
    <w:p w14:paraId="695FA1F9" w14:textId="77777777" w:rsidR="00B814E2" w:rsidRDefault="00B814E2" w:rsidP="00B814E2">
      <w:pPr>
        <w:jc w:val="center"/>
        <w:rPr>
          <w:b/>
        </w:rPr>
      </w:pPr>
      <w:r>
        <w:rPr>
          <w:b/>
        </w:rPr>
        <w:lastRenderedPageBreak/>
        <w:t>TABLE OF CONTENTS</w:t>
      </w:r>
    </w:p>
    <w:sdt>
      <w:sdtPr>
        <w:rPr>
          <w:rFonts w:ascii="Times New Roman" w:eastAsiaTheme="minorHAnsi" w:hAnsi="Times New Roman" w:cs="Times New Roman"/>
          <w:b w:val="0"/>
          <w:bCs w:val="0"/>
          <w:color w:val="auto"/>
          <w:sz w:val="24"/>
          <w:szCs w:val="24"/>
          <w:lang w:eastAsia="en-US"/>
        </w:rPr>
        <w:id w:val="-1692523829"/>
        <w:docPartObj>
          <w:docPartGallery w:val="Table of Contents"/>
          <w:docPartUnique/>
        </w:docPartObj>
      </w:sdtPr>
      <w:sdtEndPr>
        <w:rPr>
          <w:noProof/>
        </w:rPr>
      </w:sdtEndPr>
      <w:sdtContent>
        <w:p w14:paraId="695FA1FA" w14:textId="77777777" w:rsidR="00A55650" w:rsidRDefault="00A55650" w:rsidP="00D45EF7">
          <w:pPr>
            <w:pStyle w:val="TOCHeading"/>
            <w:spacing w:before="0" w:line="480" w:lineRule="auto"/>
          </w:pPr>
        </w:p>
        <w:p w14:paraId="695FA1FB" w14:textId="77777777" w:rsidR="003B2723" w:rsidRDefault="00A55650" w:rsidP="00D45EF7">
          <w:pPr>
            <w:pStyle w:val="TOC1"/>
            <w:tabs>
              <w:tab w:val="left" w:pos="480"/>
              <w:tab w:val="right" w:leader="dot" w:pos="8918"/>
            </w:tabs>
            <w:spacing w:after="0" w:line="480"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93689819" w:history="1">
            <w:r w:rsidR="003B2723" w:rsidRPr="009E38C0">
              <w:rPr>
                <w:rStyle w:val="Hyperlink"/>
                <w:noProof/>
              </w:rPr>
              <w:t>I.</w:t>
            </w:r>
            <w:r w:rsidR="003B2723">
              <w:rPr>
                <w:rFonts w:asciiTheme="minorHAnsi" w:eastAsiaTheme="minorEastAsia" w:hAnsiTheme="minorHAnsi" w:cstheme="minorBidi"/>
                <w:noProof/>
                <w:sz w:val="22"/>
                <w:szCs w:val="22"/>
              </w:rPr>
              <w:tab/>
            </w:r>
            <w:r w:rsidR="003B2723" w:rsidRPr="009E38C0">
              <w:rPr>
                <w:rStyle w:val="Hyperlink"/>
                <w:noProof/>
              </w:rPr>
              <w:t>INTRODUCTION</w:t>
            </w:r>
            <w:r w:rsidR="003B2723">
              <w:rPr>
                <w:noProof/>
                <w:webHidden/>
              </w:rPr>
              <w:tab/>
            </w:r>
            <w:r w:rsidR="003B2723">
              <w:rPr>
                <w:noProof/>
                <w:webHidden/>
              </w:rPr>
              <w:fldChar w:fldCharType="begin"/>
            </w:r>
            <w:r w:rsidR="003B2723">
              <w:rPr>
                <w:noProof/>
                <w:webHidden/>
              </w:rPr>
              <w:instrText xml:space="preserve"> PAGEREF _Toc393689819 \h </w:instrText>
            </w:r>
            <w:r w:rsidR="003B2723">
              <w:rPr>
                <w:noProof/>
                <w:webHidden/>
              </w:rPr>
            </w:r>
            <w:r w:rsidR="003B2723">
              <w:rPr>
                <w:noProof/>
                <w:webHidden/>
              </w:rPr>
              <w:fldChar w:fldCharType="separate"/>
            </w:r>
            <w:r w:rsidR="00E43705">
              <w:rPr>
                <w:noProof/>
                <w:webHidden/>
              </w:rPr>
              <w:t>1</w:t>
            </w:r>
            <w:r w:rsidR="003B2723">
              <w:rPr>
                <w:noProof/>
                <w:webHidden/>
              </w:rPr>
              <w:fldChar w:fldCharType="end"/>
            </w:r>
          </w:hyperlink>
        </w:p>
        <w:p w14:paraId="695FA1FC" w14:textId="77777777" w:rsidR="003B2723" w:rsidRDefault="003B2723" w:rsidP="00D45EF7">
          <w:pPr>
            <w:pStyle w:val="TOC1"/>
            <w:tabs>
              <w:tab w:val="left" w:pos="480"/>
              <w:tab w:val="right" w:leader="dot" w:pos="8918"/>
            </w:tabs>
            <w:spacing w:after="0" w:line="480" w:lineRule="auto"/>
            <w:rPr>
              <w:rFonts w:asciiTheme="minorHAnsi" w:eastAsiaTheme="minorEastAsia" w:hAnsiTheme="minorHAnsi" w:cstheme="minorBidi"/>
              <w:noProof/>
              <w:sz w:val="22"/>
              <w:szCs w:val="22"/>
            </w:rPr>
          </w:pPr>
          <w:hyperlink w:anchor="_Toc393689820" w:history="1">
            <w:r w:rsidRPr="009E38C0">
              <w:rPr>
                <w:rStyle w:val="Hyperlink"/>
                <w:noProof/>
              </w:rPr>
              <w:t>II.</w:t>
            </w:r>
            <w:r>
              <w:rPr>
                <w:rFonts w:asciiTheme="minorHAnsi" w:eastAsiaTheme="minorEastAsia" w:hAnsiTheme="minorHAnsi" w:cstheme="minorBidi"/>
                <w:noProof/>
                <w:sz w:val="22"/>
                <w:szCs w:val="22"/>
              </w:rPr>
              <w:tab/>
            </w:r>
            <w:r w:rsidRPr="009E38C0">
              <w:rPr>
                <w:rStyle w:val="Hyperlink"/>
                <w:noProof/>
              </w:rPr>
              <w:t>SCOPE AND SUMMARY OF TESTIMONY</w:t>
            </w:r>
            <w:r>
              <w:rPr>
                <w:noProof/>
                <w:webHidden/>
              </w:rPr>
              <w:tab/>
            </w:r>
            <w:r>
              <w:rPr>
                <w:noProof/>
                <w:webHidden/>
              </w:rPr>
              <w:fldChar w:fldCharType="begin"/>
            </w:r>
            <w:r>
              <w:rPr>
                <w:noProof/>
                <w:webHidden/>
              </w:rPr>
              <w:instrText xml:space="preserve"> PAGEREF _Toc393689820 \h </w:instrText>
            </w:r>
            <w:r>
              <w:rPr>
                <w:noProof/>
                <w:webHidden/>
              </w:rPr>
            </w:r>
            <w:r>
              <w:rPr>
                <w:noProof/>
                <w:webHidden/>
              </w:rPr>
              <w:fldChar w:fldCharType="separate"/>
            </w:r>
            <w:r w:rsidR="00E43705">
              <w:rPr>
                <w:noProof/>
                <w:webHidden/>
              </w:rPr>
              <w:t>1</w:t>
            </w:r>
            <w:r>
              <w:rPr>
                <w:noProof/>
                <w:webHidden/>
              </w:rPr>
              <w:fldChar w:fldCharType="end"/>
            </w:r>
          </w:hyperlink>
        </w:p>
        <w:p w14:paraId="695FA1FD" w14:textId="77777777" w:rsidR="003B2723" w:rsidRDefault="003B2723" w:rsidP="00D45EF7">
          <w:pPr>
            <w:pStyle w:val="TOC1"/>
            <w:tabs>
              <w:tab w:val="left" w:pos="660"/>
              <w:tab w:val="right" w:leader="dot" w:pos="8918"/>
            </w:tabs>
            <w:spacing w:after="0" w:line="480" w:lineRule="auto"/>
            <w:rPr>
              <w:rFonts w:asciiTheme="minorHAnsi" w:eastAsiaTheme="minorEastAsia" w:hAnsiTheme="minorHAnsi" w:cstheme="minorBidi"/>
              <w:noProof/>
              <w:sz w:val="22"/>
              <w:szCs w:val="22"/>
            </w:rPr>
          </w:pPr>
          <w:hyperlink w:anchor="_Toc393689821" w:history="1">
            <w:r w:rsidRPr="009E38C0">
              <w:rPr>
                <w:rStyle w:val="Hyperlink"/>
                <w:noProof/>
              </w:rPr>
              <w:t>III.</w:t>
            </w:r>
            <w:r>
              <w:rPr>
                <w:rFonts w:asciiTheme="minorHAnsi" w:eastAsiaTheme="minorEastAsia" w:hAnsiTheme="minorHAnsi" w:cstheme="minorBidi"/>
                <w:noProof/>
                <w:sz w:val="22"/>
                <w:szCs w:val="22"/>
              </w:rPr>
              <w:tab/>
            </w:r>
            <w:r w:rsidRPr="009E38C0">
              <w:rPr>
                <w:rStyle w:val="Hyperlink"/>
                <w:noProof/>
              </w:rPr>
              <w:t>DISCUSSION</w:t>
            </w:r>
            <w:r>
              <w:rPr>
                <w:noProof/>
                <w:webHidden/>
              </w:rPr>
              <w:tab/>
            </w:r>
            <w:r>
              <w:rPr>
                <w:noProof/>
                <w:webHidden/>
              </w:rPr>
              <w:fldChar w:fldCharType="begin"/>
            </w:r>
            <w:r>
              <w:rPr>
                <w:noProof/>
                <w:webHidden/>
              </w:rPr>
              <w:instrText xml:space="preserve"> PAGEREF _Toc393689821 \h </w:instrText>
            </w:r>
            <w:r>
              <w:rPr>
                <w:noProof/>
                <w:webHidden/>
              </w:rPr>
            </w:r>
            <w:r>
              <w:rPr>
                <w:noProof/>
                <w:webHidden/>
              </w:rPr>
              <w:fldChar w:fldCharType="separate"/>
            </w:r>
            <w:r w:rsidR="00E43705">
              <w:rPr>
                <w:noProof/>
                <w:webHidden/>
              </w:rPr>
              <w:t>3</w:t>
            </w:r>
            <w:r>
              <w:rPr>
                <w:noProof/>
                <w:webHidden/>
              </w:rPr>
              <w:fldChar w:fldCharType="end"/>
            </w:r>
          </w:hyperlink>
        </w:p>
        <w:p w14:paraId="695FA1FE" w14:textId="77777777" w:rsidR="003B2723" w:rsidRDefault="003B2723" w:rsidP="00D45EF7">
          <w:pPr>
            <w:pStyle w:val="TOC2"/>
            <w:rPr>
              <w:rFonts w:asciiTheme="minorHAnsi" w:eastAsiaTheme="minorEastAsia" w:hAnsiTheme="minorHAnsi" w:cstheme="minorBidi"/>
              <w:noProof/>
              <w:sz w:val="22"/>
              <w:szCs w:val="22"/>
            </w:rPr>
          </w:pPr>
          <w:hyperlink w:anchor="_Toc393689822" w:history="1">
            <w:r w:rsidRPr="009E38C0">
              <w:rPr>
                <w:rStyle w:val="Hyperlink"/>
                <w:noProof/>
              </w:rPr>
              <w:t>A.</w:t>
            </w:r>
            <w:r>
              <w:rPr>
                <w:rFonts w:asciiTheme="minorHAnsi" w:eastAsiaTheme="minorEastAsia" w:hAnsiTheme="minorHAnsi" w:cstheme="minorBidi"/>
                <w:noProof/>
                <w:sz w:val="22"/>
                <w:szCs w:val="22"/>
              </w:rPr>
              <w:tab/>
            </w:r>
            <w:r w:rsidRPr="009E38C0">
              <w:rPr>
                <w:rStyle w:val="Hyperlink"/>
                <w:noProof/>
              </w:rPr>
              <w:t>Current Reports Related to the Provision of Service</w:t>
            </w:r>
            <w:r>
              <w:rPr>
                <w:noProof/>
                <w:webHidden/>
              </w:rPr>
              <w:tab/>
            </w:r>
            <w:r>
              <w:rPr>
                <w:noProof/>
                <w:webHidden/>
              </w:rPr>
              <w:fldChar w:fldCharType="begin"/>
            </w:r>
            <w:r>
              <w:rPr>
                <w:noProof/>
                <w:webHidden/>
              </w:rPr>
              <w:instrText xml:space="preserve"> PAGEREF _Toc393689822 \h </w:instrText>
            </w:r>
            <w:r>
              <w:rPr>
                <w:noProof/>
                <w:webHidden/>
              </w:rPr>
            </w:r>
            <w:r>
              <w:rPr>
                <w:noProof/>
                <w:webHidden/>
              </w:rPr>
              <w:fldChar w:fldCharType="separate"/>
            </w:r>
            <w:r w:rsidR="00E43705">
              <w:rPr>
                <w:noProof/>
                <w:webHidden/>
              </w:rPr>
              <w:t>3</w:t>
            </w:r>
            <w:r>
              <w:rPr>
                <w:noProof/>
                <w:webHidden/>
              </w:rPr>
              <w:fldChar w:fldCharType="end"/>
            </w:r>
          </w:hyperlink>
        </w:p>
        <w:p w14:paraId="695FA1FF" w14:textId="77777777" w:rsidR="003B2723" w:rsidRDefault="003B2723" w:rsidP="00D45EF7">
          <w:pPr>
            <w:pStyle w:val="TOC2"/>
            <w:rPr>
              <w:rFonts w:asciiTheme="minorHAnsi" w:eastAsiaTheme="minorEastAsia" w:hAnsiTheme="minorHAnsi" w:cstheme="minorBidi"/>
              <w:noProof/>
              <w:sz w:val="22"/>
              <w:szCs w:val="22"/>
            </w:rPr>
          </w:pPr>
          <w:hyperlink w:anchor="_Toc393689823" w:history="1">
            <w:r w:rsidRPr="009E38C0">
              <w:rPr>
                <w:rStyle w:val="Hyperlink"/>
                <w:noProof/>
              </w:rPr>
              <w:t>B.</w:t>
            </w:r>
            <w:r>
              <w:rPr>
                <w:rFonts w:asciiTheme="minorHAnsi" w:eastAsiaTheme="minorEastAsia" w:hAnsiTheme="minorHAnsi" w:cstheme="minorBidi"/>
                <w:noProof/>
                <w:sz w:val="22"/>
                <w:szCs w:val="22"/>
              </w:rPr>
              <w:tab/>
            </w:r>
            <w:r w:rsidRPr="009E38C0">
              <w:rPr>
                <w:rStyle w:val="Hyperlink"/>
                <w:noProof/>
              </w:rPr>
              <w:t>Staff’s Proposal for the Existing Reliability Report</w:t>
            </w:r>
            <w:r>
              <w:rPr>
                <w:noProof/>
                <w:webHidden/>
              </w:rPr>
              <w:tab/>
            </w:r>
            <w:r>
              <w:rPr>
                <w:noProof/>
                <w:webHidden/>
              </w:rPr>
              <w:fldChar w:fldCharType="begin"/>
            </w:r>
            <w:r>
              <w:rPr>
                <w:noProof/>
                <w:webHidden/>
              </w:rPr>
              <w:instrText xml:space="preserve"> PAGEREF _Toc393689823 \h </w:instrText>
            </w:r>
            <w:r>
              <w:rPr>
                <w:noProof/>
                <w:webHidden/>
              </w:rPr>
            </w:r>
            <w:r>
              <w:rPr>
                <w:noProof/>
                <w:webHidden/>
              </w:rPr>
              <w:fldChar w:fldCharType="separate"/>
            </w:r>
            <w:r w:rsidR="00E43705">
              <w:rPr>
                <w:noProof/>
                <w:webHidden/>
              </w:rPr>
              <w:t>5</w:t>
            </w:r>
            <w:r>
              <w:rPr>
                <w:noProof/>
                <w:webHidden/>
              </w:rPr>
              <w:fldChar w:fldCharType="end"/>
            </w:r>
          </w:hyperlink>
        </w:p>
        <w:p w14:paraId="695FA200" w14:textId="77777777" w:rsidR="003B2723" w:rsidRDefault="003B2723" w:rsidP="00D45EF7">
          <w:pPr>
            <w:pStyle w:val="TOC2"/>
            <w:rPr>
              <w:rFonts w:asciiTheme="minorHAnsi" w:eastAsiaTheme="minorEastAsia" w:hAnsiTheme="minorHAnsi" w:cstheme="minorBidi"/>
              <w:noProof/>
              <w:sz w:val="22"/>
              <w:szCs w:val="22"/>
            </w:rPr>
          </w:pPr>
          <w:hyperlink w:anchor="_Toc393689824" w:history="1">
            <w:r w:rsidRPr="009E38C0">
              <w:rPr>
                <w:rStyle w:val="Hyperlink"/>
                <w:noProof/>
              </w:rPr>
              <w:t>C.</w:t>
            </w:r>
            <w:r>
              <w:rPr>
                <w:rFonts w:asciiTheme="minorHAnsi" w:eastAsiaTheme="minorEastAsia" w:hAnsiTheme="minorHAnsi" w:cstheme="minorBidi"/>
                <w:noProof/>
                <w:sz w:val="22"/>
                <w:szCs w:val="22"/>
              </w:rPr>
              <w:tab/>
            </w:r>
            <w:r w:rsidRPr="009E38C0">
              <w:rPr>
                <w:rStyle w:val="Hyperlink"/>
                <w:noProof/>
              </w:rPr>
              <w:t>Staff’s Proposal for the Service Quality and Reliability Report (SQR)</w:t>
            </w:r>
            <w:r>
              <w:rPr>
                <w:noProof/>
                <w:webHidden/>
              </w:rPr>
              <w:tab/>
            </w:r>
            <w:r>
              <w:rPr>
                <w:noProof/>
                <w:webHidden/>
              </w:rPr>
              <w:fldChar w:fldCharType="begin"/>
            </w:r>
            <w:r>
              <w:rPr>
                <w:noProof/>
                <w:webHidden/>
              </w:rPr>
              <w:instrText xml:space="preserve"> PAGEREF _Toc393689824 \h </w:instrText>
            </w:r>
            <w:r>
              <w:rPr>
                <w:noProof/>
                <w:webHidden/>
              </w:rPr>
            </w:r>
            <w:r>
              <w:rPr>
                <w:noProof/>
                <w:webHidden/>
              </w:rPr>
              <w:fldChar w:fldCharType="separate"/>
            </w:r>
            <w:r w:rsidR="00E43705">
              <w:rPr>
                <w:noProof/>
                <w:webHidden/>
              </w:rPr>
              <w:t>5</w:t>
            </w:r>
            <w:r>
              <w:rPr>
                <w:noProof/>
                <w:webHidden/>
              </w:rPr>
              <w:fldChar w:fldCharType="end"/>
            </w:r>
          </w:hyperlink>
        </w:p>
        <w:p w14:paraId="695FA201" w14:textId="77777777" w:rsidR="003B2723" w:rsidRDefault="003B2723" w:rsidP="00D45EF7">
          <w:pPr>
            <w:pStyle w:val="TOC3"/>
            <w:rPr>
              <w:rStyle w:val="Hyperlink"/>
              <w:noProof/>
            </w:rPr>
          </w:pPr>
          <w:hyperlink w:anchor="_Toc393689825" w:history="1">
            <w:r w:rsidRPr="009E38C0">
              <w:rPr>
                <w:rStyle w:val="Hyperlink"/>
                <w:noProof/>
              </w:rPr>
              <w:t>1.</w:t>
            </w:r>
            <w:r>
              <w:rPr>
                <w:rFonts w:asciiTheme="minorHAnsi" w:eastAsiaTheme="minorEastAsia" w:hAnsiTheme="minorHAnsi" w:cstheme="minorBidi"/>
                <w:noProof/>
                <w:sz w:val="22"/>
                <w:szCs w:val="22"/>
              </w:rPr>
              <w:tab/>
            </w:r>
            <w:r w:rsidRPr="009E38C0">
              <w:rPr>
                <w:rStyle w:val="Hyperlink"/>
                <w:noProof/>
              </w:rPr>
              <w:t>General Description of the SQR</w:t>
            </w:r>
            <w:r>
              <w:rPr>
                <w:noProof/>
                <w:webHidden/>
              </w:rPr>
              <w:tab/>
            </w:r>
            <w:r>
              <w:rPr>
                <w:noProof/>
                <w:webHidden/>
              </w:rPr>
              <w:fldChar w:fldCharType="begin"/>
            </w:r>
            <w:r>
              <w:rPr>
                <w:noProof/>
                <w:webHidden/>
              </w:rPr>
              <w:instrText xml:space="preserve"> PAGEREF _Toc393689825 \h </w:instrText>
            </w:r>
            <w:r>
              <w:rPr>
                <w:noProof/>
                <w:webHidden/>
              </w:rPr>
            </w:r>
            <w:r>
              <w:rPr>
                <w:noProof/>
                <w:webHidden/>
              </w:rPr>
              <w:fldChar w:fldCharType="separate"/>
            </w:r>
            <w:r w:rsidR="00E43705">
              <w:rPr>
                <w:noProof/>
                <w:webHidden/>
              </w:rPr>
              <w:t>6</w:t>
            </w:r>
            <w:r>
              <w:rPr>
                <w:noProof/>
                <w:webHidden/>
              </w:rPr>
              <w:fldChar w:fldCharType="end"/>
            </w:r>
          </w:hyperlink>
        </w:p>
        <w:p w14:paraId="5A27786D" w14:textId="77777777" w:rsidR="00D45EF7" w:rsidRPr="00D45EF7" w:rsidRDefault="00D45EF7" w:rsidP="00D45EF7"/>
        <w:p w14:paraId="695FA202" w14:textId="77777777" w:rsidR="003B2723" w:rsidRDefault="003B2723" w:rsidP="00D45EF7">
          <w:pPr>
            <w:pStyle w:val="TOC3"/>
            <w:rPr>
              <w:rStyle w:val="Hyperlink"/>
              <w:noProof/>
            </w:rPr>
          </w:pPr>
          <w:hyperlink w:anchor="_Toc393689826" w:history="1">
            <w:r w:rsidRPr="009E38C0">
              <w:rPr>
                <w:rStyle w:val="Hyperlink"/>
                <w:noProof/>
              </w:rPr>
              <w:t>2.</w:t>
            </w:r>
            <w:r>
              <w:rPr>
                <w:rFonts w:asciiTheme="minorHAnsi" w:eastAsiaTheme="minorEastAsia" w:hAnsiTheme="minorHAnsi" w:cstheme="minorBidi"/>
                <w:noProof/>
                <w:sz w:val="22"/>
                <w:szCs w:val="22"/>
              </w:rPr>
              <w:tab/>
            </w:r>
            <w:r w:rsidRPr="009E38C0">
              <w:rPr>
                <w:rStyle w:val="Hyperlink"/>
                <w:noProof/>
              </w:rPr>
              <w:t>Operations Services - Metrics and Penalty Thresholds</w:t>
            </w:r>
            <w:r>
              <w:rPr>
                <w:noProof/>
                <w:webHidden/>
              </w:rPr>
              <w:tab/>
            </w:r>
            <w:r>
              <w:rPr>
                <w:noProof/>
                <w:webHidden/>
              </w:rPr>
              <w:fldChar w:fldCharType="begin"/>
            </w:r>
            <w:r>
              <w:rPr>
                <w:noProof/>
                <w:webHidden/>
              </w:rPr>
              <w:instrText xml:space="preserve"> PAGEREF _Toc393689826 \h </w:instrText>
            </w:r>
            <w:r>
              <w:rPr>
                <w:noProof/>
                <w:webHidden/>
              </w:rPr>
            </w:r>
            <w:r>
              <w:rPr>
                <w:noProof/>
                <w:webHidden/>
              </w:rPr>
              <w:fldChar w:fldCharType="separate"/>
            </w:r>
            <w:r w:rsidR="00E43705">
              <w:rPr>
                <w:noProof/>
                <w:webHidden/>
              </w:rPr>
              <w:t>9</w:t>
            </w:r>
            <w:r>
              <w:rPr>
                <w:noProof/>
                <w:webHidden/>
              </w:rPr>
              <w:fldChar w:fldCharType="end"/>
            </w:r>
          </w:hyperlink>
        </w:p>
        <w:p w14:paraId="45956B83" w14:textId="77777777" w:rsidR="00D45EF7" w:rsidRPr="00D45EF7" w:rsidRDefault="00D45EF7" w:rsidP="00D45EF7"/>
        <w:p w14:paraId="695FA203" w14:textId="77777777" w:rsidR="003B2723" w:rsidRDefault="003B2723" w:rsidP="00D45EF7">
          <w:pPr>
            <w:pStyle w:val="TOC3"/>
            <w:rPr>
              <w:rStyle w:val="Hyperlink"/>
              <w:noProof/>
            </w:rPr>
          </w:pPr>
          <w:hyperlink w:anchor="_Toc393689827" w:history="1">
            <w:r w:rsidRPr="009E38C0">
              <w:rPr>
                <w:rStyle w:val="Hyperlink"/>
                <w:noProof/>
              </w:rPr>
              <w:t>3.</w:t>
            </w:r>
            <w:r>
              <w:rPr>
                <w:rFonts w:asciiTheme="minorHAnsi" w:eastAsiaTheme="minorEastAsia" w:hAnsiTheme="minorHAnsi" w:cstheme="minorBidi"/>
                <w:noProof/>
                <w:sz w:val="22"/>
                <w:szCs w:val="22"/>
              </w:rPr>
              <w:tab/>
            </w:r>
            <w:r w:rsidRPr="009E38C0">
              <w:rPr>
                <w:rStyle w:val="Hyperlink"/>
                <w:noProof/>
              </w:rPr>
              <w:t>Customer Guarantees – Metrics and Bill Credit Thresholds</w:t>
            </w:r>
            <w:r>
              <w:rPr>
                <w:noProof/>
                <w:webHidden/>
              </w:rPr>
              <w:tab/>
            </w:r>
            <w:r>
              <w:rPr>
                <w:noProof/>
                <w:webHidden/>
              </w:rPr>
              <w:fldChar w:fldCharType="begin"/>
            </w:r>
            <w:r>
              <w:rPr>
                <w:noProof/>
                <w:webHidden/>
              </w:rPr>
              <w:instrText xml:space="preserve"> PAGEREF _Toc393689827 \h </w:instrText>
            </w:r>
            <w:r>
              <w:rPr>
                <w:noProof/>
                <w:webHidden/>
              </w:rPr>
            </w:r>
            <w:r>
              <w:rPr>
                <w:noProof/>
                <w:webHidden/>
              </w:rPr>
              <w:fldChar w:fldCharType="separate"/>
            </w:r>
            <w:r w:rsidR="00E43705">
              <w:rPr>
                <w:noProof/>
                <w:webHidden/>
              </w:rPr>
              <w:t>12</w:t>
            </w:r>
            <w:r>
              <w:rPr>
                <w:noProof/>
                <w:webHidden/>
              </w:rPr>
              <w:fldChar w:fldCharType="end"/>
            </w:r>
          </w:hyperlink>
        </w:p>
        <w:p w14:paraId="3950977C" w14:textId="77777777" w:rsidR="00D45EF7" w:rsidRPr="00D45EF7" w:rsidRDefault="00D45EF7" w:rsidP="00D45EF7"/>
        <w:p w14:paraId="695FA204" w14:textId="77777777" w:rsidR="003B2723" w:rsidRDefault="003B2723" w:rsidP="00D45EF7">
          <w:pPr>
            <w:pStyle w:val="TOC3"/>
            <w:rPr>
              <w:rFonts w:asciiTheme="minorHAnsi" w:eastAsiaTheme="minorEastAsia" w:hAnsiTheme="minorHAnsi" w:cstheme="minorBidi"/>
              <w:noProof/>
              <w:sz w:val="22"/>
              <w:szCs w:val="22"/>
            </w:rPr>
          </w:pPr>
          <w:hyperlink w:anchor="_Toc393689828" w:history="1">
            <w:r w:rsidRPr="009E38C0">
              <w:rPr>
                <w:rStyle w:val="Hyperlink"/>
                <w:noProof/>
              </w:rPr>
              <w:t>4.</w:t>
            </w:r>
            <w:r>
              <w:rPr>
                <w:rFonts w:asciiTheme="minorHAnsi" w:eastAsiaTheme="minorEastAsia" w:hAnsiTheme="minorHAnsi" w:cstheme="minorBidi"/>
                <w:noProof/>
                <w:sz w:val="22"/>
                <w:szCs w:val="22"/>
              </w:rPr>
              <w:tab/>
            </w:r>
            <w:r w:rsidRPr="009E38C0">
              <w:rPr>
                <w:rStyle w:val="Hyperlink"/>
                <w:noProof/>
              </w:rPr>
              <w:t>Penalties for Non-Compliance with Service Quality Metrics and Service Credits for Non-Compliance with Customer Guarantees.</w:t>
            </w:r>
            <w:r>
              <w:rPr>
                <w:noProof/>
                <w:webHidden/>
              </w:rPr>
              <w:tab/>
            </w:r>
            <w:r>
              <w:rPr>
                <w:noProof/>
                <w:webHidden/>
              </w:rPr>
              <w:fldChar w:fldCharType="begin"/>
            </w:r>
            <w:r>
              <w:rPr>
                <w:noProof/>
                <w:webHidden/>
              </w:rPr>
              <w:instrText xml:space="preserve"> PAGEREF _Toc393689828 \h </w:instrText>
            </w:r>
            <w:r>
              <w:rPr>
                <w:noProof/>
                <w:webHidden/>
              </w:rPr>
            </w:r>
            <w:r>
              <w:rPr>
                <w:noProof/>
                <w:webHidden/>
              </w:rPr>
              <w:fldChar w:fldCharType="separate"/>
            </w:r>
            <w:r w:rsidR="00E43705">
              <w:rPr>
                <w:noProof/>
                <w:webHidden/>
              </w:rPr>
              <w:t>15</w:t>
            </w:r>
            <w:r>
              <w:rPr>
                <w:noProof/>
                <w:webHidden/>
              </w:rPr>
              <w:fldChar w:fldCharType="end"/>
            </w:r>
          </w:hyperlink>
        </w:p>
        <w:p w14:paraId="695FA205" w14:textId="77777777" w:rsidR="00A55650" w:rsidRDefault="00A55650" w:rsidP="00D45EF7">
          <w:pPr>
            <w:spacing w:line="480" w:lineRule="auto"/>
          </w:pPr>
          <w:r>
            <w:rPr>
              <w:b/>
              <w:bCs/>
              <w:noProof/>
            </w:rPr>
            <w:fldChar w:fldCharType="end"/>
          </w:r>
        </w:p>
      </w:sdtContent>
    </w:sdt>
    <w:p w14:paraId="695FA206" w14:textId="77777777" w:rsidR="00B814E2" w:rsidRDefault="00B814E2" w:rsidP="00B814E2"/>
    <w:p w14:paraId="695FA207" w14:textId="77777777" w:rsidR="00B814E2" w:rsidRDefault="00B814E2" w:rsidP="00B814E2">
      <w:pPr>
        <w:tabs>
          <w:tab w:val="left" w:pos="720"/>
          <w:tab w:val="left" w:pos="1440"/>
          <w:tab w:val="left" w:pos="2160"/>
          <w:tab w:val="right" w:leader="dot" w:pos="8820"/>
        </w:tabs>
      </w:pPr>
    </w:p>
    <w:p w14:paraId="695FA208" w14:textId="77777777" w:rsidR="00B814E2" w:rsidRDefault="00B814E2" w:rsidP="00B814E2"/>
    <w:p w14:paraId="695FA209" w14:textId="77777777" w:rsidR="00B814E2" w:rsidRDefault="00B814E2" w:rsidP="00B814E2">
      <w:pPr>
        <w:jc w:val="center"/>
      </w:pPr>
      <w:r>
        <w:rPr>
          <w:b/>
        </w:rPr>
        <w:t>List of Exhibits</w:t>
      </w:r>
    </w:p>
    <w:p w14:paraId="695FA20A" w14:textId="77777777" w:rsidR="00B814E2" w:rsidRDefault="00B814E2" w:rsidP="00B814E2"/>
    <w:p w14:paraId="695FA20B" w14:textId="3F9CE334" w:rsidR="007A1AB4" w:rsidRDefault="00B814E2" w:rsidP="004D6E52">
      <w:pPr>
        <w:ind w:left="720"/>
      </w:pPr>
      <w:r>
        <w:t xml:space="preserve">Exhibit No. </w:t>
      </w:r>
      <w:r w:rsidR="00C65CFC">
        <w:t>___ (</w:t>
      </w:r>
      <w:r>
        <w:t>B</w:t>
      </w:r>
      <w:r w:rsidR="007A1AB4">
        <w:t>T</w:t>
      </w:r>
      <w:r>
        <w:t>C-2</w:t>
      </w:r>
      <w:r w:rsidR="00C65CFC">
        <w:t>)</w:t>
      </w:r>
      <w:r>
        <w:t xml:space="preserve">, </w:t>
      </w:r>
      <w:r w:rsidR="00C65CFC">
        <w:t xml:space="preserve">IEEE </w:t>
      </w:r>
      <w:r w:rsidR="00760F09">
        <w:t>and</w:t>
      </w:r>
      <w:r w:rsidR="00254671">
        <w:t xml:space="preserve"> Regional</w:t>
      </w:r>
      <w:r w:rsidR="00760F09">
        <w:t xml:space="preserve"> Benchmarks</w:t>
      </w:r>
    </w:p>
    <w:p w14:paraId="695FA20D" w14:textId="5EBBDB4E" w:rsidR="007A1AB4" w:rsidRDefault="007A1AB4" w:rsidP="004D6E52">
      <w:pPr>
        <w:ind w:left="720"/>
      </w:pPr>
      <w:r>
        <w:t>Exhibit No. ___ (</w:t>
      </w:r>
      <w:proofErr w:type="spellStart"/>
      <w:r>
        <w:t>BTC</w:t>
      </w:r>
      <w:proofErr w:type="spellEnd"/>
      <w:r>
        <w:t xml:space="preserve">-3), Service Quality and Reliability </w:t>
      </w:r>
      <w:r w:rsidR="007F1DE5">
        <w:t xml:space="preserve">Report Card </w:t>
      </w:r>
    </w:p>
    <w:p w14:paraId="695FA20E" w14:textId="77777777" w:rsidR="00B814E2" w:rsidRDefault="00B814E2" w:rsidP="00B814E2">
      <w:r>
        <w:t xml:space="preserve"> </w:t>
      </w:r>
    </w:p>
    <w:p w14:paraId="695FA20F" w14:textId="77777777" w:rsidR="00B814E2" w:rsidRDefault="00B814E2" w:rsidP="00B814E2"/>
    <w:p w14:paraId="695FA210" w14:textId="77777777" w:rsidR="00B814E2" w:rsidRDefault="00B814E2" w:rsidP="00B814E2"/>
    <w:p w14:paraId="695FA211" w14:textId="77777777" w:rsidR="00B814E2" w:rsidRDefault="00B814E2" w:rsidP="00B814E2"/>
    <w:p w14:paraId="695FA212" w14:textId="77777777" w:rsidR="00B814E2" w:rsidRDefault="00B814E2" w:rsidP="00B814E2">
      <w:pPr>
        <w:sectPr w:rsidR="00B814E2" w:rsidSect="0015026F">
          <w:footerReference w:type="default" r:id="rId12"/>
          <w:pgSz w:w="12240" w:h="15840"/>
          <w:pgMar w:top="1440" w:right="1440" w:bottom="1440" w:left="1872" w:header="720" w:footer="720" w:gutter="0"/>
          <w:pgNumType w:fmt="lowerRoman" w:start="1"/>
          <w:cols w:space="720"/>
          <w:docGrid w:linePitch="360"/>
        </w:sectPr>
      </w:pPr>
    </w:p>
    <w:p w14:paraId="695FA213" w14:textId="77777777" w:rsidR="00956680" w:rsidRPr="0048349F" w:rsidRDefault="00956680" w:rsidP="0048349F">
      <w:pPr>
        <w:pStyle w:val="Heading1"/>
      </w:pPr>
      <w:bookmarkStart w:id="0" w:name="_Toc393689819"/>
      <w:r w:rsidRPr="0048349F">
        <w:lastRenderedPageBreak/>
        <w:t>I.</w:t>
      </w:r>
      <w:r w:rsidRPr="0048349F">
        <w:tab/>
        <w:t>INTRODUCTION</w:t>
      </w:r>
      <w:bookmarkEnd w:id="0"/>
    </w:p>
    <w:p w14:paraId="695FA214" w14:textId="77777777" w:rsidR="00956680" w:rsidRDefault="00956680" w:rsidP="00956680">
      <w:pPr>
        <w:spacing w:line="480" w:lineRule="auto"/>
        <w:rPr>
          <w:b/>
        </w:rPr>
      </w:pPr>
    </w:p>
    <w:p w14:paraId="695FA215" w14:textId="77777777" w:rsidR="00956680" w:rsidRDefault="00956680" w:rsidP="00956680">
      <w:pPr>
        <w:spacing w:line="480" w:lineRule="auto"/>
      </w:pPr>
      <w:r>
        <w:rPr>
          <w:b/>
        </w:rPr>
        <w:t>Q.</w:t>
      </w:r>
      <w:r>
        <w:rPr>
          <w:b/>
        </w:rPr>
        <w:tab/>
        <w:t xml:space="preserve">Please state your name and business address.  </w:t>
      </w:r>
    </w:p>
    <w:p w14:paraId="695FA216" w14:textId="77777777" w:rsidR="00956680" w:rsidRDefault="00956680" w:rsidP="00956680">
      <w:pPr>
        <w:spacing w:line="480" w:lineRule="auto"/>
        <w:ind w:left="720" w:hanging="720"/>
      </w:pPr>
      <w:r>
        <w:t>A.</w:t>
      </w:r>
      <w:r>
        <w:tab/>
        <w:t>My name is Bradley</w:t>
      </w:r>
      <w:r w:rsidR="00AC0D1C">
        <w:t xml:space="preserve"> Thomas</w:t>
      </w:r>
      <w:r>
        <w:t xml:space="preserve"> Cebulko.  My business address is 1300 S. Evergreen Park Drive S.W., P.O. Box 47250, Olympia, WA  98504.  </w:t>
      </w:r>
    </w:p>
    <w:p w14:paraId="695FA217" w14:textId="77777777" w:rsidR="00956680" w:rsidRDefault="00956680" w:rsidP="00956680">
      <w:pPr>
        <w:spacing w:line="480" w:lineRule="auto"/>
        <w:ind w:left="720" w:hanging="720"/>
      </w:pPr>
    </w:p>
    <w:p w14:paraId="695FA218" w14:textId="77777777" w:rsidR="00956680" w:rsidRDefault="00956680" w:rsidP="00956680">
      <w:pPr>
        <w:spacing w:line="480" w:lineRule="auto"/>
        <w:ind w:left="720" w:hanging="720"/>
      </w:pPr>
      <w:r>
        <w:rPr>
          <w:b/>
        </w:rPr>
        <w:t>Q.</w:t>
      </w:r>
      <w:r>
        <w:rPr>
          <w:b/>
        </w:rPr>
        <w:tab/>
        <w:t xml:space="preserve">By whom are you employed and in what capacity?  </w:t>
      </w:r>
    </w:p>
    <w:p w14:paraId="695FA219" w14:textId="77777777" w:rsidR="00956680" w:rsidRDefault="00956680" w:rsidP="00956680">
      <w:pPr>
        <w:spacing w:line="480" w:lineRule="auto"/>
        <w:ind w:left="720" w:hanging="720"/>
      </w:pPr>
      <w:r>
        <w:t>A.</w:t>
      </w:r>
      <w:r>
        <w:tab/>
        <w:t xml:space="preserve">I am employed by the Washington Utilities and Transportation Commission (“Commission”) as a Regulatory Analyst in the Conservation and Energy Planning section of the Regulatory Services Division.  </w:t>
      </w:r>
    </w:p>
    <w:p w14:paraId="695FA21A" w14:textId="77777777" w:rsidR="00956680" w:rsidRDefault="00956680" w:rsidP="00956680">
      <w:pPr>
        <w:spacing w:line="480" w:lineRule="auto"/>
        <w:ind w:left="720" w:hanging="720"/>
      </w:pPr>
    </w:p>
    <w:p w14:paraId="695FA21B" w14:textId="77777777" w:rsidR="00956680" w:rsidRDefault="00956680" w:rsidP="00956680">
      <w:pPr>
        <w:spacing w:line="480" w:lineRule="auto"/>
        <w:ind w:left="720" w:hanging="720"/>
      </w:pPr>
      <w:r>
        <w:rPr>
          <w:b/>
        </w:rPr>
        <w:t>Q.</w:t>
      </w:r>
      <w:r>
        <w:rPr>
          <w:b/>
        </w:rPr>
        <w:tab/>
        <w:t xml:space="preserve">How long have you been employed by the Commission?  </w:t>
      </w:r>
      <w:r>
        <w:t xml:space="preserve"> </w:t>
      </w:r>
    </w:p>
    <w:p w14:paraId="695FA21C" w14:textId="77777777" w:rsidR="00956680" w:rsidRDefault="00956680" w:rsidP="00956680">
      <w:pPr>
        <w:spacing w:line="480" w:lineRule="auto"/>
        <w:ind w:left="720" w:hanging="720"/>
      </w:pPr>
      <w:r>
        <w:t>A.</w:t>
      </w:r>
      <w:r>
        <w:tab/>
        <w:t>I have been working for the Commission since September 2013.</w:t>
      </w:r>
    </w:p>
    <w:p w14:paraId="695FA21D" w14:textId="77777777" w:rsidR="00956680" w:rsidRDefault="00956680" w:rsidP="00956680">
      <w:pPr>
        <w:spacing w:line="480" w:lineRule="auto"/>
        <w:ind w:left="720" w:hanging="720"/>
      </w:pPr>
    </w:p>
    <w:p w14:paraId="695FA21E" w14:textId="77777777" w:rsidR="00956680" w:rsidRDefault="00956680" w:rsidP="00956680">
      <w:pPr>
        <w:spacing w:line="480" w:lineRule="auto"/>
        <w:ind w:left="720" w:hanging="720"/>
      </w:pPr>
      <w:r>
        <w:rPr>
          <w:b/>
        </w:rPr>
        <w:t xml:space="preserve">Q </w:t>
      </w:r>
      <w:r>
        <w:rPr>
          <w:b/>
        </w:rPr>
        <w:tab/>
        <w:t xml:space="preserve">Would you please state your educational and professional background?  </w:t>
      </w:r>
    </w:p>
    <w:p w14:paraId="695FA21F" w14:textId="77777777" w:rsidR="00956680" w:rsidRDefault="00956680" w:rsidP="00956680">
      <w:pPr>
        <w:spacing w:line="480" w:lineRule="auto"/>
        <w:ind w:left="720" w:hanging="720"/>
      </w:pPr>
      <w:r>
        <w:t>A.</w:t>
      </w:r>
      <w:r>
        <w:tab/>
        <w:t>I have a Masters in Public Administration from the Daniel J. Evans School of Public Affairs at the University of Washington</w:t>
      </w:r>
      <w:r w:rsidR="00C65CFC">
        <w:t>,</w:t>
      </w:r>
      <w:r>
        <w:t xml:space="preserve"> with a focus on environmental policy, and a B.A. </w:t>
      </w:r>
      <w:r w:rsidR="00C65CFC">
        <w:t xml:space="preserve">degree </w:t>
      </w:r>
      <w:r>
        <w:t>in political science from Colorado State University.</w:t>
      </w:r>
    </w:p>
    <w:p w14:paraId="695FA220" w14:textId="77777777" w:rsidR="00956680" w:rsidRDefault="00956680" w:rsidP="00956680">
      <w:pPr>
        <w:spacing w:line="480" w:lineRule="auto"/>
        <w:ind w:left="720" w:hanging="720"/>
      </w:pPr>
    </w:p>
    <w:p w14:paraId="695FA221" w14:textId="77777777" w:rsidR="00956680" w:rsidRDefault="00956680" w:rsidP="0048349F">
      <w:pPr>
        <w:pStyle w:val="Heading1"/>
      </w:pPr>
      <w:bookmarkStart w:id="1" w:name="_Toc393689820"/>
      <w:r>
        <w:t>II.</w:t>
      </w:r>
      <w:r>
        <w:tab/>
        <w:t>SCOPE AND SUMMARY OF TESTIMONY</w:t>
      </w:r>
      <w:bookmarkEnd w:id="1"/>
    </w:p>
    <w:p w14:paraId="695FA222" w14:textId="77777777" w:rsidR="00956680" w:rsidRDefault="00956680" w:rsidP="00956680">
      <w:pPr>
        <w:spacing w:line="480" w:lineRule="auto"/>
        <w:ind w:left="720" w:hanging="720"/>
      </w:pPr>
    </w:p>
    <w:p w14:paraId="695FA223" w14:textId="77777777" w:rsidR="00956680" w:rsidRDefault="00956680" w:rsidP="00956680">
      <w:pPr>
        <w:spacing w:line="480" w:lineRule="auto"/>
        <w:ind w:left="720" w:hanging="720"/>
        <w:rPr>
          <w:b/>
        </w:rPr>
      </w:pPr>
      <w:r>
        <w:rPr>
          <w:b/>
        </w:rPr>
        <w:t>Q.</w:t>
      </w:r>
      <w:r>
        <w:rPr>
          <w:b/>
        </w:rPr>
        <w:tab/>
        <w:t>What is the purpose of your testimony?</w:t>
      </w:r>
    </w:p>
    <w:p w14:paraId="695FA224" w14:textId="5806ED12" w:rsidR="00EA6E1F" w:rsidRDefault="00956680" w:rsidP="00EA6E1F">
      <w:pPr>
        <w:spacing w:line="480" w:lineRule="auto"/>
        <w:ind w:left="720" w:hanging="720"/>
      </w:pPr>
      <w:r>
        <w:lastRenderedPageBreak/>
        <w:t>A.</w:t>
      </w:r>
      <w:r>
        <w:tab/>
      </w:r>
      <w:r w:rsidR="002F3299">
        <w:t>T</w:t>
      </w:r>
      <w:r w:rsidR="00C65CFC">
        <w:t xml:space="preserve">he purpose of my testimony is to present Staff’s recommendation that the </w:t>
      </w:r>
      <w:r>
        <w:t xml:space="preserve">Commission require Avista to implement a Service Quality and Reliability </w:t>
      </w:r>
      <w:r w:rsidR="007F1DE5">
        <w:t>Report Card (“SQR”)</w:t>
      </w:r>
      <w:r>
        <w:t>.</w:t>
      </w:r>
    </w:p>
    <w:p w14:paraId="695FA225" w14:textId="4A195179" w:rsidR="00956680" w:rsidRDefault="00956680" w:rsidP="00EA6E1F">
      <w:pPr>
        <w:spacing w:line="480" w:lineRule="auto"/>
        <w:ind w:left="720" w:firstLine="720"/>
      </w:pPr>
      <w:r>
        <w:t xml:space="preserve">The </w:t>
      </w:r>
      <w:r w:rsidR="007F1DE5">
        <w:t>SQR will be filed as part of the</w:t>
      </w:r>
      <w:r w:rsidR="00EA6E1F">
        <w:t xml:space="preserve"> </w:t>
      </w:r>
      <w:r w:rsidR="003934CF">
        <w:t>existing</w:t>
      </w:r>
      <w:r>
        <w:t xml:space="preserve"> </w:t>
      </w:r>
      <w:r w:rsidR="003934CF">
        <w:t>e</w:t>
      </w:r>
      <w:r>
        <w:t xml:space="preserve">lectric </w:t>
      </w:r>
      <w:r w:rsidR="003934CF">
        <w:t>reliability report</w:t>
      </w:r>
      <w:r>
        <w:t xml:space="preserve"> the Company already files annually</w:t>
      </w:r>
      <w:r w:rsidR="00C65CFC">
        <w:t>,</w:t>
      </w:r>
      <w:r>
        <w:t xml:space="preserve"> as required by WAC 480-100-</w:t>
      </w:r>
      <w:r w:rsidR="00DD4AD2">
        <w:t>398</w:t>
      </w:r>
      <w:r>
        <w:t xml:space="preserve">.    </w:t>
      </w:r>
    </w:p>
    <w:p w14:paraId="695FA226" w14:textId="49657377" w:rsidR="00956680" w:rsidRDefault="00956680" w:rsidP="00956680">
      <w:pPr>
        <w:spacing w:line="480" w:lineRule="auto"/>
        <w:ind w:left="720" w:hanging="720"/>
      </w:pPr>
      <w:r>
        <w:tab/>
      </w:r>
      <w:r>
        <w:tab/>
      </w:r>
      <w:r w:rsidR="00275CED">
        <w:t xml:space="preserve">Staff </w:t>
      </w:r>
      <w:r w:rsidR="00C33ED4">
        <w:t>proposes</w:t>
      </w:r>
      <w:r>
        <w:t xml:space="preserve"> an enforceable penalty mechanism</w:t>
      </w:r>
      <w:r w:rsidR="00275CED">
        <w:t xml:space="preserve"> for two of the existing electric metrics, </w:t>
      </w:r>
      <w:r w:rsidR="00C27069">
        <w:t xml:space="preserve">and </w:t>
      </w:r>
      <w:r w:rsidR="00275CED">
        <w:t>adds two additional safety metrics</w:t>
      </w:r>
      <w:r w:rsidR="00C27069">
        <w:t>.  Staff also proposes</w:t>
      </w:r>
      <w:r>
        <w:t xml:space="preserve"> seven customer guarantees</w:t>
      </w:r>
      <w:r w:rsidR="00C27069">
        <w:t xml:space="preserve">, with a </w:t>
      </w:r>
      <w:r w:rsidR="00645AD0">
        <w:t>bill credit</w:t>
      </w:r>
      <w:r w:rsidR="00C27069">
        <w:t xml:space="preserve"> to the customer if Avista does </w:t>
      </w:r>
      <w:r w:rsidR="00DD4AD2">
        <w:t xml:space="preserve">not </w:t>
      </w:r>
      <w:r w:rsidR="00C27069">
        <w:t>meet a customer service standard</w:t>
      </w:r>
      <w:r>
        <w:t xml:space="preserve">.  </w:t>
      </w:r>
    </w:p>
    <w:p w14:paraId="695FA227" w14:textId="77777777" w:rsidR="00956680" w:rsidRDefault="00956680" w:rsidP="00956680">
      <w:pPr>
        <w:spacing w:line="480" w:lineRule="auto"/>
        <w:ind w:left="720" w:hanging="720"/>
      </w:pPr>
    </w:p>
    <w:p w14:paraId="695FA228" w14:textId="1F36EF83" w:rsidR="00956680" w:rsidRDefault="00956680" w:rsidP="00956680">
      <w:pPr>
        <w:spacing w:line="480" w:lineRule="auto"/>
        <w:ind w:left="720" w:hanging="720"/>
      </w:pPr>
      <w:r>
        <w:t>Q</w:t>
      </w:r>
      <w:r w:rsidR="004D6E52">
        <w:t>.</w:t>
      </w:r>
      <w:r>
        <w:tab/>
      </w:r>
      <w:r>
        <w:rPr>
          <w:b/>
        </w:rPr>
        <w:t>Why is a</w:t>
      </w:r>
      <w:r w:rsidRPr="0051711C">
        <w:rPr>
          <w:b/>
        </w:rPr>
        <w:t xml:space="preserve"> S</w:t>
      </w:r>
      <w:r w:rsidR="00C65CFC">
        <w:rPr>
          <w:b/>
        </w:rPr>
        <w:t>QR</w:t>
      </w:r>
      <w:r>
        <w:rPr>
          <w:b/>
        </w:rPr>
        <w:t xml:space="preserve"> n</w:t>
      </w:r>
      <w:r w:rsidRPr="0051711C">
        <w:rPr>
          <w:b/>
        </w:rPr>
        <w:t>ecessary</w:t>
      </w:r>
      <w:r>
        <w:t>?</w:t>
      </w:r>
    </w:p>
    <w:p w14:paraId="695FA229" w14:textId="51B9EA6F" w:rsidR="0064710D" w:rsidRDefault="004D6E52" w:rsidP="00956680">
      <w:pPr>
        <w:spacing w:line="480" w:lineRule="auto"/>
        <w:ind w:left="720" w:hanging="720"/>
      </w:pPr>
      <w:r>
        <w:t>A.</w:t>
      </w:r>
      <w:r w:rsidR="00956680">
        <w:tab/>
        <w:t>Avista is required to supply service that is safe, adequate and efficient.</w:t>
      </w:r>
      <w:r w:rsidR="00956680">
        <w:rPr>
          <w:rStyle w:val="FootnoteReference"/>
        </w:rPr>
        <w:footnoteReference w:id="1"/>
      </w:r>
      <w:r w:rsidR="00956680">
        <w:t xml:space="preserve">  As with any business, there are pressures on </w:t>
      </w:r>
      <w:r w:rsidR="00C65CFC">
        <w:t xml:space="preserve">a </w:t>
      </w:r>
      <w:r w:rsidR="00895A54">
        <w:t>company</w:t>
      </w:r>
      <w:r w:rsidR="00956680">
        <w:t xml:space="preserve"> to keep costs down.</w:t>
      </w:r>
      <w:r w:rsidR="00956680" w:rsidRPr="00EB1566">
        <w:t xml:space="preserve"> </w:t>
      </w:r>
      <w:r w:rsidR="00C65CFC">
        <w:t xml:space="preserve"> </w:t>
      </w:r>
      <w:r w:rsidR="00956680">
        <w:t xml:space="preserve">When a utility aggressively manages its costs, both the utility and its customers can benefit.  However, it is conceivable a utility might cut costs at the expense of the reliability and safety of its service.  This would be contrary to the Commission’s mission to ensure that utility services are fairly priced, available, reliable and safe.  </w:t>
      </w:r>
    </w:p>
    <w:p w14:paraId="695FA22A" w14:textId="48C3CFE4" w:rsidR="00956680" w:rsidRPr="00AE015D" w:rsidRDefault="0064710D" w:rsidP="00956680">
      <w:pPr>
        <w:spacing w:line="480" w:lineRule="auto"/>
        <w:ind w:left="720" w:hanging="720"/>
      </w:pPr>
      <w:r>
        <w:tab/>
      </w:r>
      <w:r>
        <w:tab/>
      </w:r>
      <w:r w:rsidR="00C33ED4">
        <w:t>The Commission recognized this need in its 200</w:t>
      </w:r>
      <w:r w:rsidR="00AB2B45">
        <w:t>1</w:t>
      </w:r>
      <w:r w:rsidR="00D2682A">
        <w:t xml:space="preserve"> </w:t>
      </w:r>
      <w:r w:rsidR="00C33ED4">
        <w:t>rulemaking in Docket UE-</w:t>
      </w:r>
      <w:r w:rsidR="00AB2B45">
        <w:t>991168</w:t>
      </w:r>
      <w:r w:rsidR="00C33ED4">
        <w:t xml:space="preserve">, intimating that after a reasonable amount of time collecting data, the Commission would be able to establish the necessary service quality standards. </w:t>
      </w:r>
      <w:r w:rsidR="00A82C8D">
        <w:t xml:space="preserve"> </w:t>
      </w:r>
      <w:r w:rsidR="00C33ED4">
        <w:t>The Commission has already recognized the need to</w:t>
      </w:r>
      <w:r w:rsidR="00956680">
        <w:t xml:space="preserve"> establish minimum service quality and reliability standards, </w:t>
      </w:r>
      <w:r w:rsidR="00C33ED4">
        <w:t xml:space="preserve">and the addition of </w:t>
      </w:r>
      <w:r w:rsidR="00956680">
        <w:t>penalties</w:t>
      </w:r>
      <w:r w:rsidR="00C65CFC">
        <w:t xml:space="preserve"> </w:t>
      </w:r>
      <w:r w:rsidR="00895A54">
        <w:t>for</w:t>
      </w:r>
      <w:r w:rsidR="00C65CFC">
        <w:t xml:space="preserve"> no</w:t>
      </w:r>
      <w:r w:rsidR="00895A54">
        <w:t>n</w:t>
      </w:r>
      <w:r w:rsidR="00C65CFC">
        <w:t>-compl</w:t>
      </w:r>
      <w:r w:rsidR="00895A54">
        <w:t>ia</w:t>
      </w:r>
      <w:r w:rsidR="00C65CFC">
        <w:t>nce</w:t>
      </w:r>
      <w:r w:rsidR="00956680">
        <w:t xml:space="preserve"> will </w:t>
      </w:r>
      <w:r w:rsidR="00C33ED4">
        <w:t xml:space="preserve">effectively </w:t>
      </w:r>
      <w:r w:rsidR="00956680">
        <w:t xml:space="preserve">protect customers </w:t>
      </w:r>
      <w:r w:rsidR="00A82C8D">
        <w:t xml:space="preserve">by helping </w:t>
      </w:r>
      <w:r w:rsidR="00956680">
        <w:t xml:space="preserve">assure they continue to receive reliable and </w:t>
      </w:r>
      <w:r w:rsidR="00956680">
        <w:lastRenderedPageBreak/>
        <w:t xml:space="preserve">safe service.  This is the goal of the </w:t>
      </w:r>
      <w:r w:rsidR="00C65CFC">
        <w:t xml:space="preserve">service quality standards, </w:t>
      </w:r>
      <w:r w:rsidR="0032703A">
        <w:t xml:space="preserve">to be </w:t>
      </w:r>
      <w:r w:rsidR="00C65CFC">
        <w:t xml:space="preserve">reported in the </w:t>
      </w:r>
      <w:r w:rsidR="00956680">
        <w:t>SQR.</w:t>
      </w:r>
    </w:p>
    <w:p w14:paraId="695FA22B" w14:textId="77777777" w:rsidR="00956680" w:rsidRDefault="00956680" w:rsidP="00956680">
      <w:pPr>
        <w:spacing w:line="480" w:lineRule="auto"/>
        <w:ind w:left="720" w:hanging="720"/>
        <w:jc w:val="center"/>
        <w:rPr>
          <w:b/>
        </w:rPr>
      </w:pPr>
    </w:p>
    <w:p w14:paraId="695FA22C" w14:textId="77777777" w:rsidR="00956680" w:rsidRDefault="00956680" w:rsidP="0048349F">
      <w:pPr>
        <w:pStyle w:val="Heading1"/>
      </w:pPr>
      <w:bookmarkStart w:id="2" w:name="_Toc393689821"/>
      <w:r>
        <w:t>II</w:t>
      </w:r>
      <w:r w:rsidR="0048349F">
        <w:t>I</w:t>
      </w:r>
      <w:r>
        <w:t>.</w:t>
      </w:r>
      <w:r>
        <w:tab/>
        <w:t>DISCUSSION</w:t>
      </w:r>
      <w:bookmarkEnd w:id="2"/>
    </w:p>
    <w:p w14:paraId="695FA22D" w14:textId="77777777" w:rsidR="00956680" w:rsidRDefault="00956680" w:rsidP="00956680">
      <w:pPr>
        <w:spacing w:line="480" w:lineRule="auto"/>
        <w:ind w:left="720" w:hanging="720"/>
        <w:rPr>
          <w:b/>
        </w:rPr>
      </w:pPr>
    </w:p>
    <w:p w14:paraId="695FA22E" w14:textId="77777777" w:rsidR="00956680" w:rsidRPr="00A55650" w:rsidRDefault="00956680" w:rsidP="00A55650">
      <w:pPr>
        <w:pStyle w:val="Heading2"/>
      </w:pPr>
      <w:r>
        <w:tab/>
      </w:r>
      <w:bookmarkStart w:id="3" w:name="_Toc393689822"/>
      <w:r w:rsidRPr="00A55650">
        <w:t>A.</w:t>
      </w:r>
      <w:r w:rsidRPr="00A55650">
        <w:tab/>
        <w:t>Current Report</w:t>
      </w:r>
      <w:r w:rsidR="00314F70">
        <w:t>s</w:t>
      </w:r>
      <w:r w:rsidR="00F4180C">
        <w:t xml:space="preserve"> Related to the Provision of Service</w:t>
      </w:r>
      <w:bookmarkEnd w:id="3"/>
      <w:r w:rsidRPr="00A55650">
        <w:t xml:space="preserve"> </w:t>
      </w:r>
    </w:p>
    <w:p w14:paraId="695FA22F" w14:textId="77777777" w:rsidR="00956680" w:rsidRDefault="00956680" w:rsidP="00956680">
      <w:pPr>
        <w:spacing w:line="480" w:lineRule="auto"/>
        <w:ind w:left="720" w:hanging="720"/>
      </w:pPr>
    </w:p>
    <w:p w14:paraId="695FA230" w14:textId="77777777" w:rsidR="00956680" w:rsidRDefault="00956680" w:rsidP="00956680">
      <w:pPr>
        <w:spacing w:line="480" w:lineRule="auto"/>
        <w:ind w:left="720" w:hanging="720"/>
        <w:rPr>
          <w:b/>
        </w:rPr>
      </w:pPr>
      <w:r>
        <w:rPr>
          <w:b/>
        </w:rPr>
        <w:t>Q.</w:t>
      </w:r>
      <w:r>
        <w:rPr>
          <w:b/>
        </w:rPr>
        <w:tab/>
      </w:r>
      <w:r w:rsidR="00F4180C">
        <w:rPr>
          <w:b/>
        </w:rPr>
        <w:t xml:space="preserve">Does the Commission require electric utilities to file annual reports about the provision of safe, adequate </w:t>
      </w:r>
      <w:r w:rsidR="00A82C8D">
        <w:rPr>
          <w:b/>
        </w:rPr>
        <w:t>service</w:t>
      </w:r>
      <w:r>
        <w:rPr>
          <w:b/>
        </w:rPr>
        <w:t>?</w:t>
      </w:r>
    </w:p>
    <w:p w14:paraId="695FA231" w14:textId="77777777" w:rsidR="00535623" w:rsidRDefault="00956680" w:rsidP="00956680">
      <w:pPr>
        <w:spacing w:line="480" w:lineRule="auto"/>
        <w:ind w:left="720" w:hanging="720"/>
      </w:pPr>
      <w:r>
        <w:t>A.</w:t>
      </w:r>
      <w:r>
        <w:tab/>
      </w:r>
      <w:r w:rsidR="00C772D6">
        <w:t xml:space="preserve">Yes.  </w:t>
      </w:r>
      <w:r>
        <w:t xml:space="preserve">As required by WAC 480-100-393, Avista </w:t>
      </w:r>
      <w:r w:rsidR="00DD4AD2">
        <w:t xml:space="preserve">filed </w:t>
      </w:r>
      <w:r>
        <w:t>a</w:t>
      </w:r>
      <w:r w:rsidR="00BF6180">
        <w:t xml:space="preserve"> plan describing its</w:t>
      </w:r>
      <w:r>
        <w:t xml:space="preserve"> report on electric </w:t>
      </w:r>
      <w:r w:rsidR="00A82C8D">
        <w:t xml:space="preserve">service </w:t>
      </w:r>
      <w:r>
        <w:t>reliability</w:t>
      </w:r>
      <w:r w:rsidR="00A82C8D">
        <w:t xml:space="preserve">.  </w:t>
      </w:r>
      <w:r>
        <w:t>The rule allow</w:t>
      </w:r>
      <w:r w:rsidR="00C33ED4">
        <w:t>ed</w:t>
      </w:r>
      <w:r>
        <w:t xml:space="preserve"> Avi</w:t>
      </w:r>
      <w:r w:rsidR="00415765">
        <w:t xml:space="preserve">sta to </w:t>
      </w:r>
      <w:r w:rsidR="00C33ED4">
        <w:t xml:space="preserve">propose </w:t>
      </w:r>
      <w:r w:rsidR="00DD4AD2">
        <w:t xml:space="preserve">annual </w:t>
      </w:r>
      <w:r w:rsidR="00415765">
        <w:t xml:space="preserve">reliability </w:t>
      </w:r>
      <w:r>
        <w:t xml:space="preserve">statistics and metrics </w:t>
      </w:r>
      <w:r w:rsidR="00C33ED4">
        <w:t xml:space="preserve">it would </w:t>
      </w:r>
      <w:r>
        <w:t>report</w:t>
      </w:r>
      <w:r w:rsidR="00BF6180">
        <w:t xml:space="preserve"> under WAC 480-100-398</w:t>
      </w:r>
      <w:r w:rsidR="00A82C8D">
        <w:t>,</w:t>
      </w:r>
      <w:r>
        <w:t xml:space="preserve"> and the baselines for those metrics.</w:t>
      </w:r>
      <w:r w:rsidR="00C33ED4">
        <w:t xml:space="preserve">  The Commission approved Avista’s current metrics in Docket UE-</w:t>
      </w:r>
      <w:r w:rsidR="00F4180C">
        <w:t>110595</w:t>
      </w:r>
      <w:r w:rsidR="00C33ED4">
        <w:t>.</w:t>
      </w:r>
      <w:r w:rsidR="00DD4AD2">
        <w:rPr>
          <w:rStyle w:val="FootnoteReference"/>
        </w:rPr>
        <w:footnoteReference w:id="2"/>
      </w:r>
      <w:r>
        <w:t xml:space="preserve">  The rule</w:t>
      </w:r>
      <w:r w:rsidR="00BF6180">
        <w:t>s</w:t>
      </w:r>
      <w:r>
        <w:t xml:space="preserve"> do not prescribe specific performance standards, nor do</w:t>
      </w:r>
      <w:r w:rsidR="00BF6180">
        <w:t xml:space="preserve"> they</w:t>
      </w:r>
      <w:r>
        <w:t xml:space="preserve"> establish a penalty if a utility fails to meet its own baselines and self-imposed targets. </w:t>
      </w:r>
    </w:p>
    <w:p w14:paraId="695FA232" w14:textId="77777777" w:rsidR="00535623" w:rsidRDefault="00956680" w:rsidP="00956680">
      <w:pPr>
        <w:spacing w:line="480" w:lineRule="auto"/>
        <w:ind w:left="720" w:hanging="720"/>
      </w:pPr>
      <w:r>
        <w:t xml:space="preserve"> </w:t>
      </w:r>
    </w:p>
    <w:p w14:paraId="695FA233" w14:textId="77777777" w:rsidR="00535623" w:rsidRDefault="00535623" w:rsidP="00956680">
      <w:pPr>
        <w:spacing w:line="480" w:lineRule="auto"/>
        <w:ind w:left="720" w:hanging="720"/>
        <w:rPr>
          <w:b/>
        </w:rPr>
      </w:pPr>
      <w:r w:rsidRPr="00F4180C">
        <w:rPr>
          <w:b/>
        </w:rPr>
        <w:t>Q.</w:t>
      </w:r>
      <w:r w:rsidRPr="00F4180C">
        <w:rPr>
          <w:b/>
        </w:rPr>
        <w:tab/>
        <w:t xml:space="preserve">Does the Commission require </w:t>
      </w:r>
      <w:r w:rsidR="00902A4D">
        <w:rPr>
          <w:b/>
        </w:rPr>
        <w:t>gas utilities to file annual</w:t>
      </w:r>
      <w:r w:rsidR="00F4180C">
        <w:rPr>
          <w:b/>
        </w:rPr>
        <w:t xml:space="preserve"> reports</w:t>
      </w:r>
      <w:r w:rsidR="00902A4D">
        <w:rPr>
          <w:b/>
        </w:rPr>
        <w:t xml:space="preserve"> a</w:t>
      </w:r>
      <w:r w:rsidR="00F4180C">
        <w:rPr>
          <w:b/>
        </w:rPr>
        <w:t>bout</w:t>
      </w:r>
      <w:r w:rsidR="00DD4AD2">
        <w:rPr>
          <w:b/>
        </w:rPr>
        <w:t xml:space="preserve"> the provision of</w:t>
      </w:r>
      <w:r w:rsidR="00902A4D">
        <w:rPr>
          <w:b/>
        </w:rPr>
        <w:t xml:space="preserve"> safe</w:t>
      </w:r>
      <w:r w:rsidR="00BF6180">
        <w:rPr>
          <w:b/>
        </w:rPr>
        <w:t>, adequate service</w:t>
      </w:r>
      <w:r w:rsidR="00902A4D">
        <w:rPr>
          <w:b/>
        </w:rPr>
        <w:t>?</w:t>
      </w:r>
    </w:p>
    <w:p w14:paraId="695FA234" w14:textId="2B1634FC" w:rsidR="00535623" w:rsidRPr="00902A4D" w:rsidRDefault="00902A4D" w:rsidP="00CA7A2D">
      <w:pPr>
        <w:spacing w:line="480" w:lineRule="auto"/>
        <w:ind w:left="720"/>
      </w:pPr>
      <w:r>
        <w:t xml:space="preserve">Yes.  </w:t>
      </w:r>
      <w:r w:rsidR="00C27069">
        <w:t xml:space="preserve">Under the </w:t>
      </w:r>
      <w:r>
        <w:t>gas pipeline safety rules</w:t>
      </w:r>
      <w:r w:rsidR="00C27069">
        <w:t>, the Commission</w:t>
      </w:r>
      <w:r>
        <w:t xml:space="preserve"> require</w:t>
      </w:r>
      <w:r w:rsidR="00C27069">
        <w:t>s</w:t>
      </w:r>
      <w:r>
        <w:t xml:space="preserve"> each gas utility (among others) to file </w:t>
      </w:r>
      <w:r w:rsidR="009720C5">
        <w:t xml:space="preserve">annually </w:t>
      </w:r>
      <w:r>
        <w:t xml:space="preserve">a copy of the report the utility files with the United States Department of </w:t>
      </w:r>
      <w:r w:rsidR="00C27069">
        <w:t>T</w:t>
      </w:r>
      <w:r>
        <w:t xml:space="preserve">ransportation, Department of Pipeline Safety, as well as </w:t>
      </w:r>
      <w:r w:rsidR="00C27069">
        <w:t xml:space="preserve">a report on </w:t>
      </w:r>
      <w:r>
        <w:t>construction defects and on material failures that result in leaks</w:t>
      </w:r>
      <w:r w:rsidR="00430835">
        <w:t>.</w:t>
      </w:r>
      <w:r w:rsidR="00430835">
        <w:rPr>
          <w:rStyle w:val="FootnoteReference"/>
        </w:rPr>
        <w:footnoteReference w:id="3"/>
      </w:r>
      <w:r w:rsidR="00BF6180">
        <w:t xml:space="preserve">  Other </w:t>
      </w:r>
      <w:r w:rsidR="00BF6180">
        <w:lastRenderedPageBreak/>
        <w:t>parts of the pipeline safety rules require the utility to provide plans for responding to leaks and maintaining valves, which include response times.</w:t>
      </w:r>
      <w:r>
        <w:t xml:space="preserve">  </w:t>
      </w:r>
      <w:r w:rsidR="00506EB7">
        <w:t xml:space="preserve">Therefore, </w:t>
      </w:r>
      <w:r w:rsidR="007F6339">
        <w:t xml:space="preserve">for Avista’s gas operations, </w:t>
      </w:r>
      <w:r w:rsidR="00506EB7">
        <w:t>I</w:t>
      </w:r>
      <w:r w:rsidR="00BF6180">
        <w:t xml:space="preserve"> only address</w:t>
      </w:r>
      <w:r w:rsidR="001169AE">
        <w:t xml:space="preserve"> the</w:t>
      </w:r>
      <w:r w:rsidR="00506EB7">
        <w:t xml:space="preserve"> </w:t>
      </w:r>
      <w:r w:rsidR="001169AE">
        <w:t xml:space="preserve">field technician </w:t>
      </w:r>
      <w:r w:rsidR="00506EB7">
        <w:t>response time</w:t>
      </w:r>
      <w:r w:rsidR="007F6339">
        <w:t xml:space="preserve"> </w:t>
      </w:r>
      <w:r w:rsidR="001169AE">
        <w:t>for customer reported natural gas emergencies</w:t>
      </w:r>
      <w:r w:rsidR="00506EB7">
        <w:t xml:space="preserve"> for gas utilities.</w:t>
      </w:r>
    </w:p>
    <w:p w14:paraId="695FA235" w14:textId="77777777" w:rsidR="00956680" w:rsidRDefault="00956680" w:rsidP="00956680">
      <w:pPr>
        <w:spacing w:line="480" w:lineRule="auto"/>
        <w:ind w:left="720" w:hanging="720"/>
        <w:rPr>
          <w:b/>
        </w:rPr>
      </w:pPr>
    </w:p>
    <w:p w14:paraId="695FA236" w14:textId="77777777" w:rsidR="00956680" w:rsidRDefault="00956680" w:rsidP="00956680">
      <w:pPr>
        <w:spacing w:line="480" w:lineRule="auto"/>
        <w:ind w:left="720" w:hanging="720"/>
      </w:pPr>
      <w:r>
        <w:rPr>
          <w:b/>
        </w:rPr>
        <w:t>Q.</w:t>
      </w:r>
      <w:r>
        <w:rPr>
          <w:b/>
        </w:rPr>
        <w:tab/>
        <w:t xml:space="preserve">What </w:t>
      </w:r>
      <w:r w:rsidR="001F033D">
        <w:rPr>
          <w:b/>
        </w:rPr>
        <w:t>does Avista include in its</w:t>
      </w:r>
      <w:r w:rsidR="003934CF">
        <w:rPr>
          <w:b/>
        </w:rPr>
        <w:t xml:space="preserve"> current</w:t>
      </w:r>
      <w:r w:rsidR="00C33ED4">
        <w:rPr>
          <w:b/>
        </w:rPr>
        <w:t xml:space="preserve"> electric reliability</w:t>
      </w:r>
      <w:r>
        <w:rPr>
          <w:b/>
        </w:rPr>
        <w:t xml:space="preserve"> </w:t>
      </w:r>
      <w:r w:rsidR="003934CF">
        <w:rPr>
          <w:b/>
        </w:rPr>
        <w:t>r</w:t>
      </w:r>
      <w:r>
        <w:rPr>
          <w:b/>
        </w:rPr>
        <w:t>eport?</w:t>
      </w:r>
      <w:r>
        <w:t xml:space="preserve">  </w:t>
      </w:r>
    </w:p>
    <w:p w14:paraId="695FA237" w14:textId="77777777" w:rsidR="00956680" w:rsidRDefault="00956680" w:rsidP="00956680">
      <w:pPr>
        <w:spacing w:line="480" w:lineRule="auto"/>
        <w:ind w:left="720" w:hanging="720"/>
      </w:pPr>
      <w:r>
        <w:t>A.</w:t>
      </w:r>
      <w:r>
        <w:tab/>
      </w:r>
      <w:r w:rsidR="001F033D">
        <w:t xml:space="preserve">The report describes the </w:t>
      </w:r>
      <w:r w:rsidR="00A50E63">
        <w:t>Company</w:t>
      </w:r>
      <w:r w:rsidR="001F033D">
        <w:t>’s reliability performance, using distribution reliability</w:t>
      </w:r>
      <w:r>
        <w:t xml:space="preserve"> metrics identified by the Institute of Electrical and Electronics Engineers (IEEE).  Avista also includes a discussion of the Company’s distribution reliability concerns.  </w:t>
      </w:r>
    </w:p>
    <w:p w14:paraId="695FA238" w14:textId="77777777" w:rsidR="00956680" w:rsidRDefault="00956680" w:rsidP="00956680">
      <w:pPr>
        <w:spacing w:line="480" w:lineRule="auto"/>
        <w:ind w:left="720" w:hanging="720"/>
      </w:pPr>
    </w:p>
    <w:p w14:paraId="695FA239" w14:textId="77777777" w:rsidR="003934CF" w:rsidRPr="00C66B71" w:rsidRDefault="003934CF" w:rsidP="003934CF">
      <w:pPr>
        <w:spacing w:line="480" w:lineRule="auto"/>
        <w:ind w:left="720" w:hanging="720"/>
        <w:rPr>
          <w:b/>
        </w:rPr>
      </w:pPr>
      <w:r>
        <w:rPr>
          <w:b/>
        </w:rPr>
        <w:t>Q.</w:t>
      </w:r>
      <w:r>
        <w:rPr>
          <w:b/>
        </w:rPr>
        <w:tab/>
        <w:t xml:space="preserve">Which explicit </w:t>
      </w:r>
      <w:r w:rsidR="00C33ED4">
        <w:rPr>
          <w:b/>
        </w:rPr>
        <w:t xml:space="preserve">electric </w:t>
      </w:r>
      <w:r>
        <w:rPr>
          <w:b/>
        </w:rPr>
        <w:t>metrics does Avista include</w:t>
      </w:r>
      <w:r w:rsidR="00C772D6">
        <w:rPr>
          <w:b/>
        </w:rPr>
        <w:t xml:space="preserve"> in its annual reliability report</w:t>
      </w:r>
      <w:r>
        <w:rPr>
          <w:b/>
        </w:rPr>
        <w:t>?</w:t>
      </w:r>
    </w:p>
    <w:p w14:paraId="695FA23A" w14:textId="77777777" w:rsidR="003934CF" w:rsidRDefault="003934CF" w:rsidP="00956680">
      <w:pPr>
        <w:spacing w:line="480" w:lineRule="auto"/>
        <w:ind w:left="720" w:hanging="720"/>
      </w:pPr>
      <w:r>
        <w:t>A.</w:t>
      </w:r>
      <w:r>
        <w:tab/>
        <w:t>Avista includes</w:t>
      </w:r>
      <w:r w:rsidR="00485B91">
        <w:t xml:space="preserve"> the</w:t>
      </w:r>
      <w:r>
        <w:t xml:space="preserve"> </w:t>
      </w:r>
      <w:r w:rsidR="00485B91">
        <w:t xml:space="preserve">“Daily System Average Interruption Duration Index” (IEEE SAIDI) and the “Daily System Average Interruption Frequency Index” (IEEE SAIFI). </w:t>
      </w:r>
      <w:r w:rsidR="00A82C8D">
        <w:t xml:space="preserve"> </w:t>
      </w:r>
      <w:r w:rsidR="00485B91">
        <w:t>It also reports</w:t>
      </w:r>
      <w:r w:rsidR="00B63345">
        <w:t xml:space="preserve"> </w:t>
      </w:r>
      <w:r w:rsidR="006B7832">
        <w:t>two other</w:t>
      </w:r>
      <w:r w:rsidR="00B63345">
        <w:t xml:space="preserve"> IEEE reliability metrics</w:t>
      </w:r>
      <w:r w:rsidR="006B7832">
        <w:t>, “</w:t>
      </w:r>
      <w:r w:rsidR="006B7832" w:rsidRPr="006B7832">
        <w:t>Momentary Average Interruption Frequency Index</w:t>
      </w:r>
      <w:r w:rsidR="006B7832">
        <w:t>” (MAIFI)</w:t>
      </w:r>
      <w:r w:rsidR="006B7832" w:rsidRPr="006B7832">
        <w:t xml:space="preserve"> and </w:t>
      </w:r>
      <w:r w:rsidR="006B7832">
        <w:t>“</w:t>
      </w:r>
      <w:r w:rsidR="006B7832" w:rsidRPr="006B7832">
        <w:t>Customer Average Interruption Duration Index</w:t>
      </w:r>
      <w:r w:rsidR="006B7832">
        <w:t xml:space="preserve">” (CAIDI). </w:t>
      </w:r>
      <w:r w:rsidR="00A82C8D">
        <w:t xml:space="preserve"> I explain </w:t>
      </w:r>
      <w:r w:rsidR="00B63345">
        <w:t>IEEE SAIDI and SAIFI</w:t>
      </w:r>
      <w:r w:rsidR="00485B91">
        <w:t xml:space="preserve"> later in my testimony.</w:t>
      </w:r>
    </w:p>
    <w:p w14:paraId="695FA23B" w14:textId="77777777" w:rsidR="003934CF" w:rsidRDefault="003934CF" w:rsidP="00956680">
      <w:pPr>
        <w:spacing w:line="480" w:lineRule="auto"/>
        <w:ind w:left="720" w:hanging="720"/>
      </w:pPr>
    </w:p>
    <w:p w14:paraId="695FA23C" w14:textId="77777777" w:rsidR="00956680" w:rsidRPr="00C66B71" w:rsidRDefault="00956680" w:rsidP="00956680">
      <w:pPr>
        <w:spacing w:line="480" w:lineRule="auto"/>
        <w:ind w:left="720" w:hanging="720"/>
        <w:rPr>
          <w:b/>
        </w:rPr>
      </w:pPr>
      <w:r>
        <w:rPr>
          <w:b/>
        </w:rPr>
        <w:t>Q.</w:t>
      </w:r>
      <w:r>
        <w:rPr>
          <w:b/>
        </w:rPr>
        <w:tab/>
        <w:t>Are these metrics used by other electric utilities the Commission regulates?</w:t>
      </w:r>
    </w:p>
    <w:p w14:paraId="695FA23D" w14:textId="77777777" w:rsidR="00956680" w:rsidRDefault="00956680" w:rsidP="00956680">
      <w:pPr>
        <w:spacing w:line="480" w:lineRule="auto"/>
        <w:ind w:left="720" w:hanging="720"/>
      </w:pPr>
      <w:r>
        <w:t>A.</w:t>
      </w:r>
      <w:r>
        <w:tab/>
        <w:t xml:space="preserve">Yes.  The </w:t>
      </w:r>
      <w:r w:rsidR="00EB38F4">
        <w:t xml:space="preserve">electric reliability </w:t>
      </w:r>
      <w:r w:rsidR="003934CF">
        <w:t>r</w:t>
      </w:r>
      <w:r>
        <w:t>epo</w:t>
      </w:r>
      <w:r w:rsidR="002E09A3">
        <w:t>r</w:t>
      </w:r>
      <w:r>
        <w:t>ts filed by Puget Sound Energy</w:t>
      </w:r>
      <w:r w:rsidR="00A94BB1">
        <w:t xml:space="preserve"> (PSE)</w:t>
      </w:r>
      <w:r>
        <w:t xml:space="preserve"> and </w:t>
      </w:r>
      <w:r w:rsidR="00A94BB1">
        <w:t>Pacific Power &amp; Light Company (</w:t>
      </w:r>
      <w:r>
        <w:t>PacifiCorp</w:t>
      </w:r>
      <w:r w:rsidR="00A94BB1">
        <w:t>)</w:t>
      </w:r>
      <w:r>
        <w:t xml:space="preserve"> include many of the same metrics, all of which are from the IEEE. </w:t>
      </w:r>
    </w:p>
    <w:p w14:paraId="695FA23F" w14:textId="77777777" w:rsidR="00956680" w:rsidRDefault="00956680" w:rsidP="00A55650">
      <w:pPr>
        <w:pStyle w:val="Heading2"/>
      </w:pPr>
      <w:r>
        <w:lastRenderedPageBreak/>
        <w:tab/>
      </w:r>
      <w:bookmarkStart w:id="4" w:name="_Toc393689823"/>
      <w:r>
        <w:t>B.</w:t>
      </w:r>
      <w:r>
        <w:tab/>
        <w:t xml:space="preserve">Staff’s Proposal for the </w:t>
      </w:r>
      <w:r w:rsidR="00506EB7">
        <w:t xml:space="preserve">Existing </w:t>
      </w:r>
      <w:r>
        <w:t>Reliability Report</w:t>
      </w:r>
      <w:bookmarkEnd w:id="4"/>
    </w:p>
    <w:p w14:paraId="695FA240" w14:textId="77777777" w:rsidR="00956680" w:rsidRPr="00C66B71" w:rsidRDefault="00956680" w:rsidP="00956680">
      <w:pPr>
        <w:spacing w:line="480" w:lineRule="auto"/>
        <w:ind w:left="720" w:hanging="720"/>
        <w:rPr>
          <w:b/>
        </w:rPr>
      </w:pPr>
    </w:p>
    <w:p w14:paraId="695FA241" w14:textId="77777777" w:rsidR="00956680" w:rsidRDefault="00956680" w:rsidP="00956680">
      <w:pPr>
        <w:spacing w:line="480" w:lineRule="auto"/>
        <w:ind w:left="720" w:hanging="720"/>
        <w:rPr>
          <w:b/>
        </w:rPr>
      </w:pPr>
      <w:r>
        <w:rPr>
          <w:b/>
        </w:rPr>
        <w:t>Q.</w:t>
      </w:r>
      <w:r>
        <w:rPr>
          <w:b/>
        </w:rPr>
        <w:tab/>
      </w:r>
      <w:r w:rsidR="00A82C8D">
        <w:rPr>
          <w:b/>
        </w:rPr>
        <w:t xml:space="preserve">What does </w:t>
      </w:r>
      <w:r>
        <w:rPr>
          <w:b/>
        </w:rPr>
        <w:t xml:space="preserve">Staff propose </w:t>
      </w:r>
      <w:r w:rsidR="00A82C8D">
        <w:rPr>
          <w:b/>
        </w:rPr>
        <w:t xml:space="preserve">regarding </w:t>
      </w:r>
      <w:r>
        <w:rPr>
          <w:b/>
        </w:rPr>
        <w:t xml:space="preserve">Avista’s </w:t>
      </w:r>
      <w:r w:rsidR="00C33ED4">
        <w:rPr>
          <w:b/>
        </w:rPr>
        <w:t>existing electric reliability report</w:t>
      </w:r>
      <w:r>
        <w:rPr>
          <w:b/>
        </w:rPr>
        <w:t>?</w:t>
      </w:r>
    </w:p>
    <w:p w14:paraId="695FA242" w14:textId="308263EB" w:rsidR="00956680" w:rsidRDefault="00956680" w:rsidP="00956680">
      <w:pPr>
        <w:spacing w:line="480" w:lineRule="auto"/>
        <w:ind w:left="720" w:hanging="720"/>
      </w:pPr>
      <w:r>
        <w:t>A.</w:t>
      </w:r>
      <w:r>
        <w:tab/>
      </w:r>
      <w:r w:rsidR="00A82C8D">
        <w:t xml:space="preserve">Staff proposes no change to the current </w:t>
      </w:r>
      <w:r w:rsidR="007F6339">
        <w:t>electric reliability</w:t>
      </w:r>
      <w:r w:rsidR="00506EB7">
        <w:t xml:space="preserve"> r</w:t>
      </w:r>
      <w:r w:rsidR="00EB38F4">
        <w:t>eport</w:t>
      </w:r>
      <w:r w:rsidR="00A82C8D">
        <w:t>s</w:t>
      </w:r>
      <w:r>
        <w:t xml:space="preserve">.  The </w:t>
      </w:r>
      <w:r w:rsidR="00506EB7">
        <w:t xml:space="preserve">electric </w:t>
      </w:r>
      <w:r>
        <w:t xml:space="preserve">metrics Avista currently uses are </w:t>
      </w:r>
      <w:r w:rsidR="003D1BF9">
        <w:t xml:space="preserve">part of </w:t>
      </w:r>
      <w:r w:rsidR="00A82C8D">
        <w:t>S</w:t>
      </w:r>
      <w:r w:rsidR="003D1BF9">
        <w:t xml:space="preserve">taff’s proposal because they are </w:t>
      </w:r>
      <w:r>
        <w:t xml:space="preserve">appropriate and </w:t>
      </w:r>
      <w:r w:rsidR="00506EB7">
        <w:t xml:space="preserve">because </w:t>
      </w:r>
      <w:r>
        <w:t>the information help</w:t>
      </w:r>
      <w:r w:rsidR="0032703A">
        <w:t>s</w:t>
      </w:r>
      <w:r>
        <w:t xml:space="preserve"> Staff determine whether a service quality issue is present.</w:t>
      </w:r>
      <w:r w:rsidR="00415765">
        <w:t xml:space="preserve"> </w:t>
      </w:r>
    </w:p>
    <w:p w14:paraId="695FA243" w14:textId="77777777" w:rsidR="00956680" w:rsidRDefault="00956680" w:rsidP="00956680">
      <w:pPr>
        <w:spacing w:line="480" w:lineRule="auto"/>
        <w:ind w:left="720" w:hanging="720"/>
      </w:pPr>
    </w:p>
    <w:p w14:paraId="695FA244" w14:textId="1B03BD6A" w:rsidR="00956680" w:rsidRPr="00870ADD" w:rsidRDefault="00956680" w:rsidP="004D6E52">
      <w:pPr>
        <w:pStyle w:val="Heading2"/>
        <w:spacing w:line="240" w:lineRule="auto"/>
        <w:ind w:left="1440"/>
      </w:pPr>
      <w:bookmarkStart w:id="5" w:name="_Toc393689824"/>
      <w:r>
        <w:t>C.</w:t>
      </w:r>
      <w:r>
        <w:tab/>
        <w:t>Staff’s Proposal for the S</w:t>
      </w:r>
      <w:r w:rsidR="00A82C8D">
        <w:t>ervice Quality</w:t>
      </w:r>
      <w:r w:rsidR="00506EB7">
        <w:t xml:space="preserve"> and Reliability</w:t>
      </w:r>
      <w:r w:rsidR="00A82C8D">
        <w:t xml:space="preserve"> Report</w:t>
      </w:r>
      <w:r w:rsidR="007F1DE5">
        <w:t xml:space="preserve"> Card</w:t>
      </w:r>
      <w:r w:rsidR="00A82C8D">
        <w:t xml:space="preserve"> (S</w:t>
      </w:r>
      <w:r>
        <w:t>QR</w:t>
      </w:r>
      <w:r w:rsidR="00A82C8D">
        <w:t>)</w:t>
      </w:r>
      <w:bookmarkEnd w:id="5"/>
    </w:p>
    <w:p w14:paraId="695FA245" w14:textId="77777777" w:rsidR="00A82C8D" w:rsidRDefault="00A82C8D" w:rsidP="00956680">
      <w:pPr>
        <w:spacing w:line="480" w:lineRule="auto"/>
        <w:ind w:left="720" w:hanging="720"/>
        <w:rPr>
          <w:b/>
        </w:rPr>
      </w:pPr>
    </w:p>
    <w:p w14:paraId="695FA246" w14:textId="77777777" w:rsidR="00A82C8D" w:rsidRPr="00A82C8D" w:rsidRDefault="00A82C8D" w:rsidP="00956680">
      <w:pPr>
        <w:spacing w:line="480" w:lineRule="auto"/>
        <w:ind w:left="720" w:hanging="720"/>
        <w:rPr>
          <w:b/>
        </w:rPr>
      </w:pPr>
      <w:r>
        <w:rPr>
          <w:b/>
        </w:rPr>
        <w:t>Q.</w:t>
      </w:r>
      <w:r>
        <w:rPr>
          <w:b/>
        </w:rPr>
        <w:tab/>
        <w:t>What is the SQR?</w:t>
      </w:r>
    </w:p>
    <w:p w14:paraId="695FA247" w14:textId="51184651" w:rsidR="00A82C8D" w:rsidRPr="00C67322" w:rsidRDefault="00A82C8D" w:rsidP="00956680">
      <w:pPr>
        <w:spacing w:line="480" w:lineRule="auto"/>
        <w:ind w:left="720" w:hanging="720"/>
      </w:pPr>
      <w:r>
        <w:t>A.</w:t>
      </w:r>
      <w:r>
        <w:tab/>
      </w:r>
      <w:r w:rsidR="00D15A6B">
        <w:t>The Service Quality and Reliability Report</w:t>
      </w:r>
      <w:r w:rsidR="00C559B1">
        <w:t xml:space="preserve"> Card</w:t>
      </w:r>
      <w:r w:rsidR="00D15A6B">
        <w:t xml:space="preserve"> (“SQR”) </w:t>
      </w:r>
      <w:r w:rsidR="00791C12">
        <w:t xml:space="preserve">proposed by Staff contains specific </w:t>
      </w:r>
      <w:r w:rsidR="00D15A6B">
        <w:t>safety and reliability metric</w:t>
      </w:r>
      <w:r w:rsidR="000E548A">
        <w:t xml:space="preserve">s that are enforceable </w:t>
      </w:r>
      <w:r w:rsidR="00C27069">
        <w:t xml:space="preserve">either </w:t>
      </w:r>
      <w:r w:rsidR="000E548A">
        <w:t xml:space="preserve">through </w:t>
      </w:r>
      <w:r w:rsidR="00C27069">
        <w:t xml:space="preserve">a </w:t>
      </w:r>
      <w:r w:rsidR="000E548A">
        <w:t>penal</w:t>
      </w:r>
      <w:r w:rsidR="00791C12">
        <w:t>t</w:t>
      </w:r>
      <w:r w:rsidR="000E548A">
        <w:t>y</w:t>
      </w:r>
      <w:r w:rsidR="00C27069">
        <w:t xml:space="preserve"> or a tariffed </w:t>
      </w:r>
      <w:r w:rsidR="00645AD0">
        <w:t>bill credit</w:t>
      </w:r>
      <w:r w:rsidR="00D15A6B">
        <w:t xml:space="preserve">. </w:t>
      </w:r>
      <w:r w:rsidR="00791C12">
        <w:t xml:space="preserve"> The SQR</w:t>
      </w:r>
      <w:r w:rsidR="00D15A6B">
        <w:t xml:space="preserve"> </w:t>
      </w:r>
      <w:r w:rsidR="000E548A">
        <w:t>is comprised of</w:t>
      </w:r>
      <w:r w:rsidR="00D15A6B">
        <w:t xml:space="preserve"> </w:t>
      </w:r>
      <w:r w:rsidR="000E548A">
        <w:t xml:space="preserve">four </w:t>
      </w:r>
      <w:r w:rsidR="00791C12">
        <w:t>O</w:t>
      </w:r>
      <w:r w:rsidR="000E548A">
        <w:t xml:space="preserve">peration </w:t>
      </w:r>
      <w:r w:rsidR="00791C12">
        <w:t>S</w:t>
      </w:r>
      <w:r w:rsidR="000E548A">
        <w:t>ervices metrics</w:t>
      </w:r>
      <w:r w:rsidR="00D15A6B">
        <w:t xml:space="preserve"> and seven </w:t>
      </w:r>
      <w:r w:rsidR="00791C12">
        <w:t>C</w:t>
      </w:r>
      <w:r w:rsidR="00D15A6B">
        <w:t xml:space="preserve">ustomer </w:t>
      </w:r>
      <w:r w:rsidR="00791C12">
        <w:t>G</w:t>
      </w:r>
      <w:r w:rsidR="00D15A6B">
        <w:t xml:space="preserve">uarantees.  </w:t>
      </w:r>
      <w:r w:rsidR="00BF6180">
        <w:t>Three of the</w:t>
      </w:r>
      <w:r w:rsidR="00791C12">
        <w:t xml:space="preserve"> Operation Services metrics apply only to Avista’s electric service</w:t>
      </w:r>
      <w:r w:rsidR="00506EB7">
        <w:t>, and the last Operation Services metric applies to gas service</w:t>
      </w:r>
      <w:r w:rsidR="00791C12">
        <w:t>.  The Customer Guarantees apply to both Avista’s natural gas and electric services.</w:t>
      </w:r>
    </w:p>
    <w:p w14:paraId="695FA248" w14:textId="77777777" w:rsidR="00A82C8D" w:rsidRDefault="00A82C8D" w:rsidP="00956680">
      <w:pPr>
        <w:spacing w:line="480" w:lineRule="auto"/>
        <w:ind w:left="720" w:hanging="720"/>
        <w:rPr>
          <w:b/>
        </w:rPr>
      </w:pPr>
    </w:p>
    <w:p w14:paraId="695FA249" w14:textId="77777777" w:rsidR="00A82C8D" w:rsidRPr="00A82C8D" w:rsidRDefault="00A82C8D" w:rsidP="00956680">
      <w:pPr>
        <w:spacing w:line="480" w:lineRule="auto"/>
        <w:ind w:left="720" w:hanging="720"/>
        <w:rPr>
          <w:b/>
        </w:rPr>
      </w:pPr>
      <w:r w:rsidRPr="00A82C8D">
        <w:rPr>
          <w:b/>
        </w:rPr>
        <w:t>Q.</w:t>
      </w:r>
      <w:r w:rsidRPr="00A82C8D">
        <w:rPr>
          <w:b/>
        </w:rPr>
        <w:tab/>
        <w:t xml:space="preserve">What is the difference between the </w:t>
      </w:r>
      <w:r w:rsidR="00506EB7">
        <w:rPr>
          <w:b/>
        </w:rPr>
        <w:t>reliability reports</w:t>
      </w:r>
      <w:r w:rsidRPr="00C67322">
        <w:rPr>
          <w:b/>
        </w:rPr>
        <w:t xml:space="preserve"> the Company currently files, and the SQR Staff proposes?</w:t>
      </w:r>
    </w:p>
    <w:p w14:paraId="695FA24A" w14:textId="77777777" w:rsidR="00956680" w:rsidRDefault="00A82C8D" w:rsidP="00956680">
      <w:pPr>
        <w:spacing w:line="480" w:lineRule="auto"/>
        <w:ind w:left="720" w:hanging="720"/>
        <w:rPr>
          <w:b/>
        </w:rPr>
      </w:pPr>
      <w:r>
        <w:t>A.</w:t>
      </w:r>
      <w:r>
        <w:tab/>
      </w:r>
      <w:r w:rsidR="00D15A6B">
        <w:t xml:space="preserve">The SQR establishes safety and reliability </w:t>
      </w:r>
      <w:r w:rsidR="00D35BD1">
        <w:t>standards</w:t>
      </w:r>
      <w:r w:rsidR="000E548A">
        <w:t xml:space="preserve"> and enforces them</w:t>
      </w:r>
      <w:r w:rsidR="00D15A6B">
        <w:t xml:space="preserve"> through a penalty mechanism.  The current report is composed of company</w:t>
      </w:r>
      <w:r w:rsidR="00791C12">
        <w:t>-</w:t>
      </w:r>
      <w:r w:rsidR="00021676">
        <w:t>chosen bench</w:t>
      </w:r>
      <w:r w:rsidR="00430835">
        <w:t xml:space="preserve">marks </w:t>
      </w:r>
      <w:r w:rsidR="00430835">
        <w:lastRenderedPageBreak/>
        <w:t xml:space="preserve">that lack enforceability.  </w:t>
      </w:r>
      <w:r w:rsidR="00F71F11" w:rsidRPr="00506EB7">
        <w:t>The SQR also establishe</w:t>
      </w:r>
      <w:r w:rsidR="00F71F11">
        <w:t xml:space="preserve">s Customer </w:t>
      </w:r>
      <w:r w:rsidR="00506EB7">
        <w:t>Guarantees</w:t>
      </w:r>
      <w:r w:rsidR="00F71F11">
        <w:t xml:space="preserve">, with a </w:t>
      </w:r>
      <w:r w:rsidR="00645AD0">
        <w:t>bill credit</w:t>
      </w:r>
      <w:r w:rsidR="00F71F11">
        <w:t xml:space="preserve"> available if the Company does not meet a customer service standard.</w:t>
      </w:r>
      <w:r w:rsidR="00D35BD1">
        <w:rPr>
          <w:rStyle w:val="FootnoteReference"/>
        </w:rPr>
        <w:footnoteReference w:id="4"/>
      </w:r>
      <w:r w:rsidR="00F71F11">
        <w:rPr>
          <w:b/>
        </w:rPr>
        <w:t xml:space="preserve"> </w:t>
      </w:r>
    </w:p>
    <w:p w14:paraId="695FA24B" w14:textId="77777777" w:rsidR="00A82C8D" w:rsidRDefault="00A82C8D" w:rsidP="00956680">
      <w:pPr>
        <w:spacing w:line="480" w:lineRule="auto"/>
        <w:ind w:left="720" w:hanging="720"/>
        <w:rPr>
          <w:b/>
        </w:rPr>
      </w:pPr>
    </w:p>
    <w:p w14:paraId="695FA24C" w14:textId="77777777" w:rsidR="00EB40E9" w:rsidRDefault="00EB40E9" w:rsidP="00956680">
      <w:pPr>
        <w:spacing w:line="480" w:lineRule="auto"/>
        <w:ind w:left="720" w:hanging="720"/>
        <w:rPr>
          <w:b/>
        </w:rPr>
      </w:pPr>
      <w:r>
        <w:rPr>
          <w:b/>
        </w:rPr>
        <w:t>Q.</w:t>
      </w:r>
      <w:r>
        <w:rPr>
          <w:b/>
        </w:rPr>
        <w:tab/>
        <w:t xml:space="preserve">Have you prepared an exhibit that details each of the standards and penalties </w:t>
      </w:r>
      <w:r w:rsidR="00A82C8D">
        <w:rPr>
          <w:b/>
        </w:rPr>
        <w:t xml:space="preserve">Staff proposes </w:t>
      </w:r>
      <w:r>
        <w:rPr>
          <w:b/>
        </w:rPr>
        <w:t>for the SQR?</w:t>
      </w:r>
    </w:p>
    <w:p w14:paraId="695FA24D" w14:textId="77777777" w:rsidR="00EB40E9" w:rsidRDefault="00EB40E9" w:rsidP="00956680">
      <w:pPr>
        <w:spacing w:line="480" w:lineRule="auto"/>
        <w:ind w:left="720" w:hanging="720"/>
      </w:pPr>
      <w:r>
        <w:t>A.</w:t>
      </w:r>
      <w:r>
        <w:tab/>
        <w:t xml:space="preserve">Yes.  </w:t>
      </w:r>
      <w:proofErr w:type="gramStart"/>
      <w:r>
        <w:t>My Exhibit No.</w:t>
      </w:r>
      <w:proofErr w:type="gramEnd"/>
      <w:r>
        <w:t xml:space="preserve"> ___ (</w:t>
      </w:r>
      <w:r w:rsidR="00AC0D1C">
        <w:t>BTC-3</w:t>
      </w:r>
      <w:r>
        <w:t>) contains all of these details.</w:t>
      </w:r>
      <w:r w:rsidR="00A50E63">
        <w:t xml:space="preserve">  </w:t>
      </w:r>
    </w:p>
    <w:p w14:paraId="695FA24E" w14:textId="77777777" w:rsidR="00EB40E9" w:rsidRPr="00EB40E9" w:rsidRDefault="00EB40E9" w:rsidP="00956680">
      <w:pPr>
        <w:spacing w:line="480" w:lineRule="auto"/>
        <w:ind w:left="720" w:hanging="720"/>
        <w:rPr>
          <w:b/>
        </w:rPr>
      </w:pPr>
      <w:r>
        <w:t xml:space="preserve"> </w:t>
      </w:r>
      <w:r>
        <w:rPr>
          <w:b/>
        </w:rPr>
        <w:t xml:space="preserve"> </w:t>
      </w:r>
    </w:p>
    <w:p w14:paraId="695FA24F" w14:textId="77777777" w:rsidR="00956680" w:rsidRPr="00A55650" w:rsidRDefault="00956680" w:rsidP="00A55650">
      <w:pPr>
        <w:pStyle w:val="Heading3"/>
      </w:pPr>
      <w:bookmarkStart w:id="6" w:name="_Toc393689825"/>
      <w:r w:rsidRPr="00A55650">
        <w:t>General Description of the SQR</w:t>
      </w:r>
      <w:bookmarkEnd w:id="6"/>
    </w:p>
    <w:p w14:paraId="695FA250" w14:textId="77777777" w:rsidR="00956680" w:rsidRPr="00870ADD" w:rsidRDefault="00956680" w:rsidP="00956680">
      <w:pPr>
        <w:pStyle w:val="ListParagraph"/>
        <w:spacing w:line="480" w:lineRule="auto"/>
        <w:ind w:left="2160"/>
        <w:rPr>
          <w:b/>
        </w:rPr>
      </w:pPr>
    </w:p>
    <w:p w14:paraId="695FA251" w14:textId="77777777" w:rsidR="00956680" w:rsidRDefault="00956680" w:rsidP="00956680">
      <w:pPr>
        <w:spacing w:line="480" w:lineRule="auto"/>
        <w:ind w:left="720" w:hanging="720"/>
        <w:rPr>
          <w:b/>
        </w:rPr>
      </w:pPr>
      <w:r>
        <w:rPr>
          <w:b/>
        </w:rPr>
        <w:t>Q.</w:t>
      </w:r>
      <w:r>
        <w:rPr>
          <w:b/>
        </w:rPr>
        <w:tab/>
        <w:t>Please generally describe Staff’s proposed SQR.</w:t>
      </w:r>
    </w:p>
    <w:p w14:paraId="695FA252" w14:textId="77777777" w:rsidR="00956680" w:rsidRDefault="00956680" w:rsidP="00956680">
      <w:pPr>
        <w:spacing w:line="480" w:lineRule="auto"/>
        <w:ind w:left="720" w:hanging="720"/>
      </w:pPr>
      <w:r>
        <w:t>A.</w:t>
      </w:r>
      <w:r>
        <w:tab/>
        <w:t xml:space="preserve">Staff proposes that the Commission </w:t>
      </w:r>
      <w:r w:rsidR="0032703A">
        <w:t>order</w:t>
      </w:r>
      <w:r>
        <w:t xml:space="preserve"> Avista to file a SQR that sets forth specific performance standards, contains penalties for non-compliance and a Company discussion of trends and anomalies identified in each SQR.  The SQR </w:t>
      </w:r>
      <w:r w:rsidR="0032703A">
        <w:t xml:space="preserve">would </w:t>
      </w:r>
      <w:r w:rsidR="00194890">
        <w:t>contain</w:t>
      </w:r>
      <w:r>
        <w:t xml:space="preserve"> standards and penalties in two areas:  1) Operation Services</w:t>
      </w:r>
      <w:r w:rsidR="00D10B70">
        <w:t>;</w:t>
      </w:r>
      <w:r>
        <w:t xml:space="preserve"> and 2) Customer Guarantees.  </w:t>
      </w:r>
    </w:p>
    <w:p w14:paraId="695FA253" w14:textId="77777777" w:rsidR="00956680" w:rsidRDefault="00956680" w:rsidP="00956680">
      <w:pPr>
        <w:spacing w:line="480" w:lineRule="auto"/>
        <w:ind w:left="720" w:hanging="720"/>
      </w:pPr>
    </w:p>
    <w:p w14:paraId="695FA254" w14:textId="77777777" w:rsidR="00956680" w:rsidRPr="00B87402" w:rsidRDefault="00956680" w:rsidP="00956680">
      <w:pPr>
        <w:spacing w:line="480" w:lineRule="auto"/>
        <w:rPr>
          <w:b/>
        </w:rPr>
      </w:pPr>
      <w:r>
        <w:rPr>
          <w:b/>
        </w:rPr>
        <w:t>Q.</w:t>
      </w:r>
      <w:r>
        <w:rPr>
          <w:b/>
        </w:rPr>
        <w:tab/>
        <w:t>Please generally describe the Operation Services section of the SQR.</w:t>
      </w:r>
    </w:p>
    <w:p w14:paraId="695FA255" w14:textId="77777777" w:rsidR="00956680" w:rsidRDefault="00956680" w:rsidP="00956680">
      <w:pPr>
        <w:spacing w:line="480" w:lineRule="auto"/>
        <w:ind w:left="720" w:hanging="720"/>
      </w:pPr>
      <w:r>
        <w:t>A.</w:t>
      </w:r>
      <w:r>
        <w:tab/>
      </w:r>
      <w:r w:rsidR="00EB40E9">
        <w:t>As shown in my Exhibit No. ___ (</w:t>
      </w:r>
      <w:r w:rsidR="00AC0D1C">
        <w:t>BTC</w:t>
      </w:r>
      <w:r w:rsidR="00EB40E9">
        <w:t>-3), t</w:t>
      </w:r>
      <w:r>
        <w:t xml:space="preserve">he Operation Services section has four metrics; OS1 through OS4.  OS1 and OS2 are distribution reliability metrics from the IEEE.  OS3 and OS4 are the average response time for field technicians to </w:t>
      </w:r>
      <w:r w:rsidR="00D35BD1">
        <w:t>arrive at the location of</w:t>
      </w:r>
      <w:r>
        <w:t xml:space="preserve"> electric and natural gas emergencies or concerns.</w:t>
      </w:r>
    </w:p>
    <w:p w14:paraId="695FA256" w14:textId="77777777" w:rsidR="00956680" w:rsidRDefault="00956680" w:rsidP="00956680">
      <w:pPr>
        <w:spacing w:line="480" w:lineRule="auto"/>
        <w:ind w:left="720" w:hanging="720"/>
      </w:pPr>
    </w:p>
    <w:p w14:paraId="695FA257" w14:textId="77777777" w:rsidR="00956680" w:rsidRPr="00B87402" w:rsidRDefault="00956680" w:rsidP="00956680">
      <w:pPr>
        <w:spacing w:line="480" w:lineRule="auto"/>
        <w:rPr>
          <w:b/>
        </w:rPr>
      </w:pPr>
      <w:r>
        <w:rPr>
          <w:b/>
        </w:rPr>
        <w:lastRenderedPageBreak/>
        <w:t>Q.</w:t>
      </w:r>
      <w:r>
        <w:rPr>
          <w:b/>
        </w:rPr>
        <w:tab/>
        <w:t>Please generally describe the Customer Guarantees section of the SQR.</w:t>
      </w:r>
    </w:p>
    <w:p w14:paraId="695FA258" w14:textId="77777777" w:rsidR="00956680" w:rsidRDefault="00956680" w:rsidP="00956680">
      <w:pPr>
        <w:spacing w:line="480" w:lineRule="auto"/>
        <w:ind w:left="720" w:hanging="720"/>
      </w:pPr>
      <w:r>
        <w:t>A.</w:t>
      </w:r>
      <w:r>
        <w:tab/>
        <w:t xml:space="preserve">The Customer Guarantees section establishes seven Company commitments to the customer, CG1 through CG7, such as keeping appointments and notifying customers of planned </w:t>
      </w:r>
      <w:r w:rsidR="0032703A">
        <w:t xml:space="preserve">service </w:t>
      </w:r>
      <w:r>
        <w:t>interruptions.</w:t>
      </w:r>
    </w:p>
    <w:p w14:paraId="695FA259" w14:textId="77777777" w:rsidR="00956680" w:rsidRDefault="00956680" w:rsidP="00956680">
      <w:pPr>
        <w:spacing w:line="480" w:lineRule="auto"/>
        <w:ind w:left="720" w:hanging="720"/>
      </w:pPr>
    </w:p>
    <w:p w14:paraId="695FA25A" w14:textId="77777777" w:rsidR="00956680" w:rsidRPr="00C070F6" w:rsidRDefault="00956680" w:rsidP="00956680">
      <w:pPr>
        <w:spacing w:line="480" w:lineRule="auto"/>
        <w:ind w:left="720" w:hanging="720"/>
        <w:rPr>
          <w:b/>
        </w:rPr>
      </w:pPr>
      <w:r>
        <w:rPr>
          <w:b/>
        </w:rPr>
        <w:t>Q.</w:t>
      </w:r>
      <w:r>
        <w:rPr>
          <w:b/>
        </w:rPr>
        <w:tab/>
        <w:t xml:space="preserve">Please generally describe </w:t>
      </w:r>
      <w:r w:rsidR="0032703A">
        <w:rPr>
          <w:b/>
        </w:rPr>
        <w:t xml:space="preserve">the </w:t>
      </w:r>
      <w:r>
        <w:rPr>
          <w:b/>
        </w:rPr>
        <w:t>penalties for non-compliance.</w:t>
      </w:r>
    </w:p>
    <w:p w14:paraId="695FA25B" w14:textId="60F7F900" w:rsidR="00956680" w:rsidRDefault="00A21ACB" w:rsidP="00956680">
      <w:pPr>
        <w:spacing w:line="480" w:lineRule="auto"/>
        <w:ind w:left="720" w:hanging="720"/>
      </w:pPr>
      <w:r>
        <w:t>A.</w:t>
      </w:r>
      <w:r>
        <w:tab/>
        <w:t>The requirements of Operations Services</w:t>
      </w:r>
      <w:r w:rsidR="00956680">
        <w:t xml:space="preserve"> section of the </w:t>
      </w:r>
      <w:r w:rsidR="002E09A3">
        <w:t xml:space="preserve">SQR </w:t>
      </w:r>
      <w:r w:rsidR="00791C12">
        <w:t xml:space="preserve">are enforceable under the Commission’s penalty statutes applicable to utility companies such as Avista:  </w:t>
      </w:r>
      <w:r w:rsidR="00956680">
        <w:t>RCW 80.04.380</w:t>
      </w:r>
      <w:r w:rsidR="00791C12">
        <w:t xml:space="preserve"> and RCW 80.04.405</w:t>
      </w:r>
      <w:r w:rsidR="00956680">
        <w:t xml:space="preserve">.  </w:t>
      </w:r>
      <w:r>
        <w:t>E</w:t>
      </w:r>
      <w:r w:rsidR="00956680">
        <w:t xml:space="preserve">ach metric has a pre-determined </w:t>
      </w:r>
      <w:r w:rsidR="00C06BA7">
        <w:t xml:space="preserve">benchmark </w:t>
      </w:r>
      <w:r w:rsidR="00956680">
        <w:t xml:space="preserve">the Company must meet.  If the Company performs worse than that </w:t>
      </w:r>
      <w:r w:rsidR="00C06BA7">
        <w:t>benchmark</w:t>
      </w:r>
      <w:r w:rsidR="0032703A">
        <w:t>,</w:t>
      </w:r>
      <w:r w:rsidR="00956680">
        <w:t xml:space="preserve"> </w:t>
      </w:r>
      <w:r w:rsidR="0032703A">
        <w:t>Avista</w:t>
      </w:r>
      <w:r w:rsidR="00956680">
        <w:t xml:space="preserve"> would not be providing safe or reliable service and would be subject to the statut</w:t>
      </w:r>
      <w:r w:rsidR="0032703A">
        <w:t>ory</w:t>
      </w:r>
      <w:r w:rsidR="00956680">
        <w:t xml:space="preserve"> penalties</w:t>
      </w:r>
      <w:r w:rsidR="009720C5">
        <w:t>.</w:t>
      </w:r>
      <w:r w:rsidR="00645AD0">
        <w:rPr>
          <w:rStyle w:val="FootnoteReference"/>
        </w:rPr>
        <w:footnoteReference w:id="5"/>
      </w:r>
    </w:p>
    <w:p w14:paraId="695FA25C" w14:textId="77777777" w:rsidR="00956680" w:rsidRDefault="00956680" w:rsidP="00956680">
      <w:pPr>
        <w:spacing w:line="480" w:lineRule="auto"/>
        <w:ind w:left="720" w:hanging="720"/>
      </w:pPr>
      <w:r>
        <w:tab/>
      </w:r>
      <w:r>
        <w:tab/>
        <w:t xml:space="preserve">For each </w:t>
      </w:r>
      <w:r w:rsidR="00791C12">
        <w:t>C</w:t>
      </w:r>
      <w:r>
        <w:t xml:space="preserve">ustomer </w:t>
      </w:r>
      <w:r w:rsidR="00791C12">
        <w:t>G</w:t>
      </w:r>
      <w:r>
        <w:t>uarantee the Company does not fulfill, Avista must provide the affected customer a $50</w:t>
      </w:r>
      <w:r w:rsidR="001F033D">
        <w:t xml:space="preserve"> </w:t>
      </w:r>
      <w:r w:rsidR="00645AD0">
        <w:t>bill credit</w:t>
      </w:r>
      <w:r>
        <w:t xml:space="preserve"> on the </w:t>
      </w:r>
      <w:r w:rsidR="0032703A">
        <w:t xml:space="preserve">customer’s </w:t>
      </w:r>
      <w:r>
        <w:t>next bill.</w:t>
      </w:r>
    </w:p>
    <w:p w14:paraId="695FA25D" w14:textId="77777777" w:rsidR="00A94BB1" w:rsidRDefault="00A94BB1" w:rsidP="00956680">
      <w:pPr>
        <w:spacing w:line="480" w:lineRule="auto"/>
        <w:ind w:left="720" w:hanging="720"/>
      </w:pPr>
    </w:p>
    <w:p w14:paraId="695FA25E" w14:textId="77777777" w:rsidR="00415765" w:rsidRPr="0043413E" w:rsidRDefault="00415765" w:rsidP="00415765">
      <w:pPr>
        <w:spacing w:line="480" w:lineRule="auto"/>
        <w:ind w:left="720" w:hanging="720"/>
      </w:pPr>
      <w:r>
        <w:rPr>
          <w:b/>
        </w:rPr>
        <w:t xml:space="preserve">Q. </w:t>
      </w:r>
      <w:r>
        <w:rPr>
          <w:b/>
        </w:rPr>
        <w:tab/>
      </w:r>
      <w:r w:rsidR="00A94BB1">
        <w:rPr>
          <w:b/>
        </w:rPr>
        <w:t xml:space="preserve">Is </w:t>
      </w:r>
      <w:r w:rsidR="00D10B70">
        <w:rPr>
          <w:b/>
        </w:rPr>
        <w:t>S</w:t>
      </w:r>
      <w:r w:rsidR="00A94BB1">
        <w:rPr>
          <w:b/>
        </w:rPr>
        <w:t>taff’s proposal similar to the</w:t>
      </w:r>
      <w:r>
        <w:rPr>
          <w:b/>
        </w:rPr>
        <w:t xml:space="preserve"> service quality and reliability programs of </w:t>
      </w:r>
      <w:r w:rsidR="00A94BB1">
        <w:rPr>
          <w:b/>
        </w:rPr>
        <w:t>PSE</w:t>
      </w:r>
      <w:r>
        <w:rPr>
          <w:b/>
        </w:rPr>
        <w:t xml:space="preserve"> and PacifiCorp</w:t>
      </w:r>
      <w:r w:rsidR="00A94BB1">
        <w:rPr>
          <w:b/>
        </w:rPr>
        <w:t xml:space="preserve">? </w:t>
      </w:r>
    </w:p>
    <w:p w14:paraId="695FA25F" w14:textId="77777777" w:rsidR="00415765" w:rsidRDefault="00415765" w:rsidP="00415765">
      <w:pPr>
        <w:spacing w:line="480" w:lineRule="auto"/>
        <w:ind w:left="720" w:hanging="720"/>
      </w:pPr>
      <w:r>
        <w:t xml:space="preserve">A. </w:t>
      </w:r>
      <w:r>
        <w:tab/>
      </w:r>
      <w:r w:rsidR="00A94BB1">
        <w:t>Yes.  PSE</w:t>
      </w:r>
      <w:r>
        <w:t xml:space="preserve"> provides an annual </w:t>
      </w:r>
      <w:r w:rsidR="00A94BB1">
        <w:t>service quality report</w:t>
      </w:r>
      <w:r>
        <w:t>, which the Commission required as a condition of approving the merger of the Washington Natural Gas Company and Puget Sound Power &amp; Light Company in 1997.</w:t>
      </w:r>
      <w:r>
        <w:rPr>
          <w:rStyle w:val="FootnoteReference"/>
        </w:rPr>
        <w:footnoteReference w:id="6"/>
      </w:r>
      <w:r>
        <w:t xml:space="preserve">  The Commission required the </w:t>
      </w:r>
      <w:r w:rsidR="00D10B70">
        <w:t xml:space="preserve">PSE </w:t>
      </w:r>
      <w:r>
        <w:t xml:space="preserve">program to “provide a specific mechanism to assure customers that they will not </w:t>
      </w:r>
      <w:r>
        <w:lastRenderedPageBreak/>
        <w:t>experience deterioration in quality of service” and to “protect customers of PSE from poorly-targeted cost cutting.”</w:t>
      </w:r>
      <w:r>
        <w:rPr>
          <w:rStyle w:val="FootnoteReference"/>
        </w:rPr>
        <w:footnoteReference w:id="7"/>
      </w:r>
      <w:r>
        <w:t xml:space="preserve">  </w:t>
      </w:r>
    </w:p>
    <w:p w14:paraId="695FA260" w14:textId="1CDF6334" w:rsidR="00415765" w:rsidRDefault="00415765" w:rsidP="00415765">
      <w:pPr>
        <w:spacing w:line="480" w:lineRule="auto"/>
        <w:ind w:left="720" w:hanging="720"/>
      </w:pPr>
      <w:r>
        <w:tab/>
      </w:r>
      <w:r>
        <w:tab/>
      </w:r>
      <w:r w:rsidR="00A94BB1">
        <w:t>PSE</w:t>
      </w:r>
      <w:r>
        <w:t xml:space="preserve"> reports nine measurements in three categories encompassing customer satisfaction, customer services and operation services, in a report card to its customers and the Commission.</w:t>
      </w:r>
      <w:r w:rsidR="00C559B1">
        <w:t xml:space="preserve">  PSE also has two customer guarantees, service appointment and restoration</w:t>
      </w:r>
      <w:r w:rsidR="00634570">
        <w:t xml:space="preserve"> of</w:t>
      </w:r>
      <w:r w:rsidR="00C559B1">
        <w:t xml:space="preserve"> service guarantees, </w:t>
      </w:r>
      <w:r w:rsidR="009720C5">
        <w:t>and</w:t>
      </w:r>
      <w:r w:rsidR="00C559B1">
        <w:t xml:space="preserve"> provid</w:t>
      </w:r>
      <w:r w:rsidR="009720C5">
        <w:t>es</w:t>
      </w:r>
      <w:r w:rsidR="00C559B1">
        <w:t xml:space="preserve"> a $50 bill credit to affected customer(s).</w:t>
      </w:r>
      <w:r>
        <w:t xml:space="preserve">  The </w:t>
      </w:r>
      <w:r w:rsidR="00A94BB1">
        <w:t xml:space="preserve">Commission’s order approving the settlement </w:t>
      </w:r>
      <w:r>
        <w:t xml:space="preserve">established a benchmark for each measure, and a penalty that </w:t>
      </w:r>
      <w:r w:rsidR="00D10B70">
        <w:t>varies</w:t>
      </w:r>
      <w:r>
        <w:t xml:space="preserve"> depending on the company’s deviation beyond the benchmark.  The mechanism also stipulates a maximum penalty for each measure and a cap on a total penalty each year.     </w:t>
      </w:r>
    </w:p>
    <w:p w14:paraId="695FA261" w14:textId="77777777" w:rsidR="00415765" w:rsidRDefault="00415765" w:rsidP="00415765">
      <w:pPr>
        <w:spacing w:line="480" w:lineRule="auto"/>
        <w:ind w:left="720" w:hanging="720"/>
      </w:pPr>
      <w:r>
        <w:tab/>
      </w:r>
      <w:r>
        <w:tab/>
        <w:t xml:space="preserve">The operation service metrics Staff proposes for Avista are the same as the </w:t>
      </w:r>
      <w:r w:rsidR="00A94BB1">
        <w:t>PSE</w:t>
      </w:r>
      <w:r>
        <w:t xml:space="preserve"> metrics, and the benchmarks are closely aligned. </w:t>
      </w:r>
    </w:p>
    <w:p w14:paraId="695FA262" w14:textId="77777777" w:rsidR="00415765" w:rsidRDefault="00415765" w:rsidP="00415765">
      <w:pPr>
        <w:spacing w:line="480" w:lineRule="auto"/>
        <w:ind w:left="720" w:firstLine="720"/>
      </w:pPr>
      <w:r>
        <w:t xml:space="preserve">PacifiCorp submits an annual </w:t>
      </w:r>
      <w:r w:rsidR="00A94BB1">
        <w:t>service quality review</w:t>
      </w:r>
      <w:r>
        <w:t xml:space="preserve">, which the Commission first required in Docket UE-981627.  The review was extended to 2011 by the Commission during the MidAmerican acquisition of PacifiCorp in Docket UE-051090.  The penalty portion of the program has now lapsed, although PacifiCorp has voluntarily continued the </w:t>
      </w:r>
      <w:r w:rsidR="00D10B70">
        <w:t xml:space="preserve">service quality part of the </w:t>
      </w:r>
      <w:r>
        <w:t xml:space="preserve">program.  </w:t>
      </w:r>
    </w:p>
    <w:p w14:paraId="695FA263" w14:textId="77777777" w:rsidR="00D10B70" w:rsidRDefault="00415765" w:rsidP="00415765">
      <w:pPr>
        <w:spacing w:line="480" w:lineRule="auto"/>
        <w:ind w:left="720" w:firstLine="720"/>
      </w:pPr>
      <w:r>
        <w:t xml:space="preserve">PacifiCorp’s </w:t>
      </w:r>
      <w:r w:rsidR="00A94BB1">
        <w:t xml:space="preserve">service quality review </w:t>
      </w:r>
      <w:r>
        <w:t>has two main components</w:t>
      </w:r>
      <w:r w:rsidR="003F0814">
        <w:t>;</w:t>
      </w:r>
      <w:r w:rsidR="00A94BB1">
        <w:t xml:space="preserve"> </w:t>
      </w:r>
      <w:r>
        <w:t xml:space="preserve">customer service guarantees and reliability performance standards.  The customer service guarantees </w:t>
      </w:r>
      <w:r w:rsidR="00645AD0">
        <w:t>are implemented through a bill credit</w:t>
      </w:r>
      <w:r w:rsidR="00D10B70">
        <w:t>,</w:t>
      </w:r>
      <w:r>
        <w:t xml:space="preserve"> as stated in</w:t>
      </w:r>
      <w:r w:rsidR="00D35BD1">
        <w:t xml:space="preserve"> PacifiCorp’s</w:t>
      </w:r>
      <w:r>
        <w:t xml:space="preserve"> </w:t>
      </w:r>
      <w:r w:rsidR="00D10B70">
        <w:t>T</w:t>
      </w:r>
      <w:r w:rsidR="00CC6851">
        <w:t>ariff WN U-75</w:t>
      </w:r>
      <w:r w:rsidR="00D10B70">
        <w:t>, S</w:t>
      </w:r>
      <w:r>
        <w:t xml:space="preserve">heet </w:t>
      </w:r>
      <w:r w:rsidR="00D2682A">
        <w:t xml:space="preserve">No. </w:t>
      </w:r>
      <w:proofErr w:type="gramStart"/>
      <w:r w:rsidR="00D2682A">
        <w:t>R25.1.</w:t>
      </w:r>
      <w:proofErr w:type="gramEnd"/>
      <w:r>
        <w:t xml:space="preserve"> </w:t>
      </w:r>
      <w:r w:rsidR="00D10B70">
        <w:t xml:space="preserve"> </w:t>
      </w:r>
    </w:p>
    <w:p w14:paraId="695FA264" w14:textId="7088B8DC" w:rsidR="00415765" w:rsidRDefault="00415765" w:rsidP="00415765">
      <w:pPr>
        <w:spacing w:line="480" w:lineRule="auto"/>
        <w:ind w:left="720" w:firstLine="720"/>
      </w:pPr>
      <w:r>
        <w:t xml:space="preserve">Staff’s proposed customer guarantees for Avista are the same as those </w:t>
      </w:r>
      <w:r w:rsidR="00D10B70">
        <w:t xml:space="preserve">for </w:t>
      </w:r>
      <w:r>
        <w:t>PacifiCorp</w:t>
      </w:r>
      <w:r w:rsidR="00B95951">
        <w:t xml:space="preserve"> and PSE</w:t>
      </w:r>
      <w:r>
        <w:t xml:space="preserve">, and the $50 customer </w:t>
      </w:r>
      <w:r w:rsidR="00645AD0">
        <w:t>bill credit</w:t>
      </w:r>
      <w:r>
        <w:t xml:space="preserve"> also is the same. </w:t>
      </w:r>
    </w:p>
    <w:p w14:paraId="695FA265" w14:textId="77777777" w:rsidR="00956680" w:rsidRDefault="00956680" w:rsidP="00956680">
      <w:pPr>
        <w:spacing w:line="480" w:lineRule="auto"/>
        <w:ind w:left="720" w:hanging="720"/>
      </w:pPr>
    </w:p>
    <w:p w14:paraId="695FA266" w14:textId="77777777" w:rsidR="00956680" w:rsidRPr="00040B3A" w:rsidRDefault="00A55650" w:rsidP="00A55650">
      <w:pPr>
        <w:pStyle w:val="Heading3"/>
      </w:pPr>
      <w:r>
        <w:t xml:space="preserve"> </w:t>
      </w:r>
      <w:bookmarkStart w:id="7" w:name="_Toc393689826"/>
      <w:r w:rsidR="00956680">
        <w:t>Operations Services - Metrics and Penalty Thresholds</w:t>
      </w:r>
      <w:bookmarkEnd w:id="7"/>
    </w:p>
    <w:p w14:paraId="695FA267" w14:textId="77777777" w:rsidR="00956680" w:rsidRDefault="00956680" w:rsidP="00956680">
      <w:pPr>
        <w:spacing w:line="480" w:lineRule="auto"/>
        <w:ind w:left="720" w:hanging="720"/>
        <w:rPr>
          <w:b/>
        </w:rPr>
      </w:pPr>
    </w:p>
    <w:p w14:paraId="695FA268" w14:textId="77777777" w:rsidR="00956680" w:rsidRPr="00A41735" w:rsidRDefault="00956680" w:rsidP="00956680">
      <w:pPr>
        <w:spacing w:line="480" w:lineRule="auto"/>
        <w:ind w:left="720" w:hanging="720"/>
        <w:rPr>
          <w:b/>
        </w:rPr>
      </w:pPr>
      <w:r w:rsidRPr="00A41735">
        <w:rPr>
          <w:b/>
        </w:rPr>
        <w:t xml:space="preserve">Q. </w:t>
      </w:r>
      <w:r w:rsidRPr="00A41735">
        <w:rPr>
          <w:b/>
        </w:rPr>
        <w:tab/>
      </w:r>
      <w:r>
        <w:rPr>
          <w:b/>
        </w:rPr>
        <w:t>P</w:t>
      </w:r>
      <w:r w:rsidRPr="00A41735">
        <w:rPr>
          <w:b/>
        </w:rPr>
        <w:t xml:space="preserve">lease describe </w:t>
      </w:r>
      <w:r>
        <w:rPr>
          <w:b/>
        </w:rPr>
        <w:t xml:space="preserve">in more detail </w:t>
      </w:r>
      <w:r w:rsidR="0032703A">
        <w:rPr>
          <w:b/>
        </w:rPr>
        <w:t xml:space="preserve">each of </w:t>
      </w:r>
      <w:r w:rsidRPr="00A41735">
        <w:rPr>
          <w:b/>
        </w:rPr>
        <w:t xml:space="preserve">the </w:t>
      </w:r>
      <w:r>
        <w:rPr>
          <w:b/>
        </w:rPr>
        <w:t>O</w:t>
      </w:r>
      <w:r w:rsidRPr="00A41735">
        <w:rPr>
          <w:b/>
        </w:rPr>
        <w:t xml:space="preserve">peration </w:t>
      </w:r>
      <w:r>
        <w:rPr>
          <w:b/>
        </w:rPr>
        <w:t>S</w:t>
      </w:r>
      <w:r w:rsidRPr="00A41735">
        <w:rPr>
          <w:b/>
        </w:rPr>
        <w:t>ervices metrics</w:t>
      </w:r>
      <w:r>
        <w:rPr>
          <w:b/>
        </w:rPr>
        <w:t>.</w:t>
      </w:r>
    </w:p>
    <w:p w14:paraId="695FA269" w14:textId="6FF9705F" w:rsidR="0032703A" w:rsidRDefault="00956680" w:rsidP="00956680">
      <w:pPr>
        <w:spacing w:line="480" w:lineRule="auto"/>
        <w:ind w:left="720" w:hanging="720"/>
      </w:pPr>
      <w:r>
        <w:t>A.</w:t>
      </w:r>
      <w:r>
        <w:tab/>
      </w:r>
      <w:r w:rsidR="00856FD0">
        <w:t>As shown in detail on</w:t>
      </w:r>
      <w:r w:rsidR="00EB40E9">
        <w:t xml:space="preserve"> my </w:t>
      </w:r>
      <w:r w:rsidR="00AC0D1C">
        <w:t>Exhibit No. ___ (BTC</w:t>
      </w:r>
      <w:r w:rsidR="00EB40E9">
        <w:t>-3), t</w:t>
      </w:r>
      <w:r>
        <w:t xml:space="preserve">he Operations Services metrics OS1 and OS2 are the IEEE distribution reliability metrics called </w:t>
      </w:r>
      <w:r w:rsidR="0032703A">
        <w:t>“</w:t>
      </w:r>
      <w:r>
        <w:t>Daily System Average Interruption Duration Index</w:t>
      </w:r>
      <w:r w:rsidR="0032703A">
        <w:t>”</w:t>
      </w:r>
      <w:r>
        <w:t xml:space="preserve"> (</w:t>
      </w:r>
      <w:r w:rsidR="00B775F9">
        <w:t>IEEE</w:t>
      </w:r>
      <w:r>
        <w:t xml:space="preserve"> SAIDI) and </w:t>
      </w:r>
      <w:r w:rsidR="0032703A">
        <w:t>“</w:t>
      </w:r>
      <w:r>
        <w:t>Daily System Average Interruption Frequency Index</w:t>
      </w:r>
      <w:r w:rsidR="0032703A">
        <w:t>”</w:t>
      </w:r>
      <w:r>
        <w:t xml:space="preserve"> (</w:t>
      </w:r>
      <w:r w:rsidR="00B775F9">
        <w:t xml:space="preserve">IEEE </w:t>
      </w:r>
      <w:r>
        <w:t>SAIFI), respectively.</w:t>
      </w:r>
      <w:r w:rsidR="00A21ACB">
        <w:t xml:space="preserve">  The </w:t>
      </w:r>
      <w:r w:rsidR="00B775F9">
        <w:t>IEEE</w:t>
      </w:r>
      <w:r w:rsidR="00A21ACB">
        <w:t xml:space="preserve"> method is also known as the 2.5 Beta Method.</w:t>
      </w:r>
      <w:r w:rsidR="001169AE">
        <w:t xml:space="preserve">  These metrics only apply to the electric system.</w:t>
      </w:r>
      <w:r>
        <w:t xml:space="preserve">  </w:t>
      </w:r>
    </w:p>
    <w:p w14:paraId="695FA26A" w14:textId="77777777" w:rsidR="0032703A" w:rsidRDefault="0032703A" w:rsidP="00956680">
      <w:pPr>
        <w:spacing w:line="480" w:lineRule="auto"/>
        <w:ind w:left="720" w:hanging="720"/>
      </w:pPr>
      <w:r>
        <w:tab/>
      </w:r>
      <w:r>
        <w:tab/>
      </w:r>
      <w:r w:rsidR="00956680">
        <w:t xml:space="preserve">SAIDI indicates the total </w:t>
      </w:r>
      <w:r w:rsidR="003F0814">
        <w:t>duration of</w:t>
      </w:r>
      <w:r w:rsidR="00485B91">
        <w:t xml:space="preserve"> </w:t>
      </w:r>
      <w:r w:rsidR="003F0814">
        <w:t>interruptions for the average customer</w:t>
      </w:r>
      <w:r w:rsidR="00956680">
        <w:t xml:space="preserve"> during a predefined period of time.  SAIFI measures how often the average customer experiences a sustained interruption over a predefined period of time.</w:t>
      </w:r>
      <w:r w:rsidR="00956680">
        <w:rPr>
          <w:rStyle w:val="FootnoteReference"/>
        </w:rPr>
        <w:footnoteReference w:id="8"/>
      </w:r>
      <w:r w:rsidR="00956680">
        <w:t xml:space="preserve">  The </w:t>
      </w:r>
      <w:r w:rsidR="00B775F9">
        <w:t xml:space="preserve">IEEE </w:t>
      </w:r>
      <w:r w:rsidR="00A21ACB">
        <w:t>SAIDI and SAIFI metrics</w:t>
      </w:r>
      <w:r w:rsidR="00956680">
        <w:t xml:space="preserve"> are used to better reveal trends in daily operation </w:t>
      </w:r>
      <w:r w:rsidR="00D35BD1">
        <w:t xml:space="preserve">that </w:t>
      </w:r>
      <w:r w:rsidR="00956680">
        <w:t>would otherwise be overwhelmed by the large statistical effect of major events.</w:t>
      </w:r>
      <w:r w:rsidR="00956680">
        <w:rPr>
          <w:rStyle w:val="FootnoteReference"/>
        </w:rPr>
        <w:footnoteReference w:id="9"/>
      </w:r>
      <w:r w:rsidR="00956680">
        <w:t xml:space="preserve"> </w:t>
      </w:r>
      <w:r>
        <w:t xml:space="preserve"> </w:t>
      </w:r>
    </w:p>
    <w:p w14:paraId="695FA26B" w14:textId="77777777" w:rsidR="00956680" w:rsidRDefault="0032703A" w:rsidP="00956680">
      <w:pPr>
        <w:spacing w:line="480" w:lineRule="auto"/>
        <w:ind w:left="720" w:hanging="720"/>
      </w:pPr>
      <w:r>
        <w:tab/>
      </w:r>
      <w:r>
        <w:tab/>
      </w:r>
      <w:r w:rsidR="00956680">
        <w:t xml:space="preserve">These two metrics help the Commission determine if the </w:t>
      </w:r>
      <w:r>
        <w:t>C</w:t>
      </w:r>
      <w:r w:rsidR="00956680">
        <w:t xml:space="preserve">ompany is providing reliable service to its customers.  OS1 and </w:t>
      </w:r>
      <w:r w:rsidR="00D35BD1">
        <w:t>OS</w:t>
      </w:r>
      <w:r w:rsidR="00956680">
        <w:t>2 require Avista to be in the top half of each metric</w:t>
      </w:r>
      <w:r>
        <w:t xml:space="preserve"> </w:t>
      </w:r>
      <w:r w:rsidR="00956680">
        <w:t>compared to the national average reported annually by the IEEE.</w:t>
      </w:r>
      <w:r w:rsidR="00956680">
        <w:rPr>
          <w:rStyle w:val="FootnoteReference"/>
        </w:rPr>
        <w:footnoteReference w:id="10"/>
      </w:r>
      <w:r w:rsidR="00956680">
        <w:t xml:space="preserve">  If the Company falls below the national median, it would not be providing reliable service, and </w:t>
      </w:r>
      <w:r>
        <w:t>Avista</w:t>
      </w:r>
      <w:r w:rsidR="00956680">
        <w:t xml:space="preserve"> would be subject to </w:t>
      </w:r>
      <w:r>
        <w:t xml:space="preserve">a monetary </w:t>
      </w:r>
      <w:r w:rsidR="00956680">
        <w:t>penalty</w:t>
      </w:r>
      <w:r w:rsidR="0039164C">
        <w:t xml:space="preserve"> after hearing</w:t>
      </w:r>
      <w:r w:rsidR="00956680">
        <w:t xml:space="preserve">.  </w:t>
      </w:r>
    </w:p>
    <w:p w14:paraId="695FA26C" w14:textId="77777777" w:rsidR="00956680" w:rsidRDefault="00956680" w:rsidP="00956680">
      <w:pPr>
        <w:spacing w:line="480" w:lineRule="auto"/>
        <w:ind w:left="720" w:hanging="720"/>
      </w:pPr>
    </w:p>
    <w:p w14:paraId="695FA26D" w14:textId="77777777" w:rsidR="00956680" w:rsidRDefault="00956680" w:rsidP="00956680">
      <w:pPr>
        <w:spacing w:line="480" w:lineRule="auto"/>
        <w:ind w:left="720" w:hanging="720"/>
        <w:rPr>
          <w:b/>
        </w:rPr>
      </w:pPr>
      <w:r>
        <w:rPr>
          <w:b/>
        </w:rPr>
        <w:lastRenderedPageBreak/>
        <w:t>Q.</w:t>
      </w:r>
      <w:r>
        <w:rPr>
          <w:b/>
        </w:rPr>
        <w:tab/>
        <w:t>Why does Staff propose the</w:t>
      </w:r>
      <w:r w:rsidR="005B3BCD">
        <w:rPr>
          <w:b/>
        </w:rPr>
        <w:t>se</w:t>
      </w:r>
      <w:r>
        <w:rPr>
          <w:b/>
        </w:rPr>
        <w:t xml:space="preserve"> IEEE distribution reliability metrics?</w:t>
      </w:r>
    </w:p>
    <w:p w14:paraId="695FA26E" w14:textId="77777777" w:rsidR="005B3BCD" w:rsidRDefault="00956680" w:rsidP="00956680">
      <w:pPr>
        <w:spacing w:line="480" w:lineRule="auto"/>
        <w:ind w:left="720" w:hanging="720"/>
      </w:pPr>
      <w:r>
        <w:t>A.</w:t>
      </w:r>
      <w:r>
        <w:tab/>
        <w:t xml:space="preserve">The IEEE is the nationally recognized body for distribution reliability metrics.  All three Washington investor-owned electric utilities currently report to the Commission IEEE metrics in their service reliability reports.  </w:t>
      </w:r>
    </w:p>
    <w:p w14:paraId="695FA26F" w14:textId="77777777" w:rsidR="00956680" w:rsidRDefault="005B3BCD" w:rsidP="00956680">
      <w:pPr>
        <w:spacing w:line="480" w:lineRule="auto"/>
        <w:ind w:left="720" w:hanging="720"/>
      </w:pPr>
      <w:r>
        <w:tab/>
      </w:r>
      <w:r>
        <w:tab/>
        <w:t>In particular, t</w:t>
      </w:r>
      <w:r w:rsidR="00956680">
        <w:t xml:space="preserve">he </w:t>
      </w:r>
      <w:r w:rsidR="00B775F9">
        <w:t>IEEE</w:t>
      </w:r>
      <w:r w:rsidR="00956680">
        <w:t xml:space="preserve"> SAIDI and SAIFI metrics are preferable because they gather the normal, day-to-day duration and frequency of </w:t>
      </w:r>
      <w:r>
        <w:t xml:space="preserve">customer </w:t>
      </w:r>
      <w:r w:rsidR="00956680">
        <w:t xml:space="preserve">outages without the </w:t>
      </w:r>
      <w:r>
        <w:t>“</w:t>
      </w:r>
      <w:r w:rsidR="00956680">
        <w:t>noise</w:t>
      </w:r>
      <w:r>
        <w:t>”</w:t>
      </w:r>
      <w:r w:rsidR="00956680">
        <w:t xml:space="preserve"> of a major </w:t>
      </w:r>
      <w:r>
        <w:t xml:space="preserve">outage </w:t>
      </w:r>
      <w:r w:rsidR="00956680">
        <w:t xml:space="preserve">event.  Excluding major outages effectively removes </w:t>
      </w:r>
      <w:r>
        <w:t xml:space="preserve">from the data </w:t>
      </w:r>
      <w:r w:rsidR="00956680">
        <w:t>the impact of major storms or unique circumstances.</w:t>
      </w:r>
      <w:r w:rsidR="00956680">
        <w:rPr>
          <w:rStyle w:val="FootnoteReference"/>
        </w:rPr>
        <w:footnoteReference w:id="11"/>
      </w:r>
      <w:r w:rsidR="00956680">
        <w:t xml:space="preserve">  </w:t>
      </w:r>
      <w:r>
        <w:t xml:space="preserve">Avista </w:t>
      </w:r>
      <w:r w:rsidR="00956680">
        <w:t xml:space="preserve">should be held responsible for the outages and events it can control, which the </w:t>
      </w:r>
      <w:r w:rsidR="005D6D7D">
        <w:t xml:space="preserve">IEEE </w:t>
      </w:r>
      <w:r w:rsidR="00956680">
        <w:t xml:space="preserve">Daily System metrics measure. </w:t>
      </w:r>
    </w:p>
    <w:p w14:paraId="695FA270" w14:textId="77777777" w:rsidR="00956680" w:rsidRDefault="00956680" w:rsidP="00956680">
      <w:pPr>
        <w:spacing w:line="480" w:lineRule="auto"/>
        <w:ind w:left="720" w:hanging="720"/>
      </w:pPr>
    </w:p>
    <w:p w14:paraId="695FA271" w14:textId="77777777" w:rsidR="00956680" w:rsidRDefault="00956680" w:rsidP="00956680">
      <w:pPr>
        <w:spacing w:line="480" w:lineRule="auto"/>
        <w:ind w:left="720" w:hanging="720"/>
        <w:rPr>
          <w:b/>
        </w:rPr>
      </w:pPr>
      <w:r>
        <w:rPr>
          <w:b/>
        </w:rPr>
        <w:t>Q.</w:t>
      </w:r>
      <w:r>
        <w:rPr>
          <w:b/>
        </w:rPr>
        <w:tab/>
        <w:t xml:space="preserve">Why </w:t>
      </w:r>
      <w:r w:rsidR="005B3BCD">
        <w:rPr>
          <w:b/>
        </w:rPr>
        <w:t xml:space="preserve">does Staff recommend </w:t>
      </w:r>
      <w:r>
        <w:rPr>
          <w:b/>
        </w:rPr>
        <w:t>set</w:t>
      </w:r>
      <w:r w:rsidR="005B3BCD">
        <w:rPr>
          <w:b/>
        </w:rPr>
        <w:t>ting</w:t>
      </w:r>
      <w:r>
        <w:rPr>
          <w:b/>
        </w:rPr>
        <w:t xml:space="preserve"> IEEE reliability metrics thresholds based on national comparisons?</w:t>
      </w:r>
    </w:p>
    <w:p w14:paraId="7E9CA56E" w14:textId="0D0DD93B" w:rsidR="00D8000A" w:rsidRDefault="00956680" w:rsidP="00D8000A">
      <w:pPr>
        <w:spacing w:line="480" w:lineRule="auto"/>
        <w:ind w:left="720" w:hanging="720"/>
      </w:pPr>
      <w:r>
        <w:t xml:space="preserve"> </w:t>
      </w:r>
      <w:r w:rsidR="00956063">
        <w:t>A.</w:t>
      </w:r>
      <w:r w:rsidR="00956063">
        <w:tab/>
        <w:t>In order to get a sense of what is actually reliable service,</w:t>
      </w:r>
      <w:r w:rsidR="00485B91">
        <w:t xml:space="preserve"> it</w:t>
      </w:r>
      <w:r w:rsidR="00956063">
        <w:t xml:space="preserve"> is useful to compare the utility to its peers.  It would be too subjective to pinpoint a specific number for each measure as a benchmark.  </w:t>
      </w:r>
      <w:r w:rsidR="00187148">
        <w:t>My</w:t>
      </w:r>
      <w:r w:rsidR="009720C5">
        <w:t xml:space="preserve"> </w:t>
      </w:r>
      <w:r w:rsidR="005D6D7D">
        <w:t>Exhibit No.___ (BTC-2)</w:t>
      </w:r>
      <w:r w:rsidR="002A55F3">
        <w:t xml:space="preserve"> </w:t>
      </w:r>
      <w:r w:rsidR="00187148">
        <w:t>compares the median</w:t>
      </w:r>
      <w:r w:rsidR="006F0EA6">
        <w:t xml:space="preserve"> IEEE SAIDI and IEEE SAIFI</w:t>
      </w:r>
      <w:r w:rsidR="00AD57CE">
        <w:t>,</w:t>
      </w:r>
      <w:r w:rsidR="00187148">
        <w:t xml:space="preserve"> on pages one and three, respectively, with</w:t>
      </w:r>
      <w:r w:rsidR="00AD57CE">
        <w:t xml:space="preserve"> the last ten years of </w:t>
      </w:r>
      <w:r w:rsidR="00187148">
        <w:t>utility performance.  Avista</w:t>
      </w:r>
      <w:r w:rsidR="00956063">
        <w:t xml:space="preserve"> has been achieving around the national median of the scored utilities; sometimes better</w:t>
      </w:r>
      <w:r w:rsidR="009720C5">
        <w:t>,</w:t>
      </w:r>
      <w:r w:rsidR="00956063">
        <w:t xml:space="preserve"> but oftentimes worse.</w:t>
      </w:r>
      <w:r w:rsidR="00956063">
        <w:rPr>
          <w:rStyle w:val="FootnoteReference"/>
        </w:rPr>
        <w:footnoteReference w:id="12"/>
      </w:r>
      <w:r w:rsidR="00D8000A">
        <w:t xml:space="preserve">  The graphs</w:t>
      </w:r>
      <w:r w:rsidR="00187148">
        <w:t xml:space="preserve"> in my </w:t>
      </w:r>
      <w:r w:rsidR="009668C5">
        <w:t>exhibit also</w:t>
      </w:r>
      <w:r w:rsidR="00D8000A">
        <w:t xml:space="preserve"> show that Avista consistently has less reliable service, judged by these metrics, than its in-state peers, PacifiCorp and PSE.  </w:t>
      </w:r>
    </w:p>
    <w:p w14:paraId="7F689734" w14:textId="734AD15F" w:rsidR="00D8000A" w:rsidRPr="00D8000A" w:rsidRDefault="009720C5" w:rsidP="00D8000A">
      <w:pPr>
        <w:spacing w:line="480" w:lineRule="auto"/>
        <w:ind w:left="720" w:hanging="720"/>
      </w:pPr>
      <w:r>
        <w:lastRenderedPageBreak/>
        <w:tab/>
      </w:r>
      <w:r>
        <w:tab/>
      </w:r>
      <w:r w:rsidR="00D8000A">
        <w:t>G</w:t>
      </w:r>
      <w:r w:rsidR="00D8000A" w:rsidRPr="00D8000A">
        <w:t>raphs</w:t>
      </w:r>
      <w:r w:rsidR="009668C5">
        <w:t xml:space="preserve"> entitled</w:t>
      </w:r>
      <w:r w:rsidR="00D8000A">
        <w:t xml:space="preserve"> “SAIDI 5-yr” and “SAIFI 5-yr”</w:t>
      </w:r>
      <w:r w:rsidR="00D8000A" w:rsidRPr="00D8000A">
        <w:t xml:space="preserve"> </w:t>
      </w:r>
      <w:r w:rsidR="009668C5">
        <w:t xml:space="preserve">on pages two and four of my exhibit, respectively, </w:t>
      </w:r>
      <w:r w:rsidR="00D8000A" w:rsidRPr="00D8000A">
        <w:t xml:space="preserve">remove the regional utilities so it is easier to compare </w:t>
      </w:r>
      <w:r w:rsidR="009668C5" w:rsidRPr="00D8000A">
        <w:t>Avista’s trends</w:t>
      </w:r>
      <w:r w:rsidR="00D8000A" w:rsidRPr="00D8000A">
        <w:t xml:space="preserve"> with the IEEE benchmarks over the last five years. As is clearly indicated, Avista has </w:t>
      </w:r>
      <w:r w:rsidR="00A55607">
        <w:t xml:space="preserve">incrementally </w:t>
      </w:r>
      <w:r w:rsidR="00D8000A" w:rsidRPr="00D8000A">
        <w:t>improved its performance since 2009</w:t>
      </w:r>
      <w:r w:rsidR="00A55607">
        <w:t>.</w:t>
      </w:r>
      <w:r w:rsidR="00D8000A" w:rsidRPr="00D8000A">
        <w:t xml:space="preserve"> </w:t>
      </w:r>
    </w:p>
    <w:p w14:paraId="695FA272" w14:textId="47E84311" w:rsidR="00D10B70" w:rsidRDefault="001169AE" w:rsidP="002A55F3">
      <w:pPr>
        <w:spacing w:line="480" w:lineRule="auto"/>
        <w:ind w:left="720" w:firstLine="720"/>
      </w:pPr>
      <w:r>
        <w:t>Graphs</w:t>
      </w:r>
      <w:r w:rsidR="009668C5">
        <w:t xml:space="preserve"> entitled</w:t>
      </w:r>
      <w:r>
        <w:t xml:space="preserve"> “SAIDI 10-yr” and “SAIFI 10-yr”</w:t>
      </w:r>
      <w:r w:rsidR="00A55607">
        <w:t xml:space="preserve"> </w:t>
      </w:r>
      <w:r w:rsidR="009668C5">
        <w:t xml:space="preserve">on pages two and four of my exhibit, respectively, </w:t>
      </w:r>
      <w:r w:rsidR="00A55607">
        <w:t xml:space="preserve">also remove the regional utilities but shows the trends over the last </w:t>
      </w:r>
      <w:r w:rsidR="00B06C22">
        <w:t>ten years</w:t>
      </w:r>
      <w:r w:rsidR="00A55607">
        <w:t>.</w:t>
      </w:r>
      <w:r>
        <w:t xml:space="preserve"> </w:t>
      </w:r>
      <w:r w:rsidR="00B06C22">
        <w:t xml:space="preserve"> Since 2004 t</w:t>
      </w:r>
      <w:r w:rsidR="00A55607">
        <w:t>he IEEE</w:t>
      </w:r>
      <w:r w:rsidR="00B06C22">
        <w:t xml:space="preserve"> national benchmarks</w:t>
      </w:r>
      <w:r w:rsidR="00A55607">
        <w:t xml:space="preserve"> trends </w:t>
      </w:r>
      <w:r w:rsidR="000D70BC">
        <w:t>for both metrics</w:t>
      </w:r>
      <w:r w:rsidR="004201C3">
        <w:t xml:space="preserve"> have been slowly improving.  </w:t>
      </w:r>
      <w:r w:rsidR="000D70BC">
        <w:t>Although the C</w:t>
      </w:r>
      <w:r w:rsidR="004201C3">
        <w:t xml:space="preserve">ompany’s performance has improved significantly since 2009 - the only time it fell into the bottom quartile of both metrics – </w:t>
      </w:r>
      <w:r w:rsidR="000D70BC">
        <w:t xml:space="preserve">it has not improved its reliability </w:t>
      </w:r>
      <w:r w:rsidR="00AD57CE">
        <w:t>from its scores in</w:t>
      </w:r>
      <w:r w:rsidR="000D70BC">
        <w:t xml:space="preserve"> 2004</w:t>
      </w:r>
      <w:r w:rsidR="00AD57CE">
        <w:t xml:space="preserve"> and 2005</w:t>
      </w:r>
      <w:r w:rsidR="000D70BC">
        <w:t>.</w:t>
      </w:r>
      <w:r w:rsidR="004201C3">
        <w:t xml:space="preserve">  </w:t>
      </w:r>
    </w:p>
    <w:p w14:paraId="695FA274" w14:textId="77777777" w:rsidR="00956063" w:rsidRDefault="00956063" w:rsidP="00956063">
      <w:pPr>
        <w:spacing w:line="480" w:lineRule="auto"/>
        <w:ind w:left="720" w:hanging="720"/>
      </w:pPr>
      <w:r>
        <w:tab/>
      </w:r>
      <w:r>
        <w:tab/>
        <w:t xml:space="preserve">The 2013 IEEE national benchmarks include 106 small, medium and large utilities, </w:t>
      </w:r>
      <w:r w:rsidR="0039164C">
        <w:t xml:space="preserve">50 </w:t>
      </w:r>
      <w:r>
        <w:t>of which are classified as rural</w:t>
      </w:r>
      <w:r w:rsidR="00B775F9">
        <w:t>.</w:t>
      </w:r>
      <w:r w:rsidRPr="005D05AB">
        <w:t xml:space="preserve"> </w:t>
      </w:r>
      <w:r w:rsidR="00D10B70">
        <w:t xml:space="preserve"> </w:t>
      </w:r>
      <w:r>
        <w:t xml:space="preserve">A reasonable proxy of reliable service is for Avista to perform at or better than its national peers, especially considering Avista’s rural service territory.  Accordingly, the penalty threshold should be set at the IEEE national benchmarking median.  </w:t>
      </w:r>
    </w:p>
    <w:p w14:paraId="695FA275" w14:textId="77777777" w:rsidR="00956680" w:rsidRDefault="00956680" w:rsidP="00956680">
      <w:pPr>
        <w:spacing w:line="480" w:lineRule="auto"/>
        <w:ind w:left="720" w:hanging="720"/>
      </w:pPr>
    </w:p>
    <w:p w14:paraId="695FA276" w14:textId="77777777" w:rsidR="00956680" w:rsidRPr="008E5F0B" w:rsidRDefault="00956680" w:rsidP="00956680">
      <w:pPr>
        <w:spacing w:line="480" w:lineRule="auto"/>
        <w:ind w:left="720" w:hanging="720"/>
        <w:rPr>
          <w:b/>
        </w:rPr>
      </w:pPr>
      <w:r w:rsidRPr="008E5F0B">
        <w:rPr>
          <w:b/>
        </w:rPr>
        <w:t xml:space="preserve">Q. </w:t>
      </w:r>
      <w:r w:rsidRPr="008E5F0B">
        <w:rPr>
          <w:b/>
        </w:rPr>
        <w:tab/>
        <w:t xml:space="preserve">Please </w:t>
      </w:r>
      <w:r>
        <w:rPr>
          <w:b/>
        </w:rPr>
        <w:t>explain the other metrics under</w:t>
      </w:r>
      <w:r w:rsidRPr="008E5F0B">
        <w:rPr>
          <w:b/>
        </w:rPr>
        <w:t xml:space="preserve"> </w:t>
      </w:r>
      <w:r>
        <w:rPr>
          <w:b/>
        </w:rPr>
        <w:t>O</w:t>
      </w:r>
      <w:r w:rsidRPr="008E5F0B">
        <w:rPr>
          <w:b/>
        </w:rPr>
        <w:t xml:space="preserve">peration </w:t>
      </w:r>
      <w:r>
        <w:rPr>
          <w:b/>
        </w:rPr>
        <w:t>S</w:t>
      </w:r>
      <w:r w:rsidRPr="008E5F0B">
        <w:rPr>
          <w:b/>
        </w:rPr>
        <w:t>ervices</w:t>
      </w:r>
      <w:r>
        <w:rPr>
          <w:b/>
        </w:rPr>
        <w:t>.</w:t>
      </w:r>
    </w:p>
    <w:p w14:paraId="695FA277" w14:textId="77777777" w:rsidR="005B3BCD" w:rsidRDefault="00956680" w:rsidP="00956680">
      <w:pPr>
        <w:spacing w:line="480" w:lineRule="auto"/>
        <w:ind w:left="720" w:hanging="720"/>
      </w:pPr>
      <w:r>
        <w:t>A.</w:t>
      </w:r>
      <w:r>
        <w:tab/>
        <w:t xml:space="preserve">Metrics OS3 and </w:t>
      </w:r>
      <w:r w:rsidR="0039164C">
        <w:t>OS</w:t>
      </w:r>
      <w:r>
        <w:t xml:space="preserve">4 measure the average time it takes for an Avista field technician to respond to a customer call in an electric or natural gas emergency. </w:t>
      </w:r>
      <w:r w:rsidR="005B3BCD">
        <w:t xml:space="preserve"> </w:t>
      </w:r>
      <w:r>
        <w:t xml:space="preserve">These metrics are designed to ensure that the </w:t>
      </w:r>
      <w:r w:rsidR="005B3BCD">
        <w:t>C</w:t>
      </w:r>
      <w:r>
        <w:t xml:space="preserve">ompany responds to safety issues in a prompt manner.  For an electric outage reported by a customer, the metrics require Avista to respond within 65 minutes.  This is 10 minutes longer than the response time required by the Commission for Puget Sound Energy, and takes into account </w:t>
      </w:r>
      <w:r>
        <w:lastRenderedPageBreak/>
        <w:t>Avista’s more rural service territory.  Avista currently averages 85 minutes, up from 66 minutes in 2011.</w:t>
      </w:r>
      <w:r>
        <w:rPr>
          <w:rStyle w:val="FootnoteReference"/>
        </w:rPr>
        <w:footnoteReference w:id="13"/>
      </w:r>
      <w:r w:rsidR="000819DE">
        <w:t xml:space="preserve"> </w:t>
      </w:r>
      <w:r w:rsidR="00A50E63">
        <w:t xml:space="preserve"> </w:t>
      </w:r>
      <w:r w:rsidR="000819DE">
        <w:t xml:space="preserve">The </w:t>
      </w:r>
      <w:r w:rsidR="00A50E63">
        <w:t>C</w:t>
      </w:r>
      <w:r w:rsidR="000819DE">
        <w:t>ompany’s three-year average is approximately 77 minutes.</w:t>
      </w:r>
      <w:r>
        <w:t xml:space="preserve">  For comparison, Puget Sound Energy averaged 53 minutes in 2013.</w:t>
      </w:r>
      <w:r>
        <w:rPr>
          <w:rStyle w:val="FootnoteReference"/>
        </w:rPr>
        <w:footnoteReference w:id="14"/>
      </w:r>
      <w:r>
        <w:t xml:space="preserve">  </w:t>
      </w:r>
    </w:p>
    <w:p w14:paraId="695FA278" w14:textId="77777777" w:rsidR="00956680" w:rsidRDefault="005B3BCD" w:rsidP="007059C9">
      <w:pPr>
        <w:spacing w:line="480" w:lineRule="auto"/>
        <w:ind w:left="720" w:hanging="720"/>
      </w:pPr>
      <w:r>
        <w:tab/>
      </w:r>
      <w:r>
        <w:tab/>
      </w:r>
      <w:r w:rsidR="00956680">
        <w:t>For natural gas emergencies</w:t>
      </w:r>
      <w:r>
        <w:t>,</w:t>
      </w:r>
      <w:r w:rsidR="00956680">
        <w:t xml:space="preserve"> the Company’s </w:t>
      </w:r>
      <w:r>
        <w:t xml:space="preserve">response </w:t>
      </w:r>
      <w:r w:rsidR="00956680">
        <w:t xml:space="preserve">threshold is 55 minutes, which is the same as Puget Sound Energy’s target. </w:t>
      </w:r>
      <w:r>
        <w:t xml:space="preserve"> </w:t>
      </w:r>
      <w:r w:rsidR="00956680">
        <w:t>The Company has consistently outperformed this threshold, with an average response time of 47 minutes in 2013.</w:t>
      </w:r>
      <w:r w:rsidR="00956680">
        <w:rPr>
          <w:rStyle w:val="FootnoteReference"/>
        </w:rPr>
        <w:footnoteReference w:id="15"/>
      </w:r>
      <w:r w:rsidR="00956680">
        <w:t xml:space="preserve">  This is approximately its three-year average.  </w:t>
      </w:r>
    </w:p>
    <w:p w14:paraId="695FA279" w14:textId="77777777" w:rsidR="00956680" w:rsidRDefault="00956680" w:rsidP="007059C9">
      <w:pPr>
        <w:spacing w:line="480" w:lineRule="auto"/>
        <w:ind w:left="720" w:hanging="720"/>
      </w:pPr>
    </w:p>
    <w:p w14:paraId="695FA27A" w14:textId="77777777" w:rsidR="00956680" w:rsidRPr="00BF7AB0" w:rsidRDefault="00956680" w:rsidP="007059C9">
      <w:pPr>
        <w:pStyle w:val="Heading3"/>
      </w:pPr>
      <w:bookmarkStart w:id="8" w:name="_Toc393689827"/>
      <w:r>
        <w:t xml:space="preserve">Customer Guarantees – Metrics and </w:t>
      </w:r>
      <w:r w:rsidR="00645AD0">
        <w:t xml:space="preserve">Bill </w:t>
      </w:r>
      <w:r w:rsidR="0039164C">
        <w:t>C</w:t>
      </w:r>
      <w:r w:rsidR="00645AD0">
        <w:t>redit</w:t>
      </w:r>
      <w:r>
        <w:t xml:space="preserve"> Thresholds</w:t>
      </w:r>
      <w:bookmarkEnd w:id="8"/>
      <w:r>
        <w:t xml:space="preserve"> </w:t>
      </w:r>
    </w:p>
    <w:p w14:paraId="695FA27B" w14:textId="77777777" w:rsidR="00956680" w:rsidRDefault="00956680" w:rsidP="007059C9">
      <w:pPr>
        <w:spacing w:line="480" w:lineRule="auto"/>
        <w:ind w:left="720" w:hanging="720"/>
        <w:rPr>
          <w:b/>
        </w:rPr>
      </w:pPr>
    </w:p>
    <w:p w14:paraId="695FA27C" w14:textId="77777777" w:rsidR="00956680" w:rsidRDefault="00956680" w:rsidP="007059C9">
      <w:pPr>
        <w:spacing w:line="480" w:lineRule="auto"/>
        <w:ind w:left="720" w:hanging="720"/>
        <w:rPr>
          <w:b/>
        </w:rPr>
      </w:pPr>
      <w:r>
        <w:rPr>
          <w:b/>
        </w:rPr>
        <w:t>Q.</w:t>
      </w:r>
      <w:r>
        <w:rPr>
          <w:b/>
        </w:rPr>
        <w:tab/>
      </w:r>
      <w:r w:rsidR="00EB40E9">
        <w:rPr>
          <w:b/>
        </w:rPr>
        <w:t>What is a “</w:t>
      </w:r>
      <w:r>
        <w:rPr>
          <w:b/>
        </w:rPr>
        <w:t>Customer Guarantee</w:t>
      </w:r>
      <w:r w:rsidR="00EB40E9">
        <w:rPr>
          <w:b/>
        </w:rPr>
        <w:t>?”</w:t>
      </w:r>
    </w:p>
    <w:p w14:paraId="695FA27D" w14:textId="77777777" w:rsidR="00956680" w:rsidRDefault="00956680" w:rsidP="00956680">
      <w:pPr>
        <w:spacing w:line="480" w:lineRule="auto"/>
        <w:ind w:left="720" w:hanging="720"/>
      </w:pPr>
      <w:r>
        <w:t xml:space="preserve">A. </w:t>
      </w:r>
      <w:r>
        <w:tab/>
        <w:t xml:space="preserve">In essence, a Customer Guarantee, or CG, </w:t>
      </w:r>
      <w:r w:rsidR="005B3BCD">
        <w:t xml:space="preserve">requires </w:t>
      </w:r>
      <w:r>
        <w:t xml:space="preserve">that the Company keep its </w:t>
      </w:r>
      <w:r w:rsidR="00485B91">
        <w:t>agreed-</w:t>
      </w:r>
      <w:r>
        <w:t>upon appointment with the customer.  Together</w:t>
      </w:r>
      <w:r w:rsidR="005B3BCD">
        <w:t>,</w:t>
      </w:r>
      <w:r>
        <w:t xml:space="preserve"> </w:t>
      </w:r>
      <w:proofErr w:type="gramStart"/>
      <w:r>
        <w:t>these</w:t>
      </w:r>
      <w:proofErr w:type="gramEnd"/>
      <w:r>
        <w:t xml:space="preserve"> </w:t>
      </w:r>
      <w:r w:rsidR="005B3BCD">
        <w:t>CGs</w:t>
      </w:r>
      <w:r>
        <w:t xml:space="preserve"> reflect reasonable </w:t>
      </w:r>
      <w:r w:rsidR="005B3BCD">
        <w:t xml:space="preserve">customer </w:t>
      </w:r>
      <w:r>
        <w:t xml:space="preserve">expectations of service that are implicit in a competitive marketplace.  </w:t>
      </w:r>
      <w:r w:rsidR="005B3BCD">
        <w:t>Customers</w:t>
      </w:r>
      <w:r>
        <w:t xml:space="preserve"> cannot choose their electric utility </w:t>
      </w:r>
      <w:r w:rsidR="005B3BCD">
        <w:t>provider</w:t>
      </w:r>
      <w:r>
        <w:t>, so these guarantees are assurances of a reasonable level of quality of service.</w:t>
      </w:r>
      <w:r w:rsidR="00EE2A96">
        <w:t xml:space="preserve"> </w:t>
      </w:r>
      <w:r w:rsidR="00791C12">
        <w:t xml:space="preserve"> As I explained earlier, t</w:t>
      </w:r>
      <w:r w:rsidR="00EE2A96">
        <w:t xml:space="preserve">he CGs </w:t>
      </w:r>
      <w:proofErr w:type="gramStart"/>
      <w:r w:rsidR="00EE2A96">
        <w:t>apply</w:t>
      </w:r>
      <w:proofErr w:type="gramEnd"/>
      <w:r w:rsidR="00EE2A96">
        <w:t xml:space="preserve"> to both </w:t>
      </w:r>
      <w:r w:rsidR="00C27069">
        <w:t xml:space="preserve">Avista’s natural </w:t>
      </w:r>
      <w:r w:rsidR="00EE2A96">
        <w:t>gas and electric service</w:t>
      </w:r>
      <w:r w:rsidR="00C27069">
        <w:t>s</w:t>
      </w:r>
      <w:r w:rsidR="00EE2A96">
        <w:t xml:space="preserve">. </w:t>
      </w:r>
      <w:r>
        <w:t xml:space="preserve"> </w:t>
      </w:r>
    </w:p>
    <w:p w14:paraId="695FA27E" w14:textId="77777777" w:rsidR="0064710D" w:rsidRDefault="0064710D" w:rsidP="00956680">
      <w:pPr>
        <w:spacing w:line="480" w:lineRule="auto"/>
        <w:ind w:left="720" w:hanging="720"/>
      </w:pPr>
    </w:p>
    <w:p w14:paraId="695FA27F" w14:textId="77777777" w:rsidR="0064710D" w:rsidRPr="00AC0D1C" w:rsidRDefault="0064710D" w:rsidP="004D6E52">
      <w:pPr>
        <w:keepNext/>
        <w:spacing w:line="480" w:lineRule="auto"/>
        <w:ind w:left="720" w:hanging="720"/>
        <w:rPr>
          <w:b/>
        </w:rPr>
      </w:pPr>
      <w:r>
        <w:rPr>
          <w:b/>
        </w:rPr>
        <w:lastRenderedPageBreak/>
        <w:t>Q.</w:t>
      </w:r>
      <w:r>
        <w:rPr>
          <w:b/>
        </w:rPr>
        <w:tab/>
        <w:t>How do Staff’s proposed Customer Guarantees compare to PacifiCorp’s?</w:t>
      </w:r>
    </w:p>
    <w:p w14:paraId="695FA280" w14:textId="77777777" w:rsidR="00ED2733" w:rsidRDefault="0064710D" w:rsidP="0064710D">
      <w:pPr>
        <w:spacing w:line="480" w:lineRule="auto"/>
        <w:ind w:left="720" w:hanging="720"/>
      </w:pPr>
      <w:r>
        <w:t>A.</w:t>
      </w:r>
      <w:r>
        <w:tab/>
      </w:r>
      <w:r w:rsidR="00ED2733">
        <w:t xml:space="preserve">Staff’s proposed </w:t>
      </w:r>
      <w:r>
        <w:t>C</w:t>
      </w:r>
      <w:r w:rsidR="00ED2733">
        <w:t xml:space="preserve">ustomer </w:t>
      </w:r>
      <w:r>
        <w:t>G</w:t>
      </w:r>
      <w:r w:rsidR="00ED2733">
        <w:t>uarantees for Avista are nearly identical to the guarantees PacifiCorp agreed to, and which the Commission approved, in the settlement of Dockets UE-042131 and UE-051090 in Order 07.</w:t>
      </w:r>
      <w:r w:rsidR="0050557D">
        <w:rPr>
          <w:rStyle w:val="FootnoteReference"/>
        </w:rPr>
        <w:footnoteReference w:id="16"/>
      </w:r>
    </w:p>
    <w:p w14:paraId="695FA281" w14:textId="77777777" w:rsidR="0064710D" w:rsidRDefault="0064710D" w:rsidP="0064710D">
      <w:pPr>
        <w:spacing w:line="480" w:lineRule="auto"/>
        <w:ind w:left="720" w:hanging="720"/>
      </w:pPr>
    </w:p>
    <w:p w14:paraId="695FA282" w14:textId="77777777" w:rsidR="0064710D" w:rsidRPr="00AC0D1C" w:rsidRDefault="0064710D" w:rsidP="0064710D">
      <w:pPr>
        <w:spacing w:line="480" w:lineRule="auto"/>
        <w:ind w:left="720" w:hanging="720"/>
        <w:rPr>
          <w:b/>
        </w:rPr>
      </w:pPr>
      <w:r>
        <w:rPr>
          <w:b/>
        </w:rPr>
        <w:t>Q.</w:t>
      </w:r>
      <w:r>
        <w:rPr>
          <w:b/>
        </w:rPr>
        <w:tab/>
        <w:t>How do these Customer Guarantees compare to the service Avista is currently providing?</w:t>
      </w:r>
    </w:p>
    <w:p w14:paraId="695FA283" w14:textId="77777777" w:rsidR="00AC0D1C" w:rsidRDefault="0064710D" w:rsidP="0064710D">
      <w:pPr>
        <w:spacing w:line="480" w:lineRule="auto"/>
        <w:ind w:left="720" w:hanging="720"/>
      </w:pPr>
      <w:r>
        <w:t>A.</w:t>
      </w:r>
      <w:r>
        <w:tab/>
      </w:r>
      <w:r w:rsidR="00956680">
        <w:t xml:space="preserve">Currently, </w:t>
      </w:r>
      <w:r w:rsidR="00C67322">
        <w:t>al</w:t>
      </w:r>
      <w:r w:rsidR="00D10B70">
        <w:t xml:space="preserve">though </w:t>
      </w:r>
      <w:r w:rsidR="00956680">
        <w:t>Avis</w:t>
      </w:r>
      <w:r w:rsidR="00AC0D1C">
        <w:t xml:space="preserve">ta does not provide the Customer Guarantees, </w:t>
      </w:r>
      <w:r w:rsidR="00D10B70">
        <w:t xml:space="preserve">the Company </w:t>
      </w:r>
      <w:r w:rsidR="00AC0D1C">
        <w:t xml:space="preserve">has internal targets for many of the proposed guarantees, which </w:t>
      </w:r>
      <w:r w:rsidR="00D10B70">
        <w:t>Staff</w:t>
      </w:r>
      <w:r w:rsidR="00AC0D1C">
        <w:t xml:space="preserve"> considered when developing reasonable service goals.</w:t>
      </w:r>
    </w:p>
    <w:p w14:paraId="695FA284" w14:textId="77777777" w:rsidR="00AC0D1C" w:rsidRDefault="00AC0D1C" w:rsidP="0064710D">
      <w:pPr>
        <w:spacing w:line="480" w:lineRule="auto"/>
        <w:ind w:left="720" w:hanging="720"/>
      </w:pPr>
    </w:p>
    <w:p w14:paraId="695FA285" w14:textId="77777777" w:rsidR="00AC0D1C" w:rsidRPr="00AC0D1C" w:rsidRDefault="00AC0D1C" w:rsidP="00AC0D1C">
      <w:pPr>
        <w:spacing w:line="480" w:lineRule="auto"/>
        <w:ind w:left="720" w:hanging="720"/>
        <w:rPr>
          <w:b/>
        </w:rPr>
      </w:pPr>
      <w:r>
        <w:rPr>
          <w:b/>
        </w:rPr>
        <w:t>Q.</w:t>
      </w:r>
      <w:r>
        <w:rPr>
          <w:b/>
        </w:rPr>
        <w:tab/>
        <w:t>Please describe the seven Customer Guarantees.</w:t>
      </w:r>
    </w:p>
    <w:p w14:paraId="695FA286" w14:textId="77777777" w:rsidR="00956680" w:rsidRDefault="00AC0D1C" w:rsidP="0064710D">
      <w:pPr>
        <w:spacing w:line="480" w:lineRule="auto"/>
        <w:ind w:left="720" w:hanging="720"/>
      </w:pPr>
      <w:r>
        <w:t>A.</w:t>
      </w:r>
      <w:r>
        <w:tab/>
      </w:r>
      <w:r w:rsidR="00956680">
        <w:t>CG1 requires Avista to adhere to an appointment time within a “window” no greater than two hours.</w:t>
      </w:r>
      <w:r w:rsidR="00956680" w:rsidRPr="00BA6AAF">
        <w:t xml:space="preserve"> </w:t>
      </w:r>
      <w:r w:rsidR="00956680">
        <w:t xml:space="preserve"> This is a reasonable expectation</w:t>
      </w:r>
      <w:r w:rsidR="00BB3347">
        <w:t xml:space="preserve"> that minimizes t</w:t>
      </w:r>
      <w:r w:rsidR="002F7611">
        <w:t>he inconvenience to the customer</w:t>
      </w:r>
      <w:r w:rsidR="00956680">
        <w:t xml:space="preserve">, and it allows </w:t>
      </w:r>
      <w:r w:rsidR="002F7611">
        <w:t>the</w:t>
      </w:r>
      <w:r w:rsidR="00956680">
        <w:t xml:space="preserve"> customer to plan his or her day accordingly.</w:t>
      </w:r>
      <w:r>
        <w:t xml:space="preserve"> Currently, Avista does not set an appointment time but generally makes an effort to call 30 minutes before arriving at the service location.</w:t>
      </w:r>
      <w:r>
        <w:rPr>
          <w:rStyle w:val="FootnoteReference"/>
        </w:rPr>
        <w:footnoteReference w:id="17"/>
      </w:r>
      <w:r>
        <w:t xml:space="preserve">  </w:t>
      </w:r>
      <w:r w:rsidR="00956680">
        <w:t xml:space="preserve">  </w:t>
      </w:r>
    </w:p>
    <w:p w14:paraId="695FA287" w14:textId="77777777" w:rsidR="00274D2F" w:rsidRDefault="002F7611" w:rsidP="009C261D">
      <w:pPr>
        <w:spacing w:line="480" w:lineRule="auto"/>
        <w:ind w:left="720" w:hanging="720"/>
      </w:pPr>
      <w:r>
        <w:tab/>
      </w:r>
      <w:r w:rsidR="00274D2F">
        <w:tab/>
      </w:r>
      <w:r>
        <w:t xml:space="preserve">CG2 requires the </w:t>
      </w:r>
      <w:r w:rsidR="002F3299">
        <w:t>C</w:t>
      </w:r>
      <w:r>
        <w:t>ompany to restore supply after an outage within 8 hours of notification from the custome</w:t>
      </w:r>
      <w:r w:rsidR="00274D2F">
        <w:t xml:space="preserve">r. </w:t>
      </w:r>
      <w:r w:rsidR="002F3299">
        <w:t xml:space="preserve"> </w:t>
      </w:r>
      <w:r w:rsidR="00274D2F">
        <w:t xml:space="preserve">Commission rules require utilities </w:t>
      </w:r>
      <w:r>
        <w:t xml:space="preserve">to reestablish </w:t>
      </w:r>
      <w:r w:rsidR="00274D2F">
        <w:t>electric and gas</w:t>
      </w:r>
      <w:r>
        <w:t xml:space="preserve"> service with minimum</w:t>
      </w:r>
      <w:r w:rsidR="00274D2F">
        <w:t>,</w:t>
      </w:r>
      <w:r>
        <w:t xml:space="preserve"> or the shortest</w:t>
      </w:r>
      <w:r w:rsidR="00274D2F">
        <w:t>,</w:t>
      </w:r>
      <w:r>
        <w:t xml:space="preserve"> delay possible.</w:t>
      </w:r>
      <w:r>
        <w:rPr>
          <w:rStyle w:val="FootnoteReference"/>
        </w:rPr>
        <w:footnoteReference w:id="18"/>
      </w:r>
      <w:r w:rsidR="00D672E6">
        <w:t xml:space="preserve"> </w:t>
      </w:r>
      <w:r w:rsidR="002F3299">
        <w:t xml:space="preserve"> </w:t>
      </w:r>
      <w:r w:rsidR="00D672E6">
        <w:t xml:space="preserve">Eight hours </w:t>
      </w:r>
      <w:r w:rsidR="00D672E6">
        <w:lastRenderedPageBreak/>
        <w:t>is a reasonable measurement of good service</w:t>
      </w:r>
      <w:r w:rsidR="00274D2F">
        <w:t>.</w:t>
      </w:r>
      <w:r w:rsidR="009C261D" w:rsidRPr="009C261D">
        <w:t xml:space="preserve"> </w:t>
      </w:r>
      <w:r w:rsidR="002F3299">
        <w:t xml:space="preserve"> </w:t>
      </w:r>
      <w:r w:rsidR="009C261D">
        <w:t xml:space="preserve">The </w:t>
      </w:r>
      <w:r w:rsidR="002F3299">
        <w:t>C</w:t>
      </w:r>
      <w:r w:rsidR="009C261D">
        <w:t>ompany averaged less than 3 hours in 2013.</w:t>
      </w:r>
      <w:r w:rsidR="009C261D">
        <w:rPr>
          <w:rStyle w:val="FootnoteReference"/>
        </w:rPr>
        <w:footnoteReference w:id="19"/>
      </w:r>
    </w:p>
    <w:p w14:paraId="695FA288" w14:textId="77777777" w:rsidR="002F7611" w:rsidRDefault="002F7611" w:rsidP="00956680">
      <w:pPr>
        <w:spacing w:line="480" w:lineRule="auto"/>
        <w:ind w:left="720" w:hanging="720"/>
      </w:pPr>
      <w:r>
        <w:t xml:space="preserve"> </w:t>
      </w:r>
      <w:r w:rsidR="00956680">
        <w:tab/>
      </w:r>
      <w:r w:rsidR="00956680">
        <w:tab/>
      </w:r>
      <w:r w:rsidR="00274D2F">
        <w:t xml:space="preserve">CG3 requires the </w:t>
      </w:r>
      <w:r w:rsidR="002F3299">
        <w:t>C</w:t>
      </w:r>
      <w:r w:rsidR="00274D2F">
        <w:t>ompany to switch on power within one business day of the customer or applicant’s request for service, provided no construction is required, all government inspections are met, and required payments are made. Commission rules require electric and gas utilities to reestablish electric and gas service with minimum, or the shortest, delay possible.</w:t>
      </w:r>
      <w:r w:rsidR="00274D2F">
        <w:rPr>
          <w:rStyle w:val="FootnoteReference"/>
        </w:rPr>
        <w:footnoteReference w:id="20"/>
      </w:r>
      <w:r w:rsidR="005519F9">
        <w:t xml:space="preserve"> </w:t>
      </w:r>
      <w:r w:rsidR="002F3299">
        <w:t xml:space="preserve"> </w:t>
      </w:r>
      <w:r w:rsidR="005519F9">
        <w:t xml:space="preserve">The </w:t>
      </w:r>
      <w:r w:rsidR="002F3299">
        <w:t>C</w:t>
      </w:r>
      <w:r w:rsidR="005519F9">
        <w:t xml:space="preserve">ompany averaged </w:t>
      </w:r>
      <w:r w:rsidR="009C261D">
        <w:t>less than</w:t>
      </w:r>
      <w:r w:rsidR="005519F9">
        <w:t xml:space="preserve"> 3 hours in 2013.</w:t>
      </w:r>
      <w:r w:rsidR="005519F9">
        <w:rPr>
          <w:rStyle w:val="FootnoteReference"/>
        </w:rPr>
        <w:footnoteReference w:id="21"/>
      </w:r>
    </w:p>
    <w:p w14:paraId="695FA289" w14:textId="77777777" w:rsidR="00274D2F" w:rsidRDefault="00274D2F" w:rsidP="00956680">
      <w:pPr>
        <w:spacing w:line="480" w:lineRule="auto"/>
        <w:ind w:left="720" w:hanging="720"/>
      </w:pPr>
      <w:r>
        <w:tab/>
      </w:r>
      <w:r>
        <w:tab/>
        <w:t xml:space="preserve">CG4 </w:t>
      </w:r>
      <w:r w:rsidR="005519F9">
        <w:t xml:space="preserve">requires the </w:t>
      </w:r>
      <w:r w:rsidR="002F3299">
        <w:t>C</w:t>
      </w:r>
      <w:r w:rsidR="005519F9">
        <w:t xml:space="preserve">ompany to </w:t>
      </w:r>
      <w:r>
        <w:t>provide a cost estimate for new supply to the applicant within 10 business days after all necessary information is provided by the customer.</w:t>
      </w:r>
      <w:r w:rsidR="00DE6D31">
        <w:t xml:space="preserve"> </w:t>
      </w:r>
      <w:r w:rsidR="002F3299">
        <w:t xml:space="preserve"> </w:t>
      </w:r>
      <w:r w:rsidR="00DE6D31">
        <w:t>Commission rules require electric and gas utilities to provide a date by which service will be made available upon request by a customer.</w:t>
      </w:r>
      <w:r w:rsidR="00DE6D31">
        <w:rPr>
          <w:rStyle w:val="FootnoteReference"/>
        </w:rPr>
        <w:footnoteReference w:id="22"/>
      </w:r>
      <w:r w:rsidR="00154063">
        <w:t xml:space="preserve"> </w:t>
      </w:r>
      <w:r w:rsidR="002F3299">
        <w:t xml:space="preserve"> </w:t>
      </w:r>
      <w:r w:rsidR="00154063">
        <w:t xml:space="preserve">Ten business days is a reasonable measurement of good service. </w:t>
      </w:r>
      <w:r w:rsidR="002F3299">
        <w:t xml:space="preserve"> </w:t>
      </w:r>
      <w:r w:rsidR="00154063">
        <w:t xml:space="preserve">The </w:t>
      </w:r>
      <w:r w:rsidR="002F3299">
        <w:t>C</w:t>
      </w:r>
      <w:r w:rsidR="00154063">
        <w:t>ompany does not currently track the amount of time it takes to respond to a customer’s application but has a goal of within 10 days.</w:t>
      </w:r>
      <w:r w:rsidR="00154063">
        <w:rPr>
          <w:rStyle w:val="FootnoteReference"/>
        </w:rPr>
        <w:footnoteReference w:id="23"/>
      </w:r>
      <w:r w:rsidR="00DE6D31">
        <w:t xml:space="preserve"> </w:t>
      </w:r>
    </w:p>
    <w:p w14:paraId="695FA28A" w14:textId="77777777" w:rsidR="00B977E1" w:rsidRDefault="00B977E1" w:rsidP="00956680">
      <w:pPr>
        <w:spacing w:line="480" w:lineRule="auto"/>
        <w:ind w:left="720" w:hanging="720"/>
      </w:pPr>
      <w:r>
        <w:tab/>
      </w:r>
      <w:r>
        <w:tab/>
        <w:t xml:space="preserve">CG5 requires </w:t>
      </w:r>
      <w:r w:rsidR="00837205">
        <w:t xml:space="preserve">the </w:t>
      </w:r>
      <w:r w:rsidR="002F3299">
        <w:t>C</w:t>
      </w:r>
      <w:r w:rsidR="00837205">
        <w:t xml:space="preserve">ompany to respond to most billing inquiries at the time of the initial contact. </w:t>
      </w:r>
      <w:r w:rsidR="002F3299">
        <w:t xml:space="preserve"> </w:t>
      </w:r>
      <w:r w:rsidR="00837205">
        <w:t xml:space="preserve">For those that require further investigation, the </w:t>
      </w:r>
      <w:r w:rsidR="00A50E63">
        <w:t>Company</w:t>
      </w:r>
      <w:r w:rsidR="00837205">
        <w:t xml:space="preserve"> will investigate and respond to the customer within 5 business days.  Commission rules require electric and gas utilities to promptly investigate complaints.</w:t>
      </w:r>
      <w:r w:rsidR="00837205">
        <w:rPr>
          <w:rStyle w:val="FootnoteReference"/>
        </w:rPr>
        <w:footnoteReference w:id="24"/>
      </w:r>
      <w:r w:rsidR="00742BE8">
        <w:t xml:space="preserve"> </w:t>
      </w:r>
      <w:r w:rsidR="002F3299">
        <w:t xml:space="preserve"> </w:t>
      </w:r>
      <w:r w:rsidR="00742BE8">
        <w:t>In 2013</w:t>
      </w:r>
      <w:r w:rsidR="0064710D">
        <w:t>,</w:t>
      </w:r>
      <w:r w:rsidR="00742BE8">
        <w:t xml:space="preserve"> the </w:t>
      </w:r>
      <w:r w:rsidR="0064710D">
        <w:lastRenderedPageBreak/>
        <w:t>C</w:t>
      </w:r>
      <w:r w:rsidR="00742BE8">
        <w:t>ompany took about 4.5 days and 2.5 days to respond to electric and gas inquiries, respectively.</w:t>
      </w:r>
      <w:r w:rsidR="00742BE8">
        <w:rPr>
          <w:rStyle w:val="FootnoteReference"/>
        </w:rPr>
        <w:footnoteReference w:id="25"/>
      </w:r>
      <w:r w:rsidR="00742BE8">
        <w:t xml:space="preserve"> </w:t>
      </w:r>
      <w:r w:rsidR="002F3299">
        <w:t xml:space="preserve"> </w:t>
      </w:r>
      <w:r w:rsidR="00742BE8">
        <w:t xml:space="preserve">Five days is a reasonable </w:t>
      </w:r>
      <w:r w:rsidR="003979CE">
        <w:t>measurement</w:t>
      </w:r>
      <w:r w:rsidR="00742BE8">
        <w:t xml:space="preserve"> of</w:t>
      </w:r>
      <w:r w:rsidR="003979CE">
        <w:t xml:space="preserve"> good</w:t>
      </w:r>
      <w:r w:rsidR="00742BE8">
        <w:t xml:space="preserve"> service. </w:t>
      </w:r>
    </w:p>
    <w:p w14:paraId="695FA28B" w14:textId="77777777" w:rsidR="003979CE" w:rsidRDefault="00742BE8" w:rsidP="00956680">
      <w:pPr>
        <w:spacing w:line="480" w:lineRule="auto"/>
        <w:ind w:left="720" w:hanging="720"/>
      </w:pPr>
      <w:r>
        <w:tab/>
      </w:r>
      <w:r>
        <w:tab/>
      </w:r>
      <w:r w:rsidR="003979CE">
        <w:t xml:space="preserve">CG6 requires the </w:t>
      </w:r>
      <w:r w:rsidR="0064710D">
        <w:t>C</w:t>
      </w:r>
      <w:r w:rsidR="003979CE">
        <w:t xml:space="preserve">ompany to investigate and respond to reported problems with a meter or conduct a meter test and report results to the customer within 20 business days. </w:t>
      </w:r>
      <w:r w:rsidR="002F3299">
        <w:t xml:space="preserve"> </w:t>
      </w:r>
      <w:r w:rsidR="003979CE">
        <w:t>Commission rules require electric and gas utilities to test and report to the customer the accuracy of a meter within 20 business days of a customer request.</w:t>
      </w:r>
      <w:r w:rsidR="003979CE">
        <w:rPr>
          <w:rStyle w:val="FootnoteReference"/>
        </w:rPr>
        <w:footnoteReference w:id="26"/>
      </w:r>
      <w:r w:rsidR="003979CE">
        <w:t xml:space="preserve"> </w:t>
      </w:r>
      <w:r w:rsidR="002F3299">
        <w:t xml:space="preserve"> </w:t>
      </w:r>
      <w:r w:rsidR="003979CE">
        <w:t>In 2013</w:t>
      </w:r>
      <w:r w:rsidR="002F3299">
        <w:t>,</w:t>
      </w:r>
      <w:r w:rsidR="003979CE">
        <w:t xml:space="preserve"> the </w:t>
      </w:r>
      <w:r w:rsidR="002F3299">
        <w:t>C</w:t>
      </w:r>
      <w:r w:rsidR="003979CE">
        <w:t>ompany averaged 6 and 8.5 days to respond to electric and gas meter problems, respectively.</w:t>
      </w:r>
      <w:r w:rsidR="003979CE">
        <w:rPr>
          <w:rStyle w:val="FootnoteReference"/>
        </w:rPr>
        <w:footnoteReference w:id="27"/>
      </w:r>
      <w:r w:rsidR="003979CE">
        <w:t xml:space="preserve">  In addition to the customer </w:t>
      </w:r>
      <w:r w:rsidR="00645AD0">
        <w:t>bill credit</w:t>
      </w:r>
      <w:r w:rsidR="002F3299">
        <w:t>,</w:t>
      </w:r>
      <w:r w:rsidR="003979CE">
        <w:t xml:space="preserve"> the </w:t>
      </w:r>
      <w:r w:rsidR="002F3299">
        <w:t>C</w:t>
      </w:r>
      <w:r w:rsidR="003979CE">
        <w:t>ompany will be subject to a potential fine for violating Commission rules.</w:t>
      </w:r>
    </w:p>
    <w:p w14:paraId="695FA28C" w14:textId="77777777" w:rsidR="00956680" w:rsidRPr="00ED2733" w:rsidRDefault="003979CE" w:rsidP="00ED2733">
      <w:pPr>
        <w:spacing w:line="480" w:lineRule="auto"/>
        <w:ind w:left="720" w:hanging="720"/>
      </w:pPr>
      <w:r>
        <w:t xml:space="preserve">  </w:t>
      </w:r>
      <w:r>
        <w:tab/>
      </w:r>
      <w:r>
        <w:tab/>
        <w:t xml:space="preserve">CG7 requires the </w:t>
      </w:r>
      <w:r w:rsidR="0064710D">
        <w:t>C</w:t>
      </w:r>
      <w:r>
        <w:t>ompany to notify the customer at least 24 hours before turning off power for planned interruptions, as required by Commission rules.</w:t>
      </w:r>
      <w:r>
        <w:rPr>
          <w:rStyle w:val="FootnoteReference"/>
        </w:rPr>
        <w:footnoteReference w:id="28"/>
      </w:r>
      <w:r w:rsidR="00ED2733" w:rsidRPr="00ED2733">
        <w:t xml:space="preserve"> </w:t>
      </w:r>
      <w:r w:rsidR="002F3299">
        <w:t xml:space="preserve"> </w:t>
      </w:r>
      <w:r w:rsidR="00ED2733">
        <w:t xml:space="preserve">In addition to </w:t>
      </w:r>
      <w:r w:rsidR="0064710D">
        <w:t xml:space="preserve">giving </w:t>
      </w:r>
      <w:r w:rsidR="00ED2733">
        <w:t xml:space="preserve">the customer </w:t>
      </w:r>
      <w:r w:rsidR="0064710D">
        <w:t xml:space="preserve">a </w:t>
      </w:r>
      <w:r w:rsidR="00645AD0">
        <w:t>bill credit</w:t>
      </w:r>
      <w:r w:rsidR="002F3299">
        <w:t>,</w:t>
      </w:r>
      <w:r w:rsidR="00ED2733">
        <w:t xml:space="preserve"> the </w:t>
      </w:r>
      <w:r w:rsidR="002F3299">
        <w:t>C</w:t>
      </w:r>
      <w:r w:rsidR="00ED2733">
        <w:t>ompany will be subject to a potential fine for violating Commission rules.</w:t>
      </w:r>
      <w:r w:rsidR="00956680">
        <w:t xml:space="preserve"> </w:t>
      </w:r>
    </w:p>
    <w:p w14:paraId="695FA28D" w14:textId="77777777" w:rsidR="00956680" w:rsidRDefault="00956680" w:rsidP="00956680">
      <w:pPr>
        <w:spacing w:line="480" w:lineRule="auto"/>
        <w:ind w:left="720" w:hanging="720"/>
        <w:rPr>
          <w:b/>
        </w:rPr>
      </w:pPr>
    </w:p>
    <w:p w14:paraId="695FA28E" w14:textId="77777777" w:rsidR="00956680" w:rsidRPr="00980F9C" w:rsidRDefault="00956680" w:rsidP="00D10B70">
      <w:pPr>
        <w:pStyle w:val="Heading3"/>
        <w:spacing w:line="240" w:lineRule="auto"/>
      </w:pPr>
      <w:bookmarkStart w:id="9" w:name="_Toc393689828"/>
      <w:proofErr w:type="gramStart"/>
      <w:r>
        <w:t xml:space="preserve">Penalties for Non-Compliance with </w:t>
      </w:r>
      <w:r w:rsidR="0064710D">
        <w:t>S</w:t>
      </w:r>
      <w:r>
        <w:t xml:space="preserve">ervice </w:t>
      </w:r>
      <w:r w:rsidR="0064710D">
        <w:t>Q</w:t>
      </w:r>
      <w:r>
        <w:t xml:space="preserve">uality </w:t>
      </w:r>
      <w:r w:rsidR="0064710D">
        <w:t>M</w:t>
      </w:r>
      <w:r>
        <w:t xml:space="preserve">etrics and </w:t>
      </w:r>
      <w:r w:rsidR="00791C12">
        <w:t xml:space="preserve">Service Credits for Non-Compliance </w:t>
      </w:r>
      <w:r w:rsidR="002817A1">
        <w:t>with</w:t>
      </w:r>
      <w:r w:rsidR="00791C12">
        <w:t xml:space="preserve"> </w:t>
      </w:r>
      <w:r w:rsidR="0064710D">
        <w:t>C</w:t>
      </w:r>
      <w:r>
        <w:t xml:space="preserve">ustomer </w:t>
      </w:r>
      <w:r w:rsidR="0064710D">
        <w:t>G</w:t>
      </w:r>
      <w:r>
        <w:t>uarantees.</w:t>
      </w:r>
      <w:bookmarkEnd w:id="9"/>
      <w:proofErr w:type="gramEnd"/>
      <w:r>
        <w:t xml:space="preserve"> </w:t>
      </w:r>
    </w:p>
    <w:p w14:paraId="695FA28F" w14:textId="77777777" w:rsidR="00956680" w:rsidRDefault="00956680" w:rsidP="00956680">
      <w:pPr>
        <w:spacing w:line="480" w:lineRule="auto"/>
        <w:ind w:left="720" w:hanging="720"/>
        <w:rPr>
          <w:b/>
        </w:rPr>
      </w:pPr>
    </w:p>
    <w:p w14:paraId="695FA290" w14:textId="77777777" w:rsidR="00956680" w:rsidRPr="00C86A14" w:rsidRDefault="00956680" w:rsidP="00956680">
      <w:pPr>
        <w:spacing w:line="480" w:lineRule="auto"/>
        <w:ind w:left="720" w:hanging="720"/>
        <w:rPr>
          <w:b/>
        </w:rPr>
      </w:pPr>
      <w:r>
        <w:rPr>
          <w:b/>
        </w:rPr>
        <w:t>Q.</w:t>
      </w:r>
      <w:r>
        <w:rPr>
          <w:b/>
        </w:rPr>
        <w:tab/>
      </w:r>
      <w:r w:rsidR="00F71F11">
        <w:rPr>
          <w:b/>
        </w:rPr>
        <w:t>What does Staff propose if Avista fails to meet a</w:t>
      </w:r>
      <w:r w:rsidR="009A6706">
        <w:rPr>
          <w:b/>
        </w:rPr>
        <w:t>n</w:t>
      </w:r>
      <w:r w:rsidR="00F71F11">
        <w:rPr>
          <w:b/>
        </w:rPr>
        <w:t xml:space="preserve"> Operations Service metric</w:t>
      </w:r>
      <w:r>
        <w:rPr>
          <w:b/>
        </w:rPr>
        <w:t>?</w:t>
      </w:r>
    </w:p>
    <w:p w14:paraId="695FA291" w14:textId="738958C9" w:rsidR="00A50E63" w:rsidRDefault="00956680" w:rsidP="00956680">
      <w:pPr>
        <w:spacing w:line="480" w:lineRule="auto"/>
        <w:ind w:left="720" w:hanging="720"/>
      </w:pPr>
      <w:r>
        <w:t>A:</w:t>
      </w:r>
      <w:r>
        <w:tab/>
      </w:r>
      <w:r w:rsidR="00791C12">
        <w:t>F</w:t>
      </w:r>
      <w:r>
        <w:t xml:space="preserve">or </w:t>
      </w:r>
      <w:r w:rsidR="00F71F11">
        <w:t>failure to meet an</w:t>
      </w:r>
      <w:r>
        <w:t xml:space="preserve"> Operation Services metrics, Staff proposes that </w:t>
      </w:r>
      <w:r w:rsidR="00B8456F">
        <w:t xml:space="preserve">Avista be </w:t>
      </w:r>
      <w:r>
        <w:t>subject to the statut</w:t>
      </w:r>
      <w:r w:rsidR="00B8456F">
        <w:t xml:space="preserve">ory </w:t>
      </w:r>
      <w:r>
        <w:t>penalt</w:t>
      </w:r>
      <w:r w:rsidR="00791C12">
        <w:t>ies</w:t>
      </w:r>
      <w:r>
        <w:t xml:space="preserve"> in RCW 80.04.380</w:t>
      </w:r>
      <w:r w:rsidR="00791C12">
        <w:t xml:space="preserve"> and</w:t>
      </w:r>
      <w:r w:rsidR="007F6339">
        <w:t>/or</w:t>
      </w:r>
      <w:r w:rsidR="00791C12">
        <w:t xml:space="preserve"> RCW 80.04.405</w:t>
      </w:r>
      <w:r>
        <w:t xml:space="preserve">. </w:t>
      </w:r>
      <w:r w:rsidR="00B8456F">
        <w:t xml:space="preserve"> Under </w:t>
      </w:r>
      <w:r w:rsidR="007F6339">
        <w:t>RCW 80.04.380</w:t>
      </w:r>
      <w:r w:rsidR="00B8456F">
        <w:t xml:space="preserve">, </w:t>
      </w:r>
      <w:r>
        <w:t xml:space="preserve">if the </w:t>
      </w:r>
      <w:r w:rsidR="00B8456F">
        <w:t>utility</w:t>
      </w:r>
      <w:r>
        <w:t xml:space="preserve"> does not comply with an </w:t>
      </w:r>
      <w:r w:rsidR="00B8456F">
        <w:t>“</w:t>
      </w:r>
      <w:r>
        <w:t>order, rule</w:t>
      </w:r>
      <w:r w:rsidR="00B8456F">
        <w:t xml:space="preserve">, direction </w:t>
      </w:r>
      <w:r>
        <w:t xml:space="preserve">or </w:t>
      </w:r>
      <w:r>
        <w:lastRenderedPageBreak/>
        <w:t xml:space="preserve">requirement </w:t>
      </w:r>
      <w:r w:rsidR="00B8456F">
        <w:t xml:space="preserve">made by </w:t>
      </w:r>
      <w:r>
        <w:t>the commission,</w:t>
      </w:r>
      <w:r w:rsidR="00B8456F">
        <w:t>”</w:t>
      </w:r>
      <w:r>
        <w:t xml:space="preserve"> it is subject to a penalty </w:t>
      </w:r>
      <w:r w:rsidR="002817A1">
        <w:t>of no</w:t>
      </w:r>
      <w:r w:rsidR="00875DBF">
        <w:t xml:space="preserve"> more than </w:t>
      </w:r>
      <w:r>
        <w:t>one thousand dollars for each and every offense.</w:t>
      </w:r>
      <w:r>
        <w:rPr>
          <w:rStyle w:val="FootnoteReference"/>
        </w:rPr>
        <w:footnoteReference w:id="29"/>
      </w:r>
      <w:r>
        <w:t xml:space="preserve">  </w:t>
      </w:r>
    </w:p>
    <w:p w14:paraId="695FA292" w14:textId="4B1D3632" w:rsidR="00956680" w:rsidRDefault="00A50E63" w:rsidP="00956680">
      <w:pPr>
        <w:spacing w:line="480" w:lineRule="auto"/>
        <w:ind w:left="720" w:hanging="720"/>
      </w:pPr>
      <w:r>
        <w:tab/>
      </w:r>
      <w:r>
        <w:tab/>
      </w:r>
      <w:r w:rsidR="0021417F">
        <w:t>Thus</w:t>
      </w:r>
      <w:r w:rsidR="00B8456F">
        <w:t xml:space="preserve">, if Avista did not satisfy a specific Commission-mandated quality of service metric, </w:t>
      </w:r>
      <w:r>
        <w:t xml:space="preserve">the Company </w:t>
      </w:r>
      <w:r w:rsidR="00B8456F">
        <w:t xml:space="preserve">would not be complying with a requirement or order of the Commission, and would be subject to a monetary penalty.  In addition, </w:t>
      </w:r>
      <w:r w:rsidR="007F6339">
        <w:t>RCW 80.04.380</w:t>
      </w:r>
      <w:r w:rsidR="00B8456F">
        <w:t xml:space="preserve"> says that </w:t>
      </w:r>
      <w:r w:rsidR="00895A54">
        <w:t xml:space="preserve">“in the case of a continuing violation every </w:t>
      </w:r>
      <w:proofErr w:type="gramStart"/>
      <w:r w:rsidR="00895A54">
        <w:t>days’</w:t>
      </w:r>
      <w:proofErr w:type="gramEnd"/>
      <w:r w:rsidR="00895A54">
        <w:t xml:space="preserve"> continuance thereof shall be and deemed to be a separate and distinct offense.”</w:t>
      </w:r>
      <w:r w:rsidR="007F6339">
        <w:t xml:space="preserve">  </w:t>
      </w:r>
    </w:p>
    <w:p w14:paraId="695FA293" w14:textId="7728B998" w:rsidR="00D84602" w:rsidRDefault="00000694" w:rsidP="00956680">
      <w:pPr>
        <w:spacing w:line="480" w:lineRule="auto"/>
        <w:ind w:left="720" w:hanging="720"/>
      </w:pPr>
      <w:r>
        <w:tab/>
      </w:r>
      <w:r>
        <w:tab/>
        <w:t xml:space="preserve">Alternatively, the Commission could </w:t>
      </w:r>
      <w:r w:rsidR="007F6339">
        <w:t xml:space="preserve">issue a </w:t>
      </w:r>
      <w:r>
        <w:t>penalt</w:t>
      </w:r>
      <w:r w:rsidR="007F6339">
        <w:t>y under</w:t>
      </w:r>
      <w:r>
        <w:t xml:space="preserve"> RCW 80.04.405.  Under that section, any violation of an order, rule, regulation or decision of the Commission by a public service company, “shall incur a penalty of up to one hundred dollars for every such violation.”  The statue continues, “</w:t>
      </w:r>
      <w:r w:rsidR="00D84602">
        <w:t>Each</w:t>
      </w:r>
      <w:r>
        <w:t xml:space="preserve"> and every such violation shall be a separate and distinct offense and in case of a continuing violation every day’s continuance shall be and be deemed to be a separate and distinct violation.”</w:t>
      </w:r>
      <w:r w:rsidR="00D84602">
        <w:t xml:space="preserve">  </w:t>
      </w:r>
    </w:p>
    <w:p w14:paraId="4D482668" w14:textId="77777777" w:rsidR="007F6339" w:rsidRDefault="007F6339" w:rsidP="00C27069">
      <w:pPr>
        <w:spacing w:line="480" w:lineRule="auto"/>
        <w:ind w:left="720" w:hanging="720"/>
        <w:rPr>
          <w:b/>
        </w:rPr>
      </w:pPr>
    </w:p>
    <w:p w14:paraId="695FA294" w14:textId="12B944FB" w:rsidR="00C27069" w:rsidRDefault="00C27069" w:rsidP="00C27069">
      <w:pPr>
        <w:spacing w:line="480" w:lineRule="auto"/>
        <w:ind w:left="720" w:hanging="720"/>
        <w:rPr>
          <w:b/>
        </w:rPr>
      </w:pPr>
      <w:r>
        <w:rPr>
          <w:b/>
        </w:rPr>
        <w:t>Q.</w:t>
      </w:r>
      <w:r>
        <w:rPr>
          <w:b/>
        </w:rPr>
        <w:tab/>
      </w:r>
      <w:r w:rsidR="007F6339">
        <w:rPr>
          <w:b/>
        </w:rPr>
        <w:t xml:space="preserve">What is </w:t>
      </w:r>
      <w:r>
        <w:rPr>
          <w:b/>
        </w:rPr>
        <w:t>the consequence if Avista fails to meet a Customer Guarantee</w:t>
      </w:r>
      <w:r w:rsidR="007F6339">
        <w:rPr>
          <w:b/>
        </w:rPr>
        <w:t>?</w:t>
      </w:r>
    </w:p>
    <w:p w14:paraId="695FA295" w14:textId="77777777" w:rsidR="002338E7" w:rsidRDefault="00C27069" w:rsidP="00956680">
      <w:pPr>
        <w:spacing w:line="480" w:lineRule="auto"/>
        <w:ind w:left="720" w:hanging="720"/>
      </w:pPr>
      <w:r>
        <w:t>A.</w:t>
      </w:r>
      <w:r>
        <w:tab/>
      </w:r>
      <w:r w:rsidR="00DB2C8F">
        <w:t xml:space="preserve">For </w:t>
      </w:r>
      <w:r>
        <w:t xml:space="preserve">each </w:t>
      </w:r>
      <w:r w:rsidR="00DB2C8F">
        <w:t>Customer Guarantee</w:t>
      </w:r>
      <w:r>
        <w:t xml:space="preserve"> standard Avista does not meet,</w:t>
      </w:r>
      <w:r w:rsidR="00DB2C8F">
        <w:t xml:space="preserve"> Staff proposes that Avista </w:t>
      </w:r>
      <w:r>
        <w:t xml:space="preserve">credit the customer $50, </w:t>
      </w:r>
      <w:r w:rsidR="00DB2C8F">
        <w:t xml:space="preserve">through a </w:t>
      </w:r>
      <w:r w:rsidR="00645AD0">
        <w:t>bill credit</w:t>
      </w:r>
      <w:r>
        <w:t xml:space="preserve"> </w:t>
      </w:r>
      <w:r w:rsidR="00DB2C8F">
        <w:t xml:space="preserve">tariff similar to Tariff 25 for PacifiCorp.    </w:t>
      </w:r>
      <w:r w:rsidR="002338E7">
        <w:t xml:space="preserve"> </w:t>
      </w:r>
    </w:p>
    <w:p w14:paraId="695FA296" w14:textId="77777777" w:rsidR="00895A54" w:rsidRDefault="00895A54" w:rsidP="00956680">
      <w:pPr>
        <w:spacing w:line="480" w:lineRule="auto"/>
        <w:ind w:left="720" w:hanging="720"/>
      </w:pPr>
    </w:p>
    <w:p w14:paraId="695FA297" w14:textId="2494E858" w:rsidR="00895A54" w:rsidRPr="00AC6EC5" w:rsidRDefault="00895A54" w:rsidP="00956680">
      <w:pPr>
        <w:spacing w:line="480" w:lineRule="auto"/>
        <w:ind w:left="720" w:hanging="720"/>
        <w:rPr>
          <w:b/>
        </w:rPr>
      </w:pPr>
      <w:r>
        <w:rPr>
          <w:b/>
        </w:rPr>
        <w:t>Q.</w:t>
      </w:r>
      <w:r>
        <w:rPr>
          <w:b/>
        </w:rPr>
        <w:tab/>
        <w:t xml:space="preserve">How would each violation of an OS metric </w:t>
      </w:r>
      <w:r w:rsidR="007F6339">
        <w:rPr>
          <w:b/>
        </w:rPr>
        <w:t>be measured</w:t>
      </w:r>
      <w:r>
        <w:rPr>
          <w:b/>
        </w:rPr>
        <w:t>?</w:t>
      </w:r>
    </w:p>
    <w:p w14:paraId="695FA298" w14:textId="77777777" w:rsidR="00895A54" w:rsidRDefault="00895A54" w:rsidP="00956680">
      <w:pPr>
        <w:spacing w:line="480" w:lineRule="auto"/>
        <w:ind w:left="720" w:hanging="720"/>
      </w:pPr>
      <w:r>
        <w:t>A.</w:t>
      </w:r>
      <w:r>
        <w:tab/>
      </w:r>
      <w:r w:rsidR="00956680">
        <w:t xml:space="preserve">For OS1, each infraction </w:t>
      </w:r>
      <w:r>
        <w:t xml:space="preserve">would be </w:t>
      </w:r>
      <w:r w:rsidR="00956680">
        <w:t>measured by the variance of the evaluated</w:t>
      </w:r>
      <w:r>
        <w:t xml:space="preserve"> “</w:t>
      </w:r>
      <w:r w:rsidR="00956680">
        <w:t>company minute</w:t>
      </w:r>
      <w:r>
        <w:t>”</w:t>
      </w:r>
      <w:r w:rsidR="00956680">
        <w:t xml:space="preserve"> from the</w:t>
      </w:r>
      <w:r w:rsidR="00A87135">
        <w:t xml:space="preserve"> “</w:t>
      </w:r>
      <w:r w:rsidR="00956680">
        <w:t>IEEE median score.</w:t>
      </w:r>
      <w:r>
        <w:t>”</w:t>
      </w:r>
      <w:r w:rsidR="00956680">
        <w:t xml:space="preserve"> </w:t>
      </w:r>
      <w:r>
        <w:t xml:space="preserve"> For example, in </w:t>
      </w:r>
      <w:r w:rsidR="00956680">
        <w:t>2012</w:t>
      </w:r>
      <w:r>
        <w:t>,</w:t>
      </w:r>
      <w:r w:rsidR="00956680">
        <w:t xml:space="preserve"> the </w:t>
      </w:r>
      <w:r w:rsidR="008E1003">
        <w:t>IEEE</w:t>
      </w:r>
      <w:r w:rsidR="00956680">
        <w:t xml:space="preserve"> SAIDI national median was 126 minutes and Avista averaged 138 minutes. </w:t>
      </w:r>
      <w:r>
        <w:t xml:space="preserve"> </w:t>
      </w:r>
      <w:r w:rsidR="00956680">
        <w:t xml:space="preserve">The </w:t>
      </w:r>
      <w:r>
        <w:t>C</w:t>
      </w:r>
      <w:r w:rsidR="00956680">
        <w:t xml:space="preserve">ompany would </w:t>
      </w:r>
      <w:r>
        <w:t xml:space="preserve">have </w:t>
      </w:r>
      <w:r w:rsidR="00956680">
        <w:t>be</w:t>
      </w:r>
      <w:r>
        <w:t>en</w:t>
      </w:r>
      <w:r w:rsidR="00956680">
        <w:t xml:space="preserve"> in violation of </w:t>
      </w:r>
      <w:r>
        <w:t xml:space="preserve">this </w:t>
      </w:r>
      <w:r w:rsidR="00956680">
        <w:t>metric</w:t>
      </w:r>
      <w:r w:rsidR="0021417F">
        <w:t xml:space="preserve"> each day of 2012,</w:t>
      </w:r>
      <w:r w:rsidR="00956680">
        <w:t xml:space="preserve"> and would </w:t>
      </w:r>
      <w:r>
        <w:t xml:space="preserve">have been </w:t>
      </w:r>
      <w:r w:rsidR="00956680">
        <w:t>subject to a penalty for each infraction, which is the difference in minutes between the two scores</w:t>
      </w:r>
      <w:r w:rsidR="0021417F">
        <w:t xml:space="preserve"> multiplied by </w:t>
      </w:r>
      <w:r w:rsidR="00D73F78">
        <w:t>the number of</w:t>
      </w:r>
      <w:r w:rsidR="00C5222D">
        <w:t xml:space="preserve"> days</w:t>
      </w:r>
      <w:r w:rsidR="00D73F78">
        <w:t xml:space="preserve"> in that year</w:t>
      </w:r>
      <w:r w:rsidR="00C5222D">
        <w:t>.</w:t>
      </w:r>
      <w:r w:rsidR="00956680">
        <w:t xml:space="preserve"> </w:t>
      </w:r>
      <w:r>
        <w:t xml:space="preserve"> </w:t>
      </w:r>
      <w:r w:rsidR="00956680">
        <w:t xml:space="preserve">In 2012, the </w:t>
      </w:r>
      <w:r w:rsidR="00A50E63">
        <w:t>Company</w:t>
      </w:r>
      <w:r w:rsidR="00956680">
        <w:t xml:space="preserve"> would have been subject to 12</w:t>
      </w:r>
      <w:r w:rsidR="0021417F">
        <w:t xml:space="preserve"> </w:t>
      </w:r>
      <w:r w:rsidR="00A87135">
        <w:t>daily</w:t>
      </w:r>
      <w:r w:rsidR="00956680">
        <w:t xml:space="preserve"> infractions. </w:t>
      </w:r>
    </w:p>
    <w:p w14:paraId="695FA299" w14:textId="77777777" w:rsidR="00956680" w:rsidRDefault="00956680" w:rsidP="00AC6EC5">
      <w:pPr>
        <w:spacing w:line="480" w:lineRule="auto"/>
        <w:ind w:left="720" w:firstLine="720"/>
      </w:pPr>
      <w:r>
        <w:t xml:space="preserve">For OS2, the infraction </w:t>
      </w:r>
      <w:r w:rsidR="00895A54">
        <w:t xml:space="preserve">would be </w:t>
      </w:r>
      <w:r>
        <w:t xml:space="preserve">measured as </w:t>
      </w:r>
      <w:r w:rsidR="001739FA">
        <w:t>the number of sustained interruptions</w:t>
      </w:r>
      <w:r w:rsidR="002338E7">
        <w:t xml:space="preserve"> experienced by a customer</w:t>
      </w:r>
      <w:r w:rsidR="001739FA">
        <w:t xml:space="preserve"> beyond the national median. </w:t>
      </w:r>
      <w:r w:rsidR="00895A54">
        <w:t xml:space="preserve"> </w:t>
      </w:r>
      <w:r w:rsidR="001739FA">
        <w:t>For example, in 2012 the national median was 1.08 interruptions</w:t>
      </w:r>
      <w:r w:rsidR="002338E7">
        <w:t xml:space="preserve"> per customer</w:t>
      </w:r>
      <w:r w:rsidR="00D1554E">
        <w:t xml:space="preserve"> per year,</w:t>
      </w:r>
      <w:r w:rsidR="002338E7">
        <w:t xml:space="preserve"> and Avista recorded 1.14. </w:t>
      </w:r>
      <w:r w:rsidR="00D10B70">
        <w:t xml:space="preserve"> </w:t>
      </w:r>
      <w:r w:rsidR="002338E7">
        <w:t>The Company would have been in violation of this metric</w:t>
      </w:r>
      <w:r w:rsidR="0021417F">
        <w:t xml:space="preserve"> each day of 2012</w:t>
      </w:r>
      <w:r w:rsidR="002338E7">
        <w:t xml:space="preserve"> and would have been subject t</w:t>
      </w:r>
      <w:r w:rsidR="00D1554E">
        <w:t>o a</w:t>
      </w:r>
      <w:r w:rsidR="00845DF6">
        <w:t xml:space="preserve"> penalty for each infraction, which is the hundredth of percent that the customer deviates from the benchmark</w:t>
      </w:r>
      <w:r w:rsidR="002B453E">
        <w:t xml:space="preserve"> multiplied by the number of days in that year</w:t>
      </w:r>
      <w:r w:rsidR="00845DF6">
        <w:t xml:space="preserve">. </w:t>
      </w:r>
      <w:r w:rsidR="00D10B70">
        <w:t xml:space="preserve"> </w:t>
      </w:r>
      <w:r w:rsidR="00845DF6">
        <w:t>In 2012</w:t>
      </w:r>
      <w:r w:rsidR="00D10B70">
        <w:t>,</w:t>
      </w:r>
      <w:r w:rsidR="00845DF6">
        <w:t xml:space="preserve"> the</w:t>
      </w:r>
      <w:r w:rsidR="00D73F78">
        <w:t xml:space="preserve"> </w:t>
      </w:r>
      <w:r w:rsidR="00D10B70">
        <w:t>Co</w:t>
      </w:r>
      <w:r w:rsidR="00D73F78">
        <w:t>mpany would have subject to 6 daily infractions.</w:t>
      </w:r>
    </w:p>
    <w:p w14:paraId="695FA29A" w14:textId="47953963" w:rsidR="008E1003" w:rsidRDefault="00956680" w:rsidP="00956680">
      <w:pPr>
        <w:spacing w:line="480" w:lineRule="auto"/>
        <w:ind w:left="720" w:firstLine="720"/>
      </w:pPr>
      <w:r>
        <w:t xml:space="preserve">For OS3 and </w:t>
      </w:r>
      <w:r w:rsidR="002817A1">
        <w:t>OS</w:t>
      </w:r>
      <w:r>
        <w:t xml:space="preserve">4, each infraction </w:t>
      </w:r>
      <w:r w:rsidR="00895A54">
        <w:t xml:space="preserve">would be </w:t>
      </w:r>
      <w:r>
        <w:t xml:space="preserve">measured by the variance in </w:t>
      </w:r>
      <w:r w:rsidR="00895A54">
        <w:t>C</w:t>
      </w:r>
      <w:r>
        <w:t xml:space="preserve">ompany minutes from the </w:t>
      </w:r>
      <w:r w:rsidR="00254671">
        <w:t xml:space="preserve">benchmark </w:t>
      </w:r>
      <w:r w:rsidR="0021417F">
        <w:t>for each day</w:t>
      </w:r>
      <w:r>
        <w:t xml:space="preserve">. </w:t>
      </w:r>
      <w:r w:rsidR="00895A54">
        <w:t xml:space="preserve"> </w:t>
      </w:r>
      <w:r>
        <w:t xml:space="preserve">For example, the OS3 threshold states the </w:t>
      </w:r>
      <w:r w:rsidR="00895A54">
        <w:t>C</w:t>
      </w:r>
      <w:r>
        <w:t>ompany must respond to an electric emergency within 65 minutes, on average</w:t>
      </w:r>
      <w:r w:rsidR="00895A54">
        <w:t>,</w:t>
      </w:r>
      <w:r>
        <w:t xml:space="preserve"> each year.  If the </w:t>
      </w:r>
      <w:r w:rsidR="00895A54">
        <w:t>C</w:t>
      </w:r>
      <w:r>
        <w:t xml:space="preserve">ompany averages 80 minutes in a year, </w:t>
      </w:r>
      <w:r w:rsidR="00895A54">
        <w:t xml:space="preserve">that would constitute </w:t>
      </w:r>
      <w:r>
        <w:t>15</w:t>
      </w:r>
      <w:r w:rsidR="00A87135">
        <w:t xml:space="preserve"> daily</w:t>
      </w:r>
      <w:r>
        <w:t xml:space="preserve"> </w:t>
      </w:r>
      <w:r w:rsidR="009F2249">
        <w:t>infractions</w:t>
      </w:r>
      <w:r>
        <w:t>.</w:t>
      </w:r>
    </w:p>
    <w:p w14:paraId="695FA29B" w14:textId="77777777" w:rsidR="00956680" w:rsidRDefault="00875DBF" w:rsidP="00956680">
      <w:pPr>
        <w:spacing w:line="480" w:lineRule="auto"/>
        <w:ind w:left="720" w:firstLine="720"/>
      </w:pPr>
      <w:r>
        <w:t>If the company were to be fined $1</w:t>
      </w:r>
      <w:r w:rsidR="00C27069">
        <w:t>,</w:t>
      </w:r>
      <w:r>
        <w:t xml:space="preserve">000 per day for each </w:t>
      </w:r>
      <w:r w:rsidR="00C27069">
        <w:t xml:space="preserve">of these </w:t>
      </w:r>
      <w:r>
        <w:t>infraction</w:t>
      </w:r>
      <w:r w:rsidR="00C27069">
        <w:t>s</w:t>
      </w:r>
      <w:r>
        <w:t>,</w:t>
      </w:r>
      <w:r w:rsidR="00C27069">
        <w:t xml:space="preserve"> because these infractions continued through the year, </w:t>
      </w:r>
      <w:r>
        <w:t xml:space="preserve">the total penalty </w:t>
      </w:r>
      <w:r w:rsidR="00C27069">
        <w:t xml:space="preserve">amount would be very significant; </w:t>
      </w:r>
      <w:r>
        <w:t>millions of dollars</w:t>
      </w:r>
      <w:r w:rsidR="00C27069">
        <w:t xml:space="preserve">.  That is not an appropriate </w:t>
      </w:r>
      <w:r w:rsidR="008E1003">
        <w:t>proportional</w:t>
      </w:r>
      <w:r w:rsidR="00C27069">
        <w:t xml:space="preserve"> penalty</w:t>
      </w:r>
      <w:r w:rsidR="008E1003">
        <w:t xml:space="preserve">. </w:t>
      </w:r>
      <w:r w:rsidR="00D10B70">
        <w:t xml:space="preserve"> </w:t>
      </w:r>
      <w:r w:rsidR="00C27069">
        <w:t xml:space="preserve">In those circumstances, </w:t>
      </w:r>
      <w:r w:rsidR="008E1003">
        <w:t xml:space="preserve">Staff </w:t>
      </w:r>
      <w:r w:rsidR="00C27069">
        <w:t xml:space="preserve">typically would </w:t>
      </w:r>
      <w:r w:rsidR="008E1003">
        <w:t xml:space="preserve">recommend the </w:t>
      </w:r>
      <w:r w:rsidR="00D10B70">
        <w:t>C</w:t>
      </w:r>
      <w:r w:rsidR="008E1003">
        <w:t xml:space="preserve">ommission </w:t>
      </w:r>
      <w:r w:rsidR="00C27069">
        <w:t xml:space="preserve">hold the </w:t>
      </w:r>
      <w:r w:rsidR="00D10B70">
        <w:t>C</w:t>
      </w:r>
      <w:r w:rsidR="008E1003">
        <w:t xml:space="preserve">ompany liable </w:t>
      </w:r>
      <w:r w:rsidR="00C27069">
        <w:t xml:space="preserve">for </w:t>
      </w:r>
      <w:r w:rsidR="008E1003">
        <w:t xml:space="preserve">up to $100 for each infraction. </w:t>
      </w:r>
      <w:r w:rsidR="00D10B70">
        <w:t xml:space="preserve"> </w:t>
      </w:r>
      <w:r w:rsidR="00C27069">
        <w:t>At this level, and u</w:t>
      </w:r>
      <w:r w:rsidR="008E1003">
        <w:t xml:space="preserve">sing the </w:t>
      </w:r>
      <w:r w:rsidR="00C27069">
        <w:t>C</w:t>
      </w:r>
      <w:r w:rsidR="008E1003">
        <w:t xml:space="preserve">ompany’s 2012 OS3 performance above, the </w:t>
      </w:r>
      <w:r w:rsidR="00D10B70">
        <w:t>C</w:t>
      </w:r>
      <w:r w:rsidR="008E1003">
        <w:t>ompany would incur 15 daily violations, multiplied by the number of days in 2012, for a total fine of up to $549,000</w:t>
      </w:r>
      <w:r w:rsidR="00000694">
        <w:t>.</w:t>
      </w:r>
      <w:r w:rsidR="009F2249">
        <w:rPr>
          <w:rStyle w:val="FootnoteReference"/>
        </w:rPr>
        <w:footnoteReference w:id="30"/>
      </w:r>
      <w:r w:rsidR="008E1003">
        <w:t xml:space="preserve">  </w:t>
      </w:r>
      <w:r w:rsidR="00C27069">
        <w:t>A penalty issued per RCW 80.04.405 would allow the Company an opportunity to seek mitigation of the amount.</w:t>
      </w:r>
    </w:p>
    <w:p w14:paraId="4BCA2608" w14:textId="77777777" w:rsidR="009720C5" w:rsidRDefault="009720C5" w:rsidP="005D6D7D">
      <w:pPr>
        <w:spacing w:line="480" w:lineRule="auto"/>
      </w:pPr>
    </w:p>
    <w:p w14:paraId="695FA29C" w14:textId="03F5920E" w:rsidR="005D6D7D" w:rsidRDefault="004D6E52" w:rsidP="005D6D7D">
      <w:pPr>
        <w:spacing w:line="480" w:lineRule="auto"/>
        <w:rPr>
          <w:b/>
        </w:rPr>
      </w:pPr>
      <w:r>
        <w:rPr>
          <w:b/>
        </w:rPr>
        <w:t>Q.</w:t>
      </w:r>
      <w:r w:rsidR="005D6D7D">
        <w:tab/>
      </w:r>
      <w:r w:rsidR="005D6D7D">
        <w:rPr>
          <w:b/>
        </w:rPr>
        <w:t xml:space="preserve">When would the penalty </w:t>
      </w:r>
      <w:r>
        <w:rPr>
          <w:b/>
        </w:rPr>
        <w:t>mechanism be enforced?</w:t>
      </w:r>
    </w:p>
    <w:p w14:paraId="695FA29D" w14:textId="1E2E569C" w:rsidR="005D6D7D" w:rsidRPr="005D6D7D" w:rsidRDefault="004D6E52" w:rsidP="001169AE">
      <w:pPr>
        <w:spacing w:line="480" w:lineRule="auto"/>
        <w:ind w:left="720" w:hanging="720"/>
      </w:pPr>
      <w:r>
        <w:t>A.</w:t>
      </w:r>
      <w:r w:rsidR="005D6D7D">
        <w:tab/>
        <w:t xml:space="preserve">Considering that the </w:t>
      </w:r>
      <w:r w:rsidR="009720C5">
        <w:t>C</w:t>
      </w:r>
      <w:r w:rsidR="005D6D7D">
        <w:t xml:space="preserve">ompany has not </w:t>
      </w:r>
      <w:r w:rsidR="009668C5">
        <w:t>consistently</w:t>
      </w:r>
      <w:r w:rsidR="007858CE">
        <w:t xml:space="preserve"> achieved</w:t>
      </w:r>
      <w:r w:rsidR="005D6D7D">
        <w:t xml:space="preserve"> the proposed thresholds,</w:t>
      </w:r>
      <w:r w:rsidR="007858CE">
        <w:t xml:space="preserve"> it is reasonable to give the </w:t>
      </w:r>
      <w:r w:rsidR="009720C5">
        <w:t>C</w:t>
      </w:r>
      <w:r w:rsidR="007858CE">
        <w:t>ompany time to come into compliance.</w:t>
      </w:r>
      <w:r w:rsidR="005D6D7D">
        <w:t xml:space="preserve"> </w:t>
      </w:r>
      <w:r w:rsidR="007858CE">
        <w:t>S</w:t>
      </w:r>
      <w:r w:rsidR="005D6D7D">
        <w:t xml:space="preserve">taff proposes that the penalty mechanism </w:t>
      </w:r>
      <w:r w:rsidR="00A50D61">
        <w:t xml:space="preserve">not </w:t>
      </w:r>
      <w:r w:rsidR="007F6339">
        <w:t xml:space="preserve">become </w:t>
      </w:r>
      <w:r w:rsidR="00A50D61">
        <w:t>effect</w:t>
      </w:r>
      <w:r w:rsidR="007F6339">
        <w:t>ive</w:t>
      </w:r>
      <w:r w:rsidR="005D6D7D">
        <w:t xml:space="preserve"> until one year after </w:t>
      </w:r>
      <w:r w:rsidR="007F6339">
        <w:t xml:space="preserve">the Commission </w:t>
      </w:r>
      <w:r w:rsidR="007858CE">
        <w:t>adopt</w:t>
      </w:r>
      <w:r w:rsidR="007F6339">
        <w:t xml:space="preserve">s the </w:t>
      </w:r>
      <w:r w:rsidR="007F1DE5">
        <w:t>SQR</w:t>
      </w:r>
      <w:r w:rsidR="007858CE">
        <w:t>.</w:t>
      </w:r>
    </w:p>
    <w:p w14:paraId="695FA29E" w14:textId="77777777" w:rsidR="002338E7" w:rsidRDefault="002338E7" w:rsidP="00956680">
      <w:pPr>
        <w:spacing w:line="480" w:lineRule="auto"/>
        <w:ind w:left="720" w:firstLine="720"/>
      </w:pPr>
    </w:p>
    <w:p w14:paraId="695FA29F" w14:textId="77777777" w:rsidR="002338E7" w:rsidRDefault="002338E7" w:rsidP="002338E7">
      <w:pPr>
        <w:spacing w:line="480" w:lineRule="auto"/>
        <w:ind w:left="720" w:hanging="720"/>
        <w:rPr>
          <w:b/>
        </w:rPr>
      </w:pPr>
      <w:r>
        <w:rPr>
          <w:b/>
        </w:rPr>
        <w:t>Q.</w:t>
      </w:r>
      <w:r>
        <w:rPr>
          <w:b/>
        </w:rPr>
        <w:tab/>
        <w:t>How would each violation of a CG be measured?</w:t>
      </w:r>
    </w:p>
    <w:p w14:paraId="695FA2A0" w14:textId="0724BA22" w:rsidR="00956680" w:rsidRDefault="0064710D" w:rsidP="00870E52">
      <w:pPr>
        <w:spacing w:line="480" w:lineRule="auto"/>
        <w:ind w:left="720" w:hanging="720"/>
      </w:pPr>
      <w:r>
        <w:t>A.</w:t>
      </w:r>
      <w:r w:rsidR="003011B6">
        <w:rPr>
          <w:b/>
        </w:rPr>
        <w:tab/>
      </w:r>
      <w:r w:rsidR="003011B6">
        <w:t xml:space="preserve">If the </w:t>
      </w:r>
      <w:r>
        <w:t xml:space="preserve">Company </w:t>
      </w:r>
      <w:r w:rsidR="002817A1">
        <w:t>violate</w:t>
      </w:r>
      <w:r w:rsidR="00502C68">
        <w:t>s</w:t>
      </w:r>
      <w:r w:rsidR="002817A1">
        <w:t xml:space="preserve"> </w:t>
      </w:r>
      <w:r w:rsidR="00502C68">
        <w:t>a</w:t>
      </w:r>
      <w:r w:rsidR="002817A1">
        <w:t xml:space="preserve"> </w:t>
      </w:r>
      <w:r w:rsidR="00106B5E">
        <w:t>guarantee, and if there are</w:t>
      </w:r>
      <w:r w:rsidR="003011B6">
        <w:t xml:space="preserve"> no reasonable exceptions from the guarantee</w:t>
      </w:r>
      <w:r w:rsidR="0070685D">
        <w:t xml:space="preserve"> as detailed in Exhibit </w:t>
      </w:r>
      <w:proofErr w:type="gramStart"/>
      <w:r w:rsidR="001169AE">
        <w:t>No.</w:t>
      </w:r>
      <w:proofErr w:type="gramEnd"/>
      <w:r w:rsidR="00C27069">
        <w:t xml:space="preserve"> ___ </w:t>
      </w:r>
      <w:r w:rsidR="0070685D">
        <w:t>(BTC-3)</w:t>
      </w:r>
      <w:r w:rsidR="003011B6">
        <w:t xml:space="preserve">, the </w:t>
      </w:r>
      <w:r>
        <w:t>C</w:t>
      </w:r>
      <w:r w:rsidR="003011B6">
        <w:t>ompany must credit $50 to the customer on his or her next bill</w:t>
      </w:r>
      <w:r w:rsidR="00D10B70">
        <w:t>.</w:t>
      </w:r>
      <w:r w:rsidR="003011B6">
        <w:rPr>
          <w:rStyle w:val="FootnoteReference"/>
        </w:rPr>
        <w:footnoteReference w:id="31"/>
      </w:r>
      <w:r w:rsidR="003011B6">
        <w:t xml:space="preserve"> </w:t>
      </w:r>
    </w:p>
    <w:p w14:paraId="695FA2A1" w14:textId="77777777" w:rsidR="00956680" w:rsidRDefault="00956680" w:rsidP="00956680">
      <w:pPr>
        <w:spacing w:line="480" w:lineRule="auto"/>
        <w:ind w:left="720" w:hanging="720"/>
      </w:pPr>
    </w:p>
    <w:p w14:paraId="695FA2A2" w14:textId="77777777" w:rsidR="00956680" w:rsidRPr="00E616ED" w:rsidRDefault="00956680" w:rsidP="00956680">
      <w:pPr>
        <w:spacing w:line="480" w:lineRule="auto"/>
        <w:ind w:left="720" w:hanging="720"/>
        <w:rPr>
          <w:b/>
        </w:rPr>
      </w:pPr>
      <w:r>
        <w:rPr>
          <w:b/>
        </w:rPr>
        <w:t>Q.</w:t>
      </w:r>
      <w:r>
        <w:rPr>
          <w:b/>
        </w:rPr>
        <w:tab/>
        <w:t xml:space="preserve">Would Avista be subject to a penalty </w:t>
      </w:r>
      <w:r w:rsidR="00895A54">
        <w:rPr>
          <w:b/>
        </w:rPr>
        <w:t>if it did not satisfy a metric du</w:t>
      </w:r>
      <w:r w:rsidR="00C8286C">
        <w:rPr>
          <w:b/>
        </w:rPr>
        <w:t xml:space="preserve">e to </w:t>
      </w:r>
      <w:r>
        <w:rPr>
          <w:b/>
        </w:rPr>
        <w:t>a major storm?</w:t>
      </w:r>
    </w:p>
    <w:p w14:paraId="695FA2A3" w14:textId="77777777" w:rsidR="00956680" w:rsidRDefault="00956680" w:rsidP="00956680">
      <w:pPr>
        <w:spacing w:line="480" w:lineRule="auto"/>
        <w:ind w:left="720" w:hanging="720"/>
      </w:pPr>
      <w:r>
        <w:t>A.</w:t>
      </w:r>
      <w:r>
        <w:tab/>
      </w:r>
      <w:r w:rsidR="00895A54">
        <w:t xml:space="preserve">No.  </w:t>
      </w:r>
      <w:r>
        <w:t xml:space="preserve">The </w:t>
      </w:r>
      <w:r w:rsidR="0064710D">
        <w:t>applicable metrics (</w:t>
      </w:r>
      <w:r w:rsidR="007B68B7">
        <w:t xml:space="preserve">IEEE </w:t>
      </w:r>
      <w:r>
        <w:t>SAIDI and SAIFI</w:t>
      </w:r>
      <w:r w:rsidR="0064710D">
        <w:t>)</w:t>
      </w:r>
      <w:r>
        <w:t xml:space="preserve"> exclude major storms and therefore do not influence OS1 and </w:t>
      </w:r>
      <w:r w:rsidR="002817A1">
        <w:t>OS</w:t>
      </w:r>
      <w:r>
        <w:t xml:space="preserve">2. </w:t>
      </w:r>
      <w:r w:rsidR="00895A54">
        <w:t xml:space="preserve"> </w:t>
      </w:r>
      <w:r>
        <w:t xml:space="preserve">Moreover, the Commission retains discretion to mitigate penalties if it believes that the circumstances were beyond the control of the utility, as it has done for Puget Sound Energy. </w:t>
      </w:r>
    </w:p>
    <w:p w14:paraId="695FA2A4" w14:textId="77777777" w:rsidR="00956680" w:rsidRDefault="00956680" w:rsidP="00956680">
      <w:pPr>
        <w:spacing w:line="480" w:lineRule="auto"/>
      </w:pPr>
    </w:p>
    <w:p w14:paraId="695FA2A5" w14:textId="77777777" w:rsidR="00956680" w:rsidRDefault="00956680" w:rsidP="00956680">
      <w:pPr>
        <w:spacing w:line="480" w:lineRule="auto"/>
        <w:ind w:left="720" w:hanging="720"/>
        <w:rPr>
          <w:b/>
        </w:rPr>
      </w:pPr>
      <w:r>
        <w:rPr>
          <w:b/>
        </w:rPr>
        <w:t>Q.</w:t>
      </w:r>
      <w:r>
        <w:rPr>
          <w:b/>
        </w:rPr>
        <w:tab/>
        <w:t xml:space="preserve">If Avista incurs a penalty </w:t>
      </w:r>
      <w:r w:rsidR="00F71F11">
        <w:rPr>
          <w:b/>
        </w:rPr>
        <w:t xml:space="preserve">or provides a </w:t>
      </w:r>
      <w:r w:rsidR="00645AD0">
        <w:rPr>
          <w:b/>
        </w:rPr>
        <w:t>bill credit</w:t>
      </w:r>
      <w:r w:rsidR="00F71F11">
        <w:rPr>
          <w:b/>
        </w:rPr>
        <w:t xml:space="preserve"> </w:t>
      </w:r>
      <w:r>
        <w:rPr>
          <w:b/>
        </w:rPr>
        <w:t>under Staff’s proposed Program, would the Company be able to recover th</w:t>
      </w:r>
      <w:r w:rsidR="00F71F11">
        <w:rPr>
          <w:b/>
        </w:rPr>
        <w:t xml:space="preserve">ose dollars </w:t>
      </w:r>
      <w:r>
        <w:rPr>
          <w:b/>
        </w:rPr>
        <w:t>from ratepayers?</w:t>
      </w:r>
    </w:p>
    <w:p w14:paraId="695FA2A6" w14:textId="18015B47" w:rsidR="00956680" w:rsidRDefault="00956680" w:rsidP="00956680">
      <w:pPr>
        <w:spacing w:line="480" w:lineRule="auto"/>
        <w:ind w:left="720" w:hanging="720"/>
      </w:pPr>
      <w:r>
        <w:t>A.</w:t>
      </w:r>
      <w:r>
        <w:tab/>
        <w:t xml:space="preserve">No.  Avista’s shareholders would be solely responsible for all penalties </w:t>
      </w:r>
      <w:r w:rsidR="00F71F11">
        <w:t xml:space="preserve">and </w:t>
      </w:r>
      <w:r w:rsidR="00645AD0">
        <w:t>bill credit</w:t>
      </w:r>
      <w:r w:rsidR="00F71F11">
        <w:t xml:space="preserve">s </w:t>
      </w:r>
      <w:r>
        <w:t xml:space="preserve">under Staff’s proposed </w:t>
      </w:r>
      <w:r w:rsidR="007F1DE5">
        <w:t>SQR</w:t>
      </w:r>
      <w:r>
        <w:t xml:space="preserve">.  The </w:t>
      </w:r>
      <w:r w:rsidR="002F3299">
        <w:t xml:space="preserve">Commission should prohibit the </w:t>
      </w:r>
      <w:r>
        <w:t>Company from recovering the</w:t>
      </w:r>
      <w:r w:rsidR="00F71F11">
        <w:t>se</w:t>
      </w:r>
      <w:r>
        <w:t xml:space="preserve"> </w:t>
      </w:r>
      <w:r w:rsidR="00F71F11">
        <w:t>amounts</w:t>
      </w:r>
      <w:r>
        <w:t xml:space="preserve"> from </w:t>
      </w:r>
      <w:r w:rsidR="002817A1">
        <w:t xml:space="preserve">other </w:t>
      </w:r>
      <w:r>
        <w:t xml:space="preserve">customers. </w:t>
      </w:r>
    </w:p>
    <w:p w14:paraId="695FA2A7" w14:textId="77777777" w:rsidR="00956680" w:rsidRDefault="00956680" w:rsidP="00956680">
      <w:pPr>
        <w:spacing w:line="480" w:lineRule="auto"/>
        <w:ind w:left="720" w:hanging="720"/>
      </w:pPr>
    </w:p>
    <w:p w14:paraId="695FA2A8" w14:textId="77777777" w:rsidR="00956680" w:rsidRDefault="00956680" w:rsidP="00956680">
      <w:pPr>
        <w:spacing w:line="480" w:lineRule="auto"/>
        <w:ind w:left="720" w:hanging="720"/>
        <w:rPr>
          <w:b/>
        </w:rPr>
      </w:pPr>
      <w:r>
        <w:rPr>
          <w:b/>
        </w:rPr>
        <w:t>Q.</w:t>
      </w:r>
      <w:r>
        <w:rPr>
          <w:b/>
        </w:rPr>
        <w:tab/>
        <w:t xml:space="preserve">Does this conclude your testimony?  </w:t>
      </w:r>
    </w:p>
    <w:p w14:paraId="695FA2A9" w14:textId="77777777" w:rsidR="00B814E2" w:rsidRPr="00B814E2" w:rsidRDefault="00956680" w:rsidP="0064710D">
      <w:pPr>
        <w:spacing w:line="480" w:lineRule="auto"/>
        <w:ind w:left="720" w:hanging="720"/>
      </w:pPr>
      <w:r>
        <w:t>A.</w:t>
      </w:r>
      <w:r>
        <w:tab/>
        <w:t xml:space="preserve">Yes. </w:t>
      </w:r>
    </w:p>
    <w:sectPr w:rsidR="00B814E2" w:rsidRPr="00B814E2" w:rsidSect="0015026F">
      <w:footerReference w:type="default" r:id="rId13"/>
      <w:pgSz w:w="12240" w:h="15840" w:code="1"/>
      <w:pgMar w:top="1440" w:right="1440" w:bottom="1440" w:left="1872" w:header="720" w:footer="720" w:gutter="0"/>
      <w:lnNumType w:countBy="1"/>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5FA2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FA2AE" w14:textId="77777777" w:rsidR="00187148" w:rsidRDefault="00187148" w:rsidP="0015026F">
      <w:r>
        <w:separator/>
      </w:r>
    </w:p>
  </w:endnote>
  <w:endnote w:type="continuationSeparator" w:id="0">
    <w:p w14:paraId="695FA2AF" w14:textId="77777777" w:rsidR="00187148" w:rsidRDefault="00187148" w:rsidP="0015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FA2B0" w14:textId="77777777" w:rsidR="00187148" w:rsidRPr="0015026F" w:rsidRDefault="00187148" w:rsidP="0015026F">
    <w:pPr>
      <w:pStyle w:val="Footer"/>
      <w:tabs>
        <w:tab w:val="clear" w:pos="9360"/>
        <w:tab w:val="right" w:pos="8910"/>
      </w:tabs>
      <w:rPr>
        <w:sz w:val="20"/>
        <w:szCs w:val="20"/>
      </w:rPr>
    </w:pPr>
  </w:p>
  <w:p w14:paraId="695FA2B1" w14:textId="77777777" w:rsidR="00187148" w:rsidRPr="0015026F" w:rsidRDefault="00187148" w:rsidP="0015026F">
    <w:pPr>
      <w:pStyle w:val="Footer"/>
      <w:tabs>
        <w:tab w:val="clear" w:pos="9360"/>
        <w:tab w:val="right" w:pos="8910"/>
      </w:tabs>
      <w:rPr>
        <w:sz w:val="20"/>
        <w:szCs w:val="20"/>
      </w:rPr>
    </w:pPr>
    <w:r>
      <w:rPr>
        <w:sz w:val="20"/>
        <w:szCs w:val="20"/>
      </w:rPr>
      <w:t xml:space="preserve">TESTIMONY OF BRADLEY T. CEBULKO </w:t>
    </w:r>
    <w:r>
      <w:rPr>
        <w:sz w:val="20"/>
        <w:szCs w:val="20"/>
      </w:rPr>
      <w:tab/>
    </w:r>
    <w:r>
      <w:rPr>
        <w:sz w:val="20"/>
        <w:szCs w:val="20"/>
      </w:rPr>
      <w:tab/>
      <w:t>Exhibit No.___ (BTC-1</w:t>
    </w:r>
    <w:r w:rsidRPr="0015026F">
      <w:rPr>
        <w:sz w:val="20"/>
        <w:szCs w:val="20"/>
      </w:rPr>
      <w:t>T</w:t>
    </w:r>
    <w:r>
      <w:rPr>
        <w:sz w:val="20"/>
        <w:szCs w:val="20"/>
      </w:rPr>
      <w:t>)</w:t>
    </w:r>
  </w:p>
  <w:p w14:paraId="695FA2B2" w14:textId="77777777" w:rsidR="00187148" w:rsidRPr="0015026F" w:rsidRDefault="00187148" w:rsidP="0015026F">
    <w:pPr>
      <w:pStyle w:val="Footer"/>
      <w:tabs>
        <w:tab w:val="clear" w:pos="9360"/>
        <w:tab w:val="right" w:pos="8910"/>
      </w:tabs>
      <w:rPr>
        <w:sz w:val="20"/>
        <w:szCs w:val="20"/>
      </w:rPr>
    </w:pPr>
    <w:r w:rsidRPr="0015026F">
      <w:rPr>
        <w:sz w:val="20"/>
        <w:szCs w:val="20"/>
      </w:rPr>
      <w:t>Docket</w:t>
    </w:r>
    <w:r>
      <w:rPr>
        <w:sz w:val="20"/>
        <w:szCs w:val="20"/>
      </w:rPr>
      <w:t>s UE-140188/UG-140189</w:t>
    </w:r>
    <w:r w:rsidRPr="0015026F">
      <w:rPr>
        <w:sz w:val="20"/>
        <w:szCs w:val="20"/>
      </w:rPr>
      <w:t xml:space="preserve"> </w:t>
    </w:r>
    <w:r w:rsidRPr="0015026F">
      <w:rPr>
        <w:sz w:val="20"/>
        <w:szCs w:val="20"/>
      </w:rPr>
      <w:tab/>
    </w:r>
    <w:r w:rsidRPr="0015026F">
      <w:rPr>
        <w:sz w:val="20"/>
        <w:szCs w:val="20"/>
      </w:rPr>
      <w:tab/>
      <w:t xml:space="preserve">Page </w:t>
    </w:r>
    <w:r w:rsidRPr="0015026F">
      <w:rPr>
        <w:sz w:val="20"/>
        <w:szCs w:val="20"/>
      </w:rPr>
      <w:fldChar w:fldCharType="begin"/>
    </w:r>
    <w:r w:rsidRPr="0015026F">
      <w:rPr>
        <w:sz w:val="20"/>
        <w:szCs w:val="20"/>
      </w:rPr>
      <w:instrText xml:space="preserve"> PAGE   \* MERGEFORMAT </w:instrText>
    </w:r>
    <w:r w:rsidRPr="0015026F">
      <w:rPr>
        <w:sz w:val="20"/>
        <w:szCs w:val="20"/>
      </w:rPr>
      <w:fldChar w:fldCharType="separate"/>
    </w:r>
    <w:r w:rsidR="00E43705">
      <w:rPr>
        <w:noProof/>
        <w:sz w:val="20"/>
        <w:szCs w:val="20"/>
      </w:rPr>
      <w:t>i</w:t>
    </w:r>
    <w:r w:rsidRPr="0015026F">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FA2B3" w14:textId="77777777" w:rsidR="00187148" w:rsidRPr="0015026F" w:rsidRDefault="00187148" w:rsidP="0015026F">
    <w:pPr>
      <w:pStyle w:val="Footer"/>
      <w:tabs>
        <w:tab w:val="clear" w:pos="9360"/>
        <w:tab w:val="right" w:pos="8910"/>
      </w:tabs>
      <w:rPr>
        <w:sz w:val="20"/>
        <w:szCs w:val="20"/>
      </w:rPr>
    </w:pPr>
  </w:p>
  <w:p w14:paraId="695FA2B4" w14:textId="77777777" w:rsidR="00187148" w:rsidRPr="0015026F" w:rsidRDefault="00187148" w:rsidP="0015026F">
    <w:pPr>
      <w:pStyle w:val="Footer"/>
      <w:tabs>
        <w:tab w:val="clear" w:pos="9360"/>
        <w:tab w:val="right" w:pos="8910"/>
      </w:tabs>
      <w:rPr>
        <w:sz w:val="20"/>
        <w:szCs w:val="20"/>
      </w:rPr>
    </w:pPr>
    <w:r>
      <w:rPr>
        <w:sz w:val="20"/>
        <w:szCs w:val="20"/>
      </w:rPr>
      <w:t xml:space="preserve">TESTIMONY OF BRADLEY T. CEBULKO </w:t>
    </w:r>
    <w:r>
      <w:rPr>
        <w:sz w:val="20"/>
        <w:szCs w:val="20"/>
      </w:rPr>
      <w:tab/>
    </w:r>
    <w:r>
      <w:rPr>
        <w:sz w:val="20"/>
        <w:szCs w:val="20"/>
      </w:rPr>
      <w:tab/>
      <w:t>Exhibit No.___ (BTC-1</w:t>
    </w:r>
    <w:r w:rsidRPr="0015026F">
      <w:rPr>
        <w:sz w:val="20"/>
        <w:szCs w:val="20"/>
      </w:rPr>
      <w:t>T</w:t>
    </w:r>
    <w:r>
      <w:rPr>
        <w:sz w:val="20"/>
        <w:szCs w:val="20"/>
      </w:rPr>
      <w:t>)</w:t>
    </w:r>
  </w:p>
  <w:p w14:paraId="695FA2B5" w14:textId="77777777" w:rsidR="00187148" w:rsidRPr="0015026F" w:rsidRDefault="00187148" w:rsidP="0015026F">
    <w:pPr>
      <w:pStyle w:val="Footer"/>
      <w:tabs>
        <w:tab w:val="clear" w:pos="9360"/>
        <w:tab w:val="right" w:pos="8910"/>
      </w:tabs>
      <w:rPr>
        <w:sz w:val="20"/>
        <w:szCs w:val="20"/>
      </w:rPr>
    </w:pPr>
    <w:r w:rsidRPr="0015026F">
      <w:rPr>
        <w:sz w:val="20"/>
        <w:szCs w:val="20"/>
      </w:rPr>
      <w:t xml:space="preserve">Docket </w:t>
    </w:r>
    <w:r>
      <w:rPr>
        <w:sz w:val="20"/>
        <w:szCs w:val="20"/>
      </w:rPr>
      <w:t>UE-140188/UG-140189</w:t>
    </w:r>
    <w:r w:rsidRPr="0015026F">
      <w:rPr>
        <w:sz w:val="20"/>
        <w:szCs w:val="20"/>
      </w:rPr>
      <w:tab/>
    </w:r>
    <w:r w:rsidRPr="0015026F">
      <w:rPr>
        <w:sz w:val="20"/>
        <w:szCs w:val="20"/>
      </w:rPr>
      <w:tab/>
      <w:t xml:space="preserve">Page </w:t>
    </w:r>
    <w:r w:rsidRPr="0015026F">
      <w:rPr>
        <w:sz w:val="20"/>
        <w:szCs w:val="20"/>
      </w:rPr>
      <w:fldChar w:fldCharType="begin"/>
    </w:r>
    <w:r w:rsidRPr="0015026F">
      <w:rPr>
        <w:sz w:val="20"/>
        <w:szCs w:val="20"/>
      </w:rPr>
      <w:instrText xml:space="preserve"> PAGE   \* MERGEFORMAT </w:instrText>
    </w:r>
    <w:r w:rsidRPr="0015026F">
      <w:rPr>
        <w:sz w:val="20"/>
        <w:szCs w:val="20"/>
      </w:rPr>
      <w:fldChar w:fldCharType="separate"/>
    </w:r>
    <w:r w:rsidR="00E43705">
      <w:rPr>
        <w:noProof/>
        <w:sz w:val="20"/>
        <w:szCs w:val="20"/>
      </w:rPr>
      <w:t>15</w:t>
    </w:r>
    <w:r w:rsidRPr="0015026F">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FA2AC" w14:textId="77777777" w:rsidR="00187148" w:rsidRDefault="00187148" w:rsidP="0015026F">
      <w:r>
        <w:separator/>
      </w:r>
    </w:p>
  </w:footnote>
  <w:footnote w:type="continuationSeparator" w:id="0">
    <w:p w14:paraId="695FA2AD" w14:textId="77777777" w:rsidR="00187148" w:rsidRDefault="00187148" w:rsidP="0015026F">
      <w:r>
        <w:continuationSeparator/>
      </w:r>
    </w:p>
  </w:footnote>
  <w:footnote w:id="1">
    <w:p w14:paraId="695FA2B6" w14:textId="77777777" w:rsidR="00187148" w:rsidRDefault="00187148" w:rsidP="00956680">
      <w:pPr>
        <w:pStyle w:val="FootnoteText"/>
      </w:pPr>
      <w:r>
        <w:rPr>
          <w:rStyle w:val="FootnoteReference"/>
        </w:rPr>
        <w:footnoteRef/>
      </w:r>
      <w:r>
        <w:t xml:space="preserve"> </w:t>
      </w:r>
      <w:proofErr w:type="gramStart"/>
      <w:r>
        <w:t>RCW 80.28.010(2).</w:t>
      </w:r>
      <w:proofErr w:type="gramEnd"/>
    </w:p>
  </w:footnote>
  <w:footnote w:id="2">
    <w:p w14:paraId="695FA2B7" w14:textId="7E71E028" w:rsidR="00187148" w:rsidRDefault="00187148">
      <w:pPr>
        <w:pStyle w:val="FootnoteText"/>
      </w:pPr>
      <w:r>
        <w:rPr>
          <w:rStyle w:val="FootnoteReference"/>
        </w:rPr>
        <w:footnoteRef/>
      </w:r>
      <w:r>
        <w:t xml:space="preserve"> See Dave Danner letter dated April 28, 2011, Docket UE-110595</w:t>
      </w:r>
      <w:r w:rsidR="007059C9">
        <w:t>.</w:t>
      </w:r>
    </w:p>
  </w:footnote>
  <w:footnote w:id="3">
    <w:p w14:paraId="695FA2B8" w14:textId="71B15357" w:rsidR="00187148" w:rsidRDefault="00187148">
      <w:pPr>
        <w:pStyle w:val="FootnoteText"/>
      </w:pPr>
      <w:r>
        <w:rPr>
          <w:rStyle w:val="FootnoteReference"/>
        </w:rPr>
        <w:footnoteRef/>
      </w:r>
      <w:r>
        <w:t xml:space="preserve"> </w:t>
      </w:r>
      <w:proofErr w:type="gramStart"/>
      <w:r w:rsidRPr="00A4282A">
        <w:t>WAC 480-93-200</w:t>
      </w:r>
      <w:r>
        <w:t>(10)</w:t>
      </w:r>
      <w:r w:rsidR="007059C9">
        <w:t>.</w:t>
      </w:r>
      <w:proofErr w:type="gramEnd"/>
    </w:p>
  </w:footnote>
  <w:footnote w:id="4">
    <w:p w14:paraId="695FA2B9" w14:textId="77777777" w:rsidR="00187148" w:rsidRDefault="00187148">
      <w:pPr>
        <w:pStyle w:val="FootnoteText"/>
      </w:pPr>
      <w:r>
        <w:rPr>
          <w:rStyle w:val="FootnoteReference"/>
        </w:rPr>
        <w:footnoteRef/>
      </w:r>
      <w:r>
        <w:t xml:space="preserve"> Avista has entitled its current reliability report “Service Quality and Reliability.”  However, in Staff’s estimation, Avista’s report lacks the customer guarantees that would expand the content of the report to fit the title.  </w:t>
      </w:r>
    </w:p>
  </w:footnote>
  <w:footnote w:id="5">
    <w:p w14:paraId="695FA2BA" w14:textId="77777777" w:rsidR="00187148" w:rsidRDefault="00187148">
      <w:pPr>
        <w:pStyle w:val="FootnoteText"/>
      </w:pPr>
      <w:r>
        <w:rPr>
          <w:rStyle w:val="FootnoteReference"/>
        </w:rPr>
        <w:footnoteRef/>
      </w:r>
      <w:r>
        <w:t xml:space="preserve"> Commission may order improved quality, improved service, after hearing.  </w:t>
      </w:r>
      <w:proofErr w:type="gramStart"/>
      <w:r>
        <w:t>RCW 80.28.030, 80.28.040.</w:t>
      </w:r>
      <w:proofErr w:type="gramEnd"/>
    </w:p>
  </w:footnote>
  <w:footnote w:id="6">
    <w:p w14:paraId="695FA2BB" w14:textId="77777777" w:rsidR="00187148" w:rsidRDefault="00187148" w:rsidP="00415765">
      <w:pPr>
        <w:pStyle w:val="FootnoteText"/>
      </w:pPr>
      <w:r>
        <w:rPr>
          <w:rStyle w:val="FootnoteReference"/>
        </w:rPr>
        <w:footnoteRef/>
      </w:r>
      <w:r>
        <w:t xml:space="preserve"> </w:t>
      </w:r>
      <w:r>
        <w:rPr>
          <w:i/>
        </w:rPr>
        <w:t xml:space="preserve">Application of Puget Sound Power &amp; Light Co. and Wash. Natural Gas Co., </w:t>
      </w:r>
      <w:r w:rsidRPr="00696E29">
        <w:t>Docket</w:t>
      </w:r>
      <w:r>
        <w:t>s</w:t>
      </w:r>
      <w:r w:rsidRPr="00696E29">
        <w:t xml:space="preserve"> UE-951270 &amp; UG-960195, </w:t>
      </w:r>
      <w:r>
        <w:t>Fourteenth Supplemental Order Accepting Stipulation; Approving Merger (February 5, 1997).</w:t>
      </w:r>
    </w:p>
  </w:footnote>
  <w:footnote w:id="7">
    <w:p w14:paraId="695FA2BC" w14:textId="77777777" w:rsidR="00187148" w:rsidRDefault="00187148" w:rsidP="00415765">
      <w:pPr>
        <w:pStyle w:val="FootnoteText"/>
      </w:pPr>
      <w:r>
        <w:rPr>
          <w:rStyle w:val="FootnoteReference"/>
        </w:rPr>
        <w:footnoteRef/>
      </w:r>
      <w:r>
        <w:t xml:space="preserve"> </w:t>
      </w:r>
      <w:r>
        <w:rPr>
          <w:i/>
        </w:rPr>
        <w:t xml:space="preserve">Id. </w:t>
      </w:r>
      <w:r>
        <w:t>at 32</w:t>
      </w:r>
      <w:r w:rsidRPr="00696E29">
        <w:t xml:space="preserve">, </w:t>
      </w:r>
      <w:r>
        <w:t>¶ 3,</w:t>
      </w:r>
      <w:r w:rsidRPr="00696E29">
        <w:t xml:space="preserve"> </w:t>
      </w:r>
      <w:r>
        <w:t>lines 3-6.</w:t>
      </w:r>
    </w:p>
  </w:footnote>
  <w:footnote w:id="8">
    <w:p w14:paraId="695FA2BD" w14:textId="06194641" w:rsidR="00187148" w:rsidRDefault="00187148" w:rsidP="00956680">
      <w:pPr>
        <w:pStyle w:val="FootnoteText"/>
      </w:pPr>
      <w:r>
        <w:rPr>
          <w:rStyle w:val="FootnoteReference"/>
        </w:rPr>
        <w:footnoteRef/>
      </w:r>
      <w:r>
        <w:t xml:space="preserve"> </w:t>
      </w:r>
      <w:proofErr w:type="gramStart"/>
      <w:r>
        <w:t>“IEEE Guide for Electric Power Distribution Reliability Indices</w:t>
      </w:r>
      <w:r w:rsidR="009668C5">
        <w:t>,</w:t>
      </w:r>
      <w:r>
        <w:t xml:space="preserve"> 31 May 2012,” IEEE Standard 1366</w:t>
      </w:r>
      <w:r w:rsidRPr="00CE14B4">
        <w:rPr>
          <w:vertAlign w:val="superscript"/>
        </w:rPr>
        <w:t>TM</w:t>
      </w:r>
      <w:r>
        <w:t xml:space="preserve"> – 2012</w:t>
      </w:r>
      <w:r w:rsidR="007059C9">
        <w:t xml:space="preserve">, </w:t>
      </w:r>
      <w:r>
        <w:t>IEEE Power &amp; Energy Society at 5.</w:t>
      </w:r>
      <w:proofErr w:type="gramEnd"/>
      <w:r>
        <w:t xml:space="preserve"> </w:t>
      </w:r>
    </w:p>
  </w:footnote>
  <w:footnote w:id="9">
    <w:p w14:paraId="695FA2BE" w14:textId="77777777" w:rsidR="00187148" w:rsidRDefault="00187148" w:rsidP="00956680">
      <w:pPr>
        <w:pStyle w:val="FootnoteText"/>
      </w:pPr>
      <w:r>
        <w:rPr>
          <w:rStyle w:val="FootnoteReference"/>
        </w:rPr>
        <w:footnoteRef/>
      </w:r>
      <w:r>
        <w:t xml:space="preserve"> </w:t>
      </w:r>
      <w:proofErr w:type="gramStart"/>
      <w:r w:rsidRPr="0039638B">
        <w:rPr>
          <w:i/>
        </w:rPr>
        <w:t>Id</w:t>
      </w:r>
      <w:r>
        <w:rPr>
          <w:i/>
        </w:rPr>
        <w:t xml:space="preserve">. </w:t>
      </w:r>
      <w:r>
        <w:t>at</w:t>
      </w:r>
      <w:r w:rsidRPr="0039638B">
        <w:t xml:space="preserve"> 10</w:t>
      </w:r>
      <w:r>
        <w:t>.</w:t>
      </w:r>
      <w:proofErr w:type="gramEnd"/>
    </w:p>
  </w:footnote>
  <w:footnote w:id="10">
    <w:p w14:paraId="695FA2BF" w14:textId="7ECA4C31" w:rsidR="00187148" w:rsidRDefault="00187148" w:rsidP="00956680">
      <w:pPr>
        <w:pStyle w:val="FootnoteText"/>
      </w:pPr>
      <w:r>
        <w:rPr>
          <w:rStyle w:val="FootnoteReference"/>
        </w:rPr>
        <w:footnoteRef/>
      </w:r>
      <w:r>
        <w:t xml:space="preserve"> Each year, the IEEE releases the results of the IEEE National Benchmarking at the General Meeting of the Distribution Reliability Working Group.  The IEEE median data for SAIDI and SAIFI is shown in </w:t>
      </w:r>
      <w:r w:rsidR="006D3CAA">
        <w:t xml:space="preserve">Cebulko, </w:t>
      </w:r>
      <w:r>
        <w:t>Exhibit No. ___ (BTC-2), pages 1 and 3, respectively.</w:t>
      </w:r>
    </w:p>
  </w:footnote>
  <w:footnote w:id="11">
    <w:p w14:paraId="695FA2C0" w14:textId="77777777" w:rsidR="00187148" w:rsidRDefault="00187148" w:rsidP="00956680">
      <w:pPr>
        <w:pStyle w:val="FootnoteText"/>
      </w:pPr>
      <w:r>
        <w:rPr>
          <w:rStyle w:val="FootnoteReference"/>
        </w:rPr>
        <w:footnoteRef/>
      </w:r>
      <w:r>
        <w:t xml:space="preserve"> A detailed explanation on the metrics is found in the IEEE Guide for Electric Power Distribution Reliability Indices, at 10.</w:t>
      </w:r>
    </w:p>
  </w:footnote>
  <w:footnote w:id="12">
    <w:p w14:paraId="695FA2C1" w14:textId="27F0E453" w:rsidR="00187148" w:rsidRDefault="00187148" w:rsidP="00956063">
      <w:pPr>
        <w:pStyle w:val="FootnoteText"/>
      </w:pPr>
      <w:r>
        <w:rPr>
          <w:rStyle w:val="FootnoteReference"/>
        </w:rPr>
        <w:footnoteRef/>
      </w:r>
      <w:r>
        <w:t xml:space="preserve"> </w:t>
      </w:r>
      <w:r w:rsidRPr="00AC6EC5">
        <w:rPr>
          <w:i/>
        </w:rPr>
        <w:t>See</w:t>
      </w:r>
      <w:r>
        <w:t xml:space="preserve"> </w:t>
      </w:r>
      <w:r w:rsidR="006D3CAA">
        <w:t xml:space="preserve">Cebulko, </w:t>
      </w:r>
      <w:r>
        <w:t xml:space="preserve">Exhibit No.___ (BTC-2).  </w:t>
      </w:r>
    </w:p>
  </w:footnote>
  <w:footnote w:id="13">
    <w:p w14:paraId="695FA2C2" w14:textId="77777777" w:rsidR="00187148" w:rsidRDefault="00187148" w:rsidP="00956680">
      <w:pPr>
        <w:pStyle w:val="FootnoteText"/>
      </w:pPr>
      <w:r>
        <w:rPr>
          <w:rStyle w:val="FootnoteReference"/>
        </w:rPr>
        <w:footnoteRef/>
      </w:r>
      <w:r>
        <w:t xml:space="preserve"> </w:t>
      </w:r>
      <w:proofErr w:type="gramStart"/>
      <w:r>
        <w:t>Avista Response to Staff Data Request 135.</w:t>
      </w:r>
      <w:proofErr w:type="gramEnd"/>
    </w:p>
  </w:footnote>
  <w:footnote w:id="14">
    <w:p w14:paraId="695FA2C3" w14:textId="726EBC37" w:rsidR="00187148" w:rsidRDefault="00187148" w:rsidP="00956680">
      <w:pPr>
        <w:pStyle w:val="FootnoteText"/>
      </w:pPr>
      <w:r>
        <w:rPr>
          <w:rStyle w:val="FootnoteReference"/>
        </w:rPr>
        <w:footnoteRef/>
      </w:r>
      <w:r>
        <w:t xml:space="preserve"> </w:t>
      </w:r>
      <w:r w:rsidR="00290BC1">
        <w:rPr>
          <w:i/>
        </w:rPr>
        <w:t xml:space="preserve">Utilities &amp; Transp. </w:t>
      </w:r>
      <w:proofErr w:type="spellStart"/>
      <w:r w:rsidR="00290BC1">
        <w:rPr>
          <w:i/>
        </w:rPr>
        <w:t>Comm’n</w:t>
      </w:r>
      <w:proofErr w:type="spellEnd"/>
      <w:r w:rsidR="00290BC1">
        <w:rPr>
          <w:i/>
        </w:rPr>
        <w:t xml:space="preserve"> v. Puget Sound Energy, Inc. </w:t>
      </w:r>
      <w:r>
        <w:t xml:space="preserve">Dockets UE-072300 </w:t>
      </w:r>
      <w:r w:rsidR="00290BC1">
        <w:t>&amp;</w:t>
      </w:r>
      <w:r>
        <w:t xml:space="preserve"> UG-072301</w:t>
      </w:r>
      <w:r w:rsidR="00290BC1">
        <w:t xml:space="preserve"> (consolidated)</w:t>
      </w:r>
      <w:r>
        <w:t>: Puget Sound Energy 2013 Service Quality Report Card.</w:t>
      </w:r>
    </w:p>
  </w:footnote>
  <w:footnote w:id="15">
    <w:p w14:paraId="695FA2C4" w14:textId="77777777" w:rsidR="00187148" w:rsidRDefault="00187148" w:rsidP="00956680">
      <w:pPr>
        <w:pStyle w:val="FootnoteText"/>
      </w:pPr>
      <w:r>
        <w:rPr>
          <w:rStyle w:val="FootnoteReference"/>
        </w:rPr>
        <w:footnoteRef/>
      </w:r>
      <w:r>
        <w:t xml:space="preserve"> </w:t>
      </w:r>
      <w:proofErr w:type="gramStart"/>
      <w:r>
        <w:t>Avista Response to Staff Data Request 134.</w:t>
      </w:r>
      <w:proofErr w:type="gramEnd"/>
      <w:r>
        <w:t xml:space="preserve"> </w:t>
      </w:r>
    </w:p>
  </w:footnote>
  <w:footnote w:id="16">
    <w:p w14:paraId="695FA2C5" w14:textId="0DDAEC32" w:rsidR="00187148" w:rsidRDefault="00187148">
      <w:pPr>
        <w:pStyle w:val="FootnoteText"/>
      </w:pPr>
      <w:r>
        <w:rPr>
          <w:rStyle w:val="FootnoteReference"/>
        </w:rPr>
        <w:footnoteRef/>
      </w:r>
      <w:r>
        <w:t xml:space="preserve"> </w:t>
      </w:r>
      <w:r w:rsidR="007059C9">
        <w:rPr>
          <w:i/>
        </w:rPr>
        <w:t xml:space="preserve">Joint Application of </w:t>
      </w:r>
      <w:proofErr w:type="spellStart"/>
      <w:r w:rsidR="007059C9">
        <w:rPr>
          <w:i/>
        </w:rPr>
        <w:t>Mid American</w:t>
      </w:r>
      <w:proofErr w:type="spellEnd"/>
      <w:r w:rsidR="007059C9">
        <w:rPr>
          <w:i/>
        </w:rPr>
        <w:t xml:space="preserve"> Energy holdings Co. and </w:t>
      </w:r>
      <w:proofErr w:type="spellStart"/>
      <w:r w:rsidR="007059C9">
        <w:rPr>
          <w:i/>
        </w:rPr>
        <w:t>pacifiCorp</w:t>
      </w:r>
      <w:proofErr w:type="spellEnd"/>
      <w:r w:rsidR="007059C9">
        <w:rPr>
          <w:i/>
        </w:rPr>
        <w:t xml:space="preserve">, d/b/a Pacific Power &amp; Light Co., </w:t>
      </w:r>
      <w:r w:rsidR="007059C9">
        <w:t>Docket</w:t>
      </w:r>
      <w:r>
        <w:t xml:space="preserve"> UE-051090</w:t>
      </w:r>
      <w:r w:rsidR="007059C9">
        <w:t xml:space="preserve">, </w:t>
      </w:r>
      <w:r w:rsidR="00290BC1">
        <w:t xml:space="preserve">Order 07, </w:t>
      </w:r>
      <w:r w:rsidR="007059C9">
        <w:t>Final Order Approving and Adopting Settlement Stipulation; Requiring Subsequent Filing (</w:t>
      </w:r>
      <w:r>
        <w:t>February 22, 2006</w:t>
      </w:r>
      <w:r w:rsidR="007059C9">
        <w:t>).</w:t>
      </w:r>
    </w:p>
  </w:footnote>
  <w:footnote w:id="17">
    <w:p w14:paraId="695FA2C6" w14:textId="77777777" w:rsidR="00187148" w:rsidRDefault="00187148" w:rsidP="00AC0D1C">
      <w:pPr>
        <w:pStyle w:val="FootnoteText"/>
      </w:pPr>
      <w:r>
        <w:rPr>
          <w:rStyle w:val="FootnoteReference"/>
        </w:rPr>
        <w:footnoteRef/>
      </w:r>
      <w:r>
        <w:t xml:space="preserve"> </w:t>
      </w:r>
      <w:proofErr w:type="gramStart"/>
      <w:r>
        <w:t>Avista Response to Staff Data Request 138.</w:t>
      </w:r>
      <w:proofErr w:type="gramEnd"/>
    </w:p>
  </w:footnote>
  <w:footnote w:id="18">
    <w:p w14:paraId="695FA2C7" w14:textId="5BE7ED4A" w:rsidR="00187148" w:rsidRDefault="00187148">
      <w:pPr>
        <w:pStyle w:val="FootnoteText"/>
      </w:pPr>
      <w:r>
        <w:rPr>
          <w:rStyle w:val="FootnoteReference"/>
        </w:rPr>
        <w:footnoteRef/>
      </w:r>
      <w:r>
        <w:t xml:space="preserve"> WAC 480-100-148(2</w:t>
      </w:r>
      <w:proofErr w:type="gramStart"/>
      <w:r>
        <w:t>)(</w:t>
      </w:r>
      <w:proofErr w:type="gramEnd"/>
      <w:r>
        <w:t>b) and WAC 480-100-148(2)(d)</w:t>
      </w:r>
      <w:r w:rsidR="007059C9">
        <w:t>.</w:t>
      </w:r>
    </w:p>
  </w:footnote>
  <w:footnote w:id="19">
    <w:p w14:paraId="695FA2C8" w14:textId="77777777" w:rsidR="00187148" w:rsidRDefault="00187148" w:rsidP="009C261D">
      <w:pPr>
        <w:pStyle w:val="FootnoteText"/>
      </w:pPr>
      <w:r>
        <w:rPr>
          <w:rStyle w:val="FootnoteReference"/>
        </w:rPr>
        <w:footnoteRef/>
      </w:r>
      <w:r>
        <w:t xml:space="preserve"> </w:t>
      </w:r>
      <w:proofErr w:type="gramStart"/>
      <w:r>
        <w:t>Avista Response to Staff Data Request 139.</w:t>
      </w:r>
      <w:proofErr w:type="gramEnd"/>
    </w:p>
  </w:footnote>
  <w:footnote w:id="20">
    <w:p w14:paraId="695FA2C9" w14:textId="77777777" w:rsidR="00187148" w:rsidRDefault="00187148" w:rsidP="00274D2F">
      <w:pPr>
        <w:pStyle w:val="FootnoteText"/>
      </w:pPr>
      <w:r>
        <w:rPr>
          <w:rStyle w:val="FootnoteReference"/>
        </w:rPr>
        <w:footnoteRef/>
      </w:r>
      <w:r>
        <w:t xml:space="preserve"> WAC 480-90-148(2)(b) and WAC 480-100-148(2)(d)</w:t>
      </w:r>
    </w:p>
  </w:footnote>
  <w:footnote w:id="21">
    <w:p w14:paraId="695FA2CA" w14:textId="77777777" w:rsidR="00187148" w:rsidRDefault="00187148">
      <w:pPr>
        <w:pStyle w:val="FootnoteText"/>
      </w:pPr>
      <w:r>
        <w:rPr>
          <w:rStyle w:val="FootnoteReference"/>
        </w:rPr>
        <w:footnoteRef/>
      </w:r>
      <w:r>
        <w:t xml:space="preserve"> </w:t>
      </w:r>
      <w:proofErr w:type="gramStart"/>
      <w:r>
        <w:t>Avista Response to Staff Data Request 139.</w:t>
      </w:r>
      <w:proofErr w:type="gramEnd"/>
    </w:p>
  </w:footnote>
  <w:footnote w:id="22">
    <w:p w14:paraId="695FA2CB" w14:textId="77777777" w:rsidR="00187148" w:rsidRDefault="00187148">
      <w:pPr>
        <w:pStyle w:val="FootnoteText"/>
      </w:pPr>
      <w:r>
        <w:rPr>
          <w:rStyle w:val="FootnoteReference"/>
        </w:rPr>
        <w:footnoteRef/>
      </w:r>
      <w:r>
        <w:t xml:space="preserve"> WAC 480-90-108(4)(b) and WAC 480-100-108(4)(b)</w:t>
      </w:r>
    </w:p>
  </w:footnote>
  <w:footnote w:id="23">
    <w:p w14:paraId="695FA2CC" w14:textId="77777777" w:rsidR="00187148" w:rsidRDefault="00187148">
      <w:pPr>
        <w:pStyle w:val="FootnoteText"/>
      </w:pPr>
      <w:r>
        <w:rPr>
          <w:rStyle w:val="FootnoteReference"/>
        </w:rPr>
        <w:footnoteRef/>
      </w:r>
      <w:r>
        <w:t xml:space="preserve"> </w:t>
      </w:r>
      <w:proofErr w:type="gramStart"/>
      <w:r>
        <w:t>Avista Response to Staff Data Request 140.</w:t>
      </w:r>
      <w:proofErr w:type="gramEnd"/>
    </w:p>
  </w:footnote>
  <w:footnote w:id="24">
    <w:p w14:paraId="695FA2CD" w14:textId="77777777" w:rsidR="00187148" w:rsidRDefault="00187148">
      <w:pPr>
        <w:pStyle w:val="FootnoteText"/>
      </w:pPr>
      <w:r>
        <w:rPr>
          <w:rStyle w:val="FootnoteReference"/>
        </w:rPr>
        <w:footnoteRef/>
      </w:r>
      <w:r>
        <w:t xml:space="preserve"> WAC 480-90-173(1)(b) and WAC 480-100-173(1)(b)</w:t>
      </w:r>
    </w:p>
  </w:footnote>
  <w:footnote w:id="25">
    <w:p w14:paraId="695FA2CE" w14:textId="77777777" w:rsidR="00187148" w:rsidRDefault="00187148">
      <w:pPr>
        <w:pStyle w:val="FootnoteText"/>
      </w:pPr>
      <w:r>
        <w:rPr>
          <w:rStyle w:val="FootnoteReference"/>
        </w:rPr>
        <w:footnoteRef/>
      </w:r>
      <w:r>
        <w:t xml:space="preserve"> Avista Response to Staff Data Request 141 Revised.</w:t>
      </w:r>
    </w:p>
  </w:footnote>
  <w:footnote w:id="26">
    <w:p w14:paraId="695FA2CF" w14:textId="77777777" w:rsidR="00187148" w:rsidRDefault="00187148">
      <w:pPr>
        <w:pStyle w:val="FootnoteText"/>
      </w:pPr>
      <w:r>
        <w:rPr>
          <w:rStyle w:val="FootnoteReference"/>
        </w:rPr>
        <w:footnoteRef/>
      </w:r>
      <w:r>
        <w:t xml:space="preserve"> WAC 480-90-183(1) and WAC 480-100-183(1)</w:t>
      </w:r>
    </w:p>
  </w:footnote>
  <w:footnote w:id="27">
    <w:p w14:paraId="695FA2D0" w14:textId="77777777" w:rsidR="00187148" w:rsidRDefault="00187148">
      <w:pPr>
        <w:pStyle w:val="FootnoteText"/>
      </w:pPr>
      <w:r>
        <w:rPr>
          <w:rStyle w:val="FootnoteReference"/>
        </w:rPr>
        <w:footnoteRef/>
      </w:r>
      <w:r>
        <w:t xml:space="preserve"> </w:t>
      </w:r>
      <w:proofErr w:type="gramStart"/>
      <w:r>
        <w:t>Avista Response to Staff Data Request 142.</w:t>
      </w:r>
      <w:proofErr w:type="gramEnd"/>
    </w:p>
  </w:footnote>
  <w:footnote w:id="28">
    <w:p w14:paraId="695FA2D1" w14:textId="77777777" w:rsidR="00187148" w:rsidRDefault="00187148">
      <w:pPr>
        <w:pStyle w:val="FootnoteText"/>
      </w:pPr>
      <w:r>
        <w:rPr>
          <w:rStyle w:val="FootnoteReference"/>
        </w:rPr>
        <w:footnoteRef/>
      </w:r>
      <w:r>
        <w:t xml:space="preserve"> WAC 480-90-148(3) and WAC 480-100-148(2</w:t>
      </w:r>
      <w:proofErr w:type="gramStart"/>
      <w:r>
        <w:t>)(</w:t>
      </w:r>
      <w:proofErr w:type="gramEnd"/>
      <w:r>
        <w:t>d).</w:t>
      </w:r>
    </w:p>
  </w:footnote>
  <w:footnote w:id="29">
    <w:p w14:paraId="695FA2D2" w14:textId="77777777" w:rsidR="00187148" w:rsidRDefault="00187148" w:rsidP="00956680">
      <w:pPr>
        <w:pStyle w:val="FootnoteText"/>
      </w:pPr>
      <w:r>
        <w:rPr>
          <w:rStyle w:val="FootnoteReference"/>
        </w:rPr>
        <w:footnoteRef/>
      </w:r>
      <w:r>
        <w:t xml:space="preserve"> </w:t>
      </w:r>
      <w:proofErr w:type="gramStart"/>
      <w:r>
        <w:t>RCW 80.04.380.</w:t>
      </w:r>
      <w:proofErr w:type="gramEnd"/>
    </w:p>
  </w:footnote>
  <w:footnote w:id="30">
    <w:p w14:paraId="695FA2D3" w14:textId="77777777" w:rsidR="00187148" w:rsidRDefault="00187148">
      <w:pPr>
        <w:pStyle w:val="FootnoteText"/>
      </w:pPr>
      <w:r>
        <w:rPr>
          <w:rStyle w:val="FootnoteReference"/>
        </w:rPr>
        <w:footnoteRef/>
      </w:r>
      <w:r>
        <w:t xml:space="preserve"> 15 infractions*$100*366 = $549,000.</w:t>
      </w:r>
    </w:p>
  </w:footnote>
  <w:footnote w:id="31">
    <w:p w14:paraId="695FA2D4" w14:textId="14F3FB67" w:rsidR="00187148" w:rsidRDefault="00187148">
      <w:pPr>
        <w:pStyle w:val="FootnoteText"/>
      </w:pPr>
      <w:r>
        <w:rPr>
          <w:rStyle w:val="FootnoteReference"/>
        </w:rPr>
        <w:footnoteRef/>
      </w:r>
      <w:r>
        <w:t xml:space="preserve"> Exceptions are listed in </w:t>
      </w:r>
      <w:r w:rsidR="006D3CAA">
        <w:t xml:space="preserve">Cebulko, </w:t>
      </w:r>
      <w:bookmarkStart w:id="10" w:name="_GoBack"/>
      <w:bookmarkEnd w:id="10"/>
      <w:r>
        <w:t>Exhibit No.__</w:t>
      </w:r>
      <w:proofErr w:type="gramStart"/>
      <w:r>
        <w:t>_(</w:t>
      </w:r>
      <w:proofErr w:type="spellStart"/>
      <w:proofErr w:type="gramEnd"/>
      <w:r>
        <w:t>BTC</w:t>
      </w:r>
      <w:proofErr w:type="spellEnd"/>
      <w:r>
        <w:t>-3).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982"/>
    <w:multiLevelType w:val="hybridMultilevel"/>
    <w:tmpl w:val="07E64378"/>
    <w:lvl w:ilvl="0" w:tplc="A300CC7E">
      <w:start w:val="1"/>
      <w:numFmt w:val="decimal"/>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58B5D7B"/>
    <w:multiLevelType w:val="hybridMultilevel"/>
    <w:tmpl w:val="0BEE0756"/>
    <w:lvl w:ilvl="0" w:tplc="D512BAC0">
      <w:start w:val="1"/>
      <w:numFmt w:val="decimal"/>
      <w:pStyle w:val="ParaNumStyle"/>
      <w:lvlText w:val="%1"/>
      <w:lvlJc w:val="left"/>
      <w:pPr>
        <w:ind w:left="0" w:hanging="720"/>
      </w:pPr>
      <w:rPr>
        <w:rFonts w:hint="default"/>
        <w:b w:val="0"/>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otter, Don (UTC)">
    <w15:presenceInfo w15:providerId="AD" w15:userId="S-1-5-21-1844237615-1844823847-839522115-11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E2"/>
    <w:rsid w:val="00000694"/>
    <w:rsid w:val="000034F1"/>
    <w:rsid w:val="000125BF"/>
    <w:rsid w:val="00013C55"/>
    <w:rsid w:val="00021676"/>
    <w:rsid w:val="0003029D"/>
    <w:rsid w:val="00063361"/>
    <w:rsid w:val="0007680C"/>
    <w:rsid w:val="000819DE"/>
    <w:rsid w:val="000A6AC0"/>
    <w:rsid w:val="000C6FFE"/>
    <w:rsid w:val="000D70BC"/>
    <w:rsid w:val="000E548A"/>
    <w:rsid w:val="00106B5E"/>
    <w:rsid w:val="00112AB3"/>
    <w:rsid w:val="001169AE"/>
    <w:rsid w:val="0015026F"/>
    <w:rsid w:val="00154063"/>
    <w:rsid w:val="0016021E"/>
    <w:rsid w:val="001739FA"/>
    <w:rsid w:val="001819F7"/>
    <w:rsid w:val="001848E7"/>
    <w:rsid w:val="00187148"/>
    <w:rsid w:val="00194890"/>
    <w:rsid w:val="001D6E31"/>
    <w:rsid w:val="001D7C82"/>
    <w:rsid w:val="001F033D"/>
    <w:rsid w:val="0021417F"/>
    <w:rsid w:val="00230514"/>
    <w:rsid w:val="00232D68"/>
    <w:rsid w:val="002338E7"/>
    <w:rsid w:val="00241757"/>
    <w:rsid w:val="00251A43"/>
    <w:rsid w:val="00254671"/>
    <w:rsid w:val="00260191"/>
    <w:rsid w:val="00270A2C"/>
    <w:rsid w:val="00274D2F"/>
    <w:rsid w:val="00275CED"/>
    <w:rsid w:val="002817A1"/>
    <w:rsid w:val="00283F6E"/>
    <w:rsid w:val="00287730"/>
    <w:rsid w:val="00290BC1"/>
    <w:rsid w:val="002A55F3"/>
    <w:rsid w:val="002B453E"/>
    <w:rsid w:val="002E09A3"/>
    <w:rsid w:val="002F3299"/>
    <w:rsid w:val="002F7611"/>
    <w:rsid w:val="002F7615"/>
    <w:rsid w:val="003011B6"/>
    <w:rsid w:val="00314F70"/>
    <w:rsid w:val="0032703A"/>
    <w:rsid w:val="00366392"/>
    <w:rsid w:val="0039164C"/>
    <w:rsid w:val="003934CF"/>
    <w:rsid w:val="003979CE"/>
    <w:rsid w:val="003B2723"/>
    <w:rsid w:val="003D1BF9"/>
    <w:rsid w:val="003D40F5"/>
    <w:rsid w:val="003F0814"/>
    <w:rsid w:val="003F0A02"/>
    <w:rsid w:val="003F40C6"/>
    <w:rsid w:val="00401AF2"/>
    <w:rsid w:val="00411D22"/>
    <w:rsid w:val="00415765"/>
    <w:rsid w:val="004201C3"/>
    <w:rsid w:val="00430835"/>
    <w:rsid w:val="0046251D"/>
    <w:rsid w:val="0048349F"/>
    <w:rsid w:val="00485B91"/>
    <w:rsid w:val="00497040"/>
    <w:rsid w:val="004D6E52"/>
    <w:rsid w:val="004F7B3B"/>
    <w:rsid w:val="00502C68"/>
    <w:rsid w:val="0050557D"/>
    <w:rsid w:val="00506EB7"/>
    <w:rsid w:val="0050726A"/>
    <w:rsid w:val="0052518A"/>
    <w:rsid w:val="005345C8"/>
    <w:rsid w:val="00535623"/>
    <w:rsid w:val="00542E27"/>
    <w:rsid w:val="00544E51"/>
    <w:rsid w:val="005519F9"/>
    <w:rsid w:val="00564D8B"/>
    <w:rsid w:val="00575DAC"/>
    <w:rsid w:val="00576594"/>
    <w:rsid w:val="005B3BCD"/>
    <w:rsid w:val="005D05AB"/>
    <w:rsid w:val="005D1406"/>
    <w:rsid w:val="005D6D7D"/>
    <w:rsid w:val="00612B86"/>
    <w:rsid w:val="00634570"/>
    <w:rsid w:val="00645AD0"/>
    <w:rsid w:val="0064710D"/>
    <w:rsid w:val="006502E9"/>
    <w:rsid w:val="0065653F"/>
    <w:rsid w:val="006737C7"/>
    <w:rsid w:val="006832D3"/>
    <w:rsid w:val="006932CD"/>
    <w:rsid w:val="006B7832"/>
    <w:rsid w:val="006C1FF9"/>
    <w:rsid w:val="006C4D9A"/>
    <w:rsid w:val="006D3CAA"/>
    <w:rsid w:val="006F0EA6"/>
    <w:rsid w:val="007059C9"/>
    <w:rsid w:val="0070685D"/>
    <w:rsid w:val="00723BE9"/>
    <w:rsid w:val="007415C6"/>
    <w:rsid w:val="00742BE8"/>
    <w:rsid w:val="00742F7F"/>
    <w:rsid w:val="00760F09"/>
    <w:rsid w:val="00775FD6"/>
    <w:rsid w:val="007858CE"/>
    <w:rsid w:val="00791C12"/>
    <w:rsid w:val="007A1AB4"/>
    <w:rsid w:val="007B68B7"/>
    <w:rsid w:val="007C4AA2"/>
    <w:rsid w:val="007F1DE5"/>
    <w:rsid w:val="007F6339"/>
    <w:rsid w:val="00810607"/>
    <w:rsid w:val="008178EC"/>
    <w:rsid w:val="0082220B"/>
    <w:rsid w:val="00824896"/>
    <w:rsid w:val="00837205"/>
    <w:rsid w:val="00845DF6"/>
    <w:rsid w:val="00856FD0"/>
    <w:rsid w:val="0086129E"/>
    <w:rsid w:val="00870E52"/>
    <w:rsid w:val="00875DBF"/>
    <w:rsid w:val="00895A54"/>
    <w:rsid w:val="008E1003"/>
    <w:rsid w:val="00902A4D"/>
    <w:rsid w:val="00956063"/>
    <w:rsid w:val="00956680"/>
    <w:rsid w:val="00963BC1"/>
    <w:rsid w:val="009668C5"/>
    <w:rsid w:val="009720C5"/>
    <w:rsid w:val="009779B9"/>
    <w:rsid w:val="009A6706"/>
    <w:rsid w:val="009B1246"/>
    <w:rsid w:val="009C22DE"/>
    <w:rsid w:val="009C261D"/>
    <w:rsid w:val="009F1194"/>
    <w:rsid w:val="009F2249"/>
    <w:rsid w:val="00A21ACB"/>
    <w:rsid w:val="00A50D61"/>
    <w:rsid w:val="00A50E63"/>
    <w:rsid w:val="00A55607"/>
    <w:rsid w:val="00A55650"/>
    <w:rsid w:val="00A82C8D"/>
    <w:rsid w:val="00A87135"/>
    <w:rsid w:val="00A94BB1"/>
    <w:rsid w:val="00A96F65"/>
    <w:rsid w:val="00AB106C"/>
    <w:rsid w:val="00AB2B45"/>
    <w:rsid w:val="00AC0D1C"/>
    <w:rsid w:val="00AC6EC5"/>
    <w:rsid w:val="00AD57CE"/>
    <w:rsid w:val="00AD6B56"/>
    <w:rsid w:val="00AF79AF"/>
    <w:rsid w:val="00B06C22"/>
    <w:rsid w:val="00B13C89"/>
    <w:rsid w:val="00B32964"/>
    <w:rsid w:val="00B502FB"/>
    <w:rsid w:val="00B63345"/>
    <w:rsid w:val="00B775F9"/>
    <w:rsid w:val="00B814E2"/>
    <w:rsid w:val="00B8456F"/>
    <w:rsid w:val="00B95951"/>
    <w:rsid w:val="00B95BB7"/>
    <w:rsid w:val="00B977E1"/>
    <w:rsid w:val="00BA5950"/>
    <w:rsid w:val="00BB3347"/>
    <w:rsid w:val="00BB6A60"/>
    <w:rsid w:val="00BE7BFB"/>
    <w:rsid w:val="00BF3FC4"/>
    <w:rsid w:val="00BF6180"/>
    <w:rsid w:val="00C0665B"/>
    <w:rsid w:val="00C06BA7"/>
    <w:rsid w:val="00C27069"/>
    <w:rsid w:val="00C33ED4"/>
    <w:rsid w:val="00C5222D"/>
    <w:rsid w:val="00C559B1"/>
    <w:rsid w:val="00C65CFC"/>
    <w:rsid w:val="00C67322"/>
    <w:rsid w:val="00C70C16"/>
    <w:rsid w:val="00C772D6"/>
    <w:rsid w:val="00C8286C"/>
    <w:rsid w:val="00C82AAD"/>
    <w:rsid w:val="00CA7A2D"/>
    <w:rsid w:val="00CC6851"/>
    <w:rsid w:val="00CF74C8"/>
    <w:rsid w:val="00D10B70"/>
    <w:rsid w:val="00D1554E"/>
    <w:rsid w:val="00D15A6B"/>
    <w:rsid w:val="00D2682A"/>
    <w:rsid w:val="00D35BD1"/>
    <w:rsid w:val="00D44CC6"/>
    <w:rsid w:val="00D45EF7"/>
    <w:rsid w:val="00D672E6"/>
    <w:rsid w:val="00D73F78"/>
    <w:rsid w:val="00D8000A"/>
    <w:rsid w:val="00D84602"/>
    <w:rsid w:val="00DB2C8F"/>
    <w:rsid w:val="00DD4AD2"/>
    <w:rsid w:val="00DD6A0E"/>
    <w:rsid w:val="00DE2585"/>
    <w:rsid w:val="00DE6D31"/>
    <w:rsid w:val="00E2106D"/>
    <w:rsid w:val="00E43705"/>
    <w:rsid w:val="00E4526C"/>
    <w:rsid w:val="00E50BE2"/>
    <w:rsid w:val="00EA6E1F"/>
    <w:rsid w:val="00EB38F4"/>
    <w:rsid w:val="00EB40E9"/>
    <w:rsid w:val="00EB6395"/>
    <w:rsid w:val="00EB77DF"/>
    <w:rsid w:val="00EC38F9"/>
    <w:rsid w:val="00ED2733"/>
    <w:rsid w:val="00ED6ED4"/>
    <w:rsid w:val="00EE2A96"/>
    <w:rsid w:val="00F4180C"/>
    <w:rsid w:val="00F51EF2"/>
    <w:rsid w:val="00F61560"/>
    <w:rsid w:val="00F71F11"/>
    <w:rsid w:val="00F9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5F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6C"/>
    <w:pPr>
      <w:spacing w:after="0" w:line="240" w:lineRule="auto"/>
    </w:pPr>
  </w:style>
  <w:style w:type="paragraph" w:styleId="Heading1">
    <w:name w:val="heading 1"/>
    <w:basedOn w:val="Normal"/>
    <w:next w:val="Normal"/>
    <w:link w:val="Heading1Char"/>
    <w:uiPriority w:val="9"/>
    <w:qFormat/>
    <w:rsid w:val="0048349F"/>
    <w:pPr>
      <w:spacing w:line="480" w:lineRule="auto"/>
      <w:jc w:val="center"/>
      <w:outlineLvl w:val="0"/>
    </w:pPr>
    <w:rPr>
      <w:b/>
    </w:rPr>
  </w:style>
  <w:style w:type="paragraph" w:styleId="Heading2">
    <w:name w:val="heading 2"/>
    <w:basedOn w:val="Normal"/>
    <w:next w:val="Normal"/>
    <w:link w:val="Heading2Char"/>
    <w:uiPriority w:val="9"/>
    <w:unhideWhenUsed/>
    <w:qFormat/>
    <w:rsid w:val="00A55650"/>
    <w:pPr>
      <w:spacing w:line="480" w:lineRule="auto"/>
      <w:ind w:left="720" w:hanging="720"/>
      <w:outlineLvl w:val="1"/>
    </w:pPr>
    <w:rPr>
      <w:b/>
    </w:rPr>
  </w:style>
  <w:style w:type="paragraph" w:styleId="Heading3">
    <w:name w:val="heading 3"/>
    <w:basedOn w:val="ListParagraph"/>
    <w:next w:val="Normal"/>
    <w:link w:val="Heading3Char"/>
    <w:uiPriority w:val="9"/>
    <w:unhideWhenUsed/>
    <w:qFormat/>
    <w:rsid w:val="00A55650"/>
    <w:pPr>
      <w:numPr>
        <w:numId w:val="2"/>
      </w:numPr>
      <w:spacing w:line="48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Style">
    <w:name w:val="ParaNumStyle"/>
    <w:basedOn w:val="ListParagraph"/>
    <w:qFormat/>
    <w:rsid w:val="00366392"/>
    <w:pPr>
      <w:numPr>
        <w:numId w:val="1"/>
      </w:numPr>
      <w:spacing w:line="480" w:lineRule="auto"/>
    </w:pPr>
    <w:rPr>
      <w:rFonts w:eastAsia="Times New Roman"/>
      <w:lang w:eastAsia="zh-CN"/>
    </w:rPr>
  </w:style>
  <w:style w:type="paragraph" w:styleId="ListParagraph">
    <w:name w:val="List Paragraph"/>
    <w:basedOn w:val="Normal"/>
    <w:uiPriority w:val="34"/>
    <w:qFormat/>
    <w:rsid w:val="00366392"/>
    <w:pPr>
      <w:ind w:left="720"/>
      <w:contextualSpacing/>
    </w:pPr>
  </w:style>
  <w:style w:type="character" w:styleId="LineNumber">
    <w:name w:val="line number"/>
    <w:basedOn w:val="DefaultParagraphFont"/>
    <w:uiPriority w:val="99"/>
    <w:semiHidden/>
    <w:unhideWhenUsed/>
    <w:rsid w:val="00B814E2"/>
  </w:style>
  <w:style w:type="paragraph" w:styleId="Header">
    <w:name w:val="header"/>
    <w:basedOn w:val="Normal"/>
    <w:link w:val="HeaderChar"/>
    <w:uiPriority w:val="99"/>
    <w:unhideWhenUsed/>
    <w:rsid w:val="0015026F"/>
    <w:pPr>
      <w:tabs>
        <w:tab w:val="center" w:pos="4680"/>
        <w:tab w:val="right" w:pos="9360"/>
      </w:tabs>
    </w:pPr>
  </w:style>
  <w:style w:type="character" w:customStyle="1" w:styleId="HeaderChar">
    <w:name w:val="Header Char"/>
    <w:basedOn w:val="DefaultParagraphFont"/>
    <w:link w:val="Header"/>
    <w:uiPriority w:val="99"/>
    <w:rsid w:val="0015026F"/>
  </w:style>
  <w:style w:type="paragraph" w:styleId="Footer">
    <w:name w:val="footer"/>
    <w:basedOn w:val="Normal"/>
    <w:link w:val="FooterChar"/>
    <w:uiPriority w:val="99"/>
    <w:unhideWhenUsed/>
    <w:rsid w:val="0015026F"/>
    <w:pPr>
      <w:tabs>
        <w:tab w:val="center" w:pos="4680"/>
        <w:tab w:val="right" w:pos="9360"/>
      </w:tabs>
    </w:pPr>
  </w:style>
  <w:style w:type="character" w:customStyle="1" w:styleId="FooterChar">
    <w:name w:val="Footer Char"/>
    <w:basedOn w:val="DefaultParagraphFont"/>
    <w:link w:val="Footer"/>
    <w:uiPriority w:val="99"/>
    <w:rsid w:val="0015026F"/>
  </w:style>
  <w:style w:type="paragraph" w:styleId="FootnoteText">
    <w:name w:val="footnote text"/>
    <w:basedOn w:val="Normal"/>
    <w:link w:val="FootnoteTextChar"/>
    <w:uiPriority w:val="99"/>
    <w:semiHidden/>
    <w:unhideWhenUsed/>
    <w:rsid w:val="00575DAC"/>
    <w:rPr>
      <w:sz w:val="20"/>
      <w:szCs w:val="20"/>
    </w:rPr>
  </w:style>
  <w:style w:type="character" w:customStyle="1" w:styleId="FootnoteTextChar">
    <w:name w:val="Footnote Text Char"/>
    <w:basedOn w:val="DefaultParagraphFont"/>
    <w:link w:val="FootnoteText"/>
    <w:uiPriority w:val="99"/>
    <w:semiHidden/>
    <w:rsid w:val="00575DAC"/>
    <w:rPr>
      <w:sz w:val="20"/>
      <w:szCs w:val="20"/>
    </w:rPr>
  </w:style>
  <w:style w:type="character" w:styleId="FootnoteReference">
    <w:name w:val="footnote reference"/>
    <w:basedOn w:val="DefaultParagraphFont"/>
    <w:uiPriority w:val="99"/>
    <w:semiHidden/>
    <w:unhideWhenUsed/>
    <w:rsid w:val="00575DAC"/>
    <w:rPr>
      <w:vertAlign w:val="superscript"/>
    </w:rPr>
  </w:style>
  <w:style w:type="character" w:styleId="CommentReference">
    <w:name w:val="annotation reference"/>
    <w:basedOn w:val="DefaultParagraphFont"/>
    <w:uiPriority w:val="99"/>
    <w:semiHidden/>
    <w:unhideWhenUsed/>
    <w:rsid w:val="003F40C6"/>
    <w:rPr>
      <w:sz w:val="16"/>
      <w:szCs w:val="16"/>
    </w:rPr>
  </w:style>
  <w:style w:type="paragraph" w:styleId="CommentText">
    <w:name w:val="annotation text"/>
    <w:basedOn w:val="Normal"/>
    <w:link w:val="CommentTextChar"/>
    <w:uiPriority w:val="99"/>
    <w:semiHidden/>
    <w:unhideWhenUsed/>
    <w:rsid w:val="003F40C6"/>
    <w:rPr>
      <w:sz w:val="20"/>
      <w:szCs w:val="20"/>
    </w:rPr>
  </w:style>
  <w:style w:type="character" w:customStyle="1" w:styleId="CommentTextChar">
    <w:name w:val="Comment Text Char"/>
    <w:basedOn w:val="DefaultParagraphFont"/>
    <w:link w:val="CommentText"/>
    <w:uiPriority w:val="99"/>
    <w:semiHidden/>
    <w:rsid w:val="003F40C6"/>
    <w:rPr>
      <w:sz w:val="20"/>
      <w:szCs w:val="20"/>
    </w:rPr>
  </w:style>
  <w:style w:type="paragraph" w:styleId="BalloonText">
    <w:name w:val="Balloon Text"/>
    <w:basedOn w:val="Normal"/>
    <w:link w:val="BalloonTextChar"/>
    <w:uiPriority w:val="99"/>
    <w:semiHidden/>
    <w:unhideWhenUsed/>
    <w:rsid w:val="003F40C6"/>
    <w:rPr>
      <w:rFonts w:ascii="Tahoma" w:hAnsi="Tahoma" w:cs="Tahoma"/>
      <w:sz w:val="16"/>
      <w:szCs w:val="16"/>
    </w:rPr>
  </w:style>
  <w:style w:type="character" w:customStyle="1" w:styleId="BalloonTextChar">
    <w:name w:val="Balloon Text Char"/>
    <w:basedOn w:val="DefaultParagraphFont"/>
    <w:link w:val="BalloonText"/>
    <w:uiPriority w:val="99"/>
    <w:semiHidden/>
    <w:rsid w:val="003F40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739FA"/>
    <w:rPr>
      <w:b/>
      <w:bCs/>
    </w:rPr>
  </w:style>
  <w:style w:type="character" w:customStyle="1" w:styleId="CommentSubjectChar">
    <w:name w:val="Comment Subject Char"/>
    <w:basedOn w:val="CommentTextChar"/>
    <w:link w:val="CommentSubject"/>
    <w:uiPriority w:val="99"/>
    <w:semiHidden/>
    <w:rsid w:val="001739FA"/>
    <w:rPr>
      <w:b/>
      <w:bCs/>
      <w:sz w:val="20"/>
      <w:szCs w:val="20"/>
    </w:rPr>
  </w:style>
  <w:style w:type="character" w:customStyle="1" w:styleId="Heading1Char">
    <w:name w:val="Heading 1 Char"/>
    <w:basedOn w:val="DefaultParagraphFont"/>
    <w:link w:val="Heading1"/>
    <w:uiPriority w:val="9"/>
    <w:rsid w:val="0048349F"/>
    <w:rPr>
      <w:b/>
    </w:rPr>
  </w:style>
  <w:style w:type="paragraph" w:styleId="TOCHeading">
    <w:name w:val="TOC Heading"/>
    <w:basedOn w:val="Heading1"/>
    <w:next w:val="Normal"/>
    <w:uiPriority w:val="39"/>
    <w:semiHidden/>
    <w:unhideWhenUsed/>
    <w:qFormat/>
    <w:rsid w:val="00A55650"/>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A55650"/>
    <w:pPr>
      <w:spacing w:after="100"/>
    </w:pPr>
  </w:style>
  <w:style w:type="character" w:styleId="Hyperlink">
    <w:name w:val="Hyperlink"/>
    <w:basedOn w:val="DefaultParagraphFont"/>
    <w:uiPriority w:val="99"/>
    <w:unhideWhenUsed/>
    <w:rsid w:val="00A55650"/>
    <w:rPr>
      <w:color w:val="0000FF" w:themeColor="hyperlink"/>
      <w:u w:val="single"/>
    </w:rPr>
  </w:style>
  <w:style w:type="character" w:customStyle="1" w:styleId="Heading2Char">
    <w:name w:val="Heading 2 Char"/>
    <w:basedOn w:val="DefaultParagraphFont"/>
    <w:link w:val="Heading2"/>
    <w:uiPriority w:val="9"/>
    <w:rsid w:val="00A55650"/>
    <w:rPr>
      <w:b/>
    </w:rPr>
  </w:style>
  <w:style w:type="character" w:customStyle="1" w:styleId="Heading3Char">
    <w:name w:val="Heading 3 Char"/>
    <w:basedOn w:val="DefaultParagraphFont"/>
    <w:link w:val="Heading3"/>
    <w:uiPriority w:val="9"/>
    <w:rsid w:val="00A55650"/>
    <w:rPr>
      <w:b/>
    </w:rPr>
  </w:style>
  <w:style w:type="paragraph" w:styleId="TOC2">
    <w:name w:val="toc 2"/>
    <w:basedOn w:val="Normal"/>
    <w:next w:val="Normal"/>
    <w:autoRedefine/>
    <w:uiPriority w:val="39"/>
    <w:unhideWhenUsed/>
    <w:rsid w:val="00D45EF7"/>
    <w:pPr>
      <w:tabs>
        <w:tab w:val="left" w:pos="880"/>
        <w:tab w:val="left" w:pos="1440"/>
        <w:tab w:val="right" w:leader="dot" w:pos="8918"/>
      </w:tabs>
      <w:spacing w:line="480" w:lineRule="auto"/>
      <w:ind w:left="720"/>
    </w:pPr>
  </w:style>
  <w:style w:type="paragraph" w:styleId="TOC3">
    <w:name w:val="toc 3"/>
    <w:basedOn w:val="Normal"/>
    <w:next w:val="Normal"/>
    <w:autoRedefine/>
    <w:uiPriority w:val="39"/>
    <w:unhideWhenUsed/>
    <w:rsid w:val="00D45EF7"/>
    <w:pPr>
      <w:tabs>
        <w:tab w:val="left" w:pos="1100"/>
        <w:tab w:val="left" w:pos="2160"/>
        <w:tab w:val="right" w:leader="dot" w:pos="8918"/>
      </w:tabs>
      <w:ind w:left="2160" w:hanging="720"/>
    </w:pPr>
  </w:style>
  <w:style w:type="paragraph" w:styleId="NormalWeb">
    <w:name w:val="Normal (Web)"/>
    <w:basedOn w:val="Normal"/>
    <w:uiPriority w:val="99"/>
    <w:semiHidden/>
    <w:unhideWhenUsed/>
    <w:rsid w:val="00D8000A"/>
    <w:pPr>
      <w:spacing w:before="100" w:beforeAutospacing="1" w:after="100" w:afterAutospacing="1"/>
    </w:pPr>
    <w:rPr>
      <w:rFonts w:eastAsia="Times New Roman"/>
    </w:rPr>
  </w:style>
  <w:style w:type="paragraph" w:styleId="Revision">
    <w:name w:val="Revision"/>
    <w:hidden/>
    <w:uiPriority w:val="99"/>
    <w:semiHidden/>
    <w:rsid w:val="00D45E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6C"/>
    <w:pPr>
      <w:spacing w:after="0" w:line="240" w:lineRule="auto"/>
    </w:pPr>
  </w:style>
  <w:style w:type="paragraph" w:styleId="Heading1">
    <w:name w:val="heading 1"/>
    <w:basedOn w:val="Normal"/>
    <w:next w:val="Normal"/>
    <w:link w:val="Heading1Char"/>
    <w:uiPriority w:val="9"/>
    <w:qFormat/>
    <w:rsid w:val="0048349F"/>
    <w:pPr>
      <w:spacing w:line="480" w:lineRule="auto"/>
      <w:jc w:val="center"/>
      <w:outlineLvl w:val="0"/>
    </w:pPr>
    <w:rPr>
      <w:b/>
    </w:rPr>
  </w:style>
  <w:style w:type="paragraph" w:styleId="Heading2">
    <w:name w:val="heading 2"/>
    <w:basedOn w:val="Normal"/>
    <w:next w:val="Normal"/>
    <w:link w:val="Heading2Char"/>
    <w:uiPriority w:val="9"/>
    <w:unhideWhenUsed/>
    <w:qFormat/>
    <w:rsid w:val="00A55650"/>
    <w:pPr>
      <w:spacing w:line="480" w:lineRule="auto"/>
      <w:ind w:left="720" w:hanging="720"/>
      <w:outlineLvl w:val="1"/>
    </w:pPr>
    <w:rPr>
      <w:b/>
    </w:rPr>
  </w:style>
  <w:style w:type="paragraph" w:styleId="Heading3">
    <w:name w:val="heading 3"/>
    <w:basedOn w:val="ListParagraph"/>
    <w:next w:val="Normal"/>
    <w:link w:val="Heading3Char"/>
    <w:uiPriority w:val="9"/>
    <w:unhideWhenUsed/>
    <w:qFormat/>
    <w:rsid w:val="00A55650"/>
    <w:pPr>
      <w:numPr>
        <w:numId w:val="2"/>
      </w:numPr>
      <w:spacing w:line="48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Style">
    <w:name w:val="ParaNumStyle"/>
    <w:basedOn w:val="ListParagraph"/>
    <w:qFormat/>
    <w:rsid w:val="00366392"/>
    <w:pPr>
      <w:numPr>
        <w:numId w:val="1"/>
      </w:numPr>
      <w:spacing w:line="480" w:lineRule="auto"/>
    </w:pPr>
    <w:rPr>
      <w:rFonts w:eastAsia="Times New Roman"/>
      <w:lang w:eastAsia="zh-CN"/>
    </w:rPr>
  </w:style>
  <w:style w:type="paragraph" w:styleId="ListParagraph">
    <w:name w:val="List Paragraph"/>
    <w:basedOn w:val="Normal"/>
    <w:uiPriority w:val="34"/>
    <w:qFormat/>
    <w:rsid w:val="00366392"/>
    <w:pPr>
      <w:ind w:left="720"/>
      <w:contextualSpacing/>
    </w:pPr>
  </w:style>
  <w:style w:type="character" w:styleId="LineNumber">
    <w:name w:val="line number"/>
    <w:basedOn w:val="DefaultParagraphFont"/>
    <w:uiPriority w:val="99"/>
    <w:semiHidden/>
    <w:unhideWhenUsed/>
    <w:rsid w:val="00B814E2"/>
  </w:style>
  <w:style w:type="paragraph" w:styleId="Header">
    <w:name w:val="header"/>
    <w:basedOn w:val="Normal"/>
    <w:link w:val="HeaderChar"/>
    <w:uiPriority w:val="99"/>
    <w:unhideWhenUsed/>
    <w:rsid w:val="0015026F"/>
    <w:pPr>
      <w:tabs>
        <w:tab w:val="center" w:pos="4680"/>
        <w:tab w:val="right" w:pos="9360"/>
      </w:tabs>
    </w:pPr>
  </w:style>
  <w:style w:type="character" w:customStyle="1" w:styleId="HeaderChar">
    <w:name w:val="Header Char"/>
    <w:basedOn w:val="DefaultParagraphFont"/>
    <w:link w:val="Header"/>
    <w:uiPriority w:val="99"/>
    <w:rsid w:val="0015026F"/>
  </w:style>
  <w:style w:type="paragraph" w:styleId="Footer">
    <w:name w:val="footer"/>
    <w:basedOn w:val="Normal"/>
    <w:link w:val="FooterChar"/>
    <w:uiPriority w:val="99"/>
    <w:unhideWhenUsed/>
    <w:rsid w:val="0015026F"/>
    <w:pPr>
      <w:tabs>
        <w:tab w:val="center" w:pos="4680"/>
        <w:tab w:val="right" w:pos="9360"/>
      </w:tabs>
    </w:pPr>
  </w:style>
  <w:style w:type="character" w:customStyle="1" w:styleId="FooterChar">
    <w:name w:val="Footer Char"/>
    <w:basedOn w:val="DefaultParagraphFont"/>
    <w:link w:val="Footer"/>
    <w:uiPriority w:val="99"/>
    <w:rsid w:val="0015026F"/>
  </w:style>
  <w:style w:type="paragraph" w:styleId="FootnoteText">
    <w:name w:val="footnote text"/>
    <w:basedOn w:val="Normal"/>
    <w:link w:val="FootnoteTextChar"/>
    <w:uiPriority w:val="99"/>
    <w:semiHidden/>
    <w:unhideWhenUsed/>
    <w:rsid w:val="00575DAC"/>
    <w:rPr>
      <w:sz w:val="20"/>
      <w:szCs w:val="20"/>
    </w:rPr>
  </w:style>
  <w:style w:type="character" w:customStyle="1" w:styleId="FootnoteTextChar">
    <w:name w:val="Footnote Text Char"/>
    <w:basedOn w:val="DefaultParagraphFont"/>
    <w:link w:val="FootnoteText"/>
    <w:uiPriority w:val="99"/>
    <w:semiHidden/>
    <w:rsid w:val="00575DAC"/>
    <w:rPr>
      <w:sz w:val="20"/>
      <w:szCs w:val="20"/>
    </w:rPr>
  </w:style>
  <w:style w:type="character" w:styleId="FootnoteReference">
    <w:name w:val="footnote reference"/>
    <w:basedOn w:val="DefaultParagraphFont"/>
    <w:uiPriority w:val="99"/>
    <w:semiHidden/>
    <w:unhideWhenUsed/>
    <w:rsid w:val="00575DAC"/>
    <w:rPr>
      <w:vertAlign w:val="superscript"/>
    </w:rPr>
  </w:style>
  <w:style w:type="character" w:styleId="CommentReference">
    <w:name w:val="annotation reference"/>
    <w:basedOn w:val="DefaultParagraphFont"/>
    <w:uiPriority w:val="99"/>
    <w:semiHidden/>
    <w:unhideWhenUsed/>
    <w:rsid w:val="003F40C6"/>
    <w:rPr>
      <w:sz w:val="16"/>
      <w:szCs w:val="16"/>
    </w:rPr>
  </w:style>
  <w:style w:type="paragraph" w:styleId="CommentText">
    <w:name w:val="annotation text"/>
    <w:basedOn w:val="Normal"/>
    <w:link w:val="CommentTextChar"/>
    <w:uiPriority w:val="99"/>
    <w:semiHidden/>
    <w:unhideWhenUsed/>
    <w:rsid w:val="003F40C6"/>
    <w:rPr>
      <w:sz w:val="20"/>
      <w:szCs w:val="20"/>
    </w:rPr>
  </w:style>
  <w:style w:type="character" w:customStyle="1" w:styleId="CommentTextChar">
    <w:name w:val="Comment Text Char"/>
    <w:basedOn w:val="DefaultParagraphFont"/>
    <w:link w:val="CommentText"/>
    <w:uiPriority w:val="99"/>
    <w:semiHidden/>
    <w:rsid w:val="003F40C6"/>
    <w:rPr>
      <w:sz w:val="20"/>
      <w:szCs w:val="20"/>
    </w:rPr>
  </w:style>
  <w:style w:type="paragraph" w:styleId="BalloonText">
    <w:name w:val="Balloon Text"/>
    <w:basedOn w:val="Normal"/>
    <w:link w:val="BalloonTextChar"/>
    <w:uiPriority w:val="99"/>
    <w:semiHidden/>
    <w:unhideWhenUsed/>
    <w:rsid w:val="003F40C6"/>
    <w:rPr>
      <w:rFonts w:ascii="Tahoma" w:hAnsi="Tahoma" w:cs="Tahoma"/>
      <w:sz w:val="16"/>
      <w:szCs w:val="16"/>
    </w:rPr>
  </w:style>
  <w:style w:type="character" w:customStyle="1" w:styleId="BalloonTextChar">
    <w:name w:val="Balloon Text Char"/>
    <w:basedOn w:val="DefaultParagraphFont"/>
    <w:link w:val="BalloonText"/>
    <w:uiPriority w:val="99"/>
    <w:semiHidden/>
    <w:rsid w:val="003F40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739FA"/>
    <w:rPr>
      <w:b/>
      <w:bCs/>
    </w:rPr>
  </w:style>
  <w:style w:type="character" w:customStyle="1" w:styleId="CommentSubjectChar">
    <w:name w:val="Comment Subject Char"/>
    <w:basedOn w:val="CommentTextChar"/>
    <w:link w:val="CommentSubject"/>
    <w:uiPriority w:val="99"/>
    <w:semiHidden/>
    <w:rsid w:val="001739FA"/>
    <w:rPr>
      <w:b/>
      <w:bCs/>
      <w:sz w:val="20"/>
      <w:szCs w:val="20"/>
    </w:rPr>
  </w:style>
  <w:style w:type="character" w:customStyle="1" w:styleId="Heading1Char">
    <w:name w:val="Heading 1 Char"/>
    <w:basedOn w:val="DefaultParagraphFont"/>
    <w:link w:val="Heading1"/>
    <w:uiPriority w:val="9"/>
    <w:rsid w:val="0048349F"/>
    <w:rPr>
      <w:b/>
    </w:rPr>
  </w:style>
  <w:style w:type="paragraph" w:styleId="TOCHeading">
    <w:name w:val="TOC Heading"/>
    <w:basedOn w:val="Heading1"/>
    <w:next w:val="Normal"/>
    <w:uiPriority w:val="39"/>
    <w:semiHidden/>
    <w:unhideWhenUsed/>
    <w:qFormat/>
    <w:rsid w:val="00A55650"/>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A55650"/>
    <w:pPr>
      <w:spacing w:after="100"/>
    </w:pPr>
  </w:style>
  <w:style w:type="character" w:styleId="Hyperlink">
    <w:name w:val="Hyperlink"/>
    <w:basedOn w:val="DefaultParagraphFont"/>
    <w:uiPriority w:val="99"/>
    <w:unhideWhenUsed/>
    <w:rsid w:val="00A55650"/>
    <w:rPr>
      <w:color w:val="0000FF" w:themeColor="hyperlink"/>
      <w:u w:val="single"/>
    </w:rPr>
  </w:style>
  <w:style w:type="character" w:customStyle="1" w:styleId="Heading2Char">
    <w:name w:val="Heading 2 Char"/>
    <w:basedOn w:val="DefaultParagraphFont"/>
    <w:link w:val="Heading2"/>
    <w:uiPriority w:val="9"/>
    <w:rsid w:val="00A55650"/>
    <w:rPr>
      <w:b/>
    </w:rPr>
  </w:style>
  <w:style w:type="character" w:customStyle="1" w:styleId="Heading3Char">
    <w:name w:val="Heading 3 Char"/>
    <w:basedOn w:val="DefaultParagraphFont"/>
    <w:link w:val="Heading3"/>
    <w:uiPriority w:val="9"/>
    <w:rsid w:val="00A55650"/>
    <w:rPr>
      <w:b/>
    </w:rPr>
  </w:style>
  <w:style w:type="paragraph" w:styleId="TOC2">
    <w:name w:val="toc 2"/>
    <w:basedOn w:val="Normal"/>
    <w:next w:val="Normal"/>
    <w:autoRedefine/>
    <w:uiPriority w:val="39"/>
    <w:unhideWhenUsed/>
    <w:rsid w:val="00D45EF7"/>
    <w:pPr>
      <w:tabs>
        <w:tab w:val="left" w:pos="880"/>
        <w:tab w:val="left" w:pos="1440"/>
        <w:tab w:val="right" w:leader="dot" w:pos="8918"/>
      </w:tabs>
      <w:spacing w:line="480" w:lineRule="auto"/>
      <w:ind w:left="720"/>
    </w:pPr>
  </w:style>
  <w:style w:type="paragraph" w:styleId="TOC3">
    <w:name w:val="toc 3"/>
    <w:basedOn w:val="Normal"/>
    <w:next w:val="Normal"/>
    <w:autoRedefine/>
    <w:uiPriority w:val="39"/>
    <w:unhideWhenUsed/>
    <w:rsid w:val="00D45EF7"/>
    <w:pPr>
      <w:tabs>
        <w:tab w:val="left" w:pos="1100"/>
        <w:tab w:val="left" w:pos="2160"/>
        <w:tab w:val="right" w:leader="dot" w:pos="8918"/>
      </w:tabs>
      <w:ind w:left="2160" w:hanging="720"/>
    </w:pPr>
  </w:style>
  <w:style w:type="paragraph" w:styleId="NormalWeb">
    <w:name w:val="Normal (Web)"/>
    <w:basedOn w:val="Normal"/>
    <w:uiPriority w:val="99"/>
    <w:semiHidden/>
    <w:unhideWhenUsed/>
    <w:rsid w:val="00D8000A"/>
    <w:pPr>
      <w:spacing w:before="100" w:beforeAutospacing="1" w:after="100" w:afterAutospacing="1"/>
    </w:pPr>
    <w:rPr>
      <w:rFonts w:eastAsia="Times New Roman"/>
    </w:rPr>
  </w:style>
  <w:style w:type="paragraph" w:styleId="Revision">
    <w:name w:val="Revision"/>
    <w:hidden/>
    <w:uiPriority w:val="99"/>
    <w:semiHidden/>
    <w:rsid w:val="00D45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04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53A5F-F56E-4536-86C6-360EAE23DFDF}"/>
</file>

<file path=customXml/itemProps2.xml><?xml version="1.0" encoding="utf-8"?>
<ds:datastoreItem xmlns:ds="http://schemas.openxmlformats.org/officeDocument/2006/customXml" ds:itemID="{46D5B9DB-A383-4F01-9863-247633758DC4}"/>
</file>

<file path=customXml/itemProps3.xml><?xml version="1.0" encoding="utf-8"?>
<ds:datastoreItem xmlns:ds="http://schemas.openxmlformats.org/officeDocument/2006/customXml" ds:itemID="{B7F3B2AE-DA3D-4755-9705-23B2D9ED0340}"/>
</file>

<file path=customXml/itemProps4.xml><?xml version="1.0" encoding="utf-8"?>
<ds:datastoreItem xmlns:ds="http://schemas.openxmlformats.org/officeDocument/2006/customXml" ds:itemID="{3FB26A2D-945B-461E-AC9E-1BEFD55B05E4}"/>
</file>

<file path=customXml/itemProps5.xml><?xml version="1.0" encoding="utf-8"?>
<ds:datastoreItem xmlns:ds="http://schemas.openxmlformats.org/officeDocument/2006/customXml" ds:itemID="{9E93356C-EEBC-468D-9BED-DF243912EAB6}"/>
</file>

<file path=docProps/app.xml><?xml version="1.0" encoding="utf-8"?>
<Properties xmlns="http://schemas.openxmlformats.org/officeDocument/2006/extended-properties" xmlns:vt="http://schemas.openxmlformats.org/officeDocument/2006/docPropsVTypes">
  <Template>Normal.dotm</Template>
  <TotalTime>157</TotalTime>
  <Pages>21</Pages>
  <Words>4057</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Brad Cebulko Testimony Service Quality and Reliability</vt:lpstr>
    </vt:vector>
  </TitlesOfParts>
  <Company>Washington Utilities and Transportation Commission</Company>
  <LinksUpToDate>false</LinksUpToDate>
  <CharactersWithSpaces>27132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 Cebulko Testimony Service Quality and Reliability</dc:title>
  <dc:creator>Bradley Cebulko</dc:creator>
  <cp:lastModifiedBy>Krista Gross</cp:lastModifiedBy>
  <cp:revision>24</cp:revision>
  <cp:lastPrinted>2014-07-22T00:02:00Z</cp:lastPrinted>
  <dcterms:created xsi:type="dcterms:W3CDTF">2014-07-21T17:07:00Z</dcterms:created>
  <dcterms:modified xsi:type="dcterms:W3CDTF">2014-07-22T00:03:00Z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