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D7317" w14:textId="77777777" w:rsidR="00A11CA7" w:rsidRPr="00B36BDF" w:rsidRDefault="00AB4CD3" w:rsidP="00A714A2">
      <w:pPr>
        <w:spacing w:line="264" w:lineRule="auto"/>
        <w:jc w:val="center"/>
        <w:rPr>
          <w:b/>
          <w:bCs/>
        </w:rPr>
      </w:pPr>
      <w:bookmarkStart w:id="0" w:name="_GoBack"/>
      <w:bookmarkEnd w:id="0"/>
      <w:r w:rsidRPr="00B36BDF">
        <w:rPr>
          <w:b/>
          <w:bCs/>
        </w:rPr>
        <w:t>BEFORE THE WASHINGTON</w:t>
      </w:r>
    </w:p>
    <w:p w14:paraId="0FAD7318" w14:textId="77777777" w:rsidR="00AB4CD3" w:rsidRPr="00B36BDF" w:rsidRDefault="00AB4CD3" w:rsidP="00A11CA7">
      <w:pPr>
        <w:spacing w:line="264" w:lineRule="auto"/>
        <w:jc w:val="center"/>
        <w:rPr>
          <w:bCs/>
        </w:rPr>
      </w:pPr>
      <w:r w:rsidRPr="00B36BDF">
        <w:rPr>
          <w:b/>
          <w:bCs/>
        </w:rPr>
        <w:t>UTILITIES AND TRANSPORTATION COMMISSION</w:t>
      </w:r>
    </w:p>
    <w:tbl>
      <w:tblPr>
        <w:tblW w:w="0" w:type="auto"/>
        <w:tblLook w:val="0000" w:firstRow="0" w:lastRow="0" w:firstColumn="0" w:lastColumn="0" w:noHBand="0" w:noVBand="0"/>
      </w:tblPr>
      <w:tblGrid>
        <w:gridCol w:w="4248"/>
        <w:gridCol w:w="360"/>
        <w:gridCol w:w="3888"/>
      </w:tblGrid>
      <w:tr w:rsidR="00C929E0" w:rsidRPr="00B36BDF" w14:paraId="0FAD731C" w14:textId="77777777" w:rsidTr="00C929E0">
        <w:tc>
          <w:tcPr>
            <w:tcW w:w="4248" w:type="dxa"/>
          </w:tcPr>
          <w:p w14:paraId="0FAD7319" w14:textId="77777777" w:rsidR="00C929E0" w:rsidRPr="00B36BDF" w:rsidRDefault="00C929E0" w:rsidP="00C929E0"/>
        </w:tc>
        <w:tc>
          <w:tcPr>
            <w:tcW w:w="360" w:type="dxa"/>
          </w:tcPr>
          <w:p w14:paraId="0FAD731A" w14:textId="77777777" w:rsidR="00C929E0" w:rsidRPr="00B36BDF" w:rsidRDefault="00C929E0" w:rsidP="00C929E0"/>
        </w:tc>
        <w:tc>
          <w:tcPr>
            <w:tcW w:w="3888" w:type="dxa"/>
          </w:tcPr>
          <w:p w14:paraId="0FAD731B" w14:textId="77777777" w:rsidR="00C929E0" w:rsidRPr="00B36BDF" w:rsidRDefault="00C929E0" w:rsidP="00C929E0"/>
        </w:tc>
      </w:tr>
      <w:tr w:rsidR="00C929E0" w:rsidRPr="00B36BDF" w14:paraId="0FAD733C" w14:textId="77777777" w:rsidTr="00C929E0">
        <w:tc>
          <w:tcPr>
            <w:tcW w:w="4248" w:type="dxa"/>
          </w:tcPr>
          <w:p w14:paraId="0FAD731D" w14:textId="0EA38969" w:rsidR="00C929E0" w:rsidRPr="00B36BDF" w:rsidRDefault="00C929E0" w:rsidP="00C929E0">
            <w:r w:rsidRPr="00B36BDF">
              <w:t xml:space="preserve">In the </w:t>
            </w:r>
            <w:r w:rsidR="00A11CA7" w:rsidRPr="00B36BDF">
              <w:t>M</w:t>
            </w:r>
            <w:r w:rsidRPr="00B36BDF">
              <w:t>atter of</w:t>
            </w:r>
          </w:p>
          <w:p w14:paraId="0FAD731E" w14:textId="77777777" w:rsidR="00C929E0" w:rsidRDefault="00C929E0" w:rsidP="00C929E0"/>
          <w:p w14:paraId="0FAD731F" w14:textId="77777777" w:rsidR="00980AF7" w:rsidRDefault="00980AF7" w:rsidP="00C929E0"/>
          <w:p w14:paraId="0FAD7320" w14:textId="77777777" w:rsidR="002352F3" w:rsidRPr="00B36BDF" w:rsidRDefault="002352F3" w:rsidP="00C929E0"/>
          <w:p w14:paraId="0FAD7321" w14:textId="77777777" w:rsidR="00C929E0" w:rsidRDefault="006913E8" w:rsidP="00C929E0">
            <w:r>
              <w:t>AVISTA CORPORATION</w:t>
            </w:r>
            <w:r w:rsidR="0036376B">
              <w:t xml:space="preserve"> dba</w:t>
            </w:r>
          </w:p>
          <w:p w14:paraId="57D7D8C3" w14:textId="32DB2915" w:rsidR="0036376B" w:rsidRDefault="0036376B" w:rsidP="00C929E0">
            <w:r>
              <w:t>Avista Utilities</w:t>
            </w:r>
          </w:p>
          <w:p w14:paraId="0FAD7322" w14:textId="77777777" w:rsidR="002352F3" w:rsidRPr="00B36BDF" w:rsidRDefault="002352F3" w:rsidP="00C929E0"/>
          <w:p w14:paraId="0FAD7323" w14:textId="77777777" w:rsidR="00C929E0" w:rsidRDefault="00C929E0" w:rsidP="00C929E0"/>
          <w:p w14:paraId="0FAD7325" w14:textId="77777777" w:rsidR="00980AF7" w:rsidRPr="00B36BDF" w:rsidRDefault="00C929E0" w:rsidP="00C929E0">
            <w:r w:rsidRPr="00B36BDF">
              <w:t xml:space="preserve">Report Identifying Its </w:t>
            </w:r>
            <w:r w:rsidRPr="00352140">
              <w:t>201</w:t>
            </w:r>
            <w:r w:rsidR="00B36BDF" w:rsidRPr="00352140">
              <w:t>6</w:t>
            </w:r>
            <w:r w:rsidRPr="00352140">
              <w:t>-202</w:t>
            </w:r>
            <w:r w:rsidR="00B36BDF" w:rsidRPr="00352140">
              <w:t>5</w:t>
            </w:r>
            <w:r w:rsidRPr="00B36BDF">
              <w:t xml:space="preserve"> Ten-Year Achievable Electric Conservation Potential and Its 201</w:t>
            </w:r>
            <w:r w:rsidR="00B36BDF" w:rsidRPr="00B36BDF">
              <w:t>6</w:t>
            </w:r>
            <w:r w:rsidRPr="00B36BDF">
              <w:t>-201</w:t>
            </w:r>
            <w:r w:rsidR="00B36BDF" w:rsidRPr="00B36BDF">
              <w:t>7</w:t>
            </w:r>
            <w:r w:rsidRPr="00B36BDF">
              <w:t xml:space="preserve"> Electric Biennial Conservation Target Under RCW 19.285.040 and WAC 480-109-010</w:t>
            </w:r>
          </w:p>
          <w:p w14:paraId="0FAD7326" w14:textId="77777777" w:rsidR="00C929E0" w:rsidRPr="00B36BDF" w:rsidRDefault="00C929E0" w:rsidP="00C929E0">
            <w:r w:rsidRPr="00B36BDF">
              <w:t xml:space="preserve">. . . . . . . . . . . . . . . . . . . . . . . . . . . . . . </w:t>
            </w:r>
          </w:p>
        </w:tc>
        <w:tc>
          <w:tcPr>
            <w:tcW w:w="360" w:type="dxa"/>
          </w:tcPr>
          <w:p w14:paraId="0FAD7327" w14:textId="77777777" w:rsidR="00C929E0" w:rsidRPr="00B36BDF" w:rsidRDefault="00C929E0" w:rsidP="00C929E0">
            <w:r w:rsidRPr="00B36BDF">
              <w:t>)</w:t>
            </w:r>
          </w:p>
          <w:p w14:paraId="0FAD7328" w14:textId="77777777" w:rsidR="00C929E0" w:rsidRPr="00B36BDF" w:rsidRDefault="00C929E0" w:rsidP="00C929E0">
            <w:r w:rsidRPr="00B36BDF">
              <w:t>)</w:t>
            </w:r>
          </w:p>
          <w:p w14:paraId="0FAD7329" w14:textId="77777777" w:rsidR="00C929E0" w:rsidRPr="00B36BDF" w:rsidRDefault="00C929E0" w:rsidP="00C929E0">
            <w:r w:rsidRPr="00B36BDF">
              <w:t>)</w:t>
            </w:r>
          </w:p>
          <w:p w14:paraId="0FAD732A" w14:textId="77777777" w:rsidR="00C929E0" w:rsidRPr="00B36BDF" w:rsidRDefault="00C929E0" w:rsidP="00C929E0">
            <w:r w:rsidRPr="00B36BDF">
              <w:t>)</w:t>
            </w:r>
          </w:p>
          <w:p w14:paraId="0FAD732B" w14:textId="77777777" w:rsidR="00C929E0" w:rsidRPr="00B36BDF" w:rsidRDefault="00C929E0" w:rsidP="00C929E0">
            <w:r w:rsidRPr="00B36BDF">
              <w:t>)</w:t>
            </w:r>
          </w:p>
          <w:p w14:paraId="0FAD732C" w14:textId="77777777" w:rsidR="00C929E0" w:rsidRPr="00B36BDF" w:rsidRDefault="00C929E0" w:rsidP="00C929E0">
            <w:r w:rsidRPr="00B36BDF">
              <w:t>)</w:t>
            </w:r>
          </w:p>
          <w:p w14:paraId="0FAD732D" w14:textId="77777777" w:rsidR="00C929E0" w:rsidRPr="00B36BDF" w:rsidRDefault="00C929E0" w:rsidP="00C929E0">
            <w:r w:rsidRPr="00B36BDF">
              <w:t>)</w:t>
            </w:r>
          </w:p>
          <w:p w14:paraId="0FAD732E" w14:textId="77777777" w:rsidR="00C929E0" w:rsidRPr="00B36BDF" w:rsidRDefault="00C929E0" w:rsidP="00C929E0">
            <w:r w:rsidRPr="00B36BDF">
              <w:t>)</w:t>
            </w:r>
          </w:p>
          <w:p w14:paraId="0FAD732F" w14:textId="77777777" w:rsidR="00C929E0" w:rsidRPr="00B36BDF" w:rsidRDefault="00C929E0" w:rsidP="00C929E0">
            <w:r w:rsidRPr="00B36BDF">
              <w:t>)</w:t>
            </w:r>
          </w:p>
          <w:p w14:paraId="0FAD7330" w14:textId="77777777" w:rsidR="00C929E0" w:rsidRPr="00B36BDF" w:rsidRDefault="00C929E0" w:rsidP="00C929E0">
            <w:r w:rsidRPr="00B36BDF">
              <w:t>)</w:t>
            </w:r>
          </w:p>
          <w:p w14:paraId="0FAD7331" w14:textId="77777777" w:rsidR="00B95B34" w:rsidRDefault="00C929E0" w:rsidP="00C929E0">
            <w:r w:rsidRPr="00B36BDF">
              <w:t>)</w:t>
            </w:r>
          </w:p>
          <w:p w14:paraId="0FAD7332" w14:textId="77777777" w:rsidR="002352F3" w:rsidRDefault="002352F3" w:rsidP="00C929E0">
            <w:r>
              <w:t>)</w:t>
            </w:r>
          </w:p>
          <w:p w14:paraId="0FAD7333" w14:textId="77777777" w:rsidR="002352F3" w:rsidRDefault="002352F3" w:rsidP="00C929E0">
            <w:r>
              <w:t>)</w:t>
            </w:r>
          </w:p>
          <w:p w14:paraId="0FAD7334" w14:textId="77777777" w:rsidR="00980AF7" w:rsidRPr="00B36BDF" w:rsidRDefault="00980AF7" w:rsidP="00C929E0">
            <w:r>
              <w:t>)</w:t>
            </w:r>
          </w:p>
        </w:tc>
        <w:tc>
          <w:tcPr>
            <w:tcW w:w="3888" w:type="dxa"/>
          </w:tcPr>
          <w:p w14:paraId="0FAD7335" w14:textId="6476827F" w:rsidR="00C929E0" w:rsidRPr="00B36BDF" w:rsidRDefault="00C929E0" w:rsidP="00C929E0">
            <w:r w:rsidRPr="00B36BDF">
              <w:t xml:space="preserve">DOCKET </w:t>
            </w:r>
            <w:r w:rsidRPr="00B36BDF">
              <w:rPr>
                <w:bCs/>
              </w:rPr>
              <w:t>UE-1</w:t>
            </w:r>
            <w:r w:rsidR="00B36BDF" w:rsidRPr="00B36BDF">
              <w:rPr>
                <w:bCs/>
              </w:rPr>
              <w:t>52</w:t>
            </w:r>
            <w:r w:rsidR="006913E8">
              <w:rPr>
                <w:bCs/>
              </w:rPr>
              <w:t>076</w:t>
            </w:r>
          </w:p>
          <w:p w14:paraId="0FAD7336" w14:textId="77777777" w:rsidR="00C929E0" w:rsidRPr="00B36BDF" w:rsidRDefault="00C929E0" w:rsidP="00C929E0"/>
          <w:p w14:paraId="0FAD7337" w14:textId="77777777" w:rsidR="00C929E0" w:rsidRPr="00B36BDF" w:rsidRDefault="00C929E0" w:rsidP="00C929E0">
            <w:r w:rsidRPr="00B36BDF">
              <w:t>ORDER 0</w:t>
            </w:r>
            <w:r w:rsidRPr="00B36BDF">
              <w:rPr>
                <w:bCs/>
              </w:rPr>
              <w:t>1</w:t>
            </w:r>
          </w:p>
          <w:p w14:paraId="0FAD7338" w14:textId="77777777" w:rsidR="00C929E0" w:rsidRPr="00B36BDF" w:rsidRDefault="00C929E0" w:rsidP="00C929E0"/>
          <w:p w14:paraId="0FAD7339" w14:textId="77777777" w:rsidR="00C929E0" w:rsidRPr="00B36BDF" w:rsidRDefault="00C929E0" w:rsidP="00C929E0">
            <w:r w:rsidRPr="00B36BDF">
              <w:t xml:space="preserve">ORDER APPROVING </w:t>
            </w:r>
            <w:r w:rsidR="008B1309">
              <w:t>AVISTA CORPORATION</w:t>
            </w:r>
            <w:r w:rsidRPr="00B36BDF">
              <w:t>’S 201</w:t>
            </w:r>
            <w:r w:rsidR="00352140">
              <w:t>6</w:t>
            </w:r>
            <w:r w:rsidRPr="00B36BDF">
              <w:t>-202</w:t>
            </w:r>
            <w:r w:rsidR="00352140">
              <w:t xml:space="preserve">5 </w:t>
            </w:r>
            <w:r w:rsidRPr="00B36BDF">
              <w:t>ACHIEVABLE CONSERVATION POTEN</w:t>
            </w:r>
            <w:r w:rsidR="00C13AA5" w:rsidRPr="00B36BDF">
              <w:t>T</w:t>
            </w:r>
            <w:r w:rsidRPr="00B36BDF">
              <w:t>IAL AND ITS 201</w:t>
            </w:r>
            <w:r w:rsidR="00352140">
              <w:t>6</w:t>
            </w:r>
            <w:r w:rsidRPr="00B36BDF">
              <w:t>-201</w:t>
            </w:r>
            <w:r w:rsidR="00352140">
              <w:t>7</w:t>
            </w:r>
            <w:r w:rsidRPr="00B36BDF">
              <w:t xml:space="preserve"> BIENNIAL CONSERVATION TARGET SUBJECT TO CONDITIONS</w:t>
            </w:r>
          </w:p>
          <w:p w14:paraId="0FAD733A" w14:textId="77777777" w:rsidR="00C929E0" w:rsidRPr="00B36BDF" w:rsidRDefault="00C929E0" w:rsidP="00C929E0"/>
          <w:p w14:paraId="0FAD733B" w14:textId="77777777" w:rsidR="00C929E0" w:rsidRPr="00B36BDF" w:rsidRDefault="008B1309" w:rsidP="00C929E0">
            <w:pPr>
              <w:pStyle w:val="Header"/>
              <w:tabs>
                <w:tab w:val="clear" w:pos="4320"/>
                <w:tab w:val="clear" w:pos="8640"/>
              </w:tabs>
              <w:rPr>
                <w:lang w:val="en-US" w:eastAsia="en-US"/>
              </w:rPr>
            </w:pPr>
            <w:r>
              <w:rPr>
                <w:lang w:val="en-US" w:eastAsia="en-US"/>
              </w:rPr>
              <w:br/>
            </w:r>
          </w:p>
        </w:tc>
      </w:tr>
    </w:tbl>
    <w:p w14:paraId="14EE36C6" w14:textId="77777777" w:rsidR="000163B1" w:rsidRDefault="000163B1" w:rsidP="00C97714">
      <w:pPr>
        <w:spacing w:after="240" w:line="288" w:lineRule="auto"/>
        <w:jc w:val="center"/>
        <w:rPr>
          <w:b/>
        </w:rPr>
      </w:pPr>
    </w:p>
    <w:p w14:paraId="0FAD733D" w14:textId="77777777" w:rsidR="00C97714" w:rsidRPr="00726F75" w:rsidRDefault="00C97714" w:rsidP="00C97714">
      <w:pPr>
        <w:spacing w:after="240" w:line="288" w:lineRule="auto"/>
        <w:jc w:val="center"/>
        <w:rPr>
          <w:b/>
        </w:rPr>
      </w:pPr>
      <w:r w:rsidRPr="00726F75">
        <w:rPr>
          <w:b/>
        </w:rPr>
        <w:t>BACKGROUND</w:t>
      </w:r>
    </w:p>
    <w:p w14:paraId="0FAD733E" w14:textId="77777777" w:rsidR="00AB4CD3" w:rsidRPr="00726F75" w:rsidRDefault="00844847" w:rsidP="0036376B">
      <w:pPr>
        <w:numPr>
          <w:ilvl w:val="0"/>
          <w:numId w:val="1"/>
        </w:numPr>
        <w:tabs>
          <w:tab w:val="clear" w:pos="720"/>
          <w:tab w:val="left" w:pos="0"/>
        </w:tabs>
        <w:spacing w:after="240" w:line="288" w:lineRule="auto"/>
        <w:ind w:left="0"/>
      </w:pPr>
      <w:r w:rsidRPr="00726F75">
        <w:t>Electric utilities with 25,000 or more customers are required under t</w:t>
      </w:r>
      <w:r w:rsidR="00AB4CD3" w:rsidRPr="00726F75">
        <w:t>he Energy Independence Act</w:t>
      </w:r>
      <w:r w:rsidRPr="00726F75">
        <w:t xml:space="preserve"> (EIA</w:t>
      </w:r>
      <w:r w:rsidR="00EF31C8" w:rsidRPr="00726F75">
        <w:t xml:space="preserve"> or Act</w:t>
      </w:r>
      <w:r w:rsidRPr="00726F75">
        <w:t xml:space="preserve">) </w:t>
      </w:r>
      <w:r w:rsidR="00AB4CD3" w:rsidRPr="00726F75">
        <w:t>to set and meet energy conservation targets</w:t>
      </w:r>
      <w:r w:rsidR="00B315B4">
        <w:t xml:space="preserve"> every two years</w:t>
      </w:r>
      <w:r w:rsidR="00AB4CD3" w:rsidRPr="00726F75">
        <w:t>.</w:t>
      </w:r>
      <w:r w:rsidRPr="00726F75">
        <w:rPr>
          <w:rStyle w:val="FootnoteReference"/>
        </w:rPr>
        <w:footnoteReference w:id="2"/>
      </w:r>
      <w:r w:rsidR="00AB4CD3" w:rsidRPr="00726F75">
        <w:t xml:space="preserve"> </w:t>
      </w:r>
      <w:r w:rsidR="00744E7F" w:rsidRPr="00726F75">
        <w:t xml:space="preserve">The Washington Utilities and Transportation </w:t>
      </w:r>
      <w:r w:rsidRPr="00726F75">
        <w:t xml:space="preserve">Commission </w:t>
      </w:r>
      <w:r w:rsidR="00744E7F" w:rsidRPr="00726F75">
        <w:t xml:space="preserve">(Commission) promulgated </w:t>
      </w:r>
      <w:r w:rsidRPr="00726F75">
        <w:t>rules implementing the EIA</w:t>
      </w:r>
      <w:r w:rsidR="00744E7F" w:rsidRPr="00726F75">
        <w:t>. These rules</w:t>
      </w:r>
      <w:r w:rsidRPr="00726F75">
        <w:t xml:space="preserve"> </w:t>
      </w:r>
      <w:r w:rsidR="00A37555" w:rsidRPr="00726F75">
        <w:t xml:space="preserve">further </w:t>
      </w:r>
      <w:r w:rsidRPr="00726F75">
        <w:t xml:space="preserve">require </w:t>
      </w:r>
      <w:r w:rsidR="00AB4CD3" w:rsidRPr="00726F75">
        <w:t>that</w:t>
      </w:r>
      <w:r w:rsidR="00B315B4">
        <w:t xml:space="preserve"> </w:t>
      </w:r>
      <w:r w:rsidR="00AB4CD3" w:rsidRPr="00726F75">
        <w:t>each utilit</w:t>
      </w:r>
      <w:r w:rsidR="00B315B4">
        <w:t>y must file a report with the C</w:t>
      </w:r>
      <w:r w:rsidR="00AB4CD3" w:rsidRPr="00726F75">
        <w:t>ommission identifying its ten-year achievable conservation potential and its biennial conservation target</w:t>
      </w:r>
      <w:r w:rsidR="00B315B4">
        <w:t xml:space="preserve"> every two years</w:t>
      </w:r>
      <w:r w:rsidR="00AB4CD3" w:rsidRPr="00726F75">
        <w:t>.</w:t>
      </w:r>
      <w:r w:rsidRPr="00726F75">
        <w:rPr>
          <w:rStyle w:val="FootnoteReference"/>
        </w:rPr>
        <w:footnoteReference w:id="3"/>
      </w:r>
      <w:r w:rsidR="00AB4CD3" w:rsidRPr="00726F75">
        <w:t xml:space="preserve"> </w:t>
      </w:r>
    </w:p>
    <w:p w14:paraId="0FAD733F" w14:textId="77777777" w:rsidR="00FD5EDE" w:rsidRDefault="00AB4CD3" w:rsidP="0036376B">
      <w:pPr>
        <w:numPr>
          <w:ilvl w:val="0"/>
          <w:numId w:val="1"/>
        </w:numPr>
        <w:tabs>
          <w:tab w:val="clear" w:pos="720"/>
          <w:tab w:val="left" w:pos="0"/>
        </w:tabs>
        <w:spacing w:after="240" w:line="288" w:lineRule="auto"/>
        <w:ind w:left="0"/>
      </w:pPr>
      <w:r w:rsidRPr="00B36BDF">
        <w:t xml:space="preserve">On </w:t>
      </w:r>
      <w:r w:rsidR="00B36BDF" w:rsidRPr="00B36BDF">
        <w:t xml:space="preserve">October </w:t>
      </w:r>
      <w:r w:rsidR="006913E8">
        <w:t>30</w:t>
      </w:r>
      <w:r w:rsidRPr="00B36BDF">
        <w:t>, 201</w:t>
      </w:r>
      <w:r w:rsidR="00B36BDF" w:rsidRPr="00B36BDF">
        <w:t>5</w:t>
      </w:r>
      <w:r w:rsidRPr="00B36BDF">
        <w:t xml:space="preserve">, </w:t>
      </w:r>
      <w:r w:rsidR="006913E8">
        <w:t>Avista Corporation</w:t>
      </w:r>
      <w:r w:rsidRPr="00B36BDF">
        <w:t xml:space="preserve"> </w:t>
      </w:r>
      <w:r w:rsidR="006913E8">
        <w:t>(Avista</w:t>
      </w:r>
      <w:r w:rsidR="00B315B4">
        <w:t xml:space="preserve"> or Company) </w:t>
      </w:r>
      <w:r w:rsidRPr="00B36BDF">
        <w:t>fil</w:t>
      </w:r>
      <w:r w:rsidR="00A37555" w:rsidRPr="00B36BDF">
        <w:t>ed</w:t>
      </w:r>
      <w:r w:rsidRPr="00B36BDF">
        <w:t xml:space="preserve"> </w:t>
      </w:r>
      <w:r w:rsidR="00A37555" w:rsidRPr="00B36BDF">
        <w:t>its B</w:t>
      </w:r>
      <w:r w:rsidR="00744E7F" w:rsidRPr="00B36BDF">
        <w:t xml:space="preserve">iennial </w:t>
      </w:r>
      <w:r w:rsidR="00A37555" w:rsidRPr="00B36BDF">
        <w:t>C</w:t>
      </w:r>
      <w:r w:rsidR="00744E7F" w:rsidRPr="00B36BDF">
        <w:t xml:space="preserve">onservation </w:t>
      </w:r>
      <w:r w:rsidR="00A37555" w:rsidRPr="00B36BDF">
        <w:t>P</w:t>
      </w:r>
      <w:r w:rsidR="00744E7F" w:rsidRPr="00B36BDF">
        <w:t>lan (BCP)</w:t>
      </w:r>
      <w:r w:rsidRPr="00B36BDF">
        <w:t xml:space="preserve"> identifying </w:t>
      </w:r>
      <w:r w:rsidR="00744E7F" w:rsidRPr="00B36BDF">
        <w:t>a</w:t>
      </w:r>
      <w:r w:rsidRPr="00B36BDF">
        <w:t xml:space="preserve"> </w:t>
      </w:r>
      <w:r w:rsidRPr="00352140">
        <w:t>201</w:t>
      </w:r>
      <w:r w:rsidR="00B36BDF" w:rsidRPr="00352140">
        <w:t>6</w:t>
      </w:r>
      <w:r w:rsidRPr="00352140">
        <w:t>-202</w:t>
      </w:r>
      <w:r w:rsidR="00B36BDF" w:rsidRPr="00352140">
        <w:t>5</w:t>
      </w:r>
      <w:r w:rsidR="00744E7F" w:rsidRPr="00B36BDF">
        <w:t xml:space="preserve"> ten-year achievable conservation </w:t>
      </w:r>
      <w:r w:rsidR="00744E7F" w:rsidRPr="00B36BDF">
        <w:lastRenderedPageBreak/>
        <w:t>p</w:t>
      </w:r>
      <w:r w:rsidRPr="00B36BDF">
        <w:t xml:space="preserve">otential </w:t>
      </w:r>
      <w:r w:rsidR="00744E7F" w:rsidRPr="00B36BDF">
        <w:t xml:space="preserve">of </w:t>
      </w:r>
      <w:r w:rsidR="006913E8">
        <w:t>391,000</w:t>
      </w:r>
      <w:r w:rsidR="002352F3">
        <w:t xml:space="preserve"> </w:t>
      </w:r>
      <w:r w:rsidR="00744E7F" w:rsidRPr="00B36BDF">
        <w:t xml:space="preserve">megawatt-hours (MWh) </w:t>
      </w:r>
      <w:r w:rsidRPr="00B36BDF">
        <w:t xml:space="preserve">and </w:t>
      </w:r>
      <w:r w:rsidR="00744E7F" w:rsidRPr="00B36BDF">
        <w:t>a</w:t>
      </w:r>
      <w:r w:rsidRPr="00B36BDF">
        <w:t xml:space="preserve"> 201</w:t>
      </w:r>
      <w:r w:rsidR="00B36BDF" w:rsidRPr="00B36BDF">
        <w:t>6</w:t>
      </w:r>
      <w:r w:rsidRPr="00B36BDF">
        <w:t>-201</w:t>
      </w:r>
      <w:r w:rsidR="00B36BDF" w:rsidRPr="00B36BDF">
        <w:t>7</w:t>
      </w:r>
      <w:r w:rsidR="00744E7F" w:rsidRPr="00B36BDF">
        <w:t xml:space="preserve"> biennial c</w:t>
      </w:r>
      <w:r w:rsidRPr="00B36BDF">
        <w:t xml:space="preserve">onservation </w:t>
      </w:r>
      <w:r w:rsidR="00744E7F" w:rsidRPr="00B36BDF">
        <w:t>t</w:t>
      </w:r>
      <w:r w:rsidRPr="00B36BDF">
        <w:t>arget</w:t>
      </w:r>
      <w:r w:rsidR="00744E7F" w:rsidRPr="00B36BDF">
        <w:t xml:space="preserve"> of </w:t>
      </w:r>
      <w:r w:rsidR="006913E8">
        <w:t>72,461</w:t>
      </w:r>
      <w:r w:rsidR="002352F3" w:rsidRPr="00CD74CC">
        <w:t xml:space="preserve"> </w:t>
      </w:r>
      <w:r w:rsidR="00744E7F" w:rsidRPr="00B36BDF">
        <w:t>MWh</w:t>
      </w:r>
      <w:r w:rsidRPr="00B36BDF">
        <w:t>.</w:t>
      </w:r>
      <w:r w:rsidR="00FD5EDE">
        <w:t xml:space="preserve"> </w:t>
      </w:r>
    </w:p>
    <w:p w14:paraId="0FAD7340" w14:textId="210F8D8E" w:rsidR="002352F3" w:rsidRDefault="006913E8" w:rsidP="0036376B">
      <w:pPr>
        <w:numPr>
          <w:ilvl w:val="0"/>
          <w:numId w:val="1"/>
        </w:numPr>
        <w:tabs>
          <w:tab w:val="clear" w:pos="720"/>
          <w:tab w:val="left" w:pos="0"/>
        </w:tabs>
        <w:spacing w:after="240" w:line="288" w:lineRule="auto"/>
        <w:ind w:left="0"/>
      </w:pPr>
      <w:r>
        <w:t xml:space="preserve">On January 5, 2016, Avista filed a revised BCP addressing Commission </w:t>
      </w:r>
      <w:r w:rsidR="0036376B">
        <w:t>S</w:t>
      </w:r>
      <w:r>
        <w:t xml:space="preserve">taff’s (Staff) and Public Counsel’s concerns with the level of Northwest Energy Efficiency Alliance (NEEA) and Opower’s Home Energy Reports savings included in the </w:t>
      </w:r>
      <w:r w:rsidR="00EE1732">
        <w:t>C</w:t>
      </w:r>
      <w:r>
        <w:t>ompany’s biennial target.</w:t>
      </w:r>
    </w:p>
    <w:p w14:paraId="0FAD7341" w14:textId="6CB63B7A" w:rsidR="00D14D06" w:rsidRDefault="00B70F89" w:rsidP="0036376B">
      <w:pPr>
        <w:numPr>
          <w:ilvl w:val="0"/>
          <w:numId w:val="1"/>
        </w:numPr>
        <w:tabs>
          <w:tab w:val="clear" w:pos="720"/>
          <w:tab w:val="left" w:pos="0"/>
        </w:tabs>
        <w:spacing w:after="240" w:line="276" w:lineRule="auto"/>
        <w:ind w:left="0"/>
      </w:pPr>
      <w:r>
        <w:rPr>
          <w:b/>
        </w:rPr>
        <w:t xml:space="preserve">Biennial Conservation Plan. </w:t>
      </w:r>
      <w:r w:rsidR="008442B7">
        <w:t>In its revised BCP, Avista identified a 2016-2025 achievable conservation potential of 383,063 MWh and a 2016-2017 two-year achievable conservation potential of 60,212 MWh. Pursuant to WAC 480-109-100(3)(b), Avista’s biennial conservation target must be no lower than a pro rata share of the utility’s ten-year conservation potential,</w:t>
      </w:r>
      <w:r w:rsidR="008442B7">
        <w:rPr>
          <w:rStyle w:val="FootnoteReference"/>
        </w:rPr>
        <w:footnoteReference w:id="4"/>
      </w:r>
      <w:r w:rsidR="008442B7">
        <w:t xml:space="preserve"> </w:t>
      </w:r>
      <w:r w:rsidR="00EE1732">
        <w:t xml:space="preserve">or </w:t>
      </w:r>
      <w:r w:rsidR="008442B7">
        <w:t>76,613 MWh.</w:t>
      </w:r>
      <w:r w:rsidR="008442B7">
        <w:rPr>
          <w:rStyle w:val="FootnoteReference"/>
        </w:rPr>
        <w:footnoteReference w:id="5"/>
      </w:r>
      <w:r w:rsidR="008442B7">
        <w:t xml:space="preserve"> Consequently, the two-year conservation potential of 60,212 M</w:t>
      </w:r>
      <w:r w:rsidR="00EE1732">
        <w:t>Wh cannot be the basis for the C</w:t>
      </w:r>
      <w:r w:rsidR="008442B7">
        <w:t>ompany’s biennial target. The target should be based on the biennial, pro rata share of 76,613 MWh. A breakdown of Avista’s proposed biennial target is as follows:</w:t>
      </w:r>
    </w:p>
    <w:p w14:paraId="0FAD7342" w14:textId="77777777" w:rsidR="006913E8" w:rsidRPr="00084184" w:rsidRDefault="006913E8" w:rsidP="006913E8">
      <w:pPr>
        <w:spacing w:after="240" w:line="264" w:lineRule="auto"/>
        <w:ind w:right="720"/>
        <w:rPr>
          <w:b/>
        </w:rPr>
      </w:pPr>
      <w:r w:rsidRPr="00084184">
        <w:rPr>
          <w:b/>
        </w:rPr>
        <w:t xml:space="preserve">Table </w:t>
      </w:r>
      <w:r>
        <w:rPr>
          <w:b/>
        </w:rPr>
        <w:t>1. Avista</w:t>
      </w:r>
      <w:r w:rsidRPr="00084184">
        <w:rPr>
          <w:b/>
        </w:rPr>
        <w:t xml:space="preserve">’s </w:t>
      </w:r>
      <w:r>
        <w:rPr>
          <w:b/>
        </w:rPr>
        <w:t>revised 2016-2017</w:t>
      </w:r>
      <w:r w:rsidRPr="00084184">
        <w:rPr>
          <w:b/>
        </w:rPr>
        <w:t xml:space="preserve"> Biennial Conservation Target</w:t>
      </w:r>
      <w:r>
        <w:rPr>
          <w:b/>
        </w:rPr>
        <w:t xml:space="preserve">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5"/>
        <w:gridCol w:w="2430"/>
      </w:tblGrid>
      <w:tr w:rsidR="006913E8" w:rsidRPr="00B36BDF" w14:paraId="0FAD7345" w14:textId="77777777" w:rsidTr="009554A3">
        <w:trPr>
          <w:trHeight w:val="379"/>
        </w:trPr>
        <w:tc>
          <w:tcPr>
            <w:tcW w:w="5605" w:type="dxa"/>
            <w:tcMar>
              <w:top w:w="0" w:type="dxa"/>
              <w:left w:w="108" w:type="dxa"/>
              <w:bottom w:w="0" w:type="dxa"/>
              <w:right w:w="108" w:type="dxa"/>
            </w:tcMar>
            <w:vAlign w:val="bottom"/>
            <w:hideMark/>
          </w:tcPr>
          <w:p w14:paraId="0FAD7343" w14:textId="77777777" w:rsidR="006913E8" w:rsidRPr="009355D6" w:rsidRDefault="006913E8" w:rsidP="006913E8">
            <w:pPr>
              <w:spacing w:line="264" w:lineRule="auto"/>
              <w:ind w:right="720"/>
              <w:rPr>
                <w:b/>
                <w:bCs/>
              </w:rPr>
            </w:pPr>
            <w:r>
              <w:rPr>
                <w:b/>
                <w:bCs/>
              </w:rPr>
              <w:t xml:space="preserve">Savings </w:t>
            </w:r>
            <w:r w:rsidRPr="009355D6">
              <w:rPr>
                <w:b/>
                <w:bCs/>
              </w:rPr>
              <w:t>Category</w:t>
            </w:r>
          </w:p>
        </w:tc>
        <w:tc>
          <w:tcPr>
            <w:tcW w:w="2430" w:type="dxa"/>
            <w:tcMar>
              <w:top w:w="0" w:type="dxa"/>
              <w:left w:w="108" w:type="dxa"/>
              <w:bottom w:w="0" w:type="dxa"/>
              <w:right w:w="108" w:type="dxa"/>
            </w:tcMar>
            <w:hideMark/>
          </w:tcPr>
          <w:p w14:paraId="0FAD7344" w14:textId="77777777" w:rsidR="006913E8" w:rsidRPr="009355D6" w:rsidRDefault="006913E8" w:rsidP="006913E8">
            <w:pPr>
              <w:spacing w:line="264" w:lineRule="auto"/>
              <w:ind w:right="720"/>
              <w:jc w:val="right"/>
              <w:rPr>
                <w:b/>
                <w:bCs/>
              </w:rPr>
            </w:pPr>
            <w:r>
              <w:rPr>
                <w:b/>
                <w:bCs/>
              </w:rPr>
              <w:t>Savings</w:t>
            </w:r>
            <w:r w:rsidRPr="009355D6">
              <w:rPr>
                <w:b/>
                <w:bCs/>
              </w:rPr>
              <w:t xml:space="preserve"> (MWh)</w:t>
            </w:r>
          </w:p>
        </w:tc>
      </w:tr>
      <w:tr w:rsidR="006913E8" w:rsidRPr="00B36BDF" w14:paraId="0FAD7348" w14:textId="77777777" w:rsidTr="009554A3">
        <w:trPr>
          <w:trHeight w:val="269"/>
        </w:trPr>
        <w:tc>
          <w:tcPr>
            <w:tcW w:w="5605" w:type="dxa"/>
            <w:tcMar>
              <w:top w:w="0" w:type="dxa"/>
              <w:left w:w="108" w:type="dxa"/>
              <w:bottom w:w="0" w:type="dxa"/>
              <w:right w:w="108" w:type="dxa"/>
            </w:tcMar>
            <w:hideMark/>
          </w:tcPr>
          <w:p w14:paraId="0FAD7346" w14:textId="77777777" w:rsidR="006913E8" w:rsidRPr="009355D6" w:rsidRDefault="006913E8" w:rsidP="006913E8">
            <w:pPr>
              <w:spacing w:line="264" w:lineRule="auto"/>
              <w:ind w:right="720"/>
            </w:pPr>
            <w:r>
              <w:t xml:space="preserve">Pro Rata Share of CPA </w:t>
            </w:r>
          </w:p>
        </w:tc>
        <w:tc>
          <w:tcPr>
            <w:tcW w:w="2430" w:type="dxa"/>
            <w:tcMar>
              <w:top w:w="0" w:type="dxa"/>
              <w:left w:w="108" w:type="dxa"/>
              <w:bottom w:w="0" w:type="dxa"/>
              <w:right w:w="108" w:type="dxa"/>
            </w:tcMar>
            <w:hideMark/>
          </w:tcPr>
          <w:p w14:paraId="0FAD7347" w14:textId="77777777" w:rsidR="006913E8" w:rsidRPr="009355D6" w:rsidRDefault="006913E8" w:rsidP="006913E8">
            <w:pPr>
              <w:spacing w:line="264" w:lineRule="auto"/>
              <w:ind w:right="720"/>
              <w:jc w:val="right"/>
            </w:pPr>
            <w:r>
              <w:t>76,613</w:t>
            </w:r>
          </w:p>
        </w:tc>
      </w:tr>
      <w:tr w:rsidR="006913E8" w:rsidRPr="00B36BDF" w14:paraId="0FAD734B" w14:textId="77777777" w:rsidTr="009554A3">
        <w:trPr>
          <w:trHeight w:val="314"/>
        </w:trPr>
        <w:tc>
          <w:tcPr>
            <w:tcW w:w="5605" w:type="dxa"/>
            <w:tcMar>
              <w:top w:w="0" w:type="dxa"/>
              <w:left w:w="108" w:type="dxa"/>
              <w:bottom w:w="0" w:type="dxa"/>
              <w:right w:w="108" w:type="dxa"/>
            </w:tcMar>
            <w:hideMark/>
          </w:tcPr>
          <w:p w14:paraId="0FAD7349" w14:textId="77777777" w:rsidR="006913E8" w:rsidRPr="009355D6" w:rsidRDefault="006913E8" w:rsidP="006913E8">
            <w:pPr>
              <w:spacing w:line="264" w:lineRule="auto"/>
              <w:ind w:right="720"/>
            </w:pPr>
            <w:r w:rsidRPr="009355D6">
              <w:t>Less NEEA</w:t>
            </w:r>
          </w:p>
        </w:tc>
        <w:tc>
          <w:tcPr>
            <w:tcW w:w="2430" w:type="dxa"/>
            <w:tcMar>
              <w:top w:w="0" w:type="dxa"/>
              <w:left w:w="108" w:type="dxa"/>
              <w:bottom w:w="0" w:type="dxa"/>
              <w:right w:w="108" w:type="dxa"/>
            </w:tcMar>
            <w:hideMark/>
          </w:tcPr>
          <w:p w14:paraId="0FAD734A" w14:textId="77777777" w:rsidR="006913E8" w:rsidRPr="009355D6" w:rsidRDefault="006913E8" w:rsidP="006913E8">
            <w:pPr>
              <w:spacing w:line="264" w:lineRule="auto"/>
              <w:ind w:right="720"/>
              <w:jc w:val="right"/>
            </w:pPr>
            <w:r w:rsidRPr="009355D6">
              <w:t>(</w:t>
            </w:r>
            <w:r>
              <w:t>6,220</w:t>
            </w:r>
            <w:r w:rsidRPr="009355D6">
              <w:t>)</w:t>
            </w:r>
          </w:p>
        </w:tc>
      </w:tr>
      <w:tr w:rsidR="006913E8" w:rsidRPr="00B36BDF" w14:paraId="0FAD734E" w14:textId="77777777" w:rsidTr="009554A3">
        <w:trPr>
          <w:trHeight w:val="269"/>
        </w:trPr>
        <w:tc>
          <w:tcPr>
            <w:tcW w:w="5605" w:type="dxa"/>
            <w:tcMar>
              <w:top w:w="0" w:type="dxa"/>
              <w:left w:w="108" w:type="dxa"/>
              <w:bottom w:w="0" w:type="dxa"/>
              <w:right w:w="108" w:type="dxa"/>
            </w:tcMar>
            <w:hideMark/>
          </w:tcPr>
          <w:p w14:paraId="0FAD734C" w14:textId="77777777" w:rsidR="006913E8" w:rsidRPr="00125C1B" w:rsidRDefault="006913E8" w:rsidP="006913E8">
            <w:pPr>
              <w:spacing w:line="264" w:lineRule="auto"/>
              <w:ind w:right="720"/>
            </w:pPr>
            <w:r>
              <w:t xml:space="preserve">End-Use </w:t>
            </w:r>
            <w:r w:rsidRPr="00125C1B">
              <w:t xml:space="preserve">Efficiency </w:t>
            </w:r>
            <w:r>
              <w:t xml:space="preserve">Measures </w:t>
            </w:r>
            <w:r w:rsidRPr="00125C1B">
              <w:t>Subtotal</w:t>
            </w:r>
          </w:p>
        </w:tc>
        <w:tc>
          <w:tcPr>
            <w:tcW w:w="2430" w:type="dxa"/>
            <w:tcMar>
              <w:top w:w="0" w:type="dxa"/>
              <w:left w:w="108" w:type="dxa"/>
              <w:bottom w:w="0" w:type="dxa"/>
              <w:right w:w="108" w:type="dxa"/>
            </w:tcMar>
            <w:hideMark/>
          </w:tcPr>
          <w:p w14:paraId="0FAD734D" w14:textId="77777777" w:rsidR="006913E8" w:rsidRPr="00125C1B" w:rsidRDefault="006913E8" w:rsidP="006913E8">
            <w:pPr>
              <w:spacing w:line="264" w:lineRule="auto"/>
              <w:ind w:right="720"/>
              <w:jc w:val="right"/>
            </w:pPr>
            <w:r>
              <w:t>70,123</w:t>
            </w:r>
          </w:p>
        </w:tc>
      </w:tr>
      <w:tr w:rsidR="006913E8" w:rsidRPr="00B36BDF" w14:paraId="0FAD7351" w14:textId="77777777" w:rsidTr="009554A3">
        <w:trPr>
          <w:trHeight w:val="305"/>
        </w:trPr>
        <w:tc>
          <w:tcPr>
            <w:tcW w:w="5605" w:type="dxa"/>
            <w:tcMar>
              <w:top w:w="0" w:type="dxa"/>
              <w:left w:w="108" w:type="dxa"/>
              <w:bottom w:w="0" w:type="dxa"/>
              <w:right w:w="108" w:type="dxa"/>
            </w:tcMar>
            <w:hideMark/>
          </w:tcPr>
          <w:p w14:paraId="0FAD734F" w14:textId="77777777" w:rsidR="006913E8" w:rsidRPr="00125C1B" w:rsidRDefault="006913E8" w:rsidP="006913E8">
            <w:pPr>
              <w:spacing w:line="264" w:lineRule="auto"/>
              <w:ind w:right="720"/>
            </w:pPr>
            <w:r>
              <w:t>Plus Distribution Efficiency</w:t>
            </w:r>
          </w:p>
        </w:tc>
        <w:tc>
          <w:tcPr>
            <w:tcW w:w="2430" w:type="dxa"/>
            <w:tcMar>
              <w:top w:w="0" w:type="dxa"/>
              <w:left w:w="108" w:type="dxa"/>
              <w:bottom w:w="0" w:type="dxa"/>
              <w:right w:w="108" w:type="dxa"/>
            </w:tcMar>
            <w:hideMark/>
          </w:tcPr>
          <w:p w14:paraId="0FAD7350" w14:textId="77777777" w:rsidR="006913E8" w:rsidRDefault="006913E8" w:rsidP="006913E8">
            <w:pPr>
              <w:spacing w:line="264" w:lineRule="auto"/>
              <w:ind w:right="720"/>
              <w:jc w:val="right"/>
            </w:pPr>
            <w:r>
              <w:t>2,082</w:t>
            </w:r>
          </w:p>
        </w:tc>
      </w:tr>
      <w:tr w:rsidR="006913E8" w:rsidRPr="00B36BDF" w14:paraId="0FAD7354" w14:textId="77777777" w:rsidTr="009554A3">
        <w:trPr>
          <w:trHeight w:val="305"/>
        </w:trPr>
        <w:tc>
          <w:tcPr>
            <w:tcW w:w="5605" w:type="dxa"/>
            <w:tcMar>
              <w:top w:w="0" w:type="dxa"/>
              <w:left w:w="108" w:type="dxa"/>
              <w:bottom w:w="0" w:type="dxa"/>
              <w:right w:w="108" w:type="dxa"/>
            </w:tcMar>
          </w:tcPr>
          <w:p w14:paraId="0FAD7352" w14:textId="77777777" w:rsidR="006913E8" w:rsidRPr="00125C1B" w:rsidRDefault="006913E8" w:rsidP="006913E8">
            <w:pPr>
              <w:spacing w:line="264" w:lineRule="auto"/>
              <w:ind w:right="720"/>
            </w:pPr>
            <w:r w:rsidRPr="00125C1B">
              <w:t xml:space="preserve">Plus </w:t>
            </w:r>
            <w:r>
              <w:t>Generation Efficiency</w:t>
            </w:r>
          </w:p>
        </w:tc>
        <w:tc>
          <w:tcPr>
            <w:tcW w:w="2430" w:type="dxa"/>
            <w:tcMar>
              <w:top w:w="0" w:type="dxa"/>
              <w:left w:w="108" w:type="dxa"/>
              <w:bottom w:w="0" w:type="dxa"/>
              <w:right w:w="108" w:type="dxa"/>
            </w:tcMar>
          </w:tcPr>
          <w:p w14:paraId="0FAD7353" w14:textId="77777777" w:rsidR="006913E8" w:rsidRPr="009355D6" w:rsidRDefault="006913E8" w:rsidP="006913E8">
            <w:pPr>
              <w:spacing w:line="264" w:lineRule="auto"/>
              <w:ind w:right="720"/>
              <w:jc w:val="right"/>
            </w:pPr>
            <w:r>
              <w:t>151</w:t>
            </w:r>
          </w:p>
        </w:tc>
      </w:tr>
      <w:tr w:rsidR="006913E8" w:rsidRPr="00B36BDF" w14:paraId="0FAD7357" w14:textId="77777777" w:rsidTr="009554A3">
        <w:trPr>
          <w:trHeight w:val="99"/>
        </w:trPr>
        <w:tc>
          <w:tcPr>
            <w:tcW w:w="5605" w:type="dxa"/>
            <w:tcMar>
              <w:top w:w="0" w:type="dxa"/>
              <w:left w:w="108" w:type="dxa"/>
              <w:bottom w:w="0" w:type="dxa"/>
              <w:right w:w="108" w:type="dxa"/>
            </w:tcMar>
            <w:hideMark/>
          </w:tcPr>
          <w:p w14:paraId="0FAD7355" w14:textId="77777777" w:rsidR="006913E8" w:rsidRPr="009355D6" w:rsidRDefault="006913E8" w:rsidP="008442B7">
            <w:pPr>
              <w:spacing w:line="264" w:lineRule="auto"/>
              <w:ind w:right="720"/>
              <w:rPr>
                <w:b/>
                <w:bCs/>
              </w:rPr>
            </w:pPr>
            <w:r>
              <w:rPr>
                <w:b/>
                <w:bCs/>
              </w:rPr>
              <w:t>Avista Proposed</w:t>
            </w:r>
            <w:r w:rsidRPr="009355D6">
              <w:rPr>
                <w:b/>
                <w:bCs/>
              </w:rPr>
              <w:t xml:space="preserve"> </w:t>
            </w:r>
            <w:r>
              <w:rPr>
                <w:b/>
                <w:bCs/>
              </w:rPr>
              <w:t>Biennial Conservation</w:t>
            </w:r>
            <w:r w:rsidRPr="009355D6">
              <w:rPr>
                <w:b/>
                <w:bCs/>
              </w:rPr>
              <w:t xml:space="preserve"> Target</w:t>
            </w:r>
            <w:r w:rsidR="008442B7">
              <w:rPr>
                <w:b/>
                <w:bCs/>
              </w:rPr>
              <w:t xml:space="preserve"> (Subject to Penalties)</w:t>
            </w:r>
          </w:p>
        </w:tc>
        <w:tc>
          <w:tcPr>
            <w:tcW w:w="2430" w:type="dxa"/>
            <w:tcMar>
              <w:top w:w="0" w:type="dxa"/>
              <w:left w:w="108" w:type="dxa"/>
              <w:bottom w:w="0" w:type="dxa"/>
              <w:right w:w="108" w:type="dxa"/>
            </w:tcMar>
            <w:hideMark/>
          </w:tcPr>
          <w:p w14:paraId="0FAD7356" w14:textId="77777777" w:rsidR="006913E8" w:rsidRPr="009355D6" w:rsidRDefault="006913E8" w:rsidP="006913E8">
            <w:pPr>
              <w:spacing w:line="264" w:lineRule="auto"/>
              <w:ind w:right="720"/>
              <w:jc w:val="right"/>
              <w:rPr>
                <w:b/>
                <w:bCs/>
              </w:rPr>
            </w:pPr>
            <w:r>
              <w:rPr>
                <w:b/>
                <w:bCs/>
              </w:rPr>
              <w:t>72,626</w:t>
            </w:r>
          </w:p>
        </w:tc>
      </w:tr>
      <w:tr w:rsidR="006913E8" w:rsidRPr="00B36BDF" w14:paraId="0FAD735A" w14:textId="77777777" w:rsidTr="009554A3">
        <w:trPr>
          <w:trHeight w:val="99"/>
        </w:trPr>
        <w:tc>
          <w:tcPr>
            <w:tcW w:w="5605" w:type="dxa"/>
            <w:tcMar>
              <w:top w:w="0" w:type="dxa"/>
              <w:left w:w="108" w:type="dxa"/>
              <w:bottom w:w="0" w:type="dxa"/>
              <w:right w:w="108" w:type="dxa"/>
            </w:tcMar>
          </w:tcPr>
          <w:p w14:paraId="0FAD7358" w14:textId="77777777" w:rsidR="006913E8" w:rsidRPr="008C5EE8" w:rsidRDefault="006913E8" w:rsidP="006913E8">
            <w:pPr>
              <w:spacing w:line="264" w:lineRule="auto"/>
              <w:ind w:right="720"/>
              <w:rPr>
                <w:bCs/>
              </w:rPr>
            </w:pPr>
            <w:r>
              <w:rPr>
                <w:bCs/>
              </w:rPr>
              <w:t>Plus NEEA Projection</w:t>
            </w:r>
          </w:p>
        </w:tc>
        <w:tc>
          <w:tcPr>
            <w:tcW w:w="2430" w:type="dxa"/>
            <w:tcMar>
              <w:top w:w="0" w:type="dxa"/>
              <w:left w:w="108" w:type="dxa"/>
              <w:bottom w:w="0" w:type="dxa"/>
              <w:right w:w="108" w:type="dxa"/>
            </w:tcMar>
          </w:tcPr>
          <w:p w14:paraId="0FAD7359" w14:textId="77777777" w:rsidR="006913E8" w:rsidRPr="006232F5" w:rsidRDefault="006913E8" w:rsidP="006913E8">
            <w:pPr>
              <w:spacing w:line="264" w:lineRule="auto"/>
              <w:ind w:right="720"/>
              <w:jc w:val="right"/>
              <w:rPr>
                <w:bCs/>
              </w:rPr>
            </w:pPr>
            <w:r w:rsidRPr="006232F5">
              <w:rPr>
                <w:bCs/>
              </w:rPr>
              <w:t>6,220</w:t>
            </w:r>
          </w:p>
        </w:tc>
      </w:tr>
      <w:tr w:rsidR="006913E8" w:rsidRPr="00B36BDF" w14:paraId="0FAD735D" w14:textId="77777777" w:rsidTr="009554A3">
        <w:trPr>
          <w:trHeight w:val="99"/>
        </w:trPr>
        <w:tc>
          <w:tcPr>
            <w:tcW w:w="5605" w:type="dxa"/>
            <w:tcMar>
              <w:top w:w="0" w:type="dxa"/>
              <w:left w:w="108" w:type="dxa"/>
              <w:bottom w:w="0" w:type="dxa"/>
              <w:right w:w="108" w:type="dxa"/>
            </w:tcMar>
          </w:tcPr>
          <w:p w14:paraId="0FAD735B" w14:textId="77777777" w:rsidR="006913E8" w:rsidRDefault="006913E8" w:rsidP="006913E8">
            <w:pPr>
              <w:spacing w:line="264" w:lineRule="auto"/>
              <w:ind w:right="720"/>
              <w:rPr>
                <w:b/>
                <w:bCs/>
              </w:rPr>
            </w:pPr>
            <w:r>
              <w:rPr>
                <w:b/>
                <w:bCs/>
              </w:rPr>
              <w:t>Total EIA Commitment</w:t>
            </w:r>
          </w:p>
        </w:tc>
        <w:tc>
          <w:tcPr>
            <w:tcW w:w="2430" w:type="dxa"/>
            <w:tcMar>
              <w:top w:w="0" w:type="dxa"/>
              <w:left w:w="108" w:type="dxa"/>
              <w:bottom w:w="0" w:type="dxa"/>
              <w:right w:w="108" w:type="dxa"/>
            </w:tcMar>
          </w:tcPr>
          <w:p w14:paraId="0FAD735C" w14:textId="77777777" w:rsidR="006913E8" w:rsidRDefault="006913E8" w:rsidP="006913E8">
            <w:pPr>
              <w:spacing w:line="264" w:lineRule="auto"/>
              <w:ind w:right="720"/>
              <w:jc w:val="right"/>
              <w:rPr>
                <w:b/>
                <w:bCs/>
              </w:rPr>
            </w:pPr>
            <w:r>
              <w:rPr>
                <w:b/>
                <w:bCs/>
              </w:rPr>
              <w:t>78,846</w:t>
            </w:r>
          </w:p>
        </w:tc>
      </w:tr>
      <w:tr w:rsidR="006913E8" w:rsidRPr="00B36BDF" w14:paraId="0FAD7360" w14:textId="77777777" w:rsidTr="009554A3">
        <w:trPr>
          <w:trHeight w:val="99"/>
        </w:trPr>
        <w:tc>
          <w:tcPr>
            <w:tcW w:w="5605" w:type="dxa"/>
            <w:tcMar>
              <w:top w:w="0" w:type="dxa"/>
              <w:left w:w="108" w:type="dxa"/>
              <w:bottom w:w="0" w:type="dxa"/>
              <w:right w:w="108" w:type="dxa"/>
            </w:tcMar>
          </w:tcPr>
          <w:p w14:paraId="0FAD735E" w14:textId="77777777" w:rsidR="006913E8" w:rsidRPr="006232F5" w:rsidRDefault="006913E8" w:rsidP="006913E8">
            <w:pPr>
              <w:spacing w:line="264" w:lineRule="auto"/>
              <w:ind w:right="720"/>
              <w:rPr>
                <w:bCs/>
              </w:rPr>
            </w:pPr>
            <w:r>
              <w:rPr>
                <w:bCs/>
              </w:rPr>
              <w:t>Plus Decoupling Commitment (5%)</w:t>
            </w:r>
            <w:r>
              <w:rPr>
                <w:rStyle w:val="FootnoteReference"/>
              </w:rPr>
              <w:footnoteReference w:id="6"/>
            </w:r>
          </w:p>
        </w:tc>
        <w:tc>
          <w:tcPr>
            <w:tcW w:w="2430" w:type="dxa"/>
            <w:tcMar>
              <w:top w:w="0" w:type="dxa"/>
              <w:left w:w="108" w:type="dxa"/>
              <w:bottom w:w="0" w:type="dxa"/>
              <w:right w:w="108" w:type="dxa"/>
            </w:tcMar>
          </w:tcPr>
          <w:p w14:paraId="0FAD735F" w14:textId="77777777" w:rsidR="006913E8" w:rsidRPr="00D42CE0" w:rsidRDefault="006913E8" w:rsidP="006913E8">
            <w:pPr>
              <w:spacing w:line="264" w:lineRule="auto"/>
              <w:ind w:right="720"/>
              <w:jc w:val="right"/>
              <w:rPr>
                <w:bCs/>
              </w:rPr>
            </w:pPr>
            <w:r>
              <w:rPr>
                <w:bCs/>
              </w:rPr>
              <w:t>3,631</w:t>
            </w:r>
          </w:p>
        </w:tc>
      </w:tr>
      <w:tr w:rsidR="006913E8" w:rsidRPr="00B36BDF" w14:paraId="0FAD7363" w14:textId="77777777" w:rsidTr="009554A3">
        <w:trPr>
          <w:trHeight w:val="99"/>
        </w:trPr>
        <w:tc>
          <w:tcPr>
            <w:tcW w:w="5605" w:type="dxa"/>
            <w:tcMar>
              <w:top w:w="0" w:type="dxa"/>
              <w:left w:w="108" w:type="dxa"/>
              <w:bottom w:w="0" w:type="dxa"/>
              <w:right w:w="108" w:type="dxa"/>
            </w:tcMar>
          </w:tcPr>
          <w:p w14:paraId="0FAD7361" w14:textId="77777777" w:rsidR="006913E8" w:rsidRDefault="006913E8" w:rsidP="006913E8">
            <w:pPr>
              <w:spacing w:line="264" w:lineRule="auto"/>
              <w:ind w:right="720"/>
              <w:rPr>
                <w:b/>
                <w:bCs/>
              </w:rPr>
            </w:pPr>
            <w:r>
              <w:rPr>
                <w:b/>
                <w:bCs/>
              </w:rPr>
              <w:t>Total Conservation Commitment</w:t>
            </w:r>
          </w:p>
        </w:tc>
        <w:tc>
          <w:tcPr>
            <w:tcW w:w="2430" w:type="dxa"/>
            <w:tcMar>
              <w:top w:w="0" w:type="dxa"/>
              <w:left w:w="108" w:type="dxa"/>
              <w:bottom w:w="0" w:type="dxa"/>
              <w:right w:w="108" w:type="dxa"/>
            </w:tcMar>
          </w:tcPr>
          <w:p w14:paraId="0FAD7362" w14:textId="77777777" w:rsidR="006913E8" w:rsidRDefault="006913E8" w:rsidP="006913E8">
            <w:pPr>
              <w:spacing w:line="264" w:lineRule="auto"/>
              <w:ind w:right="720"/>
              <w:jc w:val="right"/>
              <w:rPr>
                <w:b/>
                <w:bCs/>
              </w:rPr>
            </w:pPr>
            <w:r>
              <w:rPr>
                <w:b/>
                <w:bCs/>
              </w:rPr>
              <w:t>82,477</w:t>
            </w:r>
          </w:p>
        </w:tc>
      </w:tr>
    </w:tbl>
    <w:p w14:paraId="0FAD7365" w14:textId="77777777" w:rsidR="008442B7" w:rsidRPr="008442B7" w:rsidRDefault="008442B7" w:rsidP="0036376B">
      <w:pPr>
        <w:numPr>
          <w:ilvl w:val="0"/>
          <w:numId w:val="1"/>
        </w:numPr>
        <w:tabs>
          <w:tab w:val="clear" w:pos="720"/>
          <w:tab w:val="left" w:pos="0"/>
        </w:tabs>
        <w:spacing w:after="240" w:line="264" w:lineRule="auto"/>
        <w:ind w:left="0"/>
        <w:rPr>
          <w:b/>
        </w:rPr>
      </w:pPr>
      <w:r>
        <w:lastRenderedPageBreak/>
        <w:t>Staff supports Avista’s proposed biennial conservation target of 72,626, subject to penalt</w:t>
      </w:r>
      <w:r w:rsidR="00EE1732">
        <w:t>ies</w:t>
      </w:r>
      <w:r>
        <w:t xml:space="preserve">. After </w:t>
      </w:r>
      <w:r w:rsidR="00EE1732">
        <w:t>including</w:t>
      </w:r>
      <w:r>
        <w:t xml:space="preserve"> Avista’s share of NEEA’s regional savings projections</w:t>
      </w:r>
      <w:r w:rsidR="00EE1732">
        <w:t xml:space="preserve">, </w:t>
      </w:r>
      <w:r>
        <w:t>which are inc</w:t>
      </w:r>
      <w:r w:rsidR="00EE1732">
        <w:t>luded in the ten-year potential</w:t>
      </w:r>
      <w:r>
        <w:t>, Avista commits to achieve 20.5 percent of its ten-year con</w:t>
      </w:r>
      <w:r w:rsidR="00EE1732">
        <w:t>servation potential. Thus, the C</w:t>
      </w:r>
      <w:r>
        <w:t>ompany proposes to exceed the required pro rata share of the ten-year conserv</w:t>
      </w:r>
      <w:r w:rsidR="00EE1732">
        <w:t>ation potential. Including the C</w:t>
      </w:r>
      <w:r>
        <w:t>ompany’s decoupling commitment, Avista commits to achieve 21.5 percent of its ten-year conservation potential. The total conservation commitment of 82,477 MWh represents approximately 0.7 percent of Avista’s projected sales volume over the next biennium.</w:t>
      </w:r>
    </w:p>
    <w:p w14:paraId="0FAD7366" w14:textId="46E9CC8E" w:rsidR="002352F3" w:rsidRPr="00FB7A34" w:rsidRDefault="008442B7" w:rsidP="0036376B">
      <w:pPr>
        <w:numPr>
          <w:ilvl w:val="0"/>
          <w:numId w:val="1"/>
        </w:numPr>
        <w:tabs>
          <w:tab w:val="clear" w:pos="720"/>
          <w:tab w:val="left" w:pos="0"/>
        </w:tabs>
        <w:spacing w:after="240" w:line="264" w:lineRule="auto"/>
        <w:ind w:left="0"/>
        <w:rPr>
          <w:b/>
        </w:rPr>
      </w:pPr>
      <w:r>
        <w:t xml:space="preserve">Avista’s 2016 DSM Business Plan, </w:t>
      </w:r>
      <w:r w:rsidR="00EE1732">
        <w:t>attached</w:t>
      </w:r>
      <w:r>
        <w:t xml:space="preserve"> as Appendix B to the BCP, provides budget details regarding Avista’s plan for achieving the savings identified in its biennial conservation target and total portfolio. The plan includes information regarding both electric and natural gas conservation programs. A summary of Avista’s savings and expenditure expectations is as follows: </w:t>
      </w:r>
      <w:r w:rsidR="002352F3">
        <w:t xml:space="preserve"> </w:t>
      </w:r>
      <w:r w:rsidR="00FB7A34">
        <w:br/>
      </w:r>
      <w:r w:rsidR="00352140">
        <w:br/>
      </w:r>
      <w:r w:rsidR="002352F3" w:rsidRPr="00FB7A34">
        <w:rPr>
          <w:b/>
        </w:rPr>
        <w:t xml:space="preserve">Table 2. </w:t>
      </w:r>
      <w:r w:rsidRPr="00FF511B">
        <w:rPr>
          <w:b/>
        </w:rPr>
        <w:t xml:space="preserve">Comparison of Savings and Budgets from </w:t>
      </w:r>
      <w:r>
        <w:rPr>
          <w:b/>
        </w:rPr>
        <w:t xml:space="preserve">Avista’s </w:t>
      </w:r>
      <w:r w:rsidRPr="006426A1">
        <w:rPr>
          <w:b/>
        </w:rPr>
        <w:t>Electric</w:t>
      </w:r>
      <w:r>
        <w:rPr>
          <w:b/>
        </w:rPr>
        <w:t xml:space="preserve"> 2016-2017</w:t>
      </w:r>
      <w:r w:rsidRPr="00FF511B">
        <w:rPr>
          <w:b/>
        </w:rPr>
        <w:t xml:space="preserve"> and 2014-2015 BCPs.</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1494"/>
        <w:gridCol w:w="1558"/>
        <w:gridCol w:w="1509"/>
        <w:gridCol w:w="1543"/>
      </w:tblGrid>
      <w:tr w:rsidR="008442B7" w:rsidRPr="009355D6" w14:paraId="0FAD736E" w14:textId="77777777" w:rsidTr="004D0016">
        <w:tc>
          <w:tcPr>
            <w:tcW w:w="2383" w:type="dxa"/>
            <w:shd w:val="clear" w:color="auto" w:fill="auto"/>
            <w:vAlign w:val="bottom"/>
          </w:tcPr>
          <w:p w14:paraId="0FAD7367" w14:textId="77777777" w:rsidR="008442B7" w:rsidRPr="009355D6" w:rsidRDefault="008442B7" w:rsidP="00EE1732">
            <w:pPr>
              <w:rPr>
                <w:b/>
              </w:rPr>
            </w:pPr>
            <w:r w:rsidRPr="009355D6">
              <w:rPr>
                <w:b/>
              </w:rPr>
              <w:t>Program</w:t>
            </w:r>
          </w:p>
        </w:tc>
        <w:tc>
          <w:tcPr>
            <w:tcW w:w="1620" w:type="dxa"/>
            <w:shd w:val="clear" w:color="auto" w:fill="auto"/>
            <w:vAlign w:val="bottom"/>
          </w:tcPr>
          <w:p w14:paraId="0FAD7368" w14:textId="77777777" w:rsidR="008442B7" w:rsidRPr="009355D6" w:rsidRDefault="008442B7" w:rsidP="00EE1732">
            <w:pPr>
              <w:jc w:val="center"/>
              <w:rPr>
                <w:b/>
              </w:rPr>
            </w:pPr>
            <w:r>
              <w:rPr>
                <w:b/>
              </w:rPr>
              <w:t>2016-2017</w:t>
            </w:r>
          </w:p>
          <w:p w14:paraId="0FAD7369" w14:textId="77777777" w:rsidR="008442B7" w:rsidRPr="009355D6" w:rsidRDefault="008442B7" w:rsidP="00EE1732">
            <w:pPr>
              <w:jc w:val="center"/>
              <w:rPr>
                <w:b/>
              </w:rPr>
            </w:pPr>
            <w:r w:rsidRPr="009355D6">
              <w:rPr>
                <w:b/>
              </w:rPr>
              <w:t>Projected Savings</w:t>
            </w:r>
            <w:r>
              <w:rPr>
                <w:b/>
              </w:rPr>
              <w:t xml:space="preserve"> (MWh)</w:t>
            </w:r>
          </w:p>
        </w:tc>
        <w:tc>
          <w:tcPr>
            <w:tcW w:w="1620" w:type="dxa"/>
            <w:shd w:val="clear" w:color="auto" w:fill="auto"/>
            <w:vAlign w:val="bottom"/>
          </w:tcPr>
          <w:p w14:paraId="0FAD736A" w14:textId="77777777" w:rsidR="008442B7" w:rsidRPr="009355D6" w:rsidRDefault="008442B7" w:rsidP="00EE1732">
            <w:pPr>
              <w:jc w:val="center"/>
              <w:rPr>
                <w:b/>
              </w:rPr>
            </w:pPr>
            <w:r>
              <w:rPr>
                <w:b/>
              </w:rPr>
              <w:t>2016-2017</w:t>
            </w:r>
            <w:r w:rsidRPr="009355D6">
              <w:rPr>
                <w:b/>
              </w:rPr>
              <w:t xml:space="preserve"> Budget</w:t>
            </w:r>
          </w:p>
        </w:tc>
        <w:tc>
          <w:tcPr>
            <w:tcW w:w="1642" w:type="dxa"/>
            <w:shd w:val="clear" w:color="auto" w:fill="auto"/>
            <w:vAlign w:val="bottom"/>
          </w:tcPr>
          <w:p w14:paraId="0FAD736B" w14:textId="77777777" w:rsidR="008442B7" w:rsidRPr="009355D6" w:rsidRDefault="008442B7" w:rsidP="00EE1732">
            <w:pPr>
              <w:jc w:val="center"/>
              <w:rPr>
                <w:b/>
              </w:rPr>
            </w:pPr>
            <w:r>
              <w:rPr>
                <w:b/>
              </w:rPr>
              <w:t>2014-20</w:t>
            </w:r>
            <w:r w:rsidRPr="009355D6">
              <w:rPr>
                <w:b/>
              </w:rPr>
              <w:t>15</w:t>
            </w:r>
          </w:p>
          <w:p w14:paraId="0FAD736C" w14:textId="77777777" w:rsidR="008442B7" w:rsidRDefault="008442B7" w:rsidP="00EE1732">
            <w:pPr>
              <w:jc w:val="center"/>
              <w:rPr>
                <w:b/>
              </w:rPr>
            </w:pPr>
            <w:r w:rsidRPr="009355D6">
              <w:rPr>
                <w:b/>
              </w:rPr>
              <w:t>Projected Savings</w:t>
            </w:r>
            <w:r>
              <w:rPr>
                <w:b/>
              </w:rPr>
              <w:t xml:space="preserve"> (MWh)</w:t>
            </w:r>
          </w:p>
        </w:tc>
        <w:tc>
          <w:tcPr>
            <w:tcW w:w="1598" w:type="dxa"/>
            <w:shd w:val="clear" w:color="auto" w:fill="auto"/>
            <w:vAlign w:val="bottom"/>
          </w:tcPr>
          <w:p w14:paraId="0FAD736D" w14:textId="77777777" w:rsidR="008442B7" w:rsidRDefault="008442B7" w:rsidP="00EE1732">
            <w:pPr>
              <w:jc w:val="center"/>
              <w:rPr>
                <w:b/>
              </w:rPr>
            </w:pPr>
            <w:r>
              <w:rPr>
                <w:b/>
              </w:rPr>
              <w:t>2014-20</w:t>
            </w:r>
            <w:r w:rsidRPr="009355D6">
              <w:rPr>
                <w:b/>
              </w:rPr>
              <w:t>15 Budget</w:t>
            </w:r>
          </w:p>
        </w:tc>
      </w:tr>
      <w:tr w:rsidR="008442B7" w:rsidRPr="009355D6" w14:paraId="0FAD7374" w14:textId="77777777" w:rsidTr="004D0016">
        <w:tc>
          <w:tcPr>
            <w:tcW w:w="2383" w:type="dxa"/>
            <w:shd w:val="clear" w:color="auto" w:fill="auto"/>
          </w:tcPr>
          <w:p w14:paraId="0FAD736F" w14:textId="77777777" w:rsidR="008442B7" w:rsidRPr="009355D6" w:rsidRDefault="008442B7" w:rsidP="00EE1732">
            <w:r w:rsidRPr="009355D6">
              <w:t>Residential</w:t>
            </w:r>
            <w:r>
              <w:t xml:space="preserve"> prescriptive</w:t>
            </w:r>
          </w:p>
        </w:tc>
        <w:tc>
          <w:tcPr>
            <w:tcW w:w="1620" w:type="dxa"/>
            <w:shd w:val="clear" w:color="auto" w:fill="auto"/>
            <w:vAlign w:val="bottom"/>
          </w:tcPr>
          <w:p w14:paraId="0FAD7370" w14:textId="77777777" w:rsidR="008442B7" w:rsidRPr="002D29FC" w:rsidRDefault="008442B7" w:rsidP="00EE1732">
            <w:pPr>
              <w:jc w:val="right"/>
              <w:rPr>
                <w:highlight w:val="yellow"/>
              </w:rPr>
            </w:pPr>
            <w:r w:rsidRPr="002D29FC">
              <w:t>22,336</w:t>
            </w:r>
          </w:p>
        </w:tc>
        <w:tc>
          <w:tcPr>
            <w:tcW w:w="1620" w:type="dxa"/>
            <w:shd w:val="clear" w:color="auto" w:fill="auto"/>
            <w:vAlign w:val="bottom"/>
          </w:tcPr>
          <w:p w14:paraId="0FAD7371" w14:textId="05A5427B" w:rsidR="008442B7" w:rsidRPr="002D29FC" w:rsidRDefault="00E64174" w:rsidP="00EE1732">
            <w:pPr>
              <w:jc w:val="right"/>
              <w:rPr>
                <w:highlight w:val="yellow"/>
              </w:rPr>
            </w:pPr>
            <w:r w:rsidRPr="00E64174">
              <w:t>$2,000,000</w:t>
            </w:r>
          </w:p>
        </w:tc>
        <w:tc>
          <w:tcPr>
            <w:tcW w:w="1642" w:type="dxa"/>
            <w:shd w:val="clear" w:color="auto" w:fill="auto"/>
            <w:vAlign w:val="bottom"/>
          </w:tcPr>
          <w:p w14:paraId="0FAD7372" w14:textId="77777777" w:rsidR="008442B7" w:rsidRDefault="008442B7" w:rsidP="00EE1732">
            <w:pPr>
              <w:jc w:val="right"/>
            </w:pPr>
            <w:r>
              <w:t>16,389</w:t>
            </w:r>
          </w:p>
        </w:tc>
        <w:tc>
          <w:tcPr>
            <w:tcW w:w="1598" w:type="dxa"/>
            <w:shd w:val="clear" w:color="auto" w:fill="auto"/>
            <w:vAlign w:val="bottom"/>
          </w:tcPr>
          <w:p w14:paraId="0FAD7373" w14:textId="77777777" w:rsidR="008442B7" w:rsidRDefault="008442B7" w:rsidP="00EE1732">
            <w:pPr>
              <w:jc w:val="right"/>
            </w:pPr>
            <w:r>
              <w:t>$2,522,000</w:t>
            </w:r>
          </w:p>
        </w:tc>
      </w:tr>
      <w:tr w:rsidR="008442B7" w:rsidRPr="009355D6" w14:paraId="0FAD737A" w14:textId="77777777" w:rsidTr="004D0016">
        <w:tc>
          <w:tcPr>
            <w:tcW w:w="2383" w:type="dxa"/>
            <w:shd w:val="clear" w:color="auto" w:fill="auto"/>
          </w:tcPr>
          <w:p w14:paraId="0FAD7375" w14:textId="77777777" w:rsidR="008442B7" w:rsidRPr="006E1007" w:rsidRDefault="008442B7" w:rsidP="00EE1732">
            <w:r w:rsidRPr="006E1007">
              <w:t>Home Energy Reports</w:t>
            </w:r>
          </w:p>
        </w:tc>
        <w:tc>
          <w:tcPr>
            <w:tcW w:w="1620" w:type="dxa"/>
            <w:shd w:val="clear" w:color="auto" w:fill="auto"/>
            <w:vAlign w:val="bottom"/>
          </w:tcPr>
          <w:p w14:paraId="0FAD7376" w14:textId="77777777" w:rsidR="008442B7" w:rsidRPr="002D29FC" w:rsidRDefault="008442B7" w:rsidP="00EE1732">
            <w:pPr>
              <w:jc w:val="right"/>
            </w:pPr>
            <w:r w:rsidRPr="002D29FC">
              <w:t>13,110</w:t>
            </w:r>
          </w:p>
        </w:tc>
        <w:tc>
          <w:tcPr>
            <w:tcW w:w="1620" w:type="dxa"/>
            <w:shd w:val="clear" w:color="auto" w:fill="auto"/>
            <w:vAlign w:val="bottom"/>
          </w:tcPr>
          <w:p w14:paraId="0FAD7377" w14:textId="64E7C60A" w:rsidR="008442B7" w:rsidRPr="002D29FC" w:rsidRDefault="00E64174" w:rsidP="00EE1732">
            <w:pPr>
              <w:jc w:val="right"/>
            </w:pPr>
            <w:r w:rsidRPr="00E64174">
              <w:t>$883,000</w:t>
            </w:r>
          </w:p>
        </w:tc>
        <w:tc>
          <w:tcPr>
            <w:tcW w:w="1642" w:type="dxa"/>
            <w:shd w:val="clear" w:color="auto" w:fill="auto"/>
            <w:vAlign w:val="bottom"/>
          </w:tcPr>
          <w:p w14:paraId="0FAD7378" w14:textId="77777777" w:rsidR="008442B7" w:rsidRDefault="008442B7" w:rsidP="00EE1732">
            <w:pPr>
              <w:jc w:val="right"/>
            </w:pPr>
            <w:r>
              <w:t>6,900</w:t>
            </w:r>
          </w:p>
        </w:tc>
        <w:tc>
          <w:tcPr>
            <w:tcW w:w="1598" w:type="dxa"/>
            <w:shd w:val="clear" w:color="auto" w:fill="auto"/>
            <w:vAlign w:val="bottom"/>
          </w:tcPr>
          <w:p w14:paraId="0FAD7379" w14:textId="77777777" w:rsidR="008442B7" w:rsidRDefault="008442B7" w:rsidP="00EE1732">
            <w:pPr>
              <w:jc w:val="right"/>
            </w:pPr>
            <w:r>
              <w:t>$843,000</w:t>
            </w:r>
          </w:p>
        </w:tc>
      </w:tr>
      <w:tr w:rsidR="008442B7" w:rsidRPr="009355D6" w14:paraId="0FAD7380" w14:textId="77777777" w:rsidTr="004D0016">
        <w:tc>
          <w:tcPr>
            <w:tcW w:w="2383" w:type="dxa"/>
            <w:shd w:val="clear" w:color="auto" w:fill="auto"/>
          </w:tcPr>
          <w:p w14:paraId="0FAD737B" w14:textId="77777777" w:rsidR="008442B7" w:rsidRPr="006E1007" w:rsidRDefault="008442B7" w:rsidP="00EE1732">
            <w:r w:rsidRPr="006E1007">
              <w:t>Low Income</w:t>
            </w:r>
          </w:p>
        </w:tc>
        <w:tc>
          <w:tcPr>
            <w:tcW w:w="1620" w:type="dxa"/>
            <w:shd w:val="clear" w:color="auto" w:fill="auto"/>
            <w:vAlign w:val="bottom"/>
          </w:tcPr>
          <w:p w14:paraId="0FAD737C" w14:textId="77777777" w:rsidR="008442B7" w:rsidRPr="002D29FC" w:rsidRDefault="008442B7" w:rsidP="00EE1732">
            <w:pPr>
              <w:jc w:val="right"/>
            </w:pPr>
            <w:r w:rsidRPr="002D29FC">
              <w:t>1,037</w:t>
            </w:r>
          </w:p>
        </w:tc>
        <w:tc>
          <w:tcPr>
            <w:tcW w:w="1620" w:type="dxa"/>
            <w:shd w:val="clear" w:color="auto" w:fill="auto"/>
            <w:vAlign w:val="bottom"/>
          </w:tcPr>
          <w:p w14:paraId="0FAD737D" w14:textId="77777777" w:rsidR="008442B7" w:rsidRPr="002D29FC" w:rsidRDefault="008442B7" w:rsidP="00EE1732">
            <w:pPr>
              <w:jc w:val="right"/>
            </w:pPr>
            <w:r w:rsidRPr="002D29FC">
              <w:t>$1,883,000</w:t>
            </w:r>
          </w:p>
        </w:tc>
        <w:tc>
          <w:tcPr>
            <w:tcW w:w="1642" w:type="dxa"/>
            <w:shd w:val="clear" w:color="auto" w:fill="auto"/>
            <w:vAlign w:val="bottom"/>
          </w:tcPr>
          <w:p w14:paraId="0FAD737E" w14:textId="77777777" w:rsidR="008442B7" w:rsidRDefault="008442B7" w:rsidP="00EE1732">
            <w:pPr>
              <w:jc w:val="right"/>
            </w:pPr>
            <w:r>
              <w:t>1,599</w:t>
            </w:r>
          </w:p>
        </w:tc>
        <w:tc>
          <w:tcPr>
            <w:tcW w:w="1598" w:type="dxa"/>
            <w:shd w:val="clear" w:color="auto" w:fill="auto"/>
            <w:vAlign w:val="bottom"/>
          </w:tcPr>
          <w:p w14:paraId="0FAD737F" w14:textId="77777777" w:rsidR="008442B7" w:rsidRDefault="008442B7" w:rsidP="00EE1732">
            <w:pPr>
              <w:jc w:val="right"/>
            </w:pPr>
            <w:r>
              <w:t>$1,618,000</w:t>
            </w:r>
          </w:p>
        </w:tc>
      </w:tr>
      <w:tr w:rsidR="008442B7" w:rsidRPr="009355D6" w14:paraId="0FAD7386" w14:textId="77777777" w:rsidTr="004D0016">
        <w:tc>
          <w:tcPr>
            <w:tcW w:w="2383" w:type="dxa"/>
            <w:shd w:val="clear" w:color="auto" w:fill="auto"/>
          </w:tcPr>
          <w:p w14:paraId="0FAD7381" w14:textId="77777777" w:rsidR="008442B7" w:rsidRPr="009355D6" w:rsidRDefault="008442B7" w:rsidP="00EE1732">
            <w:r w:rsidRPr="009355D6">
              <w:t>Non-Residential</w:t>
            </w:r>
          </w:p>
        </w:tc>
        <w:tc>
          <w:tcPr>
            <w:tcW w:w="1620" w:type="dxa"/>
            <w:shd w:val="clear" w:color="auto" w:fill="auto"/>
            <w:vAlign w:val="bottom"/>
          </w:tcPr>
          <w:p w14:paraId="0FAD7382" w14:textId="77777777" w:rsidR="008442B7" w:rsidRPr="001142E4" w:rsidRDefault="008442B7" w:rsidP="00EE1732">
            <w:pPr>
              <w:jc w:val="right"/>
            </w:pPr>
            <w:r w:rsidRPr="001142E4">
              <w:t>45,831</w:t>
            </w:r>
          </w:p>
        </w:tc>
        <w:tc>
          <w:tcPr>
            <w:tcW w:w="1620" w:type="dxa"/>
            <w:shd w:val="clear" w:color="auto" w:fill="auto"/>
            <w:vAlign w:val="bottom"/>
          </w:tcPr>
          <w:p w14:paraId="0FAD7383" w14:textId="77777777" w:rsidR="008442B7" w:rsidRPr="001142E4" w:rsidRDefault="008442B7" w:rsidP="00EE1732">
            <w:pPr>
              <w:jc w:val="right"/>
            </w:pPr>
            <w:r w:rsidRPr="001142E4">
              <w:t>$9,028,000</w:t>
            </w:r>
          </w:p>
        </w:tc>
        <w:tc>
          <w:tcPr>
            <w:tcW w:w="1642" w:type="dxa"/>
            <w:shd w:val="clear" w:color="auto" w:fill="auto"/>
            <w:vAlign w:val="bottom"/>
          </w:tcPr>
          <w:p w14:paraId="0FAD7384" w14:textId="77777777" w:rsidR="008442B7" w:rsidRDefault="008442B7" w:rsidP="00EE1732">
            <w:pPr>
              <w:jc w:val="right"/>
            </w:pPr>
            <w:r>
              <w:t>39,200</w:t>
            </w:r>
          </w:p>
        </w:tc>
        <w:tc>
          <w:tcPr>
            <w:tcW w:w="1598" w:type="dxa"/>
            <w:shd w:val="clear" w:color="auto" w:fill="auto"/>
            <w:vAlign w:val="bottom"/>
          </w:tcPr>
          <w:p w14:paraId="0FAD7385" w14:textId="77777777" w:rsidR="008442B7" w:rsidRDefault="008442B7" w:rsidP="00EE1732">
            <w:pPr>
              <w:jc w:val="right"/>
            </w:pPr>
            <w:r>
              <w:t>$4,870,000</w:t>
            </w:r>
          </w:p>
        </w:tc>
      </w:tr>
      <w:tr w:rsidR="008442B7" w:rsidRPr="009355D6" w14:paraId="0FAD738C" w14:textId="77777777" w:rsidTr="004D0016">
        <w:tc>
          <w:tcPr>
            <w:tcW w:w="2383" w:type="dxa"/>
            <w:shd w:val="clear" w:color="auto" w:fill="auto"/>
          </w:tcPr>
          <w:p w14:paraId="0FAD7387" w14:textId="77777777" w:rsidR="008442B7" w:rsidRPr="009355D6" w:rsidRDefault="008442B7" w:rsidP="00EE1732">
            <w:r>
              <w:t>Cascade SEM</w:t>
            </w:r>
          </w:p>
        </w:tc>
        <w:tc>
          <w:tcPr>
            <w:tcW w:w="1620" w:type="dxa"/>
            <w:shd w:val="clear" w:color="auto" w:fill="auto"/>
            <w:vAlign w:val="bottom"/>
          </w:tcPr>
          <w:p w14:paraId="0FAD7388" w14:textId="77777777" w:rsidR="008442B7" w:rsidRPr="003C3BE5" w:rsidRDefault="008442B7" w:rsidP="00EE1732">
            <w:pPr>
              <w:jc w:val="right"/>
            </w:pPr>
            <w:r w:rsidRPr="003C3BE5">
              <w:t>-</w:t>
            </w:r>
          </w:p>
        </w:tc>
        <w:tc>
          <w:tcPr>
            <w:tcW w:w="1620" w:type="dxa"/>
            <w:shd w:val="clear" w:color="auto" w:fill="auto"/>
            <w:vAlign w:val="bottom"/>
          </w:tcPr>
          <w:p w14:paraId="0FAD7389" w14:textId="77777777" w:rsidR="008442B7" w:rsidRPr="003C3BE5" w:rsidRDefault="008442B7" w:rsidP="00EE1732">
            <w:pPr>
              <w:jc w:val="right"/>
            </w:pPr>
            <w:r w:rsidRPr="003C3BE5">
              <w:t>-</w:t>
            </w:r>
          </w:p>
        </w:tc>
        <w:tc>
          <w:tcPr>
            <w:tcW w:w="1642" w:type="dxa"/>
            <w:shd w:val="clear" w:color="auto" w:fill="auto"/>
            <w:vAlign w:val="bottom"/>
          </w:tcPr>
          <w:p w14:paraId="0FAD738A" w14:textId="77777777" w:rsidR="008442B7" w:rsidRDefault="008442B7" w:rsidP="00EE1732">
            <w:pPr>
              <w:jc w:val="right"/>
            </w:pPr>
            <w:r>
              <w:t>1,098</w:t>
            </w:r>
          </w:p>
        </w:tc>
        <w:tc>
          <w:tcPr>
            <w:tcW w:w="1598" w:type="dxa"/>
            <w:shd w:val="clear" w:color="auto" w:fill="auto"/>
            <w:vAlign w:val="bottom"/>
          </w:tcPr>
          <w:p w14:paraId="0FAD738B" w14:textId="77777777" w:rsidR="008442B7" w:rsidRDefault="008442B7" w:rsidP="00EE1732">
            <w:pPr>
              <w:jc w:val="right"/>
            </w:pPr>
            <w:r>
              <w:t>$252,000</w:t>
            </w:r>
          </w:p>
        </w:tc>
      </w:tr>
      <w:tr w:rsidR="008442B7" w:rsidRPr="009355D6" w14:paraId="0FAD7392" w14:textId="77777777" w:rsidTr="004D0016">
        <w:tc>
          <w:tcPr>
            <w:tcW w:w="2383" w:type="dxa"/>
            <w:shd w:val="clear" w:color="auto" w:fill="auto"/>
          </w:tcPr>
          <w:p w14:paraId="0FAD738D" w14:textId="77777777" w:rsidR="008442B7" w:rsidRPr="009355D6" w:rsidRDefault="008442B7" w:rsidP="00EE1732">
            <w:r>
              <w:t>NEEA</w:t>
            </w:r>
          </w:p>
        </w:tc>
        <w:tc>
          <w:tcPr>
            <w:tcW w:w="1620" w:type="dxa"/>
            <w:shd w:val="clear" w:color="auto" w:fill="auto"/>
            <w:vAlign w:val="bottom"/>
          </w:tcPr>
          <w:p w14:paraId="0FAD738E" w14:textId="77777777" w:rsidR="008442B7" w:rsidRPr="001142E4" w:rsidRDefault="008442B7" w:rsidP="00EE1732">
            <w:pPr>
              <w:jc w:val="right"/>
            </w:pPr>
            <w:r w:rsidRPr="001142E4">
              <w:t>6,219</w:t>
            </w:r>
          </w:p>
        </w:tc>
        <w:tc>
          <w:tcPr>
            <w:tcW w:w="1620" w:type="dxa"/>
            <w:shd w:val="clear" w:color="auto" w:fill="auto"/>
            <w:vAlign w:val="bottom"/>
          </w:tcPr>
          <w:p w14:paraId="0FAD738F" w14:textId="77777777" w:rsidR="008442B7" w:rsidRPr="001142E4" w:rsidRDefault="008442B7" w:rsidP="00EE1732">
            <w:pPr>
              <w:jc w:val="right"/>
            </w:pPr>
            <w:r w:rsidRPr="001142E4">
              <w:t>$2,800,000</w:t>
            </w:r>
          </w:p>
        </w:tc>
        <w:tc>
          <w:tcPr>
            <w:tcW w:w="1642" w:type="dxa"/>
            <w:shd w:val="clear" w:color="auto" w:fill="auto"/>
            <w:vAlign w:val="bottom"/>
          </w:tcPr>
          <w:p w14:paraId="0FAD7390" w14:textId="77777777" w:rsidR="008442B7" w:rsidRDefault="008442B7" w:rsidP="00EE1732">
            <w:pPr>
              <w:jc w:val="right"/>
            </w:pPr>
            <w:r>
              <w:t>11,130</w:t>
            </w:r>
          </w:p>
        </w:tc>
        <w:tc>
          <w:tcPr>
            <w:tcW w:w="1598" w:type="dxa"/>
            <w:shd w:val="clear" w:color="auto" w:fill="auto"/>
            <w:vAlign w:val="bottom"/>
          </w:tcPr>
          <w:p w14:paraId="0FAD7391" w14:textId="77777777" w:rsidR="008442B7" w:rsidRDefault="008442B7" w:rsidP="00EE1732">
            <w:pPr>
              <w:jc w:val="right"/>
            </w:pPr>
            <w:r>
              <w:t>$2,911,000</w:t>
            </w:r>
          </w:p>
        </w:tc>
      </w:tr>
      <w:tr w:rsidR="008442B7" w:rsidRPr="009355D6" w14:paraId="0FAD7398" w14:textId="77777777" w:rsidTr="004D0016">
        <w:tc>
          <w:tcPr>
            <w:tcW w:w="2383" w:type="dxa"/>
            <w:shd w:val="clear" w:color="auto" w:fill="auto"/>
          </w:tcPr>
          <w:p w14:paraId="0FAD7393" w14:textId="77777777" w:rsidR="008442B7" w:rsidRPr="00810777" w:rsidRDefault="008442B7" w:rsidP="00EE1732">
            <w:r>
              <w:t>A</w:t>
            </w:r>
            <w:r w:rsidRPr="00810777">
              <w:t>dmin</w:t>
            </w:r>
            <w:r>
              <w:t>istration/Other</w:t>
            </w:r>
          </w:p>
        </w:tc>
        <w:tc>
          <w:tcPr>
            <w:tcW w:w="1620" w:type="dxa"/>
            <w:shd w:val="clear" w:color="auto" w:fill="auto"/>
            <w:vAlign w:val="bottom"/>
          </w:tcPr>
          <w:p w14:paraId="0FAD7394" w14:textId="77777777" w:rsidR="008442B7" w:rsidRPr="001142E4" w:rsidRDefault="008442B7" w:rsidP="00EE1732">
            <w:pPr>
              <w:jc w:val="right"/>
            </w:pPr>
            <w:r w:rsidRPr="001142E4">
              <w:t>-</w:t>
            </w:r>
          </w:p>
        </w:tc>
        <w:tc>
          <w:tcPr>
            <w:tcW w:w="1620" w:type="dxa"/>
            <w:shd w:val="clear" w:color="auto" w:fill="auto"/>
            <w:vAlign w:val="bottom"/>
          </w:tcPr>
          <w:p w14:paraId="0FAD7395" w14:textId="77777777" w:rsidR="008442B7" w:rsidRPr="001142E4" w:rsidRDefault="008442B7" w:rsidP="00EE1732">
            <w:pPr>
              <w:jc w:val="right"/>
            </w:pPr>
            <w:r w:rsidRPr="001142E4">
              <w:t>$6,072,000</w:t>
            </w:r>
          </w:p>
        </w:tc>
        <w:tc>
          <w:tcPr>
            <w:tcW w:w="1642" w:type="dxa"/>
            <w:shd w:val="clear" w:color="auto" w:fill="auto"/>
            <w:vAlign w:val="bottom"/>
          </w:tcPr>
          <w:p w14:paraId="0FAD7396" w14:textId="77777777" w:rsidR="008442B7" w:rsidRDefault="008442B7" w:rsidP="00EE1732">
            <w:pPr>
              <w:jc w:val="right"/>
            </w:pPr>
            <w:r>
              <w:t>-</w:t>
            </w:r>
          </w:p>
        </w:tc>
        <w:tc>
          <w:tcPr>
            <w:tcW w:w="1598" w:type="dxa"/>
            <w:shd w:val="clear" w:color="auto" w:fill="auto"/>
            <w:vAlign w:val="bottom"/>
          </w:tcPr>
          <w:p w14:paraId="0FAD7397" w14:textId="77777777" w:rsidR="008442B7" w:rsidRDefault="008442B7" w:rsidP="00EE1732">
            <w:pPr>
              <w:jc w:val="right"/>
            </w:pPr>
            <w:r>
              <w:t>$8,522,000</w:t>
            </w:r>
          </w:p>
        </w:tc>
      </w:tr>
      <w:tr w:rsidR="008442B7" w:rsidRPr="009355D6" w14:paraId="0FAD739E" w14:textId="77777777" w:rsidTr="004D0016">
        <w:tc>
          <w:tcPr>
            <w:tcW w:w="2383" w:type="dxa"/>
            <w:shd w:val="clear" w:color="auto" w:fill="auto"/>
          </w:tcPr>
          <w:p w14:paraId="0FAD7399" w14:textId="77777777" w:rsidR="008442B7" w:rsidRPr="00810777" w:rsidRDefault="008442B7" w:rsidP="00EE1732">
            <w:pPr>
              <w:rPr>
                <w:b/>
              </w:rPr>
            </w:pPr>
            <w:r w:rsidRPr="00810777">
              <w:rPr>
                <w:b/>
              </w:rPr>
              <w:t>Total</w:t>
            </w:r>
          </w:p>
        </w:tc>
        <w:tc>
          <w:tcPr>
            <w:tcW w:w="1620" w:type="dxa"/>
            <w:shd w:val="clear" w:color="auto" w:fill="auto"/>
            <w:vAlign w:val="bottom"/>
          </w:tcPr>
          <w:p w14:paraId="0FAD739A" w14:textId="77777777" w:rsidR="008442B7" w:rsidRPr="00D02A26" w:rsidRDefault="008442B7" w:rsidP="00EE1732">
            <w:pPr>
              <w:jc w:val="right"/>
              <w:rPr>
                <w:b/>
              </w:rPr>
            </w:pPr>
            <w:r w:rsidRPr="00D02A26">
              <w:rPr>
                <w:b/>
              </w:rPr>
              <w:t>88,533</w:t>
            </w:r>
          </w:p>
        </w:tc>
        <w:tc>
          <w:tcPr>
            <w:tcW w:w="1620" w:type="dxa"/>
            <w:shd w:val="clear" w:color="auto" w:fill="auto"/>
            <w:vAlign w:val="bottom"/>
          </w:tcPr>
          <w:p w14:paraId="0FAD739B" w14:textId="4B722333" w:rsidR="008442B7" w:rsidRPr="00D02A26" w:rsidRDefault="00E64174" w:rsidP="00EE1732">
            <w:pPr>
              <w:jc w:val="right"/>
              <w:rPr>
                <w:b/>
              </w:rPr>
            </w:pPr>
            <w:r w:rsidRPr="00E64174">
              <w:rPr>
                <w:b/>
              </w:rPr>
              <w:t>$22,666,000</w:t>
            </w:r>
          </w:p>
        </w:tc>
        <w:tc>
          <w:tcPr>
            <w:tcW w:w="1642" w:type="dxa"/>
            <w:shd w:val="clear" w:color="auto" w:fill="auto"/>
            <w:vAlign w:val="bottom"/>
          </w:tcPr>
          <w:p w14:paraId="0FAD739C" w14:textId="77777777" w:rsidR="008442B7" w:rsidRDefault="008442B7" w:rsidP="00EE1732">
            <w:pPr>
              <w:jc w:val="right"/>
              <w:rPr>
                <w:b/>
              </w:rPr>
            </w:pPr>
            <w:r>
              <w:rPr>
                <w:b/>
              </w:rPr>
              <w:t>73,350</w:t>
            </w:r>
          </w:p>
        </w:tc>
        <w:tc>
          <w:tcPr>
            <w:tcW w:w="1598" w:type="dxa"/>
            <w:shd w:val="clear" w:color="auto" w:fill="auto"/>
            <w:vAlign w:val="bottom"/>
          </w:tcPr>
          <w:p w14:paraId="0FAD739D" w14:textId="77777777" w:rsidR="008442B7" w:rsidRDefault="008442B7" w:rsidP="00EE1732">
            <w:pPr>
              <w:jc w:val="right"/>
              <w:rPr>
                <w:b/>
              </w:rPr>
            </w:pPr>
            <w:r>
              <w:rPr>
                <w:b/>
              </w:rPr>
              <w:t>$21,537,000</w:t>
            </w:r>
          </w:p>
        </w:tc>
      </w:tr>
      <w:tr w:rsidR="008442B7" w:rsidRPr="00810777" w14:paraId="0FAD73A4" w14:textId="77777777" w:rsidTr="004D0016">
        <w:tc>
          <w:tcPr>
            <w:tcW w:w="2383" w:type="dxa"/>
            <w:shd w:val="clear" w:color="auto" w:fill="auto"/>
          </w:tcPr>
          <w:p w14:paraId="0FAD739F" w14:textId="77777777" w:rsidR="008442B7" w:rsidRPr="00810777" w:rsidRDefault="008442B7" w:rsidP="00EE1732">
            <w:pPr>
              <w:rPr>
                <w:b/>
              </w:rPr>
            </w:pPr>
            <w:r>
              <w:rPr>
                <w:b/>
              </w:rPr>
              <w:t>Total claimable toward target</w:t>
            </w:r>
          </w:p>
        </w:tc>
        <w:tc>
          <w:tcPr>
            <w:tcW w:w="1620" w:type="dxa"/>
            <w:shd w:val="clear" w:color="auto" w:fill="auto"/>
            <w:vAlign w:val="bottom"/>
          </w:tcPr>
          <w:p w14:paraId="0FAD73A0" w14:textId="77777777" w:rsidR="008442B7" w:rsidRPr="00D02A26" w:rsidRDefault="008442B7" w:rsidP="00EE1732">
            <w:pPr>
              <w:jc w:val="right"/>
              <w:rPr>
                <w:b/>
              </w:rPr>
            </w:pPr>
            <w:r>
              <w:rPr>
                <w:b/>
              </w:rPr>
              <w:t>82,314</w:t>
            </w:r>
          </w:p>
        </w:tc>
        <w:tc>
          <w:tcPr>
            <w:tcW w:w="1620" w:type="dxa"/>
            <w:shd w:val="clear" w:color="auto" w:fill="auto"/>
            <w:vAlign w:val="bottom"/>
          </w:tcPr>
          <w:p w14:paraId="0FAD73A1" w14:textId="77777777" w:rsidR="008442B7" w:rsidRPr="00D02A26" w:rsidRDefault="008442B7" w:rsidP="00EE1732">
            <w:pPr>
              <w:jc w:val="right"/>
              <w:rPr>
                <w:b/>
              </w:rPr>
            </w:pPr>
          </w:p>
        </w:tc>
        <w:tc>
          <w:tcPr>
            <w:tcW w:w="1642" w:type="dxa"/>
            <w:shd w:val="clear" w:color="auto" w:fill="auto"/>
            <w:vAlign w:val="bottom"/>
          </w:tcPr>
          <w:p w14:paraId="0FAD73A2" w14:textId="77777777" w:rsidR="008442B7" w:rsidRDefault="008442B7" w:rsidP="00EE1732">
            <w:pPr>
              <w:jc w:val="right"/>
              <w:rPr>
                <w:b/>
              </w:rPr>
            </w:pPr>
            <w:r>
              <w:rPr>
                <w:b/>
              </w:rPr>
              <w:t>62,220</w:t>
            </w:r>
          </w:p>
        </w:tc>
        <w:tc>
          <w:tcPr>
            <w:tcW w:w="1598" w:type="dxa"/>
            <w:shd w:val="clear" w:color="auto" w:fill="auto"/>
            <w:vAlign w:val="bottom"/>
          </w:tcPr>
          <w:p w14:paraId="0FAD73A3" w14:textId="77777777" w:rsidR="008442B7" w:rsidRDefault="008442B7" w:rsidP="00EE1732">
            <w:pPr>
              <w:jc w:val="right"/>
              <w:rPr>
                <w:b/>
              </w:rPr>
            </w:pPr>
          </w:p>
        </w:tc>
      </w:tr>
    </w:tbl>
    <w:p w14:paraId="0FAD73A5" w14:textId="77777777" w:rsidR="00FD5EDE" w:rsidRPr="00726F75" w:rsidRDefault="00726F75" w:rsidP="00EE1732">
      <w:pPr>
        <w:ind w:left="720"/>
        <w:rPr>
          <w:sz w:val="20"/>
          <w:szCs w:val="20"/>
        </w:rPr>
      </w:pPr>
      <w:r>
        <w:rPr>
          <w:sz w:val="20"/>
          <w:szCs w:val="20"/>
        </w:rPr>
        <w:br/>
      </w:r>
    </w:p>
    <w:p w14:paraId="0FAD73A6" w14:textId="4881E234" w:rsidR="00F61557" w:rsidRPr="00F61557" w:rsidRDefault="00F61557" w:rsidP="0036376B">
      <w:pPr>
        <w:tabs>
          <w:tab w:val="left" w:pos="1080"/>
        </w:tabs>
        <w:spacing w:after="240" w:line="288" w:lineRule="auto"/>
      </w:pPr>
      <w:r w:rsidRPr="008F5251">
        <w:t xml:space="preserve">Avista expects to exceed its biennial target while reducing its administrative costs by nearly 30 percent for this biennium. For the 2016-2017 biennium, Avista expects to achieve a </w:t>
      </w:r>
      <w:r w:rsidR="008F5251" w:rsidRPr="008F5251">
        <w:t>Total Resource Cost (</w:t>
      </w:r>
      <w:r w:rsidRPr="008F5251">
        <w:t>TRC</w:t>
      </w:r>
      <w:r w:rsidR="008F5251" w:rsidRPr="008F5251">
        <w:t>)</w:t>
      </w:r>
      <w:r w:rsidRPr="008F5251">
        <w:t xml:space="preserve"> test benefit-to-cost ratio of 1.8. Staff commends Avista on improving the economic efficiency of its program offerings while continuing to maintain a cost-effective portfolio.</w:t>
      </w:r>
      <w:r w:rsidRPr="008F5251">
        <w:br/>
      </w:r>
      <w:r w:rsidRPr="008F5251">
        <w:lastRenderedPageBreak/>
        <w:br/>
      </w:r>
      <w:r w:rsidR="0036376B" w:rsidRPr="008F5251">
        <w:rPr>
          <w:b/>
        </w:rPr>
        <w:t xml:space="preserve">Table 3. </w:t>
      </w:r>
      <w:r w:rsidRPr="008F5251">
        <w:rPr>
          <w:b/>
        </w:rPr>
        <w:t>Comparison of Savings and Budgets from Avista’s Natural Gas 2016-2017 and 2014-2015 BCPs.</w:t>
      </w:r>
    </w:p>
    <w:tbl>
      <w:tblPr>
        <w:tblStyle w:val="TableGrid"/>
        <w:tblW w:w="9113" w:type="dxa"/>
        <w:tblInd w:w="216" w:type="dxa"/>
        <w:tblLook w:val="04A0" w:firstRow="1" w:lastRow="0" w:firstColumn="1" w:lastColumn="0" w:noHBand="0" w:noVBand="1"/>
      </w:tblPr>
      <w:tblGrid>
        <w:gridCol w:w="2481"/>
        <w:gridCol w:w="1670"/>
        <w:gridCol w:w="1654"/>
        <w:gridCol w:w="1654"/>
        <w:gridCol w:w="1654"/>
      </w:tblGrid>
      <w:tr w:rsidR="00F61557" w:rsidRPr="009355D6" w14:paraId="0FAD73AE" w14:textId="77777777" w:rsidTr="00E83176">
        <w:tc>
          <w:tcPr>
            <w:tcW w:w="2481" w:type="dxa"/>
            <w:vAlign w:val="bottom"/>
          </w:tcPr>
          <w:p w14:paraId="0FAD73A7" w14:textId="77777777" w:rsidR="00F61557" w:rsidRPr="009355D6" w:rsidRDefault="00F61557" w:rsidP="00EE1732">
            <w:pPr>
              <w:rPr>
                <w:b/>
              </w:rPr>
            </w:pPr>
            <w:r w:rsidRPr="009355D6">
              <w:rPr>
                <w:b/>
              </w:rPr>
              <w:t>Program</w:t>
            </w:r>
          </w:p>
        </w:tc>
        <w:tc>
          <w:tcPr>
            <w:tcW w:w="1670" w:type="dxa"/>
            <w:vAlign w:val="bottom"/>
          </w:tcPr>
          <w:p w14:paraId="0FAD73A8" w14:textId="77777777" w:rsidR="00F61557" w:rsidRPr="009355D6" w:rsidRDefault="00F61557" w:rsidP="00EE1732">
            <w:pPr>
              <w:jc w:val="center"/>
              <w:rPr>
                <w:b/>
              </w:rPr>
            </w:pPr>
            <w:r>
              <w:rPr>
                <w:b/>
              </w:rPr>
              <w:t>2016-2017</w:t>
            </w:r>
          </w:p>
          <w:p w14:paraId="0FAD73A9" w14:textId="77777777" w:rsidR="00F61557" w:rsidRPr="009355D6" w:rsidRDefault="00F61557" w:rsidP="00EE1732">
            <w:pPr>
              <w:jc w:val="center"/>
              <w:rPr>
                <w:b/>
              </w:rPr>
            </w:pPr>
            <w:r w:rsidRPr="009355D6">
              <w:rPr>
                <w:b/>
              </w:rPr>
              <w:t>Projected Savings</w:t>
            </w:r>
            <w:r>
              <w:rPr>
                <w:b/>
              </w:rPr>
              <w:t xml:space="preserve"> (therms)</w:t>
            </w:r>
          </w:p>
        </w:tc>
        <w:tc>
          <w:tcPr>
            <w:tcW w:w="1654" w:type="dxa"/>
            <w:vAlign w:val="bottom"/>
          </w:tcPr>
          <w:p w14:paraId="0FAD73AA" w14:textId="77777777" w:rsidR="00F61557" w:rsidRPr="009355D6" w:rsidRDefault="00F61557" w:rsidP="00EE1732">
            <w:pPr>
              <w:jc w:val="center"/>
              <w:rPr>
                <w:b/>
              </w:rPr>
            </w:pPr>
            <w:r>
              <w:rPr>
                <w:b/>
              </w:rPr>
              <w:t>2016-2017</w:t>
            </w:r>
            <w:r w:rsidRPr="009355D6">
              <w:rPr>
                <w:b/>
              </w:rPr>
              <w:t xml:space="preserve"> Budget</w:t>
            </w:r>
          </w:p>
        </w:tc>
        <w:tc>
          <w:tcPr>
            <w:tcW w:w="1654" w:type="dxa"/>
            <w:vAlign w:val="bottom"/>
          </w:tcPr>
          <w:p w14:paraId="0FAD73AB" w14:textId="77777777" w:rsidR="00F61557" w:rsidRPr="009355D6" w:rsidRDefault="00F61557" w:rsidP="00EE1732">
            <w:pPr>
              <w:jc w:val="center"/>
              <w:rPr>
                <w:b/>
              </w:rPr>
            </w:pPr>
            <w:r>
              <w:rPr>
                <w:b/>
              </w:rPr>
              <w:t>2014-20</w:t>
            </w:r>
            <w:r w:rsidRPr="009355D6">
              <w:rPr>
                <w:b/>
              </w:rPr>
              <w:t>15</w:t>
            </w:r>
          </w:p>
          <w:p w14:paraId="0FAD73AC" w14:textId="77777777" w:rsidR="00F61557" w:rsidRDefault="00F61557" w:rsidP="00EE1732">
            <w:pPr>
              <w:jc w:val="center"/>
              <w:rPr>
                <w:b/>
              </w:rPr>
            </w:pPr>
            <w:r w:rsidRPr="009355D6">
              <w:rPr>
                <w:b/>
              </w:rPr>
              <w:t>Projected Savings</w:t>
            </w:r>
            <w:r>
              <w:rPr>
                <w:b/>
              </w:rPr>
              <w:t xml:space="preserve"> (therms)</w:t>
            </w:r>
          </w:p>
        </w:tc>
        <w:tc>
          <w:tcPr>
            <w:tcW w:w="1654" w:type="dxa"/>
            <w:vAlign w:val="bottom"/>
          </w:tcPr>
          <w:p w14:paraId="0FAD73AD" w14:textId="77777777" w:rsidR="00F61557" w:rsidRDefault="00F61557" w:rsidP="00EE1732">
            <w:pPr>
              <w:jc w:val="center"/>
              <w:rPr>
                <w:b/>
              </w:rPr>
            </w:pPr>
            <w:r>
              <w:rPr>
                <w:b/>
              </w:rPr>
              <w:t>2014-20</w:t>
            </w:r>
            <w:r w:rsidRPr="009355D6">
              <w:rPr>
                <w:b/>
              </w:rPr>
              <w:t>15 Budget</w:t>
            </w:r>
          </w:p>
        </w:tc>
      </w:tr>
      <w:tr w:rsidR="00F61557" w:rsidRPr="009355D6" w14:paraId="0FAD73B4" w14:textId="77777777" w:rsidTr="00E83176">
        <w:tc>
          <w:tcPr>
            <w:tcW w:w="2481" w:type="dxa"/>
          </w:tcPr>
          <w:p w14:paraId="0FAD73AF" w14:textId="77777777" w:rsidR="00F61557" w:rsidRPr="009355D6" w:rsidRDefault="00F61557" w:rsidP="00EE1732">
            <w:r w:rsidRPr="009355D6">
              <w:t>Residential</w:t>
            </w:r>
            <w:r>
              <w:t xml:space="preserve"> prescriptive</w:t>
            </w:r>
          </w:p>
        </w:tc>
        <w:tc>
          <w:tcPr>
            <w:tcW w:w="1670" w:type="dxa"/>
            <w:vAlign w:val="bottom"/>
          </w:tcPr>
          <w:p w14:paraId="0FAD73B0" w14:textId="77777777" w:rsidR="00F61557" w:rsidRPr="00BA0896" w:rsidRDefault="00F61557" w:rsidP="00EE1732">
            <w:pPr>
              <w:jc w:val="right"/>
              <w:rPr>
                <w:highlight w:val="yellow"/>
              </w:rPr>
            </w:pPr>
            <w:r w:rsidRPr="006C663D">
              <w:t>539,000</w:t>
            </w:r>
          </w:p>
        </w:tc>
        <w:tc>
          <w:tcPr>
            <w:tcW w:w="1654" w:type="dxa"/>
            <w:vAlign w:val="bottom"/>
          </w:tcPr>
          <w:p w14:paraId="0FAD73B1" w14:textId="77777777" w:rsidR="00F61557" w:rsidRPr="00BA0896" w:rsidRDefault="00F61557" w:rsidP="00EE1732">
            <w:pPr>
              <w:jc w:val="right"/>
              <w:rPr>
                <w:highlight w:val="yellow"/>
              </w:rPr>
            </w:pPr>
            <w:r w:rsidRPr="006C663D">
              <w:t>$1,606,000</w:t>
            </w:r>
          </w:p>
        </w:tc>
        <w:tc>
          <w:tcPr>
            <w:tcW w:w="1654" w:type="dxa"/>
            <w:vAlign w:val="bottom"/>
          </w:tcPr>
          <w:p w14:paraId="0FAD73B2" w14:textId="77777777" w:rsidR="00F61557" w:rsidRPr="00BA0896" w:rsidRDefault="00F61557" w:rsidP="00EE1732">
            <w:pPr>
              <w:jc w:val="right"/>
              <w:rPr>
                <w:highlight w:val="yellow"/>
              </w:rPr>
            </w:pPr>
            <w:r w:rsidRPr="008B6803">
              <w:t>505,000</w:t>
            </w:r>
          </w:p>
        </w:tc>
        <w:tc>
          <w:tcPr>
            <w:tcW w:w="1654" w:type="dxa"/>
            <w:vAlign w:val="bottom"/>
          </w:tcPr>
          <w:p w14:paraId="0FAD73B3" w14:textId="77777777" w:rsidR="00F61557" w:rsidRPr="00BA0896" w:rsidRDefault="00F61557" w:rsidP="00EE1732">
            <w:pPr>
              <w:jc w:val="right"/>
              <w:rPr>
                <w:highlight w:val="yellow"/>
              </w:rPr>
            </w:pPr>
            <w:r w:rsidRPr="009127FA">
              <w:t>$1,371,000</w:t>
            </w:r>
          </w:p>
        </w:tc>
      </w:tr>
      <w:tr w:rsidR="00F61557" w:rsidRPr="009355D6" w14:paraId="0FAD73BA" w14:textId="77777777" w:rsidTr="00E83176">
        <w:tc>
          <w:tcPr>
            <w:tcW w:w="2481" w:type="dxa"/>
          </w:tcPr>
          <w:p w14:paraId="0FAD73B5" w14:textId="77777777" w:rsidR="00F61557" w:rsidRPr="006E1007" w:rsidRDefault="00F61557" w:rsidP="00EE1732">
            <w:r w:rsidRPr="006E1007">
              <w:t>Low Income</w:t>
            </w:r>
          </w:p>
        </w:tc>
        <w:tc>
          <w:tcPr>
            <w:tcW w:w="1670" w:type="dxa"/>
            <w:shd w:val="clear" w:color="auto" w:fill="auto"/>
            <w:vAlign w:val="bottom"/>
          </w:tcPr>
          <w:p w14:paraId="0FAD73B6" w14:textId="77777777" w:rsidR="00F61557" w:rsidRPr="005F6C8B" w:rsidRDefault="00F61557" w:rsidP="00EE1732">
            <w:pPr>
              <w:jc w:val="right"/>
            </w:pPr>
            <w:r>
              <w:t>46,000</w:t>
            </w:r>
          </w:p>
        </w:tc>
        <w:tc>
          <w:tcPr>
            <w:tcW w:w="1654" w:type="dxa"/>
            <w:shd w:val="clear" w:color="auto" w:fill="auto"/>
            <w:vAlign w:val="bottom"/>
          </w:tcPr>
          <w:p w14:paraId="0FAD73B7" w14:textId="77777777" w:rsidR="00F61557" w:rsidRPr="005F6C8B" w:rsidRDefault="00F61557" w:rsidP="00EE1732">
            <w:pPr>
              <w:jc w:val="right"/>
            </w:pPr>
            <w:r w:rsidRPr="005F6C8B">
              <w:t>$611,000</w:t>
            </w:r>
          </w:p>
        </w:tc>
        <w:tc>
          <w:tcPr>
            <w:tcW w:w="1654" w:type="dxa"/>
            <w:vAlign w:val="bottom"/>
          </w:tcPr>
          <w:p w14:paraId="0FAD73B8" w14:textId="77777777" w:rsidR="00F61557" w:rsidRPr="00BA0896" w:rsidRDefault="00F61557" w:rsidP="00EE1732">
            <w:pPr>
              <w:jc w:val="right"/>
              <w:rPr>
                <w:highlight w:val="yellow"/>
              </w:rPr>
            </w:pPr>
            <w:r w:rsidRPr="00E14A9D">
              <w:t>48,000</w:t>
            </w:r>
          </w:p>
        </w:tc>
        <w:tc>
          <w:tcPr>
            <w:tcW w:w="1654" w:type="dxa"/>
            <w:vAlign w:val="bottom"/>
          </w:tcPr>
          <w:p w14:paraId="0FAD73B9" w14:textId="77777777" w:rsidR="00F61557" w:rsidRPr="00BA0896" w:rsidRDefault="00F61557" w:rsidP="00EE1732">
            <w:pPr>
              <w:jc w:val="right"/>
              <w:rPr>
                <w:highlight w:val="yellow"/>
              </w:rPr>
            </w:pPr>
            <w:r w:rsidRPr="009127FA">
              <w:t>$1,154,000</w:t>
            </w:r>
          </w:p>
        </w:tc>
      </w:tr>
      <w:tr w:rsidR="00F61557" w:rsidRPr="009355D6" w14:paraId="0FAD73C0" w14:textId="77777777" w:rsidTr="00E83176">
        <w:tc>
          <w:tcPr>
            <w:tcW w:w="2481" w:type="dxa"/>
          </w:tcPr>
          <w:p w14:paraId="0FAD73BB" w14:textId="77777777" w:rsidR="00F61557" w:rsidRPr="009355D6" w:rsidRDefault="00F61557" w:rsidP="00EE1732">
            <w:r w:rsidRPr="009355D6">
              <w:t>Non-Residential</w:t>
            </w:r>
          </w:p>
        </w:tc>
        <w:tc>
          <w:tcPr>
            <w:tcW w:w="1670" w:type="dxa"/>
            <w:vAlign w:val="bottom"/>
          </w:tcPr>
          <w:p w14:paraId="0FAD73BC" w14:textId="77777777" w:rsidR="00F61557" w:rsidRPr="00BA0896" w:rsidRDefault="00F61557" w:rsidP="00EE1732">
            <w:pPr>
              <w:jc w:val="right"/>
              <w:rPr>
                <w:highlight w:val="yellow"/>
              </w:rPr>
            </w:pPr>
            <w:r w:rsidRPr="00EE75AA">
              <w:t>551,000</w:t>
            </w:r>
          </w:p>
        </w:tc>
        <w:tc>
          <w:tcPr>
            <w:tcW w:w="1654" w:type="dxa"/>
            <w:vAlign w:val="bottom"/>
          </w:tcPr>
          <w:p w14:paraId="0FAD73BD" w14:textId="77777777" w:rsidR="00F61557" w:rsidRPr="00BA0896" w:rsidRDefault="00F61557" w:rsidP="00EE1732">
            <w:pPr>
              <w:jc w:val="right"/>
              <w:rPr>
                <w:highlight w:val="yellow"/>
              </w:rPr>
            </w:pPr>
            <w:r w:rsidRPr="00EE75AA">
              <w:t>$1,703,000</w:t>
            </w:r>
          </w:p>
        </w:tc>
        <w:tc>
          <w:tcPr>
            <w:tcW w:w="1654" w:type="dxa"/>
            <w:vAlign w:val="bottom"/>
          </w:tcPr>
          <w:p w14:paraId="0FAD73BE" w14:textId="77777777" w:rsidR="00F61557" w:rsidRPr="00BA0896" w:rsidRDefault="00F61557" w:rsidP="00EE1732">
            <w:pPr>
              <w:jc w:val="right"/>
              <w:rPr>
                <w:highlight w:val="yellow"/>
              </w:rPr>
            </w:pPr>
            <w:r w:rsidRPr="00E14A9D">
              <w:t>602,000</w:t>
            </w:r>
          </w:p>
        </w:tc>
        <w:tc>
          <w:tcPr>
            <w:tcW w:w="1654" w:type="dxa"/>
            <w:vAlign w:val="bottom"/>
          </w:tcPr>
          <w:p w14:paraId="0FAD73BF" w14:textId="77777777" w:rsidR="00F61557" w:rsidRPr="00BA0896" w:rsidRDefault="00F61557" w:rsidP="00EE1732">
            <w:pPr>
              <w:jc w:val="right"/>
              <w:rPr>
                <w:highlight w:val="yellow"/>
              </w:rPr>
            </w:pPr>
            <w:r w:rsidRPr="009127FA">
              <w:t>$1,220,000</w:t>
            </w:r>
          </w:p>
        </w:tc>
      </w:tr>
      <w:tr w:rsidR="00F61557" w:rsidRPr="009355D6" w14:paraId="0FAD73C6" w14:textId="77777777" w:rsidTr="00E83176">
        <w:tc>
          <w:tcPr>
            <w:tcW w:w="2481" w:type="dxa"/>
          </w:tcPr>
          <w:p w14:paraId="0FAD73C1" w14:textId="77777777" w:rsidR="00F61557" w:rsidRPr="009355D6" w:rsidRDefault="00F61557" w:rsidP="00EE1732">
            <w:r>
              <w:t>NEEA</w:t>
            </w:r>
          </w:p>
        </w:tc>
        <w:tc>
          <w:tcPr>
            <w:tcW w:w="1670" w:type="dxa"/>
            <w:vAlign w:val="bottom"/>
          </w:tcPr>
          <w:p w14:paraId="0FAD73C2" w14:textId="77777777" w:rsidR="00F61557" w:rsidRPr="000878D6" w:rsidRDefault="00F61557" w:rsidP="00EE1732">
            <w:pPr>
              <w:jc w:val="right"/>
            </w:pPr>
            <w:r w:rsidRPr="000878D6">
              <w:t>0</w:t>
            </w:r>
          </w:p>
        </w:tc>
        <w:tc>
          <w:tcPr>
            <w:tcW w:w="1654" w:type="dxa"/>
            <w:vAlign w:val="bottom"/>
          </w:tcPr>
          <w:p w14:paraId="0FAD73C3" w14:textId="77777777" w:rsidR="00F61557" w:rsidRPr="000878D6" w:rsidRDefault="00F61557" w:rsidP="00EE1732">
            <w:pPr>
              <w:jc w:val="right"/>
            </w:pPr>
            <w:r w:rsidRPr="000878D6">
              <w:t>$792,000</w:t>
            </w:r>
          </w:p>
        </w:tc>
        <w:tc>
          <w:tcPr>
            <w:tcW w:w="1654" w:type="dxa"/>
            <w:vAlign w:val="bottom"/>
          </w:tcPr>
          <w:p w14:paraId="0FAD73C4" w14:textId="77777777" w:rsidR="00F61557" w:rsidRPr="00092852" w:rsidRDefault="00F61557" w:rsidP="00EE1732">
            <w:pPr>
              <w:jc w:val="right"/>
            </w:pPr>
            <w:r w:rsidRPr="00092852">
              <w:t>0</w:t>
            </w:r>
          </w:p>
        </w:tc>
        <w:tc>
          <w:tcPr>
            <w:tcW w:w="1654" w:type="dxa"/>
            <w:vAlign w:val="bottom"/>
          </w:tcPr>
          <w:p w14:paraId="0FAD73C5" w14:textId="77777777" w:rsidR="00F61557" w:rsidRPr="00092852" w:rsidRDefault="00F61557" w:rsidP="00EE1732">
            <w:pPr>
              <w:jc w:val="right"/>
            </w:pPr>
            <w:r w:rsidRPr="00092852">
              <w:t>$100,000</w:t>
            </w:r>
          </w:p>
        </w:tc>
      </w:tr>
      <w:tr w:rsidR="00F61557" w:rsidRPr="009355D6" w14:paraId="0FAD73CC" w14:textId="77777777" w:rsidTr="00E83176">
        <w:tc>
          <w:tcPr>
            <w:tcW w:w="2481" w:type="dxa"/>
          </w:tcPr>
          <w:p w14:paraId="0FAD73C7" w14:textId="77777777" w:rsidR="00F61557" w:rsidRPr="00810777" w:rsidRDefault="00F61557" w:rsidP="00EE1732">
            <w:r>
              <w:t>A</w:t>
            </w:r>
            <w:r w:rsidRPr="00810777">
              <w:t>dmin</w:t>
            </w:r>
            <w:r>
              <w:t>istration/Other</w:t>
            </w:r>
          </w:p>
        </w:tc>
        <w:tc>
          <w:tcPr>
            <w:tcW w:w="1670" w:type="dxa"/>
            <w:vAlign w:val="bottom"/>
          </w:tcPr>
          <w:p w14:paraId="0FAD73C8" w14:textId="77777777" w:rsidR="00F61557" w:rsidRPr="001142E4" w:rsidRDefault="00F61557" w:rsidP="00EE1732">
            <w:pPr>
              <w:jc w:val="right"/>
            </w:pPr>
            <w:r w:rsidRPr="001142E4">
              <w:t>-</w:t>
            </w:r>
          </w:p>
        </w:tc>
        <w:tc>
          <w:tcPr>
            <w:tcW w:w="1654" w:type="dxa"/>
            <w:vAlign w:val="bottom"/>
          </w:tcPr>
          <w:p w14:paraId="0FAD73C9" w14:textId="77777777" w:rsidR="00F61557" w:rsidRPr="001142E4" w:rsidRDefault="00F61557" w:rsidP="00EE1732">
            <w:pPr>
              <w:jc w:val="right"/>
            </w:pPr>
            <w:r>
              <w:t>$2,639</w:t>
            </w:r>
            <w:r w:rsidRPr="001142E4">
              <w:t>,000</w:t>
            </w:r>
          </w:p>
        </w:tc>
        <w:tc>
          <w:tcPr>
            <w:tcW w:w="1654" w:type="dxa"/>
            <w:vAlign w:val="bottom"/>
          </w:tcPr>
          <w:p w14:paraId="0FAD73CA" w14:textId="77777777" w:rsidR="00F61557" w:rsidRPr="00092852" w:rsidRDefault="00F61557" w:rsidP="00EE1732">
            <w:pPr>
              <w:jc w:val="right"/>
            </w:pPr>
            <w:r>
              <w:t>-</w:t>
            </w:r>
          </w:p>
        </w:tc>
        <w:tc>
          <w:tcPr>
            <w:tcW w:w="1654" w:type="dxa"/>
            <w:vAlign w:val="bottom"/>
          </w:tcPr>
          <w:p w14:paraId="0FAD73CB" w14:textId="77777777" w:rsidR="00F61557" w:rsidRPr="00092852" w:rsidRDefault="00F61557" w:rsidP="00EE1732">
            <w:pPr>
              <w:jc w:val="right"/>
            </w:pPr>
            <w:r>
              <w:t>$2,415</w:t>
            </w:r>
            <w:r w:rsidRPr="00092852">
              <w:t>,000</w:t>
            </w:r>
          </w:p>
        </w:tc>
      </w:tr>
      <w:tr w:rsidR="00F61557" w:rsidRPr="00810777" w14:paraId="0FAD73D2" w14:textId="77777777" w:rsidTr="00E83176">
        <w:tc>
          <w:tcPr>
            <w:tcW w:w="2481" w:type="dxa"/>
          </w:tcPr>
          <w:p w14:paraId="0FAD73CD" w14:textId="77777777" w:rsidR="00F61557" w:rsidRPr="00810777" w:rsidRDefault="00F61557" w:rsidP="00EE1732">
            <w:pPr>
              <w:rPr>
                <w:b/>
              </w:rPr>
            </w:pPr>
            <w:r w:rsidRPr="00810777">
              <w:rPr>
                <w:b/>
              </w:rPr>
              <w:t>Total</w:t>
            </w:r>
          </w:p>
        </w:tc>
        <w:tc>
          <w:tcPr>
            <w:tcW w:w="1670" w:type="dxa"/>
            <w:vAlign w:val="bottom"/>
          </w:tcPr>
          <w:p w14:paraId="0FAD73CE" w14:textId="77777777" w:rsidR="00F61557" w:rsidRPr="00D02A26" w:rsidRDefault="00F61557" w:rsidP="00EE1732">
            <w:pPr>
              <w:jc w:val="right"/>
              <w:rPr>
                <w:b/>
              </w:rPr>
            </w:pPr>
            <w:r>
              <w:rPr>
                <w:b/>
              </w:rPr>
              <w:t>1,136,000</w:t>
            </w:r>
          </w:p>
        </w:tc>
        <w:tc>
          <w:tcPr>
            <w:tcW w:w="1654" w:type="dxa"/>
            <w:vAlign w:val="bottom"/>
          </w:tcPr>
          <w:p w14:paraId="0FAD73CF" w14:textId="77777777" w:rsidR="00F61557" w:rsidRPr="00D02A26" w:rsidRDefault="00F61557" w:rsidP="00EE1732">
            <w:pPr>
              <w:jc w:val="right"/>
              <w:rPr>
                <w:b/>
              </w:rPr>
            </w:pPr>
            <w:r>
              <w:rPr>
                <w:b/>
              </w:rPr>
              <w:t>$7,351</w:t>
            </w:r>
            <w:r w:rsidRPr="00D02A26">
              <w:rPr>
                <w:b/>
              </w:rPr>
              <w:t>,000</w:t>
            </w:r>
          </w:p>
        </w:tc>
        <w:tc>
          <w:tcPr>
            <w:tcW w:w="1654" w:type="dxa"/>
            <w:vAlign w:val="bottom"/>
          </w:tcPr>
          <w:p w14:paraId="0FAD73D0" w14:textId="77777777" w:rsidR="00F61557" w:rsidRPr="000878D6" w:rsidRDefault="00F61557" w:rsidP="00EE1732">
            <w:pPr>
              <w:jc w:val="right"/>
              <w:rPr>
                <w:b/>
                <w:highlight w:val="yellow"/>
              </w:rPr>
            </w:pPr>
            <w:r w:rsidRPr="004C20AA">
              <w:rPr>
                <w:b/>
              </w:rPr>
              <w:t>1,155,000</w:t>
            </w:r>
          </w:p>
        </w:tc>
        <w:tc>
          <w:tcPr>
            <w:tcW w:w="1654" w:type="dxa"/>
            <w:vAlign w:val="bottom"/>
          </w:tcPr>
          <w:p w14:paraId="0FAD73D1" w14:textId="77777777" w:rsidR="00F61557" w:rsidRPr="000878D6" w:rsidRDefault="00F61557" w:rsidP="00EE1732">
            <w:pPr>
              <w:jc w:val="right"/>
              <w:rPr>
                <w:b/>
                <w:highlight w:val="yellow"/>
              </w:rPr>
            </w:pPr>
            <w:r>
              <w:rPr>
                <w:b/>
              </w:rPr>
              <w:t>$6,260</w:t>
            </w:r>
            <w:r w:rsidRPr="00092852">
              <w:rPr>
                <w:b/>
              </w:rPr>
              <w:t>,000</w:t>
            </w:r>
          </w:p>
        </w:tc>
      </w:tr>
    </w:tbl>
    <w:p w14:paraId="0FAD73D3" w14:textId="77777777" w:rsidR="00F61557" w:rsidRDefault="00F61557" w:rsidP="00EE1732">
      <w:pPr>
        <w:spacing w:after="240" w:line="288" w:lineRule="auto"/>
      </w:pPr>
    </w:p>
    <w:p w14:paraId="0FAD73D4" w14:textId="77777777" w:rsidR="00F61557" w:rsidRDefault="00F61557" w:rsidP="0036376B">
      <w:pPr>
        <w:numPr>
          <w:ilvl w:val="0"/>
          <w:numId w:val="1"/>
        </w:numPr>
        <w:tabs>
          <w:tab w:val="clear" w:pos="720"/>
          <w:tab w:val="left" w:pos="0"/>
        </w:tabs>
        <w:spacing w:after="240" w:line="288" w:lineRule="auto"/>
        <w:ind w:left="0"/>
      </w:pPr>
      <w:r>
        <w:t xml:space="preserve">Avista’s 2016-2017 business plan for its natural gas programs is remarkably similar to the plan for the previous biennium. This makes sense given the continued operation under the utility cost test (UCT) cost-effectiveness metric, persistent low gas prices, and Avista’s lack of capacity acquisition needs for the foreseeable future. For the 2016-2017 biennium Avista expects to achieve a UCT benefit-to-cost ratio of 2.0 and a </w:t>
      </w:r>
      <w:r w:rsidRPr="00571CB6">
        <w:t>TRC</w:t>
      </w:r>
      <w:r>
        <w:t xml:space="preserve"> test ratio of 0.9.</w:t>
      </w:r>
    </w:p>
    <w:p w14:paraId="0FAD73D5" w14:textId="0E66E319" w:rsidR="00A11CA7" w:rsidRDefault="00FD3C67" w:rsidP="0036376B">
      <w:pPr>
        <w:numPr>
          <w:ilvl w:val="0"/>
          <w:numId w:val="1"/>
        </w:numPr>
        <w:tabs>
          <w:tab w:val="clear" w:pos="720"/>
          <w:tab w:val="left" w:pos="0"/>
        </w:tabs>
        <w:spacing w:after="240" w:line="288" w:lineRule="auto"/>
        <w:ind w:left="0"/>
      </w:pPr>
      <w:r>
        <w:t xml:space="preserve">Commission </w:t>
      </w:r>
      <w:r w:rsidR="0036376B">
        <w:t>S</w:t>
      </w:r>
      <w:r>
        <w:t xml:space="preserve">taff </w:t>
      </w:r>
      <w:r w:rsidR="00352140">
        <w:t xml:space="preserve">filed comments in this docket </w:t>
      </w:r>
      <w:r w:rsidR="00211ED8">
        <w:t>detailing</w:t>
      </w:r>
      <w:r w:rsidR="00352140">
        <w:t xml:space="preserve"> its evaluation of </w:t>
      </w:r>
      <w:r w:rsidR="008442B7">
        <w:t>Avista</w:t>
      </w:r>
      <w:r w:rsidR="00352140">
        <w:t xml:space="preserve">’s filing. </w:t>
      </w:r>
      <w:r w:rsidR="00456662">
        <w:t xml:space="preserve">Staff believes Avista’s proposed conservation potential, as amended in its January </w:t>
      </w:r>
      <w:r w:rsidR="00456662" w:rsidRPr="00A43E3E">
        <w:t>5</w:t>
      </w:r>
      <w:r w:rsidR="00456662">
        <w:t xml:space="preserve">, 2016, filing, and supplemented on January 6, 2015, is appropriate, and </w:t>
      </w:r>
      <w:r w:rsidR="00B70F89">
        <w:t xml:space="preserve">recommends its approval, subject to the conditions in </w:t>
      </w:r>
      <w:r w:rsidR="004B7594">
        <w:t>Appendix</w:t>
      </w:r>
      <w:r w:rsidR="00B70F89">
        <w:t xml:space="preserve"> A</w:t>
      </w:r>
      <w:r w:rsidR="004B7594">
        <w:t xml:space="preserve"> attached to this Order</w:t>
      </w:r>
      <w:r w:rsidR="00352140">
        <w:t xml:space="preserve">. </w:t>
      </w:r>
    </w:p>
    <w:p w14:paraId="0FAD73D6" w14:textId="77777777" w:rsidR="00456662" w:rsidRDefault="00456662" w:rsidP="0036376B">
      <w:pPr>
        <w:numPr>
          <w:ilvl w:val="0"/>
          <w:numId w:val="1"/>
        </w:numPr>
        <w:tabs>
          <w:tab w:val="clear" w:pos="720"/>
          <w:tab w:val="left" w:pos="0"/>
        </w:tabs>
        <w:spacing w:after="240" w:line="288" w:lineRule="auto"/>
        <w:ind w:left="0"/>
      </w:pPr>
      <w:r>
        <w:t>Staff’s delay in recommending approval of Avista’s filing was due to two main factors: 1) Avista’s forward market price curve appeared disproportionately low as compared to its peer utilities, and 2) Avista’s complete reliance on a third-party consultant for derivation of its achievable conservation potential. Other regulated utilities rely on a third-party consultant to identify the technical potential (i.e., all conservation potential regardless of cost or uptake limitations), while the calculation of achievable potential is done through resource selection in the IRP model. If the achievable potential is not identified through the IRP model, conservation resource selection will not have been done in a manner consistent with the selection of other resources.</w:t>
      </w:r>
    </w:p>
    <w:p w14:paraId="0FAD73D7" w14:textId="60704998" w:rsidR="00456662" w:rsidRDefault="00456662" w:rsidP="0036376B">
      <w:pPr>
        <w:numPr>
          <w:ilvl w:val="0"/>
          <w:numId w:val="1"/>
        </w:numPr>
        <w:tabs>
          <w:tab w:val="clear" w:pos="720"/>
          <w:tab w:val="left" w:pos="0"/>
        </w:tabs>
        <w:spacing w:after="240" w:line="288" w:lineRule="auto"/>
        <w:ind w:left="0"/>
      </w:pPr>
      <w:r>
        <w:lastRenderedPageBreak/>
        <w:t>Although Staff is now satisfied that Avista’s forward price curve for electricity is reasonable, Staff believes that additional scrutiny through the Energy Efficiency Advisory Group is appropriate given the substantial influence of market price on conservation resource selection. Therefore, additional language has been added to condition 3(b) of</w:t>
      </w:r>
      <w:r w:rsidR="00391184">
        <w:t xml:space="preserve"> Appendix</w:t>
      </w:r>
      <w:r>
        <w:t xml:space="preserve"> A to enable additional input from the Advisory Group. </w:t>
      </w:r>
    </w:p>
    <w:p w14:paraId="0FAD73D8" w14:textId="23FC72E0" w:rsidR="00456662" w:rsidRPr="00B36BDF" w:rsidRDefault="00456662" w:rsidP="0036376B">
      <w:pPr>
        <w:numPr>
          <w:ilvl w:val="0"/>
          <w:numId w:val="1"/>
        </w:numPr>
        <w:tabs>
          <w:tab w:val="clear" w:pos="720"/>
          <w:tab w:val="left" w:pos="0"/>
        </w:tabs>
        <w:spacing w:after="240" w:line="288" w:lineRule="auto"/>
        <w:ind w:left="0"/>
      </w:pPr>
      <w:r>
        <w:t xml:space="preserve">To ensure consistency between utilities and to ensure that conservation resources are competing directly with generation resources for meeting load in a least-cost/least-risk manner, Avista should identify its achievable conservation potential through its IRP model for future BCPs. To guide the </w:t>
      </w:r>
      <w:r w:rsidR="00F61557">
        <w:t>C</w:t>
      </w:r>
      <w:r>
        <w:t>ompany on this matter, an additional condition has been added to A</w:t>
      </w:r>
      <w:r w:rsidR="00391184">
        <w:t>ppendix</w:t>
      </w:r>
      <w:r>
        <w:t xml:space="preserve"> A as 10(a).</w:t>
      </w:r>
    </w:p>
    <w:p w14:paraId="0FAD73D9" w14:textId="77777777" w:rsidR="00595C0A" w:rsidRDefault="00FD3C67" w:rsidP="0036376B">
      <w:pPr>
        <w:numPr>
          <w:ilvl w:val="0"/>
          <w:numId w:val="1"/>
        </w:numPr>
        <w:tabs>
          <w:tab w:val="clear" w:pos="720"/>
          <w:tab w:val="left" w:pos="0"/>
        </w:tabs>
        <w:spacing w:after="240" w:line="288" w:lineRule="auto"/>
        <w:ind w:left="0"/>
      </w:pPr>
      <w:r>
        <w:t>Other than S</w:t>
      </w:r>
      <w:r w:rsidR="00C5634F">
        <w:t xml:space="preserve">taff, Public Counsel was the only party to file comments. </w:t>
      </w:r>
      <w:r w:rsidR="00EE1732">
        <w:t>Public Counsel raised concerns</w:t>
      </w:r>
      <w:r w:rsidR="00F61557">
        <w:t xml:space="preserve"> consistent with those </w:t>
      </w:r>
      <w:r w:rsidR="00EE1732">
        <w:t>raised</w:t>
      </w:r>
      <w:r w:rsidR="00F61557">
        <w:t xml:space="preserve"> by Staff. Specifically, Public Counsel identified issues with Avista’s treatment of NEEA and Opower, and noted the comparatively low conservation potential in the CPA. Additionally, Public Counsel noted that Avista has committed to updating its unit energy savings (UES) values annually. Although Staff does not believe it is necessary to update UES values annually, Staff supports Avista’s decision. Staff notes here that, in updating UES values annually, Avista voluntarily makes it more challenging to achieve its target</w:t>
      </w:r>
      <w:r w:rsidR="00B70F89">
        <w:t>.</w:t>
      </w:r>
    </w:p>
    <w:p w14:paraId="0FAD73DA" w14:textId="77777777" w:rsidR="00665C6E" w:rsidRPr="00352140" w:rsidRDefault="00665C6E" w:rsidP="00EE1732">
      <w:pPr>
        <w:spacing w:after="240" w:line="288" w:lineRule="auto"/>
        <w:jc w:val="center"/>
        <w:rPr>
          <w:b/>
        </w:rPr>
      </w:pPr>
      <w:r w:rsidRPr="00352140">
        <w:rPr>
          <w:b/>
        </w:rPr>
        <w:t xml:space="preserve">DISCUSSION </w:t>
      </w:r>
    </w:p>
    <w:p w14:paraId="0FAD73DB" w14:textId="2548E6D1" w:rsidR="00FD4E91" w:rsidRPr="00B36BDF" w:rsidRDefault="00FD4E91" w:rsidP="0036376B">
      <w:pPr>
        <w:numPr>
          <w:ilvl w:val="0"/>
          <w:numId w:val="1"/>
        </w:numPr>
        <w:tabs>
          <w:tab w:val="clear" w:pos="720"/>
          <w:tab w:val="left" w:pos="0"/>
        </w:tabs>
        <w:spacing w:after="240" w:line="288" w:lineRule="auto"/>
        <w:ind w:left="0"/>
      </w:pPr>
      <w:r w:rsidRPr="00B36BDF">
        <w:t>Under RCW 19.285.040(1)(e), the Commission has authority to “rely on its standard practice for review and approval of investor-owned utility conservation targets.”  WAC 480</w:t>
      </w:r>
      <w:r w:rsidRPr="00B36BDF">
        <w:noBreakHyphen/>
        <w:t>109</w:t>
      </w:r>
      <w:r w:rsidRPr="00B36BDF">
        <w:noBreakHyphen/>
        <w:t>010 guides investor-owned utilities’ comp</w:t>
      </w:r>
      <w:r w:rsidR="004848D5">
        <w:t xml:space="preserve">liance with RCW 19.285.040(1). </w:t>
      </w:r>
      <w:r w:rsidR="00CC328D" w:rsidRPr="00B36BDF">
        <w:t>Specifically, WAC 480-109-010(4) (c) provides that:</w:t>
      </w:r>
    </w:p>
    <w:p w14:paraId="0FAD73DC" w14:textId="77777777" w:rsidR="00CC328D" w:rsidRPr="00B36BDF" w:rsidRDefault="00CC328D" w:rsidP="0036376B">
      <w:pPr>
        <w:tabs>
          <w:tab w:val="left" w:pos="0"/>
        </w:tabs>
        <w:spacing w:after="240" w:line="288" w:lineRule="auto"/>
        <w:ind w:left="720"/>
      </w:pPr>
      <w:r w:rsidRPr="00B36BDF">
        <w:t>Upon conclusion of the commission review, the commission will determine whether to approve, approve with co</w:t>
      </w:r>
      <w:r w:rsidR="00583F5A">
        <w:t>nditions, or reject the utility’</w:t>
      </w:r>
      <w:r w:rsidRPr="00B36BDF">
        <w:t>s ten-year achievable conservation potential and biennial conservation target.</w:t>
      </w:r>
    </w:p>
    <w:p w14:paraId="0FAD73DD" w14:textId="3048291A" w:rsidR="00B30190" w:rsidRPr="00B36BDF" w:rsidRDefault="00D4218C" w:rsidP="0036376B">
      <w:pPr>
        <w:numPr>
          <w:ilvl w:val="0"/>
          <w:numId w:val="1"/>
        </w:numPr>
        <w:tabs>
          <w:tab w:val="clear" w:pos="720"/>
          <w:tab w:val="left" w:pos="0"/>
        </w:tabs>
        <w:spacing w:after="240" w:line="288" w:lineRule="auto"/>
        <w:ind w:left="0"/>
      </w:pPr>
      <w:r w:rsidRPr="00B36BDF">
        <w:t xml:space="preserve">The Commission agrees with </w:t>
      </w:r>
      <w:r w:rsidR="00352140">
        <w:t>Staff’s recommendation and</w:t>
      </w:r>
      <w:r w:rsidR="006F611D" w:rsidRPr="00B36BDF">
        <w:t xml:space="preserve"> approve</w:t>
      </w:r>
      <w:r w:rsidR="00352140">
        <w:t>s</w:t>
      </w:r>
      <w:r w:rsidR="006F611D" w:rsidRPr="00B36BDF">
        <w:t xml:space="preserve"> </w:t>
      </w:r>
      <w:r w:rsidR="00F61557">
        <w:t>Avista</w:t>
      </w:r>
      <w:r w:rsidR="00D036E8" w:rsidRPr="00B36BDF">
        <w:t>’</w:t>
      </w:r>
      <w:r w:rsidR="006F611D" w:rsidRPr="00B36BDF">
        <w:t>s 201</w:t>
      </w:r>
      <w:r w:rsidR="00352140">
        <w:t>6</w:t>
      </w:r>
      <w:r w:rsidR="006F611D" w:rsidRPr="00B36BDF">
        <w:t>-202</w:t>
      </w:r>
      <w:r w:rsidR="00352140">
        <w:t>5</w:t>
      </w:r>
      <w:r w:rsidR="006F611D" w:rsidRPr="00B36BDF">
        <w:t xml:space="preserve"> achievable conservation potential of </w:t>
      </w:r>
      <w:r w:rsidR="00F61557">
        <w:t xml:space="preserve">383,063 </w:t>
      </w:r>
      <w:r w:rsidR="006F611D" w:rsidRPr="00B36BDF">
        <w:t>MWh and its 201</w:t>
      </w:r>
      <w:r w:rsidR="00FD3C67">
        <w:t>6</w:t>
      </w:r>
      <w:r w:rsidR="006F611D" w:rsidRPr="00B36BDF">
        <w:t>-201</w:t>
      </w:r>
      <w:r w:rsidR="00FD3C67">
        <w:t>7</w:t>
      </w:r>
      <w:r w:rsidR="006F611D" w:rsidRPr="00B36BDF">
        <w:t xml:space="preserve"> biennial conservation target of </w:t>
      </w:r>
      <w:r w:rsidR="002A7AF4">
        <w:t>72,626</w:t>
      </w:r>
      <w:r w:rsidR="00F61557">
        <w:t xml:space="preserve"> </w:t>
      </w:r>
      <w:r w:rsidR="006F611D" w:rsidRPr="00B36BDF">
        <w:t>MWh</w:t>
      </w:r>
      <w:r w:rsidR="00C20298">
        <w:t xml:space="preserve"> subject to the conditions set forth in </w:t>
      </w:r>
      <w:r w:rsidR="004B7594">
        <w:t>Appendix</w:t>
      </w:r>
      <w:r w:rsidR="00C20298">
        <w:t xml:space="preserve"> A</w:t>
      </w:r>
      <w:r w:rsidR="00583F5A" w:rsidRPr="004454CF">
        <w:t>.</w:t>
      </w:r>
      <w:r w:rsidR="00583F5A">
        <w:t xml:space="preserve"> </w:t>
      </w:r>
      <w:r w:rsidR="00EE1732">
        <w:br/>
      </w:r>
      <w:r w:rsidR="00EE1732">
        <w:br/>
      </w:r>
    </w:p>
    <w:p w14:paraId="0FAD73DE" w14:textId="77777777" w:rsidR="00AB4CD3" w:rsidRPr="00352140" w:rsidRDefault="00AB4CD3" w:rsidP="0036376B">
      <w:pPr>
        <w:tabs>
          <w:tab w:val="left" w:pos="0"/>
        </w:tabs>
        <w:spacing w:after="240" w:line="288" w:lineRule="auto"/>
        <w:ind w:left="-360" w:firstLine="360"/>
        <w:jc w:val="center"/>
        <w:rPr>
          <w:b/>
        </w:rPr>
      </w:pPr>
      <w:r w:rsidRPr="00352140">
        <w:rPr>
          <w:b/>
        </w:rPr>
        <w:lastRenderedPageBreak/>
        <w:t>FINDINGS AND CONCLUSIONS</w:t>
      </w:r>
    </w:p>
    <w:p w14:paraId="0FAD73DF" w14:textId="77777777" w:rsidR="00AB4CD3" w:rsidRPr="00B36BDF" w:rsidRDefault="00AB4CD3" w:rsidP="0036376B">
      <w:pPr>
        <w:numPr>
          <w:ilvl w:val="0"/>
          <w:numId w:val="1"/>
        </w:numPr>
        <w:tabs>
          <w:tab w:val="clear" w:pos="720"/>
          <w:tab w:val="left" w:pos="0"/>
        </w:tabs>
        <w:spacing w:after="240" w:line="288" w:lineRule="auto"/>
        <w:ind w:hanging="1440"/>
        <w:rPr>
          <w:b/>
        </w:rPr>
      </w:pPr>
      <w:r w:rsidRPr="00B36BDF">
        <w:t>(1)</w:t>
      </w:r>
      <w:r w:rsidRPr="00B36BDF">
        <w:tab/>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w:t>
      </w:r>
      <w:r w:rsidRPr="00B36BDF">
        <w:rPr>
          <w:b/>
        </w:rPr>
        <w:t xml:space="preserve"> </w:t>
      </w:r>
      <w:r w:rsidRPr="00B36BDF">
        <w:t xml:space="preserve">companies.  </w:t>
      </w:r>
    </w:p>
    <w:p w14:paraId="0FAD73E0" w14:textId="77777777" w:rsidR="00AB4CD3" w:rsidRPr="00B36BDF" w:rsidRDefault="00AB4CD3" w:rsidP="0036376B">
      <w:pPr>
        <w:numPr>
          <w:ilvl w:val="0"/>
          <w:numId w:val="1"/>
        </w:numPr>
        <w:tabs>
          <w:tab w:val="clear" w:pos="720"/>
          <w:tab w:val="left" w:pos="0"/>
        </w:tabs>
        <w:spacing w:after="240" w:line="288" w:lineRule="auto"/>
        <w:ind w:hanging="1440"/>
        <w:rPr>
          <w:b/>
        </w:rPr>
      </w:pPr>
      <w:r w:rsidRPr="00B36BDF">
        <w:t>(2)</w:t>
      </w:r>
      <w:r w:rsidRPr="00B36BDF">
        <w:tab/>
        <w:t>The Commission has authority to determine investor-owned utilities’ compliance with RCW 19.285.040(1). The Commission has authority to review and decide whether to approve investor-owned utility conservation targets. The Commission may rely on its standard practice in exercising that authority. The Commission has adopted WAC 480</w:t>
      </w:r>
      <w:r w:rsidRPr="00B36BDF">
        <w:noBreakHyphen/>
        <w:t>109</w:t>
      </w:r>
      <w:r w:rsidRPr="00B36BDF">
        <w:noBreakHyphen/>
        <w:t>010 to implement RCW 19.285.040(1).</w:t>
      </w:r>
    </w:p>
    <w:p w14:paraId="0FAD73E1" w14:textId="77777777" w:rsidR="00AB4CD3" w:rsidRPr="00B36BDF" w:rsidRDefault="00B02A59" w:rsidP="0036376B">
      <w:pPr>
        <w:numPr>
          <w:ilvl w:val="0"/>
          <w:numId w:val="1"/>
        </w:numPr>
        <w:tabs>
          <w:tab w:val="clear" w:pos="720"/>
          <w:tab w:val="left" w:pos="0"/>
        </w:tabs>
        <w:spacing w:after="240" w:line="288" w:lineRule="auto"/>
        <w:ind w:hanging="1440"/>
        <w:rPr>
          <w:b/>
        </w:rPr>
      </w:pPr>
      <w:r w:rsidRPr="00B36BDF">
        <w:t>(3</w:t>
      </w:r>
      <w:r w:rsidR="00AB4CD3" w:rsidRPr="00B36BDF">
        <w:t>)</w:t>
      </w:r>
      <w:r w:rsidR="00AB4CD3" w:rsidRPr="00B36BDF">
        <w:tab/>
      </w:r>
      <w:r w:rsidR="00F61557">
        <w:t>Avista</w:t>
      </w:r>
      <w:r w:rsidR="00D036E8" w:rsidRPr="00B36BDF">
        <w:t xml:space="preserve"> </w:t>
      </w:r>
      <w:r w:rsidR="00AB4CD3" w:rsidRPr="00B36BDF">
        <w:t>is an</w:t>
      </w:r>
      <w:r w:rsidR="00AB4CD3" w:rsidRPr="00B36BDF">
        <w:rPr>
          <w:b/>
        </w:rPr>
        <w:t xml:space="preserve"> </w:t>
      </w:r>
      <w:r w:rsidR="00AB4CD3" w:rsidRPr="00B36BDF">
        <w:t xml:space="preserve">electric company and a public service company subject to Commission jurisdiction. </w:t>
      </w:r>
      <w:r w:rsidR="00F61557">
        <w:t>Avista</w:t>
      </w:r>
      <w:r w:rsidR="00583F5A" w:rsidRPr="00B36BDF">
        <w:t xml:space="preserve"> </w:t>
      </w:r>
      <w:r w:rsidR="00AB4CD3" w:rsidRPr="00B36BDF">
        <w:t>is a qualifying investor-owned electric utility under RCW 19.285.030</w:t>
      </w:r>
      <w:r w:rsidR="00FF58D6" w:rsidRPr="00B36BDF">
        <w:t>(19)</w:t>
      </w:r>
      <w:r w:rsidR="00AB4CD3" w:rsidRPr="00B36BDF">
        <w:t>.</w:t>
      </w:r>
    </w:p>
    <w:p w14:paraId="0FAD73E2" w14:textId="77777777" w:rsidR="00A3299A" w:rsidRPr="00B36BDF" w:rsidRDefault="00B02A59" w:rsidP="0036376B">
      <w:pPr>
        <w:numPr>
          <w:ilvl w:val="0"/>
          <w:numId w:val="1"/>
        </w:numPr>
        <w:tabs>
          <w:tab w:val="clear" w:pos="720"/>
          <w:tab w:val="left" w:pos="0"/>
        </w:tabs>
        <w:spacing w:after="240" w:line="288" w:lineRule="auto"/>
        <w:ind w:hanging="1440"/>
        <w:rPr>
          <w:b/>
        </w:rPr>
      </w:pPr>
      <w:r w:rsidRPr="00B36BDF">
        <w:t>(4</w:t>
      </w:r>
      <w:r w:rsidR="00A3299A" w:rsidRPr="00B36BDF">
        <w:t>)</w:t>
      </w:r>
      <w:r w:rsidR="00A3299A" w:rsidRPr="00B36BDF">
        <w:tab/>
      </w:r>
      <w:r w:rsidR="00583F5A">
        <w:t xml:space="preserve">On October </w:t>
      </w:r>
      <w:r w:rsidR="00F61557">
        <w:t>30</w:t>
      </w:r>
      <w:r w:rsidR="00A3299A" w:rsidRPr="00B36BDF">
        <w:t>, 201</w:t>
      </w:r>
      <w:r w:rsidR="00583F5A">
        <w:t>5</w:t>
      </w:r>
      <w:r w:rsidR="00A3299A" w:rsidRPr="00B36BDF">
        <w:t xml:space="preserve">, </w:t>
      </w:r>
      <w:r w:rsidR="00F61557">
        <w:t xml:space="preserve">Avista </w:t>
      </w:r>
      <w:r w:rsidR="00A3299A" w:rsidRPr="00B36BDF">
        <w:t xml:space="preserve">filed with the </w:t>
      </w:r>
      <w:r w:rsidR="00BB60CD" w:rsidRPr="00B36BDF">
        <w:t xml:space="preserve">Commission its </w:t>
      </w:r>
      <w:r w:rsidR="006F611D" w:rsidRPr="00B36BDF">
        <w:t>201</w:t>
      </w:r>
      <w:r w:rsidR="00583F5A">
        <w:t>6-2017</w:t>
      </w:r>
      <w:r w:rsidR="006F611D" w:rsidRPr="00B36BDF">
        <w:t xml:space="preserve"> Biennial Conservation R</w:t>
      </w:r>
      <w:r w:rsidR="00BB60CD" w:rsidRPr="00B36BDF">
        <w:t>eport</w:t>
      </w:r>
      <w:r w:rsidR="006F611D" w:rsidRPr="00B36BDF">
        <w:t xml:space="preserve"> </w:t>
      </w:r>
      <w:r w:rsidR="00BB60CD" w:rsidRPr="00B36BDF">
        <w:t xml:space="preserve">identifying </w:t>
      </w:r>
      <w:r w:rsidR="006F611D" w:rsidRPr="00B36BDF">
        <w:t>the Company’s</w:t>
      </w:r>
      <w:r w:rsidR="00BB60CD" w:rsidRPr="00B36BDF">
        <w:t xml:space="preserve"> 201</w:t>
      </w:r>
      <w:r w:rsidR="00583F5A">
        <w:t>6</w:t>
      </w:r>
      <w:r w:rsidR="00BB60CD" w:rsidRPr="00B36BDF">
        <w:t>-202</w:t>
      </w:r>
      <w:r w:rsidR="00583F5A">
        <w:t>5</w:t>
      </w:r>
      <w:r w:rsidR="00BB60CD" w:rsidRPr="00B36BDF">
        <w:t xml:space="preserve"> ten-year achievable conservation potential and 201</w:t>
      </w:r>
      <w:r w:rsidR="00583F5A">
        <w:t>6</w:t>
      </w:r>
      <w:r w:rsidR="00BB60CD" w:rsidRPr="00B36BDF">
        <w:t>-201</w:t>
      </w:r>
      <w:r w:rsidR="00583F5A">
        <w:t>7</w:t>
      </w:r>
      <w:r w:rsidR="00BB60CD" w:rsidRPr="00B36BDF">
        <w:t xml:space="preserve"> biennial conservation target.</w:t>
      </w:r>
    </w:p>
    <w:p w14:paraId="0FAD73E3" w14:textId="77777777" w:rsidR="001409E2" w:rsidRPr="00B36BDF" w:rsidRDefault="00B02A59" w:rsidP="0036376B">
      <w:pPr>
        <w:numPr>
          <w:ilvl w:val="0"/>
          <w:numId w:val="1"/>
        </w:numPr>
        <w:tabs>
          <w:tab w:val="clear" w:pos="720"/>
          <w:tab w:val="left" w:pos="0"/>
        </w:tabs>
        <w:spacing w:after="240" w:line="288" w:lineRule="auto"/>
        <w:ind w:hanging="1440"/>
      </w:pPr>
      <w:r w:rsidRPr="00B36BDF">
        <w:t>(5</w:t>
      </w:r>
      <w:r w:rsidR="00BB60CD" w:rsidRPr="00B36BDF">
        <w:t>)</w:t>
      </w:r>
      <w:r w:rsidR="00BB60CD" w:rsidRPr="00B36BDF">
        <w:tab/>
      </w:r>
      <w:r w:rsidR="00F61557">
        <w:t>Avista</w:t>
      </w:r>
      <w:r w:rsidR="001409E2" w:rsidRPr="00B36BDF">
        <w:t>’s 201</w:t>
      </w:r>
      <w:r w:rsidR="00583F5A">
        <w:t>6</w:t>
      </w:r>
      <w:r w:rsidR="001409E2" w:rsidRPr="00B36BDF">
        <w:t>-202</w:t>
      </w:r>
      <w:r w:rsidR="00583F5A">
        <w:t>5</w:t>
      </w:r>
      <w:r w:rsidR="001409E2" w:rsidRPr="00B36BDF">
        <w:t xml:space="preserve"> ten-year achievable conservation potential is consistent with RCW 19.285.040(1) and WAC 480-109-010(1). </w:t>
      </w:r>
      <w:r w:rsidR="00F61557">
        <w:t>Avista</w:t>
      </w:r>
      <w:r w:rsidR="009658A0" w:rsidRPr="00B36BDF">
        <w:t xml:space="preserve">’s </w:t>
      </w:r>
      <w:r w:rsidR="001409E2" w:rsidRPr="00B36BDF">
        <w:t>201</w:t>
      </w:r>
      <w:r w:rsidR="00583F5A">
        <w:t>6</w:t>
      </w:r>
      <w:r w:rsidR="001409E2" w:rsidRPr="00B36BDF">
        <w:t>-201</w:t>
      </w:r>
      <w:r w:rsidR="00583F5A">
        <w:t>7</w:t>
      </w:r>
      <w:r w:rsidR="001409E2" w:rsidRPr="00B36BDF">
        <w:t xml:space="preserve"> biennial conservation target</w:t>
      </w:r>
      <w:r w:rsidR="00BA1D52" w:rsidRPr="00B36BDF">
        <w:t xml:space="preserve"> </w:t>
      </w:r>
      <w:r w:rsidR="001409E2" w:rsidRPr="00B36BDF">
        <w:t xml:space="preserve">is consistent with RCW 19.285.040(1) and WAC 480-109-010(2).  </w:t>
      </w:r>
    </w:p>
    <w:p w14:paraId="0FAD73E4" w14:textId="3288754A" w:rsidR="001409E2" w:rsidRPr="00980AF7" w:rsidRDefault="00B02A59" w:rsidP="0036376B">
      <w:pPr>
        <w:numPr>
          <w:ilvl w:val="0"/>
          <w:numId w:val="1"/>
        </w:numPr>
        <w:tabs>
          <w:tab w:val="clear" w:pos="720"/>
          <w:tab w:val="left" w:pos="0"/>
        </w:tabs>
        <w:spacing w:after="240" w:line="288" w:lineRule="auto"/>
        <w:ind w:hanging="1440"/>
        <w:rPr>
          <w:b/>
        </w:rPr>
      </w:pPr>
      <w:r w:rsidRPr="00B36BDF">
        <w:t>(</w:t>
      </w:r>
      <w:r w:rsidR="00583F5A">
        <w:t>6</w:t>
      </w:r>
      <w:r w:rsidR="00AB4CD3" w:rsidRPr="00B36BDF">
        <w:t>)</w:t>
      </w:r>
      <w:r w:rsidR="00AB4CD3" w:rsidRPr="00B36BDF">
        <w:tab/>
      </w:r>
      <w:r w:rsidR="00F61557">
        <w:t>Avista</w:t>
      </w:r>
      <w:r w:rsidR="001409E2" w:rsidRPr="00B36BDF">
        <w:t>’s 201</w:t>
      </w:r>
      <w:r w:rsidR="00583F5A">
        <w:t>6</w:t>
      </w:r>
      <w:r w:rsidR="001409E2" w:rsidRPr="00B36BDF">
        <w:t>-202</w:t>
      </w:r>
      <w:r w:rsidR="00583F5A">
        <w:t>5</w:t>
      </w:r>
      <w:r w:rsidR="001409E2" w:rsidRPr="00B36BDF">
        <w:t xml:space="preserve"> ten-year achievable conservation potential of </w:t>
      </w:r>
      <w:r w:rsidR="00F61557">
        <w:t xml:space="preserve">383,063 </w:t>
      </w:r>
      <w:r w:rsidR="001409E2" w:rsidRPr="00B36BDF">
        <w:t xml:space="preserve">megawatt-hours, and </w:t>
      </w:r>
      <w:r w:rsidR="00F61557">
        <w:t>Avista</w:t>
      </w:r>
      <w:r w:rsidR="001409E2" w:rsidRPr="00B36BDF">
        <w:t>’s 201</w:t>
      </w:r>
      <w:r w:rsidR="00583F5A">
        <w:t>6</w:t>
      </w:r>
      <w:r w:rsidR="001409E2" w:rsidRPr="00B36BDF">
        <w:t>-201</w:t>
      </w:r>
      <w:r w:rsidR="00583F5A">
        <w:t>7</w:t>
      </w:r>
      <w:r w:rsidR="001409E2" w:rsidRPr="00B36BDF">
        <w:t xml:space="preserve"> biennial conservation target of </w:t>
      </w:r>
      <w:r w:rsidR="002A7AF4">
        <w:t>72,626</w:t>
      </w:r>
      <w:r w:rsidR="00F61557">
        <w:t xml:space="preserve"> </w:t>
      </w:r>
      <w:r w:rsidR="001409E2" w:rsidRPr="00B36BDF">
        <w:t>megawatt-hours are appropriate</w:t>
      </w:r>
      <w:r w:rsidR="00980AF7">
        <w:t xml:space="preserve">, subject to the conditions </w:t>
      </w:r>
      <w:r w:rsidR="004B7594">
        <w:t xml:space="preserve">attached to this Order </w:t>
      </w:r>
      <w:r w:rsidR="00980AF7">
        <w:t xml:space="preserve">in </w:t>
      </w:r>
      <w:r w:rsidR="004B7594">
        <w:t>Appendix</w:t>
      </w:r>
      <w:r w:rsidR="00980AF7">
        <w:t xml:space="preserve"> A.</w:t>
      </w:r>
    </w:p>
    <w:p w14:paraId="0FAD73E5" w14:textId="77777777" w:rsidR="00C54DED" w:rsidRPr="00F61557" w:rsidRDefault="00980AF7" w:rsidP="0036376B">
      <w:pPr>
        <w:numPr>
          <w:ilvl w:val="0"/>
          <w:numId w:val="1"/>
        </w:numPr>
        <w:tabs>
          <w:tab w:val="clear" w:pos="720"/>
          <w:tab w:val="left" w:pos="0"/>
        </w:tabs>
        <w:spacing w:after="240" w:line="288" w:lineRule="auto"/>
        <w:ind w:hanging="1440"/>
        <w:rPr>
          <w:b/>
        </w:rPr>
      </w:pPr>
      <w:r>
        <w:t>(7)</w:t>
      </w:r>
      <w:r>
        <w:tab/>
      </w:r>
      <w:r w:rsidR="00132CF0" w:rsidRPr="00B36BDF">
        <w:t>I</w:t>
      </w:r>
      <w:r w:rsidR="001409E2" w:rsidRPr="00B36BDF">
        <w:t xml:space="preserve">t is in the public interest to approve </w:t>
      </w:r>
      <w:r w:rsidR="00F61557">
        <w:t>Avista</w:t>
      </w:r>
      <w:r w:rsidR="001409E2" w:rsidRPr="00B36BDF">
        <w:t xml:space="preserve">’s ten-year achievable conservation potential and biennial conservation target, </w:t>
      </w:r>
      <w:r>
        <w:t>subject to the conditions in A</w:t>
      </w:r>
      <w:r w:rsidR="004B7594">
        <w:t>ppendix</w:t>
      </w:r>
      <w:r>
        <w:t xml:space="preserve"> A, </w:t>
      </w:r>
      <w:r w:rsidR="001409E2" w:rsidRPr="00B36BDF">
        <w:t xml:space="preserve">as authorized by RCW 19.285.040(1)(e) and WAC 480-109-010(4). </w:t>
      </w:r>
      <w:r w:rsidR="00EE1732">
        <w:br/>
      </w:r>
      <w:r w:rsidR="00EE1732">
        <w:br/>
      </w:r>
      <w:r w:rsidR="00EE1732">
        <w:br/>
      </w:r>
      <w:r w:rsidR="00EE1732">
        <w:br/>
      </w:r>
    </w:p>
    <w:p w14:paraId="0FAD73E6" w14:textId="77777777" w:rsidR="00AB4CD3" w:rsidRPr="00405186" w:rsidRDefault="00AB4CD3" w:rsidP="0036376B">
      <w:pPr>
        <w:tabs>
          <w:tab w:val="left" w:pos="0"/>
        </w:tabs>
        <w:spacing w:after="240" w:line="288" w:lineRule="auto"/>
        <w:ind w:left="720"/>
        <w:jc w:val="center"/>
      </w:pPr>
      <w:r w:rsidRPr="00405186">
        <w:rPr>
          <w:b/>
        </w:rPr>
        <w:lastRenderedPageBreak/>
        <w:t>ORDER</w:t>
      </w:r>
    </w:p>
    <w:p w14:paraId="0FAD73E7" w14:textId="77777777" w:rsidR="00AB4CD3" w:rsidRPr="00B36BDF" w:rsidRDefault="00AB4CD3" w:rsidP="0036376B">
      <w:pPr>
        <w:tabs>
          <w:tab w:val="left" w:pos="0"/>
        </w:tabs>
        <w:spacing w:after="240" w:line="288" w:lineRule="auto"/>
        <w:rPr>
          <w:b/>
        </w:rPr>
      </w:pPr>
      <w:r w:rsidRPr="00B36BDF">
        <w:rPr>
          <w:b/>
        </w:rPr>
        <w:t>THE COMMISSION ORDERS:</w:t>
      </w:r>
    </w:p>
    <w:p w14:paraId="0FAD73E8" w14:textId="329BAA72" w:rsidR="00985CC7" w:rsidRPr="00B36BDF" w:rsidRDefault="00AB4CD3" w:rsidP="0036376B">
      <w:pPr>
        <w:numPr>
          <w:ilvl w:val="0"/>
          <w:numId w:val="1"/>
        </w:numPr>
        <w:tabs>
          <w:tab w:val="clear" w:pos="720"/>
          <w:tab w:val="left" w:pos="0"/>
        </w:tabs>
        <w:spacing w:after="240" w:line="288" w:lineRule="auto"/>
        <w:ind w:hanging="1440"/>
        <w:rPr>
          <w:b/>
        </w:rPr>
      </w:pPr>
      <w:r w:rsidRPr="00B36BDF">
        <w:t>(1)</w:t>
      </w:r>
      <w:r w:rsidRPr="00B36BDF">
        <w:tab/>
      </w:r>
      <w:r w:rsidR="00F61557">
        <w:t>Avista Corporation</w:t>
      </w:r>
      <w:r w:rsidR="0036376B">
        <w:t xml:space="preserve"> dba Avista </w:t>
      </w:r>
      <w:r w:rsidR="004848D5">
        <w:t>Utilities</w:t>
      </w:r>
      <w:r w:rsidR="004848D5" w:rsidRPr="00B36BDF">
        <w:t>’</w:t>
      </w:r>
      <w:r w:rsidR="00A61FB3" w:rsidRPr="00B36BDF">
        <w:t xml:space="preserve"> 201</w:t>
      </w:r>
      <w:r w:rsidR="00583F5A">
        <w:t>6</w:t>
      </w:r>
      <w:r w:rsidR="00A61FB3" w:rsidRPr="00B36BDF">
        <w:t>-202</w:t>
      </w:r>
      <w:r w:rsidR="00583F5A">
        <w:t>5</w:t>
      </w:r>
      <w:r w:rsidR="00A61FB3" w:rsidRPr="00B36BDF">
        <w:t xml:space="preserve"> ten-year achievable conservation potential of </w:t>
      </w:r>
      <w:r w:rsidR="00F61557">
        <w:t xml:space="preserve">383,063 </w:t>
      </w:r>
      <w:r w:rsidR="00A61FB3" w:rsidRPr="00B36BDF">
        <w:t xml:space="preserve">megawatt-hours </w:t>
      </w:r>
      <w:r w:rsidR="00811077" w:rsidRPr="00B36BDF">
        <w:t>and its 201</w:t>
      </w:r>
      <w:r w:rsidR="00583F5A">
        <w:t>6</w:t>
      </w:r>
      <w:r w:rsidR="00811077" w:rsidRPr="00B36BDF">
        <w:t>-201</w:t>
      </w:r>
      <w:r w:rsidR="00583F5A">
        <w:t>7</w:t>
      </w:r>
      <w:r w:rsidR="00811077" w:rsidRPr="00B36BDF">
        <w:t xml:space="preserve"> biennial conservation target of </w:t>
      </w:r>
      <w:r w:rsidR="002A7AF4">
        <w:t>72,62</w:t>
      </w:r>
      <w:r w:rsidR="00F61557">
        <w:t xml:space="preserve">6 </w:t>
      </w:r>
      <w:r w:rsidR="00811077" w:rsidRPr="00B36BDF">
        <w:t>megawatt-hours are approved</w:t>
      </w:r>
      <w:r w:rsidR="00980AF7">
        <w:t>, subject to the conditions set forth in A</w:t>
      </w:r>
      <w:r w:rsidR="004B7594">
        <w:t xml:space="preserve">ppendix </w:t>
      </w:r>
      <w:r w:rsidR="00980AF7">
        <w:t>A</w:t>
      </w:r>
      <w:r w:rsidR="004B7594">
        <w:t xml:space="preserve"> attached to this Order</w:t>
      </w:r>
      <w:r w:rsidR="00985CC7" w:rsidRPr="00B36BDF">
        <w:t>.</w:t>
      </w:r>
    </w:p>
    <w:p w14:paraId="0FAD73E9" w14:textId="77777777" w:rsidR="00525E13" w:rsidRPr="00B36BDF" w:rsidRDefault="00985CC7" w:rsidP="0036376B">
      <w:pPr>
        <w:numPr>
          <w:ilvl w:val="0"/>
          <w:numId w:val="1"/>
        </w:numPr>
        <w:tabs>
          <w:tab w:val="clear" w:pos="720"/>
          <w:tab w:val="left" w:pos="0"/>
        </w:tabs>
        <w:spacing w:after="240" w:line="288" w:lineRule="auto"/>
        <w:ind w:hanging="1440"/>
      </w:pPr>
      <w:r w:rsidRPr="00B36BDF">
        <w:t>(2)</w:t>
      </w:r>
      <w:r w:rsidRPr="00B36BDF">
        <w:tab/>
      </w:r>
      <w:r w:rsidR="00811077" w:rsidRPr="00B36BDF">
        <w:t>The Commission retains jurisdiction over this matter for purposes of effectuating this order.</w:t>
      </w:r>
    </w:p>
    <w:p w14:paraId="0FAD73EA" w14:textId="77777777" w:rsidR="00AB4CD3" w:rsidRPr="00B36BDF" w:rsidRDefault="00AB4CD3" w:rsidP="00EE1732">
      <w:pPr>
        <w:spacing w:line="288" w:lineRule="auto"/>
        <w:rPr>
          <w:b/>
        </w:rPr>
      </w:pPr>
      <w:r w:rsidRPr="00B36BDF">
        <w:t xml:space="preserve">DATED at Olympia, Washington, and effective </w:t>
      </w:r>
      <w:r w:rsidR="00F61557">
        <w:t>January 28, 2016</w:t>
      </w:r>
      <w:r w:rsidRPr="00B36BDF">
        <w:t>.</w:t>
      </w:r>
    </w:p>
    <w:p w14:paraId="0FAD73EB" w14:textId="77777777" w:rsidR="00AB4CD3" w:rsidRPr="00B36BDF" w:rsidRDefault="00AB4CD3" w:rsidP="00EE1732">
      <w:pPr>
        <w:spacing w:line="288" w:lineRule="auto"/>
        <w:rPr>
          <w:b/>
        </w:rPr>
      </w:pPr>
    </w:p>
    <w:p w14:paraId="0FAD73EC" w14:textId="77777777" w:rsidR="00AB4CD3" w:rsidRPr="00B36BDF" w:rsidRDefault="00AB4CD3" w:rsidP="00EE1732">
      <w:pPr>
        <w:spacing w:line="288" w:lineRule="auto"/>
        <w:jc w:val="center"/>
      </w:pPr>
      <w:r w:rsidRPr="00B36BDF">
        <w:t>WASHINGTON UTILITIES AND TRANSPORTATION COMMISSION</w:t>
      </w:r>
    </w:p>
    <w:p w14:paraId="0FAD73ED" w14:textId="77777777" w:rsidR="00811077" w:rsidRPr="00B36BDF" w:rsidRDefault="00811077" w:rsidP="00EE1732">
      <w:pPr>
        <w:spacing w:line="288" w:lineRule="auto"/>
        <w:jc w:val="center"/>
      </w:pPr>
    </w:p>
    <w:p w14:paraId="0FAD73EE" w14:textId="77777777" w:rsidR="00AB4CD3" w:rsidRPr="00B36BDF" w:rsidRDefault="00AB4CD3" w:rsidP="00EE1732">
      <w:pPr>
        <w:spacing w:line="288" w:lineRule="auto"/>
        <w:jc w:val="center"/>
      </w:pPr>
    </w:p>
    <w:p w14:paraId="0FAD73EF" w14:textId="77777777" w:rsidR="00AB4CD3" w:rsidRPr="00B36BDF" w:rsidRDefault="00AB4CD3" w:rsidP="00EE1732">
      <w:pPr>
        <w:spacing w:line="288" w:lineRule="auto"/>
        <w:jc w:val="center"/>
      </w:pPr>
    </w:p>
    <w:p w14:paraId="0FAD73F4" w14:textId="69062D18" w:rsidR="00811077" w:rsidRPr="00B36BDF" w:rsidRDefault="00811077" w:rsidP="005457EF">
      <w:pPr>
        <w:ind w:firstLine="4320"/>
      </w:pPr>
      <w:r w:rsidRPr="00B36BDF">
        <w:t>DAVID W. DANNER, Chairman</w:t>
      </w:r>
    </w:p>
    <w:p w14:paraId="0FAD73F5" w14:textId="77777777" w:rsidR="00811077" w:rsidRPr="00B36BDF" w:rsidRDefault="00811077" w:rsidP="00EE1732"/>
    <w:p w14:paraId="0FAD73F6" w14:textId="77777777" w:rsidR="00525E13" w:rsidRPr="00B36BDF" w:rsidRDefault="00525E13" w:rsidP="00EE1732"/>
    <w:p w14:paraId="0FAD73F7" w14:textId="77777777" w:rsidR="00811077" w:rsidRPr="00B36BDF" w:rsidRDefault="00811077" w:rsidP="00EE1732"/>
    <w:p w14:paraId="0FAD73F8" w14:textId="0CA6238D" w:rsidR="00811077" w:rsidRPr="00B36BDF" w:rsidRDefault="0036376B" w:rsidP="00EE1732">
      <w:pPr>
        <w:ind w:firstLine="4320"/>
      </w:pPr>
      <w:r>
        <w:t>ANN</w:t>
      </w:r>
      <w:r w:rsidR="004848D5">
        <w:t xml:space="preserve"> E. RENDAHL</w:t>
      </w:r>
      <w:r w:rsidR="00811077" w:rsidRPr="00B36BDF">
        <w:t>, Commissioner</w:t>
      </w:r>
    </w:p>
    <w:p w14:paraId="0FAD73F9" w14:textId="77777777" w:rsidR="00811077" w:rsidRPr="00B36BDF" w:rsidRDefault="00811077" w:rsidP="00EE1732">
      <w:pPr>
        <w:spacing w:line="288" w:lineRule="auto"/>
      </w:pPr>
    </w:p>
    <w:p w14:paraId="0FAD73FA" w14:textId="77777777" w:rsidR="00811077" w:rsidRPr="00B36BDF" w:rsidRDefault="00811077" w:rsidP="00EE1732">
      <w:pPr>
        <w:spacing w:line="288" w:lineRule="auto"/>
      </w:pPr>
    </w:p>
    <w:p w14:paraId="0FAD73FB" w14:textId="77777777" w:rsidR="00811077" w:rsidRPr="00B36BDF" w:rsidRDefault="00811077" w:rsidP="00EE1732">
      <w:pPr>
        <w:spacing w:line="288" w:lineRule="auto"/>
      </w:pPr>
    </w:p>
    <w:p w14:paraId="0FAD73FC" w14:textId="77777777" w:rsidR="00811077" w:rsidRPr="00B36BDF" w:rsidRDefault="00811077" w:rsidP="00EE1732">
      <w:pPr>
        <w:spacing w:line="288" w:lineRule="auto"/>
      </w:pPr>
    </w:p>
    <w:p w14:paraId="0FAD73FD" w14:textId="77777777" w:rsidR="00811077" w:rsidRPr="00B36BDF" w:rsidRDefault="00811077" w:rsidP="00EE1732">
      <w:pPr>
        <w:spacing w:line="288" w:lineRule="auto"/>
      </w:pPr>
    </w:p>
    <w:sectPr w:rsidR="00811077" w:rsidRPr="00B36BDF" w:rsidSect="00EE1732">
      <w:headerReference w:type="default" r:id="rId12"/>
      <w:headerReference w:type="first" r:id="rId13"/>
      <w:pgSz w:w="12240" w:h="15840" w:code="1"/>
      <w:pgMar w:top="1440" w:right="1440" w:bottom="1440" w:left="216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D7401" w14:textId="77777777" w:rsidR="004D0016" w:rsidRDefault="004D0016">
      <w:r>
        <w:separator/>
      </w:r>
    </w:p>
  </w:endnote>
  <w:endnote w:type="continuationSeparator" w:id="0">
    <w:p w14:paraId="0FAD7402" w14:textId="77777777" w:rsidR="004D0016" w:rsidRDefault="004D0016">
      <w:r>
        <w:continuationSeparator/>
      </w:r>
    </w:p>
  </w:endnote>
  <w:endnote w:type="continuationNotice" w:id="1">
    <w:p w14:paraId="0FAD7403" w14:textId="77777777" w:rsidR="004D0016" w:rsidRDefault="004D0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D73FE" w14:textId="77777777" w:rsidR="004D0016" w:rsidRDefault="004D0016">
      <w:r>
        <w:separator/>
      </w:r>
    </w:p>
  </w:footnote>
  <w:footnote w:type="continuationSeparator" w:id="0">
    <w:p w14:paraId="0FAD73FF" w14:textId="77777777" w:rsidR="004D0016" w:rsidRDefault="004D0016">
      <w:r>
        <w:continuationSeparator/>
      </w:r>
    </w:p>
  </w:footnote>
  <w:footnote w:type="continuationNotice" w:id="1">
    <w:p w14:paraId="0FAD7400" w14:textId="77777777" w:rsidR="004D0016" w:rsidRDefault="004D0016"/>
  </w:footnote>
  <w:footnote w:id="2">
    <w:p w14:paraId="0FAD7409" w14:textId="77777777" w:rsidR="00726F75" w:rsidRPr="00352140" w:rsidRDefault="009828BB" w:rsidP="00A11CA7">
      <w:pPr>
        <w:pStyle w:val="FootnoteText"/>
        <w:spacing w:after="120"/>
        <w:rPr>
          <w:sz w:val="22"/>
          <w:szCs w:val="22"/>
          <w:lang w:val="en-US"/>
        </w:rPr>
      </w:pPr>
      <w:r w:rsidRPr="00844847">
        <w:rPr>
          <w:rStyle w:val="FootnoteReference"/>
          <w:sz w:val="22"/>
        </w:rPr>
        <w:footnoteRef/>
      </w:r>
      <w:r w:rsidRPr="00844847">
        <w:rPr>
          <w:sz w:val="22"/>
        </w:rPr>
        <w:t xml:space="preserve"> </w:t>
      </w:r>
      <w:r>
        <w:rPr>
          <w:sz w:val="22"/>
        </w:rPr>
        <w:t>RCW 19.285.040</w:t>
      </w:r>
      <w:r w:rsidR="00726F75">
        <w:rPr>
          <w:sz w:val="22"/>
          <w:lang w:val="en-US"/>
        </w:rPr>
        <w:t xml:space="preserve">(a) requires each electric utility to identify its </w:t>
      </w:r>
      <w:r w:rsidR="00352140">
        <w:rPr>
          <w:sz w:val="22"/>
          <w:lang w:val="en-US"/>
        </w:rPr>
        <w:t xml:space="preserve">ten-year </w:t>
      </w:r>
      <w:r w:rsidR="00726F75">
        <w:rPr>
          <w:sz w:val="22"/>
          <w:lang w:val="en-US"/>
        </w:rPr>
        <w:t>achievable cost-effective conservation potential using methodologies consistent with those used by the Pacific Northwest Electric Power and Conservation Planning Council in its most recently published regional power plan</w:t>
      </w:r>
      <w:r>
        <w:rPr>
          <w:sz w:val="22"/>
        </w:rPr>
        <w:t>.</w:t>
      </w:r>
      <w:r w:rsidR="00726F75">
        <w:rPr>
          <w:sz w:val="22"/>
          <w:lang w:val="en-US"/>
        </w:rPr>
        <w:t xml:space="preserve"> At least every two years, </w:t>
      </w:r>
      <w:r w:rsidR="00352140">
        <w:rPr>
          <w:sz w:val="22"/>
          <w:lang w:val="en-US"/>
        </w:rPr>
        <w:t>a utility</w:t>
      </w:r>
      <w:r w:rsidR="00726F75">
        <w:rPr>
          <w:sz w:val="22"/>
          <w:lang w:val="en-US"/>
        </w:rPr>
        <w:t xml:space="preserve"> must</w:t>
      </w:r>
      <w:r w:rsidR="00352140">
        <w:rPr>
          <w:sz w:val="22"/>
          <w:lang w:val="en-US"/>
        </w:rPr>
        <w:t xml:space="preserve"> also</w:t>
      </w:r>
      <w:r w:rsidR="00726F75">
        <w:rPr>
          <w:sz w:val="22"/>
          <w:lang w:val="en-US"/>
        </w:rPr>
        <w:t xml:space="preserve"> review and update its assessment for the subsequent ten-year period. RCW 19.285.040(b) requires each qualifying utility to establish and make publicly available a biennial acquisition target for cost-effective conservation consistent with its identification of achievable opportunities in RCW</w:t>
      </w:r>
      <w:r w:rsidR="00B315B4">
        <w:rPr>
          <w:sz w:val="22"/>
          <w:lang w:val="en-US"/>
        </w:rPr>
        <w:t xml:space="preserve"> 19.285.040(a) and meet that target during the subsequent two-year period. At a minimum, each biennial target must be no lower than the qualifying utility’s pro-rata share for that two-year period of its cost-effective conservation potential for the subsequent two-year period. </w:t>
      </w:r>
    </w:p>
  </w:footnote>
  <w:footnote w:id="3">
    <w:p w14:paraId="0FAD740A" w14:textId="77777777" w:rsidR="009828BB" w:rsidRPr="00B315B4" w:rsidRDefault="009828BB" w:rsidP="00A11CA7">
      <w:pPr>
        <w:pStyle w:val="FootnoteText"/>
        <w:spacing w:after="120"/>
        <w:rPr>
          <w:sz w:val="22"/>
          <w:szCs w:val="22"/>
        </w:rPr>
      </w:pPr>
      <w:r w:rsidRPr="00B315B4">
        <w:rPr>
          <w:rStyle w:val="FootnoteReference"/>
          <w:sz w:val="22"/>
          <w:szCs w:val="22"/>
        </w:rPr>
        <w:footnoteRef/>
      </w:r>
      <w:r w:rsidRPr="00B315B4">
        <w:rPr>
          <w:sz w:val="22"/>
          <w:szCs w:val="22"/>
        </w:rPr>
        <w:t xml:space="preserve"> WAC 480-109-010(3).</w:t>
      </w:r>
    </w:p>
  </w:footnote>
  <w:footnote w:id="4">
    <w:p w14:paraId="0FAD740B" w14:textId="77777777" w:rsidR="008442B7" w:rsidRDefault="008442B7" w:rsidP="008442B7">
      <w:pPr>
        <w:pStyle w:val="FootnoteText"/>
      </w:pPr>
      <w:r>
        <w:rPr>
          <w:rStyle w:val="FootnoteReference"/>
        </w:rPr>
        <w:footnoteRef/>
      </w:r>
      <w:r>
        <w:t xml:space="preserve"> WAC 480-109-060(19) defines “Pro rata” as the calculation dividing the utility’s projected ten-year conservation potential into five equal proportions to establish the minimum biennial conservation target.</w:t>
      </w:r>
    </w:p>
  </w:footnote>
  <w:footnote w:id="5">
    <w:p w14:paraId="0FAD740C" w14:textId="77777777" w:rsidR="008442B7" w:rsidRDefault="008442B7" w:rsidP="008442B7">
      <w:pPr>
        <w:pStyle w:val="FootnoteText"/>
      </w:pPr>
      <w:r>
        <w:rPr>
          <w:rStyle w:val="FootnoteReference"/>
        </w:rPr>
        <w:footnoteRef/>
      </w:r>
      <w:r>
        <w:t xml:space="preserve"> 76,613 MWh is the ten-year potential of 383,063 MWh divided by five biennia. </w:t>
      </w:r>
    </w:p>
  </w:footnote>
  <w:footnote w:id="6">
    <w:p w14:paraId="0FAD740D" w14:textId="7939769B" w:rsidR="006913E8" w:rsidRPr="008442B7" w:rsidRDefault="006913E8">
      <w:pPr>
        <w:pStyle w:val="FootnoteText"/>
        <w:rPr>
          <w:lang w:val="en-US"/>
        </w:rPr>
      </w:pPr>
      <w:r w:rsidRPr="008F5251">
        <w:rPr>
          <w:rStyle w:val="FootnoteReference"/>
        </w:rPr>
        <w:footnoteRef/>
      </w:r>
      <w:r w:rsidRPr="008F5251">
        <w:t xml:space="preserve"> Pursuant to Order 5 of Docket Nos. UE-140188 and UG-140189, Avista must achieve 105 percent of its biennial conservation target. As this is not a requirement identifiable to the Energy Independence Act (EIA), this “decoupling” commitment is not </w:t>
      </w:r>
      <w:r w:rsidR="008442B7" w:rsidRPr="008F5251">
        <w:rPr>
          <w:lang w:val="en-US"/>
        </w:rPr>
        <w:t>subject to penalties</w:t>
      </w:r>
      <w:r w:rsidRPr="008F5251">
        <w:t xml:space="preserve"> under the EIA. However, staff considers this commitment to be </w:t>
      </w:r>
      <w:r w:rsidR="008442B7" w:rsidRPr="008F5251">
        <w:rPr>
          <w:lang w:val="en-US"/>
        </w:rPr>
        <w:t xml:space="preserve">subject to penalties </w:t>
      </w:r>
      <w:r w:rsidRPr="008F5251">
        <w:t xml:space="preserve">at a level </w:t>
      </w:r>
      <w:r w:rsidR="008F5251" w:rsidRPr="008F5251">
        <w:t>consistent with that of the EIA</w:t>
      </w:r>
      <w:r w:rsidR="008442B7" w:rsidRPr="008F5251">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7404" w14:textId="733C7EC7" w:rsidR="009828BB" w:rsidRPr="008F794C" w:rsidRDefault="009828BB">
    <w:pPr>
      <w:pStyle w:val="Header"/>
      <w:tabs>
        <w:tab w:val="clear" w:pos="4320"/>
        <w:tab w:val="clear" w:pos="8640"/>
        <w:tab w:val="right" w:pos="8500"/>
      </w:tabs>
      <w:rPr>
        <w:rStyle w:val="PageNumber"/>
        <w:bCs/>
        <w:szCs w:val="20"/>
        <w:lang w:val="fr-FR"/>
      </w:rPr>
    </w:pPr>
    <w:r w:rsidRPr="008F794C">
      <w:rPr>
        <w:b/>
        <w:bCs/>
        <w:sz w:val="20"/>
      </w:rPr>
      <w:t>D</w:t>
    </w:r>
    <w:r w:rsidR="00937297">
      <w:rPr>
        <w:b/>
        <w:bCs/>
        <w:sz w:val="20"/>
      </w:rPr>
      <w:t>OCKET</w:t>
    </w:r>
    <w:r w:rsidR="009F3191">
      <w:rPr>
        <w:b/>
        <w:bCs/>
        <w:sz w:val="20"/>
      </w:rPr>
      <w:t xml:space="preserve"> UE-</w:t>
    </w:r>
    <w:r w:rsidR="009F3191">
      <w:rPr>
        <w:b/>
        <w:bCs/>
        <w:sz w:val="20"/>
        <w:lang w:val="en-US"/>
      </w:rPr>
      <w:t>1520</w:t>
    </w:r>
    <w:r w:rsidR="006913E8">
      <w:rPr>
        <w:b/>
        <w:bCs/>
        <w:sz w:val="20"/>
        <w:lang w:val="en-US"/>
      </w:rPr>
      <w:t>76</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170D5C">
      <w:rPr>
        <w:rStyle w:val="PageNumber"/>
        <w:bCs/>
        <w:noProof/>
        <w:szCs w:val="20"/>
        <w:lang w:val="fr-FR"/>
      </w:rPr>
      <w:t>6</w:t>
    </w:r>
    <w:r w:rsidRPr="008F794C">
      <w:rPr>
        <w:rStyle w:val="PageNumber"/>
        <w:bCs/>
        <w:szCs w:val="20"/>
        <w:lang w:val="fr-FR"/>
      </w:rPr>
      <w:fldChar w:fldCharType="end"/>
    </w:r>
  </w:p>
  <w:p w14:paraId="0FAD7405" w14:textId="77777777" w:rsidR="009828BB" w:rsidRDefault="009828BB">
    <w:pPr>
      <w:pStyle w:val="Header"/>
      <w:tabs>
        <w:tab w:val="left" w:pos="7000"/>
      </w:tabs>
      <w:rPr>
        <w:rStyle w:val="PageNumber"/>
        <w:bCs/>
        <w:szCs w:val="20"/>
        <w:lang w:val="fr-FR"/>
      </w:rPr>
    </w:pPr>
    <w:r w:rsidRPr="008F794C">
      <w:rPr>
        <w:rStyle w:val="PageNumber"/>
        <w:bCs/>
        <w:szCs w:val="20"/>
        <w:lang w:val="fr-FR"/>
      </w:rPr>
      <w:t>ORDER 01</w:t>
    </w:r>
  </w:p>
  <w:p w14:paraId="0FAD7406" w14:textId="77777777" w:rsidR="009828BB" w:rsidRPr="008F794C" w:rsidRDefault="009828BB">
    <w:pPr>
      <w:pStyle w:val="Header"/>
      <w:tabs>
        <w:tab w:val="left" w:pos="7000"/>
      </w:tabs>
      <w:rPr>
        <w:rStyle w:val="PageNumber"/>
        <w:bCs/>
        <w:szCs w:val="20"/>
        <w:lang w:val="fr-FR"/>
      </w:rPr>
    </w:pPr>
  </w:p>
  <w:p w14:paraId="0FAD7407" w14:textId="77777777" w:rsidR="009828BB" w:rsidRPr="00C35B68" w:rsidRDefault="009828BB">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7408" w14:textId="77777777" w:rsidR="009828BB" w:rsidRPr="00662B7F" w:rsidRDefault="009828BB" w:rsidP="00AA0F7A">
    <w:pPr>
      <w:pStyle w:val="Header"/>
      <w:tabs>
        <w:tab w:val="clear" w:pos="4320"/>
      </w:tabs>
      <w:rPr>
        <w:b/>
        <w:sz w:val="22"/>
        <w:szCs w:val="22"/>
      </w:rPr>
    </w:pPr>
    <w:r>
      <w:rPr>
        <w:b/>
        <w:sz w:val="22"/>
        <w:szCs w:val="22"/>
      </w:rPr>
      <w:tab/>
    </w:r>
    <w:r w:rsidR="009D5BD7">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E0338"/>
    <w:multiLevelType w:val="hybridMultilevel"/>
    <w:tmpl w:val="F78E86B0"/>
    <w:lvl w:ilvl="0" w:tplc="F61AD81A">
      <w:start w:val="1"/>
      <w:numFmt w:val="decimal"/>
      <w:lvlText w:val="%1"/>
      <w:lvlJc w:val="righ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7D56AD1"/>
    <w:multiLevelType w:val="hybridMultilevel"/>
    <w:tmpl w:val="73EEDBAC"/>
    <w:lvl w:ilvl="0" w:tplc="17E27A2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B138DD"/>
    <w:multiLevelType w:val="hybridMultilevel"/>
    <w:tmpl w:val="C7DCB5CE"/>
    <w:lvl w:ilvl="0" w:tplc="29E24BAE">
      <w:start w:val="1"/>
      <w:numFmt w:val="decimal"/>
      <w:pStyle w:val="Findings"/>
      <w:lvlText w:val="%1"/>
      <w:lvlJc w:val="lef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BBC"/>
    <w:rsid w:val="00004C24"/>
    <w:rsid w:val="000052C0"/>
    <w:rsid w:val="00005431"/>
    <w:rsid w:val="0000562B"/>
    <w:rsid w:val="00006BD8"/>
    <w:rsid w:val="000107E5"/>
    <w:rsid w:val="00013FD6"/>
    <w:rsid w:val="0001553F"/>
    <w:rsid w:val="00015EAA"/>
    <w:rsid w:val="000163B1"/>
    <w:rsid w:val="0002068B"/>
    <w:rsid w:val="00024049"/>
    <w:rsid w:val="000242EB"/>
    <w:rsid w:val="000264FD"/>
    <w:rsid w:val="00026D9F"/>
    <w:rsid w:val="00026F37"/>
    <w:rsid w:val="00030F63"/>
    <w:rsid w:val="0003479D"/>
    <w:rsid w:val="00034998"/>
    <w:rsid w:val="00044075"/>
    <w:rsid w:val="00044B4C"/>
    <w:rsid w:val="0004560A"/>
    <w:rsid w:val="00045AF8"/>
    <w:rsid w:val="00045B0B"/>
    <w:rsid w:val="00051879"/>
    <w:rsid w:val="000533CC"/>
    <w:rsid w:val="0005397D"/>
    <w:rsid w:val="000550D9"/>
    <w:rsid w:val="0006064E"/>
    <w:rsid w:val="00060A7A"/>
    <w:rsid w:val="0006112A"/>
    <w:rsid w:val="0006222D"/>
    <w:rsid w:val="00062232"/>
    <w:rsid w:val="000647E6"/>
    <w:rsid w:val="0006496C"/>
    <w:rsid w:val="00066E2F"/>
    <w:rsid w:val="000702B8"/>
    <w:rsid w:val="00071A3C"/>
    <w:rsid w:val="00072495"/>
    <w:rsid w:val="00073A4E"/>
    <w:rsid w:val="0007415F"/>
    <w:rsid w:val="0007470B"/>
    <w:rsid w:val="00075FB2"/>
    <w:rsid w:val="00076E46"/>
    <w:rsid w:val="0007712A"/>
    <w:rsid w:val="00077D78"/>
    <w:rsid w:val="00082A66"/>
    <w:rsid w:val="0008597D"/>
    <w:rsid w:val="00090758"/>
    <w:rsid w:val="00090F98"/>
    <w:rsid w:val="000910B4"/>
    <w:rsid w:val="00091DA8"/>
    <w:rsid w:val="000951E1"/>
    <w:rsid w:val="00095CB7"/>
    <w:rsid w:val="000A1B6E"/>
    <w:rsid w:val="000A5FA7"/>
    <w:rsid w:val="000B1A8D"/>
    <w:rsid w:val="000B1ACC"/>
    <w:rsid w:val="000B2854"/>
    <w:rsid w:val="000B3526"/>
    <w:rsid w:val="000B554C"/>
    <w:rsid w:val="000B6047"/>
    <w:rsid w:val="000B73D8"/>
    <w:rsid w:val="000B7C12"/>
    <w:rsid w:val="000C011A"/>
    <w:rsid w:val="000C0224"/>
    <w:rsid w:val="000C1C5A"/>
    <w:rsid w:val="000C5FA8"/>
    <w:rsid w:val="000D071A"/>
    <w:rsid w:val="000D22ED"/>
    <w:rsid w:val="000D4317"/>
    <w:rsid w:val="000D6936"/>
    <w:rsid w:val="000D7B17"/>
    <w:rsid w:val="000E30B4"/>
    <w:rsid w:val="000E361E"/>
    <w:rsid w:val="000E485A"/>
    <w:rsid w:val="000E53A0"/>
    <w:rsid w:val="000E5C07"/>
    <w:rsid w:val="000E76E0"/>
    <w:rsid w:val="000F04DE"/>
    <w:rsid w:val="000F0EF7"/>
    <w:rsid w:val="000F4793"/>
    <w:rsid w:val="000F48F4"/>
    <w:rsid w:val="000F4FAB"/>
    <w:rsid w:val="000F5AD5"/>
    <w:rsid w:val="000F61B3"/>
    <w:rsid w:val="001009DB"/>
    <w:rsid w:val="00100AF8"/>
    <w:rsid w:val="00101CA7"/>
    <w:rsid w:val="00106149"/>
    <w:rsid w:val="001071C2"/>
    <w:rsid w:val="0011015E"/>
    <w:rsid w:val="001112D2"/>
    <w:rsid w:val="00111398"/>
    <w:rsid w:val="00111D76"/>
    <w:rsid w:val="001130BB"/>
    <w:rsid w:val="001142B4"/>
    <w:rsid w:val="00123198"/>
    <w:rsid w:val="00127063"/>
    <w:rsid w:val="00127B89"/>
    <w:rsid w:val="00132CF0"/>
    <w:rsid w:val="00134157"/>
    <w:rsid w:val="00135940"/>
    <w:rsid w:val="001409E2"/>
    <w:rsid w:val="00140C90"/>
    <w:rsid w:val="00144F75"/>
    <w:rsid w:val="00145A43"/>
    <w:rsid w:val="00147072"/>
    <w:rsid w:val="00150BD8"/>
    <w:rsid w:val="00150FB6"/>
    <w:rsid w:val="001518F1"/>
    <w:rsid w:val="00151E90"/>
    <w:rsid w:val="00154FFC"/>
    <w:rsid w:val="00155860"/>
    <w:rsid w:val="00155CAA"/>
    <w:rsid w:val="001567C2"/>
    <w:rsid w:val="00160B01"/>
    <w:rsid w:val="00161127"/>
    <w:rsid w:val="001670B8"/>
    <w:rsid w:val="00170124"/>
    <w:rsid w:val="00170B86"/>
    <w:rsid w:val="00170D5C"/>
    <w:rsid w:val="00173151"/>
    <w:rsid w:val="00173D52"/>
    <w:rsid w:val="00173E10"/>
    <w:rsid w:val="001752D0"/>
    <w:rsid w:val="00175A16"/>
    <w:rsid w:val="001761E1"/>
    <w:rsid w:val="001803BB"/>
    <w:rsid w:val="00180DDC"/>
    <w:rsid w:val="00184315"/>
    <w:rsid w:val="00185A6E"/>
    <w:rsid w:val="00186229"/>
    <w:rsid w:val="00191021"/>
    <w:rsid w:val="00191472"/>
    <w:rsid w:val="0019217E"/>
    <w:rsid w:val="00192B7C"/>
    <w:rsid w:val="00192D1C"/>
    <w:rsid w:val="00192F4F"/>
    <w:rsid w:val="00193655"/>
    <w:rsid w:val="001967CA"/>
    <w:rsid w:val="001A0AF2"/>
    <w:rsid w:val="001A5537"/>
    <w:rsid w:val="001A5643"/>
    <w:rsid w:val="001A6E15"/>
    <w:rsid w:val="001A7906"/>
    <w:rsid w:val="001B03DA"/>
    <w:rsid w:val="001B3B17"/>
    <w:rsid w:val="001B5A82"/>
    <w:rsid w:val="001B62FB"/>
    <w:rsid w:val="001C3C72"/>
    <w:rsid w:val="001C5186"/>
    <w:rsid w:val="001C53E0"/>
    <w:rsid w:val="001C6A40"/>
    <w:rsid w:val="001D11B2"/>
    <w:rsid w:val="001D29D6"/>
    <w:rsid w:val="001D3F43"/>
    <w:rsid w:val="001D4796"/>
    <w:rsid w:val="001D5B2F"/>
    <w:rsid w:val="001D6CE4"/>
    <w:rsid w:val="001D6E70"/>
    <w:rsid w:val="001D711F"/>
    <w:rsid w:val="001E1185"/>
    <w:rsid w:val="001E1AD4"/>
    <w:rsid w:val="001E20E5"/>
    <w:rsid w:val="001E3CE3"/>
    <w:rsid w:val="001F100C"/>
    <w:rsid w:val="001F27BC"/>
    <w:rsid w:val="001F28C0"/>
    <w:rsid w:val="001F30EB"/>
    <w:rsid w:val="001F50A1"/>
    <w:rsid w:val="001F7BBF"/>
    <w:rsid w:val="00201595"/>
    <w:rsid w:val="0020449D"/>
    <w:rsid w:val="00204511"/>
    <w:rsid w:val="00204B69"/>
    <w:rsid w:val="002051DF"/>
    <w:rsid w:val="00207E01"/>
    <w:rsid w:val="00207E0B"/>
    <w:rsid w:val="00211B79"/>
    <w:rsid w:val="00211ED8"/>
    <w:rsid w:val="00214BEA"/>
    <w:rsid w:val="002157D9"/>
    <w:rsid w:val="00221A8B"/>
    <w:rsid w:val="00221E97"/>
    <w:rsid w:val="0022269E"/>
    <w:rsid w:val="00224AE4"/>
    <w:rsid w:val="0022778D"/>
    <w:rsid w:val="00231F52"/>
    <w:rsid w:val="00233FF1"/>
    <w:rsid w:val="002352F3"/>
    <w:rsid w:val="00236AA6"/>
    <w:rsid w:val="00237325"/>
    <w:rsid w:val="0023755C"/>
    <w:rsid w:val="002377ED"/>
    <w:rsid w:val="00240E5A"/>
    <w:rsid w:val="00241817"/>
    <w:rsid w:val="00244C15"/>
    <w:rsid w:val="002451BE"/>
    <w:rsid w:val="00250009"/>
    <w:rsid w:val="002516C7"/>
    <w:rsid w:val="00251AE6"/>
    <w:rsid w:val="00252258"/>
    <w:rsid w:val="00252781"/>
    <w:rsid w:val="0025308A"/>
    <w:rsid w:val="00254283"/>
    <w:rsid w:val="00262ACB"/>
    <w:rsid w:val="002639C1"/>
    <w:rsid w:val="002648B8"/>
    <w:rsid w:val="002724F4"/>
    <w:rsid w:val="00273479"/>
    <w:rsid w:val="00273AA3"/>
    <w:rsid w:val="00274FE8"/>
    <w:rsid w:val="00274FEA"/>
    <w:rsid w:val="002751AB"/>
    <w:rsid w:val="00277DD8"/>
    <w:rsid w:val="00280198"/>
    <w:rsid w:val="002803B7"/>
    <w:rsid w:val="002833EE"/>
    <w:rsid w:val="00285DAC"/>
    <w:rsid w:val="0028680E"/>
    <w:rsid w:val="0028760B"/>
    <w:rsid w:val="00287DC8"/>
    <w:rsid w:val="00290181"/>
    <w:rsid w:val="00290582"/>
    <w:rsid w:val="00291095"/>
    <w:rsid w:val="002929FA"/>
    <w:rsid w:val="00293BB6"/>
    <w:rsid w:val="00293D20"/>
    <w:rsid w:val="00293D21"/>
    <w:rsid w:val="00294DDC"/>
    <w:rsid w:val="00294EAB"/>
    <w:rsid w:val="00295177"/>
    <w:rsid w:val="0029682B"/>
    <w:rsid w:val="002A0CB7"/>
    <w:rsid w:val="002A5DCB"/>
    <w:rsid w:val="002A6ED0"/>
    <w:rsid w:val="002A7AF4"/>
    <w:rsid w:val="002B0488"/>
    <w:rsid w:val="002B06A0"/>
    <w:rsid w:val="002B0C47"/>
    <w:rsid w:val="002B2D5E"/>
    <w:rsid w:val="002B4258"/>
    <w:rsid w:val="002B5165"/>
    <w:rsid w:val="002B68B4"/>
    <w:rsid w:val="002B6B6D"/>
    <w:rsid w:val="002B7C90"/>
    <w:rsid w:val="002C03F0"/>
    <w:rsid w:val="002C0D2D"/>
    <w:rsid w:val="002C2836"/>
    <w:rsid w:val="002C30FA"/>
    <w:rsid w:val="002C464A"/>
    <w:rsid w:val="002C5883"/>
    <w:rsid w:val="002C5F96"/>
    <w:rsid w:val="002C7946"/>
    <w:rsid w:val="002C796B"/>
    <w:rsid w:val="002D1183"/>
    <w:rsid w:val="002D12A9"/>
    <w:rsid w:val="002D2ACF"/>
    <w:rsid w:val="002D48C9"/>
    <w:rsid w:val="002D5581"/>
    <w:rsid w:val="002D7259"/>
    <w:rsid w:val="002D7C89"/>
    <w:rsid w:val="002E07AD"/>
    <w:rsid w:val="002E0D1F"/>
    <w:rsid w:val="002E419F"/>
    <w:rsid w:val="002E585F"/>
    <w:rsid w:val="002F1395"/>
    <w:rsid w:val="002F29A3"/>
    <w:rsid w:val="002F44C7"/>
    <w:rsid w:val="002F4E87"/>
    <w:rsid w:val="002F5C66"/>
    <w:rsid w:val="002F6695"/>
    <w:rsid w:val="0030656E"/>
    <w:rsid w:val="00306FE5"/>
    <w:rsid w:val="00306FFD"/>
    <w:rsid w:val="00307F55"/>
    <w:rsid w:val="00310AB0"/>
    <w:rsid w:val="003122B5"/>
    <w:rsid w:val="00312FE8"/>
    <w:rsid w:val="003150FC"/>
    <w:rsid w:val="00315BF6"/>
    <w:rsid w:val="00315CE2"/>
    <w:rsid w:val="00315DBC"/>
    <w:rsid w:val="003177F9"/>
    <w:rsid w:val="00321203"/>
    <w:rsid w:val="0032347B"/>
    <w:rsid w:val="0032597E"/>
    <w:rsid w:val="00331A49"/>
    <w:rsid w:val="00332F53"/>
    <w:rsid w:val="00333CDE"/>
    <w:rsid w:val="0033566C"/>
    <w:rsid w:val="0033725D"/>
    <w:rsid w:val="00341EB2"/>
    <w:rsid w:val="003436C7"/>
    <w:rsid w:val="00344448"/>
    <w:rsid w:val="00345D20"/>
    <w:rsid w:val="00346318"/>
    <w:rsid w:val="00346BD1"/>
    <w:rsid w:val="00350ED4"/>
    <w:rsid w:val="00351E5C"/>
    <w:rsid w:val="00352140"/>
    <w:rsid w:val="00352245"/>
    <w:rsid w:val="003552F2"/>
    <w:rsid w:val="003559A7"/>
    <w:rsid w:val="00355CAE"/>
    <w:rsid w:val="003572E0"/>
    <w:rsid w:val="003602B9"/>
    <w:rsid w:val="003623BF"/>
    <w:rsid w:val="003633ED"/>
    <w:rsid w:val="0036376B"/>
    <w:rsid w:val="00367167"/>
    <w:rsid w:val="003723BC"/>
    <w:rsid w:val="00372634"/>
    <w:rsid w:val="003732E0"/>
    <w:rsid w:val="00373BCB"/>
    <w:rsid w:val="00373DF4"/>
    <w:rsid w:val="00376CEA"/>
    <w:rsid w:val="003806F3"/>
    <w:rsid w:val="0038111E"/>
    <w:rsid w:val="00382E4E"/>
    <w:rsid w:val="00387EED"/>
    <w:rsid w:val="00391184"/>
    <w:rsid w:val="003924B6"/>
    <w:rsid w:val="0039724D"/>
    <w:rsid w:val="003A1B8D"/>
    <w:rsid w:val="003A26D7"/>
    <w:rsid w:val="003A2DCC"/>
    <w:rsid w:val="003A45DC"/>
    <w:rsid w:val="003A5C8D"/>
    <w:rsid w:val="003A66D4"/>
    <w:rsid w:val="003A674D"/>
    <w:rsid w:val="003A7248"/>
    <w:rsid w:val="003A7A58"/>
    <w:rsid w:val="003B3185"/>
    <w:rsid w:val="003B4B12"/>
    <w:rsid w:val="003B6C81"/>
    <w:rsid w:val="003C1387"/>
    <w:rsid w:val="003C1AD3"/>
    <w:rsid w:val="003C1AE6"/>
    <w:rsid w:val="003C1D3B"/>
    <w:rsid w:val="003C507B"/>
    <w:rsid w:val="003D0085"/>
    <w:rsid w:val="003D03EB"/>
    <w:rsid w:val="003D0748"/>
    <w:rsid w:val="003D1387"/>
    <w:rsid w:val="003D4066"/>
    <w:rsid w:val="003D6165"/>
    <w:rsid w:val="003D63B1"/>
    <w:rsid w:val="003D711A"/>
    <w:rsid w:val="003D7B44"/>
    <w:rsid w:val="003E0514"/>
    <w:rsid w:val="003E0D83"/>
    <w:rsid w:val="003E16F9"/>
    <w:rsid w:val="003E29B3"/>
    <w:rsid w:val="003E36F6"/>
    <w:rsid w:val="003E3ABA"/>
    <w:rsid w:val="003E3BB0"/>
    <w:rsid w:val="003E4098"/>
    <w:rsid w:val="003E40CD"/>
    <w:rsid w:val="003E57F7"/>
    <w:rsid w:val="003E5A76"/>
    <w:rsid w:val="003E5D99"/>
    <w:rsid w:val="003E7331"/>
    <w:rsid w:val="003F175A"/>
    <w:rsid w:val="003F1869"/>
    <w:rsid w:val="003F2FC9"/>
    <w:rsid w:val="003F32D5"/>
    <w:rsid w:val="003F45E8"/>
    <w:rsid w:val="003F469B"/>
    <w:rsid w:val="003F5E3D"/>
    <w:rsid w:val="00402B7F"/>
    <w:rsid w:val="00402F92"/>
    <w:rsid w:val="00404977"/>
    <w:rsid w:val="00404BF7"/>
    <w:rsid w:val="00405186"/>
    <w:rsid w:val="0040659E"/>
    <w:rsid w:val="00407AFC"/>
    <w:rsid w:val="004100E9"/>
    <w:rsid w:val="004111FC"/>
    <w:rsid w:val="00413897"/>
    <w:rsid w:val="004148BF"/>
    <w:rsid w:val="004150E6"/>
    <w:rsid w:val="004161A8"/>
    <w:rsid w:val="0042051F"/>
    <w:rsid w:val="004251ED"/>
    <w:rsid w:val="00425663"/>
    <w:rsid w:val="004256EF"/>
    <w:rsid w:val="0042663F"/>
    <w:rsid w:val="0042693A"/>
    <w:rsid w:val="0042706D"/>
    <w:rsid w:val="0042727A"/>
    <w:rsid w:val="00427FDA"/>
    <w:rsid w:val="0043066E"/>
    <w:rsid w:val="00433D41"/>
    <w:rsid w:val="00434612"/>
    <w:rsid w:val="00435A50"/>
    <w:rsid w:val="00436639"/>
    <w:rsid w:val="004411CC"/>
    <w:rsid w:val="00445D57"/>
    <w:rsid w:val="00445FC1"/>
    <w:rsid w:val="00447297"/>
    <w:rsid w:val="0045071A"/>
    <w:rsid w:val="00450CBE"/>
    <w:rsid w:val="004521C2"/>
    <w:rsid w:val="00456662"/>
    <w:rsid w:val="00456D32"/>
    <w:rsid w:val="00456E88"/>
    <w:rsid w:val="004601D7"/>
    <w:rsid w:val="0046027F"/>
    <w:rsid w:val="00460848"/>
    <w:rsid w:val="00463BF8"/>
    <w:rsid w:val="00464AA9"/>
    <w:rsid w:val="00464ECD"/>
    <w:rsid w:val="004656D4"/>
    <w:rsid w:val="0046706F"/>
    <w:rsid w:val="00471A62"/>
    <w:rsid w:val="00472803"/>
    <w:rsid w:val="00474854"/>
    <w:rsid w:val="00474BBE"/>
    <w:rsid w:val="00475E98"/>
    <w:rsid w:val="00476FC5"/>
    <w:rsid w:val="00483B64"/>
    <w:rsid w:val="004848D5"/>
    <w:rsid w:val="00484D20"/>
    <w:rsid w:val="00485A63"/>
    <w:rsid w:val="004900A3"/>
    <w:rsid w:val="00490446"/>
    <w:rsid w:val="004910C8"/>
    <w:rsid w:val="0049264B"/>
    <w:rsid w:val="004953AD"/>
    <w:rsid w:val="00495B3A"/>
    <w:rsid w:val="004965F7"/>
    <w:rsid w:val="004A13B7"/>
    <w:rsid w:val="004A32BF"/>
    <w:rsid w:val="004A5139"/>
    <w:rsid w:val="004A5147"/>
    <w:rsid w:val="004A60F4"/>
    <w:rsid w:val="004B116A"/>
    <w:rsid w:val="004B4F25"/>
    <w:rsid w:val="004B5731"/>
    <w:rsid w:val="004B7594"/>
    <w:rsid w:val="004C218C"/>
    <w:rsid w:val="004C33BF"/>
    <w:rsid w:val="004C4B3A"/>
    <w:rsid w:val="004C4DD9"/>
    <w:rsid w:val="004C52DB"/>
    <w:rsid w:val="004C6389"/>
    <w:rsid w:val="004C6C2F"/>
    <w:rsid w:val="004D0016"/>
    <w:rsid w:val="004D01A4"/>
    <w:rsid w:val="004D10AF"/>
    <w:rsid w:val="004D3A99"/>
    <w:rsid w:val="004D5C97"/>
    <w:rsid w:val="004D7309"/>
    <w:rsid w:val="004E0112"/>
    <w:rsid w:val="004E0255"/>
    <w:rsid w:val="004E2FAE"/>
    <w:rsid w:val="004E63AE"/>
    <w:rsid w:val="004E6829"/>
    <w:rsid w:val="004F1C60"/>
    <w:rsid w:val="004F338E"/>
    <w:rsid w:val="004F798B"/>
    <w:rsid w:val="005043B8"/>
    <w:rsid w:val="005057C4"/>
    <w:rsid w:val="00505D20"/>
    <w:rsid w:val="00506580"/>
    <w:rsid w:val="00506ED9"/>
    <w:rsid w:val="00507770"/>
    <w:rsid w:val="00510085"/>
    <w:rsid w:val="00511AA3"/>
    <w:rsid w:val="00513CA1"/>
    <w:rsid w:val="005207EA"/>
    <w:rsid w:val="00521DCB"/>
    <w:rsid w:val="00525E13"/>
    <w:rsid w:val="005313F3"/>
    <w:rsid w:val="00532E6D"/>
    <w:rsid w:val="00533164"/>
    <w:rsid w:val="005337DE"/>
    <w:rsid w:val="00534E7E"/>
    <w:rsid w:val="005368BC"/>
    <w:rsid w:val="005407C5"/>
    <w:rsid w:val="0054104C"/>
    <w:rsid w:val="00542669"/>
    <w:rsid w:val="005457EF"/>
    <w:rsid w:val="00547670"/>
    <w:rsid w:val="00552394"/>
    <w:rsid w:val="00552BE3"/>
    <w:rsid w:val="00553D58"/>
    <w:rsid w:val="00556DD5"/>
    <w:rsid w:val="00562613"/>
    <w:rsid w:val="0056268B"/>
    <w:rsid w:val="0056345A"/>
    <w:rsid w:val="00563B5A"/>
    <w:rsid w:val="0056449B"/>
    <w:rsid w:val="00564B80"/>
    <w:rsid w:val="005715DA"/>
    <w:rsid w:val="00571CB6"/>
    <w:rsid w:val="00573585"/>
    <w:rsid w:val="005749B1"/>
    <w:rsid w:val="00574E9C"/>
    <w:rsid w:val="00574FA1"/>
    <w:rsid w:val="005754FD"/>
    <w:rsid w:val="005757DF"/>
    <w:rsid w:val="00577985"/>
    <w:rsid w:val="005779D5"/>
    <w:rsid w:val="00581C41"/>
    <w:rsid w:val="00583F5A"/>
    <w:rsid w:val="00585328"/>
    <w:rsid w:val="00585F8F"/>
    <w:rsid w:val="005876E9"/>
    <w:rsid w:val="00593DD0"/>
    <w:rsid w:val="00594BDA"/>
    <w:rsid w:val="00595A30"/>
    <w:rsid w:val="00595C0A"/>
    <w:rsid w:val="0059778F"/>
    <w:rsid w:val="005A28D4"/>
    <w:rsid w:val="005A290F"/>
    <w:rsid w:val="005A30B2"/>
    <w:rsid w:val="005B403F"/>
    <w:rsid w:val="005B46E6"/>
    <w:rsid w:val="005B4A1B"/>
    <w:rsid w:val="005B7BC1"/>
    <w:rsid w:val="005C0CA5"/>
    <w:rsid w:val="005C0D17"/>
    <w:rsid w:val="005C25BD"/>
    <w:rsid w:val="005C4047"/>
    <w:rsid w:val="005C58AB"/>
    <w:rsid w:val="005C58F9"/>
    <w:rsid w:val="005C7EB8"/>
    <w:rsid w:val="005D651D"/>
    <w:rsid w:val="005E09C4"/>
    <w:rsid w:val="005E1058"/>
    <w:rsid w:val="005E3611"/>
    <w:rsid w:val="005F070A"/>
    <w:rsid w:val="005F2305"/>
    <w:rsid w:val="005F5A66"/>
    <w:rsid w:val="005F6240"/>
    <w:rsid w:val="005F66F7"/>
    <w:rsid w:val="005F6B34"/>
    <w:rsid w:val="006019C9"/>
    <w:rsid w:val="006020B7"/>
    <w:rsid w:val="00602A5D"/>
    <w:rsid w:val="00602E7E"/>
    <w:rsid w:val="006033CC"/>
    <w:rsid w:val="00604FE0"/>
    <w:rsid w:val="0060583B"/>
    <w:rsid w:val="006061DA"/>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2002"/>
    <w:rsid w:val="006401C0"/>
    <w:rsid w:val="00640F0A"/>
    <w:rsid w:val="0064198D"/>
    <w:rsid w:val="00641B66"/>
    <w:rsid w:val="00644482"/>
    <w:rsid w:val="0064561F"/>
    <w:rsid w:val="006456BC"/>
    <w:rsid w:val="00646FEB"/>
    <w:rsid w:val="0065105B"/>
    <w:rsid w:val="0065525E"/>
    <w:rsid w:val="00655514"/>
    <w:rsid w:val="006578D2"/>
    <w:rsid w:val="0066080A"/>
    <w:rsid w:val="00661539"/>
    <w:rsid w:val="00661CA5"/>
    <w:rsid w:val="00662B7F"/>
    <w:rsid w:val="00664748"/>
    <w:rsid w:val="00664F6A"/>
    <w:rsid w:val="00665C6E"/>
    <w:rsid w:val="00671A56"/>
    <w:rsid w:val="0067260C"/>
    <w:rsid w:val="00673AEA"/>
    <w:rsid w:val="00673DD9"/>
    <w:rsid w:val="006756A1"/>
    <w:rsid w:val="00675E74"/>
    <w:rsid w:val="006763AC"/>
    <w:rsid w:val="006776E7"/>
    <w:rsid w:val="00677DF3"/>
    <w:rsid w:val="00682BBB"/>
    <w:rsid w:val="00683864"/>
    <w:rsid w:val="00683D06"/>
    <w:rsid w:val="00683EFA"/>
    <w:rsid w:val="00684DA1"/>
    <w:rsid w:val="0068677A"/>
    <w:rsid w:val="00686B96"/>
    <w:rsid w:val="00687CA9"/>
    <w:rsid w:val="006913E8"/>
    <w:rsid w:val="006916E2"/>
    <w:rsid w:val="00692950"/>
    <w:rsid w:val="00694627"/>
    <w:rsid w:val="00694A21"/>
    <w:rsid w:val="006975DC"/>
    <w:rsid w:val="006A0DA7"/>
    <w:rsid w:val="006A40CB"/>
    <w:rsid w:val="006A6A46"/>
    <w:rsid w:val="006A7AC4"/>
    <w:rsid w:val="006B02E9"/>
    <w:rsid w:val="006B51C5"/>
    <w:rsid w:val="006B59A9"/>
    <w:rsid w:val="006B6870"/>
    <w:rsid w:val="006C0185"/>
    <w:rsid w:val="006C0391"/>
    <w:rsid w:val="006C1F68"/>
    <w:rsid w:val="006C499E"/>
    <w:rsid w:val="006C614A"/>
    <w:rsid w:val="006C6BAE"/>
    <w:rsid w:val="006D0E8B"/>
    <w:rsid w:val="006D1291"/>
    <w:rsid w:val="006D17BD"/>
    <w:rsid w:val="006D4F36"/>
    <w:rsid w:val="006D6BBC"/>
    <w:rsid w:val="006E0DBD"/>
    <w:rsid w:val="006E299E"/>
    <w:rsid w:val="006E368D"/>
    <w:rsid w:val="006E47C9"/>
    <w:rsid w:val="006F04BB"/>
    <w:rsid w:val="006F13A6"/>
    <w:rsid w:val="006F321C"/>
    <w:rsid w:val="006F3CCB"/>
    <w:rsid w:val="006F4B87"/>
    <w:rsid w:val="006F4FF7"/>
    <w:rsid w:val="006F611D"/>
    <w:rsid w:val="00700555"/>
    <w:rsid w:val="00700A4E"/>
    <w:rsid w:val="007011F8"/>
    <w:rsid w:val="00701DCE"/>
    <w:rsid w:val="00704427"/>
    <w:rsid w:val="00705159"/>
    <w:rsid w:val="00706DA1"/>
    <w:rsid w:val="00711A6C"/>
    <w:rsid w:val="00711B02"/>
    <w:rsid w:val="00711CB7"/>
    <w:rsid w:val="007123AB"/>
    <w:rsid w:val="00713071"/>
    <w:rsid w:val="00713CBC"/>
    <w:rsid w:val="00713F6C"/>
    <w:rsid w:val="0071533E"/>
    <w:rsid w:val="00720DB6"/>
    <w:rsid w:val="0072155B"/>
    <w:rsid w:val="0072370B"/>
    <w:rsid w:val="00723803"/>
    <w:rsid w:val="0072386D"/>
    <w:rsid w:val="00724C18"/>
    <w:rsid w:val="00726F75"/>
    <w:rsid w:val="007275A7"/>
    <w:rsid w:val="00730514"/>
    <w:rsid w:val="0073185E"/>
    <w:rsid w:val="00732329"/>
    <w:rsid w:val="00734229"/>
    <w:rsid w:val="00734B90"/>
    <w:rsid w:val="007361DA"/>
    <w:rsid w:val="007373AB"/>
    <w:rsid w:val="00737DF1"/>
    <w:rsid w:val="00737FA7"/>
    <w:rsid w:val="007408E9"/>
    <w:rsid w:val="00740B10"/>
    <w:rsid w:val="00744E7F"/>
    <w:rsid w:val="0074503F"/>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67227"/>
    <w:rsid w:val="00770024"/>
    <w:rsid w:val="00772966"/>
    <w:rsid w:val="00772C57"/>
    <w:rsid w:val="00774401"/>
    <w:rsid w:val="00774D4A"/>
    <w:rsid w:val="007769C2"/>
    <w:rsid w:val="00785CBD"/>
    <w:rsid w:val="00787045"/>
    <w:rsid w:val="00787B24"/>
    <w:rsid w:val="00790963"/>
    <w:rsid w:val="00794E95"/>
    <w:rsid w:val="00795FFF"/>
    <w:rsid w:val="00796F3E"/>
    <w:rsid w:val="007A0E8D"/>
    <w:rsid w:val="007A7524"/>
    <w:rsid w:val="007A7A75"/>
    <w:rsid w:val="007A7F21"/>
    <w:rsid w:val="007B13AF"/>
    <w:rsid w:val="007B1634"/>
    <w:rsid w:val="007B1930"/>
    <w:rsid w:val="007B24C3"/>
    <w:rsid w:val="007B73F3"/>
    <w:rsid w:val="007C1816"/>
    <w:rsid w:val="007C18C4"/>
    <w:rsid w:val="007C1907"/>
    <w:rsid w:val="007C22E1"/>
    <w:rsid w:val="007C24C0"/>
    <w:rsid w:val="007C382A"/>
    <w:rsid w:val="007C4C35"/>
    <w:rsid w:val="007C4F62"/>
    <w:rsid w:val="007C4F8A"/>
    <w:rsid w:val="007C543A"/>
    <w:rsid w:val="007C7932"/>
    <w:rsid w:val="007D1628"/>
    <w:rsid w:val="007D3D72"/>
    <w:rsid w:val="007D3E86"/>
    <w:rsid w:val="007D4D48"/>
    <w:rsid w:val="007D616A"/>
    <w:rsid w:val="007D73E7"/>
    <w:rsid w:val="007E0463"/>
    <w:rsid w:val="007E0B71"/>
    <w:rsid w:val="007E3271"/>
    <w:rsid w:val="007E3388"/>
    <w:rsid w:val="007E5C3F"/>
    <w:rsid w:val="007F061A"/>
    <w:rsid w:val="007F0F23"/>
    <w:rsid w:val="007F0F41"/>
    <w:rsid w:val="007F0F8D"/>
    <w:rsid w:val="007F14AA"/>
    <w:rsid w:val="007F1690"/>
    <w:rsid w:val="007F192D"/>
    <w:rsid w:val="007F35F4"/>
    <w:rsid w:val="007F4849"/>
    <w:rsid w:val="007F4994"/>
    <w:rsid w:val="0080033F"/>
    <w:rsid w:val="008010CC"/>
    <w:rsid w:val="008012B9"/>
    <w:rsid w:val="00803263"/>
    <w:rsid w:val="008053E1"/>
    <w:rsid w:val="00805585"/>
    <w:rsid w:val="0080643C"/>
    <w:rsid w:val="00806ED3"/>
    <w:rsid w:val="00810916"/>
    <w:rsid w:val="00810EDF"/>
    <w:rsid w:val="00811077"/>
    <w:rsid w:val="00812499"/>
    <w:rsid w:val="008135A6"/>
    <w:rsid w:val="0081417D"/>
    <w:rsid w:val="00814BC4"/>
    <w:rsid w:val="00817023"/>
    <w:rsid w:val="0082234F"/>
    <w:rsid w:val="00822422"/>
    <w:rsid w:val="008225F7"/>
    <w:rsid w:val="00822CDD"/>
    <w:rsid w:val="0083377F"/>
    <w:rsid w:val="00835D41"/>
    <w:rsid w:val="0083656B"/>
    <w:rsid w:val="0083773F"/>
    <w:rsid w:val="0084319D"/>
    <w:rsid w:val="00844075"/>
    <w:rsid w:val="008440D2"/>
    <w:rsid w:val="008442B7"/>
    <w:rsid w:val="00844847"/>
    <w:rsid w:val="008457A3"/>
    <w:rsid w:val="00852A6E"/>
    <w:rsid w:val="00852F37"/>
    <w:rsid w:val="00853416"/>
    <w:rsid w:val="00855C40"/>
    <w:rsid w:val="00861F8D"/>
    <w:rsid w:val="008620B6"/>
    <w:rsid w:val="0086591B"/>
    <w:rsid w:val="00866988"/>
    <w:rsid w:val="00870BF1"/>
    <w:rsid w:val="00871DAD"/>
    <w:rsid w:val="0087356E"/>
    <w:rsid w:val="0087616B"/>
    <w:rsid w:val="00880E69"/>
    <w:rsid w:val="00882255"/>
    <w:rsid w:val="00883DDC"/>
    <w:rsid w:val="008847B9"/>
    <w:rsid w:val="00885A65"/>
    <w:rsid w:val="00885C2C"/>
    <w:rsid w:val="00886196"/>
    <w:rsid w:val="008866BA"/>
    <w:rsid w:val="00890C1F"/>
    <w:rsid w:val="008917AF"/>
    <w:rsid w:val="00895CA2"/>
    <w:rsid w:val="0089650D"/>
    <w:rsid w:val="008A108D"/>
    <w:rsid w:val="008A3D6B"/>
    <w:rsid w:val="008A69BD"/>
    <w:rsid w:val="008B0468"/>
    <w:rsid w:val="008B0E3A"/>
    <w:rsid w:val="008B1309"/>
    <w:rsid w:val="008B3429"/>
    <w:rsid w:val="008B64A7"/>
    <w:rsid w:val="008B68F3"/>
    <w:rsid w:val="008B7AD1"/>
    <w:rsid w:val="008C0042"/>
    <w:rsid w:val="008C10E2"/>
    <w:rsid w:val="008C1889"/>
    <w:rsid w:val="008C1B3B"/>
    <w:rsid w:val="008C2BBF"/>
    <w:rsid w:val="008C4BF7"/>
    <w:rsid w:val="008C5C26"/>
    <w:rsid w:val="008C6DF8"/>
    <w:rsid w:val="008E0778"/>
    <w:rsid w:val="008E0FBE"/>
    <w:rsid w:val="008E3372"/>
    <w:rsid w:val="008E339A"/>
    <w:rsid w:val="008E71B8"/>
    <w:rsid w:val="008F0AD2"/>
    <w:rsid w:val="008F0B3A"/>
    <w:rsid w:val="008F19D9"/>
    <w:rsid w:val="008F5251"/>
    <w:rsid w:val="008F59D1"/>
    <w:rsid w:val="008F6FD1"/>
    <w:rsid w:val="008F794C"/>
    <w:rsid w:val="008F7EE0"/>
    <w:rsid w:val="009018A2"/>
    <w:rsid w:val="00901DFE"/>
    <w:rsid w:val="00901EF1"/>
    <w:rsid w:val="00903154"/>
    <w:rsid w:val="00905811"/>
    <w:rsid w:val="00905A4E"/>
    <w:rsid w:val="00905CD2"/>
    <w:rsid w:val="009064BC"/>
    <w:rsid w:val="009129EF"/>
    <w:rsid w:val="00916580"/>
    <w:rsid w:val="00917457"/>
    <w:rsid w:val="00917819"/>
    <w:rsid w:val="00917E5C"/>
    <w:rsid w:val="0092192D"/>
    <w:rsid w:val="00921A95"/>
    <w:rsid w:val="0092438E"/>
    <w:rsid w:val="0092544D"/>
    <w:rsid w:val="00925DDC"/>
    <w:rsid w:val="00927A04"/>
    <w:rsid w:val="00927C86"/>
    <w:rsid w:val="009320F4"/>
    <w:rsid w:val="00932EF4"/>
    <w:rsid w:val="00933149"/>
    <w:rsid w:val="009356B6"/>
    <w:rsid w:val="009358D9"/>
    <w:rsid w:val="00936E9C"/>
    <w:rsid w:val="00937297"/>
    <w:rsid w:val="0093747A"/>
    <w:rsid w:val="009378CC"/>
    <w:rsid w:val="00940413"/>
    <w:rsid w:val="009415D1"/>
    <w:rsid w:val="00945EA3"/>
    <w:rsid w:val="0094664F"/>
    <w:rsid w:val="00947A47"/>
    <w:rsid w:val="00947E59"/>
    <w:rsid w:val="00950332"/>
    <w:rsid w:val="009539CC"/>
    <w:rsid w:val="0095490E"/>
    <w:rsid w:val="009550A8"/>
    <w:rsid w:val="00955110"/>
    <w:rsid w:val="0096077A"/>
    <w:rsid w:val="00961C56"/>
    <w:rsid w:val="00962E04"/>
    <w:rsid w:val="00963EDE"/>
    <w:rsid w:val="009653A9"/>
    <w:rsid w:val="009658A0"/>
    <w:rsid w:val="0096592A"/>
    <w:rsid w:val="00966600"/>
    <w:rsid w:val="00966908"/>
    <w:rsid w:val="00971ACE"/>
    <w:rsid w:val="00971F7F"/>
    <w:rsid w:val="00972C5F"/>
    <w:rsid w:val="00974497"/>
    <w:rsid w:val="009754F3"/>
    <w:rsid w:val="00975A8F"/>
    <w:rsid w:val="00976246"/>
    <w:rsid w:val="009769E5"/>
    <w:rsid w:val="00980AF7"/>
    <w:rsid w:val="00980B04"/>
    <w:rsid w:val="00980D15"/>
    <w:rsid w:val="0098214F"/>
    <w:rsid w:val="009828BB"/>
    <w:rsid w:val="00985CC7"/>
    <w:rsid w:val="00990776"/>
    <w:rsid w:val="009920F4"/>
    <w:rsid w:val="00993069"/>
    <w:rsid w:val="009965DC"/>
    <w:rsid w:val="00996B1F"/>
    <w:rsid w:val="00996D10"/>
    <w:rsid w:val="009A0C2D"/>
    <w:rsid w:val="009A0F52"/>
    <w:rsid w:val="009A118C"/>
    <w:rsid w:val="009A1CD7"/>
    <w:rsid w:val="009A278A"/>
    <w:rsid w:val="009A3C66"/>
    <w:rsid w:val="009A3E7B"/>
    <w:rsid w:val="009A4885"/>
    <w:rsid w:val="009A66D8"/>
    <w:rsid w:val="009A7A66"/>
    <w:rsid w:val="009B15EA"/>
    <w:rsid w:val="009B7118"/>
    <w:rsid w:val="009C02E6"/>
    <w:rsid w:val="009C063E"/>
    <w:rsid w:val="009C06F2"/>
    <w:rsid w:val="009C1EEB"/>
    <w:rsid w:val="009C2788"/>
    <w:rsid w:val="009C2C17"/>
    <w:rsid w:val="009C68DB"/>
    <w:rsid w:val="009D2E17"/>
    <w:rsid w:val="009D3A11"/>
    <w:rsid w:val="009D598B"/>
    <w:rsid w:val="009D5BD7"/>
    <w:rsid w:val="009D5E39"/>
    <w:rsid w:val="009D5E70"/>
    <w:rsid w:val="009E0422"/>
    <w:rsid w:val="009E07CB"/>
    <w:rsid w:val="009E3E20"/>
    <w:rsid w:val="009F05E4"/>
    <w:rsid w:val="009F0EFB"/>
    <w:rsid w:val="009F174D"/>
    <w:rsid w:val="009F250D"/>
    <w:rsid w:val="009F3191"/>
    <w:rsid w:val="009F668C"/>
    <w:rsid w:val="00A01D4E"/>
    <w:rsid w:val="00A07584"/>
    <w:rsid w:val="00A10B0E"/>
    <w:rsid w:val="00A11CA7"/>
    <w:rsid w:val="00A1496D"/>
    <w:rsid w:val="00A14C6C"/>
    <w:rsid w:val="00A14D38"/>
    <w:rsid w:val="00A151C5"/>
    <w:rsid w:val="00A16D2B"/>
    <w:rsid w:val="00A17669"/>
    <w:rsid w:val="00A20C87"/>
    <w:rsid w:val="00A26F89"/>
    <w:rsid w:val="00A26F96"/>
    <w:rsid w:val="00A27DA7"/>
    <w:rsid w:val="00A27E95"/>
    <w:rsid w:val="00A303CC"/>
    <w:rsid w:val="00A30A60"/>
    <w:rsid w:val="00A310A7"/>
    <w:rsid w:val="00A31857"/>
    <w:rsid w:val="00A3238F"/>
    <w:rsid w:val="00A3299A"/>
    <w:rsid w:val="00A333C4"/>
    <w:rsid w:val="00A34747"/>
    <w:rsid w:val="00A36396"/>
    <w:rsid w:val="00A37555"/>
    <w:rsid w:val="00A376C2"/>
    <w:rsid w:val="00A3772E"/>
    <w:rsid w:val="00A41DE7"/>
    <w:rsid w:val="00A424DB"/>
    <w:rsid w:val="00A42664"/>
    <w:rsid w:val="00A439B4"/>
    <w:rsid w:val="00A4422E"/>
    <w:rsid w:val="00A448C1"/>
    <w:rsid w:val="00A4498B"/>
    <w:rsid w:val="00A4588F"/>
    <w:rsid w:val="00A458D4"/>
    <w:rsid w:val="00A47A22"/>
    <w:rsid w:val="00A50749"/>
    <w:rsid w:val="00A508B9"/>
    <w:rsid w:val="00A50935"/>
    <w:rsid w:val="00A518D7"/>
    <w:rsid w:val="00A51D4B"/>
    <w:rsid w:val="00A51F71"/>
    <w:rsid w:val="00A52D06"/>
    <w:rsid w:val="00A52DB4"/>
    <w:rsid w:val="00A53844"/>
    <w:rsid w:val="00A543A8"/>
    <w:rsid w:val="00A61109"/>
    <w:rsid w:val="00A61D07"/>
    <w:rsid w:val="00A61FB3"/>
    <w:rsid w:val="00A646EB"/>
    <w:rsid w:val="00A64B56"/>
    <w:rsid w:val="00A662FC"/>
    <w:rsid w:val="00A67966"/>
    <w:rsid w:val="00A714A2"/>
    <w:rsid w:val="00A7183F"/>
    <w:rsid w:val="00A7382E"/>
    <w:rsid w:val="00A73890"/>
    <w:rsid w:val="00A7447D"/>
    <w:rsid w:val="00A7566B"/>
    <w:rsid w:val="00A756D4"/>
    <w:rsid w:val="00A7641A"/>
    <w:rsid w:val="00A76BCC"/>
    <w:rsid w:val="00A779F4"/>
    <w:rsid w:val="00A8029B"/>
    <w:rsid w:val="00A8033E"/>
    <w:rsid w:val="00A81CD5"/>
    <w:rsid w:val="00A82D24"/>
    <w:rsid w:val="00A877CE"/>
    <w:rsid w:val="00A93C1E"/>
    <w:rsid w:val="00A945BC"/>
    <w:rsid w:val="00AA0F7A"/>
    <w:rsid w:val="00AA2271"/>
    <w:rsid w:val="00AA4528"/>
    <w:rsid w:val="00AA4FDB"/>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44D5"/>
    <w:rsid w:val="00AC5186"/>
    <w:rsid w:val="00AD037C"/>
    <w:rsid w:val="00AD0FAD"/>
    <w:rsid w:val="00AD1B6D"/>
    <w:rsid w:val="00AD2818"/>
    <w:rsid w:val="00AD314E"/>
    <w:rsid w:val="00AD4E8E"/>
    <w:rsid w:val="00AD5EC6"/>
    <w:rsid w:val="00AD68AE"/>
    <w:rsid w:val="00AD6BC0"/>
    <w:rsid w:val="00AD7908"/>
    <w:rsid w:val="00AE0828"/>
    <w:rsid w:val="00AE0C3A"/>
    <w:rsid w:val="00AE18D4"/>
    <w:rsid w:val="00AE2667"/>
    <w:rsid w:val="00AE3B2E"/>
    <w:rsid w:val="00AE3EE8"/>
    <w:rsid w:val="00AE4DAC"/>
    <w:rsid w:val="00AE5473"/>
    <w:rsid w:val="00AE5948"/>
    <w:rsid w:val="00AF1413"/>
    <w:rsid w:val="00AF27DA"/>
    <w:rsid w:val="00AF4B4D"/>
    <w:rsid w:val="00B002A6"/>
    <w:rsid w:val="00B01C5A"/>
    <w:rsid w:val="00B02A59"/>
    <w:rsid w:val="00B02F5E"/>
    <w:rsid w:val="00B03172"/>
    <w:rsid w:val="00B031EC"/>
    <w:rsid w:val="00B033E9"/>
    <w:rsid w:val="00B03BDB"/>
    <w:rsid w:val="00B04E89"/>
    <w:rsid w:val="00B06C9D"/>
    <w:rsid w:val="00B123D9"/>
    <w:rsid w:val="00B128A5"/>
    <w:rsid w:val="00B16A20"/>
    <w:rsid w:val="00B17BFD"/>
    <w:rsid w:val="00B21DC4"/>
    <w:rsid w:val="00B25C9A"/>
    <w:rsid w:val="00B30190"/>
    <w:rsid w:val="00B315B4"/>
    <w:rsid w:val="00B33DC4"/>
    <w:rsid w:val="00B33FE9"/>
    <w:rsid w:val="00B35A44"/>
    <w:rsid w:val="00B36255"/>
    <w:rsid w:val="00B36BDF"/>
    <w:rsid w:val="00B378B0"/>
    <w:rsid w:val="00B405F5"/>
    <w:rsid w:val="00B42EB3"/>
    <w:rsid w:val="00B44077"/>
    <w:rsid w:val="00B45046"/>
    <w:rsid w:val="00B45D24"/>
    <w:rsid w:val="00B46C69"/>
    <w:rsid w:val="00B478E8"/>
    <w:rsid w:val="00B5040C"/>
    <w:rsid w:val="00B50A0C"/>
    <w:rsid w:val="00B532D5"/>
    <w:rsid w:val="00B543C0"/>
    <w:rsid w:val="00B55F30"/>
    <w:rsid w:val="00B573E5"/>
    <w:rsid w:val="00B6042B"/>
    <w:rsid w:val="00B621D8"/>
    <w:rsid w:val="00B6312E"/>
    <w:rsid w:val="00B6477E"/>
    <w:rsid w:val="00B64B2E"/>
    <w:rsid w:val="00B65C90"/>
    <w:rsid w:val="00B674BC"/>
    <w:rsid w:val="00B67A70"/>
    <w:rsid w:val="00B70F89"/>
    <w:rsid w:val="00B74228"/>
    <w:rsid w:val="00B75A40"/>
    <w:rsid w:val="00B777C9"/>
    <w:rsid w:val="00B815F8"/>
    <w:rsid w:val="00B850B6"/>
    <w:rsid w:val="00B92951"/>
    <w:rsid w:val="00B94E46"/>
    <w:rsid w:val="00B95403"/>
    <w:rsid w:val="00B95B34"/>
    <w:rsid w:val="00B961C1"/>
    <w:rsid w:val="00BA0213"/>
    <w:rsid w:val="00BA1B88"/>
    <w:rsid w:val="00BA1D52"/>
    <w:rsid w:val="00BA212E"/>
    <w:rsid w:val="00BA49EB"/>
    <w:rsid w:val="00BA4C42"/>
    <w:rsid w:val="00BA54CC"/>
    <w:rsid w:val="00BA6D46"/>
    <w:rsid w:val="00BA70B5"/>
    <w:rsid w:val="00BA7251"/>
    <w:rsid w:val="00BB2590"/>
    <w:rsid w:val="00BB282E"/>
    <w:rsid w:val="00BB2FAD"/>
    <w:rsid w:val="00BB325A"/>
    <w:rsid w:val="00BB3478"/>
    <w:rsid w:val="00BB3856"/>
    <w:rsid w:val="00BB60CD"/>
    <w:rsid w:val="00BC0A68"/>
    <w:rsid w:val="00BC145A"/>
    <w:rsid w:val="00BC1F4C"/>
    <w:rsid w:val="00BC224C"/>
    <w:rsid w:val="00BC2903"/>
    <w:rsid w:val="00BC2BAC"/>
    <w:rsid w:val="00BC41FD"/>
    <w:rsid w:val="00BC5613"/>
    <w:rsid w:val="00BC5BB9"/>
    <w:rsid w:val="00BC6EDC"/>
    <w:rsid w:val="00BC71E7"/>
    <w:rsid w:val="00BD0E09"/>
    <w:rsid w:val="00BD155B"/>
    <w:rsid w:val="00BD2341"/>
    <w:rsid w:val="00BD30DA"/>
    <w:rsid w:val="00BE3367"/>
    <w:rsid w:val="00BE3EB9"/>
    <w:rsid w:val="00BE4847"/>
    <w:rsid w:val="00BE4A86"/>
    <w:rsid w:val="00BE7A38"/>
    <w:rsid w:val="00BF36C4"/>
    <w:rsid w:val="00BF3C53"/>
    <w:rsid w:val="00BF40FD"/>
    <w:rsid w:val="00BF4D5D"/>
    <w:rsid w:val="00C009FC"/>
    <w:rsid w:val="00C057C5"/>
    <w:rsid w:val="00C05E49"/>
    <w:rsid w:val="00C06571"/>
    <w:rsid w:val="00C075F2"/>
    <w:rsid w:val="00C10297"/>
    <w:rsid w:val="00C10406"/>
    <w:rsid w:val="00C1046A"/>
    <w:rsid w:val="00C120A6"/>
    <w:rsid w:val="00C132B3"/>
    <w:rsid w:val="00C13AA5"/>
    <w:rsid w:val="00C14840"/>
    <w:rsid w:val="00C20298"/>
    <w:rsid w:val="00C2128A"/>
    <w:rsid w:val="00C22951"/>
    <w:rsid w:val="00C233B3"/>
    <w:rsid w:val="00C23652"/>
    <w:rsid w:val="00C24639"/>
    <w:rsid w:val="00C25890"/>
    <w:rsid w:val="00C3241B"/>
    <w:rsid w:val="00C33424"/>
    <w:rsid w:val="00C34774"/>
    <w:rsid w:val="00C35B68"/>
    <w:rsid w:val="00C35D6C"/>
    <w:rsid w:val="00C35E59"/>
    <w:rsid w:val="00C37BD6"/>
    <w:rsid w:val="00C37FE7"/>
    <w:rsid w:val="00C40B19"/>
    <w:rsid w:val="00C417B7"/>
    <w:rsid w:val="00C41E52"/>
    <w:rsid w:val="00C433B7"/>
    <w:rsid w:val="00C455D9"/>
    <w:rsid w:val="00C4575B"/>
    <w:rsid w:val="00C45A98"/>
    <w:rsid w:val="00C461AC"/>
    <w:rsid w:val="00C47DB6"/>
    <w:rsid w:val="00C51205"/>
    <w:rsid w:val="00C51B2D"/>
    <w:rsid w:val="00C54B41"/>
    <w:rsid w:val="00C54DED"/>
    <w:rsid w:val="00C55630"/>
    <w:rsid w:val="00C5634F"/>
    <w:rsid w:val="00C565CE"/>
    <w:rsid w:val="00C63441"/>
    <w:rsid w:val="00C63B7C"/>
    <w:rsid w:val="00C64FA1"/>
    <w:rsid w:val="00C65509"/>
    <w:rsid w:val="00C677D5"/>
    <w:rsid w:val="00C76069"/>
    <w:rsid w:val="00C764CE"/>
    <w:rsid w:val="00C76750"/>
    <w:rsid w:val="00C76BAD"/>
    <w:rsid w:val="00C82920"/>
    <w:rsid w:val="00C860FF"/>
    <w:rsid w:val="00C929E0"/>
    <w:rsid w:val="00C9433A"/>
    <w:rsid w:val="00C95D87"/>
    <w:rsid w:val="00C97714"/>
    <w:rsid w:val="00C97A09"/>
    <w:rsid w:val="00CA36AC"/>
    <w:rsid w:val="00CA3F47"/>
    <w:rsid w:val="00CA40CE"/>
    <w:rsid w:val="00CA6300"/>
    <w:rsid w:val="00CB1E88"/>
    <w:rsid w:val="00CB37ED"/>
    <w:rsid w:val="00CB4348"/>
    <w:rsid w:val="00CB5687"/>
    <w:rsid w:val="00CB5B12"/>
    <w:rsid w:val="00CB5CB6"/>
    <w:rsid w:val="00CB6047"/>
    <w:rsid w:val="00CC2816"/>
    <w:rsid w:val="00CC328D"/>
    <w:rsid w:val="00CC3E58"/>
    <w:rsid w:val="00CC4363"/>
    <w:rsid w:val="00CD0208"/>
    <w:rsid w:val="00CD429B"/>
    <w:rsid w:val="00CD586D"/>
    <w:rsid w:val="00CD5DAD"/>
    <w:rsid w:val="00CD799C"/>
    <w:rsid w:val="00CE5DFC"/>
    <w:rsid w:val="00CE6CA6"/>
    <w:rsid w:val="00CF32A7"/>
    <w:rsid w:val="00CF45FF"/>
    <w:rsid w:val="00CF5815"/>
    <w:rsid w:val="00CF68F4"/>
    <w:rsid w:val="00CF7F96"/>
    <w:rsid w:val="00D000EF"/>
    <w:rsid w:val="00D0052B"/>
    <w:rsid w:val="00D00AFA"/>
    <w:rsid w:val="00D0193F"/>
    <w:rsid w:val="00D022A0"/>
    <w:rsid w:val="00D036E8"/>
    <w:rsid w:val="00D052DC"/>
    <w:rsid w:val="00D10B63"/>
    <w:rsid w:val="00D11CB8"/>
    <w:rsid w:val="00D14632"/>
    <w:rsid w:val="00D14691"/>
    <w:rsid w:val="00D14D06"/>
    <w:rsid w:val="00D16A16"/>
    <w:rsid w:val="00D2050A"/>
    <w:rsid w:val="00D211A0"/>
    <w:rsid w:val="00D21631"/>
    <w:rsid w:val="00D309AE"/>
    <w:rsid w:val="00D3106C"/>
    <w:rsid w:val="00D33A6D"/>
    <w:rsid w:val="00D34D99"/>
    <w:rsid w:val="00D35B12"/>
    <w:rsid w:val="00D3638B"/>
    <w:rsid w:val="00D36AB1"/>
    <w:rsid w:val="00D37B3A"/>
    <w:rsid w:val="00D411F9"/>
    <w:rsid w:val="00D41BFA"/>
    <w:rsid w:val="00D4218C"/>
    <w:rsid w:val="00D42640"/>
    <w:rsid w:val="00D42AB1"/>
    <w:rsid w:val="00D46169"/>
    <w:rsid w:val="00D46E88"/>
    <w:rsid w:val="00D46EEB"/>
    <w:rsid w:val="00D47DD9"/>
    <w:rsid w:val="00D50126"/>
    <w:rsid w:val="00D50D76"/>
    <w:rsid w:val="00D51517"/>
    <w:rsid w:val="00D52815"/>
    <w:rsid w:val="00D5341B"/>
    <w:rsid w:val="00D56CE1"/>
    <w:rsid w:val="00D57E1E"/>
    <w:rsid w:val="00D60733"/>
    <w:rsid w:val="00D60C72"/>
    <w:rsid w:val="00D635C0"/>
    <w:rsid w:val="00D63900"/>
    <w:rsid w:val="00D63E11"/>
    <w:rsid w:val="00D64110"/>
    <w:rsid w:val="00D66629"/>
    <w:rsid w:val="00D675E1"/>
    <w:rsid w:val="00D71F7B"/>
    <w:rsid w:val="00D723EA"/>
    <w:rsid w:val="00D75407"/>
    <w:rsid w:val="00D7627C"/>
    <w:rsid w:val="00D76378"/>
    <w:rsid w:val="00D80056"/>
    <w:rsid w:val="00D82C86"/>
    <w:rsid w:val="00D840D9"/>
    <w:rsid w:val="00D8444B"/>
    <w:rsid w:val="00D84F9E"/>
    <w:rsid w:val="00D85294"/>
    <w:rsid w:val="00D92A65"/>
    <w:rsid w:val="00D934F5"/>
    <w:rsid w:val="00D95267"/>
    <w:rsid w:val="00DA49AB"/>
    <w:rsid w:val="00DA4D9B"/>
    <w:rsid w:val="00DA74A1"/>
    <w:rsid w:val="00DB2EB6"/>
    <w:rsid w:val="00DB5A8A"/>
    <w:rsid w:val="00DB5EB2"/>
    <w:rsid w:val="00DC0688"/>
    <w:rsid w:val="00DC0E37"/>
    <w:rsid w:val="00DC2583"/>
    <w:rsid w:val="00DC2F42"/>
    <w:rsid w:val="00DC506A"/>
    <w:rsid w:val="00DC585E"/>
    <w:rsid w:val="00DC6257"/>
    <w:rsid w:val="00DC7370"/>
    <w:rsid w:val="00DC7383"/>
    <w:rsid w:val="00DD20A1"/>
    <w:rsid w:val="00DD284F"/>
    <w:rsid w:val="00DD4945"/>
    <w:rsid w:val="00DD5C4A"/>
    <w:rsid w:val="00DD651F"/>
    <w:rsid w:val="00DD7F62"/>
    <w:rsid w:val="00DE1E27"/>
    <w:rsid w:val="00DE1F14"/>
    <w:rsid w:val="00DE2BB0"/>
    <w:rsid w:val="00DE4DFA"/>
    <w:rsid w:val="00DE5DD3"/>
    <w:rsid w:val="00DE75EE"/>
    <w:rsid w:val="00DF42CE"/>
    <w:rsid w:val="00DF64EA"/>
    <w:rsid w:val="00DF6E10"/>
    <w:rsid w:val="00E0174A"/>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948"/>
    <w:rsid w:val="00E51900"/>
    <w:rsid w:val="00E558E9"/>
    <w:rsid w:val="00E56440"/>
    <w:rsid w:val="00E60758"/>
    <w:rsid w:val="00E6084B"/>
    <w:rsid w:val="00E612DC"/>
    <w:rsid w:val="00E6137F"/>
    <w:rsid w:val="00E61531"/>
    <w:rsid w:val="00E6192B"/>
    <w:rsid w:val="00E62DED"/>
    <w:rsid w:val="00E64174"/>
    <w:rsid w:val="00E6434E"/>
    <w:rsid w:val="00E65987"/>
    <w:rsid w:val="00E66894"/>
    <w:rsid w:val="00E7054C"/>
    <w:rsid w:val="00E72FE3"/>
    <w:rsid w:val="00E730AF"/>
    <w:rsid w:val="00E76954"/>
    <w:rsid w:val="00E779E9"/>
    <w:rsid w:val="00E811E3"/>
    <w:rsid w:val="00E81C36"/>
    <w:rsid w:val="00E82A7D"/>
    <w:rsid w:val="00E82BA4"/>
    <w:rsid w:val="00E841BB"/>
    <w:rsid w:val="00E849C5"/>
    <w:rsid w:val="00E85305"/>
    <w:rsid w:val="00E860F1"/>
    <w:rsid w:val="00E862DA"/>
    <w:rsid w:val="00E87615"/>
    <w:rsid w:val="00E87B8C"/>
    <w:rsid w:val="00E919A0"/>
    <w:rsid w:val="00E92FB3"/>
    <w:rsid w:val="00E952BB"/>
    <w:rsid w:val="00EA0A96"/>
    <w:rsid w:val="00EA1B87"/>
    <w:rsid w:val="00EA240D"/>
    <w:rsid w:val="00EA2573"/>
    <w:rsid w:val="00EA3C1F"/>
    <w:rsid w:val="00EA759B"/>
    <w:rsid w:val="00EA7A84"/>
    <w:rsid w:val="00EB15EA"/>
    <w:rsid w:val="00EB1D6C"/>
    <w:rsid w:val="00EB27B6"/>
    <w:rsid w:val="00EB368D"/>
    <w:rsid w:val="00EB6826"/>
    <w:rsid w:val="00EB7502"/>
    <w:rsid w:val="00EC033A"/>
    <w:rsid w:val="00EC3398"/>
    <w:rsid w:val="00EC4921"/>
    <w:rsid w:val="00EC6D60"/>
    <w:rsid w:val="00ED0DF6"/>
    <w:rsid w:val="00ED1682"/>
    <w:rsid w:val="00ED19F2"/>
    <w:rsid w:val="00ED57B1"/>
    <w:rsid w:val="00ED6913"/>
    <w:rsid w:val="00ED78C0"/>
    <w:rsid w:val="00ED7A30"/>
    <w:rsid w:val="00ED7BFC"/>
    <w:rsid w:val="00EE060A"/>
    <w:rsid w:val="00EE0D99"/>
    <w:rsid w:val="00EE1732"/>
    <w:rsid w:val="00EE1FB5"/>
    <w:rsid w:val="00EE20CB"/>
    <w:rsid w:val="00EE20FD"/>
    <w:rsid w:val="00EF161F"/>
    <w:rsid w:val="00EF18B8"/>
    <w:rsid w:val="00EF31C8"/>
    <w:rsid w:val="00EF45F7"/>
    <w:rsid w:val="00EF506B"/>
    <w:rsid w:val="00EF57E7"/>
    <w:rsid w:val="00F02BF9"/>
    <w:rsid w:val="00F045F5"/>
    <w:rsid w:val="00F05EDD"/>
    <w:rsid w:val="00F071F9"/>
    <w:rsid w:val="00F13E7D"/>
    <w:rsid w:val="00F141FF"/>
    <w:rsid w:val="00F14B9F"/>
    <w:rsid w:val="00F17188"/>
    <w:rsid w:val="00F21BC7"/>
    <w:rsid w:val="00F21C2C"/>
    <w:rsid w:val="00F22F61"/>
    <w:rsid w:val="00F238ED"/>
    <w:rsid w:val="00F248BE"/>
    <w:rsid w:val="00F25CBE"/>
    <w:rsid w:val="00F27473"/>
    <w:rsid w:val="00F274BF"/>
    <w:rsid w:val="00F275D4"/>
    <w:rsid w:val="00F35C98"/>
    <w:rsid w:val="00F35D5D"/>
    <w:rsid w:val="00F379EF"/>
    <w:rsid w:val="00F402EC"/>
    <w:rsid w:val="00F40850"/>
    <w:rsid w:val="00F4212A"/>
    <w:rsid w:val="00F42B76"/>
    <w:rsid w:val="00F43198"/>
    <w:rsid w:val="00F43899"/>
    <w:rsid w:val="00F43CFA"/>
    <w:rsid w:val="00F447B3"/>
    <w:rsid w:val="00F45EDA"/>
    <w:rsid w:val="00F46453"/>
    <w:rsid w:val="00F475E4"/>
    <w:rsid w:val="00F47D37"/>
    <w:rsid w:val="00F5455C"/>
    <w:rsid w:val="00F5625E"/>
    <w:rsid w:val="00F56495"/>
    <w:rsid w:val="00F5670C"/>
    <w:rsid w:val="00F61557"/>
    <w:rsid w:val="00F62802"/>
    <w:rsid w:val="00F63A56"/>
    <w:rsid w:val="00F65662"/>
    <w:rsid w:val="00F673D8"/>
    <w:rsid w:val="00F70724"/>
    <w:rsid w:val="00F7138F"/>
    <w:rsid w:val="00F73D8F"/>
    <w:rsid w:val="00F74C2D"/>
    <w:rsid w:val="00F75386"/>
    <w:rsid w:val="00F77CE8"/>
    <w:rsid w:val="00F81501"/>
    <w:rsid w:val="00F83139"/>
    <w:rsid w:val="00F83EE6"/>
    <w:rsid w:val="00F84AA6"/>
    <w:rsid w:val="00F84AC3"/>
    <w:rsid w:val="00F85866"/>
    <w:rsid w:val="00F85ADB"/>
    <w:rsid w:val="00F905EF"/>
    <w:rsid w:val="00F9133D"/>
    <w:rsid w:val="00F976DA"/>
    <w:rsid w:val="00FA1A8B"/>
    <w:rsid w:val="00FA32C4"/>
    <w:rsid w:val="00FA3439"/>
    <w:rsid w:val="00FA6AD3"/>
    <w:rsid w:val="00FA6DBD"/>
    <w:rsid w:val="00FA7C5A"/>
    <w:rsid w:val="00FB0743"/>
    <w:rsid w:val="00FB0D7C"/>
    <w:rsid w:val="00FB162D"/>
    <w:rsid w:val="00FB1B19"/>
    <w:rsid w:val="00FB1C2E"/>
    <w:rsid w:val="00FB4196"/>
    <w:rsid w:val="00FB61AC"/>
    <w:rsid w:val="00FB63AE"/>
    <w:rsid w:val="00FB6841"/>
    <w:rsid w:val="00FB7A34"/>
    <w:rsid w:val="00FC00F4"/>
    <w:rsid w:val="00FC0B83"/>
    <w:rsid w:val="00FC1B12"/>
    <w:rsid w:val="00FC2E8B"/>
    <w:rsid w:val="00FC3C57"/>
    <w:rsid w:val="00FC6942"/>
    <w:rsid w:val="00FD0C94"/>
    <w:rsid w:val="00FD243B"/>
    <w:rsid w:val="00FD2488"/>
    <w:rsid w:val="00FD26C8"/>
    <w:rsid w:val="00FD28D5"/>
    <w:rsid w:val="00FD29CC"/>
    <w:rsid w:val="00FD3C67"/>
    <w:rsid w:val="00FD4E91"/>
    <w:rsid w:val="00FD5EDE"/>
    <w:rsid w:val="00FD7AF2"/>
    <w:rsid w:val="00FE0CA3"/>
    <w:rsid w:val="00FE2166"/>
    <w:rsid w:val="00FE2179"/>
    <w:rsid w:val="00FE2B64"/>
    <w:rsid w:val="00FE3571"/>
    <w:rsid w:val="00FE67B4"/>
    <w:rsid w:val="00FE7D3D"/>
    <w:rsid w:val="00FF1B59"/>
    <w:rsid w:val="00FF2F43"/>
    <w:rsid w:val="00FF3B77"/>
    <w:rsid w:val="00FF58D6"/>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AD73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F75386"/>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F75386"/>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F75386"/>
    <w:pPr>
      <w:keepNext/>
      <w:keepLines/>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F75386"/>
    <w:pPr>
      <w:keepNext/>
      <w:keepLines/>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F75386"/>
    <w:pPr>
      <w:keepNext/>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F75386"/>
    <w:pPr>
      <w:spacing w:before="240" w:after="60"/>
      <w:outlineLvl w:val="6"/>
    </w:pPr>
    <w:rPr>
      <w:rFonts w:ascii="Calibri" w:hAnsi="Calibri"/>
      <w:lang w:val="x-none" w:eastAsia="x-none"/>
    </w:rPr>
  </w:style>
  <w:style w:type="paragraph" w:styleId="Heading8">
    <w:name w:val="heading 8"/>
    <w:basedOn w:val="Normal"/>
    <w:next w:val="Normal"/>
    <w:link w:val="Heading8Char"/>
    <w:uiPriority w:val="99"/>
    <w:qFormat/>
    <w:rsid w:val="00F75386"/>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9"/>
    <w:qFormat/>
    <w:rsid w:val="00F75386"/>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rPr>
      <w:lang w:val="x-none" w:eastAsia="x-none"/>
    </w:r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rPr>
      <w:lang w:val="x-none" w:eastAsia="x-none"/>
    </w:r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rPr>
      <w:lang w:val="x-none" w:eastAsia="x-none"/>
    </w:r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rPr>
      <w:lang w:val="x-none" w:eastAsia="x-none"/>
    </w:r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lang w:val="x-none" w:eastAsia="x-none"/>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sz w:val="16"/>
      <w:szCs w:val="16"/>
      <w:lang w:val="x-none" w:eastAsia="x-none"/>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rPr>
      <w:lang w:val="x-none" w:eastAsia="x-none"/>
    </w:r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lang w:val="x-none" w:eastAsia="x-none"/>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rPr>
      <w:lang w:val="x-none" w:eastAsia="x-none"/>
    </w:rPr>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rPr>
      <w:lang w:val="x-none" w:eastAsia="x-none"/>
    </w:rPr>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lang w:val="x-none" w:eastAsia="x-none"/>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rsid w:val="00F75386"/>
    <w:rPr>
      <w:sz w:val="20"/>
      <w:szCs w:val="20"/>
      <w:lang w:val="x-none" w:eastAsia="x-none"/>
    </w:rPr>
  </w:style>
  <w:style w:type="character" w:customStyle="1" w:styleId="FootnoteTextChar">
    <w:name w:val="Footnote Text Char"/>
    <w:link w:val="FootnoteText"/>
    <w:uiPriority w:val="99"/>
    <w:locked/>
    <w:rsid w:val="007B1930"/>
    <w:rPr>
      <w:rFonts w:cs="Times New Roman"/>
    </w:rPr>
  </w:style>
  <w:style w:type="paragraph" w:styleId="HTMLAddress">
    <w:name w:val="HTML Address"/>
    <w:basedOn w:val="Normal"/>
    <w:link w:val="HTMLAddressChar"/>
    <w:uiPriority w:val="99"/>
    <w:rsid w:val="00F75386"/>
    <w:rPr>
      <w:i/>
      <w:iCs/>
      <w:lang w:val="x-none" w:eastAsia="x-none"/>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rPr>
      <w:lang w:val="x-none" w:eastAsia="x-none"/>
    </w:rPr>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sz w:val="20"/>
      <w:szCs w:val="20"/>
      <w:lang w:val="x-none" w:eastAsia="x-none"/>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rPr>
      <w:lang w:val="x-none" w:eastAsia="x-none"/>
    </w:rPr>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rPr>
      <w:lang w:val="x-none" w:eastAsia="x-none"/>
    </w:r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sz w:val="2"/>
      <w:szCs w:val="20"/>
      <w:lang w:val="x-none" w:eastAsia="x-none"/>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34"/>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FollowedHyperlink">
    <w:name w:val="FollowedHyperlink"/>
    <w:uiPriority w:val="99"/>
    <w:semiHidden/>
    <w:unhideWhenUsed/>
    <w:locked/>
    <w:rsid w:val="00EF45F7"/>
    <w:rPr>
      <w:color w:val="800080"/>
      <w:u w:val="single"/>
    </w:rPr>
  </w:style>
  <w:style w:type="paragraph" w:customStyle="1" w:styleId="Findings">
    <w:name w:val="Findings"/>
    <w:basedOn w:val="Normal"/>
    <w:rsid w:val="00B30190"/>
    <w:pPr>
      <w:numPr>
        <w:numId w:val="2"/>
      </w:numPr>
      <w:tabs>
        <w:tab w:val="clear" w:pos="720"/>
        <w:tab w:val="num" w:pos="0"/>
      </w:tabs>
      <w:ind w:left="0"/>
    </w:pPr>
  </w:style>
  <w:style w:type="table" w:styleId="TableGrid">
    <w:name w:val="Table Grid"/>
    <w:basedOn w:val="TableNormal"/>
    <w:uiPriority w:val="59"/>
    <w:locked/>
    <w:rsid w:val="002352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2016-01-28T08:00:00+00:00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0D170-1D59-4E1F-BA7B-98F22BA2EE25}"/>
</file>

<file path=customXml/itemProps2.xml><?xml version="1.0" encoding="utf-8"?>
<ds:datastoreItem xmlns:ds="http://schemas.openxmlformats.org/officeDocument/2006/customXml" ds:itemID="{1C905FBC-A5FD-4AAE-BE8F-9A4864187075}"/>
</file>

<file path=customXml/itemProps3.xml><?xml version="1.0" encoding="utf-8"?>
<ds:datastoreItem xmlns:ds="http://schemas.openxmlformats.org/officeDocument/2006/customXml" ds:itemID="{A37E4FAA-9309-4B5A-AE18-0ACE83F23A4B}"/>
</file>

<file path=customXml/itemProps4.xml><?xml version="1.0" encoding="utf-8"?>
<ds:datastoreItem xmlns:ds="http://schemas.openxmlformats.org/officeDocument/2006/customXml" ds:itemID="{B7EB2A91-03E0-40BF-BBD0-2CFC46E33A9C}"/>
</file>

<file path=customXml/itemProps5.xml><?xml version="1.0" encoding="utf-8"?>
<ds:datastoreItem xmlns:ds="http://schemas.openxmlformats.org/officeDocument/2006/customXml" ds:itemID="{49860178-0204-4534-AD16-93CB558A42B6}"/>
</file>

<file path=customXml/itemProps6.xml><?xml version="1.0" encoding="utf-8"?>
<ds:datastoreItem xmlns:ds="http://schemas.openxmlformats.org/officeDocument/2006/customXml" ds:itemID="{91055FC9-A189-4E56-BEAC-3F3A0406619F}"/>
</file>

<file path=docProps/app.xml><?xml version="1.0" encoding="utf-8"?>
<Properties xmlns="http://schemas.openxmlformats.org/officeDocument/2006/extended-properties" xmlns:vt="http://schemas.openxmlformats.org/officeDocument/2006/docPropsVTypes">
  <Template>Normal</Template>
  <TotalTime>0</TotalTime>
  <Pages>7</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UE-152076 and UG-152077 - Order 01</vt:lpstr>
    </vt:vector>
  </TitlesOfParts>
  <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UE-152076 and UG-152077 - Order 01</dc:title>
  <dc:subject> </dc:subject>
  <dc:creator/>
  <cp:keywords> </cp:keywords>
  <cp:lastModifiedBy/>
  <cp:revision>1</cp:revision>
  <dcterms:created xsi:type="dcterms:W3CDTF">2016-01-28T19:37:00Z</dcterms:created>
  <dcterms:modified xsi:type="dcterms:W3CDTF">2016-01-28T19:37:00Z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0x0101006E56B4D1795A2E4DB2F0B01679ED314A008C9FF752C62EEC49B6E6DFE0ED78D158</vt:lpwstr>
  </property>
</Properties>
</file>