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9A" w:rsidRPr="00B8649A" w:rsidRDefault="00FA75BE" w:rsidP="00ED0648">
      <w:pPr>
        <w:spacing w:after="0" w:line="240" w:lineRule="auto"/>
        <w:rPr>
          <w:rFonts w:ascii="Times New Roman" w:hAnsi="Times New Roman"/>
          <w:spacing w:val="0"/>
          <w:sz w:val="24"/>
        </w:rPr>
      </w:pPr>
      <w:bookmarkStart w:id="0" w:name="_GoBack"/>
      <w:bookmarkEnd w:id="0"/>
      <w:r w:rsidRPr="00B8649A">
        <w:rPr>
          <w:rFonts w:ascii="Times New Roman" w:hAnsi="Times New Roman"/>
          <w:noProof/>
          <w:spacing w:val="0"/>
          <w:sz w:val="24"/>
        </w:rPr>
        <w:drawing>
          <wp:anchor distT="0" distB="0" distL="114300" distR="114300" simplePos="0" relativeHeight="251659264" behindDoc="1" locked="0" layoutInCell="1" allowOverlap="1" wp14:anchorId="51737BF5" wp14:editId="56673A5F">
            <wp:simplePos x="0" y="0"/>
            <wp:positionH relativeFrom="column">
              <wp:posOffset>-380669</wp:posOffset>
            </wp:positionH>
            <wp:positionV relativeFrom="page">
              <wp:posOffset>689610</wp:posOffset>
            </wp:positionV>
            <wp:extent cx="6578600" cy="381000"/>
            <wp:effectExtent l="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49A" w:rsidRPr="00B8649A" w:rsidRDefault="00B8649A" w:rsidP="00ED0648">
      <w:pPr>
        <w:spacing w:after="0" w:line="240" w:lineRule="auto"/>
        <w:rPr>
          <w:rFonts w:ascii="Times New Roman" w:hAnsi="Times New Roman"/>
          <w:spacing w:val="0"/>
          <w:sz w:val="24"/>
        </w:rPr>
      </w:pPr>
    </w:p>
    <w:p w:rsidR="002F2579" w:rsidRPr="00B8649A" w:rsidRDefault="00B8649A" w:rsidP="00ED0648">
      <w:pPr>
        <w:spacing w:after="0" w:line="240" w:lineRule="auto"/>
        <w:rPr>
          <w:rFonts w:ascii="Times New Roman" w:hAnsi="Times New Roman"/>
          <w:spacing w:val="0"/>
          <w:sz w:val="24"/>
        </w:rPr>
      </w:pPr>
      <w:r w:rsidRPr="00B8649A">
        <w:rPr>
          <w:rFonts w:ascii="Times New Roman" w:hAnsi="Times New Roman"/>
          <w:spacing w:val="0"/>
          <w:sz w:val="24"/>
        </w:rPr>
        <w:t>May 1, 2015</w:t>
      </w:r>
    </w:p>
    <w:p w:rsidR="00B8649A" w:rsidRDefault="00B8649A" w:rsidP="00ED0648">
      <w:pPr>
        <w:spacing w:after="0" w:line="240" w:lineRule="auto"/>
        <w:rPr>
          <w:rFonts w:ascii="Times New Roman" w:hAnsi="Times New Roman"/>
          <w:b/>
          <w:i/>
          <w:caps/>
          <w:spacing w:val="0"/>
          <w:sz w:val="24"/>
        </w:rPr>
      </w:pPr>
    </w:p>
    <w:p w:rsidR="00FA75BE" w:rsidRDefault="00FA75BE" w:rsidP="00F102E3">
      <w:pPr>
        <w:spacing w:after="0" w:line="240" w:lineRule="auto"/>
        <w:rPr>
          <w:rFonts w:ascii="Times New Roman" w:hAnsi="Times New Roman"/>
          <w:b/>
          <w:i/>
          <w:caps/>
          <w:spacing w:val="0"/>
          <w:sz w:val="24"/>
        </w:rPr>
      </w:pPr>
      <w:r>
        <w:rPr>
          <w:rFonts w:ascii="Times New Roman" w:hAnsi="Times New Roman"/>
          <w:b/>
          <w:i/>
          <w:caps/>
          <w:spacing w:val="0"/>
          <w:sz w:val="24"/>
        </w:rPr>
        <w:t>VIA ELECTRONIC FILING</w:t>
      </w:r>
    </w:p>
    <w:p w:rsidR="00FA75BE" w:rsidRDefault="00FA75BE">
      <w:pPr>
        <w:spacing w:after="0" w:line="240" w:lineRule="auto"/>
        <w:rPr>
          <w:rFonts w:ascii="Times New Roman" w:hAnsi="Times New Roman"/>
          <w:b/>
          <w:i/>
          <w:caps/>
          <w:spacing w:val="0"/>
          <w:sz w:val="24"/>
        </w:rPr>
      </w:pPr>
      <w:r>
        <w:rPr>
          <w:rFonts w:ascii="Times New Roman" w:hAnsi="Times New Roman"/>
          <w:b/>
          <w:i/>
          <w:caps/>
          <w:spacing w:val="0"/>
          <w:sz w:val="24"/>
        </w:rPr>
        <w:t>AND OVERNIGHT DELIVERY</w:t>
      </w:r>
    </w:p>
    <w:p w:rsidR="00FA75BE" w:rsidRDefault="00FA75BE">
      <w:pPr>
        <w:spacing w:after="0" w:line="240" w:lineRule="auto"/>
        <w:rPr>
          <w:rFonts w:ascii="Times New Roman" w:hAnsi="Times New Roman"/>
          <w:b/>
          <w:i/>
          <w:caps/>
          <w:spacing w:val="0"/>
          <w:sz w:val="24"/>
        </w:rPr>
      </w:pPr>
    </w:p>
    <w:p w:rsidR="00FA75BE" w:rsidRPr="0014409D" w:rsidRDefault="00FA75B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14409D">
        <w:rPr>
          <w:rFonts w:ascii="Times New Roman" w:eastAsia="Times New Roman" w:hAnsi="Times New Roman" w:cs="Times New Roman"/>
          <w:spacing w:val="0"/>
          <w:sz w:val="24"/>
          <w:szCs w:val="24"/>
        </w:rPr>
        <w:t>Steven V. King</w:t>
      </w:r>
    </w:p>
    <w:p w:rsidR="00FA75BE" w:rsidRPr="0014409D" w:rsidRDefault="00FA75B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14409D">
        <w:rPr>
          <w:rFonts w:ascii="Times New Roman" w:eastAsia="Times New Roman" w:hAnsi="Times New Roman" w:cs="Times New Roman"/>
          <w:spacing w:val="0"/>
          <w:sz w:val="24"/>
          <w:szCs w:val="24"/>
        </w:rPr>
        <w:t>Executive Director and Secretary</w:t>
      </w:r>
    </w:p>
    <w:p w:rsidR="00FA75BE" w:rsidRPr="0014409D" w:rsidRDefault="00FA75B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14409D">
        <w:rPr>
          <w:rFonts w:ascii="Times New Roman" w:eastAsia="Times New Roman" w:hAnsi="Times New Roman" w:cs="Times New Roman"/>
          <w:spacing w:val="0"/>
          <w:sz w:val="24"/>
          <w:szCs w:val="24"/>
        </w:rPr>
        <w:t>Washington Utilities and Transportation Commission</w:t>
      </w:r>
    </w:p>
    <w:p w:rsidR="00FA75BE" w:rsidRPr="0014409D" w:rsidRDefault="00FA75B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14409D">
        <w:rPr>
          <w:rFonts w:ascii="Times New Roman" w:eastAsia="Times New Roman" w:hAnsi="Times New Roman" w:cs="Times New Roman"/>
          <w:spacing w:val="0"/>
          <w:sz w:val="24"/>
          <w:szCs w:val="24"/>
        </w:rPr>
        <w:t>1300 S. Evergreen Park Drive SW</w:t>
      </w:r>
    </w:p>
    <w:p w:rsidR="00FA75BE" w:rsidRPr="0014409D" w:rsidRDefault="00FA75B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14409D">
        <w:rPr>
          <w:rFonts w:ascii="Times New Roman" w:eastAsia="Times New Roman" w:hAnsi="Times New Roman" w:cs="Times New Roman"/>
          <w:spacing w:val="0"/>
          <w:sz w:val="24"/>
          <w:szCs w:val="24"/>
        </w:rPr>
        <w:t>P.O. Box 47250</w:t>
      </w:r>
    </w:p>
    <w:p w:rsidR="00FA75BE" w:rsidRDefault="00FA75B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14409D">
        <w:rPr>
          <w:rFonts w:ascii="Times New Roman" w:eastAsia="Times New Roman" w:hAnsi="Times New Roman" w:cs="Times New Roman"/>
          <w:spacing w:val="0"/>
          <w:sz w:val="24"/>
          <w:szCs w:val="24"/>
        </w:rPr>
        <w:t>Olympia, WA 98504-7250</w:t>
      </w:r>
    </w:p>
    <w:p w:rsidR="00FA75BE" w:rsidRDefault="00FA75BE" w:rsidP="00ED0648">
      <w:pPr>
        <w:spacing w:after="0" w:line="240" w:lineRule="auto"/>
        <w:rPr>
          <w:rFonts w:ascii="Times New Roman" w:hAnsi="Times New Roman"/>
          <w:b/>
          <w:i/>
          <w:caps/>
          <w:spacing w:val="0"/>
          <w:sz w:val="24"/>
        </w:rPr>
      </w:pPr>
    </w:p>
    <w:p w:rsidR="00B8649A" w:rsidRPr="009C6610" w:rsidRDefault="00B8649A" w:rsidP="00ED0648">
      <w:pPr>
        <w:spacing w:after="0" w:line="240" w:lineRule="auto"/>
        <w:rPr>
          <w:rFonts w:ascii="Times New Roman" w:hAnsi="Times New Roman"/>
          <w:b/>
          <w:spacing w:val="0"/>
          <w:sz w:val="24"/>
        </w:rPr>
      </w:pPr>
      <w:r w:rsidRPr="00ED0648">
        <w:rPr>
          <w:rFonts w:ascii="Times New Roman" w:hAnsi="Times New Roman"/>
          <w:b/>
          <w:spacing w:val="0"/>
          <w:sz w:val="24"/>
        </w:rPr>
        <w:t>RE:</w:t>
      </w:r>
      <w:r w:rsidRPr="00ED0648">
        <w:rPr>
          <w:rFonts w:ascii="Times New Roman" w:hAnsi="Times New Roman"/>
          <w:b/>
          <w:spacing w:val="0"/>
          <w:sz w:val="24"/>
        </w:rPr>
        <w:tab/>
      </w:r>
      <w:r w:rsidR="00FA75BE" w:rsidRPr="00ED0648">
        <w:rPr>
          <w:rFonts w:ascii="Times New Roman" w:hAnsi="Times New Roman"/>
          <w:b/>
          <w:spacing w:val="0"/>
          <w:sz w:val="24"/>
        </w:rPr>
        <w:t xml:space="preserve">Docket </w:t>
      </w:r>
      <w:r w:rsidRPr="00ED0648">
        <w:rPr>
          <w:rFonts w:ascii="Times New Roman" w:hAnsi="Times New Roman"/>
          <w:b/>
          <w:spacing w:val="0"/>
          <w:sz w:val="24"/>
        </w:rPr>
        <w:t>UE-144160—</w:t>
      </w:r>
      <w:r w:rsidRPr="009C6610">
        <w:rPr>
          <w:rFonts w:ascii="Times New Roman" w:hAnsi="Times New Roman"/>
          <w:b/>
          <w:spacing w:val="0"/>
          <w:sz w:val="24"/>
        </w:rPr>
        <w:t>Withdrawal of Wind Integration Charge</w:t>
      </w:r>
    </w:p>
    <w:p w:rsidR="00B8649A" w:rsidRDefault="00B8649A" w:rsidP="00ED0648">
      <w:pPr>
        <w:spacing w:after="0" w:line="240" w:lineRule="auto"/>
        <w:rPr>
          <w:rFonts w:ascii="Times New Roman" w:hAnsi="Times New Roman"/>
          <w:b/>
          <w:spacing w:val="0"/>
          <w:sz w:val="24"/>
        </w:rPr>
      </w:pPr>
    </w:p>
    <w:p w:rsidR="0062544F" w:rsidRDefault="00B8649A" w:rsidP="00ED0648">
      <w:pPr>
        <w:spacing w:after="0" w:line="240" w:lineRule="auto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 xml:space="preserve">On December </w:t>
      </w:r>
      <w:r w:rsidR="0062544F">
        <w:rPr>
          <w:rFonts w:ascii="Times New Roman" w:hAnsi="Times New Roman"/>
          <w:spacing w:val="0"/>
          <w:sz w:val="24"/>
        </w:rPr>
        <w:t>29, 2014, Pacific Power &amp; Light Compan</w:t>
      </w:r>
      <w:r w:rsidR="00A3207A">
        <w:rPr>
          <w:rFonts w:ascii="Times New Roman" w:hAnsi="Times New Roman"/>
          <w:spacing w:val="0"/>
          <w:sz w:val="24"/>
        </w:rPr>
        <w:t>y</w:t>
      </w:r>
      <w:r w:rsidR="00FA75BE">
        <w:rPr>
          <w:rFonts w:ascii="Times New Roman" w:hAnsi="Times New Roman"/>
          <w:spacing w:val="0"/>
          <w:sz w:val="24"/>
        </w:rPr>
        <w:t>, a division of PacifiCorp</w:t>
      </w:r>
      <w:r w:rsidR="00A3207A">
        <w:rPr>
          <w:rFonts w:ascii="Times New Roman" w:hAnsi="Times New Roman"/>
          <w:spacing w:val="0"/>
          <w:sz w:val="24"/>
        </w:rPr>
        <w:t xml:space="preserve"> (</w:t>
      </w:r>
      <w:r w:rsidR="00FA75BE">
        <w:rPr>
          <w:rFonts w:ascii="Times New Roman" w:hAnsi="Times New Roman"/>
          <w:spacing w:val="0"/>
          <w:sz w:val="24"/>
        </w:rPr>
        <w:t xml:space="preserve">Pacific Power </w:t>
      </w:r>
      <w:r w:rsidR="00A3207A">
        <w:rPr>
          <w:rFonts w:ascii="Times New Roman" w:hAnsi="Times New Roman"/>
          <w:spacing w:val="0"/>
          <w:sz w:val="24"/>
        </w:rPr>
        <w:t>or Company)</w:t>
      </w:r>
      <w:r w:rsidR="00FA75BE">
        <w:rPr>
          <w:rFonts w:ascii="Times New Roman" w:hAnsi="Times New Roman"/>
          <w:spacing w:val="0"/>
          <w:sz w:val="24"/>
        </w:rPr>
        <w:t>,</w:t>
      </w:r>
      <w:r w:rsidR="00A3207A">
        <w:rPr>
          <w:rFonts w:ascii="Times New Roman" w:hAnsi="Times New Roman"/>
          <w:spacing w:val="0"/>
          <w:sz w:val="24"/>
        </w:rPr>
        <w:t xml:space="preserve"> filed </w:t>
      </w:r>
      <w:r w:rsidR="0062544F">
        <w:rPr>
          <w:rFonts w:ascii="Times New Roman" w:hAnsi="Times New Roman"/>
          <w:spacing w:val="0"/>
          <w:sz w:val="24"/>
        </w:rPr>
        <w:t>revised Schedule 37 avoided cost prices with the Washington Utilities and Transportation Commission (Commission).  In its revised Schedule 37</w:t>
      </w:r>
      <w:r w:rsidR="00A3207A">
        <w:rPr>
          <w:rFonts w:ascii="Times New Roman" w:hAnsi="Times New Roman"/>
          <w:spacing w:val="0"/>
          <w:sz w:val="24"/>
        </w:rPr>
        <w:t xml:space="preserve"> avoided cost</w:t>
      </w:r>
      <w:r w:rsidR="0062544F">
        <w:rPr>
          <w:rFonts w:ascii="Times New Roman" w:hAnsi="Times New Roman"/>
          <w:spacing w:val="0"/>
          <w:sz w:val="24"/>
        </w:rPr>
        <w:t xml:space="preserve"> prices, the Company proposed </w:t>
      </w:r>
      <w:r w:rsidR="003C7279">
        <w:rPr>
          <w:rFonts w:ascii="Times New Roman" w:hAnsi="Times New Roman"/>
          <w:spacing w:val="0"/>
          <w:sz w:val="24"/>
        </w:rPr>
        <w:t xml:space="preserve">to </w:t>
      </w:r>
      <w:r w:rsidR="0062544F">
        <w:rPr>
          <w:rFonts w:ascii="Times New Roman" w:hAnsi="Times New Roman"/>
          <w:spacing w:val="0"/>
          <w:sz w:val="24"/>
        </w:rPr>
        <w:t>include a $3.06 per megawatt-hour (MWh) integration charge for wind qualifying facilities (QFs) and a $0.77 per MWh integration charge for solar QFs.</w:t>
      </w:r>
      <w:r w:rsidR="00BB177E">
        <w:rPr>
          <w:rStyle w:val="FootnoteReference"/>
          <w:rFonts w:ascii="Times New Roman" w:hAnsi="Times New Roman"/>
          <w:spacing w:val="0"/>
          <w:sz w:val="24"/>
        </w:rPr>
        <w:footnoteReference w:id="1"/>
      </w:r>
      <w:r w:rsidR="0062544F">
        <w:rPr>
          <w:rFonts w:ascii="Times New Roman" w:hAnsi="Times New Roman"/>
          <w:spacing w:val="0"/>
          <w:sz w:val="24"/>
        </w:rPr>
        <w:t xml:space="preserve">  The proposed integration charges were based on the Company’s 2014 Wind Integration Study.</w:t>
      </w:r>
    </w:p>
    <w:p w:rsidR="00FA75BE" w:rsidRDefault="00FA75BE" w:rsidP="00ED0648">
      <w:pPr>
        <w:spacing w:after="0" w:line="240" w:lineRule="auto"/>
        <w:rPr>
          <w:rFonts w:ascii="Times New Roman" w:hAnsi="Times New Roman"/>
          <w:spacing w:val="0"/>
          <w:sz w:val="24"/>
        </w:rPr>
      </w:pPr>
    </w:p>
    <w:p w:rsidR="0062544F" w:rsidRDefault="0062544F" w:rsidP="00ED0648">
      <w:pPr>
        <w:spacing w:after="0" w:line="240" w:lineRule="auto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 xml:space="preserve">Following an open public meeting on February 12, 2015, the Commission suspended </w:t>
      </w:r>
      <w:r w:rsidR="00FA75BE">
        <w:rPr>
          <w:rFonts w:ascii="Times New Roman" w:hAnsi="Times New Roman"/>
          <w:spacing w:val="0"/>
          <w:sz w:val="24"/>
        </w:rPr>
        <w:t>the Company</w:t>
      </w:r>
      <w:r>
        <w:rPr>
          <w:rFonts w:ascii="Times New Roman" w:hAnsi="Times New Roman"/>
          <w:spacing w:val="0"/>
          <w:sz w:val="24"/>
        </w:rPr>
        <w:t xml:space="preserve">’s tariff revisions and opened an investigation into the proposed integration charge and other aspects of </w:t>
      </w:r>
      <w:r w:rsidR="00FA75BE">
        <w:rPr>
          <w:rFonts w:ascii="Times New Roman" w:hAnsi="Times New Roman"/>
          <w:spacing w:val="0"/>
          <w:sz w:val="24"/>
        </w:rPr>
        <w:t xml:space="preserve">the </w:t>
      </w:r>
      <w:r w:rsidR="007731D3">
        <w:rPr>
          <w:rFonts w:ascii="Times New Roman" w:hAnsi="Times New Roman"/>
          <w:spacing w:val="0"/>
          <w:sz w:val="24"/>
        </w:rPr>
        <w:t>filing</w:t>
      </w:r>
      <w:r>
        <w:rPr>
          <w:rFonts w:ascii="Times New Roman" w:hAnsi="Times New Roman"/>
          <w:spacing w:val="0"/>
          <w:sz w:val="24"/>
        </w:rPr>
        <w:t>.</w:t>
      </w:r>
      <w:r w:rsidR="00034DB7">
        <w:rPr>
          <w:rStyle w:val="FootnoteReference"/>
          <w:rFonts w:ascii="Times New Roman" w:hAnsi="Times New Roman"/>
          <w:spacing w:val="0"/>
          <w:sz w:val="24"/>
        </w:rPr>
        <w:footnoteReference w:id="2"/>
      </w:r>
      <w:r>
        <w:rPr>
          <w:rFonts w:ascii="Times New Roman" w:hAnsi="Times New Roman"/>
          <w:spacing w:val="0"/>
          <w:sz w:val="24"/>
        </w:rPr>
        <w:t xml:space="preserve">  The Commission stated that </w:t>
      </w:r>
      <w:r w:rsidR="00FA75BE">
        <w:rPr>
          <w:rFonts w:ascii="Times New Roman" w:hAnsi="Times New Roman"/>
          <w:spacing w:val="0"/>
          <w:sz w:val="24"/>
        </w:rPr>
        <w:t xml:space="preserve">Pacific Power </w:t>
      </w:r>
      <w:r>
        <w:rPr>
          <w:rFonts w:ascii="Times New Roman" w:hAnsi="Times New Roman"/>
          <w:spacing w:val="0"/>
          <w:sz w:val="24"/>
        </w:rPr>
        <w:t>“must not change or alter the tariffs filed in this docket during the suspension period, unless authorized by the Commission.”</w:t>
      </w:r>
    </w:p>
    <w:p w:rsidR="00FA75BE" w:rsidRDefault="00FA75BE" w:rsidP="00ED0648">
      <w:pPr>
        <w:spacing w:after="0" w:line="240" w:lineRule="auto"/>
        <w:rPr>
          <w:rFonts w:ascii="Times New Roman" w:hAnsi="Times New Roman"/>
          <w:spacing w:val="0"/>
          <w:sz w:val="24"/>
        </w:rPr>
      </w:pPr>
    </w:p>
    <w:p w:rsidR="0062544F" w:rsidRDefault="00FA75BE" w:rsidP="00ED0648">
      <w:pPr>
        <w:spacing w:after="0" w:line="240" w:lineRule="auto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The Company submits this letter to</w:t>
      </w:r>
      <w:r w:rsidR="0062544F">
        <w:rPr>
          <w:rFonts w:ascii="Times New Roman" w:hAnsi="Times New Roman"/>
          <w:spacing w:val="0"/>
          <w:sz w:val="24"/>
        </w:rPr>
        <w:t xml:space="preserve"> withdraw its proposed integration charges from </w:t>
      </w:r>
      <w:r w:rsidR="00A3207A">
        <w:rPr>
          <w:rFonts w:ascii="Times New Roman" w:hAnsi="Times New Roman"/>
          <w:spacing w:val="0"/>
          <w:sz w:val="24"/>
        </w:rPr>
        <w:t>the</w:t>
      </w:r>
      <w:r w:rsidR="0062544F">
        <w:rPr>
          <w:rFonts w:ascii="Times New Roman" w:hAnsi="Times New Roman"/>
          <w:spacing w:val="0"/>
          <w:sz w:val="24"/>
        </w:rPr>
        <w:t xml:space="preserve"> Schedule 37 tariff revisions currently under consideration in this docket.  </w:t>
      </w:r>
      <w:r w:rsidR="00C85EC8">
        <w:rPr>
          <w:rFonts w:ascii="Times New Roman" w:hAnsi="Times New Roman"/>
          <w:spacing w:val="0"/>
          <w:sz w:val="24"/>
        </w:rPr>
        <w:t xml:space="preserve">As a result, Term and Condition No. 8 from the Company’s proposed Tariff Sheet </w:t>
      </w:r>
      <w:r w:rsidR="006251DB">
        <w:rPr>
          <w:rFonts w:ascii="Times New Roman" w:hAnsi="Times New Roman"/>
          <w:spacing w:val="0"/>
          <w:sz w:val="24"/>
        </w:rPr>
        <w:t xml:space="preserve">37.2 will no longer apply.  </w:t>
      </w:r>
      <w:r w:rsidR="00781CAE">
        <w:rPr>
          <w:rFonts w:ascii="Times New Roman" w:hAnsi="Times New Roman"/>
          <w:spacing w:val="0"/>
          <w:sz w:val="24"/>
        </w:rPr>
        <w:t>Pacific Power</w:t>
      </w:r>
      <w:r w:rsidR="0062544F">
        <w:rPr>
          <w:rFonts w:ascii="Times New Roman" w:hAnsi="Times New Roman"/>
          <w:spacing w:val="0"/>
          <w:sz w:val="24"/>
        </w:rPr>
        <w:t xml:space="preserve">, however, reserves the right to </w:t>
      </w:r>
      <w:r w:rsidR="00A3207A">
        <w:rPr>
          <w:rFonts w:ascii="Times New Roman" w:hAnsi="Times New Roman"/>
          <w:spacing w:val="0"/>
          <w:sz w:val="24"/>
        </w:rPr>
        <w:t xml:space="preserve">seek inclusion of integration charges in its avoided costs prices </w:t>
      </w:r>
      <w:r w:rsidR="00085ED8">
        <w:rPr>
          <w:rFonts w:ascii="Times New Roman" w:hAnsi="Times New Roman"/>
          <w:spacing w:val="0"/>
          <w:sz w:val="24"/>
        </w:rPr>
        <w:t>in a future proceeding</w:t>
      </w:r>
      <w:r w:rsidR="00A3207A">
        <w:rPr>
          <w:rFonts w:ascii="Times New Roman" w:hAnsi="Times New Roman"/>
          <w:spacing w:val="0"/>
          <w:sz w:val="24"/>
        </w:rPr>
        <w:t>.</w:t>
      </w:r>
    </w:p>
    <w:p w:rsidR="00FA75BE" w:rsidRDefault="00FA75BE" w:rsidP="00ED0648">
      <w:pPr>
        <w:spacing w:after="0" w:line="240" w:lineRule="auto"/>
        <w:rPr>
          <w:rFonts w:ascii="Times New Roman" w:hAnsi="Times New Roman"/>
          <w:spacing w:val="0"/>
          <w:sz w:val="24"/>
        </w:rPr>
      </w:pPr>
    </w:p>
    <w:p w:rsidR="00A3207A" w:rsidRDefault="00A3207A" w:rsidP="00ED0648">
      <w:pPr>
        <w:spacing w:after="0" w:line="240" w:lineRule="auto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 xml:space="preserve">Upon final resolution of the issues in this docket, or at such time </w:t>
      </w:r>
      <w:r w:rsidR="002B69F9">
        <w:rPr>
          <w:rFonts w:ascii="Times New Roman" w:hAnsi="Times New Roman"/>
          <w:spacing w:val="0"/>
          <w:sz w:val="24"/>
        </w:rPr>
        <w:t xml:space="preserve">as </w:t>
      </w:r>
      <w:r>
        <w:rPr>
          <w:rFonts w:ascii="Times New Roman" w:hAnsi="Times New Roman"/>
          <w:spacing w:val="0"/>
          <w:sz w:val="24"/>
        </w:rPr>
        <w:t xml:space="preserve">the Commission orders, </w:t>
      </w:r>
      <w:r w:rsidR="00FA75BE">
        <w:rPr>
          <w:rFonts w:ascii="Times New Roman" w:hAnsi="Times New Roman"/>
          <w:spacing w:val="0"/>
          <w:sz w:val="24"/>
        </w:rPr>
        <w:t xml:space="preserve">the Company </w:t>
      </w:r>
      <w:r>
        <w:rPr>
          <w:rFonts w:ascii="Times New Roman" w:hAnsi="Times New Roman"/>
          <w:spacing w:val="0"/>
          <w:sz w:val="24"/>
        </w:rPr>
        <w:t xml:space="preserve">will revise its proposed Schedule 37 tariff sheets to reflect the withdrawal of the integration charges. </w:t>
      </w:r>
    </w:p>
    <w:p w:rsidR="00FA75BE" w:rsidRDefault="00FA75BE" w:rsidP="00ED0648">
      <w:pPr>
        <w:spacing w:after="0" w:line="240" w:lineRule="auto"/>
        <w:rPr>
          <w:rFonts w:ascii="Times New Roman" w:hAnsi="Times New Roman"/>
          <w:spacing w:val="0"/>
          <w:sz w:val="24"/>
        </w:rPr>
      </w:pPr>
    </w:p>
    <w:p w:rsidR="00FA75BE" w:rsidRPr="00C619ED" w:rsidRDefault="00FA75BE" w:rsidP="00F102E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</w:pPr>
      <w:r w:rsidRPr="00C619E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  <w:t>Informal questions regarding this filing should be directed to Ariel Son, Manager, Regulatory Projects, at (503) 813-5410.</w:t>
      </w:r>
    </w:p>
    <w:p w:rsidR="00A3207A" w:rsidRDefault="00A3207A" w:rsidP="00ED0648">
      <w:pPr>
        <w:spacing w:after="0" w:line="240" w:lineRule="auto"/>
        <w:rPr>
          <w:rFonts w:ascii="Times New Roman" w:hAnsi="Times New Roman"/>
          <w:spacing w:val="0"/>
          <w:sz w:val="24"/>
        </w:rPr>
      </w:pPr>
    </w:p>
    <w:p w:rsidR="00F102E3" w:rsidRDefault="00F102E3">
      <w:pPr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br w:type="page"/>
      </w:r>
    </w:p>
    <w:p w:rsidR="0062544F" w:rsidRDefault="00A3207A" w:rsidP="00ED0648">
      <w:pPr>
        <w:spacing w:after="0" w:line="240" w:lineRule="auto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lastRenderedPageBreak/>
        <w:t xml:space="preserve">Sincerely, </w:t>
      </w:r>
    </w:p>
    <w:p w:rsidR="00A3207A" w:rsidRDefault="00A3207A" w:rsidP="00ED0648">
      <w:pPr>
        <w:spacing w:after="0" w:line="240" w:lineRule="auto"/>
        <w:rPr>
          <w:rFonts w:ascii="Times New Roman" w:hAnsi="Times New Roman"/>
          <w:spacing w:val="0"/>
          <w:sz w:val="24"/>
        </w:rPr>
      </w:pPr>
    </w:p>
    <w:p w:rsidR="00034DB7" w:rsidRDefault="00034DB7" w:rsidP="00ED0648">
      <w:pPr>
        <w:spacing w:after="0" w:line="240" w:lineRule="auto"/>
        <w:rPr>
          <w:rFonts w:ascii="Times New Roman" w:hAnsi="Times New Roman"/>
          <w:spacing w:val="0"/>
          <w:sz w:val="24"/>
        </w:rPr>
      </w:pPr>
    </w:p>
    <w:p w:rsidR="00034DB7" w:rsidRDefault="00034DB7" w:rsidP="00ED0648">
      <w:pPr>
        <w:spacing w:after="0" w:line="240" w:lineRule="auto"/>
        <w:rPr>
          <w:rFonts w:ascii="Times New Roman" w:hAnsi="Times New Roman"/>
          <w:spacing w:val="0"/>
          <w:sz w:val="24"/>
        </w:rPr>
      </w:pPr>
    </w:p>
    <w:p w:rsidR="00A3207A" w:rsidRDefault="00A3207A" w:rsidP="00ED0648">
      <w:pPr>
        <w:spacing w:after="0" w:line="240" w:lineRule="auto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R. Bryce Dalley</w:t>
      </w:r>
    </w:p>
    <w:p w:rsidR="00A3207A" w:rsidRDefault="00A3207A" w:rsidP="00ED0648">
      <w:pPr>
        <w:spacing w:after="0" w:line="240" w:lineRule="auto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Vice President, Regulation</w:t>
      </w:r>
    </w:p>
    <w:p w:rsidR="00F102E3" w:rsidRDefault="00F102E3" w:rsidP="00ED0648">
      <w:pPr>
        <w:spacing w:after="0" w:line="240" w:lineRule="auto"/>
        <w:rPr>
          <w:rFonts w:ascii="Times New Roman" w:hAnsi="Times New Roman"/>
          <w:spacing w:val="0"/>
          <w:sz w:val="24"/>
        </w:rPr>
      </w:pPr>
    </w:p>
    <w:p w:rsidR="00F102E3" w:rsidRPr="00B8649A" w:rsidRDefault="00F102E3" w:rsidP="00ED0648">
      <w:pPr>
        <w:spacing w:after="0" w:line="240" w:lineRule="auto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cc:  UE-144160</w:t>
      </w:r>
      <w:r w:rsidR="004F2D3D">
        <w:rPr>
          <w:rFonts w:ascii="Times New Roman" w:hAnsi="Times New Roman"/>
          <w:spacing w:val="0"/>
          <w:sz w:val="24"/>
        </w:rPr>
        <w:t xml:space="preserve"> Service List</w:t>
      </w:r>
    </w:p>
    <w:sectPr w:rsidR="00F102E3" w:rsidRPr="00B8649A" w:rsidSect="00ED06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7E" w:rsidRDefault="00BB177E" w:rsidP="00BB177E">
      <w:pPr>
        <w:spacing w:after="0" w:line="240" w:lineRule="auto"/>
      </w:pPr>
      <w:r>
        <w:separator/>
      </w:r>
    </w:p>
  </w:endnote>
  <w:endnote w:type="continuationSeparator" w:id="0">
    <w:p w:rsidR="00BB177E" w:rsidRDefault="00BB177E" w:rsidP="00BB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0AD" w:rsidRDefault="004350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0AD" w:rsidRDefault="004350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0AD" w:rsidRDefault="004350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7E" w:rsidRDefault="00BB177E" w:rsidP="00BB177E">
      <w:pPr>
        <w:spacing w:after="0" w:line="240" w:lineRule="auto"/>
      </w:pPr>
      <w:r>
        <w:separator/>
      </w:r>
    </w:p>
  </w:footnote>
  <w:footnote w:type="continuationSeparator" w:id="0">
    <w:p w:rsidR="00BB177E" w:rsidRDefault="00BB177E" w:rsidP="00BB177E">
      <w:pPr>
        <w:spacing w:after="0" w:line="240" w:lineRule="auto"/>
      </w:pPr>
      <w:r>
        <w:continuationSeparator/>
      </w:r>
    </w:p>
  </w:footnote>
  <w:footnote w:id="1">
    <w:p w:rsidR="00BB177E" w:rsidRPr="00ED0648" w:rsidRDefault="00BB177E">
      <w:pPr>
        <w:pStyle w:val="FootnoteText"/>
        <w:rPr>
          <w:rFonts w:ascii="Times New Roman" w:hAnsi="Times New Roman" w:cs="Times New Roman"/>
        </w:rPr>
      </w:pPr>
      <w:r w:rsidRPr="00ED0648">
        <w:rPr>
          <w:rStyle w:val="FootnoteReference"/>
          <w:rFonts w:ascii="Times New Roman" w:hAnsi="Times New Roman" w:cs="Times New Roman"/>
        </w:rPr>
        <w:footnoteRef/>
      </w:r>
      <w:r w:rsidRPr="00ED0648">
        <w:rPr>
          <w:rFonts w:ascii="Times New Roman" w:hAnsi="Times New Roman" w:cs="Times New Roman"/>
        </w:rPr>
        <w:t xml:space="preserve"> </w:t>
      </w:r>
      <w:r w:rsidRPr="00ED0648">
        <w:rPr>
          <w:rFonts w:ascii="Times New Roman" w:hAnsi="Times New Roman" w:cs="Times New Roman"/>
          <w:i/>
          <w:spacing w:val="0"/>
        </w:rPr>
        <w:t xml:space="preserve">See </w:t>
      </w:r>
      <w:r w:rsidRPr="00ED0648">
        <w:rPr>
          <w:rFonts w:ascii="Times New Roman" w:hAnsi="Times New Roman" w:cs="Times New Roman"/>
          <w:spacing w:val="0"/>
        </w:rPr>
        <w:t>proposed Schedule 37.2, Term and Condition No. 8.</w:t>
      </w:r>
    </w:p>
  </w:footnote>
  <w:footnote w:id="2">
    <w:p w:rsidR="00034DB7" w:rsidRPr="00607387" w:rsidRDefault="00034DB7" w:rsidP="00034DB7">
      <w:pPr>
        <w:pStyle w:val="FootnoteText"/>
        <w:rPr>
          <w:rFonts w:ascii="Times New Roman" w:hAnsi="Times New Roman" w:cs="Times New Roman"/>
        </w:rPr>
      </w:pPr>
      <w:r w:rsidRPr="00607387">
        <w:rPr>
          <w:rStyle w:val="FootnoteReference"/>
          <w:rFonts w:ascii="Times New Roman" w:hAnsi="Times New Roman" w:cs="Times New Roman"/>
        </w:rPr>
        <w:footnoteRef/>
      </w:r>
      <w:r w:rsidRPr="006073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0"/>
        </w:rPr>
        <w:t>Docket UE-144160, Order 01, February 12, 2015.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0AD" w:rsidRDefault="004350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B7" w:rsidRPr="00ED0648" w:rsidRDefault="00034DB7" w:rsidP="00ED0648">
    <w:pPr>
      <w:pStyle w:val="NoSpacing"/>
      <w:rPr>
        <w:rFonts w:ascii="Times New Roman" w:hAnsi="Times New Roman" w:cs="Times New Roman"/>
        <w:spacing w:val="0"/>
        <w:sz w:val="24"/>
        <w:szCs w:val="24"/>
      </w:rPr>
    </w:pPr>
    <w:r w:rsidRPr="00ED0648">
      <w:rPr>
        <w:rFonts w:ascii="Times New Roman" w:hAnsi="Times New Roman" w:cs="Times New Roman"/>
        <w:spacing w:val="0"/>
        <w:sz w:val="24"/>
        <w:szCs w:val="24"/>
      </w:rPr>
      <w:t>Washington Utilities and Transportation Commission</w:t>
    </w:r>
  </w:p>
  <w:p w:rsidR="00034DB7" w:rsidRPr="00ED0648" w:rsidRDefault="00034DB7" w:rsidP="00ED0648">
    <w:pPr>
      <w:pStyle w:val="NoSpacing"/>
      <w:rPr>
        <w:rFonts w:ascii="Times New Roman" w:hAnsi="Times New Roman" w:cs="Times New Roman"/>
        <w:spacing w:val="0"/>
        <w:sz w:val="24"/>
        <w:szCs w:val="24"/>
      </w:rPr>
    </w:pPr>
    <w:r w:rsidRPr="00ED0648">
      <w:rPr>
        <w:rFonts w:ascii="Times New Roman" w:hAnsi="Times New Roman" w:cs="Times New Roman"/>
        <w:spacing w:val="0"/>
        <w:sz w:val="24"/>
        <w:szCs w:val="24"/>
      </w:rPr>
      <w:t>May 1, 2015</w:t>
    </w:r>
  </w:p>
  <w:p w:rsidR="00034DB7" w:rsidRDefault="00034DB7" w:rsidP="00ED0648">
    <w:pPr>
      <w:pStyle w:val="NoSpacing"/>
      <w:rPr>
        <w:rFonts w:ascii="Times New Roman" w:hAnsi="Times New Roman" w:cs="Times New Roman"/>
        <w:noProof/>
        <w:spacing w:val="0"/>
        <w:sz w:val="24"/>
        <w:szCs w:val="24"/>
      </w:rPr>
    </w:pPr>
    <w:r w:rsidRPr="00ED0648">
      <w:rPr>
        <w:rFonts w:ascii="Times New Roman" w:hAnsi="Times New Roman" w:cs="Times New Roman"/>
        <w:spacing w:val="0"/>
        <w:sz w:val="24"/>
        <w:szCs w:val="24"/>
      </w:rPr>
      <w:t xml:space="preserve">Page </w:t>
    </w:r>
    <w:r w:rsidRPr="00ED0648">
      <w:rPr>
        <w:rFonts w:ascii="Times New Roman" w:hAnsi="Times New Roman" w:cs="Times New Roman"/>
        <w:spacing w:val="0"/>
        <w:sz w:val="24"/>
        <w:szCs w:val="24"/>
      </w:rPr>
      <w:fldChar w:fldCharType="begin"/>
    </w:r>
    <w:r w:rsidRPr="00ED0648">
      <w:rPr>
        <w:rFonts w:ascii="Times New Roman" w:hAnsi="Times New Roman" w:cs="Times New Roman"/>
        <w:spacing w:val="0"/>
        <w:sz w:val="24"/>
        <w:szCs w:val="24"/>
      </w:rPr>
      <w:instrText xml:space="preserve"> PAGE   \* MERGEFORMAT </w:instrText>
    </w:r>
    <w:r w:rsidRPr="00ED0648">
      <w:rPr>
        <w:rFonts w:ascii="Times New Roman" w:hAnsi="Times New Roman" w:cs="Times New Roman"/>
        <w:spacing w:val="0"/>
        <w:sz w:val="24"/>
        <w:szCs w:val="24"/>
      </w:rPr>
      <w:fldChar w:fldCharType="separate"/>
    </w:r>
    <w:r w:rsidR="004350AD">
      <w:rPr>
        <w:rFonts w:ascii="Times New Roman" w:hAnsi="Times New Roman" w:cs="Times New Roman"/>
        <w:noProof/>
        <w:spacing w:val="0"/>
        <w:sz w:val="24"/>
        <w:szCs w:val="24"/>
      </w:rPr>
      <w:t>2</w:t>
    </w:r>
    <w:r w:rsidRPr="00ED0648">
      <w:rPr>
        <w:rFonts w:ascii="Times New Roman" w:hAnsi="Times New Roman" w:cs="Times New Roman"/>
        <w:noProof/>
        <w:spacing w:val="0"/>
        <w:sz w:val="24"/>
        <w:szCs w:val="24"/>
      </w:rPr>
      <w:fldChar w:fldCharType="end"/>
    </w:r>
  </w:p>
  <w:p w:rsidR="00034DB7" w:rsidRPr="00ED0648" w:rsidRDefault="00034DB7" w:rsidP="00ED0648">
    <w:pPr>
      <w:pStyle w:val="NoSpacing"/>
      <w:rPr>
        <w:rFonts w:ascii="Times New Roman" w:hAnsi="Times New Roman" w:cs="Times New Roman"/>
        <w:spacing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0AD" w:rsidRDefault="00435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9A"/>
    <w:rsid w:val="00034DB7"/>
    <w:rsid w:val="00085ED8"/>
    <w:rsid w:val="002B69F9"/>
    <w:rsid w:val="002C1869"/>
    <w:rsid w:val="003C7279"/>
    <w:rsid w:val="00414D5E"/>
    <w:rsid w:val="004350AD"/>
    <w:rsid w:val="0047317E"/>
    <w:rsid w:val="004F2D3D"/>
    <w:rsid w:val="006251DB"/>
    <w:rsid w:val="0062544F"/>
    <w:rsid w:val="00643D0E"/>
    <w:rsid w:val="006B1CB5"/>
    <w:rsid w:val="007622C1"/>
    <w:rsid w:val="007731D3"/>
    <w:rsid w:val="00781CAE"/>
    <w:rsid w:val="008C09F5"/>
    <w:rsid w:val="008E7818"/>
    <w:rsid w:val="009A2F64"/>
    <w:rsid w:val="009C6610"/>
    <w:rsid w:val="00A3207A"/>
    <w:rsid w:val="00B8649A"/>
    <w:rsid w:val="00BB177E"/>
    <w:rsid w:val="00BE0607"/>
    <w:rsid w:val="00C85EC8"/>
    <w:rsid w:val="00D26082"/>
    <w:rsid w:val="00E54D4A"/>
    <w:rsid w:val="00ED0648"/>
    <w:rsid w:val="00F102E3"/>
    <w:rsid w:val="00FA75BE"/>
    <w:rsid w:val="00FC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pacing w:val="2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7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7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7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17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34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B7"/>
  </w:style>
  <w:style w:type="paragraph" w:styleId="Footer">
    <w:name w:val="footer"/>
    <w:basedOn w:val="Normal"/>
    <w:link w:val="FooterChar"/>
    <w:uiPriority w:val="99"/>
    <w:unhideWhenUsed/>
    <w:rsid w:val="00034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B7"/>
  </w:style>
  <w:style w:type="paragraph" w:styleId="NoSpacing">
    <w:name w:val="No Spacing"/>
    <w:uiPriority w:val="1"/>
    <w:qFormat/>
    <w:rsid w:val="00034D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pacing w:val="2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7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7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7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17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34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B7"/>
  </w:style>
  <w:style w:type="paragraph" w:styleId="Footer">
    <w:name w:val="footer"/>
    <w:basedOn w:val="Normal"/>
    <w:link w:val="FooterChar"/>
    <w:uiPriority w:val="99"/>
    <w:unhideWhenUsed/>
    <w:rsid w:val="00034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B7"/>
  </w:style>
  <w:style w:type="paragraph" w:styleId="NoSpacing">
    <w:name w:val="No Spacing"/>
    <w:uiPriority w:val="1"/>
    <w:qFormat/>
    <w:rsid w:val="00034D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2015-05-01T07:00:00+00:00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6B91758-9394-4CCF-A337-BE83C6604B17}"/>
</file>

<file path=customXml/itemProps2.xml><?xml version="1.0" encoding="utf-8"?>
<ds:datastoreItem xmlns:ds="http://schemas.openxmlformats.org/officeDocument/2006/customXml" ds:itemID="{3C223926-83B3-4F2A-8128-38D40A5A2E2F}"/>
</file>

<file path=customXml/itemProps3.xml><?xml version="1.0" encoding="utf-8"?>
<ds:datastoreItem xmlns:ds="http://schemas.openxmlformats.org/officeDocument/2006/customXml" ds:itemID="{F31E4850-203F-4245-BD76-933FA3E87DFA}"/>
</file>

<file path=customXml/itemProps4.xml><?xml version="1.0" encoding="utf-8"?>
<ds:datastoreItem xmlns:ds="http://schemas.openxmlformats.org/officeDocument/2006/customXml" ds:itemID="{9DBFE48B-58E0-4080-8E73-A2F46849C8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2015-05-01T21:35:00Z</dcterms:created>
  <dcterms:modified xsi:type="dcterms:W3CDTF">2015-05-01T21:35:00Z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0x0101006E56B4D1795A2E4DB2F0B01679ED314A00F0A92E28D1EC4D42B4C180CD69469D63</vt:lpwstr>
  </property>
  <property fmtid="{D5CDD505-2E9C-101B-9397-08002B2CF9AE}" pid="4" name="_docset_NoMedatataSyncRequired">
    <vt:lpwstr>False</vt:lpwstr>
  </property>
</Properties>
</file>