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36" w:rsidRDefault="00327936" w:rsidP="00DD45DD">
      <w:pPr>
        <w:pStyle w:val="TitleCover"/>
        <w:rPr>
          <w:noProof/>
        </w:rPr>
      </w:pPr>
      <w:bookmarkStart w:id="0" w:name="xgraphi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SE2_TAG_DARK" style="width:366pt;height:60.75pt;visibility:visible">
            <v:imagedata r:id="rId7" o:title=""/>
          </v:shape>
        </w:pict>
      </w:r>
    </w:p>
    <w:p w:rsidR="00327936" w:rsidRPr="00710E9E" w:rsidRDefault="00327936" w:rsidP="00DD45DD">
      <w:pPr>
        <w:pStyle w:val="TitleCover"/>
        <w:rPr>
          <w:sz w:val="36"/>
          <w:szCs w:val="36"/>
        </w:rPr>
      </w:pPr>
      <w:r>
        <w:rPr>
          <w:noProof/>
          <w:sz w:val="36"/>
          <w:szCs w:val="36"/>
        </w:rPr>
        <w:t>Calc</w:t>
      </w:r>
      <w:r w:rsidRPr="00710E9E">
        <w:rPr>
          <w:noProof/>
          <w:sz w:val="36"/>
          <w:szCs w:val="36"/>
        </w:rPr>
        <w:t>u</w:t>
      </w:r>
      <w:r>
        <w:rPr>
          <w:noProof/>
          <w:sz w:val="36"/>
          <w:szCs w:val="36"/>
        </w:rPr>
        <w:t>l</w:t>
      </w:r>
      <w:r w:rsidRPr="00710E9E">
        <w:rPr>
          <w:noProof/>
          <w:sz w:val="36"/>
          <w:szCs w:val="36"/>
        </w:rPr>
        <w:t xml:space="preserve">ating </w:t>
      </w:r>
      <w:r>
        <w:rPr>
          <w:noProof/>
          <w:sz w:val="36"/>
          <w:szCs w:val="36"/>
        </w:rPr>
        <w:t xml:space="preserve">the </w:t>
      </w:r>
      <w:r w:rsidRPr="00710E9E">
        <w:rPr>
          <w:noProof/>
          <w:sz w:val="36"/>
          <w:szCs w:val="36"/>
        </w:rPr>
        <w:t>Cost-Effecti</w:t>
      </w:r>
      <w:r>
        <w:rPr>
          <w:noProof/>
          <w:sz w:val="36"/>
          <w:szCs w:val="36"/>
        </w:rPr>
        <w:t>ve</w:t>
      </w:r>
      <w:r w:rsidRPr="00710E9E">
        <w:rPr>
          <w:noProof/>
          <w:sz w:val="36"/>
          <w:szCs w:val="36"/>
        </w:rPr>
        <w:t>ness of Puget Sound Energy’s Efficiency Programs</w:t>
      </w:r>
    </w:p>
    <w:p w:rsidR="00327936" w:rsidRDefault="00327936">
      <w:pPr>
        <w:pStyle w:val="SubtitleItalic"/>
      </w:pPr>
      <w:r>
        <w:t>July 2011</w:t>
      </w: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Default="00327936" w:rsidP="003A570B">
      <w:pPr>
        <w:pStyle w:val="BodyText"/>
        <w:rPr>
          <w:sz w:val="28"/>
          <w:szCs w:val="28"/>
        </w:rPr>
      </w:pPr>
    </w:p>
    <w:p w:rsidR="00327936" w:rsidRPr="003A570B" w:rsidRDefault="00327936" w:rsidP="003A570B">
      <w:pPr>
        <w:pStyle w:val="BodyText"/>
        <w:rPr>
          <w:sz w:val="28"/>
          <w:szCs w:val="28"/>
        </w:rPr>
      </w:pPr>
    </w:p>
    <w:p w:rsidR="00327936" w:rsidRDefault="00327936" w:rsidP="003A570B">
      <w:pPr>
        <w:pStyle w:val="BodyText"/>
        <w:spacing w:before="120" w:after="0" w:line="240" w:lineRule="auto"/>
        <w:rPr>
          <w:i/>
          <w:color w:val="808080"/>
          <w:sz w:val="28"/>
          <w:szCs w:val="28"/>
        </w:rPr>
      </w:pPr>
      <w:r>
        <w:rPr>
          <w:i/>
          <w:color w:val="808080"/>
          <w:sz w:val="28"/>
          <w:szCs w:val="28"/>
        </w:rPr>
        <w:t>Prepared By:</w:t>
      </w:r>
    </w:p>
    <w:p w:rsidR="00327936" w:rsidRDefault="00327936" w:rsidP="003A570B">
      <w:pPr>
        <w:pStyle w:val="BodyText"/>
        <w:spacing w:before="120" w:after="0" w:line="240" w:lineRule="auto"/>
        <w:rPr>
          <w:i/>
          <w:color w:val="808080"/>
          <w:sz w:val="28"/>
          <w:szCs w:val="28"/>
        </w:rPr>
      </w:pPr>
      <w:r>
        <w:rPr>
          <w:i/>
          <w:color w:val="808080"/>
          <w:sz w:val="28"/>
          <w:szCs w:val="28"/>
        </w:rPr>
        <w:t xml:space="preserve">Bobette Wilhelm </w:t>
      </w:r>
    </w:p>
    <w:p w:rsidR="00327936" w:rsidRPr="003A570B" w:rsidRDefault="00327936" w:rsidP="003A570B">
      <w:pPr>
        <w:pStyle w:val="BodyText"/>
        <w:spacing w:before="120" w:after="0" w:line="240" w:lineRule="auto"/>
        <w:rPr>
          <w:i/>
          <w:color w:val="808080"/>
          <w:sz w:val="28"/>
          <w:szCs w:val="28"/>
        </w:rPr>
      </w:pPr>
      <w:r>
        <w:rPr>
          <w:i/>
          <w:color w:val="808080"/>
          <w:sz w:val="28"/>
          <w:szCs w:val="28"/>
        </w:rPr>
        <w:t>Sr. Market Analyst</w:t>
      </w:r>
    </w:p>
    <w:p w:rsidR="00327936" w:rsidRPr="003A570B" w:rsidRDefault="00327936" w:rsidP="003A570B">
      <w:pPr>
        <w:pStyle w:val="BodyText"/>
      </w:pPr>
    </w:p>
    <w:p w:rsidR="00327936" w:rsidRDefault="00327936">
      <w:pPr>
        <w:pStyle w:val="TOCHeading"/>
        <w:tabs>
          <w:tab w:val="clear" w:pos="360"/>
        </w:tabs>
      </w:pPr>
      <w:r>
        <w:t>Contents</w:t>
      </w:r>
    </w:p>
    <w:p w:rsidR="00327936" w:rsidRDefault="00327936">
      <w:pPr>
        <w:pStyle w:val="TOC1"/>
        <w:tabs>
          <w:tab w:val="left" w:pos="1080"/>
        </w:tabs>
        <w:rPr>
          <w:rFonts w:ascii="Calibri" w:hAnsi="Calibri"/>
          <w:b w:val="0"/>
          <w:noProof/>
          <w:spacing w:val="0"/>
          <w:sz w:val="22"/>
          <w:szCs w:val="22"/>
        </w:rPr>
      </w:pPr>
      <w:r>
        <w:fldChar w:fldCharType="begin"/>
      </w:r>
      <w:r>
        <w:instrText xml:space="preserve"> TOC \o "1-3" \h \z \u </w:instrText>
      </w:r>
      <w:r>
        <w:fldChar w:fldCharType="separate"/>
      </w:r>
      <w:hyperlink w:anchor="_Toc307067028" w:history="1">
        <w:r w:rsidRPr="004C41A1">
          <w:rPr>
            <w:rStyle w:val="Hyperlink"/>
            <w:bCs/>
            <w:noProof/>
          </w:rPr>
          <w:t>1.</w:t>
        </w:r>
        <w:r>
          <w:rPr>
            <w:rFonts w:ascii="Calibri" w:hAnsi="Calibri"/>
            <w:b w:val="0"/>
            <w:noProof/>
            <w:spacing w:val="0"/>
            <w:sz w:val="22"/>
            <w:szCs w:val="22"/>
          </w:rPr>
          <w:tab/>
        </w:r>
        <w:r w:rsidRPr="004C41A1">
          <w:rPr>
            <w:rStyle w:val="Hyperlink"/>
            <w:bCs/>
            <w:noProof/>
          </w:rPr>
          <w:t>Introduction</w:t>
        </w:r>
        <w:r>
          <w:rPr>
            <w:noProof/>
            <w:webHidden/>
          </w:rPr>
          <w:tab/>
        </w:r>
        <w:r>
          <w:rPr>
            <w:noProof/>
            <w:webHidden/>
          </w:rPr>
          <w:fldChar w:fldCharType="begin"/>
        </w:r>
        <w:r>
          <w:rPr>
            <w:noProof/>
            <w:webHidden/>
          </w:rPr>
          <w:instrText xml:space="preserve"> PAGEREF _Toc307067028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29" w:history="1">
        <w:r w:rsidRPr="004C41A1">
          <w:rPr>
            <w:rStyle w:val="Hyperlink"/>
            <w:noProof/>
          </w:rPr>
          <w:t>1.1.</w:t>
        </w:r>
        <w:r>
          <w:rPr>
            <w:rFonts w:ascii="Calibri" w:hAnsi="Calibri"/>
            <w:noProof/>
            <w:sz w:val="22"/>
            <w:szCs w:val="22"/>
          </w:rPr>
          <w:tab/>
        </w:r>
        <w:r w:rsidRPr="004C41A1">
          <w:rPr>
            <w:rStyle w:val="Hyperlink"/>
            <w:noProof/>
          </w:rPr>
          <w:t>Background</w:t>
        </w:r>
        <w:r>
          <w:rPr>
            <w:noProof/>
            <w:webHidden/>
          </w:rPr>
          <w:tab/>
        </w:r>
        <w:r>
          <w:rPr>
            <w:noProof/>
            <w:webHidden/>
          </w:rPr>
          <w:fldChar w:fldCharType="begin"/>
        </w:r>
        <w:r>
          <w:rPr>
            <w:noProof/>
            <w:webHidden/>
          </w:rPr>
          <w:instrText xml:space="preserve"> PAGEREF _Toc307067029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0" w:history="1">
        <w:r w:rsidRPr="004C41A1">
          <w:rPr>
            <w:rStyle w:val="Hyperlink"/>
            <w:noProof/>
          </w:rPr>
          <w:t>1.2.</w:t>
        </w:r>
        <w:r>
          <w:rPr>
            <w:rFonts w:ascii="Calibri" w:hAnsi="Calibri"/>
            <w:noProof/>
            <w:sz w:val="22"/>
            <w:szCs w:val="22"/>
          </w:rPr>
          <w:tab/>
        </w:r>
        <w:r w:rsidRPr="004C41A1">
          <w:rPr>
            <w:rStyle w:val="Hyperlink"/>
            <w:noProof/>
          </w:rPr>
          <w:t>Agreed Conditions</w:t>
        </w:r>
        <w:r>
          <w:rPr>
            <w:noProof/>
            <w:webHidden/>
          </w:rPr>
          <w:tab/>
        </w:r>
        <w:r>
          <w:rPr>
            <w:noProof/>
            <w:webHidden/>
          </w:rPr>
          <w:fldChar w:fldCharType="begin"/>
        </w:r>
        <w:r>
          <w:rPr>
            <w:noProof/>
            <w:webHidden/>
          </w:rPr>
          <w:instrText xml:space="preserve"> PAGEREF _Toc307067030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1"/>
        <w:tabs>
          <w:tab w:val="left" w:pos="1080"/>
        </w:tabs>
        <w:rPr>
          <w:rFonts w:ascii="Calibri" w:hAnsi="Calibri"/>
          <w:b w:val="0"/>
          <w:noProof/>
          <w:spacing w:val="0"/>
          <w:sz w:val="22"/>
          <w:szCs w:val="22"/>
        </w:rPr>
      </w:pPr>
      <w:hyperlink w:anchor="_Toc307067033" w:history="1">
        <w:r w:rsidRPr="004C41A1">
          <w:rPr>
            <w:rStyle w:val="Hyperlink"/>
            <w:bCs/>
            <w:noProof/>
          </w:rPr>
          <w:t>2.</w:t>
        </w:r>
        <w:r>
          <w:rPr>
            <w:rFonts w:ascii="Calibri" w:hAnsi="Calibri"/>
            <w:b w:val="0"/>
            <w:noProof/>
            <w:spacing w:val="0"/>
            <w:sz w:val="22"/>
            <w:szCs w:val="22"/>
          </w:rPr>
          <w:tab/>
        </w:r>
        <w:r w:rsidRPr="004C41A1">
          <w:rPr>
            <w:rStyle w:val="Hyperlink"/>
            <w:bCs/>
            <w:noProof/>
          </w:rPr>
          <w:t>Overview of Cost-Effectiveness Tests</w:t>
        </w:r>
        <w:r>
          <w:rPr>
            <w:noProof/>
            <w:webHidden/>
          </w:rPr>
          <w:tab/>
        </w:r>
        <w:r>
          <w:rPr>
            <w:noProof/>
            <w:webHidden/>
          </w:rPr>
          <w:fldChar w:fldCharType="begin"/>
        </w:r>
        <w:r>
          <w:rPr>
            <w:noProof/>
            <w:webHidden/>
          </w:rPr>
          <w:instrText xml:space="preserve"> PAGEREF _Toc307067033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4" w:history="1">
        <w:r w:rsidRPr="004C41A1">
          <w:rPr>
            <w:rStyle w:val="Hyperlink"/>
            <w:noProof/>
          </w:rPr>
          <w:t>2.1.</w:t>
        </w:r>
        <w:r>
          <w:rPr>
            <w:rFonts w:ascii="Calibri" w:hAnsi="Calibri"/>
            <w:noProof/>
            <w:sz w:val="22"/>
            <w:szCs w:val="22"/>
          </w:rPr>
          <w:tab/>
        </w:r>
        <w:r w:rsidRPr="004C41A1">
          <w:rPr>
            <w:rStyle w:val="Hyperlink"/>
            <w:noProof/>
          </w:rPr>
          <w:t>Introduction</w:t>
        </w:r>
        <w:r>
          <w:rPr>
            <w:noProof/>
            <w:webHidden/>
          </w:rPr>
          <w:tab/>
        </w:r>
        <w:r>
          <w:rPr>
            <w:noProof/>
            <w:webHidden/>
          </w:rPr>
          <w:fldChar w:fldCharType="begin"/>
        </w:r>
        <w:r>
          <w:rPr>
            <w:noProof/>
            <w:webHidden/>
          </w:rPr>
          <w:instrText xml:space="preserve"> PAGEREF _Toc307067034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5" w:history="1">
        <w:r w:rsidRPr="004C41A1">
          <w:rPr>
            <w:rStyle w:val="Hyperlink"/>
            <w:noProof/>
          </w:rPr>
          <w:t>2.2.</w:t>
        </w:r>
        <w:r>
          <w:rPr>
            <w:rFonts w:ascii="Calibri" w:hAnsi="Calibri"/>
            <w:noProof/>
            <w:sz w:val="22"/>
            <w:szCs w:val="22"/>
          </w:rPr>
          <w:tab/>
        </w:r>
        <w:r w:rsidRPr="004C41A1">
          <w:rPr>
            <w:rStyle w:val="Hyperlink"/>
            <w:noProof/>
          </w:rPr>
          <w:t>Utility Cost Test</w:t>
        </w:r>
        <w:r>
          <w:rPr>
            <w:noProof/>
            <w:webHidden/>
          </w:rPr>
          <w:tab/>
        </w:r>
        <w:r>
          <w:rPr>
            <w:noProof/>
            <w:webHidden/>
          </w:rPr>
          <w:fldChar w:fldCharType="begin"/>
        </w:r>
        <w:r>
          <w:rPr>
            <w:noProof/>
            <w:webHidden/>
          </w:rPr>
          <w:instrText xml:space="preserve"> PAGEREF _Toc307067035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6" w:history="1">
        <w:r w:rsidRPr="004C41A1">
          <w:rPr>
            <w:rStyle w:val="Hyperlink"/>
            <w:noProof/>
          </w:rPr>
          <w:t>2.3.</w:t>
        </w:r>
        <w:r>
          <w:rPr>
            <w:rFonts w:ascii="Calibri" w:hAnsi="Calibri"/>
            <w:noProof/>
            <w:sz w:val="22"/>
            <w:szCs w:val="22"/>
          </w:rPr>
          <w:tab/>
        </w:r>
        <w:r w:rsidRPr="004C41A1">
          <w:rPr>
            <w:rStyle w:val="Hyperlink"/>
            <w:noProof/>
          </w:rPr>
          <w:t>Total Resource Cost Test</w:t>
        </w:r>
        <w:r>
          <w:rPr>
            <w:noProof/>
            <w:webHidden/>
          </w:rPr>
          <w:tab/>
        </w:r>
        <w:r>
          <w:rPr>
            <w:noProof/>
            <w:webHidden/>
          </w:rPr>
          <w:fldChar w:fldCharType="begin"/>
        </w:r>
        <w:r>
          <w:rPr>
            <w:noProof/>
            <w:webHidden/>
          </w:rPr>
          <w:instrText xml:space="preserve"> PAGEREF _Toc307067036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7" w:history="1">
        <w:r w:rsidRPr="004C41A1">
          <w:rPr>
            <w:rStyle w:val="Hyperlink"/>
            <w:noProof/>
          </w:rPr>
          <w:t>2.4.</w:t>
        </w:r>
        <w:r>
          <w:rPr>
            <w:rFonts w:ascii="Calibri" w:hAnsi="Calibri"/>
            <w:noProof/>
            <w:sz w:val="22"/>
            <w:szCs w:val="22"/>
          </w:rPr>
          <w:tab/>
        </w:r>
        <w:r w:rsidRPr="004C41A1">
          <w:rPr>
            <w:rStyle w:val="Hyperlink"/>
            <w:noProof/>
          </w:rPr>
          <w:t>Ratepayer Impact Measure Test</w:t>
        </w:r>
        <w:r>
          <w:rPr>
            <w:noProof/>
            <w:webHidden/>
          </w:rPr>
          <w:tab/>
        </w:r>
        <w:r>
          <w:rPr>
            <w:noProof/>
            <w:webHidden/>
          </w:rPr>
          <w:fldChar w:fldCharType="begin"/>
        </w:r>
        <w:r>
          <w:rPr>
            <w:noProof/>
            <w:webHidden/>
          </w:rPr>
          <w:instrText xml:space="preserve"> PAGEREF _Toc307067037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38" w:history="1">
        <w:r w:rsidRPr="004C41A1">
          <w:rPr>
            <w:rStyle w:val="Hyperlink"/>
            <w:noProof/>
          </w:rPr>
          <w:t>2.5.</w:t>
        </w:r>
        <w:r>
          <w:rPr>
            <w:rFonts w:ascii="Calibri" w:hAnsi="Calibri"/>
            <w:noProof/>
            <w:sz w:val="22"/>
            <w:szCs w:val="22"/>
          </w:rPr>
          <w:tab/>
        </w:r>
        <w:r w:rsidRPr="004C41A1">
          <w:rPr>
            <w:rStyle w:val="Hyperlink"/>
            <w:noProof/>
          </w:rPr>
          <w:t>Participant Cost Test</w:t>
        </w:r>
        <w:r>
          <w:rPr>
            <w:noProof/>
            <w:webHidden/>
          </w:rPr>
          <w:tab/>
        </w:r>
        <w:r>
          <w:rPr>
            <w:noProof/>
            <w:webHidden/>
          </w:rPr>
          <w:fldChar w:fldCharType="begin"/>
        </w:r>
        <w:r>
          <w:rPr>
            <w:noProof/>
            <w:webHidden/>
          </w:rPr>
          <w:instrText xml:space="preserve"> PAGEREF _Toc307067038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1"/>
        <w:tabs>
          <w:tab w:val="left" w:pos="1080"/>
        </w:tabs>
        <w:rPr>
          <w:rFonts w:ascii="Calibri" w:hAnsi="Calibri"/>
          <w:b w:val="0"/>
          <w:noProof/>
          <w:spacing w:val="0"/>
          <w:sz w:val="22"/>
          <w:szCs w:val="22"/>
        </w:rPr>
      </w:pPr>
      <w:hyperlink w:anchor="_Toc307067039" w:history="1">
        <w:r w:rsidRPr="004C41A1">
          <w:rPr>
            <w:rStyle w:val="Hyperlink"/>
            <w:bCs/>
            <w:noProof/>
          </w:rPr>
          <w:t>3.</w:t>
        </w:r>
        <w:r>
          <w:rPr>
            <w:rFonts w:ascii="Calibri" w:hAnsi="Calibri"/>
            <w:b w:val="0"/>
            <w:noProof/>
            <w:spacing w:val="0"/>
            <w:sz w:val="22"/>
            <w:szCs w:val="22"/>
          </w:rPr>
          <w:tab/>
        </w:r>
        <w:r w:rsidRPr="004C41A1">
          <w:rPr>
            <w:rStyle w:val="Hyperlink"/>
            <w:bCs/>
            <w:noProof/>
          </w:rPr>
          <w:t>Key Drivers of the Cost-Effectiveness Calculations</w:t>
        </w:r>
        <w:r>
          <w:rPr>
            <w:noProof/>
            <w:webHidden/>
          </w:rPr>
          <w:tab/>
        </w:r>
        <w:r>
          <w:rPr>
            <w:noProof/>
            <w:webHidden/>
          </w:rPr>
          <w:fldChar w:fldCharType="begin"/>
        </w:r>
        <w:r>
          <w:rPr>
            <w:noProof/>
            <w:webHidden/>
          </w:rPr>
          <w:instrText xml:space="preserve"> PAGEREF _Toc307067039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0" w:history="1">
        <w:r w:rsidRPr="004C41A1">
          <w:rPr>
            <w:rStyle w:val="Hyperlink"/>
            <w:noProof/>
          </w:rPr>
          <w:t>3.1.</w:t>
        </w:r>
        <w:r>
          <w:rPr>
            <w:rFonts w:ascii="Calibri" w:hAnsi="Calibri"/>
            <w:noProof/>
            <w:sz w:val="22"/>
            <w:szCs w:val="22"/>
          </w:rPr>
          <w:tab/>
        </w:r>
        <w:r w:rsidRPr="004C41A1">
          <w:rPr>
            <w:rStyle w:val="Hyperlink"/>
            <w:noProof/>
          </w:rPr>
          <w:t>Framework for Cost-Effectiveness Calculations</w:t>
        </w:r>
        <w:r>
          <w:rPr>
            <w:noProof/>
            <w:webHidden/>
          </w:rPr>
          <w:tab/>
        </w:r>
        <w:r>
          <w:rPr>
            <w:noProof/>
            <w:webHidden/>
          </w:rPr>
          <w:fldChar w:fldCharType="begin"/>
        </w:r>
        <w:r>
          <w:rPr>
            <w:noProof/>
            <w:webHidden/>
          </w:rPr>
          <w:instrText xml:space="preserve"> PAGEREF _Toc307067040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1" w:history="1">
        <w:r w:rsidRPr="004C41A1">
          <w:rPr>
            <w:rStyle w:val="Hyperlink"/>
            <w:noProof/>
          </w:rPr>
          <w:t>3.2.</w:t>
        </w:r>
        <w:r>
          <w:rPr>
            <w:rFonts w:ascii="Calibri" w:hAnsi="Calibri"/>
            <w:noProof/>
            <w:sz w:val="22"/>
            <w:szCs w:val="22"/>
          </w:rPr>
          <w:tab/>
        </w:r>
        <w:r w:rsidRPr="004C41A1">
          <w:rPr>
            <w:rStyle w:val="Hyperlink"/>
            <w:noProof/>
          </w:rPr>
          <w:t>Avoided Cost of Energy &amp; Capacity</w:t>
        </w:r>
        <w:r>
          <w:rPr>
            <w:noProof/>
            <w:webHidden/>
          </w:rPr>
          <w:tab/>
        </w:r>
        <w:r>
          <w:rPr>
            <w:noProof/>
            <w:webHidden/>
          </w:rPr>
          <w:fldChar w:fldCharType="begin"/>
        </w:r>
        <w:r>
          <w:rPr>
            <w:noProof/>
            <w:webHidden/>
          </w:rPr>
          <w:instrText xml:space="preserve"> PAGEREF _Toc307067041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2" w:history="1">
        <w:r w:rsidRPr="004C41A1">
          <w:rPr>
            <w:rStyle w:val="Hyperlink"/>
            <w:noProof/>
          </w:rPr>
          <w:t>3.3.</w:t>
        </w:r>
        <w:r>
          <w:rPr>
            <w:rFonts w:ascii="Calibri" w:hAnsi="Calibri"/>
            <w:noProof/>
            <w:sz w:val="22"/>
            <w:szCs w:val="22"/>
          </w:rPr>
          <w:tab/>
        </w:r>
        <w:r w:rsidRPr="004C41A1">
          <w:rPr>
            <w:rStyle w:val="Hyperlink"/>
            <w:noProof/>
          </w:rPr>
          <w:t>Program Overhead Costs</w:t>
        </w:r>
        <w:r>
          <w:rPr>
            <w:noProof/>
            <w:webHidden/>
          </w:rPr>
          <w:tab/>
        </w:r>
        <w:r>
          <w:rPr>
            <w:noProof/>
            <w:webHidden/>
          </w:rPr>
          <w:fldChar w:fldCharType="begin"/>
        </w:r>
        <w:r>
          <w:rPr>
            <w:noProof/>
            <w:webHidden/>
          </w:rPr>
          <w:instrText xml:space="preserve"> PAGEREF _Toc307067042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3" w:history="1">
        <w:r w:rsidRPr="004C41A1">
          <w:rPr>
            <w:rStyle w:val="Hyperlink"/>
            <w:noProof/>
          </w:rPr>
          <w:t>3.4.</w:t>
        </w:r>
        <w:r>
          <w:rPr>
            <w:rFonts w:ascii="Calibri" w:hAnsi="Calibri"/>
            <w:noProof/>
            <w:sz w:val="22"/>
            <w:szCs w:val="22"/>
          </w:rPr>
          <w:tab/>
        </w:r>
        <w:r w:rsidRPr="004C41A1">
          <w:rPr>
            <w:rStyle w:val="Hyperlink"/>
            <w:noProof/>
          </w:rPr>
          <w:t>Measure Costs</w:t>
        </w:r>
        <w:r>
          <w:rPr>
            <w:noProof/>
            <w:webHidden/>
          </w:rPr>
          <w:tab/>
        </w:r>
        <w:r>
          <w:rPr>
            <w:noProof/>
            <w:webHidden/>
          </w:rPr>
          <w:fldChar w:fldCharType="begin"/>
        </w:r>
        <w:r>
          <w:rPr>
            <w:noProof/>
            <w:webHidden/>
          </w:rPr>
          <w:instrText xml:space="preserve"> PAGEREF _Toc307067043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4" w:history="1">
        <w:r w:rsidRPr="004C41A1">
          <w:rPr>
            <w:rStyle w:val="Hyperlink"/>
            <w:noProof/>
          </w:rPr>
          <w:t>3.4.1.</w:t>
        </w:r>
        <w:r>
          <w:rPr>
            <w:rFonts w:ascii="Calibri" w:hAnsi="Calibri"/>
            <w:noProof/>
            <w:sz w:val="22"/>
            <w:szCs w:val="22"/>
          </w:rPr>
          <w:tab/>
        </w:r>
        <w:r w:rsidRPr="004C41A1">
          <w:rPr>
            <w:rStyle w:val="Hyperlink"/>
            <w:noProof/>
          </w:rPr>
          <w:t>Incremental Cost or Full Measure Cost</w:t>
        </w:r>
        <w:r>
          <w:rPr>
            <w:noProof/>
            <w:webHidden/>
          </w:rPr>
          <w:tab/>
        </w:r>
        <w:r>
          <w:rPr>
            <w:noProof/>
            <w:webHidden/>
          </w:rPr>
          <w:fldChar w:fldCharType="begin"/>
        </w:r>
        <w:r>
          <w:rPr>
            <w:noProof/>
            <w:webHidden/>
          </w:rPr>
          <w:instrText xml:space="preserve"> PAGEREF _Toc307067044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5" w:history="1">
        <w:r w:rsidRPr="004C41A1">
          <w:rPr>
            <w:rStyle w:val="Hyperlink"/>
            <w:noProof/>
          </w:rPr>
          <w:t>3.4.2.</w:t>
        </w:r>
        <w:r>
          <w:rPr>
            <w:rFonts w:ascii="Calibri" w:hAnsi="Calibri"/>
            <w:noProof/>
            <w:sz w:val="22"/>
            <w:szCs w:val="22"/>
          </w:rPr>
          <w:tab/>
        </w:r>
        <w:r w:rsidRPr="004C41A1">
          <w:rPr>
            <w:rStyle w:val="Hyperlink"/>
            <w:noProof/>
          </w:rPr>
          <w:t>Incentive</w:t>
        </w:r>
        <w:r>
          <w:rPr>
            <w:noProof/>
            <w:webHidden/>
          </w:rPr>
          <w:tab/>
        </w:r>
        <w:r>
          <w:rPr>
            <w:noProof/>
            <w:webHidden/>
          </w:rPr>
          <w:fldChar w:fldCharType="begin"/>
        </w:r>
        <w:r>
          <w:rPr>
            <w:noProof/>
            <w:webHidden/>
          </w:rPr>
          <w:instrText xml:space="preserve"> PAGEREF _Toc307067045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6" w:history="1">
        <w:r w:rsidRPr="004C41A1">
          <w:rPr>
            <w:rStyle w:val="Hyperlink"/>
            <w:noProof/>
          </w:rPr>
          <w:t>3.4.3.</w:t>
        </w:r>
        <w:r>
          <w:rPr>
            <w:rFonts w:ascii="Calibri" w:hAnsi="Calibri"/>
            <w:noProof/>
            <w:sz w:val="22"/>
            <w:szCs w:val="22"/>
          </w:rPr>
          <w:tab/>
        </w:r>
        <w:r w:rsidRPr="004C41A1">
          <w:rPr>
            <w:rStyle w:val="Hyperlink"/>
            <w:noProof/>
          </w:rPr>
          <w:t>Customer Cost</w:t>
        </w:r>
        <w:r>
          <w:rPr>
            <w:noProof/>
            <w:webHidden/>
          </w:rPr>
          <w:tab/>
        </w:r>
        <w:r>
          <w:rPr>
            <w:noProof/>
            <w:webHidden/>
          </w:rPr>
          <w:fldChar w:fldCharType="begin"/>
        </w:r>
        <w:r>
          <w:rPr>
            <w:noProof/>
            <w:webHidden/>
          </w:rPr>
          <w:instrText xml:space="preserve"> PAGEREF _Toc307067046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7" w:history="1">
        <w:r w:rsidRPr="004C41A1">
          <w:rPr>
            <w:rStyle w:val="Hyperlink"/>
            <w:noProof/>
          </w:rPr>
          <w:t>3.5.</w:t>
        </w:r>
        <w:r>
          <w:rPr>
            <w:rFonts w:ascii="Calibri" w:hAnsi="Calibri"/>
            <w:noProof/>
            <w:sz w:val="22"/>
            <w:szCs w:val="22"/>
          </w:rPr>
          <w:tab/>
        </w:r>
        <w:r w:rsidRPr="004C41A1">
          <w:rPr>
            <w:rStyle w:val="Hyperlink"/>
            <w:noProof/>
          </w:rPr>
          <w:t>Additional Costs &amp; Benefits (O&amp;M)</w:t>
        </w:r>
        <w:r>
          <w:rPr>
            <w:noProof/>
            <w:webHidden/>
          </w:rPr>
          <w:tab/>
        </w:r>
        <w:r>
          <w:rPr>
            <w:noProof/>
            <w:webHidden/>
          </w:rPr>
          <w:fldChar w:fldCharType="begin"/>
        </w:r>
        <w:r>
          <w:rPr>
            <w:noProof/>
            <w:webHidden/>
          </w:rPr>
          <w:instrText xml:space="preserve"> PAGEREF _Toc307067047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8" w:history="1">
        <w:r w:rsidRPr="004C41A1">
          <w:rPr>
            <w:rStyle w:val="Hyperlink"/>
            <w:noProof/>
          </w:rPr>
          <w:t>3.6.</w:t>
        </w:r>
        <w:r>
          <w:rPr>
            <w:rFonts w:ascii="Calibri" w:hAnsi="Calibri"/>
            <w:noProof/>
            <w:sz w:val="22"/>
            <w:szCs w:val="22"/>
          </w:rPr>
          <w:tab/>
        </w:r>
        <w:r w:rsidRPr="004C41A1">
          <w:rPr>
            <w:rStyle w:val="Hyperlink"/>
            <w:noProof/>
          </w:rPr>
          <w:t>Non-Energy Benefits</w:t>
        </w:r>
        <w:r>
          <w:rPr>
            <w:noProof/>
            <w:webHidden/>
          </w:rPr>
          <w:tab/>
        </w:r>
        <w:r>
          <w:rPr>
            <w:noProof/>
            <w:webHidden/>
          </w:rPr>
          <w:fldChar w:fldCharType="begin"/>
        </w:r>
        <w:r>
          <w:rPr>
            <w:noProof/>
            <w:webHidden/>
          </w:rPr>
          <w:instrText xml:space="preserve"> PAGEREF _Toc307067048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49" w:history="1">
        <w:r w:rsidRPr="004C41A1">
          <w:rPr>
            <w:rStyle w:val="Hyperlink"/>
            <w:noProof/>
          </w:rPr>
          <w:t>3.7.</w:t>
        </w:r>
        <w:r>
          <w:rPr>
            <w:rFonts w:ascii="Calibri" w:hAnsi="Calibri"/>
            <w:noProof/>
            <w:sz w:val="22"/>
            <w:szCs w:val="22"/>
          </w:rPr>
          <w:tab/>
        </w:r>
        <w:r w:rsidRPr="004C41A1">
          <w:rPr>
            <w:rStyle w:val="Hyperlink"/>
            <w:noProof/>
          </w:rPr>
          <w:t>Measure Life</w:t>
        </w:r>
        <w:r>
          <w:rPr>
            <w:noProof/>
            <w:webHidden/>
          </w:rPr>
          <w:tab/>
        </w:r>
        <w:r>
          <w:rPr>
            <w:noProof/>
            <w:webHidden/>
          </w:rPr>
          <w:fldChar w:fldCharType="begin"/>
        </w:r>
        <w:r>
          <w:rPr>
            <w:noProof/>
            <w:webHidden/>
          </w:rPr>
          <w:instrText xml:space="preserve"> PAGEREF _Toc307067049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0" w:history="1">
        <w:r w:rsidRPr="004C41A1">
          <w:rPr>
            <w:rStyle w:val="Hyperlink"/>
            <w:noProof/>
          </w:rPr>
          <w:t>3.8.</w:t>
        </w:r>
        <w:r>
          <w:rPr>
            <w:rFonts w:ascii="Calibri" w:hAnsi="Calibri"/>
            <w:noProof/>
            <w:sz w:val="22"/>
            <w:szCs w:val="22"/>
          </w:rPr>
          <w:tab/>
        </w:r>
        <w:r w:rsidRPr="004C41A1">
          <w:rPr>
            <w:rStyle w:val="Hyperlink"/>
            <w:noProof/>
          </w:rPr>
          <w:t>End-Use Load Shape</w:t>
        </w:r>
        <w:r>
          <w:rPr>
            <w:noProof/>
            <w:webHidden/>
          </w:rPr>
          <w:tab/>
        </w:r>
        <w:r>
          <w:rPr>
            <w:noProof/>
            <w:webHidden/>
          </w:rPr>
          <w:fldChar w:fldCharType="begin"/>
        </w:r>
        <w:r>
          <w:rPr>
            <w:noProof/>
            <w:webHidden/>
          </w:rPr>
          <w:instrText xml:space="preserve"> PAGEREF _Toc307067050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1" w:history="1">
        <w:r w:rsidRPr="004C41A1">
          <w:rPr>
            <w:rStyle w:val="Hyperlink"/>
            <w:noProof/>
          </w:rPr>
          <w:t>3.9.</w:t>
        </w:r>
        <w:r>
          <w:rPr>
            <w:rFonts w:ascii="Calibri" w:hAnsi="Calibri"/>
            <w:noProof/>
            <w:sz w:val="22"/>
            <w:szCs w:val="22"/>
          </w:rPr>
          <w:tab/>
        </w:r>
        <w:r w:rsidRPr="004C41A1">
          <w:rPr>
            <w:rStyle w:val="Hyperlink"/>
            <w:noProof/>
          </w:rPr>
          <w:t>Discount rate</w:t>
        </w:r>
        <w:r>
          <w:rPr>
            <w:noProof/>
            <w:webHidden/>
          </w:rPr>
          <w:tab/>
        </w:r>
        <w:r>
          <w:rPr>
            <w:noProof/>
            <w:webHidden/>
          </w:rPr>
          <w:fldChar w:fldCharType="begin"/>
        </w:r>
        <w:r>
          <w:rPr>
            <w:noProof/>
            <w:webHidden/>
          </w:rPr>
          <w:instrText xml:space="preserve"> PAGEREF _Toc307067051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2" w:history="1">
        <w:r w:rsidRPr="004C41A1">
          <w:rPr>
            <w:rStyle w:val="Hyperlink"/>
            <w:noProof/>
          </w:rPr>
          <w:t>3.1.</w:t>
        </w:r>
        <w:r>
          <w:rPr>
            <w:rFonts w:ascii="Calibri" w:hAnsi="Calibri"/>
            <w:noProof/>
            <w:sz w:val="22"/>
            <w:szCs w:val="22"/>
          </w:rPr>
          <w:tab/>
        </w:r>
        <w:r w:rsidRPr="004C41A1">
          <w:rPr>
            <w:rStyle w:val="Hyperlink"/>
            <w:noProof/>
          </w:rPr>
          <w:t>Summary of Key Drivers</w:t>
        </w:r>
        <w:r>
          <w:rPr>
            <w:noProof/>
            <w:webHidden/>
          </w:rPr>
          <w:tab/>
        </w:r>
        <w:r>
          <w:rPr>
            <w:noProof/>
            <w:webHidden/>
          </w:rPr>
          <w:fldChar w:fldCharType="begin"/>
        </w:r>
        <w:r>
          <w:rPr>
            <w:noProof/>
            <w:webHidden/>
          </w:rPr>
          <w:instrText xml:space="preserve"> PAGEREF _Toc307067052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1"/>
        <w:tabs>
          <w:tab w:val="left" w:pos="1080"/>
        </w:tabs>
        <w:rPr>
          <w:rFonts w:ascii="Calibri" w:hAnsi="Calibri"/>
          <w:b w:val="0"/>
          <w:noProof/>
          <w:spacing w:val="0"/>
          <w:sz w:val="22"/>
          <w:szCs w:val="22"/>
        </w:rPr>
      </w:pPr>
      <w:hyperlink w:anchor="_Toc307067053" w:history="1">
        <w:r w:rsidRPr="004C41A1">
          <w:rPr>
            <w:rStyle w:val="Hyperlink"/>
            <w:bCs/>
            <w:noProof/>
          </w:rPr>
          <w:t>4.</w:t>
        </w:r>
        <w:r>
          <w:rPr>
            <w:rFonts w:ascii="Calibri" w:hAnsi="Calibri"/>
            <w:b w:val="0"/>
            <w:noProof/>
            <w:spacing w:val="0"/>
            <w:sz w:val="22"/>
            <w:szCs w:val="22"/>
          </w:rPr>
          <w:tab/>
        </w:r>
        <w:r w:rsidRPr="004C41A1">
          <w:rPr>
            <w:rStyle w:val="Hyperlink"/>
            <w:bCs/>
            <w:noProof/>
          </w:rPr>
          <w:t>Constructing Benefit Cost Ratios</w:t>
        </w:r>
        <w:r>
          <w:rPr>
            <w:noProof/>
            <w:webHidden/>
          </w:rPr>
          <w:tab/>
        </w:r>
        <w:r>
          <w:rPr>
            <w:noProof/>
            <w:webHidden/>
          </w:rPr>
          <w:fldChar w:fldCharType="begin"/>
        </w:r>
        <w:r>
          <w:rPr>
            <w:noProof/>
            <w:webHidden/>
          </w:rPr>
          <w:instrText xml:space="preserve"> PAGEREF _Toc307067053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4" w:history="1">
        <w:r w:rsidRPr="004C41A1">
          <w:rPr>
            <w:rStyle w:val="Hyperlink"/>
            <w:noProof/>
          </w:rPr>
          <w:t>4.1.</w:t>
        </w:r>
        <w:r>
          <w:rPr>
            <w:rFonts w:ascii="Calibri" w:hAnsi="Calibri"/>
            <w:noProof/>
            <w:sz w:val="22"/>
            <w:szCs w:val="22"/>
          </w:rPr>
          <w:tab/>
        </w:r>
        <w:r w:rsidRPr="004C41A1">
          <w:rPr>
            <w:rStyle w:val="Hyperlink"/>
            <w:noProof/>
          </w:rPr>
          <w:t>Using Benefit-Cost Ratios for Program Planning</w:t>
        </w:r>
        <w:r>
          <w:rPr>
            <w:noProof/>
            <w:webHidden/>
          </w:rPr>
          <w:tab/>
        </w:r>
        <w:r>
          <w:rPr>
            <w:noProof/>
            <w:webHidden/>
          </w:rPr>
          <w:fldChar w:fldCharType="begin"/>
        </w:r>
        <w:r>
          <w:rPr>
            <w:noProof/>
            <w:webHidden/>
          </w:rPr>
          <w:instrText xml:space="preserve"> PAGEREF _Toc307067054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5" w:history="1">
        <w:r w:rsidRPr="004C41A1">
          <w:rPr>
            <w:rStyle w:val="Hyperlink"/>
            <w:noProof/>
          </w:rPr>
          <w:t>4.2.</w:t>
        </w:r>
        <w:r>
          <w:rPr>
            <w:rFonts w:ascii="Calibri" w:hAnsi="Calibri"/>
            <w:noProof/>
            <w:sz w:val="22"/>
            <w:szCs w:val="22"/>
          </w:rPr>
          <w:tab/>
        </w:r>
        <w:r w:rsidRPr="004C41A1">
          <w:rPr>
            <w:rStyle w:val="Hyperlink"/>
            <w:noProof/>
          </w:rPr>
          <w:t>Accounting for Non-Energy Benefits</w:t>
        </w:r>
        <w:r>
          <w:rPr>
            <w:noProof/>
            <w:webHidden/>
          </w:rPr>
          <w:tab/>
        </w:r>
        <w:r>
          <w:rPr>
            <w:noProof/>
            <w:webHidden/>
          </w:rPr>
          <w:fldChar w:fldCharType="begin"/>
        </w:r>
        <w:r>
          <w:rPr>
            <w:noProof/>
            <w:webHidden/>
          </w:rPr>
          <w:instrText xml:space="preserve"> PAGEREF _Toc307067055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6" w:history="1">
        <w:r w:rsidRPr="004C41A1">
          <w:rPr>
            <w:rStyle w:val="Hyperlink"/>
            <w:noProof/>
          </w:rPr>
          <w:t>4.3.</w:t>
        </w:r>
        <w:r>
          <w:rPr>
            <w:rFonts w:ascii="Calibri" w:hAnsi="Calibri"/>
            <w:noProof/>
            <w:sz w:val="22"/>
            <w:szCs w:val="22"/>
          </w:rPr>
          <w:tab/>
        </w:r>
        <w:r w:rsidRPr="004C41A1">
          <w:rPr>
            <w:rStyle w:val="Hyperlink"/>
            <w:noProof/>
          </w:rPr>
          <w:t>Incorporating Additional Customer Costs</w:t>
        </w:r>
        <w:r>
          <w:rPr>
            <w:noProof/>
            <w:webHidden/>
          </w:rPr>
          <w:tab/>
        </w:r>
        <w:r>
          <w:rPr>
            <w:noProof/>
            <w:webHidden/>
          </w:rPr>
          <w:fldChar w:fldCharType="begin"/>
        </w:r>
        <w:r>
          <w:rPr>
            <w:noProof/>
            <w:webHidden/>
          </w:rPr>
          <w:instrText xml:space="preserve"> PAGEREF _Toc307067056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7" w:history="1">
        <w:r w:rsidRPr="004C41A1">
          <w:rPr>
            <w:rStyle w:val="Hyperlink"/>
            <w:noProof/>
          </w:rPr>
          <w:t>4.4.</w:t>
        </w:r>
        <w:r>
          <w:rPr>
            <w:rFonts w:ascii="Calibri" w:hAnsi="Calibri"/>
            <w:noProof/>
            <w:sz w:val="22"/>
            <w:szCs w:val="22"/>
          </w:rPr>
          <w:tab/>
        </w:r>
        <w:r w:rsidRPr="004C41A1">
          <w:rPr>
            <w:rStyle w:val="Hyperlink"/>
            <w:noProof/>
          </w:rPr>
          <w:t>Applying the Correct Discount rate</w:t>
        </w:r>
        <w:r>
          <w:rPr>
            <w:noProof/>
            <w:webHidden/>
          </w:rPr>
          <w:tab/>
        </w:r>
        <w:r>
          <w:rPr>
            <w:noProof/>
            <w:webHidden/>
          </w:rPr>
          <w:fldChar w:fldCharType="begin"/>
        </w:r>
        <w:r>
          <w:rPr>
            <w:noProof/>
            <w:webHidden/>
          </w:rPr>
          <w:instrText xml:space="preserve"> PAGEREF _Toc307067057 \h </w:instrText>
        </w:r>
        <w:r>
          <w:rPr>
            <w:noProof/>
            <w:webHidden/>
          </w:rPr>
        </w:r>
        <w:r>
          <w:rPr>
            <w:noProof/>
            <w:webHidden/>
          </w:rPr>
          <w:fldChar w:fldCharType="separate"/>
        </w:r>
        <w:r>
          <w:rPr>
            <w:noProof/>
            <w:webHidden/>
          </w:rPr>
          <w:t>2</w:t>
        </w:r>
        <w:r>
          <w:rPr>
            <w:noProof/>
            <w:webHidden/>
          </w:rPr>
          <w:fldChar w:fldCharType="end"/>
        </w:r>
      </w:hyperlink>
    </w:p>
    <w:p w:rsidR="00327936" w:rsidRDefault="00327936">
      <w:pPr>
        <w:pStyle w:val="TOC2"/>
        <w:tabs>
          <w:tab w:val="left" w:pos="1080"/>
        </w:tabs>
        <w:rPr>
          <w:rFonts w:ascii="Calibri" w:hAnsi="Calibri"/>
          <w:noProof/>
          <w:sz w:val="22"/>
          <w:szCs w:val="22"/>
        </w:rPr>
      </w:pPr>
      <w:hyperlink w:anchor="_Toc307067058" w:history="1">
        <w:r w:rsidRPr="004C41A1">
          <w:rPr>
            <w:rStyle w:val="Hyperlink"/>
            <w:noProof/>
          </w:rPr>
          <w:t>4.5.</w:t>
        </w:r>
        <w:r>
          <w:rPr>
            <w:rFonts w:ascii="Calibri" w:hAnsi="Calibri"/>
            <w:noProof/>
            <w:sz w:val="22"/>
            <w:szCs w:val="22"/>
          </w:rPr>
          <w:tab/>
        </w:r>
        <w:r w:rsidRPr="004C41A1">
          <w:rPr>
            <w:rStyle w:val="Hyperlink"/>
            <w:noProof/>
          </w:rPr>
          <w:t>Summary of Benefits and Costs to Include in Each Test</w:t>
        </w:r>
        <w:r>
          <w:rPr>
            <w:noProof/>
            <w:webHidden/>
          </w:rPr>
          <w:tab/>
        </w:r>
        <w:r>
          <w:rPr>
            <w:noProof/>
            <w:webHidden/>
          </w:rPr>
          <w:fldChar w:fldCharType="begin"/>
        </w:r>
        <w:r>
          <w:rPr>
            <w:noProof/>
            <w:webHidden/>
          </w:rPr>
          <w:instrText xml:space="preserve"> PAGEREF _Toc307067058 \h </w:instrText>
        </w:r>
        <w:r>
          <w:rPr>
            <w:noProof/>
            <w:webHidden/>
          </w:rPr>
        </w:r>
        <w:r>
          <w:rPr>
            <w:noProof/>
            <w:webHidden/>
          </w:rPr>
          <w:fldChar w:fldCharType="separate"/>
        </w:r>
        <w:r>
          <w:rPr>
            <w:noProof/>
            <w:webHidden/>
          </w:rPr>
          <w:t>2</w:t>
        </w:r>
        <w:r>
          <w:rPr>
            <w:noProof/>
            <w:webHidden/>
          </w:rPr>
          <w:fldChar w:fldCharType="end"/>
        </w:r>
      </w:hyperlink>
    </w:p>
    <w:p w:rsidR="00327936" w:rsidRDefault="00327936">
      <w:r>
        <w:fldChar w:fldCharType="end"/>
      </w:r>
    </w:p>
    <w:p w:rsidR="00327936" w:rsidRDefault="00327936" w:rsidP="003D709D">
      <w:pPr>
        <w:pStyle w:val="BodyText"/>
        <w:rPr>
          <w:bCs/>
        </w:rPr>
      </w:pPr>
      <w:r>
        <w:br w:type="page"/>
      </w:r>
      <w:bookmarkStart w:id="1" w:name="_Toc294277309"/>
      <w:bookmarkEnd w:id="0"/>
    </w:p>
    <w:p w:rsidR="00327936" w:rsidRPr="003A570B" w:rsidRDefault="00327936" w:rsidP="003A570B">
      <w:pPr>
        <w:pStyle w:val="Heading1"/>
        <w:pBdr>
          <w:bottom w:val="single" w:sz="4" w:space="0" w:color="auto"/>
        </w:pBdr>
        <w:rPr>
          <w:bCs/>
        </w:rPr>
      </w:pPr>
      <w:bookmarkStart w:id="2" w:name="_Toc307067028"/>
      <w:r>
        <w:rPr>
          <w:bCs/>
        </w:rPr>
        <w:t>Introduction</w:t>
      </w:r>
      <w:bookmarkEnd w:id="1"/>
      <w:bookmarkEnd w:id="2"/>
      <w:r>
        <w:rPr>
          <w:bCs/>
        </w:rPr>
        <w:t xml:space="preserve"> </w:t>
      </w:r>
    </w:p>
    <w:p w:rsidR="00327936" w:rsidRDefault="00327936" w:rsidP="00FB6127">
      <w:pPr>
        <w:pStyle w:val="Heading2"/>
        <w:numPr>
          <w:ilvl w:val="1"/>
          <w:numId w:val="16"/>
        </w:numPr>
      </w:pPr>
      <w:bookmarkStart w:id="3" w:name="_Toc307067029"/>
      <w:bookmarkStart w:id="4" w:name="_Toc294277310"/>
      <w:r>
        <w:t>Background</w:t>
      </w:r>
      <w:bookmarkEnd w:id="3"/>
      <w:r>
        <w:t xml:space="preserve"> </w:t>
      </w:r>
      <w:bookmarkEnd w:id="4"/>
    </w:p>
    <w:p w:rsidR="00327936" w:rsidRPr="000815B3" w:rsidRDefault="00327936" w:rsidP="00560555">
      <w:pPr>
        <w:pStyle w:val="BodyText"/>
        <w:jc w:val="both"/>
        <w:rPr>
          <w:rFonts w:ascii="Times New Roman" w:hAnsi="Times New Roman"/>
          <w:sz w:val="24"/>
          <w:szCs w:val="24"/>
        </w:rPr>
      </w:pPr>
      <w:r w:rsidRPr="000815B3">
        <w:rPr>
          <w:rFonts w:ascii="Times New Roman" w:hAnsi="Times New Roman"/>
          <w:sz w:val="24"/>
          <w:szCs w:val="24"/>
        </w:rPr>
        <w:t>Puget Sound Energy</w:t>
      </w:r>
      <w:r>
        <w:rPr>
          <w:rFonts w:ascii="Times New Roman" w:hAnsi="Times New Roman"/>
          <w:sz w:val="24"/>
          <w:szCs w:val="24"/>
        </w:rPr>
        <w:t xml:space="preserve"> (PSE)</w:t>
      </w:r>
      <w:r w:rsidRPr="000815B3">
        <w:rPr>
          <w:rFonts w:ascii="Times New Roman" w:hAnsi="Times New Roman"/>
          <w:sz w:val="24"/>
          <w:szCs w:val="24"/>
        </w:rPr>
        <w:t xml:space="preserve"> has been providing e</w:t>
      </w:r>
      <w:r>
        <w:rPr>
          <w:rFonts w:ascii="Times New Roman" w:hAnsi="Times New Roman"/>
          <w:sz w:val="24"/>
          <w:szCs w:val="24"/>
        </w:rPr>
        <w:t>nergy efficiency services</w:t>
      </w:r>
      <w:r w:rsidRPr="000815B3">
        <w:rPr>
          <w:rFonts w:ascii="Times New Roman" w:hAnsi="Times New Roman"/>
          <w:sz w:val="24"/>
          <w:szCs w:val="24"/>
        </w:rPr>
        <w:t xml:space="preserve"> </w:t>
      </w:r>
      <w:r>
        <w:rPr>
          <w:rFonts w:ascii="Times New Roman" w:hAnsi="Times New Roman"/>
          <w:sz w:val="24"/>
          <w:szCs w:val="24"/>
        </w:rPr>
        <w:t xml:space="preserve">since the 1970’s (then Puget Power) and </w:t>
      </w:r>
      <w:r w:rsidRPr="000815B3">
        <w:rPr>
          <w:rFonts w:ascii="Times New Roman" w:hAnsi="Times New Roman"/>
          <w:sz w:val="24"/>
          <w:szCs w:val="24"/>
        </w:rPr>
        <w:t xml:space="preserve">will continue to deliver these services for the foreseeable future.  With increasing customer demand for energy, PSE must </w:t>
      </w:r>
      <w:r>
        <w:rPr>
          <w:rFonts w:ascii="Times New Roman" w:hAnsi="Times New Roman"/>
          <w:sz w:val="24"/>
          <w:szCs w:val="24"/>
        </w:rPr>
        <w:t xml:space="preserve">continue to </w:t>
      </w:r>
      <w:r w:rsidRPr="000815B3">
        <w:rPr>
          <w:rFonts w:ascii="Times New Roman" w:hAnsi="Times New Roman"/>
          <w:sz w:val="24"/>
          <w:szCs w:val="24"/>
        </w:rPr>
        <w:t xml:space="preserve">acquire new </w:t>
      </w:r>
      <w:r>
        <w:rPr>
          <w:rFonts w:ascii="Times New Roman" w:hAnsi="Times New Roman"/>
          <w:sz w:val="24"/>
          <w:szCs w:val="24"/>
        </w:rPr>
        <w:t xml:space="preserve">energy </w:t>
      </w:r>
      <w:r w:rsidRPr="000815B3">
        <w:rPr>
          <w:rFonts w:ascii="Times New Roman" w:hAnsi="Times New Roman"/>
          <w:sz w:val="24"/>
          <w:szCs w:val="24"/>
        </w:rPr>
        <w:t xml:space="preserve">resources to </w:t>
      </w:r>
      <w:r>
        <w:rPr>
          <w:rFonts w:ascii="Times New Roman" w:hAnsi="Times New Roman"/>
          <w:sz w:val="24"/>
          <w:szCs w:val="24"/>
        </w:rPr>
        <w:t>meet the increasing energy needs</w:t>
      </w:r>
      <w:r w:rsidRPr="000815B3">
        <w:rPr>
          <w:rFonts w:ascii="Times New Roman" w:hAnsi="Times New Roman"/>
          <w:sz w:val="24"/>
          <w:szCs w:val="24"/>
        </w:rPr>
        <w:t xml:space="preserve"> of </w:t>
      </w:r>
      <w:r>
        <w:rPr>
          <w:rFonts w:ascii="Times New Roman" w:hAnsi="Times New Roman"/>
          <w:sz w:val="24"/>
          <w:szCs w:val="24"/>
        </w:rPr>
        <w:t>its customers</w:t>
      </w:r>
      <w:r w:rsidRPr="000815B3">
        <w:rPr>
          <w:rFonts w:ascii="Times New Roman" w:hAnsi="Times New Roman"/>
          <w:sz w:val="24"/>
          <w:szCs w:val="24"/>
        </w:rPr>
        <w:t xml:space="preserve">.  Every two years, PSE goes through a process of planning how </w:t>
      </w:r>
      <w:r>
        <w:rPr>
          <w:rFonts w:ascii="Times New Roman" w:hAnsi="Times New Roman"/>
          <w:sz w:val="24"/>
          <w:szCs w:val="24"/>
        </w:rPr>
        <w:t xml:space="preserve">it </w:t>
      </w:r>
      <w:r w:rsidRPr="000815B3">
        <w:rPr>
          <w:rFonts w:ascii="Times New Roman" w:hAnsi="Times New Roman"/>
          <w:sz w:val="24"/>
          <w:szCs w:val="24"/>
        </w:rPr>
        <w:t xml:space="preserve">will meet expected customer demands over the next twenty years. Though this process, PSE compiles </w:t>
      </w:r>
      <w:r>
        <w:rPr>
          <w:rFonts w:ascii="Times New Roman" w:hAnsi="Times New Roman"/>
          <w:sz w:val="24"/>
          <w:szCs w:val="24"/>
        </w:rPr>
        <w:t xml:space="preserve">its </w:t>
      </w:r>
      <w:r w:rsidRPr="000815B3">
        <w:rPr>
          <w:rFonts w:ascii="Times New Roman" w:hAnsi="Times New Roman"/>
          <w:sz w:val="24"/>
          <w:szCs w:val="24"/>
        </w:rPr>
        <w:t>Integrat</w:t>
      </w:r>
      <w:r>
        <w:rPr>
          <w:rFonts w:ascii="Times New Roman" w:hAnsi="Times New Roman"/>
          <w:sz w:val="24"/>
          <w:szCs w:val="24"/>
        </w:rPr>
        <w:t>ed</w:t>
      </w:r>
      <w:r w:rsidRPr="000815B3">
        <w:rPr>
          <w:rFonts w:ascii="Times New Roman" w:hAnsi="Times New Roman"/>
          <w:sz w:val="24"/>
          <w:szCs w:val="24"/>
        </w:rPr>
        <w:t xml:space="preserve"> Resource P</w:t>
      </w:r>
      <w:r>
        <w:rPr>
          <w:rFonts w:ascii="Times New Roman" w:hAnsi="Times New Roman"/>
          <w:sz w:val="24"/>
          <w:szCs w:val="24"/>
        </w:rPr>
        <w:t>lan (IRP). This plan provides guidance to assist PSE in selecting resources</w:t>
      </w:r>
      <w:r w:rsidRPr="000815B3">
        <w:rPr>
          <w:rFonts w:ascii="Times New Roman" w:hAnsi="Times New Roman"/>
          <w:sz w:val="24"/>
          <w:szCs w:val="24"/>
        </w:rPr>
        <w:t xml:space="preserve"> to meet expected energy demands.  </w:t>
      </w:r>
    </w:p>
    <w:p w:rsidR="00327936" w:rsidRPr="000815B3" w:rsidRDefault="00327936" w:rsidP="00560555">
      <w:pPr>
        <w:pStyle w:val="BodyText"/>
        <w:jc w:val="both"/>
        <w:rPr>
          <w:rFonts w:ascii="Times New Roman" w:hAnsi="Times New Roman"/>
          <w:sz w:val="24"/>
          <w:szCs w:val="24"/>
        </w:rPr>
      </w:pPr>
      <w:r>
        <w:rPr>
          <w:rFonts w:ascii="Times New Roman" w:hAnsi="Times New Roman"/>
          <w:sz w:val="24"/>
          <w:szCs w:val="24"/>
        </w:rPr>
        <w:t>Demand side r</w:t>
      </w:r>
      <w:r w:rsidRPr="000815B3">
        <w:rPr>
          <w:rFonts w:ascii="Times New Roman" w:hAnsi="Times New Roman"/>
          <w:sz w:val="24"/>
          <w:szCs w:val="24"/>
        </w:rPr>
        <w:t xml:space="preserve">esources (i.e. Energy Efficiency) are some of the </w:t>
      </w:r>
      <w:r>
        <w:rPr>
          <w:rFonts w:ascii="Times New Roman" w:hAnsi="Times New Roman"/>
          <w:sz w:val="24"/>
          <w:szCs w:val="24"/>
        </w:rPr>
        <w:t xml:space="preserve">least cost </w:t>
      </w:r>
      <w:r w:rsidRPr="000815B3">
        <w:rPr>
          <w:rFonts w:ascii="Times New Roman" w:hAnsi="Times New Roman"/>
          <w:sz w:val="24"/>
          <w:szCs w:val="24"/>
        </w:rPr>
        <w:t>ways for PSE to meet expected customer demand. When selecting which demand side resources to obtain, PSE conducts a series of</w:t>
      </w:r>
      <w:r>
        <w:rPr>
          <w:rFonts w:ascii="Times New Roman" w:hAnsi="Times New Roman"/>
          <w:sz w:val="24"/>
          <w:szCs w:val="24"/>
        </w:rPr>
        <w:t xml:space="preserve"> cost-effectiveness </w:t>
      </w:r>
      <w:r w:rsidRPr="000815B3">
        <w:rPr>
          <w:rFonts w:ascii="Times New Roman" w:hAnsi="Times New Roman"/>
          <w:sz w:val="24"/>
          <w:szCs w:val="24"/>
        </w:rPr>
        <w:t xml:space="preserve">tests which will assist </w:t>
      </w:r>
      <w:r>
        <w:rPr>
          <w:rFonts w:ascii="Times New Roman" w:hAnsi="Times New Roman"/>
          <w:sz w:val="24"/>
          <w:szCs w:val="24"/>
        </w:rPr>
        <w:t xml:space="preserve">PSE </w:t>
      </w:r>
      <w:r w:rsidRPr="000815B3">
        <w:rPr>
          <w:rFonts w:ascii="Times New Roman" w:hAnsi="Times New Roman"/>
          <w:sz w:val="24"/>
          <w:szCs w:val="24"/>
        </w:rPr>
        <w:t xml:space="preserve">in determining which demand side resources to acquire compared to the alternative resources available.  </w:t>
      </w:r>
    </w:p>
    <w:p w:rsidR="00327936" w:rsidRPr="000815B3" w:rsidRDefault="00327936" w:rsidP="00560555">
      <w:pPr>
        <w:pStyle w:val="BodyText"/>
        <w:jc w:val="both"/>
        <w:rPr>
          <w:rFonts w:ascii="Times New Roman" w:hAnsi="Times New Roman"/>
          <w:sz w:val="24"/>
          <w:szCs w:val="24"/>
        </w:rPr>
      </w:pPr>
      <w:r w:rsidRPr="000815B3">
        <w:rPr>
          <w:rFonts w:ascii="Times New Roman" w:hAnsi="Times New Roman"/>
          <w:sz w:val="24"/>
          <w:szCs w:val="24"/>
        </w:rPr>
        <w:t>Cu</w:t>
      </w:r>
      <w:r>
        <w:rPr>
          <w:rFonts w:ascii="Times New Roman" w:hAnsi="Times New Roman"/>
          <w:sz w:val="24"/>
          <w:szCs w:val="24"/>
        </w:rPr>
        <w:t>rrently, PSE conducts four cost-effectiveness tests; e</w:t>
      </w:r>
      <w:r w:rsidRPr="000815B3">
        <w:rPr>
          <w:rFonts w:ascii="Times New Roman" w:hAnsi="Times New Roman"/>
          <w:sz w:val="24"/>
          <w:szCs w:val="24"/>
        </w:rPr>
        <w:t>ach</w:t>
      </w:r>
      <w:r>
        <w:rPr>
          <w:rFonts w:ascii="Times New Roman" w:hAnsi="Times New Roman"/>
          <w:sz w:val="24"/>
          <w:szCs w:val="24"/>
        </w:rPr>
        <w:t xml:space="preserve"> of the four tests views cost-effectiveness from</w:t>
      </w:r>
      <w:r w:rsidRPr="000815B3">
        <w:rPr>
          <w:rFonts w:ascii="Times New Roman" w:hAnsi="Times New Roman"/>
          <w:sz w:val="24"/>
          <w:szCs w:val="24"/>
        </w:rPr>
        <w:t xml:space="preserve"> a slight</w:t>
      </w:r>
      <w:r>
        <w:rPr>
          <w:rFonts w:ascii="Times New Roman" w:hAnsi="Times New Roman"/>
          <w:sz w:val="24"/>
          <w:szCs w:val="24"/>
        </w:rPr>
        <w:t>ly</w:t>
      </w:r>
      <w:r w:rsidRPr="000815B3">
        <w:rPr>
          <w:rFonts w:ascii="Times New Roman" w:hAnsi="Times New Roman"/>
          <w:sz w:val="24"/>
          <w:szCs w:val="24"/>
        </w:rPr>
        <w:t xml:space="preserve"> different perspective. The four tests </w:t>
      </w:r>
      <w:r>
        <w:rPr>
          <w:rFonts w:ascii="Times New Roman" w:hAnsi="Times New Roman"/>
          <w:sz w:val="24"/>
          <w:szCs w:val="24"/>
        </w:rPr>
        <w:t xml:space="preserve">PSE conducts </w:t>
      </w:r>
      <w:r w:rsidRPr="000815B3">
        <w:rPr>
          <w:rFonts w:ascii="Times New Roman" w:hAnsi="Times New Roman"/>
          <w:sz w:val="24"/>
          <w:szCs w:val="24"/>
        </w:rPr>
        <w:t>are: Utility Cost Test</w:t>
      </w:r>
      <w:r>
        <w:rPr>
          <w:rFonts w:ascii="Times New Roman" w:hAnsi="Times New Roman"/>
          <w:sz w:val="24"/>
          <w:szCs w:val="24"/>
        </w:rPr>
        <w:t xml:space="preserve"> (UC)</w:t>
      </w:r>
      <w:r w:rsidRPr="000815B3">
        <w:rPr>
          <w:rFonts w:ascii="Times New Roman" w:hAnsi="Times New Roman"/>
          <w:sz w:val="24"/>
          <w:szCs w:val="24"/>
        </w:rPr>
        <w:t>, Total Resource Cost Test</w:t>
      </w:r>
      <w:r>
        <w:rPr>
          <w:rFonts w:ascii="Times New Roman" w:hAnsi="Times New Roman"/>
          <w:sz w:val="24"/>
          <w:szCs w:val="24"/>
        </w:rPr>
        <w:t xml:space="preserve"> (TRC)</w:t>
      </w:r>
      <w:r w:rsidRPr="000815B3">
        <w:rPr>
          <w:rFonts w:ascii="Times New Roman" w:hAnsi="Times New Roman"/>
          <w:sz w:val="24"/>
          <w:szCs w:val="24"/>
        </w:rPr>
        <w:t>, Ratepayer Impact Measurement Test</w:t>
      </w:r>
      <w:r>
        <w:rPr>
          <w:rFonts w:ascii="Times New Roman" w:hAnsi="Times New Roman"/>
          <w:sz w:val="24"/>
          <w:szCs w:val="24"/>
        </w:rPr>
        <w:t xml:space="preserve"> (RIM)</w:t>
      </w:r>
      <w:r w:rsidRPr="000815B3">
        <w:rPr>
          <w:rFonts w:ascii="Times New Roman" w:hAnsi="Times New Roman"/>
          <w:sz w:val="24"/>
          <w:szCs w:val="24"/>
        </w:rPr>
        <w:t>, and the Participant Cost Test</w:t>
      </w:r>
      <w:r>
        <w:rPr>
          <w:rFonts w:ascii="Times New Roman" w:hAnsi="Times New Roman"/>
          <w:sz w:val="24"/>
          <w:szCs w:val="24"/>
        </w:rPr>
        <w:t xml:space="preserve"> (PCT)</w:t>
      </w:r>
      <w:r w:rsidRPr="000815B3">
        <w:rPr>
          <w:rFonts w:ascii="Times New Roman" w:hAnsi="Times New Roman"/>
          <w:sz w:val="24"/>
          <w:szCs w:val="24"/>
        </w:rPr>
        <w:t xml:space="preserve">. These tests measure whether or not the benefits obtained by </w:t>
      </w:r>
      <w:r>
        <w:rPr>
          <w:rFonts w:ascii="Times New Roman" w:hAnsi="Times New Roman"/>
          <w:sz w:val="24"/>
          <w:szCs w:val="24"/>
        </w:rPr>
        <w:t>the demand side resource meet or exceed</w:t>
      </w:r>
      <w:r w:rsidRPr="000815B3">
        <w:rPr>
          <w:rFonts w:ascii="Times New Roman" w:hAnsi="Times New Roman"/>
          <w:sz w:val="24"/>
          <w:szCs w:val="24"/>
        </w:rPr>
        <w:t xml:space="preserve"> the costs to obtain the resource.</w:t>
      </w:r>
      <w:r w:rsidRPr="004F04EB">
        <w:rPr>
          <w:rFonts w:ascii="Times New Roman" w:hAnsi="Times New Roman"/>
          <w:sz w:val="24"/>
          <w:szCs w:val="24"/>
        </w:rPr>
        <w:t xml:space="preserve"> </w:t>
      </w:r>
      <w:r>
        <w:rPr>
          <w:rFonts w:ascii="Times New Roman" w:hAnsi="Times New Roman"/>
          <w:sz w:val="24"/>
          <w:szCs w:val="24"/>
        </w:rPr>
        <w:t xml:space="preserve">Two of the tests, the Utility Cost Test and the Total Resource Cost Test, are primarily of interest in the </w:t>
      </w:r>
      <w:r w:rsidRPr="000815B3">
        <w:rPr>
          <w:rFonts w:ascii="Times New Roman" w:hAnsi="Times New Roman"/>
          <w:sz w:val="24"/>
          <w:szCs w:val="24"/>
        </w:rPr>
        <w:t>sel</w:t>
      </w:r>
      <w:r>
        <w:rPr>
          <w:rFonts w:ascii="Times New Roman" w:hAnsi="Times New Roman"/>
          <w:sz w:val="24"/>
          <w:szCs w:val="24"/>
        </w:rPr>
        <w:t>ection of demand side resources.</w:t>
      </w:r>
    </w:p>
    <w:p w:rsidR="00327936" w:rsidRDefault="00327936" w:rsidP="00560555">
      <w:pPr>
        <w:pStyle w:val="BodyText"/>
        <w:jc w:val="both"/>
        <w:rPr>
          <w:rFonts w:ascii="Times New Roman" w:hAnsi="Times New Roman"/>
          <w:sz w:val="24"/>
          <w:szCs w:val="24"/>
        </w:rPr>
      </w:pPr>
      <w:r w:rsidRPr="000815B3">
        <w:rPr>
          <w:rFonts w:ascii="Times New Roman" w:hAnsi="Times New Roman"/>
          <w:sz w:val="24"/>
          <w:szCs w:val="24"/>
        </w:rPr>
        <w:t>How these tests are calculated can dramatically impact which demand side resources PSE obtains, whether or not the resources have a positive or negative impact on future customer rates, and if the resources save money for the customers who install items th</w:t>
      </w:r>
      <w:r>
        <w:rPr>
          <w:rFonts w:ascii="Times New Roman" w:hAnsi="Times New Roman"/>
          <w:sz w:val="24"/>
          <w:szCs w:val="24"/>
        </w:rPr>
        <w:t>r</w:t>
      </w:r>
      <w:r w:rsidRPr="000815B3">
        <w:rPr>
          <w:rFonts w:ascii="Times New Roman" w:hAnsi="Times New Roman"/>
          <w:sz w:val="24"/>
          <w:szCs w:val="24"/>
        </w:rPr>
        <w:t>ough</w:t>
      </w:r>
      <w:r>
        <w:rPr>
          <w:rFonts w:ascii="Times New Roman" w:hAnsi="Times New Roman"/>
          <w:sz w:val="24"/>
          <w:szCs w:val="24"/>
        </w:rPr>
        <w:t xml:space="preserve"> PSE’s </w:t>
      </w:r>
      <w:r w:rsidRPr="000815B3">
        <w:rPr>
          <w:rFonts w:ascii="Times New Roman" w:hAnsi="Times New Roman"/>
          <w:sz w:val="24"/>
          <w:szCs w:val="24"/>
        </w:rPr>
        <w:t xml:space="preserve">demand side resource programs. </w:t>
      </w:r>
      <w:r>
        <w:rPr>
          <w:rFonts w:ascii="Times New Roman" w:hAnsi="Times New Roman"/>
          <w:sz w:val="24"/>
          <w:szCs w:val="24"/>
        </w:rPr>
        <w:t xml:space="preserve"> </w:t>
      </w:r>
    </w:p>
    <w:p w:rsidR="00327936" w:rsidRDefault="00327936" w:rsidP="00792FE8">
      <w:pPr>
        <w:pStyle w:val="BodyText"/>
        <w:jc w:val="both"/>
        <w:rPr>
          <w:rFonts w:ascii="Times New Roman" w:hAnsi="Times New Roman"/>
          <w:sz w:val="24"/>
          <w:szCs w:val="24"/>
        </w:rPr>
      </w:pPr>
      <w:r>
        <w:rPr>
          <w:rFonts w:ascii="Times New Roman" w:hAnsi="Times New Roman"/>
          <w:sz w:val="24"/>
          <w:szCs w:val="24"/>
        </w:rPr>
        <w:t xml:space="preserve">It is the intent of this paper to give a broad overview of the cost-effectiveness tests PSE is required to conduct. The body of this paper is intended for audiences unfamiliar with cost-effectiveness tests. The appendices to this paper were written for those who want a more detailed overview of avoided costs and the “AutoFund” grant calculator. </w:t>
      </w:r>
    </w:p>
    <w:p w:rsidR="00327936" w:rsidRDefault="00327936" w:rsidP="00560555">
      <w:pPr>
        <w:pStyle w:val="BodyText"/>
        <w:jc w:val="both"/>
        <w:rPr>
          <w:rFonts w:ascii="Times New Roman" w:hAnsi="Times New Roman"/>
          <w:sz w:val="24"/>
          <w:szCs w:val="24"/>
        </w:rPr>
      </w:pPr>
      <w:r>
        <w:rPr>
          <w:rFonts w:ascii="Times New Roman" w:hAnsi="Times New Roman"/>
          <w:sz w:val="24"/>
          <w:szCs w:val="24"/>
        </w:rPr>
        <w:t xml:space="preserve">The specific costs tests described in this paper are required of PSE to meet conditions agreed upon with the State of </w:t>
      </w:r>
      <w:smartTag w:uri="urn:schemas-microsoft-com:office:smarttags" w:element="State">
        <w:smartTag w:uri="urn:schemas-microsoft-com:office:smarttags" w:element="place">
          <w:r>
            <w:rPr>
              <w:rFonts w:ascii="Times New Roman" w:hAnsi="Times New Roman"/>
              <w:sz w:val="24"/>
              <w:szCs w:val="24"/>
            </w:rPr>
            <w:t>Washington</w:t>
          </w:r>
        </w:smartTag>
      </w:smartTag>
      <w:r>
        <w:rPr>
          <w:rFonts w:ascii="Times New Roman" w:hAnsi="Times New Roman"/>
          <w:sz w:val="24"/>
          <w:szCs w:val="24"/>
        </w:rPr>
        <w:t xml:space="preserve"> in 2011. </w:t>
      </w: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904799">
      <w:pPr>
        <w:pStyle w:val="Heading2"/>
        <w:numPr>
          <w:ilvl w:val="1"/>
          <w:numId w:val="16"/>
        </w:numPr>
        <w:tabs>
          <w:tab w:val="clear" w:pos="702"/>
          <w:tab w:val="left" w:pos="720"/>
          <w:tab w:val="num" w:pos="792"/>
        </w:tabs>
        <w:ind w:left="792"/>
      </w:pPr>
      <w:r w:rsidRPr="00904799">
        <w:t xml:space="preserve"> </w:t>
      </w:r>
      <w:bookmarkStart w:id="5" w:name="_Toc307066955"/>
      <w:r>
        <w:t xml:space="preserve"> </w:t>
      </w:r>
      <w:bookmarkStart w:id="6" w:name="_Toc307067030"/>
      <w:r>
        <w:t>Agreed Conditions</w:t>
      </w:r>
      <w:bookmarkEnd w:id="5"/>
      <w:bookmarkEnd w:id="6"/>
      <w:r>
        <w:t xml:space="preserve">  </w:t>
      </w:r>
    </w:p>
    <w:p w:rsidR="00327936" w:rsidRDefault="00327936" w:rsidP="006D24D5">
      <w:pPr>
        <w:pStyle w:val="Heading2"/>
        <w:numPr>
          <w:ilvl w:val="0"/>
          <w:numId w:val="0"/>
        </w:numPr>
        <w:ind w:left="-720"/>
        <w:rPr>
          <w:sz w:val="24"/>
        </w:rPr>
      </w:pPr>
    </w:p>
    <w:p w:rsidR="00327936" w:rsidRPr="002A4AF2" w:rsidRDefault="00327936" w:rsidP="006D24D5">
      <w:pPr>
        <w:pStyle w:val="Heading2"/>
        <w:numPr>
          <w:ilvl w:val="0"/>
          <w:numId w:val="0"/>
        </w:numPr>
        <w:ind w:left="-720"/>
        <w:rPr>
          <w:rFonts w:ascii="Times New Roman" w:hAnsi="Times New Roman"/>
          <w:sz w:val="24"/>
        </w:rPr>
      </w:pPr>
      <w:bookmarkStart w:id="7" w:name="_Toc307066956"/>
      <w:bookmarkStart w:id="8" w:name="_Toc307067031"/>
      <w:r w:rsidRPr="002A4AF2">
        <w:rPr>
          <w:rFonts w:ascii="Times New Roman" w:hAnsi="Times New Roman"/>
          <w:sz w:val="24"/>
        </w:rPr>
        <w:t>AGREED CONDITIONS FOR APPROVAL OF PUGET SOUND ENERGY, INC.'S 2010-2011 BIENNIAL ELECTRIC CONSERVATION TARGETS UNDER RCW 19.285.  DOCKET NO. UE-100177</w:t>
      </w:r>
      <w:bookmarkEnd w:id="7"/>
      <w:bookmarkEnd w:id="8"/>
      <w:r w:rsidRPr="002A4AF2">
        <w:rPr>
          <w:rFonts w:ascii="Times New Roman" w:hAnsi="Times New Roman"/>
          <w:sz w:val="24"/>
        </w:rPr>
        <w:br/>
      </w:r>
    </w:p>
    <w:p w:rsidR="00327936" w:rsidRPr="002A4AF2" w:rsidRDefault="00327936" w:rsidP="006D24D5">
      <w:pPr>
        <w:pStyle w:val="Heading2"/>
        <w:numPr>
          <w:ilvl w:val="0"/>
          <w:numId w:val="0"/>
        </w:numPr>
        <w:ind w:left="-720"/>
        <w:rPr>
          <w:rFonts w:ascii="Times New Roman" w:hAnsi="Times New Roman"/>
          <w:sz w:val="24"/>
        </w:rPr>
      </w:pPr>
      <w:bookmarkStart w:id="9" w:name="_Toc307067032"/>
      <w:r w:rsidRPr="002A4AF2">
        <w:rPr>
          <w:rFonts w:ascii="Times New Roman" w:hAnsi="Times New Roman"/>
          <w:sz w:val="24"/>
        </w:rPr>
        <w:t>K.</w:t>
      </w:r>
      <w:r w:rsidRPr="002A4AF2">
        <w:rPr>
          <w:rFonts w:ascii="Times New Roman" w:hAnsi="Times New Roman"/>
          <w:sz w:val="24"/>
        </w:rPr>
        <w:tab/>
        <w:t>Conditions</w:t>
      </w:r>
      <w:bookmarkEnd w:id="9"/>
    </w:p>
    <w:p w:rsidR="00327936" w:rsidRPr="002A4AF2" w:rsidRDefault="00327936" w:rsidP="006D24D5">
      <w:pPr>
        <w:ind w:left="-720"/>
        <w:rPr>
          <w:rFonts w:ascii="Times New Roman" w:hAnsi="Times New Roman"/>
          <w:sz w:val="24"/>
          <w:szCs w:val="24"/>
        </w:rPr>
      </w:pPr>
      <w:r w:rsidRPr="000D2961">
        <w:rPr>
          <w:sz w:val="24"/>
          <w:szCs w:val="24"/>
        </w:rPr>
        <w:t xml:space="preserve"> (10)</w:t>
      </w:r>
      <w:r w:rsidRPr="000D2961">
        <w:rPr>
          <w:sz w:val="24"/>
          <w:szCs w:val="24"/>
        </w:rPr>
        <w:tab/>
      </w:r>
      <w:r w:rsidRPr="002A4AF2">
        <w:rPr>
          <w:rFonts w:ascii="Times New Roman" w:hAnsi="Times New Roman"/>
          <w:b/>
          <w:sz w:val="24"/>
          <w:szCs w:val="24"/>
        </w:rPr>
        <w:t>Cost-Effectiveness Test is the Total Resource Cost (TRC) Test</w:t>
      </w:r>
    </w:p>
    <w:p w:rsidR="00327936" w:rsidRPr="002A4AF2" w:rsidRDefault="00327936" w:rsidP="006D24D5">
      <w:pPr>
        <w:ind w:left="1440" w:hanging="720"/>
        <w:rPr>
          <w:rFonts w:ascii="Times New Roman" w:hAnsi="Times New Roman"/>
          <w:sz w:val="24"/>
          <w:szCs w:val="24"/>
        </w:rPr>
      </w:pPr>
      <w:r w:rsidRPr="002A4AF2">
        <w:rPr>
          <w:rFonts w:ascii="Times New Roman" w:hAnsi="Times New Roman"/>
          <w:sz w:val="24"/>
          <w:szCs w:val="24"/>
        </w:rPr>
        <w:t>(a)</w:t>
      </w:r>
      <w:r w:rsidRPr="002A4AF2">
        <w:rPr>
          <w:rFonts w:ascii="Times New Roman" w:hAnsi="Times New Roman"/>
          <w:sz w:val="24"/>
          <w:szCs w:val="24"/>
        </w:rPr>
        <w:tab/>
        <w:t xml:space="preserve">The Commission uses the TRC, as modified by the Council, as its primary cost-effectiveness test.   PSE’s portfolio must pass the TRC test.  In general, each program shall be designed to be cost-effective as measured by this test.  PSE must demonstrate that the cost-effectiveness tests presented in support of its programs and portfolio are in compliance with the cost-effectiveness definition (RCW 80.52.030(7)) and system cost definition (RCW 80.52.030(8)) and incorporate, quantifiable non-energy benefits, the 10 percent conservation benefit and a risk adder consistent with the Council’s approach.  An outline of the major elements of the Council’s methodology for determining achievable conservation potential, including the Total Resource Cost test, is available on the Council’s website at </w:t>
      </w:r>
      <w:hyperlink r:id="rId8" w:history="1">
        <w:r w:rsidRPr="002A4AF2">
          <w:rPr>
            <w:rStyle w:val="Hyperlink"/>
            <w:rFonts w:ascii="Times New Roman" w:hAnsi="Times New Roman"/>
            <w:sz w:val="24"/>
            <w:szCs w:val="24"/>
          </w:rPr>
          <w:t>http://www.nwcouncil.org/energy/powerplan/6/supplycurves/I937/CouncilMethodology_outline%20_2_.pdf</w:t>
        </w:r>
      </w:hyperlink>
      <w:r w:rsidRPr="002A4AF2">
        <w:rPr>
          <w:rFonts w:ascii="Times New Roman" w:hAnsi="Times New Roman"/>
          <w:sz w:val="24"/>
          <w:szCs w:val="24"/>
        </w:rPr>
        <w:t>.</w:t>
      </w:r>
    </w:p>
    <w:p w:rsidR="00327936" w:rsidRPr="002A4AF2" w:rsidRDefault="00327936" w:rsidP="006D24D5">
      <w:pPr>
        <w:ind w:left="1440" w:hanging="720"/>
        <w:rPr>
          <w:rFonts w:ascii="Times New Roman" w:hAnsi="Times New Roman"/>
          <w:sz w:val="24"/>
          <w:szCs w:val="24"/>
        </w:rPr>
      </w:pPr>
      <w:r w:rsidRPr="002A4AF2">
        <w:rPr>
          <w:rFonts w:ascii="Times New Roman" w:hAnsi="Times New Roman"/>
          <w:sz w:val="24"/>
          <w:szCs w:val="24"/>
        </w:rPr>
        <w:t>(b)</w:t>
      </w:r>
      <w:r w:rsidRPr="002A4AF2">
        <w:rPr>
          <w:rFonts w:ascii="Times New Roman" w:hAnsi="Times New Roman"/>
          <w:sz w:val="24"/>
          <w:szCs w:val="24"/>
        </w:rPr>
        <w:tab/>
        <w:t xml:space="preserve">In addition to the Council-modified TRC, PSE must provide portfolio calculations of the Program Administrator Cost test (also called the Utility Cost test), Ratepayer Impact Measure test, and Participant Cost test described in the National Action Plan for Energy Efficiency’s study “Understanding Cost-effectiveness of Energy Efficiency Programs.”  The study is available on the Web site of the United States Environmental Protection Agency at </w:t>
      </w:r>
      <w:hyperlink r:id="rId9" w:history="1">
        <w:r w:rsidRPr="002A4AF2">
          <w:rPr>
            <w:rStyle w:val="Hyperlink"/>
            <w:rFonts w:ascii="Times New Roman" w:hAnsi="Times New Roman"/>
            <w:sz w:val="24"/>
            <w:szCs w:val="24"/>
          </w:rPr>
          <w:t>http://www.epa.gov/cleanenergy/documents/suca/cost-effectiveness.pdf</w:t>
        </w:r>
      </w:hyperlink>
      <w:r w:rsidRPr="002A4AF2">
        <w:rPr>
          <w:rFonts w:ascii="Times New Roman" w:hAnsi="Times New Roman"/>
          <w:sz w:val="24"/>
          <w:szCs w:val="24"/>
        </w:rPr>
        <w:t xml:space="preserve">. </w:t>
      </w:r>
    </w:p>
    <w:p w:rsidR="00327936" w:rsidRPr="002A4AF2" w:rsidRDefault="00327936" w:rsidP="006D24D5">
      <w:pPr>
        <w:ind w:left="1440" w:hanging="720"/>
        <w:rPr>
          <w:rFonts w:ascii="Times New Roman" w:hAnsi="Times New Roman"/>
          <w:sz w:val="24"/>
          <w:szCs w:val="24"/>
        </w:rPr>
      </w:pPr>
      <w:r w:rsidRPr="002A4AF2">
        <w:rPr>
          <w:rFonts w:ascii="Times New Roman" w:hAnsi="Times New Roman"/>
          <w:sz w:val="24"/>
          <w:szCs w:val="24"/>
        </w:rPr>
        <w:t>(c)</w:t>
      </w:r>
      <w:r w:rsidRPr="002A4AF2">
        <w:rPr>
          <w:rFonts w:ascii="Times New Roman" w:hAnsi="Times New Roman"/>
          <w:sz w:val="24"/>
          <w:szCs w:val="24"/>
        </w:rPr>
        <w:tab/>
        <w:t>Overall conservation cost-effectiveness must be evaluated at the portfolio level.  Costs included in the portfolio level analysis include conservation-related administrative costs.  For the additional cost-effectiveness tests identified in 10b -</w:t>
      </w:r>
      <w:r>
        <w:rPr>
          <w:rFonts w:ascii="Times New Roman" w:hAnsi="Times New Roman"/>
          <w:sz w:val="24"/>
          <w:szCs w:val="24"/>
        </w:rPr>
        <w:t xml:space="preserve"> </w:t>
      </w:r>
      <w:r w:rsidRPr="002A4AF2">
        <w:rPr>
          <w:rFonts w:ascii="Times New Roman" w:hAnsi="Times New Roman"/>
          <w:sz w:val="24"/>
          <w:szCs w:val="24"/>
        </w:rPr>
        <w:t>PSE must consult with the CRAG to determine when it is appropriate to evaluate measure and program level cost-effectiveness.  All cost-effectiveness calculations will assume a Net-to-Gross ratio of 1.0, consistent with the Council’s methodology.</w:t>
      </w:r>
    </w:p>
    <w:p w:rsidR="00327936" w:rsidRPr="002A4AF2" w:rsidRDefault="00327936" w:rsidP="00CA19FB">
      <w:pPr>
        <w:pStyle w:val="BodyText"/>
        <w:rPr>
          <w:rFonts w:ascii="Times New Roman" w:hAnsi="Times New Roman"/>
          <w:sz w:val="24"/>
          <w:szCs w:val="24"/>
        </w:rPr>
      </w:pPr>
    </w:p>
    <w:p w:rsidR="00327936" w:rsidRDefault="00327936" w:rsidP="007B0DF5">
      <w:pPr>
        <w:pStyle w:val="Heading1"/>
        <w:numPr>
          <w:ilvl w:val="0"/>
          <w:numId w:val="16"/>
        </w:numPr>
        <w:pBdr>
          <w:bottom w:val="single" w:sz="4" w:space="0" w:color="auto"/>
        </w:pBdr>
        <w:rPr>
          <w:bCs/>
        </w:rPr>
      </w:pPr>
      <w:bookmarkStart w:id="10" w:name="_Toc294277313"/>
      <w:bookmarkStart w:id="11" w:name="_Toc307067033"/>
      <w:r>
        <w:rPr>
          <w:bCs/>
        </w:rPr>
        <w:t>Overview of Cost-Effectiveness Tests</w:t>
      </w:r>
      <w:bookmarkEnd w:id="10"/>
      <w:bookmarkEnd w:id="11"/>
      <w:r>
        <w:rPr>
          <w:bCs/>
        </w:rPr>
        <w:t xml:space="preserve"> </w:t>
      </w:r>
    </w:p>
    <w:p w:rsidR="00327936" w:rsidRDefault="00327936" w:rsidP="009E697C">
      <w:pPr>
        <w:pStyle w:val="Heading2"/>
        <w:numPr>
          <w:ilvl w:val="0"/>
          <w:numId w:val="0"/>
        </w:numPr>
        <w:ind w:left="702"/>
      </w:pPr>
      <w:bookmarkStart w:id="12" w:name="_Toc294277314"/>
      <w:bookmarkStart w:id="13" w:name="_Toc307067034"/>
    </w:p>
    <w:p w:rsidR="00327936" w:rsidRDefault="00327936" w:rsidP="00FB6127">
      <w:pPr>
        <w:pStyle w:val="Heading2"/>
        <w:numPr>
          <w:ilvl w:val="1"/>
          <w:numId w:val="16"/>
        </w:numPr>
      </w:pPr>
      <w:r>
        <w:t>Introduction</w:t>
      </w:r>
      <w:bookmarkEnd w:id="12"/>
      <w:bookmarkEnd w:id="13"/>
      <w:r>
        <w:t xml:space="preserve"> </w:t>
      </w:r>
    </w:p>
    <w:p w:rsidR="00327936" w:rsidRPr="000815B3" w:rsidRDefault="00327936" w:rsidP="00560555">
      <w:pPr>
        <w:pStyle w:val="BodyText"/>
        <w:jc w:val="both"/>
        <w:rPr>
          <w:rFonts w:ascii="Times New Roman" w:hAnsi="Times New Roman"/>
          <w:sz w:val="24"/>
          <w:szCs w:val="24"/>
        </w:rPr>
      </w:pPr>
      <w:r w:rsidRPr="000815B3">
        <w:rPr>
          <w:rFonts w:ascii="Times New Roman" w:hAnsi="Times New Roman"/>
          <w:sz w:val="24"/>
          <w:szCs w:val="24"/>
        </w:rPr>
        <w:t>The four cost-effectiveness tests dis</w:t>
      </w:r>
      <w:r>
        <w:rPr>
          <w:rFonts w:ascii="Times New Roman" w:hAnsi="Times New Roman"/>
          <w:sz w:val="24"/>
          <w:szCs w:val="24"/>
        </w:rPr>
        <w:t>cussed in this chapter each provide</w:t>
      </w:r>
      <w:r w:rsidRPr="000815B3">
        <w:rPr>
          <w:rFonts w:ascii="Times New Roman" w:hAnsi="Times New Roman"/>
          <w:sz w:val="24"/>
          <w:szCs w:val="24"/>
        </w:rPr>
        <w:t xml:space="preserve"> </w:t>
      </w:r>
      <w:r>
        <w:rPr>
          <w:rFonts w:ascii="Times New Roman" w:hAnsi="Times New Roman"/>
          <w:sz w:val="24"/>
          <w:szCs w:val="24"/>
        </w:rPr>
        <w:t xml:space="preserve">a unique set of </w:t>
      </w:r>
      <w:r w:rsidRPr="000815B3">
        <w:rPr>
          <w:rFonts w:ascii="Times New Roman" w:hAnsi="Times New Roman"/>
          <w:sz w:val="24"/>
          <w:szCs w:val="24"/>
        </w:rPr>
        <w:t xml:space="preserve">information to assist different stakeholders in understanding if the investment in demand side resources is of an overall benefit to them.  </w:t>
      </w:r>
    </w:p>
    <w:p w:rsidR="00327936" w:rsidRPr="000815B3" w:rsidRDefault="00327936" w:rsidP="00560555">
      <w:pPr>
        <w:pStyle w:val="BodyText"/>
        <w:jc w:val="both"/>
        <w:rPr>
          <w:rFonts w:ascii="Times New Roman" w:hAnsi="Times New Roman"/>
          <w:sz w:val="24"/>
          <w:szCs w:val="24"/>
        </w:rPr>
      </w:pPr>
      <w:r>
        <w:rPr>
          <w:rFonts w:ascii="Times New Roman" w:hAnsi="Times New Roman"/>
          <w:sz w:val="24"/>
          <w:szCs w:val="24"/>
        </w:rPr>
        <w:t xml:space="preserve">At a very </w:t>
      </w:r>
      <w:r w:rsidRPr="000815B3">
        <w:rPr>
          <w:rFonts w:ascii="Times New Roman" w:hAnsi="Times New Roman"/>
          <w:sz w:val="24"/>
          <w:szCs w:val="24"/>
        </w:rPr>
        <w:t xml:space="preserve">basic </w:t>
      </w:r>
      <w:r>
        <w:rPr>
          <w:rFonts w:ascii="Times New Roman" w:hAnsi="Times New Roman"/>
          <w:sz w:val="24"/>
          <w:szCs w:val="24"/>
        </w:rPr>
        <w:t xml:space="preserve">level, </w:t>
      </w:r>
      <w:r w:rsidRPr="000815B3">
        <w:rPr>
          <w:rFonts w:ascii="Times New Roman" w:hAnsi="Times New Roman"/>
          <w:sz w:val="24"/>
          <w:szCs w:val="24"/>
        </w:rPr>
        <w:t xml:space="preserve">cost-effectiveness tests </w:t>
      </w:r>
      <w:r>
        <w:rPr>
          <w:rFonts w:ascii="Times New Roman" w:hAnsi="Times New Roman"/>
          <w:sz w:val="24"/>
          <w:szCs w:val="24"/>
        </w:rPr>
        <w:t xml:space="preserve">are performed by calculating the ratio of the </w:t>
      </w:r>
      <w:r w:rsidRPr="000815B3">
        <w:rPr>
          <w:rFonts w:ascii="Times New Roman" w:hAnsi="Times New Roman"/>
          <w:sz w:val="24"/>
          <w:szCs w:val="24"/>
        </w:rPr>
        <w:t xml:space="preserve">net present value of benefits </w:t>
      </w:r>
      <w:r>
        <w:rPr>
          <w:rFonts w:ascii="Times New Roman" w:hAnsi="Times New Roman"/>
          <w:sz w:val="24"/>
          <w:szCs w:val="24"/>
        </w:rPr>
        <w:t>(</w:t>
      </w:r>
      <w:r w:rsidRPr="000815B3">
        <w:rPr>
          <w:rFonts w:ascii="Times New Roman" w:hAnsi="Times New Roman"/>
          <w:sz w:val="24"/>
          <w:szCs w:val="24"/>
        </w:rPr>
        <w:t>in dollars</w:t>
      </w:r>
      <w:r>
        <w:rPr>
          <w:rFonts w:ascii="Times New Roman" w:hAnsi="Times New Roman"/>
          <w:sz w:val="24"/>
          <w:szCs w:val="24"/>
        </w:rPr>
        <w:t xml:space="preserve">) to the net </w:t>
      </w:r>
      <w:r w:rsidRPr="000815B3">
        <w:rPr>
          <w:rFonts w:ascii="Times New Roman" w:hAnsi="Times New Roman"/>
          <w:sz w:val="24"/>
          <w:szCs w:val="24"/>
        </w:rPr>
        <w:t xml:space="preserve">present value of costs. </w:t>
      </w:r>
    </w:p>
    <w:p w:rsidR="00327936" w:rsidRPr="000815B3" w:rsidRDefault="00327936" w:rsidP="00560555">
      <w:pPr>
        <w:pStyle w:val="BodyText"/>
        <w:jc w:val="both"/>
        <w:rPr>
          <w:rFonts w:ascii="Times New Roman" w:hAnsi="Times New Roman"/>
          <w:sz w:val="24"/>
          <w:szCs w:val="24"/>
        </w:rPr>
      </w:pPr>
      <w:r w:rsidRPr="000815B3">
        <w:rPr>
          <w:rFonts w:ascii="Times New Roman" w:hAnsi="Times New Roman"/>
          <w:sz w:val="24"/>
          <w:szCs w:val="24"/>
        </w:rPr>
        <w:t>NPV ∑ benefits ÷ NPV ∑ costs</w:t>
      </w:r>
    </w:p>
    <w:p w:rsidR="00327936" w:rsidRDefault="00327936" w:rsidP="00560555">
      <w:pPr>
        <w:pStyle w:val="BodyText"/>
        <w:jc w:val="both"/>
        <w:rPr>
          <w:rFonts w:ascii="Times New Roman" w:hAnsi="Times New Roman"/>
          <w:sz w:val="24"/>
          <w:szCs w:val="24"/>
        </w:rPr>
      </w:pPr>
      <w:r>
        <w:rPr>
          <w:rFonts w:ascii="Times New Roman" w:hAnsi="Times New Roman"/>
          <w:sz w:val="24"/>
          <w:szCs w:val="24"/>
        </w:rPr>
        <w:t>Holding all other factors constant, energy efficiency programs which have a</w:t>
      </w:r>
      <w:r w:rsidRPr="000815B3">
        <w:rPr>
          <w:rFonts w:ascii="Times New Roman" w:hAnsi="Times New Roman"/>
          <w:sz w:val="24"/>
          <w:szCs w:val="24"/>
        </w:rPr>
        <w:t xml:space="preserve"> benefit-cost ratio greater than one </w:t>
      </w:r>
      <w:r>
        <w:rPr>
          <w:rFonts w:ascii="Times New Roman" w:hAnsi="Times New Roman"/>
          <w:sz w:val="24"/>
          <w:szCs w:val="24"/>
        </w:rPr>
        <w:t xml:space="preserve">are in the best interest of the stakeholder for whom the ratio was calculated.  </w:t>
      </w:r>
    </w:p>
    <w:p w:rsidR="00327936" w:rsidRDefault="00327936" w:rsidP="00FB6127">
      <w:pPr>
        <w:pStyle w:val="Heading2"/>
        <w:numPr>
          <w:ilvl w:val="1"/>
          <w:numId w:val="16"/>
        </w:numPr>
      </w:pPr>
      <w:bookmarkStart w:id="14" w:name="_Toc294277315"/>
      <w:r>
        <w:t xml:space="preserve"> </w:t>
      </w:r>
      <w:bookmarkStart w:id="15" w:name="_Toc307067035"/>
      <w:r>
        <w:t>Utility Cost Test</w:t>
      </w:r>
      <w:bookmarkEnd w:id="14"/>
      <w:bookmarkEnd w:id="15"/>
    </w:p>
    <w:p w:rsidR="00327936" w:rsidRDefault="00327936" w:rsidP="00560555">
      <w:pPr>
        <w:pStyle w:val="BodyText"/>
        <w:jc w:val="both"/>
        <w:rPr>
          <w:rFonts w:ascii="Times New Roman" w:hAnsi="Times New Roman"/>
          <w:sz w:val="24"/>
          <w:szCs w:val="24"/>
        </w:rPr>
      </w:pPr>
      <w:r>
        <w:rPr>
          <w:rFonts w:ascii="Times New Roman" w:hAnsi="Times New Roman"/>
          <w:sz w:val="24"/>
          <w:szCs w:val="24"/>
        </w:rPr>
        <w:t xml:space="preserve">The Utility Cost Test (UC) </w:t>
      </w:r>
      <w:r w:rsidRPr="000815B3">
        <w:rPr>
          <w:rFonts w:ascii="Times New Roman" w:hAnsi="Times New Roman"/>
          <w:sz w:val="24"/>
          <w:szCs w:val="24"/>
        </w:rPr>
        <w:t>views demand side resource acquisition from the utility’s perspective</w:t>
      </w:r>
      <w:r>
        <w:rPr>
          <w:rFonts w:ascii="Times New Roman" w:hAnsi="Times New Roman"/>
          <w:sz w:val="24"/>
          <w:szCs w:val="24"/>
        </w:rPr>
        <w:t>.  This test is required for both gas and electric conservation programs. This test</w:t>
      </w:r>
      <w:r w:rsidRPr="000815B3">
        <w:rPr>
          <w:rFonts w:ascii="Times New Roman" w:hAnsi="Times New Roman"/>
          <w:sz w:val="24"/>
          <w:szCs w:val="24"/>
        </w:rPr>
        <w:t xml:space="preserve"> </w:t>
      </w:r>
      <w:r>
        <w:rPr>
          <w:rFonts w:ascii="Times New Roman" w:hAnsi="Times New Roman"/>
          <w:sz w:val="24"/>
          <w:szCs w:val="24"/>
        </w:rPr>
        <w:t xml:space="preserve">determines, from </w:t>
      </w:r>
      <w:r w:rsidRPr="000815B3">
        <w:rPr>
          <w:rFonts w:ascii="Times New Roman" w:hAnsi="Times New Roman"/>
          <w:sz w:val="24"/>
          <w:szCs w:val="24"/>
        </w:rPr>
        <w:t>the utility</w:t>
      </w:r>
      <w:r>
        <w:rPr>
          <w:rFonts w:ascii="Times New Roman" w:hAnsi="Times New Roman"/>
          <w:sz w:val="24"/>
          <w:szCs w:val="24"/>
        </w:rPr>
        <w:t xml:space="preserve">’s perspective, whether </w:t>
      </w:r>
      <w:r w:rsidRPr="000815B3">
        <w:rPr>
          <w:rFonts w:ascii="Times New Roman" w:hAnsi="Times New Roman"/>
          <w:sz w:val="24"/>
          <w:szCs w:val="24"/>
        </w:rPr>
        <w:t>it is cheaper to purchase the demand side</w:t>
      </w:r>
      <w:r>
        <w:rPr>
          <w:rFonts w:ascii="Times New Roman" w:hAnsi="Times New Roman"/>
          <w:sz w:val="24"/>
          <w:szCs w:val="24"/>
        </w:rPr>
        <w:t xml:space="preserve"> resource than it is to acquire</w:t>
      </w:r>
      <w:r w:rsidRPr="000815B3">
        <w:rPr>
          <w:rFonts w:ascii="Times New Roman" w:hAnsi="Times New Roman"/>
          <w:sz w:val="24"/>
          <w:szCs w:val="24"/>
        </w:rPr>
        <w:t xml:space="preserve"> an alternative </w:t>
      </w:r>
      <w:r>
        <w:rPr>
          <w:rFonts w:ascii="Times New Roman" w:hAnsi="Times New Roman"/>
          <w:sz w:val="24"/>
          <w:szCs w:val="24"/>
        </w:rPr>
        <w:t xml:space="preserve">supply side </w:t>
      </w:r>
      <w:r w:rsidRPr="000815B3">
        <w:rPr>
          <w:rFonts w:ascii="Times New Roman" w:hAnsi="Times New Roman"/>
          <w:sz w:val="24"/>
          <w:szCs w:val="24"/>
        </w:rPr>
        <w:t>resource</w:t>
      </w:r>
      <w:r>
        <w:rPr>
          <w:rFonts w:ascii="Times New Roman" w:hAnsi="Times New Roman"/>
          <w:sz w:val="24"/>
          <w:szCs w:val="24"/>
        </w:rPr>
        <w:t>,</w:t>
      </w:r>
      <w:r w:rsidRPr="000815B3">
        <w:rPr>
          <w:rFonts w:ascii="Times New Roman" w:hAnsi="Times New Roman"/>
          <w:sz w:val="24"/>
          <w:szCs w:val="24"/>
        </w:rPr>
        <w:t xml:space="preserve"> like building a power plant or purchasing energy </w:t>
      </w:r>
      <w:r>
        <w:rPr>
          <w:rFonts w:ascii="Times New Roman" w:hAnsi="Times New Roman"/>
          <w:sz w:val="24"/>
          <w:szCs w:val="24"/>
        </w:rPr>
        <w:t xml:space="preserve">on </w:t>
      </w:r>
      <w:r w:rsidRPr="000815B3">
        <w:rPr>
          <w:rFonts w:ascii="Times New Roman" w:hAnsi="Times New Roman"/>
          <w:sz w:val="24"/>
          <w:szCs w:val="24"/>
        </w:rPr>
        <w:t xml:space="preserve">the open market. </w:t>
      </w:r>
    </w:p>
    <w:p w:rsidR="00327936" w:rsidRPr="000815B3" w:rsidRDefault="00327936" w:rsidP="00227BAF">
      <w:pPr>
        <w:pStyle w:val="BodyText"/>
        <w:jc w:val="both"/>
        <w:rPr>
          <w:rFonts w:ascii="Times New Roman" w:hAnsi="Times New Roman"/>
          <w:sz w:val="24"/>
          <w:szCs w:val="24"/>
        </w:rPr>
      </w:pPr>
      <w:r>
        <w:rPr>
          <w:rFonts w:ascii="Times New Roman" w:hAnsi="Times New Roman"/>
          <w:sz w:val="24"/>
          <w:szCs w:val="24"/>
        </w:rPr>
        <w:t xml:space="preserve">Generally speaking, </w:t>
      </w:r>
      <w:r w:rsidRPr="000815B3">
        <w:rPr>
          <w:rFonts w:ascii="Times New Roman" w:hAnsi="Times New Roman"/>
          <w:sz w:val="24"/>
          <w:szCs w:val="24"/>
        </w:rPr>
        <w:t>a benefit-</w:t>
      </w:r>
      <w:r>
        <w:rPr>
          <w:rFonts w:ascii="Times New Roman" w:hAnsi="Times New Roman"/>
          <w:sz w:val="24"/>
          <w:szCs w:val="24"/>
        </w:rPr>
        <w:t>cost ratio of one or</w:t>
      </w:r>
      <w:r w:rsidRPr="000815B3">
        <w:rPr>
          <w:rFonts w:ascii="Times New Roman" w:hAnsi="Times New Roman"/>
          <w:sz w:val="24"/>
          <w:szCs w:val="24"/>
        </w:rPr>
        <w:t xml:space="preserve"> great</w:t>
      </w:r>
      <w:r>
        <w:rPr>
          <w:rFonts w:ascii="Times New Roman" w:hAnsi="Times New Roman"/>
          <w:sz w:val="24"/>
          <w:szCs w:val="24"/>
        </w:rPr>
        <w:t>er</w:t>
      </w:r>
      <w:r w:rsidRPr="000815B3">
        <w:rPr>
          <w:rFonts w:ascii="Times New Roman" w:hAnsi="Times New Roman"/>
          <w:sz w:val="24"/>
          <w:szCs w:val="24"/>
        </w:rPr>
        <w:t xml:space="preserve"> </w:t>
      </w:r>
      <w:r>
        <w:rPr>
          <w:rFonts w:ascii="Times New Roman" w:hAnsi="Times New Roman"/>
          <w:sz w:val="24"/>
          <w:szCs w:val="24"/>
        </w:rPr>
        <w:t xml:space="preserve">in the UC </w:t>
      </w:r>
      <w:r w:rsidRPr="000815B3">
        <w:rPr>
          <w:rFonts w:ascii="Times New Roman" w:hAnsi="Times New Roman"/>
          <w:sz w:val="24"/>
          <w:szCs w:val="24"/>
        </w:rPr>
        <w:t xml:space="preserve">is essential </w:t>
      </w:r>
      <w:r>
        <w:rPr>
          <w:rFonts w:ascii="Times New Roman" w:hAnsi="Times New Roman"/>
          <w:sz w:val="24"/>
          <w:szCs w:val="24"/>
        </w:rPr>
        <w:t xml:space="preserve">for a program to be </w:t>
      </w:r>
      <w:r w:rsidRPr="000815B3">
        <w:rPr>
          <w:rFonts w:ascii="Times New Roman" w:hAnsi="Times New Roman"/>
          <w:sz w:val="24"/>
          <w:szCs w:val="24"/>
        </w:rPr>
        <w:t xml:space="preserve">considered in a demand side resource portfolio. </w:t>
      </w:r>
      <w:r>
        <w:rPr>
          <w:rFonts w:ascii="Times New Roman" w:hAnsi="Times New Roman"/>
          <w:sz w:val="24"/>
          <w:szCs w:val="24"/>
        </w:rPr>
        <w:t>However, t</w:t>
      </w:r>
      <w:r w:rsidRPr="00EB6211">
        <w:rPr>
          <w:rFonts w:ascii="Times New Roman" w:hAnsi="Times New Roman"/>
          <w:sz w:val="24"/>
          <w:szCs w:val="24"/>
        </w:rPr>
        <w:t xml:space="preserve">here are </w:t>
      </w:r>
      <w:r>
        <w:rPr>
          <w:rFonts w:ascii="Times New Roman" w:hAnsi="Times New Roman"/>
          <w:sz w:val="24"/>
          <w:szCs w:val="24"/>
        </w:rPr>
        <w:t>some exceptions to this</w:t>
      </w:r>
      <w:r w:rsidRPr="00EB6211">
        <w:rPr>
          <w:rFonts w:ascii="Times New Roman" w:hAnsi="Times New Roman"/>
          <w:sz w:val="24"/>
          <w:szCs w:val="24"/>
        </w:rPr>
        <w:t xml:space="preserve"> rule</w:t>
      </w:r>
      <w:r>
        <w:rPr>
          <w:rFonts w:ascii="Times New Roman" w:hAnsi="Times New Roman"/>
          <w:sz w:val="24"/>
          <w:szCs w:val="24"/>
        </w:rPr>
        <w:t xml:space="preserve">.  </w:t>
      </w:r>
      <w:r w:rsidRPr="00EB6211">
        <w:rPr>
          <w:rFonts w:ascii="Times New Roman" w:hAnsi="Times New Roman"/>
          <w:sz w:val="24"/>
          <w:szCs w:val="24"/>
        </w:rPr>
        <w:t xml:space="preserve">State regulations </w:t>
      </w:r>
      <w:r>
        <w:rPr>
          <w:rFonts w:ascii="Times New Roman" w:hAnsi="Times New Roman"/>
          <w:sz w:val="24"/>
          <w:szCs w:val="24"/>
        </w:rPr>
        <w:t xml:space="preserve">currently </w:t>
      </w:r>
      <w:r w:rsidRPr="00EB6211">
        <w:rPr>
          <w:rFonts w:ascii="Times New Roman" w:hAnsi="Times New Roman"/>
          <w:sz w:val="24"/>
          <w:szCs w:val="24"/>
        </w:rPr>
        <w:t>allow PSE to run low-income weatherization pro</w:t>
      </w:r>
      <w:r>
        <w:rPr>
          <w:rFonts w:ascii="Times New Roman" w:hAnsi="Times New Roman"/>
          <w:sz w:val="24"/>
          <w:szCs w:val="24"/>
        </w:rPr>
        <w:t xml:space="preserve">grams that have a benefit-cost </w:t>
      </w:r>
      <w:r w:rsidRPr="00EB6211">
        <w:rPr>
          <w:rFonts w:ascii="Times New Roman" w:hAnsi="Times New Roman"/>
          <w:sz w:val="24"/>
          <w:szCs w:val="24"/>
        </w:rPr>
        <w:t xml:space="preserve">ratio </w:t>
      </w:r>
      <w:r>
        <w:rPr>
          <w:rFonts w:ascii="Times New Roman" w:hAnsi="Times New Roman"/>
          <w:sz w:val="24"/>
          <w:szCs w:val="24"/>
        </w:rPr>
        <w:t xml:space="preserve">as low as </w:t>
      </w:r>
      <w:r w:rsidRPr="00EB6211">
        <w:rPr>
          <w:rFonts w:ascii="Times New Roman" w:hAnsi="Times New Roman"/>
          <w:sz w:val="24"/>
          <w:szCs w:val="24"/>
        </w:rPr>
        <w:t>0.6</w:t>
      </w:r>
      <w:r>
        <w:rPr>
          <w:rFonts w:ascii="Times New Roman" w:hAnsi="Times New Roman"/>
          <w:sz w:val="24"/>
          <w:szCs w:val="24"/>
        </w:rPr>
        <w:t xml:space="preserve"> </w:t>
      </w:r>
      <w:r w:rsidRPr="00EB6211">
        <w:rPr>
          <w:rFonts w:ascii="Times New Roman" w:hAnsi="Times New Roman"/>
          <w:sz w:val="24"/>
          <w:szCs w:val="24"/>
        </w:rPr>
        <w:t>when there are significant non-energy benefits which cannot be quantified.</w:t>
      </w:r>
      <w:r w:rsidRPr="000815B3">
        <w:rPr>
          <w:rFonts w:ascii="Times New Roman" w:hAnsi="Times New Roman"/>
          <w:sz w:val="24"/>
          <w:szCs w:val="24"/>
        </w:rPr>
        <w:t xml:space="preserve"> </w:t>
      </w:r>
    </w:p>
    <w:p w:rsidR="00327936" w:rsidRDefault="00327936" w:rsidP="00560555">
      <w:pPr>
        <w:pStyle w:val="BodyText"/>
        <w:jc w:val="both"/>
        <w:rPr>
          <w:rFonts w:ascii="Times New Roman" w:hAnsi="Times New Roman"/>
          <w:sz w:val="24"/>
          <w:szCs w:val="24"/>
        </w:rPr>
      </w:pPr>
      <w:r>
        <w:rPr>
          <w:rFonts w:ascii="Times New Roman" w:hAnsi="Times New Roman"/>
          <w:sz w:val="24"/>
          <w:szCs w:val="24"/>
        </w:rPr>
        <w:t>As the name suggests, t</w:t>
      </w:r>
      <w:r w:rsidRPr="000815B3">
        <w:rPr>
          <w:rFonts w:ascii="Times New Roman" w:hAnsi="Times New Roman"/>
          <w:sz w:val="24"/>
          <w:szCs w:val="24"/>
        </w:rPr>
        <w:t xml:space="preserve">he </w:t>
      </w:r>
      <w:r>
        <w:rPr>
          <w:rFonts w:ascii="Times New Roman" w:hAnsi="Times New Roman"/>
          <w:sz w:val="24"/>
          <w:szCs w:val="24"/>
        </w:rPr>
        <w:t xml:space="preserve">UC </w:t>
      </w:r>
      <w:r w:rsidRPr="000815B3">
        <w:rPr>
          <w:rFonts w:ascii="Times New Roman" w:hAnsi="Times New Roman"/>
          <w:sz w:val="24"/>
          <w:szCs w:val="24"/>
        </w:rPr>
        <w:t xml:space="preserve">only considers utility costs and utility benefits for the construction of the benefit-cost ratio. The </w:t>
      </w:r>
      <w:r>
        <w:rPr>
          <w:rFonts w:ascii="Times New Roman" w:hAnsi="Times New Roman"/>
          <w:sz w:val="24"/>
          <w:szCs w:val="24"/>
        </w:rPr>
        <w:t xml:space="preserve">basic </w:t>
      </w:r>
      <w:r w:rsidRPr="000815B3">
        <w:rPr>
          <w:rFonts w:ascii="Times New Roman" w:hAnsi="Times New Roman"/>
          <w:sz w:val="24"/>
          <w:szCs w:val="24"/>
        </w:rPr>
        <w:t>costs and benefits included in the</w:t>
      </w:r>
      <w:r>
        <w:rPr>
          <w:rFonts w:ascii="Times New Roman" w:hAnsi="Times New Roman"/>
          <w:sz w:val="24"/>
          <w:szCs w:val="24"/>
        </w:rPr>
        <w:t xml:space="preserve"> calculation of the test</w:t>
      </w:r>
      <w:r w:rsidRPr="000815B3">
        <w:rPr>
          <w:rFonts w:ascii="Times New Roman" w:hAnsi="Times New Roman"/>
          <w:sz w:val="24"/>
          <w:szCs w:val="24"/>
        </w:rPr>
        <w:t xml:space="preserve"> are </w:t>
      </w:r>
      <w:r>
        <w:rPr>
          <w:rFonts w:ascii="Times New Roman" w:hAnsi="Times New Roman"/>
          <w:sz w:val="24"/>
          <w:szCs w:val="24"/>
        </w:rPr>
        <w:t xml:space="preserve">listed </w:t>
      </w:r>
      <w:r w:rsidRPr="000815B3">
        <w:rPr>
          <w:rFonts w:ascii="Times New Roman" w:hAnsi="Times New Roman"/>
          <w:sz w:val="24"/>
          <w:szCs w:val="24"/>
        </w:rPr>
        <w:t>below:</w:t>
      </w: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Default="00327936" w:rsidP="00560555">
      <w:pPr>
        <w:pStyle w:val="BodyText"/>
        <w:jc w:val="both"/>
        <w:rPr>
          <w:rFonts w:ascii="Times New Roman" w:hAnsi="Times New Roman"/>
          <w:sz w:val="24"/>
          <w:szCs w:val="24"/>
        </w:rPr>
      </w:pPr>
    </w:p>
    <w:p w:rsidR="00327936" w:rsidRPr="000815B3"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 xml:space="preserve">Costs: </w:t>
      </w:r>
    </w:p>
    <w:p w:rsidR="00327936" w:rsidRPr="000815B3" w:rsidRDefault="00327936" w:rsidP="001737DC">
      <w:pPr>
        <w:pStyle w:val="BodyText"/>
        <w:numPr>
          <w:ilvl w:val="0"/>
          <w:numId w:val="17"/>
        </w:numPr>
        <w:spacing w:after="120"/>
        <w:jc w:val="both"/>
        <w:rPr>
          <w:rFonts w:ascii="Times New Roman" w:hAnsi="Times New Roman"/>
          <w:sz w:val="24"/>
          <w:szCs w:val="24"/>
        </w:rPr>
      </w:pPr>
      <w:r w:rsidRPr="000815B3">
        <w:rPr>
          <w:rFonts w:ascii="Times New Roman" w:hAnsi="Times New Roman"/>
          <w:sz w:val="24"/>
          <w:szCs w:val="24"/>
        </w:rPr>
        <w:t xml:space="preserve">Program Overhead Cost </w:t>
      </w:r>
    </w:p>
    <w:p w:rsidR="00327936" w:rsidRPr="000815B3" w:rsidRDefault="00327936" w:rsidP="001737DC">
      <w:pPr>
        <w:pStyle w:val="BodyText"/>
        <w:numPr>
          <w:ilvl w:val="1"/>
          <w:numId w:val="17"/>
        </w:numPr>
        <w:spacing w:after="120"/>
        <w:jc w:val="both"/>
        <w:rPr>
          <w:rFonts w:ascii="Times New Roman" w:hAnsi="Times New Roman"/>
          <w:sz w:val="24"/>
          <w:szCs w:val="24"/>
        </w:rPr>
      </w:pPr>
      <w:r w:rsidRPr="000815B3">
        <w:rPr>
          <w:rFonts w:ascii="Times New Roman" w:hAnsi="Times New Roman"/>
          <w:sz w:val="24"/>
          <w:szCs w:val="24"/>
        </w:rPr>
        <w:t>Marketing</w:t>
      </w:r>
      <w:r>
        <w:rPr>
          <w:rStyle w:val="FootnoteReference"/>
          <w:rFonts w:ascii="Times New Roman" w:hAnsi="Times New Roman"/>
          <w:sz w:val="24"/>
          <w:szCs w:val="24"/>
        </w:rPr>
        <w:footnoteReference w:id="2"/>
      </w:r>
    </w:p>
    <w:p w:rsidR="00327936" w:rsidRPr="000815B3" w:rsidRDefault="00327936" w:rsidP="001737DC">
      <w:pPr>
        <w:pStyle w:val="BodyText"/>
        <w:numPr>
          <w:ilvl w:val="1"/>
          <w:numId w:val="17"/>
        </w:numPr>
        <w:spacing w:after="120"/>
        <w:jc w:val="both"/>
        <w:rPr>
          <w:rFonts w:ascii="Times New Roman" w:hAnsi="Times New Roman"/>
          <w:sz w:val="24"/>
          <w:szCs w:val="24"/>
        </w:rPr>
      </w:pPr>
      <w:r w:rsidRPr="000815B3">
        <w:rPr>
          <w:rFonts w:ascii="Times New Roman" w:hAnsi="Times New Roman"/>
          <w:sz w:val="24"/>
          <w:szCs w:val="24"/>
        </w:rPr>
        <w:t>Outside</w:t>
      </w:r>
      <w:r>
        <w:rPr>
          <w:rFonts w:ascii="Times New Roman" w:hAnsi="Times New Roman"/>
          <w:sz w:val="24"/>
          <w:szCs w:val="24"/>
        </w:rPr>
        <w:t xml:space="preserve"> s</w:t>
      </w:r>
      <w:r w:rsidRPr="000815B3">
        <w:rPr>
          <w:rFonts w:ascii="Times New Roman" w:hAnsi="Times New Roman"/>
          <w:sz w:val="24"/>
          <w:szCs w:val="24"/>
        </w:rPr>
        <w:t>ervices</w:t>
      </w:r>
      <w:r>
        <w:rPr>
          <w:rStyle w:val="FootnoteReference"/>
          <w:rFonts w:ascii="Times New Roman" w:hAnsi="Times New Roman"/>
          <w:sz w:val="24"/>
          <w:szCs w:val="24"/>
        </w:rPr>
        <w:footnoteReference w:id="3"/>
      </w:r>
    </w:p>
    <w:p w:rsidR="00327936" w:rsidRPr="000815B3" w:rsidRDefault="00327936" w:rsidP="001737DC">
      <w:pPr>
        <w:pStyle w:val="BodyText"/>
        <w:numPr>
          <w:ilvl w:val="1"/>
          <w:numId w:val="17"/>
        </w:numPr>
        <w:spacing w:after="120"/>
        <w:jc w:val="both"/>
        <w:rPr>
          <w:rFonts w:ascii="Times New Roman" w:hAnsi="Times New Roman"/>
          <w:sz w:val="24"/>
          <w:szCs w:val="24"/>
        </w:rPr>
      </w:pPr>
      <w:r>
        <w:rPr>
          <w:rFonts w:ascii="Times New Roman" w:hAnsi="Times New Roman"/>
          <w:sz w:val="24"/>
          <w:szCs w:val="24"/>
        </w:rPr>
        <w:t>Internal l</w:t>
      </w:r>
      <w:r w:rsidRPr="000815B3">
        <w:rPr>
          <w:rFonts w:ascii="Times New Roman" w:hAnsi="Times New Roman"/>
          <w:sz w:val="24"/>
          <w:szCs w:val="24"/>
        </w:rPr>
        <w:t>abor &amp; overhead</w:t>
      </w:r>
      <w:r>
        <w:rPr>
          <w:rStyle w:val="FootnoteReference"/>
          <w:rFonts w:ascii="Times New Roman" w:hAnsi="Times New Roman"/>
          <w:sz w:val="24"/>
          <w:szCs w:val="24"/>
        </w:rPr>
        <w:footnoteReference w:id="4"/>
      </w:r>
    </w:p>
    <w:p w:rsidR="00327936" w:rsidRDefault="00327936" w:rsidP="001737DC">
      <w:pPr>
        <w:pStyle w:val="BodyText"/>
        <w:numPr>
          <w:ilvl w:val="1"/>
          <w:numId w:val="17"/>
        </w:numPr>
        <w:spacing w:after="120"/>
        <w:jc w:val="both"/>
        <w:rPr>
          <w:rFonts w:ascii="Times New Roman" w:hAnsi="Times New Roman"/>
          <w:sz w:val="24"/>
          <w:szCs w:val="24"/>
        </w:rPr>
      </w:pPr>
      <w:r w:rsidRPr="000815B3">
        <w:rPr>
          <w:rFonts w:ascii="Times New Roman" w:hAnsi="Times New Roman"/>
          <w:sz w:val="24"/>
          <w:szCs w:val="24"/>
        </w:rPr>
        <w:t xml:space="preserve">Miscellaneous expenses related to program </w:t>
      </w:r>
      <w:r>
        <w:rPr>
          <w:rFonts w:ascii="Times New Roman" w:hAnsi="Times New Roman"/>
          <w:sz w:val="24"/>
          <w:szCs w:val="24"/>
        </w:rPr>
        <w:t>activities</w:t>
      </w:r>
      <w:r>
        <w:rPr>
          <w:rStyle w:val="FootnoteReference"/>
          <w:rFonts w:ascii="Times New Roman" w:hAnsi="Times New Roman"/>
          <w:sz w:val="24"/>
          <w:szCs w:val="24"/>
        </w:rPr>
        <w:footnoteReference w:id="5"/>
      </w:r>
    </w:p>
    <w:p w:rsidR="00327936" w:rsidRDefault="00327936" w:rsidP="001737DC">
      <w:pPr>
        <w:pStyle w:val="BodyText"/>
        <w:numPr>
          <w:ilvl w:val="0"/>
          <w:numId w:val="17"/>
        </w:numPr>
        <w:spacing w:after="120"/>
        <w:jc w:val="both"/>
        <w:rPr>
          <w:rFonts w:ascii="Times New Roman" w:hAnsi="Times New Roman"/>
          <w:sz w:val="24"/>
          <w:szCs w:val="24"/>
        </w:rPr>
      </w:pPr>
      <w:r w:rsidRPr="000815B3">
        <w:rPr>
          <w:rFonts w:ascii="Times New Roman" w:hAnsi="Times New Roman"/>
          <w:sz w:val="24"/>
          <w:szCs w:val="24"/>
        </w:rPr>
        <w:t>Inc</w:t>
      </w:r>
      <w:r>
        <w:rPr>
          <w:rFonts w:ascii="Times New Roman" w:hAnsi="Times New Roman"/>
          <w:sz w:val="24"/>
          <w:szCs w:val="24"/>
        </w:rPr>
        <w:t>entives provided to customers who</w:t>
      </w:r>
      <w:r w:rsidRPr="000815B3">
        <w:rPr>
          <w:rFonts w:ascii="Times New Roman" w:hAnsi="Times New Roman"/>
          <w:sz w:val="24"/>
          <w:szCs w:val="24"/>
        </w:rPr>
        <w:t xml:space="preserve"> purchase an energy efficient </w:t>
      </w:r>
      <w:r>
        <w:rPr>
          <w:rFonts w:ascii="Times New Roman" w:hAnsi="Times New Roman"/>
          <w:sz w:val="24"/>
          <w:szCs w:val="24"/>
        </w:rPr>
        <w:t>measure</w:t>
      </w:r>
    </w:p>
    <w:p w:rsidR="00327936" w:rsidRDefault="00327936" w:rsidP="001737DC">
      <w:pPr>
        <w:pStyle w:val="BodyText"/>
        <w:numPr>
          <w:ilvl w:val="0"/>
          <w:numId w:val="17"/>
        </w:numPr>
        <w:spacing w:after="120"/>
        <w:jc w:val="both"/>
        <w:rPr>
          <w:rFonts w:ascii="Times New Roman" w:hAnsi="Times New Roman"/>
          <w:sz w:val="24"/>
          <w:szCs w:val="24"/>
        </w:rPr>
      </w:pPr>
      <w:r>
        <w:rPr>
          <w:rFonts w:ascii="Times New Roman" w:hAnsi="Times New Roman"/>
          <w:sz w:val="24"/>
          <w:szCs w:val="24"/>
        </w:rPr>
        <w:t>Other program specific costs</w:t>
      </w:r>
      <w:r>
        <w:rPr>
          <w:rStyle w:val="FootnoteReference"/>
          <w:rFonts w:ascii="Times New Roman" w:hAnsi="Times New Roman"/>
          <w:sz w:val="24"/>
          <w:szCs w:val="24"/>
        </w:rPr>
        <w:footnoteReference w:id="6"/>
      </w:r>
    </w:p>
    <w:p w:rsidR="00327936" w:rsidRPr="000815B3" w:rsidRDefault="00327936" w:rsidP="00F71D00">
      <w:pPr>
        <w:pStyle w:val="BodyText"/>
        <w:spacing w:after="120"/>
        <w:jc w:val="both"/>
        <w:rPr>
          <w:rFonts w:ascii="Times New Roman" w:hAnsi="Times New Roman"/>
          <w:sz w:val="24"/>
          <w:szCs w:val="24"/>
        </w:rPr>
      </w:pPr>
      <w:r w:rsidRPr="00855B18">
        <w:rPr>
          <w:rFonts w:ascii="Times New Roman" w:hAnsi="Times New Roman"/>
          <w:sz w:val="24"/>
          <w:szCs w:val="24"/>
        </w:rPr>
        <w:t>Benefits will vary depending on the type of DSM program you are implementing. At PSE, we implement both electric and natural gas DSM programs. Therefore, benefits are provide</w:t>
      </w:r>
      <w:r>
        <w:rPr>
          <w:rFonts w:ascii="Times New Roman" w:hAnsi="Times New Roman"/>
          <w:sz w:val="24"/>
          <w:szCs w:val="24"/>
        </w:rPr>
        <w:t>d</w:t>
      </w:r>
      <w:r w:rsidRPr="00855B18">
        <w:rPr>
          <w:rFonts w:ascii="Times New Roman" w:hAnsi="Times New Roman"/>
          <w:sz w:val="24"/>
          <w:szCs w:val="24"/>
        </w:rPr>
        <w:t xml:space="preserve"> for electric program</w:t>
      </w:r>
      <w:r>
        <w:rPr>
          <w:rFonts w:ascii="Times New Roman" w:hAnsi="Times New Roman"/>
          <w:sz w:val="24"/>
          <w:szCs w:val="24"/>
        </w:rPr>
        <w:t>s</w:t>
      </w:r>
      <w:r w:rsidRPr="00855B18">
        <w:rPr>
          <w:rFonts w:ascii="Times New Roman" w:hAnsi="Times New Roman"/>
          <w:sz w:val="24"/>
          <w:szCs w:val="24"/>
        </w:rPr>
        <w:t xml:space="preserve"> and for gas programs.</w:t>
      </w:r>
      <w:r>
        <w:rPr>
          <w:rFonts w:ascii="Times New Roman" w:hAnsi="Times New Roman"/>
          <w:sz w:val="24"/>
          <w:szCs w:val="24"/>
        </w:rPr>
        <w:t xml:space="preserve"> </w:t>
      </w:r>
    </w:p>
    <w:p w:rsidR="00327936" w:rsidRPr="000815B3" w:rsidRDefault="00327936" w:rsidP="001737DC">
      <w:pPr>
        <w:pStyle w:val="BodyText"/>
        <w:spacing w:after="120"/>
        <w:jc w:val="both"/>
        <w:rPr>
          <w:rFonts w:ascii="Times New Roman" w:hAnsi="Times New Roman"/>
          <w:sz w:val="24"/>
          <w:szCs w:val="24"/>
        </w:rPr>
      </w:pPr>
      <w:r>
        <w:rPr>
          <w:rFonts w:ascii="Times New Roman" w:hAnsi="Times New Roman"/>
          <w:sz w:val="24"/>
          <w:szCs w:val="24"/>
        </w:rPr>
        <w:t xml:space="preserve">Electric Program </w:t>
      </w:r>
      <w:r w:rsidRPr="000815B3">
        <w:rPr>
          <w:rFonts w:ascii="Times New Roman" w:hAnsi="Times New Roman"/>
          <w:sz w:val="24"/>
          <w:szCs w:val="24"/>
        </w:rPr>
        <w:t>Benefits:</w:t>
      </w:r>
    </w:p>
    <w:p w:rsidR="00327936" w:rsidRPr="000815B3" w:rsidRDefault="00327936" w:rsidP="001737DC">
      <w:pPr>
        <w:pStyle w:val="BodyText"/>
        <w:numPr>
          <w:ilvl w:val="0"/>
          <w:numId w:val="18"/>
        </w:numPr>
        <w:spacing w:after="120"/>
        <w:jc w:val="both"/>
        <w:rPr>
          <w:rFonts w:ascii="Times New Roman" w:hAnsi="Times New Roman"/>
          <w:sz w:val="24"/>
          <w:szCs w:val="24"/>
        </w:rPr>
      </w:pPr>
      <w:r w:rsidRPr="000815B3">
        <w:rPr>
          <w:rFonts w:ascii="Times New Roman" w:hAnsi="Times New Roman"/>
          <w:sz w:val="24"/>
          <w:szCs w:val="24"/>
        </w:rPr>
        <w:t>Avoided cost of energy</w:t>
      </w:r>
    </w:p>
    <w:p w:rsidR="00327936" w:rsidRPr="000815B3" w:rsidRDefault="00327936" w:rsidP="001737DC">
      <w:pPr>
        <w:pStyle w:val="BodyText"/>
        <w:numPr>
          <w:ilvl w:val="1"/>
          <w:numId w:val="18"/>
        </w:numPr>
        <w:spacing w:after="120"/>
        <w:jc w:val="both"/>
        <w:rPr>
          <w:rFonts w:ascii="Times New Roman" w:hAnsi="Times New Roman"/>
          <w:sz w:val="24"/>
          <w:szCs w:val="24"/>
        </w:rPr>
      </w:pPr>
      <w:r>
        <w:rPr>
          <w:rFonts w:ascii="Times New Roman" w:hAnsi="Times New Roman"/>
          <w:sz w:val="24"/>
          <w:szCs w:val="24"/>
        </w:rPr>
        <w:t>Market Cost of Energy</w:t>
      </w:r>
      <w:r w:rsidRPr="000815B3">
        <w:rPr>
          <w:rFonts w:ascii="Times New Roman" w:hAnsi="Times New Roman"/>
          <w:sz w:val="24"/>
          <w:szCs w:val="24"/>
        </w:rPr>
        <w:t xml:space="preserve"> </w:t>
      </w:r>
    </w:p>
    <w:p w:rsidR="00327936" w:rsidRPr="000815B3" w:rsidRDefault="00327936" w:rsidP="001737DC">
      <w:pPr>
        <w:pStyle w:val="BodyText"/>
        <w:numPr>
          <w:ilvl w:val="1"/>
          <w:numId w:val="18"/>
        </w:numPr>
        <w:spacing w:after="120"/>
        <w:jc w:val="both"/>
        <w:rPr>
          <w:rFonts w:ascii="Times New Roman" w:hAnsi="Times New Roman"/>
          <w:sz w:val="24"/>
          <w:szCs w:val="24"/>
        </w:rPr>
      </w:pPr>
      <w:r w:rsidRPr="000815B3">
        <w:rPr>
          <w:rFonts w:ascii="Times New Roman" w:hAnsi="Times New Roman"/>
          <w:sz w:val="24"/>
          <w:szCs w:val="24"/>
        </w:rPr>
        <w:t>Line losses</w:t>
      </w:r>
    </w:p>
    <w:p w:rsidR="00327936" w:rsidRDefault="00327936" w:rsidP="001737DC">
      <w:pPr>
        <w:pStyle w:val="BodyText"/>
        <w:numPr>
          <w:ilvl w:val="1"/>
          <w:numId w:val="18"/>
        </w:numPr>
        <w:spacing w:after="120"/>
        <w:jc w:val="both"/>
        <w:rPr>
          <w:rFonts w:ascii="Times New Roman" w:hAnsi="Times New Roman"/>
          <w:sz w:val="24"/>
          <w:szCs w:val="24"/>
        </w:rPr>
      </w:pPr>
      <w:r>
        <w:rPr>
          <w:rFonts w:ascii="Times New Roman" w:hAnsi="Times New Roman"/>
          <w:sz w:val="24"/>
          <w:szCs w:val="24"/>
        </w:rPr>
        <w:t>Planning a</w:t>
      </w:r>
      <w:r w:rsidRPr="000815B3">
        <w:rPr>
          <w:rFonts w:ascii="Times New Roman" w:hAnsi="Times New Roman"/>
          <w:sz w:val="24"/>
          <w:szCs w:val="24"/>
        </w:rPr>
        <w:t>djustments</w:t>
      </w:r>
      <w:r>
        <w:rPr>
          <w:rStyle w:val="FootnoteReference"/>
          <w:rFonts w:ascii="Times New Roman" w:hAnsi="Times New Roman"/>
          <w:sz w:val="24"/>
          <w:szCs w:val="24"/>
        </w:rPr>
        <w:footnoteReference w:id="7"/>
      </w:r>
      <w:r w:rsidRPr="000815B3">
        <w:rPr>
          <w:rFonts w:ascii="Times New Roman" w:hAnsi="Times New Roman"/>
          <w:sz w:val="24"/>
          <w:szCs w:val="24"/>
        </w:rPr>
        <w:t xml:space="preserve"> </w:t>
      </w:r>
    </w:p>
    <w:p w:rsidR="00327936" w:rsidRDefault="00327936" w:rsidP="001737DC">
      <w:pPr>
        <w:pStyle w:val="BodyText"/>
        <w:numPr>
          <w:ilvl w:val="1"/>
          <w:numId w:val="18"/>
        </w:numPr>
        <w:spacing w:after="120"/>
        <w:jc w:val="both"/>
        <w:rPr>
          <w:rFonts w:ascii="Times New Roman" w:hAnsi="Times New Roman"/>
          <w:sz w:val="24"/>
          <w:szCs w:val="24"/>
        </w:rPr>
      </w:pPr>
      <w:r>
        <w:rPr>
          <w:rFonts w:ascii="Times New Roman" w:hAnsi="Times New Roman"/>
          <w:sz w:val="24"/>
          <w:szCs w:val="24"/>
        </w:rPr>
        <w:t>Incremental cost avoidance of compliance with renewable portfolio standards</w:t>
      </w:r>
    </w:p>
    <w:p w:rsidR="00327936" w:rsidRPr="000815B3" w:rsidRDefault="00327936" w:rsidP="001737DC">
      <w:pPr>
        <w:pStyle w:val="BodyText"/>
        <w:numPr>
          <w:ilvl w:val="0"/>
          <w:numId w:val="18"/>
        </w:numPr>
        <w:spacing w:after="120"/>
        <w:jc w:val="both"/>
        <w:rPr>
          <w:rFonts w:ascii="Times New Roman" w:hAnsi="Times New Roman"/>
          <w:sz w:val="24"/>
          <w:szCs w:val="24"/>
        </w:rPr>
      </w:pPr>
      <w:r w:rsidRPr="000815B3">
        <w:rPr>
          <w:rFonts w:ascii="Times New Roman" w:hAnsi="Times New Roman"/>
          <w:sz w:val="24"/>
          <w:szCs w:val="24"/>
        </w:rPr>
        <w:t>Avoided costs of capacity</w:t>
      </w:r>
    </w:p>
    <w:p w:rsidR="00327936" w:rsidRPr="000815B3" w:rsidRDefault="00327936" w:rsidP="001737DC">
      <w:pPr>
        <w:pStyle w:val="BodyText"/>
        <w:numPr>
          <w:ilvl w:val="1"/>
          <w:numId w:val="18"/>
        </w:numPr>
        <w:spacing w:after="120"/>
        <w:jc w:val="both"/>
        <w:rPr>
          <w:rFonts w:ascii="Times New Roman" w:hAnsi="Times New Roman"/>
          <w:sz w:val="24"/>
          <w:szCs w:val="24"/>
        </w:rPr>
      </w:pPr>
      <w:r>
        <w:rPr>
          <w:rFonts w:ascii="Times New Roman" w:hAnsi="Times New Roman"/>
          <w:sz w:val="24"/>
          <w:szCs w:val="24"/>
        </w:rPr>
        <w:t>Deferred</w:t>
      </w:r>
      <w:r w:rsidRPr="000815B3">
        <w:rPr>
          <w:rFonts w:ascii="Times New Roman" w:hAnsi="Times New Roman"/>
          <w:sz w:val="24"/>
          <w:szCs w:val="24"/>
        </w:rPr>
        <w:t xml:space="preserve"> </w:t>
      </w:r>
      <w:r>
        <w:rPr>
          <w:rFonts w:ascii="Times New Roman" w:hAnsi="Times New Roman"/>
          <w:sz w:val="24"/>
          <w:szCs w:val="24"/>
        </w:rPr>
        <w:t>transmission and distribution (T&amp;D) expense</w:t>
      </w:r>
    </w:p>
    <w:p w:rsidR="00327936" w:rsidRDefault="00327936" w:rsidP="001737DC">
      <w:pPr>
        <w:pStyle w:val="BodyText"/>
        <w:numPr>
          <w:ilvl w:val="1"/>
          <w:numId w:val="18"/>
        </w:numPr>
        <w:spacing w:after="120"/>
        <w:jc w:val="both"/>
        <w:rPr>
          <w:rFonts w:ascii="Times New Roman" w:hAnsi="Times New Roman"/>
          <w:sz w:val="24"/>
          <w:szCs w:val="24"/>
        </w:rPr>
      </w:pPr>
      <w:r>
        <w:rPr>
          <w:rFonts w:ascii="Times New Roman" w:hAnsi="Times New Roman"/>
          <w:sz w:val="24"/>
          <w:szCs w:val="24"/>
        </w:rPr>
        <w:t>Total annual fixed cost of generating capacity</w:t>
      </w:r>
    </w:p>
    <w:p w:rsidR="00327936" w:rsidRDefault="00327936" w:rsidP="00F71D00">
      <w:pPr>
        <w:pStyle w:val="BodyText"/>
        <w:spacing w:after="120"/>
        <w:jc w:val="both"/>
        <w:rPr>
          <w:rFonts w:ascii="Times New Roman" w:hAnsi="Times New Roman"/>
          <w:sz w:val="24"/>
          <w:szCs w:val="24"/>
        </w:rPr>
      </w:pPr>
    </w:p>
    <w:p w:rsidR="00327936" w:rsidRPr="00855B18" w:rsidRDefault="00327936" w:rsidP="00F71D00">
      <w:pPr>
        <w:pStyle w:val="BodyText"/>
        <w:spacing w:after="120"/>
        <w:jc w:val="both"/>
        <w:rPr>
          <w:rFonts w:ascii="Times New Roman" w:hAnsi="Times New Roman"/>
          <w:sz w:val="24"/>
          <w:szCs w:val="24"/>
        </w:rPr>
      </w:pPr>
      <w:r w:rsidRPr="00855B18">
        <w:rPr>
          <w:rFonts w:ascii="Times New Roman" w:hAnsi="Times New Roman"/>
          <w:sz w:val="24"/>
          <w:szCs w:val="24"/>
        </w:rPr>
        <w:t>Gas Program Benefits:</w:t>
      </w:r>
    </w:p>
    <w:p w:rsidR="00327936" w:rsidRPr="00855B18" w:rsidRDefault="00327936" w:rsidP="00F71D00">
      <w:pPr>
        <w:pStyle w:val="BodyText"/>
        <w:numPr>
          <w:ilvl w:val="0"/>
          <w:numId w:val="40"/>
        </w:numPr>
        <w:spacing w:after="120"/>
        <w:jc w:val="both"/>
        <w:rPr>
          <w:rFonts w:ascii="Times New Roman" w:hAnsi="Times New Roman"/>
          <w:sz w:val="24"/>
          <w:szCs w:val="24"/>
        </w:rPr>
      </w:pPr>
      <w:r w:rsidRPr="00855B18">
        <w:rPr>
          <w:rFonts w:ascii="Times New Roman" w:hAnsi="Times New Roman"/>
          <w:sz w:val="24"/>
          <w:szCs w:val="24"/>
        </w:rPr>
        <w:t xml:space="preserve">Market Cost of Natural Gas </w:t>
      </w:r>
    </w:p>
    <w:p w:rsidR="00327936" w:rsidRPr="00855B18" w:rsidRDefault="00327936" w:rsidP="00F71D00">
      <w:pPr>
        <w:pStyle w:val="BodyText"/>
        <w:numPr>
          <w:ilvl w:val="0"/>
          <w:numId w:val="40"/>
        </w:numPr>
        <w:spacing w:after="120"/>
        <w:jc w:val="both"/>
        <w:rPr>
          <w:rFonts w:ascii="Times New Roman" w:hAnsi="Times New Roman"/>
          <w:sz w:val="24"/>
          <w:szCs w:val="24"/>
        </w:rPr>
      </w:pPr>
      <w:r w:rsidRPr="00855B18">
        <w:rPr>
          <w:rFonts w:ascii="Times New Roman" w:hAnsi="Times New Roman"/>
          <w:sz w:val="24"/>
          <w:szCs w:val="24"/>
        </w:rPr>
        <w:t>Avoided Pipeline Demand Charge</w:t>
      </w:r>
    </w:p>
    <w:p w:rsidR="00327936" w:rsidRPr="00855B18" w:rsidRDefault="00327936" w:rsidP="00F71D00">
      <w:pPr>
        <w:pStyle w:val="BodyText"/>
        <w:numPr>
          <w:ilvl w:val="0"/>
          <w:numId w:val="40"/>
        </w:numPr>
        <w:spacing w:after="120"/>
        <w:jc w:val="both"/>
        <w:rPr>
          <w:rFonts w:ascii="Times New Roman" w:hAnsi="Times New Roman"/>
          <w:sz w:val="24"/>
          <w:szCs w:val="24"/>
        </w:rPr>
      </w:pPr>
      <w:r w:rsidRPr="00855B18">
        <w:rPr>
          <w:rFonts w:ascii="Times New Roman" w:hAnsi="Times New Roman"/>
          <w:sz w:val="24"/>
          <w:szCs w:val="24"/>
        </w:rPr>
        <w:t>Avoided Pipeline Transportation Charge</w:t>
      </w:r>
    </w:p>
    <w:p w:rsidR="00327936" w:rsidRPr="00855B18" w:rsidRDefault="00327936" w:rsidP="00F71D00">
      <w:pPr>
        <w:pStyle w:val="BodyText"/>
        <w:numPr>
          <w:ilvl w:val="0"/>
          <w:numId w:val="40"/>
        </w:numPr>
        <w:spacing w:after="120"/>
        <w:jc w:val="both"/>
        <w:rPr>
          <w:rFonts w:ascii="Times New Roman" w:hAnsi="Times New Roman"/>
          <w:sz w:val="24"/>
          <w:szCs w:val="24"/>
        </w:rPr>
      </w:pPr>
      <w:r w:rsidRPr="00855B18">
        <w:rPr>
          <w:rFonts w:ascii="Times New Roman" w:hAnsi="Times New Roman"/>
          <w:sz w:val="24"/>
          <w:szCs w:val="24"/>
        </w:rPr>
        <w:t>Pipeline Fuel Reimbursement</w:t>
      </w:r>
    </w:p>
    <w:p w:rsidR="00327936" w:rsidRPr="00855B18" w:rsidRDefault="00327936" w:rsidP="00F71D00">
      <w:pPr>
        <w:pStyle w:val="BodyText"/>
        <w:numPr>
          <w:ilvl w:val="0"/>
          <w:numId w:val="40"/>
        </w:numPr>
        <w:spacing w:after="120"/>
        <w:jc w:val="both"/>
        <w:rPr>
          <w:rFonts w:ascii="Times New Roman" w:hAnsi="Times New Roman"/>
          <w:sz w:val="24"/>
          <w:szCs w:val="24"/>
        </w:rPr>
      </w:pPr>
      <w:r w:rsidRPr="00855B18">
        <w:rPr>
          <w:rFonts w:ascii="Times New Roman" w:hAnsi="Times New Roman"/>
          <w:sz w:val="24"/>
          <w:szCs w:val="24"/>
        </w:rPr>
        <w:t>Avoided Distribution Capacity Costs</w:t>
      </w:r>
    </w:p>
    <w:p w:rsidR="00327936" w:rsidRDefault="00327936">
      <w:pPr>
        <w:pStyle w:val="BodyText"/>
        <w:spacing w:after="120"/>
        <w:ind w:left="360"/>
        <w:jc w:val="both"/>
        <w:rPr>
          <w:rFonts w:ascii="Times New Roman" w:hAnsi="Times New Roman"/>
          <w:sz w:val="24"/>
          <w:szCs w:val="24"/>
        </w:rPr>
      </w:pPr>
    </w:p>
    <w:p w:rsidR="00327936" w:rsidRDefault="00327936" w:rsidP="00FB6127">
      <w:pPr>
        <w:pStyle w:val="Heading2"/>
        <w:numPr>
          <w:ilvl w:val="1"/>
          <w:numId w:val="16"/>
        </w:numPr>
      </w:pPr>
      <w:bookmarkStart w:id="16" w:name="_Toc294277316"/>
      <w:bookmarkStart w:id="17" w:name="_Toc307067036"/>
      <w:r>
        <w:t>Total Resource Cost Test</w:t>
      </w:r>
      <w:bookmarkEnd w:id="16"/>
      <w:bookmarkEnd w:id="17"/>
      <w:r>
        <w:t xml:space="preserve"> (TRC)</w:t>
      </w:r>
    </w:p>
    <w:p w:rsidR="00327936" w:rsidRDefault="00327936" w:rsidP="00923CE7">
      <w:pPr>
        <w:pStyle w:val="BodyText"/>
        <w:jc w:val="both"/>
        <w:rPr>
          <w:rFonts w:ascii="Times New Roman" w:hAnsi="Times New Roman"/>
          <w:sz w:val="24"/>
          <w:szCs w:val="24"/>
        </w:rPr>
      </w:pPr>
      <w:r>
        <w:rPr>
          <w:rFonts w:ascii="Times New Roman" w:hAnsi="Times New Roman"/>
          <w:sz w:val="24"/>
          <w:szCs w:val="24"/>
        </w:rPr>
        <w:t xml:space="preserve">The Total Resource Cost Test (TRC) </w:t>
      </w:r>
      <w:r w:rsidRPr="000815B3">
        <w:rPr>
          <w:rFonts w:ascii="Times New Roman" w:hAnsi="Times New Roman"/>
          <w:sz w:val="24"/>
          <w:szCs w:val="24"/>
        </w:rPr>
        <w:t xml:space="preserve">views demand side resource acquisition from </w:t>
      </w:r>
      <w:r>
        <w:rPr>
          <w:rFonts w:ascii="Times New Roman" w:hAnsi="Times New Roman"/>
          <w:sz w:val="24"/>
          <w:szCs w:val="24"/>
        </w:rPr>
        <w:t xml:space="preserve">a total cost </w:t>
      </w:r>
      <w:r w:rsidRPr="000815B3">
        <w:rPr>
          <w:rFonts w:ascii="Times New Roman" w:hAnsi="Times New Roman"/>
          <w:sz w:val="24"/>
          <w:szCs w:val="24"/>
        </w:rPr>
        <w:t>perspect</w:t>
      </w:r>
      <w:r>
        <w:rPr>
          <w:rFonts w:ascii="Times New Roman" w:hAnsi="Times New Roman"/>
          <w:sz w:val="24"/>
          <w:szCs w:val="24"/>
        </w:rPr>
        <w:t xml:space="preserve">ive. The test determines </w:t>
      </w:r>
      <w:r w:rsidRPr="000815B3">
        <w:rPr>
          <w:rFonts w:ascii="Times New Roman" w:hAnsi="Times New Roman"/>
          <w:sz w:val="24"/>
          <w:szCs w:val="24"/>
        </w:rPr>
        <w:t xml:space="preserve">the benefit of </w:t>
      </w:r>
      <w:r>
        <w:rPr>
          <w:rFonts w:ascii="Times New Roman" w:hAnsi="Times New Roman"/>
          <w:sz w:val="24"/>
          <w:szCs w:val="24"/>
        </w:rPr>
        <w:t xml:space="preserve">the </w:t>
      </w:r>
      <w:r w:rsidRPr="000815B3">
        <w:rPr>
          <w:rFonts w:ascii="Times New Roman" w:hAnsi="Times New Roman"/>
          <w:sz w:val="24"/>
          <w:szCs w:val="24"/>
        </w:rPr>
        <w:t xml:space="preserve">demand side resource given the </w:t>
      </w:r>
      <w:r>
        <w:rPr>
          <w:rFonts w:ascii="Times New Roman" w:hAnsi="Times New Roman"/>
          <w:sz w:val="24"/>
          <w:szCs w:val="24"/>
        </w:rPr>
        <w:t xml:space="preserve">total </w:t>
      </w:r>
      <w:r w:rsidRPr="000815B3">
        <w:rPr>
          <w:rFonts w:ascii="Times New Roman" w:hAnsi="Times New Roman"/>
          <w:sz w:val="24"/>
          <w:szCs w:val="24"/>
        </w:rPr>
        <w:t>cost</w:t>
      </w:r>
      <w:r>
        <w:rPr>
          <w:rFonts w:ascii="Times New Roman" w:hAnsi="Times New Roman"/>
          <w:sz w:val="24"/>
          <w:szCs w:val="24"/>
        </w:rPr>
        <w:t xml:space="preserve"> to all parties involved</w:t>
      </w:r>
      <w:r w:rsidRPr="000815B3">
        <w:rPr>
          <w:rFonts w:ascii="Times New Roman" w:hAnsi="Times New Roman"/>
          <w:sz w:val="24"/>
          <w:szCs w:val="24"/>
        </w:rPr>
        <w:t xml:space="preserve">, not simply the acquisition cost to the utility.  </w:t>
      </w:r>
      <w:r>
        <w:rPr>
          <w:rFonts w:ascii="Times New Roman" w:hAnsi="Times New Roman"/>
          <w:sz w:val="24"/>
          <w:szCs w:val="24"/>
        </w:rPr>
        <w:t xml:space="preserve">PSE is required to run the TRC for both gas and electric programs. </w:t>
      </w:r>
    </w:p>
    <w:p w:rsidR="00327936" w:rsidRDefault="00327936" w:rsidP="00923CE7">
      <w:pPr>
        <w:pStyle w:val="BodyText"/>
        <w:jc w:val="both"/>
        <w:rPr>
          <w:rFonts w:ascii="Times New Roman" w:hAnsi="Times New Roman"/>
          <w:sz w:val="24"/>
          <w:szCs w:val="24"/>
        </w:rPr>
      </w:pPr>
      <w:r>
        <w:rPr>
          <w:rFonts w:ascii="Times New Roman" w:hAnsi="Times New Roman"/>
          <w:sz w:val="24"/>
          <w:szCs w:val="24"/>
        </w:rPr>
        <w:t xml:space="preserve">As with the UC, a TRC benefit-cost ratio of one or </w:t>
      </w:r>
      <w:r w:rsidRPr="000815B3">
        <w:rPr>
          <w:rFonts w:ascii="Times New Roman" w:hAnsi="Times New Roman"/>
          <w:sz w:val="24"/>
          <w:szCs w:val="24"/>
        </w:rPr>
        <w:t>great</w:t>
      </w:r>
      <w:r>
        <w:rPr>
          <w:rFonts w:ascii="Times New Roman" w:hAnsi="Times New Roman"/>
          <w:sz w:val="24"/>
          <w:szCs w:val="24"/>
        </w:rPr>
        <w:t>er</w:t>
      </w:r>
      <w:r w:rsidRPr="000815B3">
        <w:rPr>
          <w:rFonts w:ascii="Times New Roman" w:hAnsi="Times New Roman"/>
          <w:sz w:val="24"/>
          <w:szCs w:val="24"/>
        </w:rPr>
        <w:t xml:space="preserve"> is </w:t>
      </w:r>
      <w:r>
        <w:rPr>
          <w:rFonts w:ascii="Times New Roman" w:hAnsi="Times New Roman"/>
          <w:sz w:val="24"/>
          <w:szCs w:val="24"/>
        </w:rPr>
        <w:t xml:space="preserve">essential for programs </w:t>
      </w:r>
      <w:r w:rsidRPr="000815B3">
        <w:rPr>
          <w:rFonts w:ascii="Times New Roman" w:hAnsi="Times New Roman"/>
          <w:sz w:val="24"/>
          <w:szCs w:val="24"/>
        </w:rPr>
        <w:t xml:space="preserve">to be considered for inclusion in a demand side resource portfolio. </w:t>
      </w:r>
      <w:r>
        <w:rPr>
          <w:rFonts w:ascii="Times New Roman" w:hAnsi="Times New Roman"/>
          <w:sz w:val="24"/>
          <w:szCs w:val="24"/>
        </w:rPr>
        <w:t>However, l</w:t>
      </w:r>
      <w:r w:rsidRPr="00415FDB">
        <w:rPr>
          <w:rFonts w:ascii="Times New Roman" w:hAnsi="Times New Roman"/>
          <w:sz w:val="24"/>
          <w:szCs w:val="24"/>
        </w:rPr>
        <w:t>ike the</w:t>
      </w:r>
      <w:r>
        <w:rPr>
          <w:rFonts w:ascii="Times New Roman" w:hAnsi="Times New Roman"/>
          <w:sz w:val="24"/>
          <w:szCs w:val="24"/>
        </w:rPr>
        <w:t xml:space="preserve"> UC</w:t>
      </w:r>
      <w:r w:rsidRPr="00415FDB">
        <w:rPr>
          <w:rFonts w:ascii="Times New Roman" w:hAnsi="Times New Roman"/>
          <w:sz w:val="24"/>
          <w:szCs w:val="24"/>
        </w:rPr>
        <w:t>, t</w:t>
      </w:r>
      <w:r>
        <w:rPr>
          <w:rFonts w:ascii="Times New Roman" w:hAnsi="Times New Roman"/>
          <w:sz w:val="24"/>
          <w:szCs w:val="24"/>
        </w:rPr>
        <w:t>here are also exceptions to this</w:t>
      </w:r>
      <w:r w:rsidRPr="00415FDB">
        <w:rPr>
          <w:rFonts w:ascii="Times New Roman" w:hAnsi="Times New Roman"/>
          <w:sz w:val="24"/>
          <w:szCs w:val="24"/>
        </w:rPr>
        <w:t xml:space="preserve"> rule.  State regulations allow PSE to run low-income weatherization programs which have a benefit cost-ratio </w:t>
      </w:r>
      <w:r>
        <w:rPr>
          <w:rFonts w:ascii="Times New Roman" w:hAnsi="Times New Roman"/>
          <w:sz w:val="24"/>
          <w:szCs w:val="24"/>
        </w:rPr>
        <w:t xml:space="preserve">as low as </w:t>
      </w:r>
      <w:r w:rsidRPr="00415FDB">
        <w:rPr>
          <w:rFonts w:ascii="Times New Roman" w:hAnsi="Times New Roman"/>
          <w:sz w:val="24"/>
          <w:szCs w:val="24"/>
        </w:rPr>
        <w:t>0.6 when there are significant non-energy benefits which cannot be quantified.</w:t>
      </w:r>
      <w:r w:rsidRPr="000815B3">
        <w:rPr>
          <w:rFonts w:ascii="Times New Roman" w:hAnsi="Times New Roman"/>
          <w:sz w:val="24"/>
          <w:szCs w:val="24"/>
        </w:rPr>
        <w:t xml:space="preserve"> </w:t>
      </w:r>
      <w:r>
        <w:rPr>
          <w:rFonts w:ascii="Times New Roman" w:hAnsi="Times New Roman"/>
          <w:sz w:val="24"/>
          <w:szCs w:val="24"/>
        </w:rPr>
        <w:t xml:space="preserve"> </w:t>
      </w:r>
    </w:p>
    <w:p w:rsidR="00327936" w:rsidRDefault="00327936" w:rsidP="00923CE7">
      <w:pPr>
        <w:pStyle w:val="BodyText"/>
        <w:jc w:val="both"/>
        <w:rPr>
          <w:rFonts w:ascii="Times New Roman" w:hAnsi="Times New Roman"/>
          <w:sz w:val="24"/>
          <w:szCs w:val="24"/>
        </w:rPr>
      </w:pPr>
      <w:r>
        <w:rPr>
          <w:rFonts w:ascii="Times New Roman" w:hAnsi="Times New Roman"/>
          <w:sz w:val="24"/>
          <w:szCs w:val="24"/>
        </w:rPr>
        <w:t xml:space="preserve">The TRC </w:t>
      </w:r>
      <w:r w:rsidRPr="000815B3">
        <w:rPr>
          <w:rFonts w:ascii="Times New Roman" w:hAnsi="Times New Roman"/>
          <w:sz w:val="24"/>
          <w:szCs w:val="24"/>
        </w:rPr>
        <w:t>considers all costs</w:t>
      </w:r>
      <w:r>
        <w:rPr>
          <w:rFonts w:ascii="Times New Roman" w:hAnsi="Times New Roman"/>
          <w:sz w:val="24"/>
          <w:szCs w:val="24"/>
        </w:rPr>
        <w:t>, including those incurred by the utility, by the customer and by others who may have contributed</w:t>
      </w:r>
      <w:r w:rsidRPr="000815B3">
        <w:rPr>
          <w:rFonts w:ascii="Times New Roman" w:hAnsi="Times New Roman"/>
          <w:sz w:val="24"/>
          <w:szCs w:val="24"/>
        </w:rPr>
        <w:t>.</w:t>
      </w:r>
      <w:r>
        <w:rPr>
          <w:rFonts w:ascii="Times New Roman" w:hAnsi="Times New Roman"/>
          <w:sz w:val="24"/>
          <w:szCs w:val="24"/>
        </w:rPr>
        <w:t xml:space="preserve"> T</w:t>
      </w:r>
      <w:r w:rsidRPr="000815B3">
        <w:rPr>
          <w:rFonts w:ascii="Times New Roman" w:hAnsi="Times New Roman"/>
          <w:sz w:val="24"/>
          <w:szCs w:val="24"/>
        </w:rPr>
        <w:t xml:space="preserve">he costs and benefits included in the calculation of the </w:t>
      </w:r>
      <w:r>
        <w:rPr>
          <w:rFonts w:ascii="Times New Roman" w:hAnsi="Times New Roman"/>
          <w:sz w:val="24"/>
          <w:szCs w:val="24"/>
        </w:rPr>
        <w:t xml:space="preserve">TRC </w:t>
      </w:r>
      <w:r w:rsidRPr="000815B3">
        <w:rPr>
          <w:rFonts w:ascii="Times New Roman" w:hAnsi="Times New Roman"/>
          <w:sz w:val="24"/>
          <w:szCs w:val="24"/>
        </w:rPr>
        <w:t xml:space="preserve">Test are </w:t>
      </w:r>
      <w:r>
        <w:rPr>
          <w:rFonts w:ascii="Times New Roman" w:hAnsi="Times New Roman"/>
          <w:sz w:val="24"/>
          <w:szCs w:val="24"/>
        </w:rPr>
        <w:t xml:space="preserve">listed </w:t>
      </w:r>
      <w:r w:rsidRPr="000815B3">
        <w:rPr>
          <w:rFonts w:ascii="Times New Roman" w:hAnsi="Times New Roman"/>
          <w:sz w:val="24"/>
          <w:szCs w:val="24"/>
        </w:rPr>
        <w:t>below:</w:t>
      </w:r>
    </w:p>
    <w:p w:rsidR="00327936" w:rsidRPr="000815B3"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 xml:space="preserve">Costs: </w:t>
      </w:r>
    </w:p>
    <w:p w:rsidR="00327936" w:rsidRPr="000815B3" w:rsidRDefault="00327936" w:rsidP="001737DC">
      <w:pPr>
        <w:pStyle w:val="BodyText"/>
        <w:numPr>
          <w:ilvl w:val="0"/>
          <w:numId w:val="19"/>
        </w:numPr>
        <w:spacing w:after="120"/>
        <w:jc w:val="both"/>
        <w:rPr>
          <w:rFonts w:ascii="Times New Roman" w:hAnsi="Times New Roman"/>
          <w:sz w:val="24"/>
          <w:szCs w:val="24"/>
        </w:rPr>
      </w:pPr>
      <w:r w:rsidRPr="000815B3">
        <w:rPr>
          <w:rFonts w:ascii="Times New Roman" w:hAnsi="Times New Roman"/>
          <w:sz w:val="24"/>
          <w:szCs w:val="24"/>
        </w:rPr>
        <w:t xml:space="preserve">Program Overhead Cost </w:t>
      </w:r>
    </w:p>
    <w:p w:rsidR="00327936" w:rsidRPr="000815B3" w:rsidRDefault="00327936" w:rsidP="001737DC">
      <w:pPr>
        <w:pStyle w:val="BodyText"/>
        <w:numPr>
          <w:ilvl w:val="1"/>
          <w:numId w:val="19"/>
        </w:numPr>
        <w:spacing w:after="120"/>
        <w:jc w:val="both"/>
        <w:rPr>
          <w:rFonts w:ascii="Times New Roman" w:hAnsi="Times New Roman"/>
          <w:sz w:val="24"/>
          <w:szCs w:val="24"/>
        </w:rPr>
      </w:pPr>
      <w:r w:rsidRPr="000815B3">
        <w:rPr>
          <w:rFonts w:ascii="Times New Roman" w:hAnsi="Times New Roman"/>
          <w:sz w:val="24"/>
          <w:szCs w:val="24"/>
        </w:rPr>
        <w:t>Marketing</w:t>
      </w:r>
    </w:p>
    <w:p w:rsidR="00327936" w:rsidRPr="000815B3" w:rsidRDefault="00327936" w:rsidP="001737DC">
      <w:pPr>
        <w:pStyle w:val="BodyText"/>
        <w:numPr>
          <w:ilvl w:val="1"/>
          <w:numId w:val="19"/>
        </w:numPr>
        <w:spacing w:after="120"/>
        <w:jc w:val="both"/>
        <w:rPr>
          <w:rFonts w:ascii="Times New Roman" w:hAnsi="Times New Roman"/>
          <w:sz w:val="24"/>
          <w:szCs w:val="24"/>
        </w:rPr>
      </w:pPr>
      <w:r w:rsidRPr="000815B3">
        <w:rPr>
          <w:rFonts w:ascii="Times New Roman" w:hAnsi="Times New Roman"/>
          <w:sz w:val="24"/>
          <w:szCs w:val="24"/>
        </w:rPr>
        <w:t>Outside Services</w:t>
      </w:r>
    </w:p>
    <w:p w:rsidR="00327936" w:rsidRPr="000815B3" w:rsidRDefault="00327936" w:rsidP="001737DC">
      <w:pPr>
        <w:pStyle w:val="BodyText"/>
        <w:numPr>
          <w:ilvl w:val="1"/>
          <w:numId w:val="19"/>
        </w:numPr>
        <w:spacing w:after="120"/>
        <w:jc w:val="both"/>
        <w:rPr>
          <w:rFonts w:ascii="Times New Roman" w:hAnsi="Times New Roman"/>
          <w:sz w:val="24"/>
          <w:szCs w:val="24"/>
        </w:rPr>
      </w:pPr>
      <w:r w:rsidRPr="000815B3">
        <w:rPr>
          <w:rFonts w:ascii="Times New Roman" w:hAnsi="Times New Roman"/>
          <w:sz w:val="24"/>
          <w:szCs w:val="24"/>
        </w:rPr>
        <w:t>Internal Labor &amp; overhead</w:t>
      </w:r>
    </w:p>
    <w:p w:rsidR="00327936" w:rsidRPr="000815B3" w:rsidRDefault="00327936" w:rsidP="001737DC">
      <w:pPr>
        <w:pStyle w:val="BodyText"/>
        <w:numPr>
          <w:ilvl w:val="1"/>
          <w:numId w:val="19"/>
        </w:numPr>
        <w:spacing w:after="120"/>
        <w:jc w:val="both"/>
        <w:rPr>
          <w:rFonts w:ascii="Times New Roman" w:hAnsi="Times New Roman"/>
          <w:sz w:val="24"/>
          <w:szCs w:val="24"/>
        </w:rPr>
      </w:pPr>
      <w:r w:rsidRPr="000815B3">
        <w:rPr>
          <w:rFonts w:ascii="Times New Roman" w:hAnsi="Times New Roman"/>
          <w:sz w:val="24"/>
          <w:szCs w:val="24"/>
        </w:rPr>
        <w:t xml:space="preserve">Miscellaneous expenses related to program </w:t>
      </w:r>
      <w:r>
        <w:rPr>
          <w:rFonts w:ascii="Times New Roman" w:hAnsi="Times New Roman"/>
          <w:sz w:val="24"/>
          <w:szCs w:val="24"/>
        </w:rPr>
        <w:t>activities</w:t>
      </w:r>
    </w:p>
    <w:p w:rsidR="00327936" w:rsidRDefault="00327936" w:rsidP="001737DC">
      <w:pPr>
        <w:pStyle w:val="BodyText"/>
        <w:numPr>
          <w:ilvl w:val="0"/>
          <w:numId w:val="19"/>
        </w:numPr>
        <w:spacing w:after="120"/>
        <w:jc w:val="both"/>
        <w:rPr>
          <w:rFonts w:ascii="Times New Roman" w:hAnsi="Times New Roman"/>
          <w:sz w:val="24"/>
          <w:szCs w:val="24"/>
        </w:rPr>
      </w:pPr>
      <w:r w:rsidRPr="000815B3">
        <w:rPr>
          <w:rFonts w:ascii="Times New Roman" w:hAnsi="Times New Roman"/>
          <w:sz w:val="24"/>
          <w:szCs w:val="24"/>
        </w:rPr>
        <w:t xml:space="preserve">Incentives provided to customers to purchase an energy efficient </w:t>
      </w:r>
      <w:r>
        <w:rPr>
          <w:rFonts w:ascii="Times New Roman" w:hAnsi="Times New Roman"/>
          <w:sz w:val="24"/>
          <w:szCs w:val="24"/>
        </w:rPr>
        <w:t>measure</w:t>
      </w:r>
    </w:p>
    <w:p w:rsidR="00327936" w:rsidRPr="000815B3" w:rsidRDefault="00327936" w:rsidP="001737DC">
      <w:pPr>
        <w:pStyle w:val="BodyText"/>
        <w:numPr>
          <w:ilvl w:val="0"/>
          <w:numId w:val="19"/>
        </w:numPr>
        <w:spacing w:after="120"/>
        <w:jc w:val="both"/>
        <w:rPr>
          <w:rFonts w:ascii="Times New Roman" w:hAnsi="Times New Roman"/>
          <w:sz w:val="24"/>
          <w:szCs w:val="24"/>
        </w:rPr>
      </w:pPr>
      <w:r>
        <w:rPr>
          <w:rFonts w:ascii="Times New Roman" w:hAnsi="Times New Roman"/>
          <w:sz w:val="24"/>
          <w:szCs w:val="24"/>
        </w:rPr>
        <w:t>Tax credits and other contributions from third parties</w:t>
      </w:r>
    </w:p>
    <w:p w:rsidR="00327936" w:rsidRDefault="00327936" w:rsidP="001737DC">
      <w:pPr>
        <w:pStyle w:val="BodyText"/>
        <w:numPr>
          <w:ilvl w:val="0"/>
          <w:numId w:val="19"/>
        </w:numPr>
        <w:spacing w:after="120"/>
        <w:jc w:val="both"/>
        <w:rPr>
          <w:rFonts w:ascii="Times New Roman" w:hAnsi="Times New Roman"/>
          <w:sz w:val="24"/>
          <w:szCs w:val="24"/>
        </w:rPr>
      </w:pPr>
      <w:r>
        <w:rPr>
          <w:rFonts w:ascii="Times New Roman" w:hAnsi="Times New Roman"/>
          <w:sz w:val="24"/>
          <w:szCs w:val="24"/>
        </w:rPr>
        <w:t>Customer c</w:t>
      </w:r>
      <w:r w:rsidRPr="000815B3">
        <w:rPr>
          <w:rFonts w:ascii="Times New Roman" w:hAnsi="Times New Roman"/>
          <w:sz w:val="24"/>
          <w:szCs w:val="24"/>
        </w:rPr>
        <w:t>ost of acquiring the efficient equipment or item</w:t>
      </w:r>
      <w:r>
        <w:rPr>
          <w:rFonts w:ascii="Times New Roman" w:hAnsi="Times New Roman"/>
          <w:sz w:val="24"/>
          <w:szCs w:val="24"/>
        </w:rPr>
        <w:t>, net of any incentives provided by the utility, tax credits, or other contributions</w:t>
      </w:r>
    </w:p>
    <w:p w:rsidR="00327936" w:rsidRDefault="00327936" w:rsidP="001737DC">
      <w:pPr>
        <w:pStyle w:val="BodyText"/>
        <w:numPr>
          <w:ilvl w:val="0"/>
          <w:numId w:val="19"/>
        </w:numPr>
        <w:spacing w:after="120"/>
        <w:jc w:val="both"/>
        <w:rPr>
          <w:rFonts w:ascii="Times New Roman" w:hAnsi="Times New Roman"/>
          <w:sz w:val="24"/>
          <w:szCs w:val="24"/>
        </w:rPr>
      </w:pPr>
      <w:r>
        <w:rPr>
          <w:rFonts w:ascii="Times New Roman" w:hAnsi="Times New Roman"/>
          <w:sz w:val="24"/>
          <w:szCs w:val="24"/>
        </w:rPr>
        <w:t>Other Program specific costs</w:t>
      </w:r>
    </w:p>
    <w:p w:rsidR="00327936" w:rsidRDefault="00327936" w:rsidP="009E697C">
      <w:pPr>
        <w:pStyle w:val="BodyText"/>
        <w:spacing w:after="120"/>
        <w:ind w:left="720"/>
        <w:jc w:val="both"/>
        <w:rPr>
          <w:rFonts w:ascii="Times New Roman" w:hAnsi="Times New Roman"/>
          <w:sz w:val="24"/>
          <w:szCs w:val="24"/>
        </w:rPr>
      </w:pPr>
    </w:p>
    <w:p w:rsidR="00327936" w:rsidRDefault="00327936" w:rsidP="009E697C">
      <w:pPr>
        <w:pStyle w:val="BodyText"/>
        <w:spacing w:after="120"/>
        <w:ind w:left="720"/>
        <w:jc w:val="both"/>
        <w:rPr>
          <w:rFonts w:ascii="Times New Roman" w:hAnsi="Times New Roman"/>
          <w:sz w:val="24"/>
          <w:szCs w:val="24"/>
        </w:rPr>
      </w:pPr>
    </w:p>
    <w:p w:rsidR="00327936" w:rsidRDefault="00327936" w:rsidP="009E697C">
      <w:pPr>
        <w:pStyle w:val="BodyText"/>
        <w:spacing w:after="120"/>
        <w:ind w:left="720"/>
        <w:jc w:val="both"/>
        <w:rPr>
          <w:rFonts w:ascii="Times New Roman" w:hAnsi="Times New Roman"/>
          <w:sz w:val="24"/>
          <w:szCs w:val="24"/>
        </w:rPr>
      </w:pPr>
    </w:p>
    <w:p w:rsidR="00327936" w:rsidRPr="000815B3" w:rsidRDefault="00327936" w:rsidP="006849A8">
      <w:pPr>
        <w:pStyle w:val="BodyText"/>
        <w:spacing w:after="120"/>
        <w:jc w:val="both"/>
        <w:rPr>
          <w:rFonts w:ascii="Times New Roman" w:hAnsi="Times New Roman"/>
          <w:sz w:val="24"/>
          <w:szCs w:val="24"/>
        </w:rPr>
      </w:pPr>
      <w:r>
        <w:rPr>
          <w:rFonts w:ascii="Times New Roman" w:hAnsi="Times New Roman"/>
          <w:sz w:val="24"/>
          <w:szCs w:val="24"/>
        </w:rPr>
        <w:t xml:space="preserve">Electric Program </w:t>
      </w:r>
      <w:r w:rsidRPr="000815B3">
        <w:rPr>
          <w:rFonts w:ascii="Times New Roman" w:hAnsi="Times New Roman"/>
          <w:sz w:val="24"/>
          <w:szCs w:val="24"/>
        </w:rPr>
        <w:t>Benefits:</w:t>
      </w:r>
    </w:p>
    <w:p w:rsidR="00327936" w:rsidRPr="000815B3" w:rsidRDefault="00327936" w:rsidP="00E57E79">
      <w:pPr>
        <w:pStyle w:val="BodyText"/>
        <w:numPr>
          <w:ilvl w:val="0"/>
          <w:numId w:val="23"/>
        </w:numPr>
        <w:spacing w:after="120"/>
        <w:jc w:val="both"/>
        <w:rPr>
          <w:rFonts w:ascii="Times New Roman" w:hAnsi="Times New Roman"/>
          <w:sz w:val="24"/>
          <w:szCs w:val="24"/>
        </w:rPr>
      </w:pPr>
      <w:r w:rsidRPr="000815B3">
        <w:rPr>
          <w:rFonts w:ascii="Times New Roman" w:hAnsi="Times New Roman"/>
          <w:sz w:val="24"/>
          <w:szCs w:val="24"/>
        </w:rPr>
        <w:t>Avoided cost of energy</w:t>
      </w:r>
    </w:p>
    <w:p w:rsidR="00327936" w:rsidRPr="000815B3" w:rsidRDefault="00327936" w:rsidP="00E57E79">
      <w:pPr>
        <w:pStyle w:val="BodyText"/>
        <w:numPr>
          <w:ilvl w:val="1"/>
          <w:numId w:val="23"/>
        </w:numPr>
        <w:spacing w:after="120"/>
        <w:jc w:val="both"/>
        <w:rPr>
          <w:rFonts w:ascii="Times New Roman" w:hAnsi="Times New Roman"/>
          <w:sz w:val="24"/>
          <w:szCs w:val="24"/>
        </w:rPr>
      </w:pPr>
      <w:r>
        <w:rPr>
          <w:rFonts w:ascii="Times New Roman" w:hAnsi="Times New Roman"/>
          <w:sz w:val="24"/>
          <w:szCs w:val="24"/>
        </w:rPr>
        <w:t>Market Cost of Energy</w:t>
      </w:r>
    </w:p>
    <w:p w:rsidR="00327936" w:rsidRPr="000815B3" w:rsidRDefault="00327936" w:rsidP="00E57E79">
      <w:pPr>
        <w:pStyle w:val="BodyText"/>
        <w:numPr>
          <w:ilvl w:val="1"/>
          <w:numId w:val="23"/>
        </w:numPr>
        <w:spacing w:after="120"/>
        <w:jc w:val="both"/>
        <w:rPr>
          <w:rFonts w:ascii="Times New Roman" w:hAnsi="Times New Roman"/>
          <w:sz w:val="24"/>
          <w:szCs w:val="24"/>
        </w:rPr>
      </w:pPr>
      <w:r w:rsidRPr="000815B3">
        <w:rPr>
          <w:rFonts w:ascii="Times New Roman" w:hAnsi="Times New Roman"/>
          <w:sz w:val="24"/>
          <w:szCs w:val="24"/>
        </w:rPr>
        <w:t>Line losses</w:t>
      </w:r>
    </w:p>
    <w:p w:rsidR="00327936" w:rsidRDefault="00327936" w:rsidP="00E57E79">
      <w:pPr>
        <w:pStyle w:val="BodyText"/>
        <w:numPr>
          <w:ilvl w:val="1"/>
          <w:numId w:val="23"/>
        </w:numPr>
        <w:spacing w:after="120"/>
        <w:jc w:val="both"/>
        <w:rPr>
          <w:rFonts w:ascii="Times New Roman" w:hAnsi="Times New Roman"/>
          <w:sz w:val="24"/>
          <w:szCs w:val="24"/>
        </w:rPr>
      </w:pPr>
      <w:r>
        <w:rPr>
          <w:rFonts w:ascii="Times New Roman" w:hAnsi="Times New Roman"/>
          <w:sz w:val="24"/>
          <w:szCs w:val="24"/>
        </w:rPr>
        <w:t>Planning a</w:t>
      </w:r>
      <w:r w:rsidRPr="000815B3">
        <w:rPr>
          <w:rFonts w:ascii="Times New Roman" w:hAnsi="Times New Roman"/>
          <w:sz w:val="24"/>
          <w:szCs w:val="24"/>
        </w:rPr>
        <w:t>djustments</w:t>
      </w:r>
    </w:p>
    <w:p w:rsidR="00327936" w:rsidRDefault="00327936" w:rsidP="00E57E79">
      <w:pPr>
        <w:pStyle w:val="BodyText"/>
        <w:numPr>
          <w:ilvl w:val="1"/>
          <w:numId w:val="23"/>
        </w:numPr>
        <w:spacing w:after="120"/>
        <w:jc w:val="both"/>
        <w:rPr>
          <w:rFonts w:ascii="Times New Roman" w:hAnsi="Times New Roman"/>
          <w:sz w:val="24"/>
          <w:szCs w:val="24"/>
        </w:rPr>
      </w:pPr>
      <w:r w:rsidRPr="00095A95">
        <w:rPr>
          <w:rFonts w:ascii="Times New Roman" w:hAnsi="Times New Roman"/>
          <w:sz w:val="24"/>
          <w:szCs w:val="24"/>
        </w:rPr>
        <w:t xml:space="preserve">Avoided cost of compliance with renewable portfolio standards </w:t>
      </w:r>
    </w:p>
    <w:p w:rsidR="00327936" w:rsidRDefault="00327936" w:rsidP="00E57E79">
      <w:pPr>
        <w:pStyle w:val="BodyText"/>
        <w:numPr>
          <w:ilvl w:val="1"/>
          <w:numId w:val="23"/>
        </w:numPr>
        <w:spacing w:after="120"/>
        <w:jc w:val="both"/>
        <w:rPr>
          <w:rFonts w:ascii="Times New Roman" w:hAnsi="Times New Roman"/>
          <w:sz w:val="24"/>
          <w:szCs w:val="24"/>
        </w:rPr>
      </w:pPr>
      <w:r w:rsidRPr="00095A95">
        <w:rPr>
          <w:rFonts w:ascii="Times New Roman" w:hAnsi="Times New Roman"/>
          <w:sz w:val="24"/>
          <w:szCs w:val="24"/>
        </w:rPr>
        <w:t>Conservation credit</w:t>
      </w:r>
      <w:r>
        <w:rPr>
          <w:rStyle w:val="FootnoteReference"/>
          <w:rFonts w:ascii="Times New Roman" w:hAnsi="Times New Roman"/>
          <w:sz w:val="24"/>
          <w:szCs w:val="24"/>
        </w:rPr>
        <w:footnoteReference w:id="8"/>
      </w:r>
      <w:r w:rsidRPr="00095A95">
        <w:rPr>
          <w:rFonts w:ascii="Times New Roman" w:hAnsi="Times New Roman"/>
          <w:sz w:val="24"/>
          <w:szCs w:val="24"/>
        </w:rPr>
        <w:t xml:space="preserve"> </w:t>
      </w:r>
    </w:p>
    <w:p w:rsidR="00327936" w:rsidRPr="000815B3" w:rsidRDefault="00327936" w:rsidP="00E57E79">
      <w:pPr>
        <w:pStyle w:val="BodyText"/>
        <w:numPr>
          <w:ilvl w:val="0"/>
          <w:numId w:val="23"/>
        </w:numPr>
        <w:spacing w:after="120"/>
        <w:jc w:val="both"/>
        <w:rPr>
          <w:rFonts w:ascii="Times New Roman" w:hAnsi="Times New Roman"/>
          <w:sz w:val="24"/>
          <w:szCs w:val="24"/>
        </w:rPr>
      </w:pPr>
      <w:r w:rsidRPr="000815B3">
        <w:rPr>
          <w:rFonts w:ascii="Times New Roman" w:hAnsi="Times New Roman"/>
          <w:sz w:val="24"/>
          <w:szCs w:val="24"/>
        </w:rPr>
        <w:t>Avoided costs of capacity</w:t>
      </w:r>
    </w:p>
    <w:p w:rsidR="00327936" w:rsidRPr="000815B3" w:rsidRDefault="00327936" w:rsidP="00E57E79">
      <w:pPr>
        <w:pStyle w:val="BodyText"/>
        <w:numPr>
          <w:ilvl w:val="1"/>
          <w:numId w:val="23"/>
        </w:numPr>
        <w:spacing w:after="120"/>
        <w:jc w:val="both"/>
        <w:rPr>
          <w:rFonts w:ascii="Times New Roman" w:hAnsi="Times New Roman"/>
          <w:sz w:val="24"/>
          <w:szCs w:val="24"/>
        </w:rPr>
      </w:pPr>
      <w:r>
        <w:rPr>
          <w:rFonts w:ascii="Times New Roman" w:hAnsi="Times New Roman"/>
          <w:sz w:val="24"/>
          <w:szCs w:val="24"/>
        </w:rPr>
        <w:t>Deferred</w:t>
      </w:r>
      <w:r w:rsidRPr="000815B3">
        <w:rPr>
          <w:rFonts w:ascii="Times New Roman" w:hAnsi="Times New Roman"/>
          <w:sz w:val="24"/>
          <w:szCs w:val="24"/>
        </w:rPr>
        <w:t xml:space="preserve"> T&amp;D</w:t>
      </w:r>
      <w:r>
        <w:rPr>
          <w:rFonts w:ascii="Times New Roman" w:hAnsi="Times New Roman"/>
          <w:sz w:val="24"/>
          <w:szCs w:val="24"/>
        </w:rPr>
        <w:t xml:space="preserve"> expense</w:t>
      </w:r>
    </w:p>
    <w:p w:rsidR="00327936" w:rsidRDefault="00327936" w:rsidP="00E57E79">
      <w:pPr>
        <w:pStyle w:val="BodyText"/>
        <w:numPr>
          <w:ilvl w:val="1"/>
          <w:numId w:val="23"/>
        </w:numPr>
        <w:spacing w:after="120"/>
        <w:jc w:val="both"/>
        <w:rPr>
          <w:rFonts w:ascii="Times New Roman" w:hAnsi="Times New Roman"/>
          <w:sz w:val="24"/>
          <w:szCs w:val="24"/>
        </w:rPr>
      </w:pPr>
      <w:r>
        <w:rPr>
          <w:rFonts w:ascii="Times New Roman" w:hAnsi="Times New Roman"/>
          <w:sz w:val="24"/>
          <w:szCs w:val="24"/>
        </w:rPr>
        <w:t>Total annual fixed cost of generating capacity</w:t>
      </w:r>
    </w:p>
    <w:p w:rsidR="00327936" w:rsidRDefault="00327936" w:rsidP="00E57E79">
      <w:pPr>
        <w:pStyle w:val="BodyText"/>
        <w:numPr>
          <w:ilvl w:val="1"/>
          <w:numId w:val="23"/>
        </w:numPr>
        <w:spacing w:after="120"/>
        <w:jc w:val="both"/>
        <w:rPr>
          <w:rFonts w:ascii="Times New Roman" w:hAnsi="Times New Roman"/>
          <w:sz w:val="24"/>
          <w:szCs w:val="24"/>
        </w:rPr>
      </w:pPr>
      <w:r>
        <w:rPr>
          <w:rFonts w:ascii="Times New Roman" w:hAnsi="Times New Roman"/>
          <w:sz w:val="24"/>
          <w:szCs w:val="24"/>
        </w:rPr>
        <w:t xml:space="preserve">Conservation credit </w:t>
      </w:r>
    </w:p>
    <w:p w:rsidR="00327936" w:rsidRDefault="00327936" w:rsidP="00E57E79">
      <w:pPr>
        <w:pStyle w:val="BodyText"/>
        <w:numPr>
          <w:ilvl w:val="0"/>
          <w:numId w:val="23"/>
        </w:numPr>
        <w:spacing w:after="120"/>
        <w:jc w:val="both"/>
        <w:rPr>
          <w:rFonts w:ascii="Times New Roman" w:hAnsi="Times New Roman"/>
          <w:sz w:val="24"/>
          <w:szCs w:val="24"/>
        </w:rPr>
      </w:pPr>
      <w:r>
        <w:rPr>
          <w:rFonts w:ascii="Times New Roman" w:hAnsi="Times New Roman"/>
          <w:sz w:val="24"/>
          <w:szCs w:val="24"/>
        </w:rPr>
        <w:t>Non-energy related b</w:t>
      </w:r>
      <w:r w:rsidRPr="006849A8">
        <w:rPr>
          <w:rFonts w:ascii="Times New Roman" w:hAnsi="Times New Roman"/>
          <w:sz w:val="24"/>
          <w:szCs w:val="24"/>
        </w:rPr>
        <w:t>enefits</w:t>
      </w:r>
      <w:r>
        <w:rPr>
          <w:rStyle w:val="FootnoteReference"/>
          <w:rFonts w:ascii="Times New Roman" w:hAnsi="Times New Roman"/>
          <w:sz w:val="24"/>
          <w:szCs w:val="24"/>
        </w:rPr>
        <w:footnoteReference w:id="9"/>
      </w:r>
    </w:p>
    <w:p w:rsidR="00327936" w:rsidRDefault="00327936" w:rsidP="006C557A">
      <w:pPr>
        <w:pStyle w:val="BodyText"/>
        <w:spacing w:after="120"/>
        <w:ind w:left="720"/>
        <w:jc w:val="both"/>
        <w:rPr>
          <w:rFonts w:ascii="Times New Roman" w:hAnsi="Times New Roman"/>
          <w:sz w:val="24"/>
          <w:szCs w:val="24"/>
        </w:rPr>
      </w:pPr>
    </w:p>
    <w:p w:rsidR="00327936" w:rsidRPr="00855B18" w:rsidRDefault="00327936" w:rsidP="00F71D00">
      <w:pPr>
        <w:pStyle w:val="BodyText"/>
        <w:spacing w:after="120"/>
        <w:jc w:val="both"/>
        <w:rPr>
          <w:rFonts w:ascii="Times New Roman" w:hAnsi="Times New Roman"/>
          <w:sz w:val="24"/>
          <w:szCs w:val="24"/>
        </w:rPr>
      </w:pPr>
      <w:r w:rsidRPr="00855B18">
        <w:rPr>
          <w:rFonts w:ascii="Times New Roman" w:hAnsi="Times New Roman"/>
          <w:sz w:val="24"/>
          <w:szCs w:val="24"/>
        </w:rPr>
        <w:t>Gas Program Benefits:</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 xml:space="preserve">Market Cost of Natural Gas </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Avoided Pipeline Demand Charge</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Avoided Pipeline Transportation Charge</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Pipeline Fuel Reimbursement</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Avoided Distribution Capacity Costs</w:t>
      </w:r>
    </w:p>
    <w:p w:rsidR="00327936" w:rsidRPr="00855B18" w:rsidRDefault="00327936" w:rsidP="00F71D00">
      <w:pPr>
        <w:pStyle w:val="BodyText"/>
        <w:numPr>
          <w:ilvl w:val="0"/>
          <w:numId w:val="41"/>
        </w:numPr>
        <w:spacing w:after="120"/>
        <w:jc w:val="both"/>
        <w:rPr>
          <w:rFonts w:ascii="Times New Roman" w:hAnsi="Times New Roman"/>
          <w:sz w:val="24"/>
          <w:szCs w:val="24"/>
        </w:rPr>
      </w:pPr>
      <w:r w:rsidRPr="00855B18">
        <w:rPr>
          <w:rFonts w:ascii="Times New Roman" w:hAnsi="Times New Roman"/>
          <w:sz w:val="24"/>
          <w:szCs w:val="24"/>
        </w:rPr>
        <w:t>Non-energy related benefits</w:t>
      </w:r>
    </w:p>
    <w:p w:rsidR="00327936" w:rsidRPr="000815B3" w:rsidRDefault="00327936" w:rsidP="009E697C">
      <w:pPr>
        <w:pStyle w:val="BodyText"/>
        <w:spacing w:after="120"/>
        <w:ind w:left="720"/>
        <w:jc w:val="both"/>
        <w:rPr>
          <w:rFonts w:ascii="Times New Roman" w:hAnsi="Times New Roman"/>
          <w:sz w:val="24"/>
          <w:szCs w:val="24"/>
        </w:rPr>
      </w:pPr>
    </w:p>
    <w:p w:rsidR="00327936"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For the majority of programs, the benefit-cost ratio calculated th</w:t>
      </w:r>
      <w:r>
        <w:rPr>
          <w:rFonts w:ascii="Times New Roman" w:hAnsi="Times New Roman"/>
          <w:sz w:val="24"/>
          <w:szCs w:val="24"/>
        </w:rPr>
        <w:t>r</w:t>
      </w:r>
      <w:r w:rsidRPr="000815B3">
        <w:rPr>
          <w:rFonts w:ascii="Times New Roman" w:hAnsi="Times New Roman"/>
          <w:sz w:val="24"/>
          <w:szCs w:val="24"/>
        </w:rPr>
        <w:t xml:space="preserve">ough the </w:t>
      </w:r>
      <w:r>
        <w:rPr>
          <w:rFonts w:ascii="Times New Roman" w:hAnsi="Times New Roman"/>
          <w:sz w:val="24"/>
          <w:szCs w:val="24"/>
        </w:rPr>
        <w:t xml:space="preserve">TRC </w:t>
      </w:r>
      <w:r w:rsidRPr="000815B3">
        <w:rPr>
          <w:rFonts w:ascii="Times New Roman" w:hAnsi="Times New Roman"/>
          <w:sz w:val="24"/>
          <w:szCs w:val="24"/>
        </w:rPr>
        <w:t>will be smaller than the ratio developed th</w:t>
      </w:r>
      <w:r>
        <w:rPr>
          <w:rFonts w:ascii="Times New Roman" w:hAnsi="Times New Roman"/>
          <w:sz w:val="24"/>
          <w:szCs w:val="24"/>
        </w:rPr>
        <w:t>rough the UC</w:t>
      </w:r>
      <w:r w:rsidRPr="000815B3">
        <w:rPr>
          <w:rFonts w:ascii="Times New Roman" w:hAnsi="Times New Roman"/>
          <w:sz w:val="24"/>
          <w:szCs w:val="24"/>
        </w:rPr>
        <w:t xml:space="preserve">. This </w:t>
      </w:r>
      <w:r>
        <w:rPr>
          <w:rFonts w:ascii="Times New Roman" w:hAnsi="Times New Roman"/>
          <w:sz w:val="24"/>
          <w:szCs w:val="24"/>
        </w:rPr>
        <w:t xml:space="preserve">is because </w:t>
      </w:r>
      <w:r w:rsidRPr="000815B3">
        <w:rPr>
          <w:rFonts w:ascii="Times New Roman" w:hAnsi="Times New Roman"/>
          <w:sz w:val="24"/>
          <w:szCs w:val="24"/>
        </w:rPr>
        <w:t>the additional customer costs,</w:t>
      </w:r>
      <w:r>
        <w:rPr>
          <w:rFonts w:ascii="Times New Roman" w:hAnsi="Times New Roman"/>
          <w:sz w:val="24"/>
          <w:szCs w:val="24"/>
        </w:rPr>
        <w:t xml:space="preserve"> which typically are far greater than, thus outweighing, the addition of the conservation credit to the benefits in the TRC. </w:t>
      </w:r>
    </w:p>
    <w:p w:rsidR="00327936" w:rsidRDefault="00327936" w:rsidP="001737DC">
      <w:pPr>
        <w:pStyle w:val="BodyText"/>
        <w:spacing w:after="120"/>
        <w:jc w:val="both"/>
        <w:rPr>
          <w:rFonts w:ascii="Times New Roman" w:hAnsi="Times New Roman"/>
          <w:sz w:val="24"/>
          <w:szCs w:val="24"/>
        </w:rPr>
      </w:pPr>
      <w:r>
        <w:rPr>
          <w:rFonts w:ascii="Times New Roman" w:hAnsi="Times New Roman"/>
          <w:sz w:val="24"/>
          <w:szCs w:val="24"/>
        </w:rPr>
        <w:t xml:space="preserve">The benefit-cost ratio in the TRC may be higher than the ratio developed in the UC for programs with little to no customer cost. In these cases, the conservation credit, which is added to the benefits in the TRC, outweighs the small contribution of customer costs. </w:t>
      </w:r>
    </w:p>
    <w:p w:rsidR="00327936" w:rsidRDefault="00327936" w:rsidP="00555F69">
      <w:pPr>
        <w:pStyle w:val="BodyText"/>
        <w:spacing w:after="120"/>
        <w:jc w:val="both"/>
        <w:rPr>
          <w:rFonts w:ascii="Times New Roman" w:hAnsi="Times New Roman"/>
          <w:sz w:val="24"/>
          <w:szCs w:val="24"/>
        </w:rPr>
      </w:pPr>
      <w:r>
        <w:rPr>
          <w:rFonts w:ascii="Times New Roman" w:hAnsi="Times New Roman"/>
          <w:sz w:val="24"/>
          <w:szCs w:val="24"/>
        </w:rPr>
        <w:t>In theory, programs where non-energy benefits are significant and quantifiable, the benefit-cost ratio of the TRC can be far greater than the ratio developed though the UC.  However, most n</w:t>
      </w:r>
      <w:r w:rsidRPr="000815B3">
        <w:rPr>
          <w:rFonts w:ascii="Times New Roman" w:hAnsi="Times New Roman"/>
          <w:sz w:val="24"/>
          <w:szCs w:val="24"/>
        </w:rPr>
        <w:t>on-energy related bene</w:t>
      </w:r>
      <w:r>
        <w:rPr>
          <w:rFonts w:ascii="Times New Roman" w:hAnsi="Times New Roman"/>
          <w:sz w:val="24"/>
          <w:szCs w:val="24"/>
        </w:rPr>
        <w:t>fits are difficult to quantify and often the non-energy benefit</w:t>
      </w:r>
      <w:r w:rsidRPr="000815B3">
        <w:rPr>
          <w:rFonts w:ascii="Times New Roman" w:hAnsi="Times New Roman"/>
          <w:sz w:val="24"/>
          <w:szCs w:val="24"/>
        </w:rPr>
        <w:t xml:space="preserve"> is not included</w:t>
      </w:r>
      <w:r>
        <w:rPr>
          <w:rFonts w:ascii="Times New Roman" w:hAnsi="Times New Roman"/>
          <w:sz w:val="24"/>
          <w:szCs w:val="24"/>
        </w:rPr>
        <w:t xml:space="preserve"> in the calculation of the TRC</w:t>
      </w:r>
      <w:r w:rsidRPr="000815B3">
        <w:rPr>
          <w:rFonts w:ascii="Times New Roman" w:hAnsi="Times New Roman"/>
          <w:sz w:val="24"/>
          <w:szCs w:val="24"/>
        </w:rPr>
        <w:t>.</w:t>
      </w:r>
      <w:r>
        <w:rPr>
          <w:rFonts w:ascii="Times New Roman" w:hAnsi="Times New Roman"/>
          <w:sz w:val="24"/>
          <w:szCs w:val="24"/>
        </w:rPr>
        <w:t xml:space="preserve"> </w:t>
      </w:r>
    </w:p>
    <w:p w:rsidR="00327936" w:rsidRDefault="00327936" w:rsidP="00555F69">
      <w:pPr>
        <w:pStyle w:val="BodyText"/>
        <w:spacing w:after="120"/>
        <w:jc w:val="both"/>
        <w:rPr>
          <w:rFonts w:ascii="Times New Roman" w:hAnsi="Times New Roman"/>
          <w:sz w:val="24"/>
          <w:szCs w:val="24"/>
        </w:rPr>
      </w:pPr>
      <w:r>
        <w:rPr>
          <w:rFonts w:ascii="Times New Roman" w:hAnsi="Times New Roman"/>
          <w:sz w:val="24"/>
          <w:szCs w:val="24"/>
        </w:rPr>
        <w:t xml:space="preserve">PSE recognizes that many of its programs also save water. However, PSE does not currently invest the effort to quantify non-energy benefits for programs that pass the TRC using only energy benefits. </w:t>
      </w:r>
      <w:r w:rsidRPr="000815B3">
        <w:rPr>
          <w:rFonts w:ascii="Times New Roman" w:hAnsi="Times New Roman"/>
          <w:sz w:val="24"/>
          <w:szCs w:val="24"/>
        </w:rPr>
        <w:t xml:space="preserve"> </w:t>
      </w:r>
      <w:bookmarkStart w:id="18" w:name="_Toc294277317"/>
      <w:r>
        <w:rPr>
          <w:rFonts w:ascii="Times New Roman" w:hAnsi="Times New Roman"/>
          <w:sz w:val="24"/>
          <w:szCs w:val="24"/>
        </w:rPr>
        <w:t>For the Low Income Weatherization Program, the value of health and safety improvements was included as a non-energy benefit for the 2012-2013 gas cost-effectiveness calculations.</w:t>
      </w:r>
    </w:p>
    <w:p w:rsidR="00327936" w:rsidRPr="00555F69" w:rsidRDefault="00327936" w:rsidP="00555F69">
      <w:pPr>
        <w:pStyle w:val="Heading2"/>
        <w:numPr>
          <w:ilvl w:val="1"/>
          <w:numId w:val="16"/>
        </w:numPr>
      </w:pPr>
      <w:bookmarkStart w:id="19" w:name="_Toc307067037"/>
      <w:r w:rsidRPr="00555F69">
        <w:t>Ratepayer Impact Measure Test</w:t>
      </w:r>
      <w:bookmarkEnd w:id="18"/>
      <w:bookmarkEnd w:id="19"/>
      <w:r>
        <w:t xml:space="preserve"> (RIM)</w:t>
      </w:r>
    </w:p>
    <w:p w:rsidR="00327936" w:rsidRDefault="00327936" w:rsidP="0042771A">
      <w:pPr>
        <w:pStyle w:val="BodyText"/>
        <w:jc w:val="both"/>
        <w:rPr>
          <w:rFonts w:ascii="Times New Roman" w:hAnsi="Times New Roman"/>
          <w:sz w:val="24"/>
          <w:szCs w:val="24"/>
        </w:rPr>
      </w:pPr>
      <w:r w:rsidRPr="000815B3">
        <w:rPr>
          <w:rFonts w:ascii="Times New Roman" w:hAnsi="Times New Roman"/>
          <w:sz w:val="24"/>
          <w:szCs w:val="24"/>
        </w:rPr>
        <w:t xml:space="preserve">The use of the </w:t>
      </w:r>
      <w:r>
        <w:rPr>
          <w:rFonts w:ascii="Times New Roman" w:hAnsi="Times New Roman"/>
          <w:sz w:val="24"/>
          <w:szCs w:val="24"/>
        </w:rPr>
        <w:t>Ratepayer Impact Measure Test (RIM) is new to PSE in 2012-2013</w:t>
      </w:r>
      <w:r w:rsidRPr="000815B3">
        <w:rPr>
          <w:rFonts w:ascii="Times New Roman" w:hAnsi="Times New Roman"/>
          <w:sz w:val="24"/>
          <w:szCs w:val="24"/>
        </w:rPr>
        <w:t xml:space="preserve"> program planning. Unlike the </w:t>
      </w:r>
      <w:r>
        <w:rPr>
          <w:rFonts w:ascii="Times New Roman" w:hAnsi="Times New Roman"/>
          <w:sz w:val="24"/>
          <w:szCs w:val="24"/>
        </w:rPr>
        <w:t>UC and the TRC</w:t>
      </w:r>
      <w:r w:rsidRPr="000815B3">
        <w:rPr>
          <w:rFonts w:ascii="Times New Roman" w:hAnsi="Times New Roman"/>
          <w:sz w:val="24"/>
          <w:szCs w:val="24"/>
        </w:rPr>
        <w:t xml:space="preserve">, the </w:t>
      </w:r>
      <w:r>
        <w:rPr>
          <w:rFonts w:ascii="Times New Roman" w:hAnsi="Times New Roman"/>
          <w:sz w:val="24"/>
          <w:szCs w:val="24"/>
        </w:rPr>
        <w:t xml:space="preserve">RIM </w:t>
      </w:r>
      <w:r w:rsidRPr="000815B3">
        <w:rPr>
          <w:rFonts w:ascii="Times New Roman" w:hAnsi="Times New Roman"/>
          <w:sz w:val="24"/>
          <w:szCs w:val="24"/>
        </w:rPr>
        <w:t>does not have hard and fast decision making criteria for program selection. Instead, it is an attempt to understand the</w:t>
      </w:r>
      <w:r>
        <w:rPr>
          <w:rFonts w:ascii="Times New Roman" w:hAnsi="Times New Roman"/>
          <w:sz w:val="24"/>
          <w:szCs w:val="24"/>
        </w:rPr>
        <w:t xml:space="preserve"> total impact to the utility, and thus ratepayers, by including lost utility revenue in the cost-effectiveness calculation</w:t>
      </w:r>
      <w:r w:rsidRPr="000815B3">
        <w:rPr>
          <w:rFonts w:ascii="Times New Roman" w:hAnsi="Times New Roman"/>
          <w:sz w:val="24"/>
          <w:szCs w:val="24"/>
        </w:rPr>
        <w:t xml:space="preserve">. </w:t>
      </w:r>
      <w:r>
        <w:rPr>
          <w:rFonts w:ascii="Times New Roman" w:hAnsi="Times New Roman"/>
          <w:sz w:val="24"/>
          <w:szCs w:val="24"/>
        </w:rPr>
        <w:t xml:space="preserve">Currently, the RIM is required for PSE’s electric portfolio evaluation only. It is not required for the gas energy efficiency cost-effectiveness analyses.  </w:t>
      </w:r>
      <w:r w:rsidRPr="000815B3">
        <w:rPr>
          <w:rFonts w:ascii="Times New Roman" w:hAnsi="Times New Roman"/>
          <w:sz w:val="24"/>
          <w:szCs w:val="24"/>
        </w:rPr>
        <w:t xml:space="preserve">The costs and benefits included in the calculation of the </w:t>
      </w:r>
      <w:r>
        <w:rPr>
          <w:rFonts w:ascii="Times New Roman" w:hAnsi="Times New Roman"/>
          <w:sz w:val="24"/>
          <w:szCs w:val="24"/>
        </w:rPr>
        <w:t xml:space="preserve">RIM </w:t>
      </w:r>
      <w:r w:rsidRPr="000815B3">
        <w:rPr>
          <w:rFonts w:ascii="Times New Roman" w:hAnsi="Times New Roman"/>
          <w:sz w:val="24"/>
          <w:szCs w:val="24"/>
        </w:rPr>
        <w:t xml:space="preserve">Test are </w:t>
      </w:r>
      <w:r>
        <w:rPr>
          <w:rFonts w:ascii="Times New Roman" w:hAnsi="Times New Roman"/>
          <w:sz w:val="24"/>
          <w:szCs w:val="24"/>
        </w:rPr>
        <w:t xml:space="preserve">listed </w:t>
      </w:r>
      <w:r w:rsidRPr="000815B3">
        <w:rPr>
          <w:rFonts w:ascii="Times New Roman" w:hAnsi="Times New Roman"/>
          <w:sz w:val="24"/>
          <w:szCs w:val="24"/>
        </w:rPr>
        <w:t>below:</w:t>
      </w:r>
      <w:r>
        <w:rPr>
          <w:rFonts w:ascii="Times New Roman" w:hAnsi="Times New Roman"/>
          <w:sz w:val="24"/>
          <w:szCs w:val="24"/>
        </w:rPr>
        <w:t xml:space="preserve">  </w:t>
      </w:r>
    </w:p>
    <w:p w:rsidR="00327936" w:rsidRPr="000815B3"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 xml:space="preserve">Costs: </w:t>
      </w:r>
    </w:p>
    <w:p w:rsidR="00327936" w:rsidRPr="000815B3" w:rsidRDefault="00327936" w:rsidP="00E57E79">
      <w:pPr>
        <w:pStyle w:val="BodyText"/>
        <w:numPr>
          <w:ilvl w:val="0"/>
          <w:numId w:val="20"/>
        </w:numPr>
        <w:spacing w:after="120"/>
        <w:jc w:val="both"/>
        <w:rPr>
          <w:rFonts w:ascii="Times New Roman" w:hAnsi="Times New Roman"/>
          <w:sz w:val="24"/>
          <w:szCs w:val="24"/>
        </w:rPr>
      </w:pPr>
      <w:r w:rsidRPr="000815B3">
        <w:rPr>
          <w:rFonts w:ascii="Times New Roman" w:hAnsi="Times New Roman"/>
          <w:sz w:val="24"/>
          <w:szCs w:val="24"/>
        </w:rPr>
        <w:t xml:space="preserve">Program Overhead Cost </w:t>
      </w:r>
    </w:p>
    <w:p w:rsidR="00327936" w:rsidRPr="000815B3" w:rsidRDefault="00327936" w:rsidP="00E57E79">
      <w:pPr>
        <w:pStyle w:val="BodyText"/>
        <w:numPr>
          <w:ilvl w:val="1"/>
          <w:numId w:val="20"/>
        </w:numPr>
        <w:spacing w:after="120"/>
        <w:jc w:val="both"/>
        <w:rPr>
          <w:rFonts w:ascii="Times New Roman" w:hAnsi="Times New Roman"/>
          <w:sz w:val="24"/>
          <w:szCs w:val="24"/>
        </w:rPr>
      </w:pPr>
      <w:r w:rsidRPr="000815B3">
        <w:rPr>
          <w:rFonts w:ascii="Times New Roman" w:hAnsi="Times New Roman"/>
          <w:sz w:val="24"/>
          <w:szCs w:val="24"/>
        </w:rPr>
        <w:t>Marketing</w:t>
      </w:r>
    </w:p>
    <w:p w:rsidR="00327936" w:rsidRPr="000815B3" w:rsidRDefault="00327936" w:rsidP="00E57E79">
      <w:pPr>
        <w:pStyle w:val="BodyText"/>
        <w:numPr>
          <w:ilvl w:val="1"/>
          <w:numId w:val="20"/>
        </w:numPr>
        <w:spacing w:after="120"/>
        <w:jc w:val="both"/>
        <w:rPr>
          <w:rFonts w:ascii="Times New Roman" w:hAnsi="Times New Roman"/>
          <w:sz w:val="24"/>
          <w:szCs w:val="24"/>
        </w:rPr>
      </w:pPr>
      <w:r>
        <w:rPr>
          <w:rFonts w:ascii="Times New Roman" w:hAnsi="Times New Roman"/>
          <w:sz w:val="24"/>
          <w:szCs w:val="24"/>
        </w:rPr>
        <w:t>Outside s</w:t>
      </w:r>
      <w:r w:rsidRPr="000815B3">
        <w:rPr>
          <w:rFonts w:ascii="Times New Roman" w:hAnsi="Times New Roman"/>
          <w:sz w:val="24"/>
          <w:szCs w:val="24"/>
        </w:rPr>
        <w:t>ervices</w:t>
      </w:r>
    </w:p>
    <w:p w:rsidR="00327936" w:rsidRPr="000815B3" w:rsidRDefault="00327936" w:rsidP="00E57E79">
      <w:pPr>
        <w:pStyle w:val="BodyText"/>
        <w:numPr>
          <w:ilvl w:val="1"/>
          <w:numId w:val="20"/>
        </w:numPr>
        <w:spacing w:after="120"/>
        <w:jc w:val="both"/>
        <w:rPr>
          <w:rFonts w:ascii="Times New Roman" w:hAnsi="Times New Roman"/>
          <w:sz w:val="24"/>
          <w:szCs w:val="24"/>
        </w:rPr>
      </w:pPr>
      <w:r>
        <w:rPr>
          <w:rFonts w:ascii="Times New Roman" w:hAnsi="Times New Roman"/>
          <w:sz w:val="24"/>
          <w:szCs w:val="24"/>
        </w:rPr>
        <w:t>Internal l</w:t>
      </w:r>
      <w:r w:rsidRPr="000815B3">
        <w:rPr>
          <w:rFonts w:ascii="Times New Roman" w:hAnsi="Times New Roman"/>
          <w:sz w:val="24"/>
          <w:szCs w:val="24"/>
        </w:rPr>
        <w:t>abor &amp; overhead</w:t>
      </w:r>
    </w:p>
    <w:p w:rsidR="00327936" w:rsidRPr="000815B3" w:rsidRDefault="00327936" w:rsidP="00E57E79">
      <w:pPr>
        <w:pStyle w:val="BodyText"/>
        <w:numPr>
          <w:ilvl w:val="1"/>
          <w:numId w:val="20"/>
        </w:numPr>
        <w:spacing w:after="120"/>
        <w:jc w:val="both"/>
        <w:rPr>
          <w:rFonts w:ascii="Times New Roman" w:hAnsi="Times New Roman"/>
          <w:sz w:val="24"/>
          <w:szCs w:val="24"/>
        </w:rPr>
      </w:pPr>
      <w:r w:rsidRPr="000815B3">
        <w:rPr>
          <w:rFonts w:ascii="Times New Roman" w:hAnsi="Times New Roman"/>
          <w:sz w:val="24"/>
          <w:szCs w:val="24"/>
        </w:rPr>
        <w:t xml:space="preserve">Miscellaneous expenses related to program </w:t>
      </w:r>
      <w:r>
        <w:rPr>
          <w:rFonts w:ascii="Times New Roman" w:hAnsi="Times New Roman"/>
          <w:sz w:val="24"/>
          <w:szCs w:val="24"/>
        </w:rPr>
        <w:t>activities</w:t>
      </w:r>
    </w:p>
    <w:p w:rsidR="00327936" w:rsidRPr="000815B3" w:rsidRDefault="00327936" w:rsidP="00E57E79">
      <w:pPr>
        <w:pStyle w:val="BodyText"/>
        <w:numPr>
          <w:ilvl w:val="0"/>
          <w:numId w:val="20"/>
        </w:numPr>
        <w:spacing w:after="120"/>
        <w:jc w:val="both"/>
        <w:rPr>
          <w:rFonts w:ascii="Times New Roman" w:hAnsi="Times New Roman"/>
          <w:sz w:val="24"/>
          <w:szCs w:val="24"/>
        </w:rPr>
      </w:pPr>
      <w:r w:rsidRPr="000815B3">
        <w:rPr>
          <w:rFonts w:ascii="Times New Roman" w:hAnsi="Times New Roman"/>
          <w:sz w:val="24"/>
          <w:szCs w:val="24"/>
        </w:rPr>
        <w:t>Incentives provided to customers to purchase an energy efficient application</w:t>
      </w:r>
    </w:p>
    <w:p w:rsidR="00327936" w:rsidRDefault="00327936" w:rsidP="00E57E79">
      <w:pPr>
        <w:pStyle w:val="BodyText"/>
        <w:numPr>
          <w:ilvl w:val="0"/>
          <w:numId w:val="20"/>
        </w:numPr>
        <w:spacing w:after="120"/>
        <w:jc w:val="both"/>
        <w:rPr>
          <w:rFonts w:ascii="Times New Roman" w:hAnsi="Times New Roman"/>
          <w:sz w:val="24"/>
          <w:szCs w:val="24"/>
        </w:rPr>
      </w:pPr>
      <w:r w:rsidRPr="000815B3">
        <w:rPr>
          <w:rFonts w:ascii="Times New Roman" w:hAnsi="Times New Roman"/>
          <w:sz w:val="24"/>
          <w:szCs w:val="24"/>
        </w:rPr>
        <w:t xml:space="preserve">Lost </w:t>
      </w:r>
      <w:r>
        <w:rPr>
          <w:rFonts w:ascii="Times New Roman" w:hAnsi="Times New Roman"/>
          <w:sz w:val="24"/>
          <w:szCs w:val="24"/>
        </w:rPr>
        <w:t>u</w:t>
      </w:r>
      <w:r w:rsidRPr="000815B3">
        <w:rPr>
          <w:rFonts w:ascii="Times New Roman" w:hAnsi="Times New Roman"/>
          <w:sz w:val="24"/>
          <w:szCs w:val="24"/>
        </w:rPr>
        <w:t xml:space="preserve">tility </w:t>
      </w:r>
      <w:r>
        <w:rPr>
          <w:rFonts w:ascii="Times New Roman" w:hAnsi="Times New Roman"/>
          <w:sz w:val="24"/>
          <w:szCs w:val="24"/>
        </w:rPr>
        <w:t>r</w:t>
      </w:r>
      <w:r w:rsidRPr="000815B3">
        <w:rPr>
          <w:rFonts w:ascii="Times New Roman" w:hAnsi="Times New Roman"/>
          <w:sz w:val="24"/>
          <w:szCs w:val="24"/>
        </w:rPr>
        <w:t>evenues</w:t>
      </w:r>
      <w:r>
        <w:rPr>
          <w:rFonts w:ascii="Times New Roman" w:hAnsi="Times New Roman"/>
          <w:sz w:val="24"/>
          <w:szCs w:val="24"/>
        </w:rPr>
        <w:t xml:space="preserve"> due to demand side resource</w:t>
      </w:r>
    </w:p>
    <w:p w:rsidR="00327936" w:rsidRDefault="00327936" w:rsidP="00E57E79">
      <w:pPr>
        <w:pStyle w:val="BodyText"/>
        <w:numPr>
          <w:ilvl w:val="0"/>
          <w:numId w:val="20"/>
        </w:numPr>
        <w:spacing w:after="120"/>
        <w:jc w:val="both"/>
        <w:rPr>
          <w:rFonts w:ascii="Times New Roman" w:hAnsi="Times New Roman"/>
          <w:sz w:val="24"/>
          <w:szCs w:val="24"/>
        </w:rPr>
      </w:pPr>
      <w:r>
        <w:rPr>
          <w:rFonts w:ascii="Times New Roman" w:hAnsi="Times New Roman"/>
          <w:sz w:val="24"/>
          <w:szCs w:val="24"/>
        </w:rPr>
        <w:t>Other program specific costs</w:t>
      </w:r>
    </w:p>
    <w:p w:rsidR="00327936" w:rsidRPr="000815B3" w:rsidRDefault="00327936" w:rsidP="00921137">
      <w:pPr>
        <w:pStyle w:val="BodyText"/>
        <w:spacing w:after="120"/>
        <w:ind w:left="720"/>
        <w:jc w:val="both"/>
        <w:rPr>
          <w:rFonts w:ascii="Times New Roman" w:hAnsi="Times New Roman"/>
          <w:sz w:val="24"/>
          <w:szCs w:val="24"/>
        </w:rPr>
      </w:pPr>
    </w:p>
    <w:p w:rsidR="00327936" w:rsidRPr="000815B3" w:rsidRDefault="00327936" w:rsidP="006849A8">
      <w:pPr>
        <w:pStyle w:val="BodyText"/>
        <w:spacing w:after="120"/>
        <w:jc w:val="both"/>
        <w:rPr>
          <w:rFonts w:ascii="Times New Roman" w:hAnsi="Times New Roman"/>
          <w:sz w:val="24"/>
          <w:szCs w:val="24"/>
        </w:rPr>
      </w:pPr>
      <w:r>
        <w:rPr>
          <w:rFonts w:ascii="Times New Roman" w:hAnsi="Times New Roman"/>
          <w:sz w:val="24"/>
          <w:szCs w:val="24"/>
        </w:rPr>
        <w:t xml:space="preserve">Electric Program </w:t>
      </w:r>
      <w:r w:rsidRPr="000815B3">
        <w:rPr>
          <w:rFonts w:ascii="Times New Roman" w:hAnsi="Times New Roman"/>
          <w:sz w:val="24"/>
          <w:szCs w:val="24"/>
        </w:rPr>
        <w:t>Benefits:</w:t>
      </w:r>
    </w:p>
    <w:p w:rsidR="00327936" w:rsidRPr="000815B3" w:rsidRDefault="00327936" w:rsidP="00E57E79">
      <w:pPr>
        <w:pStyle w:val="BodyText"/>
        <w:numPr>
          <w:ilvl w:val="0"/>
          <w:numId w:val="24"/>
        </w:numPr>
        <w:spacing w:after="120"/>
        <w:jc w:val="both"/>
        <w:rPr>
          <w:rFonts w:ascii="Times New Roman" w:hAnsi="Times New Roman"/>
          <w:sz w:val="24"/>
          <w:szCs w:val="24"/>
        </w:rPr>
      </w:pPr>
      <w:r w:rsidRPr="000815B3">
        <w:rPr>
          <w:rFonts w:ascii="Times New Roman" w:hAnsi="Times New Roman"/>
          <w:sz w:val="24"/>
          <w:szCs w:val="24"/>
        </w:rPr>
        <w:t>Avoided cost of energy</w:t>
      </w:r>
    </w:p>
    <w:p w:rsidR="00327936" w:rsidRPr="000815B3"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Market Cost of Energy</w:t>
      </w:r>
    </w:p>
    <w:p w:rsidR="00327936" w:rsidRPr="000815B3" w:rsidRDefault="00327936" w:rsidP="00E57E79">
      <w:pPr>
        <w:pStyle w:val="BodyText"/>
        <w:numPr>
          <w:ilvl w:val="1"/>
          <w:numId w:val="24"/>
        </w:numPr>
        <w:spacing w:after="120"/>
        <w:jc w:val="both"/>
        <w:rPr>
          <w:rFonts w:ascii="Times New Roman" w:hAnsi="Times New Roman"/>
          <w:sz w:val="24"/>
          <w:szCs w:val="24"/>
        </w:rPr>
      </w:pPr>
      <w:r w:rsidRPr="000815B3">
        <w:rPr>
          <w:rFonts w:ascii="Times New Roman" w:hAnsi="Times New Roman"/>
          <w:sz w:val="24"/>
          <w:szCs w:val="24"/>
        </w:rPr>
        <w:t>Line losses</w:t>
      </w:r>
    </w:p>
    <w:p w:rsidR="00327936"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Planning a</w:t>
      </w:r>
      <w:r w:rsidRPr="000815B3">
        <w:rPr>
          <w:rFonts w:ascii="Times New Roman" w:hAnsi="Times New Roman"/>
          <w:sz w:val="24"/>
          <w:szCs w:val="24"/>
        </w:rPr>
        <w:t>djustments</w:t>
      </w:r>
    </w:p>
    <w:p w:rsidR="00327936"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Avoided cost of compliance with renewable portfolio standards</w:t>
      </w:r>
    </w:p>
    <w:p w:rsidR="00327936" w:rsidRPr="000815B3"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Conservation credit</w:t>
      </w:r>
      <w:r w:rsidRPr="000815B3">
        <w:rPr>
          <w:rFonts w:ascii="Times New Roman" w:hAnsi="Times New Roman"/>
          <w:sz w:val="24"/>
          <w:szCs w:val="24"/>
        </w:rPr>
        <w:t xml:space="preserve"> </w:t>
      </w:r>
    </w:p>
    <w:p w:rsidR="00327936" w:rsidRPr="000815B3" w:rsidRDefault="00327936" w:rsidP="00E57E79">
      <w:pPr>
        <w:pStyle w:val="BodyText"/>
        <w:numPr>
          <w:ilvl w:val="0"/>
          <w:numId w:val="24"/>
        </w:numPr>
        <w:spacing w:after="120"/>
        <w:jc w:val="both"/>
        <w:rPr>
          <w:rFonts w:ascii="Times New Roman" w:hAnsi="Times New Roman"/>
          <w:sz w:val="24"/>
          <w:szCs w:val="24"/>
        </w:rPr>
      </w:pPr>
      <w:r w:rsidRPr="000815B3">
        <w:rPr>
          <w:rFonts w:ascii="Times New Roman" w:hAnsi="Times New Roman"/>
          <w:sz w:val="24"/>
          <w:szCs w:val="24"/>
        </w:rPr>
        <w:t>Avoided costs of capacity</w:t>
      </w:r>
    </w:p>
    <w:p w:rsidR="00327936" w:rsidRPr="000815B3"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Deferred</w:t>
      </w:r>
      <w:r w:rsidRPr="000815B3">
        <w:rPr>
          <w:rFonts w:ascii="Times New Roman" w:hAnsi="Times New Roman"/>
          <w:sz w:val="24"/>
          <w:szCs w:val="24"/>
        </w:rPr>
        <w:t xml:space="preserve"> T&amp;D</w:t>
      </w:r>
      <w:r>
        <w:rPr>
          <w:rFonts w:ascii="Times New Roman" w:hAnsi="Times New Roman"/>
          <w:sz w:val="24"/>
          <w:szCs w:val="24"/>
        </w:rPr>
        <w:t xml:space="preserve"> expense</w:t>
      </w:r>
    </w:p>
    <w:p w:rsidR="00327936" w:rsidRDefault="00327936" w:rsidP="00E57E79">
      <w:pPr>
        <w:pStyle w:val="BodyText"/>
        <w:numPr>
          <w:ilvl w:val="1"/>
          <w:numId w:val="24"/>
        </w:numPr>
        <w:spacing w:after="120"/>
        <w:jc w:val="both"/>
        <w:rPr>
          <w:rFonts w:ascii="Times New Roman" w:hAnsi="Times New Roman"/>
          <w:sz w:val="24"/>
          <w:szCs w:val="24"/>
        </w:rPr>
      </w:pPr>
      <w:r>
        <w:rPr>
          <w:rFonts w:ascii="Times New Roman" w:hAnsi="Times New Roman"/>
          <w:sz w:val="24"/>
          <w:szCs w:val="24"/>
        </w:rPr>
        <w:t>Total annual fixed costs of generating capacity</w:t>
      </w:r>
    </w:p>
    <w:p w:rsidR="00327936" w:rsidRDefault="00327936" w:rsidP="00F71D00">
      <w:pPr>
        <w:pStyle w:val="BodyText"/>
        <w:spacing w:after="120"/>
        <w:jc w:val="both"/>
        <w:rPr>
          <w:rFonts w:ascii="Times New Roman" w:hAnsi="Times New Roman"/>
          <w:sz w:val="24"/>
          <w:szCs w:val="24"/>
        </w:rPr>
      </w:pPr>
    </w:p>
    <w:p w:rsidR="00327936" w:rsidRPr="00855B18" w:rsidRDefault="00327936" w:rsidP="00F71D00">
      <w:pPr>
        <w:pStyle w:val="BodyText"/>
        <w:spacing w:after="120"/>
        <w:jc w:val="both"/>
        <w:rPr>
          <w:rFonts w:ascii="Times New Roman" w:hAnsi="Times New Roman"/>
          <w:sz w:val="24"/>
          <w:szCs w:val="24"/>
        </w:rPr>
      </w:pPr>
      <w:r w:rsidRPr="00855B18">
        <w:rPr>
          <w:rFonts w:ascii="Times New Roman" w:hAnsi="Times New Roman"/>
          <w:sz w:val="24"/>
          <w:szCs w:val="24"/>
        </w:rPr>
        <w:t>Gas Program Benefits:</w:t>
      </w:r>
    </w:p>
    <w:p w:rsidR="00327936" w:rsidRPr="00855B18" w:rsidRDefault="00327936" w:rsidP="00F71D00">
      <w:pPr>
        <w:pStyle w:val="BodyText"/>
        <w:numPr>
          <w:ilvl w:val="0"/>
          <w:numId w:val="42"/>
        </w:numPr>
        <w:spacing w:after="120"/>
        <w:jc w:val="both"/>
        <w:rPr>
          <w:rFonts w:ascii="Times New Roman" w:hAnsi="Times New Roman"/>
          <w:sz w:val="24"/>
          <w:szCs w:val="24"/>
        </w:rPr>
      </w:pPr>
      <w:r w:rsidRPr="00855B18">
        <w:rPr>
          <w:rFonts w:ascii="Times New Roman" w:hAnsi="Times New Roman"/>
          <w:sz w:val="24"/>
          <w:szCs w:val="24"/>
        </w:rPr>
        <w:t xml:space="preserve">Market Cost of Natural Gas </w:t>
      </w:r>
    </w:p>
    <w:p w:rsidR="00327936" w:rsidRPr="00855B18" w:rsidRDefault="00327936" w:rsidP="00F71D00">
      <w:pPr>
        <w:pStyle w:val="BodyText"/>
        <w:numPr>
          <w:ilvl w:val="0"/>
          <w:numId w:val="42"/>
        </w:numPr>
        <w:spacing w:after="120"/>
        <w:jc w:val="both"/>
        <w:rPr>
          <w:rFonts w:ascii="Times New Roman" w:hAnsi="Times New Roman"/>
          <w:sz w:val="24"/>
          <w:szCs w:val="24"/>
        </w:rPr>
      </w:pPr>
      <w:r w:rsidRPr="00855B18">
        <w:rPr>
          <w:rFonts w:ascii="Times New Roman" w:hAnsi="Times New Roman"/>
          <w:sz w:val="24"/>
          <w:szCs w:val="24"/>
        </w:rPr>
        <w:t>Avoided Pipeline Demand Charge</w:t>
      </w:r>
    </w:p>
    <w:p w:rsidR="00327936" w:rsidRPr="00855B18" w:rsidRDefault="00327936" w:rsidP="00F71D00">
      <w:pPr>
        <w:pStyle w:val="BodyText"/>
        <w:numPr>
          <w:ilvl w:val="0"/>
          <w:numId w:val="42"/>
        </w:numPr>
        <w:spacing w:after="120"/>
        <w:jc w:val="both"/>
        <w:rPr>
          <w:rFonts w:ascii="Times New Roman" w:hAnsi="Times New Roman"/>
          <w:sz w:val="24"/>
          <w:szCs w:val="24"/>
        </w:rPr>
      </w:pPr>
      <w:r w:rsidRPr="00855B18">
        <w:rPr>
          <w:rFonts w:ascii="Times New Roman" w:hAnsi="Times New Roman"/>
          <w:sz w:val="24"/>
          <w:szCs w:val="24"/>
        </w:rPr>
        <w:t>Avoided Pipeline Transportation Charge</w:t>
      </w:r>
    </w:p>
    <w:p w:rsidR="00327936" w:rsidRPr="00855B18" w:rsidRDefault="00327936" w:rsidP="00F71D00">
      <w:pPr>
        <w:pStyle w:val="BodyText"/>
        <w:numPr>
          <w:ilvl w:val="0"/>
          <w:numId w:val="42"/>
        </w:numPr>
        <w:spacing w:after="120"/>
        <w:jc w:val="both"/>
        <w:rPr>
          <w:rFonts w:ascii="Times New Roman" w:hAnsi="Times New Roman"/>
          <w:sz w:val="24"/>
          <w:szCs w:val="24"/>
        </w:rPr>
      </w:pPr>
      <w:r w:rsidRPr="00855B18">
        <w:rPr>
          <w:rFonts w:ascii="Times New Roman" w:hAnsi="Times New Roman"/>
          <w:sz w:val="24"/>
          <w:szCs w:val="24"/>
        </w:rPr>
        <w:t>Pipeline Fuel Reimbursement</w:t>
      </w:r>
    </w:p>
    <w:p w:rsidR="00327936" w:rsidRPr="00855B18" w:rsidRDefault="00327936" w:rsidP="00F71D00">
      <w:pPr>
        <w:pStyle w:val="BodyText"/>
        <w:numPr>
          <w:ilvl w:val="0"/>
          <w:numId w:val="42"/>
        </w:numPr>
        <w:spacing w:after="120"/>
        <w:jc w:val="both"/>
        <w:rPr>
          <w:rFonts w:ascii="Times New Roman" w:hAnsi="Times New Roman"/>
          <w:sz w:val="24"/>
          <w:szCs w:val="24"/>
        </w:rPr>
      </w:pPr>
      <w:r w:rsidRPr="00855B18">
        <w:rPr>
          <w:rFonts w:ascii="Times New Roman" w:hAnsi="Times New Roman"/>
          <w:sz w:val="24"/>
          <w:szCs w:val="24"/>
        </w:rPr>
        <w:t>Avoided Distribution Capacity Costs</w:t>
      </w:r>
    </w:p>
    <w:p w:rsidR="00327936" w:rsidRPr="000815B3" w:rsidRDefault="00327936" w:rsidP="001737DC">
      <w:pPr>
        <w:pStyle w:val="BodyText"/>
        <w:spacing w:after="120"/>
        <w:jc w:val="both"/>
        <w:rPr>
          <w:rFonts w:ascii="Times New Roman" w:hAnsi="Times New Roman"/>
          <w:sz w:val="24"/>
          <w:szCs w:val="24"/>
        </w:rPr>
      </w:pPr>
    </w:p>
    <w:p w:rsidR="00327936" w:rsidRDefault="00327936" w:rsidP="00AD4D89">
      <w:pPr>
        <w:pStyle w:val="Heading2"/>
        <w:numPr>
          <w:ilvl w:val="1"/>
          <w:numId w:val="16"/>
        </w:numPr>
      </w:pPr>
      <w:bookmarkStart w:id="20" w:name="_Toc294277318"/>
      <w:bookmarkStart w:id="21" w:name="_Toc307067038"/>
      <w:r>
        <w:t>Participant Cost Test</w:t>
      </w:r>
      <w:bookmarkEnd w:id="20"/>
      <w:bookmarkEnd w:id="21"/>
      <w:r>
        <w:t xml:space="preserve"> (PCT)</w:t>
      </w:r>
    </w:p>
    <w:p w:rsidR="00327936" w:rsidRPr="000815B3" w:rsidRDefault="00327936" w:rsidP="0042771A">
      <w:pPr>
        <w:pStyle w:val="BodyText"/>
        <w:jc w:val="both"/>
        <w:rPr>
          <w:rFonts w:ascii="Times New Roman" w:hAnsi="Times New Roman"/>
          <w:sz w:val="24"/>
          <w:szCs w:val="24"/>
        </w:rPr>
      </w:pPr>
      <w:r w:rsidRPr="000815B3">
        <w:rPr>
          <w:rFonts w:ascii="Times New Roman" w:hAnsi="Times New Roman"/>
          <w:sz w:val="24"/>
          <w:szCs w:val="24"/>
        </w:rPr>
        <w:t xml:space="preserve">The final test, the </w:t>
      </w:r>
      <w:r>
        <w:rPr>
          <w:rFonts w:ascii="Times New Roman" w:hAnsi="Times New Roman"/>
          <w:sz w:val="24"/>
          <w:szCs w:val="24"/>
        </w:rPr>
        <w:t xml:space="preserve">Participant Cost Test (PCT) </w:t>
      </w:r>
      <w:r w:rsidRPr="000815B3">
        <w:rPr>
          <w:rFonts w:ascii="Times New Roman" w:hAnsi="Times New Roman"/>
          <w:sz w:val="24"/>
          <w:szCs w:val="24"/>
        </w:rPr>
        <w:t>is also ne</w:t>
      </w:r>
      <w:r>
        <w:rPr>
          <w:rFonts w:ascii="Times New Roman" w:hAnsi="Times New Roman"/>
          <w:sz w:val="24"/>
          <w:szCs w:val="24"/>
        </w:rPr>
        <w:t>w to PSE beginning with the 2012-2013</w:t>
      </w:r>
      <w:r w:rsidRPr="000815B3">
        <w:rPr>
          <w:rFonts w:ascii="Times New Roman" w:hAnsi="Times New Roman"/>
          <w:sz w:val="24"/>
          <w:szCs w:val="24"/>
        </w:rPr>
        <w:t xml:space="preserve"> program planning. Th</w:t>
      </w:r>
      <w:r>
        <w:rPr>
          <w:rFonts w:ascii="Times New Roman" w:hAnsi="Times New Roman"/>
          <w:sz w:val="24"/>
          <w:szCs w:val="24"/>
        </w:rPr>
        <w:t>is</w:t>
      </w:r>
      <w:r w:rsidRPr="000815B3">
        <w:rPr>
          <w:rFonts w:ascii="Times New Roman" w:hAnsi="Times New Roman"/>
          <w:sz w:val="24"/>
          <w:szCs w:val="24"/>
        </w:rPr>
        <w:t xml:space="preserve"> test </w:t>
      </w:r>
      <w:r>
        <w:rPr>
          <w:rFonts w:ascii="Times New Roman" w:hAnsi="Times New Roman"/>
          <w:sz w:val="24"/>
          <w:szCs w:val="24"/>
        </w:rPr>
        <w:t xml:space="preserve">compares </w:t>
      </w:r>
      <w:r w:rsidRPr="000815B3">
        <w:rPr>
          <w:rFonts w:ascii="Times New Roman" w:hAnsi="Times New Roman"/>
          <w:sz w:val="24"/>
          <w:szCs w:val="24"/>
        </w:rPr>
        <w:t>the customer costs of purchasing the efficient equipment</w:t>
      </w:r>
      <w:r>
        <w:rPr>
          <w:rFonts w:ascii="Times New Roman" w:hAnsi="Times New Roman"/>
          <w:sz w:val="24"/>
          <w:szCs w:val="24"/>
        </w:rPr>
        <w:t xml:space="preserve"> to</w:t>
      </w:r>
      <w:r w:rsidRPr="009861F8">
        <w:rPr>
          <w:rFonts w:ascii="Times New Roman" w:hAnsi="Times New Roman"/>
          <w:sz w:val="24"/>
          <w:szCs w:val="24"/>
        </w:rPr>
        <w:t xml:space="preserve"> </w:t>
      </w:r>
      <w:r>
        <w:rPr>
          <w:rFonts w:ascii="Times New Roman" w:hAnsi="Times New Roman"/>
          <w:sz w:val="24"/>
          <w:szCs w:val="24"/>
        </w:rPr>
        <w:t xml:space="preserve">the </w:t>
      </w:r>
      <w:r w:rsidRPr="000815B3">
        <w:rPr>
          <w:rFonts w:ascii="Times New Roman" w:hAnsi="Times New Roman"/>
          <w:sz w:val="24"/>
          <w:szCs w:val="24"/>
        </w:rPr>
        <w:t>customer</w:t>
      </w:r>
      <w:r>
        <w:rPr>
          <w:rFonts w:ascii="Times New Roman" w:hAnsi="Times New Roman"/>
          <w:sz w:val="24"/>
          <w:szCs w:val="24"/>
        </w:rPr>
        <w:t>s’ associated utility</w:t>
      </w:r>
      <w:r w:rsidRPr="000815B3">
        <w:rPr>
          <w:rFonts w:ascii="Times New Roman" w:hAnsi="Times New Roman"/>
          <w:sz w:val="24"/>
          <w:szCs w:val="24"/>
        </w:rPr>
        <w:t xml:space="preserve"> bill savings.  Essentially, this test allows the utility to understand if the investment in the efficient equipment pays off for the customer. </w:t>
      </w:r>
      <w:r>
        <w:rPr>
          <w:rFonts w:ascii="Times New Roman" w:hAnsi="Times New Roman"/>
          <w:sz w:val="24"/>
          <w:szCs w:val="24"/>
        </w:rPr>
        <w:t xml:space="preserve"> </w:t>
      </w:r>
    </w:p>
    <w:p w:rsidR="00327936" w:rsidRDefault="00327936" w:rsidP="0042771A">
      <w:pPr>
        <w:pStyle w:val="BodyText"/>
        <w:jc w:val="both"/>
        <w:rPr>
          <w:rFonts w:ascii="Times New Roman" w:hAnsi="Times New Roman"/>
          <w:sz w:val="24"/>
          <w:szCs w:val="24"/>
        </w:rPr>
      </w:pPr>
      <w:r>
        <w:rPr>
          <w:rFonts w:ascii="Times New Roman" w:hAnsi="Times New Roman"/>
          <w:sz w:val="24"/>
          <w:szCs w:val="24"/>
        </w:rPr>
        <w:t xml:space="preserve">The PCT </w:t>
      </w:r>
      <w:r w:rsidRPr="000815B3">
        <w:rPr>
          <w:rFonts w:ascii="Times New Roman" w:hAnsi="Times New Roman"/>
          <w:sz w:val="24"/>
          <w:szCs w:val="24"/>
        </w:rPr>
        <w:t>considers all customer costs and bill savings, ignoring all utility incurred costs</w:t>
      </w:r>
      <w:r>
        <w:rPr>
          <w:rFonts w:ascii="Times New Roman" w:hAnsi="Times New Roman"/>
          <w:sz w:val="24"/>
          <w:szCs w:val="24"/>
        </w:rPr>
        <w:t xml:space="preserve"> and utility benefit</w:t>
      </w:r>
      <w:r w:rsidRPr="000815B3">
        <w:rPr>
          <w:rFonts w:ascii="Times New Roman" w:hAnsi="Times New Roman"/>
          <w:sz w:val="24"/>
          <w:szCs w:val="24"/>
        </w:rPr>
        <w:t xml:space="preserve">. </w:t>
      </w:r>
      <w:r>
        <w:rPr>
          <w:rFonts w:ascii="Times New Roman" w:hAnsi="Times New Roman"/>
          <w:sz w:val="24"/>
          <w:szCs w:val="24"/>
        </w:rPr>
        <w:t xml:space="preserve">This test is required for the electric portfolio evaluation only; it is currently not required for gas energy efficiency program cost-effectiveness evaluations. </w:t>
      </w:r>
      <w:r w:rsidRPr="000815B3">
        <w:rPr>
          <w:rFonts w:ascii="Times New Roman" w:hAnsi="Times New Roman"/>
          <w:sz w:val="24"/>
          <w:szCs w:val="24"/>
        </w:rPr>
        <w:t>The costs and benefits included in the calcu</w:t>
      </w:r>
      <w:r>
        <w:rPr>
          <w:rFonts w:ascii="Times New Roman" w:hAnsi="Times New Roman"/>
          <w:sz w:val="24"/>
          <w:szCs w:val="24"/>
        </w:rPr>
        <w:t xml:space="preserve">lation of the PCT </w:t>
      </w:r>
      <w:r w:rsidRPr="000815B3">
        <w:rPr>
          <w:rFonts w:ascii="Times New Roman" w:hAnsi="Times New Roman"/>
          <w:sz w:val="24"/>
          <w:szCs w:val="24"/>
        </w:rPr>
        <w:t xml:space="preserve">are </w:t>
      </w:r>
      <w:r>
        <w:rPr>
          <w:rFonts w:ascii="Times New Roman" w:hAnsi="Times New Roman"/>
          <w:sz w:val="24"/>
          <w:szCs w:val="24"/>
        </w:rPr>
        <w:t xml:space="preserve">listed </w:t>
      </w:r>
      <w:r w:rsidRPr="000815B3">
        <w:rPr>
          <w:rFonts w:ascii="Times New Roman" w:hAnsi="Times New Roman"/>
          <w:sz w:val="24"/>
          <w:szCs w:val="24"/>
        </w:rPr>
        <w:t>below:</w:t>
      </w:r>
    </w:p>
    <w:p w:rsidR="00327936" w:rsidRPr="000815B3"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 xml:space="preserve">Costs: </w:t>
      </w:r>
    </w:p>
    <w:p w:rsidR="00327936" w:rsidRDefault="00327936" w:rsidP="00E57E79">
      <w:pPr>
        <w:pStyle w:val="BodyText"/>
        <w:numPr>
          <w:ilvl w:val="0"/>
          <w:numId w:val="21"/>
        </w:numPr>
        <w:spacing w:after="120"/>
        <w:jc w:val="both"/>
        <w:rPr>
          <w:rFonts w:ascii="Times New Roman" w:hAnsi="Times New Roman"/>
          <w:sz w:val="24"/>
          <w:szCs w:val="24"/>
        </w:rPr>
      </w:pPr>
      <w:r>
        <w:rPr>
          <w:rFonts w:ascii="Times New Roman" w:hAnsi="Times New Roman"/>
          <w:sz w:val="24"/>
          <w:szCs w:val="24"/>
        </w:rPr>
        <w:t>Equipment c</w:t>
      </w:r>
      <w:r w:rsidRPr="000815B3">
        <w:rPr>
          <w:rFonts w:ascii="Times New Roman" w:hAnsi="Times New Roman"/>
          <w:sz w:val="24"/>
          <w:szCs w:val="24"/>
        </w:rPr>
        <w:t>osts</w:t>
      </w:r>
    </w:p>
    <w:p w:rsidR="00327936" w:rsidRPr="000815B3" w:rsidRDefault="00327936" w:rsidP="001737DC">
      <w:pPr>
        <w:pStyle w:val="BodyText"/>
        <w:spacing w:after="120"/>
        <w:jc w:val="both"/>
        <w:rPr>
          <w:rFonts w:ascii="Times New Roman" w:hAnsi="Times New Roman"/>
          <w:sz w:val="24"/>
          <w:szCs w:val="24"/>
        </w:rPr>
      </w:pPr>
      <w:r w:rsidRPr="000815B3">
        <w:rPr>
          <w:rFonts w:ascii="Times New Roman" w:hAnsi="Times New Roman"/>
          <w:sz w:val="24"/>
          <w:szCs w:val="24"/>
        </w:rPr>
        <w:t>Benefits:</w:t>
      </w:r>
    </w:p>
    <w:p w:rsidR="00327936" w:rsidRPr="000815B3" w:rsidRDefault="00327936" w:rsidP="00E57E79">
      <w:pPr>
        <w:pStyle w:val="BodyText"/>
        <w:numPr>
          <w:ilvl w:val="0"/>
          <w:numId w:val="22"/>
        </w:numPr>
        <w:spacing w:after="120"/>
        <w:jc w:val="both"/>
        <w:rPr>
          <w:rFonts w:ascii="Times New Roman" w:hAnsi="Times New Roman"/>
          <w:sz w:val="24"/>
          <w:szCs w:val="24"/>
        </w:rPr>
      </w:pPr>
      <w:r>
        <w:rPr>
          <w:rFonts w:ascii="Times New Roman" w:hAnsi="Times New Roman"/>
          <w:sz w:val="24"/>
          <w:szCs w:val="24"/>
        </w:rPr>
        <w:t>Bill s</w:t>
      </w:r>
      <w:r w:rsidRPr="000815B3">
        <w:rPr>
          <w:rFonts w:ascii="Times New Roman" w:hAnsi="Times New Roman"/>
          <w:sz w:val="24"/>
          <w:szCs w:val="24"/>
        </w:rPr>
        <w:t>avings</w:t>
      </w:r>
    </w:p>
    <w:p w:rsidR="00327936" w:rsidRDefault="00327936" w:rsidP="00E57E79">
      <w:pPr>
        <w:pStyle w:val="BodyText"/>
        <w:numPr>
          <w:ilvl w:val="0"/>
          <w:numId w:val="22"/>
        </w:numPr>
        <w:spacing w:after="120"/>
        <w:jc w:val="both"/>
        <w:rPr>
          <w:rFonts w:ascii="Times New Roman" w:hAnsi="Times New Roman"/>
          <w:sz w:val="24"/>
          <w:szCs w:val="24"/>
        </w:rPr>
      </w:pPr>
      <w:r>
        <w:rPr>
          <w:rFonts w:ascii="Times New Roman" w:hAnsi="Times New Roman"/>
          <w:sz w:val="24"/>
          <w:szCs w:val="24"/>
        </w:rPr>
        <w:t>Program i</w:t>
      </w:r>
      <w:r w:rsidRPr="000815B3">
        <w:rPr>
          <w:rFonts w:ascii="Times New Roman" w:hAnsi="Times New Roman"/>
          <w:sz w:val="24"/>
          <w:szCs w:val="24"/>
        </w:rPr>
        <w:t>ncentives</w:t>
      </w:r>
    </w:p>
    <w:p w:rsidR="00327936" w:rsidRDefault="00327936" w:rsidP="00E57E79">
      <w:pPr>
        <w:pStyle w:val="BodyText"/>
        <w:numPr>
          <w:ilvl w:val="0"/>
          <w:numId w:val="22"/>
        </w:numPr>
        <w:spacing w:after="120"/>
        <w:jc w:val="both"/>
        <w:rPr>
          <w:rFonts w:ascii="Times New Roman" w:hAnsi="Times New Roman"/>
          <w:sz w:val="24"/>
          <w:szCs w:val="24"/>
        </w:rPr>
      </w:pPr>
      <w:r>
        <w:rPr>
          <w:rFonts w:ascii="Times New Roman" w:hAnsi="Times New Roman"/>
          <w:sz w:val="24"/>
          <w:szCs w:val="24"/>
        </w:rPr>
        <w:t>Applicable tax credits or incentives</w:t>
      </w:r>
    </w:p>
    <w:p w:rsidR="00327936" w:rsidRDefault="00327936" w:rsidP="00E57E79">
      <w:pPr>
        <w:pStyle w:val="BodyText"/>
        <w:numPr>
          <w:ilvl w:val="0"/>
          <w:numId w:val="22"/>
        </w:numPr>
        <w:spacing w:after="120"/>
        <w:jc w:val="both"/>
        <w:rPr>
          <w:rFonts w:ascii="Times New Roman" w:hAnsi="Times New Roman"/>
          <w:sz w:val="24"/>
          <w:szCs w:val="24"/>
        </w:rPr>
      </w:pPr>
      <w:r>
        <w:rPr>
          <w:rFonts w:ascii="Times New Roman" w:hAnsi="Times New Roman"/>
          <w:sz w:val="24"/>
          <w:szCs w:val="24"/>
        </w:rPr>
        <w:t>Non-energy benefits which are incurred by the customer</w:t>
      </w:r>
      <w:r>
        <w:rPr>
          <w:rStyle w:val="FootnoteReference"/>
          <w:rFonts w:ascii="Times New Roman" w:hAnsi="Times New Roman"/>
          <w:sz w:val="24"/>
          <w:szCs w:val="24"/>
        </w:rPr>
        <w:footnoteReference w:id="10"/>
      </w:r>
    </w:p>
    <w:p w:rsidR="00327936" w:rsidRDefault="00327936" w:rsidP="0012284C">
      <w:pPr>
        <w:pStyle w:val="BodyText"/>
        <w:spacing w:after="120"/>
        <w:jc w:val="both"/>
        <w:rPr>
          <w:rFonts w:ascii="Times New Roman" w:hAnsi="Times New Roman"/>
          <w:sz w:val="24"/>
          <w:szCs w:val="24"/>
        </w:rPr>
      </w:pPr>
    </w:p>
    <w:p w:rsidR="00327936" w:rsidRDefault="00327936" w:rsidP="0012284C">
      <w:pPr>
        <w:pStyle w:val="BodyText"/>
        <w:spacing w:after="120"/>
        <w:jc w:val="both"/>
        <w:rPr>
          <w:rFonts w:ascii="Times New Roman" w:hAnsi="Times New Roman"/>
          <w:sz w:val="24"/>
          <w:szCs w:val="24"/>
        </w:rPr>
      </w:pPr>
    </w:p>
    <w:p w:rsidR="00327936" w:rsidRDefault="00327936" w:rsidP="0012284C">
      <w:pPr>
        <w:pStyle w:val="BodyText"/>
        <w:spacing w:after="120"/>
        <w:jc w:val="both"/>
        <w:rPr>
          <w:rFonts w:ascii="Times New Roman" w:hAnsi="Times New Roman"/>
          <w:sz w:val="24"/>
          <w:szCs w:val="24"/>
        </w:rPr>
      </w:pPr>
    </w:p>
    <w:p w:rsidR="00327936" w:rsidRDefault="00327936" w:rsidP="0012284C">
      <w:pPr>
        <w:pStyle w:val="BodyText"/>
        <w:spacing w:after="120"/>
        <w:jc w:val="both"/>
        <w:rPr>
          <w:rFonts w:ascii="Times New Roman" w:hAnsi="Times New Roman"/>
          <w:sz w:val="24"/>
          <w:szCs w:val="24"/>
        </w:rPr>
      </w:pPr>
    </w:p>
    <w:p w:rsidR="00327936" w:rsidRDefault="00327936" w:rsidP="0012284C">
      <w:pPr>
        <w:pStyle w:val="BodyText"/>
        <w:spacing w:after="120"/>
        <w:jc w:val="both"/>
        <w:rPr>
          <w:rFonts w:ascii="Times New Roman" w:hAnsi="Times New Roman"/>
          <w:sz w:val="24"/>
          <w:szCs w:val="24"/>
        </w:rPr>
      </w:pPr>
    </w:p>
    <w:p w:rsidR="00327936" w:rsidRDefault="00327936" w:rsidP="0012284C">
      <w:pPr>
        <w:pStyle w:val="BodyText"/>
        <w:spacing w:after="120"/>
        <w:jc w:val="both"/>
        <w:rPr>
          <w:rFonts w:ascii="Times New Roman" w:hAnsi="Times New Roman"/>
          <w:sz w:val="24"/>
          <w:szCs w:val="24"/>
        </w:rPr>
      </w:pPr>
    </w:p>
    <w:p w:rsidR="00327936" w:rsidRDefault="00327936" w:rsidP="00E904F9">
      <w:pPr>
        <w:pStyle w:val="Heading1"/>
        <w:numPr>
          <w:ilvl w:val="0"/>
          <w:numId w:val="16"/>
        </w:numPr>
        <w:pBdr>
          <w:bottom w:val="single" w:sz="4" w:space="0" w:color="auto"/>
        </w:pBdr>
        <w:jc w:val="both"/>
        <w:rPr>
          <w:bCs/>
        </w:rPr>
      </w:pPr>
      <w:bookmarkStart w:id="22" w:name="_Toc294277322"/>
      <w:bookmarkStart w:id="23" w:name="_Toc307067039"/>
      <w:r>
        <w:rPr>
          <w:bCs/>
        </w:rPr>
        <w:t>Key Drivers of the Cost-Effectiveness Calculations</w:t>
      </w:r>
      <w:bookmarkEnd w:id="22"/>
      <w:bookmarkEnd w:id="23"/>
      <w:r>
        <w:rPr>
          <w:bCs/>
        </w:rPr>
        <w:t xml:space="preserve"> </w:t>
      </w:r>
    </w:p>
    <w:p w:rsidR="00327936" w:rsidRDefault="00327936" w:rsidP="00E904F9">
      <w:pPr>
        <w:pStyle w:val="Heading2"/>
        <w:numPr>
          <w:ilvl w:val="1"/>
          <w:numId w:val="16"/>
        </w:numPr>
        <w:jc w:val="both"/>
      </w:pPr>
      <w:r>
        <w:t xml:space="preserve"> </w:t>
      </w:r>
      <w:bookmarkStart w:id="24" w:name="_Toc294277323"/>
      <w:bookmarkStart w:id="25" w:name="_Toc307067040"/>
      <w:r>
        <w:t>Framework for Cost-Effectiveness Calculations</w:t>
      </w:r>
      <w:bookmarkEnd w:id="24"/>
      <w:bookmarkEnd w:id="25"/>
      <w:r>
        <w:t xml:space="preserve"> </w:t>
      </w:r>
    </w:p>
    <w:p w:rsidR="00327936" w:rsidRDefault="00327936" w:rsidP="00E904F9">
      <w:pPr>
        <w:pStyle w:val="BodyText"/>
        <w:jc w:val="both"/>
        <w:rPr>
          <w:rFonts w:ascii="Times New Roman" w:hAnsi="Times New Roman"/>
          <w:sz w:val="24"/>
          <w:szCs w:val="24"/>
        </w:rPr>
      </w:pPr>
      <w:r w:rsidRPr="000815B3">
        <w:rPr>
          <w:rFonts w:ascii="Times New Roman" w:hAnsi="Times New Roman"/>
          <w:sz w:val="24"/>
          <w:szCs w:val="24"/>
        </w:rPr>
        <w:t>Cost-effective</w:t>
      </w:r>
      <w:r>
        <w:rPr>
          <w:rFonts w:ascii="Times New Roman" w:hAnsi="Times New Roman"/>
          <w:sz w:val="24"/>
          <w:szCs w:val="24"/>
        </w:rPr>
        <w:t>nes</w:t>
      </w:r>
      <w:r w:rsidRPr="000815B3">
        <w:rPr>
          <w:rFonts w:ascii="Times New Roman" w:hAnsi="Times New Roman"/>
          <w:sz w:val="24"/>
          <w:szCs w:val="24"/>
        </w:rPr>
        <w:t>s calculations have several key drivers</w:t>
      </w:r>
      <w:r>
        <w:rPr>
          <w:rFonts w:ascii="Times New Roman" w:hAnsi="Times New Roman"/>
          <w:sz w:val="24"/>
          <w:szCs w:val="24"/>
        </w:rPr>
        <w:t>, which include:</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 xml:space="preserve">The </w:t>
      </w:r>
      <w:r w:rsidRPr="000815B3">
        <w:rPr>
          <w:rFonts w:ascii="Times New Roman" w:hAnsi="Times New Roman"/>
          <w:sz w:val="24"/>
          <w:szCs w:val="24"/>
        </w:rPr>
        <w:t xml:space="preserve">avoided cost of energy,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 xml:space="preserve">The </w:t>
      </w:r>
      <w:r w:rsidRPr="000815B3">
        <w:rPr>
          <w:rFonts w:ascii="Times New Roman" w:hAnsi="Times New Roman"/>
          <w:sz w:val="24"/>
          <w:szCs w:val="24"/>
        </w:rPr>
        <w:t xml:space="preserve">avoided costs of capacity,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P</w:t>
      </w:r>
      <w:r w:rsidRPr="000815B3">
        <w:rPr>
          <w:rFonts w:ascii="Times New Roman" w:hAnsi="Times New Roman"/>
          <w:sz w:val="24"/>
          <w:szCs w:val="24"/>
        </w:rPr>
        <w:t xml:space="preserve">rogram overhead costs,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C</w:t>
      </w:r>
      <w:r w:rsidRPr="000815B3">
        <w:rPr>
          <w:rFonts w:ascii="Times New Roman" w:hAnsi="Times New Roman"/>
          <w:sz w:val="24"/>
          <w:szCs w:val="24"/>
        </w:rPr>
        <w:t xml:space="preserve">ustomer costs,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P</w:t>
      </w:r>
      <w:r w:rsidRPr="000815B3">
        <w:rPr>
          <w:rFonts w:ascii="Times New Roman" w:hAnsi="Times New Roman"/>
          <w:sz w:val="24"/>
          <w:szCs w:val="24"/>
        </w:rPr>
        <w:t xml:space="preserve">rogram incentives,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N</w:t>
      </w:r>
      <w:r w:rsidRPr="000815B3">
        <w:rPr>
          <w:rFonts w:ascii="Times New Roman" w:hAnsi="Times New Roman"/>
          <w:sz w:val="24"/>
          <w:szCs w:val="24"/>
        </w:rPr>
        <w:t xml:space="preserve">on-energy benefits,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M</w:t>
      </w:r>
      <w:r w:rsidRPr="000815B3">
        <w:rPr>
          <w:rFonts w:ascii="Times New Roman" w:hAnsi="Times New Roman"/>
          <w:sz w:val="24"/>
          <w:szCs w:val="24"/>
        </w:rPr>
        <w:t xml:space="preserve">easure life, </w:t>
      </w:r>
    </w:p>
    <w:p w:rsidR="00327936" w:rsidRDefault="00327936" w:rsidP="0040723B">
      <w:pPr>
        <w:pStyle w:val="BodyText"/>
        <w:numPr>
          <w:ilvl w:val="0"/>
          <w:numId w:val="39"/>
        </w:numPr>
        <w:spacing w:after="0"/>
        <w:jc w:val="both"/>
        <w:rPr>
          <w:rFonts w:ascii="Times New Roman" w:hAnsi="Times New Roman"/>
          <w:sz w:val="24"/>
          <w:szCs w:val="24"/>
        </w:rPr>
      </w:pPr>
      <w:r>
        <w:rPr>
          <w:rFonts w:ascii="Times New Roman" w:hAnsi="Times New Roman"/>
          <w:sz w:val="24"/>
          <w:szCs w:val="24"/>
        </w:rPr>
        <w:t>T</w:t>
      </w:r>
      <w:r w:rsidRPr="000815B3">
        <w:rPr>
          <w:rFonts w:ascii="Times New Roman" w:hAnsi="Times New Roman"/>
          <w:sz w:val="24"/>
          <w:szCs w:val="24"/>
        </w:rPr>
        <w:t>he load</w:t>
      </w:r>
      <w:r>
        <w:rPr>
          <w:rFonts w:ascii="Times New Roman" w:hAnsi="Times New Roman"/>
          <w:sz w:val="24"/>
          <w:szCs w:val="24"/>
        </w:rPr>
        <w:t xml:space="preserve"> </w:t>
      </w:r>
      <w:r w:rsidRPr="000815B3">
        <w:rPr>
          <w:rFonts w:ascii="Times New Roman" w:hAnsi="Times New Roman"/>
          <w:sz w:val="24"/>
          <w:szCs w:val="24"/>
        </w:rPr>
        <w:t>shape used in the calculation of avoided costs</w:t>
      </w:r>
      <w:r>
        <w:rPr>
          <w:rFonts w:ascii="Times New Roman" w:hAnsi="Times New Roman"/>
          <w:sz w:val="24"/>
          <w:szCs w:val="24"/>
        </w:rPr>
        <w:t>;</w:t>
      </w:r>
      <w:r w:rsidRPr="000815B3">
        <w:rPr>
          <w:rFonts w:ascii="Times New Roman" w:hAnsi="Times New Roman"/>
          <w:sz w:val="24"/>
          <w:szCs w:val="24"/>
        </w:rPr>
        <w:t xml:space="preserve"> </w:t>
      </w:r>
    </w:p>
    <w:p w:rsidR="00327936" w:rsidRDefault="00327936" w:rsidP="0040723B">
      <w:pPr>
        <w:pStyle w:val="BodyText"/>
        <w:numPr>
          <w:ilvl w:val="0"/>
          <w:numId w:val="39"/>
        </w:numPr>
        <w:spacing w:after="0"/>
        <w:jc w:val="both"/>
        <w:rPr>
          <w:rFonts w:ascii="Times New Roman" w:hAnsi="Times New Roman"/>
          <w:sz w:val="24"/>
          <w:szCs w:val="24"/>
        </w:rPr>
      </w:pPr>
      <w:r w:rsidRPr="000815B3">
        <w:rPr>
          <w:rFonts w:ascii="Times New Roman" w:hAnsi="Times New Roman"/>
          <w:sz w:val="24"/>
          <w:szCs w:val="24"/>
        </w:rPr>
        <w:t xml:space="preserve">The discount rate used for calculating the present value of benefits and costs. </w:t>
      </w:r>
    </w:p>
    <w:p w:rsidR="00327936" w:rsidRDefault="00327936">
      <w:pPr>
        <w:pStyle w:val="BodyText"/>
        <w:spacing w:after="0"/>
        <w:ind w:left="360"/>
        <w:jc w:val="both"/>
        <w:rPr>
          <w:rFonts w:ascii="Times New Roman" w:hAnsi="Times New Roman"/>
          <w:sz w:val="24"/>
          <w:szCs w:val="24"/>
        </w:rPr>
      </w:pPr>
    </w:p>
    <w:p w:rsidR="00327936" w:rsidRDefault="00327936">
      <w:pPr>
        <w:pStyle w:val="BodyText"/>
        <w:ind w:left="360"/>
        <w:jc w:val="both"/>
        <w:rPr>
          <w:rFonts w:ascii="Times New Roman" w:hAnsi="Times New Roman"/>
          <w:sz w:val="24"/>
          <w:szCs w:val="24"/>
        </w:rPr>
      </w:pPr>
      <w:r w:rsidRPr="000815B3">
        <w:rPr>
          <w:rFonts w:ascii="Times New Roman" w:hAnsi="Times New Roman"/>
          <w:sz w:val="24"/>
          <w:szCs w:val="24"/>
        </w:rPr>
        <w:t xml:space="preserve">Each of the major drivers to the outcome of the cost-effectiveness calculations are </w:t>
      </w:r>
      <w:r>
        <w:rPr>
          <w:rFonts w:ascii="Times New Roman" w:hAnsi="Times New Roman"/>
          <w:sz w:val="24"/>
          <w:szCs w:val="24"/>
        </w:rPr>
        <w:t>discussed</w:t>
      </w:r>
      <w:r w:rsidRPr="000815B3">
        <w:rPr>
          <w:rFonts w:ascii="Times New Roman" w:hAnsi="Times New Roman"/>
          <w:sz w:val="24"/>
          <w:szCs w:val="24"/>
        </w:rPr>
        <w:t xml:space="preserve"> below</w:t>
      </w:r>
      <w:r>
        <w:rPr>
          <w:rFonts w:ascii="Times New Roman" w:hAnsi="Times New Roman"/>
          <w:sz w:val="24"/>
          <w:szCs w:val="24"/>
        </w:rPr>
        <w:t>.</w:t>
      </w:r>
      <w:r w:rsidRPr="000815B3">
        <w:rPr>
          <w:rFonts w:ascii="Times New Roman" w:hAnsi="Times New Roman"/>
          <w:sz w:val="24"/>
          <w:szCs w:val="24"/>
        </w:rPr>
        <w:t xml:space="preserve"> </w:t>
      </w:r>
    </w:p>
    <w:p w:rsidR="00327936" w:rsidRDefault="00327936" w:rsidP="00E904F9">
      <w:pPr>
        <w:pStyle w:val="Heading2"/>
        <w:numPr>
          <w:ilvl w:val="1"/>
          <w:numId w:val="16"/>
        </w:numPr>
        <w:jc w:val="both"/>
      </w:pPr>
      <w:r>
        <w:t xml:space="preserve"> </w:t>
      </w:r>
      <w:bookmarkStart w:id="26" w:name="_Toc294277324"/>
      <w:bookmarkStart w:id="27" w:name="_Toc307067041"/>
      <w:r>
        <w:t>Avoided Cost of Energy &amp; Capacity</w:t>
      </w:r>
      <w:bookmarkEnd w:id="26"/>
      <w:bookmarkEnd w:id="27"/>
    </w:p>
    <w:p w:rsidR="00327936" w:rsidRDefault="00327936" w:rsidP="00E904F9">
      <w:pPr>
        <w:pStyle w:val="BodyText"/>
        <w:jc w:val="both"/>
        <w:rPr>
          <w:rFonts w:ascii="Times New Roman" w:hAnsi="Times New Roman"/>
          <w:sz w:val="24"/>
          <w:szCs w:val="24"/>
        </w:rPr>
      </w:pPr>
      <w:r w:rsidRPr="000815B3">
        <w:rPr>
          <w:rFonts w:ascii="Times New Roman" w:hAnsi="Times New Roman"/>
          <w:sz w:val="24"/>
          <w:szCs w:val="24"/>
        </w:rPr>
        <w:t>Avoided co</w:t>
      </w:r>
      <w:r>
        <w:rPr>
          <w:rFonts w:ascii="Times New Roman" w:hAnsi="Times New Roman"/>
          <w:sz w:val="24"/>
          <w:szCs w:val="24"/>
        </w:rPr>
        <w:t>sts are those costs the utility does not incur when purchasing a demand side resource instead of a supply resource.  Avoided costs of energy and capacity are the</w:t>
      </w:r>
      <w:r w:rsidRPr="000815B3">
        <w:rPr>
          <w:rFonts w:ascii="Times New Roman" w:hAnsi="Times New Roman"/>
          <w:sz w:val="24"/>
          <w:szCs w:val="24"/>
        </w:rPr>
        <w:t xml:space="preserve"> main driver of the benefits that are included in </w:t>
      </w:r>
      <w:r>
        <w:rPr>
          <w:rFonts w:ascii="Times New Roman" w:hAnsi="Times New Roman"/>
          <w:sz w:val="24"/>
          <w:szCs w:val="24"/>
        </w:rPr>
        <w:t xml:space="preserve">PSE’s </w:t>
      </w:r>
      <w:r w:rsidRPr="000815B3">
        <w:rPr>
          <w:rFonts w:ascii="Times New Roman" w:hAnsi="Times New Roman"/>
          <w:sz w:val="24"/>
          <w:szCs w:val="24"/>
        </w:rPr>
        <w:t>cost-effectiveness</w:t>
      </w:r>
      <w:r>
        <w:rPr>
          <w:rFonts w:ascii="Times New Roman" w:hAnsi="Times New Roman"/>
          <w:sz w:val="24"/>
          <w:szCs w:val="24"/>
        </w:rPr>
        <w:t xml:space="preserve"> calculations for</w:t>
      </w:r>
      <w:r w:rsidRPr="000815B3">
        <w:rPr>
          <w:rFonts w:ascii="Times New Roman" w:hAnsi="Times New Roman"/>
          <w:sz w:val="24"/>
          <w:szCs w:val="24"/>
        </w:rPr>
        <w:t xml:space="preserve"> energy efficiency programs. </w:t>
      </w:r>
      <w:r>
        <w:rPr>
          <w:rFonts w:ascii="Times New Roman" w:hAnsi="Times New Roman"/>
          <w:sz w:val="24"/>
          <w:szCs w:val="24"/>
        </w:rPr>
        <w:t xml:space="preserve"> </w:t>
      </w:r>
      <w:r w:rsidRPr="000815B3">
        <w:rPr>
          <w:rFonts w:ascii="Times New Roman" w:hAnsi="Times New Roman"/>
          <w:sz w:val="24"/>
          <w:szCs w:val="24"/>
        </w:rPr>
        <w:t>Higher avoided costs of energy and capacity make energy efficiency programs more attractive</w:t>
      </w:r>
      <w:r>
        <w:rPr>
          <w:rFonts w:ascii="Times New Roman" w:hAnsi="Times New Roman"/>
          <w:sz w:val="24"/>
          <w:szCs w:val="24"/>
        </w:rPr>
        <w:t xml:space="preserve"> to PSE</w:t>
      </w:r>
      <w:r w:rsidRPr="000815B3">
        <w:rPr>
          <w:rFonts w:ascii="Times New Roman" w:hAnsi="Times New Roman"/>
          <w:sz w:val="24"/>
          <w:szCs w:val="24"/>
        </w:rPr>
        <w:t xml:space="preserve"> and more cost-effective for the utility, all other things </w:t>
      </w:r>
      <w:r>
        <w:rPr>
          <w:rFonts w:ascii="Times New Roman" w:hAnsi="Times New Roman"/>
          <w:sz w:val="24"/>
          <w:szCs w:val="24"/>
        </w:rPr>
        <w:t>being equal</w:t>
      </w:r>
      <w:r w:rsidRPr="000815B3">
        <w:rPr>
          <w:rFonts w:ascii="Times New Roman" w:hAnsi="Times New Roman"/>
          <w:sz w:val="24"/>
          <w:szCs w:val="24"/>
        </w:rPr>
        <w:t xml:space="preserve">.  </w:t>
      </w:r>
    </w:p>
    <w:p w:rsidR="00327936" w:rsidRDefault="00327936" w:rsidP="00E904F9">
      <w:pPr>
        <w:pStyle w:val="BodyText"/>
        <w:jc w:val="both"/>
        <w:rPr>
          <w:rFonts w:ascii="Times New Roman" w:hAnsi="Times New Roman"/>
          <w:sz w:val="24"/>
          <w:szCs w:val="24"/>
        </w:rPr>
      </w:pPr>
      <w:r>
        <w:rPr>
          <w:rFonts w:ascii="Times New Roman" w:hAnsi="Times New Roman"/>
          <w:sz w:val="24"/>
          <w:szCs w:val="24"/>
        </w:rPr>
        <w:t>Because avoided costs are developed for individual end-use</w:t>
      </w:r>
      <w:r>
        <w:rPr>
          <w:rStyle w:val="FootnoteReference"/>
          <w:rFonts w:ascii="Times New Roman" w:hAnsi="Times New Roman"/>
          <w:sz w:val="24"/>
          <w:szCs w:val="24"/>
        </w:rPr>
        <w:footnoteReference w:id="11"/>
      </w:r>
      <w:r>
        <w:rPr>
          <w:rFonts w:ascii="Times New Roman" w:hAnsi="Times New Roman"/>
          <w:sz w:val="24"/>
          <w:szCs w:val="24"/>
        </w:rPr>
        <w:t xml:space="preserve"> types, each end-use will be impacted differently by changes in energy costs</w:t>
      </w:r>
      <w:r>
        <w:rPr>
          <w:rStyle w:val="FootnoteReference"/>
          <w:rFonts w:ascii="Times New Roman" w:hAnsi="Times New Roman"/>
          <w:sz w:val="24"/>
          <w:szCs w:val="24"/>
        </w:rPr>
        <w:footnoteReference w:id="12"/>
      </w:r>
      <w:r>
        <w:rPr>
          <w:rFonts w:ascii="Times New Roman" w:hAnsi="Times New Roman"/>
          <w:sz w:val="24"/>
          <w:szCs w:val="24"/>
        </w:rPr>
        <w:t>. In addition, changes in the avoided cost of capacity will impact the cost-effectiveness of energy programs differently. Because PSE is a winter peaking utility, programs which save energy from heating-related efficiency upgrades will be impacted significantly by changes in the avoided cost of capacity because they have a higher coincident savings (savings on peak) than programs that save energy in the summer</w:t>
      </w:r>
      <w:r>
        <w:rPr>
          <w:rStyle w:val="FootnoteReference"/>
          <w:rFonts w:ascii="Times New Roman" w:hAnsi="Times New Roman"/>
          <w:sz w:val="24"/>
          <w:szCs w:val="24"/>
        </w:rPr>
        <w:footnoteReference w:id="13"/>
      </w:r>
      <w:r>
        <w:rPr>
          <w:rFonts w:ascii="Times New Roman" w:hAnsi="Times New Roman"/>
          <w:sz w:val="24"/>
          <w:szCs w:val="24"/>
        </w:rPr>
        <w:t xml:space="preserve">.  Changes in the avoided cost of capacity will have relatively little impact on energy efficiency programs which provide low savings in the peak hours.   </w:t>
      </w:r>
    </w:p>
    <w:p w:rsidR="00327936" w:rsidRDefault="00327936" w:rsidP="00E904F9">
      <w:pPr>
        <w:pStyle w:val="BodyText"/>
        <w:jc w:val="both"/>
        <w:rPr>
          <w:rFonts w:ascii="Times New Roman" w:hAnsi="Times New Roman"/>
          <w:sz w:val="24"/>
          <w:szCs w:val="24"/>
        </w:rPr>
      </w:pPr>
      <w:r>
        <w:rPr>
          <w:rFonts w:ascii="Times New Roman" w:hAnsi="Times New Roman"/>
          <w:sz w:val="24"/>
          <w:szCs w:val="24"/>
        </w:rPr>
        <w:t xml:space="preserve">Avoided costs of capacity are a function of the cost of building capacity resources for peak load and the load shape of the measure being assessed in the avoided cost calculation.  PSE’s peak load typically occurs during the weekday mornings or evenings during the month of December. For equipment where loads coincide with peak hours, capacity costs are included in the avoided costs.  </w:t>
      </w:r>
    </w:p>
    <w:p w:rsidR="00327936" w:rsidRDefault="00327936" w:rsidP="00E904F9">
      <w:pPr>
        <w:pStyle w:val="BodyText"/>
        <w:jc w:val="both"/>
        <w:rPr>
          <w:rFonts w:ascii="Times New Roman" w:hAnsi="Times New Roman"/>
          <w:sz w:val="24"/>
          <w:szCs w:val="24"/>
        </w:rPr>
      </w:pPr>
      <w:r>
        <w:rPr>
          <w:rFonts w:ascii="Times New Roman" w:hAnsi="Times New Roman"/>
          <w:sz w:val="24"/>
          <w:szCs w:val="24"/>
        </w:rPr>
        <w:t xml:space="preserve">Space heating measures have a higher coincidence with peak than non-heating related measures, such as lighting.  Therefore, the avoided costs of capacity have a much greater impact on space heat measures than they do on measures which are used at a fairly constant rate throughout the year. This is because a larger portion of the savings for space heat measures coincides with times where PSE is paying for peak resources.  </w:t>
      </w:r>
    </w:p>
    <w:p w:rsidR="00327936" w:rsidRDefault="00327936" w:rsidP="0017593D">
      <w:pPr>
        <w:pStyle w:val="Heading2"/>
        <w:numPr>
          <w:ilvl w:val="1"/>
          <w:numId w:val="16"/>
        </w:numPr>
      </w:pPr>
      <w:r w:rsidRPr="0017593D">
        <w:t xml:space="preserve"> </w:t>
      </w:r>
      <w:r>
        <w:t xml:space="preserve"> </w:t>
      </w:r>
      <w:bookmarkStart w:id="28" w:name="_Toc294277325"/>
      <w:bookmarkStart w:id="29" w:name="_Toc307067042"/>
      <w:r>
        <w:t>Program Overhead Costs</w:t>
      </w:r>
      <w:bookmarkEnd w:id="28"/>
      <w:bookmarkEnd w:id="29"/>
    </w:p>
    <w:p w:rsidR="00327936" w:rsidRPr="000815B3" w:rsidRDefault="00327936" w:rsidP="00867672">
      <w:pPr>
        <w:pStyle w:val="BodyText"/>
        <w:jc w:val="both"/>
        <w:rPr>
          <w:rFonts w:ascii="Times New Roman" w:hAnsi="Times New Roman"/>
          <w:sz w:val="24"/>
          <w:szCs w:val="24"/>
        </w:rPr>
      </w:pPr>
      <w:r w:rsidRPr="006326AE">
        <w:rPr>
          <w:rFonts w:ascii="Times New Roman" w:hAnsi="Times New Roman"/>
          <w:sz w:val="24"/>
          <w:szCs w:val="24"/>
        </w:rPr>
        <w:t xml:space="preserve">Program overhead costs </w:t>
      </w:r>
      <w:r>
        <w:rPr>
          <w:rFonts w:ascii="Times New Roman" w:hAnsi="Times New Roman"/>
          <w:sz w:val="24"/>
          <w:szCs w:val="24"/>
        </w:rPr>
        <w:t>consist of all costs incurred to run an efficiency program, except those that are incentive-related.  Program overhead costs consist of m</w:t>
      </w:r>
      <w:r w:rsidRPr="000815B3">
        <w:rPr>
          <w:rFonts w:ascii="Times New Roman" w:hAnsi="Times New Roman"/>
          <w:sz w:val="24"/>
          <w:szCs w:val="24"/>
        </w:rPr>
        <w:t>arketing</w:t>
      </w:r>
      <w:r>
        <w:rPr>
          <w:rFonts w:ascii="Times New Roman" w:hAnsi="Times New Roman"/>
          <w:sz w:val="24"/>
          <w:szCs w:val="24"/>
        </w:rPr>
        <w:t xml:space="preserve"> costs, expenses incurred for outside services, internal labor and labor overhead costs, and miscellaneous expenses</w:t>
      </w:r>
      <w:r>
        <w:rPr>
          <w:rStyle w:val="FootnoteReference"/>
          <w:rFonts w:ascii="Times New Roman" w:hAnsi="Times New Roman"/>
          <w:sz w:val="24"/>
          <w:szCs w:val="24"/>
        </w:rPr>
        <w:footnoteReference w:id="14"/>
      </w:r>
      <w:r>
        <w:rPr>
          <w:rFonts w:ascii="Times New Roman" w:hAnsi="Times New Roman"/>
          <w:sz w:val="24"/>
          <w:szCs w:val="24"/>
        </w:rPr>
        <w:t xml:space="preserve"> related to other costs of program activity. </w:t>
      </w:r>
    </w:p>
    <w:p w:rsidR="00327936" w:rsidRDefault="00327936" w:rsidP="00867672">
      <w:pPr>
        <w:pStyle w:val="BodyText"/>
        <w:jc w:val="both"/>
        <w:rPr>
          <w:rFonts w:ascii="Times New Roman" w:hAnsi="Times New Roman"/>
          <w:sz w:val="24"/>
          <w:szCs w:val="24"/>
        </w:rPr>
      </w:pPr>
      <w:r>
        <w:rPr>
          <w:rFonts w:ascii="Times New Roman" w:hAnsi="Times New Roman"/>
          <w:sz w:val="24"/>
          <w:szCs w:val="24"/>
        </w:rPr>
        <w:t xml:space="preserve">Program overhead costs </w:t>
      </w:r>
      <w:r w:rsidRPr="006326AE">
        <w:rPr>
          <w:rFonts w:ascii="Times New Roman" w:hAnsi="Times New Roman"/>
          <w:sz w:val="24"/>
          <w:szCs w:val="24"/>
        </w:rPr>
        <w:t xml:space="preserve">have a direct impact on the cost-effectiveness of </w:t>
      </w:r>
      <w:r>
        <w:rPr>
          <w:rFonts w:ascii="Times New Roman" w:hAnsi="Times New Roman"/>
          <w:sz w:val="24"/>
          <w:szCs w:val="24"/>
        </w:rPr>
        <w:t xml:space="preserve">the related </w:t>
      </w:r>
      <w:r w:rsidRPr="006326AE">
        <w:rPr>
          <w:rFonts w:ascii="Times New Roman" w:hAnsi="Times New Roman"/>
          <w:sz w:val="24"/>
          <w:szCs w:val="24"/>
        </w:rPr>
        <w:t xml:space="preserve">energy efficiency programs. All </w:t>
      </w:r>
      <w:r>
        <w:rPr>
          <w:rFonts w:ascii="Times New Roman" w:hAnsi="Times New Roman"/>
          <w:sz w:val="24"/>
          <w:szCs w:val="24"/>
        </w:rPr>
        <w:t>else equal, an</w:t>
      </w:r>
      <w:r w:rsidRPr="006326AE">
        <w:rPr>
          <w:rFonts w:ascii="Times New Roman" w:hAnsi="Times New Roman"/>
          <w:sz w:val="24"/>
          <w:szCs w:val="24"/>
        </w:rPr>
        <w:t xml:space="preserve"> increase in program overhead costs will decrease the cost-effectiveness </w:t>
      </w:r>
      <w:r>
        <w:rPr>
          <w:rFonts w:ascii="Times New Roman" w:hAnsi="Times New Roman"/>
          <w:sz w:val="24"/>
          <w:szCs w:val="24"/>
        </w:rPr>
        <w:t xml:space="preserve">of efficiency programs.  </w:t>
      </w:r>
    </w:p>
    <w:p w:rsidR="00327936" w:rsidRDefault="00327936" w:rsidP="00EE49C9">
      <w:pPr>
        <w:pStyle w:val="Heading2"/>
        <w:numPr>
          <w:ilvl w:val="1"/>
          <w:numId w:val="16"/>
        </w:numPr>
      </w:pPr>
      <w:bookmarkStart w:id="30" w:name="_Toc294277326"/>
      <w:bookmarkStart w:id="31" w:name="_Toc307067043"/>
      <w:r>
        <w:t>Measure Costs</w:t>
      </w:r>
      <w:bookmarkEnd w:id="30"/>
      <w:bookmarkEnd w:id="31"/>
    </w:p>
    <w:p w:rsidR="00327936" w:rsidRDefault="00327936" w:rsidP="00867672">
      <w:pPr>
        <w:pStyle w:val="BodyText"/>
        <w:jc w:val="both"/>
        <w:rPr>
          <w:rFonts w:ascii="Times New Roman" w:hAnsi="Times New Roman"/>
          <w:sz w:val="24"/>
          <w:szCs w:val="24"/>
        </w:rPr>
      </w:pPr>
      <w:r w:rsidRPr="002211E1">
        <w:rPr>
          <w:rFonts w:ascii="Times New Roman" w:hAnsi="Times New Roman"/>
          <w:sz w:val="24"/>
          <w:szCs w:val="24"/>
        </w:rPr>
        <w:t>Like program ove</w:t>
      </w:r>
      <w:r>
        <w:rPr>
          <w:rFonts w:ascii="Times New Roman" w:hAnsi="Times New Roman"/>
          <w:sz w:val="24"/>
          <w:szCs w:val="24"/>
        </w:rPr>
        <w:t xml:space="preserve">rhead costs, measure costs have a direct impact on the outcome of the cost-effectiveness calculations. To the extent that total measure costs influence the incentive provided by the utility, thus impacting the utility cost, the measure cost impacts all of the tests discussed in this document. All other things equal, an increase in the cost of a measure can decrease the benefit-cost ratio in the cost-effectiveness tests.  </w:t>
      </w:r>
    </w:p>
    <w:p w:rsidR="00327936" w:rsidRPr="00867672" w:rsidRDefault="00327936" w:rsidP="00B06266">
      <w:pPr>
        <w:pStyle w:val="Heading2"/>
        <w:numPr>
          <w:ilvl w:val="2"/>
          <w:numId w:val="16"/>
        </w:numPr>
      </w:pPr>
      <w:bookmarkStart w:id="32" w:name="_Toc294277327"/>
      <w:bookmarkStart w:id="33" w:name="_Toc307067044"/>
      <w:r w:rsidRPr="00867672">
        <w:t>Incremental Cost or Full Measure Cost</w:t>
      </w:r>
      <w:bookmarkEnd w:id="32"/>
      <w:bookmarkEnd w:id="33"/>
    </w:p>
    <w:p w:rsidR="00327936" w:rsidRDefault="00327936" w:rsidP="00867672">
      <w:pPr>
        <w:pStyle w:val="BodyText"/>
        <w:jc w:val="both"/>
        <w:rPr>
          <w:rFonts w:ascii="Times New Roman" w:hAnsi="Times New Roman"/>
          <w:sz w:val="24"/>
          <w:szCs w:val="24"/>
        </w:rPr>
      </w:pPr>
      <w:r>
        <w:rPr>
          <w:rFonts w:ascii="Times New Roman" w:hAnsi="Times New Roman"/>
          <w:sz w:val="24"/>
          <w:szCs w:val="24"/>
        </w:rPr>
        <w:t xml:space="preserve">For the calculation of benefit-cost ratios, PSE defines measure cost as either the full measure cost or the incremental measure cost, depending on the item being offered though the energy efficiency programs and the delivery mechanism where the rebate occurs. </w:t>
      </w:r>
    </w:p>
    <w:p w:rsidR="00327936" w:rsidRDefault="00327936" w:rsidP="00867672">
      <w:pPr>
        <w:pStyle w:val="BodyText"/>
        <w:jc w:val="both"/>
        <w:rPr>
          <w:rFonts w:ascii="Times New Roman" w:hAnsi="Times New Roman"/>
          <w:sz w:val="24"/>
          <w:szCs w:val="24"/>
        </w:rPr>
      </w:pPr>
      <w:r>
        <w:rPr>
          <w:rFonts w:ascii="Times New Roman" w:hAnsi="Times New Roman"/>
          <w:sz w:val="24"/>
          <w:szCs w:val="24"/>
        </w:rPr>
        <w:t xml:space="preserve">The majority of participants in PSE efficiency programs receive monetary incentives when they are replacing old, worn equipment such as a furnace, water heater, or light bulbs.  For these programs, PSE uses the incremental measure cost when calculating the benefit-cost ratios. The incremental measure cost is defined as the cost difference between the pieces of equipment installed though the PSE program and the item the customer would have installed without program intervention; e.g. the added cost of a new high efficiency furnace versus a standard efficiency furnace that complies with the Energy Code.  Therefore, it’s not prudent to include the entire cost of the efficient equipment in the cost-effectiveness test. </w:t>
      </w:r>
    </w:p>
    <w:p w:rsidR="00327936" w:rsidRPr="002211E1" w:rsidRDefault="00327936" w:rsidP="00867672">
      <w:pPr>
        <w:pStyle w:val="BodyText"/>
        <w:jc w:val="both"/>
        <w:rPr>
          <w:rFonts w:ascii="Times New Roman" w:hAnsi="Times New Roman"/>
          <w:sz w:val="24"/>
          <w:szCs w:val="24"/>
        </w:rPr>
      </w:pPr>
      <w:r>
        <w:rPr>
          <w:rFonts w:ascii="Times New Roman" w:hAnsi="Times New Roman"/>
          <w:sz w:val="24"/>
          <w:szCs w:val="24"/>
        </w:rPr>
        <w:t>For programs where customers receive monetary incentives to make changes to existing items which are fully functioning, PSE utilizes the full measure cost when calculating the benefit-cost ratios.  Examples of measures for where the full measure costs are used include insulation, windows, and some early replacement programs</w:t>
      </w:r>
      <w:r>
        <w:rPr>
          <w:rStyle w:val="FootnoteReference"/>
          <w:rFonts w:ascii="Times New Roman" w:hAnsi="Times New Roman"/>
          <w:sz w:val="24"/>
          <w:szCs w:val="24"/>
        </w:rPr>
        <w:footnoteReference w:id="15"/>
      </w:r>
      <w:r>
        <w:rPr>
          <w:rFonts w:ascii="Times New Roman" w:hAnsi="Times New Roman"/>
          <w:sz w:val="24"/>
          <w:szCs w:val="24"/>
        </w:rPr>
        <w:t xml:space="preserve">. </w:t>
      </w:r>
    </w:p>
    <w:p w:rsidR="00327936" w:rsidRDefault="00327936" w:rsidP="00B06266">
      <w:pPr>
        <w:pStyle w:val="Heading2"/>
        <w:numPr>
          <w:ilvl w:val="2"/>
          <w:numId w:val="16"/>
        </w:numPr>
      </w:pPr>
      <w:bookmarkStart w:id="34" w:name="_Toc294277328"/>
      <w:bookmarkStart w:id="35" w:name="_Toc307067045"/>
      <w:r>
        <w:t>Incentive</w:t>
      </w:r>
      <w:bookmarkEnd w:id="34"/>
      <w:bookmarkEnd w:id="35"/>
    </w:p>
    <w:p w:rsidR="00327936" w:rsidRDefault="00327936" w:rsidP="00B06266">
      <w:pPr>
        <w:pStyle w:val="BodyText"/>
        <w:jc w:val="both"/>
        <w:rPr>
          <w:rFonts w:ascii="Times New Roman" w:hAnsi="Times New Roman"/>
          <w:sz w:val="24"/>
          <w:szCs w:val="24"/>
        </w:rPr>
      </w:pPr>
      <w:r w:rsidRPr="00B06266">
        <w:rPr>
          <w:rFonts w:ascii="Times New Roman" w:hAnsi="Times New Roman"/>
          <w:sz w:val="24"/>
          <w:szCs w:val="24"/>
        </w:rPr>
        <w:t xml:space="preserve">The incentive amount provided by the utility has no impact on the </w:t>
      </w:r>
      <w:r>
        <w:rPr>
          <w:rFonts w:ascii="Times New Roman" w:hAnsi="Times New Roman"/>
          <w:sz w:val="24"/>
          <w:szCs w:val="24"/>
        </w:rPr>
        <w:t xml:space="preserve">TRC </w:t>
      </w:r>
      <w:r w:rsidRPr="00B06266">
        <w:rPr>
          <w:rFonts w:ascii="Times New Roman" w:hAnsi="Times New Roman"/>
          <w:sz w:val="24"/>
          <w:szCs w:val="24"/>
        </w:rPr>
        <w:t>becaus</w:t>
      </w:r>
      <w:r>
        <w:rPr>
          <w:rFonts w:ascii="Times New Roman" w:hAnsi="Times New Roman"/>
          <w:sz w:val="24"/>
          <w:szCs w:val="24"/>
        </w:rPr>
        <w:t xml:space="preserve">e this test uses </w:t>
      </w:r>
      <w:r w:rsidRPr="00B06266">
        <w:rPr>
          <w:rFonts w:ascii="Times New Roman" w:hAnsi="Times New Roman"/>
          <w:sz w:val="24"/>
          <w:szCs w:val="24"/>
        </w:rPr>
        <w:t xml:space="preserve">the full or incremental </w:t>
      </w:r>
      <w:r>
        <w:rPr>
          <w:rFonts w:ascii="Times New Roman" w:hAnsi="Times New Roman"/>
          <w:sz w:val="24"/>
          <w:szCs w:val="24"/>
        </w:rPr>
        <w:t xml:space="preserve">measure </w:t>
      </w:r>
      <w:r w:rsidRPr="00B06266">
        <w:rPr>
          <w:rFonts w:ascii="Times New Roman" w:hAnsi="Times New Roman"/>
          <w:sz w:val="24"/>
          <w:szCs w:val="24"/>
        </w:rPr>
        <w:t>cost, both of which include the incentive</w:t>
      </w:r>
      <w:r>
        <w:rPr>
          <w:rFonts w:ascii="Times New Roman" w:hAnsi="Times New Roman"/>
          <w:sz w:val="24"/>
          <w:szCs w:val="24"/>
        </w:rPr>
        <w:t xml:space="preserve"> and customer cost</w:t>
      </w:r>
      <w:r w:rsidRPr="00B06266">
        <w:rPr>
          <w:rFonts w:ascii="Times New Roman" w:hAnsi="Times New Roman"/>
          <w:sz w:val="24"/>
          <w:szCs w:val="24"/>
        </w:rPr>
        <w:t xml:space="preserve"> when calculating the benefit-cost ratio.  </w:t>
      </w:r>
      <w:r>
        <w:rPr>
          <w:rFonts w:ascii="Times New Roman" w:hAnsi="Times New Roman"/>
          <w:sz w:val="24"/>
          <w:szCs w:val="24"/>
        </w:rPr>
        <w:t xml:space="preserve">A change </w:t>
      </w:r>
      <w:r w:rsidRPr="00B06266">
        <w:rPr>
          <w:rFonts w:ascii="Times New Roman" w:hAnsi="Times New Roman"/>
          <w:sz w:val="24"/>
          <w:szCs w:val="24"/>
        </w:rPr>
        <w:t xml:space="preserve">in the incentive will </w:t>
      </w:r>
      <w:r>
        <w:rPr>
          <w:rFonts w:ascii="Times New Roman" w:hAnsi="Times New Roman"/>
          <w:sz w:val="24"/>
          <w:szCs w:val="24"/>
        </w:rPr>
        <w:t xml:space="preserve">change </w:t>
      </w:r>
      <w:r w:rsidRPr="00B06266">
        <w:rPr>
          <w:rFonts w:ascii="Times New Roman" w:hAnsi="Times New Roman"/>
          <w:sz w:val="24"/>
          <w:szCs w:val="24"/>
        </w:rPr>
        <w:t>the cost</w:t>
      </w:r>
      <w:r>
        <w:rPr>
          <w:rFonts w:ascii="Times New Roman" w:hAnsi="Times New Roman"/>
          <w:sz w:val="24"/>
          <w:szCs w:val="24"/>
        </w:rPr>
        <w:t xml:space="preserve"> to the customer</w:t>
      </w:r>
      <w:r w:rsidRPr="00B06266">
        <w:rPr>
          <w:rFonts w:ascii="Times New Roman" w:hAnsi="Times New Roman"/>
          <w:sz w:val="24"/>
          <w:szCs w:val="24"/>
        </w:rPr>
        <w:t xml:space="preserve">, but the total or incremental </w:t>
      </w:r>
      <w:r>
        <w:rPr>
          <w:rFonts w:ascii="Times New Roman" w:hAnsi="Times New Roman"/>
          <w:sz w:val="24"/>
          <w:szCs w:val="24"/>
        </w:rPr>
        <w:t>measure cost will remain the same</w:t>
      </w:r>
      <w:r w:rsidRPr="00B06266">
        <w:rPr>
          <w:rFonts w:ascii="Times New Roman" w:hAnsi="Times New Roman"/>
          <w:sz w:val="24"/>
          <w:szCs w:val="24"/>
        </w:rPr>
        <w:t xml:space="preserve">.  </w:t>
      </w:r>
    </w:p>
    <w:p w:rsidR="00327936" w:rsidRDefault="00327936" w:rsidP="00B06266">
      <w:pPr>
        <w:pStyle w:val="BodyText"/>
        <w:jc w:val="both"/>
        <w:rPr>
          <w:rFonts w:ascii="Times New Roman" w:hAnsi="Times New Roman"/>
          <w:sz w:val="24"/>
          <w:szCs w:val="24"/>
        </w:rPr>
      </w:pPr>
      <w:r w:rsidRPr="00B06266">
        <w:rPr>
          <w:rFonts w:ascii="Times New Roman" w:hAnsi="Times New Roman"/>
          <w:sz w:val="24"/>
          <w:szCs w:val="24"/>
        </w:rPr>
        <w:t>However, the incentive provided by the utility has a direct impact on the</w:t>
      </w:r>
      <w:r>
        <w:rPr>
          <w:rFonts w:ascii="Times New Roman" w:hAnsi="Times New Roman"/>
          <w:sz w:val="24"/>
          <w:szCs w:val="24"/>
        </w:rPr>
        <w:t xml:space="preserve"> outcome of the UCT, RIM Test and the PCT.  When incentives are increased, all else equal, the benefit-cost ratio of the UC and the RIM will decrease, since this will increase the cost to the utility and/or ratepayers with no change in the level of benefits. </w:t>
      </w:r>
      <w:r w:rsidRPr="005359AC">
        <w:rPr>
          <w:rFonts w:ascii="Times New Roman" w:hAnsi="Times New Roman"/>
          <w:sz w:val="24"/>
          <w:szCs w:val="24"/>
        </w:rPr>
        <w:t xml:space="preserve"> </w:t>
      </w:r>
      <w:r>
        <w:rPr>
          <w:rFonts w:ascii="Times New Roman" w:hAnsi="Times New Roman"/>
          <w:sz w:val="24"/>
          <w:szCs w:val="24"/>
        </w:rPr>
        <w:t>On the other hand, incentives are included in the numerator (benefits) of the PCT. When the utility increases incentives, all else held constant, energy efficient equipment becomes more cost-effective for customers.</w:t>
      </w:r>
    </w:p>
    <w:p w:rsidR="00327936" w:rsidRDefault="00327936" w:rsidP="007B0DF5">
      <w:pPr>
        <w:pStyle w:val="Heading2"/>
        <w:numPr>
          <w:ilvl w:val="2"/>
          <w:numId w:val="16"/>
        </w:numPr>
      </w:pPr>
      <w:bookmarkStart w:id="36" w:name="_Toc294277329"/>
      <w:bookmarkStart w:id="37" w:name="_Toc307067046"/>
      <w:r w:rsidRPr="00B02D51">
        <w:t>Customer Cost</w:t>
      </w:r>
      <w:bookmarkEnd w:id="36"/>
      <w:bookmarkEnd w:id="37"/>
    </w:p>
    <w:p w:rsidR="00327936" w:rsidRDefault="00327936" w:rsidP="00F96612">
      <w:pPr>
        <w:pStyle w:val="BodyText"/>
        <w:jc w:val="both"/>
        <w:rPr>
          <w:rFonts w:ascii="Times New Roman" w:hAnsi="Times New Roman"/>
          <w:sz w:val="24"/>
          <w:szCs w:val="24"/>
        </w:rPr>
      </w:pPr>
      <w:r>
        <w:rPr>
          <w:rFonts w:ascii="Times New Roman" w:hAnsi="Times New Roman"/>
          <w:sz w:val="24"/>
          <w:szCs w:val="24"/>
        </w:rPr>
        <w:t xml:space="preserve">Customer costs are those costs that the customer pays for the item being installed.  For programs which use a full measure cost, the customer cost is the full measure cost minus the incentive provided to the customer. For programs which use the incremental measure cost, the customer cost is the incremental cost minus the incentive provided to the customer. There are a small number of programs which offer incentives greater than the incremental measure cost, where the incremental measure cost is used on the cost-effectiveness analyses. For these programs, customer costs are set to zero.  </w:t>
      </w:r>
    </w:p>
    <w:p w:rsidR="00327936" w:rsidRDefault="00327936" w:rsidP="00B02D51">
      <w:pPr>
        <w:pStyle w:val="BodyText"/>
        <w:jc w:val="both"/>
        <w:rPr>
          <w:rFonts w:ascii="Times New Roman" w:hAnsi="Times New Roman"/>
          <w:sz w:val="24"/>
          <w:szCs w:val="24"/>
        </w:rPr>
      </w:pPr>
      <w:r>
        <w:rPr>
          <w:rFonts w:ascii="Times New Roman" w:hAnsi="Times New Roman"/>
          <w:sz w:val="24"/>
          <w:szCs w:val="24"/>
        </w:rPr>
        <w:t xml:space="preserve">Assuming a constant incentive amount, the customer cost associated with a measure offered though PSE efficiency programs does not have an </w:t>
      </w:r>
      <w:r w:rsidRPr="00B06266">
        <w:rPr>
          <w:rFonts w:ascii="Times New Roman" w:hAnsi="Times New Roman"/>
          <w:sz w:val="24"/>
          <w:szCs w:val="24"/>
        </w:rPr>
        <w:t xml:space="preserve">impact on the </w:t>
      </w:r>
      <w:r>
        <w:rPr>
          <w:rFonts w:ascii="Times New Roman" w:hAnsi="Times New Roman"/>
          <w:sz w:val="24"/>
          <w:szCs w:val="24"/>
        </w:rPr>
        <w:t xml:space="preserve">UC or RIM because customer costs are excluded from these tests.  In addition, the customer cost doesn’t directly impact the TRC or PCT because those tests use </w:t>
      </w:r>
      <w:r w:rsidRPr="00B06266">
        <w:rPr>
          <w:rFonts w:ascii="Times New Roman" w:hAnsi="Times New Roman"/>
          <w:sz w:val="24"/>
          <w:szCs w:val="24"/>
        </w:rPr>
        <w:t>either the full measure cost or the incremental cost, bot</w:t>
      </w:r>
      <w:r>
        <w:rPr>
          <w:rFonts w:ascii="Times New Roman" w:hAnsi="Times New Roman"/>
          <w:sz w:val="24"/>
          <w:szCs w:val="24"/>
        </w:rPr>
        <w:t>h of which include the customer cost</w:t>
      </w:r>
      <w:r w:rsidRPr="00B06266">
        <w:rPr>
          <w:rFonts w:ascii="Times New Roman" w:hAnsi="Times New Roman"/>
          <w:sz w:val="24"/>
          <w:szCs w:val="24"/>
        </w:rPr>
        <w:t>, when calcu</w:t>
      </w:r>
      <w:r>
        <w:rPr>
          <w:rFonts w:ascii="Times New Roman" w:hAnsi="Times New Roman"/>
          <w:sz w:val="24"/>
          <w:szCs w:val="24"/>
        </w:rPr>
        <w:t xml:space="preserve">lating the benefit-cost ratio.  </w:t>
      </w:r>
    </w:p>
    <w:p w:rsidR="00327936" w:rsidRDefault="00327936" w:rsidP="00B02D51">
      <w:pPr>
        <w:pStyle w:val="BodyText"/>
        <w:jc w:val="both"/>
        <w:rPr>
          <w:rFonts w:ascii="Times New Roman" w:hAnsi="Times New Roman"/>
          <w:sz w:val="24"/>
          <w:szCs w:val="24"/>
        </w:rPr>
      </w:pPr>
      <w:r>
        <w:rPr>
          <w:rFonts w:ascii="Times New Roman" w:hAnsi="Times New Roman"/>
          <w:sz w:val="24"/>
          <w:szCs w:val="24"/>
        </w:rPr>
        <w:t xml:space="preserve">Customer costs indirectly impact the TRC and the PCT in that they are a component of the total or incremental cost of the item being offered though the efficiency programs. For a given level of incentives, an increase in customer cost is a reflection of an increase in total or incremental measure cost. The increase in total or incremental measure cost will decrease the benefit-cost ratios of the TRC and the PCT. </w:t>
      </w:r>
    </w:p>
    <w:p w:rsidR="00327936" w:rsidRDefault="00327936" w:rsidP="007B0EE6">
      <w:pPr>
        <w:pStyle w:val="Heading2"/>
        <w:numPr>
          <w:ilvl w:val="1"/>
          <w:numId w:val="16"/>
        </w:numPr>
      </w:pPr>
      <w:bookmarkStart w:id="38" w:name="_Toc294277330"/>
      <w:r>
        <w:t xml:space="preserve"> </w:t>
      </w:r>
      <w:bookmarkStart w:id="39" w:name="_Toc307067047"/>
      <w:r w:rsidRPr="007B0EE6">
        <w:t>Additional Costs &amp; Benefi</w:t>
      </w:r>
      <w:r>
        <w:t xml:space="preserve">ts </w:t>
      </w:r>
      <w:bookmarkEnd w:id="38"/>
      <w:r>
        <w:t>(O&amp;M)</w:t>
      </w:r>
      <w:bookmarkEnd w:id="39"/>
    </w:p>
    <w:p w:rsidR="00327936" w:rsidRDefault="00327936" w:rsidP="009252B7">
      <w:pPr>
        <w:pStyle w:val="BodyText"/>
        <w:jc w:val="both"/>
        <w:rPr>
          <w:rFonts w:ascii="Times New Roman" w:hAnsi="Times New Roman"/>
          <w:sz w:val="24"/>
          <w:szCs w:val="24"/>
        </w:rPr>
      </w:pPr>
      <w:r w:rsidRPr="009252B7">
        <w:rPr>
          <w:rFonts w:ascii="Times New Roman" w:hAnsi="Times New Roman"/>
          <w:sz w:val="24"/>
          <w:szCs w:val="24"/>
        </w:rPr>
        <w:t>To be consistent with the Nort</w:t>
      </w:r>
      <w:r>
        <w:rPr>
          <w:rFonts w:ascii="Times New Roman" w:hAnsi="Times New Roman"/>
          <w:sz w:val="24"/>
          <w:szCs w:val="24"/>
        </w:rPr>
        <w:t>hwest Power and Planning Council (The Council)</w:t>
      </w:r>
      <w:r w:rsidRPr="009252B7">
        <w:rPr>
          <w:rFonts w:ascii="Times New Roman" w:hAnsi="Times New Roman"/>
          <w:sz w:val="24"/>
          <w:szCs w:val="24"/>
        </w:rPr>
        <w:t>, additional costs</w:t>
      </w:r>
      <w:r>
        <w:rPr>
          <w:rFonts w:ascii="Times New Roman" w:hAnsi="Times New Roman"/>
          <w:sz w:val="24"/>
          <w:szCs w:val="24"/>
        </w:rPr>
        <w:t xml:space="preserve"> and savings (which are a negative cost) </w:t>
      </w:r>
      <w:r w:rsidRPr="009252B7">
        <w:rPr>
          <w:rFonts w:ascii="Times New Roman" w:hAnsi="Times New Roman"/>
          <w:sz w:val="24"/>
          <w:szCs w:val="24"/>
        </w:rPr>
        <w:t>for operation and maintenance faced by customers installing energy efficie</w:t>
      </w:r>
      <w:r>
        <w:rPr>
          <w:rFonts w:ascii="Times New Roman" w:hAnsi="Times New Roman"/>
          <w:sz w:val="24"/>
          <w:szCs w:val="24"/>
        </w:rPr>
        <w:t>nt equipment through a PSE program</w:t>
      </w:r>
      <w:r w:rsidRPr="009252B7">
        <w:rPr>
          <w:rFonts w:ascii="Times New Roman" w:hAnsi="Times New Roman"/>
          <w:sz w:val="24"/>
          <w:szCs w:val="24"/>
        </w:rPr>
        <w:t xml:space="preserve"> are counted as an additional customer cost</w:t>
      </w:r>
      <w:r>
        <w:rPr>
          <w:rFonts w:ascii="Times New Roman" w:hAnsi="Times New Roman"/>
          <w:sz w:val="24"/>
          <w:szCs w:val="24"/>
        </w:rPr>
        <w:t xml:space="preserve"> for the TRC and PCT</w:t>
      </w:r>
      <w:r w:rsidRPr="009252B7">
        <w:rPr>
          <w:rFonts w:ascii="Times New Roman" w:hAnsi="Times New Roman"/>
          <w:sz w:val="24"/>
          <w:szCs w:val="24"/>
        </w:rPr>
        <w:t xml:space="preserve">.  </w:t>
      </w:r>
    </w:p>
    <w:p w:rsidR="00327936" w:rsidRDefault="00327936" w:rsidP="009252B7">
      <w:pPr>
        <w:pStyle w:val="BodyText"/>
        <w:jc w:val="both"/>
        <w:rPr>
          <w:rFonts w:ascii="Times New Roman" w:hAnsi="Times New Roman"/>
          <w:sz w:val="24"/>
          <w:szCs w:val="24"/>
        </w:rPr>
      </w:pPr>
      <w:r>
        <w:rPr>
          <w:rFonts w:ascii="Times New Roman" w:hAnsi="Times New Roman"/>
          <w:sz w:val="24"/>
          <w:szCs w:val="24"/>
        </w:rPr>
        <w:t xml:space="preserve">The cost of natural gas in a fuel switching program is an example of additional cost associated with participating in an energy efficiency program. To be consistent with the methodology used by the Council, PSE adds the cost of gas to the total utility cost when calculating the cost-effectiveness of fuel switching programs, which convert PSE electric customer to PSE gas.  The reason this cost is not included as an additional customer cost is because it would not be reflected in the UC if the cost of gas was only applied to the customer. In fuel switching programs, PSE is required to purchase more natural gas and that needs to be reflected in the UC as well as the TRC.  All else equal, additional operation and maintenance costs faced by the customer will decrease the benefit-cost ratios of the TRC and PCT. Added customer costs will have no impact on the UC or RIM Tests. </w:t>
      </w:r>
    </w:p>
    <w:p w:rsidR="00327936" w:rsidRDefault="00327936" w:rsidP="009252B7">
      <w:pPr>
        <w:pStyle w:val="BodyText"/>
        <w:jc w:val="both"/>
        <w:rPr>
          <w:rFonts w:ascii="Times New Roman" w:hAnsi="Times New Roman"/>
          <w:sz w:val="24"/>
          <w:szCs w:val="24"/>
        </w:rPr>
      </w:pPr>
    </w:p>
    <w:p w:rsidR="00327936" w:rsidRDefault="00327936" w:rsidP="007B0EE6">
      <w:pPr>
        <w:pStyle w:val="Heading2"/>
        <w:numPr>
          <w:ilvl w:val="1"/>
          <w:numId w:val="16"/>
        </w:numPr>
      </w:pPr>
      <w:bookmarkStart w:id="40" w:name="_Toc294277331"/>
      <w:bookmarkStart w:id="41" w:name="_Toc307067048"/>
      <w:r>
        <w:t>Non-Energy Benefits</w:t>
      </w:r>
      <w:bookmarkEnd w:id="40"/>
      <w:bookmarkEnd w:id="41"/>
      <w:r>
        <w:t xml:space="preserve"> </w:t>
      </w:r>
    </w:p>
    <w:p w:rsidR="00327936" w:rsidRDefault="00327936" w:rsidP="00133454">
      <w:pPr>
        <w:pStyle w:val="BodyText"/>
        <w:jc w:val="both"/>
        <w:rPr>
          <w:rFonts w:ascii="Times New Roman" w:hAnsi="Times New Roman"/>
          <w:sz w:val="24"/>
          <w:szCs w:val="24"/>
        </w:rPr>
      </w:pPr>
      <w:r w:rsidRPr="00A669C1">
        <w:rPr>
          <w:rFonts w:ascii="Times New Roman" w:hAnsi="Times New Roman"/>
          <w:sz w:val="24"/>
          <w:szCs w:val="24"/>
        </w:rPr>
        <w:t>Non</w:t>
      </w:r>
      <w:r>
        <w:rPr>
          <w:rFonts w:ascii="Times New Roman" w:hAnsi="Times New Roman"/>
          <w:sz w:val="24"/>
          <w:szCs w:val="24"/>
        </w:rPr>
        <w:t>-e</w:t>
      </w:r>
      <w:r w:rsidRPr="00A669C1">
        <w:rPr>
          <w:rFonts w:ascii="Times New Roman" w:hAnsi="Times New Roman"/>
          <w:sz w:val="24"/>
          <w:szCs w:val="24"/>
        </w:rPr>
        <w:t xml:space="preserve">nergy </w:t>
      </w:r>
      <w:r>
        <w:rPr>
          <w:rFonts w:ascii="Times New Roman" w:hAnsi="Times New Roman"/>
          <w:sz w:val="24"/>
          <w:szCs w:val="24"/>
        </w:rPr>
        <w:t>b</w:t>
      </w:r>
      <w:r w:rsidRPr="00A669C1">
        <w:rPr>
          <w:rFonts w:ascii="Times New Roman" w:hAnsi="Times New Roman"/>
          <w:sz w:val="24"/>
          <w:szCs w:val="24"/>
        </w:rPr>
        <w:t xml:space="preserve">enefits are defined as all benefits from energy efficiency program which </w:t>
      </w:r>
      <w:r>
        <w:rPr>
          <w:rFonts w:ascii="Times New Roman" w:hAnsi="Times New Roman"/>
          <w:sz w:val="24"/>
          <w:szCs w:val="24"/>
        </w:rPr>
        <w:t xml:space="preserve">are </w:t>
      </w:r>
      <w:r w:rsidRPr="00A669C1">
        <w:rPr>
          <w:rFonts w:ascii="Times New Roman" w:hAnsi="Times New Roman"/>
          <w:sz w:val="24"/>
          <w:szCs w:val="24"/>
        </w:rPr>
        <w:t>not energy</w:t>
      </w:r>
      <w:r>
        <w:rPr>
          <w:rFonts w:ascii="Times New Roman" w:hAnsi="Times New Roman"/>
          <w:sz w:val="24"/>
          <w:szCs w:val="24"/>
        </w:rPr>
        <w:t>-related.  Examples of these benefits are:</w:t>
      </w:r>
      <w:r w:rsidRPr="00A669C1">
        <w:rPr>
          <w:rFonts w:ascii="Times New Roman" w:hAnsi="Times New Roman"/>
          <w:sz w:val="24"/>
          <w:szCs w:val="24"/>
        </w:rPr>
        <w:t xml:space="preserve"> water and other resource savings, improved health and safety, fewer</w:t>
      </w:r>
      <w:r>
        <w:rPr>
          <w:rFonts w:ascii="Times New Roman" w:hAnsi="Times New Roman"/>
          <w:sz w:val="24"/>
          <w:szCs w:val="24"/>
        </w:rPr>
        <w:t xml:space="preserve"> shutoff notices for the utility and </w:t>
      </w:r>
      <w:r w:rsidRPr="00A669C1">
        <w:rPr>
          <w:rFonts w:ascii="Times New Roman" w:hAnsi="Times New Roman"/>
          <w:sz w:val="24"/>
          <w:szCs w:val="24"/>
        </w:rPr>
        <w:t xml:space="preserve">improved quality of life or product quality. </w:t>
      </w:r>
      <w:r>
        <w:rPr>
          <w:rFonts w:ascii="Times New Roman" w:hAnsi="Times New Roman"/>
          <w:sz w:val="24"/>
          <w:szCs w:val="24"/>
        </w:rPr>
        <w:t xml:space="preserve"> Non-energy benefits are </w:t>
      </w:r>
      <w:r w:rsidRPr="00A669C1">
        <w:rPr>
          <w:rFonts w:ascii="Times New Roman" w:hAnsi="Times New Roman"/>
          <w:sz w:val="24"/>
          <w:szCs w:val="24"/>
        </w:rPr>
        <w:t xml:space="preserve">only included in the </w:t>
      </w:r>
      <w:r>
        <w:rPr>
          <w:rFonts w:ascii="Times New Roman" w:hAnsi="Times New Roman"/>
          <w:sz w:val="24"/>
          <w:szCs w:val="24"/>
        </w:rPr>
        <w:t xml:space="preserve">TRC, but PSE typically only quantifies these for the Low Income Weatherization Program when we have solid documentation. PSE does not typically include non-energy benefits in the TRC for standard programs because they are difficult to quantify and most programs pass the TRC without including the non-energy benefits.  </w:t>
      </w:r>
    </w:p>
    <w:p w:rsidR="00327936" w:rsidRDefault="00327936" w:rsidP="00133454">
      <w:pPr>
        <w:pStyle w:val="BodyText"/>
        <w:jc w:val="both"/>
        <w:rPr>
          <w:rFonts w:ascii="Times New Roman" w:hAnsi="Times New Roman"/>
          <w:sz w:val="24"/>
          <w:szCs w:val="24"/>
        </w:rPr>
      </w:pPr>
      <w:r>
        <w:rPr>
          <w:rFonts w:ascii="Times New Roman" w:hAnsi="Times New Roman"/>
          <w:sz w:val="24"/>
          <w:szCs w:val="24"/>
        </w:rPr>
        <w:t xml:space="preserve">Non-energy benefits can be positive or negative and are always included in the numerator of the test, regardless of the sign.  Changes in non-energy benefits are positively correlated with the benefit-cost ratio of the TRC Test increases, all else equal. </w:t>
      </w: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Heading2"/>
        <w:numPr>
          <w:ilvl w:val="1"/>
          <w:numId w:val="16"/>
        </w:numPr>
        <w:jc w:val="both"/>
      </w:pPr>
      <w:bookmarkStart w:id="42" w:name="_Toc294277332"/>
      <w:bookmarkStart w:id="43" w:name="_Toc307067049"/>
      <w:r>
        <w:t>Measure Life</w:t>
      </w:r>
      <w:bookmarkEnd w:id="42"/>
      <w:bookmarkEnd w:id="43"/>
    </w:p>
    <w:p w:rsidR="00327936" w:rsidRDefault="00327936" w:rsidP="00133454">
      <w:pPr>
        <w:pStyle w:val="BodyText"/>
        <w:jc w:val="both"/>
        <w:rPr>
          <w:rFonts w:ascii="Times New Roman" w:hAnsi="Times New Roman"/>
          <w:sz w:val="24"/>
          <w:szCs w:val="24"/>
        </w:rPr>
      </w:pPr>
      <w:r w:rsidRPr="00ED3DDF">
        <w:rPr>
          <w:rFonts w:ascii="Times New Roman" w:hAnsi="Times New Roman"/>
          <w:sz w:val="24"/>
          <w:szCs w:val="24"/>
        </w:rPr>
        <w:t xml:space="preserve">The measure life is the rated useful life of the item(s) being provided though the program. </w:t>
      </w:r>
      <w:r>
        <w:rPr>
          <w:rFonts w:ascii="Times New Roman" w:hAnsi="Times New Roman"/>
          <w:sz w:val="24"/>
          <w:szCs w:val="24"/>
        </w:rPr>
        <w:t xml:space="preserve"> M</w:t>
      </w:r>
      <w:r w:rsidRPr="00ED3DDF">
        <w:rPr>
          <w:rFonts w:ascii="Times New Roman" w:hAnsi="Times New Roman"/>
          <w:sz w:val="24"/>
          <w:szCs w:val="24"/>
        </w:rPr>
        <w:t>easure life is typically assessed using Regional Technical Forum</w:t>
      </w:r>
      <w:r>
        <w:rPr>
          <w:rStyle w:val="FootnoteReference"/>
          <w:rFonts w:ascii="Times New Roman" w:hAnsi="Times New Roman"/>
          <w:sz w:val="24"/>
          <w:szCs w:val="24"/>
        </w:rPr>
        <w:footnoteReference w:id="16"/>
      </w:r>
      <w:r w:rsidRPr="00ED3DDF">
        <w:rPr>
          <w:rFonts w:ascii="Times New Roman" w:hAnsi="Times New Roman"/>
          <w:sz w:val="24"/>
          <w:szCs w:val="24"/>
        </w:rPr>
        <w:t xml:space="preserve"> guidance or from PSE engineers and program managers who have a significant </w:t>
      </w:r>
      <w:r>
        <w:rPr>
          <w:rFonts w:ascii="Times New Roman" w:hAnsi="Times New Roman"/>
          <w:sz w:val="24"/>
          <w:szCs w:val="24"/>
        </w:rPr>
        <w:t xml:space="preserve">level of </w:t>
      </w:r>
      <w:r w:rsidRPr="00ED3DDF">
        <w:rPr>
          <w:rFonts w:ascii="Times New Roman" w:hAnsi="Times New Roman"/>
          <w:sz w:val="24"/>
          <w:szCs w:val="24"/>
        </w:rPr>
        <w:t xml:space="preserve">knowledge </w:t>
      </w:r>
      <w:r>
        <w:rPr>
          <w:rFonts w:ascii="Times New Roman" w:hAnsi="Times New Roman"/>
          <w:sz w:val="24"/>
          <w:szCs w:val="24"/>
        </w:rPr>
        <w:t xml:space="preserve">regarding </w:t>
      </w:r>
      <w:r w:rsidRPr="00ED3DDF">
        <w:rPr>
          <w:rFonts w:ascii="Times New Roman" w:hAnsi="Times New Roman"/>
          <w:sz w:val="24"/>
          <w:szCs w:val="24"/>
        </w:rPr>
        <w:t xml:space="preserve">the item being </w:t>
      </w:r>
      <w:r>
        <w:rPr>
          <w:rFonts w:ascii="Times New Roman" w:hAnsi="Times New Roman"/>
          <w:sz w:val="24"/>
          <w:szCs w:val="24"/>
        </w:rPr>
        <w:t>assessed</w:t>
      </w:r>
      <w:r w:rsidRPr="00ED3DDF">
        <w:rPr>
          <w:rFonts w:ascii="Times New Roman" w:hAnsi="Times New Roman"/>
          <w:sz w:val="24"/>
          <w:szCs w:val="24"/>
        </w:rPr>
        <w:t xml:space="preserve">.  </w:t>
      </w:r>
    </w:p>
    <w:p w:rsidR="00327936" w:rsidRPr="00ED3DDF" w:rsidRDefault="00327936" w:rsidP="00133454">
      <w:pPr>
        <w:pStyle w:val="BodyText"/>
        <w:jc w:val="both"/>
        <w:rPr>
          <w:rFonts w:ascii="Times New Roman" w:hAnsi="Times New Roman"/>
          <w:sz w:val="24"/>
          <w:szCs w:val="24"/>
        </w:rPr>
      </w:pPr>
      <w:r>
        <w:rPr>
          <w:rFonts w:ascii="Times New Roman" w:hAnsi="Times New Roman"/>
          <w:sz w:val="24"/>
          <w:szCs w:val="24"/>
        </w:rPr>
        <w:t xml:space="preserve">Measure life and the associated benefit-cost ratios are positively correlated for all four of the cost-effectiveness tests conducted by PSE, all else equal. </w:t>
      </w:r>
    </w:p>
    <w:p w:rsidR="00327936" w:rsidRDefault="00327936" w:rsidP="00133454">
      <w:pPr>
        <w:pStyle w:val="Heading2"/>
        <w:numPr>
          <w:ilvl w:val="1"/>
          <w:numId w:val="16"/>
        </w:numPr>
        <w:jc w:val="both"/>
      </w:pPr>
      <w:bookmarkStart w:id="44" w:name="_Toc294277333"/>
      <w:bookmarkStart w:id="45" w:name="_Toc307067050"/>
      <w:r>
        <w:t>End-Use Load Shape</w:t>
      </w:r>
      <w:bookmarkEnd w:id="44"/>
      <w:bookmarkEnd w:id="45"/>
    </w:p>
    <w:p w:rsidR="00327936" w:rsidRDefault="00327936" w:rsidP="00133454">
      <w:pPr>
        <w:pStyle w:val="BodyText"/>
        <w:jc w:val="both"/>
        <w:rPr>
          <w:rFonts w:ascii="Times New Roman" w:hAnsi="Times New Roman"/>
          <w:sz w:val="24"/>
          <w:szCs w:val="24"/>
        </w:rPr>
      </w:pPr>
      <w:r w:rsidRPr="00A307F4">
        <w:rPr>
          <w:rFonts w:ascii="Times New Roman" w:hAnsi="Times New Roman"/>
          <w:sz w:val="24"/>
          <w:szCs w:val="24"/>
        </w:rPr>
        <w:t>The shape of the load for each measure being assessed in the cost-effectiveness calculations impact</w:t>
      </w:r>
      <w:r>
        <w:rPr>
          <w:rFonts w:ascii="Times New Roman" w:hAnsi="Times New Roman"/>
          <w:sz w:val="24"/>
          <w:szCs w:val="24"/>
        </w:rPr>
        <w:t>s</w:t>
      </w:r>
      <w:r w:rsidRPr="00A307F4">
        <w:rPr>
          <w:rFonts w:ascii="Times New Roman" w:hAnsi="Times New Roman"/>
          <w:sz w:val="24"/>
          <w:szCs w:val="24"/>
        </w:rPr>
        <w:t xml:space="preserve"> the </w:t>
      </w:r>
      <w:r>
        <w:rPr>
          <w:rFonts w:ascii="Times New Roman" w:hAnsi="Times New Roman"/>
          <w:sz w:val="24"/>
          <w:szCs w:val="24"/>
        </w:rPr>
        <w:t>TRC</w:t>
      </w:r>
      <w:r w:rsidRPr="00A307F4">
        <w:rPr>
          <w:rFonts w:ascii="Times New Roman" w:hAnsi="Times New Roman"/>
          <w:sz w:val="24"/>
          <w:szCs w:val="24"/>
        </w:rPr>
        <w:t xml:space="preserve">, </w:t>
      </w:r>
      <w:r>
        <w:rPr>
          <w:rFonts w:ascii="Times New Roman" w:hAnsi="Times New Roman"/>
          <w:sz w:val="24"/>
          <w:szCs w:val="24"/>
        </w:rPr>
        <w:t>RIM</w:t>
      </w:r>
      <w:r w:rsidRPr="00A307F4">
        <w:rPr>
          <w:rFonts w:ascii="Times New Roman" w:hAnsi="Times New Roman"/>
          <w:sz w:val="24"/>
          <w:szCs w:val="24"/>
        </w:rPr>
        <w:t xml:space="preserve">, and </w:t>
      </w:r>
      <w:r>
        <w:rPr>
          <w:rFonts w:ascii="Times New Roman" w:hAnsi="Times New Roman"/>
          <w:sz w:val="24"/>
          <w:szCs w:val="24"/>
        </w:rPr>
        <w:t>UC</w:t>
      </w:r>
      <w:r w:rsidRPr="00A307F4">
        <w:rPr>
          <w:rFonts w:ascii="Times New Roman" w:hAnsi="Times New Roman"/>
          <w:sz w:val="24"/>
          <w:szCs w:val="24"/>
        </w:rPr>
        <w:t xml:space="preserve"> Test</w:t>
      </w:r>
      <w:r>
        <w:rPr>
          <w:rFonts w:ascii="Times New Roman" w:hAnsi="Times New Roman"/>
          <w:sz w:val="24"/>
          <w:szCs w:val="24"/>
        </w:rPr>
        <w:t>s</w:t>
      </w:r>
      <w:r w:rsidRPr="00A307F4">
        <w:rPr>
          <w:rFonts w:ascii="Times New Roman" w:hAnsi="Times New Roman"/>
          <w:sz w:val="24"/>
          <w:szCs w:val="24"/>
        </w:rPr>
        <w:t xml:space="preserve">.  Because PSE </w:t>
      </w:r>
      <w:r>
        <w:rPr>
          <w:rFonts w:ascii="Times New Roman" w:hAnsi="Times New Roman"/>
          <w:sz w:val="24"/>
          <w:szCs w:val="24"/>
        </w:rPr>
        <w:t xml:space="preserve">generally does not offer </w:t>
      </w:r>
      <w:r w:rsidRPr="00A307F4">
        <w:rPr>
          <w:rFonts w:ascii="Times New Roman" w:hAnsi="Times New Roman"/>
          <w:sz w:val="24"/>
          <w:szCs w:val="24"/>
        </w:rPr>
        <w:t xml:space="preserve">time-of-use rates, the shape of the load for each measure being assessed does not impact the Participant Cost Test. </w:t>
      </w:r>
    </w:p>
    <w:p w:rsidR="00327936" w:rsidRDefault="00327936" w:rsidP="00133454">
      <w:pPr>
        <w:pStyle w:val="BodyText"/>
        <w:jc w:val="both"/>
        <w:rPr>
          <w:rFonts w:ascii="Times New Roman" w:hAnsi="Times New Roman"/>
          <w:sz w:val="24"/>
          <w:szCs w:val="24"/>
        </w:rPr>
      </w:pPr>
      <w:r w:rsidRPr="007B4ABC">
        <w:rPr>
          <w:rFonts w:ascii="Times New Roman" w:hAnsi="Times New Roman"/>
          <w:sz w:val="24"/>
          <w:szCs w:val="24"/>
        </w:rPr>
        <w:t xml:space="preserve">PSE </w:t>
      </w:r>
      <w:r>
        <w:rPr>
          <w:rFonts w:ascii="Times New Roman" w:hAnsi="Times New Roman"/>
          <w:sz w:val="24"/>
          <w:szCs w:val="24"/>
        </w:rPr>
        <w:t>calculates</w:t>
      </w:r>
      <w:r w:rsidRPr="007B4ABC">
        <w:rPr>
          <w:rFonts w:ascii="Times New Roman" w:hAnsi="Times New Roman"/>
          <w:sz w:val="24"/>
          <w:szCs w:val="24"/>
        </w:rPr>
        <w:t xml:space="preserve"> avoided costs using multiple inputs. </w:t>
      </w:r>
      <w:r>
        <w:rPr>
          <w:rFonts w:ascii="Times New Roman" w:hAnsi="Times New Roman"/>
          <w:sz w:val="24"/>
          <w:szCs w:val="24"/>
        </w:rPr>
        <w:t xml:space="preserve"> </w:t>
      </w:r>
      <w:r w:rsidRPr="007B4ABC">
        <w:rPr>
          <w:rFonts w:ascii="Times New Roman" w:hAnsi="Times New Roman"/>
          <w:sz w:val="24"/>
          <w:szCs w:val="24"/>
        </w:rPr>
        <w:t xml:space="preserve">The avoided costs are higher for those items which have a significant portion of </w:t>
      </w:r>
      <w:r>
        <w:rPr>
          <w:rFonts w:ascii="Times New Roman" w:hAnsi="Times New Roman"/>
          <w:sz w:val="24"/>
          <w:szCs w:val="24"/>
        </w:rPr>
        <w:t xml:space="preserve">their load occurring in the winter.  Because winter savings typically coincide with </w:t>
      </w:r>
      <w:r w:rsidRPr="007B4ABC">
        <w:rPr>
          <w:rFonts w:ascii="Times New Roman" w:hAnsi="Times New Roman"/>
          <w:sz w:val="24"/>
          <w:szCs w:val="24"/>
        </w:rPr>
        <w:t>the system peak, which increases</w:t>
      </w:r>
      <w:r>
        <w:rPr>
          <w:rFonts w:ascii="Times New Roman" w:hAnsi="Times New Roman"/>
          <w:sz w:val="24"/>
          <w:szCs w:val="24"/>
        </w:rPr>
        <w:t xml:space="preserve"> the avoided capacity cost, items which save energy in the winter are assigned a higher value for avoided capacity costs.  </w:t>
      </w:r>
    </w:p>
    <w:p w:rsidR="00327936" w:rsidRDefault="00327936" w:rsidP="00133454">
      <w:pPr>
        <w:pStyle w:val="Heading2"/>
        <w:numPr>
          <w:ilvl w:val="1"/>
          <w:numId w:val="16"/>
        </w:numPr>
        <w:jc w:val="both"/>
      </w:pPr>
      <w:bookmarkStart w:id="46" w:name="_Toc294277334"/>
      <w:bookmarkStart w:id="47" w:name="_Toc307067051"/>
      <w:r>
        <w:t>Discount rate</w:t>
      </w:r>
      <w:bookmarkEnd w:id="46"/>
      <w:bookmarkEnd w:id="47"/>
    </w:p>
    <w:p w:rsidR="00327936" w:rsidRDefault="00327936" w:rsidP="00133454">
      <w:pPr>
        <w:pStyle w:val="BodyText"/>
        <w:jc w:val="both"/>
        <w:rPr>
          <w:rFonts w:ascii="Times New Roman" w:hAnsi="Times New Roman"/>
          <w:sz w:val="24"/>
          <w:szCs w:val="24"/>
        </w:rPr>
      </w:pPr>
      <w:r w:rsidRPr="00EC0BA3">
        <w:rPr>
          <w:rFonts w:ascii="Times New Roman" w:hAnsi="Times New Roman"/>
          <w:sz w:val="24"/>
          <w:szCs w:val="24"/>
        </w:rPr>
        <w:t xml:space="preserve">For the 2012-2013 program years, the discount rate for PSE </w:t>
      </w:r>
      <w:r>
        <w:rPr>
          <w:rFonts w:ascii="Times New Roman" w:hAnsi="Times New Roman"/>
          <w:sz w:val="24"/>
          <w:szCs w:val="24"/>
        </w:rPr>
        <w:t xml:space="preserve">efficiency </w:t>
      </w:r>
      <w:r w:rsidRPr="00EC0BA3">
        <w:rPr>
          <w:rFonts w:ascii="Times New Roman" w:hAnsi="Times New Roman"/>
          <w:sz w:val="24"/>
          <w:szCs w:val="24"/>
        </w:rPr>
        <w:t>program avoided costs is set at 8.10%.  Th</w:t>
      </w:r>
      <w:r>
        <w:rPr>
          <w:rFonts w:ascii="Times New Roman" w:hAnsi="Times New Roman"/>
          <w:sz w:val="24"/>
          <w:szCs w:val="24"/>
        </w:rPr>
        <w:t>is</w:t>
      </w:r>
      <w:r w:rsidRPr="00EC0BA3">
        <w:rPr>
          <w:rFonts w:ascii="Times New Roman" w:hAnsi="Times New Roman"/>
          <w:sz w:val="24"/>
          <w:szCs w:val="24"/>
        </w:rPr>
        <w:t xml:space="preserve"> discount rate</w:t>
      </w:r>
      <w:r w:rsidRPr="00065919">
        <w:rPr>
          <w:rFonts w:ascii="Times New Roman" w:hAnsi="Times New Roman"/>
          <w:sz w:val="24"/>
          <w:szCs w:val="24"/>
        </w:rPr>
        <w:t xml:space="preserve"> </w:t>
      </w:r>
      <w:r w:rsidRPr="00EC0BA3">
        <w:rPr>
          <w:rFonts w:ascii="Times New Roman" w:hAnsi="Times New Roman"/>
          <w:sz w:val="24"/>
          <w:szCs w:val="24"/>
        </w:rPr>
        <w:t xml:space="preserve">is the </w:t>
      </w:r>
      <w:r>
        <w:rPr>
          <w:rFonts w:ascii="Times New Roman" w:hAnsi="Times New Roman"/>
          <w:sz w:val="24"/>
          <w:szCs w:val="24"/>
        </w:rPr>
        <w:t xml:space="preserve">most recently </w:t>
      </w:r>
      <w:r w:rsidRPr="00EC0BA3">
        <w:rPr>
          <w:rFonts w:ascii="Times New Roman" w:hAnsi="Times New Roman"/>
          <w:sz w:val="24"/>
          <w:szCs w:val="24"/>
        </w:rPr>
        <w:t xml:space="preserve">approved rate </w:t>
      </w:r>
      <w:r>
        <w:rPr>
          <w:rFonts w:ascii="Times New Roman" w:hAnsi="Times New Roman"/>
          <w:sz w:val="24"/>
          <w:szCs w:val="24"/>
        </w:rPr>
        <w:t>of return on rate base (“ROR”) by PSE’s state regulators (in</w:t>
      </w:r>
      <w:r w:rsidRPr="00EC0BA3">
        <w:rPr>
          <w:rFonts w:ascii="Times New Roman" w:hAnsi="Times New Roman"/>
          <w:sz w:val="24"/>
          <w:szCs w:val="24"/>
        </w:rPr>
        <w:t xml:space="preserve"> the 2009 General Rate Case</w:t>
      </w:r>
      <w:r>
        <w:rPr>
          <w:rFonts w:ascii="Times New Roman" w:hAnsi="Times New Roman"/>
          <w:sz w:val="24"/>
          <w:szCs w:val="24"/>
        </w:rPr>
        <w:t>) and</w:t>
      </w:r>
      <w:r w:rsidRPr="00EC0BA3">
        <w:rPr>
          <w:rFonts w:ascii="Times New Roman" w:hAnsi="Times New Roman"/>
          <w:sz w:val="24"/>
          <w:szCs w:val="24"/>
        </w:rPr>
        <w:t xml:space="preserve"> was used in the development of the 2011 Integrated Resource Plan.</w:t>
      </w:r>
      <w:r w:rsidRPr="00133454">
        <w:rPr>
          <w:rFonts w:ascii="Times New Roman" w:hAnsi="Times New Roman"/>
          <w:sz w:val="24"/>
          <w:szCs w:val="24"/>
        </w:rPr>
        <w:t xml:space="preserve"> </w:t>
      </w:r>
      <w:r>
        <w:rPr>
          <w:rFonts w:ascii="Times New Roman" w:hAnsi="Times New Roman"/>
          <w:sz w:val="24"/>
          <w:szCs w:val="24"/>
        </w:rPr>
        <w:t xml:space="preserve">  As utility discount rates increase, the present value of avoided costs decreases.  All else equal, an increase in the discount rate decreases the benefit-cost ratios of PSE’s cost effectiveness tests. This discount rate is used for the avoided costs of energy and capacity in the UC, the TRC, and the RIM. The PCT does not consider utility avoided costs, so the utility’s Discount Rate does not apply to the PCT.</w:t>
      </w: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133454">
      <w:pPr>
        <w:pStyle w:val="BodyText"/>
        <w:jc w:val="both"/>
        <w:rPr>
          <w:rFonts w:ascii="Times New Roman" w:hAnsi="Times New Roman"/>
          <w:sz w:val="24"/>
          <w:szCs w:val="24"/>
        </w:rPr>
      </w:pPr>
    </w:p>
    <w:p w:rsidR="00327936" w:rsidRDefault="00327936" w:rsidP="00E57E79">
      <w:pPr>
        <w:pStyle w:val="Heading2"/>
        <w:numPr>
          <w:ilvl w:val="1"/>
          <w:numId w:val="33"/>
        </w:numPr>
      </w:pPr>
      <w:bookmarkStart w:id="48" w:name="_Toc294277335"/>
      <w:bookmarkStart w:id="49" w:name="_Toc307067052"/>
      <w:r>
        <w:t>Summary of Key Drivers</w:t>
      </w:r>
      <w:bookmarkEnd w:id="48"/>
      <w:bookmarkEnd w:id="49"/>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1530"/>
        <w:gridCol w:w="989"/>
        <w:gridCol w:w="986"/>
        <w:gridCol w:w="1271"/>
        <w:gridCol w:w="1431"/>
      </w:tblGrid>
      <w:tr w:rsidR="00327936" w:rsidTr="008A5C1C">
        <w:tc>
          <w:tcPr>
            <w:tcW w:w="1260" w:type="pct"/>
            <w:shd w:val="clear" w:color="auto" w:fill="D6E3BC"/>
          </w:tcPr>
          <w:p w:rsidR="00327936" w:rsidRDefault="00327936" w:rsidP="00FE76F3">
            <w:pPr>
              <w:pStyle w:val="BodyText"/>
            </w:pPr>
            <w:r>
              <w:t xml:space="preserve">Key Driver </w:t>
            </w:r>
          </w:p>
        </w:tc>
        <w:tc>
          <w:tcPr>
            <w:tcW w:w="922" w:type="pct"/>
            <w:shd w:val="clear" w:color="auto" w:fill="D6E3BC"/>
          </w:tcPr>
          <w:p w:rsidR="00327936" w:rsidRDefault="00327936" w:rsidP="00FE76F3">
            <w:pPr>
              <w:pStyle w:val="BodyText"/>
            </w:pPr>
            <w:r>
              <w:t xml:space="preserve">Direction of Key Driver </w:t>
            </w:r>
          </w:p>
        </w:tc>
        <w:tc>
          <w:tcPr>
            <w:tcW w:w="2818" w:type="pct"/>
            <w:gridSpan w:val="4"/>
            <w:shd w:val="clear" w:color="auto" w:fill="D6E3BC"/>
          </w:tcPr>
          <w:p w:rsidR="00327936" w:rsidRDefault="00327936" w:rsidP="00FE76F3">
            <w:pPr>
              <w:pStyle w:val="BodyText"/>
            </w:pPr>
            <w:r>
              <w:t>Direction of Benefit-Cost Ratios</w:t>
            </w:r>
          </w:p>
        </w:tc>
      </w:tr>
      <w:tr w:rsidR="00327936" w:rsidTr="008A5C1C">
        <w:tc>
          <w:tcPr>
            <w:tcW w:w="1260" w:type="pct"/>
          </w:tcPr>
          <w:p w:rsidR="00327936" w:rsidRDefault="00327936" w:rsidP="00FE76F3">
            <w:pPr>
              <w:pStyle w:val="BodyText"/>
            </w:pPr>
          </w:p>
        </w:tc>
        <w:tc>
          <w:tcPr>
            <w:tcW w:w="922" w:type="pct"/>
          </w:tcPr>
          <w:p w:rsidR="00327936" w:rsidRDefault="00327936" w:rsidP="008A5C1C">
            <w:pPr>
              <w:pStyle w:val="BodyText"/>
              <w:jc w:val="center"/>
            </w:pPr>
          </w:p>
        </w:tc>
        <w:tc>
          <w:tcPr>
            <w:tcW w:w="596" w:type="pct"/>
          </w:tcPr>
          <w:p w:rsidR="00327936" w:rsidRDefault="00327936" w:rsidP="008A5C1C">
            <w:pPr>
              <w:pStyle w:val="BodyText"/>
              <w:jc w:val="center"/>
            </w:pPr>
            <w:r>
              <w:t>TRC</w:t>
            </w:r>
          </w:p>
        </w:tc>
        <w:tc>
          <w:tcPr>
            <w:tcW w:w="594" w:type="pct"/>
          </w:tcPr>
          <w:p w:rsidR="00327936" w:rsidRDefault="00327936" w:rsidP="008A5C1C">
            <w:pPr>
              <w:pStyle w:val="BodyText"/>
              <w:jc w:val="center"/>
            </w:pPr>
            <w:r>
              <w:t>UC</w:t>
            </w:r>
          </w:p>
        </w:tc>
        <w:tc>
          <w:tcPr>
            <w:tcW w:w="766" w:type="pct"/>
          </w:tcPr>
          <w:p w:rsidR="00327936" w:rsidRDefault="00327936" w:rsidP="008A5C1C">
            <w:pPr>
              <w:pStyle w:val="BodyText"/>
              <w:jc w:val="center"/>
            </w:pPr>
            <w:r>
              <w:t>RIM</w:t>
            </w:r>
          </w:p>
        </w:tc>
        <w:tc>
          <w:tcPr>
            <w:tcW w:w="863" w:type="pct"/>
          </w:tcPr>
          <w:p w:rsidR="00327936" w:rsidRDefault="00327936" w:rsidP="008A5C1C">
            <w:pPr>
              <w:pStyle w:val="BodyText"/>
              <w:jc w:val="center"/>
            </w:pPr>
            <w:r>
              <w:t>PCT</w:t>
            </w:r>
          </w:p>
        </w:tc>
      </w:tr>
      <w:tr w:rsidR="00327936" w:rsidTr="008A5C1C">
        <w:trPr>
          <w:trHeight w:val="467"/>
        </w:trPr>
        <w:tc>
          <w:tcPr>
            <w:tcW w:w="1260" w:type="pct"/>
            <w:vMerge w:val="restart"/>
            <w:shd w:val="clear" w:color="auto" w:fill="FFFFFF"/>
          </w:tcPr>
          <w:p w:rsidR="00327936" w:rsidRPr="00FF2462" w:rsidRDefault="00327936" w:rsidP="00FE76F3">
            <w:pPr>
              <w:pStyle w:val="BodyText"/>
            </w:pPr>
            <w:r w:rsidRPr="00FF2462">
              <w:t>Avoided Energy and Capacity Costs</w:t>
            </w:r>
          </w:p>
        </w:tc>
        <w:tc>
          <w:tcPr>
            <w:tcW w:w="922" w:type="pct"/>
            <w:shd w:val="clear" w:color="auto" w:fill="FFFFFF"/>
          </w:tcPr>
          <w:p w:rsidR="00327936" w:rsidRDefault="00327936" w:rsidP="008A5C1C">
            <w:pPr>
              <w:pStyle w:val="BodyText"/>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8.35pt;margin-top:3.1pt;width:9pt;height:15pt;z-index:251637760;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27" type="#_x0000_t67" style="position:absolute;left:0;text-align:left;margin-left:12.6pt;margin-top:3.1pt;width:9pt;height:15pt;z-index:251633664;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28" type="#_x0000_t67" style="position:absolute;left:0;text-align:left;margin-left:13.4pt;margin-top:3.1pt;width:9pt;height:15pt;z-index:251634688;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29" type="#_x0000_t67" style="position:absolute;left:0;text-align:left;margin-left:12.85pt;margin-top:3.1pt;width:9pt;height:15pt;z-index:251636736;mso-position-horizontal-relative:text;mso-position-vertical-relative:text" fillcolor="black"/>
              </w:pict>
            </w:r>
          </w:p>
        </w:tc>
        <w:tc>
          <w:tcPr>
            <w:tcW w:w="863" w:type="pct"/>
            <w:shd w:val="clear" w:color="auto" w:fill="FFFFFF"/>
          </w:tcPr>
          <w:p w:rsidR="00327936" w:rsidRDefault="00327936" w:rsidP="008A5C1C">
            <w:pPr>
              <w:pStyle w:val="BodyText"/>
              <w:jc w:val="center"/>
            </w:pPr>
            <w:r>
              <w:rPr>
                <w:noProof/>
              </w:rPr>
              <w:pict>
                <v:shape id="_x0000_s1030" type="#_x0000_t67" style="position:absolute;left:0;text-align:left;margin-left:21.3pt;margin-top:3.1pt;width:9pt;height:15pt;z-index:251635712;mso-position-horizontal-relative:text;mso-position-vertical-relative:text" fillcolor="black"/>
              </w:pict>
            </w:r>
          </w:p>
        </w:tc>
      </w:tr>
      <w:tr w:rsidR="00327936" w:rsidTr="008A5C1C">
        <w:trPr>
          <w:trHeight w:val="260"/>
        </w:trPr>
        <w:tc>
          <w:tcPr>
            <w:tcW w:w="1260" w:type="pct"/>
            <w:vMerge/>
            <w:shd w:val="clear" w:color="auto" w:fill="FFFFFF"/>
          </w:tcPr>
          <w:p w:rsidR="00327936" w:rsidRPr="00FF2462"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9.1pt;margin-top:5.1pt;width:9.75pt;height:15pt;z-index:251638784;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32" type="#_x0000_t68" style="position:absolute;left:0;text-align:left;margin-left:12.6pt;margin-top:5.1pt;width:9.75pt;height:15pt;z-index:251639808;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33" type="#_x0000_t68" style="position:absolute;left:0;text-align:left;margin-left:12.65pt;margin-top:5.1pt;width:9.75pt;height:15pt;z-index:251640832;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34" type="#_x0000_t68" style="position:absolute;left:0;text-align:left;margin-left:12.85pt;margin-top:5.1pt;width:9.75pt;height:15pt;z-index:251641856;mso-position-horizontal-relative:text;mso-position-vertical-relative:text" fillcolor="black"/>
              </w:pict>
            </w:r>
          </w:p>
        </w:tc>
        <w:tc>
          <w:tcPr>
            <w:tcW w:w="863" w:type="pct"/>
            <w:shd w:val="clear" w:color="auto" w:fill="FFFFFF"/>
          </w:tcPr>
          <w:p w:rsidR="00327936" w:rsidRDefault="00327936" w:rsidP="008A5C1C">
            <w:pPr>
              <w:pStyle w:val="BodyText"/>
              <w:jc w:val="center"/>
            </w:pPr>
            <w:r>
              <w:rPr>
                <w:noProof/>
              </w:rPr>
              <w:pict>
                <v:shape id="_x0000_s1035" type="#_x0000_t68" style="position:absolute;left:0;text-align:left;margin-left:22.8pt;margin-top:5.1pt;width:9.75pt;height:15pt;z-index:251642880;mso-position-horizontal-relative:text;mso-position-vertical-relative:text" fillcolor="black"/>
              </w:pict>
            </w:r>
          </w:p>
        </w:tc>
      </w:tr>
      <w:tr w:rsidR="00327936" w:rsidTr="008A5C1C">
        <w:tc>
          <w:tcPr>
            <w:tcW w:w="1260" w:type="pct"/>
            <w:vMerge w:val="restart"/>
            <w:shd w:val="clear" w:color="auto" w:fill="FFFFFF"/>
          </w:tcPr>
          <w:p w:rsidR="00327936" w:rsidRPr="00FF2462" w:rsidRDefault="00327936" w:rsidP="00FE76F3">
            <w:pPr>
              <w:pStyle w:val="BodyText"/>
            </w:pPr>
            <w:r w:rsidRPr="00FF2462">
              <w:t>Program Overhead Costs</w:t>
            </w:r>
            <w:r>
              <w:t xml:space="preserve"> for the utility </w:t>
            </w:r>
          </w:p>
        </w:tc>
        <w:tc>
          <w:tcPr>
            <w:tcW w:w="922" w:type="pct"/>
            <w:shd w:val="clear" w:color="auto" w:fill="FFFFFF"/>
          </w:tcPr>
          <w:p w:rsidR="00327936" w:rsidRDefault="00327936" w:rsidP="008A5C1C">
            <w:pPr>
              <w:pStyle w:val="BodyText"/>
              <w:jc w:val="center"/>
            </w:pPr>
            <w:r>
              <w:rPr>
                <w:noProof/>
              </w:rPr>
              <w:pict>
                <v:shape id="_x0000_s1036" type="#_x0000_t67" style="position:absolute;left:0;text-align:left;margin-left:29.1pt;margin-top:5.1pt;width:9pt;height:15pt;z-index:251643904;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37" type="#_x0000_t68" style="position:absolute;left:0;text-align:left;margin-left:12.6pt;margin-top:5.1pt;width:9.75pt;height:15pt;z-index:251650048;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38" type="#_x0000_t68" style="position:absolute;left:0;text-align:left;margin-left:12.65pt;margin-top:5.1pt;width:9.75pt;height:15pt;z-index:251651072;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39" type="#_x0000_t68" style="position:absolute;left:0;text-align:left;margin-left:12.85pt;margin-top:5.1pt;width:9.75pt;height:15pt;z-index:251652096;mso-position-horizontal-relative:text;mso-position-vertical-relative:text" fillcolor="black"/>
              </w:pict>
            </w:r>
          </w:p>
        </w:tc>
        <w:tc>
          <w:tcPr>
            <w:tcW w:w="863" w:type="pct"/>
            <w:shd w:val="clear" w:color="auto" w:fill="FFFFFF"/>
          </w:tcPr>
          <w:p w:rsidR="00327936" w:rsidRDefault="00327936" w:rsidP="008A5C1C">
            <w:pPr>
              <w:pStyle w:val="BodyText"/>
              <w:jc w:val="center"/>
            </w:pPr>
            <w:r>
              <w:t>N/A</w:t>
            </w:r>
            <w:r>
              <w:rPr>
                <w:rStyle w:val="FootnoteReference"/>
              </w:rPr>
              <w:footnoteReference w:id="17"/>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 id="_x0000_s1040" type="#_x0000_t68" style="position:absolute;left:0;text-align:left;margin-left:28.35pt;margin-top:4.35pt;width:9.75pt;height:15pt;z-index:251648000;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41" type="#_x0000_t67" style="position:absolute;left:0;text-align:left;margin-left:14.85pt;margin-top:3.6pt;width:9pt;height:15pt;z-index:251653120;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42" type="#_x0000_t67" style="position:absolute;left:0;text-align:left;margin-left:13.4pt;margin-top:4.35pt;width:9pt;height:15pt;z-index:251654144;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43" type="#_x0000_t67" style="position:absolute;left:0;text-align:left;margin-left:12.85pt;margin-top:3.6pt;width:9pt;height:15pt;z-index:251655168;mso-position-horizontal-relative:text;mso-position-vertical-relative:text" fillcolor="black"/>
              </w:pict>
            </w:r>
          </w:p>
        </w:tc>
        <w:tc>
          <w:tcPr>
            <w:tcW w:w="863" w:type="pct"/>
            <w:shd w:val="clear" w:color="auto" w:fill="FFFFFF"/>
          </w:tcPr>
          <w:p w:rsidR="00327936" w:rsidRDefault="00327936" w:rsidP="008A5C1C">
            <w:pPr>
              <w:pStyle w:val="BodyText"/>
              <w:jc w:val="center"/>
            </w:pPr>
            <w:r>
              <w:t>N/A</w:t>
            </w:r>
          </w:p>
        </w:tc>
      </w:tr>
      <w:tr w:rsidR="00327936" w:rsidTr="008A5C1C">
        <w:tc>
          <w:tcPr>
            <w:tcW w:w="1260" w:type="pct"/>
            <w:vMerge w:val="restart"/>
            <w:shd w:val="clear" w:color="auto" w:fill="FFFFFF"/>
          </w:tcPr>
          <w:p w:rsidR="00327936" w:rsidRDefault="00327936" w:rsidP="00FE76F3">
            <w:pPr>
              <w:pStyle w:val="BodyText"/>
            </w:pPr>
            <w:r>
              <w:t>Measure Cost</w:t>
            </w:r>
          </w:p>
        </w:tc>
        <w:tc>
          <w:tcPr>
            <w:tcW w:w="922" w:type="pct"/>
            <w:shd w:val="clear" w:color="auto" w:fill="FFFFFF"/>
          </w:tcPr>
          <w:p w:rsidR="00327936" w:rsidRDefault="00327936" w:rsidP="008A5C1C">
            <w:pPr>
              <w:pStyle w:val="BodyText"/>
              <w:jc w:val="center"/>
              <w:rPr>
                <w:noProof/>
              </w:rPr>
            </w:pPr>
            <w:r>
              <w:rPr>
                <w:noProof/>
              </w:rPr>
              <w:pict>
                <v:shape id="_x0000_s1044" type="#_x0000_t67" style="position:absolute;left:0;text-align:left;margin-left:29.85pt;margin-top:4.35pt;width:9pt;height:15pt;z-index:251645952;mso-position-horizontal-relative:text;mso-position-vertical-relative:text" fillcolor="black"/>
              </w:pict>
            </w:r>
          </w:p>
        </w:tc>
        <w:tc>
          <w:tcPr>
            <w:tcW w:w="596" w:type="pct"/>
            <w:shd w:val="clear" w:color="auto" w:fill="FFFFFF"/>
          </w:tcPr>
          <w:p w:rsidR="00327936" w:rsidRDefault="00327936" w:rsidP="008A5C1C">
            <w:pPr>
              <w:pStyle w:val="BodyText"/>
              <w:jc w:val="center"/>
              <w:rPr>
                <w:noProof/>
              </w:rPr>
            </w:pPr>
            <w:r>
              <w:rPr>
                <w:noProof/>
              </w:rPr>
              <w:pict>
                <v:shape id="_x0000_s1045" type="#_x0000_t68" style="position:absolute;left:0;text-align:left;margin-left:14.1pt;margin-top:4.35pt;width:9.75pt;height:15pt;z-index:251656192;mso-position-horizontal-relative:text;mso-position-vertical-relative:text" fillcolor="black"/>
              </w:pict>
            </w:r>
          </w:p>
        </w:tc>
        <w:tc>
          <w:tcPr>
            <w:tcW w:w="594" w:type="pct"/>
            <w:shd w:val="clear" w:color="auto" w:fill="FFFFFF"/>
          </w:tcPr>
          <w:p w:rsidR="00327936" w:rsidRDefault="00327936" w:rsidP="008A5C1C">
            <w:pPr>
              <w:pStyle w:val="BodyText"/>
              <w:jc w:val="center"/>
              <w:rPr>
                <w:noProof/>
              </w:rPr>
            </w:pPr>
            <w:r>
              <w:rPr>
                <w:noProof/>
              </w:rPr>
              <w:t>N/A</w:t>
            </w:r>
            <w:r>
              <w:rPr>
                <w:rStyle w:val="FootnoteReference"/>
                <w:noProof/>
              </w:rPr>
              <w:footnoteReference w:id="18"/>
            </w:r>
          </w:p>
        </w:tc>
        <w:tc>
          <w:tcPr>
            <w:tcW w:w="766" w:type="pct"/>
            <w:shd w:val="clear" w:color="auto" w:fill="FFFFFF"/>
          </w:tcPr>
          <w:p w:rsidR="00327936" w:rsidRDefault="00327936" w:rsidP="008A5C1C">
            <w:pPr>
              <w:pStyle w:val="BodyText"/>
              <w:jc w:val="center"/>
              <w:rPr>
                <w:noProof/>
              </w:rPr>
            </w:pPr>
            <w:r>
              <w:rPr>
                <w:noProof/>
              </w:rPr>
              <w:t>N/A</w:t>
            </w:r>
          </w:p>
        </w:tc>
        <w:tc>
          <w:tcPr>
            <w:tcW w:w="863" w:type="pct"/>
            <w:shd w:val="clear" w:color="auto" w:fill="FFFFFF"/>
          </w:tcPr>
          <w:p w:rsidR="00327936" w:rsidRDefault="00327936" w:rsidP="008A5C1C">
            <w:pPr>
              <w:pStyle w:val="BodyText"/>
              <w:jc w:val="center"/>
              <w:rPr>
                <w:noProof/>
              </w:rPr>
            </w:pPr>
            <w:r>
              <w:rPr>
                <w:noProof/>
              </w:rPr>
              <w:pict>
                <v:shape id="_x0000_s1046" type="#_x0000_t68" style="position:absolute;left:0;text-align:left;margin-left:22.05pt;margin-top:4.35pt;width:9.75pt;height:15pt;z-index:251657216;mso-position-horizontal-relative:text;mso-position-vertical-relative:text" fillcolor="black"/>
              </w:pict>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 id="_x0000_s1047" type="#_x0000_t68" style="position:absolute;left:0;text-align:left;margin-left:29.1pt;margin-top:5.85pt;width:9.75pt;height:15pt;z-index:251646976;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48" type="#_x0000_t67" style="position:absolute;left:0;text-align:left;margin-left:14.85pt;margin-top:5.85pt;width:9pt;height:15pt;z-index:251658240;mso-position-horizontal-relative:text;mso-position-vertical-relative:text" fillcolor="black"/>
              </w:pict>
            </w:r>
          </w:p>
        </w:tc>
        <w:tc>
          <w:tcPr>
            <w:tcW w:w="594" w:type="pct"/>
            <w:shd w:val="clear" w:color="auto" w:fill="FFFFFF"/>
          </w:tcPr>
          <w:p w:rsidR="00327936" w:rsidRDefault="00327936" w:rsidP="008A5C1C">
            <w:pPr>
              <w:pStyle w:val="BodyText"/>
              <w:jc w:val="center"/>
            </w:pPr>
            <w:r>
              <w:t>N/A</w:t>
            </w:r>
          </w:p>
        </w:tc>
        <w:tc>
          <w:tcPr>
            <w:tcW w:w="766" w:type="pct"/>
            <w:shd w:val="clear" w:color="auto" w:fill="FFFFFF"/>
          </w:tcPr>
          <w:p w:rsidR="00327936" w:rsidRDefault="00327936" w:rsidP="008A5C1C">
            <w:pPr>
              <w:pStyle w:val="BodyText"/>
              <w:jc w:val="center"/>
            </w:pPr>
            <w:r>
              <w:rPr>
                <w:noProof/>
              </w:rPr>
              <w:t>N/A</w:t>
            </w:r>
          </w:p>
        </w:tc>
        <w:tc>
          <w:tcPr>
            <w:tcW w:w="863" w:type="pct"/>
            <w:shd w:val="clear" w:color="auto" w:fill="FFFFFF"/>
          </w:tcPr>
          <w:p w:rsidR="00327936" w:rsidRDefault="00327936" w:rsidP="008A5C1C">
            <w:pPr>
              <w:pStyle w:val="BodyText"/>
              <w:jc w:val="center"/>
            </w:pPr>
            <w:r>
              <w:rPr>
                <w:noProof/>
              </w:rPr>
              <w:pict>
                <v:shape id="_x0000_s1049" type="#_x0000_t67" style="position:absolute;left:0;text-align:left;margin-left:22.05pt;margin-top:5.85pt;width:9pt;height:15pt;z-index:251659264;mso-position-horizontal-relative:text;mso-position-vertical-relative:text" fillcolor="black"/>
              </w:pict>
            </w:r>
          </w:p>
        </w:tc>
      </w:tr>
      <w:tr w:rsidR="00327936" w:rsidTr="008A5C1C">
        <w:tc>
          <w:tcPr>
            <w:tcW w:w="1260" w:type="pct"/>
            <w:vMerge w:val="restart"/>
            <w:shd w:val="clear" w:color="auto" w:fill="FFFFFF"/>
          </w:tcPr>
          <w:p w:rsidR="00327936" w:rsidRDefault="00327936" w:rsidP="00FE76F3">
            <w:pPr>
              <w:pStyle w:val="BodyText"/>
            </w:pPr>
            <w:r>
              <w:t xml:space="preserve">Incentive </w:t>
            </w:r>
          </w:p>
        </w:tc>
        <w:tc>
          <w:tcPr>
            <w:tcW w:w="922" w:type="pct"/>
            <w:shd w:val="clear" w:color="auto" w:fill="FFFFFF"/>
          </w:tcPr>
          <w:p w:rsidR="00327936" w:rsidRDefault="00327936" w:rsidP="008A5C1C">
            <w:pPr>
              <w:pStyle w:val="BodyText"/>
              <w:jc w:val="center"/>
            </w:pPr>
            <w:r>
              <w:rPr>
                <w:noProof/>
              </w:rPr>
              <w:pict>
                <v:shape id="_x0000_s1050" type="#_x0000_t67" style="position:absolute;left:0;text-align:left;margin-left:29.1pt;margin-top:5.1pt;width:9pt;height:15pt;z-index:251644928;mso-position-horizontal-relative:text;mso-position-vertical-relative:text" fillcolor="black"/>
              </w:pict>
            </w:r>
          </w:p>
        </w:tc>
        <w:tc>
          <w:tcPr>
            <w:tcW w:w="596" w:type="pct"/>
            <w:shd w:val="clear" w:color="auto" w:fill="FFFFFF"/>
          </w:tcPr>
          <w:p w:rsidR="00327936" w:rsidRDefault="00327936" w:rsidP="008A5C1C">
            <w:pPr>
              <w:pStyle w:val="BodyText"/>
              <w:jc w:val="center"/>
            </w:pPr>
            <w:r>
              <w:t>N/A</w:t>
            </w:r>
          </w:p>
        </w:tc>
        <w:tc>
          <w:tcPr>
            <w:tcW w:w="594" w:type="pct"/>
            <w:shd w:val="clear" w:color="auto" w:fill="FFFFFF"/>
          </w:tcPr>
          <w:p w:rsidR="00327936" w:rsidRDefault="00327936" w:rsidP="008A5C1C">
            <w:pPr>
              <w:pStyle w:val="BodyText"/>
              <w:jc w:val="center"/>
            </w:pPr>
            <w:r>
              <w:rPr>
                <w:noProof/>
              </w:rPr>
              <w:pict>
                <v:shape id="_x0000_s1051" type="#_x0000_t68" style="position:absolute;left:0;text-align:left;margin-left:13.4pt;margin-top:5.1pt;width:9.75pt;height:15pt;z-index:251665408;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52" type="#_x0000_t68" style="position:absolute;left:0;text-align:left;margin-left:13.6pt;margin-top:5.1pt;width:9.75pt;height:15pt;z-index:251664384;mso-position-horizontal-relative:text;mso-position-vertical-relative:text" fillcolor="black"/>
              </w:pict>
            </w:r>
          </w:p>
        </w:tc>
        <w:tc>
          <w:tcPr>
            <w:tcW w:w="863" w:type="pct"/>
            <w:shd w:val="clear" w:color="auto" w:fill="FFFFFF"/>
          </w:tcPr>
          <w:p w:rsidR="00327936" w:rsidRDefault="00327936" w:rsidP="008A5C1C">
            <w:pPr>
              <w:pStyle w:val="BodyText"/>
              <w:jc w:val="center"/>
            </w:pPr>
            <w:r>
              <w:rPr>
                <w:noProof/>
              </w:rPr>
              <w:pict>
                <v:shape id="_x0000_s1053" type="#_x0000_t67" style="position:absolute;left:0;text-align:left;margin-left:22.05pt;margin-top:5.1pt;width:9pt;height:15pt;z-index:251660288;mso-position-horizontal-relative:text;mso-position-vertical-relative:text" fillcolor="black"/>
              </w:pict>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 id="_x0000_s1054" type="#_x0000_t68" style="position:absolute;left:0;text-align:left;margin-left:29.1pt;margin-top:5.1pt;width:9.75pt;height:15pt;z-index:251649024;mso-position-horizontal-relative:text;mso-position-vertical-relative:text" fillcolor="black"/>
              </w:pict>
            </w:r>
          </w:p>
        </w:tc>
        <w:tc>
          <w:tcPr>
            <w:tcW w:w="596" w:type="pct"/>
            <w:shd w:val="clear" w:color="auto" w:fill="FFFFFF"/>
          </w:tcPr>
          <w:p w:rsidR="00327936" w:rsidRDefault="00327936" w:rsidP="008A5C1C">
            <w:pPr>
              <w:pStyle w:val="BodyText"/>
              <w:jc w:val="center"/>
            </w:pPr>
            <w:r>
              <w:t>N/A</w:t>
            </w:r>
          </w:p>
        </w:tc>
        <w:tc>
          <w:tcPr>
            <w:tcW w:w="594" w:type="pct"/>
            <w:shd w:val="clear" w:color="auto" w:fill="FFFFFF"/>
          </w:tcPr>
          <w:p w:rsidR="00327936" w:rsidRDefault="00327936" w:rsidP="008A5C1C">
            <w:pPr>
              <w:pStyle w:val="BodyText"/>
              <w:jc w:val="center"/>
            </w:pPr>
            <w:r>
              <w:rPr>
                <w:noProof/>
              </w:rPr>
              <w:pict>
                <v:shape id="_x0000_s1055" type="#_x0000_t67" style="position:absolute;left:0;text-align:left;margin-left:14.15pt;margin-top:5.1pt;width:9pt;height:15pt;z-index:251662336;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56" type="#_x0000_t67" style="position:absolute;left:0;text-align:left;margin-left:13.6pt;margin-top:5.1pt;width:9pt;height:15pt;z-index:251661312;mso-position-horizontal-relative:text;mso-position-vertical-relative:text" fillcolor="black"/>
              </w:pict>
            </w:r>
          </w:p>
        </w:tc>
        <w:tc>
          <w:tcPr>
            <w:tcW w:w="863" w:type="pct"/>
            <w:shd w:val="clear" w:color="auto" w:fill="FFFFFF"/>
          </w:tcPr>
          <w:p w:rsidR="00327936" w:rsidRDefault="00327936" w:rsidP="008A5C1C">
            <w:pPr>
              <w:pStyle w:val="BodyText"/>
              <w:jc w:val="center"/>
            </w:pPr>
            <w:r>
              <w:rPr>
                <w:noProof/>
              </w:rPr>
              <w:pict>
                <v:shape id="_x0000_s1057" type="#_x0000_t68" style="position:absolute;left:0;text-align:left;margin-left:21.3pt;margin-top:2.1pt;width:9.75pt;height:15pt;z-index:251663360;mso-position-horizontal-relative:text;mso-position-vertical-relative:text" fillcolor="black"/>
              </w:pict>
            </w:r>
          </w:p>
        </w:tc>
      </w:tr>
      <w:tr w:rsidR="00327936" w:rsidTr="008A5C1C">
        <w:tc>
          <w:tcPr>
            <w:tcW w:w="1260" w:type="pct"/>
            <w:vMerge w:val="restart"/>
            <w:shd w:val="clear" w:color="auto" w:fill="FFFFFF"/>
          </w:tcPr>
          <w:p w:rsidR="00327936" w:rsidRDefault="00327936" w:rsidP="00FE76F3">
            <w:pPr>
              <w:pStyle w:val="BodyText"/>
            </w:pPr>
            <w:r>
              <w:t>Non Energy Benefits</w:t>
            </w:r>
          </w:p>
        </w:tc>
        <w:tc>
          <w:tcPr>
            <w:tcW w:w="922" w:type="pct"/>
            <w:shd w:val="clear" w:color="auto" w:fill="FFFFFF"/>
          </w:tcPr>
          <w:p w:rsidR="00327936" w:rsidRDefault="00327936" w:rsidP="008A5C1C">
            <w:pPr>
              <w:pStyle w:val="BodyText"/>
              <w:jc w:val="center"/>
            </w:pPr>
            <w:r>
              <w:rPr>
                <w:noProof/>
              </w:rPr>
              <w:pict>
                <v:shape id="_x0000_s1058" type="#_x0000_t67" style="position:absolute;left:0;text-align:left;margin-left:29.1pt;margin-top:4.35pt;width:9pt;height:15pt;z-index:251666432;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59" type="#_x0000_t67" style="position:absolute;left:0;text-align:left;margin-left:13.35pt;margin-top:4.35pt;width:9pt;height:15pt;z-index:251667456;mso-position-horizontal-relative:text;mso-position-vertical-relative:text" fillcolor="black"/>
              </w:pict>
            </w:r>
          </w:p>
        </w:tc>
        <w:tc>
          <w:tcPr>
            <w:tcW w:w="594" w:type="pct"/>
            <w:shd w:val="clear" w:color="auto" w:fill="FFFFFF"/>
          </w:tcPr>
          <w:p w:rsidR="00327936" w:rsidRDefault="00327936" w:rsidP="008A5C1C">
            <w:pPr>
              <w:pStyle w:val="BodyText"/>
              <w:jc w:val="center"/>
            </w:pPr>
            <w:r>
              <w:t>N/A</w:t>
            </w:r>
          </w:p>
        </w:tc>
        <w:tc>
          <w:tcPr>
            <w:tcW w:w="766" w:type="pct"/>
            <w:shd w:val="clear" w:color="auto" w:fill="FFFFFF"/>
          </w:tcPr>
          <w:p w:rsidR="00327936" w:rsidRDefault="00327936" w:rsidP="008A5C1C">
            <w:pPr>
              <w:pStyle w:val="BodyText"/>
              <w:jc w:val="center"/>
            </w:pPr>
            <w:r>
              <w:t>N/A</w:t>
            </w:r>
          </w:p>
        </w:tc>
        <w:tc>
          <w:tcPr>
            <w:tcW w:w="863" w:type="pct"/>
            <w:shd w:val="clear" w:color="auto" w:fill="FFFFFF"/>
          </w:tcPr>
          <w:p w:rsidR="00327936" w:rsidRDefault="00327936" w:rsidP="008A5C1C">
            <w:pPr>
              <w:pStyle w:val="BodyText"/>
              <w:jc w:val="center"/>
            </w:pPr>
            <w:r>
              <w:rPr>
                <w:noProof/>
              </w:rPr>
              <w:pict>
                <v:shape id="_x0000_s1060" type="#_x0000_t67" style="position:absolute;left:0;text-align:left;margin-left:22.05pt;margin-top:4.35pt;width:9pt;height:15pt;z-index:251670528;mso-position-horizontal-relative:text;mso-position-vertical-relative:text" fillcolor="black"/>
              </w:pict>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 id="_x0000_s1061" type="#_x0000_t68" style="position:absolute;left:0;text-align:left;margin-left:29.85pt;margin-top:3.6pt;width:9.75pt;height:15pt;z-index:251629568;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62" type="#_x0000_t68" style="position:absolute;left:0;text-align:left;margin-left:13.35pt;margin-top:3.6pt;width:9.75pt;height:15pt;z-index:251668480;mso-position-horizontal-relative:text;mso-position-vertical-relative:text" fillcolor="black"/>
              </w:pict>
            </w:r>
          </w:p>
        </w:tc>
        <w:tc>
          <w:tcPr>
            <w:tcW w:w="594" w:type="pct"/>
            <w:shd w:val="clear" w:color="auto" w:fill="FFFFFF"/>
          </w:tcPr>
          <w:p w:rsidR="00327936" w:rsidRDefault="00327936" w:rsidP="008A5C1C">
            <w:pPr>
              <w:pStyle w:val="BodyText"/>
              <w:jc w:val="center"/>
            </w:pPr>
            <w:r>
              <w:t>N/A</w:t>
            </w:r>
          </w:p>
        </w:tc>
        <w:tc>
          <w:tcPr>
            <w:tcW w:w="766" w:type="pct"/>
            <w:shd w:val="clear" w:color="auto" w:fill="FFFFFF"/>
          </w:tcPr>
          <w:p w:rsidR="00327936" w:rsidRDefault="00327936" w:rsidP="008A5C1C">
            <w:pPr>
              <w:pStyle w:val="BodyText"/>
              <w:jc w:val="center"/>
            </w:pPr>
            <w:r>
              <w:t>N/A</w:t>
            </w:r>
          </w:p>
        </w:tc>
        <w:tc>
          <w:tcPr>
            <w:tcW w:w="863" w:type="pct"/>
            <w:shd w:val="clear" w:color="auto" w:fill="FFFFFF"/>
          </w:tcPr>
          <w:p w:rsidR="00327936" w:rsidRDefault="00327936" w:rsidP="008A5C1C">
            <w:pPr>
              <w:pStyle w:val="BodyText"/>
              <w:jc w:val="center"/>
            </w:pPr>
            <w:r>
              <w:rPr>
                <w:noProof/>
              </w:rPr>
              <w:pict>
                <v:shape id="_x0000_s1063" type="#_x0000_t68" style="position:absolute;left:0;text-align:left;margin-left:22.05pt;margin-top:3.6pt;width:9.75pt;height:15pt;z-index:251669504;mso-position-horizontal-relative:text;mso-position-vertical-relative:text" fillcolor="black"/>
              </w:pict>
            </w:r>
          </w:p>
        </w:tc>
      </w:tr>
      <w:tr w:rsidR="00327936" w:rsidTr="008A5C1C">
        <w:tc>
          <w:tcPr>
            <w:tcW w:w="1260" w:type="pct"/>
            <w:vMerge w:val="restart"/>
            <w:shd w:val="clear" w:color="auto" w:fill="FFFFFF"/>
          </w:tcPr>
          <w:p w:rsidR="00327936" w:rsidRDefault="00327936" w:rsidP="00FE76F3">
            <w:pPr>
              <w:pStyle w:val="BodyText"/>
            </w:pPr>
            <w:r>
              <w:t>Measure Life</w:t>
            </w:r>
          </w:p>
        </w:tc>
        <w:tc>
          <w:tcPr>
            <w:tcW w:w="922" w:type="pct"/>
            <w:shd w:val="clear" w:color="auto" w:fill="FFFFFF"/>
          </w:tcPr>
          <w:p w:rsidR="00327936" w:rsidRDefault="00327936" w:rsidP="008A5C1C">
            <w:pPr>
              <w:pStyle w:val="BodyText"/>
              <w:jc w:val="center"/>
            </w:pPr>
            <w:r>
              <w:rPr>
                <w:noProof/>
              </w:rPr>
              <w:pict>
                <v:shape id="_x0000_s1064" type="#_x0000_t67" style="position:absolute;left:0;text-align:left;margin-left:29.85pt;margin-top:3.6pt;width:9pt;height:15pt;z-index:251630592;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65" type="#_x0000_t67" style="position:absolute;left:0;text-align:left;margin-left:14.85pt;margin-top:3.6pt;width:9pt;height:15pt;z-index:251676672;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66" type="#_x0000_t67" style="position:absolute;left:0;text-align:left;margin-left:15.65pt;margin-top:3.6pt;width:9pt;height:15pt;z-index:251675648;mso-position-horizontal-relative:text;mso-position-vertical-relative:text" fillcolor="black"/>
              </w:pict>
            </w:r>
          </w:p>
        </w:tc>
        <w:tc>
          <w:tcPr>
            <w:tcW w:w="766" w:type="pct"/>
            <w:shd w:val="clear" w:color="auto" w:fill="FFFFFF"/>
          </w:tcPr>
          <w:p w:rsidR="00327936" w:rsidRPr="002022F3" w:rsidRDefault="00327936" w:rsidP="008A5C1C">
            <w:pPr>
              <w:pStyle w:val="BodyText"/>
              <w:jc w:val="center"/>
            </w:pPr>
            <w:r w:rsidRPr="002022F3">
              <w:t>Ambiguous</w:t>
            </w:r>
          </w:p>
        </w:tc>
        <w:tc>
          <w:tcPr>
            <w:tcW w:w="863" w:type="pct"/>
            <w:shd w:val="clear" w:color="auto" w:fill="FFFFFF"/>
          </w:tcPr>
          <w:p w:rsidR="00327936" w:rsidRDefault="00327936" w:rsidP="008A5C1C">
            <w:pPr>
              <w:pStyle w:val="BodyText"/>
              <w:jc w:val="center"/>
            </w:pPr>
            <w:r>
              <w:rPr>
                <w:noProof/>
              </w:rPr>
              <w:pict>
                <v:shape id="_x0000_s1067" type="#_x0000_t67" style="position:absolute;left:0;text-align:left;margin-left:22.8pt;margin-top:3.6pt;width:9pt;height:15pt;z-index:251677696;mso-position-horizontal-relative:text;mso-position-vertical-relative:text" fillcolor="black"/>
              </w:pict>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8A5C1C">
            <w:pPr>
              <w:pStyle w:val="BodyText"/>
              <w:jc w:val="center"/>
            </w:pPr>
            <w:r>
              <w:rPr>
                <w:noProof/>
              </w:rPr>
              <w:pict>
                <v:shape id="_x0000_s1068" type="#_x0000_t68" style="position:absolute;left:0;text-align:left;margin-left:28.35pt;margin-top:4.35pt;width:9.75pt;height:15pt;z-index:251631616;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69" type="#_x0000_t68" style="position:absolute;left:0;text-align:left;margin-left:14.85pt;margin-top:4.35pt;width:9.75pt;height:15pt;z-index:251672576;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70" type="#_x0000_t68" style="position:absolute;left:0;text-align:left;margin-left:14.9pt;margin-top:4.35pt;width:9.75pt;height:15pt;z-index:251674624;mso-position-horizontal-relative:text;mso-position-vertical-relative:text" fillcolor="black"/>
              </w:pict>
            </w:r>
          </w:p>
        </w:tc>
        <w:tc>
          <w:tcPr>
            <w:tcW w:w="766" w:type="pct"/>
            <w:shd w:val="clear" w:color="auto" w:fill="FFFFFF"/>
          </w:tcPr>
          <w:p w:rsidR="00327936" w:rsidRPr="002022F3" w:rsidRDefault="00327936" w:rsidP="008A5C1C">
            <w:pPr>
              <w:pStyle w:val="BodyText"/>
              <w:jc w:val="center"/>
            </w:pPr>
            <w:r w:rsidRPr="002022F3">
              <w:t>Ambiguous</w:t>
            </w:r>
          </w:p>
        </w:tc>
        <w:tc>
          <w:tcPr>
            <w:tcW w:w="863" w:type="pct"/>
            <w:shd w:val="clear" w:color="auto" w:fill="FFFFFF"/>
          </w:tcPr>
          <w:p w:rsidR="00327936" w:rsidRDefault="00327936" w:rsidP="008A5C1C">
            <w:pPr>
              <w:pStyle w:val="BodyText"/>
              <w:jc w:val="center"/>
            </w:pPr>
            <w:r>
              <w:rPr>
                <w:noProof/>
              </w:rPr>
              <w:pict>
                <v:shape id="_x0000_s1071" type="#_x0000_t68" style="position:absolute;left:0;text-align:left;margin-left:22.8pt;margin-top:1.35pt;width:9.75pt;height:15pt;z-index:251673600;mso-position-horizontal-relative:text;mso-position-vertical-relative:text" fillcolor="black"/>
              </w:pict>
            </w:r>
          </w:p>
        </w:tc>
      </w:tr>
      <w:tr w:rsidR="00327936" w:rsidTr="008A5C1C">
        <w:tc>
          <w:tcPr>
            <w:tcW w:w="1260" w:type="pct"/>
            <w:vMerge w:val="restart"/>
            <w:shd w:val="clear" w:color="auto" w:fill="FFFFFF"/>
          </w:tcPr>
          <w:p w:rsidR="00327936" w:rsidRDefault="00327936" w:rsidP="00FE76F3">
            <w:pPr>
              <w:pStyle w:val="BodyText"/>
            </w:pPr>
            <w:r>
              <w:t>Discount Rate</w:t>
            </w:r>
          </w:p>
        </w:tc>
        <w:tc>
          <w:tcPr>
            <w:tcW w:w="922" w:type="pct"/>
            <w:shd w:val="clear" w:color="auto" w:fill="FFFFFF"/>
          </w:tcPr>
          <w:p w:rsidR="00327936" w:rsidRDefault="00327936" w:rsidP="008A5C1C">
            <w:pPr>
              <w:pStyle w:val="BodyText"/>
              <w:jc w:val="center"/>
            </w:pPr>
            <w:r>
              <w:rPr>
                <w:noProof/>
              </w:rPr>
              <w:pict>
                <v:shape id="_x0000_s1072" type="#_x0000_t67" style="position:absolute;left:0;text-align:left;margin-left:29.85pt;margin-top:3.6pt;width:9pt;height:15pt;z-index:251632640;mso-position-horizontal-relative:text;mso-position-vertical-relative:text" fillcolor="black"/>
              </w:pict>
            </w:r>
          </w:p>
        </w:tc>
        <w:tc>
          <w:tcPr>
            <w:tcW w:w="596" w:type="pct"/>
            <w:shd w:val="clear" w:color="auto" w:fill="FFFFFF"/>
          </w:tcPr>
          <w:p w:rsidR="00327936" w:rsidRDefault="00327936" w:rsidP="008A5C1C">
            <w:pPr>
              <w:pStyle w:val="BodyText"/>
              <w:jc w:val="center"/>
            </w:pPr>
            <w:r>
              <w:rPr>
                <w:noProof/>
              </w:rPr>
              <w:pict>
                <v:shape id="_x0000_s1073" type="#_x0000_t68" style="position:absolute;left:0;text-align:left;margin-left:14.1pt;margin-top:3.6pt;width:9.75pt;height:15pt;z-index:251678720;mso-position-horizontal-relative:text;mso-position-vertical-relative:text" fillcolor="black"/>
              </w:pict>
            </w:r>
          </w:p>
        </w:tc>
        <w:tc>
          <w:tcPr>
            <w:tcW w:w="594" w:type="pct"/>
            <w:shd w:val="clear" w:color="auto" w:fill="FFFFFF"/>
          </w:tcPr>
          <w:p w:rsidR="00327936" w:rsidRDefault="00327936" w:rsidP="008A5C1C">
            <w:pPr>
              <w:pStyle w:val="BodyText"/>
              <w:jc w:val="center"/>
            </w:pPr>
            <w:r>
              <w:rPr>
                <w:noProof/>
              </w:rPr>
              <w:pict>
                <v:shape id="_x0000_s1074" type="#_x0000_t68" style="position:absolute;left:0;text-align:left;margin-left:14.9pt;margin-top:3.6pt;width:9.75pt;height:15pt;z-index:251679744;mso-position-horizontal-relative:text;mso-position-vertical-relative:text" fillcolor="black"/>
              </w:pict>
            </w:r>
          </w:p>
        </w:tc>
        <w:tc>
          <w:tcPr>
            <w:tcW w:w="766" w:type="pct"/>
            <w:shd w:val="clear" w:color="auto" w:fill="FFFFFF"/>
          </w:tcPr>
          <w:p w:rsidR="00327936" w:rsidRDefault="00327936" w:rsidP="008A5C1C">
            <w:pPr>
              <w:pStyle w:val="BodyText"/>
              <w:jc w:val="center"/>
            </w:pPr>
            <w:r>
              <w:rPr>
                <w:noProof/>
              </w:rPr>
              <w:pict>
                <v:shape id="_x0000_s1075" type="#_x0000_t68" style="position:absolute;left:0;text-align:left;margin-left:12.1pt;margin-top:3.6pt;width:9.75pt;height:15pt;z-index:251680768;mso-position-horizontal-relative:text;mso-position-vertical-relative:text" fillcolor="black"/>
              </w:pict>
            </w:r>
          </w:p>
        </w:tc>
        <w:tc>
          <w:tcPr>
            <w:tcW w:w="863" w:type="pct"/>
            <w:shd w:val="clear" w:color="auto" w:fill="FFFFFF"/>
          </w:tcPr>
          <w:p w:rsidR="00327936" w:rsidRDefault="00327936" w:rsidP="008A5C1C">
            <w:pPr>
              <w:pStyle w:val="BodyText"/>
              <w:jc w:val="center"/>
            </w:pPr>
            <w:r>
              <w:rPr>
                <w:noProof/>
              </w:rPr>
              <w:pict>
                <v:shape id="_x0000_s1076" type="#_x0000_t68" style="position:absolute;left:0;text-align:left;margin-left:22.8pt;margin-top:3.6pt;width:9.75pt;height:15pt;z-index:251681792;mso-position-horizontal-relative:text;mso-position-vertical-relative:text" fillcolor="black"/>
              </w:pict>
            </w:r>
          </w:p>
        </w:tc>
      </w:tr>
      <w:tr w:rsidR="00327936" w:rsidTr="008A5C1C">
        <w:tc>
          <w:tcPr>
            <w:tcW w:w="1260" w:type="pct"/>
            <w:vMerge/>
            <w:shd w:val="clear" w:color="auto" w:fill="FFFFFF"/>
          </w:tcPr>
          <w:p w:rsidR="00327936" w:rsidRDefault="00327936" w:rsidP="00FE76F3">
            <w:pPr>
              <w:pStyle w:val="BodyText"/>
            </w:pPr>
          </w:p>
        </w:tc>
        <w:tc>
          <w:tcPr>
            <w:tcW w:w="922" w:type="pct"/>
            <w:shd w:val="clear" w:color="auto" w:fill="FFFFFF"/>
          </w:tcPr>
          <w:p w:rsidR="00327936" w:rsidRDefault="00327936" w:rsidP="00FE76F3">
            <w:pPr>
              <w:pStyle w:val="BodyText"/>
            </w:pPr>
            <w:r>
              <w:rPr>
                <w:noProof/>
              </w:rPr>
              <w:pict>
                <v:shape id="_x0000_s1077" type="#_x0000_t68" style="position:absolute;margin-left:29.1pt;margin-top:1.35pt;width:9.75pt;height:15pt;z-index:251671552;mso-position-horizontal-relative:text;mso-position-vertical-relative:text" fillcolor="black"/>
              </w:pict>
            </w:r>
          </w:p>
        </w:tc>
        <w:tc>
          <w:tcPr>
            <w:tcW w:w="596" w:type="pct"/>
            <w:shd w:val="clear" w:color="auto" w:fill="FFFFFF"/>
          </w:tcPr>
          <w:p w:rsidR="00327936" w:rsidRDefault="00327936" w:rsidP="00FE76F3">
            <w:pPr>
              <w:pStyle w:val="BodyText"/>
            </w:pPr>
            <w:r>
              <w:rPr>
                <w:noProof/>
              </w:rPr>
              <w:pict>
                <v:shape id="_x0000_s1078" type="#_x0000_t68" style="position:absolute;margin-left:14.1pt;margin-top:1.35pt;width:9.75pt;height:15pt;z-index:251683840;mso-position-horizontal-relative:text;mso-position-vertical-relative:text" fillcolor="black"/>
              </w:pict>
            </w:r>
          </w:p>
        </w:tc>
        <w:tc>
          <w:tcPr>
            <w:tcW w:w="594" w:type="pct"/>
            <w:shd w:val="clear" w:color="auto" w:fill="FFFFFF"/>
          </w:tcPr>
          <w:p w:rsidR="00327936" w:rsidRDefault="00327936" w:rsidP="00FE76F3">
            <w:pPr>
              <w:pStyle w:val="BodyText"/>
            </w:pPr>
            <w:r>
              <w:rPr>
                <w:noProof/>
              </w:rPr>
              <w:pict>
                <v:shape id="_x0000_s1079" type="#_x0000_t68" style="position:absolute;margin-left:14.9pt;margin-top:1.35pt;width:9.75pt;height:15pt;z-index:251684864;mso-position-horizontal-relative:text;mso-position-vertical-relative:text" fillcolor="black"/>
              </w:pict>
            </w:r>
          </w:p>
        </w:tc>
        <w:tc>
          <w:tcPr>
            <w:tcW w:w="766" w:type="pct"/>
            <w:shd w:val="clear" w:color="auto" w:fill="FFFFFF"/>
          </w:tcPr>
          <w:p w:rsidR="00327936" w:rsidRDefault="00327936" w:rsidP="00FE76F3">
            <w:pPr>
              <w:pStyle w:val="BodyText"/>
            </w:pPr>
            <w:r>
              <w:rPr>
                <w:noProof/>
              </w:rPr>
              <w:pict>
                <v:shape id="_x0000_s1080" type="#_x0000_t68" style="position:absolute;margin-left:13.6pt;margin-top:2.1pt;width:9.75pt;height:15pt;z-index:251685888;mso-position-horizontal-relative:text;mso-position-vertical-relative:text" fillcolor="black"/>
              </w:pict>
            </w:r>
          </w:p>
        </w:tc>
        <w:tc>
          <w:tcPr>
            <w:tcW w:w="863" w:type="pct"/>
            <w:shd w:val="clear" w:color="auto" w:fill="FFFFFF"/>
          </w:tcPr>
          <w:p w:rsidR="00327936" w:rsidRDefault="00327936" w:rsidP="00FE76F3">
            <w:pPr>
              <w:pStyle w:val="BodyText"/>
            </w:pPr>
            <w:r>
              <w:rPr>
                <w:noProof/>
              </w:rPr>
              <w:pict>
                <v:shape id="_x0000_s1081" type="#_x0000_t67" style="position:absolute;margin-left:22.8pt;margin-top:1.35pt;width:9pt;height:15pt;z-index:251682816;mso-position-horizontal-relative:text;mso-position-vertical-relative:text" fillcolor="black"/>
              </w:pict>
            </w:r>
          </w:p>
        </w:tc>
      </w:tr>
    </w:tbl>
    <w:p w:rsidR="00327936" w:rsidRDefault="00327936" w:rsidP="001F3892">
      <w:pPr>
        <w:pStyle w:val="BodyText"/>
      </w:pPr>
      <w:bookmarkStart w:id="50" w:name="_Toc294277336"/>
      <w:bookmarkStart w:id="51" w:name="_Toc307067053"/>
    </w:p>
    <w:p w:rsidR="00327936" w:rsidRDefault="00327936" w:rsidP="001F3892">
      <w:pPr>
        <w:pStyle w:val="BodyText"/>
      </w:pPr>
    </w:p>
    <w:p w:rsidR="00327936" w:rsidRDefault="00327936" w:rsidP="001F3892">
      <w:pPr>
        <w:pStyle w:val="BodyText"/>
      </w:pPr>
    </w:p>
    <w:p w:rsidR="00327936" w:rsidRDefault="00327936" w:rsidP="001F3892">
      <w:pPr>
        <w:pStyle w:val="BodyText"/>
      </w:pPr>
    </w:p>
    <w:p w:rsidR="00327936" w:rsidRDefault="00327936" w:rsidP="001F3892">
      <w:pPr>
        <w:pStyle w:val="BodyText"/>
      </w:pPr>
    </w:p>
    <w:p w:rsidR="00327936" w:rsidRDefault="00327936" w:rsidP="001F3892">
      <w:pPr>
        <w:pStyle w:val="BodyText"/>
      </w:pPr>
    </w:p>
    <w:p w:rsidR="00327936" w:rsidRDefault="00327936" w:rsidP="007B0DF5">
      <w:pPr>
        <w:pStyle w:val="Heading1"/>
        <w:numPr>
          <w:ilvl w:val="0"/>
          <w:numId w:val="16"/>
        </w:numPr>
        <w:pBdr>
          <w:bottom w:val="single" w:sz="4" w:space="0" w:color="auto"/>
        </w:pBdr>
        <w:rPr>
          <w:bCs/>
        </w:rPr>
      </w:pPr>
      <w:r>
        <w:rPr>
          <w:bCs/>
        </w:rPr>
        <w:t>Constructing Benefit Cost Ratios</w:t>
      </w:r>
      <w:bookmarkEnd w:id="50"/>
      <w:bookmarkEnd w:id="51"/>
      <w:r>
        <w:rPr>
          <w:bCs/>
        </w:rPr>
        <w:t xml:space="preserve"> </w:t>
      </w:r>
    </w:p>
    <w:p w:rsidR="00327936" w:rsidRDefault="00327936" w:rsidP="007B0EE6">
      <w:pPr>
        <w:pStyle w:val="Heading2"/>
        <w:numPr>
          <w:ilvl w:val="1"/>
          <w:numId w:val="16"/>
        </w:numPr>
      </w:pPr>
      <w:r>
        <w:t xml:space="preserve">  </w:t>
      </w:r>
      <w:bookmarkStart w:id="52" w:name="_Toc294277337"/>
      <w:bookmarkStart w:id="53" w:name="_Toc307067054"/>
      <w:r>
        <w:t>Using Benefit-Cost Ratios for Program Planning</w:t>
      </w:r>
      <w:bookmarkEnd w:id="52"/>
      <w:bookmarkEnd w:id="53"/>
    </w:p>
    <w:p w:rsidR="00327936" w:rsidRDefault="00327936" w:rsidP="002B7777">
      <w:pPr>
        <w:pStyle w:val="BodyText"/>
        <w:jc w:val="both"/>
        <w:rPr>
          <w:rFonts w:ascii="Times New Roman" w:hAnsi="Times New Roman"/>
          <w:sz w:val="24"/>
          <w:szCs w:val="24"/>
        </w:rPr>
      </w:pPr>
      <w:r>
        <w:rPr>
          <w:rFonts w:ascii="Times New Roman" w:hAnsi="Times New Roman"/>
          <w:sz w:val="24"/>
          <w:szCs w:val="24"/>
        </w:rPr>
        <w:t>Benefit-cost r</w:t>
      </w:r>
      <w:r w:rsidRPr="005D4F43">
        <w:rPr>
          <w:rFonts w:ascii="Times New Roman" w:hAnsi="Times New Roman"/>
          <w:sz w:val="24"/>
          <w:szCs w:val="24"/>
        </w:rPr>
        <w:t xml:space="preserve">atios provide useful information to PSE implementation teams. </w:t>
      </w:r>
      <w:r>
        <w:rPr>
          <w:rFonts w:ascii="Times New Roman" w:hAnsi="Times New Roman"/>
          <w:sz w:val="24"/>
          <w:szCs w:val="24"/>
        </w:rPr>
        <w:t>P</w:t>
      </w:r>
      <w:r w:rsidRPr="005D4F43">
        <w:rPr>
          <w:rFonts w:ascii="Times New Roman" w:hAnsi="Times New Roman"/>
          <w:sz w:val="24"/>
          <w:szCs w:val="24"/>
        </w:rPr>
        <w:t>rograms with high benefit-cost ratios, and low free-ridership</w:t>
      </w:r>
      <w:r>
        <w:rPr>
          <w:rFonts w:ascii="Times New Roman" w:hAnsi="Times New Roman"/>
          <w:sz w:val="24"/>
          <w:szCs w:val="24"/>
        </w:rPr>
        <w:t xml:space="preserve"> rates, are of primary interest</w:t>
      </w:r>
      <w:r w:rsidRPr="005D4F43">
        <w:rPr>
          <w:rFonts w:ascii="Times New Roman" w:hAnsi="Times New Roman"/>
          <w:sz w:val="24"/>
          <w:szCs w:val="24"/>
        </w:rPr>
        <w:t xml:space="preserve"> for expansion should PSE need to acquire more demand side resources</w:t>
      </w:r>
      <w:r>
        <w:rPr>
          <w:rFonts w:ascii="Times New Roman" w:hAnsi="Times New Roman"/>
          <w:sz w:val="24"/>
          <w:szCs w:val="24"/>
        </w:rPr>
        <w:t xml:space="preserve">.  </w:t>
      </w:r>
    </w:p>
    <w:p w:rsidR="00327936" w:rsidRDefault="00327936" w:rsidP="002B7777">
      <w:pPr>
        <w:pStyle w:val="BodyText"/>
        <w:jc w:val="both"/>
        <w:rPr>
          <w:rFonts w:ascii="Times New Roman" w:hAnsi="Times New Roman"/>
          <w:sz w:val="24"/>
          <w:szCs w:val="24"/>
        </w:rPr>
      </w:pPr>
      <w:r>
        <w:rPr>
          <w:rFonts w:ascii="Times New Roman" w:hAnsi="Times New Roman"/>
          <w:sz w:val="24"/>
          <w:szCs w:val="24"/>
        </w:rPr>
        <w:t xml:space="preserve">Before benefit cost-ratios can be used for program planning, the inputs into the ratios need to be accounted for correctly. This section provides clarification on what to include as non-energy benefits, how to correctly account for additional O&amp;M costs (or cost savings) incurred by the customer, and how to select discount rates for O&amp;M costs (or cost savings) incurred by the customer. </w:t>
      </w:r>
    </w:p>
    <w:p w:rsidR="00327936" w:rsidRDefault="00327936" w:rsidP="002B7777">
      <w:pPr>
        <w:pStyle w:val="Heading2"/>
        <w:numPr>
          <w:ilvl w:val="1"/>
          <w:numId w:val="16"/>
        </w:numPr>
        <w:jc w:val="both"/>
      </w:pPr>
      <w:r>
        <w:t xml:space="preserve">  </w:t>
      </w:r>
      <w:bookmarkStart w:id="54" w:name="_Toc294277338"/>
      <w:bookmarkStart w:id="55" w:name="_Toc307067055"/>
      <w:r>
        <w:t>Accounting for Non-Energy Benefits</w:t>
      </w:r>
      <w:bookmarkEnd w:id="54"/>
      <w:bookmarkEnd w:id="55"/>
    </w:p>
    <w:p w:rsidR="00327936" w:rsidRPr="001C59A1" w:rsidRDefault="00327936" w:rsidP="002B7777">
      <w:pPr>
        <w:pStyle w:val="BodyText"/>
        <w:jc w:val="both"/>
        <w:rPr>
          <w:rFonts w:ascii="Times New Roman" w:hAnsi="Times New Roman"/>
          <w:sz w:val="24"/>
          <w:szCs w:val="24"/>
        </w:rPr>
      </w:pPr>
      <w:r>
        <w:rPr>
          <w:rFonts w:ascii="Times New Roman" w:hAnsi="Times New Roman"/>
          <w:sz w:val="24"/>
          <w:szCs w:val="24"/>
        </w:rPr>
        <w:t>When including non-energy benefits in the benefit-cost ratios, always include the benefit</w:t>
      </w:r>
      <w:r w:rsidRPr="001C59A1">
        <w:rPr>
          <w:rFonts w:ascii="Times New Roman" w:hAnsi="Times New Roman"/>
          <w:sz w:val="24"/>
          <w:szCs w:val="24"/>
        </w:rPr>
        <w:t xml:space="preserve"> in the numerator of the benefit-cost ratio</w:t>
      </w:r>
      <w:r>
        <w:rPr>
          <w:rFonts w:ascii="Times New Roman" w:hAnsi="Times New Roman"/>
          <w:sz w:val="24"/>
          <w:szCs w:val="24"/>
        </w:rPr>
        <w:t>.  These benefits should not be included in the UC or RIM</w:t>
      </w:r>
      <w:r w:rsidRPr="00EC0BA3">
        <w:rPr>
          <w:rFonts w:ascii="Times New Roman" w:hAnsi="Times New Roman"/>
          <w:sz w:val="24"/>
          <w:szCs w:val="24"/>
        </w:rPr>
        <w:t xml:space="preserve">. </w:t>
      </w:r>
      <w:r>
        <w:rPr>
          <w:rFonts w:ascii="Times New Roman" w:hAnsi="Times New Roman"/>
          <w:sz w:val="24"/>
          <w:szCs w:val="24"/>
        </w:rPr>
        <w:t xml:space="preserve"> All non-energy benefits which are quantifiable can be included in the TRC. </w:t>
      </w:r>
      <w:r w:rsidRPr="00EC0BA3">
        <w:rPr>
          <w:rFonts w:ascii="Times New Roman" w:hAnsi="Times New Roman"/>
          <w:sz w:val="24"/>
          <w:szCs w:val="24"/>
        </w:rPr>
        <w:t>Customer facing non-energy benefits can</w:t>
      </w:r>
      <w:r>
        <w:rPr>
          <w:rFonts w:ascii="Times New Roman" w:hAnsi="Times New Roman"/>
          <w:sz w:val="24"/>
          <w:szCs w:val="24"/>
        </w:rPr>
        <w:t xml:space="preserve"> </w:t>
      </w:r>
      <w:r w:rsidRPr="00EC0BA3">
        <w:rPr>
          <w:rFonts w:ascii="Times New Roman" w:hAnsi="Times New Roman"/>
          <w:sz w:val="24"/>
          <w:szCs w:val="24"/>
        </w:rPr>
        <w:t>be counted in the</w:t>
      </w:r>
      <w:r>
        <w:rPr>
          <w:rFonts w:ascii="Times New Roman" w:hAnsi="Times New Roman"/>
          <w:sz w:val="24"/>
          <w:szCs w:val="24"/>
        </w:rPr>
        <w:t xml:space="preserve"> PCT</w:t>
      </w:r>
      <w:r w:rsidRPr="00EC0BA3">
        <w:rPr>
          <w:rFonts w:ascii="Times New Roman" w:hAnsi="Times New Roman"/>
          <w:sz w:val="24"/>
          <w:szCs w:val="24"/>
        </w:rPr>
        <w:t>.</w:t>
      </w:r>
      <w:r>
        <w:rPr>
          <w:rFonts w:ascii="Times New Roman" w:hAnsi="Times New Roman"/>
          <w:sz w:val="24"/>
          <w:szCs w:val="24"/>
        </w:rPr>
        <w:t xml:space="preserve"> </w:t>
      </w:r>
      <w:r w:rsidRPr="001C59A1">
        <w:rPr>
          <w:rFonts w:ascii="Times New Roman" w:hAnsi="Times New Roman"/>
          <w:sz w:val="24"/>
          <w:szCs w:val="24"/>
        </w:rPr>
        <w:t xml:space="preserve"> </w:t>
      </w:r>
      <w:r>
        <w:rPr>
          <w:rFonts w:ascii="Times New Roman" w:hAnsi="Times New Roman"/>
          <w:sz w:val="24"/>
          <w:szCs w:val="24"/>
        </w:rPr>
        <w:t xml:space="preserve"> </w:t>
      </w:r>
      <w:r w:rsidRPr="001C59A1">
        <w:rPr>
          <w:rFonts w:ascii="Times New Roman" w:hAnsi="Times New Roman"/>
          <w:sz w:val="24"/>
          <w:szCs w:val="24"/>
        </w:rPr>
        <w:t>Non-energy benefits which cannot be estimated with supporting documentation should n</w:t>
      </w:r>
      <w:r>
        <w:rPr>
          <w:rFonts w:ascii="Times New Roman" w:hAnsi="Times New Roman"/>
          <w:sz w:val="24"/>
          <w:szCs w:val="24"/>
        </w:rPr>
        <w:t>ot</w:t>
      </w:r>
      <w:r w:rsidRPr="001C59A1">
        <w:rPr>
          <w:rFonts w:ascii="Times New Roman" w:hAnsi="Times New Roman"/>
          <w:sz w:val="24"/>
          <w:szCs w:val="24"/>
        </w:rPr>
        <w:t xml:space="preserve"> be included in </w:t>
      </w:r>
      <w:r>
        <w:rPr>
          <w:rFonts w:ascii="Times New Roman" w:hAnsi="Times New Roman"/>
          <w:sz w:val="24"/>
          <w:szCs w:val="24"/>
        </w:rPr>
        <w:t>the TRC or the PCT cost effectiveness test</w:t>
      </w:r>
      <w:r w:rsidRPr="001C59A1">
        <w:rPr>
          <w:rFonts w:ascii="Times New Roman" w:hAnsi="Times New Roman"/>
          <w:sz w:val="24"/>
          <w:szCs w:val="24"/>
        </w:rPr>
        <w:t xml:space="preserve">. </w:t>
      </w:r>
      <w:r>
        <w:rPr>
          <w:rFonts w:ascii="Times New Roman" w:hAnsi="Times New Roman"/>
          <w:sz w:val="24"/>
          <w:szCs w:val="24"/>
        </w:rPr>
        <w:t xml:space="preserve"> Moreover, n</w:t>
      </w:r>
      <w:r w:rsidRPr="001C59A1">
        <w:rPr>
          <w:rFonts w:ascii="Times New Roman" w:hAnsi="Times New Roman"/>
          <w:sz w:val="24"/>
          <w:szCs w:val="24"/>
        </w:rPr>
        <w:t xml:space="preserve">on-energy benefits which are included in the </w:t>
      </w:r>
      <w:r>
        <w:rPr>
          <w:rFonts w:ascii="Times New Roman" w:hAnsi="Times New Roman"/>
          <w:sz w:val="24"/>
          <w:szCs w:val="24"/>
        </w:rPr>
        <w:t xml:space="preserve">TRC and/or the PCT </w:t>
      </w:r>
      <w:r w:rsidRPr="001C59A1">
        <w:rPr>
          <w:rFonts w:ascii="Times New Roman" w:hAnsi="Times New Roman"/>
          <w:sz w:val="24"/>
          <w:szCs w:val="24"/>
        </w:rPr>
        <w:t xml:space="preserve">should be accompanied with supporting documentations and calculations.    </w:t>
      </w:r>
    </w:p>
    <w:p w:rsidR="00327936" w:rsidRDefault="00327936" w:rsidP="007B0EE6">
      <w:pPr>
        <w:pStyle w:val="Heading2"/>
        <w:numPr>
          <w:ilvl w:val="1"/>
          <w:numId w:val="16"/>
        </w:numPr>
      </w:pPr>
      <w:r>
        <w:t xml:space="preserve"> </w:t>
      </w:r>
      <w:bookmarkStart w:id="56" w:name="_Toc294277339"/>
      <w:bookmarkStart w:id="57" w:name="_Toc307067056"/>
      <w:r>
        <w:t xml:space="preserve">Incorporating Additional Customer </w:t>
      </w:r>
      <w:bookmarkEnd w:id="56"/>
      <w:r>
        <w:t>Costs</w:t>
      </w:r>
      <w:bookmarkEnd w:id="57"/>
    </w:p>
    <w:p w:rsidR="00327936" w:rsidRDefault="00327936" w:rsidP="0055044D">
      <w:pPr>
        <w:pStyle w:val="BodyText"/>
        <w:jc w:val="both"/>
        <w:rPr>
          <w:rFonts w:ascii="Times New Roman" w:hAnsi="Times New Roman"/>
          <w:sz w:val="24"/>
          <w:szCs w:val="24"/>
        </w:rPr>
      </w:pPr>
      <w:r w:rsidRPr="0055044D">
        <w:rPr>
          <w:rFonts w:ascii="Times New Roman" w:hAnsi="Times New Roman"/>
          <w:sz w:val="24"/>
          <w:szCs w:val="24"/>
        </w:rPr>
        <w:t>Additional customer incurred costs, which are not included in the cost of the measure being purchased th</w:t>
      </w:r>
      <w:r>
        <w:rPr>
          <w:rFonts w:ascii="Times New Roman" w:hAnsi="Times New Roman"/>
          <w:sz w:val="24"/>
          <w:szCs w:val="24"/>
        </w:rPr>
        <w:t>r</w:t>
      </w:r>
      <w:r w:rsidRPr="0055044D">
        <w:rPr>
          <w:rFonts w:ascii="Times New Roman" w:hAnsi="Times New Roman"/>
          <w:sz w:val="24"/>
          <w:szCs w:val="24"/>
        </w:rPr>
        <w:t>ough the efficiency program,</w:t>
      </w:r>
      <w:r>
        <w:rPr>
          <w:rFonts w:ascii="Times New Roman" w:hAnsi="Times New Roman"/>
          <w:sz w:val="24"/>
          <w:szCs w:val="24"/>
        </w:rPr>
        <w:t xml:space="preserve"> can be negative (cost savings) or positive. If the cost is negative (cost savings), the absolute value of the cost savings should be included in the numerator (non-energy benefit) of the benefit-cost ratio. The cost should be included in the denominator of the benefit-cost ratio whenever the cost is positive (representing an additional cost). </w:t>
      </w:r>
    </w:p>
    <w:p w:rsidR="00327936" w:rsidRDefault="00327936" w:rsidP="0055044D">
      <w:pPr>
        <w:pStyle w:val="BodyText"/>
        <w:jc w:val="both"/>
        <w:rPr>
          <w:rFonts w:ascii="Times New Roman" w:hAnsi="Times New Roman"/>
          <w:sz w:val="24"/>
          <w:szCs w:val="24"/>
        </w:rPr>
      </w:pPr>
      <w:r>
        <w:rPr>
          <w:rFonts w:ascii="Times New Roman" w:hAnsi="Times New Roman"/>
          <w:sz w:val="24"/>
          <w:szCs w:val="24"/>
        </w:rPr>
        <w:t xml:space="preserve">Examples of additional customer costs </w:t>
      </w:r>
      <w:r w:rsidRPr="0055044D">
        <w:rPr>
          <w:rFonts w:ascii="Times New Roman" w:hAnsi="Times New Roman"/>
          <w:sz w:val="24"/>
          <w:szCs w:val="24"/>
        </w:rPr>
        <w:t>include</w:t>
      </w:r>
      <w:r>
        <w:rPr>
          <w:rFonts w:ascii="Times New Roman" w:hAnsi="Times New Roman"/>
          <w:sz w:val="24"/>
          <w:szCs w:val="24"/>
        </w:rPr>
        <w:t xml:space="preserve"> the cost of natural gas when participating in an electric to gas fuel conversion program. The added cost of natural g</w:t>
      </w:r>
      <w:r w:rsidRPr="0055044D">
        <w:rPr>
          <w:rFonts w:ascii="Times New Roman" w:hAnsi="Times New Roman"/>
          <w:sz w:val="24"/>
          <w:szCs w:val="24"/>
        </w:rPr>
        <w:t xml:space="preserve">as, for an electric to gas fuel switching program, is difficult to assess. On one hand, the cost of gas can be counted as an additional cost to the customer. </w:t>
      </w:r>
      <w:r>
        <w:rPr>
          <w:rFonts w:ascii="Times New Roman" w:hAnsi="Times New Roman"/>
          <w:sz w:val="24"/>
          <w:szCs w:val="24"/>
        </w:rPr>
        <w:t xml:space="preserve"> </w:t>
      </w:r>
      <w:r w:rsidRPr="0055044D">
        <w:rPr>
          <w:rFonts w:ascii="Times New Roman" w:hAnsi="Times New Roman"/>
          <w:sz w:val="24"/>
          <w:szCs w:val="24"/>
        </w:rPr>
        <w:t>On the other hand, the cost of gas can be counted as a c</w:t>
      </w:r>
      <w:r>
        <w:rPr>
          <w:rFonts w:ascii="Times New Roman" w:hAnsi="Times New Roman"/>
          <w:sz w:val="24"/>
          <w:szCs w:val="24"/>
        </w:rPr>
        <w:t xml:space="preserve">ost incurred by the utility. </w:t>
      </w:r>
    </w:p>
    <w:p w:rsidR="00327936" w:rsidRDefault="00327936" w:rsidP="0055044D">
      <w:pPr>
        <w:pStyle w:val="BodyText"/>
        <w:jc w:val="both"/>
        <w:rPr>
          <w:rFonts w:ascii="Times New Roman" w:hAnsi="Times New Roman"/>
          <w:sz w:val="24"/>
          <w:szCs w:val="24"/>
        </w:rPr>
      </w:pPr>
      <w:r>
        <w:rPr>
          <w:rFonts w:ascii="Times New Roman" w:hAnsi="Times New Roman"/>
          <w:sz w:val="24"/>
          <w:szCs w:val="24"/>
        </w:rPr>
        <w:t xml:space="preserve">The UC ignores customer costs, which would exclude the additional cost of gas if counted as a customer cost.  Therefore, the additional cost of gas is counted as a utility cost in the UC and placed in the denominator of the benefit-cost ratio.  Similarly, because the TRC is a function of the UC, with added customer costs and non-energy benefits, the additional cost of gas for fuel conversion programs is also included as a utility cost and placed in the denominator of the benefit-cost ratio. </w:t>
      </w:r>
    </w:p>
    <w:p w:rsidR="00327936" w:rsidRDefault="00327936" w:rsidP="0055044D">
      <w:pPr>
        <w:pStyle w:val="BodyText"/>
        <w:jc w:val="both"/>
        <w:rPr>
          <w:rFonts w:ascii="Times New Roman" w:hAnsi="Times New Roman"/>
          <w:sz w:val="24"/>
          <w:szCs w:val="24"/>
        </w:rPr>
      </w:pPr>
      <w:r>
        <w:rPr>
          <w:rFonts w:ascii="Times New Roman" w:hAnsi="Times New Roman"/>
          <w:sz w:val="24"/>
          <w:szCs w:val="24"/>
        </w:rPr>
        <w:t xml:space="preserve">For the PCT, the cost of gas from an electric to gas fuel switching program is counted as a customer cost. Therefore, the additional cost of gas is included in the denominator of the Participant Cost Test. </w:t>
      </w:r>
    </w:p>
    <w:p w:rsidR="00327936" w:rsidRDefault="00327936" w:rsidP="007B0EE6">
      <w:pPr>
        <w:pStyle w:val="Heading2"/>
        <w:numPr>
          <w:ilvl w:val="1"/>
          <w:numId w:val="16"/>
        </w:numPr>
      </w:pPr>
      <w:r>
        <w:t xml:space="preserve"> </w:t>
      </w:r>
      <w:bookmarkStart w:id="58" w:name="_Toc294277340"/>
      <w:r>
        <w:t xml:space="preserve"> </w:t>
      </w:r>
      <w:bookmarkStart w:id="59" w:name="_Toc307067057"/>
      <w:r>
        <w:t>Applying the Correct Discount rate</w:t>
      </w:r>
      <w:bookmarkEnd w:id="58"/>
      <w:bookmarkEnd w:id="59"/>
    </w:p>
    <w:p w:rsidR="00327936" w:rsidRDefault="00327936" w:rsidP="005C3392">
      <w:pPr>
        <w:pStyle w:val="BodyText"/>
        <w:rPr>
          <w:rFonts w:ascii="Times New Roman" w:hAnsi="Times New Roman"/>
          <w:sz w:val="24"/>
          <w:szCs w:val="24"/>
        </w:rPr>
      </w:pPr>
      <w:r w:rsidRPr="00FE54AF">
        <w:rPr>
          <w:rFonts w:ascii="Times New Roman" w:hAnsi="Times New Roman"/>
          <w:sz w:val="24"/>
          <w:szCs w:val="24"/>
        </w:rPr>
        <w:t xml:space="preserve">The rate </w:t>
      </w:r>
      <w:r>
        <w:rPr>
          <w:rFonts w:ascii="Times New Roman" w:hAnsi="Times New Roman"/>
          <w:sz w:val="24"/>
          <w:szCs w:val="24"/>
        </w:rPr>
        <w:t xml:space="preserve">used </w:t>
      </w:r>
      <w:r w:rsidRPr="00FE54AF">
        <w:rPr>
          <w:rFonts w:ascii="Times New Roman" w:hAnsi="Times New Roman"/>
          <w:sz w:val="24"/>
          <w:szCs w:val="24"/>
        </w:rPr>
        <w:t xml:space="preserve">to </w:t>
      </w:r>
      <w:r>
        <w:rPr>
          <w:rFonts w:ascii="Times New Roman" w:hAnsi="Times New Roman"/>
          <w:sz w:val="24"/>
          <w:szCs w:val="24"/>
        </w:rPr>
        <w:t xml:space="preserve">discount </w:t>
      </w:r>
      <w:r w:rsidRPr="00FE54AF">
        <w:rPr>
          <w:rFonts w:ascii="Times New Roman" w:hAnsi="Times New Roman"/>
          <w:sz w:val="24"/>
          <w:szCs w:val="24"/>
        </w:rPr>
        <w:t>costs</w:t>
      </w:r>
      <w:r>
        <w:rPr>
          <w:rFonts w:ascii="Times New Roman" w:hAnsi="Times New Roman"/>
          <w:sz w:val="24"/>
          <w:szCs w:val="24"/>
        </w:rPr>
        <w:t xml:space="preserve"> or benefits</w:t>
      </w:r>
      <w:r w:rsidRPr="00FE54AF">
        <w:rPr>
          <w:rFonts w:ascii="Times New Roman" w:hAnsi="Times New Roman"/>
          <w:sz w:val="24"/>
          <w:szCs w:val="24"/>
        </w:rPr>
        <w:t xml:space="preserve"> for energy efficiency programs can impact the outcome of the benefit-cost ratios</w:t>
      </w:r>
      <w:r>
        <w:rPr>
          <w:rFonts w:ascii="Times New Roman" w:hAnsi="Times New Roman"/>
          <w:sz w:val="24"/>
          <w:szCs w:val="24"/>
        </w:rPr>
        <w:t xml:space="preserve"> of PSE’s cost-effectiveness tests</w:t>
      </w:r>
      <w:r w:rsidRPr="00FE54AF">
        <w:rPr>
          <w:rFonts w:ascii="Times New Roman" w:hAnsi="Times New Roman"/>
          <w:sz w:val="24"/>
          <w:szCs w:val="24"/>
        </w:rPr>
        <w:t xml:space="preserve">. </w:t>
      </w:r>
    </w:p>
    <w:p w:rsidR="00327936" w:rsidRDefault="00327936" w:rsidP="005C3392">
      <w:pPr>
        <w:pStyle w:val="BodyText"/>
        <w:rPr>
          <w:rFonts w:ascii="Times New Roman" w:hAnsi="Times New Roman"/>
          <w:sz w:val="24"/>
          <w:szCs w:val="24"/>
        </w:rPr>
      </w:pPr>
      <w:r>
        <w:rPr>
          <w:rFonts w:ascii="Times New Roman" w:hAnsi="Times New Roman"/>
          <w:sz w:val="24"/>
          <w:szCs w:val="24"/>
        </w:rPr>
        <w:t xml:space="preserve">When discounting additional costs, nominal discount rates should be used.  For additional costs (or savings) faced by the utility,  program teams should use PSE’s the ROR approved in its most recent General Rate Case as the nominal discount rate. </w:t>
      </w:r>
    </w:p>
    <w:tbl>
      <w:tblPr>
        <w:tblpPr w:leftFromText="180" w:rightFromText="180" w:vertAnchor="text" w:horzAnchor="margin" w:tblpY="1155"/>
        <w:tblW w:w="8180" w:type="dxa"/>
        <w:tblLook w:val="00A0"/>
      </w:tblPr>
      <w:tblGrid>
        <w:gridCol w:w="2080"/>
        <w:gridCol w:w="2860"/>
        <w:gridCol w:w="3240"/>
      </w:tblGrid>
      <w:tr w:rsidR="00327936" w:rsidRPr="00D94261" w:rsidTr="00D94261">
        <w:trPr>
          <w:trHeight w:val="645"/>
        </w:trPr>
        <w:tc>
          <w:tcPr>
            <w:tcW w:w="2080" w:type="dxa"/>
            <w:tcBorders>
              <w:top w:val="single" w:sz="8" w:space="0" w:color="auto"/>
              <w:left w:val="single" w:sz="8" w:space="0" w:color="auto"/>
              <w:bottom w:val="single" w:sz="8" w:space="0" w:color="auto"/>
              <w:right w:val="single" w:sz="8" w:space="0" w:color="auto"/>
            </w:tcBorders>
            <w:shd w:val="clear" w:color="000000" w:fill="D6E3BC"/>
          </w:tcPr>
          <w:p w:rsidR="00327936" w:rsidRPr="00D94261" w:rsidRDefault="00327936" w:rsidP="00D94261">
            <w:pPr>
              <w:ind w:left="0"/>
              <w:rPr>
                <w:rFonts w:cs="Tahoma"/>
                <w:b/>
                <w:bCs/>
                <w:color w:val="000000"/>
                <w:sz w:val="17"/>
                <w:szCs w:val="17"/>
              </w:rPr>
            </w:pPr>
            <w:bookmarkStart w:id="60" w:name="_Toc294277341"/>
            <w:bookmarkStart w:id="61" w:name="_Toc307067058"/>
            <w:r w:rsidRPr="00D94261">
              <w:rPr>
                <w:rFonts w:cs="Tahoma"/>
                <w:b/>
                <w:bCs/>
                <w:color w:val="000000"/>
                <w:sz w:val="17"/>
                <w:szCs w:val="17"/>
              </w:rPr>
              <w:t xml:space="preserve">TEST </w:t>
            </w:r>
          </w:p>
        </w:tc>
        <w:tc>
          <w:tcPr>
            <w:tcW w:w="2860" w:type="dxa"/>
            <w:tcBorders>
              <w:top w:val="single" w:sz="8" w:space="0" w:color="auto"/>
              <w:left w:val="nil"/>
              <w:bottom w:val="single" w:sz="8" w:space="0" w:color="auto"/>
              <w:right w:val="single" w:sz="8" w:space="0" w:color="auto"/>
            </w:tcBorders>
            <w:shd w:val="clear" w:color="000000" w:fill="D6E3BC"/>
          </w:tcPr>
          <w:p w:rsidR="00327936" w:rsidRPr="00D94261" w:rsidRDefault="00327936" w:rsidP="00D94261">
            <w:pPr>
              <w:ind w:left="0"/>
              <w:rPr>
                <w:rFonts w:cs="Tahoma"/>
                <w:b/>
                <w:bCs/>
                <w:color w:val="000000"/>
                <w:sz w:val="17"/>
                <w:szCs w:val="17"/>
              </w:rPr>
            </w:pPr>
            <w:r w:rsidRPr="00D94261">
              <w:rPr>
                <w:rFonts w:cs="Tahoma"/>
                <w:b/>
                <w:bCs/>
                <w:color w:val="000000"/>
                <w:sz w:val="17"/>
                <w:szCs w:val="17"/>
              </w:rPr>
              <w:t xml:space="preserve">Benefits (NUMERATOR) </w:t>
            </w:r>
          </w:p>
        </w:tc>
        <w:tc>
          <w:tcPr>
            <w:tcW w:w="3240" w:type="dxa"/>
            <w:tcBorders>
              <w:top w:val="single" w:sz="8" w:space="0" w:color="auto"/>
              <w:left w:val="nil"/>
              <w:bottom w:val="single" w:sz="8" w:space="0" w:color="auto"/>
              <w:right w:val="single" w:sz="8" w:space="0" w:color="auto"/>
            </w:tcBorders>
            <w:shd w:val="clear" w:color="000000" w:fill="D6E3BC"/>
          </w:tcPr>
          <w:p w:rsidR="00327936" w:rsidRPr="00D94261" w:rsidRDefault="00327936" w:rsidP="00D94261">
            <w:pPr>
              <w:ind w:left="0"/>
              <w:rPr>
                <w:rFonts w:cs="Tahoma"/>
                <w:b/>
                <w:bCs/>
                <w:color w:val="000000"/>
                <w:sz w:val="17"/>
                <w:szCs w:val="17"/>
              </w:rPr>
            </w:pPr>
            <w:r w:rsidRPr="00D94261">
              <w:rPr>
                <w:rFonts w:cs="Tahoma"/>
                <w:b/>
                <w:bCs/>
                <w:color w:val="000000"/>
                <w:sz w:val="17"/>
                <w:szCs w:val="17"/>
              </w:rPr>
              <w:t xml:space="preserve">Costs (Denominator) </w:t>
            </w:r>
          </w:p>
        </w:tc>
      </w:tr>
      <w:tr w:rsidR="00327936" w:rsidRPr="00D94261" w:rsidTr="00D94261">
        <w:trPr>
          <w:trHeight w:val="360"/>
        </w:trPr>
        <w:tc>
          <w:tcPr>
            <w:tcW w:w="8180" w:type="dxa"/>
            <w:gridSpan w:val="3"/>
            <w:tcBorders>
              <w:top w:val="single" w:sz="8" w:space="0" w:color="auto"/>
              <w:left w:val="single" w:sz="8" w:space="0" w:color="auto"/>
              <w:bottom w:val="single" w:sz="8" w:space="0" w:color="auto"/>
              <w:right w:val="single" w:sz="8" w:space="0" w:color="000000"/>
            </w:tcBorders>
            <w:shd w:val="clear" w:color="000000" w:fill="EAF1DD"/>
          </w:tcPr>
          <w:p w:rsidR="00327936" w:rsidRPr="00D94261" w:rsidRDefault="00327936" w:rsidP="00D94261">
            <w:pPr>
              <w:ind w:left="0"/>
              <w:jc w:val="center"/>
              <w:rPr>
                <w:rFonts w:cs="Tahoma"/>
                <w:b/>
                <w:bCs/>
                <w:color w:val="000000"/>
                <w:sz w:val="17"/>
                <w:szCs w:val="17"/>
              </w:rPr>
            </w:pPr>
            <w:r w:rsidRPr="00D94261">
              <w:rPr>
                <w:rFonts w:cs="Tahoma"/>
                <w:b/>
                <w:bCs/>
                <w:color w:val="000000"/>
                <w:sz w:val="17"/>
                <w:szCs w:val="17"/>
              </w:rPr>
              <w:t xml:space="preserve">Perspective of Puget Sound Energy </w:t>
            </w:r>
          </w:p>
        </w:tc>
      </w:tr>
      <w:tr w:rsidR="00327936" w:rsidRPr="00D94261" w:rsidTr="00D94261">
        <w:trPr>
          <w:trHeight w:val="300"/>
        </w:trPr>
        <w:tc>
          <w:tcPr>
            <w:tcW w:w="2080" w:type="dxa"/>
            <w:vMerge w:val="restart"/>
            <w:tcBorders>
              <w:top w:val="nil"/>
              <w:left w:val="single" w:sz="8" w:space="0" w:color="auto"/>
              <w:bottom w:val="single" w:sz="8" w:space="0" w:color="000000"/>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Utility Cost Test</w:t>
            </w: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Avoided Energy</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Program Overhead Costs</w:t>
            </w:r>
          </w:p>
        </w:tc>
      </w:tr>
      <w:tr w:rsidR="00327936" w:rsidRPr="00D94261" w:rsidTr="00D94261">
        <w:trPr>
          <w:trHeight w:val="315"/>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Avoided Capacity Costs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 xml:space="preserve">Incentives </w:t>
            </w:r>
          </w:p>
        </w:tc>
      </w:tr>
      <w:tr w:rsidR="00327936" w:rsidRPr="00D94261" w:rsidTr="00D94261">
        <w:trPr>
          <w:trHeight w:val="330"/>
        </w:trPr>
        <w:tc>
          <w:tcPr>
            <w:tcW w:w="8180" w:type="dxa"/>
            <w:gridSpan w:val="3"/>
            <w:tcBorders>
              <w:top w:val="single" w:sz="8" w:space="0" w:color="auto"/>
              <w:left w:val="single" w:sz="8" w:space="0" w:color="auto"/>
              <w:bottom w:val="single" w:sz="8" w:space="0" w:color="auto"/>
              <w:right w:val="single" w:sz="8" w:space="0" w:color="000000"/>
            </w:tcBorders>
            <w:shd w:val="clear" w:color="000000" w:fill="EAF1DD"/>
          </w:tcPr>
          <w:p w:rsidR="00327936" w:rsidRPr="00D94261" w:rsidRDefault="00327936" w:rsidP="00D94261">
            <w:pPr>
              <w:ind w:left="0"/>
              <w:jc w:val="center"/>
              <w:rPr>
                <w:rFonts w:cs="Tahoma"/>
                <w:b/>
                <w:bCs/>
                <w:color w:val="000000"/>
                <w:sz w:val="17"/>
                <w:szCs w:val="17"/>
              </w:rPr>
            </w:pPr>
            <w:r w:rsidRPr="00D94261">
              <w:rPr>
                <w:rFonts w:cs="Tahoma"/>
                <w:b/>
                <w:bCs/>
                <w:color w:val="000000"/>
                <w:sz w:val="17"/>
                <w:szCs w:val="17"/>
              </w:rPr>
              <w:t xml:space="preserve">Perspective of All PSE Customers </w:t>
            </w:r>
            <w:r w:rsidRPr="00D94261">
              <w:rPr>
                <w:rFonts w:cs="Tahoma"/>
                <w:color w:val="000000"/>
                <w:sz w:val="16"/>
                <w:szCs w:val="16"/>
              </w:rPr>
              <w:t> </w:t>
            </w:r>
          </w:p>
        </w:tc>
      </w:tr>
      <w:tr w:rsidR="00327936" w:rsidRPr="00D94261" w:rsidTr="00D94261">
        <w:trPr>
          <w:trHeight w:val="300"/>
        </w:trPr>
        <w:tc>
          <w:tcPr>
            <w:tcW w:w="2080" w:type="dxa"/>
            <w:vMerge w:val="restart"/>
            <w:tcBorders>
              <w:top w:val="nil"/>
              <w:left w:val="single" w:sz="8" w:space="0" w:color="auto"/>
              <w:bottom w:val="single" w:sz="8" w:space="0" w:color="000000"/>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Total Resource Cost Test</w:t>
            </w: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Avoided Energy</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Program Overhead Costs</w:t>
            </w:r>
          </w:p>
        </w:tc>
      </w:tr>
      <w:tr w:rsidR="00327936" w:rsidRPr="00D94261" w:rsidTr="00D94261">
        <w:trPr>
          <w:trHeight w:val="30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Avoided Capacity Costs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Incentives</w:t>
            </w:r>
          </w:p>
        </w:tc>
      </w:tr>
      <w:tr w:rsidR="00327936" w:rsidRPr="00D94261" w:rsidTr="00D94261">
        <w:trPr>
          <w:trHeight w:val="375"/>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3.</w:t>
            </w:r>
            <w:r w:rsidRPr="00D94261">
              <w:rPr>
                <w:rFonts w:ascii="Times New Roman" w:hAnsi="Times New Roman"/>
                <w:color w:val="000000"/>
                <w:sz w:val="14"/>
                <w:szCs w:val="14"/>
              </w:rPr>
              <w:t xml:space="preserve">    </w:t>
            </w:r>
            <w:r w:rsidRPr="00D94261">
              <w:rPr>
                <w:rFonts w:cs="Tahoma"/>
                <w:color w:val="000000"/>
                <w:sz w:val="17"/>
                <w:szCs w:val="17"/>
              </w:rPr>
              <w:t>Non-Energy Benefits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3.</w:t>
            </w:r>
            <w:r w:rsidRPr="00D94261">
              <w:rPr>
                <w:rFonts w:ascii="Times New Roman" w:hAnsi="Times New Roman"/>
                <w:color w:val="000000"/>
                <w:sz w:val="14"/>
                <w:szCs w:val="14"/>
              </w:rPr>
              <w:t xml:space="preserve">    </w:t>
            </w:r>
            <w:r w:rsidRPr="00D94261">
              <w:rPr>
                <w:rFonts w:cs="Tahoma"/>
                <w:color w:val="000000"/>
                <w:sz w:val="17"/>
                <w:szCs w:val="17"/>
              </w:rPr>
              <w:t xml:space="preserve">Customer Costs </w:t>
            </w:r>
          </w:p>
        </w:tc>
      </w:tr>
      <w:tr w:rsidR="00327936" w:rsidRPr="00D94261" w:rsidTr="00D94261">
        <w:trPr>
          <w:trHeight w:val="435"/>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4.</w:t>
            </w:r>
            <w:r w:rsidRPr="00D94261">
              <w:rPr>
                <w:rFonts w:ascii="Times New Roman" w:hAnsi="Times New Roman"/>
                <w:color w:val="000000"/>
                <w:sz w:val="14"/>
                <w:szCs w:val="14"/>
              </w:rPr>
              <w:t xml:space="preserve">    </w:t>
            </w:r>
            <w:r w:rsidRPr="00D94261">
              <w:rPr>
                <w:rFonts w:cs="Tahoma"/>
                <w:color w:val="000000"/>
                <w:sz w:val="17"/>
                <w:szCs w:val="17"/>
              </w:rPr>
              <w:t xml:space="preserve">Additional cost savings from Non-program related Items </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 </w:t>
            </w:r>
          </w:p>
        </w:tc>
      </w:tr>
      <w:tr w:rsidR="00327936" w:rsidRPr="00D94261" w:rsidTr="00D94261">
        <w:trPr>
          <w:trHeight w:val="300"/>
        </w:trPr>
        <w:tc>
          <w:tcPr>
            <w:tcW w:w="8180" w:type="dxa"/>
            <w:gridSpan w:val="3"/>
            <w:tcBorders>
              <w:top w:val="single" w:sz="8" w:space="0" w:color="auto"/>
              <w:left w:val="single" w:sz="8" w:space="0" w:color="auto"/>
              <w:bottom w:val="single" w:sz="8" w:space="0" w:color="auto"/>
              <w:right w:val="single" w:sz="8" w:space="0" w:color="000000"/>
            </w:tcBorders>
            <w:shd w:val="clear" w:color="000000" w:fill="EAF1DD"/>
          </w:tcPr>
          <w:p w:rsidR="00327936" w:rsidRPr="00D94261" w:rsidRDefault="00327936" w:rsidP="00D94261">
            <w:pPr>
              <w:ind w:left="0"/>
              <w:jc w:val="center"/>
              <w:rPr>
                <w:rFonts w:cs="Tahoma"/>
                <w:b/>
                <w:bCs/>
                <w:color w:val="000000"/>
                <w:sz w:val="17"/>
                <w:szCs w:val="17"/>
              </w:rPr>
            </w:pPr>
            <w:r w:rsidRPr="00D94261">
              <w:rPr>
                <w:rFonts w:cs="Tahoma"/>
                <w:b/>
                <w:bCs/>
                <w:color w:val="000000"/>
                <w:sz w:val="17"/>
                <w:szCs w:val="17"/>
              </w:rPr>
              <w:t xml:space="preserve">Impact of Efficiency on Non-Participating </w:t>
            </w:r>
            <w:r w:rsidRPr="00D94261">
              <w:rPr>
                <w:rFonts w:cs="Tahoma"/>
                <w:color w:val="000000"/>
                <w:sz w:val="16"/>
                <w:szCs w:val="16"/>
              </w:rPr>
              <w:t> </w:t>
            </w:r>
            <w:r w:rsidRPr="00D94261">
              <w:rPr>
                <w:rFonts w:cs="Tahoma"/>
                <w:b/>
                <w:bCs/>
                <w:color w:val="000000"/>
                <w:sz w:val="17"/>
                <w:szCs w:val="17"/>
              </w:rPr>
              <w:t>Rate Payers</w:t>
            </w:r>
          </w:p>
        </w:tc>
      </w:tr>
      <w:tr w:rsidR="00327936" w:rsidRPr="00D94261" w:rsidTr="00D94261">
        <w:trPr>
          <w:trHeight w:val="300"/>
        </w:trPr>
        <w:tc>
          <w:tcPr>
            <w:tcW w:w="2080" w:type="dxa"/>
            <w:vMerge w:val="restart"/>
            <w:tcBorders>
              <w:top w:val="nil"/>
              <w:left w:val="single" w:sz="8" w:space="0" w:color="auto"/>
              <w:bottom w:val="single" w:sz="8" w:space="0" w:color="000000"/>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 xml:space="preserve">Ratepayer Impact Measurement Test </w:t>
            </w:r>
            <w:r w:rsidRPr="00D94261">
              <w:rPr>
                <w:rFonts w:cs="Tahoma"/>
                <w:color w:val="000000"/>
                <w:sz w:val="16"/>
                <w:szCs w:val="16"/>
              </w:rPr>
              <w:t> </w:t>
            </w: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Avoided Energy Costs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Program Overhead Costs</w:t>
            </w:r>
          </w:p>
        </w:tc>
      </w:tr>
      <w:tr w:rsidR="00327936" w:rsidRPr="00D94261" w:rsidTr="00D94261">
        <w:trPr>
          <w:trHeight w:val="30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Avoided Capacity Costs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Incentives</w:t>
            </w:r>
          </w:p>
        </w:tc>
      </w:tr>
      <w:tr w:rsidR="00327936" w:rsidRPr="00D94261" w:rsidTr="00D94261">
        <w:trPr>
          <w:trHeight w:val="27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 </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3.</w:t>
            </w:r>
            <w:r w:rsidRPr="00D94261">
              <w:rPr>
                <w:rFonts w:ascii="Times New Roman" w:hAnsi="Times New Roman"/>
                <w:color w:val="000000"/>
                <w:sz w:val="14"/>
                <w:szCs w:val="14"/>
              </w:rPr>
              <w:t xml:space="preserve">    </w:t>
            </w:r>
            <w:r w:rsidRPr="00D94261">
              <w:rPr>
                <w:rFonts w:cs="Tahoma"/>
                <w:color w:val="000000"/>
                <w:sz w:val="17"/>
                <w:szCs w:val="17"/>
              </w:rPr>
              <w:t xml:space="preserve">Customer Costs </w:t>
            </w:r>
          </w:p>
        </w:tc>
      </w:tr>
      <w:tr w:rsidR="00327936" w:rsidRPr="00D94261" w:rsidTr="00D94261">
        <w:trPr>
          <w:trHeight w:val="435"/>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ascii="Calibri" w:hAnsi="Calibri"/>
                <w:color w:val="000000"/>
                <w:sz w:val="22"/>
                <w:szCs w:val="22"/>
              </w:rPr>
            </w:pPr>
            <w:r w:rsidRPr="00D94261">
              <w:rPr>
                <w:rFonts w:ascii="Calibri" w:hAnsi="Calibri"/>
                <w:color w:val="000000"/>
                <w:sz w:val="22"/>
                <w:szCs w:val="22"/>
              </w:rPr>
              <w:t> </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4.</w:t>
            </w:r>
            <w:r w:rsidRPr="00D94261">
              <w:rPr>
                <w:rFonts w:ascii="Times New Roman" w:hAnsi="Times New Roman"/>
                <w:color w:val="000000"/>
                <w:sz w:val="14"/>
                <w:szCs w:val="14"/>
              </w:rPr>
              <w:t xml:space="preserve">    </w:t>
            </w:r>
            <w:r w:rsidRPr="00D94261">
              <w:rPr>
                <w:rFonts w:cs="Tahoma"/>
                <w:color w:val="000000"/>
                <w:sz w:val="17"/>
                <w:szCs w:val="17"/>
              </w:rPr>
              <w:t>Lost Revenues due to reduced bills</w:t>
            </w:r>
          </w:p>
        </w:tc>
      </w:tr>
      <w:tr w:rsidR="00327936" w:rsidRPr="00D94261" w:rsidTr="00D94261">
        <w:trPr>
          <w:trHeight w:val="315"/>
        </w:trPr>
        <w:tc>
          <w:tcPr>
            <w:tcW w:w="8180" w:type="dxa"/>
            <w:gridSpan w:val="3"/>
            <w:tcBorders>
              <w:top w:val="single" w:sz="8" w:space="0" w:color="auto"/>
              <w:left w:val="single" w:sz="8" w:space="0" w:color="auto"/>
              <w:bottom w:val="single" w:sz="8" w:space="0" w:color="auto"/>
              <w:right w:val="single" w:sz="8" w:space="0" w:color="000000"/>
            </w:tcBorders>
            <w:shd w:val="clear" w:color="000000" w:fill="EAF1DD"/>
          </w:tcPr>
          <w:p w:rsidR="00327936" w:rsidRPr="00D94261" w:rsidRDefault="00327936" w:rsidP="00D94261">
            <w:pPr>
              <w:ind w:left="0"/>
              <w:jc w:val="center"/>
              <w:rPr>
                <w:rFonts w:cs="Tahoma"/>
                <w:b/>
                <w:bCs/>
                <w:color w:val="000000"/>
                <w:sz w:val="17"/>
                <w:szCs w:val="17"/>
              </w:rPr>
            </w:pPr>
            <w:r w:rsidRPr="00D94261">
              <w:rPr>
                <w:rFonts w:cs="Tahoma"/>
                <w:b/>
                <w:bCs/>
                <w:color w:val="000000"/>
                <w:sz w:val="17"/>
                <w:szCs w:val="17"/>
              </w:rPr>
              <w:t>Perspective of the Customer Installing the Measure</w:t>
            </w:r>
          </w:p>
        </w:tc>
      </w:tr>
      <w:tr w:rsidR="00327936" w:rsidRPr="00D94261" w:rsidTr="00D94261">
        <w:trPr>
          <w:trHeight w:val="585"/>
        </w:trPr>
        <w:tc>
          <w:tcPr>
            <w:tcW w:w="2080" w:type="dxa"/>
            <w:vMerge w:val="restart"/>
            <w:tcBorders>
              <w:top w:val="nil"/>
              <w:left w:val="single" w:sz="8" w:space="0" w:color="auto"/>
              <w:bottom w:val="single" w:sz="8" w:space="0" w:color="000000"/>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Participant Cost Test</w:t>
            </w: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Incentive Payments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1.</w:t>
            </w:r>
            <w:r w:rsidRPr="00D94261">
              <w:rPr>
                <w:rFonts w:ascii="Times New Roman" w:hAnsi="Times New Roman"/>
                <w:color w:val="000000"/>
                <w:sz w:val="14"/>
                <w:szCs w:val="14"/>
              </w:rPr>
              <w:t xml:space="preserve">    </w:t>
            </w:r>
            <w:r w:rsidRPr="00D94261">
              <w:rPr>
                <w:rFonts w:cs="Tahoma"/>
                <w:color w:val="000000"/>
                <w:sz w:val="17"/>
                <w:szCs w:val="17"/>
              </w:rPr>
              <w:t>Incremental or full cost of equipment being installed</w:t>
            </w:r>
          </w:p>
        </w:tc>
      </w:tr>
      <w:tr w:rsidR="00327936" w:rsidRPr="00D94261" w:rsidTr="00D94261">
        <w:trPr>
          <w:trHeight w:val="45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Bill Savings</w:t>
            </w:r>
          </w:p>
        </w:tc>
        <w:tc>
          <w:tcPr>
            <w:tcW w:w="324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2.</w:t>
            </w:r>
            <w:r w:rsidRPr="00D94261">
              <w:rPr>
                <w:rFonts w:ascii="Times New Roman" w:hAnsi="Times New Roman"/>
                <w:color w:val="000000"/>
                <w:sz w:val="14"/>
                <w:szCs w:val="14"/>
              </w:rPr>
              <w:t xml:space="preserve">    </w:t>
            </w:r>
            <w:r w:rsidRPr="00D94261">
              <w:rPr>
                <w:rFonts w:cs="Tahoma"/>
                <w:color w:val="000000"/>
                <w:sz w:val="17"/>
                <w:szCs w:val="17"/>
              </w:rPr>
              <w:t>Additional costs from non-program related items (section 5.3)</w:t>
            </w:r>
          </w:p>
        </w:tc>
      </w:tr>
      <w:tr w:rsidR="00327936" w:rsidRPr="00D94261" w:rsidTr="00D94261">
        <w:trPr>
          <w:trHeight w:val="30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3.</w:t>
            </w:r>
            <w:r w:rsidRPr="00D94261">
              <w:rPr>
                <w:rFonts w:ascii="Times New Roman" w:hAnsi="Times New Roman"/>
                <w:color w:val="000000"/>
                <w:sz w:val="14"/>
                <w:szCs w:val="14"/>
              </w:rPr>
              <w:t xml:space="preserve">    </w:t>
            </w:r>
            <w:r w:rsidRPr="00D94261">
              <w:rPr>
                <w:rFonts w:cs="Tahoma"/>
                <w:color w:val="000000"/>
                <w:sz w:val="17"/>
                <w:szCs w:val="17"/>
              </w:rPr>
              <w:t>Applicable Tax Credits</w:t>
            </w:r>
          </w:p>
        </w:tc>
        <w:tc>
          <w:tcPr>
            <w:tcW w:w="3240" w:type="dxa"/>
            <w:tcBorders>
              <w:top w:val="nil"/>
              <w:left w:val="nil"/>
              <w:bottom w:val="nil"/>
              <w:right w:val="single" w:sz="8" w:space="0" w:color="auto"/>
            </w:tcBorders>
          </w:tcPr>
          <w:p w:rsidR="00327936" w:rsidRPr="00D94261" w:rsidRDefault="00327936" w:rsidP="00D94261">
            <w:pPr>
              <w:ind w:left="0"/>
              <w:rPr>
                <w:rFonts w:ascii="Calibri" w:hAnsi="Calibri"/>
                <w:color w:val="000000"/>
                <w:sz w:val="22"/>
                <w:szCs w:val="22"/>
              </w:rPr>
            </w:pPr>
            <w:r w:rsidRPr="00D94261">
              <w:rPr>
                <w:rFonts w:ascii="Calibri" w:hAnsi="Calibri"/>
                <w:color w:val="000000"/>
                <w:sz w:val="22"/>
                <w:szCs w:val="22"/>
              </w:rPr>
              <w:t> </w:t>
            </w:r>
          </w:p>
        </w:tc>
      </w:tr>
      <w:tr w:rsidR="00327936" w:rsidRPr="00D94261" w:rsidTr="00D94261">
        <w:trPr>
          <w:trHeight w:val="300"/>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nil"/>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4.</w:t>
            </w:r>
            <w:r w:rsidRPr="00D94261">
              <w:rPr>
                <w:rFonts w:ascii="Times New Roman" w:hAnsi="Times New Roman"/>
                <w:color w:val="000000"/>
                <w:sz w:val="14"/>
                <w:szCs w:val="14"/>
              </w:rPr>
              <w:t xml:space="preserve">    </w:t>
            </w:r>
            <w:r w:rsidRPr="00D94261">
              <w:rPr>
                <w:rFonts w:cs="Tahoma"/>
                <w:color w:val="000000"/>
                <w:sz w:val="17"/>
                <w:szCs w:val="17"/>
              </w:rPr>
              <w:t>Non-Energy Benefits</w:t>
            </w:r>
          </w:p>
        </w:tc>
        <w:tc>
          <w:tcPr>
            <w:tcW w:w="3240" w:type="dxa"/>
            <w:tcBorders>
              <w:top w:val="nil"/>
              <w:left w:val="nil"/>
              <w:bottom w:val="nil"/>
              <w:right w:val="single" w:sz="8" w:space="0" w:color="auto"/>
            </w:tcBorders>
          </w:tcPr>
          <w:p w:rsidR="00327936" w:rsidRPr="00D94261" w:rsidRDefault="00327936" w:rsidP="00D94261">
            <w:pPr>
              <w:ind w:left="0"/>
              <w:rPr>
                <w:rFonts w:ascii="Calibri" w:hAnsi="Calibri"/>
                <w:color w:val="000000"/>
                <w:sz w:val="22"/>
                <w:szCs w:val="22"/>
              </w:rPr>
            </w:pPr>
            <w:r w:rsidRPr="00D94261">
              <w:rPr>
                <w:rFonts w:ascii="Calibri" w:hAnsi="Calibri"/>
                <w:color w:val="000000"/>
                <w:sz w:val="22"/>
                <w:szCs w:val="22"/>
              </w:rPr>
              <w:t> </w:t>
            </w:r>
          </w:p>
        </w:tc>
      </w:tr>
      <w:tr w:rsidR="00327936" w:rsidRPr="00D94261" w:rsidTr="00D94261">
        <w:trPr>
          <w:trHeight w:val="435"/>
        </w:trPr>
        <w:tc>
          <w:tcPr>
            <w:tcW w:w="2080" w:type="dxa"/>
            <w:vMerge/>
            <w:tcBorders>
              <w:top w:val="nil"/>
              <w:left w:val="single" w:sz="8" w:space="0" w:color="auto"/>
              <w:bottom w:val="single" w:sz="8" w:space="0" w:color="000000"/>
              <w:right w:val="single" w:sz="8" w:space="0" w:color="auto"/>
            </w:tcBorders>
            <w:vAlign w:val="center"/>
          </w:tcPr>
          <w:p w:rsidR="00327936" w:rsidRPr="00D94261" w:rsidRDefault="00327936" w:rsidP="00D94261">
            <w:pPr>
              <w:ind w:left="0"/>
              <w:rPr>
                <w:rFonts w:cs="Tahoma"/>
                <w:color w:val="000000"/>
                <w:sz w:val="17"/>
                <w:szCs w:val="17"/>
              </w:rPr>
            </w:pPr>
          </w:p>
        </w:tc>
        <w:tc>
          <w:tcPr>
            <w:tcW w:w="2860" w:type="dxa"/>
            <w:tcBorders>
              <w:top w:val="nil"/>
              <w:left w:val="nil"/>
              <w:bottom w:val="single" w:sz="8" w:space="0" w:color="auto"/>
              <w:right w:val="single" w:sz="8" w:space="0" w:color="auto"/>
            </w:tcBorders>
          </w:tcPr>
          <w:p w:rsidR="00327936" w:rsidRPr="00D94261" w:rsidRDefault="00327936" w:rsidP="00D94261">
            <w:pPr>
              <w:ind w:left="0"/>
              <w:rPr>
                <w:rFonts w:cs="Tahoma"/>
                <w:color w:val="000000"/>
                <w:sz w:val="17"/>
                <w:szCs w:val="17"/>
              </w:rPr>
            </w:pPr>
            <w:r w:rsidRPr="00D94261">
              <w:rPr>
                <w:rFonts w:cs="Tahoma"/>
                <w:color w:val="000000"/>
                <w:sz w:val="17"/>
                <w:szCs w:val="17"/>
              </w:rPr>
              <w:t>5.</w:t>
            </w:r>
            <w:r w:rsidRPr="00D94261">
              <w:rPr>
                <w:rFonts w:ascii="Times New Roman" w:hAnsi="Times New Roman"/>
                <w:color w:val="000000"/>
                <w:sz w:val="14"/>
                <w:szCs w:val="14"/>
              </w:rPr>
              <w:t xml:space="preserve">    </w:t>
            </w:r>
            <w:r w:rsidRPr="00D94261">
              <w:rPr>
                <w:rFonts w:cs="Tahoma"/>
                <w:color w:val="000000"/>
                <w:sz w:val="17"/>
                <w:szCs w:val="17"/>
              </w:rPr>
              <w:t>Cost Savings from   Non-program related Items (section 5.3)</w:t>
            </w:r>
          </w:p>
        </w:tc>
        <w:tc>
          <w:tcPr>
            <w:tcW w:w="3240" w:type="dxa"/>
            <w:tcBorders>
              <w:top w:val="nil"/>
              <w:left w:val="nil"/>
              <w:bottom w:val="single" w:sz="8" w:space="0" w:color="auto"/>
              <w:right w:val="single" w:sz="8" w:space="0" w:color="auto"/>
            </w:tcBorders>
          </w:tcPr>
          <w:p w:rsidR="00327936" w:rsidRPr="00D94261" w:rsidRDefault="00327936" w:rsidP="00D94261">
            <w:pPr>
              <w:ind w:left="0"/>
              <w:rPr>
                <w:rFonts w:ascii="Calibri" w:hAnsi="Calibri"/>
                <w:color w:val="000000"/>
                <w:sz w:val="22"/>
                <w:szCs w:val="22"/>
              </w:rPr>
            </w:pPr>
            <w:r w:rsidRPr="00D94261">
              <w:rPr>
                <w:rFonts w:ascii="Calibri" w:hAnsi="Calibri"/>
                <w:color w:val="000000"/>
                <w:sz w:val="22"/>
                <w:szCs w:val="22"/>
              </w:rPr>
              <w:t> </w:t>
            </w:r>
          </w:p>
        </w:tc>
      </w:tr>
    </w:tbl>
    <w:p w:rsidR="00327936" w:rsidRPr="00855B18" w:rsidRDefault="00327936" w:rsidP="00865F43">
      <w:pPr>
        <w:pStyle w:val="Heading2"/>
        <w:numPr>
          <w:ilvl w:val="1"/>
          <w:numId w:val="16"/>
        </w:numPr>
      </w:pPr>
      <w:r>
        <w:t xml:space="preserve"> </w:t>
      </w:r>
      <w:r w:rsidRPr="00855B18">
        <w:t>Example Summary of Benefits and Costs to Include in Each Test</w:t>
      </w:r>
      <w:bookmarkEnd w:id="60"/>
      <w:bookmarkEnd w:id="61"/>
      <w:r w:rsidRPr="00855B18">
        <w:t>- For the Electric Benefit Cost Tests</w:t>
      </w:r>
    </w:p>
    <w:sectPr w:rsidR="00327936" w:rsidRPr="00855B18" w:rsidSect="003A570B">
      <w:headerReference w:type="default" r:id="rId10"/>
      <w:footerReference w:type="default" r:id="rId11"/>
      <w:type w:val="continuous"/>
      <w:pgSz w:w="12240" w:h="15840" w:code="1"/>
      <w:pgMar w:top="1440" w:right="2160" w:bottom="1800" w:left="2160" w:header="720" w:footer="965" w:gutter="0"/>
      <w:pgNumType w:start="1"/>
      <w:cols w:space="2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36" w:rsidRDefault="00327936" w:rsidP="000916A9">
      <w:r>
        <w:separator/>
      </w:r>
    </w:p>
  </w:endnote>
  <w:endnote w:type="continuationSeparator" w:id="0">
    <w:p w:rsidR="00327936" w:rsidRDefault="00327936" w:rsidP="00091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36" w:rsidRDefault="00327936" w:rsidP="00FB6A44">
    <w:pPr>
      <w:pStyle w:val="Footer"/>
      <w:ind w:left="0"/>
      <w:jc w:val="center"/>
    </w:pPr>
    <w:smartTag w:uri="urn:schemas-microsoft-com:office:smarttags" w:element="place">
      <w:r w:rsidRPr="00FB6A44">
        <w:rPr>
          <w:rStyle w:val="PageNumber"/>
          <w:i/>
        </w:rPr>
        <w:t>Puget Sound</w:t>
      </w:r>
    </w:smartTag>
    <w:r w:rsidRPr="00FB6A44">
      <w:rPr>
        <w:rStyle w:val="PageNumber"/>
        <w:i/>
      </w:rPr>
      <w:t xml:space="preserve"> Energy</w:t>
    </w:r>
    <w:r w:rsidRPr="00FB6A44">
      <w:rPr>
        <w:rStyle w:val="PageNumber"/>
        <w:i/>
      </w:rPr>
      <w:tab/>
    </w:r>
    <w:r>
      <w:rPr>
        <w:rStyle w:val="PageNumber"/>
      </w:rPr>
      <w:t xml:space="preserve">                                                                                        Page</w:t>
    </w:r>
    <w:r w:rsidRPr="00FB6A44">
      <w:rPr>
        <w:rStyle w:val="PageNumber"/>
      </w:rPr>
      <w:t xml:space="preserve"> </w:t>
    </w:r>
    <w:r w:rsidRPr="00FB6A44">
      <w:rPr>
        <w:rStyle w:val="PageNumber"/>
      </w:rPr>
      <w:fldChar w:fldCharType="begin"/>
    </w:r>
    <w:r w:rsidRPr="00FB6A44">
      <w:rPr>
        <w:rStyle w:val="PageNumber"/>
      </w:rPr>
      <w:instrText xml:space="preserve"> PAGE </w:instrText>
    </w:r>
    <w:r w:rsidRPr="00FB6A44">
      <w:rPr>
        <w:rStyle w:val="PageNumber"/>
      </w:rPr>
      <w:fldChar w:fldCharType="separate"/>
    </w:r>
    <w:r>
      <w:rPr>
        <w:rStyle w:val="PageNumber"/>
        <w:noProof/>
      </w:rPr>
      <w:t>2</w:t>
    </w:r>
    <w:r w:rsidRPr="00FB6A4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36" w:rsidRDefault="00327936" w:rsidP="000916A9">
      <w:r>
        <w:separator/>
      </w:r>
    </w:p>
  </w:footnote>
  <w:footnote w:type="continuationSeparator" w:id="0">
    <w:p w:rsidR="00327936" w:rsidRDefault="00327936">
      <w:r>
        <w:separator/>
      </w:r>
    </w:p>
  </w:footnote>
  <w:footnote w:type="continuationNotice" w:id="1">
    <w:p w:rsidR="00327936" w:rsidRDefault="00327936">
      <w:pPr>
        <w:rPr>
          <w:i/>
          <w:sz w:val="18"/>
        </w:rPr>
      </w:pPr>
      <w:r>
        <w:rPr>
          <w:i/>
          <w:sz w:val="18"/>
        </w:rPr>
        <w:t>(footnote continued)</w:t>
      </w:r>
    </w:p>
  </w:footnote>
  <w:footnote w:id="2">
    <w:p w:rsidR="00327936" w:rsidRDefault="00327936">
      <w:pPr>
        <w:pStyle w:val="FootnoteText"/>
      </w:pPr>
      <w:r>
        <w:rPr>
          <w:rStyle w:val="FootnoteReference"/>
        </w:rPr>
        <w:footnoteRef/>
      </w:r>
      <w:r>
        <w:t xml:space="preserve"> Marketing costs include all costs of advertising, bill inserts, campaigns, radio advertisements, etc. related to the program.</w:t>
      </w:r>
    </w:p>
  </w:footnote>
  <w:footnote w:id="3">
    <w:p w:rsidR="00327936" w:rsidRDefault="00327936" w:rsidP="00B40D81">
      <w:pPr>
        <w:pStyle w:val="FootnoteText"/>
      </w:pPr>
      <w:r>
        <w:rPr>
          <w:rStyle w:val="FootnoteReference"/>
        </w:rPr>
        <w:footnoteRef/>
      </w:r>
      <w:r>
        <w:t xml:space="preserve"> Many of PSE programs are run, in part, by outside vendors. Outside services costs include all costs to contractors and vendors, who are not PSE employees, which are incurred by the energy efficiency program. </w:t>
      </w:r>
    </w:p>
  </w:footnote>
  <w:footnote w:id="4">
    <w:p w:rsidR="00327936" w:rsidRDefault="00327936" w:rsidP="00B40D81">
      <w:pPr>
        <w:pStyle w:val="FootnoteText"/>
      </w:pPr>
      <w:r>
        <w:rPr>
          <w:rStyle w:val="FootnoteReference"/>
        </w:rPr>
        <w:footnoteRef/>
      </w:r>
      <w:r>
        <w:t xml:space="preserve"> Internal labor and overhead include all PSE employee expenses and PSE incurred overhead costs</w:t>
      </w:r>
    </w:p>
  </w:footnote>
  <w:footnote w:id="5">
    <w:p w:rsidR="00327936" w:rsidRDefault="00327936">
      <w:pPr>
        <w:pStyle w:val="FootnoteText"/>
      </w:pPr>
      <w:r>
        <w:rPr>
          <w:rStyle w:val="FootnoteReference"/>
        </w:rPr>
        <w:footnoteRef/>
      </w:r>
      <w:r>
        <w:t xml:space="preserve"> Miscellaneous expenses include any incurred costs for event prizes, car rentals, PSE employee hotel rooms, etc. which are incurred as a result of operating the program. </w:t>
      </w:r>
    </w:p>
  </w:footnote>
  <w:footnote w:id="6">
    <w:p w:rsidR="00327936" w:rsidRDefault="00327936">
      <w:pPr>
        <w:pStyle w:val="FootnoteText"/>
      </w:pPr>
      <w:r>
        <w:rPr>
          <w:rStyle w:val="FootnoteReference"/>
        </w:rPr>
        <w:footnoteRef/>
      </w:r>
      <w:r>
        <w:t xml:space="preserve"> The costs listed above are standard for all program UC calculations with the exception of cost element three, ‘other program specific costs’. Some programs have additional costs associated with them, such as the additional cost of natural gas on an electric to natural gas fuel conversion program. These costs need to be included in the costs for the UC calculation. </w:t>
      </w:r>
    </w:p>
  </w:footnote>
  <w:footnote w:id="7">
    <w:p w:rsidR="00327936" w:rsidRDefault="00327936">
      <w:pPr>
        <w:pStyle w:val="FootnoteText"/>
      </w:pPr>
      <w:r>
        <w:rPr>
          <w:rStyle w:val="FootnoteReference"/>
        </w:rPr>
        <w:footnoteRef/>
      </w:r>
      <w:r>
        <w:t xml:space="preserve"> </w:t>
      </w:r>
      <w:r w:rsidRPr="00975ED5">
        <w:t>The Planning adjustment represents the value of conservation not captured in market prices, capacity, or the renewable portfolio standard.</w:t>
      </w:r>
      <w:r>
        <w:t xml:space="preserve"> (See Appendix A, Section 2.3 for details)</w:t>
      </w:r>
    </w:p>
  </w:footnote>
  <w:footnote w:id="8">
    <w:p w:rsidR="00327936" w:rsidRDefault="00327936">
      <w:pPr>
        <w:pStyle w:val="FootnoteText"/>
      </w:pPr>
      <w:r>
        <w:rPr>
          <w:rStyle w:val="FootnoteReference"/>
        </w:rPr>
        <w:footnoteRef/>
      </w:r>
      <w:r>
        <w:t xml:space="preserve"> The conservation credit is a 10% adder for the electric benefits only. It does not apply to gas conservation programs. For more information about the conservation credit, read appendix A. </w:t>
      </w:r>
    </w:p>
  </w:footnote>
  <w:footnote w:id="9">
    <w:p w:rsidR="00327936" w:rsidRDefault="00327936">
      <w:pPr>
        <w:pStyle w:val="FootnoteText"/>
      </w:pPr>
      <w:r>
        <w:rPr>
          <w:rStyle w:val="FootnoteReference"/>
        </w:rPr>
        <w:footnoteRef/>
      </w:r>
      <w:r>
        <w:t xml:space="preserve"> Non-Energy Benefits include savings on non-energy related items. These include items like cost savings on water for low-flow showerheads. </w:t>
      </w:r>
    </w:p>
  </w:footnote>
  <w:footnote w:id="10">
    <w:p w:rsidR="00327936" w:rsidRDefault="00327936">
      <w:pPr>
        <w:pStyle w:val="FootnoteText"/>
      </w:pPr>
      <w:r>
        <w:rPr>
          <w:rStyle w:val="FootnoteReference"/>
        </w:rPr>
        <w:footnoteRef/>
      </w:r>
      <w:r>
        <w:t xml:space="preserve"> The participant cost test only considers non-energy benefits which are incurred by the customer, such as water savings. Non-Energy benefits that are not directly incurred by the customer cannot be included in the participant cost test. </w:t>
      </w:r>
    </w:p>
  </w:footnote>
  <w:footnote w:id="11">
    <w:p w:rsidR="00327936" w:rsidRDefault="00327936">
      <w:pPr>
        <w:pStyle w:val="FootnoteText"/>
      </w:pPr>
      <w:r>
        <w:rPr>
          <w:rStyle w:val="FootnoteReference"/>
        </w:rPr>
        <w:footnoteRef/>
      </w:r>
      <w:r>
        <w:t xml:space="preserve"> An end-use type is a category for which energy efficiency items are placed, such as water heating, space heating, or lighting. </w:t>
      </w:r>
    </w:p>
  </w:footnote>
  <w:footnote w:id="12">
    <w:p w:rsidR="00327936" w:rsidRDefault="00327936">
      <w:pPr>
        <w:pStyle w:val="FootnoteText"/>
      </w:pPr>
      <w:r>
        <w:rPr>
          <w:rStyle w:val="FootnoteReference"/>
        </w:rPr>
        <w:footnoteRef/>
      </w:r>
      <w:r>
        <w:t xml:space="preserve"> </w:t>
      </w:r>
      <w:r>
        <w:rPr>
          <w:rFonts w:ascii="Times New Roman" w:hAnsi="Times New Roman"/>
          <w:sz w:val="24"/>
          <w:szCs w:val="24"/>
        </w:rPr>
        <w:t>If, for example, winter prices of energy increase but summer prices remain the same, the avoided costs of space heat measures will increase more dramatically than the avoided energy costs of water heating measures, and there would be no impact on residential air conditioning avoided energy costs.</w:t>
      </w:r>
    </w:p>
  </w:footnote>
  <w:footnote w:id="13">
    <w:p w:rsidR="00327936" w:rsidRDefault="00327936">
      <w:pPr>
        <w:pStyle w:val="FootnoteText"/>
      </w:pPr>
      <w:r>
        <w:rPr>
          <w:rStyle w:val="FootnoteReference"/>
        </w:rPr>
        <w:footnoteRef/>
      </w:r>
      <w:r>
        <w:t xml:space="preserve"> PSE plans for a winter peak, not for a summer peak. </w:t>
      </w:r>
    </w:p>
  </w:footnote>
  <w:footnote w:id="14">
    <w:p w:rsidR="00327936" w:rsidRDefault="00327936">
      <w:pPr>
        <w:pStyle w:val="FootnoteText"/>
      </w:pPr>
      <w:r>
        <w:rPr>
          <w:rStyle w:val="FootnoteReference"/>
        </w:rPr>
        <w:footnoteRef/>
      </w:r>
      <w:r>
        <w:t xml:space="preserve"> Miscellaneous expenses refer to non-typical program expenses such as travel, gift cards for program participants, etc. </w:t>
      </w:r>
    </w:p>
  </w:footnote>
  <w:footnote w:id="15">
    <w:p w:rsidR="00327936" w:rsidRDefault="00327936">
      <w:pPr>
        <w:pStyle w:val="FootnoteText"/>
      </w:pPr>
      <w:r>
        <w:rPr>
          <w:rStyle w:val="FootnoteReference"/>
        </w:rPr>
        <w:footnoteRef/>
      </w:r>
      <w:r>
        <w:t xml:space="preserve"> In 2011, PSE is launching an early refrigerator replacement program. This program removes older, working refrigerators from customer homes and replaces them with new, efficient refrigerators. Because the customer was not going to purchase a refrigerator without the help of this program, incremental measure costs is non-existent. Therefore, full measure cost is considered for cost-effectiveness analyses of this program. </w:t>
      </w:r>
    </w:p>
  </w:footnote>
  <w:footnote w:id="16">
    <w:p w:rsidR="00327936" w:rsidRDefault="00327936">
      <w:pPr>
        <w:pStyle w:val="FootnoteText"/>
      </w:pPr>
      <w:r>
        <w:rPr>
          <w:rStyle w:val="FootnoteReference"/>
        </w:rPr>
        <w:footnoteRef/>
      </w:r>
      <w:r>
        <w:t xml:space="preserve"> The Regional Technical Forum (RTF) is an advisory committee which was developed in 1999 to develop standards for the evaluation of conservation savings. </w:t>
      </w:r>
    </w:p>
  </w:footnote>
  <w:footnote w:id="17">
    <w:p w:rsidR="00327936" w:rsidRDefault="00327936">
      <w:pPr>
        <w:pStyle w:val="FootnoteText"/>
      </w:pPr>
      <w:r>
        <w:rPr>
          <w:rStyle w:val="FootnoteReference"/>
        </w:rPr>
        <w:footnoteRef/>
      </w:r>
      <w:r>
        <w:t xml:space="preserve"> The Participant Cost Test is not impacted by utility overhead costs because it only considers participant costs and the rebate provided by the utility </w:t>
      </w:r>
    </w:p>
  </w:footnote>
  <w:footnote w:id="18">
    <w:p w:rsidR="00327936" w:rsidRDefault="00327936">
      <w:pPr>
        <w:pStyle w:val="FootnoteText"/>
      </w:pPr>
      <w:r>
        <w:rPr>
          <w:rStyle w:val="FootnoteReference"/>
        </w:rPr>
        <w:footnoteRef/>
      </w:r>
      <w:r>
        <w:t xml:space="preserve"> The Utility cost and Ratepayer Impact Measure tests are not impacted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36" w:rsidRPr="003A570B" w:rsidRDefault="00327936" w:rsidP="003A570B">
    <w:pPr>
      <w:pStyle w:val="Header"/>
      <w:rPr>
        <w:i/>
      </w:rPr>
    </w:pPr>
    <w:r w:rsidRPr="003A570B">
      <w:rPr>
        <w:i/>
      </w:rPr>
      <w:t xml:space="preserve">Final Report: </w:t>
    </w:r>
    <w:r>
      <w:rPr>
        <w:i/>
      </w:rPr>
      <w:t xml:space="preserve">Calculating the Cost-Effectiveness of </w:t>
    </w:r>
    <w:smartTag w:uri="urn:schemas-microsoft-com:office:smarttags" w:element="place">
      <w:r>
        <w:rPr>
          <w:i/>
        </w:rPr>
        <w:t>Puget Sound</w:t>
      </w:r>
    </w:smartTag>
    <w:r>
      <w:rPr>
        <w:i/>
      </w:rPr>
      <w:t xml:space="preserve"> Energy’s Energy Efficiency Programs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EC8CA2"/>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B2AAB1AC"/>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ListBullet"/>
      <w:lvlText w:val="*"/>
      <w:lvlJc w:val="left"/>
      <w:rPr>
        <w:rFonts w:cs="Times New Roman"/>
      </w:rPr>
    </w:lvl>
  </w:abstractNum>
  <w:abstractNum w:abstractNumId="3">
    <w:nsid w:val="04CB1480"/>
    <w:multiLevelType w:val="multilevel"/>
    <w:tmpl w:val="92C8B15E"/>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02"/>
        </w:tabs>
        <w:ind w:left="70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4F60175"/>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1600C9"/>
    <w:multiLevelType w:val="hybridMultilevel"/>
    <w:tmpl w:val="63BEC79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DD007DC"/>
    <w:multiLevelType w:val="hybridMultilevel"/>
    <w:tmpl w:val="D9E4800A"/>
    <w:lvl w:ilvl="0" w:tplc="A40A9148">
      <w:start w:val="1"/>
      <w:numFmt w:val="decimal"/>
      <w:pStyle w:val="ListNumber"/>
      <w:lvlText w:val="%1."/>
      <w:lvlJc w:val="left"/>
      <w:pPr>
        <w:tabs>
          <w:tab w:val="num" w:pos="720"/>
        </w:tabs>
        <w:ind w:left="720" w:hanging="360"/>
      </w:pPr>
      <w:rPr>
        <w:rFonts w:ascii="Tahoma" w:hAnsi="Tahoma" w:cs="Times New Roman" w:hint="default"/>
        <w:b/>
        <w:i w:val="0"/>
        <w:sz w:val="17"/>
        <w:szCs w:val="17"/>
      </w:rPr>
    </w:lvl>
    <w:lvl w:ilvl="1" w:tplc="04090019" w:tentative="1">
      <w:start w:val="1"/>
      <w:numFmt w:val="lowerLetter"/>
      <w:pStyle w:val="Heading2"/>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995E30"/>
    <w:multiLevelType w:val="multilevel"/>
    <w:tmpl w:val="303E4B1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02"/>
        </w:tabs>
        <w:ind w:left="70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44B3E71"/>
    <w:multiLevelType w:val="hybridMultilevel"/>
    <w:tmpl w:val="63BEC79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C67603C"/>
    <w:multiLevelType w:val="hybridMultilevel"/>
    <w:tmpl w:val="99D85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F6815C0"/>
    <w:multiLevelType w:val="hybridMultilevel"/>
    <w:tmpl w:val="238C30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116FE9"/>
    <w:multiLevelType w:val="hybridMultilevel"/>
    <w:tmpl w:val="9390A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EA6E1E"/>
    <w:multiLevelType w:val="multilevel"/>
    <w:tmpl w:val="8ED610CA"/>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702"/>
        </w:tabs>
        <w:ind w:left="70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22650E9"/>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24C6889"/>
    <w:multiLevelType w:val="hybridMultilevel"/>
    <w:tmpl w:val="4184CA52"/>
    <w:lvl w:ilvl="0" w:tplc="487659CC">
      <w:start w:val="1"/>
      <w:numFmt w:val="decimal"/>
      <w:pStyle w:val="Heading1"/>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25AD14AF"/>
    <w:multiLevelType w:val="hybridMultilevel"/>
    <w:tmpl w:val="99D85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E5A759F"/>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D4F75"/>
    <w:multiLevelType w:val="hybridMultilevel"/>
    <w:tmpl w:val="9390A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9AD5A33"/>
    <w:multiLevelType w:val="hybridMultilevel"/>
    <w:tmpl w:val="99D85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E8530F9"/>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22E1E49"/>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36A0C34"/>
    <w:multiLevelType w:val="hybridMultilevel"/>
    <w:tmpl w:val="9390A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B410D3"/>
    <w:multiLevelType w:val="multilevel"/>
    <w:tmpl w:val="92C8B15E"/>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02"/>
        </w:tabs>
        <w:ind w:left="70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9415EA0"/>
    <w:multiLevelType w:val="hybridMultilevel"/>
    <w:tmpl w:val="99D85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CB26E2A"/>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E6395B"/>
    <w:multiLevelType w:val="multilevel"/>
    <w:tmpl w:val="E102CA4C"/>
    <w:lvl w:ilvl="0">
      <w:start w:val="26"/>
      <w:numFmt w:val="decimal"/>
      <w:lvlText w:val="%1."/>
      <w:lvlJc w:val="left"/>
      <w:pPr>
        <w:tabs>
          <w:tab w:val="num" w:pos="2160"/>
        </w:tabs>
        <w:ind w:left="2160" w:hanging="1260"/>
      </w:pPr>
      <w:rPr>
        <w:rFonts w:cs="Times New Roman" w:hint="default"/>
        <w:color w:val="0000FF"/>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6">
    <w:nsid w:val="6A865BFC"/>
    <w:multiLevelType w:val="hybridMultilevel"/>
    <w:tmpl w:val="63BEC79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36700F3"/>
    <w:multiLevelType w:val="hybridMultilevel"/>
    <w:tmpl w:val="9390A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782716"/>
    <w:multiLevelType w:val="hybridMultilevel"/>
    <w:tmpl w:val="99D85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F257D86"/>
    <w:multiLevelType w:val="hybridMultilevel"/>
    <w:tmpl w:val="DA70A9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2"/>
    <w:lvlOverride w:ilvl="0">
      <w:lvl w:ilvl="0">
        <w:start w:val="1"/>
        <w:numFmt w:val="bullet"/>
        <w:pStyle w:val="ListBullet"/>
        <w:lvlText w:val=""/>
        <w:lvlJc w:val="left"/>
        <w:pPr>
          <w:tabs>
            <w:tab w:val="num" w:pos="360"/>
          </w:tabs>
          <w:ind w:left="504" w:hanging="216"/>
        </w:pPr>
        <w:rPr>
          <w:rFonts w:ascii="Symbol" w:hAnsi="Symbol" w:hint="default"/>
          <w:sz w:val="16"/>
        </w:rPr>
      </w:lvl>
    </w:lvlOverride>
  </w:num>
  <w:num w:numId="14">
    <w:abstractNumId w:val="6"/>
  </w:num>
  <w:num w:numId="15">
    <w:abstractNumId w:val="14"/>
  </w:num>
  <w:num w:numId="16">
    <w:abstractNumId w:val="3"/>
  </w:num>
  <w:num w:numId="17">
    <w:abstractNumId w:val="21"/>
  </w:num>
  <w:num w:numId="18">
    <w:abstractNumId w:val="19"/>
  </w:num>
  <w:num w:numId="19">
    <w:abstractNumId w:val="27"/>
  </w:num>
  <w:num w:numId="20">
    <w:abstractNumId w:val="11"/>
  </w:num>
  <w:num w:numId="21">
    <w:abstractNumId w:val="17"/>
  </w:num>
  <w:num w:numId="22">
    <w:abstractNumId w:val="29"/>
  </w:num>
  <w:num w:numId="23">
    <w:abstractNumId w:val="16"/>
  </w:num>
  <w:num w:numId="24">
    <w:abstractNumId w:val="24"/>
  </w:num>
  <w:num w:numId="25">
    <w:abstractNumId w:val="26"/>
  </w:num>
  <w:num w:numId="26">
    <w:abstractNumId w:val="5"/>
  </w:num>
  <w:num w:numId="27">
    <w:abstractNumId w:val="28"/>
  </w:num>
  <w:num w:numId="28">
    <w:abstractNumId w:val="23"/>
  </w:num>
  <w:num w:numId="29">
    <w:abstractNumId w:val="8"/>
  </w:num>
  <w:num w:numId="30">
    <w:abstractNumId w:val="9"/>
  </w:num>
  <w:num w:numId="31">
    <w:abstractNumId w:val="18"/>
  </w:num>
  <w:num w:numId="32">
    <w:abstractNumId w:val="1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 w:numId="36">
    <w:abstractNumId w:val="25"/>
  </w:num>
  <w:num w:numId="37">
    <w:abstractNumId w:val="22"/>
  </w:num>
  <w:num w:numId="38">
    <w:abstractNumId w:val="7"/>
  </w:num>
  <w:num w:numId="39">
    <w:abstractNumId w:val="12"/>
  </w:num>
  <w:num w:numId="40">
    <w:abstractNumId w:val="4"/>
  </w:num>
  <w:num w:numId="41">
    <w:abstractNumId w:val="13"/>
  </w:num>
  <w:num w:numId="42">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447"/>
    <w:rsid w:val="000019A5"/>
    <w:rsid w:val="00016E72"/>
    <w:rsid w:val="000204E7"/>
    <w:rsid w:val="0002134B"/>
    <w:rsid w:val="000272C2"/>
    <w:rsid w:val="00034683"/>
    <w:rsid w:val="00034E6E"/>
    <w:rsid w:val="00034FE7"/>
    <w:rsid w:val="00037574"/>
    <w:rsid w:val="00040004"/>
    <w:rsid w:val="00042F12"/>
    <w:rsid w:val="00045647"/>
    <w:rsid w:val="00045ED7"/>
    <w:rsid w:val="00051CBE"/>
    <w:rsid w:val="00065051"/>
    <w:rsid w:val="00065919"/>
    <w:rsid w:val="0006766C"/>
    <w:rsid w:val="000712AA"/>
    <w:rsid w:val="000718A5"/>
    <w:rsid w:val="00072674"/>
    <w:rsid w:val="00074912"/>
    <w:rsid w:val="00075DB8"/>
    <w:rsid w:val="000815B3"/>
    <w:rsid w:val="00084B2A"/>
    <w:rsid w:val="00087195"/>
    <w:rsid w:val="000916A9"/>
    <w:rsid w:val="00094271"/>
    <w:rsid w:val="00095A95"/>
    <w:rsid w:val="00097762"/>
    <w:rsid w:val="000B11B2"/>
    <w:rsid w:val="000B5CCE"/>
    <w:rsid w:val="000D2961"/>
    <w:rsid w:val="000D3092"/>
    <w:rsid w:val="000E61A1"/>
    <w:rsid w:val="000F1DAE"/>
    <w:rsid w:val="001107E2"/>
    <w:rsid w:val="0011234F"/>
    <w:rsid w:val="0012284C"/>
    <w:rsid w:val="00133454"/>
    <w:rsid w:val="001351F8"/>
    <w:rsid w:val="00142E48"/>
    <w:rsid w:val="001550CB"/>
    <w:rsid w:val="00157D67"/>
    <w:rsid w:val="0016139E"/>
    <w:rsid w:val="00161413"/>
    <w:rsid w:val="00166FA4"/>
    <w:rsid w:val="0016777A"/>
    <w:rsid w:val="0017013C"/>
    <w:rsid w:val="001724FE"/>
    <w:rsid w:val="001737DC"/>
    <w:rsid w:val="0017593D"/>
    <w:rsid w:val="001802E1"/>
    <w:rsid w:val="001927BF"/>
    <w:rsid w:val="00194132"/>
    <w:rsid w:val="001963E9"/>
    <w:rsid w:val="001A575D"/>
    <w:rsid w:val="001B092E"/>
    <w:rsid w:val="001B59DD"/>
    <w:rsid w:val="001C59A1"/>
    <w:rsid w:val="001C7ED6"/>
    <w:rsid w:val="001E2F02"/>
    <w:rsid w:val="001E337A"/>
    <w:rsid w:val="001E5891"/>
    <w:rsid w:val="001E654B"/>
    <w:rsid w:val="001F3892"/>
    <w:rsid w:val="002022F3"/>
    <w:rsid w:val="0021494F"/>
    <w:rsid w:val="002210C2"/>
    <w:rsid w:val="002211E1"/>
    <w:rsid w:val="002217CA"/>
    <w:rsid w:val="002250E6"/>
    <w:rsid w:val="00227532"/>
    <w:rsid w:val="00227BAF"/>
    <w:rsid w:val="00237FFB"/>
    <w:rsid w:val="00252D5F"/>
    <w:rsid w:val="002531BA"/>
    <w:rsid w:val="0025403C"/>
    <w:rsid w:val="00255F14"/>
    <w:rsid w:val="002635C8"/>
    <w:rsid w:val="002658C9"/>
    <w:rsid w:val="00267892"/>
    <w:rsid w:val="002738D2"/>
    <w:rsid w:val="00275167"/>
    <w:rsid w:val="00284001"/>
    <w:rsid w:val="00285556"/>
    <w:rsid w:val="00285F5D"/>
    <w:rsid w:val="002974E4"/>
    <w:rsid w:val="002A0FF6"/>
    <w:rsid w:val="002A4AF2"/>
    <w:rsid w:val="002B57DF"/>
    <w:rsid w:val="002B5FA3"/>
    <w:rsid w:val="002B683E"/>
    <w:rsid w:val="002B7777"/>
    <w:rsid w:val="002C300F"/>
    <w:rsid w:val="002C5F2F"/>
    <w:rsid w:val="002D43EE"/>
    <w:rsid w:val="002D581E"/>
    <w:rsid w:val="002D5B81"/>
    <w:rsid w:val="002E47F8"/>
    <w:rsid w:val="003054F6"/>
    <w:rsid w:val="00307747"/>
    <w:rsid w:val="0031456C"/>
    <w:rsid w:val="0032219E"/>
    <w:rsid w:val="00327936"/>
    <w:rsid w:val="00340784"/>
    <w:rsid w:val="00341CC1"/>
    <w:rsid w:val="0034722E"/>
    <w:rsid w:val="00347318"/>
    <w:rsid w:val="003635AD"/>
    <w:rsid w:val="00363940"/>
    <w:rsid w:val="00367085"/>
    <w:rsid w:val="00383622"/>
    <w:rsid w:val="0039118D"/>
    <w:rsid w:val="00397F43"/>
    <w:rsid w:val="003A0EC2"/>
    <w:rsid w:val="003A39CA"/>
    <w:rsid w:val="003A4D8E"/>
    <w:rsid w:val="003A570B"/>
    <w:rsid w:val="003B014F"/>
    <w:rsid w:val="003B0DA4"/>
    <w:rsid w:val="003B33BD"/>
    <w:rsid w:val="003B3EAD"/>
    <w:rsid w:val="003B7337"/>
    <w:rsid w:val="003C407E"/>
    <w:rsid w:val="003D120A"/>
    <w:rsid w:val="003D2D3E"/>
    <w:rsid w:val="003D3DD4"/>
    <w:rsid w:val="003D709D"/>
    <w:rsid w:val="003D7457"/>
    <w:rsid w:val="003E0EEF"/>
    <w:rsid w:val="003E19AE"/>
    <w:rsid w:val="003E3ADD"/>
    <w:rsid w:val="003F2576"/>
    <w:rsid w:val="003F6355"/>
    <w:rsid w:val="00404491"/>
    <w:rsid w:val="004052E4"/>
    <w:rsid w:val="00406DAE"/>
    <w:rsid w:val="0040713A"/>
    <w:rsid w:val="0040723B"/>
    <w:rsid w:val="004132FD"/>
    <w:rsid w:val="00413F1F"/>
    <w:rsid w:val="00415FDB"/>
    <w:rsid w:val="00416040"/>
    <w:rsid w:val="00417585"/>
    <w:rsid w:val="0042328D"/>
    <w:rsid w:val="00424CF0"/>
    <w:rsid w:val="0042771A"/>
    <w:rsid w:val="00427954"/>
    <w:rsid w:val="0043685D"/>
    <w:rsid w:val="00445067"/>
    <w:rsid w:val="004472E7"/>
    <w:rsid w:val="00455A32"/>
    <w:rsid w:val="00456D02"/>
    <w:rsid w:val="00466A58"/>
    <w:rsid w:val="0049049C"/>
    <w:rsid w:val="004A3745"/>
    <w:rsid w:val="004A672C"/>
    <w:rsid w:val="004B2F28"/>
    <w:rsid w:val="004B693D"/>
    <w:rsid w:val="004C316C"/>
    <w:rsid w:val="004C41A1"/>
    <w:rsid w:val="004C6ED3"/>
    <w:rsid w:val="004D51BC"/>
    <w:rsid w:val="004D5433"/>
    <w:rsid w:val="004E11AC"/>
    <w:rsid w:val="004E3573"/>
    <w:rsid w:val="004E3C9E"/>
    <w:rsid w:val="004E76FA"/>
    <w:rsid w:val="004F04EB"/>
    <w:rsid w:val="004F6EC7"/>
    <w:rsid w:val="005000F6"/>
    <w:rsid w:val="005064DC"/>
    <w:rsid w:val="005220D1"/>
    <w:rsid w:val="0052246B"/>
    <w:rsid w:val="0053092A"/>
    <w:rsid w:val="00532B26"/>
    <w:rsid w:val="0053445C"/>
    <w:rsid w:val="005347F2"/>
    <w:rsid w:val="005359AC"/>
    <w:rsid w:val="0053733F"/>
    <w:rsid w:val="00545819"/>
    <w:rsid w:val="00546168"/>
    <w:rsid w:val="00546637"/>
    <w:rsid w:val="005467D0"/>
    <w:rsid w:val="0055044D"/>
    <w:rsid w:val="00550A27"/>
    <w:rsid w:val="00555F69"/>
    <w:rsid w:val="00560555"/>
    <w:rsid w:val="005639E1"/>
    <w:rsid w:val="00563A04"/>
    <w:rsid w:val="00571420"/>
    <w:rsid w:val="005748EA"/>
    <w:rsid w:val="00580C5F"/>
    <w:rsid w:val="0058552D"/>
    <w:rsid w:val="0058587B"/>
    <w:rsid w:val="00585D3E"/>
    <w:rsid w:val="00590478"/>
    <w:rsid w:val="005904ED"/>
    <w:rsid w:val="00593A57"/>
    <w:rsid w:val="005A6347"/>
    <w:rsid w:val="005A678F"/>
    <w:rsid w:val="005B085A"/>
    <w:rsid w:val="005B4268"/>
    <w:rsid w:val="005B7893"/>
    <w:rsid w:val="005C2108"/>
    <w:rsid w:val="005C3392"/>
    <w:rsid w:val="005C4EA4"/>
    <w:rsid w:val="005C6B37"/>
    <w:rsid w:val="005D1114"/>
    <w:rsid w:val="005D4A36"/>
    <w:rsid w:val="005D4F43"/>
    <w:rsid w:val="005D5316"/>
    <w:rsid w:val="005E7EEB"/>
    <w:rsid w:val="005F6119"/>
    <w:rsid w:val="0060214D"/>
    <w:rsid w:val="00606B7B"/>
    <w:rsid w:val="00606ED2"/>
    <w:rsid w:val="00610A30"/>
    <w:rsid w:val="006226C2"/>
    <w:rsid w:val="00626E9F"/>
    <w:rsid w:val="006326AE"/>
    <w:rsid w:val="00634847"/>
    <w:rsid w:val="00636728"/>
    <w:rsid w:val="00636EAD"/>
    <w:rsid w:val="00642A15"/>
    <w:rsid w:val="00645A59"/>
    <w:rsid w:val="00653625"/>
    <w:rsid w:val="0065788F"/>
    <w:rsid w:val="00663FD1"/>
    <w:rsid w:val="006645F0"/>
    <w:rsid w:val="00670BF5"/>
    <w:rsid w:val="006849A8"/>
    <w:rsid w:val="0068649C"/>
    <w:rsid w:val="006A36CD"/>
    <w:rsid w:val="006B6268"/>
    <w:rsid w:val="006C557A"/>
    <w:rsid w:val="006C750D"/>
    <w:rsid w:val="006D167F"/>
    <w:rsid w:val="006D24D5"/>
    <w:rsid w:val="006D41D6"/>
    <w:rsid w:val="006D6293"/>
    <w:rsid w:val="006E0042"/>
    <w:rsid w:val="006E15A0"/>
    <w:rsid w:val="006F217B"/>
    <w:rsid w:val="006F5FE8"/>
    <w:rsid w:val="006F6C25"/>
    <w:rsid w:val="007063F9"/>
    <w:rsid w:val="007106DA"/>
    <w:rsid w:val="00710E9E"/>
    <w:rsid w:val="007128DB"/>
    <w:rsid w:val="0071670E"/>
    <w:rsid w:val="0073646B"/>
    <w:rsid w:val="00736779"/>
    <w:rsid w:val="00736A5D"/>
    <w:rsid w:val="00740353"/>
    <w:rsid w:val="007447C1"/>
    <w:rsid w:val="007710F1"/>
    <w:rsid w:val="007728A5"/>
    <w:rsid w:val="00774BDF"/>
    <w:rsid w:val="0077697A"/>
    <w:rsid w:val="00782693"/>
    <w:rsid w:val="00786678"/>
    <w:rsid w:val="00786832"/>
    <w:rsid w:val="00787378"/>
    <w:rsid w:val="00787B0E"/>
    <w:rsid w:val="00787E2A"/>
    <w:rsid w:val="00792227"/>
    <w:rsid w:val="00792FE8"/>
    <w:rsid w:val="00793AE4"/>
    <w:rsid w:val="007955B6"/>
    <w:rsid w:val="007A0494"/>
    <w:rsid w:val="007A2D90"/>
    <w:rsid w:val="007A3C29"/>
    <w:rsid w:val="007B0DF5"/>
    <w:rsid w:val="007B0EE6"/>
    <w:rsid w:val="007B11EA"/>
    <w:rsid w:val="007B4ABC"/>
    <w:rsid w:val="007B63DE"/>
    <w:rsid w:val="007B6FAD"/>
    <w:rsid w:val="007D2C57"/>
    <w:rsid w:val="007E123F"/>
    <w:rsid w:val="007E2884"/>
    <w:rsid w:val="007E7C21"/>
    <w:rsid w:val="007F3AB1"/>
    <w:rsid w:val="007F4D17"/>
    <w:rsid w:val="007F66BD"/>
    <w:rsid w:val="00802ED9"/>
    <w:rsid w:val="00803BC2"/>
    <w:rsid w:val="0082332D"/>
    <w:rsid w:val="00825CE4"/>
    <w:rsid w:val="00832209"/>
    <w:rsid w:val="00835BD1"/>
    <w:rsid w:val="00836E64"/>
    <w:rsid w:val="0083722D"/>
    <w:rsid w:val="00845BB2"/>
    <w:rsid w:val="00847D39"/>
    <w:rsid w:val="00855B18"/>
    <w:rsid w:val="00861F85"/>
    <w:rsid w:val="00862F14"/>
    <w:rsid w:val="00863501"/>
    <w:rsid w:val="00865F43"/>
    <w:rsid w:val="00867672"/>
    <w:rsid w:val="00873C87"/>
    <w:rsid w:val="00882787"/>
    <w:rsid w:val="00882B35"/>
    <w:rsid w:val="008A065B"/>
    <w:rsid w:val="008A2CF3"/>
    <w:rsid w:val="008A5C1C"/>
    <w:rsid w:val="008B35B9"/>
    <w:rsid w:val="008D3593"/>
    <w:rsid w:val="008E36A4"/>
    <w:rsid w:val="008E6205"/>
    <w:rsid w:val="008F1D27"/>
    <w:rsid w:val="00900EFE"/>
    <w:rsid w:val="00901D16"/>
    <w:rsid w:val="00901F14"/>
    <w:rsid w:val="00904799"/>
    <w:rsid w:val="00921137"/>
    <w:rsid w:val="00922BF6"/>
    <w:rsid w:val="00923CE7"/>
    <w:rsid w:val="009244F6"/>
    <w:rsid w:val="009252B7"/>
    <w:rsid w:val="00930E54"/>
    <w:rsid w:val="00941EF3"/>
    <w:rsid w:val="00947C72"/>
    <w:rsid w:val="009512E9"/>
    <w:rsid w:val="0097306A"/>
    <w:rsid w:val="00973409"/>
    <w:rsid w:val="00975ED5"/>
    <w:rsid w:val="009861F8"/>
    <w:rsid w:val="00994EB3"/>
    <w:rsid w:val="00997051"/>
    <w:rsid w:val="009A0245"/>
    <w:rsid w:val="009A29D9"/>
    <w:rsid w:val="009A3FAE"/>
    <w:rsid w:val="009A46B3"/>
    <w:rsid w:val="009A5664"/>
    <w:rsid w:val="009A5AAC"/>
    <w:rsid w:val="009C2C0C"/>
    <w:rsid w:val="009C5246"/>
    <w:rsid w:val="009C6C6E"/>
    <w:rsid w:val="009D09EB"/>
    <w:rsid w:val="009D7EC8"/>
    <w:rsid w:val="009E32EF"/>
    <w:rsid w:val="009E697C"/>
    <w:rsid w:val="009F0258"/>
    <w:rsid w:val="009F04F3"/>
    <w:rsid w:val="009F0A01"/>
    <w:rsid w:val="009F18B6"/>
    <w:rsid w:val="009F6C3B"/>
    <w:rsid w:val="00A05D95"/>
    <w:rsid w:val="00A149DC"/>
    <w:rsid w:val="00A2510D"/>
    <w:rsid w:val="00A2628C"/>
    <w:rsid w:val="00A307F4"/>
    <w:rsid w:val="00A4014C"/>
    <w:rsid w:val="00A42073"/>
    <w:rsid w:val="00A476F5"/>
    <w:rsid w:val="00A5574A"/>
    <w:rsid w:val="00A57395"/>
    <w:rsid w:val="00A613BA"/>
    <w:rsid w:val="00A64AB0"/>
    <w:rsid w:val="00A669C1"/>
    <w:rsid w:val="00A8486F"/>
    <w:rsid w:val="00A92D0C"/>
    <w:rsid w:val="00A92D5C"/>
    <w:rsid w:val="00A963B4"/>
    <w:rsid w:val="00AA104F"/>
    <w:rsid w:val="00AA6B82"/>
    <w:rsid w:val="00AB5097"/>
    <w:rsid w:val="00AB7F55"/>
    <w:rsid w:val="00AC204A"/>
    <w:rsid w:val="00AC32DC"/>
    <w:rsid w:val="00AC658E"/>
    <w:rsid w:val="00AC7B14"/>
    <w:rsid w:val="00AD4A5B"/>
    <w:rsid w:val="00AD4D89"/>
    <w:rsid w:val="00AD6EF3"/>
    <w:rsid w:val="00AE54B8"/>
    <w:rsid w:val="00AE753B"/>
    <w:rsid w:val="00AF2712"/>
    <w:rsid w:val="00AF3D34"/>
    <w:rsid w:val="00AF6D84"/>
    <w:rsid w:val="00B01815"/>
    <w:rsid w:val="00B02D51"/>
    <w:rsid w:val="00B06266"/>
    <w:rsid w:val="00B16D22"/>
    <w:rsid w:val="00B34EFB"/>
    <w:rsid w:val="00B40D81"/>
    <w:rsid w:val="00B41D9C"/>
    <w:rsid w:val="00B41F8B"/>
    <w:rsid w:val="00B440CA"/>
    <w:rsid w:val="00B4622F"/>
    <w:rsid w:val="00B46C03"/>
    <w:rsid w:val="00B51107"/>
    <w:rsid w:val="00B5655C"/>
    <w:rsid w:val="00B57C9E"/>
    <w:rsid w:val="00B6010F"/>
    <w:rsid w:val="00B63A96"/>
    <w:rsid w:val="00B67B70"/>
    <w:rsid w:val="00B7358E"/>
    <w:rsid w:val="00B73658"/>
    <w:rsid w:val="00B74ED2"/>
    <w:rsid w:val="00B77039"/>
    <w:rsid w:val="00B95984"/>
    <w:rsid w:val="00B967AF"/>
    <w:rsid w:val="00B97D8B"/>
    <w:rsid w:val="00BA7012"/>
    <w:rsid w:val="00BB1625"/>
    <w:rsid w:val="00BB2455"/>
    <w:rsid w:val="00BB4EAF"/>
    <w:rsid w:val="00BB5386"/>
    <w:rsid w:val="00BC189F"/>
    <w:rsid w:val="00BC1AD2"/>
    <w:rsid w:val="00BC5D46"/>
    <w:rsid w:val="00BC7AB8"/>
    <w:rsid w:val="00BD0910"/>
    <w:rsid w:val="00BD0FA0"/>
    <w:rsid w:val="00BE1098"/>
    <w:rsid w:val="00BF7C58"/>
    <w:rsid w:val="00C02819"/>
    <w:rsid w:val="00C0358D"/>
    <w:rsid w:val="00C04108"/>
    <w:rsid w:val="00C0793D"/>
    <w:rsid w:val="00C13750"/>
    <w:rsid w:val="00C167A6"/>
    <w:rsid w:val="00C17061"/>
    <w:rsid w:val="00C20C7D"/>
    <w:rsid w:val="00C24067"/>
    <w:rsid w:val="00C2705D"/>
    <w:rsid w:val="00C30DC7"/>
    <w:rsid w:val="00C43585"/>
    <w:rsid w:val="00C4448A"/>
    <w:rsid w:val="00C45DAC"/>
    <w:rsid w:val="00C50676"/>
    <w:rsid w:val="00C52E47"/>
    <w:rsid w:val="00C615EB"/>
    <w:rsid w:val="00C620BB"/>
    <w:rsid w:val="00C65837"/>
    <w:rsid w:val="00C65A68"/>
    <w:rsid w:val="00C7011F"/>
    <w:rsid w:val="00C80BD2"/>
    <w:rsid w:val="00C85121"/>
    <w:rsid w:val="00CA19FB"/>
    <w:rsid w:val="00CA2C2F"/>
    <w:rsid w:val="00CB0DDC"/>
    <w:rsid w:val="00CB5137"/>
    <w:rsid w:val="00CC3A67"/>
    <w:rsid w:val="00CC42C2"/>
    <w:rsid w:val="00CC6208"/>
    <w:rsid w:val="00CD0110"/>
    <w:rsid w:val="00CD5DEC"/>
    <w:rsid w:val="00CD6447"/>
    <w:rsid w:val="00CE2764"/>
    <w:rsid w:val="00CF5042"/>
    <w:rsid w:val="00CF6358"/>
    <w:rsid w:val="00D1448F"/>
    <w:rsid w:val="00D1778F"/>
    <w:rsid w:val="00D228B8"/>
    <w:rsid w:val="00D30E00"/>
    <w:rsid w:val="00D36798"/>
    <w:rsid w:val="00D41830"/>
    <w:rsid w:val="00D46078"/>
    <w:rsid w:val="00D52BD6"/>
    <w:rsid w:val="00D60094"/>
    <w:rsid w:val="00D624DA"/>
    <w:rsid w:val="00D62D9F"/>
    <w:rsid w:val="00D70F8C"/>
    <w:rsid w:val="00D75046"/>
    <w:rsid w:val="00D772C6"/>
    <w:rsid w:val="00D8308E"/>
    <w:rsid w:val="00D94261"/>
    <w:rsid w:val="00DD2B08"/>
    <w:rsid w:val="00DD45DD"/>
    <w:rsid w:val="00DE5324"/>
    <w:rsid w:val="00DF21D6"/>
    <w:rsid w:val="00DF47CA"/>
    <w:rsid w:val="00E20CB9"/>
    <w:rsid w:val="00E2466E"/>
    <w:rsid w:val="00E2600C"/>
    <w:rsid w:val="00E340D3"/>
    <w:rsid w:val="00E363BD"/>
    <w:rsid w:val="00E37C78"/>
    <w:rsid w:val="00E37CAA"/>
    <w:rsid w:val="00E57774"/>
    <w:rsid w:val="00E57E79"/>
    <w:rsid w:val="00E64EA0"/>
    <w:rsid w:val="00E6592F"/>
    <w:rsid w:val="00E7083C"/>
    <w:rsid w:val="00E75726"/>
    <w:rsid w:val="00E84B9A"/>
    <w:rsid w:val="00E85A1C"/>
    <w:rsid w:val="00E904F9"/>
    <w:rsid w:val="00E9097D"/>
    <w:rsid w:val="00E90B05"/>
    <w:rsid w:val="00E912D1"/>
    <w:rsid w:val="00E92FC6"/>
    <w:rsid w:val="00E9373B"/>
    <w:rsid w:val="00E94AD3"/>
    <w:rsid w:val="00E976E4"/>
    <w:rsid w:val="00EB45AB"/>
    <w:rsid w:val="00EB6211"/>
    <w:rsid w:val="00EC0BA3"/>
    <w:rsid w:val="00ED0677"/>
    <w:rsid w:val="00ED3DDF"/>
    <w:rsid w:val="00EE0BAD"/>
    <w:rsid w:val="00EE49C9"/>
    <w:rsid w:val="00EE6F4C"/>
    <w:rsid w:val="00F04173"/>
    <w:rsid w:val="00F04384"/>
    <w:rsid w:val="00F10707"/>
    <w:rsid w:val="00F10D5D"/>
    <w:rsid w:val="00F11EEC"/>
    <w:rsid w:val="00F13106"/>
    <w:rsid w:val="00F16843"/>
    <w:rsid w:val="00F17167"/>
    <w:rsid w:val="00F17D9C"/>
    <w:rsid w:val="00F320FB"/>
    <w:rsid w:val="00F37023"/>
    <w:rsid w:val="00F443B9"/>
    <w:rsid w:val="00F539BD"/>
    <w:rsid w:val="00F5610E"/>
    <w:rsid w:val="00F62042"/>
    <w:rsid w:val="00F71D00"/>
    <w:rsid w:val="00F7254A"/>
    <w:rsid w:val="00F75048"/>
    <w:rsid w:val="00F77BF0"/>
    <w:rsid w:val="00F806E0"/>
    <w:rsid w:val="00F84116"/>
    <w:rsid w:val="00F86684"/>
    <w:rsid w:val="00F9096C"/>
    <w:rsid w:val="00F92143"/>
    <w:rsid w:val="00F96612"/>
    <w:rsid w:val="00F97659"/>
    <w:rsid w:val="00FA0D22"/>
    <w:rsid w:val="00FB3181"/>
    <w:rsid w:val="00FB40F8"/>
    <w:rsid w:val="00FB6127"/>
    <w:rsid w:val="00FB6A44"/>
    <w:rsid w:val="00FC02CF"/>
    <w:rsid w:val="00FC0B55"/>
    <w:rsid w:val="00FC2785"/>
    <w:rsid w:val="00FC7E0A"/>
    <w:rsid w:val="00FD1A1C"/>
    <w:rsid w:val="00FD5A77"/>
    <w:rsid w:val="00FE54AF"/>
    <w:rsid w:val="00FE76F3"/>
    <w:rsid w:val="00FF057F"/>
    <w:rsid w:val="00FF2462"/>
    <w:rsid w:val="00FF2856"/>
    <w:rsid w:val="00FF2861"/>
    <w:rsid w:val="00FF61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F217B"/>
    <w:pPr>
      <w:ind w:left="1080"/>
    </w:pPr>
    <w:rPr>
      <w:rFonts w:ascii="Tahoma" w:hAnsi="Tahoma"/>
      <w:sz w:val="20"/>
      <w:szCs w:val="20"/>
    </w:rPr>
  </w:style>
  <w:style w:type="paragraph" w:styleId="Heading1">
    <w:name w:val="heading 1"/>
    <w:basedOn w:val="Header"/>
    <w:next w:val="BodyText"/>
    <w:link w:val="Heading1Char"/>
    <w:uiPriority w:val="99"/>
    <w:qFormat/>
    <w:rsid w:val="00340784"/>
    <w:pPr>
      <w:keepNext/>
      <w:numPr>
        <w:numId w:val="15"/>
      </w:numPr>
      <w:tabs>
        <w:tab w:val="clear" w:pos="1800"/>
        <w:tab w:val="left" w:pos="360"/>
      </w:tabs>
      <w:spacing w:before="200" w:after="100" w:line="360" w:lineRule="auto"/>
      <w:ind w:left="0" w:firstLine="0"/>
      <w:outlineLvl w:val="0"/>
    </w:pPr>
    <w:rPr>
      <w:b/>
      <w:spacing w:val="10"/>
      <w:sz w:val="24"/>
      <w:szCs w:val="24"/>
    </w:rPr>
  </w:style>
  <w:style w:type="paragraph" w:styleId="Heading2">
    <w:name w:val="heading 2"/>
    <w:basedOn w:val="Normal"/>
    <w:next w:val="BodyText"/>
    <w:link w:val="Heading2Char"/>
    <w:uiPriority w:val="99"/>
    <w:qFormat/>
    <w:rsid w:val="00FB6127"/>
    <w:pPr>
      <w:keepNext/>
      <w:numPr>
        <w:ilvl w:val="1"/>
        <w:numId w:val="14"/>
      </w:numPr>
      <w:tabs>
        <w:tab w:val="clear" w:pos="1440"/>
        <w:tab w:val="num" w:pos="702"/>
      </w:tabs>
      <w:spacing w:before="100" w:after="100"/>
      <w:ind w:left="702" w:hanging="432"/>
      <w:outlineLvl w:val="1"/>
    </w:pPr>
    <w:rPr>
      <w:b/>
      <w:spacing w:val="10"/>
      <w:kern w:val="28"/>
    </w:rPr>
  </w:style>
  <w:style w:type="paragraph" w:styleId="Heading3">
    <w:name w:val="heading 3"/>
    <w:basedOn w:val="Normal"/>
    <w:next w:val="BodyText"/>
    <w:link w:val="Heading3Char"/>
    <w:uiPriority w:val="99"/>
    <w:qFormat/>
    <w:rsid w:val="00045ED7"/>
    <w:pPr>
      <w:keepNext/>
      <w:spacing w:before="100"/>
      <w:ind w:left="0"/>
      <w:outlineLvl w:val="2"/>
    </w:pPr>
    <w:rPr>
      <w:spacing w:val="10"/>
      <w:kern w:val="28"/>
    </w:rPr>
  </w:style>
  <w:style w:type="paragraph" w:styleId="Heading4">
    <w:name w:val="heading 4"/>
    <w:basedOn w:val="Normal"/>
    <w:next w:val="BodyText"/>
    <w:link w:val="Heading4Char"/>
    <w:uiPriority w:val="99"/>
    <w:qFormat/>
    <w:rsid w:val="006A36CD"/>
    <w:pPr>
      <w:keepNext/>
      <w:keepLines/>
      <w:spacing w:before="140" w:line="220" w:lineRule="atLeast"/>
      <w:outlineLvl w:val="3"/>
    </w:pPr>
    <w:rPr>
      <w:b/>
      <w:spacing w:val="-4"/>
      <w:kern w:val="28"/>
      <w:sz w:val="18"/>
    </w:rPr>
  </w:style>
  <w:style w:type="paragraph" w:styleId="Heading5">
    <w:name w:val="heading 5"/>
    <w:basedOn w:val="Normal"/>
    <w:next w:val="BodyText"/>
    <w:link w:val="Heading5Char"/>
    <w:uiPriority w:val="99"/>
    <w:qFormat/>
    <w:rsid w:val="006A36CD"/>
    <w:pPr>
      <w:keepNext/>
      <w:keepLines/>
      <w:spacing w:before="220" w:after="220" w:line="220" w:lineRule="atLeast"/>
      <w:outlineLvl w:val="4"/>
    </w:pPr>
    <w:rPr>
      <w:rFonts w:ascii="Times New Roman" w:hAnsi="Times New Roman"/>
      <w:i/>
      <w:spacing w:val="-4"/>
      <w:kern w:val="28"/>
    </w:rPr>
  </w:style>
  <w:style w:type="paragraph" w:styleId="Heading6">
    <w:name w:val="heading 6"/>
    <w:basedOn w:val="Normal"/>
    <w:next w:val="BodyText"/>
    <w:link w:val="Heading6Char"/>
    <w:uiPriority w:val="99"/>
    <w:qFormat/>
    <w:rsid w:val="006A36CD"/>
    <w:pPr>
      <w:keepNext/>
      <w:keepLines/>
      <w:spacing w:before="140" w:line="220" w:lineRule="atLeast"/>
      <w:outlineLvl w:val="5"/>
    </w:pPr>
    <w:rPr>
      <w:rFonts w:ascii="Times New Roman" w:hAnsi="Times New Roman"/>
      <w:i/>
      <w:spacing w:val="-4"/>
      <w:kern w:val="28"/>
    </w:rPr>
  </w:style>
  <w:style w:type="paragraph" w:styleId="Heading7">
    <w:name w:val="heading 7"/>
    <w:basedOn w:val="Normal"/>
    <w:next w:val="BodyText"/>
    <w:link w:val="Heading7Char"/>
    <w:uiPriority w:val="99"/>
    <w:qFormat/>
    <w:rsid w:val="006A36CD"/>
    <w:pPr>
      <w:keepNext/>
      <w:keepLines/>
      <w:spacing w:before="140" w:line="220" w:lineRule="atLeast"/>
      <w:outlineLvl w:val="6"/>
    </w:pPr>
    <w:rPr>
      <w:rFonts w:ascii="Times New Roman" w:hAnsi="Times New Roman"/>
      <w:spacing w:val="-4"/>
      <w:kern w:val="28"/>
    </w:rPr>
  </w:style>
  <w:style w:type="paragraph" w:styleId="Heading8">
    <w:name w:val="heading 8"/>
    <w:basedOn w:val="Normal"/>
    <w:next w:val="BodyText"/>
    <w:link w:val="Heading8Char"/>
    <w:uiPriority w:val="99"/>
    <w:qFormat/>
    <w:rsid w:val="006A36CD"/>
    <w:pPr>
      <w:keepNext/>
      <w:keepLines/>
      <w:spacing w:before="140" w:line="220" w:lineRule="atLeast"/>
      <w:outlineLvl w:val="7"/>
    </w:pPr>
    <w:rPr>
      <w:i/>
      <w:spacing w:val="-4"/>
      <w:kern w:val="28"/>
      <w:sz w:val="18"/>
    </w:rPr>
  </w:style>
  <w:style w:type="paragraph" w:styleId="Heading9">
    <w:name w:val="heading 9"/>
    <w:basedOn w:val="Normal"/>
    <w:next w:val="BodyText"/>
    <w:link w:val="Heading9Char"/>
    <w:uiPriority w:val="99"/>
    <w:qFormat/>
    <w:rsid w:val="006A36CD"/>
    <w:pPr>
      <w:keepNext/>
      <w:keepLines/>
      <w:spacing w:before="140" w:line="220" w:lineRule="atLeast"/>
      <w:outlineLvl w:val="8"/>
    </w:pPr>
    <w:rPr>
      <w:spacing w:val="-4"/>
      <w:kern w:val="28"/>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585"/>
    <w:rPr>
      <w:rFonts w:ascii="Tahoma" w:hAnsi="Tahoma"/>
      <w:b/>
      <w:spacing w:val="10"/>
      <w:sz w:val="24"/>
      <w:szCs w:val="24"/>
    </w:rPr>
  </w:style>
  <w:style w:type="character" w:customStyle="1" w:styleId="Heading2Char">
    <w:name w:val="Heading 2 Char"/>
    <w:basedOn w:val="DefaultParagraphFont"/>
    <w:link w:val="Heading2"/>
    <w:uiPriority w:val="99"/>
    <w:locked/>
    <w:rsid w:val="00417585"/>
    <w:rPr>
      <w:rFonts w:ascii="Tahoma" w:hAnsi="Tahoma"/>
      <w:b/>
      <w:spacing w:val="10"/>
      <w:kern w:val="28"/>
      <w:sz w:val="20"/>
      <w:szCs w:val="20"/>
    </w:rPr>
  </w:style>
  <w:style w:type="character" w:customStyle="1" w:styleId="Heading3Char">
    <w:name w:val="Heading 3 Char"/>
    <w:basedOn w:val="DefaultParagraphFont"/>
    <w:link w:val="Heading3"/>
    <w:uiPriority w:val="99"/>
    <w:semiHidden/>
    <w:locked/>
    <w:rsid w:val="0041758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1758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1758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17585"/>
    <w:rPr>
      <w:rFonts w:ascii="Calibri" w:hAnsi="Calibri" w:cs="Times New Roman"/>
      <w:b/>
      <w:bCs/>
    </w:rPr>
  </w:style>
  <w:style w:type="character" w:customStyle="1" w:styleId="Heading7Char">
    <w:name w:val="Heading 7 Char"/>
    <w:basedOn w:val="DefaultParagraphFont"/>
    <w:link w:val="Heading7"/>
    <w:uiPriority w:val="99"/>
    <w:semiHidden/>
    <w:locked/>
    <w:rsid w:val="0041758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1758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17585"/>
    <w:rPr>
      <w:rFonts w:ascii="Cambria" w:hAnsi="Cambria" w:cs="Times New Roman"/>
    </w:rPr>
  </w:style>
  <w:style w:type="paragraph" w:styleId="BodyText">
    <w:name w:val="Body Text"/>
    <w:basedOn w:val="Normal"/>
    <w:link w:val="BodyTextChar"/>
    <w:uiPriority w:val="99"/>
    <w:rsid w:val="00FB6127"/>
    <w:pPr>
      <w:spacing w:after="200" w:line="240" w:lineRule="exact"/>
      <w:ind w:left="0"/>
    </w:pPr>
    <w:rPr>
      <w:spacing w:val="10"/>
      <w:sz w:val="17"/>
    </w:rPr>
  </w:style>
  <w:style w:type="character" w:customStyle="1" w:styleId="BodyTextChar">
    <w:name w:val="Body Text Char"/>
    <w:basedOn w:val="DefaultParagraphFont"/>
    <w:link w:val="BodyText"/>
    <w:uiPriority w:val="99"/>
    <w:locked/>
    <w:rsid w:val="00FB6127"/>
    <w:rPr>
      <w:rFonts w:ascii="Tahoma" w:hAnsi="Tahoma" w:cs="Times New Roman"/>
      <w:spacing w:val="10"/>
      <w:sz w:val="17"/>
      <w:lang w:val="en-US" w:eastAsia="en-US" w:bidi="ar-SA"/>
    </w:rPr>
  </w:style>
  <w:style w:type="paragraph" w:customStyle="1" w:styleId="SubtitleSecondPage">
    <w:name w:val="Subtitle Second Page"/>
    <w:uiPriority w:val="99"/>
    <w:rsid w:val="00A613BA"/>
    <w:pPr>
      <w:spacing w:after="200"/>
    </w:pPr>
    <w:rPr>
      <w:rFonts w:ascii="Tahoma" w:hAnsi="Tahoma"/>
      <w:i/>
      <w:iCs/>
      <w:color w:val="808080"/>
      <w:spacing w:val="10"/>
      <w:sz w:val="20"/>
      <w:szCs w:val="20"/>
    </w:rPr>
  </w:style>
  <w:style w:type="paragraph" w:styleId="Header">
    <w:name w:val="header"/>
    <w:basedOn w:val="Normal"/>
    <w:link w:val="HeaderChar"/>
    <w:uiPriority w:val="99"/>
    <w:rsid w:val="00FB6A44"/>
    <w:pPr>
      <w:pBdr>
        <w:bottom w:val="single" w:sz="4" w:space="1" w:color="auto"/>
      </w:pBdr>
      <w:ind w:left="0"/>
    </w:pPr>
  </w:style>
  <w:style w:type="character" w:customStyle="1" w:styleId="HeaderChar">
    <w:name w:val="Header Char"/>
    <w:basedOn w:val="DefaultParagraphFont"/>
    <w:link w:val="Header"/>
    <w:uiPriority w:val="99"/>
    <w:semiHidden/>
    <w:locked/>
    <w:rsid w:val="00417585"/>
    <w:rPr>
      <w:rFonts w:ascii="Tahoma" w:hAnsi="Tahoma" w:cs="Times New Roman"/>
      <w:sz w:val="20"/>
      <w:szCs w:val="20"/>
    </w:rPr>
  </w:style>
  <w:style w:type="paragraph" w:customStyle="1" w:styleId="TableTextBold">
    <w:name w:val="Table Text Bold"/>
    <w:uiPriority w:val="99"/>
    <w:rsid w:val="00BD0910"/>
    <w:rPr>
      <w:rFonts w:ascii="Tahoma" w:hAnsi="Tahoma"/>
      <w:b/>
      <w:spacing w:val="6"/>
      <w:sz w:val="15"/>
      <w:szCs w:val="16"/>
    </w:rPr>
  </w:style>
  <w:style w:type="paragraph" w:customStyle="1" w:styleId="BlockQuotation">
    <w:name w:val="Block Quotation"/>
    <w:basedOn w:val="BodyText"/>
    <w:link w:val="BlockQuotationChar"/>
    <w:uiPriority w:val="99"/>
    <w:rsid w:val="001B59DD"/>
    <w:pPr>
      <w:keepLines/>
      <w:spacing w:after="120"/>
      <w:ind w:left="360"/>
    </w:pPr>
    <w:rPr>
      <w:i/>
    </w:rPr>
  </w:style>
  <w:style w:type="character" w:customStyle="1" w:styleId="BlockQuotationChar">
    <w:name w:val="Block Quotation Char"/>
    <w:basedOn w:val="DefaultParagraphFont"/>
    <w:link w:val="BlockQuotation"/>
    <w:uiPriority w:val="99"/>
    <w:locked/>
    <w:rsid w:val="001B59DD"/>
    <w:rPr>
      <w:rFonts w:ascii="Tahoma" w:hAnsi="Tahoma" w:cs="Times New Roman"/>
      <w:i/>
      <w:spacing w:val="10"/>
      <w:sz w:val="17"/>
      <w:lang w:val="en-US" w:eastAsia="en-US" w:bidi="ar-SA"/>
    </w:rPr>
  </w:style>
  <w:style w:type="paragraph" w:styleId="Caption">
    <w:name w:val="caption"/>
    <w:basedOn w:val="Normal"/>
    <w:next w:val="BodyText"/>
    <w:uiPriority w:val="99"/>
    <w:qFormat/>
    <w:rsid w:val="004132FD"/>
    <w:pPr>
      <w:keepNext/>
      <w:spacing w:before="120" w:after="220" w:line="220" w:lineRule="atLeast"/>
      <w:ind w:left="360"/>
    </w:pPr>
    <w:rPr>
      <w:i/>
      <w:spacing w:val="6"/>
      <w:sz w:val="16"/>
      <w:szCs w:val="18"/>
    </w:rPr>
  </w:style>
  <w:style w:type="character" w:styleId="EndnoteReference">
    <w:name w:val="endnote reference"/>
    <w:basedOn w:val="DefaultParagraphFont"/>
    <w:uiPriority w:val="99"/>
    <w:semiHidden/>
    <w:rsid w:val="00786832"/>
    <w:rPr>
      <w:rFonts w:cs="Times New Roman"/>
      <w:b/>
      <w:vertAlign w:val="superscript"/>
    </w:rPr>
  </w:style>
  <w:style w:type="paragraph" w:styleId="EndnoteText">
    <w:name w:val="endnote text"/>
    <w:basedOn w:val="Normal"/>
    <w:link w:val="EndnoteTextChar"/>
    <w:uiPriority w:val="99"/>
    <w:semiHidden/>
    <w:rsid w:val="0025403C"/>
  </w:style>
  <w:style w:type="character" w:customStyle="1" w:styleId="EndnoteTextChar">
    <w:name w:val="Endnote Text Char"/>
    <w:basedOn w:val="DefaultParagraphFont"/>
    <w:link w:val="EndnoteText"/>
    <w:uiPriority w:val="99"/>
    <w:semiHidden/>
    <w:locked/>
    <w:rsid w:val="00417585"/>
    <w:rPr>
      <w:rFonts w:ascii="Tahoma" w:hAnsi="Tahoma" w:cs="Times New Roman"/>
      <w:sz w:val="20"/>
      <w:szCs w:val="20"/>
    </w:rPr>
  </w:style>
  <w:style w:type="character" w:styleId="FootnoteReference">
    <w:name w:val="footnote reference"/>
    <w:basedOn w:val="DefaultParagraphFont"/>
    <w:uiPriority w:val="99"/>
    <w:semiHidden/>
    <w:rsid w:val="00786832"/>
    <w:rPr>
      <w:rFonts w:cs="Times New Roman"/>
      <w:vertAlign w:val="superscript"/>
    </w:rPr>
  </w:style>
  <w:style w:type="paragraph" w:styleId="FootnoteText">
    <w:name w:val="footnote text"/>
    <w:basedOn w:val="Normal"/>
    <w:link w:val="FootnoteTextChar"/>
    <w:uiPriority w:val="99"/>
    <w:semiHidden/>
    <w:rsid w:val="0025403C"/>
  </w:style>
  <w:style w:type="character" w:customStyle="1" w:styleId="FootnoteTextChar">
    <w:name w:val="Footnote Text Char"/>
    <w:basedOn w:val="DefaultParagraphFont"/>
    <w:link w:val="FootnoteText"/>
    <w:uiPriority w:val="99"/>
    <w:semiHidden/>
    <w:locked/>
    <w:rsid w:val="00417585"/>
    <w:rPr>
      <w:rFonts w:ascii="Tahoma" w:hAnsi="Tahoma" w:cs="Times New Roman"/>
      <w:sz w:val="20"/>
      <w:szCs w:val="20"/>
    </w:rPr>
  </w:style>
  <w:style w:type="paragraph" w:styleId="Index1">
    <w:name w:val="index 1"/>
    <w:basedOn w:val="Normal"/>
    <w:uiPriority w:val="99"/>
    <w:semiHidden/>
    <w:rsid w:val="0025403C"/>
    <w:pPr>
      <w:tabs>
        <w:tab w:val="right" w:pos="4080"/>
      </w:tabs>
      <w:ind w:left="360" w:hanging="360"/>
    </w:pPr>
  </w:style>
  <w:style w:type="paragraph" w:styleId="Index2">
    <w:name w:val="index 2"/>
    <w:basedOn w:val="Normal"/>
    <w:uiPriority w:val="99"/>
    <w:semiHidden/>
    <w:rsid w:val="0025403C"/>
    <w:pPr>
      <w:tabs>
        <w:tab w:val="right" w:pos="4080"/>
      </w:tabs>
      <w:ind w:left="720" w:hanging="360"/>
    </w:pPr>
  </w:style>
  <w:style w:type="paragraph" w:styleId="Index3">
    <w:name w:val="index 3"/>
    <w:basedOn w:val="Normal"/>
    <w:uiPriority w:val="99"/>
    <w:semiHidden/>
    <w:rsid w:val="0025403C"/>
    <w:pPr>
      <w:tabs>
        <w:tab w:val="right" w:pos="4080"/>
      </w:tabs>
      <w:ind w:left="720" w:hanging="360"/>
    </w:pPr>
  </w:style>
  <w:style w:type="paragraph" w:styleId="Index4">
    <w:name w:val="index 4"/>
    <w:basedOn w:val="Normal"/>
    <w:uiPriority w:val="99"/>
    <w:semiHidden/>
    <w:rsid w:val="0025403C"/>
    <w:pPr>
      <w:tabs>
        <w:tab w:val="right" w:pos="4080"/>
      </w:tabs>
      <w:ind w:left="720" w:hanging="360"/>
    </w:pPr>
  </w:style>
  <w:style w:type="paragraph" w:styleId="Index5">
    <w:name w:val="index 5"/>
    <w:basedOn w:val="Normal"/>
    <w:uiPriority w:val="99"/>
    <w:semiHidden/>
    <w:rsid w:val="0025403C"/>
    <w:pPr>
      <w:tabs>
        <w:tab w:val="right" w:pos="4080"/>
      </w:tabs>
      <w:ind w:left="720" w:hanging="360"/>
    </w:pPr>
  </w:style>
  <w:style w:type="paragraph" w:styleId="IndexHeading">
    <w:name w:val="index heading"/>
    <w:basedOn w:val="Normal"/>
    <w:next w:val="Index1"/>
    <w:uiPriority w:val="99"/>
    <w:semiHidden/>
    <w:rsid w:val="006A36CD"/>
    <w:pPr>
      <w:keepNext/>
      <w:spacing w:before="440" w:line="220" w:lineRule="atLeast"/>
      <w:ind w:left="0"/>
    </w:pPr>
    <w:rPr>
      <w:b/>
      <w:caps/>
      <w:sz w:val="24"/>
    </w:rPr>
  </w:style>
  <w:style w:type="character" w:customStyle="1" w:styleId="Lead-inEmphasis">
    <w:name w:val="Lead-in Emphasis"/>
    <w:uiPriority w:val="99"/>
    <w:rsid w:val="00456D02"/>
    <w:rPr>
      <w:rFonts w:ascii="Tahoma" w:hAnsi="Tahoma"/>
      <w:b/>
      <w:spacing w:val="4"/>
      <w:kern w:val="0"/>
    </w:rPr>
  </w:style>
  <w:style w:type="paragraph" w:styleId="ListBullet">
    <w:name w:val="List Bullet"/>
    <w:basedOn w:val="Normal"/>
    <w:uiPriority w:val="99"/>
    <w:rsid w:val="0073646B"/>
    <w:pPr>
      <w:numPr>
        <w:numId w:val="13"/>
      </w:numPr>
      <w:spacing w:after="200" w:line="240" w:lineRule="exact"/>
      <w:ind w:left="720"/>
    </w:pPr>
    <w:rPr>
      <w:spacing w:val="10"/>
      <w:sz w:val="17"/>
    </w:rPr>
  </w:style>
  <w:style w:type="paragraph" w:styleId="ListNumber">
    <w:name w:val="List Number"/>
    <w:basedOn w:val="Normal"/>
    <w:uiPriority w:val="99"/>
    <w:rsid w:val="004132FD"/>
    <w:pPr>
      <w:numPr>
        <w:numId w:val="14"/>
      </w:numPr>
      <w:spacing w:after="200" w:line="240" w:lineRule="exact"/>
    </w:pPr>
    <w:rPr>
      <w:spacing w:val="10"/>
      <w:sz w:val="17"/>
    </w:rPr>
  </w:style>
  <w:style w:type="paragraph" w:styleId="MacroText">
    <w:name w:val="macro"/>
    <w:basedOn w:val="Normal"/>
    <w:link w:val="MacroTextChar"/>
    <w:uiPriority w:val="99"/>
    <w:semiHidden/>
    <w:rsid w:val="00786832"/>
    <w:rPr>
      <w:rFonts w:ascii="Courier New" w:hAnsi="Courier New"/>
    </w:rPr>
  </w:style>
  <w:style w:type="character" w:customStyle="1" w:styleId="MacroTextChar">
    <w:name w:val="Macro Text Char"/>
    <w:basedOn w:val="DefaultParagraphFont"/>
    <w:link w:val="MacroText"/>
    <w:uiPriority w:val="99"/>
    <w:semiHidden/>
    <w:locked/>
    <w:rsid w:val="00417585"/>
    <w:rPr>
      <w:rFonts w:ascii="Courier New" w:hAnsi="Courier New" w:cs="Courier New"/>
      <w:sz w:val="20"/>
      <w:szCs w:val="20"/>
    </w:rPr>
  </w:style>
  <w:style w:type="paragraph" w:customStyle="1" w:styleId="SubtitleItalic">
    <w:name w:val="Subtitle Italic"/>
    <w:next w:val="BodyText"/>
    <w:uiPriority w:val="99"/>
    <w:rsid w:val="006A36CD"/>
    <w:pPr>
      <w:spacing w:after="200" w:line="320" w:lineRule="exact"/>
    </w:pPr>
    <w:rPr>
      <w:rFonts w:ascii="Tahoma" w:hAnsi="Tahoma"/>
      <w:i/>
      <w:color w:val="808080"/>
      <w:spacing w:val="20"/>
      <w:kern w:val="28"/>
      <w:sz w:val="28"/>
      <w:szCs w:val="40"/>
    </w:rPr>
  </w:style>
  <w:style w:type="paragraph" w:customStyle="1" w:styleId="TitleCover">
    <w:name w:val="Title Cover"/>
    <w:basedOn w:val="Normal"/>
    <w:next w:val="SubtitleItalic"/>
    <w:link w:val="TitleCoverChar"/>
    <w:uiPriority w:val="99"/>
    <w:rsid w:val="00284001"/>
    <w:pPr>
      <w:keepNext/>
      <w:keepLines/>
      <w:spacing w:before="1600" w:after="200" w:line="600" w:lineRule="exact"/>
      <w:ind w:left="0"/>
    </w:pPr>
    <w:rPr>
      <w:b/>
      <w:spacing w:val="20"/>
      <w:kern w:val="28"/>
      <w:sz w:val="60"/>
      <w:szCs w:val="72"/>
    </w:rPr>
  </w:style>
  <w:style w:type="character" w:customStyle="1" w:styleId="TitleCoverChar">
    <w:name w:val="Title Cover Char"/>
    <w:basedOn w:val="DefaultParagraphFont"/>
    <w:link w:val="TitleCover"/>
    <w:uiPriority w:val="99"/>
    <w:locked/>
    <w:rsid w:val="00284001"/>
    <w:rPr>
      <w:rFonts w:ascii="Tahoma" w:hAnsi="Tahoma" w:cs="Times New Roman"/>
      <w:b/>
      <w:spacing w:val="20"/>
      <w:kern w:val="28"/>
      <w:sz w:val="72"/>
      <w:szCs w:val="72"/>
      <w:lang w:val="en-US" w:eastAsia="en-US" w:bidi="ar-SA"/>
    </w:rPr>
  </w:style>
  <w:style w:type="paragraph" w:styleId="TableofFigures">
    <w:name w:val="table of figures"/>
    <w:basedOn w:val="Normal"/>
    <w:uiPriority w:val="99"/>
    <w:semiHidden/>
    <w:rsid w:val="00736A5D"/>
    <w:pPr>
      <w:ind w:left="1440" w:hanging="360"/>
    </w:pPr>
  </w:style>
  <w:style w:type="paragraph" w:styleId="TOC1">
    <w:name w:val="toc 1"/>
    <w:basedOn w:val="Normal"/>
    <w:uiPriority w:val="99"/>
    <w:rsid w:val="00736A5D"/>
    <w:pPr>
      <w:tabs>
        <w:tab w:val="right" w:leader="dot" w:pos="6480"/>
      </w:tabs>
      <w:ind w:left="0"/>
    </w:pPr>
    <w:rPr>
      <w:b/>
      <w:spacing w:val="-4"/>
    </w:rPr>
  </w:style>
  <w:style w:type="paragraph" w:styleId="TOC2">
    <w:name w:val="toc 2"/>
    <w:basedOn w:val="Normal"/>
    <w:uiPriority w:val="99"/>
    <w:rsid w:val="00736A5D"/>
    <w:pPr>
      <w:tabs>
        <w:tab w:val="right" w:leader="dot" w:pos="6480"/>
      </w:tabs>
      <w:ind w:left="0"/>
    </w:pPr>
  </w:style>
  <w:style w:type="paragraph" w:styleId="TOC3">
    <w:name w:val="toc 3"/>
    <w:basedOn w:val="Normal"/>
    <w:uiPriority w:val="99"/>
    <w:semiHidden/>
    <w:rsid w:val="00736A5D"/>
    <w:pPr>
      <w:tabs>
        <w:tab w:val="right" w:leader="dot" w:pos="6480"/>
      </w:tabs>
      <w:ind w:left="0"/>
    </w:pPr>
  </w:style>
  <w:style w:type="paragraph" w:styleId="TOC4">
    <w:name w:val="toc 4"/>
    <w:basedOn w:val="Normal"/>
    <w:uiPriority w:val="99"/>
    <w:semiHidden/>
    <w:rsid w:val="00736A5D"/>
  </w:style>
  <w:style w:type="paragraph" w:styleId="TOC5">
    <w:name w:val="toc 5"/>
    <w:basedOn w:val="Normal"/>
    <w:uiPriority w:val="99"/>
    <w:semiHidden/>
    <w:rsid w:val="00736A5D"/>
  </w:style>
  <w:style w:type="paragraph" w:styleId="Footer">
    <w:name w:val="footer"/>
    <w:basedOn w:val="Normal"/>
    <w:link w:val="FooterChar"/>
    <w:uiPriority w:val="99"/>
    <w:rsid w:val="00FB6A44"/>
    <w:pPr>
      <w:pBdr>
        <w:top w:val="single" w:sz="4" w:space="1" w:color="auto"/>
      </w:pBdr>
      <w:tabs>
        <w:tab w:val="center" w:pos="4320"/>
        <w:tab w:val="right" w:pos="8640"/>
      </w:tabs>
    </w:pPr>
  </w:style>
  <w:style w:type="character" w:customStyle="1" w:styleId="FooterChar">
    <w:name w:val="Footer Char"/>
    <w:basedOn w:val="DefaultParagraphFont"/>
    <w:link w:val="Footer"/>
    <w:uiPriority w:val="99"/>
    <w:semiHidden/>
    <w:locked/>
    <w:rsid w:val="00417585"/>
    <w:rPr>
      <w:rFonts w:ascii="Tahoma" w:hAnsi="Tahoma" w:cs="Times New Roman"/>
      <w:sz w:val="20"/>
      <w:szCs w:val="20"/>
    </w:rPr>
  </w:style>
  <w:style w:type="paragraph" w:styleId="Title">
    <w:name w:val="Title"/>
    <w:basedOn w:val="Normal"/>
    <w:next w:val="Normal"/>
    <w:link w:val="TitleChar"/>
    <w:uiPriority w:val="99"/>
    <w:qFormat/>
    <w:rsid w:val="00045ED7"/>
    <w:pPr>
      <w:keepNext/>
      <w:keepLines/>
      <w:spacing w:before="600" w:after="40"/>
      <w:ind w:left="0"/>
    </w:pPr>
    <w:rPr>
      <w:spacing w:val="20"/>
      <w:kern w:val="28"/>
      <w:sz w:val="48"/>
      <w:szCs w:val="60"/>
    </w:rPr>
  </w:style>
  <w:style w:type="character" w:customStyle="1" w:styleId="TitleChar">
    <w:name w:val="Title Char"/>
    <w:basedOn w:val="DefaultParagraphFont"/>
    <w:link w:val="Title"/>
    <w:uiPriority w:val="99"/>
    <w:locked/>
    <w:rsid w:val="00417585"/>
    <w:rPr>
      <w:rFonts w:ascii="Cambria" w:hAnsi="Cambria" w:cs="Times New Roman"/>
      <w:b/>
      <w:bCs/>
      <w:kern w:val="28"/>
      <w:sz w:val="32"/>
      <w:szCs w:val="32"/>
    </w:rPr>
  </w:style>
  <w:style w:type="character" w:styleId="CommentReference">
    <w:name w:val="annotation reference"/>
    <w:basedOn w:val="DefaultParagraphFont"/>
    <w:uiPriority w:val="99"/>
    <w:semiHidden/>
    <w:rsid w:val="00786832"/>
    <w:rPr>
      <w:rFonts w:cs="Times New Roman"/>
      <w:sz w:val="16"/>
    </w:rPr>
  </w:style>
  <w:style w:type="paragraph" w:styleId="CommentText">
    <w:name w:val="annotation text"/>
    <w:basedOn w:val="Normal"/>
    <w:link w:val="CommentTextChar"/>
    <w:uiPriority w:val="99"/>
    <w:semiHidden/>
    <w:rsid w:val="0025403C"/>
  </w:style>
  <w:style w:type="character" w:customStyle="1" w:styleId="CommentTextChar">
    <w:name w:val="Comment Text Char"/>
    <w:basedOn w:val="DefaultParagraphFont"/>
    <w:link w:val="CommentText"/>
    <w:uiPriority w:val="99"/>
    <w:semiHidden/>
    <w:locked/>
    <w:rsid w:val="00E57774"/>
    <w:rPr>
      <w:rFonts w:ascii="Tahoma" w:hAnsi="Tahoma" w:cs="Times New Roman"/>
    </w:rPr>
  </w:style>
  <w:style w:type="paragraph" w:customStyle="1" w:styleId="CompanyName">
    <w:name w:val="Company Name"/>
    <w:basedOn w:val="Normal"/>
    <w:uiPriority w:val="99"/>
    <w:rsid w:val="00284001"/>
    <w:pPr>
      <w:keepNext/>
      <w:keepLines/>
      <w:pBdr>
        <w:bottom w:val="single" w:sz="6" w:space="2" w:color="999999"/>
      </w:pBdr>
      <w:spacing w:line="220" w:lineRule="atLeast"/>
      <w:ind w:left="0"/>
    </w:pPr>
    <w:rPr>
      <w:spacing w:val="10"/>
      <w:kern w:val="28"/>
      <w:sz w:val="32"/>
      <w:szCs w:val="32"/>
    </w:rPr>
  </w:style>
  <w:style w:type="paragraph" w:styleId="TableofAuthorities">
    <w:name w:val="table of authorities"/>
    <w:basedOn w:val="Normal"/>
    <w:uiPriority w:val="99"/>
    <w:semiHidden/>
    <w:rsid w:val="00786832"/>
    <w:pPr>
      <w:tabs>
        <w:tab w:val="right" w:leader="dot" w:pos="7560"/>
      </w:tabs>
      <w:ind w:left="1440" w:hanging="360"/>
    </w:pPr>
  </w:style>
  <w:style w:type="paragraph" w:styleId="TOAHeading">
    <w:name w:val="toa heading"/>
    <w:basedOn w:val="Normal"/>
    <w:next w:val="TableofAuthorities"/>
    <w:uiPriority w:val="99"/>
    <w:semiHidden/>
    <w:rsid w:val="00786832"/>
    <w:pPr>
      <w:keepNext/>
      <w:spacing w:before="240" w:after="120" w:line="360" w:lineRule="exact"/>
    </w:pPr>
    <w:rPr>
      <w:rFonts w:ascii="Arial" w:hAnsi="Arial"/>
      <w:b/>
      <w:kern w:val="28"/>
      <w:sz w:val="28"/>
    </w:rPr>
  </w:style>
  <w:style w:type="paragraph" w:customStyle="1" w:styleId="TableText">
    <w:name w:val="Table Text"/>
    <w:uiPriority w:val="99"/>
    <w:rsid w:val="00BD0910"/>
    <w:pPr>
      <w:spacing w:before="40" w:line="200" w:lineRule="atLeast"/>
    </w:pPr>
    <w:rPr>
      <w:rFonts w:ascii="Tahoma" w:hAnsi="Tahoma"/>
      <w:spacing w:val="6"/>
      <w:sz w:val="15"/>
      <w:szCs w:val="16"/>
    </w:rPr>
  </w:style>
  <w:style w:type="paragraph" w:styleId="BalloonText">
    <w:name w:val="Balloon Text"/>
    <w:basedOn w:val="Normal"/>
    <w:link w:val="BalloonTextChar"/>
    <w:uiPriority w:val="99"/>
    <w:semiHidden/>
    <w:rsid w:val="006F217B"/>
    <w:rPr>
      <w:rFonts w:cs="Tahoma"/>
      <w:sz w:val="16"/>
      <w:szCs w:val="16"/>
    </w:rPr>
  </w:style>
  <w:style w:type="character" w:customStyle="1" w:styleId="BalloonTextChar">
    <w:name w:val="Balloon Text Char"/>
    <w:basedOn w:val="DefaultParagraphFont"/>
    <w:link w:val="BalloonText"/>
    <w:uiPriority w:val="99"/>
    <w:semiHidden/>
    <w:locked/>
    <w:rsid w:val="00417585"/>
    <w:rPr>
      <w:rFonts w:cs="Times New Roman"/>
      <w:sz w:val="2"/>
    </w:rPr>
  </w:style>
  <w:style w:type="character" w:styleId="PageNumber">
    <w:name w:val="page number"/>
    <w:basedOn w:val="DefaultParagraphFont"/>
    <w:uiPriority w:val="99"/>
    <w:rsid w:val="00FF2856"/>
    <w:rPr>
      <w:rFonts w:cs="Times New Roman"/>
    </w:rPr>
  </w:style>
  <w:style w:type="paragraph" w:customStyle="1" w:styleId="IndentedBodyText">
    <w:name w:val="Indented Body Text"/>
    <w:basedOn w:val="Normal"/>
    <w:link w:val="IndentedBodyTextChar"/>
    <w:uiPriority w:val="99"/>
    <w:rsid w:val="005A678F"/>
    <w:pPr>
      <w:spacing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sid w:val="005A678F"/>
    <w:rPr>
      <w:rFonts w:ascii="Verdana" w:hAnsi="Verdana" w:cs="Times New Roman"/>
      <w:sz w:val="17"/>
      <w:lang w:val="en-US" w:eastAsia="en-US" w:bidi="ar-SA"/>
    </w:rPr>
  </w:style>
  <w:style w:type="character" w:styleId="Hyperlink">
    <w:name w:val="Hyperlink"/>
    <w:basedOn w:val="DefaultParagraphFont"/>
    <w:uiPriority w:val="99"/>
    <w:rsid w:val="003A570B"/>
    <w:rPr>
      <w:rFonts w:cs="Times New Roman"/>
      <w:color w:val="0000FF"/>
      <w:u w:val="single"/>
    </w:rPr>
  </w:style>
  <w:style w:type="paragraph" w:styleId="CommentSubject">
    <w:name w:val="annotation subject"/>
    <w:basedOn w:val="CommentText"/>
    <w:next w:val="CommentText"/>
    <w:link w:val="CommentSubjectChar"/>
    <w:uiPriority w:val="99"/>
    <w:rsid w:val="00E57774"/>
    <w:rPr>
      <w:b/>
      <w:bCs/>
    </w:rPr>
  </w:style>
  <w:style w:type="character" w:customStyle="1" w:styleId="CommentSubjectChar">
    <w:name w:val="Comment Subject Char"/>
    <w:basedOn w:val="CommentTextChar"/>
    <w:link w:val="CommentSubject"/>
    <w:uiPriority w:val="99"/>
    <w:locked/>
    <w:rsid w:val="00E57774"/>
  </w:style>
  <w:style w:type="character" w:styleId="PlaceholderText">
    <w:name w:val="Placeholder Text"/>
    <w:basedOn w:val="DefaultParagraphFont"/>
    <w:uiPriority w:val="99"/>
    <w:semiHidden/>
    <w:rsid w:val="00C17061"/>
    <w:rPr>
      <w:rFonts w:cs="Times New Roman"/>
      <w:color w:val="808080"/>
    </w:rPr>
  </w:style>
  <w:style w:type="paragraph" w:styleId="NormalWeb">
    <w:name w:val="Normal (Web)"/>
    <w:basedOn w:val="Normal"/>
    <w:uiPriority w:val="99"/>
    <w:rsid w:val="009C2C0C"/>
    <w:pPr>
      <w:spacing w:before="100" w:beforeAutospacing="1" w:after="100" w:afterAutospacing="1"/>
      <w:ind w:left="0"/>
    </w:pPr>
    <w:rPr>
      <w:rFonts w:ascii="Times New Roman" w:hAnsi="Times New Roman"/>
      <w:color w:val="000000"/>
      <w:sz w:val="24"/>
      <w:szCs w:val="24"/>
    </w:rPr>
  </w:style>
  <w:style w:type="character" w:customStyle="1" w:styleId="evdictionarytext1">
    <w:name w:val="evdictionarytext1"/>
    <w:basedOn w:val="DefaultParagraphFont"/>
    <w:uiPriority w:val="99"/>
    <w:rsid w:val="009C2C0C"/>
    <w:rPr>
      <w:rFonts w:ascii="Arial" w:hAnsi="Arial" w:cs="Arial"/>
      <w:color w:val="000000"/>
      <w:sz w:val="20"/>
      <w:szCs w:val="20"/>
    </w:rPr>
  </w:style>
  <w:style w:type="paragraph" w:styleId="ListParagraph">
    <w:name w:val="List Paragraph"/>
    <w:basedOn w:val="Normal"/>
    <w:uiPriority w:val="99"/>
    <w:qFormat/>
    <w:rsid w:val="00F04384"/>
    <w:pPr>
      <w:ind w:left="720"/>
      <w:contextualSpacing/>
    </w:pPr>
  </w:style>
  <w:style w:type="table" w:styleId="TableGrid">
    <w:name w:val="Table Grid"/>
    <w:basedOn w:val="TableNormal"/>
    <w:uiPriority w:val="99"/>
    <w:rsid w:val="00865F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D709D"/>
    <w:pPr>
      <w:keepLines/>
      <w:numPr>
        <w:numId w:val="0"/>
      </w:numPr>
      <w:pBdr>
        <w:bottom w:val="none" w:sz="0" w:space="0" w:color="auto"/>
      </w:pBdr>
      <w:spacing w:before="480" w:after="0" w:line="276" w:lineRule="auto"/>
      <w:outlineLvl w:val="9"/>
    </w:pPr>
    <w:rPr>
      <w:rFonts w:ascii="Cambria" w:hAnsi="Cambria"/>
      <w:bCs/>
      <w:color w:val="365F91"/>
      <w:spacing w:val="0"/>
      <w:sz w:val="28"/>
      <w:szCs w:val="28"/>
    </w:rPr>
  </w:style>
  <w:style w:type="paragraph" w:styleId="Revision">
    <w:name w:val="Revision"/>
    <w:hidden/>
    <w:uiPriority w:val="99"/>
    <w:semiHidden/>
    <w:rsid w:val="00546637"/>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235819288">
      <w:marLeft w:val="0"/>
      <w:marRight w:val="0"/>
      <w:marTop w:val="0"/>
      <w:marBottom w:val="0"/>
      <w:divBdr>
        <w:top w:val="none" w:sz="0" w:space="0" w:color="auto"/>
        <w:left w:val="none" w:sz="0" w:space="0" w:color="auto"/>
        <w:bottom w:val="none" w:sz="0" w:space="0" w:color="auto"/>
        <w:right w:val="none" w:sz="0" w:space="0" w:color="auto"/>
      </w:divBdr>
    </w:div>
    <w:div w:id="235819290">
      <w:marLeft w:val="0"/>
      <w:marRight w:val="0"/>
      <w:marTop w:val="0"/>
      <w:marBottom w:val="0"/>
      <w:divBdr>
        <w:top w:val="none" w:sz="0" w:space="0" w:color="auto"/>
        <w:left w:val="none" w:sz="0" w:space="0" w:color="auto"/>
        <w:bottom w:val="none" w:sz="0" w:space="0" w:color="auto"/>
        <w:right w:val="none" w:sz="0" w:space="0" w:color="auto"/>
      </w:divBdr>
    </w:div>
    <w:div w:id="235819291">
      <w:marLeft w:val="0"/>
      <w:marRight w:val="0"/>
      <w:marTop w:val="0"/>
      <w:marBottom w:val="0"/>
      <w:divBdr>
        <w:top w:val="none" w:sz="0" w:space="0" w:color="auto"/>
        <w:left w:val="none" w:sz="0" w:space="0" w:color="auto"/>
        <w:bottom w:val="none" w:sz="0" w:space="0" w:color="auto"/>
        <w:right w:val="none" w:sz="0" w:space="0" w:color="auto"/>
      </w:divBdr>
    </w:div>
    <w:div w:id="235819292">
      <w:marLeft w:val="0"/>
      <w:marRight w:val="0"/>
      <w:marTop w:val="0"/>
      <w:marBottom w:val="0"/>
      <w:divBdr>
        <w:top w:val="none" w:sz="0" w:space="0" w:color="auto"/>
        <w:left w:val="none" w:sz="0" w:space="0" w:color="auto"/>
        <w:bottom w:val="none" w:sz="0" w:space="0" w:color="auto"/>
        <w:right w:val="none" w:sz="0" w:space="0" w:color="auto"/>
      </w:divBdr>
    </w:div>
    <w:div w:id="235819293">
      <w:marLeft w:val="0"/>
      <w:marRight w:val="0"/>
      <w:marTop w:val="0"/>
      <w:marBottom w:val="0"/>
      <w:divBdr>
        <w:top w:val="none" w:sz="0" w:space="0" w:color="auto"/>
        <w:left w:val="none" w:sz="0" w:space="0" w:color="auto"/>
        <w:bottom w:val="none" w:sz="0" w:space="0" w:color="auto"/>
        <w:right w:val="none" w:sz="0" w:space="0" w:color="auto"/>
      </w:divBdr>
    </w:div>
    <w:div w:id="235819294">
      <w:marLeft w:val="0"/>
      <w:marRight w:val="0"/>
      <w:marTop w:val="0"/>
      <w:marBottom w:val="0"/>
      <w:divBdr>
        <w:top w:val="none" w:sz="0" w:space="0" w:color="auto"/>
        <w:left w:val="none" w:sz="0" w:space="0" w:color="auto"/>
        <w:bottom w:val="none" w:sz="0" w:space="0" w:color="auto"/>
        <w:right w:val="none" w:sz="0" w:space="0" w:color="auto"/>
      </w:divBdr>
    </w:div>
    <w:div w:id="235819295">
      <w:marLeft w:val="0"/>
      <w:marRight w:val="0"/>
      <w:marTop w:val="0"/>
      <w:marBottom w:val="0"/>
      <w:divBdr>
        <w:top w:val="none" w:sz="0" w:space="0" w:color="auto"/>
        <w:left w:val="none" w:sz="0" w:space="0" w:color="auto"/>
        <w:bottom w:val="none" w:sz="0" w:space="0" w:color="auto"/>
        <w:right w:val="none" w:sz="0" w:space="0" w:color="auto"/>
      </w:divBdr>
      <w:divsChild>
        <w:div w:id="235819289">
          <w:marLeft w:val="720"/>
          <w:marRight w:val="720"/>
          <w:marTop w:val="100"/>
          <w:marBottom w:val="100"/>
          <w:divBdr>
            <w:top w:val="none" w:sz="0" w:space="0" w:color="auto"/>
            <w:left w:val="none" w:sz="0" w:space="0" w:color="auto"/>
            <w:bottom w:val="none" w:sz="0" w:space="0" w:color="auto"/>
            <w:right w:val="none" w:sz="0" w:space="0" w:color="auto"/>
          </w:divBdr>
        </w:div>
      </w:divsChild>
    </w:div>
    <w:div w:id="235819296">
      <w:marLeft w:val="0"/>
      <w:marRight w:val="0"/>
      <w:marTop w:val="0"/>
      <w:marBottom w:val="0"/>
      <w:divBdr>
        <w:top w:val="none" w:sz="0" w:space="0" w:color="auto"/>
        <w:left w:val="none" w:sz="0" w:space="0" w:color="auto"/>
        <w:bottom w:val="none" w:sz="0" w:space="0" w:color="auto"/>
        <w:right w:val="none" w:sz="0" w:space="0" w:color="auto"/>
      </w:divBdr>
    </w:div>
    <w:div w:id="235819297">
      <w:marLeft w:val="0"/>
      <w:marRight w:val="0"/>
      <w:marTop w:val="0"/>
      <w:marBottom w:val="0"/>
      <w:divBdr>
        <w:top w:val="none" w:sz="0" w:space="0" w:color="auto"/>
        <w:left w:val="none" w:sz="0" w:space="0" w:color="auto"/>
        <w:bottom w:val="none" w:sz="0" w:space="0" w:color="auto"/>
        <w:right w:val="none" w:sz="0" w:space="0" w:color="auto"/>
      </w:divBdr>
    </w:div>
    <w:div w:id="235819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energy/powerplan/6/supplycurves/I937/CouncilMethodology_outline%20_2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cleanenergy/documents/suca/cost-effectiveness.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2012-10-12T07:00:00+00:00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FC7939-D3D0-4F1D-8667-F3EB8209B040}"/>
</file>

<file path=customXml/itemProps2.xml><?xml version="1.0" encoding="utf-8"?>
<ds:datastoreItem xmlns:ds="http://schemas.openxmlformats.org/officeDocument/2006/customXml" ds:itemID="{2695612A-02CF-4ACE-B275-BBFC7EF8A05F}"/>
</file>

<file path=customXml/itemProps3.xml><?xml version="1.0" encoding="utf-8"?>
<ds:datastoreItem xmlns:ds="http://schemas.openxmlformats.org/officeDocument/2006/customXml" ds:itemID="{1405F0B1-CAE5-4763-B9F8-1B5C267B25C0}"/>
</file>

<file path=customXml/itemProps4.xml><?xml version="1.0" encoding="utf-8"?>
<ds:datastoreItem xmlns:ds="http://schemas.openxmlformats.org/officeDocument/2006/customXml" ds:itemID="{C70F3A1B-D908-460F-80D1-7D6C7D660F00}"/>
</file>

<file path=docProps/app.xml><?xml version="1.0" encoding="utf-8"?>
<Properties xmlns="http://schemas.openxmlformats.org/officeDocument/2006/extended-properties" xmlns:vt="http://schemas.openxmlformats.org/officeDocument/2006/docPropsVTypes">
  <Template>Normal_Wordconv.dotm</Template>
  <TotalTime>648</TotalTime>
  <Pages>18</Pages>
  <Words>4864</Words>
  <Characters>27729</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bwilhe</dc:creator>
  <cp:keywords/>
  <dc:description/>
  <cp:lastModifiedBy>eengle</cp:lastModifiedBy>
  <cp:revision>24</cp:revision>
  <cp:lastPrinted>2003-09-29T16:09:00Z</cp:lastPrinted>
  <dcterms:created xsi:type="dcterms:W3CDTF">2011-11-21T16:47:00Z</dcterms:created>
  <dcterms:modified xsi:type="dcterms:W3CDTF">2012-10-12T22:34:00Z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TC010178161033</vt:lpwstr>
  </property>
  <property fmtid="{D5CDD505-2E9C-101B-9397-08002B2CF9AE}" pid="3" name="ContentTypeId">
    <vt:lpwstr>0x0101006E56B4D1795A2E4DB2F0B01679ED314A00D569DF439E91CC498A0358A75D779F91</vt:lpwstr>
  </property>
  <property fmtid="{D5CDD505-2E9C-101B-9397-08002B2CF9AE}" pid="4" name="_docset_NoMedatataSyncRequired">
    <vt:lpwstr>False</vt:lpwstr>
  </property>
</Properties>
</file>