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4F" w:rsidRPr="001C0A44" w:rsidRDefault="00EA644F" w:rsidP="00F61777">
      <w:pPr>
        <w:spacing w:line="240" w:lineRule="auto"/>
        <w:rPr>
          <w:rFonts w:ascii="MS Reference Sans Serif" w:hAnsi="MS Reference Sans Serif" w:cs="Microsoft Sans Serif"/>
          <w:noProof/>
          <w:sz w:val="24"/>
          <w:szCs w:val="24"/>
        </w:rPr>
      </w:pPr>
    </w:p>
    <w:p w:rsidR="00EA644F" w:rsidRDefault="00EA644F" w:rsidP="00F61777">
      <w:pPr>
        <w:spacing w:line="240" w:lineRule="auto"/>
        <w:rPr>
          <w:rFonts w:ascii="MS Reference Sans Serif" w:hAnsi="MS Reference Sans Serif" w:cs="Microsoft Sans Serif"/>
          <w:sz w:val="72"/>
          <w:szCs w:val="72"/>
        </w:rPr>
      </w:pPr>
      <w:r>
        <w:rPr>
          <w:rFonts w:ascii="MS Reference Sans Serif" w:hAnsi="MS Reference Sans Serif" w:cs="Microsoft Sans Serif"/>
          <w:noProof/>
          <w:sz w:val="72"/>
          <w:szCs w:val="72"/>
          <w:lang w:bidi="ar-SA"/>
        </w:rPr>
        <w:drawing>
          <wp:anchor distT="0" distB="0" distL="114300" distR="114300" simplePos="0" relativeHeight="251663360" behindDoc="1" locked="0" layoutInCell="1" allowOverlap="1">
            <wp:simplePos x="0" y="0"/>
            <wp:positionH relativeFrom="column">
              <wp:posOffset>-3810</wp:posOffset>
            </wp:positionH>
            <wp:positionV relativeFrom="paragraph">
              <wp:posOffset>319405</wp:posOffset>
            </wp:positionV>
            <wp:extent cx="2771775" cy="1276350"/>
            <wp:effectExtent l="19050" t="0" r="9525" b="0"/>
            <wp:wrapTight wrapText="bothSides">
              <wp:wrapPolygon edited="0">
                <wp:start x="3266" y="322"/>
                <wp:lineTo x="3266" y="1612"/>
                <wp:lineTo x="5344" y="5481"/>
                <wp:lineTo x="5938" y="5481"/>
                <wp:lineTo x="4008" y="8704"/>
                <wp:lineTo x="4008" y="10639"/>
                <wp:lineTo x="5938" y="10639"/>
                <wp:lineTo x="3711" y="11928"/>
                <wp:lineTo x="-148" y="15152"/>
                <wp:lineTo x="-148" y="17409"/>
                <wp:lineTo x="4602" y="20955"/>
                <wp:lineTo x="6532" y="20955"/>
                <wp:lineTo x="15439" y="20955"/>
                <wp:lineTo x="17221" y="20955"/>
                <wp:lineTo x="21674" y="17409"/>
                <wp:lineTo x="21674" y="14830"/>
                <wp:lineTo x="17963" y="11928"/>
                <wp:lineTo x="14845" y="10639"/>
                <wp:lineTo x="17814" y="10639"/>
                <wp:lineTo x="17666" y="7415"/>
                <wp:lineTo x="13509" y="5481"/>
                <wp:lineTo x="15439" y="5481"/>
                <wp:lineTo x="18705" y="2257"/>
                <wp:lineTo x="18557" y="322"/>
                <wp:lineTo x="3266" y="322"/>
              </wp:wrapPolygon>
            </wp:wrapTight>
            <wp:docPr id="1" name="Picture 1" descr="UTC_Logo_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_Logo_2010.png"/>
                    <pic:cNvPicPr/>
                  </pic:nvPicPr>
                  <pic:blipFill>
                    <a:blip r:embed="rId8" cstate="print"/>
                    <a:stretch>
                      <a:fillRect/>
                    </a:stretch>
                  </pic:blipFill>
                  <pic:spPr>
                    <a:xfrm>
                      <a:off x="0" y="0"/>
                      <a:ext cx="2771775" cy="1276350"/>
                    </a:xfrm>
                    <a:prstGeom prst="rect">
                      <a:avLst/>
                    </a:prstGeom>
                  </pic:spPr>
                </pic:pic>
              </a:graphicData>
            </a:graphic>
          </wp:anchor>
        </w:drawing>
      </w:r>
    </w:p>
    <w:p w:rsidR="00EA644F" w:rsidRPr="00DB2BDA" w:rsidRDefault="00EA644F" w:rsidP="00F61777">
      <w:pPr>
        <w:spacing w:line="240" w:lineRule="auto"/>
        <w:rPr>
          <w:rFonts w:ascii="MS Reference Sans Serif" w:hAnsi="MS Reference Sans Serif" w:cs="Microsoft Sans Serif"/>
          <w:sz w:val="24"/>
          <w:szCs w:val="24"/>
        </w:rPr>
      </w:pPr>
    </w:p>
    <w:p w:rsidR="00EA644F" w:rsidRPr="00DB2BDA" w:rsidRDefault="00EA644F" w:rsidP="00F61777">
      <w:pPr>
        <w:spacing w:line="240" w:lineRule="auto"/>
        <w:rPr>
          <w:rFonts w:ascii="MS Reference Sans Serif" w:hAnsi="MS Reference Sans Serif" w:cs="Microsoft Sans Serif"/>
          <w:sz w:val="24"/>
          <w:szCs w:val="24"/>
        </w:rPr>
      </w:pPr>
    </w:p>
    <w:p w:rsidR="00EA644F" w:rsidRDefault="00EA644F" w:rsidP="00F61777">
      <w:pPr>
        <w:spacing w:line="240" w:lineRule="auto"/>
        <w:rPr>
          <w:rFonts w:ascii="MS Reference Sans Serif" w:hAnsi="MS Reference Sans Serif" w:cs="Microsoft Sans Serif"/>
          <w:sz w:val="72"/>
          <w:szCs w:val="72"/>
        </w:rPr>
      </w:pPr>
    </w:p>
    <w:p w:rsidR="00EA644F" w:rsidRDefault="00EA644F" w:rsidP="00F61777">
      <w:pPr>
        <w:spacing w:line="240" w:lineRule="auto"/>
        <w:rPr>
          <w:rFonts w:ascii="MS Reference Sans Serif" w:hAnsi="MS Reference Sans Serif" w:cs="Microsoft Sans Serif"/>
          <w:sz w:val="72"/>
          <w:szCs w:val="72"/>
        </w:rPr>
      </w:pPr>
      <w:r w:rsidRPr="00DB2BDA">
        <w:rPr>
          <w:rFonts w:ascii="MS Reference Sans Serif" w:hAnsi="MS Reference Sans Serif" w:cs="Microsoft Sans Serif"/>
          <w:sz w:val="72"/>
          <w:szCs w:val="72"/>
        </w:rPr>
        <w:t>Investigation Report</w:t>
      </w:r>
    </w:p>
    <w:p w:rsidR="00EA644F" w:rsidRDefault="00EA644F" w:rsidP="00F61777">
      <w:pPr>
        <w:spacing w:line="240" w:lineRule="auto"/>
        <w:rPr>
          <w:rFonts w:ascii="MS Reference Sans Serif" w:hAnsi="MS Reference Sans Serif" w:cs="Microsoft Sans Serif"/>
          <w:sz w:val="60"/>
          <w:szCs w:val="60"/>
        </w:rPr>
      </w:pPr>
      <w:r>
        <w:rPr>
          <w:rFonts w:ascii="MS Reference Sans Serif" w:hAnsi="MS Reference Sans Serif" w:cs="Microsoft Sans Serif"/>
          <w:sz w:val="60"/>
          <w:szCs w:val="60"/>
        </w:rPr>
        <w:t>Verizon Northwest, Inc.</w:t>
      </w:r>
    </w:p>
    <w:p w:rsidR="00EA644F" w:rsidRPr="001C0A44" w:rsidRDefault="00EA644F" w:rsidP="00F61777">
      <w:pPr>
        <w:spacing w:line="240" w:lineRule="auto"/>
        <w:rPr>
          <w:rFonts w:ascii="MS Reference Sans Serif" w:hAnsi="MS Reference Sans Serif" w:cs="Microsoft Sans Serif"/>
          <w:sz w:val="24"/>
          <w:szCs w:val="24"/>
        </w:rPr>
      </w:pPr>
    </w:p>
    <w:p w:rsidR="00EA644F" w:rsidRPr="001C0A44" w:rsidRDefault="009050F2" w:rsidP="00F61777">
      <w:pPr>
        <w:spacing w:line="240" w:lineRule="auto"/>
        <w:rPr>
          <w:rFonts w:ascii="MS Reference Sans Serif" w:hAnsi="MS Reference Sans Serif" w:cs="Microsoft Sans Serif"/>
          <w:sz w:val="30"/>
          <w:szCs w:val="30"/>
        </w:rPr>
      </w:pPr>
      <w:r>
        <w:rPr>
          <w:rFonts w:ascii="MS Reference Sans Serif" w:hAnsi="MS Reference Sans Serif" w:cs="Microsoft Sans Serif"/>
          <w:sz w:val="30"/>
          <w:szCs w:val="30"/>
        </w:rPr>
        <w:t xml:space="preserve">UT </w:t>
      </w:r>
      <w:r w:rsidR="00EA644F">
        <w:rPr>
          <w:rFonts w:ascii="MS Reference Sans Serif" w:hAnsi="MS Reference Sans Serif" w:cs="Microsoft Sans Serif"/>
          <w:sz w:val="30"/>
          <w:szCs w:val="30"/>
        </w:rPr>
        <w:t>090073</w:t>
      </w:r>
    </w:p>
    <w:p w:rsidR="00EA644F" w:rsidRDefault="00EA644F" w:rsidP="00F61777">
      <w:pPr>
        <w:spacing w:line="240" w:lineRule="auto"/>
        <w:rPr>
          <w:rFonts w:ascii="MS Reference Sans Serif" w:hAnsi="MS Reference Sans Serif" w:cs="Microsoft Sans Serif"/>
          <w:sz w:val="32"/>
          <w:szCs w:val="32"/>
        </w:rPr>
      </w:pPr>
    </w:p>
    <w:p w:rsidR="00EA644F" w:rsidRDefault="00EA644F" w:rsidP="00F61777">
      <w:pPr>
        <w:spacing w:line="240" w:lineRule="auto"/>
        <w:rPr>
          <w:rFonts w:ascii="MS Reference Sans Serif" w:hAnsi="MS Reference Sans Serif" w:cs="Microsoft Sans Serif"/>
          <w:sz w:val="32"/>
          <w:szCs w:val="32"/>
        </w:rPr>
      </w:pPr>
    </w:p>
    <w:p w:rsidR="00EA644F" w:rsidRDefault="00EA644F" w:rsidP="00F61777">
      <w:pPr>
        <w:spacing w:line="240" w:lineRule="auto"/>
        <w:rPr>
          <w:rFonts w:ascii="MS Reference Sans Serif" w:hAnsi="MS Reference Sans Serif" w:cs="Microsoft Sans Serif"/>
          <w:sz w:val="32"/>
          <w:szCs w:val="32"/>
        </w:rPr>
      </w:pPr>
    </w:p>
    <w:p w:rsidR="00EA644F" w:rsidRDefault="00EA644F" w:rsidP="00F61777">
      <w:pPr>
        <w:spacing w:line="240" w:lineRule="auto"/>
        <w:rPr>
          <w:rFonts w:ascii="MS Reference Sans Serif" w:hAnsi="MS Reference Sans Serif" w:cs="Microsoft Sans Serif"/>
          <w:sz w:val="32"/>
          <w:szCs w:val="32"/>
        </w:rPr>
      </w:pPr>
    </w:p>
    <w:p w:rsidR="00EA644F" w:rsidRPr="001C0A44" w:rsidRDefault="00EA644F" w:rsidP="00F61777">
      <w:pPr>
        <w:spacing w:line="240" w:lineRule="auto"/>
        <w:rPr>
          <w:rFonts w:ascii="MS Reference Sans Serif" w:hAnsi="MS Reference Sans Serif" w:cs="Microsoft Sans Serif"/>
          <w:sz w:val="30"/>
          <w:szCs w:val="30"/>
        </w:rPr>
      </w:pPr>
      <w:r w:rsidRPr="00DB2BDA">
        <w:rPr>
          <w:rFonts w:ascii="MS Reference Sans Serif" w:hAnsi="MS Reference Sans Serif" w:cs="Microsoft Sans Serif"/>
          <w:sz w:val="32"/>
          <w:szCs w:val="32"/>
        </w:rPr>
        <w:cr/>
      </w:r>
      <w:r>
        <w:rPr>
          <w:rFonts w:ascii="MS Reference Sans Serif" w:hAnsi="MS Reference Sans Serif" w:cs="Microsoft Sans Serif"/>
          <w:sz w:val="30"/>
          <w:szCs w:val="30"/>
        </w:rPr>
        <w:t>Travis Yonker</w:t>
      </w:r>
      <w:r w:rsidRPr="001C0A44">
        <w:rPr>
          <w:rFonts w:ascii="MS Reference Sans Serif" w:hAnsi="MS Reference Sans Serif" w:cs="Microsoft Sans Serif"/>
          <w:sz w:val="30"/>
          <w:szCs w:val="30"/>
        </w:rPr>
        <w:cr/>
        <w:t>Compliance Investigations</w:t>
      </w:r>
      <w:r w:rsidRPr="001C0A44">
        <w:rPr>
          <w:rFonts w:ascii="MS Reference Sans Serif" w:hAnsi="MS Reference Sans Serif" w:cs="Microsoft Sans Serif"/>
          <w:sz w:val="30"/>
          <w:szCs w:val="30"/>
        </w:rPr>
        <w:cr/>
      </w:r>
    </w:p>
    <w:p w:rsidR="00CA45F5" w:rsidRDefault="00EA644F" w:rsidP="00F61777">
      <w:pPr>
        <w:spacing w:line="240" w:lineRule="auto"/>
        <w:rPr>
          <w:rFonts w:ascii="MS Reference Sans Serif" w:hAnsi="MS Reference Sans Serif" w:cs="Microsoft Sans Serif"/>
          <w:sz w:val="30"/>
          <w:szCs w:val="30"/>
        </w:rPr>
        <w:sectPr w:rsidR="00CA45F5" w:rsidSect="00CA45F5">
          <w:footerReference w:type="default" r:id="rId9"/>
          <w:pgSz w:w="12240" w:h="15840"/>
          <w:pgMar w:top="1440" w:right="1440" w:bottom="1440" w:left="1440" w:header="720" w:footer="720" w:gutter="0"/>
          <w:cols w:space="720"/>
          <w:titlePg/>
          <w:docGrid w:linePitch="360"/>
        </w:sectPr>
      </w:pPr>
      <w:r>
        <w:rPr>
          <w:rFonts w:ascii="MS Reference Sans Serif" w:hAnsi="MS Reference Sans Serif" w:cs="Microsoft Sans Serif"/>
          <w:sz w:val="30"/>
          <w:szCs w:val="30"/>
        </w:rPr>
        <w:t>April 26, 2010</w:t>
      </w:r>
      <w:r w:rsidRPr="001C0A44">
        <w:rPr>
          <w:rFonts w:ascii="MS Reference Sans Serif" w:hAnsi="MS Reference Sans Serif" w:cs="Microsoft Sans Serif"/>
          <w:sz w:val="30"/>
          <w:szCs w:val="30"/>
        </w:rPr>
        <w:cr/>
      </w:r>
    </w:p>
    <w:p w:rsidR="00EA644F" w:rsidRPr="001C0A44" w:rsidRDefault="00EA644F" w:rsidP="00F61777">
      <w:pPr>
        <w:spacing w:line="240" w:lineRule="auto"/>
        <w:rPr>
          <w:rFonts w:ascii="MS Reference Sans Serif" w:hAnsi="MS Reference Sans Serif" w:cs="Microsoft Sans Serif"/>
          <w:sz w:val="30"/>
          <w:szCs w:val="30"/>
        </w:rPr>
      </w:pPr>
    </w:p>
    <w:p w:rsidR="00193664" w:rsidRPr="00193664" w:rsidRDefault="00193664" w:rsidP="00F61777">
      <w:pPr>
        <w:pStyle w:val="NoSpacing"/>
        <w:jc w:val="center"/>
        <w:rPr>
          <w:b/>
          <w:szCs w:val="24"/>
        </w:rPr>
      </w:pPr>
      <w:r w:rsidRPr="00193664">
        <w:rPr>
          <w:b/>
          <w:szCs w:val="24"/>
        </w:rPr>
        <w:t>TABLE OF CONTENTS</w:t>
      </w:r>
    </w:p>
    <w:p w:rsidR="00193664" w:rsidRPr="00193664" w:rsidRDefault="00193664" w:rsidP="00F61777">
      <w:pPr>
        <w:pStyle w:val="NoSpacing"/>
        <w:rPr>
          <w:szCs w:val="24"/>
        </w:rPr>
      </w:pPr>
    </w:p>
    <w:p w:rsidR="00193664" w:rsidRPr="00193664" w:rsidRDefault="00193664" w:rsidP="00F61777">
      <w:pPr>
        <w:pStyle w:val="NoSpacing"/>
        <w:rPr>
          <w:szCs w:val="24"/>
        </w:rPr>
      </w:pPr>
    </w:p>
    <w:p w:rsidR="00193664" w:rsidRPr="00193664" w:rsidRDefault="00193664" w:rsidP="00F61777">
      <w:pPr>
        <w:pStyle w:val="NoSpacing"/>
        <w:rPr>
          <w:szCs w:val="24"/>
        </w:rPr>
      </w:pPr>
      <w:r w:rsidRPr="00193664">
        <w:rPr>
          <w:b/>
          <w:szCs w:val="24"/>
        </w:rPr>
        <w:t>Section</w:t>
      </w:r>
      <w:r w:rsidRPr="00193664">
        <w:rPr>
          <w:szCs w:val="24"/>
        </w:rPr>
        <w:tab/>
      </w:r>
      <w:r w:rsidRPr="00193664">
        <w:rPr>
          <w:szCs w:val="24"/>
        </w:rPr>
        <w:tab/>
      </w:r>
      <w:r w:rsidRPr="00193664">
        <w:rPr>
          <w:szCs w:val="24"/>
        </w:rPr>
        <w:tab/>
      </w:r>
      <w:r w:rsidRPr="00193664">
        <w:rPr>
          <w:szCs w:val="24"/>
        </w:rPr>
        <w:tab/>
      </w:r>
      <w:r w:rsidRPr="00193664">
        <w:rPr>
          <w:szCs w:val="24"/>
        </w:rPr>
        <w:tab/>
      </w:r>
      <w:r w:rsidRPr="00193664">
        <w:rPr>
          <w:szCs w:val="24"/>
        </w:rPr>
        <w:tab/>
      </w:r>
      <w:r w:rsidRPr="00193664">
        <w:rPr>
          <w:szCs w:val="24"/>
        </w:rPr>
        <w:tab/>
        <w:t xml:space="preserve">      </w:t>
      </w:r>
      <w:r w:rsidRPr="00193664">
        <w:rPr>
          <w:szCs w:val="24"/>
        </w:rPr>
        <w:tab/>
      </w:r>
      <w:r w:rsidRPr="00193664">
        <w:rPr>
          <w:szCs w:val="24"/>
        </w:rPr>
        <w:tab/>
      </w:r>
      <w:r w:rsidRPr="00193664">
        <w:rPr>
          <w:szCs w:val="24"/>
        </w:rPr>
        <w:tab/>
        <w:t xml:space="preserve">      </w:t>
      </w:r>
      <w:r w:rsidRPr="00193664">
        <w:rPr>
          <w:b/>
          <w:szCs w:val="24"/>
        </w:rPr>
        <w:t>Page</w:t>
      </w:r>
    </w:p>
    <w:p w:rsidR="00193664" w:rsidRPr="00193664" w:rsidRDefault="00193664" w:rsidP="00F61777">
      <w:pPr>
        <w:pStyle w:val="NoSpacing"/>
        <w:rPr>
          <w:szCs w:val="24"/>
        </w:rPr>
      </w:pPr>
    </w:p>
    <w:p w:rsidR="00193664" w:rsidRPr="00193664" w:rsidRDefault="00F5094A" w:rsidP="00F61777">
      <w:pPr>
        <w:pStyle w:val="NoSpacing"/>
        <w:tabs>
          <w:tab w:val="right" w:leader="dot" w:pos="8640"/>
          <w:tab w:val="right" w:leader="dot" w:pos="9360"/>
        </w:tabs>
        <w:rPr>
          <w:szCs w:val="24"/>
        </w:rPr>
      </w:pPr>
      <w:r>
        <w:rPr>
          <w:szCs w:val="24"/>
        </w:rPr>
        <w:t xml:space="preserve">Purpose, </w:t>
      </w:r>
      <w:r w:rsidR="00CA45F5">
        <w:rPr>
          <w:szCs w:val="24"/>
        </w:rPr>
        <w:t>Scope and Authority</w:t>
      </w:r>
      <w:r w:rsidR="00CA45F5">
        <w:rPr>
          <w:szCs w:val="24"/>
        </w:rPr>
        <w:tab/>
        <w:t>2</w:t>
      </w:r>
    </w:p>
    <w:p w:rsidR="00193664" w:rsidRPr="00193664" w:rsidRDefault="00193664" w:rsidP="00F61777">
      <w:pPr>
        <w:pStyle w:val="NoSpacing"/>
        <w:tabs>
          <w:tab w:val="right" w:leader="dot" w:pos="8640"/>
        </w:tabs>
        <w:rPr>
          <w:szCs w:val="24"/>
        </w:rPr>
      </w:pPr>
    </w:p>
    <w:p w:rsidR="00193664" w:rsidRPr="00193664" w:rsidRDefault="00CA45F5" w:rsidP="00F61777">
      <w:pPr>
        <w:pStyle w:val="NoSpacing"/>
        <w:tabs>
          <w:tab w:val="right" w:leader="dot" w:pos="8640"/>
        </w:tabs>
        <w:rPr>
          <w:szCs w:val="24"/>
        </w:rPr>
      </w:pPr>
      <w:r>
        <w:rPr>
          <w:szCs w:val="24"/>
        </w:rPr>
        <w:t>Executive Summary</w:t>
      </w:r>
      <w:r>
        <w:rPr>
          <w:szCs w:val="24"/>
        </w:rPr>
        <w:tab/>
        <w:t>3</w:t>
      </w:r>
    </w:p>
    <w:p w:rsidR="00193664" w:rsidRPr="00193664" w:rsidRDefault="00193664" w:rsidP="00F61777">
      <w:pPr>
        <w:pStyle w:val="NoSpacing"/>
        <w:tabs>
          <w:tab w:val="right" w:leader="dot" w:pos="8640"/>
        </w:tabs>
        <w:rPr>
          <w:szCs w:val="24"/>
        </w:rPr>
      </w:pPr>
    </w:p>
    <w:p w:rsidR="00193664" w:rsidRPr="00193664" w:rsidRDefault="00CA45F5" w:rsidP="00F61777">
      <w:pPr>
        <w:pStyle w:val="NoSpacing"/>
        <w:tabs>
          <w:tab w:val="right" w:leader="dot" w:pos="8640"/>
        </w:tabs>
        <w:rPr>
          <w:szCs w:val="24"/>
        </w:rPr>
      </w:pPr>
      <w:r>
        <w:rPr>
          <w:szCs w:val="24"/>
        </w:rPr>
        <w:t>Background</w:t>
      </w:r>
      <w:r>
        <w:rPr>
          <w:szCs w:val="24"/>
        </w:rPr>
        <w:tab/>
        <w:t>4</w:t>
      </w:r>
    </w:p>
    <w:p w:rsidR="00193664" w:rsidRPr="00193664" w:rsidRDefault="00193664" w:rsidP="00F61777">
      <w:pPr>
        <w:pStyle w:val="NoSpacing"/>
        <w:tabs>
          <w:tab w:val="right" w:leader="dot" w:pos="8640"/>
        </w:tabs>
        <w:rPr>
          <w:szCs w:val="24"/>
        </w:rPr>
      </w:pPr>
    </w:p>
    <w:p w:rsidR="00193664" w:rsidRPr="00193664" w:rsidRDefault="00193664" w:rsidP="00F61777">
      <w:pPr>
        <w:pStyle w:val="NoSpacing"/>
        <w:tabs>
          <w:tab w:val="right" w:leader="dot" w:pos="8640"/>
        </w:tabs>
        <w:rPr>
          <w:szCs w:val="24"/>
        </w:rPr>
      </w:pPr>
      <w:r w:rsidRPr="00193664">
        <w:rPr>
          <w:szCs w:val="24"/>
        </w:rPr>
        <w:t>Findings</w:t>
      </w:r>
      <w:r w:rsidR="00D17605">
        <w:rPr>
          <w:szCs w:val="24"/>
        </w:rPr>
        <w:t xml:space="preserve"> and </w:t>
      </w:r>
      <w:r w:rsidRPr="00193664">
        <w:rPr>
          <w:szCs w:val="24"/>
        </w:rPr>
        <w:t xml:space="preserve">Results – </w:t>
      </w:r>
      <w:r w:rsidR="00D17605">
        <w:rPr>
          <w:szCs w:val="24"/>
        </w:rPr>
        <w:t>Washington Telephone Assistance Program</w:t>
      </w:r>
      <w:r w:rsidR="00CA45F5">
        <w:rPr>
          <w:szCs w:val="24"/>
        </w:rPr>
        <w:tab/>
        <w:t>5</w:t>
      </w:r>
    </w:p>
    <w:p w:rsidR="00193664" w:rsidRPr="00193664" w:rsidRDefault="00193664" w:rsidP="00F61777">
      <w:pPr>
        <w:pStyle w:val="NoSpacing"/>
        <w:tabs>
          <w:tab w:val="right" w:leader="dot" w:pos="8640"/>
        </w:tabs>
        <w:rPr>
          <w:szCs w:val="24"/>
        </w:rPr>
      </w:pPr>
    </w:p>
    <w:p w:rsidR="00193664" w:rsidRDefault="00193664" w:rsidP="00F61777">
      <w:pPr>
        <w:pStyle w:val="NoSpacing"/>
        <w:tabs>
          <w:tab w:val="right" w:leader="dot" w:pos="8640"/>
        </w:tabs>
        <w:rPr>
          <w:szCs w:val="24"/>
        </w:rPr>
      </w:pPr>
      <w:r w:rsidRPr="00193664">
        <w:rPr>
          <w:szCs w:val="24"/>
        </w:rPr>
        <w:t>Findings</w:t>
      </w:r>
      <w:r w:rsidR="00D17605">
        <w:rPr>
          <w:szCs w:val="24"/>
        </w:rPr>
        <w:t xml:space="preserve"> </w:t>
      </w:r>
      <w:r w:rsidRPr="00193664">
        <w:rPr>
          <w:szCs w:val="24"/>
        </w:rPr>
        <w:t xml:space="preserve">and Results – </w:t>
      </w:r>
      <w:r w:rsidR="00D17605">
        <w:rPr>
          <w:szCs w:val="24"/>
        </w:rPr>
        <w:t>City Taxes</w:t>
      </w:r>
      <w:r w:rsidR="00CA45F5">
        <w:rPr>
          <w:szCs w:val="24"/>
        </w:rPr>
        <w:tab/>
        <w:t>9</w:t>
      </w:r>
    </w:p>
    <w:p w:rsidR="00CA45F5" w:rsidRDefault="00CA45F5" w:rsidP="00F61777">
      <w:pPr>
        <w:pStyle w:val="NoSpacing"/>
        <w:tabs>
          <w:tab w:val="right" w:leader="dot" w:pos="8640"/>
        </w:tabs>
        <w:rPr>
          <w:szCs w:val="24"/>
        </w:rPr>
      </w:pPr>
    </w:p>
    <w:p w:rsidR="00CA45F5" w:rsidRPr="00193664" w:rsidRDefault="00CA45F5" w:rsidP="00F61777">
      <w:pPr>
        <w:pStyle w:val="NoSpacing"/>
        <w:tabs>
          <w:tab w:val="right" w:leader="dot" w:pos="8640"/>
        </w:tabs>
        <w:jc w:val="both"/>
        <w:rPr>
          <w:szCs w:val="24"/>
        </w:rPr>
      </w:pPr>
      <w:r>
        <w:rPr>
          <w:szCs w:val="24"/>
        </w:rPr>
        <w:t>Settlement Agreement</w:t>
      </w:r>
      <w:r>
        <w:rPr>
          <w:szCs w:val="24"/>
        </w:rPr>
        <w:tab/>
        <w:t>Appendix A</w:t>
      </w:r>
    </w:p>
    <w:p w:rsidR="00193664" w:rsidRPr="00193664" w:rsidRDefault="00193664" w:rsidP="00F61777">
      <w:pPr>
        <w:pStyle w:val="NoSpacing"/>
        <w:tabs>
          <w:tab w:val="right" w:leader="dot" w:pos="8640"/>
        </w:tabs>
        <w:rPr>
          <w:szCs w:val="24"/>
        </w:rPr>
      </w:pPr>
    </w:p>
    <w:p w:rsidR="00193664" w:rsidRPr="00193664" w:rsidRDefault="00193664" w:rsidP="00F61777">
      <w:pPr>
        <w:spacing w:line="240" w:lineRule="auto"/>
        <w:rPr>
          <w:rFonts w:ascii="Times New Roman" w:hAnsi="Times New Roman"/>
          <w:sz w:val="24"/>
          <w:szCs w:val="24"/>
        </w:rPr>
      </w:pPr>
      <w:r w:rsidRPr="00193664">
        <w:rPr>
          <w:rFonts w:ascii="Times New Roman" w:hAnsi="Times New Roman"/>
          <w:sz w:val="24"/>
          <w:szCs w:val="24"/>
        </w:rPr>
        <w:br w:type="page"/>
      </w:r>
    </w:p>
    <w:p w:rsidR="00050115" w:rsidRDefault="00193664" w:rsidP="00F61777">
      <w:pPr>
        <w:spacing w:line="240" w:lineRule="auto"/>
        <w:jc w:val="center"/>
        <w:rPr>
          <w:rFonts w:ascii="Times New Roman" w:hAnsi="Times New Roman"/>
          <w:b/>
          <w:sz w:val="24"/>
          <w:szCs w:val="24"/>
        </w:rPr>
      </w:pPr>
      <w:r>
        <w:rPr>
          <w:rFonts w:ascii="Times New Roman" w:hAnsi="Times New Roman"/>
          <w:b/>
          <w:sz w:val="24"/>
          <w:szCs w:val="24"/>
        </w:rPr>
        <w:lastRenderedPageBreak/>
        <w:t>PURPOSE, SCOPE, AND AUTHORITY</w:t>
      </w:r>
    </w:p>
    <w:p w:rsidR="00193664" w:rsidRDefault="00193664" w:rsidP="00F61777">
      <w:pPr>
        <w:spacing w:after="0" w:line="240" w:lineRule="auto"/>
        <w:rPr>
          <w:rFonts w:ascii="Times New Roman" w:hAnsi="Times New Roman"/>
          <w:b/>
          <w:sz w:val="24"/>
          <w:szCs w:val="24"/>
        </w:rPr>
      </w:pPr>
      <w:r>
        <w:rPr>
          <w:rFonts w:ascii="Times New Roman" w:hAnsi="Times New Roman"/>
          <w:b/>
          <w:sz w:val="24"/>
          <w:szCs w:val="24"/>
        </w:rPr>
        <w:t>Purpose</w:t>
      </w:r>
    </w:p>
    <w:p w:rsidR="00193664" w:rsidRDefault="005A4011" w:rsidP="00F61777">
      <w:pPr>
        <w:spacing w:after="0" w:line="240" w:lineRule="auto"/>
        <w:rPr>
          <w:rFonts w:ascii="Times New Roman" w:hAnsi="Times New Roman"/>
          <w:sz w:val="24"/>
          <w:szCs w:val="24"/>
        </w:rPr>
      </w:pPr>
      <w:r>
        <w:rPr>
          <w:rFonts w:ascii="Times New Roman" w:hAnsi="Times New Roman"/>
          <w:sz w:val="24"/>
          <w:szCs w:val="24"/>
        </w:rPr>
        <w:t>In Docket UT-090073, staff and Verizon</w:t>
      </w:r>
      <w:r w:rsidR="00DD62B8">
        <w:rPr>
          <w:rFonts w:ascii="Times New Roman" w:hAnsi="Times New Roman"/>
          <w:sz w:val="24"/>
          <w:szCs w:val="24"/>
        </w:rPr>
        <w:t xml:space="preserve"> Northwest, Inc. (Verizon)</w:t>
      </w:r>
      <w:r>
        <w:rPr>
          <w:rFonts w:ascii="Times New Roman" w:hAnsi="Times New Roman"/>
          <w:sz w:val="24"/>
          <w:szCs w:val="24"/>
        </w:rPr>
        <w:t xml:space="preserve"> entered into a settlement agreement accepted by the commission on September 10, 2009. Par</w:t>
      </w:r>
      <w:r w:rsidR="00F61777">
        <w:rPr>
          <w:rFonts w:ascii="Times New Roman" w:hAnsi="Times New Roman"/>
          <w:sz w:val="24"/>
          <w:szCs w:val="24"/>
        </w:rPr>
        <w:t xml:space="preserve">t of that agreement </w:t>
      </w:r>
      <w:r>
        <w:rPr>
          <w:rFonts w:ascii="Times New Roman" w:hAnsi="Times New Roman"/>
          <w:sz w:val="24"/>
          <w:szCs w:val="24"/>
        </w:rPr>
        <w:t>require</w:t>
      </w:r>
      <w:r w:rsidR="00A82CDD">
        <w:rPr>
          <w:rFonts w:ascii="Times New Roman" w:hAnsi="Times New Roman"/>
          <w:sz w:val="24"/>
          <w:szCs w:val="24"/>
        </w:rPr>
        <w:t>d Utilities and Transportation Commission</w:t>
      </w:r>
      <w:r>
        <w:rPr>
          <w:rFonts w:ascii="Times New Roman" w:hAnsi="Times New Roman"/>
          <w:sz w:val="24"/>
          <w:szCs w:val="24"/>
        </w:rPr>
        <w:t xml:space="preserve"> staff to conduct a follow-up </w:t>
      </w:r>
      <w:r w:rsidR="00B26E90">
        <w:rPr>
          <w:rFonts w:ascii="Times New Roman" w:hAnsi="Times New Roman"/>
          <w:sz w:val="24"/>
          <w:szCs w:val="24"/>
        </w:rPr>
        <w:t>investigation</w:t>
      </w:r>
      <w:r>
        <w:rPr>
          <w:rFonts w:ascii="Times New Roman" w:hAnsi="Times New Roman"/>
          <w:sz w:val="24"/>
          <w:szCs w:val="24"/>
        </w:rPr>
        <w:t xml:space="preserve"> in March </w:t>
      </w:r>
      <w:r w:rsidR="0037482D">
        <w:rPr>
          <w:rFonts w:ascii="Times New Roman" w:hAnsi="Times New Roman"/>
          <w:sz w:val="24"/>
          <w:szCs w:val="24"/>
        </w:rPr>
        <w:t>2010</w:t>
      </w:r>
      <w:r>
        <w:rPr>
          <w:rFonts w:ascii="Times New Roman" w:hAnsi="Times New Roman"/>
          <w:sz w:val="24"/>
          <w:szCs w:val="24"/>
        </w:rPr>
        <w:t xml:space="preserve">, to be concluded within 60 days. This document reports the results of the follow-up investigation. </w:t>
      </w:r>
      <w:r w:rsidR="00AA7D96">
        <w:rPr>
          <w:rFonts w:ascii="Times New Roman" w:hAnsi="Times New Roman"/>
          <w:sz w:val="24"/>
          <w:szCs w:val="24"/>
        </w:rPr>
        <w:t xml:space="preserve">Its purpose </w:t>
      </w:r>
      <w:r w:rsidR="00193664">
        <w:rPr>
          <w:rFonts w:ascii="Times New Roman" w:hAnsi="Times New Roman"/>
          <w:sz w:val="24"/>
          <w:szCs w:val="24"/>
        </w:rPr>
        <w:t>is to determine if Ve</w:t>
      </w:r>
      <w:r w:rsidR="00DD62B8">
        <w:rPr>
          <w:rFonts w:ascii="Times New Roman" w:hAnsi="Times New Roman"/>
          <w:sz w:val="24"/>
          <w:szCs w:val="24"/>
        </w:rPr>
        <w:t xml:space="preserve">rizon </w:t>
      </w:r>
      <w:r w:rsidR="00193664">
        <w:rPr>
          <w:rFonts w:ascii="Times New Roman" w:hAnsi="Times New Roman"/>
          <w:sz w:val="24"/>
          <w:szCs w:val="24"/>
        </w:rPr>
        <w:t>has complied with the terms of the settlement agreement</w:t>
      </w:r>
      <w:r w:rsidR="00B26E90">
        <w:rPr>
          <w:rFonts w:ascii="Times New Roman" w:hAnsi="Times New Roman"/>
          <w:sz w:val="24"/>
          <w:szCs w:val="24"/>
        </w:rPr>
        <w:t>, specifically regarding cu</w:t>
      </w:r>
      <w:r w:rsidR="00DD62B8">
        <w:rPr>
          <w:rFonts w:ascii="Times New Roman" w:hAnsi="Times New Roman"/>
          <w:sz w:val="24"/>
          <w:szCs w:val="24"/>
        </w:rPr>
        <w:t xml:space="preserve">stomer </w:t>
      </w:r>
      <w:r w:rsidR="00B26E90">
        <w:rPr>
          <w:rFonts w:ascii="Times New Roman" w:hAnsi="Times New Roman"/>
          <w:sz w:val="24"/>
          <w:szCs w:val="24"/>
        </w:rPr>
        <w:t>charges for the Washington Telephone Assistance Program</w:t>
      </w:r>
      <w:r w:rsidR="00DD62B8">
        <w:rPr>
          <w:rFonts w:ascii="Times New Roman" w:hAnsi="Times New Roman"/>
          <w:sz w:val="24"/>
          <w:szCs w:val="24"/>
        </w:rPr>
        <w:t xml:space="preserve"> (WTAP) and charges for city taxes</w:t>
      </w:r>
      <w:r w:rsidR="00B26E90">
        <w:rPr>
          <w:rFonts w:ascii="Times New Roman" w:hAnsi="Times New Roman"/>
          <w:sz w:val="24"/>
          <w:szCs w:val="24"/>
        </w:rPr>
        <w:t>, as directed by the commission</w:t>
      </w:r>
      <w:r w:rsidR="00AA7D96">
        <w:rPr>
          <w:rFonts w:ascii="Times New Roman" w:hAnsi="Times New Roman"/>
          <w:sz w:val="24"/>
          <w:szCs w:val="24"/>
        </w:rPr>
        <w:t>.</w:t>
      </w:r>
    </w:p>
    <w:p w:rsidR="00193664" w:rsidRDefault="00193664" w:rsidP="00F61777">
      <w:pPr>
        <w:spacing w:after="0" w:line="240" w:lineRule="auto"/>
        <w:rPr>
          <w:rFonts w:ascii="Times New Roman" w:hAnsi="Times New Roman"/>
          <w:sz w:val="24"/>
          <w:szCs w:val="24"/>
        </w:rPr>
      </w:pPr>
    </w:p>
    <w:p w:rsidR="00193664" w:rsidRDefault="00193664" w:rsidP="00F61777">
      <w:pPr>
        <w:spacing w:after="0" w:line="240" w:lineRule="auto"/>
        <w:rPr>
          <w:rFonts w:ascii="Times New Roman" w:hAnsi="Times New Roman"/>
          <w:b/>
          <w:sz w:val="24"/>
          <w:szCs w:val="24"/>
        </w:rPr>
      </w:pPr>
      <w:r>
        <w:rPr>
          <w:rFonts w:ascii="Times New Roman" w:hAnsi="Times New Roman"/>
          <w:b/>
          <w:sz w:val="24"/>
          <w:szCs w:val="24"/>
        </w:rPr>
        <w:t>Scope</w:t>
      </w:r>
    </w:p>
    <w:p w:rsidR="00193664" w:rsidRDefault="00193664" w:rsidP="00F61777">
      <w:pPr>
        <w:spacing w:after="0" w:line="240" w:lineRule="auto"/>
        <w:rPr>
          <w:rFonts w:ascii="Times New Roman" w:hAnsi="Times New Roman"/>
          <w:sz w:val="24"/>
          <w:szCs w:val="24"/>
        </w:rPr>
      </w:pPr>
      <w:r>
        <w:rPr>
          <w:rFonts w:ascii="Times New Roman" w:hAnsi="Times New Roman"/>
          <w:sz w:val="24"/>
          <w:szCs w:val="24"/>
        </w:rPr>
        <w:t xml:space="preserve">The scope of this investigation includes all information </w:t>
      </w:r>
      <w:r w:rsidR="0037482D">
        <w:rPr>
          <w:rFonts w:ascii="Times New Roman" w:hAnsi="Times New Roman"/>
          <w:sz w:val="24"/>
          <w:szCs w:val="24"/>
        </w:rPr>
        <w:t xml:space="preserve">and documentation </w:t>
      </w:r>
      <w:r>
        <w:rPr>
          <w:rFonts w:ascii="Times New Roman" w:hAnsi="Times New Roman"/>
          <w:sz w:val="24"/>
          <w:szCs w:val="24"/>
        </w:rPr>
        <w:t>Verizon provided to the commission pursuant to the settlement agreement. In addition, staff evaluated Verizon’s business practices as reflected in consumer complaints received by the commission between September 1, 2009, and April 1, 2010.</w:t>
      </w:r>
    </w:p>
    <w:p w:rsidR="00193664" w:rsidRDefault="00193664" w:rsidP="00F61777">
      <w:pPr>
        <w:spacing w:after="0" w:line="240" w:lineRule="auto"/>
        <w:rPr>
          <w:rFonts w:ascii="Times New Roman" w:hAnsi="Times New Roman"/>
          <w:sz w:val="24"/>
          <w:szCs w:val="24"/>
        </w:rPr>
      </w:pPr>
    </w:p>
    <w:p w:rsidR="00193664" w:rsidRDefault="00193664" w:rsidP="00F61777">
      <w:pPr>
        <w:spacing w:after="0" w:line="240" w:lineRule="auto"/>
        <w:rPr>
          <w:rFonts w:ascii="Times New Roman" w:hAnsi="Times New Roman"/>
          <w:b/>
          <w:sz w:val="24"/>
          <w:szCs w:val="24"/>
        </w:rPr>
      </w:pPr>
      <w:r>
        <w:rPr>
          <w:rFonts w:ascii="Times New Roman" w:hAnsi="Times New Roman"/>
          <w:b/>
          <w:sz w:val="24"/>
          <w:szCs w:val="24"/>
        </w:rPr>
        <w:t>Authority</w:t>
      </w:r>
    </w:p>
    <w:p w:rsidR="00193664" w:rsidRDefault="00F61777" w:rsidP="00F61777">
      <w:pPr>
        <w:spacing w:after="0" w:line="240" w:lineRule="auto"/>
        <w:rPr>
          <w:rFonts w:ascii="Times New Roman" w:hAnsi="Times New Roman"/>
          <w:sz w:val="24"/>
          <w:szCs w:val="24"/>
        </w:rPr>
      </w:pPr>
      <w:r>
        <w:rPr>
          <w:rFonts w:ascii="Times New Roman" w:hAnsi="Times New Roman"/>
          <w:sz w:val="24"/>
          <w:szCs w:val="24"/>
        </w:rPr>
        <w:t>Staff conducted</w:t>
      </w:r>
      <w:r w:rsidR="00193664">
        <w:rPr>
          <w:rFonts w:ascii="Times New Roman" w:hAnsi="Times New Roman"/>
          <w:sz w:val="24"/>
          <w:szCs w:val="24"/>
        </w:rPr>
        <w:t xml:space="preserve"> this investigation pursuant to Revised Code of Washington (RCW) 80.01.040(3). In addition, RCW 80.04.070 grants the commission specific authority to conduct such an investigation.</w:t>
      </w:r>
    </w:p>
    <w:p w:rsidR="00193664" w:rsidRDefault="00193664" w:rsidP="00F61777">
      <w:pPr>
        <w:spacing w:after="0" w:line="240" w:lineRule="auto"/>
        <w:rPr>
          <w:rFonts w:ascii="Times New Roman" w:hAnsi="Times New Roman"/>
          <w:sz w:val="24"/>
          <w:szCs w:val="24"/>
        </w:rPr>
      </w:pPr>
    </w:p>
    <w:p w:rsidR="00193664" w:rsidRDefault="00193664" w:rsidP="00F61777">
      <w:pPr>
        <w:spacing w:after="0" w:line="240" w:lineRule="auto"/>
        <w:rPr>
          <w:rFonts w:ascii="Times New Roman" w:hAnsi="Times New Roman"/>
          <w:b/>
          <w:sz w:val="24"/>
          <w:szCs w:val="24"/>
        </w:rPr>
      </w:pPr>
      <w:r>
        <w:rPr>
          <w:rFonts w:ascii="Times New Roman" w:hAnsi="Times New Roman"/>
          <w:b/>
          <w:sz w:val="24"/>
          <w:szCs w:val="24"/>
        </w:rPr>
        <w:t>Investigation Staff</w:t>
      </w:r>
    </w:p>
    <w:p w:rsidR="00193664" w:rsidRDefault="00F61777" w:rsidP="00F61777">
      <w:pPr>
        <w:spacing w:after="0" w:line="240" w:lineRule="auto"/>
        <w:rPr>
          <w:rFonts w:ascii="Times New Roman" w:hAnsi="Times New Roman"/>
          <w:sz w:val="24"/>
          <w:szCs w:val="24"/>
        </w:rPr>
      </w:pPr>
      <w:r>
        <w:rPr>
          <w:rFonts w:ascii="Times New Roman" w:hAnsi="Times New Roman"/>
          <w:sz w:val="24"/>
          <w:szCs w:val="24"/>
        </w:rPr>
        <w:t xml:space="preserve">Travis Yonker, </w:t>
      </w:r>
      <w:r w:rsidR="00193664">
        <w:rPr>
          <w:rFonts w:ascii="Times New Roman" w:hAnsi="Times New Roman"/>
          <w:sz w:val="24"/>
          <w:szCs w:val="24"/>
        </w:rPr>
        <w:t>Compliance Investigator</w:t>
      </w:r>
    </w:p>
    <w:p w:rsidR="00193664" w:rsidRDefault="00AA7D96" w:rsidP="00F61777">
      <w:pPr>
        <w:spacing w:after="0" w:line="240" w:lineRule="auto"/>
        <w:rPr>
          <w:rFonts w:ascii="Times New Roman" w:hAnsi="Times New Roman"/>
          <w:sz w:val="24"/>
          <w:szCs w:val="24"/>
        </w:rPr>
      </w:pPr>
      <w:r>
        <w:rPr>
          <w:rFonts w:ascii="Times New Roman" w:hAnsi="Times New Roman"/>
          <w:sz w:val="24"/>
          <w:szCs w:val="24"/>
        </w:rPr>
        <w:t>(360) 664-1224</w:t>
      </w:r>
    </w:p>
    <w:p w:rsidR="00AA7D96" w:rsidRDefault="00AA7D96" w:rsidP="00F61777">
      <w:pPr>
        <w:spacing w:after="0" w:line="240" w:lineRule="auto"/>
        <w:rPr>
          <w:rFonts w:ascii="Times New Roman" w:hAnsi="Times New Roman"/>
          <w:sz w:val="24"/>
          <w:szCs w:val="24"/>
        </w:rPr>
      </w:pPr>
      <w:r>
        <w:rPr>
          <w:rFonts w:ascii="Times New Roman" w:hAnsi="Times New Roman"/>
          <w:sz w:val="24"/>
          <w:szCs w:val="24"/>
        </w:rPr>
        <w:t>tyonker@utc.wa.gov</w:t>
      </w:r>
    </w:p>
    <w:p w:rsidR="00193664" w:rsidRDefault="00193664" w:rsidP="00F61777">
      <w:pPr>
        <w:spacing w:line="240" w:lineRule="auto"/>
        <w:rPr>
          <w:rFonts w:ascii="Times New Roman" w:hAnsi="Times New Roman"/>
          <w:sz w:val="24"/>
          <w:szCs w:val="24"/>
        </w:rPr>
      </w:pPr>
      <w:r>
        <w:rPr>
          <w:rFonts w:ascii="Times New Roman" w:hAnsi="Times New Roman"/>
          <w:sz w:val="24"/>
          <w:szCs w:val="24"/>
        </w:rPr>
        <w:br w:type="page"/>
      </w:r>
    </w:p>
    <w:p w:rsidR="00193664" w:rsidRDefault="00193664" w:rsidP="00F61777">
      <w:pPr>
        <w:spacing w:after="0" w:line="240" w:lineRule="auto"/>
        <w:jc w:val="center"/>
        <w:rPr>
          <w:rFonts w:ascii="Times New Roman" w:hAnsi="Times New Roman"/>
          <w:b/>
          <w:sz w:val="24"/>
          <w:szCs w:val="24"/>
        </w:rPr>
      </w:pPr>
      <w:r>
        <w:rPr>
          <w:rFonts w:ascii="Times New Roman" w:hAnsi="Times New Roman"/>
          <w:b/>
          <w:sz w:val="24"/>
          <w:szCs w:val="24"/>
        </w:rPr>
        <w:t>EXECUTIVE SUMMARY</w:t>
      </w:r>
    </w:p>
    <w:p w:rsidR="00193664" w:rsidRDefault="00193664" w:rsidP="00F61777">
      <w:pPr>
        <w:spacing w:after="0" w:line="240" w:lineRule="auto"/>
        <w:rPr>
          <w:rFonts w:ascii="Times New Roman" w:hAnsi="Times New Roman"/>
          <w:b/>
          <w:sz w:val="24"/>
          <w:szCs w:val="24"/>
        </w:rPr>
      </w:pPr>
    </w:p>
    <w:p w:rsidR="00193664" w:rsidRDefault="00193664" w:rsidP="00F61777">
      <w:pPr>
        <w:spacing w:after="0" w:line="240" w:lineRule="auto"/>
        <w:rPr>
          <w:rFonts w:ascii="Times New Roman" w:hAnsi="Times New Roman"/>
          <w:sz w:val="24"/>
          <w:szCs w:val="24"/>
        </w:rPr>
      </w:pPr>
      <w:r>
        <w:rPr>
          <w:rFonts w:ascii="Times New Roman" w:hAnsi="Times New Roman"/>
          <w:sz w:val="24"/>
          <w:szCs w:val="24"/>
        </w:rPr>
        <w:t xml:space="preserve">In March 2009, staff completed a comprehensive investigation of Verizon’s business practices. That investigation revealed three areas of deficiency. First, staff found that despite prior technical assistance, </w:t>
      </w:r>
      <w:r w:rsidR="00F61777">
        <w:rPr>
          <w:rFonts w:ascii="Times New Roman" w:hAnsi="Times New Roman"/>
          <w:sz w:val="24"/>
          <w:szCs w:val="24"/>
        </w:rPr>
        <w:t xml:space="preserve">commission </w:t>
      </w:r>
      <w:r>
        <w:rPr>
          <w:rFonts w:ascii="Times New Roman" w:hAnsi="Times New Roman"/>
          <w:sz w:val="24"/>
          <w:szCs w:val="24"/>
        </w:rPr>
        <w:t xml:space="preserve">consumer protection staff continued to receive a significant number of </w:t>
      </w:r>
      <w:r w:rsidR="006D3DFB">
        <w:rPr>
          <w:rFonts w:ascii="Times New Roman" w:hAnsi="Times New Roman"/>
          <w:sz w:val="24"/>
          <w:szCs w:val="24"/>
        </w:rPr>
        <w:t xml:space="preserve">complaints regarding Verizon’s customer service. Second, staff found that Verizon consistently failed to properly process </w:t>
      </w:r>
      <w:r w:rsidR="0037482D">
        <w:rPr>
          <w:rFonts w:ascii="Times New Roman" w:hAnsi="Times New Roman"/>
          <w:sz w:val="24"/>
          <w:szCs w:val="24"/>
        </w:rPr>
        <w:t>Washington Telephone Assistance Program (</w:t>
      </w:r>
      <w:r w:rsidR="00DD62B8">
        <w:rPr>
          <w:rFonts w:ascii="Times New Roman" w:hAnsi="Times New Roman"/>
          <w:sz w:val="24"/>
          <w:szCs w:val="24"/>
        </w:rPr>
        <w:t>WTAP</w:t>
      </w:r>
      <w:r w:rsidR="0037482D">
        <w:rPr>
          <w:rFonts w:ascii="Times New Roman" w:hAnsi="Times New Roman"/>
          <w:sz w:val="24"/>
          <w:szCs w:val="24"/>
        </w:rPr>
        <w:t>)</w:t>
      </w:r>
      <w:r w:rsidR="006D3DFB">
        <w:rPr>
          <w:rFonts w:ascii="Times New Roman" w:hAnsi="Times New Roman"/>
          <w:sz w:val="24"/>
          <w:szCs w:val="24"/>
        </w:rPr>
        <w:t xml:space="preserve"> applications. Third, staff found that Verizon was improperly billing certain consumers for city taxes when the telephone service was located in unincorporated areas. Staff recommended a total penalty of $107,800 for these violations.</w:t>
      </w:r>
    </w:p>
    <w:p w:rsidR="006D3DFB" w:rsidRDefault="006D3DFB" w:rsidP="00F61777">
      <w:pPr>
        <w:spacing w:after="0" w:line="240" w:lineRule="auto"/>
        <w:rPr>
          <w:rFonts w:ascii="Times New Roman" w:hAnsi="Times New Roman"/>
          <w:sz w:val="24"/>
          <w:szCs w:val="24"/>
        </w:rPr>
      </w:pPr>
    </w:p>
    <w:p w:rsidR="006D3DFB" w:rsidRDefault="006D3DFB" w:rsidP="00F61777">
      <w:pPr>
        <w:spacing w:after="0" w:line="240" w:lineRule="auto"/>
        <w:rPr>
          <w:rFonts w:ascii="Times New Roman" w:hAnsi="Times New Roman"/>
          <w:sz w:val="24"/>
          <w:szCs w:val="24"/>
        </w:rPr>
      </w:pPr>
      <w:r>
        <w:rPr>
          <w:rFonts w:ascii="Times New Roman" w:hAnsi="Times New Roman"/>
          <w:sz w:val="24"/>
          <w:szCs w:val="24"/>
        </w:rPr>
        <w:t xml:space="preserve">On March 18, 2009, the commission issued a complaint against Verizon based on the results of </w:t>
      </w:r>
      <w:r w:rsidR="00F61777">
        <w:rPr>
          <w:rFonts w:ascii="Times New Roman" w:hAnsi="Times New Roman"/>
          <w:sz w:val="24"/>
          <w:szCs w:val="24"/>
        </w:rPr>
        <w:t>the staff</w:t>
      </w:r>
      <w:r>
        <w:rPr>
          <w:rFonts w:ascii="Times New Roman" w:hAnsi="Times New Roman"/>
          <w:sz w:val="24"/>
          <w:szCs w:val="24"/>
        </w:rPr>
        <w:t xml:space="preserve"> investigation and requested relief of $107,800, as recommended by staff in its investigation report. On April 21, 2009, the </w:t>
      </w:r>
      <w:r w:rsidR="00B26E90">
        <w:rPr>
          <w:rFonts w:ascii="Times New Roman" w:hAnsi="Times New Roman"/>
          <w:sz w:val="24"/>
          <w:szCs w:val="24"/>
        </w:rPr>
        <w:t>commission</w:t>
      </w:r>
      <w:r>
        <w:rPr>
          <w:rFonts w:ascii="Times New Roman" w:hAnsi="Times New Roman"/>
          <w:sz w:val="24"/>
          <w:szCs w:val="24"/>
        </w:rPr>
        <w:t xml:space="preserve"> held a prehearing conference at which time the parties requested time to engage in settlement discussions prior to a hearing. The </w:t>
      </w:r>
      <w:r w:rsidR="00DD62B8">
        <w:rPr>
          <w:rFonts w:ascii="Times New Roman" w:hAnsi="Times New Roman"/>
          <w:sz w:val="24"/>
          <w:szCs w:val="24"/>
        </w:rPr>
        <w:t>Administrative Law Judge</w:t>
      </w:r>
      <w:r>
        <w:rPr>
          <w:rFonts w:ascii="Times New Roman" w:hAnsi="Times New Roman"/>
          <w:sz w:val="24"/>
          <w:szCs w:val="24"/>
        </w:rPr>
        <w:t xml:space="preserve"> granted that request.</w:t>
      </w:r>
    </w:p>
    <w:p w:rsidR="006D3DFB" w:rsidRDefault="006D3DFB" w:rsidP="00F61777">
      <w:pPr>
        <w:spacing w:after="0" w:line="240" w:lineRule="auto"/>
        <w:rPr>
          <w:rFonts w:ascii="Times New Roman" w:hAnsi="Times New Roman"/>
          <w:sz w:val="24"/>
          <w:szCs w:val="24"/>
        </w:rPr>
      </w:pPr>
    </w:p>
    <w:p w:rsidR="006D3DFB" w:rsidRDefault="006D3DFB" w:rsidP="00F61777">
      <w:pPr>
        <w:spacing w:after="0" w:line="240" w:lineRule="auto"/>
        <w:rPr>
          <w:rFonts w:ascii="Times New Roman" w:hAnsi="Times New Roman"/>
          <w:sz w:val="24"/>
          <w:szCs w:val="24"/>
        </w:rPr>
      </w:pPr>
      <w:r>
        <w:rPr>
          <w:rFonts w:ascii="Times New Roman" w:hAnsi="Times New Roman"/>
          <w:sz w:val="24"/>
          <w:szCs w:val="24"/>
        </w:rPr>
        <w:t>On September 1</w:t>
      </w:r>
      <w:r w:rsidR="00AA7D96">
        <w:rPr>
          <w:rFonts w:ascii="Times New Roman" w:hAnsi="Times New Roman"/>
          <w:sz w:val="24"/>
          <w:szCs w:val="24"/>
        </w:rPr>
        <w:t>0</w:t>
      </w:r>
      <w:r>
        <w:rPr>
          <w:rFonts w:ascii="Times New Roman" w:hAnsi="Times New Roman"/>
          <w:sz w:val="24"/>
          <w:szCs w:val="24"/>
        </w:rPr>
        <w:t>, 2009, following successful settlemen</w:t>
      </w:r>
      <w:r w:rsidR="00AA7D96">
        <w:rPr>
          <w:rFonts w:ascii="Times New Roman" w:hAnsi="Times New Roman"/>
          <w:sz w:val="24"/>
          <w:szCs w:val="24"/>
        </w:rPr>
        <w:t xml:space="preserve">t discussions, the </w:t>
      </w:r>
      <w:r w:rsidR="00B26E90">
        <w:rPr>
          <w:rFonts w:ascii="Times New Roman" w:hAnsi="Times New Roman"/>
          <w:sz w:val="24"/>
          <w:szCs w:val="24"/>
        </w:rPr>
        <w:t xml:space="preserve">commission </w:t>
      </w:r>
      <w:r w:rsidR="00AA7D96">
        <w:rPr>
          <w:rFonts w:ascii="Times New Roman" w:hAnsi="Times New Roman"/>
          <w:sz w:val="24"/>
          <w:szCs w:val="24"/>
        </w:rPr>
        <w:t xml:space="preserve">adopted the </w:t>
      </w:r>
      <w:r>
        <w:rPr>
          <w:rFonts w:ascii="Times New Roman" w:hAnsi="Times New Roman"/>
          <w:sz w:val="24"/>
          <w:szCs w:val="24"/>
        </w:rPr>
        <w:t xml:space="preserve">settlement agreement </w:t>
      </w:r>
      <w:r w:rsidR="00AA7D96">
        <w:rPr>
          <w:rFonts w:ascii="Times New Roman" w:hAnsi="Times New Roman"/>
          <w:sz w:val="24"/>
          <w:szCs w:val="24"/>
        </w:rPr>
        <w:t>presented jointly by</w:t>
      </w:r>
      <w:r>
        <w:rPr>
          <w:rFonts w:ascii="Times New Roman" w:hAnsi="Times New Roman"/>
          <w:sz w:val="24"/>
          <w:szCs w:val="24"/>
        </w:rPr>
        <w:t xml:space="preserve"> the commission and Verizon.</w:t>
      </w:r>
      <w:r>
        <w:rPr>
          <w:rStyle w:val="FootnoteReference"/>
          <w:rFonts w:ascii="Times New Roman" w:hAnsi="Times New Roman"/>
          <w:sz w:val="24"/>
          <w:szCs w:val="24"/>
        </w:rPr>
        <w:footnoteReference w:id="1"/>
      </w:r>
      <w:r>
        <w:rPr>
          <w:rFonts w:ascii="Times New Roman" w:hAnsi="Times New Roman"/>
          <w:sz w:val="24"/>
          <w:szCs w:val="24"/>
        </w:rPr>
        <w:t xml:space="preserve"> As part of the settlement agreement, Verizon agreed to the following:</w:t>
      </w:r>
    </w:p>
    <w:p w:rsidR="00B26E90" w:rsidRDefault="006D3DFB" w:rsidP="00F6177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Verizon admitted </w:t>
      </w:r>
      <w:r w:rsidR="00B26E90">
        <w:rPr>
          <w:rFonts w:ascii="Times New Roman" w:hAnsi="Times New Roman"/>
          <w:sz w:val="24"/>
          <w:szCs w:val="24"/>
        </w:rPr>
        <w:t>to</w:t>
      </w:r>
      <w:r>
        <w:rPr>
          <w:rFonts w:ascii="Times New Roman" w:hAnsi="Times New Roman"/>
          <w:sz w:val="24"/>
          <w:szCs w:val="24"/>
        </w:rPr>
        <w:t xml:space="preserve"> </w:t>
      </w:r>
      <w:r w:rsidR="00B26E90">
        <w:rPr>
          <w:rFonts w:ascii="Times New Roman" w:hAnsi="Times New Roman"/>
          <w:sz w:val="24"/>
          <w:szCs w:val="24"/>
        </w:rPr>
        <w:t xml:space="preserve">425 </w:t>
      </w:r>
      <w:r>
        <w:rPr>
          <w:rFonts w:ascii="Times New Roman" w:hAnsi="Times New Roman"/>
          <w:sz w:val="24"/>
          <w:szCs w:val="24"/>
        </w:rPr>
        <w:t>violations</w:t>
      </w:r>
      <w:r w:rsidR="00B26E90">
        <w:rPr>
          <w:rFonts w:ascii="Times New Roman" w:hAnsi="Times New Roman"/>
          <w:sz w:val="24"/>
          <w:szCs w:val="24"/>
        </w:rPr>
        <w:t xml:space="preserve"> for improperly assessing city taxes</w:t>
      </w:r>
      <w:r w:rsidR="00DD62B8">
        <w:rPr>
          <w:rFonts w:ascii="Times New Roman" w:hAnsi="Times New Roman"/>
          <w:sz w:val="24"/>
          <w:szCs w:val="24"/>
        </w:rPr>
        <w:t>.</w:t>
      </w:r>
    </w:p>
    <w:p w:rsidR="006D3DFB" w:rsidRDefault="00B26E90" w:rsidP="00F6177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Verizon admitted to 47 violations for improperly c</w:t>
      </w:r>
      <w:r w:rsidR="00DD62B8">
        <w:rPr>
          <w:rFonts w:ascii="Times New Roman" w:hAnsi="Times New Roman"/>
          <w:sz w:val="24"/>
          <w:szCs w:val="24"/>
        </w:rPr>
        <w:t>harging customers in WTAP</w:t>
      </w:r>
      <w:r w:rsidR="006D3DFB">
        <w:rPr>
          <w:rFonts w:ascii="Times New Roman" w:hAnsi="Times New Roman"/>
          <w:sz w:val="24"/>
          <w:szCs w:val="24"/>
        </w:rPr>
        <w:t>.</w:t>
      </w:r>
    </w:p>
    <w:p w:rsidR="00AA7D96" w:rsidRDefault="00AA7D96" w:rsidP="00F61777">
      <w:pPr>
        <w:pStyle w:val="ListParagraph"/>
        <w:numPr>
          <w:ilvl w:val="0"/>
          <w:numId w:val="1"/>
        </w:numPr>
        <w:spacing w:after="0" w:line="240" w:lineRule="auto"/>
        <w:rPr>
          <w:rFonts w:ascii="Times New Roman" w:hAnsi="Times New Roman"/>
          <w:sz w:val="24"/>
          <w:szCs w:val="24"/>
        </w:rPr>
      </w:pPr>
      <w:r w:rsidRPr="00F43CC5">
        <w:rPr>
          <w:rFonts w:ascii="Times New Roman" w:hAnsi="Times New Roman"/>
          <w:sz w:val="24"/>
          <w:szCs w:val="24"/>
        </w:rPr>
        <w:t>Verizon agreed to pay a $2,600 penalty for its incorrect assessment of city tax rates, with an additional $39,900 penalty suspended pending a follow-up investigation</w:t>
      </w:r>
      <w:r w:rsidR="00F43CC5">
        <w:rPr>
          <w:rFonts w:ascii="Times New Roman" w:hAnsi="Times New Roman"/>
          <w:sz w:val="24"/>
          <w:szCs w:val="24"/>
        </w:rPr>
        <w:t>.</w:t>
      </w:r>
    </w:p>
    <w:p w:rsidR="00F43CC5" w:rsidRPr="00F43CC5" w:rsidRDefault="00F43CC5" w:rsidP="00F6177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Verizon agreed to pay a $37,000 penalty for its violations of WTAP procedures and also pay $10,000 into a WTAP outreach program.</w:t>
      </w:r>
    </w:p>
    <w:p w:rsidR="00DD4910" w:rsidRDefault="00DD4910" w:rsidP="00F61777">
      <w:pPr>
        <w:pStyle w:val="ListParagraph"/>
        <w:numPr>
          <w:ilvl w:val="0"/>
          <w:numId w:val="1"/>
        </w:numPr>
        <w:spacing w:after="0" w:line="240" w:lineRule="auto"/>
        <w:rPr>
          <w:rFonts w:ascii="Times New Roman" w:hAnsi="Times New Roman"/>
          <w:sz w:val="24"/>
          <w:szCs w:val="24"/>
        </w:rPr>
      </w:pPr>
      <w:r w:rsidRPr="00F43CC5">
        <w:rPr>
          <w:rFonts w:ascii="Times New Roman" w:hAnsi="Times New Roman"/>
          <w:sz w:val="24"/>
          <w:szCs w:val="24"/>
        </w:rPr>
        <w:t xml:space="preserve">Verizon agreed to provide staff with documentation of measures it </w:t>
      </w:r>
      <w:r w:rsidR="0037482D">
        <w:rPr>
          <w:rFonts w:ascii="Times New Roman" w:hAnsi="Times New Roman"/>
          <w:sz w:val="24"/>
          <w:szCs w:val="24"/>
        </w:rPr>
        <w:t>agreed</w:t>
      </w:r>
      <w:r w:rsidR="0037482D" w:rsidRPr="00F43CC5">
        <w:rPr>
          <w:rFonts w:ascii="Times New Roman" w:hAnsi="Times New Roman"/>
          <w:sz w:val="24"/>
          <w:szCs w:val="24"/>
        </w:rPr>
        <w:t xml:space="preserve"> </w:t>
      </w:r>
      <w:r w:rsidRPr="00F43CC5">
        <w:rPr>
          <w:rFonts w:ascii="Times New Roman" w:hAnsi="Times New Roman"/>
          <w:sz w:val="24"/>
          <w:szCs w:val="24"/>
        </w:rPr>
        <w:t>to take to improve the city tax assessment and WTAP ap</w:t>
      </w:r>
      <w:r>
        <w:rPr>
          <w:rFonts w:ascii="Times New Roman" w:hAnsi="Times New Roman"/>
          <w:sz w:val="24"/>
          <w:szCs w:val="24"/>
        </w:rPr>
        <w:t>plication processes.</w:t>
      </w:r>
    </w:p>
    <w:p w:rsidR="00DD4910" w:rsidRDefault="00DD4910" w:rsidP="00F6177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Verizon agreed that staff would conduct a follow-up investigation six months from the effective date of the settlement agreement</w:t>
      </w:r>
      <w:r w:rsidR="00F43CC5">
        <w:rPr>
          <w:rFonts w:ascii="Times New Roman" w:hAnsi="Times New Roman"/>
          <w:sz w:val="24"/>
          <w:szCs w:val="24"/>
        </w:rPr>
        <w:t xml:space="preserve"> to determi</w:t>
      </w:r>
      <w:r w:rsidR="00DD62B8">
        <w:rPr>
          <w:rFonts w:ascii="Times New Roman" w:hAnsi="Times New Roman"/>
          <w:sz w:val="24"/>
          <w:szCs w:val="24"/>
        </w:rPr>
        <w:t xml:space="preserve">ne compliance with </w:t>
      </w:r>
      <w:r w:rsidR="00F43CC5">
        <w:rPr>
          <w:rFonts w:ascii="Times New Roman" w:hAnsi="Times New Roman"/>
          <w:sz w:val="24"/>
          <w:szCs w:val="24"/>
        </w:rPr>
        <w:t>WTAP charges</w:t>
      </w:r>
      <w:r w:rsidR="00DD62B8">
        <w:rPr>
          <w:rFonts w:ascii="Times New Roman" w:hAnsi="Times New Roman"/>
          <w:sz w:val="24"/>
          <w:szCs w:val="24"/>
        </w:rPr>
        <w:t xml:space="preserve"> and city tax charges</w:t>
      </w:r>
      <w:r>
        <w:rPr>
          <w:rFonts w:ascii="Times New Roman" w:hAnsi="Times New Roman"/>
          <w:sz w:val="24"/>
          <w:szCs w:val="24"/>
        </w:rPr>
        <w:t>.</w:t>
      </w:r>
    </w:p>
    <w:p w:rsidR="00DD4910" w:rsidRDefault="00DD4910" w:rsidP="00F61777">
      <w:pPr>
        <w:spacing w:after="0" w:line="240" w:lineRule="auto"/>
        <w:rPr>
          <w:rFonts w:ascii="Times New Roman" w:hAnsi="Times New Roman"/>
          <w:sz w:val="24"/>
          <w:szCs w:val="24"/>
        </w:rPr>
      </w:pPr>
    </w:p>
    <w:p w:rsidR="00DD4910" w:rsidRDefault="00DD4910" w:rsidP="00F61777">
      <w:pPr>
        <w:spacing w:after="0" w:line="240" w:lineRule="auto"/>
        <w:rPr>
          <w:rFonts w:ascii="Times New Roman" w:hAnsi="Times New Roman"/>
          <w:b/>
          <w:sz w:val="24"/>
          <w:szCs w:val="24"/>
        </w:rPr>
      </w:pPr>
      <w:r>
        <w:rPr>
          <w:rFonts w:ascii="Times New Roman" w:hAnsi="Times New Roman"/>
          <w:b/>
          <w:sz w:val="24"/>
          <w:szCs w:val="24"/>
        </w:rPr>
        <w:t>Recommendation</w:t>
      </w:r>
    </w:p>
    <w:p w:rsidR="00DD4910" w:rsidRPr="00F5094A" w:rsidRDefault="00F5094A" w:rsidP="00F61777">
      <w:pPr>
        <w:spacing w:after="0" w:line="240" w:lineRule="auto"/>
        <w:rPr>
          <w:rFonts w:ascii="Times New Roman" w:hAnsi="Times New Roman"/>
          <w:sz w:val="24"/>
          <w:szCs w:val="24"/>
        </w:rPr>
      </w:pPr>
      <w:r>
        <w:rPr>
          <w:rFonts w:ascii="Times New Roman" w:hAnsi="Times New Roman"/>
          <w:sz w:val="24"/>
          <w:szCs w:val="24"/>
        </w:rPr>
        <w:t>Staff finds Verizon to be in substantial compliance with the terms of the settlement agreement. Staff further finds that Verizon’s efforts to improve its processes related to both WTAP applications and billing of city taxes have led to decreased numbers of complaints.</w:t>
      </w:r>
      <w:r w:rsidR="00F61777">
        <w:rPr>
          <w:rFonts w:ascii="Times New Roman" w:hAnsi="Times New Roman"/>
          <w:sz w:val="24"/>
          <w:szCs w:val="24"/>
        </w:rPr>
        <w:t xml:space="preserve"> Staff recommends no further enforcement action related to the settlement agreement.</w:t>
      </w:r>
    </w:p>
    <w:p w:rsidR="00DD4910" w:rsidRDefault="00DD4910" w:rsidP="00F61777">
      <w:pPr>
        <w:spacing w:line="240" w:lineRule="auto"/>
        <w:rPr>
          <w:rFonts w:ascii="Times New Roman" w:hAnsi="Times New Roman"/>
          <w:b/>
          <w:sz w:val="24"/>
          <w:szCs w:val="24"/>
        </w:rPr>
      </w:pPr>
      <w:r>
        <w:rPr>
          <w:rFonts w:ascii="Times New Roman" w:hAnsi="Times New Roman"/>
          <w:b/>
          <w:sz w:val="24"/>
          <w:szCs w:val="24"/>
        </w:rPr>
        <w:br w:type="page"/>
      </w:r>
    </w:p>
    <w:p w:rsidR="00DD4910" w:rsidRDefault="00DD4910" w:rsidP="00F61777">
      <w:pPr>
        <w:spacing w:after="0" w:line="240" w:lineRule="auto"/>
        <w:jc w:val="center"/>
        <w:rPr>
          <w:rFonts w:ascii="Times New Roman" w:hAnsi="Times New Roman"/>
          <w:b/>
          <w:sz w:val="24"/>
          <w:szCs w:val="24"/>
        </w:rPr>
      </w:pPr>
      <w:r>
        <w:rPr>
          <w:rFonts w:ascii="Times New Roman" w:hAnsi="Times New Roman"/>
          <w:b/>
          <w:sz w:val="24"/>
          <w:szCs w:val="24"/>
        </w:rPr>
        <w:t>BACKGROUND</w:t>
      </w:r>
    </w:p>
    <w:p w:rsidR="00EF5E69" w:rsidRDefault="00EF5E69" w:rsidP="00F61777">
      <w:pPr>
        <w:spacing w:after="0" w:line="240" w:lineRule="auto"/>
        <w:rPr>
          <w:rFonts w:ascii="Times New Roman" w:hAnsi="Times New Roman"/>
          <w:b/>
          <w:sz w:val="24"/>
          <w:szCs w:val="24"/>
        </w:rPr>
      </w:pPr>
    </w:p>
    <w:p w:rsidR="00DD4910" w:rsidRDefault="00F61777" w:rsidP="00F61777">
      <w:pPr>
        <w:spacing w:after="0" w:line="240" w:lineRule="auto"/>
        <w:rPr>
          <w:rFonts w:ascii="Times New Roman" w:hAnsi="Times New Roman"/>
          <w:b/>
          <w:sz w:val="24"/>
          <w:szCs w:val="24"/>
        </w:rPr>
      </w:pPr>
      <w:r>
        <w:rPr>
          <w:rFonts w:ascii="Times New Roman" w:hAnsi="Times New Roman"/>
          <w:b/>
          <w:sz w:val="24"/>
          <w:szCs w:val="24"/>
        </w:rPr>
        <w:t>Prior I</w:t>
      </w:r>
      <w:r w:rsidR="001D2A62">
        <w:rPr>
          <w:rFonts w:ascii="Times New Roman" w:hAnsi="Times New Roman"/>
          <w:b/>
          <w:sz w:val="24"/>
          <w:szCs w:val="24"/>
        </w:rPr>
        <w:t>nvestigation</w:t>
      </w:r>
    </w:p>
    <w:p w:rsidR="00EF5E69" w:rsidRDefault="00A91374" w:rsidP="00F61777">
      <w:pPr>
        <w:spacing w:after="0" w:line="240" w:lineRule="auto"/>
        <w:rPr>
          <w:rFonts w:ascii="Times New Roman" w:hAnsi="Times New Roman"/>
          <w:sz w:val="24"/>
          <w:szCs w:val="24"/>
        </w:rPr>
      </w:pPr>
      <w:r>
        <w:rPr>
          <w:rFonts w:ascii="Times New Roman" w:hAnsi="Times New Roman"/>
          <w:sz w:val="24"/>
          <w:szCs w:val="24"/>
        </w:rPr>
        <w:t xml:space="preserve">In </w:t>
      </w:r>
      <w:r w:rsidR="0037482D">
        <w:rPr>
          <w:rFonts w:ascii="Times New Roman" w:hAnsi="Times New Roman"/>
          <w:sz w:val="24"/>
          <w:szCs w:val="24"/>
        </w:rPr>
        <w:t>March 2009</w:t>
      </w:r>
      <w:r>
        <w:rPr>
          <w:rFonts w:ascii="Times New Roman" w:hAnsi="Times New Roman"/>
          <w:sz w:val="24"/>
          <w:szCs w:val="24"/>
        </w:rPr>
        <w:t xml:space="preserve">, staff </w:t>
      </w:r>
      <w:r w:rsidR="0037482D">
        <w:rPr>
          <w:rFonts w:ascii="Times New Roman" w:hAnsi="Times New Roman"/>
          <w:sz w:val="24"/>
          <w:szCs w:val="24"/>
        </w:rPr>
        <w:t xml:space="preserve">completed </w:t>
      </w:r>
      <w:r>
        <w:rPr>
          <w:rFonts w:ascii="Times New Roman" w:hAnsi="Times New Roman"/>
          <w:sz w:val="24"/>
          <w:szCs w:val="24"/>
        </w:rPr>
        <w:t xml:space="preserve">an investigation into Verizon’s business practices. Staff reviewed complaints received by </w:t>
      </w:r>
      <w:r w:rsidR="00A82CDD">
        <w:rPr>
          <w:rFonts w:ascii="Times New Roman" w:hAnsi="Times New Roman"/>
          <w:sz w:val="24"/>
          <w:szCs w:val="24"/>
        </w:rPr>
        <w:t xml:space="preserve">commission </w:t>
      </w:r>
      <w:r>
        <w:rPr>
          <w:rFonts w:ascii="Times New Roman" w:hAnsi="Times New Roman"/>
          <w:sz w:val="24"/>
          <w:szCs w:val="24"/>
        </w:rPr>
        <w:t>consumer protection staff between June 2008 and November 2008. Staff found that out of 34 complaints related to WTAP, consumer protection staff recorded violations in 19</w:t>
      </w:r>
      <w:r w:rsidR="001D2A62">
        <w:rPr>
          <w:rFonts w:ascii="Times New Roman" w:hAnsi="Times New Roman"/>
          <w:sz w:val="24"/>
          <w:szCs w:val="24"/>
        </w:rPr>
        <w:t xml:space="preserve"> of those complaints. Further, staff found that during the same period, consumer protection staff recorded violations of RCW 80.36.130, relating to city taxes, in five complaints, for a total of 588 individual violations.</w:t>
      </w:r>
      <w:r w:rsidR="00F61777">
        <w:rPr>
          <w:rFonts w:ascii="Times New Roman" w:hAnsi="Times New Roman"/>
          <w:sz w:val="24"/>
          <w:szCs w:val="24"/>
        </w:rPr>
        <w:t xml:space="preserve"> On March 18, 2009, the commission issued a complaint against Verizon based on the results of the staff investigation and requested relief of $107,800, as recommended by staff in its investigation report.  </w:t>
      </w:r>
    </w:p>
    <w:p w:rsidR="001D2A62" w:rsidRDefault="001D2A62" w:rsidP="00F61777">
      <w:pPr>
        <w:spacing w:after="0" w:line="240" w:lineRule="auto"/>
        <w:rPr>
          <w:rFonts w:ascii="Times New Roman" w:hAnsi="Times New Roman"/>
          <w:sz w:val="24"/>
          <w:szCs w:val="24"/>
        </w:rPr>
      </w:pPr>
    </w:p>
    <w:p w:rsidR="001D2A62" w:rsidRDefault="00F61777" w:rsidP="00F61777">
      <w:pPr>
        <w:spacing w:after="0" w:line="240" w:lineRule="auto"/>
        <w:rPr>
          <w:rFonts w:ascii="Times New Roman" w:hAnsi="Times New Roman"/>
          <w:b/>
          <w:sz w:val="24"/>
          <w:szCs w:val="24"/>
        </w:rPr>
      </w:pPr>
      <w:r>
        <w:rPr>
          <w:rFonts w:ascii="Times New Roman" w:hAnsi="Times New Roman"/>
          <w:b/>
          <w:sz w:val="24"/>
          <w:szCs w:val="24"/>
        </w:rPr>
        <w:t>Settlement A</w:t>
      </w:r>
      <w:r w:rsidR="001D2A62">
        <w:rPr>
          <w:rFonts w:ascii="Times New Roman" w:hAnsi="Times New Roman"/>
          <w:b/>
          <w:sz w:val="24"/>
          <w:szCs w:val="24"/>
        </w:rPr>
        <w:t>greement</w:t>
      </w:r>
    </w:p>
    <w:p w:rsidR="00AA7D96" w:rsidRDefault="00AA7D96" w:rsidP="00F61777">
      <w:pPr>
        <w:spacing w:after="0" w:line="240" w:lineRule="auto"/>
        <w:rPr>
          <w:rFonts w:ascii="Times New Roman" w:hAnsi="Times New Roman"/>
          <w:sz w:val="24"/>
          <w:szCs w:val="24"/>
        </w:rPr>
      </w:pPr>
      <w:r>
        <w:rPr>
          <w:rFonts w:ascii="Times New Roman" w:hAnsi="Times New Roman"/>
          <w:sz w:val="24"/>
          <w:szCs w:val="24"/>
        </w:rPr>
        <w:t xml:space="preserve">On September 10, 2009, following successful settlement discussions, the </w:t>
      </w:r>
      <w:r w:rsidR="00F43CC5">
        <w:rPr>
          <w:rFonts w:ascii="Times New Roman" w:hAnsi="Times New Roman"/>
          <w:sz w:val="24"/>
          <w:szCs w:val="24"/>
        </w:rPr>
        <w:t xml:space="preserve">commission </w:t>
      </w:r>
      <w:r>
        <w:rPr>
          <w:rFonts w:ascii="Times New Roman" w:hAnsi="Times New Roman"/>
          <w:sz w:val="24"/>
          <w:szCs w:val="24"/>
        </w:rPr>
        <w:t>adopted the settlement agreement presented jointly by the commission and Verizon.</w:t>
      </w:r>
      <w:r>
        <w:rPr>
          <w:rStyle w:val="FootnoteReference"/>
          <w:rFonts w:ascii="Times New Roman" w:hAnsi="Times New Roman"/>
          <w:sz w:val="24"/>
          <w:szCs w:val="24"/>
        </w:rPr>
        <w:footnoteReference w:id="2"/>
      </w:r>
      <w:r>
        <w:rPr>
          <w:rFonts w:ascii="Times New Roman" w:hAnsi="Times New Roman"/>
          <w:sz w:val="24"/>
          <w:szCs w:val="24"/>
        </w:rPr>
        <w:t xml:space="preserve"> As part of the settlement agreement, Verizon agreed to the following:</w:t>
      </w:r>
    </w:p>
    <w:p w:rsidR="00F43CC5" w:rsidRDefault="00F43CC5" w:rsidP="00F61777">
      <w:pPr>
        <w:pStyle w:val="ListParagraph"/>
        <w:numPr>
          <w:ilvl w:val="0"/>
          <w:numId w:val="9"/>
        </w:numPr>
        <w:spacing w:after="0" w:line="240" w:lineRule="auto"/>
        <w:ind w:left="1080"/>
        <w:rPr>
          <w:rFonts w:ascii="Times New Roman" w:hAnsi="Times New Roman"/>
          <w:sz w:val="24"/>
          <w:szCs w:val="24"/>
        </w:rPr>
      </w:pPr>
      <w:r>
        <w:rPr>
          <w:rFonts w:ascii="Times New Roman" w:hAnsi="Times New Roman"/>
          <w:sz w:val="24"/>
          <w:szCs w:val="24"/>
        </w:rPr>
        <w:t>Verizon admitted to 425 violations for improperly assessing city taxes</w:t>
      </w:r>
      <w:r w:rsidR="00DD62B8">
        <w:rPr>
          <w:rFonts w:ascii="Times New Roman" w:hAnsi="Times New Roman"/>
          <w:sz w:val="24"/>
          <w:szCs w:val="24"/>
        </w:rPr>
        <w:t>.</w:t>
      </w:r>
    </w:p>
    <w:p w:rsidR="00F43CC5" w:rsidRDefault="00F43CC5" w:rsidP="00F61777">
      <w:pPr>
        <w:pStyle w:val="ListParagraph"/>
        <w:numPr>
          <w:ilvl w:val="0"/>
          <w:numId w:val="9"/>
        </w:numPr>
        <w:spacing w:after="0" w:line="240" w:lineRule="auto"/>
        <w:ind w:left="1080"/>
        <w:rPr>
          <w:rFonts w:ascii="Times New Roman" w:hAnsi="Times New Roman"/>
          <w:sz w:val="24"/>
          <w:szCs w:val="24"/>
        </w:rPr>
      </w:pPr>
      <w:r>
        <w:rPr>
          <w:rFonts w:ascii="Times New Roman" w:hAnsi="Times New Roman"/>
          <w:sz w:val="24"/>
          <w:szCs w:val="24"/>
        </w:rPr>
        <w:t>Verizon admitted to 47 violations for improperly charging customers in the Washington Telephone Assistance Program.</w:t>
      </w:r>
    </w:p>
    <w:p w:rsidR="00F43CC5" w:rsidRDefault="00F43CC5" w:rsidP="00F61777">
      <w:pPr>
        <w:pStyle w:val="ListParagraph"/>
        <w:numPr>
          <w:ilvl w:val="0"/>
          <w:numId w:val="9"/>
        </w:numPr>
        <w:spacing w:after="0" w:line="240" w:lineRule="auto"/>
        <w:ind w:left="1080"/>
        <w:rPr>
          <w:rFonts w:ascii="Times New Roman" w:hAnsi="Times New Roman"/>
          <w:sz w:val="24"/>
          <w:szCs w:val="24"/>
        </w:rPr>
      </w:pPr>
      <w:r w:rsidRPr="00F43CC5">
        <w:rPr>
          <w:rFonts w:ascii="Times New Roman" w:hAnsi="Times New Roman"/>
          <w:sz w:val="24"/>
          <w:szCs w:val="24"/>
        </w:rPr>
        <w:t>Verizon agreed to pay a $2,600 penalty for its incorrect assessment of city tax rates, with an additional $39,900 penalty suspended pending a follow-up investigation</w:t>
      </w:r>
      <w:r>
        <w:rPr>
          <w:rFonts w:ascii="Times New Roman" w:hAnsi="Times New Roman"/>
          <w:sz w:val="24"/>
          <w:szCs w:val="24"/>
        </w:rPr>
        <w:t>.</w:t>
      </w:r>
    </w:p>
    <w:p w:rsidR="00F43CC5" w:rsidRPr="00F43CC5" w:rsidRDefault="00F43CC5" w:rsidP="00F61777">
      <w:pPr>
        <w:pStyle w:val="ListParagraph"/>
        <w:numPr>
          <w:ilvl w:val="0"/>
          <w:numId w:val="9"/>
        </w:numPr>
        <w:spacing w:after="0" w:line="240" w:lineRule="auto"/>
        <w:ind w:left="1080"/>
        <w:rPr>
          <w:rFonts w:ascii="Times New Roman" w:hAnsi="Times New Roman"/>
          <w:sz w:val="24"/>
          <w:szCs w:val="24"/>
        </w:rPr>
      </w:pPr>
      <w:r>
        <w:rPr>
          <w:rFonts w:ascii="Times New Roman" w:hAnsi="Times New Roman"/>
          <w:sz w:val="24"/>
          <w:szCs w:val="24"/>
        </w:rPr>
        <w:t xml:space="preserve">Verizon agreed to pay a $37,000 penalty for its violations of WTAP procedures and also pay $10,000 </w:t>
      </w:r>
      <w:r w:rsidR="00A82CDD">
        <w:rPr>
          <w:rFonts w:ascii="Times New Roman" w:hAnsi="Times New Roman"/>
          <w:sz w:val="24"/>
          <w:szCs w:val="24"/>
        </w:rPr>
        <w:t xml:space="preserve">towards </w:t>
      </w:r>
      <w:r>
        <w:rPr>
          <w:rFonts w:ascii="Times New Roman" w:hAnsi="Times New Roman"/>
          <w:sz w:val="24"/>
          <w:szCs w:val="24"/>
        </w:rPr>
        <w:t>a</w:t>
      </w:r>
      <w:r w:rsidR="00A82CDD">
        <w:rPr>
          <w:rFonts w:ascii="Times New Roman" w:hAnsi="Times New Roman"/>
          <w:sz w:val="24"/>
          <w:szCs w:val="24"/>
        </w:rPr>
        <w:t>n outreach program for potential</w:t>
      </w:r>
      <w:r>
        <w:rPr>
          <w:rFonts w:ascii="Times New Roman" w:hAnsi="Times New Roman"/>
          <w:sz w:val="24"/>
          <w:szCs w:val="24"/>
        </w:rPr>
        <w:t xml:space="preserve"> WTAP </w:t>
      </w:r>
      <w:r w:rsidR="00A82CDD">
        <w:rPr>
          <w:rFonts w:ascii="Times New Roman" w:hAnsi="Times New Roman"/>
          <w:sz w:val="24"/>
          <w:szCs w:val="24"/>
        </w:rPr>
        <w:t>customers</w:t>
      </w:r>
      <w:r>
        <w:rPr>
          <w:rFonts w:ascii="Times New Roman" w:hAnsi="Times New Roman"/>
          <w:sz w:val="24"/>
          <w:szCs w:val="24"/>
        </w:rPr>
        <w:t>.</w:t>
      </w:r>
    </w:p>
    <w:p w:rsidR="00F43CC5" w:rsidRDefault="00F43CC5" w:rsidP="00F61777">
      <w:pPr>
        <w:pStyle w:val="ListParagraph"/>
        <w:numPr>
          <w:ilvl w:val="0"/>
          <w:numId w:val="9"/>
        </w:numPr>
        <w:spacing w:after="0" w:line="240" w:lineRule="auto"/>
        <w:ind w:left="1080"/>
        <w:rPr>
          <w:rFonts w:ascii="Times New Roman" w:hAnsi="Times New Roman"/>
          <w:sz w:val="24"/>
          <w:szCs w:val="24"/>
        </w:rPr>
      </w:pPr>
      <w:r w:rsidRPr="00F43CC5">
        <w:rPr>
          <w:rFonts w:ascii="Times New Roman" w:hAnsi="Times New Roman"/>
          <w:sz w:val="24"/>
          <w:szCs w:val="24"/>
        </w:rPr>
        <w:t xml:space="preserve">Verizon agreed to provide staff with documentation of measures it </w:t>
      </w:r>
      <w:r w:rsidR="00D17605">
        <w:rPr>
          <w:rFonts w:ascii="Times New Roman" w:hAnsi="Times New Roman"/>
          <w:sz w:val="24"/>
          <w:szCs w:val="24"/>
        </w:rPr>
        <w:t>agreed</w:t>
      </w:r>
      <w:r w:rsidRPr="00F43CC5">
        <w:rPr>
          <w:rFonts w:ascii="Times New Roman" w:hAnsi="Times New Roman"/>
          <w:sz w:val="24"/>
          <w:szCs w:val="24"/>
        </w:rPr>
        <w:t xml:space="preserve"> to take to improve the city tax assessment and WTAP ap</w:t>
      </w:r>
      <w:r>
        <w:rPr>
          <w:rFonts w:ascii="Times New Roman" w:hAnsi="Times New Roman"/>
          <w:sz w:val="24"/>
          <w:szCs w:val="24"/>
        </w:rPr>
        <w:t>plication processes.</w:t>
      </w:r>
    </w:p>
    <w:p w:rsidR="001D2A62" w:rsidRPr="00AA7D96" w:rsidRDefault="00F43CC5" w:rsidP="00F61777">
      <w:pPr>
        <w:pStyle w:val="ListParagraph"/>
        <w:numPr>
          <w:ilvl w:val="0"/>
          <w:numId w:val="9"/>
        </w:numPr>
        <w:spacing w:after="0" w:line="240" w:lineRule="auto"/>
        <w:ind w:left="1080"/>
        <w:rPr>
          <w:rFonts w:ascii="Times New Roman" w:hAnsi="Times New Roman"/>
          <w:sz w:val="24"/>
          <w:szCs w:val="24"/>
        </w:rPr>
      </w:pPr>
      <w:r>
        <w:rPr>
          <w:rFonts w:ascii="Times New Roman" w:hAnsi="Times New Roman"/>
          <w:sz w:val="24"/>
          <w:szCs w:val="24"/>
        </w:rPr>
        <w:t>Verizon agreed that staff would conduct a follow-up investigation six months from the effective date of the settlement agreement to determi</w:t>
      </w:r>
      <w:r w:rsidR="00DD62B8">
        <w:rPr>
          <w:rFonts w:ascii="Times New Roman" w:hAnsi="Times New Roman"/>
          <w:sz w:val="24"/>
          <w:szCs w:val="24"/>
        </w:rPr>
        <w:t xml:space="preserve">ne compliance with </w:t>
      </w:r>
      <w:r>
        <w:rPr>
          <w:rFonts w:ascii="Times New Roman" w:hAnsi="Times New Roman"/>
          <w:sz w:val="24"/>
          <w:szCs w:val="24"/>
        </w:rPr>
        <w:t>WTAP charges</w:t>
      </w:r>
      <w:r w:rsidR="00DD62B8">
        <w:rPr>
          <w:rFonts w:ascii="Times New Roman" w:hAnsi="Times New Roman"/>
          <w:sz w:val="24"/>
          <w:szCs w:val="24"/>
        </w:rPr>
        <w:t xml:space="preserve"> and city tax charges</w:t>
      </w:r>
      <w:r>
        <w:rPr>
          <w:rFonts w:ascii="Times New Roman" w:hAnsi="Times New Roman"/>
          <w:sz w:val="24"/>
          <w:szCs w:val="24"/>
        </w:rPr>
        <w:t>.</w:t>
      </w:r>
    </w:p>
    <w:p w:rsidR="001D2A62" w:rsidRDefault="001D2A62" w:rsidP="00F61777">
      <w:pPr>
        <w:spacing w:after="0" w:line="240" w:lineRule="auto"/>
        <w:rPr>
          <w:rFonts w:ascii="Times New Roman" w:hAnsi="Times New Roman"/>
          <w:b/>
          <w:sz w:val="24"/>
          <w:szCs w:val="24"/>
        </w:rPr>
      </w:pPr>
    </w:p>
    <w:p w:rsidR="001D2A62" w:rsidRDefault="00F61777" w:rsidP="00F61777">
      <w:pPr>
        <w:spacing w:after="0" w:line="240" w:lineRule="auto"/>
        <w:rPr>
          <w:rFonts w:ascii="Times New Roman" w:hAnsi="Times New Roman"/>
          <w:b/>
          <w:sz w:val="24"/>
          <w:szCs w:val="24"/>
        </w:rPr>
      </w:pPr>
      <w:r>
        <w:rPr>
          <w:rFonts w:ascii="Times New Roman" w:hAnsi="Times New Roman"/>
          <w:b/>
          <w:sz w:val="24"/>
          <w:szCs w:val="24"/>
        </w:rPr>
        <w:t>Current I</w:t>
      </w:r>
      <w:r w:rsidR="001D2A62">
        <w:rPr>
          <w:rFonts w:ascii="Times New Roman" w:hAnsi="Times New Roman"/>
          <w:b/>
          <w:sz w:val="24"/>
          <w:szCs w:val="24"/>
        </w:rPr>
        <w:t>nvestigation</w:t>
      </w:r>
    </w:p>
    <w:p w:rsidR="003E4D44" w:rsidRPr="001D2A62" w:rsidRDefault="001D2A62" w:rsidP="00F61777">
      <w:pPr>
        <w:spacing w:after="0" w:line="240" w:lineRule="auto"/>
        <w:rPr>
          <w:rFonts w:ascii="Times New Roman" w:hAnsi="Times New Roman"/>
          <w:sz w:val="24"/>
          <w:szCs w:val="24"/>
        </w:rPr>
      </w:pPr>
      <w:r>
        <w:rPr>
          <w:rFonts w:ascii="Times New Roman" w:hAnsi="Times New Roman"/>
          <w:sz w:val="24"/>
          <w:szCs w:val="24"/>
        </w:rPr>
        <w:t xml:space="preserve">In March 2010, staff </w:t>
      </w:r>
      <w:r w:rsidR="00F61777">
        <w:rPr>
          <w:rFonts w:ascii="Times New Roman" w:hAnsi="Times New Roman"/>
          <w:sz w:val="24"/>
          <w:szCs w:val="24"/>
        </w:rPr>
        <w:t xml:space="preserve">initiated a </w:t>
      </w:r>
      <w:r w:rsidR="00AA7D96">
        <w:rPr>
          <w:rFonts w:ascii="Times New Roman" w:hAnsi="Times New Roman"/>
          <w:sz w:val="24"/>
          <w:szCs w:val="24"/>
        </w:rPr>
        <w:t xml:space="preserve">follow-up investigation to determine if Verizon </w:t>
      </w:r>
      <w:r w:rsidR="00F61777">
        <w:rPr>
          <w:rFonts w:ascii="Times New Roman" w:hAnsi="Times New Roman"/>
          <w:sz w:val="24"/>
          <w:szCs w:val="24"/>
        </w:rPr>
        <w:t xml:space="preserve">had </w:t>
      </w:r>
      <w:r w:rsidR="00AA7D96">
        <w:rPr>
          <w:rFonts w:ascii="Times New Roman" w:hAnsi="Times New Roman"/>
          <w:sz w:val="24"/>
          <w:szCs w:val="24"/>
        </w:rPr>
        <w:t xml:space="preserve">complied with the conditions of the settlement agreement, and also to determine what effect Verizon’s efforts had on the </w:t>
      </w:r>
      <w:r w:rsidR="003E4D44">
        <w:rPr>
          <w:rFonts w:ascii="Times New Roman" w:hAnsi="Times New Roman"/>
          <w:sz w:val="24"/>
          <w:szCs w:val="24"/>
        </w:rPr>
        <w:t xml:space="preserve">overall number of customer complaints. Staff focused its investigation on the terms of the settlement agreement and Verizon’s documentation of compliance with those terms. Staff also </w:t>
      </w:r>
      <w:r w:rsidR="00F43CC5">
        <w:rPr>
          <w:rFonts w:ascii="Times New Roman" w:hAnsi="Times New Roman"/>
          <w:sz w:val="24"/>
          <w:szCs w:val="24"/>
        </w:rPr>
        <w:t xml:space="preserve">reviewed </w:t>
      </w:r>
      <w:r w:rsidR="003E4D44">
        <w:rPr>
          <w:rFonts w:ascii="Times New Roman" w:hAnsi="Times New Roman"/>
          <w:sz w:val="24"/>
          <w:szCs w:val="24"/>
        </w:rPr>
        <w:t xml:space="preserve">complaints against Verizon received by </w:t>
      </w:r>
      <w:r w:rsidR="00F61777">
        <w:rPr>
          <w:rFonts w:ascii="Times New Roman" w:hAnsi="Times New Roman"/>
          <w:sz w:val="24"/>
          <w:szCs w:val="24"/>
        </w:rPr>
        <w:t xml:space="preserve">commission </w:t>
      </w:r>
      <w:r w:rsidR="003E4D44">
        <w:rPr>
          <w:rFonts w:ascii="Times New Roman" w:hAnsi="Times New Roman"/>
          <w:sz w:val="24"/>
          <w:szCs w:val="24"/>
        </w:rPr>
        <w:t xml:space="preserve">consumer protection staff during </w:t>
      </w:r>
      <w:r w:rsidR="00DD62B8">
        <w:rPr>
          <w:rFonts w:ascii="Times New Roman" w:hAnsi="Times New Roman"/>
          <w:sz w:val="24"/>
          <w:szCs w:val="24"/>
        </w:rPr>
        <w:t>the compliance period</w:t>
      </w:r>
      <w:r w:rsidR="003E4D44">
        <w:rPr>
          <w:rFonts w:ascii="Times New Roman" w:hAnsi="Times New Roman"/>
          <w:sz w:val="24"/>
          <w:szCs w:val="24"/>
        </w:rPr>
        <w:t xml:space="preserve">. This report summarizes the results of </w:t>
      </w:r>
      <w:r w:rsidR="00F61777">
        <w:rPr>
          <w:rFonts w:ascii="Times New Roman" w:hAnsi="Times New Roman"/>
          <w:sz w:val="24"/>
          <w:szCs w:val="24"/>
        </w:rPr>
        <w:t>the staff</w:t>
      </w:r>
      <w:r w:rsidR="003E4D44">
        <w:rPr>
          <w:rFonts w:ascii="Times New Roman" w:hAnsi="Times New Roman"/>
          <w:sz w:val="24"/>
          <w:szCs w:val="24"/>
        </w:rPr>
        <w:t xml:space="preserve"> investigation.</w:t>
      </w:r>
    </w:p>
    <w:p w:rsidR="001D2A62" w:rsidRDefault="001D2A62" w:rsidP="00F61777">
      <w:pPr>
        <w:spacing w:line="240" w:lineRule="auto"/>
        <w:rPr>
          <w:rFonts w:ascii="Times New Roman" w:hAnsi="Times New Roman"/>
          <w:b/>
          <w:sz w:val="24"/>
          <w:szCs w:val="24"/>
        </w:rPr>
      </w:pPr>
      <w:r>
        <w:rPr>
          <w:rFonts w:ascii="Times New Roman" w:hAnsi="Times New Roman"/>
          <w:b/>
          <w:sz w:val="24"/>
          <w:szCs w:val="24"/>
        </w:rPr>
        <w:br w:type="page"/>
      </w:r>
    </w:p>
    <w:p w:rsidR="00EF5E69" w:rsidRDefault="001D2A62" w:rsidP="00F61777">
      <w:pPr>
        <w:spacing w:after="0" w:line="240" w:lineRule="auto"/>
        <w:jc w:val="center"/>
        <w:rPr>
          <w:rFonts w:ascii="Times New Roman" w:hAnsi="Times New Roman"/>
          <w:b/>
          <w:sz w:val="24"/>
          <w:szCs w:val="24"/>
        </w:rPr>
      </w:pPr>
      <w:r>
        <w:rPr>
          <w:rFonts w:ascii="Times New Roman" w:hAnsi="Times New Roman"/>
          <w:b/>
          <w:sz w:val="24"/>
          <w:szCs w:val="24"/>
        </w:rPr>
        <w:t>FINDINGS</w:t>
      </w:r>
      <w:r w:rsidR="00D17605">
        <w:rPr>
          <w:rFonts w:ascii="Times New Roman" w:hAnsi="Times New Roman"/>
          <w:b/>
          <w:sz w:val="24"/>
          <w:szCs w:val="24"/>
        </w:rPr>
        <w:t xml:space="preserve"> </w:t>
      </w:r>
      <w:r>
        <w:rPr>
          <w:rFonts w:ascii="Times New Roman" w:hAnsi="Times New Roman"/>
          <w:b/>
          <w:sz w:val="24"/>
          <w:szCs w:val="24"/>
        </w:rPr>
        <w:t>AND RECOMMENDATIONS</w:t>
      </w:r>
    </w:p>
    <w:p w:rsidR="001D2A62" w:rsidRDefault="00887845" w:rsidP="00F61777">
      <w:pPr>
        <w:spacing w:after="0" w:line="240" w:lineRule="auto"/>
        <w:jc w:val="center"/>
        <w:rPr>
          <w:rFonts w:ascii="Times New Roman" w:hAnsi="Times New Roman"/>
          <w:b/>
          <w:sz w:val="24"/>
          <w:szCs w:val="24"/>
        </w:rPr>
      </w:pPr>
      <w:r>
        <w:rPr>
          <w:rFonts w:ascii="Times New Roman" w:hAnsi="Times New Roman"/>
          <w:b/>
          <w:sz w:val="24"/>
          <w:szCs w:val="24"/>
        </w:rPr>
        <w:t>WASHINGTON TELEPHONE ASSISTANCE PROGRAM (WTAP)</w:t>
      </w:r>
    </w:p>
    <w:p w:rsidR="00B441CF" w:rsidRDefault="00B441CF" w:rsidP="00F61777">
      <w:pPr>
        <w:spacing w:after="0" w:line="240" w:lineRule="auto"/>
        <w:jc w:val="center"/>
        <w:rPr>
          <w:rFonts w:ascii="Times New Roman" w:hAnsi="Times New Roman"/>
          <w:b/>
          <w:sz w:val="24"/>
          <w:szCs w:val="24"/>
        </w:rPr>
      </w:pPr>
    </w:p>
    <w:p w:rsidR="003E4D44" w:rsidRDefault="00B441CF" w:rsidP="00F61777">
      <w:pPr>
        <w:spacing w:after="0" w:line="240" w:lineRule="auto"/>
        <w:rPr>
          <w:rFonts w:ascii="Times New Roman" w:hAnsi="Times New Roman"/>
          <w:b/>
          <w:sz w:val="24"/>
          <w:szCs w:val="24"/>
        </w:rPr>
      </w:pPr>
      <w:r>
        <w:rPr>
          <w:rFonts w:ascii="Times New Roman" w:hAnsi="Times New Roman"/>
          <w:b/>
          <w:sz w:val="24"/>
          <w:szCs w:val="24"/>
        </w:rPr>
        <w:t>Findings</w:t>
      </w:r>
    </w:p>
    <w:p w:rsidR="003E4D44" w:rsidRDefault="003E4D44" w:rsidP="00F61777">
      <w:pPr>
        <w:spacing w:after="0" w:line="240" w:lineRule="auto"/>
        <w:rPr>
          <w:rFonts w:ascii="Times New Roman" w:hAnsi="Times New Roman"/>
          <w:b/>
          <w:sz w:val="24"/>
          <w:szCs w:val="24"/>
        </w:rPr>
      </w:pPr>
    </w:p>
    <w:p w:rsidR="00333BC1" w:rsidRPr="003E4D44" w:rsidRDefault="00F61777" w:rsidP="00F61777">
      <w:pPr>
        <w:pStyle w:val="ListParagraph"/>
        <w:numPr>
          <w:ilvl w:val="0"/>
          <w:numId w:val="4"/>
        </w:numPr>
        <w:spacing w:after="0" w:line="240" w:lineRule="auto"/>
        <w:ind w:hanging="720"/>
        <w:rPr>
          <w:rFonts w:ascii="Times New Roman" w:hAnsi="Times New Roman"/>
          <w:b/>
          <w:sz w:val="24"/>
          <w:szCs w:val="24"/>
        </w:rPr>
      </w:pPr>
      <w:r>
        <w:rPr>
          <w:rFonts w:ascii="Times New Roman" w:hAnsi="Times New Roman"/>
          <w:b/>
          <w:sz w:val="24"/>
          <w:szCs w:val="24"/>
        </w:rPr>
        <w:t>Settlement Agreement T</w:t>
      </w:r>
      <w:r w:rsidR="00333BC1" w:rsidRPr="003E4D44">
        <w:rPr>
          <w:rFonts w:ascii="Times New Roman" w:hAnsi="Times New Roman"/>
          <w:b/>
          <w:sz w:val="24"/>
          <w:szCs w:val="24"/>
        </w:rPr>
        <w:t>erms</w:t>
      </w:r>
    </w:p>
    <w:p w:rsidR="00333BC1" w:rsidRDefault="00333BC1" w:rsidP="00F61777">
      <w:pPr>
        <w:spacing w:after="0" w:line="240" w:lineRule="auto"/>
        <w:rPr>
          <w:rFonts w:ascii="Times New Roman" w:hAnsi="Times New Roman"/>
          <w:sz w:val="24"/>
          <w:szCs w:val="24"/>
        </w:rPr>
      </w:pPr>
      <w:r>
        <w:rPr>
          <w:rFonts w:ascii="Times New Roman" w:hAnsi="Times New Roman"/>
          <w:sz w:val="24"/>
          <w:szCs w:val="24"/>
        </w:rPr>
        <w:t xml:space="preserve">The settlement agreement </w:t>
      </w:r>
      <w:r w:rsidR="001D2BB7">
        <w:rPr>
          <w:rFonts w:ascii="Times New Roman" w:hAnsi="Times New Roman"/>
          <w:sz w:val="24"/>
          <w:szCs w:val="24"/>
        </w:rPr>
        <w:t xml:space="preserve">and resulting commission order </w:t>
      </w:r>
      <w:r>
        <w:rPr>
          <w:rFonts w:ascii="Times New Roman" w:hAnsi="Times New Roman"/>
          <w:sz w:val="24"/>
          <w:szCs w:val="24"/>
        </w:rPr>
        <w:t>required the company to com</w:t>
      </w:r>
      <w:r w:rsidR="003E4D44">
        <w:rPr>
          <w:rFonts w:ascii="Times New Roman" w:hAnsi="Times New Roman"/>
          <w:sz w:val="24"/>
          <w:szCs w:val="24"/>
        </w:rPr>
        <w:t xml:space="preserve">ply with a number of provisions aimed at improving Verizon’s handling of WTAP applications. These provisions are </w:t>
      </w:r>
      <w:r>
        <w:rPr>
          <w:rFonts w:ascii="Times New Roman" w:hAnsi="Times New Roman"/>
          <w:sz w:val="24"/>
          <w:szCs w:val="24"/>
        </w:rPr>
        <w:t>enumerated in paragraphs 12 through 18</w:t>
      </w:r>
      <w:r w:rsidR="003E4D44">
        <w:rPr>
          <w:rFonts w:ascii="Times New Roman" w:hAnsi="Times New Roman"/>
          <w:sz w:val="24"/>
          <w:szCs w:val="24"/>
        </w:rPr>
        <w:t xml:space="preserve"> of the settlement agreement</w:t>
      </w:r>
      <w:r>
        <w:rPr>
          <w:rFonts w:ascii="Times New Roman" w:hAnsi="Times New Roman"/>
          <w:sz w:val="24"/>
          <w:szCs w:val="24"/>
        </w:rPr>
        <w:t>.</w:t>
      </w:r>
    </w:p>
    <w:p w:rsidR="00F61777" w:rsidRDefault="00F61777" w:rsidP="00F61777">
      <w:pPr>
        <w:spacing w:after="0" w:line="240" w:lineRule="auto"/>
        <w:rPr>
          <w:rFonts w:ascii="Times New Roman" w:hAnsi="Times New Roman"/>
          <w:sz w:val="24"/>
          <w:szCs w:val="24"/>
        </w:rPr>
      </w:pPr>
    </w:p>
    <w:p w:rsidR="00333BC1" w:rsidRPr="00F61777" w:rsidRDefault="00F61777" w:rsidP="00F61777">
      <w:pPr>
        <w:pStyle w:val="ListParagraph"/>
        <w:numPr>
          <w:ilvl w:val="0"/>
          <w:numId w:val="10"/>
        </w:numPr>
        <w:spacing w:after="0" w:line="240" w:lineRule="auto"/>
        <w:rPr>
          <w:rFonts w:ascii="Times New Roman" w:hAnsi="Times New Roman"/>
          <w:b/>
          <w:sz w:val="24"/>
          <w:szCs w:val="24"/>
        </w:rPr>
      </w:pPr>
      <w:r w:rsidRPr="00F61777">
        <w:rPr>
          <w:rFonts w:ascii="Times New Roman" w:hAnsi="Times New Roman"/>
          <w:b/>
          <w:sz w:val="24"/>
          <w:szCs w:val="24"/>
        </w:rPr>
        <w:t>Refreshers</w:t>
      </w:r>
    </w:p>
    <w:p w:rsidR="00F43CC5" w:rsidRDefault="005A24F5" w:rsidP="00F61777">
      <w:pPr>
        <w:spacing w:after="0" w:line="240" w:lineRule="auto"/>
        <w:rPr>
          <w:rFonts w:ascii="Times New Roman" w:hAnsi="Times New Roman"/>
          <w:sz w:val="24"/>
          <w:szCs w:val="24"/>
        </w:rPr>
      </w:pPr>
      <w:r>
        <w:rPr>
          <w:rFonts w:ascii="Times New Roman" w:hAnsi="Times New Roman"/>
          <w:sz w:val="24"/>
          <w:szCs w:val="24"/>
        </w:rPr>
        <w:t>Paragraph 12 require</w:t>
      </w:r>
      <w:r w:rsidR="003941FC">
        <w:rPr>
          <w:rFonts w:ascii="Times New Roman" w:hAnsi="Times New Roman"/>
          <w:sz w:val="24"/>
          <w:szCs w:val="24"/>
        </w:rPr>
        <w:t>d</w:t>
      </w:r>
      <w:r w:rsidR="00333BC1">
        <w:rPr>
          <w:rFonts w:ascii="Times New Roman" w:hAnsi="Times New Roman"/>
          <w:sz w:val="24"/>
          <w:szCs w:val="24"/>
        </w:rPr>
        <w:t xml:space="preserve"> Verizon to issue “refreshers</w:t>
      </w:r>
      <w:r w:rsidR="004B7958">
        <w:rPr>
          <w:rFonts w:ascii="Times New Roman" w:hAnsi="Times New Roman"/>
          <w:sz w:val="24"/>
          <w:szCs w:val="24"/>
        </w:rPr>
        <w:t>,” which are job aids detailing procedures for proper carrier ha</w:t>
      </w:r>
      <w:r w:rsidR="003E4D44">
        <w:rPr>
          <w:rFonts w:ascii="Times New Roman" w:hAnsi="Times New Roman"/>
          <w:sz w:val="24"/>
          <w:szCs w:val="24"/>
        </w:rPr>
        <w:t>ndling of WTAP applications that</w:t>
      </w:r>
      <w:r w:rsidR="004B7958">
        <w:rPr>
          <w:rFonts w:ascii="Times New Roman" w:hAnsi="Times New Roman"/>
          <w:sz w:val="24"/>
          <w:szCs w:val="24"/>
        </w:rPr>
        <w:t xml:space="preserve"> are sent to all appropriate call center representatives. Paragraph 12 required Verizon to issue these refreshers bi-weekly for three months and once month</w:t>
      </w:r>
      <w:r w:rsidR="003E4D44">
        <w:rPr>
          <w:rFonts w:ascii="Times New Roman" w:hAnsi="Times New Roman"/>
          <w:sz w:val="24"/>
          <w:szCs w:val="24"/>
        </w:rPr>
        <w:t xml:space="preserve">ly thereafter. </w:t>
      </w:r>
      <w:r>
        <w:rPr>
          <w:rFonts w:ascii="Times New Roman" w:hAnsi="Times New Roman"/>
          <w:sz w:val="24"/>
          <w:szCs w:val="24"/>
        </w:rPr>
        <w:t xml:space="preserve">Verizon provided copies of refreshers issued on the following dates: </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September 17,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October 1,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October 14,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October 28,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November 11,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November 25,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December 23, 2009</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January 29, 2010</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February 9, 2010</w:t>
      </w:r>
    </w:p>
    <w:p w:rsidR="009408AD" w:rsidRDefault="00012F26" w:rsidP="00F61777">
      <w:pPr>
        <w:pStyle w:val="ListParagraph"/>
        <w:numPr>
          <w:ilvl w:val="0"/>
          <w:numId w:val="6"/>
        </w:numPr>
        <w:spacing w:after="0" w:line="240" w:lineRule="auto"/>
        <w:rPr>
          <w:rFonts w:ascii="Times New Roman" w:hAnsi="Times New Roman"/>
          <w:sz w:val="24"/>
          <w:szCs w:val="24"/>
        </w:rPr>
      </w:pPr>
      <w:r w:rsidRPr="00012F26">
        <w:rPr>
          <w:rFonts w:ascii="Times New Roman" w:hAnsi="Times New Roman"/>
          <w:sz w:val="24"/>
          <w:szCs w:val="24"/>
        </w:rPr>
        <w:t>March 9, 2010</w:t>
      </w:r>
    </w:p>
    <w:p w:rsidR="00F43CC5" w:rsidRDefault="00F43CC5" w:rsidP="00F61777">
      <w:pPr>
        <w:spacing w:after="0" w:line="240" w:lineRule="auto"/>
        <w:rPr>
          <w:rFonts w:ascii="Times New Roman" w:hAnsi="Times New Roman"/>
          <w:sz w:val="24"/>
          <w:szCs w:val="24"/>
        </w:rPr>
      </w:pPr>
    </w:p>
    <w:p w:rsidR="00333BC1" w:rsidRDefault="00F43CC5" w:rsidP="00F61777">
      <w:pPr>
        <w:spacing w:after="0" w:line="240" w:lineRule="auto"/>
        <w:rPr>
          <w:rFonts w:ascii="Times New Roman" w:hAnsi="Times New Roman"/>
          <w:sz w:val="24"/>
          <w:szCs w:val="24"/>
        </w:rPr>
      </w:pPr>
      <w:r>
        <w:rPr>
          <w:rFonts w:ascii="Times New Roman" w:hAnsi="Times New Roman"/>
          <w:sz w:val="24"/>
          <w:szCs w:val="24"/>
        </w:rPr>
        <w:t>T</w:t>
      </w:r>
      <w:r w:rsidR="00012F26" w:rsidRPr="00012F26">
        <w:rPr>
          <w:rFonts w:ascii="Times New Roman" w:hAnsi="Times New Roman"/>
          <w:sz w:val="24"/>
          <w:szCs w:val="24"/>
        </w:rPr>
        <w:t>he content of the refreshers</w:t>
      </w:r>
      <w:r w:rsidR="00BB7245">
        <w:rPr>
          <w:rFonts w:ascii="Times New Roman" w:hAnsi="Times New Roman"/>
          <w:sz w:val="24"/>
          <w:szCs w:val="24"/>
        </w:rPr>
        <w:t xml:space="preserve"> included a step-by-step list for Verizon’s representatives to properly process a WTAP application, including specific infor</w:t>
      </w:r>
      <w:r w:rsidR="00DD62B8">
        <w:rPr>
          <w:rFonts w:ascii="Times New Roman" w:hAnsi="Times New Roman"/>
          <w:sz w:val="24"/>
          <w:szCs w:val="24"/>
        </w:rPr>
        <w:t xml:space="preserve">mation the representative must </w:t>
      </w:r>
      <w:r w:rsidR="00BB7245">
        <w:rPr>
          <w:rFonts w:ascii="Times New Roman" w:hAnsi="Times New Roman"/>
          <w:sz w:val="24"/>
          <w:szCs w:val="24"/>
        </w:rPr>
        <w:t xml:space="preserve">tell the applicant, and how to navigate the internal computer program to ensure proper processing of the application. </w:t>
      </w:r>
      <w:r w:rsidR="00012F26" w:rsidRPr="00012F26">
        <w:rPr>
          <w:rFonts w:ascii="Times New Roman" w:hAnsi="Times New Roman"/>
          <w:sz w:val="24"/>
          <w:szCs w:val="24"/>
        </w:rPr>
        <w:t>Verizon complied with the requirements of Paragraph 12 by distributing the refreshers at the required frequency</w:t>
      </w:r>
      <w:r w:rsidR="00BB7245">
        <w:rPr>
          <w:rFonts w:ascii="Times New Roman" w:hAnsi="Times New Roman"/>
          <w:sz w:val="24"/>
          <w:szCs w:val="24"/>
        </w:rPr>
        <w:t>.</w:t>
      </w:r>
    </w:p>
    <w:p w:rsidR="00F61777" w:rsidRDefault="00F61777" w:rsidP="00F61777">
      <w:pPr>
        <w:spacing w:after="0" w:line="240" w:lineRule="auto"/>
        <w:rPr>
          <w:rFonts w:ascii="Times New Roman" w:hAnsi="Times New Roman"/>
          <w:sz w:val="24"/>
          <w:szCs w:val="24"/>
        </w:rPr>
      </w:pPr>
    </w:p>
    <w:p w:rsidR="005A24F5" w:rsidRPr="00F61777" w:rsidRDefault="00F61777" w:rsidP="00F61777">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Washington Computer Interface</w:t>
      </w:r>
    </w:p>
    <w:p w:rsidR="005A24F5" w:rsidRDefault="00895E0A" w:rsidP="00F61777">
      <w:pPr>
        <w:spacing w:after="0" w:line="240" w:lineRule="auto"/>
        <w:rPr>
          <w:rFonts w:ascii="Times New Roman" w:hAnsi="Times New Roman"/>
          <w:sz w:val="24"/>
          <w:szCs w:val="24"/>
        </w:rPr>
      </w:pPr>
      <w:r>
        <w:rPr>
          <w:rFonts w:ascii="Times New Roman" w:hAnsi="Times New Roman"/>
          <w:sz w:val="24"/>
          <w:szCs w:val="24"/>
        </w:rPr>
        <w:t>Paragraph</w:t>
      </w:r>
      <w:r w:rsidR="005A24F5">
        <w:rPr>
          <w:rFonts w:ascii="Times New Roman" w:hAnsi="Times New Roman"/>
          <w:sz w:val="24"/>
          <w:szCs w:val="24"/>
        </w:rPr>
        <w:t xml:space="preserve"> 13</w:t>
      </w:r>
      <w:r w:rsidR="00493685">
        <w:rPr>
          <w:rFonts w:ascii="Times New Roman" w:hAnsi="Times New Roman"/>
          <w:sz w:val="24"/>
          <w:szCs w:val="24"/>
        </w:rPr>
        <w:t xml:space="preserve"> </w:t>
      </w:r>
      <w:r w:rsidR="00B15012">
        <w:rPr>
          <w:rFonts w:ascii="Times New Roman" w:hAnsi="Times New Roman"/>
          <w:sz w:val="24"/>
          <w:szCs w:val="24"/>
        </w:rPr>
        <w:t xml:space="preserve">required </w:t>
      </w:r>
      <w:r w:rsidR="005A24F5">
        <w:rPr>
          <w:rFonts w:ascii="Times New Roman" w:hAnsi="Times New Roman"/>
          <w:sz w:val="24"/>
          <w:szCs w:val="24"/>
        </w:rPr>
        <w:t xml:space="preserve">Verizon to “create and deploy a WTAP </w:t>
      </w:r>
      <w:r w:rsidR="00493685">
        <w:rPr>
          <w:rFonts w:ascii="Times New Roman" w:hAnsi="Times New Roman"/>
          <w:sz w:val="24"/>
          <w:szCs w:val="24"/>
        </w:rPr>
        <w:t>computer screen interface, unique for Washington . . . to be used by call center representatives handling WTAP calls</w:t>
      </w:r>
      <w:r w:rsidR="00D41E17">
        <w:rPr>
          <w:rFonts w:ascii="Times New Roman" w:hAnsi="Times New Roman"/>
          <w:sz w:val="24"/>
          <w:szCs w:val="24"/>
        </w:rPr>
        <w:t xml:space="preserve">.” Similarly, </w:t>
      </w:r>
      <w:r w:rsidR="00493685">
        <w:rPr>
          <w:rFonts w:ascii="Times New Roman" w:hAnsi="Times New Roman"/>
          <w:sz w:val="24"/>
          <w:szCs w:val="24"/>
        </w:rPr>
        <w:t>Paragraph 14 require</w:t>
      </w:r>
      <w:r w:rsidR="003941FC">
        <w:rPr>
          <w:rFonts w:ascii="Times New Roman" w:hAnsi="Times New Roman"/>
          <w:sz w:val="24"/>
          <w:szCs w:val="24"/>
        </w:rPr>
        <w:t>d</w:t>
      </w:r>
      <w:r w:rsidR="00493685">
        <w:rPr>
          <w:rFonts w:ascii="Times New Roman" w:hAnsi="Times New Roman"/>
          <w:sz w:val="24"/>
          <w:szCs w:val="24"/>
        </w:rPr>
        <w:t xml:space="preserve"> Verizon to “create and deploy an electronic routing mechanism through which call center representatives handling WTAP </w:t>
      </w:r>
      <w:r w:rsidR="00C51365">
        <w:rPr>
          <w:rFonts w:ascii="Times New Roman" w:hAnsi="Times New Roman"/>
          <w:sz w:val="24"/>
          <w:szCs w:val="24"/>
        </w:rPr>
        <w:t>calls” can more easily route applications</w:t>
      </w:r>
      <w:r w:rsidR="005A3551">
        <w:rPr>
          <w:rFonts w:ascii="Times New Roman" w:hAnsi="Times New Roman"/>
          <w:sz w:val="24"/>
          <w:szCs w:val="24"/>
        </w:rPr>
        <w:t xml:space="preserve"> within ten days of the effective date of the settlement agreement</w:t>
      </w:r>
      <w:r w:rsidR="00C51365">
        <w:rPr>
          <w:rFonts w:ascii="Times New Roman" w:hAnsi="Times New Roman"/>
          <w:sz w:val="24"/>
          <w:szCs w:val="24"/>
        </w:rPr>
        <w:t>.</w:t>
      </w:r>
      <w:r w:rsidR="00D41E17">
        <w:rPr>
          <w:rFonts w:ascii="Times New Roman" w:hAnsi="Times New Roman"/>
          <w:sz w:val="24"/>
          <w:szCs w:val="24"/>
        </w:rPr>
        <w:t xml:space="preserve"> </w:t>
      </w:r>
      <w:r w:rsidR="007D7401">
        <w:rPr>
          <w:rFonts w:ascii="Times New Roman" w:hAnsi="Times New Roman"/>
          <w:sz w:val="24"/>
          <w:szCs w:val="24"/>
        </w:rPr>
        <w:t xml:space="preserve">The agreement required Verizon to complete these </w:t>
      </w:r>
      <w:r w:rsidR="00D41E17">
        <w:rPr>
          <w:rFonts w:ascii="Times New Roman" w:hAnsi="Times New Roman"/>
          <w:sz w:val="24"/>
          <w:szCs w:val="24"/>
        </w:rPr>
        <w:t xml:space="preserve">process improvements within ten days of the effective date of the settlement agreement. </w:t>
      </w:r>
      <w:r w:rsidR="00C51365">
        <w:rPr>
          <w:rFonts w:ascii="Times New Roman" w:hAnsi="Times New Roman"/>
          <w:sz w:val="24"/>
          <w:szCs w:val="24"/>
        </w:rPr>
        <w:t xml:space="preserve">Verizon provided staff with a document entitled “WTAP Screenshot,” which includes </w:t>
      </w:r>
      <w:r w:rsidR="007D7401">
        <w:rPr>
          <w:rFonts w:ascii="Times New Roman" w:hAnsi="Times New Roman"/>
          <w:sz w:val="24"/>
          <w:szCs w:val="24"/>
        </w:rPr>
        <w:t xml:space="preserve">a </w:t>
      </w:r>
      <w:r w:rsidR="00C51365">
        <w:rPr>
          <w:rFonts w:ascii="Times New Roman" w:hAnsi="Times New Roman"/>
          <w:sz w:val="24"/>
          <w:szCs w:val="24"/>
        </w:rPr>
        <w:t>one</w:t>
      </w:r>
      <w:r w:rsidR="007D7401">
        <w:rPr>
          <w:rFonts w:ascii="Times New Roman" w:hAnsi="Times New Roman"/>
          <w:sz w:val="24"/>
          <w:szCs w:val="24"/>
        </w:rPr>
        <w:t>-</w:t>
      </w:r>
      <w:r w:rsidR="00C51365">
        <w:rPr>
          <w:rFonts w:ascii="Times New Roman" w:hAnsi="Times New Roman"/>
          <w:sz w:val="24"/>
          <w:szCs w:val="24"/>
        </w:rPr>
        <w:t>screen image</w:t>
      </w:r>
      <w:r w:rsidR="00DD62B8">
        <w:rPr>
          <w:rFonts w:ascii="Times New Roman" w:hAnsi="Times New Roman"/>
          <w:sz w:val="24"/>
          <w:szCs w:val="24"/>
        </w:rPr>
        <w:t>,</w:t>
      </w:r>
      <w:r w:rsidR="00C51365">
        <w:rPr>
          <w:rFonts w:ascii="Times New Roman" w:hAnsi="Times New Roman"/>
          <w:sz w:val="24"/>
          <w:szCs w:val="24"/>
        </w:rPr>
        <w:t xml:space="preserve"> and </w:t>
      </w:r>
      <w:r w:rsidR="00DD62B8">
        <w:rPr>
          <w:rFonts w:ascii="Times New Roman" w:hAnsi="Times New Roman"/>
          <w:sz w:val="24"/>
          <w:szCs w:val="24"/>
        </w:rPr>
        <w:t xml:space="preserve">also provided </w:t>
      </w:r>
      <w:r w:rsidR="00C51365">
        <w:rPr>
          <w:rFonts w:ascii="Times New Roman" w:hAnsi="Times New Roman"/>
          <w:sz w:val="24"/>
          <w:szCs w:val="24"/>
        </w:rPr>
        <w:t xml:space="preserve">an explanation of </w:t>
      </w:r>
      <w:r w:rsidR="005A3551">
        <w:rPr>
          <w:rFonts w:ascii="Times New Roman" w:hAnsi="Times New Roman"/>
          <w:sz w:val="24"/>
          <w:szCs w:val="24"/>
        </w:rPr>
        <w:t>the steps call center representatives go through to ensure WTAP applications are handled correctly.</w:t>
      </w:r>
      <w:r w:rsidR="00DD62B8">
        <w:rPr>
          <w:rFonts w:ascii="Times New Roman" w:hAnsi="Times New Roman"/>
          <w:sz w:val="24"/>
          <w:szCs w:val="24"/>
        </w:rPr>
        <w:t xml:space="preserve"> Verizon has, therefore, </w:t>
      </w:r>
      <w:r w:rsidR="007D7401">
        <w:rPr>
          <w:rFonts w:ascii="Times New Roman" w:hAnsi="Times New Roman"/>
          <w:sz w:val="24"/>
          <w:szCs w:val="24"/>
        </w:rPr>
        <w:t>demonstrated that it has created and deployed its WTAP computer screen interface and electronic routing mechanism</w:t>
      </w:r>
      <w:r w:rsidR="00BB7245">
        <w:rPr>
          <w:rFonts w:ascii="Times New Roman" w:hAnsi="Times New Roman"/>
          <w:sz w:val="24"/>
          <w:szCs w:val="24"/>
        </w:rPr>
        <w:t xml:space="preserve"> as required</w:t>
      </w:r>
      <w:r>
        <w:rPr>
          <w:rFonts w:ascii="Times New Roman" w:hAnsi="Times New Roman"/>
          <w:sz w:val="24"/>
          <w:szCs w:val="24"/>
        </w:rPr>
        <w:t>.</w:t>
      </w:r>
    </w:p>
    <w:p w:rsidR="00F61777" w:rsidRDefault="00F61777" w:rsidP="00F61777">
      <w:pPr>
        <w:spacing w:after="0" w:line="240" w:lineRule="auto"/>
        <w:rPr>
          <w:rFonts w:ascii="Times New Roman" w:hAnsi="Times New Roman"/>
          <w:sz w:val="24"/>
          <w:szCs w:val="24"/>
        </w:rPr>
      </w:pPr>
    </w:p>
    <w:p w:rsidR="005A3551" w:rsidRPr="00F61777" w:rsidRDefault="00F61777" w:rsidP="00F61777">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Order Sweeps</w:t>
      </w:r>
    </w:p>
    <w:p w:rsidR="00B010F3" w:rsidRDefault="005A3551" w:rsidP="00F61777">
      <w:pPr>
        <w:spacing w:after="0" w:line="240" w:lineRule="auto"/>
        <w:rPr>
          <w:rFonts w:ascii="Times New Roman" w:hAnsi="Times New Roman"/>
          <w:sz w:val="24"/>
          <w:szCs w:val="24"/>
        </w:rPr>
      </w:pPr>
      <w:r>
        <w:rPr>
          <w:rFonts w:ascii="Times New Roman" w:hAnsi="Times New Roman"/>
          <w:sz w:val="24"/>
          <w:szCs w:val="24"/>
        </w:rPr>
        <w:t>Paragraph 15 require</w:t>
      </w:r>
      <w:r w:rsidR="003941FC">
        <w:rPr>
          <w:rFonts w:ascii="Times New Roman" w:hAnsi="Times New Roman"/>
          <w:sz w:val="24"/>
          <w:szCs w:val="24"/>
        </w:rPr>
        <w:t>d</w:t>
      </w:r>
      <w:r>
        <w:rPr>
          <w:rFonts w:ascii="Times New Roman" w:hAnsi="Times New Roman"/>
          <w:sz w:val="24"/>
          <w:szCs w:val="24"/>
        </w:rPr>
        <w:t xml:space="preserve"> Verizon to “create and deploy a process</w:t>
      </w:r>
      <w:r w:rsidR="00895E0A">
        <w:rPr>
          <w:rFonts w:ascii="Times New Roman" w:hAnsi="Times New Roman"/>
          <w:sz w:val="24"/>
          <w:szCs w:val="24"/>
        </w:rPr>
        <w:t xml:space="preserve"> within ten days of the effective date of the settlement agreement</w:t>
      </w:r>
      <w:r>
        <w:rPr>
          <w:rFonts w:ascii="Times New Roman" w:hAnsi="Times New Roman"/>
          <w:sz w:val="24"/>
          <w:szCs w:val="24"/>
        </w:rPr>
        <w:t xml:space="preserve"> to ‘sweep’ its computer system on a daily basis to ensure that WTAP orders have been properly routed </w:t>
      </w:r>
      <w:r w:rsidR="00F81459">
        <w:rPr>
          <w:rFonts w:ascii="Times New Roman" w:hAnsi="Times New Roman"/>
          <w:sz w:val="24"/>
          <w:szCs w:val="24"/>
        </w:rPr>
        <w:t>to the [Services Resource Center]</w:t>
      </w:r>
      <w:r w:rsidR="00C51FF3">
        <w:rPr>
          <w:rFonts w:ascii="Times New Roman" w:hAnsi="Times New Roman"/>
          <w:sz w:val="24"/>
          <w:szCs w:val="24"/>
        </w:rPr>
        <w:t xml:space="preserve"> work queue</w:t>
      </w:r>
      <w:r w:rsidR="00895E0A">
        <w:rPr>
          <w:rFonts w:ascii="Times New Roman" w:hAnsi="Times New Roman"/>
          <w:sz w:val="24"/>
          <w:szCs w:val="24"/>
        </w:rPr>
        <w:t>.</w:t>
      </w:r>
      <w:r w:rsidR="00C51FF3">
        <w:rPr>
          <w:rFonts w:ascii="Times New Roman" w:hAnsi="Times New Roman"/>
          <w:sz w:val="24"/>
          <w:szCs w:val="24"/>
        </w:rPr>
        <w:t>” Paragraph 15 further require</w:t>
      </w:r>
      <w:r w:rsidR="003941FC">
        <w:rPr>
          <w:rFonts w:ascii="Times New Roman" w:hAnsi="Times New Roman"/>
          <w:sz w:val="24"/>
          <w:szCs w:val="24"/>
        </w:rPr>
        <w:t>d</w:t>
      </w:r>
      <w:r w:rsidR="00C51FF3">
        <w:rPr>
          <w:rFonts w:ascii="Times New Roman" w:hAnsi="Times New Roman"/>
          <w:sz w:val="24"/>
          <w:szCs w:val="24"/>
        </w:rPr>
        <w:t xml:space="preserve"> Verizon to provid</w:t>
      </w:r>
      <w:r w:rsidR="00DD62B8">
        <w:rPr>
          <w:rFonts w:ascii="Times New Roman" w:hAnsi="Times New Roman"/>
          <w:sz w:val="24"/>
          <w:szCs w:val="24"/>
        </w:rPr>
        <w:t xml:space="preserve">e staff with monthly reports stating the number of WTAP applications </w:t>
      </w:r>
      <w:r w:rsidR="00C51FF3">
        <w:rPr>
          <w:rFonts w:ascii="Times New Roman" w:hAnsi="Times New Roman"/>
          <w:sz w:val="24"/>
          <w:szCs w:val="24"/>
        </w:rPr>
        <w:t xml:space="preserve">routed </w:t>
      </w:r>
      <w:r w:rsidR="00DD62B8">
        <w:rPr>
          <w:rFonts w:ascii="Times New Roman" w:hAnsi="Times New Roman"/>
          <w:sz w:val="24"/>
          <w:szCs w:val="24"/>
        </w:rPr>
        <w:t xml:space="preserve">automatically </w:t>
      </w:r>
      <w:r w:rsidR="00C51FF3">
        <w:rPr>
          <w:rFonts w:ascii="Times New Roman" w:hAnsi="Times New Roman"/>
          <w:sz w:val="24"/>
          <w:szCs w:val="24"/>
        </w:rPr>
        <w:t xml:space="preserve">and the number of </w:t>
      </w:r>
      <w:r w:rsidR="00DD62B8">
        <w:rPr>
          <w:rFonts w:ascii="Times New Roman" w:hAnsi="Times New Roman"/>
          <w:sz w:val="24"/>
          <w:szCs w:val="24"/>
        </w:rPr>
        <w:t xml:space="preserve">applications rerouted after the daily </w:t>
      </w:r>
      <w:r w:rsidR="00C51FF3">
        <w:rPr>
          <w:rFonts w:ascii="Times New Roman" w:hAnsi="Times New Roman"/>
          <w:sz w:val="24"/>
          <w:szCs w:val="24"/>
        </w:rPr>
        <w:t>sweeps.</w:t>
      </w:r>
      <w:r w:rsidR="0070120B">
        <w:rPr>
          <w:rFonts w:ascii="Times New Roman" w:hAnsi="Times New Roman"/>
          <w:b/>
          <w:sz w:val="24"/>
          <w:szCs w:val="24"/>
        </w:rPr>
        <w:t xml:space="preserve"> </w:t>
      </w:r>
      <w:r w:rsidR="0070120B">
        <w:rPr>
          <w:rFonts w:ascii="Times New Roman" w:hAnsi="Times New Roman"/>
          <w:sz w:val="24"/>
          <w:szCs w:val="24"/>
        </w:rPr>
        <w:t>Verizon provided staff with reports for each month from September 2009 through March 2010</w:t>
      </w:r>
      <w:r w:rsidR="00B010F3">
        <w:rPr>
          <w:rFonts w:ascii="Times New Roman" w:hAnsi="Times New Roman"/>
          <w:sz w:val="24"/>
          <w:szCs w:val="24"/>
        </w:rPr>
        <w:t>, indicating the following:</w:t>
      </w:r>
    </w:p>
    <w:p w:rsidR="00B010F3" w:rsidRDefault="00B010F3" w:rsidP="00F61777">
      <w:pPr>
        <w:spacing w:after="0" w:line="240" w:lineRule="auto"/>
        <w:rPr>
          <w:rFonts w:ascii="Times New Roman" w:hAnsi="Times New Roman"/>
          <w:sz w:val="24"/>
          <w:szCs w:val="24"/>
        </w:rPr>
      </w:pPr>
    </w:p>
    <w:tbl>
      <w:tblPr>
        <w:tblStyle w:val="TableGrid"/>
        <w:tblW w:w="4680" w:type="dxa"/>
        <w:jc w:val="center"/>
        <w:tblLayout w:type="fixed"/>
        <w:tblLook w:val="04A0"/>
      </w:tblPr>
      <w:tblGrid>
        <w:gridCol w:w="1800"/>
        <w:gridCol w:w="1530"/>
        <w:gridCol w:w="1350"/>
      </w:tblGrid>
      <w:tr w:rsidR="00B010F3" w:rsidTr="00A82CDD">
        <w:trPr>
          <w:jc w:val="center"/>
        </w:trPr>
        <w:tc>
          <w:tcPr>
            <w:tcW w:w="1800" w:type="dxa"/>
            <w:vAlign w:val="center"/>
          </w:tcPr>
          <w:p w:rsidR="00315BE8" w:rsidRDefault="00B010F3">
            <w:pPr>
              <w:jc w:val="center"/>
              <w:rPr>
                <w:rFonts w:ascii="Times New Roman" w:hAnsi="Times New Roman"/>
                <w:b/>
                <w:sz w:val="24"/>
                <w:szCs w:val="24"/>
              </w:rPr>
            </w:pPr>
            <w:r>
              <w:rPr>
                <w:rFonts w:ascii="Times New Roman" w:hAnsi="Times New Roman"/>
                <w:b/>
                <w:sz w:val="24"/>
                <w:szCs w:val="24"/>
              </w:rPr>
              <w:t>Month</w:t>
            </w:r>
          </w:p>
        </w:tc>
        <w:tc>
          <w:tcPr>
            <w:tcW w:w="1530" w:type="dxa"/>
          </w:tcPr>
          <w:p w:rsidR="00315BE8" w:rsidRDefault="00B010F3">
            <w:pPr>
              <w:jc w:val="right"/>
              <w:rPr>
                <w:rFonts w:ascii="Times New Roman" w:hAnsi="Times New Roman"/>
                <w:b/>
                <w:sz w:val="24"/>
                <w:szCs w:val="24"/>
              </w:rPr>
            </w:pPr>
            <w:r>
              <w:rPr>
                <w:rFonts w:ascii="Times New Roman" w:hAnsi="Times New Roman"/>
                <w:b/>
                <w:sz w:val="24"/>
                <w:szCs w:val="24"/>
              </w:rPr>
              <w:t xml:space="preserve">Total WTAP </w:t>
            </w:r>
            <w:r w:rsidR="00DD62B8">
              <w:rPr>
                <w:rFonts w:ascii="Times New Roman" w:hAnsi="Times New Roman"/>
                <w:b/>
                <w:sz w:val="24"/>
                <w:szCs w:val="24"/>
              </w:rPr>
              <w:t>Applications</w:t>
            </w:r>
          </w:p>
        </w:tc>
        <w:tc>
          <w:tcPr>
            <w:tcW w:w="1350" w:type="dxa"/>
          </w:tcPr>
          <w:p w:rsidR="00315BE8" w:rsidRDefault="00B010F3">
            <w:pPr>
              <w:jc w:val="right"/>
              <w:rPr>
                <w:rFonts w:ascii="Times New Roman" w:hAnsi="Times New Roman"/>
                <w:b/>
                <w:sz w:val="24"/>
                <w:szCs w:val="24"/>
              </w:rPr>
            </w:pPr>
            <w:r>
              <w:rPr>
                <w:rFonts w:ascii="Times New Roman" w:hAnsi="Times New Roman"/>
                <w:b/>
                <w:sz w:val="24"/>
                <w:szCs w:val="24"/>
              </w:rPr>
              <w:t>% WTAP Orders Rerouted</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September 2009</w:t>
            </w:r>
          </w:p>
        </w:tc>
        <w:tc>
          <w:tcPr>
            <w:tcW w:w="1530" w:type="dxa"/>
          </w:tcPr>
          <w:p w:rsidR="00315BE8" w:rsidRDefault="00B010F3">
            <w:pPr>
              <w:jc w:val="right"/>
              <w:rPr>
                <w:rFonts w:ascii="Times New Roman" w:hAnsi="Times New Roman"/>
                <w:sz w:val="24"/>
                <w:szCs w:val="24"/>
              </w:rPr>
            </w:pPr>
            <w:r>
              <w:rPr>
                <w:rFonts w:ascii="Times New Roman" w:hAnsi="Times New Roman"/>
                <w:sz w:val="24"/>
                <w:szCs w:val="24"/>
              </w:rPr>
              <w:t>457</w:t>
            </w:r>
          </w:p>
        </w:tc>
        <w:tc>
          <w:tcPr>
            <w:tcW w:w="1350" w:type="dxa"/>
          </w:tcPr>
          <w:p w:rsidR="00315BE8" w:rsidRDefault="00B010F3">
            <w:pPr>
              <w:jc w:val="right"/>
              <w:rPr>
                <w:rFonts w:ascii="Times New Roman" w:hAnsi="Times New Roman"/>
                <w:sz w:val="24"/>
                <w:szCs w:val="24"/>
              </w:rPr>
            </w:pPr>
            <w:r>
              <w:rPr>
                <w:rFonts w:ascii="Times New Roman" w:hAnsi="Times New Roman"/>
                <w:sz w:val="24"/>
                <w:szCs w:val="24"/>
              </w:rPr>
              <w:t>3.3%</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October 2009</w:t>
            </w:r>
          </w:p>
        </w:tc>
        <w:tc>
          <w:tcPr>
            <w:tcW w:w="1530" w:type="dxa"/>
          </w:tcPr>
          <w:p w:rsidR="00315BE8" w:rsidRDefault="00B010F3">
            <w:pPr>
              <w:jc w:val="right"/>
              <w:rPr>
                <w:rFonts w:ascii="Times New Roman" w:hAnsi="Times New Roman"/>
                <w:sz w:val="24"/>
                <w:szCs w:val="24"/>
              </w:rPr>
            </w:pPr>
            <w:r>
              <w:rPr>
                <w:rFonts w:ascii="Times New Roman" w:hAnsi="Times New Roman"/>
                <w:sz w:val="24"/>
                <w:szCs w:val="24"/>
              </w:rPr>
              <w:t>1</w:t>
            </w:r>
            <w:r w:rsidR="00A82CDD">
              <w:rPr>
                <w:rFonts w:ascii="Times New Roman" w:hAnsi="Times New Roman"/>
                <w:sz w:val="24"/>
                <w:szCs w:val="24"/>
              </w:rPr>
              <w:t>,</w:t>
            </w:r>
            <w:r>
              <w:rPr>
                <w:rFonts w:ascii="Times New Roman" w:hAnsi="Times New Roman"/>
                <w:sz w:val="24"/>
                <w:szCs w:val="24"/>
              </w:rPr>
              <w:t>276</w:t>
            </w:r>
          </w:p>
        </w:tc>
        <w:tc>
          <w:tcPr>
            <w:tcW w:w="1350" w:type="dxa"/>
          </w:tcPr>
          <w:p w:rsidR="00315BE8" w:rsidRDefault="00B010F3">
            <w:pPr>
              <w:jc w:val="right"/>
              <w:rPr>
                <w:rFonts w:ascii="Times New Roman" w:hAnsi="Times New Roman"/>
                <w:sz w:val="24"/>
                <w:szCs w:val="24"/>
              </w:rPr>
            </w:pPr>
            <w:r>
              <w:rPr>
                <w:rFonts w:ascii="Times New Roman" w:hAnsi="Times New Roman"/>
                <w:sz w:val="24"/>
                <w:szCs w:val="24"/>
              </w:rPr>
              <w:t>3.1%</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November 2009</w:t>
            </w:r>
          </w:p>
        </w:tc>
        <w:tc>
          <w:tcPr>
            <w:tcW w:w="1530" w:type="dxa"/>
          </w:tcPr>
          <w:p w:rsidR="00315BE8" w:rsidRDefault="00B010F3">
            <w:pPr>
              <w:jc w:val="right"/>
              <w:rPr>
                <w:rFonts w:ascii="Times New Roman" w:hAnsi="Times New Roman"/>
                <w:sz w:val="24"/>
                <w:szCs w:val="24"/>
              </w:rPr>
            </w:pPr>
            <w:r>
              <w:rPr>
                <w:rFonts w:ascii="Times New Roman" w:hAnsi="Times New Roman"/>
                <w:sz w:val="24"/>
                <w:szCs w:val="24"/>
              </w:rPr>
              <w:t>1</w:t>
            </w:r>
            <w:r w:rsidR="00A82CDD">
              <w:rPr>
                <w:rFonts w:ascii="Times New Roman" w:hAnsi="Times New Roman"/>
                <w:sz w:val="24"/>
                <w:szCs w:val="24"/>
              </w:rPr>
              <w:t>,</w:t>
            </w:r>
            <w:r>
              <w:rPr>
                <w:rFonts w:ascii="Times New Roman" w:hAnsi="Times New Roman"/>
                <w:sz w:val="24"/>
                <w:szCs w:val="24"/>
              </w:rPr>
              <w:t>077</w:t>
            </w:r>
          </w:p>
        </w:tc>
        <w:tc>
          <w:tcPr>
            <w:tcW w:w="1350" w:type="dxa"/>
          </w:tcPr>
          <w:p w:rsidR="00315BE8" w:rsidRDefault="00B010F3">
            <w:pPr>
              <w:jc w:val="right"/>
              <w:rPr>
                <w:rFonts w:ascii="Times New Roman" w:hAnsi="Times New Roman"/>
                <w:sz w:val="24"/>
                <w:szCs w:val="24"/>
              </w:rPr>
            </w:pPr>
            <w:r>
              <w:rPr>
                <w:rFonts w:ascii="Times New Roman" w:hAnsi="Times New Roman"/>
                <w:sz w:val="24"/>
                <w:szCs w:val="24"/>
              </w:rPr>
              <w:t>5.9%</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December 2009</w:t>
            </w:r>
          </w:p>
        </w:tc>
        <w:tc>
          <w:tcPr>
            <w:tcW w:w="1530" w:type="dxa"/>
          </w:tcPr>
          <w:p w:rsidR="00315BE8" w:rsidRDefault="006C61A6">
            <w:pPr>
              <w:jc w:val="right"/>
              <w:rPr>
                <w:rFonts w:ascii="Times New Roman" w:hAnsi="Times New Roman"/>
                <w:sz w:val="24"/>
                <w:szCs w:val="24"/>
              </w:rPr>
            </w:pPr>
            <w:r>
              <w:rPr>
                <w:rFonts w:ascii="Times New Roman" w:hAnsi="Times New Roman"/>
                <w:sz w:val="24"/>
                <w:szCs w:val="24"/>
              </w:rPr>
              <w:t>1</w:t>
            </w:r>
            <w:r w:rsidR="00A82CDD">
              <w:rPr>
                <w:rFonts w:ascii="Times New Roman" w:hAnsi="Times New Roman"/>
                <w:sz w:val="24"/>
                <w:szCs w:val="24"/>
              </w:rPr>
              <w:t>,</w:t>
            </w:r>
            <w:r>
              <w:rPr>
                <w:rFonts w:ascii="Times New Roman" w:hAnsi="Times New Roman"/>
                <w:sz w:val="24"/>
                <w:szCs w:val="24"/>
              </w:rPr>
              <w:t>027</w:t>
            </w:r>
          </w:p>
        </w:tc>
        <w:tc>
          <w:tcPr>
            <w:tcW w:w="1350" w:type="dxa"/>
          </w:tcPr>
          <w:p w:rsidR="00315BE8" w:rsidRDefault="006C61A6">
            <w:pPr>
              <w:jc w:val="right"/>
              <w:rPr>
                <w:rFonts w:ascii="Times New Roman" w:hAnsi="Times New Roman"/>
                <w:sz w:val="24"/>
                <w:szCs w:val="24"/>
              </w:rPr>
            </w:pPr>
            <w:r>
              <w:rPr>
                <w:rFonts w:ascii="Times New Roman" w:hAnsi="Times New Roman"/>
                <w:sz w:val="24"/>
                <w:szCs w:val="24"/>
              </w:rPr>
              <w:t>8.3%</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January 2010</w:t>
            </w:r>
          </w:p>
        </w:tc>
        <w:tc>
          <w:tcPr>
            <w:tcW w:w="1530" w:type="dxa"/>
          </w:tcPr>
          <w:p w:rsidR="00315BE8" w:rsidRDefault="006C61A6">
            <w:pPr>
              <w:jc w:val="right"/>
              <w:rPr>
                <w:rFonts w:ascii="Times New Roman" w:hAnsi="Times New Roman"/>
                <w:sz w:val="24"/>
                <w:szCs w:val="24"/>
              </w:rPr>
            </w:pPr>
            <w:r>
              <w:rPr>
                <w:rFonts w:ascii="Times New Roman" w:hAnsi="Times New Roman"/>
                <w:sz w:val="24"/>
                <w:szCs w:val="24"/>
              </w:rPr>
              <w:t>1</w:t>
            </w:r>
            <w:r w:rsidR="00A82CDD">
              <w:rPr>
                <w:rFonts w:ascii="Times New Roman" w:hAnsi="Times New Roman"/>
                <w:sz w:val="24"/>
                <w:szCs w:val="24"/>
              </w:rPr>
              <w:t>,</w:t>
            </w:r>
            <w:r>
              <w:rPr>
                <w:rFonts w:ascii="Times New Roman" w:hAnsi="Times New Roman"/>
                <w:sz w:val="24"/>
                <w:szCs w:val="24"/>
              </w:rPr>
              <w:t>029</w:t>
            </w:r>
          </w:p>
        </w:tc>
        <w:tc>
          <w:tcPr>
            <w:tcW w:w="1350" w:type="dxa"/>
          </w:tcPr>
          <w:p w:rsidR="00315BE8" w:rsidRDefault="006C61A6">
            <w:pPr>
              <w:jc w:val="right"/>
              <w:rPr>
                <w:rFonts w:ascii="Times New Roman" w:hAnsi="Times New Roman"/>
                <w:sz w:val="24"/>
                <w:szCs w:val="24"/>
              </w:rPr>
            </w:pPr>
            <w:r>
              <w:rPr>
                <w:rFonts w:ascii="Times New Roman" w:hAnsi="Times New Roman"/>
                <w:sz w:val="24"/>
                <w:szCs w:val="24"/>
              </w:rPr>
              <w:t>5.5%</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February 2010</w:t>
            </w:r>
          </w:p>
        </w:tc>
        <w:tc>
          <w:tcPr>
            <w:tcW w:w="1530" w:type="dxa"/>
          </w:tcPr>
          <w:p w:rsidR="00315BE8" w:rsidRDefault="006C61A6">
            <w:pPr>
              <w:jc w:val="right"/>
              <w:rPr>
                <w:rFonts w:ascii="Times New Roman" w:hAnsi="Times New Roman"/>
                <w:sz w:val="24"/>
                <w:szCs w:val="24"/>
              </w:rPr>
            </w:pPr>
            <w:r>
              <w:rPr>
                <w:rFonts w:ascii="Times New Roman" w:hAnsi="Times New Roman"/>
                <w:sz w:val="24"/>
                <w:szCs w:val="24"/>
              </w:rPr>
              <w:t>814</w:t>
            </w:r>
          </w:p>
        </w:tc>
        <w:tc>
          <w:tcPr>
            <w:tcW w:w="1350" w:type="dxa"/>
          </w:tcPr>
          <w:p w:rsidR="00315BE8" w:rsidRDefault="006C61A6">
            <w:pPr>
              <w:jc w:val="right"/>
              <w:rPr>
                <w:rFonts w:ascii="Times New Roman" w:hAnsi="Times New Roman"/>
                <w:sz w:val="24"/>
                <w:szCs w:val="24"/>
              </w:rPr>
            </w:pPr>
            <w:r>
              <w:rPr>
                <w:rFonts w:ascii="Times New Roman" w:hAnsi="Times New Roman"/>
                <w:sz w:val="24"/>
                <w:szCs w:val="24"/>
              </w:rPr>
              <w:t>4.6%</w:t>
            </w:r>
          </w:p>
        </w:tc>
      </w:tr>
      <w:tr w:rsidR="00B010F3" w:rsidTr="00A82CDD">
        <w:trPr>
          <w:jc w:val="center"/>
        </w:trPr>
        <w:tc>
          <w:tcPr>
            <w:tcW w:w="1800" w:type="dxa"/>
          </w:tcPr>
          <w:p w:rsidR="00B010F3" w:rsidRDefault="00B010F3" w:rsidP="00F61777">
            <w:pPr>
              <w:rPr>
                <w:rFonts w:ascii="Times New Roman" w:hAnsi="Times New Roman"/>
                <w:sz w:val="24"/>
                <w:szCs w:val="24"/>
              </w:rPr>
            </w:pPr>
            <w:r>
              <w:rPr>
                <w:rFonts w:ascii="Times New Roman" w:hAnsi="Times New Roman"/>
                <w:sz w:val="24"/>
                <w:szCs w:val="24"/>
              </w:rPr>
              <w:t>March 2010</w:t>
            </w:r>
          </w:p>
        </w:tc>
        <w:tc>
          <w:tcPr>
            <w:tcW w:w="1530" w:type="dxa"/>
          </w:tcPr>
          <w:p w:rsidR="00315BE8" w:rsidRDefault="006C61A6">
            <w:pPr>
              <w:jc w:val="right"/>
              <w:rPr>
                <w:rFonts w:ascii="Times New Roman" w:hAnsi="Times New Roman"/>
                <w:sz w:val="24"/>
                <w:szCs w:val="24"/>
              </w:rPr>
            </w:pPr>
            <w:r>
              <w:rPr>
                <w:rFonts w:ascii="Times New Roman" w:hAnsi="Times New Roman"/>
                <w:sz w:val="24"/>
                <w:szCs w:val="24"/>
              </w:rPr>
              <w:t>269</w:t>
            </w:r>
          </w:p>
        </w:tc>
        <w:tc>
          <w:tcPr>
            <w:tcW w:w="1350" w:type="dxa"/>
          </w:tcPr>
          <w:p w:rsidR="00315BE8" w:rsidRDefault="006C61A6">
            <w:pPr>
              <w:jc w:val="right"/>
              <w:rPr>
                <w:rFonts w:ascii="Times New Roman" w:hAnsi="Times New Roman"/>
                <w:sz w:val="24"/>
                <w:szCs w:val="24"/>
              </w:rPr>
            </w:pPr>
            <w:r>
              <w:rPr>
                <w:rFonts w:ascii="Times New Roman" w:hAnsi="Times New Roman"/>
                <w:sz w:val="24"/>
                <w:szCs w:val="24"/>
              </w:rPr>
              <w:t>4.5%</w:t>
            </w:r>
          </w:p>
        </w:tc>
      </w:tr>
    </w:tbl>
    <w:p w:rsidR="00C51FF3" w:rsidRDefault="00C51FF3" w:rsidP="00F61777">
      <w:pPr>
        <w:spacing w:after="0" w:line="240" w:lineRule="auto"/>
        <w:rPr>
          <w:rFonts w:ascii="Times New Roman" w:hAnsi="Times New Roman"/>
          <w:sz w:val="24"/>
          <w:szCs w:val="24"/>
        </w:rPr>
      </w:pPr>
    </w:p>
    <w:p w:rsidR="006C61A6" w:rsidRDefault="00F81459" w:rsidP="00F61777">
      <w:pPr>
        <w:spacing w:after="0" w:line="240" w:lineRule="auto"/>
        <w:rPr>
          <w:rFonts w:ascii="Times New Roman" w:hAnsi="Times New Roman"/>
          <w:sz w:val="24"/>
          <w:szCs w:val="24"/>
        </w:rPr>
      </w:pPr>
      <w:r>
        <w:rPr>
          <w:rFonts w:ascii="Times New Roman" w:hAnsi="Times New Roman"/>
          <w:sz w:val="24"/>
          <w:szCs w:val="24"/>
        </w:rPr>
        <w:t xml:space="preserve">Verizon’s reports indicate that its new sweep process effectively </w:t>
      </w:r>
      <w:r w:rsidR="00DD62B8">
        <w:rPr>
          <w:rFonts w:ascii="Times New Roman" w:hAnsi="Times New Roman"/>
          <w:sz w:val="24"/>
          <w:szCs w:val="24"/>
        </w:rPr>
        <w:t>routed all WTAP applications. First, the reports</w:t>
      </w:r>
      <w:r>
        <w:rPr>
          <w:rFonts w:ascii="Times New Roman" w:hAnsi="Times New Roman"/>
          <w:sz w:val="24"/>
          <w:szCs w:val="24"/>
        </w:rPr>
        <w:t xml:space="preserve"> indicated that the vast majority of WTAP orders were automatically routed to the Services Resource Center without incident. Second, for </w:t>
      </w:r>
      <w:r w:rsidR="00DD62B8">
        <w:rPr>
          <w:rFonts w:ascii="Times New Roman" w:hAnsi="Times New Roman"/>
          <w:sz w:val="24"/>
          <w:szCs w:val="24"/>
        </w:rPr>
        <w:t xml:space="preserve">the </w:t>
      </w:r>
      <w:r w:rsidR="00A82CDD">
        <w:rPr>
          <w:rFonts w:ascii="Times New Roman" w:hAnsi="Times New Roman"/>
          <w:sz w:val="24"/>
          <w:szCs w:val="24"/>
        </w:rPr>
        <w:t xml:space="preserve">relatively </w:t>
      </w:r>
      <w:r w:rsidR="00DD62B8">
        <w:rPr>
          <w:rFonts w:ascii="Times New Roman" w:hAnsi="Times New Roman"/>
          <w:sz w:val="24"/>
          <w:szCs w:val="24"/>
        </w:rPr>
        <w:t>small portion of WTAP applications</w:t>
      </w:r>
      <w:r>
        <w:rPr>
          <w:rFonts w:ascii="Times New Roman" w:hAnsi="Times New Roman"/>
          <w:sz w:val="24"/>
          <w:szCs w:val="24"/>
        </w:rPr>
        <w:t xml:space="preserve"> that were misrouted, the daily sweeps appear to have a</w:t>
      </w:r>
      <w:r w:rsidR="00DD62B8">
        <w:rPr>
          <w:rFonts w:ascii="Times New Roman" w:hAnsi="Times New Roman"/>
          <w:sz w:val="24"/>
          <w:szCs w:val="24"/>
        </w:rPr>
        <w:t>llowed rerouting of those applications</w:t>
      </w:r>
      <w:r>
        <w:rPr>
          <w:rFonts w:ascii="Times New Roman" w:hAnsi="Times New Roman"/>
          <w:sz w:val="24"/>
          <w:szCs w:val="24"/>
        </w:rPr>
        <w:t xml:space="preserve"> for timely processing</w:t>
      </w:r>
      <w:r w:rsidR="00F61777">
        <w:rPr>
          <w:rFonts w:ascii="Times New Roman" w:hAnsi="Times New Roman"/>
          <w:sz w:val="24"/>
          <w:szCs w:val="24"/>
        </w:rPr>
        <w:t xml:space="preserve"> in three business days or less</w:t>
      </w:r>
      <w:r>
        <w:rPr>
          <w:rFonts w:ascii="Times New Roman" w:hAnsi="Times New Roman"/>
          <w:sz w:val="24"/>
          <w:szCs w:val="24"/>
        </w:rPr>
        <w:t>. Therefore, Verizon</w:t>
      </w:r>
      <w:r w:rsidR="00DD62B8">
        <w:rPr>
          <w:rFonts w:ascii="Times New Roman" w:hAnsi="Times New Roman"/>
          <w:sz w:val="24"/>
          <w:szCs w:val="24"/>
        </w:rPr>
        <w:t xml:space="preserve">’s compliance </w:t>
      </w:r>
      <w:r w:rsidR="00010ED0">
        <w:rPr>
          <w:rFonts w:ascii="Times New Roman" w:hAnsi="Times New Roman"/>
          <w:sz w:val="24"/>
          <w:szCs w:val="24"/>
        </w:rPr>
        <w:t>with this requirement has had a positive impact on the WTAP application process.</w:t>
      </w:r>
    </w:p>
    <w:p w:rsidR="00F61777" w:rsidRDefault="00F61777" w:rsidP="00F61777">
      <w:pPr>
        <w:spacing w:after="0" w:line="240" w:lineRule="auto"/>
        <w:rPr>
          <w:rFonts w:ascii="Times New Roman" w:hAnsi="Times New Roman"/>
          <w:b/>
          <w:sz w:val="24"/>
          <w:szCs w:val="24"/>
        </w:rPr>
      </w:pPr>
    </w:p>
    <w:p w:rsidR="00F61777" w:rsidRPr="00F61777" w:rsidRDefault="00F61777" w:rsidP="00F61777">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Call Monitoring</w:t>
      </w:r>
    </w:p>
    <w:p w:rsidR="00010ED0" w:rsidRDefault="00C51FF3" w:rsidP="00F61777">
      <w:pPr>
        <w:spacing w:after="0" w:line="240" w:lineRule="auto"/>
        <w:rPr>
          <w:rFonts w:ascii="Times New Roman" w:hAnsi="Times New Roman"/>
          <w:sz w:val="24"/>
          <w:szCs w:val="24"/>
        </w:rPr>
      </w:pPr>
      <w:r>
        <w:rPr>
          <w:rFonts w:ascii="Times New Roman" w:hAnsi="Times New Roman"/>
          <w:sz w:val="24"/>
          <w:szCs w:val="24"/>
        </w:rPr>
        <w:t>Paragraph 16 require</w:t>
      </w:r>
      <w:r w:rsidR="00636C6F">
        <w:rPr>
          <w:rFonts w:ascii="Times New Roman" w:hAnsi="Times New Roman"/>
          <w:sz w:val="24"/>
          <w:szCs w:val="24"/>
        </w:rPr>
        <w:t>d</w:t>
      </w:r>
      <w:r>
        <w:rPr>
          <w:rFonts w:ascii="Times New Roman" w:hAnsi="Times New Roman"/>
          <w:sz w:val="24"/>
          <w:szCs w:val="24"/>
        </w:rPr>
        <w:t xml:space="preserve"> Verizon to increase by ten percent “the number of customer calls currently monitored” and to provide staff with m</w:t>
      </w:r>
      <w:r w:rsidR="00A966DD">
        <w:rPr>
          <w:rFonts w:ascii="Times New Roman" w:hAnsi="Times New Roman"/>
          <w:sz w:val="24"/>
          <w:szCs w:val="24"/>
        </w:rPr>
        <w:t>onthly reports of total monitored calls and those monitored calls that were related to WTAP.</w:t>
      </w:r>
      <w:r w:rsidR="0070120B">
        <w:rPr>
          <w:rFonts w:ascii="Times New Roman" w:hAnsi="Times New Roman"/>
          <w:sz w:val="24"/>
          <w:szCs w:val="24"/>
        </w:rPr>
        <w:t xml:space="preserve"> </w:t>
      </w:r>
      <w:r w:rsidR="003B20E9">
        <w:rPr>
          <w:rFonts w:ascii="Times New Roman" w:hAnsi="Times New Roman"/>
          <w:sz w:val="24"/>
          <w:szCs w:val="24"/>
        </w:rPr>
        <w:t>Verizon provided staff with reports for each month from September 2009 through March 2010 describing the number of calls monitored</w:t>
      </w:r>
      <w:r w:rsidR="00566743">
        <w:rPr>
          <w:rFonts w:ascii="Times New Roman" w:hAnsi="Times New Roman"/>
          <w:sz w:val="24"/>
          <w:szCs w:val="24"/>
        </w:rPr>
        <w:t>, indicating the following:</w:t>
      </w:r>
    </w:p>
    <w:p w:rsidR="00566743" w:rsidRDefault="00566743" w:rsidP="00F61777">
      <w:pPr>
        <w:spacing w:after="0" w:line="240" w:lineRule="auto"/>
        <w:rPr>
          <w:rFonts w:ascii="Times New Roman" w:hAnsi="Times New Roman"/>
          <w:sz w:val="24"/>
          <w:szCs w:val="24"/>
        </w:rPr>
      </w:pPr>
    </w:p>
    <w:tbl>
      <w:tblPr>
        <w:tblStyle w:val="TableGrid"/>
        <w:tblW w:w="0" w:type="auto"/>
        <w:jc w:val="center"/>
        <w:tblLook w:val="04A0"/>
      </w:tblPr>
      <w:tblGrid>
        <w:gridCol w:w="2538"/>
        <w:gridCol w:w="1457"/>
        <w:gridCol w:w="1440"/>
      </w:tblGrid>
      <w:tr w:rsidR="00566743" w:rsidTr="0068769A">
        <w:trPr>
          <w:jc w:val="center"/>
        </w:trPr>
        <w:tc>
          <w:tcPr>
            <w:tcW w:w="2538" w:type="dxa"/>
            <w:vAlign w:val="center"/>
          </w:tcPr>
          <w:p w:rsidR="00315BE8" w:rsidRDefault="00566743">
            <w:pPr>
              <w:jc w:val="center"/>
              <w:rPr>
                <w:rFonts w:ascii="Times New Roman" w:hAnsi="Times New Roman"/>
                <w:b/>
                <w:sz w:val="24"/>
                <w:szCs w:val="24"/>
              </w:rPr>
            </w:pPr>
            <w:r>
              <w:rPr>
                <w:rFonts w:ascii="Times New Roman" w:hAnsi="Times New Roman"/>
                <w:b/>
                <w:sz w:val="24"/>
                <w:szCs w:val="24"/>
              </w:rPr>
              <w:t>Month</w:t>
            </w:r>
          </w:p>
        </w:tc>
        <w:tc>
          <w:tcPr>
            <w:tcW w:w="1457" w:type="dxa"/>
          </w:tcPr>
          <w:p w:rsidR="00315BE8" w:rsidRDefault="00566743">
            <w:pPr>
              <w:jc w:val="right"/>
              <w:rPr>
                <w:rFonts w:ascii="Times New Roman" w:hAnsi="Times New Roman"/>
                <w:b/>
                <w:sz w:val="24"/>
                <w:szCs w:val="24"/>
              </w:rPr>
            </w:pPr>
            <w:r>
              <w:rPr>
                <w:rFonts w:ascii="Times New Roman" w:hAnsi="Times New Roman"/>
                <w:b/>
                <w:sz w:val="24"/>
                <w:szCs w:val="24"/>
              </w:rPr>
              <w:t xml:space="preserve">Total </w:t>
            </w:r>
            <w:r w:rsidR="005C0D0C">
              <w:rPr>
                <w:rFonts w:ascii="Times New Roman" w:hAnsi="Times New Roman"/>
                <w:b/>
                <w:sz w:val="24"/>
                <w:szCs w:val="24"/>
              </w:rPr>
              <w:t>Washington</w:t>
            </w:r>
          </w:p>
          <w:p w:rsidR="00315BE8" w:rsidRDefault="00566743">
            <w:pPr>
              <w:jc w:val="right"/>
              <w:rPr>
                <w:rFonts w:ascii="Times New Roman" w:hAnsi="Times New Roman"/>
                <w:b/>
                <w:sz w:val="24"/>
                <w:szCs w:val="24"/>
              </w:rPr>
            </w:pPr>
            <w:r>
              <w:rPr>
                <w:rFonts w:ascii="Times New Roman" w:hAnsi="Times New Roman"/>
                <w:b/>
                <w:sz w:val="24"/>
                <w:szCs w:val="24"/>
              </w:rPr>
              <w:t>Calls Monitored</w:t>
            </w:r>
          </w:p>
        </w:tc>
        <w:tc>
          <w:tcPr>
            <w:tcW w:w="1440" w:type="dxa"/>
          </w:tcPr>
          <w:p w:rsidR="00315BE8" w:rsidRDefault="00566743">
            <w:pPr>
              <w:jc w:val="right"/>
              <w:rPr>
                <w:rFonts w:ascii="Times New Roman" w:hAnsi="Times New Roman"/>
                <w:b/>
                <w:sz w:val="24"/>
                <w:szCs w:val="24"/>
              </w:rPr>
            </w:pPr>
            <w:r>
              <w:rPr>
                <w:rFonts w:ascii="Times New Roman" w:hAnsi="Times New Roman"/>
                <w:b/>
                <w:sz w:val="24"/>
                <w:szCs w:val="24"/>
              </w:rPr>
              <w:t>WTAP Calls Monitored</w:t>
            </w:r>
          </w:p>
        </w:tc>
      </w:tr>
      <w:tr w:rsidR="00566743" w:rsidTr="0068769A">
        <w:trPr>
          <w:jc w:val="center"/>
        </w:trPr>
        <w:tc>
          <w:tcPr>
            <w:tcW w:w="2538" w:type="dxa"/>
          </w:tcPr>
          <w:p w:rsidR="00566743" w:rsidRPr="00566743" w:rsidRDefault="00566743" w:rsidP="00F61777">
            <w:pPr>
              <w:rPr>
                <w:rFonts w:ascii="Times New Roman" w:hAnsi="Times New Roman"/>
                <w:sz w:val="24"/>
                <w:szCs w:val="24"/>
              </w:rPr>
            </w:pPr>
            <w:r>
              <w:rPr>
                <w:rFonts w:ascii="Times New Roman" w:hAnsi="Times New Roman"/>
                <w:sz w:val="24"/>
                <w:szCs w:val="24"/>
              </w:rPr>
              <w:t>September</w:t>
            </w:r>
            <w:r w:rsidR="005C0D0C">
              <w:rPr>
                <w:rFonts w:ascii="Times New Roman" w:hAnsi="Times New Roman"/>
                <w:sz w:val="24"/>
                <w:szCs w:val="24"/>
              </w:rPr>
              <w:t xml:space="preserve"> 2009</w:t>
            </w:r>
          </w:p>
        </w:tc>
        <w:tc>
          <w:tcPr>
            <w:tcW w:w="1457" w:type="dxa"/>
          </w:tcPr>
          <w:p w:rsidR="00315BE8" w:rsidRDefault="00566743">
            <w:pPr>
              <w:jc w:val="right"/>
              <w:rPr>
                <w:rFonts w:ascii="Times New Roman" w:hAnsi="Times New Roman"/>
                <w:sz w:val="24"/>
                <w:szCs w:val="24"/>
              </w:rPr>
            </w:pPr>
            <w:r>
              <w:rPr>
                <w:rFonts w:ascii="Times New Roman" w:hAnsi="Times New Roman"/>
                <w:sz w:val="24"/>
                <w:szCs w:val="24"/>
              </w:rPr>
              <w:t>64</w:t>
            </w:r>
          </w:p>
        </w:tc>
        <w:tc>
          <w:tcPr>
            <w:tcW w:w="1440" w:type="dxa"/>
          </w:tcPr>
          <w:p w:rsidR="00315BE8" w:rsidRDefault="005C0D0C">
            <w:pPr>
              <w:jc w:val="right"/>
              <w:rPr>
                <w:rFonts w:ascii="Times New Roman" w:hAnsi="Times New Roman"/>
                <w:sz w:val="24"/>
                <w:szCs w:val="24"/>
              </w:rPr>
            </w:pPr>
            <w:r>
              <w:rPr>
                <w:rFonts w:ascii="Times New Roman" w:hAnsi="Times New Roman"/>
                <w:sz w:val="24"/>
                <w:szCs w:val="24"/>
              </w:rPr>
              <w:t>1</w:t>
            </w:r>
          </w:p>
        </w:tc>
      </w:tr>
      <w:tr w:rsidR="00566743" w:rsidTr="0068769A">
        <w:trPr>
          <w:jc w:val="center"/>
        </w:trPr>
        <w:tc>
          <w:tcPr>
            <w:tcW w:w="2538" w:type="dxa"/>
          </w:tcPr>
          <w:p w:rsidR="00566743" w:rsidRPr="00566743" w:rsidRDefault="005C0D0C" w:rsidP="00F61777">
            <w:pPr>
              <w:rPr>
                <w:rFonts w:ascii="Times New Roman" w:hAnsi="Times New Roman"/>
                <w:sz w:val="24"/>
                <w:szCs w:val="24"/>
              </w:rPr>
            </w:pPr>
            <w:r>
              <w:rPr>
                <w:rFonts w:ascii="Times New Roman" w:hAnsi="Times New Roman"/>
                <w:sz w:val="24"/>
                <w:szCs w:val="24"/>
              </w:rPr>
              <w:t>October 2009</w:t>
            </w:r>
          </w:p>
        </w:tc>
        <w:tc>
          <w:tcPr>
            <w:tcW w:w="1457" w:type="dxa"/>
          </w:tcPr>
          <w:p w:rsidR="00315BE8" w:rsidRDefault="005C0D0C">
            <w:pPr>
              <w:jc w:val="right"/>
              <w:rPr>
                <w:rFonts w:ascii="Times New Roman" w:hAnsi="Times New Roman"/>
                <w:sz w:val="24"/>
                <w:szCs w:val="24"/>
              </w:rPr>
            </w:pPr>
            <w:r>
              <w:rPr>
                <w:rFonts w:ascii="Times New Roman" w:hAnsi="Times New Roman"/>
                <w:sz w:val="24"/>
                <w:szCs w:val="24"/>
              </w:rPr>
              <w:t>165</w:t>
            </w:r>
          </w:p>
        </w:tc>
        <w:tc>
          <w:tcPr>
            <w:tcW w:w="1440" w:type="dxa"/>
          </w:tcPr>
          <w:p w:rsidR="00315BE8" w:rsidRDefault="005C0D0C">
            <w:pPr>
              <w:jc w:val="right"/>
              <w:rPr>
                <w:rFonts w:ascii="Times New Roman" w:hAnsi="Times New Roman"/>
                <w:sz w:val="24"/>
                <w:szCs w:val="24"/>
              </w:rPr>
            </w:pPr>
            <w:r w:rsidRPr="005C0D0C">
              <w:rPr>
                <w:rFonts w:ascii="Times New Roman" w:hAnsi="Times New Roman"/>
                <w:sz w:val="24"/>
                <w:szCs w:val="24"/>
              </w:rPr>
              <w:t>2</w:t>
            </w:r>
          </w:p>
        </w:tc>
      </w:tr>
      <w:tr w:rsidR="00566743" w:rsidTr="0068769A">
        <w:trPr>
          <w:jc w:val="center"/>
        </w:trPr>
        <w:tc>
          <w:tcPr>
            <w:tcW w:w="2538" w:type="dxa"/>
          </w:tcPr>
          <w:p w:rsidR="00566743" w:rsidRPr="005C0D0C" w:rsidRDefault="005C0D0C" w:rsidP="00F61777">
            <w:pPr>
              <w:rPr>
                <w:rFonts w:ascii="Times New Roman" w:hAnsi="Times New Roman"/>
                <w:sz w:val="24"/>
                <w:szCs w:val="24"/>
              </w:rPr>
            </w:pPr>
            <w:r>
              <w:rPr>
                <w:rFonts w:ascii="Times New Roman" w:hAnsi="Times New Roman"/>
                <w:sz w:val="24"/>
                <w:szCs w:val="24"/>
              </w:rPr>
              <w:t>November 2009</w:t>
            </w:r>
          </w:p>
        </w:tc>
        <w:tc>
          <w:tcPr>
            <w:tcW w:w="1457" w:type="dxa"/>
          </w:tcPr>
          <w:p w:rsidR="00315BE8" w:rsidRDefault="005C0D0C">
            <w:pPr>
              <w:jc w:val="right"/>
              <w:rPr>
                <w:rFonts w:ascii="Times New Roman" w:hAnsi="Times New Roman"/>
                <w:sz w:val="24"/>
                <w:szCs w:val="24"/>
              </w:rPr>
            </w:pPr>
            <w:r>
              <w:rPr>
                <w:rFonts w:ascii="Times New Roman" w:hAnsi="Times New Roman"/>
                <w:sz w:val="24"/>
                <w:szCs w:val="24"/>
              </w:rPr>
              <w:t>176</w:t>
            </w:r>
          </w:p>
        </w:tc>
        <w:tc>
          <w:tcPr>
            <w:tcW w:w="1440" w:type="dxa"/>
          </w:tcPr>
          <w:p w:rsidR="00315BE8" w:rsidRDefault="005C0D0C">
            <w:pPr>
              <w:jc w:val="right"/>
              <w:rPr>
                <w:rFonts w:ascii="Times New Roman" w:hAnsi="Times New Roman"/>
                <w:sz w:val="24"/>
                <w:szCs w:val="24"/>
              </w:rPr>
            </w:pPr>
            <w:r>
              <w:rPr>
                <w:rFonts w:ascii="Times New Roman" w:hAnsi="Times New Roman"/>
                <w:sz w:val="24"/>
                <w:szCs w:val="24"/>
              </w:rPr>
              <w:t>4</w:t>
            </w:r>
          </w:p>
        </w:tc>
      </w:tr>
      <w:tr w:rsidR="00566743" w:rsidTr="0068769A">
        <w:trPr>
          <w:jc w:val="center"/>
        </w:trPr>
        <w:tc>
          <w:tcPr>
            <w:tcW w:w="2538" w:type="dxa"/>
          </w:tcPr>
          <w:p w:rsidR="00566743" w:rsidRPr="005C0D0C" w:rsidRDefault="005C0D0C" w:rsidP="00F61777">
            <w:pPr>
              <w:rPr>
                <w:rFonts w:ascii="Times New Roman" w:hAnsi="Times New Roman"/>
                <w:sz w:val="24"/>
                <w:szCs w:val="24"/>
              </w:rPr>
            </w:pPr>
            <w:r>
              <w:rPr>
                <w:rFonts w:ascii="Times New Roman" w:hAnsi="Times New Roman"/>
                <w:sz w:val="24"/>
                <w:szCs w:val="24"/>
              </w:rPr>
              <w:t>December 2009</w:t>
            </w:r>
          </w:p>
        </w:tc>
        <w:tc>
          <w:tcPr>
            <w:tcW w:w="1457" w:type="dxa"/>
          </w:tcPr>
          <w:p w:rsidR="00315BE8" w:rsidRDefault="005C0D0C">
            <w:pPr>
              <w:jc w:val="right"/>
              <w:rPr>
                <w:rFonts w:ascii="Times New Roman" w:hAnsi="Times New Roman"/>
                <w:sz w:val="24"/>
                <w:szCs w:val="24"/>
              </w:rPr>
            </w:pPr>
            <w:r>
              <w:rPr>
                <w:rFonts w:ascii="Times New Roman" w:hAnsi="Times New Roman"/>
                <w:sz w:val="24"/>
                <w:szCs w:val="24"/>
              </w:rPr>
              <w:t>164</w:t>
            </w:r>
          </w:p>
        </w:tc>
        <w:tc>
          <w:tcPr>
            <w:tcW w:w="1440" w:type="dxa"/>
          </w:tcPr>
          <w:p w:rsidR="00315BE8" w:rsidRDefault="005C0D0C">
            <w:pPr>
              <w:jc w:val="right"/>
              <w:rPr>
                <w:rFonts w:ascii="Times New Roman" w:hAnsi="Times New Roman"/>
                <w:sz w:val="24"/>
                <w:szCs w:val="24"/>
              </w:rPr>
            </w:pPr>
            <w:r>
              <w:rPr>
                <w:rFonts w:ascii="Times New Roman" w:hAnsi="Times New Roman"/>
                <w:sz w:val="24"/>
                <w:szCs w:val="24"/>
              </w:rPr>
              <w:t>0</w:t>
            </w:r>
          </w:p>
        </w:tc>
      </w:tr>
      <w:tr w:rsidR="00566743" w:rsidTr="0068769A">
        <w:trPr>
          <w:jc w:val="center"/>
        </w:trPr>
        <w:tc>
          <w:tcPr>
            <w:tcW w:w="2538" w:type="dxa"/>
          </w:tcPr>
          <w:p w:rsidR="00566743" w:rsidRPr="005C0D0C" w:rsidRDefault="005C0D0C" w:rsidP="00F61777">
            <w:pPr>
              <w:rPr>
                <w:rFonts w:ascii="Times New Roman" w:hAnsi="Times New Roman"/>
                <w:sz w:val="24"/>
                <w:szCs w:val="24"/>
              </w:rPr>
            </w:pPr>
            <w:r>
              <w:rPr>
                <w:rFonts w:ascii="Times New Roman" w:hAnsi="Times New Roman"/>
                <w:sz w:val="24"/>
                <w:szCs w:val="24"/>
              </w:rPr>
              <w:t>January 2010</w:t>
            </w:r>
          </w:p>
        </w:tc>
        <w:tc>
          <w:tcPr>
            <w:tcW w:w="1457" w:type="dxa"/>
          </w:tcPr>
          <w:p w:rsidR="00315BE8" w:rsidRDefault="005C0D0C">
            <w:pPr>
              <w:jc w:val="right"/>
              <w:rPr>
                <w:rFonts w:ascii="Times New Roman" w:hAnsi="Times New Roman"/>
                <w:sz w:val="24"/>
                <w:szCs w:val="24"/>
              </w:rPr>
            </w:pPr>
            <w:r>
              <w:rPr>
                <w:rFonts w:ascii="Times New Roman" w:hAnsi="Times New Roman"/>
                <w:sz w:val="24"/>
                <w:szCs w:val="24"/>
              </w:rPr>
              <w:t>169</w:t>
            </w:r>
          </w:p>
        </w:tc>
        <w:tc>
          <w:tcPr>
            <w:tcW w:w="1440" w:type="dxa"/>
          </w:tcPr>
          <w:p w:rsidR="00315BE8" w:rsidRDefault="005C0D0C">
            <w:pPr>
              <w:jc w:val="right"/>
              <w:rPr>
                <w:rFonts w:ascii="Times New Roman" w:hAnsi="Times New Roman"/>
                <w:sz w:val="24"/>
                <w:szCs w:val="24"/>
              </w:rPr>
            </w:pPr>
            <w:r>
              <w:rPr>
                <w:rFonts w:ascii="Times New Roman" w:hAnsi="Times New Roman"/>
                <w:sz w:val="24"/>
                <w:szCs w:val="24"/>
              </w:rPr>
              <w:t>2</w:t>
            </w:r>
          </w:p>
        </w:tc>
      </w:tr>
      <w:tr w:rsidR="00566743" w:rsidTr="0068769A">
        <w:trPr>
          <w:jc w:val="center"/>
        </w:trPr>
        <w:tc>
          <w:tcPr>
            <w:tcW w:w="2538" w:type="dxa"/>
          </w:tcPr>
          <w:p w:rsidR="00566743" w:rsidRPr="005C0D0C" w:rsidRDefault="005C0D0C" w:rsidP="00F61777">
            <w:pPr>
              <w:rPr>
                <w:rFonts w:ascii="Times New Roman" w:hAnsi="Times New Roman"/>
                <w:sz w:val="24"/>
                <w:szCs w:val="24"/>
              </w:rPr>
            </w:pPr>
            <w:r>
              <w:rPr>
                <w:rFonts w:ascii="Times New Roman" w:hAnsi="Times New Roman"/>
                <w:sz w:val="24"/>
                <w:szCs w:val="24"/>
              </w:rPr>
              <w:t>February 2010</w:t>
            </w:r>
          </w:p>
        </w:tc>
        <w:tc>
          <w:tcPr>
            <w:tcW w:w="1457" w:type="dxa"/>
          </w:tcPr>
          <w:p w:rsidR="00315BE8" w:rsidRDefault="005C0D0C">
            <w:pPr>
              <w:jc w:val="right"/>
              <w:rPr>
                <w:rFonts w:ascii="Times New Roman" w:hAnsi="Times New Roman"/>
                <w:sz w:val="24"/>
                <w:szCs w:val="24"/>
              </w:rPr>
            </w:pPr>
            <w:r>
              <w:rPr>
                <w:rFonts w:ascii="Times New Roman" w:hAnsi="Times New Roman"/>
                <w:sz w:val="24"/>
                <w:szCs w:val="24"/>
              </w:rPr>
              <w:t>160</w:t>
            </w:r>
          </w:p>
        </w:tc>
        <w:tc>
          <w:tcPr>
            <w:tcW w:w="1440" w:type="dxa"/>
          </w:tcPr>
          <w:p w:rsidR="00315BE8" w:rsidRDefault="005C0D0C">
            <w:pPr>
              <w:jc w:val="right"/>
              <w:rPr>
                <w:rFonts w:ascii="Times New Roman" w:hAnsi="Times New Roman"/>
                <w:sz w:val="24"/>
                <w:szCs w:val="24"/>
              </w:rPr>
            </w:pPr>
            <w:r>
              <w:rPr>
                <w:rFonts w:ascii="Times New Roman" w:hAnsi="Times New Roman"/>
                <w:sz w:val="24"/>
                <w:szCs w:val="24"/>
              </w:rPr>
              <w:t>0</w:t>
            </w:r>
          </w:p>
        </w:tc>
      </w:tr>
      <w:tr w:rsidR="005C0D0C" w:rsidTr="0068769A">
        <w:trPr>
          <w:jc w:val="center"/>
        </w:trPr>
        <w:tc>
          <w:tcPr>
            <w:tcW w:w="2538" w:type="dxa"/>
          </w:tcPr>
          <w:p w:rsidR="005C0D0C" w:rsidRDefault="005C0D0C" w:rsidP="00F61777">
            <w:pPr>
              <w:rPr>
                <w:rFonts w:ascii="Times New Roman" w:hAnsi="Times New Roman"/>
                <w:sz w:val="24"/>
                <w:szCs w:val="24"/>
              </w:rPr>
            </w:pPr>
            <w:r>
              <w:rPr>
                <w:rFonts w:ascii="Times New Roman" w:hAnsi="Times New Roman"/>
                <w:sz w:val="24"/>
                <w:szCs w:val="24"/>
              </w:rPr>
              <w:t>March  2010</w:t>
            </w:r>
          </w:p>
        </w:tc>
        <w:tc>
          <w:tcPr>
            <w:tcW w:w="1457" w:type="dxa"/>
          </w:tcPr>
          <w:p w:rsidR="00315BE8" w:rsidRDefault="005C0D0C">
            <w:pPr>
              <w:jc w:val="right"/>
              <w:rPr>
                <w:rFonts w:ascii="Times New Roman" w:hAnsi="Times New Roman"/>
                <w:sz w:val="24"/>
                <w:szCs w:val="24"/>
              </w:rPr>
            </w:pPr>
            <w:r>
              <w:rPr>
                <w:rFonts w:ascii="Times New Roman" w:hAnsi="Times New Roman"/>
                <w:sz w:val="24"/>
                <w:szCs w:val="24"/>
              </w:rPr>
              <w:t>79</w:t>
            </w:r>
          </w:p>
        </w:tc>
        <w:tc>
          <w:tcPr>
            <w:tcW w:w="1440" w:type="dxa"/>
          </w:tcPr>
          <w:p w:rsidR="00315BE8" w:rsidRDefault="005C0D0C">
            <w:pPr>
              <w:jc w:val="right"/>
              <w:rPr>
                <w:rFonts w:ascii="Times New Roman" w:hAnsi="Times New Roman"/>
                <w:sz w:val="24"/>
                <w:szCs w:val="24"/>
              </w:rPr>
            </w:pPr>
            <w:r>
              <w:rPr>
                <w:rFonts w:ascii="Times New Roman" w:hAnsi="Times New Roman"/>
                <w:sz w:val="24"/>
                <w:szCs w:val="24"/>
              </w:rPr>
              <w:t>0</w:t>
            </w:r>
          </w:p>
        </w:tc>
      </w:tr>
    </w:tbl>
    <w:p w:rsidR="00566743" w:rsidRDefault="00566743" w:rsidP="00F61777">
      <w:pPr>
        <w:spacing w:after="0" w:line="240" w:lineRule="auto"/>
        <w:rPr>
          <w:rFonts w:ascii="Times New Roman" w:hAnsi="Times New Roman"/>
          <w:b/>
          <w:sz w:val="24"/>
          <w:szCs w:val="24"/>
        </w:rPr>
      </w:pPr>
    </w:p>
    <w:p w:rsidR="005C0D0C" w:rsidRPr="005C0D0C" w:rsidRDefault="005C0D0C" w:rsidP="00F61777">
      <w:pPr>
        <w:spacing w:after="0" w:line="240" w:lineRule="auto"/>
        <w:rPr>
          <w:rFonts w:ascii="Times New Roman" w:hAnsi="Times New Roman"/>
          <w:sz w:val="24"/>
          <w:szCs w:val="24"/>
        </w:rPr>
      </w:pPr>
      <w:r>
        <w:rPr>
          <w:rFonts w:ascii="Times New Roman" w:hAnsi="Times New Roman"/>
          <w:sz w:val="24"/>
          <w:szCs w:val="24"/>
        </w:rPr>
        <w:t xml:space="preserve">Verizon reported that prior to the compliance period, </w:t>
      </w:r>
      <w:r w:rsidR="00F94D2B">
        <w:rPr>
          <w:rFonts w:ascii="Times New Roman" w:hAnsi="Times New Roman"/>
          <w:sz w:val="24"/>
          <w:szCs w:val="24"/>
        </w:rPr>
        <w:t>the company monitored on average 30 Washington calls monthly. Thus, Verizon increased the number of Washington calls monitored by more than 100 percent, far exceeding the ten percent requirement</w:t>
      </w:r>
      <w:r w:rsidR="00010ED0">
        <w:rPr>
          <w:rFonts w:ascii="Times New Roman" w:hAnsi="Times New Roman"/>
          <w:sz w:val="24"/>
          <w:szCs w:val="24"/>
        </w:rPr>
        <w:t xml:space="preserve"> in the settlement agreement.</w:t>
      </w:r>
    </w:p>
    <w:p w:rsidR="00A966DD" w:rsidRDefault="00A966DD" w:rsidP="00F61777">
      <w:pPr>
        <w:spacing w:after="0" w:line="240" w:lineRule="auto"/>
        <w:rPr>
          <w:rFonts w:ascii="Times New Roman" w:hAnsi="Times New Roman"/>
          <w:sz w:val="24"/>
          <w:szCs w:val="24"/>
        </w:rPr>
      </w:pPr>
    </w:p>
    <w:p w:rsidR="0053475D" w:rsidRPr="0053475D" w:rsidRDefault="0053475D" w:rsidP="0053475D">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Coaching</w:t>
      </w:r>
    </w:p>
    <w:p w:rsidR="00A966DD" w:rsidRDefault="00A966DD" w:rsidP="00F61777">
      <w:pPr>
        <w:spacing w:after="0" w:line="240" w:lineRule="auto"/>
        <w:rPr>
          <w:rFonts w:ascii="Times New Roman" w:hAnsi="Times New Roman"/>
          <w:b/>
          <w:sz w:val="24"/>
          <w:szCs w:val="24"/>
        </w:rPr>
      </w:pPr>
      <w:r>
        <w:rPr>
          <w:rFonts w:ascii="Times New Roman" w:hAnsi="Times New Roman"/>
          <w:sz w:val="24"/>
          <w:szCs w:val="24"/>
        </w:rPr>
        <w:t>Paragraph 17 require</w:t>
      </w:r>
      <w:r w:rsidR="00636C6F">
        <w:rPr>
          <w:rFonts w:ascii="Times New Roman" w:hAnsi="Times New Roman"/>
          <w:sz w:val="24"/>
          <w:szCs w:val="24"/>
        </w:rPr>
        <w:t>d</w:t>
      </w:r>
      <w:r>
        <w:rPr>
          <w:rFonts w:ascii="Times New Roman" w:hAnsi="Times New Roman"/>
          <w:sz w:val="24"/>
          <w:szCs w:val="24"/>
        </w:rPr>
        <w:t xml:space="preserve"> Verizon to “institute a process to ensure . . . that call center representatives in WTAP ‘non-compliance’ are coached by supervisors</w:t>
      </w:r>
      <w:r w:rsidR="003B20E9">
        <w:rPr>
          <w:rFonts w:ascii="Times New Roman" w:hAnsi="Times New Roman"/>
          <w:sz w:val="24"/>
          <w:szCs w:val="24"/>
        </w:rPr>
        <w:t>.</w:t>
      </w:r>
      <w:r w:rsidR="007D7401">
        <w:rPr>
          <w:rFonts w:ascii="Times New Roman" w:hAnsi="Times New Roman"/>
          <w:sz w:val="24"/>
          <w:szCs w:val="24"/>
        </w:rPr>
        <w:t>”</w:t>
      </w:r>
      <w:r w:rsidR="003B20E9">
        <w:rPr>
          <w:rFonts w:ascii="Times New Roman" w:hAnsi="Times New Roman"/>
          <w:sz w:val="24"/>
          <w:szCs w:val="24"/>
        </w:rPr>
        <w:t xml:space="preserve"> </w:t>
      </w:r>
      <w:r w:rsidR="00B15012">
        <w:rPr>
          <w:rFonts w:ascii="Times New Roman" w:hAnsi="Times New Roman"/>
          <w:sz w:val="24"/>
          <w:szCs w:val="24"/>
        </w:rPr>
        <w:t xml:space="preserve">This means that Verizon was required to coach any representative that did not properly handle an incoming call that included a WTAP issue. </w:t>
      </w:r>
      <w:r w:rsidR="00010ED0">
        <w:rPr>
          <w:rFonts w:ascii="Times New Roman" w:hAnsi="Times New Roman"/>
          <w:sz w:val="24"/>
          <w:szCs w:val="24"/>
        </w:rPr>
        <w:t xml:space="preserve">Verizon reported </w:t>
      </w:r>
      <w:r w:rsidR="00D416BA">
        <w:rPr>
          <w:rFonts w:ascii="Times New Roman" w:hAnsi="Times New Roman"/>
          <w:sz w:val="24"/>
          <w:szCs w:val="24"/>
        </w:rPr>
        <w:t>that for each WTAP-related complaint, the company’s Customer Advocacy Group initiated a “root cause analysis pr</w:t>
      </w:r>
      <w:r w:rsidR="00010ED0">
        <w:rPr>
          <w:rFonts w:ascii="Times New Roman" w:hAnsi="Times New Roman"/>
          <w:sz w:val="24"/>
          <w:szCs w:val="24"/>
        </w:rPr>
        <w:t>ocess.” According to Verizon</w:t>
      </w:r>
      <w:r w:rsidR="00D416BA">
        <w:rPr>
          <w:rFonts w:ascii="Times New Roman" w:hAnsi="Times New Roman"/>
          <w:sz w:val="24"/>
          <w:szCs w:val="24"/>
        </w:rPr>
        <w:t>, th</w:t>
      </w:r>
      <w:r w:rsidR="00010ED0">
        <w:rPr>
          <w:rFonts w:ascii="Times New Roman" w:hAnsi="Times New Roman"/>
          <w:sz w:val="24"/>
          <w:szCs w:val="24"/>
        </w:rPr>
        <w:t xml:space="preserve">is process included contacting </w:t>
      </w:r>
      <w:r w:rsidR="00D416BA">
        <w:rPr>
          <w:rFonts w:ascii="Times New Roman" w:hAnsi="Times New Roman"/>
          <w:sz w:val="24"/>
          <w:szCs w:val="24"/>
        </w:rPr>
        <w:t>call center management</w:t>
      </w:r>
      <w:r w:rsidR="00010ED0">
        <w:rPr>
          <w:rFonts w:ascii="Times New Roman" w:hAnsi="Times New Roman"/>
          <w:sz w:val="24"/>
          <w:szCs w:val="24"/>
        </w:rPr>
        <w:t xml:space="preserve"> personnel</w:t>
      </w:r>
      <w:r w:rsidR="00D416BA">
        <w:rPr>
          <w:rFonts w:ascii="Times New Roman" w:hAnsi="Times New Roman"/>
          <w:sz w:val="24"/>
          <w:szCs w:val="24"/>
        </w:rPr>
        <w:t xml:space="preserve"> to find out what happened and getting confirmation that the involved representative had been coached on any deficiencies that had been found. Verizon provided staff with an example of the documentation the company now requires to show proper coaching has occurred. Verizon further provided staff details of some instances of coaching in the company’s monthly report of sweeps. Based on this information, Verizon has complied with this requirement.</w:t>
      </w:r>
    </w:p>
    <w:p w:rsidR="00A966DD" w:rsidRDefault="00A966DD" w:rsidP="00F61777">
      <w:pPr>
        <w:spacing w:after="0" w:line="240" w:lineRule="auto"/>
        <w:rPr>
          <w:rFonts w:ascii="Times New Roman" w:hAnsi="Times New Roman"/>
          <w:b/>
          <w:sz w:val="24"/>
          <w:szCs w:val="24"/>
        </w:rPr>
      </w:pPr>
    </w:p>
    <w:p w:rsidR="0053475D" w:rsidRPr="0053475D" w:rsidRDefault="0053475D" w:rsidP="0053475D">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Root Cause Analysis</w:t>
      </w:r>
    </w:p>
    <w:p w:rsidR="002D58CD" w:rsidRDefault="00A966DD" w:rsidP="00F61777">
      <w:pPr>
        <w:spacing w:after="0" w:line="240" w:lineRule="auto"/>
        <w:rPr>
          <w:rFonts w:ascii="Times New Roman" w:hAnsi="Times New Roman"/>
          <w:sz w:val="24"/>
          <w:szCs w:val="24"/>
        </w:rPr>
      </w:pPr>
      <w:r>
        <w:rPr>
          <w:rFonts w:ascii="Times New Roman" w:hAnsi="Times New Roman"/>
          <w:sz w:val="24"/>
          <w:szCs w:val="24"/>
        </w:rPr>
        <w:t xml:space="preserve">Paragraph 18 </w:t>
      </w:r>
      <w:r w:rsidR="00B15012">
        <w:rPr>
          <w:rFonts w:ascii="Times New Roman" w:hAnsi="Times New Roman"/>
          <w:sz w:val="24"/>
          <w:szCs w:val="24"/>
        </w:rPr>
        <w:t>required</w:t>
      </w:r>
      <w:r>
        <w:rPr>
          <w:rFonts w:ascii="Times New Roman" w:hAnsi="Times New Roman"/>
          <w:sz w:val="24"/>
          <w:szCs w:val="24"/>
        </w:rPr>
        <w:t xml:space="preserve"> Verizon to “institute a process in which its complaint handling, Lifeline and call center teams partner and routinely interface to perform root cause and trend analysis of WTAP-related complaints.”</w:t>
      </w:r>
      <w:r w:rsidR="003B4EC5">
        <w:rPr>
          <w:rFonts w:ascii="Times New Roman" w:hAnsi="Times New Roman"/>
          <w:sz w:val="24"/>
          <w:szCs w:val="24"/>
        </w:rPr>
        <w:t xml:space="preserve"> </w:t>
      </w:r>
      <w:r w:rsidR="00637C9D">
        <w:rPr>
          <w:rFonts w:ascii="Times New Roman" w:hAnsi="Times New Roman"/>
          <w:sz w:val="24"/>
          <w:szCs w:val="24"/>
        </w:rPr>
        <w:t>Verizon reported</w:t>
      </w:r>
      <w:r w:rsidR="00010ED0">
        <w:rPr>
          <w:rFonts w:ascii="Times New Roman" w:hAnsi="Times New Roman"/>
          <w:sz w:val="24"/>
          <w:szCs w:val="24"/>
        </w:rPr>
        <w:t xml:space="preserve"> </w:t>
      </w:r>
      <w:r w:rsidR="00637C9D">
        <w:rPr>
          <w:rFonts w:ascii="Times New Roman" w:hAnsi="Times New Roman"/>
          <w:sz w:val="24"/>
          <w:szCs w:val="24"/>
        </w:rPr>
        <w:t xml:space="preserve">that for each WTAP-related complaint, the company’s Customer Advocacy Group initiated a “root cause analysis process.” </w:t>
      </w:r>
      <w:r w:rsidR="00573F67">
        <w:rPr>
          <w:rFonts w:ascii="Times New Roman" w:hAnsi="Times New Roman"/>
          <w:sz w:val="24"/>
          <w:szCs w:val="24"/>
        </w:rPr>
        <w:t>According to the company, t</w:t>
      </w:r>
      <w:r w:rsidR="00637C9D">
        <w:rPr>
          <w:rFonts w:ascii="Times New Roman" w:hAnsi="Times New Roman"/>
          <w:sz w:val="24"/>
          <w:szCs w:val="24"/>
        </w:rPr>
        <w:t xml:space="preserve">his </w:t>
      </w:r>
      <w:r w:rsidR="002D58CD">
        <w:rPr>
          <w:rFonts w:ascii="Times New Roman" w:hAnsi="Times New Roman"/>
          <w:sz w:val="24"/>
          <w:szCs w:val="24"/>
        </w:rPr>
        <w:t xml:space="preserve">process </w:t>
      </w:r>
      <w:r w:rsidR="00637C9D">
        <w:rPr>
          <w:rFonts w:ascii="Times New Roman" w:hAnsi="Times New Roman"/>
          <w:sz w:val="24"/>
          <w:szCs w:val="24"/>
        </w:rPr>
        <w:t xml:space="preserve">included </w:t>
      </w:r>
      <w:r w:rsidR="002D58CD">
        <w:rPr>
          <w:rFonts w:ascii="Times New Roman" w:hAnsi="Times New Roman"/>
          <w:sz w:val="24"/>
          <w:szCs w:val="24"/>
        </w:rPr>
        <w:t xml:space="preserve">analyzing the deficiencies found to see if there were any distinct trends. Verizon provided staff with a number of graphs developed by the root cause analysis process team demonstrating various trends it discovered. Based on this information, Verizon has complied with </w:t>
      </w:r>
      <w:r w:rsidR="00B15012">
        <w:rPr>
          <w:rFonts w:ascii="Times New Roman" w:hAnsi="Times New Roman"/>
          <w:sz w:val="24"/>
          <w:szCs w:val="24"/>
        </w:rPr>
        <w:t xml:space="preserve">the </w:t>
      </w:r>
      <w:r w:rsidR="002D58CD">
        <w:rPr>
          <w:rFonts w:ascii="Times New Roman" w:hAnsi="Times New Roman"/>
          <w:sz w:val="24"/>
          <w:szCs w:val="24"/>
        </w:rPr>
        <w:t>requirement</w:t>
      </w:r>
      <w:r w:rsidR="00B15012">
        <w:rPr>
          <w:rFonts w:ascii="Times New Roman" w:hAnsi="Times New Roman"/>
          <w:sz w:val="24"/>
          <w:szCs w:val="24"/>
        </w:rPr>
        <w:t xml:space="preserve"> in Paragraph 18</w:t>
      </w:r>
      <w:r w:rsidR="002D58CD">
        <w:rPr>
          <w:rFonts w:ascii="Times New Roman" w:hAnsi="Times New Roman"/>
          <w:sz w:val="24"/>
          <w:szCs w:val="24"/>
        </w:rPr>
        <w:t>.</w:t>
      </w:r>
    </w:p>
    <w:p w:rsidR="0042424A" w:rsidRPr="00BB7245" w:rsidRDefault="002D58CD" w:rsidP="00F61777">
      <w:pPr>
        <w:spacing w:after="0" w:line="240" w:lineRule="auto"/>
        <w:rPr>
          <w:rFonts w:ascii="Times New Roman" w:hAnsi="Times New Roman"/>
          <w:sz w:val="24"/>
          <w:szCs w:val="24"/>
        </w:rPr>
      </w:pPr>
      <w:r>
        <w:rPr>
          <w:rFonts w:ascii="Times New Roman" w:hAnsi="Times New Roman"/>
          <w:sz w:val="24"/>
          <w:szCs w:val="24"/>
        </w:rPr>
        <w:t xml:space="preserve"> </w:t>
      </w:r>
    </w:p>
    <w:p w:rsidR="003E4D44" w:rsidRPr="003E4D44" w:rsidRDefault="003E4D44" w:rsidP="0053475D">
      <w:pPr>
        <w:pStyle w:val="ListParagraph"/>
        <w:numPr>
          <w:ilvl w:val="0"/>
          <w:numId w:val="4"/>
        </w:numPr>
        <w:spacing w:after="0" w:line="240" w:lineRule="auto"/>
        <w:ind w:hanging="720"/>
        <w:rPr>
          <w:rFonts w:ascii="Times New Roman" w:hAnsi="Times New Roman"/>
          <w:b/>
          <w:sz w:val="24"/>
          <w:szCs w:val="24"/>
        </w:rPr>
      </w:pPr>
      <w:r w:rsidRPr="003E4D44">
        <w:rPr>
          <w:rFonts w:ascii="Times New Roman" w:hAnsi="Times New Roman"/>
          <w:b/>
          <w:sz w:val="24"/>
          <w:szCs w:val="24"/>
        </w:rPr>
        <w:t>Consumer protection complaints</w:t>
      </w:r>
    </w:p>
    <w:p w:rsidR="00887845" w:rsidRDefault="0042424A" w:rsidP="00F61777">
      <w:pPr>
        <w:spacing w:after="0" w:line="240" w:lineRule="auto"/>
        <w:rPr>
          <w:rFonts w:ascii="Times New Roman" w:hAnsi="Times New Roman"/>
          <w:sz w:val="24"/>
          <w:szCs w:val="24"/>
        </w:rPr>
      </w:pPr>
      <w:r>
        <w:rPr>
          <w:rFonts w:ascii="Times New Roman" w:hAnsi="Times New Roman"/>
          <w:sz w:val="24"/>
          <w:szCs w:val="24"/>
        </w:rPr>
        <w:t xml:space="preserve">In addition to examining the requirements of the settlement agreement, staff also evaluated the complaints received by </w:t>
      </w:r>
      <w:r w:rsidR="0053475D">
        <w:rPr>
          <w:rFonts w:ascii="Times New Roman" w:hAnsi="Times New Roman"/>
          <w:sz w:val="24"/>
          <w:szCs w:val="24"/>
        </w:rPr>
        <w:t xml:space="preserve">commission </w:t>
      </w:r>
      <w:r>
        <w:rPr>
          <w:rFonts w:ascii="Times New Roman" w:hAnsi="Times New Roman"/>
          <w:sz w:val="24"/>
          <w:szCs w:val="24"/>
        </w:rPr>
        <w:t xml:space="preserve">consumer protection staff </w:t>
      </w:r>
      <w:r w:rsidR="00905ACA">
        <w:rPr>
          <w:rFonts w:ascii="Times New Roman" w:hAnsi="Times New Roman"/>
          <w:sz w:val="24"/>
          <w:szCs w:val="24"/>
        </w:rPr>
        <w:t xml:space="preserve">related to WTAP </w:t>
      </w:r>
      <w:r>
        <w:rPr>
          <w:rFonts w:ascii="Times New Roman" w:hAnsi="Times New Roman"/>
          <w:sz w:val="24"/>
          <w:szCs w:val="24"/>
        </w:rPr>
        <w:t>during the compliance perio</w:t>
      </w:r>
      <w:r w:rsidR="00A56803">
        <w:rPr>
          <w:rFonts w:ascii="Times New Roman" w:hAnsi="Times New Roman"/>
          <w:sz w:val="24"/>
          <w:szCs w:val="24"/>
        </w:rPr>
        <w:t xml:space="preserve">d </w:t>
      </w:r>
      <w:r>
        <w:rPr>
          <w:rFonts w:ascii="Times New Roman" w:hAnsi="Times New Roman"/>
          <w:sz w:val="24"/>
          <w:szCs w:val="24"/>
        </w:rPr>
        <w:t>to determine what effect, if any, Verizon’s compliance with the settlement agreement had on the number of complaints</w:t>
      </w:r>
      <w:r w:rsidR="00887845">
        <w:rPr>
          <w:rFonts w:ascii="Times New Roman" w:hAnsi="Times New Roman"/>
          <w:sz w:val="24"/>
          <w:szCs w:val="24"/>
        </w:rPr>
        <w:t xml:space="preserve"> and violations</w:t>
      </w:r>
      <w:r>
        <w:rPr>
          <w:rFonts w:ascii="Times New Roman" w:hAnsi="Times New Roman"/>
          <w:sz w:val="24"/>
          <w:szCs w:val="24"/>
        </w:rPr>
        <w:t>.</w:t>
      </w:r>
      <w:r w:rsidR="00177141">
        <w:rPr>
          <w:rFonts w:ascii="Times New Roman" w:hAnsi="Times New Roman"/>
          <w:sz w:val="24"/>
          <w:szCs w:val="24"/>
        </w:rPr>
        <w:t xml:space="preserve"> </w:t>
      </w:r>
      <w:r w:rsidR="00887845">
        <w:rPr>
          <w:rFonts w:ascii="Times New Roman" w:hAnsi="Times New Roman"/>
          <w:sz w:val="24"/>
          <w:szCs w:val="24"/>
        </w:rPr>
        <w:t xml:space="preserve">Verizon historically has </w:t>
      </w:r>
      <w:r w:rsidR="00177141">
        <w:rPr>
          <w:rFonts w:ascii="Times New Roman" w:hAnsi="Times New Roman"/>
          <w:sz w:val="24"/>
          <w:szCs w:val="24"/>
        </w:rPr>
        <w:t xml:space="preserve">had </w:t>
      </w:r>
      <w:r w:rsidR="00887845">
        <w:rPr>
          <w:rFonts w:ascii="Times New Roman" w:hAnsi="Times New Roman"/>
          <w:sz w:val="24"/>
          <w:szCs w:val="24"/>
        </w:rPr>
        <w:t xml:space="preserve">a poor record of </w:t>
      </w:r>
      <w:r w:rsidR="00841BFB">
        <w:rPr>
          <w:rFonts w:ascii="Times New Roman" w:hAnsi="Times New Roman"/>
          <w:sz w:val="24"/>
          <w:szCs w:val="24"/>
        </w:rPr>
        <w:t xml:space="preserve">properly </w:t>
      </w:r>
      <w:r w:rsidR="0068769A">
        <w:rPr>
          <w:rFonts w:ascii="Times New Roman" w:hAnsi="Times New Roman"/>
          <w:sz w:val="24"/>
          <w:szCs w:val="24"/>
        </w:rPr>
        <w:t xml:space="preserve">processing </w:t>
      </w:r>
      <w:r w:rsidR="00887845">
        <w:rPr>
          <w:rFonts w:ascii="Times New Roman" w:hAnsi="Times New Roman"/>
          <w:sz w:val="24"/>
          <w:szCs w:val="24"/>
        </w:rPr>
        <w:t>WTAP</w:t>
      </w:r>
      <w:r w:rsidR="0068769A">
        <w:rPr>
          <w:rFonts w:ascii="Times New Roman" w:hAnsi="Times New Roman"/>
          <w:sz w:val="24"/>
          <w:szCs w:val="24"/>
        </w:rPr>
        <w:t>-qualified customers</w:t>
      </w:r>
      <w:r w:rsidR="00887845">
        <w:rPr>
          <w:rFonts w:ascii="Times New Roman" w:hAnsi="Times New Roman"/>
          <w:sz w:val="24"/>
          <w:szCs w:val="24"/>
        </w:rPr>
        <w:t>, as reflected in</w:t>
      </w:r>
      <w:r w:rsidR="00177141">
        <w:rPr>
          <w:rFonts w:ascii="Times New Roman" w:hAnsi="Times New Roman"/>
          <w:sz w:val="24"/>
          <w:szCs w:val="24"/>
        </w:rPr>
        <w:t xml:space="preserve"> commission consumer complaints, however, staff observed a significant impro</w:t>
      </w:r>
      <w:r w:rsidR="00F9777B">
        <w:rPr>
          <w:rFonts w:ascii="Times New Roman" w:hAnsi="Times New Roman"/>
          <w:sz w:val="24"/>
          <w:szCs w:val="24"/>
        </w:rPr>
        <w:t>vement during the current compliance</w:t>
      </w:r>
      <w:r w:rsidR="00177141">
        <w:rPr>
          <w:rFonts w:ascii="Times New Roman" w:hAnsi="Times New Roman"/>
          <w:sz w:val="24"/>
          <w:szCs w:val="24"/>
        </w:rPr>
        <w:t xml:space="preserve"> period, as indicated below:</w:t>
      </w:r>
    </w:p>
    <w:p w:rsidR="00177141" w:rsidRDefault="00177141" w:rsidP="00177141">
      <w:pPr>
        <w:spacing w:after="0" w:line="240" w:lineRule="auto"/>
        <w:rPr>
          <w:rFonts w:ascii="Times New Roman" w:hAnsi="Times New Roman"/>
          <w:sz w:val="24"/>
          <w:szCs w:val="24"/>
        </w:rPr>
      </w:pPr>
    </w:p>
    <w:tbl>
      <w:tblPr>
        <w:tblStyle w:val="TableGrid"/>
        <w:tblW w:w="0" w:type="auto"/>
        <w:jc w:val="center"/>
        <w:tblLook w:val="04A0"/>
      </w:tblPr>
      <w:tblGrid>
        <w:gridCol w:w="1458"/>
        <w:gridCol w:w="1710"/>
        <w:gridCol w:w="1620"/>
        <w:gridCol w:w="1350"/>
      </w:tblGrid>
      <w:tr w:rsidR="00177141" w:rsidTr="0068769A">
        <w:trPr>
          <w:jc w:val="center"/>
        </w:trPr>
        <w:tc>
          <w:tcPr>
            <w:tcW w:w="1458" w:type="dxa"/>
            <w:vAlign w:val="center"/>
          </w:tcPr>
          <w:p w:rsidR="00315BE8" w:rsidRDefault="00177141">
            <w:pPr>
              <w:jc w:val="center"/>
              <w:rPr>
                <w:rFonts w:ascii="Times New Roman" w:hAnsi="Times New Roman"/>
                <w:sz w:val="24"/>
                <w:szCs w:val="24"/>
              </w:rPr>
            </w:pPr>
            <w:r>
              <w:rPr>
                <w:rFonts w:ascii="Times New Roman" w:hAnsi="Times New Roman"/>
                <w:sz w:val="24"/>
                <w:szCs w:val="24"/>
              </w:rPr>
              <w:t>Review Periods</w:t>
            </w:r>
          </w:p>
        </w:tc>
        <w:tc>
          <w:tcPr>
            <w:tcW w:w="1710" w:type="dxa"/>
          </w:tcPr>
          <w:p w:rsidR="00315BE8" w:rsidRDefault="00177141">
            <w:pPr>
              <w:jc w:val="right"/>
              <w:rPr>
                <w:rFonts w:ascii="Times New Roman" w:hAnsi="Times New Roman"/>
                <w:sz w:val="24"/>
                <w:szCs w:val="24"/>
              </w:rPr>
            </w:pPr>
            <w:r>
              <w:rPr>
                <w:rFonts w:ascii="Times New Roman" w:hAnsi="Times New Roman"/>
                <w:sz w:val="24"/>
                <w:szCs w:val="24"/>
              </w:rPr>
              <w:t>Length of Review Period</w:t>
            </w:r>
          </w:p>
        </w:tc>
        <w:tc>
          <w:tcPr>
            <w:tcW w:w="1620" w:type="dxa"/>
          </w:tcPr>
          <w:p w:rsidR="00315BE8" w:rsidRDefault="00177141">
            <w:pPr>
              <w:jc w:val="right"/>
              <w:rPr>
                <w:rFonts w:ascii="Times New Roman" w:hAnsi="Times New Roman"/>
                <w:sz w:val="24"/>
                <w:szCs w:val="24"/>
              </w:rPr>
            </w:pPr>
            <w:r>
              <w:rPr>
                <w:rFonts w:ascii="Times New Roman" w:hAnsi="Times New Roman"/>
                <w:sz w:val="24"/>
                <w:szCs w:val="24"/>
              </w:rPr>
              <w:t>Number of Complaints</w:t>
            </w:r>
          </w:p>
        </w:tc>
        <w:tc>
          <w:tcPr>
            <w:tcW w:w="1350" w:type="dxa"/>
          </w:tcPr>
          <w:p w:rsidR="00315BE8" w:rsidRDefault="00177141">
            <w:pPr>
              <w:jc w:val="right"/>
              <w:rPr>
                <w:rFonts w:ascii="Times New Roman" w:hAnsi="Times New Roman"/>
                <w:sz w:val="24"/>
                <w:szCs w:val="24"/>
              </w:rPr>
            </w:pPr>
            <w:r>
              <w:rPr>
                <w:rFonts w:ascii="Times New Roman" w:hAnsi="Times New Roman"/>
                <w:sz w:val="24"/>
                <w:szCs w:val="24"/>
              </w:rPr>
              <w:t>Number of Violations</w:t>
            </w:r>
          </w:p>
        </w:tc>
      </w:tr>
      <w:tr w:rsidR="00177141" w:rsidTr="0068769A">
        <w:trPr>
          <w:jc w:val="center"/>
        </w:trPr>
        <w:tc>
          <w:tcPr>
            <w:tcW w:w="1458" w:type="dxa"/>
          </w:tcPr>
          <w:p w:rsidR="00177141" w:rsidRDefault="00177141" w:rsidP="00177141">
            <w:pPr>
              <w:rPr>
                <w:rFonts w:ascii="Times New Roman" w:hAnsi="Times New Roman"/>
                <w:sz w:val="24"/>
                <w:szCs w:val="24"/>
              </w:rPr>
            </w:pPr>
            <w:r>
              <w:rPr>
                <w:rFonts w:ascii="Times New Roman" w:hAnsi="Times New Roman"/>
                <w:sz w:val="24"/>
                <w:szCs w:val="24"/>
              </w:rPr>
              <w:t>11/07 – 5/08</w:t>
            </w:r>
          </w:p>
        </w:tc>
        <w:tc>
          <w:tcPr>
            <w:tcW w:w="1710" w:type="dxa"/>
          </w:tcPr>
          <w:p w:rsidR="00315BE8" w:rsidRDefault="00177141">
            <w:pPr>
              <w:jc w:val="right"/>
              <w:rPr>
                <w:rFonts w:ascii="Times New Roman" w:hAnsi="Times New Roman"/>
                <w:sz w:val="24"/>
                <w:szCs w:val="24"/>
              </w:rPr>
            </w:pPr>
            <w:r>
              <w:rPr>
                <w:rFonts w:ascii="Times New Roman" w:hAnsi="Times New Roman"/>
                <w:sz w:val="24"/>
                <w:szCs w:val="24"/>
              </w:rPr>
              <w:t>7 months</w:t>
            </w:r>
          </w:p>
        </w:tc>
        <w:tc>
          <w:tcPr>
            <w:tcW w:w="1620" w:type="dxa"/>
          </w:tcPr>
          <w:p w:rsidR="00315BE8" w:rsidRDefault="00177141">
            <w:pPr>
              <w:jc w:val="right"/>
              <w:rPr>
                <w:rFonts w:ascii="Times New Roman" w:hAnsi="Times New Roman"/>
                <w:sz w:val="24"/>
                <w:szCs w:val="24"/>
              </w:rPr>
            </w:pPr>
            <w:r>
              <w:rPr>
                <w:rFonts w:ascii="Times New Roman" w:hAnsi="Times New Roman"/>
                <w:sz w:val="24"/>
                <w:szCs w:val="24"/>
              </w:rPr>
              <w:t>19</w:t>
            </w:r>
          </w:p>
        </w:tc>
        <w:tc>
          <w:tcPr>
            <w:tcW w:w="1350" w:type="dxa"/>
          </w:tcPr>
          <w:p w:rsidR="00315BE8" w:rsidRDefault="00177141">
            <w:pPr>
              <w:jc w:val="right"/>
              <w:rPr>
                <w:rFonts w:ascii="Times New Roman" w:hAnsi="Times New Roman"/>
                <w:sz w:val="24"/>
                <w:szCs w:val="24"/>
              </w:rPr>
            </w:pPr>
            <w:r>
              <w:rPr>
                <w:rFonts w:ascii="Times New Roman" w:hAnsi="Times New Roman"/>
                <w:sz w:val="24"/>
                <w:szCs w:val="24"/>
              </w:rPr>
              <w:t>36</w:t>
            </w:r>
          </w:p>
        </w:tc>
      </w:tr>
      <w:tr w:rsidR="00177141" w:rsidTr="0068769A">
        <w:trPr>
          <w:jc w:val="center"/>
        </w:trPr>
        <w:tc>
          <w:tcPr>
            <w:tcW w:w="1458" w:type="dxa"/>
          </w:tcPr>
          <w:p w:rsidR="00177141" w:rsidRDefault="00177141" w:rsidP="00177141">
            <w:pPr>
              <w:rPr>
                <w:rFonts w:ascii="Times New Roman" w:hAnsi="Times New Roman"/>
                <w:sz w:val="24"/>
                <w:szCs w:val="24"/>
              </w:rPr>
            </w:pPr>
            <w:r>
              <w:rPr>
                <w:rFonts w:ascii="Times New Roman" w:hAnsi="Times New Roman"/>
                <w:sz w:val="24"/>
                <w:szCs w:val="24"/>
              </w:rPr>
              <w:t>6/08 – 11/08</w:t>
            </w:r>
          </w:p>
        </w:tc>
        <w:tc>
          <w:tcPr>
            <w:tcW w:w="1710" w:type="dxa"/>
          </w:tcPr>
          <w:p w:rsidR="00315BE8" w:rsidRDefault="00177141">
            <w:pPr>
              <w:jc w:val="right"/>
              <w:rPr>
                <w:rFonts w:ascii="Times New Roman" w:hAnsi="Times New Roman"/>
                <w:sz w:val="24"/>
                <w:szCs w:val="24"/>
              </w:rPr>
            </w:pPr>
            <w:r>
              <w:rPr>
                <w:rFonts w:ascii="Times New Roman" w:hAnsi="Times New Roman"/>
                <w:sz w:val="24"/>
                <w:szCs w:val="24"/>
              </w:rPr>
              <w:t>6 months</w:t>
            </w:r>
          </w:p>
        </w:tc>
        <w:tc>
          <w:tcPr>
            <w:tcW w:w="1620" w:type="dxa"/>
          </w:tcPr>
          <w:p w:rsidR="00315BE8" w:rsidRDefault="00177141">
            <w:pPr>
              <w:jc w:val="right"/>
              <w:rPr>
                <w:rFonts w:ascii="Times New Roman" w:hAnsi="Times New Roman"/>
                <w:sz w:val="24"/>
                <w:szCs w:val="24"/>
              </w:rPr>
            </w:pPr>
            <w:r>
              <w:rPr>
                <w:rFonts w:ascii="Times New Roman" w:hAnsi="Times New Roman"/>
                <w:sz w:val="24"/>
                <w:szCs w:val="24"/>
              </w:rPr>
              <w:t>19</w:t>
            </w:r>
          </w:p>
        </w:tc>
        <w:tc>
          <w:tcPr>
            <w:tcW w:w="1350" w:type="dxa"/>
          </w:tcPr>
          <w:p w:rsidR="00315BE8" w:rsidRDefault="00177141">
            <w:pPr>
              <w:jc w:val="right"/>
              <w:rPr>
                <w:rFonts w:ascii="Times New Roman" w:hAnsi="Times New Roman"/>
                <w:sz w:val="24"/>
                <w:szCs w:val="24"/>
              </w:rPr>
            </w:pPr>
            <w:r>
              <w:rPr>
                <w:rFonts w:ascii="Times New Roman" w:hAnsi="Times New Roman"/>
                <w:sz w:val="24"/>
                <w:szCs w:val="24"/>
              </w:rPr>
              <w:t>49</w:t>
            </w:r>
          </w:p>
        </w:tc>
      </w:tr>
      <w:tr w:rsidR="00177141" w:rsidTr="0068769A">
        <w:trPr>
          <w:jc w:val="center"/>
        </w:trPr>
        <w:tc>
          <w:tcPr>
            <w:tcW w:w="1458" w:type="dxa"/>
          </w:tcPr>
          <w:p w:rsidR="00177141" w:rsidRDefault="00177141" w:rsidP="00177141">
            <w:pPr>
              <w:rPr>
                <w:rFonts w:ascii="Times New Roman" w:hAnsi="Times New Roman"/>
                <w:sz w:val="24"/>
                <w:szCs w:val="24"/>
              </w:rPr>
            </w:pPr>
            <w:r>
              <w:rPr>
                <w:rFonts w:ascii="Times New Roman" w:hAnsi="Times New Roman"/>
                <w:sz w:val="24"/>
                <w:szCs w:val="24"/>
              </w:rPr>
              <w:t>12/08 – 8/09</w:t>
            </w:r>
          </w:p>
        </w:tc>
        <w:tc>
          <w:tcPr>
            <w:tcW w:w="1710" w:type="dxa"/>
          </w:tcPr>
          <w:p w:rsidR="00315BE8" w:rsidRDefault="00177141">
            <w:pPr>
              <w:jc w:val="right"/>
              <w:rPr>
                <w:rFonts w:ascii="Times New Roman" w:hAnsi="Times New Roman"/>
                <w:sz w:val="24"/>
                <w:szCs w:val="24"/>
              </w:rPr>
            </w:pPr>
            <w:r>
              <w:rPr>
                <w:rFonts w:ascii="Times New Roman" w:hAnsi="Times New Roman"/>
                <w:sz w:val="24"/>
                <w:szCs w:val="24"/>
              </w:rPr>
              <w:t>9 months</w:t>
            </w:r>
          </w:p>
        </w:tc>
        <w:tc>
          <w:tcPr>
            <w:tcW w:w="1620" w:type="dxa"/>
          </w:tcPr>
          <w:p w:rsidR="00315BE8" w:rsidRDefault="00177141">
            <w:pPr>
              <w:jc w:val="right"/>
              <w:rPr>
                <w:rFonts w:ascii="Times New Roman" w:hAnsi="Times New Roman"/>
                <w:sz w:val="24"/>
                <w:szCs w:val="24"/>
              </w:rPr>
            </w:pPr>
            <w:r>
              <w:rPr>
                <w:rFonts w:ascii="Times New Roman" w:hAnsi="Times New Roman"/>
                <w:sz w:val="24"/>
                <w:szCs w:val="24"/>
              </w:rPr>
              <w:t>29</w:t>
            </w:r>
          </w:p>
        </w:tc>
        <w:tc>
          <w:tcPr>
            <w:tcW w:w="1350" w:type="dxa"/>
          </w:tcPr>
          <w:p w:rsidR="00315BE8" w:rsidRDefault="00177141">
            <w:pPr>
              <w:jc w:val="right"/>
              <w:rPr>
                <w:rFonts w:ascii="Times New Roman" w:hAnsi="Times New Roman"/>
                <w:sz w:val="24"/>
                <w:szCs w:val="24"/>
              </w:rPr>
            </w:pPr>
            <w:r>
              <w:rPr>
                <w:rFonts w:ascii="Times New Roman" w:hAnsi="Times New Roman"/>
                <w:sz w:val="24"/>
                <w:szCs w:val="24"/>
              </w:rPr>
              <w:t>84</w:t>
            </w:r>
          </w:p>
        </w:tc>
      </w:tr>
      <w:tr w:rsidR="00177141" w:rsidTr="0068769A">
        <w:trPr>
          <w:jc w:val="center"/>
        </w:trPr>
        <w:tc>
          <w:tcPr>
            <w:tcW w:w="1458" w:type="dxa"/>
          </w:tcPr>
          <w:p w:rsidR="00177141" w:rsidRDefault="00177141" w:rsidP="00177141">
            <w:pPr>
              <w:rPr>
                <w:rFonts w:ascii="Times New Roman" w:hAnsi="Times New Roman"/>
                <w:sz w:val="24"/>
                <w:szCs w:val="24"/>
              </w:rPr>
            </w:pPr>
            <w:r>
              <w:rPr>
                <w:rFonts w:ascii="Times New Roman" w:hAnsi="Times New Roman"/>
                <w:sz w:val="24"/>
                <w:szCs w:val="24"/>
              </w:rPr>
              <w:t>9/09 – 3/10</w:t>
            </w:r>
          </w:p>
        </w:tc>
        <w:tc>
          <w:tcPr>
            <w:tcW w:w="1710" w:type="dxa"/>
          </w:tcPr>
          <w:p w:rsidR="00315BE8" w:rsidRDefault="00177141">
            <w:pPr>
              <w:jc w:val="right"/>
              <w:rPr>
                <w:rFonts w:ascii="Times New Roman" w:hAnsi="Times New Roman"/>
                <w:sz w:val="24"/>
                <w:szCs w:val="24"/>
              </w:rPr>
            </w:pPr>
            <w:r>
              <w:rPr>
                <w:rFonts w:ascii="Times New Roman" w:hAnsi="Times New Roman"/>
                <w:sz w:val="24"/>
                <w:szCs w:val="24"/>
              </w:rPr>
              <w:t>6 months</w:t>
            </w:r>
          </w:p>
        </w:tc>
        <w:tc>
          <w:tcPr>
            <w:tcW w:w="1620" w:type="dxa"/>
          </w:tcPr>
          <w:p w:rsidR="00315BE8" w:rsidRDefault="00177141">
            <w:pPr>
              <w:jc w:val="right"/>
              <w:rPr>
                <w:rFonts w:ascii="Times New Roman" w:hAnsi="Times New Roman"/>
                <w:sz w:val="24"/>
                <w:szCs w:val="24"/>
              </w:rPr>
            </w:pPr>
            <w:r>
              <w:rPr>
                <w:rFonts w:ascii="Times New Roman" w:hAnsi="Times New Roman"/>
                <w:sz w:val="24"/>
                <w:szCs w:val="24"/>
              </w:rPr>
              <w:t>8</w:t>
            </w:r>
          </w:p>
        </w:tc>
        <w:tc>
          <w:tcPr>
            <w:tcW w:w="1350" w:type="dxa"/>
          </w:tcPr>
          <w:p w:rsidR="00315BE8" w:rsidRDefault="00177141">
            <w:pPr>
              <w:jc w:val="right"/>
              <w:rPr>
                <w:rFonts w:ascii="Times New Roman" w:hAnsi="Times New Roman"/>
                <w:sz w:val="24"/>
                <w:szCs w:val="24"/>
              </w:rPr>
            </w:pPr>
            <w:r>
              <w:rPr>
                <w:rFonts w:ascii="Times New Roman" w:hAnsi="Times New Roman"/>
                <w:sz w:val="24"/>
                <w:szCs w:val="24"/>
              </w:rPr>
              <w:t>33</w:t>
            </w:r>
          </w:p>
        </w:tc>
      </w:tr>
    </w:tbl>
    <w:p w:rsidR="00177141" w:rsidRPr="00177141" w:rsidRDefault="00177141" w:rsidP="00177141">
      <w:pPr>
        <w:spacing w:after="0" w:line="240" w:lineRule="auto"/>
        <w:rPr>
          <w:rFonts w:ascii="Times New Roman" w:hAnsi="Times New Roman"/>
          <w:sz w:val="24"/>
          <w:szCs w:val="24"/>
        </w:rPr>
      </w:pPr>
    </w:p>
    <w:p w:rsidR="003E4D44" w:rsidRDefault="003E4D44" w:rsidP="00F61777">
      <w:pPr>
        <w:spacing w:after="0" w:line="240" w:lineRule="auto"/>
        <w:rPr>
          <w:rFonts w:ascii="Times New Roman" w:hAnsi="Times New Roman"/>
          <w:sz w:val="24"/>
          <w:szCs w:val="24"/>
        </w:rPr>
      </w:pPr>
    </w:p>
    <w:p w:rsidR="00A56803" w:rsidRPr="00A56803" w:rsidRDefault="00841BFB" w:rsidP="00F61777">
      <w:pPr>
        <w:spacing w:after="0" w:line="240" w:lineRule="auto"/>
        <w:rPr>
          <w:rFonts w:ascii="Times New Roman" w:hAnsi="Times New Roman"/>
          <w:sz w:val="24"/>
          <w:szCs w:val="24"/>
        </w:rPr>
      </w:pPr>
      <w:r>
        <w:rPr>
          <w:rFonts w:ascii="Times New Roman" w:hAnsi="Times New Roman"/>
          <w:sz w:val="24"/>
          <w:szCs w:val="24"/>
        </w:rPr>
        <w:t xml:space="preserve">To determine if Verizon improved its record of </w:t>
      </w:r>
      <w:r w:rsidR="004F40CB">
        <w:rPr>
          <w:rFonts w:ascii="Times New Roman" w:hAnsi="Times New Roman"/>
          <w:sz w:val="24"/>
          <w:szCs w:val="24"/>
        </w:rPr>
        <w:t>im</w:t>
      </w:r>
      <w:r>
        <w:rPr>
          <w:rFonts w:ascii="Times New Roman" w:hAnsi="Times New Roman"/>
          <w:sz w:val="24"/>
          <w:szCs w:val="24"/>
        </w:rPr>
        <w:t xml:space="preserve">properly </w:t>
      </w:r>
      <w:r w:rsidR="0068769A">
        <w:rPr>
          <w:rFonts w:ascii="Times New Roman" w:hAnsi="Times New Roman"/>
          <w:sz w:val="24"/>
          <w:szCs w:val="24"/>
        </w:rPr>
        <w:t xml:space="preserve">processing </w:t>
      </w:r>
      <w:r>
        <w:rPr>
          <w:rFonts w:ascii="Times New Roman" w:hAnsi="Times New Roman"/>
          <w:sz w:val="24"/>
          <w:szCs w:val="24"/>
        </w:rPr>
        <w:t xml:space="preserve">WTAP customers, staff reviewed </w:t>
      </w:r>
      <w:r w:rsidR="008B2C1D">
        <w:rPr>
          <w:rFonts w:ascii="Times New Roman" w:hAnsi="Times New Roman"/>
          <w:sz w:val="24"/>
          <w:szCs w:val="24"/>
        </w:rPr>
        <w:t xml:space="preserve">all </w:t>
      </w:r>
      <w:r>
        <w:rPr>
          <w:rFonts w:ascii="Times New Roman" w:hAnsi="Times New Roman"/>
          <w:sz w:val="24"/>
          <w:szCs w:val="24"/>
        </w:rPr>
        <w:t>complaints filed with consumer protection staff d</w:t>
      </w:r>
      <w:r w:rsidR="00A56803">
        <w:rPr>
          <w:rFonts w:ascii="Times New Roman" w:hAnsi="Times New Roman"/>
          <w:sz w:val="24"/>
          <w:szCs w:val="24"/>
        </w:rPr>
        <w:t xml:space="preserve">uring the </w:t>
      </w:r>
      <w:r w:rsidR="00F9777B">
        <w:rPr>
          <w:rFonts w:ascii="Times New Roman" w:hAnsi="Times New Roman"/>
          <w:sz w:val="24"/>
          <w:szCs w:val="24"/>
        </w:rPr>
        <w:t xml:space="preserve">current </w:t>
      </w:r>
      <w:r w:rsidR="00A56803">
        <w:rPr>
          <w:rFonts w:ascii="Times New Roman" w:hAnsi="Times New Roman"/>
          <w:sz w:val="24"/>
          <w:szCs w:val="24"/>
        </w:rPr>
        <w:t>compliance period</w:t>
      </w:r>
      <w:r>
        <w:rPr>
          <w:rFonts w:ascii="Times New Roman" w:hAnsi="Times New Roman"/>
          <w:sz w:val="24"/>
          <w:szCs w:val="24"/>
        </w:rPr>
        <w:t xml:space="preserve">. </w:t>
      </w:r>
      <w:r w:rsidR="00F9777B">
        <w:rPr>
          <w:rFonts w:ascii="Times New Roman" w:hAnsi="Times New Roman"/>
          <w:sz w:val="24"/>
          <w:szCs w:val="24"/>
        </w:rPr>
        <w:t>As noted above, s</w:t>
      </w:r>
      <w:r w:rsidR="003E4D44">
        <w:rPr>
          <w:rFonts w:ascii="Times New Roman" w:hAnsi="Times New Roman"/>
          <w:sz w:val="24"/>
          <w:szCs w:val="24"/>
        </w:rPr>
        <w:t xml:space="preserve">taff found 33 violations of RCW 80.36.130 in eight complaints </w:t>
      </w:r>
      <w:r w:rsidR="00F9777B">
        <w:rPr>
          <w:rFonts w:ascii="Times New Roman" w:hAnsi="Times New Roman"/>
          <w:sz w:val="24"/>
          <w:szCs w:val="24"/>
        </w:rPr>
        <w:t>during the current compliance</w:t>
      </w:r>
      <w:r w:rsidR="00177141">
        <w:rPr>
          <w:rFonts w:ascii="Times New Roman" w:hAnsi="Times New Roman"/>
          <w:sz w:val="24"/>
          <w:szCs w:val="24"/>
        </w:rPr>
        <w:t xml:space="preserve"> period. </w:t>
      </w:r>
      <w:r w:rsidR="00A56803">
        <w:rPr>
          <w:rFonts w:ascii="Times New Roman" w:hAnsi="Times New Roman"/>
          <w:sz w:val="24"/>
          <w:szCs w:val="24"/>
        </w:rPr>
        <w:t xml:space="preserve">Based on these findings, it appears that complaints against Verizon related to </w:t>
      </w:r>
      <w:r w:rsidR="004F40CB">
        <w:rPr>
          <w:rFonts w:ascii="Times New Roman" w:hAnsi="Times New Roman"/>
          <w:sz w:val="24"/>
          <w:szCs w:val="24"/>
        </w:rPr>
        <w:t>im</w:t>
      </w:r>
      <w:r>
        <w:rPr>
          <w:rFonts w:ascii="Times New Roman" w:hAnsi="Times New Roman"/>
          <w:sz w:val="24"/>
          <w:szCs w:val="24"/>
        </w:rPr>
        <w:t xml:space="preserve">properly </w:t>
      </w:r>
      <w:r w:rsidR="004F40CB">
        <w:rPr>
          <w:rFonts w:ascii="Times New Roman" w:hAnsi="Times New Roman"/>
          <w:sz w:val="24"/>
          <w:szCs w:val="24"/>
        </w:rPr>
        <w:t xml:space="preserve">processing </w:t>
      </w:r>
      <w:r w:rsidR="00A56803">
        <w:rPr>
          <w:rFonts w:ascii="Times New Roman" w:hAnsi="Times New Roman"/>
          <w:sz w:val="24"/>
          <w:szCs w:val="24"/>
        </w:rPr>
        <w:t xml:space="preserve">WTAP </w:t>
      </w:r>
      <w:r>
        <w:rPr>
          <w:rFonts w:ascii="Times New Roman" w:hAnsi="Times New Roman"/>
          <w:sz w:val="24"/>
          <w:szCs w:val="24"/>
        </w:rPr>
        <w:t xml:space="preserve">customers </w:t>
      </w:r>
      <w:r w:rsidR="00A56803">
        <w:rPr>
          <w:rFonts w:ascii="Times New Roman" w:hAnsi="Times New Roman"/>
          <w:sz w:val="24"/>
          <w:szCs w:val="24"/>
        </w:rPr>
        <w:t>have decreased.</w:t>
      </w:r>
    </w:p>
    <w:p w:rsidR="007D79BD" w:rsidRDefault="007D79BD" w:rsidP="00F61777">
      <w:pPr>
        <w:spacing w:after="0" w:line="240" w:lineRule="auto"/>
        <w:rPr>
          <w:rFonts w:ascii="Times New Roman" w:hAnsi="Times New Roman"/>
          <w:sz w:val="24"/>
          <w:szCs w:val="24"/>
        </w:rPr>
      </w:pPr>
    </w:p>
    <w:p w:rsidR="007D79BD" w:rsidRDefault="007D79BD" w:rsidP="00F61777">
      <w:pPr>
        <w:spacing w:after="0" w:line="240" w:lineRule="auto"/>
        <w:rPr>
          <w:rFonts w:ascii="Times New Roman" w:hAnsi="Times New Roman"/>
          <w:b/>
          <w:sz w:val="24"/>
          <w:szCs w:val="24"/>
        </w:rPr>
      </w:pPr>
      <w:r>
        <w:rPr>
          <w:rFonts w:ascii="Times New Roman" w:hAnsi="Times New Roman"/>
          <w:b/>
          <w:sz w:val="24"/>
          <w:szCs w:val="24"/>
        </w:rPr>
        <w:t>Recommendations</w:t>
      </w:r>
    </w:p>
    <w:p w:rsidR="00B15012" w:rsidRDefault="00814ED9" w:rsidP="00F61777">
      <w:pPr>
        <w:spacing w:after="0" w:line="240" w:lineRule="auto"/>
        <w:rPr>
          <w:rFonts w:ascii="Times New Roman" w:hAnsi="Times New Roman"/>
          <w:sz w:val="24"/>
          <w:szCs w:val="24"/>
        </w:rPr>
      </w:pPr>
      <w:r>
        <w:rPr>
          <w:rFonts w:ascii="Times New Roman" w:hAnsi="Times New Roman"/>
          <w:sz w:val="24"/>
          <w:szCs w:val="24"/>
        </w:rPr>
        <w:t>While consumer protection staff receive</w:t>
      </w:r>
      <w:r w:rsidR="00CA7530">
        <w:rPr>
          <w:rFonts w:ascii="Times New Roman" w:hAnsi="Times New Roman"/>
          <w:sz w:val="24"/>
          <w:szCs w:val="24"/>
        </w:rPr>
        <w:t>d some</w:t>
      </w:r>
      <w:r>
        <w:rPr>
          <w:rFonts w:ascii="Times New Roman" w:hAnsi="Times New Roman"/>
          <w:sz w:val="24"/>
          <w:szCs w:val="24"/>
        </w:rPr>
        <w:t xml:space="preserve"> complaints against Verizon </w:t>
      </w:r>
      <w:r w:rsidR="00CA7530">
        <w:rPr>
          <w:rFonts w:ascii="Times New Roman" w:hAnsi="Times New Roman"/>
          <w:sz w:val="24"/>
          <w:szCs w:val="24"/>
        </w:rPr>
        <w:t xml:space="preserve">during the compliance period </w:t>
      </w:r>
      <w:r>
        <w:rPr>
          <w:rFonts w:ascii="Times New Roman" w:hAnsi="Times New Roman"/>
          <w:sz w:val="24"/>
          <w:szCs w:val="24"/>
        </w:rPr>
        <w:t>for WTAP-related violations, these violations stemmed from only eight individual complaints. This represents a significant drop in total complaints.</w:t>
      </w:r>
      <w:r>
        <w:rPr>
          <w:rStyle w:val="FootnoteReference"/>
          <w:rFonts w:ascii="Times New Roman" w:hAnsi="Times New Roman"/>
          <w:sz w:val="24"/>
          <w:szCs w:val="24"/>
        </w:rPr>
        <w:footnoteReference w:id="3"/>
      </w:r>
      <w:r w:rsidR="00B15012">
        <w:rPr>
          <w:rFonts w:ascii="Times New Roman" w:hAnsi="Times New Roman"/>
          <w:sz w:val="24"/>
          <w:szCs w:val="24"/>
        </w:rPr>
        <w:t xml:space="preserve"> In addition, Verizon has complied with all requirements outlined in the settlement agreement.</w:t>
      </w:r>
      <w:r w:rsidR="007661D6">
        <w:rPr>
          <w:rFonts w:ascii="Times New Roman" w:hAnsi="Times New Roman"/>
          <w:sz w:val="24"/>
          <w:szCs w:val="24"/>
        </w:rPr>
        <w:t xml:space="preserve"> Staff recommends no enforcement action related to improper charges for WTAP customers.</w:t>
      </w:r>
    </w:p>
    <w:p w:rsidR="005D6735" w:rsidRDefault="005D6735" w:rsidP="00F61777">
      <w:pPr>
        <w:spacing w:after="0" w:line="240" w:lineRule="auto"/>
        <w:rPr>
          <w:rFonts w:ascii="Times New Roman" w:hAnsi="Times New Roman"/>
          <w:sz w:val="24"/>
          <w:szCs w:val="24"/>
        </w:rPr>
      </w:pPr>
    </w:p>
    <w:p w:rsidR="005D6735" w:rsidRDefault="005D6735" w:rsidP="00F61777">
      <w:pPr>
        <w:spacing w:after="0" w:line="240" w:lineRule="auto"/>
        <w:rPr>
          <w:rFonts w:ascii="Times New Roman" w:hAnsi="Times New Roman"/>
          <w:sz w:val="24"/>
          <w:szCs w:val="24"/>
        </w:rPr>
      </w:pPr>
    </w:p>
    <w:p w:rsidR="001D2A62" w:rsidRPr="005D6735" w:rsidRDefault="004C6E22" w:rsidP="00F61777">
      <w:pPr>
        <w:spacing w:line="240" w:lineRule="auto"/>
        <w:rPr>
          <w:rFonts w:ascii="Times New Roman" w:hAnsi="Times New Roman"/>
          <w:sz w:val="24"/>
          <w:szCs w:val="24"/>
        </w:rPr>
      </w:pPr>
      <w:r>
        <w:rPr>
          <w:rFonts w:ascii="Times New Roman" w:hAnsi="Times New Roman"/>
          <w:sz w:val="24"/>
          <w:szCs w:val="24"/>
        </w:rPr>
        <w:br w:type="page"/>
      </w:r>
    </w:p>
    <w:p w:rsidR="001D2A62" w:rsidRDefault="001D2A62" w:rsidP="00F61777">
      <w:pPr>
        <w:spacing w:after="0" w:line="240" w:lineRule="auto"/>
        <w:jc w:val="center"/>
        <w:rPr>
          <w:rFonts w:ascii="Times New Roman" w:hAnsi="Times New Roman"/>
          <w:b/>
          <w:sz w:val="24"/>
          <w:szCs w:val="24"/>
        </w:rPr>
      </w:pPr>
      <w:r>
        <w:rPr>
          <w:rFonts w:ascii="Times New Roman" w:hAnsi="Times New Roman"/>
          <w:b/>
          <w:sz w:val="24"/>
          <w:szCs w:val="24"/>
        </w:rPr>
        <w:t>FINDINGS</w:t>
      </w:r>
      <w:r w:rsidR="00D17605">
        <w:rPr>
          <w:rFonts w:ascii="Times New Roman" w:hAnsi="Times New Roman"/>
          <w:b/>
          <w:sz w:val="24"/>
          <w:szCs w:val="24"/>
        </w:rPr>
        <w:t xml:space="preserve"> </w:t>
      </w:r>
      <w:r>
        <w:rPr>
          <w:rFonts w:ascii="Times New Roman" w:hAnsi="Times New Roman"/>
          <w:b/>
          <w:sz w:val="24"/>
          <w:szCs w:val="24"/>
        </w:rPr>
        <w:t>AND RECOMMENDATIONS</w:t>
      </w:r>
    </w:p>
    <w:p w:rsidR="001D2A62" w:rsidRDefault="008874A1" w:rsidP="00F61777">
      <w:pPr>
        <w:spacing w:after="0" w:line="240" w:lineRule="auto"/>
        <w:jc w:val="center"/>
        <w:rPr>
          <w:rFonts w:ascii="Times New Roman" w:hAnsi="Times New Roman"/>
          <w:b/>
          <w:sz w:val="24"/>
          <w:szCs w:val="24"/>
        </w:rPr>
      </w:pPr>
      <w:r>
        <w:rPr>
          <w:rFonts w:ascii="Times New Roman" w:hAnsi="Times New Roman"/>
          <w:b/>
          <w:sz w:val="24"/>
          <w:szCs w:val="24"/>
        </w:rPr>
        <w:t>CITY TAXES</w:t>
      </w:r>
    </w:p>
    <w:p w:rsidR="00905F0C" w:rsidRDefault="00905F0C" w:rsidP="00F61777">
      <w:pPr>
        <w:spacing w:after="0" w:line="240" w:lineRule="auto"/>
        <w:jc w:val="center"/>
        <w:rPr>
          <w:rFonts w:ascii="Times New Roman" w:hAnsi="Times New Roman"/>
          <w:b/>
          <w:sz w:val="24"/>
          <w:szCs w:val="24"/>
        </w:rPr>
      </w:pPr>
    </w:p>
    <w:p w:rsidR="006F4FCB" w:rsidRDefault="006F4FCB" w:rsidP="00F61777">
      <w:pPr>
        <w:spacing w:after="0" w:line="240" w:lineRule="auto"/>
        <w:rPr>
          <w:rFonts w:ascii="Times New Roman" w:hAnsi="Times New Roman"/>
          <w:b/>
          <w:sz w:val="24"/>
          <w:szCs w:val="24"/>
        </w:rPr>
      </w:pPr>
      <w:r>
        <w:rPr>
          <w:rFonts w:ascii="Times New Roman" w:hAnsi="Times New Roman"/>
          <w:b/>
          <w:sz w:val="24"/>
          <w:szCs w:val="24"/>
        </w:rPr>
        <w:t>Findings</w:t>
      </w:r>
    </w:p>
    <w:p w:rsidR="002B1960" w:rsidRDefault="002B1960" w:rsidP="00F61777">
      <w:pPr>
        <w:spacing w:after="0" w:line="240" w:lineRule="auto"/>
        <w:rPr>
          <w:rFonts w:ascii="Times New Roman" w:hAnsi="Times New Roman"/>
          <w:b/>
          <w:sz w:val="24"/>
          <w:szCs w:val="24"/>
        </w:rPr>
      </w:pPr>
    </w:p>
    <w:p w:rsidR="00905F0C" w:rsidRPr="002B1960" w:rsidRDefault="00550EEF" w:rsidP="007661D6">
      <w:pPr>
        <w:pStyle w:val="ListParagraph"/>
        <w:numPr>
          <w:ilvl w:val="0"/>
          <w:numId w:val="5"/>
        </w:numPr>
        <w:spacing w:after="0" w:line="240" w:lineRule="auto"/>
        <w:ind w:hanging="720"/>
        <w:rPr>
          <w:rFonts w:ascii="Times New Roman" w:hAnsi="Times New Roman"/>
          <w:b/>
          <w:sz w:val="24"/>
          <w:szCs w:val="24"/>
        </w:rPr>
      </w:pPr>
      <w:r w:rsidRPr="002B1960">
        <w:rPr>
          <w:rFonts w:ascii="Times New Roman" w:hAnsi="Times New Roman"/>
          <w:b/>
          <w:sz w:val="24"/>
          <w:szCs w:val="24"/>
        </w:rPr>
        <w:t>Compliance with settlement agreement terms</w:t>
      </w:r>
    </w:p>
    <w:p w:rsidR="00905F0C" w:rsidRDefault="001D2BB7" w:rsidP="00F61777">
      <w:pPr>
        <w:spacing w:after="0" w:line="240" w:lineRule="auto"/>
        <w:rPr>
          <w:rFonts w:ascii="Times New Roman" w:hAnsi="Times New Roman"/>
          <w:sz w:val="24"/>
          <w:szCs w:val="24"/>
        </w:rPr>
      </w:pPr>
      <w:r>
        <w:rPr>
          <w:rFonts w:ascii="Times New Roman" w:hAnsi="Times New Roman"/>
          <w:sz w:val="24"/>
          <w:szCs w:val="24"/>
        </w:rPr>
        <w:t>The settlement agreement and resulting order</w:t>
      </w:r>
      <w:r w:rsidR="00310B51">
        <w:rPr>
          <w:rFonts w:ascii="Times New Roman" w:hAnsi="Times New Roman"/>
          <w:sz w:val="24"/>
          <w:szCs w:val="24"/>
        </w:rPr>
        <w:t xml:space="preserve"> require</w:t>
      </w:r>
      <w:r w:rsidR="00B15012">
        <w:rPr>
          <w:rFonts w:ascii="Times New Roman" w:hAnsi="Times New Roman"/>
          <w:sz w:val="24"/>
          <w:szCs w:val="24"/>
        </w:rPr>
        <w:t>d</w:t>
      </w:r>
      <w:r w:rsidR="00310B51">
        <w:rPr>
          <w:rFonts w:ascii="Times New Roman" w:hAnsi="Times New Roman"/>
          <w:sz w:val="24"/>
          <w:szCs w:val="24"/>
        </w:rPr>
        <w:t xml:space="preserve"> Verizon to “institute a process to investigate customer complaints . . . concerning misapplication of city utility tax rates.”</w:t>
      </w:r>
      <w:r w:rsidR="00A84CF6">
        <w:rPr>
          <w:rStyle w:val="FootnoteReference"/>
          <w:rFonts w:ascii="Times New Roman" w:hAnsi="Times New Roman"/>
          <w:sz w:val="24"/>
          <w:szCs w:val="24"/>
        </w:rPr>
        <w:footnoteReference w:id="4"/>
      </w:r>
      <w:r w:rsidR="00310B51">
        <w:rPr>
          <w:rFonts w:ascii="Times New Roman" w:hAnsi="Times New Roman"/>
          <w:sz w:val="24"/>
          <w:szCs w:val="24"/>
        </w:rPr>
        <w:t xml:space="preserve"> </w:t>
      </w:r>
      <w:r>
        <w:rPr>
          <w:rFonts w:ascii="Times New Roman" w:hAnsi="Times New Roman"/>
          <w:sz w:val="24"/>
          <w:szCs w:val="24"/>
        </w:rPr>
        <w:t>It</w:t>
      </w:r>
      <w:r w:rsidR="00310B51">
        <w:rPr>
          <w:rFonts w:ascii="Times New Roman" w:hAnsi="Times New Roman"/>
          <w:sz w:val="24"/>
          <w:szCs w:val="24"/>
        </w:rPr>
        <w:t xml:space="preserve"> further states that Verizon must investigate such complaints and give credits to </w:t>
      </w:r>
      <w:r w:rsidR="002B1960">
        <w:rPr>
          <w:rFonts w:ascii="Times New Roman" w:hAnsi="Times New Roman"/>
          <w:sz w:val="24"/>
          <w:szCs w:val="24"/>
        </w:rPr>
        <w:t xml:space="preserve">complaining customers </w:t>
      </w:r>
      <w:r w:rsidR="00310B51">
        <w:rPr>
          <w:rFonts w:ascii="Times New Roman" w:hAnsi="Times New Roman"/>
          <w:sz w:val="24"/>
          <w:szCs w:val="24"/>
        </w:rPr>
        <w:t>within 35 days of the initial complaint.</w:t>
      </w:r>
      <w:r w:rsidR="001C02B5">
        <w:rPr>
          <w:rFonts w:ascii="Times New Roman" w:hAnsi="Times New Roman"/>
          <w:sz w:val="24"/>
          <w:szCs w:val="24"/>
        </w:rPr>
        <w:t xml:space="preserve"> Verizon provided staff with a document describing each complaint it received related to city tax billing issues, which included the date on which Verizon gave credits to the complaining customers. According to the information Verizon provided, in each complaint the company gave the credits within 3</w:t>
      </w:r>
      <w:r w:rsidR="002B1960">
        <w:rPr>
          <w:rFonts w:ascii="Times New Roman" w:hAnsi="Times New Roman"/>
          <w:sz w:val="24"/>
          <w:szCs w:val="24"/>
        </w:rPr>
        <w:t>5 days of the initial complaint, indicating full compliance.</w:t>
      </w:r>
    </w:p>
    <w:p w:rsidR="00310B51" w:rsidRDefault="00310B51" w:rsidP="00F61777">
      <w:pPr>
        <w:spacing w:after="0" w:line="240" w:lineRule="auto"/>
        <w:rPr>
          <w:rFonts w:ascii="Times New Roman" w:hAnsi="Times New Roman"/>
          <w:sz w:val="24"/>
          <w:szCs w:val="24"/>
        </w:rPr>
      </w:pPr>
    </w:p>
    <w:p w:rsidR="00310B51" w:rsidRDefault="00310B51" w:rsidP="00F61777">
      <w:pPr>
        <w:spacing w:after="0" w:line="240" w:lineRule="auto"/>
        <w:rPr>
          <w:rFonts w:ascii="Times New Roman" w:hAnsi="Times New Roman"/>
          <w:sz w:val="24"/>
          <w:szCs w:val="24"/>
        </w:rPr>
      </w:pPr>
      <w:r>
        <w:rPr>
          <w:rFonts w:ascii="Times New Roman" w:hAnsi="Times New Roman"/>
          <w:sz w:val="24"/>
          <w:szCs w:val="24"/>
        </w:rPr>
        <w:t xml:space="preserve">Paragraph ten </w:t>
      </w:r>
      <w:r w:rsidR="00010ED0">
        <w:rPr>
          <w:rFonts w:ascii="Times New Roman" w:hAnsi="Times New Roman"/>
          <w:sz w:val="24"/>
          <w:szCs w:val="24"/>
        </w:rPr>
        <w:t xml:space="preserve">of the settlement agreement </w:t>
      </w:r>
      <w:r w:rsidR="00B15012">
        <w:rPr>
          <w:rFonts w:ascii="Times New Roman" w:hAnsi="Times New Roman"/>
          <w:sz w:val="24"/>
          <w:szCs w:val="24"/>
        </w:rPr>
        <w:t>required</w:t>
      </w:r>
      <w:r>
        <w:rPr>
          <w:rFonts w:ascii="Times New Roman" w:hAnsi="Times New Roman"/>
          <w:sz w:val="24"/>
          <w:szCs w:val="24"/>
        </w:rPr>
        <w:t xml:space="preserve"> Verizon to “investigate neighboring customers, and if warranted, issue them appropriate customer credits within 35 days of receipt of the initial complaint.”</w:t>
      </w:r>
      <w:r w:rsidR="002B1960">
        <w:rPr>
          <w:rFonts w:ascii="Times New Roman" w:hAnsi="Times New Roman"/>
          <w:sz w:val="24"/>
          <w:szCs w:val="24"/>
        </w:rPr>
        <w:t xml:space="preserve"> </w:t>
      </w:r>
      <w:r w:rsidR="003D0B39">
        <w:rPr>
          <w:rFonts w:ascii="Times New Roman" w:hAnsi="Times New Roman"/>
          <w:sz w:val="24"/>
          <w:szCs w:val="24"/>
        </w:rPr>
        <w:t xml:space="preserve">Verizon provided staff with a document for each city tax billing complaint it received describing the credits provided to all other customers in proximity to the complaining customer. According to the information Verizon provided, each time a customer complained, Verizon took prompt action to give credits to all customers affected by the improper </w:t>
      </w:r>
      <w:r w:rsidR="002B1960">
        <w:rPr>
          <w:rFonts w:ascii="Times New Roman" w:hAnsi="Times New Roman"/>
          <w:sz w:val="24"/>
          <w:szCs w:val="24"/>
        </w:rPr>
        <w:t>city tax billing within 35 days, indicating full compliance.</w:t>
      </w:r>
    </w:p>
    <w:p w:rsidR="00477444" w:rsidRDefault="00477444" w:rsidP="00F61777">
      <w:pPr>
        <w:spacing w:after="0" w:line="240" w:lineRule="auto"/>
        <w:rPr>
          <w:rFonts w:ascii="Times New Roman" w:hAnsi="Times New Roman"/>
          <w:sz w:val="24"/>
          <w:szCs w:val="24"/>
        </w:rPr>
      </w:pPr>
    </w:p>
    <w:p w:rsidR="00B15012" w:rsidRDefault="00477444" w:rsidP="00F61777">
      <w:pPr>
        <w:spacing w:after="0" w:line="240" w:lineRule="auto"/>
        <w:rPr>
          <w:rFonts w:ascii="Times New Roman" w:hAnsi="Times New Roman"/>
          <w:sz w:val="24"/>
          <w:szCs w:val="24"/>
        </w:rPr>
      </w:pPr>
      <w:r>
        <w:rPr>
          <w:rFonts w:ascii="Times New Roman" w:hAnsi="Times New Roman"/>
          <w:sz w:val="24"/>
          <w:szCs w:val="24"/>
        </w:rPr>
        <w:t xml:space="preserve">Paragraph 11 </w:t>
      </w:r>
      <w:r w:rsidR="00B15012">
        <w:rPr>
          <w:rFonts w:ascii="Times New Roman" w:hAnsi="Times New Roman"/>
          <w:sz w:val="24"/>
          <w:szCs w:val="24"/>
        </w:rPr>
        <w:t>required</w:t>
      </w:r>
      <w:r>
        <w:rPr>
          <w:rFonts w:ascii="Times New Roman" w:hAnsi="Times New Roman"/>
          <w:sz w:val="24"/>
          <w:szCs w:val="24"/>
        </w:rPr>
        <w:t xml:space="preserve"> Verizon to “provide Staff with a list of all Washington complaints . . . concerning misapplication of city utility tax rates since the effective date of the Agreement.” Verizon provided</w:t>
      </w:r>
      <w:r w:rsidR="00844FD6">
        <w:rPr>
          <w:rFonts w:ascii="Times New Roman" w:hAnsi="Times New Roman"/>
          <w:sz w:val="24"/>
          <w:szCs w:val="24"/>
        </w:rPr>
        <w:t xml:space="preserve"> staff</w:t>
      </w:r>
      <w:r>
        <w:rPr>
          <w:rFonts w:ascii="Times New Roman" w:hAnsi="Times New Roman"/>
          <w:sz w:val="24"/>
          <w:szCs w:val="24"/>
        </w:rPr>
        <w:t xml:space="preserve"> a list of all complaints it recorded</w:t>
      </w:r>
      <w:r w:rsidR="00010ED0">
        <w:rPr>
          <w:rFonts w:ascii="Times New Roman" w:hAnsi="Times New Roman"/>
          <w:sz w:val="24"/>
          <w:szCs w:val="24"/>
        </w:rPr>
        <w:t>,</w:t>
      </w:r>
      <w:r>
        <w:rPr>
          <w:rFonts w:ascii="Times New Roman" w:hAnsi="Times New Roman"/>
          <w:sz w:val="24"/>
          <w:szCs w:val="24"/>
        </w:rPr>
        <w:t xml:space="preserve"> as required</w:t>
      </w:r>
      <w:r w:rsidR="00A84CF6">
        <w:rPr>
          <w:rFonts w:ascii="Times New Roman" w:hAnsi="Times New Roman"/>
          <w:sz w:val="24"/>
          <w:szCs w:val="24"/>
        </w:rPr>
        <w:t xml:space="preserve">. </w:t>
      </w:r>
    </w:p>
    <w:p w:rsidR="00B15012" w:rsidRDefault="00B15012" w:rsidP="00F61777">
      <w:pPr>
        <w:spacing w:after="0" w:line="240" w:lineRule="auto"/>
        <w:rPr>
          <w:rFonts w:ascii="Times New Roman" w:hAnsi="Times New Roman"/>
          <w:sz w:val="24"/>
          <w:szCs w:val="24"/>
        </w:rPr>
      </w:pPr>
    </w:p>
    <w:p w:rsidR="002B1960" w:rsidRDefault="00844FD6" w:rsidP="00F61777">
      <w:pPr>
        <w:spacing w:after="0" w:line="240" w:lineRule="auto"/>
        <w:rPr>
          <w:rFonts w:ascii="Times New Roman" w:hAnsi="Times New Roman"/>
          <w:sz w:val="24"/>
          <w:szCs w:val="24"/>
        </w:rPr>
      </w:pPr>
      <w:r>
        <w:rPr>
          <w:rFonts w:ascii="Times New Roman" w:hAnsi="Times New Roman"/>
          <w:sz w:val="24"/>
          <w:szCs w:val="24"/>
        </w:rPr>
        <w:t xml:space="preserve">Staff finds that </w:t>
      </w:r>
      <w:r w:rsidR="002B1960">
        <w:rPr>
          <w:rFonts w:ascii="Times New Roman" w:hAnsi="Times New Roman"/>
          <w:sz w:val="24"/>
          <w:szCs w:val="24"/>
        </w:rPr>
        <w:t>Verizon has complied with the requirements of the settlement agreement as it relates to the billing of city taxes.</w:t>
      </w:r>
    </w:p>
    <w:p w:rsidR="002B1960" w:rsidRDefault="002B1960" w:rsidP="00F61777">
      <w:pPr>
        <w:spacing w:after="0" w:line="240" w:lineRule="auto"/>
        <w:rPr>
          <w:rFonts w:ascii="Times New Roman" w:hAnsi="Times New Roman"/>
          <w:sz w:val="24"/>
          <w:szCs w:val="24"/>
        </w:rPr>
      </w:pPr>
    </w:p>
    <w:p w:rsidR="002B1960" w:rsidRPr="002B1960" w:rsidRDefault="002B1960" w:rsidP="007661D6">
      <w:pPr>
        <w:pStyle w:val="ListParagraph"/>
        <w:numPr>
          <w:ilvl w:val="0"/>
          <w:numId w:val="5"/>
        </w:numPr>
        <w:spacing w:after="0" w:line="240" w:lineRule="auto"/>
        <w:ind w:hanging="720"/>
        <w:rPr>
          <w:rFonts w:ascii="Times New Roman" w:hAnsi="Times New Roman"/>
          <w:b/>
          <w:sz w:val="24"/>
          <w:szCs w:val="24"/>
        </w:rPr>
      </w:pPr>
      <w:r w:rsidRPr="002B1960">
        <w:rPr>
          <w:rFonts w:ascii="Times New Roman" w:hAnsi="Times New Roman"/>
          <w:b/>
          <w:sz w:val="24"/>
          <w:szCs w:val="24"/>
        </w:rPr>
        <w:t>Consumer protection complaints</w:t>
      </w:r>
    </w:p>
    <w:p w:rsidR="002B1960" w:rsidRDefault="00F72A6B" w:rsidP="00F61777">
      <w:pPr>
        <w:spacing w:after="0" w:line="240" w:lineRule="auto"/>
        <w:rPr>
          <w:rFonts w:ascii="Times New Roman" w:hAnsi="Times New Roman"/>
          <w:sz w:val="24"/>
          <w:szCs w:val="24"/>
        </w:rPr>
      </w:pPr>
      <w:r>
        <w:rPr>
          <w:rFonts w:ascii="Times New Roman" w:hAnsi="Times New Roman"/>
          <w:sz w:val="24"/>
          <w:szCs w:val="24"/>
        </w:rPr>
        <w:t>In addition to Verizon’s compliance with the settlement agreement, staff also evaluated the complaints recorded against Verizon</w:t>
      </w:r>
      <w:r w:rsidR="00905ACA">
        <w:rPr>
          <w:rFonts w:ascii="Times New Roman" w:hAnsi="Times New Roman"/>
          <w:sz w:val="24"/>
          <w:szCs w:val="24"/>
        </w:rPr>
        <w:t xml:space="preserve"> related to city taxes</w:t>
      </w:r>
      <w:r>
        <w:rPr>
          <w:rFonts w:ascii="Times New Roman" w:hAnsi="Times New Roman"/>
          <w:sz w:val="24"/>
          <w:szCs w:val="24"/>
        </w:rPr>
        <w:t>.</w:t>
      </w:r>
    </w:p>
    <w:p w:rsidR="002B1960" w:rsidRDefault="002B1960" w:rsidP="00F61777">
      <w:pPr>
        <w:spacing w:after="0" w:line="240" w:lineRule="auto"/>
        <w:rPr>
          <w:rFonts w:ascii="Times New Roman" w:hAnsi="Times New Roman"/>
          <w:sz w:val="24"/>
          <w:szCs w:val="24"/>
        </w:rPr>
      </w:pPr>
    </w:p>
    <w:p w:rsidR="00F72A6B" w:rsidRPr="00550EEF" w:rsidRDefault="002B1960" w:rsidP="00F61777">
      <w:pPr>
        <w:spacing w:after="0" w:line="240" w:lineRule="auto"/>
        <w:rPr>
          <w:rFonts w:ascii="Times New Roman" w:hAnsi="Times New Roman"/>
          <w:sz w:val="24"/>
          <w:szCs w:val="24"/>
        </w:rPr>
      </w:pPr>
      <w:r>
        <w:rPr>
          <w:rFonts w:ascii="Times New Roman" w:hAnsi="Times New Roman"/>
          <w:sz w:val="24"/>
          <w:szCs w:val="24"/>
        </w:rPr>
        <w:t xml:space="preserve">In </w:t>
      </w:r>
      <w:r w:rsidR="00052EDB">
        <w:rPr>
          <w:rFonts w:ascii="Times New Roman" w:hAnsi="Times New Roman"/>
          <w:sz w:val="24"/>
          <w:szCs w:val="24"/>
        </w:rPr>
        <w:t xml:space="preserve">its </w:t>
      </w:r>
      <w:r>
        <w:rPr>
          <w:rFonts w:ascii="Times New Roman" w:hAnsi="Times New Roman"/>
          <w:sz w:val="24"/>
          <w:szCs w:val="24"/>
        </w:rPr>
        <w:t>2008</w:t>
      </w:r>
      <w:r w:rsidR="00052EDB">
        <w:rPr>
          <w:rFonts w:ascii="Times New Roman" w:hAnsi="Times New Roman"/>
          <w:sz w:val="24"/>
          <w:szCs w:val="24"/>
        </w:rPr>
        <w:t xml:space="preserve"> investigation</w:t>
      </w:r>
      <w:r>
        <w:rPr>
          <w:rFonts w:ascii="Times New Roman" w:hAnsi="Times New Roman"/>
          <w:sz w:val="24"/>
          <w:szCs w:val="24"/>
        </w:rPr>
        <w:t xml:space="preserve">, staff found </w:t>
      </w:r>
      <w:r w:rsidR="00052EDB">
        <w:rPr>
          <w:rFonts w:ascii="Times New Roman" w:hAnsi="Times New Roman"/>
          <w:sz w:val="24"/>
          <w:szCs w:val="24"/>
        </w:rPr>
        <w:t xml:space="preserve">Verizon improperly charged city taxes in five complaints, resulting in </w:t>
      </w:r>
      <w:r>
        <w:rPr>
          <w:rFonts w:ascii="Times New Roman" w:hAnsi="Times New Roman"/>
          <w:sz w:val="24"/>
          <w:szCs w:val="24"/>
        </w:rPr>
        <w:t>588 violations of RCW 80.36.130 between June 2008 and November 2008.</w:t>
      </w:r>
      <w:r w:rsidR="00F72A6B">
        <w:rPr>
          <w:rFonts w:ascii="Times New Roman" w:hAnsi="Times New Roman"/>
          <w:sz w:val="24"/>
          <w:szCs w:val="24"/>
        </w:rPr>
        <w:t xml:space="preserve"> </w:t>
      </w:r>
      <w:r>
        <w:rPr>
          <w:rFonts w:ascii="Times New Roman" w:hAnsi="Times New Roman"/>
          <w:sz w:val="24"/>
          <w:szCs w:val="24"/>
        </w:rPr>
        <w:t>During t</w:t>
      </w:r>
      <w:r w:rsidR="00F72A6B">
        <w:rPr>
          <w:rFonts w:ascii="Times New Roman" w:hAnsi="Times New Roman"/>
          <w:sz w:val="24"/>
          <w:szCs w:val="24"/>
        </w:rPr>
        <w:t>he compliance period, from September 10, 2009</w:t>
      </w:r>
      <w:r w:rsidR="00052EDB">
        <w:rPr>
          <w:rFonts w:ascii="Times New Roman" w:hAnsi="Times New Roman"/>
          <w:sz w:val="24"/>
          <w:szCs w:val="24"/>
        </w:rPr>
        <w:t>,</w:t>
      </w:r>
      <w:r w:rsidR="00F72A6B">
        <w:rPr>
          <w:rFonts w:ascii="Times New Roman" w:hAnsi="Times New Roman"/>
          <w:sz w:val="24"/>
          <w:szCs w:val="24"/>
        </w:rPr>
        <w:t xml:space="preserve"> to March 10, 2010, staff found </w:t>
      </w:r>
      <w:r w:rsidR="00052EDB">
        <w:rPr>
          <w:rFonts w:ascii="Times New Roman" w:hAnsi="Times New Roman"/>
          <w:sz w:val="24"/>
          <w:szCs w:val="24"/>
        </w:rPr>
        <w:t>Verizon improperly charged city taxes in three complaints, resulting in</w:t>
      </w:r>
      <w:r>
        <w:rPr>
          <w:rFonts w:ascii="Times New Roman" w:hAnsi="Times New Roman"/>
          <w:sz w:val="24"/>
          <w:szCs w:val="24"/>
        </w:rPr>
        <w:t xml:space="preserve"> 621 violations of WAC 480-120-161 or RCW 80.36.130. In addition, staff found that since the compliance period ended on </w:t>
      </w:r>
      <w:r w:rsidR="00F72A6B">
        <w:rPr>
          <w:rFonts w:ascii="Times New Roman" w:hAnsi="Times New Roman"/>
          <w:sz w:val="24"/>
          <w:szCs w:val="24"/>
        </w:rPr>
        <w:t>March 10</w:t>
      </w:r>
      <w:r>
        <w:rPr>
          <w:rFonts w:ascii="Times New Roman" w:hAnsi="Times New Roman"/>
          <w:sz w:val="24"/>
          <w:szCs w:val="24"/>
        </w:rPr>
        <w:t xml:space="preserve">, 2010, </w:t>
      </w:r>
      <w:r w:rsidR="00052EDB">
        <w:rPr>
          <w:rFonts w:ascii="Times New Roman" w:hAnsi="Times New Roman"/>
          <w:sz w:val="24"/>
          <w:szCs w:val="24"/>
        </w:rPr>
        <w:t xml:space="preserve">Verizon improperly charged city taxes in one complaint, resulting in </w:t>
      </w:r>
      <w:r>
        <w:rPr>
          <w:rFonts w:ascii="Times New Roman" w:hAnsi="Times New Roman"/>
          <w:sz w:val="24"/>
          <w:szCs w:val="24"/>
        </w:rPr>
        <w:t>38 violations of RCW 80.36.130.</w:t>
      </w:r>
      <w:r>
        <w:rPr>
          <w:rStyle w:val="FootnoteReference"/>
          <w:rFonts w:ascii="Times New Roman" w:hAnsi="Times New Roman"/>
          <w:sz w:val="24"/>
          <w:szCs w:val="24"/>
        </w:rPr>
        <w:footnoteReference w:id="5"/>
      </w:r>
    </w:p>
    <w:p w:rsidR="00550EEF" w:rsidRDefault="00550EEF" w:rsidP="00F61777">
      <w:pPr>
        <w:spacing w:after="0" w:line="240" w:lineRule="auto"/>
        <w:rPr>
          <w:rFonts w:ascii="Times New Roman" w:hAnsi="Times New Roman"/>
          <w:sz w:val="24"/>
          <w:szCs w:val="24"/>
        </w:rPr>
      </w:pPr>
    </w:p>
    <w:p w:rsidR="00550EEF" w:rsidRDefault="00550EEF" w:rsidP="00F61777">
      <w:pPr>
        <w:spacing w:after="0" w:line="240" w:lineRule="auto"/>
        <w:rPr>
          <w:rFonts w:ascii="Times New Roman" w:hAnsi="Times New Roman"/>
          <w:b/>
          <w:sz w:val="24"/>
          <w:szCs w:val="24"/>
        </w:rPr>
      </w:pPr>
      <w:r>
        <w:rPr>
          <w:rFonts w:ascii="Times New Roman" w:hAnsi="Times New Roman"/>
          <w:b/>
          <w:sz w:val="24"/>
          <w:szCs w:val="24"/>
        </w:rPr>
        <w:t>Discussion</w:t>
      </w:r>
    </w:p>
    <w:p w:rsidR="004703CB" w:rsidDel="004703CB" w:rsidRDefault="008A10A2" w:rsidP="00F61777">
      <w:pPr>
        <w:spacing w:after="0" w:line="240" w:lineRule="auto"/>
        <w:rPr>
          <w:rFonts w:ascii="Times New Roman" w:hAnsi="Times New Roman"/>
          <w:sz w:val="24"/>
          <w:szCs w:val="24"/>
        </w:rPr>
      </w:pPr>
      <w:r>
        <w:rPr>
          <w:rFonts w:ascii="Times New Roman" w:hAnsi="Times New Roman"/>
          <w:sz w:val="24"/>
          <w:szCs w:val="24"/>
        </w:rPr>
        <w:t xml:space="preserve">Staff’s investigation </w:t>
      </w:r>
      <w:r w:rsidR="00F72A6B">
        <w:rPr>
          <w:rFonts w:ascii="Times New Roman" w:hAnsi="Times New Roman"/>
          <w:sz w:val="24"/>
          <w:szCs w:val="24"/>
        </w:rPr>
        <w:t>indicate</w:t>
      </w:r>
      <w:r>
        <w:rPr>
          <w:rFonts w:ascii="Times New Roman" w:hAnsi="Times New Roman"/>
          <w:sz w:val="24"/>
          <w:szCs w:val="24"/>
        </w:rPr>
        <w:t>s</w:t>
      </w:r>
      <w:r w:rsidR="00F72A6B">
        <w:rPr>
          <w:rFonts w:ascii="Times New Roman" w:hAnsi="Times New Roman"/>
          <w:sz w:val="24"/>
          <w:szCs w:val="24"/>
        </w:rPr>
        <w:t xml:space="preserve"> that the company has responded quickly and appropriately in </w:t>
      </w:r>
      <w:r w:rsidR="004703CB">
        <w:rPr>
          <w:rFonts w:ascii="Times New Roman" w:hAnsi="Times New Roman"/>
          <w:sz w:val="24"/>
          <w:szCs w:val="24"/>
        </w:rPr>
        <w:t xml:space="preserve">investigating complaints from customers about city taxes. In addition, the company provides </w:t>
      </w:r>
      <w:r w:rsidR="00F72A6B">
        <w:rPr>
          <w:rFonts w:ascii="Times New Roman" w:hAnsi="Times New Roman"/>
          <w:sz w:val="24"/>
          <w:szCs w:val="24"/>
        </w:rPr>
        <w:t xml:space="preserve">credits </w:t>
      </w:r>
      <w:r w:rsidR="004703CB">
        <w:rPr>
          <w:rFonts w:ascii="Times New Roman" w:hAnsi="Times New Roman"/>
          <w:sz w:val="24"/>
          <w:szCs w:val="24"/>
        </w:rPr>
        <w:t xml:space="preserve">within 35 days, as required by the settlement agreement. </w:t>
      </w:r>
    </w:p>
    <w:p w:rsidR="008A10A2" w:rsidRDefault="008A10A2" w:rsidP="00F61777">
      <w:pPr>
        <w:spacing w:after="0" w:line="240" w:lineRule="auto"/>
        <w:rPr>
          <w:rFonts w:ascii="Times New Roman" w:hAnsi="Times New Roman"/>
          <w:sz w:val="24"/>
          <w:szCs w:val="24"/>
        </w:rPr>
      </w:pPr>
    </w:p>
    <w:p w:rsidR="005D6735" w:rsidRDefault="005D6735" w:rsidP="00F61777">
      <w:pPr>
        <w:spacing w:after="0" w:line="240" w:lineRule="auto"/>
        <w:rPr>
          <w:rFonts w:ascii="Times New Roman" w:hAnsi="Times New Roman"/>
          <w:b/>
          <w:sz w:val="24"/>
          <w:szCs w:val="24"/>
        </w:rPr>
      </w:pPr>
      <w:r>
        <w:rPr>
          <w:rFonts w:ascii="Times New Roman" w:hAnsi="Times New Roman"/>
          <w:b/>
          <w:sz w:val="24"/>
          <w:szCs w:val="24"/>
        </w:rPr>
        <w:t>Recommendation</w:t>
      </w:r>
    </w:p>
    <w:p w:rsidR="00CF6B4B" w:rsidRDefault="007661D6" w:rsidP="00F61777">
      <w:pPr>
        <w:spacing w:after="0" w:line="240" w:lineRule="auto"/>
        <w:rPr>
          <w:rFonts w:ascii="Times New Roman" w:hAnsi="Times New Roman"/>
          <w:sz w:val="24"/>
          <w:szCs w:val="24"/>
        </w:rPr>
      </w:pPr>
      <w:r>
        <w:rPr>
          <w:rFonts w:ascii="Times New Roman" w:hAnsi="Times New Roman"/>
          <w:sz w:val="24"/>
          <w:szCs w:val="24"/>
        </w:rPr>
        <w:t xml:space="preserve">Staff believes </w:t>
      </w:r>
      <w:r w:rsidR="00CF6B4B">
        <w:rPr>
          <w:rFonts w:ascii="Times New Roman" w:hAnsi="Times New Roman"/>
          <w:sz w:val="24"/>
          <w:szCs w:val="24"/>
        </w:rPr>
        <w:t xml:space="preserve">Verizon </w:t>
      </w:r>
      <w:r w:rsidR="008A10A2">
        <w:rPr>
          <w:rFonts w:ascii="Times New Roman" w:hAnsi="Times New Roman"/>
          <w:sz w:val="24"/>
          <w:szCs w:val="24"/>
        </w:rPr>
        <w:t xml:space="preserve">has </w:t>
      </w:r>
      <w:r w:rsidR="00CF6B4B">
        <w:rPr>
          <w:rFonts w:ascii="Times New Roman" w:hAnsi="Times New Roman"/>
          <w:sz w:val="24"/>
          <w:szCs w:val="24"/>
        </w:rPr>
        <w:t xml:space="preserve">complied </w:t>
      </w:r>
      <w:r w:rsidR="008A10A2">
        <w:rPr>
          <w:rFonts w:ascii="Times New Roman" w:hAnsi="Times New Roman"/>
          <w:sz w:val="24"/>
          <w:szCs w:val="24"/>
        </w:rPr>
        <w:t>with the terms of the settlement a</w:t>
      </w:r>
      <w:r w:rsidR="00CF6B4B">
        <w:rPr>
          <w:rFonts w:ascii="Times New Roman" w:hAnsi="Times New Roman"/>
          <w:sz w:val="24"/>
          <w:szCs w:val="24"/>
        </w:rPr>
        <w:t>greement</w:t>
      </w:r>
      <w:r w:rsidR="008A10A2">
        <w:rPr>
          <w:rFonts w:ascii="Times New Roman" w:hAnsi="Times New Roman"/>
          <w:sz w:val="24"/>
          <w:szCs w:val="24"/>
        </w:rPr>
        <w:t xml:space="preserve"> as those terms relate to the city tax billing issue</w:t>
      </w:r>
      <w:r w:rsidR="00CF6B4B">
        <w:rPr>
          <w:rFonts w:ascii="Times New Roman" w:hAnsi="Times New Roman"/>
          <w:sz w:val="24"/>
          <w:szCs w:val="24"/>
        </w:rPr>
        <w:t>.</w:t>
      </w:r>
      <w:r w:rsidR="008A10A2">
        <w:rPr>
          <w:rFonts w:ascii="Times New Roman" w:hAnsi="Times New Roman"/>
          <w:sz w:val="24"/>
          <w:szCs w:val="24"/>
        </w:rPr>
        <w:t xml:space="preserve"> Further, t</w:t>
      </w:r>
      <w:r w:rsidR="00CF6B4B">
        <w:rPr>
          <w:rFonts w:ascii="Times New Roman" w:hAnsi="Times New Roman"/>
          <w:sz w:val="24"/>
          <w:szCs w:val="24"/>
        </w:rPr>
        <w:t>he number of complaints regarding</w:t>
      </w:r>
      <w:r w:rsidR="008A10A2">
        <w:rPr>
          <w:rFonts w:ascii="Times New Roman" w:hAnsi="Times New Roman"/>
          <w:sz w:val="24"/>
          <w:szCs w:val="24"/>
        </w:rPr>
        <w:t xml:space="preserve"> city tax billing decreased slightly</w:t>
      </w:r>
      <w:r w:rsidR="00CF6B4B">
        <w:rPr>
          <w:rFonts w:ascii="Times New Roman" w:hAnsi="Times New Roman"/>
          <w:sz w:val="24"/>
          <w:szCs w:val="24"/>
        </w:rPr>
        <w:t xml:space="preserve"> during the compliance period</w:t>
      </w:r>
      <w:r w:rsidR="008A10A2">
        <w:rPr>
          <w:rFonts w:ascii="Times New Roman" w:hAnsi="Times New Roman"/>
          <w:sz w:val="24"/>
          <w:szCs w:val="24"/>
        </w:rPr>
        <w:t>.</w:t>
      </w:r>
      <w:r w:rsidRPr="007661D6">
        <w:rPr>
          <w:rFonts w:ascii="Times New Roman" w:hAnsi="Times New Roman"/>
          <w:sz w:val="24"/>
          <w:szCs w:val="24"/>
        </w:rPr>
        <w:t xml:space="preserve"> </w:t>
      </w:r>
      <w:r>
        <w:rPr>
          <w:rFonts w:ascii="Times New Roman" w:hAnsi="Times New Roman"/>
          <w:sz w:val="24"/>
          <w:szCs w:val="24"/>
        </w:rPr>
        <w:t xml:space="preserve">Staff recommends </w:t>
      </w:r>
      <w:r w:rsidR="008B2C1D">
        <w:rPr>
          <w:rFonts w:ascii="Times New Roman" w:hAnsi="Times New Roman"/>
          <w:sz w:val="24"/>
          <w:szCs w:val="24"/>
        </w:rPr>
        <w:t xml:space="preserve">the suspended penalties not be imposed, and </w:t>
      </w:r>
      <w:r>
        <w:rPr>
          <w:rFonts w:ascii="Times New Roman" w:hAnsi="Times New Roman"/>
          <w:sz w:val="24"/>
          <w:szCs w:val="24"/>
        </w:rPr>
        <w:t xml:space="preserve">no </w:t>
      </w:r>
      <w:r w:rsidR="008B2C1D">
        <w:rPr>
          <w:rFonts w:ascii="Times New Roman" w:hAnsi="Times New Roman"/>
          <w:sz w:val="24"/>
          <w:szCs w:val="24"/>
        </w:rPr>
        <w:t xml:space="preserve">further </w:t>
      </w:r>
      <w:r>
        <w:rPr>
          <w:rFonts w:ascii="Times New Roman" w:hAnsi="Times New Roman"/>
          <w:sz w:val="24"/>
          <w:szCs w:val="24"/>
        </w:rPr>
        <w:t xml:space="preserve">enforcement action </w:t>
      </w:r>
      <w:r w:rsidR="008B2C1D">
        <w:rPr>
          <w:rFonts w:ascii="Times New Roman" w:hAnsi="Times New Roman"/>
          <w:sz w:val="24"/>
          <w:szCs w:val="24"/>
        </w:rPr>
        <w:t xml:space="preserve">be taken </w:t>
      </w:r>
      <w:r>
        <w:rPr>
          <w:rFonts w:ascii="Times New Roman" w:hAnsi="Times New Roman"/>
          <w:sz w:val="24"/>
          <w:szCs w:val="24"/>
        </w:rPr>
        <w:t>related to improper charges for city taxes.</w:t>
      </w:r>
    </w:p>
    <w:p w:rsidR="007D3A29" w:rsidRDefault="007D3A29" w:rsidP="007D3A29">
      <w:pPr>
        <w:spacing w:after="0" w:line="240" w:lineRule="auto"/>
        <w:rPr>
          <w:rFonts w:ascii="Times New Roman" w:hAnsi="Times New Roman"/>
          <w:b/>
          <w:sz w:val="24"/>
          <w:szCs w:val="24"/>
        </w:rPr>
        <w:sectPr w:rsidR="007D3A29" w:rsidSect="00CA45F5">
          <w:pgSz w:w="12240" w:h="15840"/>
          <w:pgMar w:top="1440" w:right="1440" w:bottom="1440" w:left="1440" w:header="720" w:footer="720" w:gutter="0"/>
          <w:pgNumType w:start="1"/>
          <w:cols w:space="720"/>
          <w:titlePg/>
          <w:docGrid w:linePitch="360"/>
        </w:sectPr>
      </w:pPr>
    </w:p>
    <w:p w:rsidR="00D822AA" w:rsidRDefault="00D822AA" w:rsidP="007D3A29">
      <w:pPr>
        <w:spacing w:after="0" w:line="240" w:lineRule="auto"/>
        <w:jc w:val="center"/>
        <w:rPr>
          <w:rFonts w:ascii="Times New Roman" w:hAnsi="Times New Roman"/>
          <w:b/>
          <w:sz w:val="24"/>
          <w:szCs w:val="24"/>
        </w:rPr>
        <w:sectPr w:rsidR="00D822AA" w:rsidSect="00CA45F5">
          <w:pgSz w:w="12240" w:h="15840"/>
          <w:pgMar w:top="1440" w:right="1440" w:bottom="1440" w:left="1440" w:header="720" w:footer="720" w:gutter="0"/>
          <w:pgNumType w:start="1"/>
          <w:cols w:space="720"/>
          <w:titlePg/>
          <w:docGrid w:linePitch="360"/>
        </w:sectPr>
      </w:pPr>
    </w:p>
    <w:p w:rsidR="00000000" w:rsidRDefault="00883661">
      <w:pPr>
        <w:spacing w:after="0" w:line="240" w:lineRule="auto"/>
        <w:jc w:val="center"/>
        <w:rPr>
          <w:rFonts w:ascii="Times New Roman" w:hAnsi="Times New Roman"/>
          <w:b/>
          <w:sz w:val="24"/>
          <w:szCs w:val="24"/>
        </w:rPr>
      </w:pPr>
    </w:p>
    <w:p w:rsidR="00000000" w:rsidRDefault="007D3A29">
      <w:pPr>
        <w:spacing w:after="0" w:line="240" w:lineRule="auto"/>
        <w:jc w:val="center"/>
        <w:rPr>
          <w:rFonts w:ascii="Times New Roman" w:hAnsi="Times New Roman"/>
          <w:b/>
          <w:sz w:val="24"/>
          <w:szCs w:val="24"/>
        </w:rPr>
      </w:pPr>
      <w:r>
        <w:rPr>
          <w:rFonts w:ascii="Times New Roman" w:hAnsi="Times New Roman"/>
          <w:b/>
          <w:sz w:val="24"/>
          <w:szCs w:val="24"/>
        </w:rPr>
        <w:t>Appendix A</w:t>
      </w:r>
    </w:p>
    <w:p w:rsidR="00000000" w:rsidRDefault="00883661">
      <w:pPr>
        <w:spacing w:after="0" w:line="240" w:lineRule="auto"/>
        <w:jc w:val="center"/>
        <w:rPr>
          <w:rFonts w:ascii="Times New Roman" w:hAnsi="Times New Roman"/>
          <w:b/>
          <w:sz w:val="24"/>
          <w:szCs w:val="24"/>
        </w:rPr>
      </w:pPr>
      <w:r>
        <w:rPr>
          <w:rFonts w:ascii="Times New Roman" w:hAnsi="Times New Roman"/>
          <w:b/>
          <w:noProof/>
          <w:sz w:val="24"/>
          <w:szCs w:val="24"/>
          <w:lang w:bidi="ar-SA"/>
        </w:rPr>
        <w:drawing>
          <wp:inline distT="0" distB="0" distL="0" distR="0">
            <wp:extent cx="5943600" cy="744006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7440068"/>
                    </a:xfrm>
                    <a:prstGeom prst="rect">
                      <a:avLst/>
                    </a:prstGeom>
                    <a:noFill/>
                    <a:ln w="9525">
                      <a:noFill/>
                      <a:miter lim="800000"/>
                      <a:headEnd/>
                      <a:tailEnd/>
                    </a:ln>
                  </pic:spPr>
                </pic:pic>
              </a:graphicData>
            </a:graphic>
          </wp:inline>
        </w:drawing>
      </w:r>
    </w:p>
    <w:p w:rsidR="00000000" w:rsidRDefault="00883661">
      <w:pPr>
        <w:spacing w:after="0" w:line="240" w:lineRule="auto"/>
        <w:rPr>
          <w:rFonts w:ascii="Times New Roman" w:hAnsi="Times New Roman"/>
          <w:b/>
          <w:sz w:val="24"/>
          <w:szCs w:val="24"/>
        </w:rPr>
      </w:pPr>
    </w:p>
    <w:p w:rsidR="00000000" w:rsidRDefault="00883661">
      <w:pPr>
        <w:spacing w:after="0" w:line="240" w:lineRule="auto"/>
        <w:jc w:val="center"/>
        <w:rPr>
          <w:rFonts w:ascii="Times New Roman" w:hAnsi="Times New Roman"/>
          <w:b/>
          <w:sz w:val="24"/>
          <w:szCs w:val="24"/>
        </w:rPr>
      </w:pPr>
      <w:r>
        <w:rPr>
          <w:rFonts w:ascii="Times New Roman" w:hAnsi="Times New Roman"/>
          <w:b/>
          <w:noProof/>
          <w:sz w:val="24"/>
          <w:szCs w:val="24"/>
          <w:lang w:bidi="ar-SA"/>
        </w:rPr>
        <w:drawing>
          <wp:inline distT="0" distB="0" distL="0" distR="0">
            <wp:extent cx="5943600" cy="806573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8065734"/>
                    </a:xfrm>
                    <a:prstGeom prst="rect">
                      <a:avLst/>
                    </a:prstGeom>
                    <a:noFill/>
                    <a:ln w="9525">
                      <a:noFill/>
                      <a:miter lim="800000"/>
                      <a:headEnd/>
                      <a:tailEnd/>
                    </a:ln>
                  </pic:spPr>
                </pic:pic>
              </a:graphicData>
            </a:graphic>
          </wp:inline>
        </w:drawing>
      </w:r>
    </w:p>
    <w:p w:rsidR="00000000" w:rsidRDefault="00883661">
      <w:pPr>
        <w:spacing w:after="0" w:line="240" w:lineRule="auto"/>
        <w:jc w:val="center"/>
        <w:rPr>
          <w:rFonts w:ascii="Times New Roman" w:hAnsi="Times New Roman"/>
          <w:b/>
          <w:sz w:val="24"/>
          <w:szCs w:val="24"/>
        </w:rPr>
      </w:pPr>
      <w:r>
        <w:rPr>
          <w:rFonts w:ascii="Times New Roman" w:hAnsi="Times New Roman"/>
          <w:b/>
          <w:noProof/>
          <w:sz w:val="24"/>
          <w:szCs w:val="24"/>
          <w:lang w:bidi="ar-SA"/>
        </w:rPr>
        <w:drawing>
          <wp:inline distT="0" distB="0" distL="0" distR="0">
            <wp:extent cx="5943600" cy="817142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8171422"/>
                    </a:xfrm>
                    <a:prstGeom prst="rect">
                      <a:avLst/>
                    </a:prstGeom>
                    <a:noFill/>
                    <a:ln w="9525">
                      <a:noFill/>
                      <a:miter lim="800000"/>
                      <a:headEnd/>
                      <a:tailEnd/>
                    </a:ln>
                  </pic:spPr>
                </pic:pic>
              </a:graphicData>
            </a:graphic>
          </wp:inline>
        </w:drawing>
      </w:r>
    </w:p>
    <w:p w:rsidR="00000000" w:rsidRDefault="00883661">
      <w:pPr>
        <w:spacing w:after="0" w:line="240" w:lineRule="auto"/>
        <w:jc w:val="center"/>
        <w:rPr>
          <w:rFonts w:ascii="Times New Roman" w:hAnsi="Times New Roman"/>
          <w:b/>
          <w:sz w:val="24"/>
          <w:szCs w:val="24"/>
        </w:rPr>
      </w:pPr>
      <w:r>
        <w:rPr>
          <w:rFonts w:ascii="Times New Roman" w:hAnsi="Times New Roman"/>
          <w:b/>
          <w:noProof/>
          <w:sz w:val="24"/>
          <w:szCs w:val="24"/>
          <w:lang w:bidi="ar-SA"/>
        </w:rPr>
        <w:drawing>
          <wp:inline distT="0" distB="0" distL="0" distR="0">
            <wp:extent cx="5943600" cy="809376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8093761"/>
                    </a:xfrm>
                    <a:prstGeom prst="rect">
                      <a:avLst/>
                    </a:prstGeom>
                    <a:noFill/>
                    <a:ln w="9525">
                      <a:noFill/>
                      <a:miter lim="800000"/>
                      <a:headEnd/>
                      <a:tailEnd/>
                    </a:ln>
                  </pic:spPr>
                </pic:pic>
              </a:graphicData>
            </a:graphic>
          </wp:inline>
        </w:drawing>
      </w:r>
    </w:p>
    <w:p w:rsidR="00000000" w:rsidRDefault="00883661">
      <w:pPr>
        <w:spacing w:after="0" w:line="240" w:lineRule="auto"/>
        <w:jc w:val="center"/>
        <w:rPr>
          <w:rFonts w:ascii="Times New Roman" w:hAnsi="Times New Roman"/>
          <w:b/>
          <w:sz w:val="24"/>
          <w:szCs w:val="24"/>
        </w:rPr>
      </w:pPr>
      <w:r>
        <w:rPr>
          <w:rFonts w:ascii="Times New Roman" w:hAnsi="Times New Roman"/>
          <w:b/>
          <w:noProof/>
          <w:sz w:val="24"/>
          <w:szCs w:val="24"/>
          <w:lang w:bidi="ar-SA"/>
        </w:rPr>
        <w:drawing>
          <wp:inline distT="0" distB="0" distL="0" distR="0">
            <wp:extent cx="5943600" cy="8299547"/>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43600" cy="8299547"/>
                    </a:xfrm>
                    <a:prstGeom prst="rect">
                      <a:avLst/>
                    </a:prstGeom>
                    <a:noFill/>
                    <a:ln w="9525">
                      <a:noFill/>
                      <a:miter lim="800000"/>
                      <a:headEnd/>
                      <a:tailEnd/>
                    </a:ln>
                  </pic:spPr>
                </pic:pic>
              </a:graphicData>
            </a:graphic>
          </wp:inline>
        </w:drawing>
      </w:r>
    </w:p>
    <w:p w:rsidR="00000000" w:rsidRDefault="00883661">
      <w:pPr>
        <w:spacing w:after="0" w:line="240" w:lineRule="auto"/>
        <w:jc w:val="center"/>
        <w:rPr>
          <w:rFonts w:ascii="Times New Roman" w:hAnsi="Times New Roman"/>
          <w:b/>
          <w:sz w:val="24"/>
          <w:szCs w:val="24"/>
        </w:rPr>
      </w:pPr>
      <w:r>
        <w:rPr>
          <w:rFonts w:ascii="Times New Roman" w:hAnsi="Times New Roman"/>
          <w:b/>
          <w:noProof/>
          <w:sz w:val="24"/>
          <w:szCs w:val="24"/>
          <w:lang w:bidi="ar-SA"/>
        </w:rPr>
        <w:drawing>
          <wp:inline distT="0" distB="0" distL="0" distR="0">
            <wp:extent cx="5943600" cy="8716099"/>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3600" cy="8716099"/>
                    </a:xfrm>
                    <a:prstGeom prst="rect">
                      <a:avLst/>
                    </a:prstGeom>
                    <a:noFill/>
                    <a:ln w="9525">
                      <a:noFill/>
                      <a:miter lim="800000"/>
                      <a:headEnd/>
                      <a:tailEnd/>
                    </a:ln>
                  </pic:spPr>
                </pic:pic>
              </a:graphicData>
            </a:graphic>
          </wp:inline>
        </w:drawing>
      </w:r>
    </w:p>
    <w:sectPr w:rsidR="00000000" w:rsidSect="00D822AA">
      <w:footerReference w:type="default" r:id="rId1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AA" w:rsidRDefault="00D822AA" w:rsidP="006D3DFB">
      <w:pPr>
        <w:spacing w:after="0" w:line="240" w:lineRule="auto"/>
      </w:pPr>
      <w:r>
        <w:separator/>
      </w:r>
    </w:p>
  </w:endnote>
  <w:endnote w:type="continuationSeparator" w:id="0">
    <w:p w:rsidR="00D822AA" w:rsidRDefault="00D822AA" w:rsidP="006D3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9051"/>
      <w:docPartObj>
        <w:docPartGallery w:val="Page Numbers (Bottom of Page)"/>
        <w:docPartUnique/>
      </w:docPartObj>
    </w:sdtPr>
    <w:sdtContent>
      <w:p w:rsidR="00D822AA" w:rsidRDefault="006550E2">
        <w:pPr>
          <w:pStyle w:val="Footer"/>
          <w:jc w:val="center"/>
        </w:pPr>
        <w:fldSimple w:instr=" PAGE   \* MERGEFORMAT ">
          <w:r w:rsidR="00883661">
            <w:rPr>
              <w:noProof/>
            </w:rPr>
            <w:t>8</w:t>
          </w:r>
        </w:fldSimple>
      </w:p>
    </w:sdtContent>
  </w:sdt>
  <w:p w:rsidR="00D822AA" w:rsidRDefault="00D822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21" w:rsidRDefault="00383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AA" w:rsidRDefault="00D822AA" w:rsidP="006D3DFB">
      <w:pPr>
        <w:spacing w:after="0" w:line="240" w:lineRule="auto"/>
      </w:pPr>
      <w:r>
        <w:separator/>
      </w:r>
    </w:p>
  </w:footnote>
  <w:footnote w:type="continuationSeparator" w:id="0">
    <w:p w:rsidR="00D822AA" w:rsidRDefault="00D822AA" w:rsidP="006D3DFB">
      <w:pPr>
        <w:spacing w:after="0" w:line="240" w:lineRule="auto"/>
      </w:pPr>
      <w:r>
        <w:continuationSeparator/>
      </w:r>
    </w:p>
  </w:footnote>
  <w:footnote w:id="1">
    <w:p w:rsidR="00D822AA" w:rsidRPr="006D3DFB" w:rsidRDefault="00D822AA">
      <w:pPr>
        <w:pStyle w:val="FootnoteText"/>
        <w:rPr>
          <w:rFonts w:ascii="Times New Roman" w:hAnsi="Times New Roman"/>
        </w:rPr>
      </w:pPr>
      <w:r w:rsidRPr="006D3DFB">
        <w:rPr>
          <w:rStyle w:val="FootnoteReference"/>
          <w:rFonts w:ascii="Times New Roman" w:hAnsi="Times New Roman"/>
        </w:rPr>
        <w:footnoteRef/>
      </w:r>
      <w:r w:rsidRPr="006D3DFB">
        <w:rPr>
          <w:rFonts w:ascii="Times New Roman" w:hAnsi="Times New Roman"/>
        </w:rPr>
        <w:t xml:space="preserve"> </w:t>
      </w:r>
      <w:r>
        <w:rPr>
          <w:rFonts w:ascii="Times New Roman" w:hAnsi="Times New Roman"/>
          <w:i/>
        </w:rPr>
        <w:t xml:space="preserve">See </w:t>
      </w:r>
      <w:r>
        <w:rPr>
          <w:rFonts w:ascii="Times New Roman" w:hAnsi="Times New Roman"/>
        </w:rPr>
        <w:t>Settlement Agreement, attached at Appendix A.</w:t>
      </w:r>
    </w:p>
  </w:footnote>
  <w:footnote w:id="2">
    <w:p w:rsidR="00D822AA" w:rsidRPr="006D3DFB" w:rsidRDefault="00D822AA" w:rsidP="00AA7D96">
      <w:pPr>
        <w:pStyle w:val="FootnoteText"/>
        <w:rPr>
          <w:rFonts w:ascii="Times New Roman" w:hAnsi="Times New Roman"/>
        </w:rPr>
      </w:pPr>
      <w:r w:rsidRPr="006D3DFB">
        <w:rPr>
          <w:rStyle w:val="FootnoteReference"/>
          <w:rFonts w:ascii="Times New Roman" w:hAnsi="Times New Roman"/>
        </w:rPr>
        <w:footnoteRef/>
      </w:r>
      <w:r w:rsidRPr="006D3DFB">
        <w:rPr>
          <w:rFonts w:ascii="Times New Roman" w:hAnsi="Times New Roman"/>
        </w:rPr>
        <w:t xml:space="preserve"> </w:t>
      </w:r>
      <w:r>
        <w:rPr>
          <w:rFonts w:ascii="Times New Roman" w:hAnsi="Times New Roman"/>
          <w:i/>
        </w:rPr>
        <w:t xml:space="preserve">See </w:t>
      </w:r>
      <w:r>
        <w:rPr>
          <w:rFonts w:ascii="Times New Roman" w:hAnsi="Times New Roman"/>
        </w:rPr>
        <w:t>Settlement Agreement, attached at Appendix A.</w:t>
      </w:r>
    </w:p>
  </w:footnote>
  <w:footnote w:id="3">
    <w:p w:rsidR="00D822AA" w:rsidRPr="00814ED9" w:rsidRDefault="00D822AA">
      <w:pPr>
        <w:pStyle w:val="FootnoteText"/>
        <w:rPr>
          <w:rFonts w:ascii="Times New Roman" w:hAnsi="Times New Roman"/>
        </w:rPr>
      </w:pPr>
      <w:r w:rsidRPr="00814ED9">
        <w:rPr>
          <w:rStyle w:val="FootnoteReference"/>
          <w:rFonts w:ascii="Times New Roman" w:hAnsi="Times New Roman"/>
        </w:rPr>
        <w:footnoteRef/>
      </w:r>
      <w:r w:rsidRPr="00814ED9">
        <w:rPr>
          <w:rFonts w:ascii="Times New Roman" w:hAnsi="Times New Roman"/>
        </w:rPr>
        <w:t xml:space="preserve"> </w:t>
      </w:r>
      <w:r>
        <w:rPr>
          <w:rFonts w:ascii="Times New Roman" w:hAnsi="Times New Roman"/>
        </w:rPr>
        <w:t>Compare this number with 29 complaints received between December 2008 and September 2009, and 19 complaints between 38 complaints received between November 2007 and November 2008.</w:t>
      </w:r>
    </w:p>
  </w:footnote>
  <w:footnote w:id="4">
    <w:p w:rsidR="00D822AA" w:rsidRPr="00A84CF6" w:rsidRDefault="00D822AA">
      <w:pPr>
        <w:pStyle w:val="FootnoteText"/>
        <w:rPr>
          <w:rFonts w:ascii="Times New Roman" w:hAnsi="Times New Roman"/>
        </w:rPr>
      </w:pPr>
      <w:r w:rsidRPr="00A84CF6">
        <w:rPr>
          <w:rStyle w:val="FootnoteReference"/>
          <w:rFonts w:ascii="Times New Roman" w:hAnsi="Times New Roman"/>
        </w:rPr>
        <w:footnoteRef/>
      </w:r>
      <w:r w:rsidRPr="00A84CF6">
        <w:rPr>
          <w:rFonts w:ascii="Times New Roman" w:hAnsi="Times New Roman"/>
        </w:rPr>
        <w:t xml:space="preserve"> </w:t>
      </w:r>
      <w:r>
        <w:rPr>
          <w:rFonts w:ascii="Times New Roman" w:hAnsi="Times New Roman"/>
          <w:i/>
        </w:rPr>
        <w:t>See</w:t>
      </w:r>
      <w:r>
        <w:rPr>
          <w:rFonts w:ascii="Times New Roman" w:hAnsi="Times New Roman"/>
        </w:rPr>
        <w:t xml:space="preserve"> Settlement Agreement, Paragraph 9.</w:t>
      </w:r>
    </w:p>
  </w:footnote>
  <w:footnote w:id="5">
    <w:p w:rsidR="00D822AA" w:rsidRPr="00765568" w:rsidRDefault="00D822AA" w:rsidP="002B1960">
      <w:pPr>
        <w:pStyle w:val="FootnoteText"/>
        <w:rPr>
          <w:rFonts w:ascii="Times New Roman" w:hAnsi="Times New Roman"/>
        </w:rPr>
      </w:pPr>
      <w:r w:rsidRPr="00FF47A0">
        <w:rPr>
          <w:rStyle w:val="FootnoteReference"/>
          <w:rFonts w:ascii="Times New Roman" w:hAnsi="Times New Roman"/>
        </w:rPr>
        <w:footnoteRef/>
      </w:r>
      <w:r w:rsidRPr="00FF47A0">
        <w:rPr>
          <w:rFonts w:ascii="Times New Roman" w:hAnsi="Times New Roman"/>
        </w:rPr>
        <w:t xml:space="preserve"> </w:t>
      </w:r>
      <w:r>
        <w:rPr>
          <w:rFonts w:ascii="Times New Roman" w:hAnsi="Times New Roman"/>
        </w:rPr>
        <w:t>Due to media coverage on this issue in early March, 2010, consumer protection staff received a large volume of complaints against Verizon, however in all cases except for one, the customer had either (1) been annexed into the city limits thereby making the city tax charge appropriate, or (2) the customer was being billed for a county tax which was appropriate but the billing statement mischaracterized the charge as a “city tax,” due to a software error (</w:t>
      </w:r>
      <w:r>
        <w:rPr>
          <w:rFonts w:ascii="Times New Roman" w:hAnsi="Times New Roman"/>
          <w:i/>
        </w:rPr>
        <w:t>see, e.g.</w:t>
      </w:r>
      <w:r>
        <w:rPr>
          <w:rFonts w:ascii="Times New Roman" w:hAnsi="Times New Roman"/>
        </w:rPr>
        <w:t>, Complaint #108639).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A2F"/>
    <w:multiLevelType w:val="hybridMultilevel"/>
    <w:tmpl w:val="F2042DFC"/>
    <w:lvl w:ilvl="0" w:tplc="0E02A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B86B2E"/>
    <w:multiLevelType w:val="hybridMultilevel"/>
    <w:tmpl w:val="3B9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16D2D"/>
    <w:multiLevelType w:val="hybridMultilevel"/>
    <w:tmpl w:val="A970C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1627B"/>
    <w:multiLevelType w:val="hybridMultilevel"/>
    <w:tmpl w:val="862A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27CA7"/>
    <w:multiLevelType w:val="hybridMultilevel"/>
    <w:tmpl w:val="ADE00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415732"/>
    <w:multiLevelType w:val="hybridMultilevel"/>
    <w:tmpl w:val="C270F4C6"/>
    <w:lvl w:ilvl="0" w:tplc="0E02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98304D"/>
    <w:multiLevelType w:val="hybridMultilevel"/>
    <w:tmpl w:val="C270F4C6"/>
    <w:lvl w:ilvl="0" w:tplc="0E02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BE1F77"/>
    <w:multiLevelType w:val="hybridMultilevel"/>
    <w:tmpl w:val="3F32C63C"/>
    <w:lvl w:ilvl="0" w:tplc="8A5C7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F36A0B"/>
    <w:multiLevelType w:val="hybridMultilevel"/>
    <w:tmpl w:val="B852C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EE29E5"/>
    <w:multiLevelType w:val="hybridMultilevel"/>
    <w:tmpl w:val="C270F4C6"/>
    <w:lvl w:ilvl="0" w:tplc="0E02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6"/>
  </w:num>
  <w:num w:numId="4">
    <w:abstractNumId w:val="8"/>
  </w:num>
  <w:num w:numId="5">
    <w:abstractNumId w:val="2"/>
  </w:num>
  <w:num w:numId="6">
    <w:abstractNumId w:val="1"/>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193664"/>
    <w:rsid w:val="00010ED0"/>
    <w:rsid w:val="00012F26"/>
    <w:rsid w:val="00045F24"/>
    <w:rsid w:val="00050115"/>
    <w:rsid w:val="00051678"/>
    <w:rsid w:val="00052EDB"/>
    <w:rsid w:val="000D2EAD"/>
    <w:rsid w:val="00120081"/>
    <w:rsid w:val="00177141"/>
    <w:rsid w:val="00193664"/>
    <w:rsid w:val="001C02B5"/>
    <w:rsid w:val="001D2A62"/>
    <w:rsid w:val="001D2BB7"/>
    <w:rsid w:val="001E2BDF"/>
    <w:rsid w:val="001F7CA3"/>
    <w:rsid w:val="002314CD"/>
    <w:rsid w:val="002B1960"/>
    <w:rsid w:val="002D58CD"/>
    <w:rsid w:val="002E53E3"/>
    <w:rsid w:val="002F3FCF"/>
    <w:rsid w:val="00310B51"/>
    <w:rsid w:val="00315BE8"/>
    <w:rsid w:val="00325822"/>
    <w:rsid w:val="00333BC1"/>
    <w:rsid w:val="0037482D"/>
    <w:rsid w:val="00383E21"/>
    <w:rsid w:val="003941FC"/>
    <w:rsid w:val="003B20E9"/>
    <w:rsid w:val="003B4EC5"/>
    <w:rsid w:val="003D0B39"/>
    <w:rsid w:val="003E4D44"/>
    <w:rsid w:val="0042424A"/>
    <w:rsid w:val="004703CB"/>
    <w:rsid w:val="00477444"/>
    <w:rsid w:val="00484D1E"/>
    <w:rsid w:val="00493685"/>
    <w:rsid w:val="00497867"/>
    <w:rsid w:val="004B2691"/>
    <w:rsid w:val="004B7958"/>
    <w:rsid w:val="004C4F5D"/>
    <w:rsid w:val="004C6E22"/>
    <w:rsid w:val="004F40CB"/>
    <w:rsid w:val="0053475D"/>
    <w:rsid w:val="00550EEF"/>
    <w:rsid w:val="00566743"/>
    <w:rsid w:val="00573F67"/>
    <w:rsid w:val="00586B36"/>
    <w:rsid w:val="005A1032"/>
    <w:rsid w:val="005A24F5"/>
    <w:rsid w:val="005A3551"/>
    <w:rsid w:val="005A4011"/>
    <w:rsid w:val="005C0D0C"/>
    <w:rsid w:val="005D6735"/>
    <w:rsid w:val="00636C6F"/>
    <w:rsid w:val="00637C9D"/>
    <w:rsid w:val="006550E2"/>
    <w:rsid w:val="0068769A"/>
    <w:rsid w:val="006C61A6"/>
    <w:rsid w:val="006C678E"/>
    <w:rsid w:val="006D3DFB"/>
    <w:rsid w:val="006F1E71"/>
    <w:rsid w:val="006F4FCB"/>
    <w:rsid w:val="0070120B"/>
    <w:rsid w:val="00765568"/>
    <w:rsid w:val="007661D6"/>
    <w:rsid w:val="007753CB"/>
    <w:rsid w:val="007D28D2"/>
    <w:rsid w:val="007D3A29"/>
    <w:rsid w:val="007D7401"/>
    <w:rsid w:val="007D79BD"/>
    <w:rsid w:val="00814ED9"/>
    <w:rsid w:val="00841BFB"/>
    <w:rsid w:val="00844FD6"/>
    <w:rsid w:val="00883661"/>
    <w:rsid w:val="008874A1"/>
    <w:rsid w:val="00887845"/>
    <w:rsid w:val="00895E0A"/>
    <w:rsid w:val="008A10A2"/>
    <w:rsid w:val="008B2C1D"/>
    <w:rsid w:val="008C0329"/>
    <w:rsid w:val="009001BD"/>
    <w:rsid w:val="009050F2"/>
    <w:rsid w:val="00905ACA"/>
    <w:rsid w:val="00905F0C"/>
    <w:rsid w:val="009304F9"/>
    <w:rsid w:val="009408AD"/>
    <w:rsid w:val="009651CF"/>
    <w:rsid w:val="00974B62"/>
    <w:rsid w:val="00A24A70"/>
    <w:rsid w:val="00A56803"/>
    <w:rsid w:val="00A7290D"/>
    <w:rsid w:val="00A82CDD"/>
    <w:rsid w:val="00A84CF6"/>
    <w:rsid w:val="00A91374"/>
    <w:rsid w:val="00A966DD"/>
    <w:rsid w:val="00AA7D96"/>
    <w:rsid w:val="00AC1669"/>
    <w:rsid w:val="00AC1CE9"/>
    <w:rsid w:val="00B010F3"/>
    <w:rsid w:val="00B15012"/>
    <w:rsid w:val="00B26E90"/>
    <w:rsid w:val="00B441CF"/>
    <w:rsid w:val="00B55FE6"/>
    <w:rsid w:val="00B87002"/>
    <w:rsid w:val="00BB7245"/>
    <w:rsid w:val="00BE1865"/>
    <w:rsid w:val="00BF7083"/>
    <w:rsid w:val="00C51365"/>
    <w:rsid w:val="00C51FF3"/>
    <w:rsid w:val="00CA45F5"/>
    <w:rsid w:val="00CA7530"/>
    <w:rsid w:val="00CD3E0A"/>
    <w:rsid w:val="00CE465B"/>
    <w:rsid w:val="00CF6B4B"/>
    <w:rsid w:val="00D04283"/>
    <w:rsid w:val="00D17605"/>
    <w:rsid w:val="00D23BA0"/>
    <w:rsid w:val="00D416BA"/>
    <w:rsid w:val="00D41E17"/>
    <w:rsid w:val="00D822AA"/>
    <w:rsid w:val="00D87FDF"/>
    <w:rsid w:val="00DD4910"/>
    <w:rsid w:val="00DD62B8"/>
    <w:rsid w:val="00E63428"/>
    <w:rsid w:val="00E679EC"/>
    <w:rsid w:val="00E76C59"/>
    <w:rsid w:val="00EA644F"/>
    <w:rsid w:val="00EF5E69"/>
    <w:rsid w:val="00F02489"/>
    <w:rsid w:val="00F43CC5"/>
    <w:rsid w:val="00F5094A"/>
    <w:rsid w:val="00F509B1"/>
    <w:rsid w:val="00F61777"/>
    <w:rsid w:val="00F72A6B"/>
    <w:rsid w:val="00F7680A"/>
    <w:rsid w:val="00F81459"/>
    <w:rsid w:val="00F94D2B"/>
    <w:rsid w:val="00F9777B"/>
    <w:rsid w:val="00FB1F04"/>
    <w:rsid w:val="00FD1F8F"/>
    <w:rsid w:val="00FF4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64"/>
    <w:rPr>
      <w:rFonts w:ascii="Calibri" w:eastAsia="Times New Roman" w:hAnsi="Calibri"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93664"/>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6D3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DFB"/>
    <w:rPr>
      <w:rFonts w:ascii="Calibri" w:eastAsia="Times New Roman" w:hAnsi="Calibri" w:cs="Times New Roman"/>
      <w:sz w:val="20"/>
      <w:szCs w:val="20"/>
      <w:lang w:bidi="en-US"/>
    </w:rPr>
  </w:style>
  <w:style w:type="character" w:styleId="FootnoteReference">
    <w:name w:val="footnote reference"/>
    <w:basedOn w:val="DefaultParagraphFont"/>
    <w:uiPriority w:val="99"/>
    <w:semiHidden/>
    <w:unhideWhenUsed/>
    <w:rsid w:val="006D3DFB"/>
    <w:rPr>
      <w:vertAlign w:val="superscript"/>
    </w:rPr>
  </w:style>
  <w:style w:type="paragraph" w:styleId="ListParagraph">
    <w:name w:val="List Paragraph"/>
    <w:basedOn w:val="Normal"/>
    <w:uiPriority w:val="34"/>
    <w:qFormat/>
    <w:rsid w:val="006D3DFB"/>
    <w:pPr>
      <w:ind w:left="720"/>
      <w:contextualSpacing/>
    </w:pPr>
  </w:style>
  <w:style w:type="paragraph" w:styleId="Header">
    <w:name w:val="header"/>
    <w:basedOn w:val="Normal"/>
    <w:link w:val="HeaderChar"/>
    <w:uiPriority w:val="99"/>
    <w:semiHidden/>
    <w:unhideWhenUsed/>
    <w:rsid w:val="00F509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94A"/>
    <w:rPr>
      <w:rFonts w:ascii="Calibri" w:eastAsia="Times New Roman" w:hAnsi="Calibri" w:cs="Times New Roman"/>
      <w:sz w:val="22"/>
      <w:lang w:bidi="en-US"/>
    </w:rPr>
  </w:style>
  <w:style w:type="paragraph" w:styleId="Footer">
    <w:name w:val="footer"/>
    <w:basedOn w:val="Normal"/>
    <w:link w:val="FooterChar"/>
    <w:uiPriority w:val="99"/>
    <w:unhideWhenUsed/>
    <w:rsid w:val="00F5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94A"/>
    <w:rPr>
      <w:rFonts w:ascii="Calibri" w:eastAsia="Times New Roman" w:hAnsi="Calibri" w:cs="Times New Roman"/>
      <w:sz w:val="22"/>
      <w:lang w:bidi="en-US"/>
    </w:rPr>
  </w:style>
  <w:style w:type="character" w:styleId="CommentReference">
    <w:name w:val="annotation reference"/>
    <w:basedOn w:val="DefaultParagraphFont"/>
    <w:uiPriority w:val="99"/>
    <w:semiHidden/>
    <w:unhideWhenUsed/>
    <w:rsid w:val="00F43CC5"/>
    <w:rPr>
      <w:sz w:val="16"/>
      <w:szCs w:val="16"/>
    </w:rPr>
  </w:style>
  <w:style w:type="paragraph" w:styleId="CommentText">
    <w:name w:val="annotation text"/>
    <w:basedOn w:val="Normal"/>
    <w:link w:val="CommentTextChar"/>
    <w:uiPriority w:val="99"/>
    <w:semiHidden/>
    <w:unhideWhenUsed/>
    <w:rsid w:val="00F43CC5"/>
    <w:pPr>
      <w:spacing w:line="240" w:lineRule="auto"/>
    </w:pPr>
    <w:rPr>
      <w:sz w:val="20"/>
      <w:szCs w:val="20"/>
    </w:rPr>
  </w:style>
  <w:style w:type="character" w:customStyle="1" w:styleId="CommentTextChar">
    <w:name w:val="Comment Text Char"/>
    <w:basedOn w:val="DefaultParagraphFont"/>
    <w:link w:val="CommentText"/>
    <w:uiPriority w:val="99"/>
    <w:semiHidden/>
    <w:rsid w:val="00F43CC5"/>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43CC5"/>
    <w:rPr>
      <w:b/>
      <w:bCs/>
    </w:rPr>
  </w:style>
  <w:style w:type="character" w:customStyle="1" w:styleId="CommentSubjectChar">
    <w:name w:val="Comment Subject Char"/>
    <w:basedOn w:val="CommentTextChar"/>
    <w:link w:val="CommentSubject"/>
    <w:uiPriority w:val="99"/>
    <w:semiHidden/>
    <w:rsid w:val="00F43CC5"/>
    <w:rPr>
      <w:b/>
      <w:bCs/>
    </w:rPr>
  </w:style>
  <w:style w:type="paragraph" w:styleId="Revision">
    <w:name w:val="Revision"/>
    <w:hidden/>
    <w:uiPriority w:val="99"/>
    <w:semiHidden/>
    <w:rsid w:val="00F43CC5"/>
    <w:pPr>
      <w:spacing w:after="0" w:line="240" w:lineRule="auto"/>
    </w:pPr>
    <w:rPr>
      <w:rFonts w:ascii="Calibri" w:eastAsia="Times New Roman" w:hAnsi="Calibri" w:cs="Times New Roman"/>
      <w:sz w:val="22"/>
      <w:lang w:bidi="en-US"/>
    </w:rPr>
  </w:style>
  <w:style w:type="paragraph" w:styleId="BalloonText">
    <w:name w:val="Balloon Text"/>
    <w:basedOn w:val="Normal"/>
    <w:link w:val="BalloonTextChar"/>
    <w:uiPriority w:val="99"/>
    <w:semiHidden/>
    <w:unhideWhenUsed/>
    <w:rsid w:val="00F4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CC5"/>
    <w:rPr>
      <w:rFonts w:ascii="Tahoma" w:eastAsia="Times New Roman" w:hAnsi="Tahoma" w:cs="Tahoma"/>
      <w:sz w:val="16"/>
      <w:szCs w:val="16"/>
      <w:lang w:bidi="en-US"/>
    </w:rPr>
  </w:style>
  <w:style w:type="table" w:styleId="TableGrid">
    <w:name w:val="Table Grid"/>
    <w:basedOn w:val="TableNormal"/>
    <w:uiPriority w:val="59"/>
    <w:rsid w:val="005667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2009-01-08T08:00:00+00:00</OpenedDate>
    <Date1 xmlns="dc463f71-b30c-4ab2-9473-d307f9d35888">2010-05-10T07:00:00+00:00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20799FC1E5614EB98952173255B826" ma:contentTypeVersion="131" ma:contentTypeDescription="" ma:contentTypeScope="" ma:versionID="3e108712e88d0a3fdde3420440e7ca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35F019-607F-4685-88CB-8FFED9699553}"/>
</file>

<file path=customXml/itemProps2.xml><?xml version="1.0" encoding="utf-8"?>
<ds:datastoreItem xmlns:ds="http://schemas.openxmlformats.org/officeDocument/2006/customXml" ds:itemID="{7F56A5DE-0866-4D08-82FA-FBDFD3B30276}"/>
</file>

<file path=customXml/itemProps3.xml><?xml version="1.0" encoding="utf-8"?>
<ds:datastoreItem xmlns:ds="http://schemas.openxmlformats.org/officeDocument/2006/customXml" ds:itemID="{FEFB88B5-17D2-4D98-BB30-AB3F90514BE7}"/>
</file>

<file path=customXml/itemProps4.xml><?xml version="1.0" encoding="utf-8"?>
<ds:datastoreItem xmlns:ds="http://schemas.openxmlformats.org/officeDocument/2006/customXml" ds:itemID="{CCBB9E63-D551-4594-B416-E89A38C4B885}"/>
</file>

<file path=customXml/itemProps5.xml><?xml version="1.0" encoding="utf-8"?>
<ds:datastoreItem xmlns:ds="http://schemas.openxmlformats.org/officeDocument/2006/customXml" ds:itemID="{2628D419-C4A2-4370-ABFE-A41000A8F088}"/>
</file>

<file path=docProps/app.xml><?xml version="1.0" encoding="utf-8"?>
<Properties xmlns="http://schemas.openxmlformats.org/officeDocument/2006/extended-properties" xmlns:vt="http://schemas.openxmlformats.org/officeDocument/2006/docPropsVTypes">
  <Template>Normal.dotm</Template>
  <TotalTime>0</TotalTime>
  <Pages>17</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2010-05-10T16:58:00Z</dcterms:created>
  <dcterms:modified xsi:type="dcterms:W3CDTF">2010-05-10T16:58:00Z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0x0101006E56B4D1795A2E4DB2F0B01679ED314A001020799FC1E5614EB98952173255B826</vt:lpwstr>
  </property>
  <property fmtid="{D5CDD505-2E9C-101B-9397-08002B2CF9AE}" pid="3" name="_docset_NoMedatataSyncRequired">
    <vt:lpwstr>False</vt:lpwstr>
  </property>
</Properties>
</file>