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0AA705" w14:textId="77777777" w:rsidR="004026AD" w:rsidRPr="003B1AC8" w:rsidRDefault="004026AD" w:rsidP="004026AD">
      <w:pPr>
        <w:tabs>
          <w:tab w:val="center" w:pos="4680"/>
        </w:tabs>
        <w:ind w:right="-252" w:hanging="360"/>
        <w:jc w:val="both"/>
        <w:rPr>
          <w:rFonts w:ascii="Times New Roman" w:eastAsia="Times New Roman" w:hAnsi="Times New Roman" w:cs="Times New Roman"/>
          <w:b/>
          <w:bCs/>
          <w:sz w:val="24"/>
          <w:szCs w:val="24"/>
        </w:rPr>
      </w:pPr>
      <w:r w:rsidRPr="003B1AC8">
        <w:rPr>
          <w:rFonts w:ascii="Times New Roman" w:eastAsia="Times New Roman" w:hAnsi="Times New Roman" w:cs="Times New Roman"/>
          <w:b/>
          <w:bCs/>
          <w:sz w:val="24"/>
          <w:szCs w:val="24"/>
        </w:rPr>
        <w:tab/>
      </w:r>
      <w:r w:rsidRPr="003B1AC8">
        <w:rPr>
          <w:rFonts w:ascii="Times New Roman" w:eastAsia="Times New Roman" w:hAnsi="Times New Roman" w:cs="Times New Roman"/>
          <w:b/>
          <w:bCs/>
          <w:sz w:val="24"/>
          <w:szCs w:val="24"/>
        </w:rPr>
        <w:tab/>
      </w:r>
      <w:r w:rsidRPr="003B1AC8">
        <w:rPr>
          <w:rFonts w:ascii="Times New Roman" w:eastAsia="Times New Roman" w:hAnsi="Times New Roman" w:cs="Times New Roman"/>
          <w:b/>
          <w:bCs/>
          <w:sz w:val="24"/>
          <w:szCs w:val="24"/>
        </w:rPr>
        <w:tab/>
      </w:r>
      <w:r w:rsidRPr="003B1AC8">
        <w:rPr>
          <w:rFonts w:ascii="Times New Roman" w:eastAsia="Times New Roman" w:hAnsi="Times New Roman" w:cs="Times New Roman"/>
          <w:b/>
          <w:bCs/>
          <w:sz w:val="24"/>
          <w:szCs w:val="24"/>
        </w:rPr>
        <w:tab/>
        <w:t>Exhibit No. ___</w:t>
      </w:r>
      <w:r w:rsidR="005F4293" w:rsidRPr="003B1AC8">
        <w:rPr>
          <w:rFonts w:ascii="Times New Roman" w:eastAsia="Times New Roman" w:hAnsi="Times New Roman" w:cs="Times New Roman"/>
          <w:b/>
          <w:bCs/>
          <w:sz w:val="24"/>
          <w:szCs w:val="24"/>
        </w:rPr>
        <w:t xml:space="preserve"> (JLB-1</w:t>
      </w:r>
      <w:r w:rsidR="00B13018" w:rsidRPr="003B1AC8">
        <w:rPr>
          <w:rFonts w:ascii="Times New Roman" w:eastAsia="Times New Roman" w:hAnsi="Times New Roman" w:cs="Times New Roman"/>
          <w:b/>
          <w:bCs/>
          <w:sz w:val="24"/>
          <w:szCs w:val="24"/>
        </w:rPr>
        <w:t>T</w:t>
      </w:r>
      <w:r w:rsidR="005F4293" w:rsidRPr="003B1AC8">
        <w:rPr>
          <w:rFonts w:ascii="Times New Roman" w:eastAsia="Times New Roman" w:hAnsi="Times New Roman" w:cs="Times New Roman"/>
          <w:b/>
          <w:bCs/>
          <w:sz w:val="24"/>
          <w:szCs w:val="24"/>
        </w:rPr>
        <w:t>)</w:t>
      </w:r>
      <w:r w:rsidRPr="003B1AC8">
        <w:rPr>
          <w:rFonts w:ascii="Times New Roman" w:eastAsia="Times New Roman" w:hAnsi="Times New Roman" w:cs="Times New Roman"/>
          <w:b/>
          <w:bCs/>
          <w:sz w:val="24"/>
          <w:szCs w:val="24"/>
        </w:rPr>
        <w:t xml:space="preserve"> </w:t>
      </w:r>
    </w:p>
    <w:p w14:paraId="0B0AA706" w14:textId="09D50372" w:rsidR="004026AD" w:rsidRPr="003B1AC8" w:rsidRDefault="004026AD" w:rsidP="004026AD">
      <w:pPr>
        <w:tabs>
          <w:tab w:val="center" w:pos="4680"/>
        </w:tabs>
        <w:ind w:right="-252" w:hanging="360"/>
        <w:jc w:val="both"/>
        <w:rPr>
          <w:rFonts w:ascii="Times New Roman" w:eastAsia="Times New Roman" w:hAnsi="Times New Roman" w:cs="Times New Roman"/>
          <w:b/>
          <w:bCs/>
          <w:sz w:val="24"/>
          <w:szCs w:val="24"/>
        </w:rPr>
      </w:pPr>
      <w:r w:rsidRPr="003B1AC8">
        <w:rPr>
          <w:rFonts w:ascii="Times New Roman" w:eastAsia="Times New Roman" w:hAnsi="Times New Roman" w:cs="Times New Roman"/>
          <w:b/>
          <w:bCs/>
          <w:sz w:val="24"/>
          <w:szCs w:val="24"/>
        </w:rPr>
        <w:tab/>
      </w:r>
      <w:r w:rsidRPr="003B1AC8">
        <w:rPr>
          <w:rFonts w:ascii="Times New Roman" w:eastAsia="Times New Roman" w:hAnsi="Times New Roman" w:cs="Times New Roman"/>
          <w:b/>
          <w:bCs/>
          <w:sz w:val="24"/>
          <w:szCs w:val="24"/>
        </w:rPr>
        <w:tab/>
      </w:r>
      <w:r w:rsidRPr="003B1AC8">
        <w:rPr>
          <w:rFonts w:ascii="Times New Roman" w:eastAsia="Times New Roman" w:hAnsi="Times New Roman" w:cs="Times New Roman"/>
          <w:b/>
          <w:bCs/>
          <w:sz w:val="24"/>
          <w:szCs w:val="24"/>
        </w:rPr>
        <w:tab/>
      </w:r>
      <w:r w:rsidRPr="003B1AC8">
        <w:rPr>
          <w:rFonts w:ascii="Times New Roman" w:eastAsia="Times New Roman" w:hAnsi="Times New Roman" w:cs="Times New Roman"/>
          <w:b/>
          <w:bCs/>
          <w:sz w:val="24"/>
          <w:szCs w:val="24"/>
        </w:rPr>
        <w:tab/>
        <w:t>Docket</w:t>
      </w:r>
      <w:r w:rsidR="00BD533D">
        <w:rPr>
          <w:rFonts w:ascii="Times New Roman" w:eastAsia="Times New Roman" w:hAnsi="Times New Roman" w:cs="Times New Roman"/>
          <w:b/>
          <w:bCs/>
          <w:sz w:val="24"/>
          <w:szCs w:val="24"/>
        </w:rPr>
        <w:t>s</w:t>
      </w:r>
      <w:r w:rsidRPr="003B1AC8">
        <w:rPr>
          <w:rFonts w:ascii="Times New Roman" w:eastAsia="Times New Roman" w:hAnsi="Times New Roman" w:cs="Times New Roman"/>
          <w:b/>
          <w:bCs/>
          <w:sz w:val="24"/>
          <w:szCs w:val="24"/>
        </w:rPr>
        <w:t xml:space="preserve"> UE-140188</w:t>
      </w:r>
      <w:r w:rsidR="00724898" w:rsidRPr="003B1AC8">
        <w:rPr>
          <w:rFonts w:ascii="Times New Roman" w:eastAsia="Times New Roman" w:hAnsi="Times New Roman" w:cs="Times New Roman"/>
          <w:b/>
          <w:bCs/>
          <w:sz w:val="24"/>
          <w:szCs w:val="24"/>
        </w:rPr>
        <w:t>/UG-140189</w:t>
      </w:r>
    </w:p>
    <w:p w14:paraId="0B0AA707" w14:textId="77777777" w:rsidR="004026AD" w:rsidRPr="003B1AC8" w:rsidRDefault="004026AD" w:rsidP="004026AD">
      <w:pPr>
        <w:tabs>
          <w:tab w:val="center" w:pos="4680"/>
        </w:tabs>
        <w:ind w:right="-252" w:hanging="360"/>
        <w:jc w:val="both"/>
        <w:rPr>
          <w:rFonts w:ascii="Times New Roman" w:eastAsia="Times New Roman" w:hAnsi="Times New Roman" w:cs="Times New Roman"/>
          <w:b/>
          <w:bCs/>
          <w:sz w:val="24"/>
          <w:szCs w:val="24"/>
        </w:rPr>
      </w:pPr>
      <w:r w:rsidRPr="003B1AC8">
        <w:rPr>
          <w:rFonts w:ascii="Times New Roman" w:eastAsia="Times New Roman" w:hAnsi="Times New Roman" w:cs="Times New Roman"/>
          <w:b/>
          <w:bCs/>
          <w:sz w:val="24"/>
          <w:szCs w:val="24"/>
        </w:rPr>
        <w:tab/>
      </w:r>
      <w:r w:rsidRPr="003B1AC8">
        <w:rPr>
          <w:rFonts w:ascii="Times New Roman" w:eastAsia="Times New Roman" w:hAnsi="Times New Roman" w:cs="Times New Roman"/>
          <w:b/>
          <w:bCs/>
          <w:sz w:val="24"/>
          <w:szCs w:val="24"/>
        </w:rPr>
        <w:tab/>
      </w:r>
      <w:r w:rsidRPr="003B1AC8">
        <w:rPr>
          <w:rFonts w:ascii="Times New Roman" w:eastAsia="Times New Roman" w:hAnsi="Times New Roman" w:cs="Times New Roman"/>
          <w:b/>
          <w:bCs/>
          <w:sz w:val="24"/>
          <w:szCs w:val="24"/>
        </w:rPr>
        <w:tab/>
      </w:r>
      <w:r w:rsidRPr="003B1AC8">
        <w:rPr>
          <w:rFonts w:ascii="Times New Roman" w:eastAsia="Times New Roman" w:hAnsi="Times New Roman" w:cs="Times New Roman"/>
          <w:b/>
          <w:bCs/>
          <w:sz w:val="24"/>
          <w:szCs w:val="24"/>
        </w:rPr>
        <w:tab/>
        <w:t xml:space="preserve">Witness: </w:t>
      </w:r>
      <w:r w:rsidR="005F4293" w:rsidRPr="003B1AC8">
        <w:rPr>
          <w:rFonts w:ascii="Times New Roman" w:eastAsia="Times New Roman" w:hAnsi="Times New Roman" w:cs="Times New Roman"/>
          <w:b/>
          <w:bCs/>
          <w:sz w:val="24"/>
          <w:szCs w:val="24"/>
        </w:rPr>
        <w:t>Jason L. Ball</w:t>
      </w:r>
    </w:p>
    <w:p w14:paraId="0B0AA708" w14:textId="77777777" w:rsidR="004026AD" w:rsidRPr="003B1AC8" w:rsidRDefault="004026AD" w:rsidP="004026AD">
      <w:pPr>
        <w:tabs>
          <w:tab w:val="center" w:pos="4680"/>
        </w:tabs>
        <w:ind w:right="-252" w:hanging="360"/>
        <w:jc w:val="both"/>
        <w:rPr>
          <w:rFonts w:ascii="Times New Roman" w:eastAsia="Times New Roman" w:hAnsi="Times New Roman" w:cs="Times New Roman"/>
          <w:b/>
          <w:bCs/>
          <w:sz w:val="24"/>
          <w:szCs w:val="24"/>
        </w:rPr>
      </w:pPr>
      <w:r w:rsidRPr="003B1AC8">
        <w:rPr>
          <w:rFonts w:ascii="Times New Roman" w:eastAsia="Times New Roman" w:hAnsi="Times New Roman" w:cs="Times New Roman"/>
          <w:b/>
          <w:bCs/>
          <w:sz w:val="24"/>
          <w:szCs w:val="24"/>
        </w:rPr>
        <w:tab/>
      </w:r>
      <w:r w:rsidRPr="003B1AC8">
        <w:rPr>
          <w:rFonts w:ascii="Times New Roman" w:eastAsia="Times New Roman" w:hAnsi="Times New Roman" w:cs="Times New Roman"/>
          <w:b/>
          <w:bCs/>
          <w:sz w:val="24"/>
          <w:szCs w:val="24"/>
        </w:rPr>
        <w:tab/>
      </w:r>
      <w:r w:rsidRPr="003B1AC8">
        <w:rPr>
          <w:rFonts w:ascii="Times New Roman" w:eastAsia="Times New Roman" w:hAnsi="Times New Roman" w:cs="Times New Roman"/>
          <w:b/>
          <w:bCs/>
          <w:sz w:val="24"/>
          <w:szCs w:val="24"/>
        </w:rPr>
        <w:tab/>
      </w:r>
    </w:p>
    <w:p w14:paraId="0B0AA709" w14:textId="77777777" w:rsidR="004026AD" w:rsidRPr="003B1AC8" w:rsidRDefault="004026AD" w:rsidP="004026AD">
      <w:pPr>
        <w:tabs>
          <w:tab w:val="center" w:pos="4680"/>
        </w:tabs>
        <w:ind w:right="-252" w:hanging="360"/>
        <w:jc w:val="both"/>
        <w:rPr>
          <w:rFonts w:ascii="Times New Roman" w:eastAsia="Times New Roman" w:hAnsi="Times New Roman" w:cs="Times New Roman"/>
          <w:b/>
          <w:bCs/>
          <w:sz w:val="24"/>
          <w:szCs w:val="24"/>
        </w:rPr>
      </w:pPr>
    </w:p>
    <w:p w14:paraId="0B0AA70A" w14:textId="77777777" w:rsidR="004026AD" w:rsidRPr="003B1AC8" w:rsidRDefault="004026AD" w:rsidP="004026AD">
      <w:pPr>
        <w:tabs>
          <w:tab w:val="center" w:pos="4680"/>
        </w:tabs>
        <w:ind w:right="-252" w:hanging="360"/>
        <w:jc w:val="both"/>
        <w:rPr>
          <w:rFonts w:ascii="Times New Roman" w:eastAsia="Times New Roman" w:hAnsi="Times New Roman" w:cs="Times New Roman"/>
          <w:b/>
          <w:bCs/>
          <w:sz w:val="24"/>
          <w:szCs w:val="24"/>
        </w:rPr>
      </w:pPr>
    </w:p>
    <w:p w14:paraId="0B0AA70B" w14:textId="77777777" w:rsidR="004026AD" w:rsidRPr="003B1AC8" w:rsidRDefault="004026AD" w:rsidP="004026AD">
      <w:pPr>
        <w:tabs>
          <w:tab w:val="center" w:pos="4680"/>
        </w:tabs>
        <w:ind w:right="-252" w:hanging="360"/>
        <w:jc w:val="both"/>
        <w:rPr>
          <w:rFonts w:ascii="Times New Roman" w:eastAsia="Times New Roman" w:hAnsi="Times New Roman" w:cs="Times New Roman"/>
          <w:b/>
          <w:bCs/>
          <w:sz w:val="24"/>
          <w:szCs w:val="24"/>
        </w:rPr>
      </w:pPr>
    </w:p>
    <w:p w14:paraId="0B0AA70C" w14:textId="77777777" w:rsidR="004026AD" w:rsidRPr="003B1AC8" w:rsidRDefault="004026AD" w:rsidP="004026AD">
      <w:pPr>
        <w:ind w:right="-108" w:hanging="180"/>
        <w:jc w:val="center"/>
        <w:rPr>
          <w:rFonts w:ascii="Times New Roman" w:eastAsia="Times New Roman" w:hAnsi="Times New Roman" w:cs="Times New Roman"/>
          <w:b/>
          <w:sz w:val="24"/>
          <w:szCs w:val="24"/>
        </w:rPr>
      </w:pPr>
      <w:r w:rsidRPr="003B1AC8">
        <w:rPr>
          <w:rFonts w:ascii="Times New Roman" w:eastAsia="Times New Roman" w:hAnsi="Times New Roman" w:cs="Times New Roman"/>
          <w:b/>
          <w:sz w:val="24"/>
          <w:szCs w:val="24"/>
        </w:rPr>
        <w:t>BEFORE THE WASHINGTON UTILITIES AND TRANSPORTATION COMMISSION</w:t>
      </w:r>
    </w:p>
    <w:p w14:paraId="0B0AA70D" w14:textId="77777777" w:rsidR="004026AD" w:rsidRPr="003B1AC8" w:rsidRDefault="004026AD" w:rsidP="004026AD">
      <w:pPr>
        <w:jc w:val="both"/>
        <w:rPr>
          <w:rFonts w:ascii="Times New Roman" w:eastAsia="Times New Roman" w:hAnsi="Times New Roman" w:cs="Times New Roman"/>
          <w:b/>
          <w:sz w:val="24"/>
          <w:szCs w:val="24"/>
        </w:rPr>
      </w:pPr>
    </w:p>
    <w:p w14:paraId="0B0AA70E" w14:textId="77777777" w:rsidR="004026AD" w:rsidRPr="003B1AC8" w:rsidRDefault="004026AD" w:rsidP="004026AD">
      <w:pPr>
        <w:jc w:val="both"/>
        <w:rPr>
          <w:rFonts w:ascii="Times New Roman" w:eastAsia="Times New Roman" w:hAnsi="Times New Roman" w:cs="Times New Roman"/>
          <w:b/>
          <w:sz w:val="24"/>
          <w:szCs w:val="24"/>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4026AD" w:rsidRPr="003B1AC8" w14:paraId="0B0AA720" w14:textId="77777777" w:rsidTr="00022107">
        <w:tc>
          <w:tcPr>
            <w:tcW w:w="4590" w:type="dxa"/>
            <w:tcBorders>
              <w:top w:val="single" w:sz="6" w:space="0" w:color="FFFFFF"/>
              <w:left w:val="single" w:sz="6" w:space="0" w:color="FFFFFF"/>
              <w:bottom w:val="single" w:sz="6" w:space="0" w:color="000000"/>
              <w:right w:val="single" w:sz="6" w:space="0" w:color="FFFFFF"/>
            </w:tcBorders>
          </w:tcPr>
          <w:p w14:paraId="0B0AA70F" w14:textId="77777777" w:rsidR="004026AD" w:rsidRPr="003B1AC8" w:rsidRDefault="004026AD" w:rsidP="004026AD">
            <w:pPr>
              <w:rPr>
                <w:rFonts w:ascii="Times New Roman" w:eastAsia="Times New Roman" w:hAnsi="Times New Roman" w:cs="Times New Roman"/>
                <w:b/>
                <w:sz w:val="24"/>
                <w:szCs w:val="24"/>
              </w:rPr>
            </w:pPr>
            <w:r w:rsidRPr="003B1AC8">
              <w:rPr>
                <w:rFonts w:ascii="Times New Roman" w:eastAsia="Times New Roman" w:hAnsi="Times New Roman" w:cs="Times New Roman"/>
                <w:b/>
                <w:sz w:val="24"/>
                <w:szCs w:val="24"/>
              </w:rPr>
              <w:t xml:space="preserve">WASHINGTON UTILITIES AND TRANSPORTATION COMMISSION, </w:t>
            </w:r>
          </w:p>
          <w:p w14:paraId="0B0AA710" w14:textId="77777777" w:rsidR="004026AD" w:rsidRPr="003B1AC8" w:rsidRDefault="004026AD" w:rsidP="004026AD">
            <w:pPr>
              <w:rPr>
                <w:rFonts w:ascii="Times New Roman" w:eastAsia="Times New Roman" w:hAnsi="Times New Roman" w:cs="Times New Roman"/>
                <w:b/>
                <w:sz w:val="24"/>
                <w:szCs w:val="24"/>
              </w:rPr>
            </w:pPr>
          </w:p>
          <w:p w14:paraId="0B0AA711" w14:textId="77777777" w:rsidR="004026AD" w:rsidRPr="003B1AC8" w:rsidRDefault="004026AD" w:rsidP="004026AD">
            <w:pPr>
              <w:rPr>
                <w:rFonts w:ascii="Times New Roman" w:eastAsia="Times New Roman" w:hAnsi="Times New Roman" w:cs="Times New Roman"/>
                <w:b/>
                <w:sz w:val="24"/>
                <w:szCs w:val="24"/>
              </w:rPr>
            </w:pPr>
            <w:r w:rsidRPr="003B1AC8">
              <w:rPr>
                <w:rFonts w:ascii="Times New Roman" w:eastAsia="Times New Roman" w:hAnsi="Times New Roman" w:cs="Times New Roman"/>
                <w:b/>
                <w:sz w:val="24"/>
                <w:szCs w:val="24"/>
              </w:rPr>
              <w:tab/>
            </w:r>
            <w:r w:rsidRPr="003B1AC8">
              <w:rPr>
                <w:rFonts w:ascii="Times New Roman" w:eastAsia="Times New Roman" w:hAnsi="Times New Roman" w:cs="Times New Roman"/>
                <w:b/>
                <w:sz w:val="24"/>
                <w:szCs w:val="24"/>
              </w:rPr>
              <w:tab/>
              <w:t>Complainant,</w:t>
            </w:r>
          </w:p>
          <w:p w14:paraId="0B0AA712" w14:textId="77777777" w:rsidR="004026AD" w:rsidRPr="003B1AC8" w:rsidRDefault="004026AD" w:rsidP="004026AD">
            <w:pPr>
              <w:rPr>
                <w:rFonts w:ascii="Times New Roman" w:eastAsia="Times New Roman" w:hAnsi="Times New Roman" w:cs="Times New Roman"/>
                <w:b/>
                <w:sz w:val="24"/>
                <w:szCs w:val="24"/>
              </w:rPr>
            </w:pPr>
          </w:p>
          <w:p w14:paraId="0B0AA713" w14:textId="77777777" w:rsidR="004026AD" w:rsidRPr="003B1AC8" w:rsidRDefault="004026AD" w:rsidP="004026AD">
            <w:pPr>
              <w:rPr>
                <w:rFonts w:ascii="Times New Roman" w:eastAsia="Times New Roman" w:hAnsi="Times New Roman" w:cs="Times New Roman"/>
                <w:b/>
                <w:sz w:val="24"/>
                <w:szCs w:val="24"/>
              </w:rPr>
            </w:pPr>
            <w:r w:rsidRPr="003B1AC8">
              <w:rPr>
                <w:rFonts w:ascii="Times New Roman" w:eastAsia="Times New Roman" w:hAnsi="Times New Roman" w:cs="Times New Roman"/>
                <w:b/>
                <w:sz w:val="24"/>
                <w:szCs w:val="24"/>
              </w:rPr>
              <w:tab/>
              <w:t>v.</w:t>
            </w:r>
          </w:p>
          <w:p w14:paraId="0B0AA714" w14:textId="77777777" w:rsidR="004026AD" w:rsidRPr="003B1AC8" w:rsidRDefault="004026AD" w:rsidP="004026AD">
            <w:pPr>
              <w:rPr>
                <w:rFonts w:ascii="Times New Roman" w:eastAsia="Times New Roman" w:hAnsi="Times New Roman" w:cs="Times New Roman"/>
                <w:b/>
                <w:sz w:val="24"/>
                <w:szCs w:val="24"/>
              </w:rPr>
            </w:pPr>
          </w:p>
          <w:p w14:paraId="0B0AA715" w14:textId="77777777" w:rsidR="004026AD" w:rsidRPr="003B1AC8" w:rsidRDefault="004026AD" w:rsidP="004026AD">
            <w:pPr>
              <w:rPr>
                <w:rFonts w:ascii="Times New Roman" w:eastAsia="Times New Roman" w:hAnsi="Times New Roman" w:cs="Times New Roman"/>
                <w:b/>
                <w:sz w:val="24"/>
                <w:szCs w:val="24"/>
              </w:rPr>
            </w:pPr>
            <w:r w:rsidRPr="003B1AC8">
              <w:rPr>
                <w:rFonts w:ascii="Times New Roman" w:eastAsia="Times New Roman" w:hAnsi="Times New Roman" w:cs="Times New Roman"/>
                <w:b/>
                <w:sz w:val="24"/>
                <w:szCs w:val="24"/>
              </w:rPr>
              <w:t xml:space="preserve">AVISTA CORPORATION, </w:t>
            </w:r>
          </w:p>
          <w:p w14:paraId="0B0AA716" w14:textId="77777777" w:rsidR="004026AD" w:rsidRPr="003B1AC8" w:rsidRDefault="004026AD" w:rsidP="004026AD">
            <w:pPr>
              <w:rPr>
                <w:rFonts w:ascii="Times New Roman" w:eastAsia="Times New Roman" w:hAnsi="Times New Roman" w:cs="Times New Roman"/>
                <w:b/>
                <w:sz w:val="24"/>
                <w:szCs w:val="24"/>
              </w:rPr>
            </w:pPr>
          </w:p>
          <w:p w14:paraId="0B0AA717" w14:textId="77777777" w:rsidR="004026AD" w:rsidRPr="003B1AC8" w:rsidRDefault="004026AD" w:rsidP="004026AD">
            <w:pPr>
              <w:spacing w:after="19"/>
              <w:rPr>
                <w:rFonts w:ascii="Times New Roman" w:eastAsia="Times New Roman" w:hAnsi="Times New Roman" w:cs="Times New Roman"/>
                <w:b/>
                <w:sz w:val="24"/>
                <w:szCs w:val="24"/>
              </w:rPr>
            </w:pPr>
            <w:r w:rsidRPr="003B1AC8">
              <w:rPr>
                <w:rFonts w:ascii="Times New Roman" w:eastAsia="Times New Roman" w:hAnsi="Times New Roman" w:cs="Times New Roman"/>
                <w:b/>
                <w:sz w:val="24"/>
                <w:szCs w:val="24"/>
              </w:rPr>
              <w:tab/>
            </w:r>
            <w:r w:rsidRPr="003B1AC8">
              <w:rPr>
                <w:rFonts w:ascii="Times New Roman" w:eastAsia="Times New Roman" w:hAnsi="Times New Roman" w:cs="Times New Roman"/>
                <w:b/>
                <w:sz w:val="24"/>
                <w:szCs w:val="24"/>
              </w:rPr>
              <w:tab/>
              <w:t>Respondent.</w:t>
            </w:r>
          </w:p>
          <w:p w14:paraId="0B0AA718" w14:textId="77777777" w:rsidR="004026AD" w:rsidRPr="003B1AC8" w:rsidRDefault="004026AD" w:rsidP="004026AD">
            <w:pPr>
              <w:spacing w:after="19"/>
              <w:rPr>
                <w:rFonts w:ascii="Times New Roman" w:eastAsia="Times New Roman" w:hAnsi="Times New Roman" w:cs="Times New Roman"/>
                <w:b/>
                <w:sz w:val="24"/>
                <w:szCs w:val="24"/>
              </w:rPr>
            </w:pPr>
          </w:p>
        </w:tc>
        <w:tc>
          <w:tcPr>
            <w:tcW w:w="4590" w:type="dxa"/>
            <w:tcBorders>
              <w:top w:val="single" w:sz="6" w:space="0" w:color="FFFFFF"/>
              <w:left w:val="single" w:sz="6" w:space="0" w:color="000000"/>
              <w:bottom w:val="single" w:sz="6" w:space="0" w:color="FFFFFF"/>
              <w:right w:val="single" w:sz="6" w:space="0" w:color="FFFFFF"/>
            </w:tcBorders>
          </w:tcPr>
          <w:p w14:paraId="0B0AA71D" w14:textId="7CDDD942" w:rsidR="004026AD" w:rsidRDefault="004026AD" w:rsidP="00BD533D">
            <w:pPr>
              <w:ind w:left="686" w:firstLine="2"/>
              <w:rPr>
                <w:rFonts w:ascii="Times New Roman" w:eastAsia="Times New Roman" w:hAnsi="Times New Roman" w:cs="Times New Roman"/>
                <w:b/>
                <w:sz w:val="24"/>
                <w:szCs w:val="24"/>
              </w:rPr>
            </w:pPr>
            <w:r w:rsidRPr="003B1AC8">
              <w:rPr>
                <w:rFonts w:ascii="Times New Roman" w:eastAsia="Times New Roman" w:hAnsi="Times New Roman" w:cs="Times New Roman"/>
                <w:b/>
                <w:sz w:val="24"/>
                <w:szCs w:val="24"/>
              </w:rPr>
              <w:t>DOCKET UE-140188</w:t>
            </w:r>
            <w:r w:rsidR="00BD533D">
              <w:rPr>
                <w:rFonts w:ascii="Times New Roman" w:eastAsia="Times New Roman" w:hAnsi="Times New Roman" w:cs="Times New Roman"/>
                <w:b/>
                <w:sz w:val="24"/>
                <w:szCs w:val="24"/>
              </w:rPr>
              <w:t xml:space="preserve"> and </w:t>
            </w:r>
            <w:r w:rsidR="005A3FD8" w:rsidRPr="003B1AC8">
              <w:rPr>
                <w:rFonts w:ascii="Times New Roman" w:eastAsia="Times New Roman" w:hAnsi="Times New Roman" w:cs="Times New Roman"/>
                <w:b/>
                <w:sz w:val="24"/>
                <w:szCs w:val="24"/>
              </w:rPr>
              <w:t xml:space="preserve">DOCKET </w:t>
            </w:r>
            <w:r w:rsidR="00DC52A5" w:rsidRPr="003B1AC8">
              <w:rPr>
                <w:rFonts w:ascii="Times New Roman" w:eastAsia="Times New Roman" w:hAnsi="Times New Roman" w:cs="Times New Roman"/>
                <w:b/>
                <w:sz w:val="24"/>
                <w:szCs w:val="24"/>
              </w:rPr>
              <w:t>UG-140189</w:t>
            </w:r>
          </w:p>
          <w:p w14:paraId="65E4B43B" w14:textId="61D48601" w:rsidR="00BD533D" w:rsidRPr="00BD533D" w:rsidRDefault="00BD533D" w:rsidP="00BD533D">
            <w:pPr>
              <w:ind w:left="686" w:firstLine="2"/>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b/>
                <w:i/>
                <w:sz w:val="24"/>
                <w:szCs w:val="24"/>
              </w:rPr>
              <w:t>Consolidated</w:t>
            </w:r>
            <w:r>
              <w:rPr>
                <w:rFonts w:ascii="Times New Roman" w:eastAsia="Times New Roman" w:hAnsi="Times New Roman" w:cs="Times New Roman"/>
                <w:b/>
                <w:sz w:val="24"/>
                <w:szCs w:val="24"/>
              </w:rPr>
              <w:t>)</w:t>
            </w:r>
          </w:p>
          <w:p w14:paraId="0B0AA71E" w14:textId="77777777" w:rsidR="004026AD" w:rsidRPr="003B1AC8" w:rsidRDefault="004026AD" w:rsidP="004026AD">
            <w:pPr>
              <w:rPr>
                <w:rFonts w:ascii="Times New Roman" w:eastAsia="Times New Roman" w:hAnsi="Times New Roman" w:cs="Times New Roman"/>
                <w:b/>
                <w:sz w:val="24"/>
                <w:szCs w:val="24"/>
              </w:rPr>
            </w:pPr>
          </w:p>
          <w:p w14:paraId="0B0AA71F" w14:textId="77777777" w:rsidR="004026AD" w:rsidRPr="003B1AC8" w:rsidRDefault="004026AD" w:rsidP="004026AD">
            <w:pPr>
              <w:spacing w:after="19"/>
              <w:ind w:left="720"/>
              <w:rPr>
                <w:rFonts w:ascii="Times New Roman" w:eastAsia="Times New Roman" w:hAnsi="Times New Roman" w:cs="Times New Roman"/>
                <w:b/>
                <w:sz w:val="24"/>
                <w:szCs w:val="24"/>
              </w:rPr>
            </w:pPr>
          </w:p>
        </w:tc>
      </w:tr>
    </w:tbl>
    <w:p w14:paraId="0B0AA721" w14:textId="77777777" w:rsidR="004026AD" w:rsidRPr="003B1AC8" w:rsidRDefault="004026AD" w:rsidP="004026AD">
      <w:pPr>
        <w:rPr>
          <w:rFonts w:ascii="Times New Roman" w:eastAsia="Times New Roman" w:hAnsi="Times New Roman" w:cs="Times New Roman"/>
          <w:b/>
          <w:bCs/>
          <w:sz w:val="24"/>
          <w:szCs w:val="24"/>
        </w:rPr>
      </w:pPr>
    </w:p>
    <w:p w14:paraId="0B0AA722" w14:textId="77777777" w:rsidR="004026AD" w:rsidRPr="003B1AC8" w:rsidRDefault="004026AD" w:rsidP="004026AD">
      <w:pPr>
        <w:rPr>
          <w:rFonts w:ascii="Times New Roman" w:eastAsia="Times New Roman" w:hAnsi="Times New Roman" w:cs="Times New Roman"/>
          <w:b/>
          <w:bCs/>
          <w:sz w:val="24"/>
          <w:szCs w:val="24"/>
        </w:rPr>
      </w:pPr>
    </w:p>
    <w:p w14:paraId="0B0AA723" w14:textId="77777777" w:rsidR="00D50AB7" w:rsidRPr="003B1AC8" w:rsidRDefault="00D50AB7" w:rsidP="004026AD">
      <w:pPr>
        <w:jc w:val="center"/>
        <w:rPr>
          <w:rFonts w:ascii="Times New Roman" w:eastAsia="Times New Roman" w:hAnsi="Times New Roman" w:cs="Times New Roman"/>
          <w:b/>
          <w:bCs/>
          <w:sz w:val="24"/>
          <w:szCs w:val="24"/>
        </w:rPr>
      </w:pPr>
    </w:p>
    <w:p w14:paraId="0B0AA724" w14:textId="77777777" w:rsidR="004026AD" w:rsidRPr="003B1AC8" w:rsidRDefault="004026AD" w:rsidP="004026AD">
      <w:pPr>
        <w:jc w:val="center"/>
        <w:rPr>
          <w:rFonts w:ascii="Times New Roman" w:eastAsia="Times New Roman" w:hAnsi="Times New Roman" w:cs="Times New Roman"/>
          <w:b/>
          <w:bCs/>
          <w:sz w:val="24"/>
          <w:szCs w:val="24"/>
        </w:rPr>
      </w:pPr>
      <w:r w:rsidRPr="003B1AC8">
        <w:rPr>
          <w:rFonts w:ascii="Times New Roman" w:eastAsia="Times New Roman" w:hAnsi="Times New Roman" w:cs="Times New Roman"/>
          <w:b/>
          <w:bCs/>
          <w:sz w:val="24"/>
          <w:szCs w:val="24"/>
        </w:rPr>
        <w:t>TESTIMONY OF</w:t>
      </w:r>
    </w:p>
    <w:p w14:paraId="0B0AA725" w14:textId="77777777" w:rsidR="004026AD" w:rsidRPr="003B1AC8" w:rsidRDefault="004026AD" w:rsidP="004026AD">
      <w:pPr>
        <w:jc w:val="center"/>
        <w:rPr>
          <w:rFonts w:ascii="Times New Roman" w:eastAsia="Times New Roman" w:hAnsi="Times New Roman" w:cs="Times New Roman"/>
          <w:b/>
          <w:bCs/>
          <w:sz w:val="24"/>
          <w:szCs w:val="24"/>
        </w:rPr>
      </w:pPr>
    </w:p>
    <w:p w14:paraId="0B0AA726" w14:textId="77777777" w:rsidR="004026AD" w:rsidRPr="003B1AC8" w:rsidRDefault="00CC09B5" w:rsidP="004026AD">
      <w:pPr>
        <w:jc w:val="center"/>
        <w:rPr>
          <w:rFonts w:ascii="Times New Roman" w:eastAsia="Times New Roman" w:hAnsi="Times New Roman" w:cs="Times New Roman"/>
          <w:b/>
          <w:bCs/>
          <w:sz w:val="24"/>
          <w:szCs w:val="24"/>
        </w:rPr>
      </w:pPr>
      <w:r w:rsidRPr="003B1AC8">
        <w:rPr>
          <w:rFonts w:ascii="Times New Roman" w:eastAsia="Times New Roman" w:hAnsi="Times New Roman" w:cs="Times New Roman"/>
          <w:b/>
          <w:bCs/>
          <w:sz w:val="24"/>
          <w:szCs w:val="24"/>
        </w:rPr>
        <w:t>Jason L. Ball</w:t>
      </w:r>
    </w:p>
    <w:p w14:paraId="0B0AA727" w14:textId="77777777" w:rsidR="004026AD" w:rsidRPr="003B1AC8" w:rsidRDefault="004026AD" w:rsidP="004026AD">
      <w:pPr>
        <w:jc w:val="center"/>
        <w:rPr>
          <w:rFonts w:ascii="Times New Roman" w:eastAsia="Times New Roman" w:hAnsi="Times New Roman" w:cs="Times New Roman"/>
          <w:b/>
          <w:bCs/>
          <w:sz w:val="24"/>
          <w:szCs w:val="24"/>
        </w:rPr>
      </w:pPr>
    </w:p>
    <w:p w14:paraId="0B0AA728" w14:textId="77777777" w:rsidR="004026AD" w:rsidRPr="003B1AC8" w:rsidRDefault="004026AD" w:rsidP="004026AD">
      <w:pPr>
        <w:jc w:val="center"/>
        <w:rPr>
          <w:rFonts w:ascii="Times New Roman" w:eastAsia="Times New Roman" w:hAnsi="Times New Roman" w:cs="Times New Roman"/>
          <w:b/>
          <w:bCs/>
          <w:sz w:val="24"/>
          <w:szCs w:val="24"/>
        </w:rPr>
      </w:pPr>
      <w:r w:rsidRPr="003B1AC8">
        <w:rPr>
          <w:rFonts w:ascii="Times New Roman" w:eastAsia="Times New Roman" w:hAnsi="Times New Roman" w:cs="Times New Roman"/>
          <w:b/>
          <w:bCs/>
          <w:sz w:val="24"/>
          <w:szCs w:val="24"/>
        </w:rPr>
        <w:t>STAFF OF</w:t>
      </w:r>
    </w:p>
    <w:p w14:paraId="0B0AA729" w14:textId="77777777" w:rsidR="004026AD" w:rsidRPr="003B1AC8" w:rsidRDefault="004026AD" w:rsidP="004026AD">
      <w:pPr>
        <w:jc w:val="center"/>
        <w:rPr>
          <w:rFonts w:ascii="Times New Roman" w:eastAsia="Times New Roman" w:hAnsi="Times New Roman" w:cs="Times New Roman"/>
          <w:b/>
          <w:bCs/>
          <w:sz w:val="24"/>
          <w:szCs w:val="24"/>
        </w:rPr>
      </w:pPr>
      <w:r w:rsidRPr="003B1AC8">
        <w:rPr>
          <w:rFonts w:ascii="Times New Roman" w:eastAsia="Times New Roman" w:hAnsi="Times New Roman" w:cs="Times New Roman"/>
          <w:b/>
          <w:bCs/>
          <w:sz w:val="24"/>
          <w:szCs w:val="24"/>
        </w:rPr>
        <w:t>WASHINGTON UTILITIES AND</w:t>
      </w:r>
    </w:p>
    <w:p w14:paraId="0B0AA72A" w14:textId="77777777" w:rsidR="004026AD" w:rsidRPr="003B1AC8" w:rsidRDefault="004026AD" w:rsidP="004026AD">
      <w:pPr>
        <w:jc w:val="center"/>
        <w:rPr>
          <w:rFonts w:ascii="Times New Roman" w:eastAsia="Times New Roman" w:hAnsi="Times New Roman" w:cs="Times New Roman"/>
          <w:b/>
          <w:bCs/>
          <w:sz w:val="24"/>
          <w:szCs w:val="24"/>
        </w:rPr>
      </w:pPr>
      <w:r w:rsidRPr="003B1AC8">
        <w:rPr>
          <w:rFonts w:ascii="Times New Roman" w:eastAsia="Times New Roman" w:hAnsi="Times New Roman" w:cs="Times New Roman"/>
          <w:b/>
          <w:bCs/>
          <w:sz w:val="24"/>
          <w:szCs w:val="24"/>
        </w:rPr>
        <w:t>TRANSPORTATION COMMISSION</w:t>
      </w:r>
    </w:p>
    <w:p w14:paraId="0B0AA72B" w14:textId="77777777" w:rsidR="004026AD" w:rsidRPr="003B1AC8" w:rsidRDefault="004026AD" w:rsidP="004026AD">
      <w:pPr>
        <w:jc w:val="center"/>
        <w:rPr>
          <w:rFonts w:ascii="Times New Roman" w:eastAsia="Times New Roman" w:hAnsi="Times New Roman" w:cs="Times New Roman"/>
          <w:b/>
          <w:bCs/>
          <w:sz w:val="24"/>
          <w:szCs w:val="24"/>
        </w:rPr>
      </w:pPr>
    </w:p>
    <w:p w14:paraId="0B0AA72C" w14:textId="77777777" w:rsidR="004026AD" w:rsidRPr="003B1AC8" w:rsidRDefault="004026AD" w:rsidP="004026AD">
      <w:pPr>
        <w:jc w:val="center"/>
        <w:rPr>
          <w:rFonts w:ascii="Times New Roman" w:eastAsia="Times New Roman" w:hAnsi="Times New Roman" w:cs="Times New Roman"/>
          <w:b/>
          <w:bCs/>
          <w:sz w:val="24"/>
          <w:szCs w:val="24"/>
        </w:rPr>
      </w:pPr>
    </w:p>
    <w:p w14:paraId="24C0A6CB" w14:textId="77777777" w:rsidR="0099510B" w:rsidRPr="0099510B" w:rsidRDefault="0099510B" w:rsidP="004026AD">
      <w:pPr>
        <w:jc w:val="center"/>
        <w:rPr>
          <w:rFonts w:ascii="Times New Roman" w:hAnsi="Times New Roman" w:cs="Times New Roman"/>
          <w:b/>
          <w:i/>
          <w:sz w:val="24"/>
          <w:szCs w:val="24"/>
        </w:rPr>
      </w:pPr>
      <w:r w:rsidRPr="0099510B">
        <w:rPr>
          <w:rFonts w:ascii="Times New Roman" w:hAnsi="Times New Roman" w:cs="Times New Roman"/>
          <w:b/>
          <w:i/>
          <w:sz w:val="24"/>
          <w:szCs w:val="24"/>
        </w:rPr>
        <w:t xml:space="preserve">Pro Forma Net Power Supply Expense, </w:t>
      </w:r>
    </w:p>
    <w:p w14:paraId="0B0AA72E" w14:textId="089445D4" w:rsidR="004026AD" w:rsidRPr="0099510B" w:rsidRDefault="0099510B" w:rsidP="004026AD">
      <w:pPr>
        <w:jc w:val="center"/>
        <w:rPr>
          <w:rFonts w:ascii="Times New Roman" w:eastAsia="Times New Roman" w:hAnsi="Times New Roman" w:cs="Times New Roman"/>
          <w:b/>
          <w:bCs/>
          <w:i/>
          <w:sz w:val="24"/>
          <w:szCs w:val="24"/>
        </w:rPr>
      </w:pPr>
      <w:r w:rsidRPr="0099510B">
        <w:rPr>
          <w:rFonts w:ascii="Times New Roman" w:hAnsi="Times New Roman" w:cs="Times New Roman"/>
          <w:b/>
          <w:i/>
          <w:sz w:val="24"/>
          <w:szCs w:val="24"/>
        </w:rPr>
        <w:t>The Energy Recovery Mechanism, and Load Forecasting</w:t>
      </w:r>
    </w:p>
    <w:p w14:paraId="0B0AA72F" w14:textId="77777777" w:rsidR="004026AD" w:rsidRPr="003B1AC8" w:rsidRDefault="004026AD" w:rsidP="004026AD">
      <w:pPr>
        <w:jc w:val="center"/>
        <w:rPr>
          <w:rFonts w:ascii="Times New Roman" w:eastAsia="Times New Roman" w:hAnsi="Times New Roman" w:cs="Times New Roman"/>
          <w:b/>
          <w:bCs/>
          <w:sz w:val="24"/>
          <w:szCs w:val="24"/>
        </w:rPr>
      </w:pPr>
    </w:p>
    <w:p w14:paraId="0B0AA730" w14:textId="77777777" w:rsidR="004026AD" w:rsidRPr="003B1AC8" w:rsidRDefault="004026AD" w:rsidP="004026AD">
      <w:pPr>
        <w:jc w:val="center"/>
        <w:rPr>
          <w:rFonts w:ascii="Times New Roman" w:eastAsia="Times New Roman" w:hAnsi="Times New Roman" w:cs="Times New Roman"/>
          <w:b/>
          <w:bCs/>
          <w:sz w:val="24"/>
          <w:szCs w:val="24"/>
        </w:rPr>
      </w:pPr>
    </w:p>
    <w:p w14:paraId="0B0AA731" w14:textId="77777777" w:rsidR="004026AD" w:rsidRPr="003B1AC8" w:rsidRDefault="004026AD" w:rsidP="004026AD">
      <w:pPr>
        <w:jc w:val="center"/>
        <w:rPr>
          <w:rFonts w:ascii="Times New Roman" w:eastAsia="Times New Roman" w:hAnsi="Times New Roman" w:cs="Times New Roman"/>
          <w:b/>
          <w:bCs/>
          <w:sz w:val="24"/>
          <w:szCs w:val="24"/>
        </w:rPr>
      </w:pPr>
      <w:r w:rsidRPr="003B1AC8">
        <w:rPr>
          <w:rFonts w:ascii="Times New Roman" w:eastAsia="Times New Roman" w:hAnsi="Times New Roman" w:cs="Times New Roman"/>
          <w:b/>
          <w:bCs/>
          <w:sz w:val="24"/>
          <w:szCs w:val="24"/>
        </w:rPr>
        <w:t>July 22, 2012</w:t>
      </w:r>
    </w:p>
    <w:p w14:paraId="0B0AA732" w14:textId="77777777" w:rsidR="004026AD" w:rsidRPr="003B1AC8" w:rsidRDefault="004026AD" w:rsidP="004026AD">
      <w:pPr>
        <w:jc w:val="center"/>
        <w:rPr>
          <w:rFonts w:ascii="Times New Roman" w:eastAsia="Times New Roman" w:hAnsi="Times New Roman" w:cs="Times New Roman"/>
          <w:b/>
          <w:bCs/>
          <w:sz w:val="24"/>
          <w:szCs w:val="24"/>
        </w:rPr>
      </w:pPr>
    </w:p>
    <w:p w14:paraId="0B0AA733" w14:textId="77777777" w:rsidR="004026AD" w:rsidRPr="003B1AC8" w:rsidRDefault="004026AD" w:rsidP="004026AD">
      <w:pPr>
        <w:jc w:val="center"/>
        <w:rPr>
          <w:rFonts w:ascii="Times New Roman" w:eastAsia="Times New Roman" w:hAnsi="Times New Roman" w:cs="Times New Roman"/>
          <w:b/>
          <w:bCs/>
          <w:sz w:val="24"/>
          <w:szCs w:val="24"/>
        </w:rPr>
      </w:pPr>
    </w:p>
    <w:p w14:paraId="0B0AA734" w14:textId="77777777" w:rsidR="004026AD" w:rsidRPr="003B1AC8" w:rsidRDefault="004026AD" w:rsidP="004026AD">
      <w:pPr>
        <w:jc w:val="center"/>
        <w:rPr>
          <w:rFonts w:ascii="Times New Roman" w:eastAsia="Times New Roman" w:hAnsi="Times New Roman" w:cs="Times New Roman"/>
          <w:b/>
          <w:bCs/>
          <w:sz w:val="24"/>
          <w:szCs w:val="24"/>
        </w:rPr>
      </w:pPr>
    </w:p>
    <w:p w14:paraId="0B0AA735" w14:textId="77777777" w:rsidR="004026AD" w:rsidRPr="003B1AC8" w:rsidRDefault="004026AD" w:rsidP="004026AD">
      <w:pPr>
        <w:jc w:val="center"/>
        <w:rPr>
          <w:rFonts w:ascii="Times New Roman" w:eastAsia="Times New Roman" w:hAnsi="Times New Roman" w:cs="Times New Roman"/>
          <w:b/>
          <w:bCs/>
          <w:sz w:val="24"/>
          <w:szCs w:val="24"/>
        </w:rPr>
      </w:pPr>
    </w:p>
    <w:p w14:paraId="0B0AA737" w14:textId="77777777" w:rsidR="004026AD" w:rsidRPr="003B1AC8" w:rsidRDefault="004026AD" w:rsidP="004026AD">
      <w:pPr>
        <w:tabs>
          <w:tab w:val="center" w:pos="4680"/>
        </w:tabs>
        <w:rPr>
          <w:rFonts w:ascii="Times New Roman" w:eastAsia="Times New Roman" w:hAnsi="Times New Roman" w:cs="Times New Roman"/>
          <w:b/>
          <w:bCs/>
          <w:sz w:val="24"/>
          <w:szCs w:val="24"/>
        </w:rPr>
      </w:pPr>
    </w:p>
    <w:p w14:paraId="0B0AA738" w14:textId="77777777" w:rsidR="004026AD" w:rsidRPr="003B1AC8" w:rsidRDefault="004026AD" w:rsidP="004026AD">
      <w:pPr>
        <w:jc w:val="center"/>
        <w:rPr>
          <w:rFonts w:ascii="Times New Roman" w:eastAsia="Times New Roman" w:hAnsi="Times New Roman" w:cs="Times New Roman"/>
          <w:b/>
          <w:sz w:val="24"/>
          <w:szCs w:val="24"/>
        </w:rPr>
        <w:sectPr w:rsidR="004026AD" w:rsidRPr="003B1AC8" w:rsidSect="00BD533D">
          <w:footerReference w:type="default" r:id="rId12"/>
          <w:type w:val="continuous"/>
          <w:pgSz w:w="12240" w:h="15840" w:code="1"/>
          <w:pgMar w:top="1440" w:right="1440" w:bottom="1440" w:left="1872" w:header="720" w:footer="720" w:gutter="0"/>
          <w:pgNumType w:start="1"/>
          <w:cols w:space="720"/>
          <w:titlePg/>
          <w:docGrid w:linePitch="360"/>
        </w:sectPr>
      </w:pPr>
    </w:p>
    <w:p w14:paraId="0B0AA739" w14:textId="0E4B1106" w:rsidR="008004C0" w:rsidRPr="003B1AC8" w:rsidRDefault="008004C0" w:rsidP="005F4293">
      <w:pPr>
        <w:spacing w:after="240"/>
        <w:jc w:val="center"/>
        <w:rPr>
          <w:rFonts w:ascii="Times New Roman" w:eastAsia="Times New Roman" w:hAnsi="Times New Roman" w:cs="Times New Roman"/>
          <w:b/>
          <w:sz w:val="24"/>
          <w:szCs w:val="24"/>
        </w:rPr>
      </w:pPr>
      <w:r w:rsidRPr="003B1AC8">
        <w:rPr>
          <w:rFonts w:ascii="Times New Roman" w:eastAsia="Times New Roman" w:hAnsi="Times New Roman" w:cs="Times New Roman"/>
          <w:b/>
          <w:sz w:val="24"/>
          <w:szCs w:val="24"/>
        </w:rPr>
        <w:lastRenderedPageBreak/>
        <w:t>TABLE OF CONTENTS</w:t>
      </w:r>
    </w:p>
    <w:p w14:paraId="3401842D" w14:textId="77777777" w:rsidR="007F3100" w:rsidRDefault="007F3100" w:rsidP="00BD533D">
      <w:pPr>
        <w:pStyle w:val="TOC1"/>
        <w:spacing w:after="0" w:line="480" w:lineRule="auto"/>
        <w:rPr>
          <w:rFonts w:cs="Times New Roman"/>
          <w:b/>
          <w:bCs/>
          <w:noProof/>
          <w:szCs w:val="24"/>
        </w:rPr>
      </w:pPr>
    </w:p>
    <w:p w14:paraId="604F2727" w14:textId="77777777" w:rsidR="00BE4B80" w:rsidRDefault="001F0AA3" w:rsidP="00BD533D">
      <w:pPr>
        <w:pStyle w:val="TOC1"/>
        <w:spacing w:after="0" w:line="480" w:lineRule="auto"/>
        <w:rPr>
          <w:rFonts w:asciiTheme="minorHAnsi" w:hAnsiTheme="minorHAnsi"/>
          <w:noProof/>
          <w:sz w:val="22"/>
          <w:lang w:eastAsia="en-US"/>
        </w:rPr>
      </w:pPr>
      <w:r w:rsidRPr="003B1AC8">
        <w:rPr>
          <w:rFonts w:cs="Times New Roman"/>
          <w:b/>
          <w:bCs/>
          <w:noProof/>
          <w:szCs w:val="24"/>
        </w:rPr>
        <w:fldChar w:fldCharType="begin"/>
      </w:r>
      <w:r w:rsidRPr="003B1AC8">
        <w:rPr>
          <w:rFonts w:cs="Times New Roman"/>
          <w:b/>
          <w:bCs/>
          <w:noProof/>
          <w:szCs w:val="24"/>
        </w:rPr>
        <w:instrText xml:space="preserve"> TOC \o "1-1" \u </w:instrText>
      </w:r>
      <w:r w:rsidRPr="003B1AC8">
        <w:rPr>
          <w:rFonts w:cs="Times New Roman"/>
          <w:b/>
          <w:bCs/>
          <w:noProof/>
          <w:szCs w:val="24"/>
        </w:rPr>
        <w:fldChar w:fldCharType="separate"/>
      </w:r>
      <w:r w:rsidR="00BE4B80">
        <w:rPr>
          <w:noProof/>
        </w:rPr>
        <w:t>I.</w:t>
      </w:r>
      <w:r w:rsidR="00BE4B80">
        <w:rPr>
          <w:rFonts w:asciiTheme="minorHAnsi" w:hAnsiTheme="minorHAnsi"/>
          <w:noProof/>
          <w:sz w:val="22"/>
          <w:lang w:eastAsia="en-US"/>
        </w:rPr>
        <w:tab/>
      </w:r>
      <w:r w:rsidR="00BE4B80">
        <w:rPr>
          <w:noProof/>
        </w:rPr>
        <w:t>INTRODUCTION</w:t>
      </w:r>
      <w:r w:rsidR="00BE4B80">
        <w:rPr>
          <w:noProof/>
        </w:rPr>
        <w:tab/>
      </w:r>
      <w:r w:rsidR="00BE4B80">
        <w:rPr>
          <w:noProof/>
        </w:rPr>
        <w:fldChar w:fldCharType="begin"/>
      </w:r>
      <w:r w:rsidR="00BE4B80">
        <w:rPr>
          <w:noProof/>
        </w:rPr>
        <w:instrText xml:space="preserve"> PAGEREF _Toc393198290 \h </w:instrText>
      </w:r>
      <w:r w:rsidR="00BE4B80">
        <w:rPr>
          <w:noProof/>
        </w:rPr>
      </w:r>
      <w:r w:rsidR="00BE4B80">
        <w:rPr>
          <w:noProof/>
        </w:rPr>
        <w:fldChar w:fldCharType="separate"/>
      </w:r>
      <w:r w:rsidR="00F82331">
        <w:rPr>
          <w:noProof/>
        </w:rPr>
        <w:t>1</w:t>
      </w:r>
      <w:r w:rsidR="00BE4B80">
        <w:rPr>
          <w:noProof/>
        </w:rPr>
        <w:fldChar w:fldCharType="end"/>
      </w:r>
    </w:p>
    <w:p w14:paraId="579DDA02" w14:textId="77777777" w:rsidR="00BE4B80" w:rsidRDefault="00BE4B80" w:rsidP="00BD533D">
      <w:pPr>
        <w:pStyle w:val="TOC1"/>
        <w:spacing w:after="0" w:line="480" w:lineRule="auto"/>
        <w:rPr>
          <w:rFonts w:asciiTheme="minorHAnsi" w:hAnsiTheme="minorHAnsi"/>
          <w:noProof/>
          <w:sz w:val="22"/>
          <w:lang w:eastAsia="en-US"/>
        </w:rPr>
      </w:pPr>
      <w:r>
        <w:rPr>
          <w:noProof/>
        </w:rPr>
        <w:t>II.</w:t>
      </w:r>
      <w:r>
        <w:rPr>
          <w:rFonts w:asciiTheme="minorHAnsi" w:hAnsiTheme="minorHAnsi"/>
          <w:noProof/>
          <w:sz w:val="22"/>
          <w:lang w:eastAsia="en-US"/>
        </w:rPr>
        <w:tab/>
      </w:r>
      <w:r>
        <w:rPr>
          <w:noProof/>
        </w:rPr>
        <w:t>SCOPE AND ORGANIZATION OF TESTIMONY</w:t>
      </w:r>
      <w:r>
        <w:rPr>
          <w:noProof/>
        </w:rPr>
        <w:tab/>
      </w:r>
      <w:r>
        <w:rPr>
          <w:noProof/>
        </w:rPr>
        <w:fldChar w:fldCharType="begin"/>
      </w:r>
      <w:r>
        <w:rPr>
          <w:noProof/>
        </w:rPr>
        <w:instrText xml:space="preserve"> PAGEREF _Toc393198291 \h </w:instrText>
      </w:r>
      <w:r>
        <w:rPr>
          <w:noProof/>
        </w:rPr>
      </w:r>
      <w:r>
        <w:rPr>
          <w:noProof/>
        </w:rPr>
        <w:fldChar w:fldCharType="separate"/>
      </w:r>
      <w:r w:rsidR="00F82331">
        <w:rPr>
          <w:noProof/>
        </w:rPr>
        <w:t>2</w:t>
      </w:r>
      <w:r>
        <w:rPr>
          <w:noProof/>
        </w:rPr>
        <w:fldChar w:fldCharType="end"/>
      </w:r>
    </w:p>
    <w:p w14:paraId="5DC16C92" w14:textId="77777777" w:rsidR="00BE4B80" w:rsidRDefault="00BE4B80" w:rsidP="00BD533D">
      <w:pPr>
        <w:pStyle w:val="TOC1"/>
        <w:spacing w:after="0" w:line="480" w:lineRule="auto"/>
        <w:rPr>
          <w:rFonts w:asciiTheme="minorHAnsi" w:hAnsiTheme="minorHAnsi"/>
          <w:noProof/>
          <w:sz w:val="22"/>
          <w:lang w:eastAsia="en-US"/>
        </w:rPr>
      </w:pPr>
      <w:r>
        <w:rPr>
          <w:noProof/>
        </w:rPr>
        <w:t>III.</w:t>
      </w:r>
      <w:r>
        <w:rPr>
          <w:rFonts w:asciiTheme="minorHAnsi" w:hAnsiTheme="minorHAnsi"/>
          <w:noProof/>
          <w:sz w:val="22"/>
          <w:lang w:eastAsia="en-US"/>
        </w:rPr>
        <w:tab/>
      </w:r>
      <w:r>
        <w:rPr>
          <w:noProof/>
        </w:rPr>
        <w:t>UPDATED POWER SUPPLY COSTS</w:t>
      </w:r>
      <w:r>
        <w:rPr>
          <w:noProof/>
        </w:rPr>
        <w:tab/>
      </w:r>
      <w:r>
        <w:rPr>
          <w:noProof/>
        </w:rPr>
        <w:fldChar w:fldCharType="begin"/>
      </w:r>
      <w:r>
        <w:rPr>
          <w:noProof/>
        </w:rPr>
        <w:instrText xml:space="preserve"> PAGEREF _Toc393198292 \h </w:instrText>
      </w:r>
      <w:r>
        <w:rPr>
          <w:noProof/>
        </w:rPr>
      </w:r>
      <w:r>
        <w:rPr>
          <w:noProof/>
        </w:rPr>
        <w:fldChar w:fldCharType="separate"/>
      </w:r>
      <w:r w:rsidR="00F82331">
        <w:rPr>
          <w:noProof/>
        </w:rPr>
        <w:t>3</w:t>
      </w:r>
      <w:r>
        <w:rPr>
          <w:noProof/>
        </w:rPr>
        <w:fldChar w:fldCharType="end"/>
      </w:r>
    </w:p>
    <w:p w14:paraId="606F01D1" w14:textId="77777777" w:rsidR="00BE4B80" w:rsidRDefault="00BE4B80" w:rsidP="00BD533D">
      <w:pPr>
        <w:pStyle w:val="TOC1"/>
        <w:spacing w:after="0" w:line="480" w:lineRule="auto"/>
        <w:rPr>
          <w:rFonts w:asciiTheme="minorHAnsi" w:hAnsiTheme="minorHAnsi"/>
          <w:noProof/>
          <w:sz w:val="22"/>
          <w:lang w:eastAsia="en-US"/>
        </w:rPr>
      </w:pPr>
      <w:r>
        <w:rPr>
          <w:noProof/>
        </w:rPr>
        <w:t>IV.</w:t>
      </w:r>
      <w:r>
        <w:rPr>
          <w:rFonts w:asciiTheme="minorHAnsi" w:hAnsiTheme="minorHAnsi"/>
          <w:noProof/>
          <w:sz w:val="22"/>
          <w:lang w:eastAsia="en-US"/>
        </w:rPr>
        <w:tab/>
      </w:r>
      <w:r>
        <w:rPr>
          <w:noProof/>
        </w:rPr>
        <w:t>ENERGY RECOVERY MECHANISM</w:t>
      </w:r>
      <w:r>
        <w:rPr>
          <w:noProof/>
        </w:rPr>
        <w:tab/>
      </w:r>
      <w:r>
        <w:rPr>
          <w:noProof/>
        </w:rPr>
        <w:fldChar w:fldCharType="begin"/>
      </w:r>
      <w:r>
        <w:rPr>
          <w:noProof/>
        </w:rPr>
        <w:instrText xml:space="preserve"> PAGEREF _Toc393198293 \h </w:instrText>
      </w:r>
      <w:r>
        <w:rPr>
          <w:noProof/>
        </w:rPr>
      </w:r>
      <w:r>
        <w:rPr>
          <w:noProof/>
        </w:rPr>
        <w:fldChar w:fldCharType="separate"/>
      </w:r>
      <w:r w:rsidR="00F82331">
        <w:rPr>
          <w:noProof/>
        </w:rPr>
        <w:t>6</w:t>
      </w:r>
      <w:r>
        <w:rPr>
          <w:noProof/>
        </w:rPr>
        <w:fldChar w:fldCharType="end"/>
      </w:r>
    </w:p>
    <w:p w14:paraId="1DA59488" w14:textId="77777777" w:rsidR="00BE4B80" w:rsidRDefault="00BE4B80" w:rsidP="00BD533D">
      <w:pPr>
        <w:pStyle w:val="TOC1"/>
        <w:spacing w:after="0" w:line="480" w:lineRule="auto"/>
        <w:rPr>
          <w:rFonts w:asciiTheme="minorHAnsi" w:hAnsiTheme="minorHAnsi"/>
          <w:noProof/>
          <w:sz w:val="22"/>
          <w:lang w:eastAsia="en-US"/>
        </w:rPr>
      </w:pPr>
      <w:r>
        <w:rPr>
          <w:noProof/>
        </w:rPr>
        <w:t>V.</w:t>
      </w:r>
      <w:r>
        <w:rPr>
          <w:rFonts w:asciiTheme="minorHAnsi" w:hAnsiTheme="minorHAnsi"/>
          <w:noProof/>
          <w:sz w:val="22"/>
          <w:lang w:eastAsia="en-US"/>
        </w:rPr>
        <w:tab/>
      </w:r>
      <w:r>
        <w:rPr>
          <w:noProof/>
        </w:rPr>
        <w:t>LOAD FORECASTING</w:t>
      </w:r>
      <w:r>
        <w:rPr>
          <w:noProof/>
        </w:rPr>
        <w:tab/>
      </w:r>
      <w:r>
        <w:rPr>
          <w:noProof/>
        </w:rPr>
        <w:fldChar w:fldCharType="begin"/>
      </w:r>
      <w:r>
        <w:rPr>
          <w:noProof/>
        </w:rPr>
        <w:instrText xml:space="preserve"> PAGEREF _Toc393198294 \h </w:instrText>
      </w:r>
      <w:r>
        <w:rPr>
          <w:noProof/>
        </w:rPr>
      </w:r>
      <w:r>
        <w:rPr>
          <w:noProof/>
        </w:rPr>
        <w:fldChar w:fldCharType="separate"/>
      </w:r>
      <w:r w:rsidR="00F82331">
        <w:rPr>
          <w:noProof/>
        </w:rPr>
        <w:t>11</w:t>
      </w:r>
      <w:r>
        <w:rPr>
          <w:noProof/>
        </w:rPr>
        <w:fldChar w:fldCharType="end"/>
      </w:r>
    </w:p>
    <w:p w14:paraId="54874C1A" w14:textId="77777777" w:rsidR="00BD533D" w:rsidRDefault="001F0AA3" w:rsidP="00BD533D">
      <w:pPr>
        <w:spacing w:line="480" w:lineRule="auto"/>
        <w:rPr>
          <w:rFonts w:ascii="Times New Roman" w:hAnsi="Times New Roman" w:cs="Times New Roman"/>
          <w:b/>
          <w:bCs/>
          <w:noProof/>
          <w:sz w:val="24"/>
          <w:szCs w:val="24"/>
        </w:rPr>
      </w:pPr>
      <w:r w:rsidRPr="003B1AC8">
        <w:rPr>
          <w:rFonts w:ascii="Times New Roman" w:hAnsi="Times New Roman" w:cs="Times New Roman"/>
          <w:b/>
          <w:bCs/>
          <w:noProof/>
          <w:sz w:val="24"/>
          <w:szCs w:val="24"/>
        </w:rPr>
        <w:fldChar w:fldCharType="end"/>
      </w:r>
    </w:p>
    <w:p w14:paraId="4AD4EE4C" w14:textId="5079C0F4" w:rsidR="003B1A28" w:rsidRDefault="003B1A28" w:rsidP="003B1A28">
      <w:pPr>
        <w:spacing w:line="48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LIST OF EXHIBITS</w:t>
      </w:r>
    </w:p>
    <w:p w14:paraId="384AD61D" w14:textId="2A04DE51" w:rsidR="003C502C" w:rsidRDefault="003C502C" w:rsidP="003C502C">
      <w:pPr>
        <w:ind w:left="720"/>
        <w:rPr>
          <w:rFonts w:ascii="Times New Roman" w:hAnsi="Times New Roman" w:cs="Times New Roman"/>
          <w:bCs/>
          <w:noProof/>
          <w:sz w:val="24"/>
          <w:szCs w:val="24"/>
        </w:rPr>
      </w:pPr>
      <w:r>
        <w:rPr>
          <w:rFonts w:ascii="Times New Roman" w:hAnsi="Times New Roman" w:cs="Times New Roman"/>
          <w:bCs/>
          <w:noProof/>
          <w:sz w:val="24"/>
          <w:szCs w:val="24"/>
        </w:rPr>
        <w:t xml:space="preserve">Exhibit No. ____(JLB-2) Testimony of Alan P. Buckley </w:t>
      </w:r>
    </w:p>
    <w:p w14:paraId="12B11686" w14:textId="08596C9D" w:rsidR="003B1A28" w:rsidRPr="003C502C" w:rsidRDefault="008875B0" w:rsidP="003C502C">
      <w:pPr>
        <w:ind w:left="720"/>
        <w:rPr>
          <w:rFonts w:ascii="Times New Roman" w:hAnsi="Times New Roman" w:cs="Times New Roman"/>
          <w:bCs/>
          <w:noProof/>
          <w:sz w:val="24"/>
          <w:szCs w:val="24"/>
        </w:rPr>
      </w:pPr>
      <w:r w:rsidRPr="003C502C">
        <w:rPr>
          <w:rFonts w:ascii="Times New Roman" w:hAnsi="Times New Roman" w:cs="Times New Roman"/>
          <w:bCs/>
          <w:noProof/>
          <w:sz w:val="24"/>
          <w:szCs w:val="24"/>
        </w:rPr>
        <w:t>Exhibit No. ____(J</w:t>
      </w:r>
      <w:r w:rsidR="002E39C1" w:rsidRPr="003C502C">
        <w:rPr>
          <w:rFonts w:ascii="Times New Roman" w:hAnsi="Times New Roman" w:cs="Times New Roman"/>
          <w:bCs/>
          <w:noProof/>
          <w:sz w:val="24"/>
          <w:szCs w:val="24"/>
        </w:rPr>
        <w:t>LB</w:t>
      </w:r>
      <w:r w:rsidR="003C502C">
        <w:rPr>
          <w:rFonts w:ascii="Times New Roman" w:hAnsi="Times New Roman" w:cs="Times New Roman"/>
          <w:bCs/>
          <w:noProof/>
          <w:sz w:val="24"/>
          <w:szCs w:val="24"/>
        </w:rPr>
        <w:t xml:space="preserve">-3C) </w:t>
      </w:r>
      <w:r w:rsidR="003B1A28" w:rsidRPr="003C502C">
        <w:rPr>
          <w:rFonts w:ascii="Times New Roman" w:hAnsi="Times New Roman" w:cs="Times New Roman"/>
          <w:bCs/>
          <w:noProof/>
          <w:sz w:val="24"/>
          <w:szCs w:val="24"/>
        </w:rPr>
        <w:t>Net Power Supply Expense</w:t>
      </w:r>
    </w:p>
    <w:p w14:paraId="3B7AFC01" w14:textId="4CF39C65" w:rsidR="003B1A28" w:rsidRDefault="003C502C" w:rsidP="003C502C">
      <w:pPr>
        <w:ind w:left="720"/>
        <w:rPr>
          <w:rFonts w:ascii="Times New Roman" w:hAnsi="Times New Roman" w:cs="Times New Roman"/>
          <w:bCs/>
          <w:noProof/>
          <w:sz w:val="24"/>
          <w:szCs w:val="24"/>
        </w:rPr>
      </w:pPr>
      <w:r>
        <w:rPr>
          <w:rFonts w:ascii="Times New Roman" w:hAnsi="Times New Roman" w:cs="Times New Roman"/>
          <w:bCs/>
          <w:noProof/>
          <w:sz w:val="24"/>
          <w:szCs w:val="24"/>
        </w:rPr>
        <w:t xml:space="preserve">Exhibit No. ____(JLB-4C) </w:t>
      </w:r>
      <w:r w:rsidR="002E39C1" w:rsidRPr="003C502C">
        <w:rPr>
          <w:rFonts w:ascii="Times New Roman" w:hAnsi="Times New Roman" w:cs="Times New Roman"/>
          <w:bCs/>
          <w:noProof/>
          <w:sz w:val="24"/>
          <w:szCs w:val="24"/>
        </w:rPr>
        <w:t>ERM Authorized Power Supply Expense</w:t>
      </w:r>
    </w:p>
    <w:p w14:paraId="38C3BAD0" w14:textId="172CE3C4" w:rsidR="003C502C" w:rsidRPr="003C502C" w:rsidRDefault="003C502C" w:rsidP="003C502C">
      <w:pPr>
        <w:spacing w:line="480" w:lineRule="auto"/>
        <w:ind w:left="720"/>
        <w:rPr>
          <w:rFonts w:ascii="Times New Roman" w:hAnsi="Times New Roman" w:cs="Times New Roman"/>
          <w:bCs/>
          <w:noProof/>
          <w:sz w:val="24"/>
          <w:szCs w:val="24"/>
        </w:rPr>
      </w:pPr>
      <w:r>
        <w:rPr>
          <w:rFonts w:ascii="Times New Roman" w:hAnsi="Times New Roman" w:cs="Times New Roman"/>
          <w:bCs/>
          <w:noProof/>
          <w:sz w:val="24"/>
          <w:szCs w:val="24"/>
        </w:rPr>
        <w:t>Exhibit No. ____(JLB-5) Avista Response to Staff Data Request No. 162</w:t>
      </w:r>
    </w:p>
    <w:p w14:paraId="330219A8" w14:textId="77777777" w:rsidR="003B1A28" w:rsidRDefault="003B1A28" w:rsidP="00BD533D">
      <w:pPr>
        <w:spacing w:line="480" w:lineRule="auto"/>
        <w:rPr>
          <w:rFonts w:ascii="Times New Roman" w:hAnsi="Times New Roman" w:cs="Times New Roman"/>
          <w:b/>
          <w:bCs/>
          <w:noProof/>
          <w:sz w:val="24"/>
          <w:szCs w:val="24"/>
        </w:rPr>
      </w:pPr>
    </w:p>
    <w:p w14:paraId="02CC3ADE" w14:textId="77777777" w:rsidR="003B1A28" w:rsidRDefault="003B1A28" w:rsidP="00BD533D">
      <w:pPr>
        <w:spacing w:line="480" w:lineRule="auto"/>
        <w:rPr>
          <w:rFonts w:ascii="Times New Roman" w:hAnsi="Times New Roman" w:cs="Times New Roman"/>
          <w:b/>
          <w:bCs/>
          <w:noProof/>
          <w:sz w:val="24"/>
          <w:szCs w:val="24"/>
        </w:rPr>
      </w:pPr>
    </w:p>
    <w:p w14:paraId="53A6638E" w14:textId="77777777" w:rsidR="003B1A28" w:rsidRDefault="003B1A28" w:rsidP="00BD533D">
      <w:pPr>
        <w:spacing w:line="480" w:lineRule="auto"/>
        <w:rPr>
          <w:rFonts w:ascii="Times New Roman" w:hAnsi="Times New Roman" w:cs="Times New Roman"/>
          <w:b/>
          <w:bCs/>
          <w:noProof/>
          <w:sz w:val="24"/>
          <w:szCs w:val="24"/>
        </w:rPr>
        <w:sectPr w:rsidR="003B1A28" w:rsidSect="00BD533D">
          <w:pgSz w:w="12240" w:h="15840" w:code="1"/>
          <w:pgMar w:top="1440" w:right="1440" w:bottom="1440" w:left="1440" w:header="720" w:footer="720" w:gutter="0"/>
          <w:pgNumType w:fmt="lowerRoman" w:start="1"/>
          <w:cols w:space="720"/>
          <w:docGrid w:linePitch="360"/>
        </w:sectPr>
      </w:pPr>
    </w:p>
    <w:p w14:paraId="0B0AA73E" w14:textId="77777777" w:rsidR="004026AD" w:rsidRDefault="004026AD" w:rsidP="00BD533D">
      <w:pPr>
        <w:pStyle w:val="Heading1"/>
        <w:ind w:left="0" w:firstLine="0"/>
      </w:pPr>
      <w:bookmarkStart w:id="0" w:name="_Toc393198290"/>
      <w:r w:rsidRPr="003B1AC8">
        <w:t>INTRODUCTION</w:t>
      </w:r>
      <w:bookmarkEnd w:id="0"/>
    </w:p>
    <w:p w14:paraId="26080A87" w14:textId="77777777" w:rsidR="00BD533D" w:rsidRDefault="00BD533D" w:rsidP="008004C0">
      <w:pPr>
        <w:pStyle w:val="Heading2"/>
      </w:pPr>
      <w:bookmarkStart w:id="1" w:name="_Toc391989915"/>
      <w:bookmarkStart w:id="2" w:name="_Toc391990017"/>
      <w:bookmarkStart w:id="3" w:name="_Toc393023104"/>
      <w:bookmarkStart w:id="4" w:name="_Toc393023310"/>
    </w:p>
    <w:p w14:paraId="0B0AA73F" w14:textId="77777777" w:rsidR="004026AD" w:rsidRPr="003B1AC8" w:rsidRDefault="004026AD" w:rsidP="008004C0">
      <w:pPr>
        <w:pStyle w:val="Heading2"/>
      </w:pPr>
      <w:r w:rsidRPr="003B1AC8">
        <w:t>Q.</w:t>
      </w:r>
      <w:r w:rsidRPr="003B1AC8">
        <w:tab/>
        <w:t>Please state your name and business address.</w:t>
      </w:r>
      <w:bookmarkEnd w:id="1"/>
      <w:bookmarkEnd w:id="2"/>
      <w:bookmarkEnd w:id="3"/>
      <w:bookmarkEnd w:id="4"/>
      <w:r w:rsidRPr="003B1AC8">
        <w:t xml:space="preserve">  </w:t>
      </w:r>
    </w:p>
    <w:p w14:paraId="0B0AA740" w14:textId="55791B27" w:rsidR="004026AD" w:rsidRDefault="004026AD" w:rsidP="00351AA1">
      <w:pPr>
        <w:pStyle w:val="NoSpacing"/>
      </w:pPr>
      <w:r w:rsidRPr="003B1AC8">
        <w:t>A.</w:t>
      </w:r>
      <w:r w:rsidRPr="003B1AC8">
        <w:tab/>
        <w:t xml:space="preserve">My name is </w:t>
      </w:r>
      <w:r w:rsidR="00CC09B5" w:rsidRPr="003B1AC8">
        <w:t>Jason L</w:t>
      </w:r>
      <w:r w:rsidR="00CC09B5" w:rsidRPr="00931602">
        <w:t>.</w:t>
      </w:r>
      <w:r w:rsidR="00CC09B5" w:rsidRPr="003B1AC8">
        <w:t xml:space="preserve"> Ball</w:t>
      </w:r>
      <w:r w:rsidRPr="003B1AC8">
        <w:t xml:space="preserve">.  My office address is </w:t>
      </w:r>
      <w:r w:rsidR="003B1A28">
        <w:t>t</w:t>
      </w:r>
      <w:r w:rsidRPr="003B1AC8">
        <w:t xml:space="preserve">he Richard Hemstad Building, 1300 South Evergreen Park Drive Southwest, P.O. Box 47250, Olympia, Washington 98504.  My email address is </w:t>
      </w:r>
      <w:hyperlink r:id="rId13" w:history="1">
        <w:r w:rsidR="00305402" w:rsidRPr="003B1AC8">
          <w:rPr>
            <w:rStyle w:val="Hyperlink"/>
          </w:rPr>
          <w:t>jball@utc.wa.gov</w:t>
        </w:r>
      </w:hyperlink>
      <w:r w:rsidRPr="003B1AC8">
        <w:t xml:space="preserve">. </w:t>
      </w:r>
    </w:p>
    <w:p w14:paraId="791F60E7" w14:textId="77777777" w:rsidR="00CD0188" w:rsidRPr="003B1AC8" w:rsidRDefault="00CD0188" w:rsidP="00351AA1">
      <w:pPr>
        <w:pStyle w:val="NoSpacing"/>
      </w:pPr>
    </w:p>
    <w:p w14:paraId="0B0AA741" w14:textId="77777777" w:rsidR="004026AD" w:rsidRPr="003B1AC8" w:rsidRDefault="004026AD" w:rsidP="008004C0">
      <w:pPr>
        <w:pStyle w:val="Heading2"/>
      </w:pPr>
      <w:bookmarkStart w:id="5" w:name="_Toc391989916"/>
      <w:bookmarkStart w:id="6" w:name="_Toc391990018"/>
      <w:bookmarkStart w:id="7" w:name="_Toc393023105"/>
      <w:bookmarkStart w:id="8" w:name="_Toc393023311"/>
      <w:r w:rsidRPr="003B1AC8">
        <w:t>Q.</w:t>
      </w:r>
      <w:r w:rsidRPr="003B1AC8">
        <w:tab/>
        <w:t>By whom are you employed and in what capacity?</w:t>
      </w:r>
      <w:bookmarkEnd w:id="5"/>
      <w:bookmarkEnd w:id="6"/>
      <w:bookmarkEnd w:id="7"/>
      <w:bookmarkEnd w:id="8"/>
      <w:r w:rsidRPr="003B1AC8">
        <w:t xml:space="preserve">  </w:t>
      </w:r>
    </w:p>
    <w:p w14:paraId="0B0AA742" w14:textId="59E02289" w:rsidR="004026AD" w:rsidRDefault="004026AD" w:rsidP="00351AA1">
      <w:pPr>
        <w:pStyle w:val="NoSpacing"/>
      </w:pPr>
      <w:r w:rsidRPr="003B1AC8">
        <w:t>A.</w:t>
      </w:r>
      <w:r w:rsidRPr="003B1AC8">
        <w:tab/>
        <w:t xml:space="preserve">I am employed by the Washington Utilities </w:t>
      </w:r>
      <w:r w:rsidR="003B1A28">
        <w:t>and Transportation Commission (Commission</w:t>
      </w:r>
      <w:r w:rsidRPr="003B1AC8">
        <w:t xml:space="preserve">) as a </w:t>
      </w:r>
      <w:r w:rsidR="00CC09B5" w:rsidRPr="003B1AC8">
        <w:t>Regulatory Analyst</w:t>
      </w:r>
      <w:r w:rsidRPr="003B1AC8">
        <w:t>.  Among other duties,</w:t>
      </w:r>
      <w:r w:rsidR="00BB69B5" w:rsidRPr="003B1AC8">
        <w:t xml:space="preserve"> I am responsible for </w:t>
      </w:r>
      <w:r w:rsidR="008D4D0F" w:rsidRPr="003B1AC8">
        <w:t>financial and</w:t>
      </w:r>
      <w:r w:rsidR="00BB69B5" w:rsidRPr="003B1AC8">
        <w:t xml:space="preserve"> accounting</w:t>
      </w:r>
      <w:r w:rsidR="008D4D0F" w:rsidRPr="003B1AC8">
        <w:t xml:space="preserve"> analysis</w:t>
      </w:r>
      <w:r w:rsidR="00BB69B5" w:rsidRPr="003B1AC8">
        <w:t xml:space="preserve">, load forecasting, and power supply issues </w:t>
      </w:r>
      <w:r w:rsidR="008D4D0F" w:rsidRPr="003B1AC8">
        <w:t>of</w:t>
      </w:r>
      <w:r w:rsidRPr="003B1AC8">
        <w:t xml:space="preserve"> the investor-owned electric</w:t>
      </w:r>
      <w:r w:rsidR="00BB69B5" w:rsidRPr="003B1AC8">
        <w:t xml:space="preserve"> and gas</w:t>
      </w:r>
      <w:r w:rsidRPr="003B1AC8">
        <w:t xml:space="preserve"> utilities under the jurisdiction of the Commission. </w:t>
      </w:r>
    </w:p>
    <w:p w14:paraId="52540BB8" w14:textId="77777777" w:rsidR="00CD0188" w:rsidRPr="003B1AC8" w:rsidRDefault="00CD0188" w:rsidP="00351AA1">
      <w:pPr>
        <w:pStyle w:val="NoSpacing"/>
      </w:pPr>
    </w:p>
    <w:p w14:paraId="0B0AA743" w14:textId="77777777" w:rsidR="004026AD" w:rsidRPr="003B1AC8" w:rsidRDefault="004026AD" w:rsidP="004026AD">
      <w:pPr>
        <w:tabs>
          <w:tab w:val="left" w:pos="-1440"/>
        </w:tabs>
        <w:spacing w:line="480" w:lineRule="auto"/>
        <w:ind w:left="720" w:hanging="720"/>
        <w:rPr>
          <w:rFonts w:ascii="Times New Roman" w:eastAsia="Times New Roman" w:hAnsi="Times New Roman" w:cs="Times New Roman"/>
          <w:sz w:val="24"/>
          <w:szCs w:val="24"/>
        </w:rPr>
      </w:pPr>
      <w:r w:rsidRPr="003B1AC8">
        <w:rPr>
          <w:rFonts w:ascii="Times New Roman" w:eastAsia="Times New Roman" w:hAnsi="Times New Roman" w:cs="Times New Roman"/>
          <w:b/>
          <w:bCs/>
          <w:sz w:val="24"/>
          <w:szCs w:val="24"/>
        </w:rPr>
        <w:t>Q.</w:t>
      </w:r>
      <w:r w:rsidRPr="003B1AC8">
        <w:rPr>
          <w:rFonts w:ascii="Times New Roman" w:eastAsia="Times New Roman" w:hAnsi="Times New Roman" w:cs="Times New Roman"/>
          <w:b/>
          <w:bCs/>
          <w:sz w:val="24"/>
          <w:szCs w:val="24"/>
        </w:rPr>
        <w:tab/>
        <w:t>How long have you been employed by the Commission?</w:t>
      </w:r>
    </w:p>
    <w:p w14:paraId="0B0AA744" w14:textId="4AD956D8" w:rsidR="004026AD" w:rsidRDefault="004026AD" w:rsidP="00351AA1">
      <w:pPr>
        <w:pStyle w:val="NoSpacing"/>
      </w:pPr>
      <w:r w:rsidRPr="003B1AC8">
        <w:t>A.</w:t>
      </w:r>
      <w:r w:rsidRPr="003B1AC8">
        <w:tab/>
        <w:t>I have been employed by the Commission since</w:t>
      </w:r>
      <w:r w:rsidR="00BB69B5" w:rsidRPr="003B1AC8">
        <w:t xml:space="preserve"> June</w:t>
      </w:r>
      <w:r w:rsidRPr="003B1AC8">
        <w:t xml:space="preserve"> </w:t>
      </w:r>
      <w:r w:rsidR="00BB69B5" w:rsidRPr="003B1AC8">
        <w:t>2013</w:t>
      </w:r>
      <w:r w:rsidRPr="003B1AC8">
        <w:t>.</w:t>
      </w:r>
    </w:p>
    <w:p w14:paraId="462CE0CF" w14:textId="77777777" w:rsidR="00CD0188" w:rsidRPr="003B1AC8" w:rsidRDefault="00CD0188" w:rsidP="00351AA1">
      <w:pPr>
        <w:pStyle w:val="NoSpacing"/>
      </w:pPr>
    </w:p>
    <w:p w14:paraId="0B0AA745" w14:textId="77777777" w:rsidR="004026AD" w:rsidRPr="003B1AC8" w:rsidRDefault="004026AD" w:rsidP="00513F2D">
      <w:pPr>
        <w:pStyle w:val="Heading2"/>
      </w:pPr>
      <w:bookmarkStart w:id="9" w:name="_Toc391989917"/>
      <w:bookmarkStart w:id="10" w:name="_Toc391990019"/>
      <w:bookmarkStart w:id="11" w:name="_Toc393023106"/>
      <w:bookmarkStart w:id="12" w:name="_Toc393023312"/>
      <w:r w:rsidRPr="003B1AC8">
        <w:t>Q.</w:t>
      </w:r>
      <w:r w:rsidRPr="003B1AC8">
        <w:tab/>
        <w:t>Would you please state your educational and professional background?</w:t>
      </w:r>
      <w:bookmarkEnd w:id="9"/>
      <w:bookmarkEnd w:id="10"/>
      <w:bookmarkEnd w:id="11"/>
      <w:bookmarkEnd w:id="12"/>
    </w:p>
    <w:p w14:paraId="0B0AA746" w14:textId="65A43FB6" w:rsidR="00E91591" w:rsidRDefault="004026AD" w:rsidP="00351AA1">
      <w:pPr>
        <w:pStyle w:val="NoSpacing"/>
      </w:pPr>
      <w:r w:rsidRPr="003B1AC8">
        <w:t>A.</w:t>
      </w:r>
      <w:r w:rsidRPr="003B1AC8">
        <w:tab/>
        <w:t xml:space="preserve">I </w:t>
      </w:r>
      <w:r w:rsidR="00BB69B5" w:rsidRPr="003B1AC8">
        <w:t>graduated from New Mexico State University in 201</w:t>
      </w:r>
      <w:r w:rsidR="00597817" w:rsidRPr="003B1AC8">
        <w:t>0</w:t>
      </w:r>
      <w:r w:rsidR="00BB69B5" w:rsidRPr="003B1AC8">
        <w:t xml:space="preserve"> with</w:t>
      </w:r>
      <w:r w:rsidRPr="003B1AC8">
        <w:t xml:space="preserve"> a Bachelor of </w:t>
      </w:r>
      <w:r w:rsidR="00BB69B5" w:rsidRPr="003B1AC8">
        <w:t>Arts</w:t>
      </w:r>
      <w:r w:rsidRPr="003B1AC8">
        <w:t xml:space="preserve"> </w:t>
      </w:r>
      <w:r w:rsidR="00BB69B5" w:rsidRPr="003B1AC8">
        <w:t xml:space="preserve">dual-major </w:t>
      </w:r>
      <w:r w:rsidRPr="003B1AC8">
        <w:t>in</w:t>
      </w:r>
      <w:r w:rsidR="00BB69B5" w:rsidRPr="003B1AC8">
        <w:t xml:space="preserve"> Economics and Government</w:t>
      </w:r>
      <w:r w:rsidR="00597817" w:rsidRPr="003B1AC8">
        <w:t>.  In 2013</w:t>
      </w:r>
      <w:r w:rsidRPr="003B1AC8">
        <w:t xml:space="preserve">, I </w:t>
      </w:r>
      <w:r w:rsidR="00BB181E" w:rsidRPr="003B1AC8">
        <w:t>graduated</w:t>
      </w:r>
      <w:r w:rsidRPr="003B1AC8">
        <w:t xml:space="preserve"> </w:t>
      </w:r>
      <w:r w:rsidR="00BB181E" w:rsidRPr="003B1AC8">
        <w:t xml:space="preserve">with honors from New Mexico State University with a </w:t>
      </w:r>
      <w:r w:rsidRPr="003B1AC8">
        <w:t xml:space="preserve">Masters of </w:t>
      </w:r>
      <w:r w:rsidR="00597817" w:rsidRPr="003B1AC8">
        <w:t xml:space="preserve">Economics specializing in Public Utility Policy and Regulation.  Since joining the Commission I </w:t>
      </w:r>
      <w:r w:rsidR="00E91591" w:rsidRPr="003B1AC8">
        <w:t xml:space="preserve">participated in several dockets providing analysis </w:t>
      </w:r>
      <w:r w:rsidR="00EB3B65" w:rsidRPr="003B1AC8">
        <w:t xml:space="preserve">in support of other witnesses including: </w:t>
      </w:r>
      <w:r w:rsidR="00E551E2" w:rsidRPr="003B1AC8">
        <w:t>Avista Co</w:t>
      </w:r>
      <w:r w:rsidR="003B1A28">
        <w:t>rporation (Avista or Company</w:t>
      </w:r>
      <w:r w:rsidR="00E551E2" w:rsidRPr="003B1AC8">
        <w:t xml:space="preserve">) Purchased Gas Adjustment in </w:t>
      </w:r>
      <w:r w:rsidR="007609ED" w:rsidRPr="003B1AC8">
        <w:t>D</w:t>
      </w:r>
      <w:r w:rsidR="00E551E2" w:rsidRPr="003B1AC8">
        <w:t>ocket UG-131748</w:t>
      </w:r>
      <w:r w:rsidR="00EB3B65" w:rsidRPr="003B1AC8">
        <w:t xml:space="preserve">, </w:t>
      </w:r>
      <w:r w:rsidR="0007345F" w:rsidRPr="003B1AC8">
        <w:t xml:space="preserve">Puget Sound Energy’s </w:t>
      </w:r>
      <w:r w:rsidR="003B1A28">
        <w:t>(PSE</w:t>
      </w:r>
      <w:r w:rsidR="0007345F" w:rsidRPr="003B1AC8">
        <w:t xml:space="preserve">) Power Cost Only Rate Case in </w:t>
      </w:r>
      <w:r w:rsidR="007609ED" w:rsidRPr="003B1AC8">
        <w:t>D</w:t>
      </w:r>
      <w:r w:rsidR="0007345F" w:rsidRPr="003B1AC8">
        <w:t>ocket UE-130617</w:t>
      </w:r>
      <w:r w:rsidR="00EB3B65" w:rsidRPr="003B1AC8">
        <w:t xml:space="preserve">, and </w:t>
      </w:r>
      <w:r w:rsidR="0007345F" w:rsidRPr="003B1AC8">
        <w:t>Pacifi</w:t>
      </w:r>
      <w:r w:rsidR="003B1A28">
        <w:t>c Power and Lights (PacifiCorp</w:t>
      </w:r>
      <w:r w:rsidR="0007345F" w:rsidRPr="003B1AC8">
        <w:t xml:space="preserve">) general rate case in </w:t>
      </w:r>
      <w:r w:rsidR="007609ED" w:rsidRPr="003B1AC8">
        <w:t>D</w:t>
      </w:r>
      <w:r w:rsidR="0007345F" w:rsidRPr="003B1AC8">
        <w:t>ocket UE-130043</w:t>
      </w:r>
      <w:r w:rsidR="00E551E2" w:rsidRPr="003B1AC8">
        <w:t xml:space="preserve">.  </w:t>
      </w:r>
      <w:r w:rsidR="00E91591" w:rsidRPr="003B1AC8">
        <w:t xml:space="preserve">I presented Staff recommendations to the Commission at open meetings in </w:t>
      </w:r>
      <w:r w:rsidR="007609ED" w:rsidRPr="003B1AC8">
        <w:t>D</w:t>
      </w:r>
      <w:r w:rsidR="00496EF7" w:rsidRPr="003B1AC8">
        <w:t>ockets UE</w:t>
      </w:r>
      <w:r w:rsidR="00E91591" w:rsidRPr="003B1AC8">
        <w:t>-131623, UE-131565, and UE-</w:t>
      </w:r>
      <w:r w:rsidR="00496EF7" w:rsidRPr="003B1AC8">
        <w:t>140617.  I prepared memo</w:t>
      </w:r>
      <w:r w:rsidR="007609ED" w:rsidRPr="003B1AC8">
        <w:t>randa</w:t>
      </w:r>
      <w:r w:rsidR="00496EF7" w:rsidRPr="003B1AC8">
        <w:t xml:space="preserve"> summarizing Staff’s positions in </w:t>
      </w:r>
      <w:r w:rsidR="007609ED" w:rsidRPr="003B1AC8">
        <w:t>D</w:t>
      </w:r>
      <w:r w:rsidR="00496EF7" w:rsidRPr="003B1AC8">
        <w:t>ockets UE-131625</w:t>
      </w:r>
      <w:r w:rsidR="00346430" w:rsidRPr="003B1AC8">
        <w:t xml:space="preserve"> and</w:t>
      </w:r>
      <w:r w:rsidR="00496EF7" w:rsidRPr="003B1AC8">
        <w:t xml:space="preserve"> UG-131626 </w:t>
      </w:r>
      <w:r w:rsidR="00346430" w:rsidRPr="003B1AC8">
        <w:t>involving low income assistance programs.  I also reviewed</w:t>
      </w:r>
      <w:r w:rsidR="00D202A5" w:rsidRPr="003B1AC8">
        <w:t xml:space="preserve"> </w:t>
      </w:r>
      <w:r w:rsidR="00346430" w:rsidRPr="003B1AC8">
        <w:t xml:space="preserve">Avista’s Energy Recovery Mechanism annual true-up in </w:t>
      </w:r>
      <w:r w:rsidR="003D686A">
        <w:t>D</w:t>
      </w:r>
      <w:r w:rsidR="00346430" w:rsidRPr="003B1AC8">
        <w:t xml:space="preserve">ocket UE-140540. </w:t>
      </w:r>
      <w:r w:rsidR="003D686A">
        <w:t xml:space="preserve"> </w:t>
      </w:r>
      <w:r w:rsidR="00496EF7" w:rsidRPr="003B1AC8">
        <w:t xml:space="preserve">I </w:t>
      </w:r>
      <w:r w:rsidR="001F56E7" w:rsidRPr="003B1AC8">
        <w:t>am</w:t>
      </w:r>
      <w:r w:rsidR="00D202A5" w:rsidRPr="003B1AC8">
        <w:t xml:space="preserve"> the lead analyst for </w:t>
      </w:r>
      <w:r w:rsidR="001F56E7" w:rsidRPr="003B1AC8">
        <w:t xml:space="preserve">matters relating </w:t>
      </w:r>
      <w:r w:rsidR="00EB3B65" w:rsidRPr="003B1AC8">
        <w:t xml:space="preserve">to </w:t>
      </w:r>
      <w:r w:rsidR="003D686A" w:rsidRPr="003B1AC8">
        <w:t>the Bonneville Power Administration</w:t>
      </w:r>
      <w:r w:rsidR="003D686A">
        <w:t>’s Residential Exchange Program, for customers of</w:t>
      </w:r>
      <w:r w:rsidR="003D686A" w:rsidRPr="003B1AC8">
        <w:t xml:space="preserve"> </w:t>
      </w:r>
      <w:r w:rsidR="0007345F" w:rsidRPr="003B1AC8">
        <w:t>Avista, PSE, and PacifiCorp</w:t>
      </w:r>
      <w:r w:rsidR="00352C04" w:rsidRPr="003B1AC8">
        <w:t xml:space="preserve">.  </w:t>
      </w:r>
    </w:p>
    <w:p w14:paraId="0E21E14E" w14:textId="77777777" w:rsidR="00CD0188" w:rsidRPr="003B1AC8" w:rsidRDefault="00CD0188" w:rsidP="00351AA1">
      <w:pPr>
        <w:pStyle w:val="NoSpacing"/>
      </w:pPr>
    </w:p>
    <w:p w14:paraId="0B0AA747" w14:textId="77777777" w:rsidR="00352C04" w:rsidRPr="003B1AC8" w:rsidRDefault="00352C04" w:rsidP="00513F2D">
      <w:pPr>
        <w:pStyle w:val="Heading2"/>
      </w:pPr>
      <w:bookmarkStart w:id="13" w:name="_Toc391989918"/>
      <w:bookmarkStart w:id="14" w:name="_Toc391990020"/>
      <w:bookmarkStart w:id="15" w:name="_Toc393023107"/>
      <w:bookmarkStart w:id="16" w:name="_Toc393023313"/>
      <w:r w:rsidRPr="003B1AC8">
        <w:t>Q.</w:t>
      </w:r>
      <w:r w:rsidRPr="003B1AC8">
        <w:tab/>
        <w:t>Have you testified previously before the Commission?</w:t>
      </w:r>
      <w:bookmarkEnd w:id="13"/>
      <w:bookmarkEnd w:id="14"/>
      <w:bookmarkEnd w:id="15"/>
      <w:bookmarkEnd w:id="16"/>
    </w:p>
    <w:p w14:paraId="0B0AA748" w14:textId="77777777" w:rsidR="00352C04" w:rsidRDefault="00352C04" w:rsidP="00351AA1">
      <w:pPr>
        <w:pStyle w:val="NoSpacing"/>
      </w:pPr>
      <w:r w:rsidRPr="003B1AC8">
        <w:t>A.</w:t>
      </w:r>
      <w:r w:rsidRPr="003B1AC8">
        <w:tab/>
        <w:t>No.</w:t>
      </w:r>
    </w:p>
    <w:p w14:paraId="5D9DC695" w14:textId="77777777" w:rsidR="003D686A" w:rsidRPr="003B1AC8" w:rsidRDefault="003D686A" w:rsidP="00351AA1">
      <w:pPr>
        <w:pStyle w:val="NoSpacing"/>
      </w:pPr>
    </w:p>
    <w:p w14:paraId="0B0AA749" w14:textId="77777777" w:rsidR="004026AD" w:rsidRPr="003B1AC8" w:rsidRDefault="004026AD" w:rsidP="00BD533D">
      <w:pPr>
        <w:pStyle w:val="Heading1"/>
        <w:ind w:left="0" w:firstLine="0"/>
      </w:pPr>
      <w:bookmarkStart w:id="17" w:name="_Toc393198291"/>
      <w:r w:rsidRPr="003B1AC8">
        <w:t xml:space="preserve">SCOPE AND </w:t>
      </w:r>
      <w:r w:rsidRPr="002D3D19">
        <w:t>ORGANIZATION</w:t>
      </w:r>
      <w:r w:rsidRPr="003B1AC8">
        <w:t xml:space="preserve"> OF TESTIMONY</w:t>
      </w:r>
      <w:bookmarkEnd w:id="17"/>
    </w:p>
    <w:p w14:paraId="63AB2EA4" w14:textId="77777777" w:rsidR="007F3100" w:rsidRDefault="007F3100" w:rsidP="00513F2D">
      <w:pPr>
        <w:pStyle w:val="Heading2"/>
      </w:pPr>
      <w:bookmarkStart w:id="18" w:name="_Toc391989920"/>
      <w:bookmarkStart w:id="19" w:name="_Toc391990022"/>
      <w:bookmarkStart w:id="20" w:name="_Toc393023109"/>
      <w:bookmarkStart w:id="21" w:name="_Toc393023315"/>
    </w:p>
    <w:p w14:paraId="0B0AA74A" w14:textId="77777777" w:rsidR="004026AD" w:rsidRPr="003B1AC8" w:rsidRDefault="00FD2BC9" w:rsidP="00513F2D">
      <w:pPr>
        <w:pStyle w:val="Heading2"/>
      </w:pPr>
      <w:r w:rsidRPr="003B1AC8">
        <w:t>Q.</w:t>
      </w:r>
      <w:r w:rsidRPr="003B1AC8">
        <w:tab/>
        <w:t>Are you adopting the testimony of any other Staff member?</w:t>
      </w:r>
      <w:bookmarkEnd w:id="18"/>
      <w:bookmarkEnd w:id="19"/>
      <w:bookmarkEnd w:id="20"/>
      <w:bookmarkEnd w:id="21"/>
    </w:p>
    <w:p w14:paraId="0B0AA74B" w14:textId="31394FF2" w:rsidR="00FD2BC9" w:rsidRDefault="00FD2BC9" w:rsidP="00351AA1">
      <w:pPr>
        <w:pStyle w:val="NoSpacing"/>
      </w:pPr>
      <w:r w:rsidRPr="003B1AC8">
        <w:t>A.</w:t>
      </w:r>
      <w:r w:rsidRPr="003B1AC8">
        <w:tab/>
        <w:t xml:space="preserve">Yes.  I adopt the testimony of Alan P. Buckley.  His testimony is attached as Exhibit No. ___ </w:t>
      </w:r>
      <w:r w:rsidR="00BF3EA7" w:rsidRPr="003B1AC8">
        <w:t xml:space="preserve">(JLB-2).  </w:t>
      </w:r>
      <w:r w:rsidR="003D686A">
        <w:t>Mr. Buckley is unavailable to testify in this docket.</w:t>
      </w:r>
    </w:p>
    <w:p w14:paraId="0F7A8E7F" w14:textId="77777777" w:rsidR="00303653" w:rsidRPr="003B1AC8" w:rsidRDefault="00303653" w:rsidP="00351AA1">
      <w:pPr>
        <w:pStyle w:val="NoSpacing"/>
      </w:pPr>
    </w:p>
    <w:p w14:paraId="0B0AA74C" w14:textId="79E5F990" w:rsidR="000C64C8" w:rsidRPr="003B1AC8" w:rsidRDefault="000C64C8" w:rsidP="00513F2D">
      <w:pPr>
        <w:pStyle w:val="Heading2"/>
      </w:pPr>
      <w:bookmarkStart w:id="22" w:name="_Toc391989921"/>
      <w:bookmarkStart w:id="23" w:name="_Toc391990023"/>
      <w:bookmarkStart w:id="24" w:name="_Toc393023110"/>
      <w:bookmarkStart w:id="25" w:name="_Toc393023316"/>
      <w:r w:rsidRPr="003B1AC8">
        <w:t>Q.</w:t>
      </w:r>
      <w:r w:rsidRPr="003B1AC8">
        <w:tab/>
        <w:t xml:space="preserve">What issues </w:t>
      </w:r>
      <w:r w:rsidR="00F9737E">
        <w:t>are</w:t>
      </w:r>
      <w:r w:rsidR="003D686A">
        <w:t xml:space="preserve"> address</w:t>
      </w:r>
      <w:r w:rsidR="00F9737E">
        <w:t>ed in Exhibit No.</w:t>
      </w:r>
      <w:r w:rsidR="00F9737E" w:rsidRPr="003B1AC8">
        <w:t xml:space="preserve"> </w:t>
      </w:r>
      <w:r w:rsidR="00F9737E">
        <w:t>___(</w:t>
      </w:r>
      <w:r w:rsidR="00F9737E" w:rsidRPr="003B1AC8">
        <w:t>JLB-2</w:t>
      </w:r>
      <w:r w:rsidR="00F9737E">
        <w:t>)</w:t>
      </w:r>
      <w:r w:rsidRPr="003B1AC8">
        <w:t>?</w:t>
      </w:r>
      <w:bookmarkEnd w:id="22"/>
      <w:bookmarkEnd w:id="23"/>
      <w:bookmarkEnd w:id="24"/>
      <w:bookmarkEnd w:id="25"/>
    </w:p>
    <w:p w14:paraId="0B0AA74D" w14:textId="37E17664" w:rsidR="0034237D" w:rsidRPr="003B1AC8" w:rsidRDefault="000C64C8" w:rsidP="00351AA1">
      <w:pPr>
        <w:pStyle w:val="NoSpacing"/>
      </w:pPr>
      <w:r w:rsidRPr="003B1AC8">
        <w:t>A.</w:t>
      </w:r>
      <w:r w:rsidRPr="003B1AC8">
        <w:tab/>
      </w:r>
      <w:r w:rsidR="00EE5F0E">
        <w:t xml:space="preserve">The testimony in </w:t>
      </w:r>
      <w:r w:rsidR="00F9737E">
        <w:t>Exhibit No.</w:t>
      </w:r>
      <w:r w:rsidR="00F9737E" w:rsidRPr="003B1AC8">
        <w:t xml:space="preserve"> </w:t>
      </w:r>
      <w:r w:rsidR="00F9737E">
        <w:t>___(</w:t>
      </w:r>
      <w:r w:rsidR="00F9737E" w:rsidRPr="003B1AC8">
        <w:t>JLB-2</w:t>
      </w:r>
      <w:r w:rsidR="00F9737E">
        <w:t>)</w:t>
      </w:r>
      <w:r w:rsidRPr="003B1AC8">
        <w:t xml:space="preserve"> addresses </w:t>
      </w:r>
      <w:r w:rsidR="0088498A" w:rsidRPr="003B1AC8">
        <w:t>the following</w:t>
      </w:r>
      <w:r w:rsidR="00EE5F0E">
        <w:t xml:space="preserve"> issues</w:t>
      </w:r>
      <w:r w:rsidR="0088498A" w:rsidRPr="003B1AC8">
        <w:t>:</w:t>
      </w:r>
    </w:p>
    <w:p w14:paraId="0B0AA74E" w14:textId="3A3EFB56" w:rsidR="000C64C8" w:rsidRPr="003B1AC8" w:rsidRDefault="00E616B7" w:rsidP="00351AA1">
      <w:pPr>
        <w:pStyle w:val="NoSpacing"/>
        <w:numPr>
          <w:ilvl w:val="0"/>
          <w:numId w:val="8"/>
        </w:numPr>
      </w:pPr>
      <w:r>
        <w:t>p</w:t>
      </w:r>
      <w:r w:rsidR="0034237D" w:rsidRPr="003B1AC8">
        <w:t>ro</w:t>
      </w:r>
      <w:r w:rsidR="000C64C8" w:rsidRPr="003B1AC8">
        <w:t xml:space="preserve"> forma net power supply expense, including pro forma transmission expenses and revenues</w:t>
      </w:r>
      <w:r w:rsidR="003D686A">
        <w:t>;</w:t>
      </w:r>
      <w:r w:rsidR="000C64C8" w:rsidRPr="003B1AC8">
        <w:t xml:space="preserve"> </w:t>
      </w:r>
    </w:p>
    <w:p w14:paraId="0B0AA74F" w14:textId="1D3CE87D" w:rsidR="000C64C8" w:rsidRPr="003B1AC8" w:rsidRDefault="00E616B7" w:rsidP="00351AA1">
      <w:pPr>
        <w:pStyle w:val="NoSpacing"/>
        <w:numPr>
          <w:ilvl w:val="0"/>
          <w:numId w:val="8"/>
        </w:numPr>
      </w:pPr>
      <w:r>
        <w:t>p</w:t>
      </w:r>
      <w:r w:rsidR="000C64C8" w:rsidRPr="003B1AC8">
        <w:t>ro forma transmission capital expenditures on power supply expense</w:t>
      </w:r>
      <w:r w:rsidR="003D686A">
        <w:t>; and</w:t>
      </w:r>
    </w:p>
    <w:p w14:paraId="0B0AA750" w14:textId="5775EFCA" w:rsidR="000C64C8" w:rsidRPr="003B1AC8" w:rsidRDefault="00E616B7" w:rsidP="00351AA1">
      <w:pPr>
        <w:pStyle w:val="NoSpacing"/>
        <w:numPr>
          <w:ilvl w:val="0"/>
          <w:numId w:val="8"/>
        </w:numPr>
      </w:pPr>
      <w:r>
        <w:t>t</w:t>
      </w:r>
      <w:r w:rsidR="0088498A" w:rsidRPr="003B1AC8">
        <w:t xml:space="preserve">he Company’s </w:t>
      </w:r>
      <w:r w:rsidR="000C64C8" w:rsidRPr="003B1AC8">
        <w:t>proposed modifications to the retail revenue credit in the Energy Recovery Mechanism</w:t>
      </w:r>
    </w:p>
    <w:p w14:paraId="0B0AA751" w14:textId="17FC3315" w:rsidR="000C64C8" w:rsidRDefault="00F9737E" w:rsidP="00303653">
      <w:pPr>
        <w:pStyle w:val="NoSpacing"/>
        <w:ind w:firstLine="0"/>
      </w:pPr>
      <w:r>
        <w:t>These</w:t>
      </w:r>
      <w:r w:rsidR="0034237D" w:rsidRPr="003B1AC8">
        <w:t xml:space="preserve"> </w:t>
      </w:r>
      <w:r w:rsidR="000C64C8" w:rsidRPr="003B1AC8">
        <w:t>recomme</w:t>
      </w:r>
      <w:r w:rsidR="0034237D" w:rsidRPr="003B1AC8">
        <w:t xml:space="preserve">ndations </w:t>
      </w:r>
      <w:r>
        <w:t>are based</w:t>
      </w:r>
      <w:r w:rsidR="0034237D" w:rsidRPr="003B1AC8">
        <w:t xml:space="preserve"> on </w:t>
      </w:r>
      <w:r w:rsidR="007609ED" w:rsidRPr="003B1AC8">
        <w:t xml:space="preserve">an </w:t>
      </w:r>
      <w:r w:rsidR="000C64C8" w:rsidRPr="003B1AC8">
        <w:t xml:space="preserve">analysis of the direct testimony and exhibits of Avista witnesses </w:t>
      </w:r>
      <w:proofErr w:type="spellStart"/>
      <w:r w:rsidR="000C64C8" w:rsidRPr="003B1AC8">
        <w:t>Kalich</w:t>
      </w:r>
      <w:proofErr w:type="spellEnd"/>
      <w:r w:rsidR="000C64C8" w:rsidRPr="003B1AC8">
        <w:t xml:space="preserve">, Johnson, Lafferty, and Kinney, as well as their associated workpapers and responses to data requests. </w:t>
      </w:r>
    </w:p>
    <w:p w14:paraId="68AAFC32" w14:textId="77777777" w:rsidR="00303653" w:rsidRPr="003B1AC8" w:rsidRDefault="00303653" w:rsidP="00351AA1">
      <w:pPr>
        <w:pStyle w:val="NoSpacing"/>
      </w:pPr>
    </w:p>
    <w:p w14:paraId="0B0AA752" w14:textId="321CD97C" w:rsidR="0034237D" w:rsidRPr="003B1AC8" w:rsidRDefault="0034237D" w:rsidP="00513F2D">
      <w:pPr>
        <w:pStyle w:val="Heading2"/>
      </w:pPr>
      <w:bookmarkStart w:id="26" w:name="_Toc391989922"/>
      <w:bookmarkStart w:id="27" w:name="_Toc391990024"/>
      <w:bookmarkStart w:id="28" w:name="_Toc393023111"/>
      <w:bookmarkStart w:id="29" w:name="_Toc393023317"/>
      <w:r w:rsidRPr="003B1AC8">
        <w:t>Q.</w:t>
      </w:r>
      <w:r w:rsidRPr="003B1AC8">
        <w:tab/>
        <w:t xml:space="preserve">Do you agree with the recommendations and conclusions </w:t>
      </w:r>
      <w:r w:rsidR="00F9737E">
        <w:t>in Exhibit No.</w:t>
      </w:r>
      <w:r w:rsidR="00F9737E" w:rsidRPr="003B1AC8">
        <w:t xml:space="preserve"> </w:t>
      </w:r>
      <w:r w:rsidR="00F9737E">
        <w:t>___(</w:t>
      </w:r>
      <w:r w:rsidR="00F9737E" w:rsidRPr="003B1AC8">
        <w:t>JLB-2</w:t>
      </w:r>
      <w:r w:rsidR="00F9737E">
        <w:t>)</w:t>
      </w:r>
      <w:r w:rsidRPr="003B1AC8">
        <w:t>?</w:t>
      </w:r>
      <w:bookmarkEnd w:id="26"/>
      <w:bookmarkEnd w:id="27"/>
      <w:bookmarkEnd w:id="28"/>
      <w:bookmarkEnd w:id="29"/>
    </w:p>
    <w:p w14:paraId="0B0AA755" w14:textId="2A01E940" w:rsidR="00513F2D" w:rsidRDefault="0034237D" w:rsidP="00351AA1">
      <w:pPr>
        <w:pStyle w:val="NoSpacing"/>
      </w:pPr>
      <w:r w:rsidRPr="003B1AC8">
        <w:t>A.</w:t>
      </w:r>
      <w:r w:rsidRPr="003B1AC8">
        <w:tab/>
        <w:t>Yes</w:t>
      </w:r>
      <w:r w:rsidR="0029457D" w:rsidRPr="003B1AC8">
        <w:t xml:space="preserve"> with two </w:t>
      </w:r>
      <w:r w:rsidR="003D686A">
        <w:t>refinements</w:t>
      </w:r>
      <w:r w:rsidRPr="003B1AC8">
        <w:t>.</w:t>
      </w:r>
      <w:r w:rsidR="003D686A">
        <w:t xml:space="preserve">  </w:t>
      </w:r>
      <w:r w:rsidR="002C6AF3" w:rsidRPr="003B1AC8">
        <w:t xml:space="preserve">First, </w:t>
      </w:r>
      <w:r w:rsidR="002B68CF">
        <w:t>a</w:t>
      </w:r>
      <w:r w:rsidR="00A34786" w:rsidRPr="003B1AC8">
        <w:t xml:space="preserve">s </w:t>
      </w:r>
      <w:r w:rsidR="007F3100">
        <w:t xml:space="preserve">I </w:t>
      </w:r>
      <w:r w:rsidR="00A34786" w:rsidRPr="003B1AC8">
        <w:t xml:space="preserve">explain in </w:t>
      </w:r>
      <w:r w:rsidR="003D686A">
        <w:t>S</w:t>
      </w:r>
      <w:r w:rsidR="00A34786" w:rsidRPr="003B1AC8">
        <w:t>ection II</w:t>
      </w:r>
      <w:r w:rsidR="008F6F30" w:rsidRPr="003B1AC8">
        <w:t>I</w:t>
      </w:r>
      <w:r w:rsidR="00A34786" w:rsidRPr="003B1AC8">
        <w:t xml:space="preserve"> of my testimony, the Company has</w:t>
      </w:r>
      <w:r w:rsidR="00275D09" w:rsidRPr="003B1AC8">
        <w:t xml:space="preserve"> </w:t>
      </w:r>
      <w:r w:rsidR="00A34786" w:rsidRPr="003B1AC8">
        <w:t>provided update</w:t>
      </w:r>
      <w:r w:rsidR="002B68CF">
        <w:t>d</w:t>
      </w:r>
      <w:r w:rsidR="00A34786" w:rsidRPr="003B1AC8">
        <w:t xml:space="preserve"> </w:t>
      </w:r>
      <w:r w:rsidR="002B68CF">
        <w:t xml:space="preserve">power supply costs </w:t>
      </w:r>
      <w:r w:rsidR="00A34786" w:rsidRPr="003B1AC8">
        <w:t xml:space="preserve">through </w:t>
      </w:r>
      <w:r w:rsidR="003D686A">
        <w:t xml:space="preserve">its response to </w:t>
      </w:r>
      <w:r w:rsidR="00A34786" w:rsidRPr="003B1AC8">
        <w:t xml:space="preserve">Staff </w:t>
      </w:r>
      <w:r w:rsidR="003D686A">
        <w:t>D</w:t>
      </w:r>
      <w:r w:rsidR="00A34786" w:rsidRPr="003B1AC8">
        <w:t xml:space="preserve">ata </w:t>
      </w:r>
      <w:r w:rsidR="003D686A">
        <w:t>R</w:t>
      </w:r>
      <w:r w:rsidR="00A34786" w:rsidRPr="003B1AC8">
        <w:t>equest 171</w:t>
      </w:r>
      <w:r w:rsidR="00542C22" w:rsidRPr="003B1AC8">
        <w:t xml:space="preserve">.  </w:t>
      </w:r>
      <w:r w:rsidR="00275D09" w:rsidRPr="003B1AC8">
        <w:t xml:space="preserve">Second, </w:t>
      </w:r>
      <w:r w:rsidR="002B68CF">
        <w:t>a</w:t>
      </w:r>
      <w:r w:rsidR="008F6F30" w:rsidRPr="003B1AC8">
        <w:t xml:space="preserve">s </w:t>
      </w:r>
      <w:r w:rsidR="007F3100">
        <w:t xml:space="preserve">I </w:t>
      </w:r>
      <w:r w:rsidR="008F6F30" w:rsidRPr="003B1AC8">
        <w:t xml:space="preserve">explain in </w:t>
      </w:r>
      <w:r w:rsidR="007F3100">
        <w:t>S</w:t>
      </w:r>
      <w:r w:rsidR="008F6F30" w:rsidRPr="003B1AC8">
        <w:t>ection IV</w:t>
      </w:r>
      <w:r w:rsidR="00275D09" w:rsidRPr="003B1AC8">
        <w:t xml:space="preserve"> of my testimony, the </w:t>
      </w:r>
      <w:r w:rsidR="005D3F0D">
        <w:t xml:space="preserve">Company’s proposed </w:t>
      </w:r>
      <w:r w:rsidR="00275D09" w:rsidRPr="003B1AC8">
        <w:t xml:space="preserve">changes </w:t>
      </w:r>
      <w:r w:rsidR="002B68CF">
        <w:t xml:space="preserve">to the Energy Recovery Mechanism </w:t>
      </w:r>
      <w:r w:rsidR="00275D09" w:rsidRPr="003B1AC8">
        <w:t>are no</w:t>
      </w:r>
      <w:r w:rsidR="002B68CF">
        <w:t>t</w:t>
      </w:r>
      <w:r w:rsidR="00275D09" w:rsidRPr="003B1AC8">
        <w:t xml:space="preserve"> necessary</w:t>
      </w:r>
      <w:r w:rsidR="00AA03CB" w:rsidRPr="003B1AC8">
        <w:t xml:space="preserve"> </w:t>
      </w:r>
      <w:r w:rsidR="002B68CF">
        <w:t xml:space="preserve">if </w:t>
      </w:r>
      <w:r w:rsidR="00EE5F0E">
        <w:t xml:space="preserve">the Commission approves </w:t>
      </w:r>
      <w:r w:rsidR="002B68CF">
        <w:t>decoupling</w:t>
      </w:r>
      <w:r w:rsidR="00275D09" w:rsidRPr="003B1AC8">
        <w:t xml:space="preserve">.  </w:t>
      </w:r>
    </w:p>
    <w:p w14:paraId="0195ADB5" w14:textId="77777777" w:rsidR="00303653" w:rsidRPr="003B1AC8" w:rsidRDefault="00303653" w:rsidP="00351AA1">
      <w:pPr>
        <w:pStyle w:val="NoSpacing"/>
      </w:pPr>
    </w:p>
    <w:p w14:paraId="0B0AA756" w14:textId="260ACD6F" w:rsidR="0034237D" w:rsidRPr="003B1AC8" w:rsidRDefault="000B6C89" w:rsidP="008004C0">
      <w:pPr>
        <w:pStyle w:val="Heading2"/>
      </w:pPr>
      <w:bookmarkStart w:id="30" w:name="_Toc391989924"/>
      <w:bookmarkStart w:id="31" w:name="_Toc391990026"/>
      <w:bookmarkStart w:id="32" w:name="_Toc393023112"/>
      <w:bookmarkStart w:id="33" w:name="_Toc393023318"/>
      <w:r w:rsidRPr="003B1AC8">
        <w:t>Q</w:t>
      </w:r>
      <w:r w:rsidR="0034237D" w:rsidRPr="003B1AC8">
        <w:t>.</w:t>
      </w:r>
      <w:r w:rsidR="0034237D" w:rsidRPr="003B1AC8">
        <w:tab/>
      </w:r>
      <w:r w:rsidR="005944F2" w:rsidRPr="003B1AC8">
        <w:t xml:space="preserve">Are </w:t>
      </w:r>
      <w:r w:rsidR="00B04F10">
        <w:t xml:space="preserve">you </w:t>
      </w:r>
      <w:r w:rsidR="005944F2" w:rsidRPr="003B1AC8">
        <w:t xml:space="preserve">presenting </w:t>
      </w:r>
      <w:r w:rsidR="003D686A">
        <w:t xml:space="preserve">any </w:t>
      </w:r>
      <w:r w:rsidR="005944F2" w:rsidRPr="003B1AC8">
        <w:t>other issues or recommendations in your</w:t>
      </w:r>
      <w:r w:rsidR="0034237D" w:rsidRPr="003B1AC8">
        <w:t xml:space="preserve"> testimony?</w:t>
      </w:r>
      <w:bookmarkEnd w:id="30"/>
      <w:bookmarkEnd w:id="31"/>
      <w:bookmarkEnd w:id="32"/>
      <w:bookmarkEnd w:id="33"/>
    </w:p>
    <w:p w14:paraId="18F4BA87" w14:textId="77D91C0E" w:rsidR="00D14C21" w:rsidRDefault="0034237D" w:rsidP="00351AA1">
      <w:pPr>
        <w:pStyle w:val="NoSpacing"/>
      </w:pPr>
      <w:r w:rsidRPr="003B1AC8">
        <w:t>A.</w:t>
      </w:r>
      <w:r w:rsidRPr="003B1AC8">
        <w:tab/>
      </w:r>
      <w:r w:rsidR="005944F2" w:rsidRPr="003B1AC8">
        <w:t xml:space="preserve">Yes.  </w:t>
      </w:r>
      <w:r w:rsidR="008F6F30" w:rsidRPr="003B1AC8">
        <w:t xml:space="preserve">In Section V, </w:t>
      </w:r>
      <w:r w:rsidR="005944F2" w:rsidRPr="003B1AC8">
        <w:t>I present</w:t>
      </w:r>
      <w:r w:rsidR="00513F2D" w:rsidRPr="003B1AC8">
        <w:t xml:space="preserve"> Staff’s accept</w:t>
      </w:r>
      <w:r w:rsidR="003D686A">
        <w:t>ance of</w:t>
      </w:r>
      <w:r w:rsidR="00513F2D" w:rsidRPr="003B1AC8">
        <w:t xml:space="preserve"> the Company’s load forecast as it relates to the attrition study proposed by </w:t>
      </w:r>
      <w:r w:rsidR="003D686A">
        <w:t xml:space="preserve">Staff witness </w:t>
      </w:r>
      <w:r w:rsidR="00513F2D" w:rsidRPr="003B1AC8">
        <w:t xml:space="preserve">Mr. McGuire.  </w:t>
      </w:r>
    </w:p>
    <w:p w14:paraId="7AB47DF5" w14:textId="77777777" w:rsidR="00303653" w:rsidRPr="003B1AC8" w:rsidRDefault="00303653" w:rsidP="00351AA1">
      <w:pPr>
        <w:pStyle w:val="NoSpacing"/>
      </w:pPr>
    </w:p>
    <w:p w14:paraId="320F21FE" w14:textId="68E745DC" w:rsidR="006E7F05" w:rsidRPr="003B1AC8" w:rsidRDefault="001F0AA3" w:rsidP="00BD533D">
      <w:pPr>
        <w:pStyle w:val="Heading1"/>
        <w:ind w:left="0" w:firstLine="0"/>
      </w:pPr>
      <w:bookmarkStart w:id="34" w:name="_Toc393198292"/>
      <w:r w:rsidRPr="003B1AC8">
        <w:t>UPDATED POWER SUPPLY COSTS</w:t>
      </w:r>
      <w:bookmarkEnd w:id="34"/>
    </w:p>
    <w:p w14:paraId="2B07E926" w14:textId="77777777" w:rsidR="007F3100" w:rsidRDefault="007F3100" w:rsidP="00AA03CB">
      <w:pPr>
        <w:pStyle w:val="Heading2"/>
      </w:pPr>
      <w:bookmarkStart w:id="35" w:name="_Toc393023114"/>
      <w:bookmarkStart w:id="36" w:name="_Toc393023320"/>
    </w:p>
    <w:p w14:paraId="2FE4F558" w14:textId="3375539E" w:rsidR="00AA03CB" w:rsidRPr="003B1AC8" w:rsidRDefault="00AA03CB" w:rsidP="00AA03CB">
      <w:pPr>
        <w:pStyle w:val="Heading2"/>
      </w:pPr>
      <w:r w:rsidRPr="003B1AC8">
        <w:t>Q.</w:t>
      </w:r>
      <w:r w:rsidRPr="003B1AC8">
        <w:tab/>
      </w:r>
      <w:r w:rsidR="00371184" w:rsidRPr="003B1AC8">
        <w:t xml:space="preserve">What </w:t>
      </w:r>
      <w:r w:rsidR="003D686A">
        <w:t>Power Supply Costs have Avista updated</w:t>
      </w:r>
      <w:r w:rsidR="00371184" w:rsidRPr="003B1AC8">
        <w:t>?</w:t>
      </w:r>
      <w:bookmarkEnd w:id="35"/>
      <w:bookmarkEnd w:id="36"/>
    </w:p>
    <w:p w14:paraId="35F1DCB0" w14:textId="35AC3391" w:rsidR="00371184" w:rsidRDefault="00371184" w:rsidP="00351AA1">
      <w:pPr>
        <w:pStyle w:val="NoSpacing"/>
      </w:pPr>
      <w:r w:rsidRPr="003B1AC8">
        <w:t>A.</w:t>
      </w:r>
      <w:r w:rsidRPr="003B1AC8">
        <w:tab/>
      </w:r>
      <w:r w:rsidR="00542C22" w:rsidRPr="003B1AC8">
        <w:t>In response to Staff Data Request 171, the Company provided update</w:t>
      </w:r>
      <w:r w:rsidR="006277DE" w:rsidRPr="003B1AC8">
        <w:t>d</w:t>
      </w:r>
      <w:r w:rsidR="00542C22" w:rsidRPr="003B1AC8">
        <w:t xml:space="preserve"> power supply and tra</w:t>
      </w:r>
      <w:r w:rsidR="00A63DE2" w:rsidRPr="003B1AC8">
        <w:t>nsmission expense</w:t>
      </w:r>
      <w:r w:rsidR="003D686A">
        <w:t>s</w:t>
      </w:r>
      <w:r w:rsidR="00A63DE2" w:rsidRPr="003B1AC8">
        <w:t xml:space="preserve"> through the month of June</w:t>
      </w:r>
      <w:r w:rsidR="007F3100">
        <w:t xml:space="preserve">, updating </w:t>
      </w:r>
      <w:r w:rsidR="00A63DE2" w:rsidRPr="003B1AC8">
        <w:t>purchased power</w:t>
      </w:r>
      <w:r w:rsidR="007F3100">
        <w:t xml:space="preserve"> expense</w:t>
      </w:r>
      <w:r w:rsidR="00A63DE2" w:rsidRPr="003B1AC8">
        <w:t>, sales for resale, and other relat</w:t>
      </w:r>
      <w:r w:rsidR="001551C8" w:rsidRPr="003B1AC8">
        <w:t xml:space="preserve">ed accounts.  </w:t>
      </w:r>
      <w:r w:rsidR="006277DE" w:rsidRPr="003B1AC8">
        <w:t xml:space="preserve">Page 1 of </w:t>
      </w:r>
      <w:r w:rsidR="003D686A">
        <w:t xml:space="preserve">my </w:t>
      </w:r>
      <w:r w:rsidR="001551C8" w:rsidRPr="003B1AC8">
        <w:t>E</w:t>
      </w:r>
      <w:r w:rsidR="00A63DE2" w:rsidRPr="003B1AC8">
        <w:t>xhibit</w:t>
      </w:r>
      <w:r w:rsidR="001551C8" w:rsidRPr="003B1AC8">
        <w:t xml:space="preserve"> </w:t>
      </w:r>
      <w:r w:rsidR="00B04F10">
        <w:t>No.</w:t>
      </w:r>
      <w:r w:rsidR="00164A72">
        <w:t>___ (</w:t>
      </w:r>
      <w:r w:rsidR="00931602">
        <w:t>JLB-3C</w:t>
      </w:r>
      <w:r w:rsidR="00164A72">
        <w:t>)</w:t>
      </w:r>
      <w:r w:rsidR="001551C8" w:rsidRPr="003B1AC8">
        <w:t xml:space="preserve"> </w:t>
      </w:r>
      <w:r w:rsidR="00A63DE2" w:rsidRPr="003B1AC8">
        <w:t>summarizes the difference</w:t>
      </w:r>
      <w:r w:rsidR="001551C8" w:rsidRPr="003B1AC8">
        <w:t>s</w:t>
      </w:r>
      <w:r w:rsidR="00A63DE2" w:rsidRPr="003B1AC8">
        <w:t xml:space="preserve"> between th</w:t>
      </w:r>
      <w:r w:rsidR="005A1DDE" w:rsidRPr="003B1AC8">
        <w:t>e power supply and transmission expenses included in the Company’</w:t>
      </w:r>
      <w:r w:rsidR="0078379F" w:rsidRPr="003B1AC8">
        <w:t>s original filing</w:t>
      </w:r>
      <w:r w:rsidR="007F3100">
        <w:t>,</w:t>
      </w:r>
      <w:r w:rsidR="00E07383" w:rsidRPr="003B1AC8">
        <w:rPr>
          <w:rStyle w:val="FootnoteReference"/>
        </w:rPr>
        <w:footnoteReference w:id="2"/>
      </w:r>
      <w:r w:rsidR="00EC31A2" w:rsidRPr="003B1AC8">
        <w:t xml:space="preserve"> </w:t>
      </w:r>
      <w:r w:rsidR="003D686A">
        <w:t>as</w:t>
      </w:r>
      <w:r w:rsidR="00EC31A2" w:rsidRPr="003B1AC8">
        <w:t xml:space="preserve"> update</w:t>
      </w:r>
      <w:r w:rsidR="003D686A">
        <w:t>d</w:t>
      </w:r>
      <w:r w:rsidR="00EC31A2" w:rsidRPr="003B1AC8">
        <w:t xml:space="preserve"> through </w:t>
      </w:r>
      <w:r w:rsidR="003D686A">
        <w:t xml:space="preserve">the response to </w:t>
      </w:r>
      <w:r w:rsidR="00EC31A2" w:rsidRPr="003B1AC8">
        <w:t>Staff Data Request</w:t>
      </w:r>
      <w:r w:rsidR="0078379F" w:rsidRPr="003B1AC8">
        <w:t xml:space="preserve"> 171</w:t>
      </w:r>
      <w:r w:rsidR="00B04F10">
        <w:t>,</w:t>
      </w:r>
      <w:r w:rsidR="00F7771D" w:rsidRPr="003B1AC8">
        <w:rPr>
          <w:rStyle w:val="FootnoteReference"/>
        </w:rPr>
        <w:footnoteReference w:id="3"/>
      </w:r>
      <w:r w:rsidR="0078379F" w:rsidRPr="003B1AC8">
        <w:t xml:space="preserve"> and the changes proposed by Staff</w:t>
      </w:r>
      <w:r w:rsidR="00B04F10">
        <w:t>.</w:t>
      </w:r>
      <w:r w:rsidR="00F7771D" w:rsidRPr="003B1AC8">
        <w:rPr>
          <w:rStyle w:val="FootnoteReference"/>
        </w:rPr>
        <w:footnoteReference w:id="4"/>
      </w:r>
      <w:r w:rsidR="0078379F" w:rsidRPr="003B1AC8">
        <w:t xml:space="preserve">  </w:t>
      </w:r>
    </w:p>
    <w:p w14:paraId="3FC5DA9F" w14:textId="77777777" w:rsidR="00303653" w:rsidRPr="003B1AC8" w:rsidRDefault="00303653" w:rsidP="00351AA1">
      <w:pPr>
        <w:pStyle w:val="NoSpacing"/>
      </w:pPr>
    </w:p>
    <w:p w14:paraId="0AAB005A" w14:textId="46ACEFBB" w:rsidR="0085570A" w:rsidRPr="003B1AC8" w:rsidRDefault="0085570A" w:rsidP="0085570A">
      <w:pPr>
        <w:pStyle w:val="Heading2"/>
      </w:pPr>
      <w:bookmarkStart w:id="37" w:name="_Toc393023115"/>
      <w:bookmarkStart w:id="38" w:name="_Toc393023321"/>
      <w:r w:rsidRPr="003B1AC8">
        <w:t>Q.</w:t>
      </w:r>
      <w:r w:rsidRPr="003B1AC8">
        <w:tab/>
        <w:t xml:space="preserve">Are these updates </w:t>
      </w:r>
      <w:r w:rsidR="006277DE" w:rsidRPr="003B1AC8">
        <w:t>consistent</w:t>
      </w:r>
      <w:r w:rsidRPr="003B1AC8">
        <w:t xml:space="preserve"> with the recommendations </w:t>
      </w:r>
      <w:r w:rsidR="00E87020">
        <w:t xml:space="preserve">in </w:t>
      </w:r>
      <w:r w:rsidR="0027357D">
        <w:t>Exhibit No.</w:t>
      </w:r>
      <w:r w:rsidR="0027357D" w:rsidRPr="003B1AC8">
        <w:t xml:space="preserve"> </w:t>
      </w:r>
      <w:r w:rsidR="0027357D">
        <w:t>___(</w:t>
      </w:r>
      <w:r w:rsidR="0027357D" w:rsidRPr="003B1AC8">
        <w:t>JLB-2</w:t>
      </w:r>
      <w:r w:rsidR="0027357D">
        <w:t>)</w:t>
      </w:r>
      <w:r w:rsidRPr="003B1AC8">
        <w:t>?</w:t>
      </w:r>
      <w:bookmarkEnd w:id="37"/>
      <w:bookmarkEnd w:id="38"/>
    </w:p>
    <w:p w14:paraId="724E7604" w14:textId="18B354EF" w:rsidR="00E07383" w:rsidRDefault="00CC044C" w:rsidP="00351AA1">
      <w:pPr>
        <w:pStyle w:val="NoSpacing"/>
      </w:pPr>
      <w:r w:rsidRPr="003B1AC8">
        <w:t>A.</w:t>
      </w:r>
      <w:r w:rsidRPr="003B1AC8">
        <w:tab/>
        <w:t xml:space="preserve">Yes.  These updates are consistent with </w:t>
      </w:r>
      <w:r w:rsidR="00E87020">
        <w:t>the</w:t>
      </w:r>
      <w:r w:rsidR="00E87020" w:rsidRPr="003B1AC8">
        <w:t xml:space="preserve"> </w:t>
      </w:r>
      <w:r w:rsidRPr="003B1AC8">
        <w:t>recom</w:t>
      </w:r>
      <w:r w:rsidR="00486467" w:rsidRPr="003B1AC8">
        <w:t xml:space="preserve">mendations concerning traditional </w:t>
      </w:r>
      <w:r w:rsidRPr="003B1AC8">
        <w:t>updates (</w:t>
      </w:r>
      <w:r w:rsidR="003D686A">
        <w:t>C</w:t>
      </w:r>
      <w:r w:rsidRPr="003B1AC8">
        <w:t>ategory 1)</w:t>
      </w:r>
      <w:r w:rsidR="006277DE" w:rsidRPr="003B1AC8">
        <w:rPr>
          <w:rStyle w:val="FootnoteReference"/>
        </w:rPr>
        <w:footnoteReference w:id="5"/>
      </w:r>
      <w:r w:rsidRPr="003B1AC8">
        <w:t xml:space="preserve"> and include all of </w:t>
      </w:r>
      <w:r w:rsidR="00E87020">
        <w:t>the</w:t>
      </w:r>
      <w:r w:rsidR="00E87020" w:rsidRPr="003B1AC8">
        <w:t xml:space="preserve"> </w:t>
      </w:r>
      <w:r w:rsidRPr="003B1AC8">
        <w:t xml:space="preserve">recommended changes </w:t>
      </w:r>
      <w:r w:rsidR="00AF0463" w:rsidRPr="003B1AC8">
        <w:t>to correct minor errors (</w:t>
      </w:r>
      <w:r w:rsidR="003D686A">
        <w:t>C</w:t>
      </w:r>
      <w:r w:rsidR="00AF0463" w:rsidRPr="003B1AC8">
        <w:t>ategory 2)</w:t>
      </w:r>
      <w:r w:rsidR="00B04F10">
        <w:t>.</w:t>
      </w:r>
      <w:r w:rsidR="006277DE" w:rsidRPr="003B1AC8">
        <w:rPr>
          <w:rStyle w:val="FootnoteReference"/>
        </w:rPr>
        <w:footnoteReference w:id="6"/>
      </w:r>
      <w:r w:rsidR="00AF0463" w:rsidRPr="003B1AC8">
        <w:t xml:space="preserve">  </w:t>
      </w:r>
    </w:p>
    <w:p w14:paraId="74C81349" w14:textId="77777777" w:rsidR="00303653" w:rsidRPr="003B1AC8" w:rsidRDefault="00303653" w:rsidP="00351AA1">
      <w:pPr>
        <w:pStyle w:val="NoSpacing"/>
      </w:pPr>
    </w:p>
    <w:p w14:paraId="5EFB3DCF" w14:textId="464853AF" w:rsidR="0085570A" w:rsidRPr="003B1AC8" w:rsidRDefault="0085570A" w:rsidP="00E07383">
      <w:pPr>
        <w:pStyle w:val="Heading2"/>
      </w:pPr>
      <w:bookmarkStart w:id="39" w:name="_Toc393023116"/>
      <w:bookmarkStart w:id="40" w:name="_Toc393023322"/>
      <w:r w:rsidRPr="003B1AC8">
        <w:t>Q.</w:t>
      </w:r>
      <w:r w:rsidRPr="003B1AC8">
        <w:tab/>
      </w:r>
      <w:r w:rsidR="00E479EA" w:rsidRPr="003B1AC8">
        <w:t xml:space="preserve">What additional </w:t>
      </w:r>
      <w:r w:rsidR="00D14C21" w:rsidRPr="003B1AC8">
        <w:t xml:space="preserve">changes </w:t>
      </w:r>
      <w:r w:rsidR="003D686A">
        <w:t xml:space="preserve">is </w:t>
      </w:r>
      <w:r w:rsidR="00D14C21" w:rsidRPr="003B1AC8">
        <w:t>Staff</w:t>
      </w:r>
      <w:r w:rsidR="003D686A">
        <w:t xml:space="preserve"> proposing</w:t>
      </w:r>
      <w:r w:rsidR="00D14C21" w:rsidRPr="003B1AC8">
        <w:t>?</w:t>
      </w:r>
      <w:bookmarkEnd w:id="39"/>
      <w:bookmarkEnd w:id="40"/>
    </w:p>
    <w:p w14:paraId="600E2DB3" w14:textId="6EC09A53" w:rsidR="0085570A" w:rsidRDefault="0085570A" w:rsidP="00351AA1">
      <w:pPr>
        <w:pStyle w:val="NoSpacing"/>
      </w:pPr>
      <w:r w:rsidRPr="003B1AC8">
        <w:t>A.</w:t>
      </w:r>
      <w:r w:rsidRPr="003B1AC8">
        <w:tab/>
      </w:r>
      <w:r w:rsidR="00E479EA" w:rsidRPr="003B1AC8">
        <w:t xml:space="preserve">Staff </w:t>
      </w:r>
      <w:r w:rsidR="003D686A">
        <w:t xml:space="preserve">proposes </w:t>
      </w:r>
      <w:r w:rsidR="00E479EA" w:rsidRPr="003B1AC8">
        <w:t xml:space="preserve">an adjustment to Purchased Power to reflect </w:t>
      </w:r>
      <w:r w:rsidR="00591A7A" w:rsidRPr="003B1AC8">
        <w:t>increase</w:t>
      </w:r>
      <w:r w:rsidR="006277DE" w:rsidRPr="003B1AC8">
        <w:t>d</w:t>
      </w:r>
      <w:r w:rsidR="00591A7A" w:rsidRPr="003B1AC8">
        <w:t xml:space="preserve"> market purchases in 2015 necessary to serve 2015 load.  </w:t>
      </w:r>
    </w:p>
    <w:p w14:paraId="26468AD1" w14:textId="77777777" w:rsidR="00303653" w:rsidRPr="003B1AC8" w:rsidRDefault="00303653" w:rsidP="00351AA1">
      <w:pPr>
        <w:pStyle w:val="NoSpacing"/>
      </w:pPr>
    </w:p>
    <w:p w14:paraId="2C11F4EE" w14:textId="0C3358E4" w:rsidR="0085570A" w:rsidRPr="003B1AC8" w:rsidRDefault="001F3415" w:rsidP="0085570A">
      <w:pPr>
        <w:pStyle w:val="Heading2"/>
      </w:pPr>
      <w:bookmarkStart w:id="41" w:name="_Toc393023117"/>
      <w:bookmarkStart w:id="42" w:name="_Toc393023323"/>
      <w:r w:rsidRPr="003B1AC8">
        <w:t>Q.</w:t>
      </w:r>
      <w:r w:rsidRPr="003B1AC8">
        <w:tab/>
        <w:t>Why is it ne</w:t>
      </w:r>
      <w:r w:rsidR="00B04F10">
        <w:t>cessary</w:t>
      </w:r>
      <w:r w:rsidR="0085570A" w:rsidRPr="003B1AC8">
        <w:t xml:space="preserve"> to adjust</w:t>
      </w:r>
      <w:r w:rsidRPr="003B1AC8">
        <w:t xml:space="preserve"> </w:t>
      </w:r>
      <w:r w:rsidR="0085570A" w:rsidRPr="003B1AC8">
        <w:t>for 2015 loads?</w:t>
      </w:r>
      <w:bookmarkEnd w:id="41"/>
      <w:bookmarkEnd w:id="42"/>
    </w:p>
    <w:p w14:paraId="5AFF9E24" w14:textId="434EBAC1" w:rsidR="00BB0909" w:rsidRDefault="0085570A" w:rsidP="00351AA1">
      <w:pPr>
        <w:pStyle w:val="NoSpacing"/>
      </w:pPr>
      <w:r w:rsidRPr="003B1AC8">
        <w:t>A.</w:t>
      </w:r>
      <w:r w:rsidRPr="003B1AC8">
        <w:tab/>
      </w:r>
      <w:r w:rsidR="008F2EB3">
        <w:t>Th</w:t>
      </w:r>
      <w:r w:rsidR="003C49AB">
        <w:t>e adjustment for 2015 loads is necessary to reflect the incremental cost of s</w:t>
      </w:r>
      <w:r w:rsidR="00CC086F">
        <w:t>erving load in 2015</w:t>
      </w:r>
      <w:r w:rsidR="003C49AB">
        <w:t>.  Staff’s case reli</w:t>
      </w:r>
      <w:bookmarkStart w:id="43" w:name="_GoBack"/>
      <w:r w:rsidR="003C49AB">
        <w:t>e</w:t>
      </w:r>
      <w:bookmarkEnd w:id="43"/>
      <w:r w:rsidR="003C49AB">
        <w:t xml:space="preserve">s on the attrition study discussed by Mr. McGuire to trend </w:t>
      </w:r>
      <w:r w:rsidR="00A54D61">
        <w:t xml:space="preserve">non-power supply related costs through the </w:t>
      </w:r>
      <w:r w:rsidR="003C49AB">
        <w:t>2015</w:t>
      </w:r>
      <w:r w:rsidR="00A54D61">
        <w:t xml:space="preserve"> </w:t>
      </w:r>
      <w:r w:rsidR="007F3100">
        <w:t xml:space="preserve">rate </w:t>
      </w:r>
      <w:r w:rsidR="00A54D61">
        <w:t>year</w:t>
      </w:r>
      <w:r w:rsidR="003C49AB">
        <w:t xml:space="preserve">.  </w:t>
      </w:r>
      <w:r w:rsidR="00A54D61">
        <w:t xml:space="preserve">In order to match the power supply expense to </w:t>
      </w:r>
      <w:r w:rsidR="008A41AF">
        <w:t>the 2015</w:t>
      </w:r>
      <w:r w:rsidR="00A54D61">
        <w:t xml:space="preserve"> time frame, </w:t>
      </w:r>
      <w:r w:rsidR="007F3100">
        <w:t xml:space="preserve">Staff adjusts </w:t>
      </w:r>
      <w:r w:rsidR="00BB0909">
        <w:t xml:space="preserve">power supply expense </w:t>
      </w:r>
      <w:r w:rsidR="00A54D61">
        <w:t xml:space="preserve">from </w:t>
      </w:r>
      <w:r w:rsidR="00BB0909">
        <w:t>its</w:t>
      </w:r>
      <w:r w:rsidR="00CC086F">
        <w:t xml:space="preserve"> base</w:t>
      </w:r>
      <w:r w:rsidR="00BB0909">
        <w:t xml:space="preserve"> June 2013 </w:t>
      </w:r>
      <w:proofErr w:type="spellStart"/>
      <w:r w:rsidR="00BB0909">
        <w:t>CBR</w:t>
      </w:r>
      <w:proofErr w:type="spellEnd"/>
      <w:r w:rsidR="00BB0909">
        <w:t xml:space="preserve"> loads to the 2015 rate year loads.  If this adjustment </w:t>
      </w:r>
      <w:r w:rsidR="007F3100">
        <w:t>is not made</w:t>
      </w:r>
      <w:r w:rsidR="002F206F" w:rsidRPr="003B1AC8">
        <w:t>,</w:t>
      </w:r>
      <w:r w:rsidR="003F26BA" w:rsidRPr="003B1AC8">
        <w:t xml:space="preserve"> the Company would not recover the appropriate level of costs from serving that load.  </w:t>
      </w:r>
      <w:r w:rsidR="00BB0909" w:rsidRPr="003B1AC8">
        <w:t>Th</w:t>
      </w:r>
      <w:r w:rsidR="00CC086F">
        <w:t>is</w:t>
      </w:r>
      <w:r w:rsidR="00BB0909" w:rsidRPr="003B1AC8">
        <w:t xml:space="preserve"> adjustment</w:t>
      </w:r>
      <w:r w:rsidR="00BB0909">
        <w:t xml:space="preserve"> relies on the 2015 load forecast</w:t>
      </w:r>
      <w:r w:rsidR="007F3100">
        <w:t>,</w:t>
      </w:r>
      <w:r w:rsidR="00BB0909">
        <w:t xml:space="preserve"> which I discuss in Section V of my testimony. </w:t>
      </w:r>
    </w:p>
    <w:p w14:paraId="27DC2996" w14:textId="2A43051D" w:rsidR="0085570A" w:rsidRDefault="007F3100" w:rsidP="00974AE1">
      <w:pPr>
        <w:pStyle w:val="NoSpacing"/>
        <w:ind w:firstLine="0"/>
      </w:pPr>
      <w:r>
        <w:tab/>
      </w:r>
      <w:r w:rsidR="00BB0909">
        <w:t>Th</w:t>
      </w:r>
      <w:r w:rsidR="00974AE1">
        <w:t>e</w:t>
      </w:r>
      <w:r w:rsidR="00BB0909">
        <w:t xml:space="preserve"> </w:t>
      </w:r>
      <w:r w:rsidR="00CC086F">
        <w:t xml:space="preserve">calculation of this </w:t>
      </w:r>
      <w:r w:rsidR="00BB0909">
        <w:t xml:space="preserve">adjustment is depicted on </w:t>
      </w:r>
      <w:r w:rsidR="00EE5F0E">
        <w:t>p</w:t>
      </w:r>
      <w:r w:rsidR="00BB0909" w:rsidRPr="003B1AC8">
        <w:t xml:space="preserve">age 3 of my Confidential </w:t>
      </w:r>
      <w:r w:rsidR="00BB0909">
        <w:t>Exhibit No. ___(</w:t>
      </w:r>
      <w:r w:rsidR="00931602">
        <w:t>JLB-3C</w:t>
      </w:r>
      <w:r w:rsidR="00BB0909">
        <w:t>)</w:t>
      </w:r>
      <w:r w:rsidR="00BB0909" w:rsidRPr="003B1AC8">
        <w:t>.</w:t>
      </w:r>
    </w:p>
    <w:p w14:paraId="0C444C6C" w14:textId="77777777" w:rsidR="00974AE1" w:rsidRPr="003B1AC8" w:rsidRDefault="00974AE1" w:rsidP="00974AE1">
      <w:pPr>
        <w:pStyle w:val="NoSpacing"/>
      </w:pPr>
    </w:p>
    <w:p w14:paraId="35C76168" w14:textId="413F6C5A" w:rsidR="001F3415" w:rsidRPr="003B1AC8" w:rsidRDefault="001F3415" w:rsidP="001F3415">
      <w:pPr>
        <w:pStyle w:val="Heading2"/>
      </w:pPr>
      <w:bookmarkStart w:id="44" w:name="_Toc393023118"/>
      <w:bookmarkStart w:id="45" w:name="_Toc393023324"/>
      <w:r w:rsidRPr="003B1AC8">
        <w:t>Q.</w:t>
      </w:r>
      <w:r w:rsidRPr="003B1AC8">
        <w:tab/>
      </w:r>
      <w:r w:rsidR="00F87D25" w:rsidRPr="003B1AC8">
        <w:t>How are these updates</w:t>
      </w:r>
      <w:r w:rsidR="0040003A" w:rsidRPr="003B1AC8">
        <w:t xml:space="preserve"> and changes</w:t>
      </w:r>
      <w:r w:rsidR="00F87D25" w:rsidRPr="003B1AC8">
        <w:t xml:space="preserve"> reflected in Staff’s</w:t>
      </w:r>
      <w:r w:rsidR="0040003A" w:rsidRPr="003B1AC8">
        <w:t xml:space="preserve"> c</w:t>
      </w:r>
      <w:r w:rsidR="00F87D25" w:rsidRPr="003B1AC8">
        <w:t>ase?</w:t>
      </w:r>
      <w:bookmarkEnd w:id="44"/>
      <w:bookmarkEnd w:id="45"/>
    </w:p>
    <w:p w14:paraId="34F00322" w14:textId="30FCEFE0" w:rsidR="00F87D25" w:rsidRDefault="00F87D25" w:rsidP="00351AA1">
      <w:pPr>
        <w:pStyle w:val="NoSpacing"/>
      </w:pPr>
      <w:r w:rsidRPr="003B1AC8">
        <w:t>A.</w:t>
      </w:r>
      <w:r w:rsidRPr="003B1AC8">
        <w:tab/>
      </w:r>
      <w:r w:rsidRPr="0085787B">
        <w:t>The results of the updates to Power Supply Costs</w:t>
      </w:r>
      <w:r w:rsidR="007F3100">
        <w:t>,</w:t>
      </w:r>
      <w:r w:rsidRPr="0085787B">
        <w:t xml:space="preserve"> as well as the S</w:t>
      </w:r>
      <w:r w:rsidR="008A317A" w:rsidRPr="0085787B">
        <w:t>taff adjustment for 2015 load</w:t>
      </w:r>
      <w:r w:rsidR="00F45B13" w:rsidRPr="0085787B">
        <w:t>s</w:t>
      </w:r>
      <w:r w:rsidR="007F3100">
        <w:t>,</w:t>
      </w:r>
      <w:r w:rsidR="008A317A" w:rsidRPr="0085787B">
        <w:t xml:space="preserve"> are</w:t>
      </w:r>
      <w:r w:rsidRPr="0085787B">
        <w:t xml:space="preserve"> reflected in </w:t>
      </w:r>
      <w:r w:rsidR="00DA5D0E" w:rsidRPr="0085787B">
        <w:t xml:space="preserve">Staff’s electric </w:t>
      </w:r>
      <w:r w:rsidR="003B4765" w:rsidRPr="0085787B">
        <w:t xml:space="preserve">attrition </w:t>
      </w:r>
      <w:r w:rsidR="00DA5D0E" w:rsidRPr="0085787B">
        <w:t>analysis presented in</w:t>
      </w:r>
      <w:r w:rsidR="003B4765" w:rsidRPr="0085787B">
        <w:t xml:space="preserve"> </w:t>
      </w:r>
      <w:r w:rsidR="0076274D" w:rsidRPr="0085787B">
        <w:t xml:space="preserve">Mr. </w:t>
      </w:r>
      <w:r w:rsidR="00CC086F" w:rsidRPr="0085787B">
        <w:t>McGuire’s</w:t>
      </w:r>
      <w:r w:rsidR="0076274D" w:rsidRPr="0085787B">
        <w:t xml:space="preserve"> </w:t>
      </w:r>
      <w:r w:rsidR="003B4765" w:rsidRPr="0085787B">
        <w:t>Exhibit No.___ (CRM-2)</w:t>
      </w:r>
      <w:r w:rsidR="008A317A" w:rsidRPr="0085787B">
        <w:t>.</w:t>
      </w:r>
      <w:r w:rsidR="003B4765" w:rsidRPr="0085787B">
        <w:rPr>
          <w:rStyle w:val="FootnoteReference"/>
        </w:rPr>
        <w:footnoteReference w:id="7"/>
      </w:r>
      <w:r w:rsidR="008A317A" w:rsidRPr="003B1AC8">
        <w:t xml:space="preserve">  </w:t>
      </w:r>
    </w:p>
    <w:p w14:paraId="75591725" w14:textId="77777777" w:rsidR="00303653" w:rsidRDefault="00303653" w:rsidP="00351AA1">
      <w:pPr>
        <w:pStyle w:val="NoSpacing"/>
      </w:pPr>
    </w:p>
    <w:p w14:paraId="54C2739C" w14:textId="57C5747F" w:rsidR="0085787B" w:rsidRDefault="0085787B" w:rsidP="0085787B">
      <w:pPr>
        <w:pStyle w:val="Heading2"/>
      </w:pPr>
      <w:r>
        <w:t>Q.</w:t>
      </w:r>
      <w:r>
        <w:tab/>
        <w:t xml:space="preserve">Has the Company included a </w:t>
      </w:r>
      <w:r w:rsidR="00577A15">
        <w:t>similar</w:t>
      </w:r>
      <w:r>
        <w:t xml:space="preserve"> adjustment in its direct case?</w:t>
      </w:r>
    </w:p>
    <w:p w14:paraId="16A49AE7" w14:textId="05D5E34A" w:rsidR="0085787B" w:rsidRDefault="0085787B" w:rsidP="00351AA1">
      <w:pPr>
        <w:pStyle w:val="NoSpacing"/>
      </w:pPr>
      <w:r>
        <w:t>A.</w:t>
      </w:r>
      <w:r>
        <w:tab/>
        <w:t>Yes.  Company witness Ms. Andrews describes a similar adjustment in the Company’s attrition model</w:t>
      </w:r>
      <w:r w:rsidR="007F3100">
        <w:t>.</w:t>
      </w:r>
      <w:r>
        <w:rPr>
          <w:rStyle w:val="FootnoteReference"/>
        </w:rPr>
        <w:footnoteReference w:id="8"/>
      </w:r>
      <w:r>
        <w:t xml:space="preserve">  </w:t>
      </w:r>
    </w:p>
    <w:p w14:paraId="6FD496C3" w14:textId="77777777" w:rsidR="00974AE1" w:rsidRPr="0085787B" w:rsidRDefault="00974AE1" w:rsidP="00351AA1">
      <w:pPr>
        <w:pStyle w:val="NoSpacing"/>
      </w:pPr>
    </w:p>
    <w:p w14:paraId="0E2B7FF2" w14:textId="29E71B15" w:rsidR="00F87D25" w:rsidRPr="003B1AC8" w:rsidRDefault="00F45B13" w:rsidP="00F45B13">
      <w:pPr>
        <w:pStyle w:val="Heading2"/>
      </w:pPr>
      <w:bookmarkStart w:id="46" w:name="_Toc393023119"/>
      <w:bookmarkStart w:id="47" w:name="_Toc393023325"/>
      <w:r w:rsidRPr="003B1AC8">
        <w:t>Q.</w:t>
      </w:r>
      <w:r w:rsidRPr="003B1AC8">
        <w:tab/>
        <w:t>Will there be a need for any further updates?</w:t>
      </w:r>
      <w:bookmarkEnd w:id="46"/>
      <w:bookmarkEnd w:id="47"/>
    </w:p>
    <w:p w14:paraId="0EB75290" w14:textId="4D3608D4" w:rsidR="00F45B13" w:rsidRPr="003B1AC8" w:rsidRDefault="00F45B13" w:rsidP="00351AA1">
      <w:pPr>
        <w:pStyle w:val="NoSpacing"/>
      </w:pPr>
      <w:r w:rsidRPr="003B1AC8">
        <w:t>A.</w:t>
      </w:r>
      <w:r w:rsidRPr="003B1AC8">
        <w:tab/>
        <w:t>Yes.  As</w:t>
      </w:r>
      <w:r w:rsidR="00211B1B" w:rsidRPr="003B1AC8">
        <w:t xml:space="preserve"> </w:t>
      </w:r>
      <w:r w:rsidR="0076274D">
        <w:t xml:space="preserve">outlined in </w:t>
      </w:r>
      <w:r w:rsidR="0027357D">
        <w:t>Exhibit No.</w:t>
      </w:r>
      <w:r w:rsidR="0027357D" w:rsidRPr="003B1AC8">
        <w:t xml:space="preserve"> </w:t>
      </w:r>
      <w:r w:rsidR="0027357D">
        <w:t>___(</w:t>
      </w:r>
      <w:r w:rsidR="0027357D" w:rsidRPr="003B1AC8">
        <w:t>JLB-2</w:t>
      </w:r>
      <w:r w:rsidR="0027357D">
        <w:t>)</w:t>
      </w:r>
      <w:r w:rsidR="00EE5F0E">
        <w:t xml:space="preserve">, </w:t>
      </w:r>
      <w:r w:rsidR="00211B1B" w:rsidRPr="003B1AC8">
        <w:t xml:space="preserve"> the </w:t>
      </w:r>
      <w:r w:rsidR="0076274D">
        <w:t>Commission</w:t>
      </w:r>
      <w:r w:rsidR="0027357D">
        <w:t xml:space="preserve"> </w:t>
      </w:r>
      <w:r w:rsidR="0076274D">
        <w:t xml:space="preserve">has </w:t>
      </w:r>
      <w:r w:rsidR="0027357D">
        <w:t xml:space="preserve">traditionally </w:t>
      </w:r>
      <w:r w:rsidR="0076274D">
        <w:t xml:space="preserve">allowed </w:t>
      </w:r>
      <w:r w:rsidR="00C47D8E" w:rsidRPr="003B1AC8">
        <w:t>updates to power supply and transmission expense</w:t>
      </w:r>
      <w:r w:rsidR="00ED1428" w:rsidRPr="003B1AC8">
        <w:t xml:space="preserve">.  This is due to the </w:t>
      </w:r>
      <w:r w:rsidR="00C47D8E" w:rsidRPr="003B1AC8">
        <w:t xml:space="preserve">ongoing nature of market pricing and contract negotiations.  </w:t>
      </w:r>
      <w:r w:rsidR="003B6E07" w:rsidRPr="003B1AC8">
        <w:t>These updates include:</w:t>
      </w:r>
    </w:p>
    <w:p w14:paraId="2BE97F29" w14:textId="297D017C" w:rsidR="003B6E07" w:rsidRPr="003B1AC8" w:rsidRDefault="003609E0" w:rsidP="00351AA1">
      <w:pPr>
        <w:pStyle w:val="NoSpacing"/>
        <w:numPr>
          <w:ilvl w:val="0"/>
          <w:numId w:val="9"/>
        </w:numPr>
      </w:pPr>
      <w:r>
        <w:t>u</w:t>
      </w:r>
      <w:r w:rsidR="003B6E07" w:rsidRPr="003B1AC8">
        <w:t>pdates to the three-month average of natural gas and electricity market prices</w:t>
      </w:r>
      <w:r w:rsidR="004A317D">
        <w:t>;</w:t>
      </w:r>
    </w:p>
    <w:p w14:paraId="420AD8DC" w14:textId="3BAEB987" w:rsidR="003B6E07" w:rsidRPr="003B1AC8" w:rsidRDefault="003609E0" w:rsidP="00351AA1">
      <w:pPr>
        <w:pStyle w:val="NoSpacing"/>
        <w:numPr>
          <w:ilvl w:val="0"/>
          <w:numId w:val="9"/>
        </w:numPr>
      </w:pPr>
      <w:r>
        <w:t>n</w:t>
      </w:r>
      <w:r w:rsidR="003B6E07" w:rsidRPr="003B1AC8">
        <w:t>ew short-term contracts for gas and electric</w:t>
      </w:r>
      <w:r w:rsidR="004A317D">
        <w:t>;</w:t>
      </w:r>
    </w:p>
    <w:p w14:paraId="16664B94" w14:textId="391054D3" w:rsidR="003B6E07" w:rsidRPr="003B1AC8" w:rsidRDefault="003609E0" w:rsidP="00351AA1">
      <w:pPr>
        <w:pStyle w:val="NoSpacing"/>
        <w:numPr>
          <w:ilvl w:val="0"/>
          <w:numId w:val="9"/>
        </w:numPr>
      </w:pPr>
      <w:r>
        <w:t>u</w:t>
      </w:r>
      <w:r w:rsidR="003B6E07" w:rsidRPr="003B1AC8">
        <w:t>pdates or corrections to power and transmission service contracts</w:t>
      </w:r>
      <w:r w:rsidR="004A317D">
        <w:t>.</w:t>
      </w:r>
      <w:r w:rsidR="006B3F01" w:rsidRPr="003B1AC8">
        <w:rPr>
          <w:rStyle w:val="FootnoteReference"/>
        </w:rPr>
        <w:footnoteReference w:id="9"/>
      </w:r>
      <w:r w:rsidR="00452EF2" w:rsidRPr="003B1AC8">
        <w:t xml:space="preserve"> </w:t>
      </w:r>
    </w:p>
    <w:p w14:paraId="56944865" w14:textId="40CB31AC" w:rsidR="00264E7F" w:rsidRPr="003B1AC8" w:rsidRDefault="006B3F01" w:rsidP="00303653">
      <w:pPr>
        <w:pStyle w:val="NoSpacing"/>
        <w:ind w:firstLine="0"/>
      </w:pPr>
      <w:r w:rsidRPr="003B1AC8">
        <w:t xml:space="preserve">Based on informal discussions </w:t>
      </w:r>
      <w:r w:rsidR="00296B4E" w:rsidRPr="003B1AC8">
        <w:t>with Avista, some of these updates will not be available until early October</w:t>
      </w:r>
      <w:r w:rsidR="007F3100">
        <w:t>, which is past the rebuttal filing deadline</w:t>
      </w:r>
      <w:r w:rsidR="00296B4E" w:rsidRPr="003B1AC8">
        <w:t xml:space="preserve">.  </w:t>
      </w:r>
      <w:r w:rsidR="00173FEB" w:rsidRPr="003B1AC8">
        <w:t>Although</w:t>
      </w:r>
      <w:r w:rsidR="00296B4E" w:rsidRPr="003B1AC8">
        <w:t xml:space="preserve"> the power supply costs </w:t>
      </w:r>
      <w:r w:rsidR="007A65FF" w:rsidRPr="003B1AC8">
        <w:t>reflect</w:t>
      </w:r>
      <w:r w:rsidR="00173FEB" w:rsidRPr="003B1AC8">
        <w:t>ed in Staff’s present case ha</w:t>
      </w:r>
      <w:r w:rsidR="004A317D">
        <w:t>ve</w:t>
      </w:r>
      <w:r w:rsidR="00173FEB" w:rsidRPr="003B1AC8">
        <w:t xml:space="preserve"> </w:t>
      </w:r>
      <w:r w:rsidR="007A65FF" w:rsidRPr="003B1AC8">
        <w:t>been updated</w:t>
      </w:r>
      <w:r w:rsidR="0076274D">
        <w:t xml:space="preserve">, </w:t>
      </w:r>
      <w:r w:rsidR="00173FEB" w:rsidRPr="003B1AC8">
        <w:t xml:space="preserve">continuing operations will </w:t>
      </w:r>
      <w:r w:rsidR="00551CEF" w:rsidRPr="003B1AC8">
        <w:t xml:space="preserve">still </w:t>
      </w:r>
      <w:r w:rsidR="00173FEB" w:rsidRPr="003B1AC8">
        <w:t>affect power supply and transmission</w:t>
      </w:r>
      <w:r w:rsidR="00551CEF" w:rsidRPr="003B1AC8">
        <w:t xml:space="preserve"> expenses</w:t>
      </w:r>
      <w:r w:rsidR="003F5955" w:rsidRPr="003B1AC8">
        <w:t xml:space="preserve">.  </w:t>
      </w:r>
      <w:r w:rsidR="0076274D">
        <w:t>Therefore, in</w:t>
      </w:r>
      <w:r w:rsidR="0036279B" w:rsidRPr="003B1AC8">
        <w:t xml:space="preserve">stead of providing </w:t>
      </w:r>
      <w:r w:rsidR="00264E7F" w:rsidRPr="003B1AC8">
        <w:t>this information</w:t>
      </w:r>
      <w:r w:rsidR="0036279B" w:rsidRPr="003B1AC8">
        <w:t xml:space="preserve"> on rebuttal</w:t>
      </w:r>
      <w:r w:rsidR="0076274D">
        <w:t xml:space="preserve">, as </w:t>
      </w:r>
      <w:r w:rsidR="0027357D">
        <w:t>discussed in Exhibit No.</w:t>
      </w:r>
      <w:r w:rsidR="0027357D" w:rsidRPr="003B1AC8">
        <w:t xml:space="preserve"> </w:t>
      </w:r>
      <w:r w:rsidR="0027357D">
        <w:t>___(</w:t>
      </w:r>
      <w:r w:rsidR="0027357D" w:rsidRPr="003B1AC8">
        <w:t>JLB-2</w:t>
      </w:r>
      <w:r w:rsidR="0027357D">
        <w:t>)</w:t>
      </w:r>
      <w:r w:rsidR="0076274D">
        <w:t>, Staff now recommends</w:t>
      </w:r>
      <w:r w:rsidR="00723CC9" w:rsidRPr="003B1AC8">
        <w:t xml:space="preserve"> the Company provide the information </w:t>
      </w:r>
      <w:r w:rsidR="00264E7F" w:rsidRPr="003B1AC8">
        <w:t xml:space="preserve">in early October. </w:t>
      </w:r>
    </w:p>
    <w:p w14:paraId="40D3C3CA" w14:textId="77777777" w:rsidR="0076274D" w:rsidRDefault="0076274D" w:rsidP="00264E7F">
      <w:pPr>
        <w:pStyle w:val="Heading2"/>
      </w:pPr>
      <w:bookmarkStart w:id="48" w:name="_Toc393023120"/>
      <w:bookmarkStart w:id="49" w:name="_Toc393023326"/>
    </w:p>
    <w:p w14:paraId="6FFC4275" w14:textId="077D1CDB" w:rsidR="00CF6A9E" w:rsidRPr="003B1AC8" w:rsidRDefault="00CF6A9E" w:rsidP="00CF6A9E">
      <w:pPr>
        <w:pStyle w:val="Heading2"/>
      </w:pPr>
      <w:bookmarkStart w:id="50" w:name="_Toc393023121"/>
      <w:bookmarkStart w:id="51" w:name="_Toc393023327"/>
      <w:bookmarkEnd w:id="48"/>
      <w:bookmarkEnd w:id="49"/>
      <w:r w:rsidRPr="003B1AC8">
        <w:t>Q.</w:t>
      </w:r>
      <w:r w:rsidRPr="003B1AC8">
        <w:tab/>
        <w:t xml:space="preserve">Will </w:t>
      </w:r>
      <w:r w:rsidR="0076274D">
        <w:t xml:space="preserve">an update in early October still </w:t>
      </w:r>
      <w:r w:rsidRPr="003B1AC8">
        <w:t>give all interested parties enough time to properly review the updates?</w:t>
      </w:r>
      <w:bookmarkEnd w:id="50"/>
      <w:bookmarkEnd w:id="51"/>
    </w:p>
    <w:p w14:paraId="4663D4CD" w14:textId="5248C5D6" w:rsidR="00CF6A9E" w:rsidRDefault="00CF6A9E" w:rsidP="00351AA1">
      <w:pPr>
        <w:pStyle w:val="NoSpacing"/>
      </w:pPr>
      <w:r w:rsidRPr="003B1AC8">
        <w:t>A.</w:t>
      </w:r>
      <w:r w:rsidRPr="003B1AC8">
        <w:tab/>
      </w:r>
      <w:r w:rsidR="0076274D">
        <w:t>Yes</w:t>
      </w:r>
      <w:r w:rsidR="00577A15">
        <w:t>.</w:t>
      </w:r>
      <w:r w:rsidR="00ED1428" w:rsidRPr="003B1AC8">
        <w:t xml:space="preserve">   </w:t>
      </w:r>
    </w:p>
    <w:p w14:paraId="527320C1" w14:textId="77777777" w:rsidR="0076274D" w:rsidRPr="003B1AC8" w:rsidRDefault="0076274D" w:rsidP="00351AA1">
      <w:pPr>
        <w:pStyle w:val="NoSpacing"/>
      </w:pPr>
    </w:p>
    <w:p w14:paraId="251929CF" w14:textId="6A0EBC6D" w:rsidR="008B55C3" w:rsidRPr="003609E0" w:rsidRDefault="003609E0" w:rsidP="00BD533D">
      <w:pPr>
        <w:pStyle w:val="Heading1"/>
        <w:ind w:left="0" w:firstLine="0"/>
      </w:pPr>
      <w:bookmarkStart w:id="52" w:name="_Toc393198293"/>
      <w:bookmarkStart w:id="53" w:name="_Toc393023123"/>
      <w:r w:rsidRPr="003609E0">
        <w:t>ENERGY RECOVERY MECHANISM</w:t>
      </w:r>
      <w:bookmarkEnd w:id="52"/>
    </w:p>
    <w:p w14:paraId="0536DCE1" w14:textId="77777777" w:rsidR="007F3100" w:rsidRDefault="007F3100" w:rsidP="00DD3897">
      <w:pPr>
        <w:pStyle w:val="Heading2"/>
      </w:pPr>
      <w:bookmarkStart w:id="54" w:name="_Toc393023329"/>
    </w:p>
    <w:p w14:paraId="251BAB8B" w14:textId="30D5B324" w:rsidR="0076274D" w:rsidRDefault="0076274D" w:rsidP="00DD3897">
      <w:pPr>
        <w:pStyle w:val="Heading2"/>
      </w:pPr>
      <w:r>
        <w:t>Q.</w:t>
      </w:r>
      <w:r>
        <w:tab/>
        <w:t xml:space="preserve">What do you address in this </w:t>
      </w:r>
      <w:r w:rsidR="007F3100">
        <w:t>s</w:t>
      </w:r>
      <w:r>
        <w:t>ection of your testimony?</w:t>
      </w:r>
    </w:p>
    <w:p w14:paraId="6E484BDC" w14:textId="6775C3D5" w:rsidR="0076274D" w:rsidRDefault="0076274D" w:rsidP="00215CB7">
      <w:pPr>
        <w:pStyle w:val="NoSpacing"/>
      </w:pPr>
      <w:r>
        <w:t>A.</w:t>
      </w:r>
      <w:r>
        <w:tab/>
      </w:r>
      <w:r w:rsidR="003609E0">
        <w:t xml:space="preserve">I address Staff’s proposed changes to the </w:t>
      </w:r>
      <w:r w:rsidR="00215CB7">
        <w:t>Retail Revenue Credit calculation in the Energy Recovery Mechanism</w:t>
      </w:r>
      <w:r w:rsidR="007F3100">
        <w:t>, under</w:t>
      </w:r>
      <w:r w:rsidR="00215CB7">
        <w:t xml:space="preserve"> decoupling.  I </w:t>
      </w:r>
      <w:r w:rsidR="007F3100">
        <w:t xml:space="preserve">also </w:t>
      </w:r>
      <w:r w:rsidR="00215CB7">
        <w:t xml:space="preserve">discuss Staff’s review of the Company’s proposed changes </w:t>
      </w:r>
      <w:r w:rsidR="007F3100">
        <w:t xml:space="preserve">to the Retail Revenue Credit </w:t>
      </w:r>
      <w:r w:rsidR="00215CB7">
        <w:t xml:space="preserve">and Staff’s recommendation if </w:t>
      </w:r>
      <w:r w:rsidR="007F3100">
        <w:t xml:space="preserve">the Commission does not approve </w:t>
      </w:r>
      <w:r w:rsidR="00215CB7">
        <w:t>decoupling.</w:t>
      </w:r>
    </w:p>
    <w:p w14:paraId="36AFE026" w14:textId="77777777" w:rsidR="00215CB7" w:rsidRDefault="00215CB7" w:rsidP="00215CB7">
      <w:pPr>
        <w:pStyle w:val="NoSpacing"/>
      </w:pPr>
    </w:p>
    <w:p w14:paraId="7D21617B" w14:textId="5FCEBA5A" w:rsidR="000F0A77" w:rsidRPr="003B1AC8" w:rsidRDefault="000F0A77" w:rsidP="00BD533D">
      <w:pPr>
        <w:pStyle w:val="Heading2"/>
        <w:keepNext/>
      </w:pPr>
      <w:r w:rsidRPr="003B1AC8">
        <w:t>Q.</w:t>
      </w:r>
      <w:r w:rsidRPr="003B1AC8">
        <w:tab/>
      </w:r>
      <w:r w:rsidR="0076274D">
        <w:t>P</w:t>
      </w:r>
      <w:r w:rsidR="00C21E8E" w:rsidRPr="003B1AC8">
        <w:t xml:space="preserve">lease describe </w:t>
      </w:r>
      <w:r w:rsidR="0076274D">
        <w:t xml:space="preserve">Avista’s </w:t>
      </w:r>
      <w:r w:rsidR="00C21E8E" w:rsidRPr="003B1AC8">
        <w:t>Energy Recovery Mechanism</w:t>
      </w:r>
      <w:r w:rsidR="0076274D">
        <w:t>.</w:t>
      </w:r>
      <w:bookmarkEnd w:id="53"/>
      <w:bookmarkEnd w:id="54"/>
    </w:p>
    <w:p w14:paraId="12046D8F" w14:textId="24361BCB" w:rsidR="00A81895" w:rsidRDefault="000F0A77" w:rsidP="00351AA1">
      <w:pPr>
        <w:pStyle w:val="NoSpacing"/>
      </w:pPr>
      <w:r w:rsidRPr="003B1AC8">
        <w:t>A.</w:t>
      </w:r>
      <w:r w:rsidRPr="003B1AC8">
        <w:tab/>
        <w:t xml:space="preserve">The </w:t>
      </w:r>
      <w:r w:rsidR="003B1A28">
        <w:t>Energy Recovery Mechanism (</w:t>
      </w:r>
      <w:proofErr w:type="spellStart"/>
      <w:r w:rsidR="003B1A28">
        <w:t>ERM</w:t>
      </w:r>
      <w:proofErr w:type="spellEnd"/>
      <w:r w:rsidRPr="003B1AC8">
        <w:t xml:space="preserve">) </w:t>
      </w:r>
      <w:r w:rsidR="0076274D">
        <w:t xml:space="preserve">is a Commission-approved mechanism under which </w:t>
      </w:r>
      <w:r w:rsidRPr="003B1AC8">
        <w:t xml:space="preserve">the Company </w:t>
      </w:r>
      <w:r w:rsidR="00EE1487" w:rsidRPr="003B1AC8">
        <w:t>defer</w:t>
      </w:r>
      <w:r w:rsidR="0076274D">
        <w:t>s</w:t>
      </w:r>
      <w:r w:rsidR="00EE1487" w:rsidRPr="003B1AC8">
        <w:t xml:space="preserve"> </w:t>
      </w:r>
      <w:r w:rsidR="00821F6C">
        <w:t>variations (</w:t>
      </w:r>
      <w:r w:rsidR="00EE1487" w:rsidRPr="003B1AC8">
        <w:t>increases or decreases</w:t>
      </w:r>
      <w:r w:rsidR="00821F6C">
        <w:t>)</w:t>
      </w:r>
      <w:r w:rsidR="00EE1487" w:rsidRPr="003B1AC8">
        <w:t xml:space="preserve"> </w:t>
      </w:r>
      <w:r w:rsidR="00821F6C">
        <w:t xml:space="preserve">from a base level of </w:t>
      </w:r>
      <w:r w:rsidR="00EE1487" w:rsidRPr="003B1AC8">
        <w:t xml:space="preserve">variable power </w:t>
      </w:r>
      <w:r w:rsidR="00907FA4" w:rsidRPr="003B1AC8">
        <w:t xml:space="preserve">supply </w:t>
      </w:r>
      <w:r w:rsidR="00EE1487" w:rsidRPr="003B1AC8">
        <w:t>expense</w:t>
      </w:r>
      <w:r w:rsidR="00821F6C">
        <w:t xml:space="preserve">.  </w:t>
      </w:r>
      <w:r w:rsidR="00C928C3">
        <w:t>This deferral is subject to</w:t>
      </w:r>
      <w:r w:rsidR="00821F6C">
        <w:t xml:space="preserve"> </w:t>
      </w:r>
      <w:r w:rsidR="00C21E8E" w:rsidRPr="003B1AC8">
        <w:t xml:space="preserve">sharing </w:t>
      </w:r>
      <w:r w:rsidR="0076274D">
        <w:t>bands</w:t>
      </w:r>
      <w:r w:rsidR="00821F6C">
        <w:t xml:space="preserve">, which dictate </w:t>
      </w:r>
      <w:r w:rsidR="0076274D">
        <w:t xml:space="preserve">how much of the increase or decrease is absorbed (or enjoyed) before </w:t>
      </w:r>
      <w:r w:rsidR="00A81895">
        <w:t xml:space="preserve">rates go up (or down) due to power costs. </w:t>
      </w:r>
      <w:r w:rsidR="0076274D">
        <w:t xml:space="preserve"> Part of the deferral </w:t>
      </w:r>
      <w:r w:rsidR="00424AA5" w:rsidRPr="00351AA1">
        <w:t>calculation</w:t>
      </w:r>
      <w:r w:rsidR="00424AA5" w:rsidRPr="003B1AC8">
        <w:t xml:space="preserve"> includes the </w:t>
      </w:r>
      <w:r w:rsidR="0076274D">
        <w:t>R</w:t>
      </w:r>
      <w:r w:rsidR="00424AA5" w:rsidRPr="003B1AC8">
        <w:t xml:space="preserve">etail </w:t>
      </w:r>
      <w:r w:rsidR="0076274D">
        <w:t>R</w:t>
      </w:r>
      <w:r w:rsidR="00424AA5" w:rsidRPr="003B1AC8">
        <w:t xml:space="preserve">evenue </w:t>
      </w:r>
      <w:r w:rsidR="0076274D">
        <w:t>C</w:t>
      </w:r>
      <w:r w:rsidR="00316424" w:rsidRPr="003B1AC8">
        <w:t>redit</w:t>
      </w:r>
      <w:r w:rsidR="006F0FE7" w:rsidRPr="003B1AC8">
        <w:t xml:space="preserve">.  </w:t>
      </w:r>
    </w:p>
    <w:p w14:paraId="3A7423E4" w14:textId="77777777" w:rsidR="00A81895" w:rsidRDefault="00A81895" w:rsidP="00351AA1">
      <w:pPr>
        <w:pStyle w:val="NoSpacing"/>
      </w:pPr>
    </w:p>
    <w:p w14:paraId="4EFF5BE8" w14:textId="61B1D92F" w:rsidR="00A81895" w:rsidRPr="00A81895" w:rsidRDefault="00A81895" w:rsidP="00351AA1">
      <w:pPr>
        <w:pStyle w:val="Heading2"/>
      </w:pPr>
      <w:r>
        <w:t>Q.</w:t>
      </w:r>
      <w:r>
        <w:tab/>
        <w:t>What is the Retail Revenue Credit?</w:t>
      </w:r>
    </w:p>
    <w:p w14:paraId="285DB747" w14:textId="2683815D" w:rsidR="000F0A77" w:rsidRDefault="00A81895" w:rsidP="00351AA1">
      <w:pPr>
        <w:pStyle w:val="NoSpacing"/>
      </w:pPr>
      <w:r>
        <w:t>A.</w:t>
      </w:r>
      <w:r>
        <w:tab/>
      </w:r>
      <w:r w:rsidR="006F0FE7" w:rsidRPr="003B1AC8">
        <w:t xml:space="preserve">The </w:t>
      </w:r>
      <w:r>
        <w:t>R</w:t>
      </w:r>
      <w:r w:rsidR="006F0FE7" w:rsidRPr="003B1AC8">
        <w:t xml:space="preserve">etail </w:t>
      </w:r>
      <w:r>
        <w:t>R</w:t>
      </w:r>
      <w:r w:rsidR="006F0FE7" w:rsidRPr="003B1AC8">
        <w:t xml:space="preserve">evenue </w:t>
      </w:r>
      <w:r>
        <w:t>C</w:t>
      </w:r>
      <w:r w:rsidR="006F0FE7" w:rsidRPr="003B1AC8">
        <w:t>redit adjusts power supply expense</w:t>
      </w:r>
      <w:r w:rsidR="00D8556E">
        <w:t xml:space="preserve"> recovered through the </w:t>
      </w:r>
      <w:proofErr w:type="spellStart"/>
      <w:r w:rsidR="00D8556E">
        <w:t>ERM</w:t>
      </w:r>
      <w:proofErr w:type="spellEnd"/>
      <w:r w:rsidR="006F0FE7" w:rsidRPr="003B1AC8">
        <w:t xml:space="preserve"> </w:t>
      </w:r>
      <w:r w:rsidR="00316424" w:rsidRPr="003B1AC8">
        <w:t>for the increase or dec</w:t>
      </w:r>
      <w:r w:rsidR="00CD6776" w:rsidRPr="003B1AC8">
        <w:t xml:space="preserve">rease in revenues due to variations in load.  </w:t>
      </w:r>
      <w:r w:rsidR="00E734A1" w:rsidRPr="003B1AC8">
        <w:t xml:space="preserve">The </w:t>
      </w:r>
      <w:r>
        <w:t>R</w:t>
      </w:r>
      <w:r w:rsidR="00E734A1" w:rsidRPr="003B1AC8">
        <w:t xml:space="preserve">etail </w:t>
      </w:r>
      <w:r>
        <w:t>R</w:t>
      </w:r>
      <w:r w:rsidR="00E734A1" w:rsidRPr="003B1AC8">
        <w:t xml:space="preserve">evenue </w:t>
      </w:r>
      <w:r>
        <w:t>C</w:t>
      </w:r>
      <w:r w:rsidR="00E734A1" w:rsidRPr="003B1AC8">
        <w:t xml:space="preserve">redit </w:t>
      </w:r>
      <w:r w:rsidR="00D8556E">
        <w:t xml:space="preserve">calculation </w:t>
      </w:r>
      <w:r w:rsidR="00E734A1" w:rsidRPr="003B1AC8">
        <w:t xml:space="preserve">is based on the production </w:t>
      </w:r>
      <w:r w:rsidR="00985F8E" w:rsidRPr="003B1AC8">
        <w:t xml:space="preserve">and transmission </w:t>
      </w:r>
      <w:r w:rsidR="00355D49" w:rsidRPr="003B1AC8">
        <w:t>assets that are</w:t>
      </w:r>
      <w:r w:rsidR="00985F8E" w:rsidRPr="003B1AC8">
        <w:t xml:space="preserve"> part of the </w:t>
      </w:r>
      <w:r w:rsidR="00821F6C">
        <w:t>rate base determined by the Commission in a rate case</w:t>
      </w:r>
      <w:r w:rsidR="00985F8E" w:rsidRPr="003B1AC8">
        <w:t xml:space="preserve">.  </w:t>
      </w:r>
    </w:p>
    <w:p w14:paraId="47F645C0" w14:textId="77777777" w:rsidR="00821F6C" w:rsidRDefault="00821F6C" w:rsidP="00351AA1">
      <w:pPr>
        <w:pStyle w:val="NoSpacing"/>
      </w:pPr>
    </w:p>
    <w:p w14:paraId="4210DB0E" w14:textId="496F6F4C" w:rsidR="00821F6C" w:rsidRDefault="00821F6C" w:rsidP="00351AA1">
      <w:pPr>
        <w:pStyle w:val="NoSpacing"/>
        <w:rPr>
          <w:b/>
        </w:rPr>
      </w:pPr>
      <w:r>
        <w:rPr>
          <w:b/>
        </w:rPr>
        <w:t>Q.</w:t>
      </w:r>
      <w:r>
        <w:rPr>
          <w:b/>
        </w:rPr>
        <w:tab/>
        <w:t xml:space="preserve">How does the Retail Revenue Credit relate to the </w:t>
      </w:r>
      <w:proofErr w:type="spellStart"/>
      <w:r>
        <w:rPr>
          <w:b/>
        </w:rPr>
        <w:t>ERM</w:t>
      </w:r>
      <w:proofErr w:type="spellEnd"/>
      <w:r>
        <w:rPr>
          <w:b/>
        </w:rPr>
        <w:t>?</w:t>
      </w:r>
    </w:p>
    <w:p w14:paraId="0765C8D3" w14:textId="77777777" w:rsidR="00115341" w:rsidRDefault="00821F6C" w:rsidP="00351AA1">
      <w:pPr>
        <w:pStyle w:val="NoSpacing"/>
      </w:pPr>
      <w:r>
        <w:t>A.</w:t>
      </w:r>
      <w:r>
        <w:tab/>
      </w:r>
      <w:r w:rsidR="00B50030">
        <w:t>The Retail Rev</w:t>
      </w:r>
      <w:r w:rsidR="00D8556E">
        <w:t xml:space="preserve">enue Credit is expressed </w:t>
      </w:r>
      <w:r w:rsidR="00CD3E83">
        <w:t>in</w:t>
      </w:r>
      <w:r w:rsidR="00D8556E">
        <w:t xml:space="preserve"> dollar</w:t>
      </w:r>
      <w:r w:rsidR="00CD3E83">
        <w:t xml:space="preserve">s </w:t>
      </w:r>
      <w:r w:rsidR="00D8556E">
        <w:t>per</w:t>
      </w:r>
      <w:r w:rsidR="00CD3E83">
        <w:t xml:space="preserve"> </w:t>
      </w:r>
      <w:r w:rsidR="00D8556E">
        <w:t xml:space="preserve">MWh.  </w:t>
      </w:r>
      <w:r w:rsidR="00555D94">
        <w:t>When</w:t>
      </w:r>
      <w:r w:rsidR="00A21376">
        <w:t xml:space="preserve"> multiplied by </w:t>
      </w:r>
      <w:r w:rsidR="00CD3E83">
        <w:t xml:space="preserve">the variation in load during an </w:t>
      </w:r>
      <w:proofErr w:type="spellStart"/>
      <w:r w:rsidR="00CD3E83">
        <w:t>ERM</w:t>
      </w:r>
      <w:proofErr w:type="spellEnd"/>
      <w:r w:rsidR="00CD3E83">
        <w:t xml:space="preserve"> def</w:t>
      </w:r>
      <w:r w:rsidR="00555D94">
        <w:t xml:space="preserve">erral period, the Retail Revenue Credit serves to offset (or supplement) </w:t>
      </w:r>
      <w:proofErr w:type="spellStart"/>
      <w:r w:rsidR="00555D94">
        <w:t>ERM</w:t>
      </w:r>
      <w:proofErr w:type="spellEnd"/>
      <w:r w:rsidR="00555D94">
        <w:t xml:space="preserve"> recovered expenses.  Without the Retail Revenue Credit, the amounts deferred through the </w:t>
      </w:r>
      <w:proofErr w:type="spellStart"/>
      <w:r w:rsidR="00555D94">
        <w:t>ERM</w:t>
      </w:r>
      <w:proofErr w:type="spellEnd"/>
      <w:r w:rsidR="00555D94">
        <w:t xml:space="preserve"> would be too high (or too low).  </w:t>
      </w:r>
    </w:p>
    <w:p w14:paraId="1CA405BE" w14:textId="77777777" w:rsidR="00115341" w:rsidRDefault="00115341" w:rsidP="00115341">
      <w:pPr>
        <w:pStyle w:val="Heading2"/>
      </w:pPr>
    </w:p>
    <w:p w14:paraId="0672E22F" w14:textId="675925E4" w:rsidR="00115341" w:rsidRDefault="00115341" w:rsidP="00BD533D">
      <w:pPr>
        <w:pStyle w:val="Heading2"/>
        <w:keepNext/>
      </w:pPr>
      <w:r>
        <w:t>Q.</w:t>
      </w:r>
      <w:r>
        <w:tab/>
        <w:t xml:space="preserve">How is the Retail Revenue Credit </w:t>
      </w:r>
      <w:r w:rsidR="00201CA6">
        <w:t>calculated</w:t>
      </w:r>
      <w:r w:rsidR="00EF62A7" w:rsidRPr="00EF62A7">
        <w:t xml:space="preserve"> </w:t>
      </w:r>
      <w:r w:rsidR="00EF62A7">
        <w:t>currently</w:t>
      </w:r>
      <w:r>
        <w:t>?</w:t>
      </w:r>
    </w:p>
    <w:p w14:paraId="4A0553DF" w14:textId="3426AC2A" w:rsidR="00821F6C" w:rsidRPr="00821F6C" w:rsidRDefault="00115341" w:rsidP="00115341">
      <w:pPr>
        <w:pStyle w:val="NoSpacing"/>
      </w:pPr>
      <w:r>
        <w:t>A.</w:t>
      </w:r>
      <w:r>
        <w:tab/>
      </w:r>
      <w:r w:rsidR="00EF62A7">
        <w:t>T</w:t>
      </w:r>
      <w:r w:rsidRPr="003B1AC8">
        <w:t xml:space="preserve">he </w:t>
      </w:r>
      <w:r>
        <w:t>R</w:t>
      </w:r>
      <w:r w:rsidRPr="003B1AC8">
        <w:t xml:space="preserve">etail </w:t>
      </w:r>
      <w:r>
        <w:t>R</w:t>
      </w:r>
      <w:r w:rsidRPr="003B1AC8">
        <w:t xml:space="preserve">evenue </w:t>
      </w:r>
      <w:r>
        <w:t>C</w:t>
      </w:r>
      <w:r w:rsidRPr="003B1AC8">
        <w:t xml:space="preserve">redit is </w:t>
      </w:r>
      <w:r w:rsidR="00EF62A7">
        <w:t xml:space="preserve">currently </w:t>
      </w:r>
      <w:r w:rsidRPr="003B1AC8">
        <w:t xml:space="preserve">calculated using </w:t>
      </w:r>
      <w:r>
        <w:t>“production and transmission revenue, expense, and rate base amounts.”</w:t>
      </w:r>
      <w:r w:rsidRPr="003B1AC8">
        <w:rPr>
          <w:rStyle w:val="FootnoteReference"/>
        </w:rPr>
        <w:footnoteReference w:id="10"/>
      </w:r>
      <w:r w:rsidRPr="003B1AC8">
        <w:t xml:space="preserve"> </w:t>
      </w:r>
      <w:r>
        <w:t xml:space="preserve"> </w:t>
      </w:r>
      <w:r w:rsidR="00201CA6">
        <w:t>These costs are div</w:t>
      </w:r>
      <w:r w:rsidR="00EF62A7">
        <w:t xml:space="preserve">ided by Washington retail load and </w:t>
      </w:r>
      <w:r w:rsidR="00201CA6">
        <w:t>multi</w:t>
      </w:r>
      <w:r w:rsidR="00EF62A7">
        <w:t xml:space="preserve">plied by the ratio of energy-classified costs versus total production related costs to determine a dollar per MWh figure.  This calculation is </w:t>
      </w:r>
      <w:r w:rsidR="00C621E4">
        <w:t>in more detail</w:t>
      </w:r>
      <w:r w:rsidR="00EF62A7">
        <w:t xml:space="preserve"> in the testimony of Company Witness Ms. Knox.</w:t>
      </w:r>
      <w:r w:rsidR="00EF62A7">
        <w:rPr>
          <w:rStyle w:val="FootnoteReference"/>
        </w:rPr>
        <w:footnoteReference w:id="11"/>
      </w:r>
      <w:r w:rsidR="00DA0B9C">
        <w:t xml:space="preserve">  </w:t>
      </w:r>
      <w:r w:rsidR="00C621E4">
        <w:t>Staff witness Mr. Schooley also explains the Retail Revenue Credit calculation in the context of decoupling.</w:t>
      </w:r>
      <w:r w:rsidR="00F701CE" w:rsidRPr="00F701CE">
        <w:rPr>
          <w:rStyle w:val="FootnoteReference"/>
        </w:rPr>
        <w:t xml:space="preserve"> </w:t>
      </w:r>
      <w:r w:rsidR="00F701CE">
        <w:rPr>
          <w:rStyle w:val="FootnoteReference"/>
        </w:rPr>
        <w:footnoteReference w:id="12"/>
      </w:r>
      <w:r w:rsidR="00C621E4">
        <w:t xml:space="preserve">  </w:t>
      </w:r>
    </w:p>
    <w:p w14:paraId="43EACE7D" w14:textId="77777777" w:rsidR="00351AA1" w:rsidRPr="003B1AC8" w:rsidRDefault="00351AA1" w:rsidP="00351AA1">
      <w:pPr>
        <w:pStyle w:val="NoSpacing"/>
      </w:pPr>
    </w:p>
    <w:p w14:paraId="319BF757" w14:textId="0A131EFF" w:rsidR="00DD3897" w:rsidRPr="003B1AC8" w:rsidRDefault="00DD3897" w:rsidP="00DD3897">
      <w:pPr>
        <w:pStyle w:val="Heading2"/>
      </w:pPr>
      <w:bookmarkStart w:id="55" w:name="_Toc393023124"/>
      <w:bookmarkStart w:id="56" w:name="_Toc393023330"/>
      <w:r w:rsidRPr="003B1AC8">
        <w:t>Q.</w:t>
      </w:r>
      <w:r w:rsidRPr="003B1AC8">
        <w:tab/>
      </w:r>
      <w:r w:rsidR="00A81895">
        <w:t xml:space="preserve">Is Staff proposing any </w:t>
      </w:r>
      <w:r w:rsidR="005277A1" w:rsidRPr="003B1AC8">
        <w:t xml:space="preserve">changes </w:t>
      </w:r>
      <w:r w:rsidR="000F0A77" w:rsidRPr="003B1AC8">
        <w:t xml:space="preserve">to the </w:t>
      </w:r>
      <w:r w:rsidR="00821F6C">
        <w:t xml:space="preserve">Retail Revenue Credit, if the Commission approves full decoupling </w:t>
      </w:r>
      <w:r w:rsidR="000C74D4">
        <w:t>for electric service</w:t>
      </w:r>
      <w:r w:rsidRPr="003B1AC8">
        <w:t>?</w:t>
      </w:r>
      <w:bookmarkEnd w:id="55"/>
      <w:bookmarkEnd w:id="56"/>
    </w:p>
    <w:p w14:paraId="2A4505F2" w14:textId="54697B1D" w:rsidR="005277A1" w:rsidRDefault="005277A1" w:rsidP="00351AA1">
      <w:pPr>
        <w:pStyle w:val="NoSpacing"/>
      </w:pPr>
      <w:r w:rsidRPr="003B1AC8">
        <w:t>A.</w:t>
      </w:r>
      <w:r w:rsidRPr="003B1AC8">
        <w:tab/>
      </w:r>
      <w:r w:rsidR="00A81895">
        <w:t xml:space="preserve">Yes.  </w:t>
      </w:r>
      <w:r w:rsidRPr="003B1AC8">
        <w:t>Staff</w:t>
      </w:r>
      <w:r w:rsidR="00F045CA" w:rsidRPr="003B1AC8">
        <w:t xml:space="preserve"> propos</w:t>
      </w:r>
      <w:r w:rsidR="00821F6C">
        <w:t>es</w:t>
      </w:r>
      <w:r w:rsidR="00F045CA" w:rsidRPr="003B1AC8">
        <w:t xml:space="preserve"> that the </w:t>
      </w:r>
      <w:r w:rsidR="00A81895">
        <w:t>R</w:t>
      </w:r>
      <w:r w:rsidR="00F045CA" w:rsidRPr="003B1AC8">
        <w:t xml:space="preserve">etail </w:t>
      </w:r>
      <w:r w:rsidR="00A81895">
        <w:t>R</w:t>
      </w:r>
      <w:r w:rsidR="00F045CA" w:rsidRPr="003B1AC8">
        <w:t xml:space="preserve">evenue </w:t>
      </w:r>
      <w:r w:rsidR="00A81895">
        <w:t>C</w:t>
      </w:r>
      <w:r w:rsidR="00F045CA" w:rsidRPr="003B1AC8">
        <w:t xml:space="preserve">redit be changed to include only variable power supply expense and revenue.  </w:t>
      </w:r>
      <w:r w:rsidR="000C74D4">
        <w:t xml:space="preserve">This means the Retail Revenue Credit will no longer include fixed production and transmission-related revenue, rate base and expenses.  </w:t>
      </w:r>
      <w:r w:rsidR="00F045CA" w:rsidRPr="003B1AC8">
        <w:t xml:space="preserve">Further, Staff is also updating the </w:t>
      </w:r>
      <w:r w:rsidR="00A81895">
        <w:t>R</w:t>
      </w:r>
      <w:r w:rsidR="00F045CA" w:rsidRPr="003B1AC8">
        <w:t xml:space="preserve">etail </w:t>
      </w:r>
      <w:r w:rsidR="00A81895">
        <w:t>R</w:t>
      </w:r>
      <w:r w:rsidR="00F045CA" w:rsidRPr="003B1AC8">
        <w:t xml:space="preserve">evenue </w:t>
      </w:r>
      <w:r w:rsidR="00A81895">
        <w:t>C</w:t>
      </w:r>
      <w:r w:rsidR="00F045CA" w:rsidRPr="003B1AC8">
        <w:t xml:space="preserve">redit to </w:t>
      </w:r>
      <w:r w:rsidR="00821F6C">
        <w:t xml:space="preserve">reflect </w:t>
      </w:r>
      <w:r w:rsidR="00DE1B89" w:rsidRPr="003B1AC8">
        <w:t>the</w:t>
      </w:r>
      <w:r w:rsidR="00907FA4" w:rsidRPr="003B1AC8">
        <w:t xml:space="preserve"> costs of serving</w:t>
      </w:r>
      <w:r w:rsidR="00DE1B89" w:rsidRPr="003B1AC8">
        <w:t xml:space="preserve"> 2015 rate year loads. </w:t>
      </w:r>
    </w:p>
    <w:p w14:paraId="7EEB68F2" w14:textId="77777777" w:rsidR="000C74D4" w:rsidRDefault="000C74D4" w:rsidP="00351AA1">
      <w:pPr>
        <w:pStyle w:val="NoSpacing"/>
      </w:pPr>
    </w:p>
    <w:p w14:paraId="1EAAE310" w14:textId="2E065031" w:rsidR="000C74D4" w:rsidRPr="000C74D4" w:rsidRDefault="000C74D4" w:rsidP="00351AA1">
      <w:pPr>
        <w:pStyle w:val="NoSpacing"/>
        <w:rPr>
          <w:b/>
        </w:rPr>
      </w:pPr>
      <w:r>
        <w:rPr>
          <w:b/>
        </w:rPr>
        <w:t>Q.</w:t>
      </w:r>
      <w:r>
        <w:rPr>
          <w:b/>
        </w:rPr>
        <w:tab/>
        <w:t>Is Staff proposing any changes to the Retail Revenue Credit, if the Commission does not approve full decoupling for electric service?</w:t>
      </w:r>
    </w:p>
    <w:p w14:paraId="7991B73A" w14:textId="6F67DABA" w:rsidR="00EB6034" w:rsidRDefault="000C74D4" w:rsidP="00351AA1">
      <w:pPr>
        <w:pStyle w:val="NoSpacing"/>
      </w:pPr>
      <w:r>
        <w:t>A.</w:t>
      </w:r>
      <w:r w:rsidR="00EB6034">
        <w:tab/>
      </w:r>
      <w:r>
        <w:t xml:space="preserve">Yes.  </w:t>
      </w:r>
      <w:r w:rsidR="00EB6034">
        <w:t xml:space="preserve">If the Commission does not approve </w:t>
      </w:r>
      <w:r>
        <w:t xml:space="preserve">full </w:t>
      </w:r>
      <w:r w:rsidR="00EB6034">
        <w:t>decoupling</w:t>
      </w:r>
      <w:r>
        <w:t xml:space="preserve"> for electric service, </w:t>
      </w:r>
      <w:r w:rsidR="00EB6034">
        <w:t xml:space="preserve">Staff </w:t>
      </w:r>
      <w:r w:rsidR="0074176C">
        <w:t>recommends</w:t>
      </w:r>
      <w:r w:rsidR="00EB6034">
        <w:t xml:space="preserve"> the Commission accept the Company’s proposed changes to the Retail Revenue Credit.  </w:t>
      </w:r>
    </w:p>
    <w:p w14:paraId="3690F2AE" w14:textId="77777777" w:rsidR="00303653" w:rsidRPr="003B1AC8" w:rsidRDefault="00303653" w:rsidP="00351AA1">
      <w:pPr>
        <w:pStyle w:val="NoSpacing"/>
      </w:pPr>
    </w:p>
    <w:p w14:paraId="3405F15C" w14:textId="0F7112B1" w:rsidR="00AC059E" w:rsidRPr="003B1AC8" w:rsidRDefault="00AC059E" w:rsidP="00AC059E">
      <w:pPr>
        <w:pStyle w:val="Heading2"/>
      </w:pPr>
      <w:bookmarkStart w:id="57" w:name="_Toc393023125"/>
      <w:bookmarkStart w:id="58" w:name="_Toc393023331"/>
      <w:r w:rsidRPr="003B1AC8">
        <w:t>Q.</w:t>
      </w:r>
      <w:r w:rsidRPr="003B1AC8">
        <w:tab/>
        <w:t>Have you prepared an exhibit which describes th</w:t>
      </w:r>
      <w:r w:rsidR="00EB6034">
        <w:t>e changes</w:t>
      </w:r>
      <w:r w:rsidR="000C74D4">
        <w:t xml:space="preserve"> to the Retail Revenue Credit </w:t>
      </w:r>
      <w:r w:rsidR="00EE5F0E">
        <w:t>if the Commission approves</w:t>
      </w:r>
      <w:r w:rsidR="000C74D4">
        <w:t xml:space="preserve"> full decoupling</w:t>
      </w:r>
      <w:r w:rsidRPr="003B1AC8">
        <w:t>?</w:t>
      </w:r>
      <w:bookmarkEnd w:id="57"/>
      <w:bookmarkEnd w:id="58"/>
    </w:p>
    <w:p w14:paraId="2ECD5062" w14:textId="5210DACC" w:rsidR="00A81895" w:rsidRDefault="00AC059E" w:rsidP="00351AA1">
      <w:pPr>
        <w:pStyle w:val="NoSpacing"/>
      </w:pPr>
      <w:r w:rsidRPr="003B1AC8">
        <w:t>A.</w:t>
      </w:r>
      <w:r w:rsidRPr="003B1AC8">
        <w:tab/>
        <w:t xml:space="preserve">Yes.  </w:t>
      </w:r>
      <w:r w:rsidR="00A81895">
        <w:t xml:space="preserve">My </w:t>
      </w:r>
      <w:r w:rsidRPr="003B1AC8">
        <w:t xml:space="preserve">Confidential </w:t>
      </w:r>
      <w:r w:rsidR="003D686A">
        <w:t>Exhibit No.</w:t>
      </w:r>
      <w:r w:rsidRPr="003B1AC8">
        <w:t xml:space="preserve"> </w:t>
      </w:r>
      <w:r w:rsidR="00164A72">
        <w:t>___</w:t>
      </w:r>
      <w:r w:rsidR="000C74D4">
        <w:t xml:space="preserve"> </w:t>
      </w:r>
      <w:r w:rsidR="00164A72">
        <w:t>(</w:t>
      </w:r>
      <w:r w:rsidR="00931602">
        <w:t>JLB-4C</w:t>
      </w:r>
      <w:r w:rsidR="00164A72">
        <w:t>)</w:t>
      </w:r>
      <w:r w:rsidRPr="003B1AC8">
        <w:t xml:space="preserve"> details the calculation of the </w:t>
      </w:r>
      <w:r w:rsidR="00A81895">
        <w:t>R</w:t>
      </w:r>
      <w:r w:rsidRPr="003B1AC8">
        <w:t xml:space="preserve">etail </w:t>
      </w:r>
      <w:r w:rsidR="00A81895">
        <w:t>R</w:t>
      </w:r>
      <w:r w:rsidRPr="003B1AC8">
        <w:t xml:space="preserve">evenue </w:t>
      </w:r>
      <w:r w:rsidR="00A81895">
        <w:t>C</w:t>
      </w:r>
      <w:r w:rsidRPr="003B1AC8">
        <w:t xml:space="preserve">redit </w:t>
      </w:r>
      <w:r w:rsidR="00A81895">
        <w:t>as proposed by Staff</w:t>
      </w:r>
      <w:r w:rsidR="000C74D4">
        <w:t>, assuming full decoupling</w:t>
      </w:r>
      <w:r w:rsidRPr="003B1AC8">
        <w:t xml:space="preserve">.  </w:t>
      </w:r>
    </w:p>
    <w:p w14:paraId="42A30D0D" w14:textId="77777777" w:rsidR="00303653" w:rsidRDefault="00303653" w:rsidP="00351AA1">
      <w:pPr>
        <w:pStyle w:val="NoSpacing"/>
      </w:pPr>
    </w:p>
    <w:p w14:paraId="0F5E5014" w14:textId="766B9E10" w:rsidR="00A81895" w:rsidRPr="00A81895" w:rsidRDefault="00A81895" w:rsidP="00303653">
      <w:pPr>
        <w:pStyle w:val="Heading2"/>
      </w:pPr>
      <w:r>
        <w:t>Q.</w:t>
      </w:r>
      <w:r>
        <w:tab/>
        <w:t>Please compare Staff’s proposed calculation</w:t>
      </w:r>
      <w:r w:rsidR="00EE5F0E">
        <w:t xml:space="preserve"> </w:t>
      </w:r>
      <w:r>
        <w:t>of the Retail Revenue Credit</w:t>
      </w:r>
      <w:r w:rsidR="00933116">
        <w:t xml:space="preserve"> </w:t>
      </w:r>
      <w:r w:rsidR="00EE5F0E">
        <w:t>in your Exhibit No. ___ (</w:t>
      </w:r>
      <w:r w:rsidR="00931602">
        <w:t>JLB-4C</w:t>
      </w:r>
      <w:r w:rsidR="00EE5F0E">
        <w:t xml:space="preserve">), </w:t>
      </w:r>
      <w:r>
        <w:t>to the current calculation.</w:t>
      </w:r>
    </w:p>
    <w:p w14:paraId="5D419A11" w14:textId="14A45659" w:rsidR="00A81895" w:rsidRDefault="00A81895" w:rsidP="00351AA1">
      <w:pPr>
        <w:pStyle w:val="NoSpacing"/>
      </w:pPr>
      <w:r>
        <w:t>A.</w:t>
      </w:r>
      <w:r>
        <w:tab/>
        <w:t>For</w:t>
      </w:r>
      <w:r w:rsidR="00933116">
        <w:t xml:space="preserve"> the</w:t>
      </w:r>
      <w:r>
        <w:t xml:space="preserve"> purposes of my testimony, the key element is that the current calculation </w:t>
      </w:r>
      <w:r w:rsidR="00AC059E" w:rsidRPr="003B1AC8">
        <w:t>includes fixed production</w:t>
      </w:r>
      <w:r w:rsidR="00CB1C65">
        <w:t>-</w:t>
      </w:r>
      <w:r w:rsidR="00AC059E" w:rsidRPr="003B1AC8">
        <w:t xml:space="preserve"> and transmission</w:t>
      </w:r>
      <w:r>
        <w:t>-</w:t>
      </w:r>
      <w:r w:rsidR="00AC059E" w:rsidRPr="003B1AC8">
        <w:t>related rate</w:t>
      </w:r>
      <w:r>
        <w:t xml:space="preserve"> </w:t>
      </w:r>
      <w:r w:rsidR="00AC059E" w:rsidRPr="003B1AC8">
        <w:t xml:space="preserve">base.  </w:t>
      </w:r>
      <w:r>
        <w:t xml:space="preserve">By comparison, </w:t>
      </w:r>
      <w:r w:rsidR="00AC059E" w:rsidRPr="003B1AC8">
        <w:t xml:space="preserve">Staff’s proposed </w:t>
      </w:r>
      <w:r>
        <w:t>R</w:t>
      </w:r>
      <w:r w:rsidR="00AC059E" w:rsidRPr="003B1AC8">
        <w:t xml:space="preserve">etail </w:t>
      </w:r>
      <w:r>
        <w:t>R</w:t>
      </w:r>
      <w:r w:rsidR="00AC059E" w:rsidRPr="003B1AC8">
        <w:t xml:space="preserve">evenue </w:t>
      </w:r>
      <w:r>
        <w:t>C</w:t>
      </w:r>
      <w:r w:rsidR="00AC059E" w:rsidRPr="003B1AC8">
        <w:t xml:space="preserve">redit consists only of variable power supply expenses and revenues (including Staff’s adjustment for 2015 load as described in section III of my testimony) divided by the Company’s 2015 projected retail sales.  </w:t>
      </w:r>
    </w:p>
    <w:p w14:paraId="63091536" w14:textId="1A8AA159" w:rsidR="00AC059E" w:rsidRDefault="00A81895" w:rsidP="00351AA1">
      <w:pPr>
        <w:pStyle w:val="NoSpacing"/>
      </w:pPr>
      <w:r>
        <w:tab/>
      </w:r>
      <w:r>
        <w:tab/>
        <w:t>The R</w:t>
      </w:r>
      <w:r w:rsidR="00AC059E" w:rsidRPr="003B1AC8">
        <w:t xml:space="preserve">etail </w:t>
      </w:r>
      <w:r>
        <w:t>R</w:t>
      </w:r>
      <w:r w:rsidR="00AC059E" w:rsidRPr="003B1AC8">
        <w:t xml:space="preserve">evenue </w:t>
      </w:r>
      <w:r>
        <w:t>C</w:t>
      </w:r>
      <w:r w:rsidR="00AC059E" w:rsidRPr="003B1AC8">
        <w:t xml:space="preserve">redit </w:t>
      </w:r>
      <w:r>
        <w:t xml:space="preserve">calculated in this manner </w:t>
      </w:r>
      <w:r w:rsidR="00AC059E" w:rsidRPr="003B1AC8">
        <w:t>is $20.09 per M</w:t>
      </w:r>
      <w:r w:rsidR="004A317D">
        <w:t>Wh</w:t>
      </w:r>
      <w:r>
        <w:t>, as shown on my Exhibit No. ___ (</w:t>
      </w:r>
      <w:r w:rsidR="00931602">
        <w:t>JLB-4</w:t>
      </w:r>
      <w:r>
        <w:t xml:space="preserve">C), line </w:t>
      </w:r>
      <w:r w:rsidR="00465CDB">
        <w:t xml:space="preserve">12.  </w:t>
      </w:r>
      <w:r>
        <w:t xml:space="preserve">The Company’s figure is </w:t>
      </w:r>
      <w:r w:rsidR="009201A4">
        <w:t>$33.60 per MWh</w:t>
      </w:r>
      <w:r w:rsidR="00EE5F0E">
        <w:t>.</w:t>
      </w:r>
      <w:r w:rsidR="009201A4">
        <w:rPr>
          <w:rStyle w:val="FootnoteReference"/>
        </w:rPr>
        <w:footnoteReference w:id="13"/>
      </w:r>
    </w:p>
    <w:p w14:paraId="34691CE7" w14:textId="77777777" w:rsidR="009201A4" w:rsidRPr="003B1AC8" w:rsidRDefault="009201A4" w:rsidP="00351AA1">
      <w:pPr>
        <w:pStyle w:val="NoSpacing"/>
      </w:pPr>
    </w:p>
    <w:p w14:paraId="2545818B" w14:textId="51AA1E63" w:rsidR="00555113" w:rsidRPr="003B1AC8" w:rsidRDefault="00555113" w:rsidP="00555113">
      <w:pPr>
        <w:pStyle w:val="Heading2"/>
      </w:pPr>
      <w:bookmarkStart w:id="59" w:name="_Toc393023126"/>
      <w:bookmarkStart w:id="60" w:name="_Toc393023332"/>
      <w:r w:rsidRPr="003B1AC8">
        <w:t>Q.</w:t>
      </w:r>
      <w:r w:rsidRPr="003B1AC8">
        <w:tab/>
        <w:t xml:space="preserve">Why is staff proposing </w:t>
      </w:r>
      <w:r w:rsidR="00A81895">
        <w:t xml:space="preserve">to exclude fixed production and transmission–related </w:t>
      </w:r>
      <w:r w:rsidR="000C74D4">
        <w:t xml:space="preserve">revenues, expenses and </w:t>
      </w:r>
      <w:r w:rsidR="00A81895">
        <w:t>rate base from the Retail Revenue Credit calculation</w:t>
      </w:r>
      <w:r w:rsidRPr="003B1AC8">
        <w:t>?</w:t>
      </w:r>
      <w:bookmarkEnd w:id="59"/>
      <w:bookmarkEnd w:id="60"/>
    </w:p>
    <w:p w14:paraId="768766B1" w14:textId="3EF5CC64" w:rsidR="00555113" w:rsidRDefault="00555113" w:rsidP="002D18EF">
      <w:pPr>
        <w:pStyle w:val="NoSpacing"/>
      </w:pPr>
      <w:r w:rsidRPr="003B1AC8">
        <w:t>A.</w:t>
      </w:r>
      <w:r w:rsidRPr="003B1AC8">
        <w:tab/>
      </w:r>
      <w:r w:rsidR="00AC2EBD">
        <w:t>The current method to calculate the Retail Revenue Credit provides a guaranteed recovery of fixed production related assets</w:t>
      </w:r>
      <w:r w:rsidR="00CE2246">
        <w:t xml:space="preserve">.  </w:t>
      </w:r>
      <w:r w:rsidRPr="003B1AC8">
        <w:t>If the Commission approves</w:t>
      </w:r>
      <w:r w:rsidR="00A81895">
        <w:t xml:space="preserve"> full </w:t>
      </w:r>
      <w:r w:rsidRPr="003B1AC8">
        <w:t xml:space="preserve">decoupling, </w:t>
      </w:r>
      <w:r w:rsidR="00A81895">
        <w:t xml:space="preserve">as proposed by Avista and Staff, </w:t>
      </w:r>
      <w:r w:rsidRPr="003B1AC8">
        <w:t>then</w:t>
      </w:r>
      <w:r w:rsidR="00AC2EBD">
        <w:t xml:space="preserve"> </w:t>
      </w:r>
      <w:r w:rsidR="00EA02D2">
        <w:t xml:space="preserve">it is more </w:t>
      </w:r>
      <w:r w:rsidR="006F5EA1">
        <w:t xml:space="preserve">appropriate </w:t>
      </w:r>
      <w:r w:rsidR="00EA02D2">
        <w:t xml:space="preserve">for all fixed costs, including </w:t>
      </w:r>
      <w:r w:rsidR="00AC2EBD">
        <w:t>production related assets</w:t>
      </w:r>
      <w:r w:rsidR="00EA02D2">
        <w:t>,</w:t>
      </w:r>
      <w:r w:rsidR="00AC2EBD">
        <w:t xml:space="preserve"> </w:t>
      </w:r>
      <w:r w:rsidR="00EA02D2">
        <w:t>to</w:t>
      </w:r>
      <w:r w:rsidR="00AC2EBD">
        <w:t xml:space="preserve"> be </w:t>
      </w:r>
      <w:r w:rsidR="00EA02D2">
        <w:t>recovered through the</w:t>
      </w:r>
      <w:r w:rsidR="00AC2EBD">
        <w:t xml:space="preserve"> decoupling mechanism.  </w:t>
      </w:r>
      <w:r w:rsidR="003B4FB2" w:rsidRPr="003B1AC8">
        <w:t xml:space="preserve">As discussed in the testimony of </w:t>
      </w:r>
      <w:r w:rsidR="000C74D4">
        <w:t xml:space="preserve">Staff witness </w:t>
      </w:r>
      <w:r w:rsidR="003B4FB2" w:rsidRPr="003B1AC8">
        <w:t xml:space="preserve">Mr. Schooley, </w:t>
      </w:r>
      <w:r w:rsidR="00AC2EBD">
        <w:t xml:space="preserve">the </w:t>
      </w:r>
      <w:r w:rsidR="003B4FB2" w:rsidRPr="003B1AC8">
        <w:t>decoupling</w:t>
      </w:r>
      <w:r w:rsidR="00AC2EBD">
        <w:t xml:space="preserve"> mechanism</w:t>
      </w:r>
      <w:r w:rsidR="009510A5">
        <w:t xml:space="preserve"> is </w:t>
      </w:r>
      <w:r w:rsidR="00DF2B17">
        <w:t xml:space="preserve">a method to provide recovery of </w:t>
      </w:r>
      <w:r w:rsidR="009510A5">
        <w:t xml:space="preserve">fixed </w:t>
      </w:r>
      <w:r w:rsidR="002D18EF">
        <w:t>costs</w:t>
      </w:r>
      <w:r w:rsidR="00EE5F0E">
        <w:t>,</w:t>
      </w:r>
      <w:r w:rsidR="009510A5">
        <w:t xml:space="preserve"> </w:t>
      </w:r>
      <w:r w:rsidR="00DF2B17">
        <w:t>including</w:t>
      </w:r>
      <w:r w:rsidR="004E3C38">
        <w:t xml:space="preserve"> </w:t>
      </w:r>
      <w:r w:rsidR="002D18EF">
        <w:t xml:space="preserve">fixed </w:t>
      </w:r>
      <w:r w:rsidR="009510A5">
        <w:t xml:space="preserve">production items.  </w:t>
      </w:r>
      <w:r w:rsidR="007619F5">
        <w:t xml:space="preserve">However, if </w:t>
      </w:r>
      <w:r w:rsidR="00122162">
        <w:t xml:space="preserve">revenues related to </w:t>
      </w:r>
      <w:r w:rsidR="002D18EF">
        <w:t xml:space="preserve">fixed production related assets </w:t>
      </w:r>
      <w:r w:rsidR="007619F5">
        <w:t>remain in</w:t>
      </w:r>
      <w:r w:rsidR="002D18EF">
        <w:t xml:space="preserve"> the Retail Revenue Credit</w:t>
      </w:r>
      <w:r w:rsidR="007619F5">
        <w:t xml:space="preserve">, </w:t>
      </w:r>
      <w:r w:rsidR="002D18EF">
        <w:t xml:space="preserve">they </w:t>
      </w:r>
      <w:r w:rsidR="007619F5">
        <w:t>are</w:t>
      </w:r>
      <w:r w:rsidR="002D18EF">
        <w:t xml:space="preserve"> </w:t>
      </w:r>
      <w:r w:rsidR="00122162">
        <w:t xml:space="preserve">removed from the basis which determines the decoupled revenues.  Leaving these fixed production related costs in the </w:t>
      </w:r>
      <w:r w:rsidR="00EE4EB9">
        <w:t xml:space="preserve">Retail Revenue Credit </w:t>
      </w:r>
      <w:r w:rsidR="002D18EF">
        <w:t>subject</w:t>
      </w:r>
      <w:r w:rsidR="00122162">
        <w:t>s them</w:t>
      </w:r>
      <w:r w:rsidR="002D18EF">
        <w:t xml:space="preserve"> to the sharing bands of the </w:t>
      </w:r>
      <w:proofErr w:type="spellStart"/>
      <w:r w:rsidR="002D18EF">
        <w:t>ERM</w:t>
      </w:r>
      <w:proofErr w:type="spellEnd"/>
      <w:r w:rsidR="002D18EF">
        <w:t xml:space="preserve">.  This is not consistent with the policy goals of decoupling.  </w:t>
      </w:r>
    </w:p>
    <w:p w14:paraId="308B7117" w14:textId="77777777" w:rsidR="00A81895" w:rsidRDefault="00A81895" w:rsidP="00EB4752">
      <w:pPr>
        <w:pStyle w:val="Heading2"/>
      </w:pPr>
    </w:p>
    <w:p w14:paraId="6D91BCF0" w14:textId="7AA29A7D" w:rsidR="007A11AB" w:rsidRPr="003B1AC8" w:rsidRDefault="00EB4752" w:rsidP="007A11AB">
      <w:pPr>
        <w:pStyle w:val="Heading2"/>
      </w:pPr>
      <w:r>
        <w:t>Q.</w:t>
      </w:r>
      <w:r>
        <w:tab/>
      </w:r>
      <w:r w:rsidR="000C74D4">
        <w:t xml:space="preserve">You indicated earlier that if </w:t>
      </w:r>
      <w:r w:rsidR="00D016F1">
        <w:t>the Commission does not approve decoupling</w:t>
      </w:r>
      <w:r w:rsidR="000C74D4">
        <w:t>, Staff recommend</w:t>
      </w:r>
      <w:r w:rsidR="00876D98">
        <w:t>s</w:t>
      </w:r>
      <w:r w:rsidR="000C74D4">
        <w:t xml:space="preserve"> the Commission approve the changes to the Retail Revenue Credit that Avista proposes.</w:t>
      </w:r>
      <w:bookmarkStart w:id="61" w:name="_Toc393023129"/>
      <w:bookmarkStart w:id="62" w:name="_Toc393023335"/>
      <w:r w:rsidR="000C74D4">
        <w:t xml:space="preserve">  </w:t>
      </w:r>
      <w:r w:rsidR="000D2B89" w:rsidRPr="003B1AC8">
        <w:t xml:space="preserve">What </w:t>
      </w:r>
      <w:r w:rsidR="000C74D4">
        <w:t xml:space="preserve">are those </w:t>
      </w:r>
      <w:r w:rsidR="000D2B89" w:rsidRPr="003B1AC8">
        <w:t>changes</w:t>
      </w:r>
      <w:r w:rsidR="007A11AB" w:rsidRPr="003B1AC8">
        <w:t>?</w:t>
      </w:r>
      <w:bookmarkEnd w:id="61"/>
      <w:bookmarkEnd w:id="62"/>
    </w:p>
    <w:p w14:paraId="26D579AB" w14:textId="3282E7CF" w:rsidR="007A11AB" w:rsidRDefault="007A11AB" w:rsidP="00351AA1">
      <w:pPr>
        <w:pStyle w:val="NoSpacing"/>
      </w:pPr>
      <w:r w:rsidRPr="003B1AC8">
        <w:t>A.</w:t>
      </w:r>
      <w:r w:rsidRPr="003B1AC8">
        <w:tab/>
      </w:r>
      <w:r w:rsidR="00AC059E" w:rsidRPr="003B1AC8">
        <w:t xml:space="preserve">In </w:t>
      </w:r>
      <w:r w:rsidR="00B24AAF">
        <w:t>brief</w:t>
      </w:r>
      <w:r w:rsidR="00AC059E" w:rsidRPr="003B1AC8">
        <w:t xml:space="preserve">, the Company proposed </w:t>
      </w:r>
      <w:r w:rsidR="008F2F6F" w:rsidRPr="003B1AC8">
        <w:t>continuing</w:t>
      </w:r>
      <w:r w:rsidR="00AC059E" w:rsidRPr="003B1AC8">
        <w:t xml:space="preserve"> the changes to the </w:t>
      </w:r>
      <w:r w:rsidR="008F2F6F" w:rsidRPr="003B1AC8">
        <w:t>retail revenue credit that were implemented as a part of the Mu</w:t>
      </w:r>
      <w:r w:rsidR="00FC3C6B" w:rsidRPr="003B1AC8">
        <w:t>lt</w:t>
      </w:r>
      <w:r w:rsidR="008F2F6F" w:rsidRPr="003B1AC8">
        <w:t>i-Party Settlement Agreement in Docket UE-</w:t>
      </w:r>
      <w:r w:rsidR="00B9629D" w:rsidRPr="003B1AC8">
        <w:t xml:space="preserve">120436. </w:t>
      </w:r>
      <w:r w:rsidR="001D2BD5" w:rsidRPr="003B1AC8">
        <w:t xml:space="preserve"> </w:t>
      </w:r>
      <w:r w:rsidR="000C74D4" w:rsidRPr="003B1AC8">
        <w:t>The</w:t>
      </w:r>
      <w:r w:rsidR="000C74D4">
        <w:t>se</w:t>
      </w:r>
      <w:r w:rsidR="000C74D4" w:rsidRPr="003B1AC8">
        <w:t xml:space="preserve"> changes </w:t>
      </w:r>
      <w:r w:rsidR="000C74D4">
        <w:t xml:space="preserve">are discussed in more detail </w:t>
      </w:r>
      <w:r w:rsidR="000C74D4" w:rsidRPr="003B1AC8">
        <w:t xml:space="preserve">in </w:t>
      </w:r>
      <w:r w:rsidR="000C74D4">
        <w:t>Exhibit No.</w:t>
      </w:r>
      <w:r w:rsidR="000C74D4" w:rsidRPr="003B1AC8">
        <w:t xml:space="preserve"> </w:t>
      </w:r>
      <w:r w:rsidR="000C74D4">
        <w:t>___(</w:t>
      </w:r>
      <w:r w:rsidR="000C74D4" w:rsidRPr="003B1AC8">
        <w:t>JLB-2</w:t>
      </w:r>
      <w:r w:rsidR="000C74D4">
        <w:t>).</w:t>
      </w:r>
      <w:r w:rsidR="000C74D4" w:rsidRPr="003B1AC8">
        <w:rPr>
          <w:rStyle w:val="FootnoteReference"/>
        </w:rPr>
        <w:footnoteReference w:id="14"/>
      </w:r>
      <w:r w:rsidR="000C74D4" w:rsidRPr="003B1AC8">
        <w:t xml:space="preserve">  </w:t>
      </w:r>
    </w:p>
    <w:p w14:paraId="00A772D3" w14:textId="77777777" w:rsidR="00876D98" w:rsidRPr="003B1AC8" w:rsidRDefault="00876D98" w:rsidP="00351AA1">
      <w:pPr>
        <w:pStyle w:val="NoSpacing"/>
      </w:pPr>
    </w:p>
    <w:p w14:paraId="0B0AA758" w14:textId="6BD52C5B" w:rsidR="001A07C6" w:rsidRPr="003B1AC8" w:rsidRDefault="001F0AA3" w:rsidP="00BD533D">
      <w:pPr>
        <w:pStyle w:val="Heading1"/>
        <w:ind w:left="0" w:firstLine="0"/>
      </w:pPr>
      <w:bookmarkStart w:id="63" w:name="_Toc393198294"/>
      <w:r w:rsidRPr="003B1AC8">
        <w:t xml:space="preserve">LOAD </w:t>
      </w:r>
      <w:r w:rsidRPr="00174E53">
        <w:t>FORECASTING</w:t>
      </w:r>
      <w:bookmarkEnd w:id="63"/>
    </w:p>
    <w:p w14:paraId="7199DB88" w14:textId="77777777" w:rsidR="000C74D4" w:rsidRDefault="000C74D4" w:rsidP="001A07C6">
      <w:pPr>
        <w:pStyle w:val="Heading2"/>
      </w:pPr>
      <w:bookmarkStart w:id="64" w:name="_Toc391989926"/>
      <w:bookmarkStart w:id="65" w:name="_Toc391990028"/>
      <w:bookmarkStart w:id="66" w:name="_Toc393023132"/>
      <w:bookmarkStart w:id="67" w:name="_Toc393023338"/>
    </w:p>
    <w:p w14:paraId="0B0AA759" w14:textId="751DCFFB" w:rsidR="002C039A" w:rsidRPr="003B1AC8" w:rsidRDefault="001A07C6" w:rsidP="001A07C6">
      <w:pPr>
        <w:pStyle w:val="Heading2"/>
      </w:pPr>
      <w:r w:rsidRPr="003B1AC8">
        <w:t>Q.</w:t>
      </w:r>
      <w:r w:rsidRPr="003B1AC8">
        <w:tab/>
        <w:t xml:space="preserve">How does Staff use </w:t>
      </w:r>
      <w:r w:rsidR="0088498A" w:rsidRPr="003B1AC8">
        <w:t>the Company’s</w:t>
      </w:r>
      <w:r w:rsidRPr="003B1AC8">
        <w:t xml:space="preserve"> load forecast </w:t>
      </w:r>
      <w:r w:rsidR="00B24AAF">
        <w:t>in this case</w:t>
      </w:r>
      <w:r w:rsidRPr="003B1AC8">
        <w:t>?</w:t>
      </w:r>
      <w:bookmarkEnd w:id="64"/>
      <w:bookmarkEnd w:id="65"/>
      <w:bookmarkEnd w:id="66"/>
      <w:bookmarkEnd w:id="67"/>
    </w:p>
    <w:p w14:paraId="1C2FE950" w14:textId="2CFE3E9E" w:rsidR="007609ED" w:rsidRDefault="001A07C6" w:rsidP="00351AA1">
      <w:pPr>
        <w:pStyle w:val="NoSpacing"/>
      </w:pPr>
      <w:r w:rsidRPr="003B1AC8">
        <w:t>A.</w:t>
      </w:r>
      <w:r w:rsidRPr="003B1AC8">
        <w:tab/>
      </w:r>
      <w:r w:rsidR="007609ED" w:rsidRPr="003B1AC8">
        <w:t xml:space="preserve">Staff uses the </w:t>
      </w:r>
      <w:r w:rsidRPr="003B1AC8">
        <w:t xml:space="preserve">Company’s load forecast in the attrition adjustment </w:t>
      </w:r>
      <w:r w:rsidR="007609ED" w:rsidRPr="003B1AC8">
        <w:t>sponsored</w:t>
      </w:r>
      <w:r w:rsidRPr="003B1AC8">
        <w:t xml:space="preserve"> by Staff witness Chris McGuire.  </w:t>
      </w:r>
      <w:r w:rsidR="00945FEF" w:rsidRPr="003B1AC8">
        <w:t xml:space="preserve">As explained in his testimony, </w:t>
      </w:r>
      <w:r w:rsidR="007609ED" w:rsidRPr="003B1AC8">
        <w:t xml:space="preserve">Staff </w:t>
      </w:r>
      <w:r w:rsidRPr="003B1AC8">
        <w:t xml:space="preserve">uses the load forecast to </w:t>
      </w:r>
      <w:r w:rsidR="00945FEF" w:rsidRPr="003B1AC8">
        <w:t>determine expected growth in billing determinants</w:t>
      </w:r>
      <w:r w:rsidR="00084B0C">
        <w:t xml:space="preserve"> which, in turn, is used to calculate the expected growth in retail revenue between the test year and the rate year</w:t>
      </w:r>
      <w:r w:rsidR="00945FEF" w:rsidRPr="003B1AC8">
        <w:t>.</w:t>
      </w:r>
    </w:p>
    <w:p w14:paraId="04A6439A" w14:textId="77777777" w:rsidR="00174E53" w:rsidRPr="003B1AC8" w:rsidRDefault="00174E53" w:rsidP="00351AA1">
      <w:pPr>
        <w:pStyle w:val="NoSpacing"/>
      </w:pPr>
    </w:p>
    <w:p w14:paraId="290C98E1" w14:textId="4C39D781" w:rsidR="007609ED" w:rsidRPr="00174E53" w:rsidRDefault="007609ED" w:rsidP="00174E53">
      <w:pPr>
        <w:pStyle w:val="Heading2"/>
      </w:pPr>
      <w:r w:rsidRPr="00174E53">
        <w:t>Q.</w:t>
      </w:r>
      <w:r w:rsidRPr="00174E53">
        <w:tab/>
        <w:t>What are billing determinants?</w:t>
      </w:r>
    </w:p>
    <w:p w14:paraId="192C1BF9" w14:textId="40DC28B6" w:rsidR="007609ED" w:rsidRPr="003B1AC8" w:rsidRDefault="007609ED" w:rsidP="00351AA1">
      <w:pPr>
        <w:pStyle w:val="NoSpacing"/>
      </w:pPr>
      <w:r w:rsidRPr="003B1AC8">
        <w:t>A.</w:t>
      </w:r>
      <w:r w:rsidRPr="003B1AC8">
        <w:tab/>
        <w:t xml:space="preserve">Billing determinants are the units </w:t>
      </w:r>
      <w:r w:rsidR="003056B1" w:rsidRPr="003B1AC8">
        <w:t xml:space="preserve">of consumption </w:t>
      </w:r>
      <w:r w:rsidRPr="003B1AC8">
        <w:t xml:space="preserve">upon which </w:t>
      </w:r>
      <w:r w:rsidR="000B2044" w:rsidRPr="003B1AC8">
        <w:t xml:space="preserve">a </w:t>
      </w:r>
      <w:r w:rsidRPr="003B1AC8">
        <w:t>price is applied.  For example,</w:t>
      </w:r>
      <w:r w:rsidR="00B24AAF">
        <w:t xml:space="preserve"> to determine fixed charge revenues for a customer class with a simple rate structure, the billing determinants would be the number of customers each month.</w:t>
      </w:r>
      <w:r w:rsidRPr="003B1AC8">
        <w:t xml:space="preserve"> </w:t>
      </w:r>
      <w:r w:rsidR="00927650">
        <w:t xml:space="preserve"> The </w:t>
      </w:r>
      <w:r w:rsidR="00221332" w:rsidRPr="003B1AC8">
        <w:t>monthly</w:t>
      </w:r>
      <w:r w:rsidR="001A0BAF" w:rsidRPr="003B1AC8">
        <w:t xml:space="preserve"> </w:t>
      </w:r>
      <w:r w:rsidR="00927650">
        <w:t>customer count</w:t>
      </w:r>
      <w:r w:rsidR="00221332" w:rsidRPr="003B1AC8">
        <w:t xml:space="preserve"> multiplied by the monthly fixed charge yields the monthly fixed charge revenue for that class.  </w:t>
      </w:r>
      <w:r w:rsidRPr="003B1AC8">
        <w:t xml:space="preserve">  </w:t>
      </w:r>
    </w:p>
    <w:p w14:paraId="34324DBE" w14:textId="77777777" w:rsidR="00927650" w:rsidRDefault="00927650" w:rsidP="0088498A">
      <w:pPr>
        <w:pStyle w:val="Heading2"/>
      </w:pPr>
      <w:bookmarkStart w:id="68" w:name="_Toc391989927"/>
      <w:bookmarkStart w:id="69" w:name="_Toc391990029"/>
      <w:bookmarkStart w:id="70" w:name="_Toc393023133"/>
      <w:bookmarkStart w:id="71" w:name="_Toc393023339"/>
    </w:p>
    <w:p w14:paraId="0B0AA75B" w14:textId="0F5868E6" w:rsidR="00945FEF" w:rsidRPr="003B1AC8" w:rsidRDefault="00945FEF" w:rsidP="0088498A">
      <w:pPr>
        <w:pStyle w:val="Heading2"/>
      </w:pPr>
      <w:r w:rsidRPr="003B1AC8">
        <w:t>Q.</w:t>
      </w:r>
      <w:r w:rsidRPr="003B1AC8">
        <w:tab/>
      </w:r>
      <w:r w:rsidR="00927650">
        <w:t xml:space="preserve">Is it appropriate to </w:t>
      </w:r>
      <w:r w:rsidRPr="003B1AC8">
        <w:t>us</w:t>
      </w:r>
      <w:r w:rsidR="00927650">
        <w:t>e</w:t>
      </w:r>
      <w:r w:rsidRPr="003B1AC8">
        <w:t xml:space="preserve"> the load forecast for projecting revenues</w:t>
      </w:r>
      <w:r w:rsidR="00927650">
        <w:t xml:space="preserve"> in this manner</w:t>
      </w:r>
      <w:r w:rsidRPr="003B1AC8">
        <w:t>?</w:t>
      </w:r>
      <w:bookmarkEnd w:id="68"/>
      <w:bookmarkEnd w:id="69"/>
      <w:bookmarkEnd w:id="70"/>
      <w:bookmarkEnd w:id="71"/>
    </w:p>
    <w:p w14:paraId="78F9746C" w14:textId="612AEB70" w:rsidR="00704264" w:rsidRDefault="00500C80" w:rsidP="00351AA1">
      <w:pPr>
        <w:pStyle w:val="NoSpacing"/>
      </w:pPr>
      <w:r w:rsidRPr="003B1AC8">
        <w:t>A.</w:t>
      </w:r>
      <w:r w:rsidRPr="003B1AC8">
        <w:tab/>
        <w:t xml:space="preserve">Yes.  The </w:t>
      </w:r>
      <w:r w:rsidR="007609ED" w:rsidRPr="003B1AC8">
        <w:t>C</w:t>
      </w:r>
      <w:r w:rsidRPr="003B1AC8">
        <w:t xml:space="preserve">ompany’s revenues are </w:t>
      </w:r>
      <w:r w:rsidR="00EF10C1" w:rsidRPr="003B1AC8">
        <w:t>determined</w:t>
      </w:r>
      <w:r w:rsidRPr="003B1AC8">
        <w:t xml:space="preserve"> by </w:t>
      </w:r>
      <w:r w:rsidR="00EF10C1" w:rsidRPr="003B1AC8">
        <w:t xml:space="preserve">the </w:t>
      </w:r>
      <w:r w:rsidRPr="003B1AC8">
        <w:t>price per kWh</w:t>
      </w:r>
      <w:r w:rsidR="002D2EAF" w:rsidRPr="003B1AC8">
        <w:t xml:space="preserve"> or </w:t>
      </w:r>
      <w:proofErr w:type="spellStart"/>
      <w:r w:rsidR="002D2EAF" w:rsidRPr="003B1AC8">
        <w:t>therm</w:t>
      </w:r>
      <w:proofErr w:type="spellEnd"/>
      <w:r w:rsidR="00704264">
        <w:t>,</w:t>
      </w:r>
      <w:r w:rsidRPr="003B1AC8">
        <w:t xml:space="preserve"> multiplied by </w:t>
      </w:r>
      <w:r w:rsidR="00704264">
        <w:t xml:space="preserve">the </w:t>
      </w:r>
      <w:r w:rsidRPr="003B1AC8">
        <w:t xml:space="preserve">quantity of kWh </w:t>
      </w:r>
      <w:r w:rsidR="002D2EAF" w:rsidRPr="003B1AC8">
        <w:t>or therm</w:t>
      </w:r>
      <w:r w:rsidR="00A55AB3">
        <w:t>s</w:t>
      </w:r>
      <w:r w:rsidR="002D2EAF" w:rsidRPr="003B1AC8">
        <w:t xml:space="preserve"> </w:t>
      </w:r>
      <w:r w:rsidR="00704264">
        <w:t>used</w:t>
      </w:r>
      <w:r w:rsidR="00EF10C1" w:rsidRPr="003B1AC8">
        <w:t xml:space="preserve">, plus the number of customer </w:t>
      </w:r>
      <w:r w:rsidR="00704264">
        <w:t>(</w:t>
      </w:r>
      <w:r w:rsidR="00461111" w:rsidRPr="003B1AC8">
        <w:t>billing determinants</w:t>
      </w:r>
      <w:r w:rsidR="00704264">
        <w:t>)</w:t>
      </w:r>
      <w:r w:rsidR="00461111" w:rsidRPr="003B1AC8">
        <w:t xml:space="preserve"> </w:t>
      </w:r>
      <w:r w:rsidR="00EF10C1" w:rsidRPr="003B1AC8">
        <w:t>times the monthly customer charge</w:t>
      </w:r>
      <w:r w:rsidRPr="003B1AC8">
        <w:t xml:space="preserve">.  Price is </w:t>
      </w:r>
      <w:r w:rsidR="00EF10C1" w:rsidRPr="003B1AC8">
        <w:t xml:space="preserve">a </w:t>
      </w:r>
      <w:r w:rsidR="00ED1428" w:rsidRPr="003B1AC8">
        <w:t xml:space="preserve">constant </w:t>
      </w:r>
      <w:r w:rsidR="007609ED" w:rsidRPr="003B1AC8">
        <w:t xml:space="preserve">because </w:t>
      </w:r>
      <w:r w:rsidRPr="003B1AC8">
        <w:t>it can only v</w:t>
      </w:r>
      <w:r w:rsidR="002856A8" w:rsidRPr="003B1AC8">
        <w:t>ary with external model inputs, such as changes in rates</w:t>
      </w:r>
      <w:r w:rsidRPr="003B1AC8">
        <w:t xml:space="preserve">.  </w:t>
      </w:r>
    </w:p>
    <w:p w14:paraId="4738D7FB" w14:textId="12A17C92" w:rsidR="002D3D19" w:rsidRDefault="00704264" w:rsidP="00351AA1">
      <w:pPr>
        <w:pStyle w:val="NoSpacing"/>
      </w:pPr>
      <w:r>
        <w:tab/>
      </w:r>
      <w:r>
        <w:tab/>
      </w:r>
      <w:r w:rsidR="00EF10C1" w:rsidRPr="003B1AC8">
        <w:t>The</w:t>
      </w:r>
      <w:r w:rsidR="00500C80" w:rsidRPr="003B1AC8">
        <w:t xml:space="preserve"> billing determinants</w:t>
      </w:r>
      <w:r w:rsidR="00EF10C1" w:rsidRPr="003B1AC8">
        <w:t xml:space="preserve"> for kWh</w:t>
      </w:r>
      <w:r w:rsidR="002D2EAF" w:rsidRPr="003B1AC8">
        <w:t xml:space="preserve"> or </w:t>
      </w:r>
      <w:proofErr w:type="spellStart"/>
      <w:r w:rsidR="002D2EAF" w:rsidRPr="003B1AC8">
        <w:t>therm</w:t>
      </w:r>
      <w:proofErr w:type="spellEnd"/>
      <w:r w:rsidR="00EF10C1" w:rsidRPr="003B1AC8">
        <w:t xml:space="preserve"> volumes</w:t>
      </w:r>
      <w:r w:rsidR="00500C80" w:rsidRPr="003B1AC8">
        <w:t xml:space="preserve"> may vary significantly due to seasonal fluctuations, weather, economic conditions, etc.  </w:t>
      </w:r>
      <w:r w:rsidR="002217E1" w:rsidRPr="003B1AC8">
        <w:t>Seasonal and temperature fluctuations must be “normalized” by long-term averages before applying customer growth expectations.  Taken together</w:t>
      </w:r>
      <w:r w:rsidR="00927650">
        <w:t>,</w:t>
      </w:r>
      <w:r w:rsidR="002217E1" w:rsidRPr="003B1AC8">
        <w:t xml:space="preserve"> these</w:t>
      </w:r>
      <w:r w:rsidR="0075453B" w:rsidRPr="003B1AC8">
        <w:t xml:space="preserve"> factors contribute to </w:t>
      </w:r>
      <w:r w:rsidR="002217E1" w:rsidRPr="003B1AC8">
        <w:t>the</w:t>
      </w:r>
      <w:r w:rsidR="00500C80" w:rsidRPr="003B1AC8">
        <w:t xml:space="preserve"> </w:t>
      </w:r>
      <w:r w:rsidR="002217E1" w:rsidRPr="003B1AC8">
        <w:t xml:space="preserve">projections in the </w:t>
      </w:r>
      <w:r w:rsidR="00500C80" w:rsidRPr="003B1AC8">
        <w:t xml:space="preserve">quantity </w:t>
      </w:r>
      <w:r w:rsidR="002217E1" w:rsidRPr="003B1AC8">
        <w:t xml:space="preserve">of </w:t>
      </w:r>
      <w:r w:rsidR="00D07099" w:rsidRPr="003B1AC8">
        <w:t>both</w:t>
      </w:r>
      <w:r w:rsidR="00500C80" w:rsidRPr="003B1AC8">
        <w:t xml:space="preserve"> billing </w:t>
      </w:r>
      <w:r w:rsidR="002217E1" w:rsidRPr="003B1AC8">
        <w:t>determinant</w:t>
      </w:r>
      <w:r w:rsidR="00D07099" w:rsidRPr="003B1AC8">
        <w:t>s.  This</w:t>
      </w:r>
      <w:r w:rsidR="00500C80" w:rsidRPr="003B1AC8">
        <w:t xml:space="preserve"> is the essence of a load forecast.  </w:t>
      </w:r>
    </w:p>
    <w:p w14:paraId="0B0AA75C" w14:textId="47E89BB0" w:rsidR="00500C80" w:rsidRDefault="002D3D19" w:rsidP="002D3D19">
      <w:pPr>
        <w:pStyle w:val="NoSpacing"/>
        <w:ind w:firstLine="720"/>
      </w:pPr>
      <w:r>
        <w:t xml:space="preserve">Alternatively, one could </w:t>
      </w:r>
      <w:r w:rsidRPr="003B1AC8">
        <w:t>quantify trends in the Company’s revenues</w:t>
      </w:r>
      <w:r w:rsidR="00EE4EB9">
        <w:t xml:space="preserve"> </w:t>
      </w:r>
      <w:r w:rsidR="0048792E">
        <w:t xml:space="preserve">that </w:t>
      </w:r>
      <w:r w:rsidR="00EE4EB9">
        <w:t>capture</w:t>
      </w:r>
      <w:r w:rsidR="0048792E">
        <w:t xml:space="preserve"> not only the trend in consumption, but also the changes in prices.  The use of the</w:t>
      </w:r>
      <w:r>
        <w:t xml:space="preserve"> load forecast </w:t>
      </w:r>
      <w:r w:rsidR="0048792E">
        <w:t xml:space="preserve">priced at current rates is </w:t>
      </w:r>
      <w:r>
        <w:t>a far more sophisticated analysis</w:t>
      </w:r>
      <w:r w:rsidR="0048792E">
        <w:t xml:space="preserve"> and a more relevant result</w:t>
      </w:r>
      <w:r w:rsidRPr="003B1AC8">
        <w:t xml:space="preserve">.  </w:t>
      </w:r>
    </w:p>
    <w:p w14:paraId="77932C52" w14:textId="77777777" w:rsidR="00174E53" w:rsidRPr="003B1AC8" w:rsidRDefault="00174E53" w:rsidP="00351AA1">
      <w:pPr>
        <w:pStyle w:val="NoSpacing"/>
      </w:pPr>
    </w:p>
    <w:p w14:paraId="0B0AA75D" w14:textId="451207F3" w:rsidR="002856A8" w:rsidRPr="003B1AC8" w:rsidRDefault="002856A8" w:rsidP="002856A8">
      <w:pPr>
        <w:spacing w:line="480" w:lineRule="auto"/>
        <w:ind w:left="720" w:hanging="720"/>
        <w:rPr>
          <w:rFonts w:ascii="Times New Roman" w:hAnsi="Times New Roman" w:cs="Times New Roman"/>
          <w:b/>
          <w:sz w:val="24"/>
          <w:szCs w:val="24"/>
        </w:rPr>
      </w:pPr>
      <w:r w:rsidRPr="003B1AC8">
        <w:rPr>
          <w:rFonts w:ascii="Times New Roman" w:hAnsi="Times New Roman" w:cs="Times New Roman"/>
          <w:b/>
          <w:sz w:val="24"/>
          <w:szCs w:val="24"/>
        </w:rPr>
        <w:t>Q.</w:t>
      </w:r>
      <w:r w:rsidRPr="003B1AC8">
        <w:rPr>
          <w:rFonts w:ascii="Times New Roman" w:hAnsi="Times New Roman" w:cs="Times New Roman"/>
          <w:b/>
          <w:sz w:val="24"/>
          <w:szCs w:val="24"/>
        </w:rPr>
        <w:tab/>
        <w:t>Is there evidence that Avista</w:t>
      </w:r>
      <w:r w:rsidR="00927650">
        <w:rPr>
          <w:rFonts w:ascii="Times New Roman" w:hAnsi="Times New Roman" w:cs="Times New Roman"/>
          <w:b/>
          <w:sz w:val="24"/>
          <w:szCs w:val="24"/>
        </w:rPr>
        <w:t xml:space="preserve">’s load forecast is </w:t>
      </w:r>
      <w:r w:rsidRPr="003B1AC8">
        <w:rPr>
          <w:rFonts w:ascii="Times New Roman" w:hAnsi="Times New Roman" w:cs="Times New Roman"/>
          <w:b/>
          <w:sz w:val="24"/>
          <w:szCs w:val="24"/>
        </w:rPr>
        <w:t>accurate?</w:t>
      </w:r>
    </w:p>
    <w:p w14:paraId="0B0AA75E" w14:textId="7E798952" w:rsidR="00D35535" w:rsidRDefault="002856A8" w:rsidP="00351AA1">
      <w:pPr>
        <w:pStyle w:val="NoSpacing"/>
      </w:pPr>
      <w:r w:rsidRPr="003B1AC8">
        <w:t>A.</w:t>
      </w:r>
      <w:r w:rsidRPr="003B1AC8">
        <w:tab/>
        <w:t xml:space="preserve">Yes.  </w:t>
      </w:r>
      <w:r w:rsidR="00E21878" w:rsidRPr="003B1AC8">
        <w:t xml:space="preserve">Based on the Company’s response to Staff </w:t>
      </w:r>
      <w:r w:rsidR="007609ED" w:rsidRPr="003B1AC8">
        <w:t>D</w:t>
      </w:r>
      <w:r w:rsidR="00E21878" w:rsidRPr="003B1AC8">
        <w:t xml:space="preserve">ata </w:t>
      </w:r>
      <w:r w:rsidR="007609ED" w:rsidRPr="003B1AC8">
        <w:t>R</w:t>
      </w:r>
      <w:r w:rsidR="00E21878" w:rsidRPr="003B1AC8">
        <w:t xml:space="preserve">equest </w:t>
      </w:r>
      <w:r w:rsidR="007F5926" w:rsidRPr="003B1AC8">
        <w:t>161</w:t>
      </w:r>
      <w:r w:rsidR="002D3D19">
        <w:t>, attached as Exhibit ___</w:t>
      </w:r>
      <w:r w:rsidR="00704264">
        <w:t xml:space="preserve"> </w:t>
      </w:r>
      <w:r w:rsidR="002D3D19">
        <w:t>(JLB-5)</w:t>
      </w:r>
      <w:r w:rsidR="00E21878" w:rsidRPr="003B1AC8">
        <w:t xml:space="preserve">, the </w:t>
      </w:r>
      <w:r w:rsidR="007F5926" w:rsidRPr="003B1AC8">
        <w:t xml:space="preserve">electric </w:t>
      </w:r>
      <w:r w:rsidR="00E21878" w:rsidRPr="003B1AC8">
        <w:t>load forecast</w:t>
      </w:r>
      <w:r w:rsidR="009B0B07" w:rsidRPr="003B1AC8">
        <w:t xml:space="preserve"> for 2013 presented in Avista’s last </w:t>
      </w:r>
      <w:proofErr w:type="spellStart"/>
      <w:r w:rsidR="009B0B07" w:rsidRPr="003B1AC8">
        <w:t>GRC</w:t>
      </w:r>
      <w:proofErr w:type="spellEnd"/>
      <w:r w:rsidR="009B0B07" w:rsidRPr="003B1AC8">
        <w:t xml:space="preserve"> </w:t>
      </w:r>
      <w:r w:rsidR="00331ED9" w:rsidRPr="003B1AC8">
        <w:t xml:space="preserve">was within </w:t>
      </w:r>
      <w:r w:rsidR="00D07099" w:rsidRPr="003B1AC8">
        <w:t>0</w:t>
      </w:r>
      <w:r w:rsidR="007F5926" w:rsidRPr="003B1AC8">
        <w:t>.86</w:t>
      </w:r>
      <w:r w:rsidR="00331ED9" w:rsidRPr="003B1AC8">
        <w:t>% of 2013</w:t>
      </w:r>
      <w:r w:rsidR="006A0C0E" w:rsidRPr="003B1AC8">
        <w:t xml:space="preserve"> normalized</w:t>
      </w:r>
      <w:r w:rsidR="00331ED9" w:rsidRPr="003B1AC8">
        <w:t xml:space="preserve"> actual loads.  </w:t>
      </w:r>
      <w:r w:rsidR="007F5926" w:rsidRPr="003B1AC8">
        <w:t xml:space="preserve">The </w:t>
      </w:r>
      <w:r w:rsidR="00704264">
        <w:t xml:space="preserve">Company’s </w:t>
      </w:r>
      <w:r w:rsidR="00927650">
        <w:t xml:space="preserve">forecast of </w:t>
      </w:r>
      <w:r w:rsidR="007F5926" w:rsidRPr="003B1AC8">
        <w:t xml:space="preserve">natural gas </w:t>
      </w:r>
      <w:proofErr w:type="spellStart"/>
      <w:r w:rsidR="007F5926" w:rsidRPr="003B1AC8">
        <w:t>therm</w:t>
      </w:r>
      <w:proofErr w:type="spellEnd"/>
      <w:r w:rsidR="007F5926" w:rsidRPr="003B1AC8">
        <w:t xml:space="preserve"> usage for 2013 was within </w:t>
      </w:r>
      <w:r w:rsidR="00D07099" w:rsidRPr="003B1AC8">
        <w:t>0</w:t>
      </w:r>
      <w:r w:rsidR="007F5926" w:rsidRPr="003B1AC8">
        <w:t xml:space="preserve">.08% of </w:t>
      </w:r>
      <w:r w:rsidR="00927650">
        <w:t xml:space="preserve">actual </w:t>
      </w:r>
      <w:r w:rsidR="007F5926" w:rsidRPr="003B1AC8">
        <w:t xml:space="preserve">2013 normalized usage.  </w:t>
      </w:r>
    </w:p>
    <w:p w14:paraId="3EA1A7E8" w14:textId="77777777" w:rsidR="002D3D19" w:rsidRPr="003B1AC8" w:rsidRDefault="002D3D19" w:rsidP="00351AA1">
      <w:pPr>
        <w:pStyle w:val="NoSpacing"/>
      </w:pPr>
    </w:p>
    <w:p w14:paraId="0B0AA75F" w14:textId="1D097566" w:rsidR="00D35535" w:rsidRPr="003B1AC8" w:rsidRDefault="00D35535" w:rsidP="00D35535">
      <w:pPr>
        <w:pStyle w:val="Heading2"/>
      </w:pPr>
      <w:bookmarkStart w:id="72" w:name="_Toc391989928"/>
      <w:bookmarkStart w:id="73" w:name="_Toc391990030"/>
      <w:bookmarkStart w:id="74" w:name="_Toc393023134"/>
      <w:bookmarkStart w:id="75" w:name="_Toc393023340"/>
      <w:r w:rsidRPr="003B1AC8">
        <w:t>Q.</w:t>
      </w:r>
      <w:r w:rsidRPr="003B1AC8">
        <w:tab/>
        <w:t xml:space="preserve">Has Avista </w:t>
      </w:r>
      <w:r w:rsidR="00927650">
        <w:t xml:space="preserve">modified </w:t>
      </w:r>
      <w:r w:rsidRPr="003B1AC8">
        <w:t xml:space="preserve">its forecasting methodology since the last </w:t>
      </w:r>
      <w:r w:rsidR="00927650">
        <w:t>general rate case</w:t>
      </w:r>
      <w:r w:rsidRPr="003B1AC8">
        <w:t>?</w:t>
      </w:r>
      <w:bookmarkEnd w:id="72"/>
      <w:bookmarkEnd w:id="73"/>
      <w:bookmarkEnd w:id="74"/>
      <w:bookmarkEnd w:id="75"/>
      <w:r w:rsidRPr="003B1AC8">
        <w:t xml:space="preserve"> </w:t>
      </w:r>
    </w:p>
    <w:p w14:paraId="0B0AA760" w14:textId="478B1A6F" w:rsidR="00E21878" w:rsidRPr="003B1AC8" w:rsidRDefault="00D35535" w:rsidP="00351AA1">
      <w:pPr>
        <w:pStyle w:val="NoSpacing"/>
      </w:pPr>
      <w:r w:rsidRPr="003B1AC8">
        <w:t>A.</w:t>
      </w:r>
      <w:r w:rsidRPr="003B1AC8">
        <w:tab/>
        <w:t xml:space="preserve">Yes.  As outlined </w:t>
      </w:r>
      <w:r w:rsidR="00704264">
        <w:t xml:space="preserve">in </w:t>
      </w:r>
      <w:r w:rsidRPr="003B1AC8">
        <w:t xml:space="preserve">the Company’s response to Staff </w:t>
      </w:r>
      <w:r w:rsidR="007609ED" w:rsidRPr="003B1AC8">
        <w:t>D</w:t>
      </w:r>
      <w:r w:rsidRPr="003B1AC8">
        <w:t xml:space="preserve">ata </w:t>
      </w:r>
      <w:r w:rsidR="007609ED" w:rsidRPr="003B1AC8">
        <w:t>R</w:t>
      </w:r>
      <w:r w:rsidRPr="003B1AC8">
        <w:t xml:space="preserve">equest </w:t>
      </w:r>
      <w:r w:rsidR="00A2377E" w:rsidRPr="003B1AC8">
        <w:t>162</w:t>
      </w:r>
      <w:r w:rsidR="00704264">
        <w:t xml:space="preserve">, </w:t>
      </w:r>
      <w:r w:rsidR="00331ED9" w:rsidRPr="003B1AC8">
        <w:t xml:space="preserve">the Company made </w:t>
      </w:r>
      <w:r w:rsidR="00927650">
        <w:t xml:space="preserve">many </w:t>
      </w:r>
      <w:r w:rsidR="00331ED9" w:rsidRPr="003B1AC8">
        <w:t xml:space="preserve">modifications to the load forecast </w:t>
      </w:r>
      <w:r w:rsidR="009B0B07" w:rsidRPr="003B1AC8">
        <w:t>including:</w:t>
      </w:r>
    </w:p>
    <w:p w14:paraId="0B0AA761" w14:textId="57323DAD" w:rsidR="009B0B07" w:rsidRPr="003B1AC8" w:rsidRDefault="00A11403" w:rsidP="00693452">
      <w:pPr>
        <w:pStyle w:val="ListParagraph"/>
        <w:numPr>
          <w:ilvl w:val="0"/>
          <w:numId w:val="7"/>
        </w:numPr>
        <w:spacing w:line="480" w:lineRule="auto"/>
        <w:rPr>
          <w:rFonts w:ascii="Times New Roman" w:hAnsi="Times New Roman" w:cs="Times New Roman"/>
          <w:sz w:val="24"/>
          <w:szCs w:val="24"/>
        </w:rPr>
      </w:pPr>
      <w:r w:rsidRPr="003B1AC8">
        <w:rPr>
          <w:rFonts w:ascii="Times New Roman" w:hAnsi="Times New Roman" w:cs="Times New Roman"/>
          <w:sz w:val="24"/>
          <w:szCs w:val="24"/>
        </w:rPr>
        <w:t>The use of the Statistical Analysis System (SAS) Econometrics and Time Series (</w:t>
      </w:r>
      <w:proofErr w:type="spellStart"/>
      <w:r w:rsidRPr="003B1AC8">
        <w:rPr>
          <w:rFonts w:ascii="Times New Roman" w:hAnsi="Times New Roman" w:cs="Times New Roman"/>
          <w:sz w:val="24"/>
          <w:szCs w:val="24"/>
        </w:rPr>
        <w:t>ETS</w:t>
      </w:r>
      <w:proofErr w:type="spellEnd"/>
      <w:r w:rsidRPr="003B1AC8">
        <w:rPr>
          <w:rFonts w:ascii="Times New Roman" w:hAnsi="Times New Roman" w:cs="Times New Roman"/>
          <w:sz w:val="24"/>
          <w:szCs w:val="24"/>
        </w:rPr>
        <w:t>) analysis software published by the SAS Institute</w:t>
      </w:r>
      <w:r w:rsidR="00927650">
        <w:rPr>
          <w:rFonts w:ascii="Times New Roman" w:hAnsi="Times New Roman" w:cs="Times New Roman"/>
          <w:sz w:val="24"/>
          <w:szCs w:val="24"/>
        </w:rPr>
        <w:t xml:space="preserve">; </w:t>
      </w:r>
      <w:r w:rsidRPr="003B1AC8">
        <w:rPr>
          <w:rFonts w:ascii="Times New Roman" w:hAnsi="Times New Roman" w:cs="Times New Roman"/>
          <w:sz w:val="24"/>
          <w:szCs w:val="24"/>
        </w:rPr>
        <w:t xml:space="preserve">  </w:t>
      </w:r>
    </w:p>
    <w:p w14:paraId="0B0AA762" w14:textId="76435704" w:rsidR="00416149" w:rsidRPr="003B1AC8" w:rsidRDefault="00416149" w:rsidP="00693452">
      <w:pPr>
        <w:pStyle w:val="ListParagraph"/>
        <w:numPr>
          <w:ilvl w:val="0"/>
          <w:numId w:val="7"/>
        </w:numPr>
        <w:spacing w:line="480" w:lineRule="auto"/>
        <w:rPr>
          <w:rFonts w:ascii="Times New Roman" w:hAnsi="Times New Roman" w:cs="Times New Roman"/>
          <w:sz w:val="24"/>
          <w:szCs w:val="24"/>
        </w:rPr>
      </w:pPr>
      <w:r w:rsidRPr="003B1AC8">
        <w:rPr>
          <w:rFonts w:ascii="Times New Roman" w:hAnsi="Times New Roman" w:cs="Times New Roman"/>
          <w:sz w:val="24"/>
          <w:szCs w:val="24"/>
        </w:rPr>
        <w:t>Using dummy variables to more accurately capture seasonal fluctuations</w:t>
      </w:r>
      <w:r w:rsidR="00927650">
        <w:rPr>
          <w:rFonts w:ascii="Times New Roman" w:hAnsi="Times New Roman" w:cs="Times New Roman"/>
          <w:sz w:val="24"/>
          <w:szCs w:val="24"/>
        </w:rPr>
        <w:t>;</w:t>
      </w:r>
    </w:p>
    <w:p w14:paraId="0B0AA763" w14:textId="2CFE777E" w:rsidR="00416149" w:rsidRPr="003B1AC8" w:rsidRDefault="00416149" w:rsidP="00693452">
      <w:pPr>
        <w:pStyle w:val="ListParagraph"/>
        <w:numPr>
          <w:ilvl w:val="0"/>
          <w:numId w:val="7"/>
        </w:numPr>
        <w:spacing w:line="480" w:lineRule="auto"/>
        <w:rPr>
          <w:rFonts w:ascii="Times New Roman" w:hAnsi="Times New Roman" w:cs="Times New Roman"/>
          <w:sz w:val="24"/>
          <w:szCs w:val="24"/>
        </w:rPr>
      </w:pPr>
      <w:r w:rsidRPr="003B1AC8">
        <w:rPr>
          <w:rFonts w:ascii="Times New Roman" w:hAnsi="Times New Roman" w:cs="Times New Roman"/>
          <w:sz w:val="24"/>
          <w:szCs w:val="24"/>
        </w:rPr>
        <w:t>Introducing new several new explanatory variable</w:t>
      </w:r>
      <w:r w:rsidR="00D07099" w:rsidRPr="003B1AC8">
        <w:rPr>
          <w:rFonts w:ascii="Times New Roman" w:hAnsi="Times New Roman" w:cs="Times New Roman"/>
          <w:sz w:val="24"/>
          <w:szCs w:val="24"/>
        </w:rPr>
        <w:t>s</w:t>
      </w:r>
      <w:r w:rsidRPr="003B1AC8">
        <w:rPr>
          <w:rFonts w:ascii="Times New Roman" w:hAnsi="Times New Roman" w:cs="Times New Roman"/>
          <w:sz w:val="24"/>
          <w:szCs w:val="24"/>
        </w:rPr>
        <w:t xml:space="preserve"> for usage</w:t>
      </w:r>
      <w:r w:rsidR="009F527E" w:rsidRPr="003B1AC8">
        <w:rPr>
          <w:rFonts w:ascii="Times New Roman" w:hAnsi="Times New Roman" w:cs="Times New Roman"/>
          <w:sz w:val="24"/>
          <w:szCs w:val="24"/>
        </w:rPr>
        <w:t xml:space="preserve"> per customer</w:t>
      </w:r>
      <w:r w:rsidR="00927650">
        <w:rPr>
          <w:rFonts w:ascii="Times New Roman" w:hAnsi="Times New Roman" w:cs="Times New Roman"/>
          <w:sz w:val="24"/>
          <w:szCs w:val="24"/>
        </w:rPr>
        <w:t>; and</w:t>
      </w:r>
    </w:p>
    <w:p w14:paraId="5A9775A8" w14:textId="01F2664A" w:rsidR="007609ED" w:rsidRDefault="00D32E7E" w:rsidP="002D3D19">
      <w:pPr>
        <w:pStyle w:val="ListParagraph"/>
        <w:numPr>
          <w:ilvl w:val="0"/>
          <w:numId w:val="7"/>
        </w:numPr>
        <w:spacing w:line="480" w:lineRule="auto"/>
        <w:rPr>
          <w:rFonts w:ascii="Times New Roman" w:hAnsi="Times New Roman" w:cs="Times New Roman"/>
          <w:sz w:val="24"/>
          <w:szCs w:val="24"/>
        </w:rPr>
      </w:pPr>
      <w:r w:rsidRPr="003B1AC8">
        <w:rPr>
          <w:rFonts w:ascii="Times New Roman" w:hAnsi="Times New Roman" w:cs="Times New Roman"/>
          <w:sz w:val="24"/>
          <w:szCs w:val="24"/>
        </w:rPr>
        <w:t xml:space="preserve">Increasing the number of sources used to for general economic </w:t>
      </w:r>
      <w:r w:rsidR="00A2377E" w:rsidRPr="003B1AC8">
        <w:rPr>
          <w:rFonts w:ascii="Times New Roman" w:hAnsi="Times New Roman" w:cs="Times New Roman"/>
          <w:sz w:val="24"/>
          <w:szCs w:val="24"/>
        </w:rPr>
        <w:t>indicators</w:t>
      </w:r>
      <w:bookmarkStart w:id="76" w:name="_Toc391989929"/>
      <w:bookmarkStart w:id="77" w:name="_Toc391990031"/>
      <w:r w:rsidR="00927650">
        <w:rPr>
          <w:rFonts w:ascii="Times New Roman" w:hAnsi="Times New Roman" w:cs="Times New Roman"/>
          <w:sz w:val="24"/>
          <w:szCs w:val="24"/>
        </w:rPr>
        <w:t>.</w:t>
      </w:r>
    </w:p>
    <w:p w14:paraId="7E5A278D" w14:textId="77777777" w:rsidR="002D3D19" w:rsidRPr="002D3D19" w:rsidRDefault="002D3D19" w:rsidP="002D3D19">
      <w:pPr>
        <w:spacing w:line="480" w:lineRule="auto"/>
        <w:rPr>
          <w:rFonts w:ascii="Times New Roman" w:hAnsi="Times New Roman" w:cs="Times New Roman"/>
          <w:sz w:val="24"/>
          <w:szCs w:val="24"/>
        </w:rPr>
      </w:pPr>
    </w:p>
    <w:p w14:paraId="0B0AA766" w14:textId="4E2AF4D1" w:rsidR="007B7155" w:rsidRPr="003B1AC8" w:rsidRDefault="007B7155" w:rsidP="007B7155">
      <w:pPr>
        <w:pStyle w:val="Heading2"/>
        <w:rPr>
          <w:b w:val="0"/>
        </w:rPr>
      </w:pPr>
      <w:bookmarkStart w:id="78" w:name="_Toc393023136"/>
      <w:bookmarkStart w:id="79" w:name="_Toc393023342"/>
      <w:r w:rsidRPr="003B1AC8">
        <w:t>Q.</w:t>
      </w:r>
      <w:r w:rsidRPr="003B1AC8">
        <w:tab/>
        <w:t xml:space="preserve">How </w:t>
      </w:r>
      <w:r w:rsidR="00927650">
        <w:t xml:space="preserve">should </w:t>
      </w:r>
      <w:r w:rsidRPr="003B1AC8">
        <w:t xml:space="preserve">these </w:t>
      </w:r>
      <w:r w:rsidR="00927650">
        <w:t>changes</w:t>
      </w:r>
      <w:r w:rsidRPr="003B1AC8">
        <w:t xml:space="preserve"> </w:t>
      </w:r>
      <w:r w:rsidR="006A0C0E" w:rsidRPr="003B1AC8">
        <w:t>impact</w:t>
      </w:r>
      <w:r w:rsidRPr="003B1AC8">
        <w:t xml:space="preserve"> the Company’s </w:t>
      </w:r>
      <w:r w:rsidR="008004C0" w:rsidRPr="003B1AC8">
        <w:t>load</w:t>
      </w:r>
      <w:r w:rsidRPr="003B1AC8">
        <w:t xml:space="preserve"> forecast?</w:t>
      </w:r>
      <w:bookmarkEnd w:id="76"/>
      <w:bookmarkEnd w:id="77"/>
      <w:bookmarkEnd w:id="78"/>
      <w:bookmarkEnd w:id="79"/>
    </w:p>
    <w:p w14:paraId="2B791FCF" w14:textId="695C45A5" w:rsidR="002F37CF" w:rsidRPr="003B1AC8" w:rsidRDefault="007B7155" w:rsidP="00351AA1">
      <w:pPr>
        <w:pStyle w:val="NoSpacing"/>
      </w:pPr>
      <w:r w:rsidRPr="003B1AC8">
        <w:t>A.</w:t>
      </w:r>
      <w:r w:rsidRPr="003B1AC8">
        <w:tab/>
      </w:r>
      <w:r w:rsidR="007609ED" w:rsidRPr="003B1AC8">
        <w:t>T</w:t>
      </w:r>
      <w:r w:rsidRPr="003B1AC8">
        <w:t xml:space="preserve">hese </w:t>
      </w:r>
      <w:r w:rsidR="00704264">
        <w:t>changes</w:t>
      </w:r>
      <w:r w:rsidRPr="003B1AC8">
        <w:t xml:space="preserve"> </w:t>
      </w:r>
      <w:r w:rsidR="007609ED" w:rsidRPr="003B1AC8">
        <w:t xml:space="preserve">should </w:t>
      </w:r>
      <w:r w:rsidRPr="003B1AC8">
        <w:t xml:space="preserve">increase the accuracy of Avista’s load forecast.  </w:t>
      </w:r>
      <w:r w:rsidR="00704264">
        <w:t>B</w:t>
      </w:r>
      <w:r w:rsidRPr="003B1AC8">
        <w:t>y using a more sophisticated and robust statistical analysis software, the Company will be able to model wit</w:t>
      </w:r>
      <w:r w:rsidR="006A0C0E" w:rsidRPr="003B1AC8">
        <w:t xml:space="preserve">h more certainty the load growth.  </w:t>
      </w:r>
      <w:r w:rsidR="00704264">
        <w:t>Nonetheless</w:t>
      </w:r>
      <w:r w:rsidR="006A0C0E" w:rsidRPr="003B1AC8">
        <w:t>, long term projections of load n</w:t>
      </w:r>
      <w:r w:rsidR="00A11403" w:rsidRPr="003B1AC8">
        <w:t xml:space="preserve">ecessarily </w:t>
      </w:r>
      <w:r w:rsidR="00704264">
        <w:t xml:space="preserve">are </w:t>
      </w:r>
      <w:r w:rsidR="00A11403" w:rsidRPr="003B1AC8">
        <w:t>less certain</w:t>
      </w:r>
      <w:r w:rsidR="00704264">
        <w:t xml:space="preserve"> than shorter term forecasts</w:t>
      </w:r>
      <w:r w:rsidR="00A11403" w:rsidRPr="003B1AC8">
        <w:t xml:space="preserve">.  Therefore, reliance on </w:t>
      </w:r>
      <w:r w:rsidR="00704264">
        <w:t xml:space="preserve">a </w:t>
      </w:r>
      <w:r w:rsidR="00A11403" w:rsidRPr="003B1AC8">
        <w:t xml:space="preserve">load forecast for </w:t>
      </w:r>
      <w:r w:rsidR="00704264">
        <w:t xml:space="preserve">purposes of </w:t>
      </w:r>
      <w:r w:rsidR="008937AC" w:rsidRPr="003B1AC8">
        <w:t xml:space="preserve">setting </w:t>
      </w:r>
      <w:r w:rsidR="00A11403" w:rsidRPr="003B1AC8">
        <w:t>rates should remain within a short-term (5-year) horizon.</w:t>
      </w:r>
    </w:p>
    <w:p w14:paraId="15B2041A" w14:textId="77777777" w:rsidR="00704264" w:rsidRDefault="00704264" w:rsidP="00461111">
      <w:pPr>
        <w:pStyle w:val="Heading2"/>
      </w:pPr>
    </w:p>
    <w:p w14:paraId="0B0AA768" w14:textId="234049D1" w:rsidR="00D35535" w:rsidRPr="003B1AC8" w:rsidRDefault="007B7155" w:rsidP="00BD533D">
      <w:pPr>
        <w:pStyle w:val="Heading2"/>
        <w:keepNext/>
      </w:pPr>
      <w:bookmarkStart w:id="80" w:name="_Toc391989930"/>
      <w:bookmarkStart w:id="81" w:name="_Toc391990032"/>
      <w:bookmarkStart w:id="82" w:name="_Toc393023137"/>
      <w:bookmarkStart w:id="83" w:name="_Toc393023343"/>
      <w:r w:rsidRPr="003B1AC8">
        <w:t>Q.</w:t>
      </w:r>
      <w:r w:rsidRPr="003B1AC8">
        <w:tab/>
        <w:t>Does this conclude your testimony?</w:t>
      </w:r>
      <w:bookmarkEnd w:id="80"/>
      <w:bookmarkEnd w:id="81"/>
      <w:bookmarkEnd w:id="82"/>
      <w:bookmarkEnd w:id="83"/>
      <w:r w:rsidRPr="003B1AC8">
        <w:t xml:space="preserve"> </w:t>
      </w:r>
    </w:p>
    <w:p w14:paraId="0B0AA769" w14:textId="77111008" w:rsidR="009B0B07" w:rsidRPr="003B1AC8" w:rsidRDefault="006A0C0E" w:rsidP="00351AA1">
      <w:pPr>
        <w:pStyle w:val="NoSpacing"/>
      </w:pPr>
      <w:r w:rsidRPr="003B1AC8">
        <w:t>A.</w:t>
      </w:r>
      <w:r w:rsidRPr="003B1AC8">
        <w:tab/>
        <w:t>Yes</w:t>
      </w:r>
      <w:r w:rsidR="007609ED" w:rsidRPr="003B1AC8">
        <w:t>.</w:t>
      </w:r>
    </w:p>
    <w:sectPr w:rsidR="009B0B07" w:rsidRPr="003B1AC8" w:rsidSect="000E0390">
      <w:pgSz w:w="12240" w:h="15840" w:code="1"/>
      <w:pgMar w:top="1440" w:right="1440" w:bottom="1440" w:left="1872" w:header="720" w:footer="720" w:gutter="0"/>
      <w:lnNumType w:countBy="1"/>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0489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624EE6" w14:textId="77777777" w:rsidR="003D3A78" w:rsidRDefault="003D3A78" w:rsidP="00CC09B5">
      <w:r>
        <w:separator/>
      </w:r>
    </w:p>
    <w:p w14:paraId="48798154" w14:textId="77777777" w:rsidR="003D3A78" w:rsidRDefault="003D3A78"/>
    <w:p w14:paraId="7863610F" w14:textId="77777777" w:rsidR="003D3A78" w:rsidRDefault="003D3A78" w:rsidP="00352C04"/>
    <w:p w14:paraId="178F6BB8" w14:textId="77777777" w:rsidR="003D3A78" w:rsidRDefault="003D3A78" w:rsidP="00352C04"/>
  </w:endnote>
  <w:endnote w:type="continuationSeparator" w:id="0">
    <w:p w14:paraId="2DF71B94" w14:textId="77777777" w:rsidR="003D3A78" w:rsidRDefault="003D3A78" w:rsidP="00CC09B5">
      <w:r>
        <w:continuationSeparator/>
      </w:r>
    </w:p>
    <w:p w14:paraId="7BE9BEED" w14:textId="77777777" w:rsidR="003D3A78" w:rsidRDefault="003D3A78"/>
    <w:p w14:paraId="514E72D9" w14:textId="77777777" w:rsidR="003D3A78" w:rsidRDefault="003D3A78" w:rsidP="00352C04"/>
    <w:p w14:paraId="4998C646" w14:textId="77777777" w:rsidR="003D3A78" w:rsidRDefault="003D3A78" w:rsidP="00352C04"/>
  </w:endnote>
  <w:endnote w:type="continuationNotice" w:id="1">
    <w:p w14:paraId="2CA15F11" w14:textId="77777777" w:rsidR="003D3A78" w:rsidRDefault="003D3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AA77C" w14:textId="77777777" w:rsidR="003D3A78" w:rsidRPr="00DC40BC" w:rsidRDefault="003D3A78" w:rsidP="00CC09B5">
    <w:pPr>
      <w:pStyle w:val="Footer"/>
      <w:rPr>
        <w:sz w:val="20"/>
        <w:szCs w:val="20"/>
      </w:rPr>
    </w:pPr>
  </w:p>
  <w:p w14:paraId="0B0AA77D" w14:textId="1F0EB051" w:rsidR="003D3A78" w:rsidRPr="00022107" w:rsidRDefault="003D3A78" w:rsidP="00CC09B5">
    <w:pPr>
      <w:pStyle w:val="Footer"/>
      <w:rPr>
        <w:rFonts w:ascii="Times New Roman" w:hAnsi="Times New Roman" w:cs="Times New Roman"/>
        <w:sz w:val="20"/>
        <w:szCs w:val="20"/>
      </w:rPr>
    </w:pPr>
    <w:r w:rsidRPr="00022107">
      <w:rPr>
        <w:rFonts w:ascii="Times New Roman" w:hAnsi="Times New Roman" w:cs="Times New Roman"/>
        <w:sz w:val="20"/>
        <w:szCs w:val="20"/>
      </w:rPr>
      <w:t xml:space="preserve">TESTIMONY OF JASON L. BALL </w:t>
    </w:r>
    <w:r w:rsidRPr="00022107">
      <w:rPr>
        <w:rFonts w:ascii="Times New Roman" w:hAnsi="Times New Roman" w:cs="Times New Roman"/>
        <w:sz w:val="20"/>
        <w:szCs w:val="20"/>
      </w:rPr>
      <w:tab/>
    </w:r>
    <w:r w:rsidRPr="00022107">
      <w:rPr>
        <w:rFonts w:ascii="Times New Roman" w:hAnsi="Times New Roman" w:cs="Times New Roman"/>
        <w:sz w:val="20"/>
        <w:szCs w:val="20"/>
      </w:rPr>
      <w:tab/>
      <w:t>Exhibit No. ___</w:t>
    </w:r>
    <w:r>
      <w:rPr>
        <w:rFonts w:ascii="Times New Roman" w:hAnsi="Times New Roman" w:cs="Times New Roman"/>
        <w:sz w:val="20"/>
        <w:szCs w:val="20"/>
      </w:rPr>
      <w:t>T</w:t>
    </w:r>
    <w:r w:rsidRPr="00022107">
      <w:rPr>
        <w:rFonts w:ascii="Times New Roman" w:hAnsi="Times New Roman" w:cs="Times New Roman"/>
        <w:sz w:val="20"/>
        <w:szCs w:val="20"/>
      </w:rPr>
      <w:t xml:space="preserve"> (JLB-1</w:t>
    </w:r>
    <w:r>
      <w:rPr>
        <w:rFonts w:ascii="Times New Roman" w:hAnsi="Times New Roman" w:cs="Times New Roman"/>
        <w:sz w:val="20"/>
        <w:szCs w:val="20"/>
      </w:rPr>
      <w:t>T</w:t>
    </w:r>
    <w:r w:rsidRPr="00022107">
      <w:rPr>
        <w:rFonts w:ascii="Times New Roman" w:hAnsi="Times New Roman" w:cs="Times New Roman"/>
        <w:sz w:val="20"/>
        <w:szCs w:val="20"/>
      </w:rPr>
      <w:t>)</w:t>
    </w:r>
  </w:p>
  <w:p w14:paraId="0B0AA77E" w14:textId="51615BE1" w:rsidR="003D3A78" w:rsidRPr="00022107" w:rsidRDefault="003D3A78" w:rsidP="00CC09B5">
    <w:pPr>
      <w:pStyle w:val="Footer"/>
      <w:rPr>
        <w:rStyle w:val="PageNumber"/>
        <w:rFonts w:ascii="Times New Roman" w:hAnsi="Times New Roman"/>
        <w:sz w:val="20"/>
        <w:szCs w:val="20"/>
        <w:lang w:val="fr-FR"/>
      </w:rPr>
    </w:pPr>
    <w:r w:rsidRPr="00022107">
      <w:rPr>
        <w:rFonts w:ascii="Times New Roman" w:hAnsi="Times New Roman" w:cs="Times New Roman"/>
        <w:sz w:val="20"/>
        <w:szCs w:val="20"/>
      </w:rPr>
      <w:t>Docket</w:t>
    </w:r>
    <w:r w:rsidRPr="00022107">
      <w:rPr>
        <w:rFonts w:ascii="Times New Roman" w:hAnsi="Times New Roman" w:cs="Times New Roman"/>
        <w:sz w:val="20"/>
        <w:szCs w:val="20"/>
        <w:lang w:val="fr-FR"/>
      </w:rPr>
      <w:t xml:space="preserve"> UE-140188</w:t>
    </w:r>
    <w:r>
      <w:rPr>
        <w:rFonts w:ascii="Times New Roman" w:hAnsi="Times New Roman" w:cs="Times New Roman"/>
        <w:sz w:val="20"/>
        <w:szCs w:val="20"/>
        <w:lang w:val="fr-FR"/>
      </w:rPr>
      <w:t>/</w:t>
    </w:r>
    <w:r w:rsidRPr="005A3FD8">
      <w:rPr>
        <w:rFonts w:ascii="Times New Roman" w:hAnsi="Times New Roman" w:cs="Times New Roman"/>
        <w:sz w:val="20"/>
        <w:szCs w:val="20"/>
        <w:lang w:val="fr-FR"/>
      </w:rPr>
      <w:t>UG-140189</w:t>
    </w:r>
    <w:r w:rsidRPr="00022107">
      <w:rPr>
        <w:rFonts w:ascii="Times New Roman" w:hAnsi="Times New Roman" w:cs="Times New Roman"/>
        <w:sz w:val="20"/>
        <w:szCs w:val="20"/>
        <w:lang w:val="fr-FR"/>
      </w:rPr>
      <w:tab/>
    </w:r>
    <w:r w:rsidRPr="00022107">
      <w:rPr>
        <w:rFonts w:ascii="Times New Roman" w:hAnsi="Times New Roman" w:cs="Times New Roman"/>
        <w:sz w:val="20"/>
        <w:szCs w:val="20"/>
        <w:lang w:val="fr-FR"/>
      </w:rPr>
      <w:tab/>
      <w:t xml:space="preserve">Page </w:t>
    </w:r>
    <w:r w:rsidRPr="00022107">
      <w:rPr>
        <w:rStyle w:val="PageNumber"/>
        <w:rFonts w:ascii="Times New Roman" w:hAnsi="Times New Roman"/>
        <w:sz w:val="20"/>
        <w:szCs w:val="20"/>
        <w:lang w:val="fr-FR"/>
      </w:rPr>
      <w:fldChar w:fldCharType="begin"/>
    </w:r>
    <w:r w:rsidRPr="00022107">
      <w:rPr>
        <w:rStyle w:val="PageNumber"/>
        <w:rFonts w:ascii="Times New Roman" w:hAnsi="Times New Roman"/>
        <w:sz w:val="20"/>
        <w:szCs w:val="20"/>
        <w:lang w:val="fr-FR"/>
      </w:rPr>
      <w:instrText xml:space="preserve"> PAGE </w:instrText>
    </w:r>
    <w:r w:rsidRPr="00022107">
      <w:rPr>
        <w:rStyle w:val="PageNumber"/>
        <w:rFonts w:ascii="Times New Roman" w:hAnsi="Times New Roman"/>
        <w:sz w:val="20"/>
        <w:szCs w:val="20"/>
        <w:lang w:val="fr-FR"/>
      </w:rPr>
      <w:fldChar w:fldCharType="separate"/>
    </w:r>
    <w:r w:rsidR="00F82331">
      <w:rPr>
        <w:rStyle w:val="PageNumber"/>
        <w:rFonts w:ascii="Times New Roman" w:hAnsi="Times New Roman"/>
        <w:noProof/>
        <w:sz w:val="20"/>
        <w:szCs w:val="20"/>
        <w:lang w:val="fr-FR"/>
      </w:rPr>
      <w:t>13</w:t>
    </w:r>
    <w:r w:rsidRPr="00022107">
      <w:rPr>
        <w:rStyle w:val="PageNumber"/>
        <w:rFonts w:ascii="Times New Roman" w:hAnsi="Times New Roman"/>
        <w:sz w:val="20"/>
        <w:szCs w:val="20"/>
        <w:lang w:val="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A6531F" w14:textId="77777777" w:rsidR="003D3A78" w:rsidRDefault="003D3A78" w:rsidP="00352C04">
      <w:r>
        <w:separator/>
      </w:r>
    </w:p>
  </w:footnote>
  <w:footnote w:type="continuationSeparator" w:id="0">
    <w:p w14:paraId="1833950B" w14:textId="77777777" w:rsidR="003D3A78" w:rsidRDefault="003D3A78" w:rsidP="00352C04">
      <w:r>
        <w:continuationSeparator/>
      </w:r>
    </w:p>
  </w:footnote>
  <w:footnote w:type="continuationNotice" w:id="1">
    <w:p w14:paraId="53342CCC" w14:textId="77777777" w:rsidR="003D3A78" w:rsidRDefault="003D3A78"/>
  </w:footnote>
  <w:footnote w:id="2">
    <w:p w14:paraId="27B2F5FF" w14:textId="5A2E4E98" w:rsidR="003D3A78" w:rsidRPr="00D63504" w:rsidRDefault="003D3A78">
      <w:pPr>
        <w:pStyle w:val="FootnoteText"/>
        <w:rPr>
          <w:rFonts w:ascii="Times New Roman" w:hAnsi="Times New Roman" w:cs="Times New Roman"/>
        </w:rPr>
      </w:pPr>
      <w:r w:rsidRPr="00D63504">
        <w:rPr>
          <w:rStyle w:val="FootnoteReference"/>
          <w:rFonts w:ascii="Times New Roman" w:hAnsi="Times New Roman" w:cs="Times New Roman"/>
        </w:rPr>
        <w:footnoteRef/>
      </w:r>
      <w:r w:rsidRPr="00D63504">
        <w:rPr>
          <w:rFonts w:ascii="Times New Roman" w:hAnsi="Times New Roman" w:cs="Times New Roman"/>
        </w:rPr>
        <w:t xml:space="preserve"> The Company’s original filing is summarized in the “As Filed” column of </w:t>
      </w:r>
      <w:r>
        <w:rPr>
          <w:rFonts w:ascii="Times New Roman" w:hAnsi="Times New Roman" w:cs="Times New Roman"/>
        </w:rPr>
        <w:t>Exhibit No.</w:t>
      </w:r>
      <w:r w:rsidRPr="00D63504">
        <w:rPr>
          <w:rFonts w:ascii="Times New Roman" w:hAnsi="Times New Roman" w:cs="Times New Roman"/>
        </w:rPr>
        <w:t xml:space="preserve"> __</w:t>
      </w:r>
      <w:proofErr w:type="gramStart"/>
      <w:r w:rsidRPr="00D63504">
        <w:rPr>
          <w:rFonts w:ascii="Times New Roman" w:hAnsi="Times New Roman" w:cs="Times New Roman"/>
        </w:rPr>
        <w:t>_(</w:t>
      </w:r>
      <w:proofErr w:type="gramEnd"/>
      <w:r>
        <w:rPr>
          <w:rFonts w:ascii="Times New Roman" w:hAnsi="Times New Roman" w:cs="Times New Roman"/>
        </w:rPr>
        <w:t>JLB-3C</w:t>
      </w:r>
      <w:r w:rsidRPr="00D63504">
        <w:rPr>
          <w:rFonts w:ascii="Times New Roman" w:hAnsi="Times New Roman" w:cs="Times New Roman"/>
        </w:rPr>
        <w:t xml:space="preserve">), </w:t>
      </w:r>
      <w:r w:rsidR="0020738C">
        <w:rPr>
          <w:rFonts w:ascii="Times New Roman" w:hAnsi="Times New Roman" w:cs="Times New Roman"/>
        </w:rPr>
        <w:t>at</w:t>
      </w:r>
      <w:r w:rsidRPr="00D63504">
        <w:rPr>
          <w:rFonts w:ascii="Times New Roman" w:hAnsi="Times New Roman" w:cs="Times New Roman"/>
        </w:rPr>
        <w:t xml:space="preserve"> 1</w:t>
      </w:r>
      <w:r>
        <w:rPr>
          <w:rFonts w:ascii="Times New Roman" w:hAnsi="Times New Roman" w:cs="Times New Roman"/>
        </w:rPr>
        <w:t>.</w:t>
      </w:r>
    </w:p>
  </w:footnote>
  <w:footnote w:id="3">
    <w:p w14:paraId="50263A04" w14:textId="00559336" w:rsidR="003D3A78" w:rsidRPr="00D63504" w:rsidRDefault="003D3A78">
      <w:pPr>
        <w:pStyle w:val="FootnoteText"/>
        <w:rPr>
          <w:rFonts w:ascii="Times New Roman" w:hAnsi="Times New Roman" w:cs="Times New Roman"/>
        </w:rPr>
      </w:pPr>
      <w:r w:rsidRPr="00D63504">
        <w:rPr>
          <w:rStyle w:val="FootnoteReference"/>
          <w:rFonts w:ascii="Times New Roman" w:hAnsi="Times New Roman" w:cs="Times New Roman"/>
        </w:rPr>
        <w:footnoteRef/>
      </w:r>
      <w:r w:rsidRPr="00D63504">
        <w:rPr>
          <w:rFonts w:ascii="Times New Roman" w:hAnsi="Times New Roman" w:cs="Times New Roman"/>
        </w:rPr>
        <w:t xml:space="preserve"> The Updated information is summarized in the “Updated” column of </w:t>
      </w:r>
      <w:r>
        <w:rPr>
          <w:rFonts w:ascii="Times New Roman" w:hAnsi="Times New Roman" w:cs="Times New Roman"/>
        </w:rPr>
        <w:t>Exhibit No. __</w:t>
      </w:r>
      <w:proofErr w:type="gramStart"/>
      <w:r>
        <w:rPr>
          <w:rFonts w:ascii="Times New Roman" w:hAnsi="Times New Roman" w:cs="Times New Roman"/>
        </w:rPr>
        <w:t>_(</w:t>
      </w:r>
      <w:proofErr w:type="gramEnd"/>
      <w:r>
        <w:rPr>
          <w:rFonts w:ascii="Times New Roman" w:hAnsi="Times New Roman" w:cs="Times New Roman"/>
        </w:rPr>
        <w:t>JLB-3C</w:t>
      </w:r>
      <w:r w:rsidRPr="00D63504">
        <w:rPr>
          <w:rFonts w:ascii="Times New Roman" w:hAnsi="Times New Roman" w:cs="Times New Roman"/>
        </w:rPr>
        <w:t xml:space="preserve">), </w:t>
      </w:r>
      <w:r w:rsidR="0020738C">
        <w:rPr>
          <w:rFonts w:ascii="Times New Roman" w:hAnsi="Times New Roman" w:cs="Times New Roman"/>
        </w:rPr>
        <w:t>at</w:t>
      </w:r>
      <w:r w:rsidRPr="00D63504">
        <w:rPr>
          <w:rFonts w:ascii="Times New Roman" w:hAnsi="Times New Roman" w:cs="Times New Roman"/>
        </w:rPr>
        <w:t xml:space="preserve"> 1</w:t>
      </w:r>
      <w:r>
        <w:rPr>
          <w:rFonts w:ascii="Times New Roman" w:hAnsi="Times New Roman" w:cs="Times New Roman"/>
        </w:rPr>
        <w:t>.</w:t>
      </w:r>
    </w:p>
  </w:footnote>
  <w:footnote w:id="4">
    <w:p w14:paraId="36A46D71" w14:textId="272F609B" w:rsidR="003D3A78" w:rsidRPr="00D63504" w:rsidRDefault="003D3A78">
      <w:pPr>
        <w:pStyle w:val="FootnoteText"/>
        <w:rPr>
          <w:rFonts w:ascii="Times New Roman" w:hAnsi="Times New Roman" w:cs="Times New Roman"/>
        </w:rPr>
      </w:pPr>
      <w:r w:rsidRPr="00D63504">
        <w:rPr>
          <w:rStyle w:val="FootnoteReference"/>
          <w:rFonts w:ascii="Times New Roman" w:hAnsi="Times New Roman" w:cs="Times New Roman"/>
        </w:rPr>
        <w:footnoteRef/>
      </w:r>
      <w:r w:rsidRPr="00D63504">
        <w:rPr>
          <w:rFonts w:ascii="Times New Roman" w:hAnsi="Times New Roman" w:cs="Times New Roman"/>
        </w:rPr>
        <w:t xml:space="preserve"> Staff’s Changes are summarized in the “Staff Rate year” column of </w:t>
      </w:r>
      <w:r>
        <w:rPr>
          <w:rFonts w:ascii="Times New Roman" w:hAnsi="Times New Roman" w:cs="Times New Roman"/>
        </w:rPr>
        <w:t>Exhibit No. __</w:t>
      </w:r>
      <w:proofErr w:type="gramStart"/>
      <w:r>
        <w:rPr>
          <w:rFonts w:ascii="Times New Roman" w:hAnsi="Times New Roman" w:cs="Times New Roman"/>
        </w:rPr>
        <w:t>_(</w:t>
      </w:r>
      <w:proofErr w:type="gramEnd"/>
      <w:r>
        <w:rPr>
          <w:rFonts w:ascii="Times New Roman" w:hAnsi="Times New Roman" w:cs="Times New Roman"/>
        </w:rPr>
        <w:t>JLB-3C</w:t>
      </w:r>
      <w:r w:rsidRPr="00D63504">
        <w:rPr>
          <w:rFonts w:ascii="Times New Roman" w:hAnsi="Times New Roman" w:cs="Times New Roman"/>
        </w:rPr>
        <w:t xml:space="preserve">), </w:t>
      </w:r>
      <w:r w:rsidR="0020738C">
        <w:rPr>
          <w:rFonts w:ascii="Times New Roman" w:hAnsi="Times New Roman" w:cs="Times New Roman"/>
        </w:rPr>
        <w:t>at</w:t>
      </w:r>
      <w:r w:rsidRPr="00D63504">
        <w:rPr>
          <w:rFonts w:ascii="Times New Roman" w:hAnsi="Times New Roman" w:cs="Times New Roman"/>
        </w:rPr>
        <w:t xml:space="preserve"> 1</w:t>
      </w:r>
      <w:r>
        <w:rPr>
          <w:rFonts w:ascii="Times New Roman" w:hAnsi="Times New Roman" w:cs="Times New Roman"/>
        </w:rPr>
        <w:t>.</w:t>
      </w:r>
    </w:p>
  </w:footnote>
  <w:footnote w:id="5">
    <w:p w14:paraId="619E1DD4" w14:textId="1AC76BA5" w:rsidR="003D3A78" w:rsidRPr="00D63504" w:rsidRDefault="003D3A78">
      <w:pPr>
        <w:pStyle w:val="FootnoteText"/>
        <w:rPr>
          <w:rFonts w:ascii="Times New Roman" w:hAnsi="Times New Roman" w:cs="Times New Roman"/>
        </w:rPr>
      </w:pPr>
      <w:r w:rsidRPr="00D63504">
        <w:rPr>
          <w:rStyle w:val="FootnoteReference"/>
          <w:rFonts w:ascii="Times New Roman" w:hAnsi="Times New Roman" w:cs="Times New Roman"/>
        </w:rPr>
        <w:footnoteRef/>
      </w:r>
      <w:r w:rsidRPr="00D63504">
        <w:rPr>
          <w:rFonts w:ascii="Times New Roman" w:hAnsi="Times New Roman" w:cs="Times New Roman"/>
        </w:rPr>
        <w:t xml:space="preserve"> </w:t>
      </w:r>
      <w:r w:rsidR="0020738C">
        <w:rPr>
          <w:rFonts w:ascii="Times New Roman" w:hAnsi="Times New Roman" w:cs="Times New Roman"/>
        </w:rPr>
        <w:t>Ball</w:t>
      </w:r>
      <w:r w:rsidR="00C644DA">
        <w:rPr>
          <w:rFonts w:ascii="Times New Roman" w:hAnsi="Times New Roman" w:cs="Times New Roman"/>
        </w:rPr>
        <w:t>,</w:t>
      </w:r>
      <w:r w:rsidR="0020738C">
        <w:rPr>
          <w:rFonts w:ascii="Times New Roman" w:hAnsi="Times New Roman" w:cs="Times New Roman"/>
        </w:rPr>
        <w:t xml:space="preserve"> </w:t>
      </w:r>
      <w:r>
        <w:rPr>
          <w:rFonts w:ascii="Times New Roman" w:hAnsi="Times New Roman" w:cs="Times New Roman"/>
        </w:rPr>
        <w:t>Exhibit No.</w:t>
      </w:r>
      <w:r w:rsidRPr="00D63504">
        <w:rPr>
          <w:rFonts w:ascii="Times New Roman" w:hAnsi="Times New Roman" w:cs="Times New Roman"/>
        </w:rPr>
        <w:t xml:space="preserve"> __</w:t>
      </w:r>
      <w:proofErr w:type="gramStart"/>
      <w:r w:rsidRPr="00D63504">
        <w:rPr>
          <w:rFonts w:ascii="Times New Roman" w:hAnsi="Times New Roman" w:cs="Times New Roman"/>
        </w:rPr>
        <w:t>_(</w:t>
      </w:r>
      <w:proofErr w:type="gramEnd"/>
      <w:r w:rsidRPr="00D63504">
        <w:rPr>
          <w:rFonts w:ascii="Times New Roman" w:hAnsi="Times New Roman" w:cs="Times New Roman"/>
        </w:rPr>
        <w:t>JLB-2)</w:t>
      </w:r>
      <w:r>
        <w:rPr>
          <w:rFonts w:ascii="Times New Roman" w:hAnsi="Times New Roman" w:cs="Times New Roman"/>
        </w:rPr>
        <w:t xml:space="preserve"> </w:t>
      </w:r>
      <w:r w:rsidRPr="00D63504">
        <w:rPr>
          <w:rFonts w:ascii="Times New Roman" w:hAnsi="Times New Roman" w:cs="Times New Roman"/>
        </w:rPr>
        <w:t xml:space="preserve">at 10:7 </w:t>
      </w:r>
      <w:r w:rsidR="007D4069">
        <w:rPr>
          <w:rFonts w:ascii="Times New Roman" w:hAnsi="Times New Roman" w:cs="Times New Roman"/>
        </w:rPr>
        <w:t>–</w:t>
      </w:r>
      <w:r w:rsidRPr="00D63504">
        <w:rPr>
          <w:rFonts w:ascii="Times New Roman" w:hAnsi="Times New Roman" w:cs="Times New Roman"/>
        </w:rPr>
        <w:t xml:space="preserve"> 11:3</w:t>
      </w:r>
      <w:r>
        <w:rPr>
          <w:rFonts w:ascii="Times New Roman" w:hAnsi="Times New Roman" w:cs="Times New Roman"/>
        </w:rPr>
        <w:t>.</w:t>
      </w:r>
    </w:p>
  </w:footnote>
  <w:footnote w:id="6">
    <w:p w14:paraId="539F0937" w14:textId="76FCCEF4" w:rsidR="003D3A78" w:rsidRPr="00D63504" w:rsidRDefault="003D3A78">
      <w:pPr>
        <w:pStyle w:val="FootnoteText"/>
        <w:rPr>
          <w:rFonts w:ascii="Times New Roman" w:hAnsi="Times New Roman" w:cs="Times New Roman"/>
        </w:rPr>
      </w:pPr>
      <w:r w:rsidRPr="00D63504">
        <w:rPr>
          <w:rStyle w:val="FootnoteReference"/>
          <w:rFonts w:ascii="Times New Roman" w:hAnsi="Times New Roman" w:cs="Times New Roman"/>
        </w:rPr>
        <w:footnoteRef/>
      </w:r>
      <w:r w:rsidRPr="00D63504">
        <w:rPr>
          <w:rFonts w:ascii="Times New Roman" w:hAnsi="Times New Roman" w:cs="Times New Roman"/>
        </w:rPr>
        <w:t xml:space="preserve"> </w:t>
      </w:r>
      <w:r w:rsidR="0020738C">
        <w:rPr>
          <w:rFonts w:ascii="Times New Roman" w:hAnsi="Times New Roman" w:cs="Times New Roman"/>
        </w:rPr>
        <w:t>Ball</w:t>
      </w:r>
      <w:r w:rsidR="00C644DA">
        <w:rPr>
          <w:rFonts w:ascii="Times New Roman" w:hAnsi="Times New Roman" w:cs="Times New Roman"/>
        </w:rPr>
        <w:t>,</w:t>
      </w:r>
      <w:r w:rsidR="0020738C">
        <w:rPr>
          <w:rFonts w:ascii="Times New Roman" w:hAnsi="Times New Roman" w:cs="Times New Roman"/>
        </w:rPr>
        <w:t xml:space="preserve"> </w:t>
      </w:r>
      <w:r>
        <w:rPr>
          <w:rFonts w:ascii="Times New Roman" w:hAnsi="Times New Roman" w:cs="Times New Roman"/>
        </w:rPr>
        <w:t>Exhibit No.</w:t>
      </w:r>
      <w:r w:rsidRPr="00D63504">
        <w:rPr>
          <w:rFonts w:ascii="Times New Roman" w:hAnsi="Times New Roman" w:cs="Times New Roman"/>
        </w:rPr>
        <w:t xml:space="preserve"> ___(JLB-2) at 11:5 – 12:2</w:t>
      </w:r>
      <w:r>
        <w:rPr>
          <w:rFonts w:ascii="Times New Roman" w:hAnsi="Times New Roman" w:cs="Times New Roman"/>
        </w:rPr>
        <w:t>.</w:t>
      </w:r>
    </w:p>
  </w:footnote>
  <w:footnote w:id="7">
    <w:p w14:paraId="23449C88" w14:textId="60C0BE63" w:rsidR="003D3A78" w:rsidRPr="003B4765" w:rsidRDefault="003D3A78">
      <w:pPr>
        <w:pStyle w:val="FootnoteText"/>
        <w:rPr>
          <w:rFonts w:ascii="Times New Roman" w:hAnsi="Times New Roman" w:cs="Times New Roman"/>
        </w:rPr>
      </w:pPr>
      <w:r w:rsidRPr="003B4765">
        <w:rPr>
          <w:rStyle w:val="FootnoteReference"/>
          <w:rFonts w:ascii="Times New Roman" w:hAnsi="Times New Roman" w:cs="Times New Roman"/>
        </w:rPr>
        <w:footnoteRef/>
      </w:r>
      <w:r w:rsidRPr="003B4765">
        <w:rPr>
          <w:rFonts w:ascii="Times New Roman" w:hAnsi="Times New Roman" w:cs="Times New Roman"/>
        </w:rPr>
        <w:t xml:space="preserve"> McGuire, Exhibit No.___ (CRM-2). </w:t>
      </w:r>
      <w:r>
        <w:rPr>
          <w:rFonts w:ascii="Times New Roman" w:hAnsi="Times New Roman" w:cs="Times New Roman"/>
        </w:rPr>
        <w:t xml:space="preserve"> </w:t>
      </w:r>
      <w:r w:rsidRPr="003B4765">
        <w:rPr>
          <w:rFonts w:ascii="Times New Roman" w:hAnsi="Times New Roman" w:cs="Times New Roman"/>
        </w:rPr>
        <w:t xml:space="preserve">Pro forma </w:t>
      </w:r>
      <w:r>
        <w:rPr>
          <w:rFonts w:ascii="Times New Roman" w:hAnsi="Times New Roman" w:cs="Times New Roman"/>
        </w:rPr>
        <w:t>net power supply costs are summarized</w:t>
      </w:r>
      <w:r w:rsidRPr="003B4765">
        <w:rPr>
          <w:rFonts w:ascii="Times New Roman" w:hAnsi="Times New Roman" w:cs="Times New Roman"/>
        </w:rPr>
        <w:t xml:space="preserve"> on pages 4-5, column [I]</w:t>
      </w:r>
      <w:r>
        <w:rPr>
          <w:rFonts w:ascii="Times New Roman" w:hAnsi="Times New Roman" w:cs="Times New Roman"/>
        </w:rPr>
        <w:t xml:space="preserve"> of that exhibit</w:t>
      </w:r>
      <w:r w:rsidRPr="003B4765">
        <w:rPr>
          <w:rFonts w:ascii="Times New Roman" w:hAnsi="Times New Roman" w:cs="Times New Roman"/>
        </w:rPr>
        <w:t>.</w:t>
      </w:r>
    </w:p>
  </w:footnote>
  <w:footnote w:id="8">
    <w:p w14:paraId="40B0DD5B" w14:textId="36BF2B91" w:rsidR="003D3A78" w:rsidRPr="003609E0" w:rsidRDefault="003D3A78">
      <w:pPr>
        <w:pStyle w:val="FootnoteText"/>
        <w:rPr>
          <w:rFonts w:ascii="Times New Roman" w:hAnsi="Times New Roman" w:cs="Times New Roman"/>
        </w:rPr>
      </w:pPr>
      <w:r w:rsidRPr="003609E0">
        <w:rPr>
          <w:rStyle w:val="FootnoteReference"/>
          <w:rFonts w:ascii="Times New Roman" w:hAnsi="Times New Roman" w:cs="Times New Roman"/>
        </w:rPr>
        <w:footnoteRef/>
      </w:r>
      <w:r w:rsidRPr="003609E0">
        <w:rPr>
          <w:rFonts w:ascii="Times New Roman" w:hAnsi="Times New Roman" w:cs="Times New Roman"/>
        </w:rPr>
        <w:t xml:space="preserve"> Andrews Direct, Exhibit No. ___(EMA-1T) at 20:13-17</w:t>
      </w:r>
      <w:r>
        <w:rPr>
          <w:rFonts w:ascii="Times New Roman" w:hAnsi="Times New Roman" w:cs="Times New Roman"/>
        </w:rPr>
        <w:t>.</w:t>
      </w:r>
    </w:p>
  </w:footnote>
  <w:footnote w:id="9">
    <w:p w14:paraId="26EB6E4A" w14:textId="77FE1418" w:rsidR="003D3A78" w:rsidRPr="00D63504" w:rsidRDefault="003D3A78">
      <w:pPr>
        <w:pStyle w:val="FootnoteText"/>
        <w:rPr>
          <w:rFonts w:ascii="Times New Roman" w:hAnsi="Times New Roman" w:cs="Times New Roman"/>
        </w:rPr>
      </w:pPr>
      <w:r w:rsidRPr="00D63504">
        <w:rPr>
          <w:rStyle w:val="FootnoteReference"/>
          <w:rFonts w:ascii="Times New Roman" w:hAnsi="Times New Roman" w:cs="Times New Roman"/>
        </w:rPr>
        <w:footnoteRef/>
      </w:r>
      <w:r w:rsidRPr="00D63504">
        <w:rPr>
          <w:rFonts w:ascii="Times New Roman" w:hAnsi="Times New Roman" w:cs="Times New Roman"/>
        </w:rPr>
        <w:t xml:space="preserve"> This includes the WNP-3 tariff, the Rocky Reach and Rock Island power purchase, the Colville Tribe’s Well’s power purchase, and the Spokane Waste-to-Energy power purchase.  </w:t>
      </w:r>
    </w:p>
  </w:footnote>
  <w:footnote w:id="10">
    <w:p w14:paraId="6902C9FB" w14:textId="77777777" w:rsidR="003D3A78" w:rsidRPr="00BD533D" w:rsidRDefault="003D3A78" w:rsidP="00115341">
      <w:pPr>
        <w:pStyle w:val="FootnoteText"/>
        <w:rPr>
          <w:rFonts w:ascii="Times New Roman" w:hAnsi="Times New Roman" w:cs="Times New Roman"/>
        </w:rPr>
      </w:pPr>
      <w:r w:rsidRPr="00BD533D">
        <w:rPr>
          <w:rStyle w:val="FootnoteReference"/>
          <w:rFonts w:ascii="Times New Roman" w:hAnsi="Times New Roman" w:cs="Times New Roman"/>
        </w:rPr>
        <w:footnoteRef/>
      </w:r>
      <w:r w:rsidRPr="00BD533D">
        <w:rPr>
          <w:rFonts w:ascii="Times New Roman" w:hAnsi="Times New Roman" w:cs="Times New Roman"/>
        </w:rPr>
        <w:t xml:space="preserve"> Knox Direct, Exhibit No. ___(TLK-1T) at 8:16-17.</w:t>
      </w:r>
    </w:p>
  </w:footnote>
  <w:footnote w:id="11">
    <w:p w14:paraId="1A6C1837" w14:textId="4EEFAD33" w:rsidR="003D3A78" w:rsidRPr="00BD533D" w:rsidRDefault="003D3A78">
      <w:pPr>
        <w:pStyle w:val="FootnoteText"/>
        <w:rPr>
          <w:rFonts w:ascii="Times New Roman" w:hAnsi="Times New Roman" w:cs="Times New Roman"/>
        </w:rPr>
      </w:pPr>
      <w:r w:rsidRPr="00BD533D">
        <w:rPr>
          <w:rStyle w:val="FootnoteReference"/>
          <w:rFonts w:ascii="Times New Roman" w:hAnsi="Times New Roman" w:cs="Times New Roman"/>
        </w:rPr>
        <w:footnoteRef/>
      </w:r>
      <w:r w:rsidRPr="00BD533D">
        <w:rPr>
          <w:rFonts w:ascii="Times New Roman" w:hAnsi="Times New Roman" w:cs="Times New Roman"/>
        </w:rPr>
        <w:t xml:space="preserve"> </w:t>
      </w:r>
      <w:r w:rsidRPr="00BD533D">
        <w:rPr>
          <w:rFonts w:ascii="Times New Roman" w:hAnsi="Times New Roman" w:cs="Times New Roman"/>
          <w:i/>
        </w:rPr>
        <w:t>Id</w:t>
      </w:r>
      <w:r w:rsidRPr="00BD533D">
        <w:rPr>
          <w:rFonts w:ascii="Times New Roman" w:hAnsi="Times New Roman" w:cs="Times New Roman"/>
        </w:rPr>
        <w:t>. at 8:6-13</w:t>
      </w:r>
      <w:r w:rsidR="0020738C">
        <w:rPr>
          <w:rFonts w:ascii="Times New Roman" w:hAnsi="Times New Roman" w:cs="Times New Roman"/>
        </w:rPr>
        <w:t>.</w:t>
      </w:r>
    </w:p>
  </w:footnote>
  <w:footnote w:id="12">
    <w:p w14:paraId="6F27ECCB" w14:textId="62193465" w:rsidR="003D3A78" w:rsidRPr="00BD533D" w:rsidRDefault="003D3A78" w:rsidP="00F701CE">
      <w:pPr>
        <w:pStyle w:val="FootnoteText"/>
        <w:rPr>
          <w:rFonts w:ascii="Times New Roman" w:hAnsi="Times New Roman" w:cs="Times New Roman"/>
        </w:rPr>
      </w:pPr>
      <w:r w:rsidRPr="00BD533D">
        <w:rPr>
          <w:rStyle w:val="FootnoteReference"/>
          <w:rFonts w:ascii="Times New Roman" w:hAnsi="Times New Roman" w:cs="Times New Roman"/>
        </w:rPr>
        <w:footnoteRef/>
      </w:r>
      <w:r w:rsidRPr="00BD533D">
        <w:rPr>
          <w:rFonts w:ascii="Times New Roman" w:hAnsi="Times New Roman" w:cs="Times New Roman"/>
        </w:rPr>
        <w:t xml:space="preserve"> </w:t>
      </w:r>
      <w:r w:rsidRPr="003320D1">
        <w:rPr>
          <w:rFonts w:ascii="Times New Roman" w:hAnsi="Times New Roman" w:cs="Times New Roman"/>
        </w:rPr>
        <w:t>Schooley</w:t>
      </w:r>
      <w:r w:rsidR="0020738C">
        <w:rPr>
          <w:rFonts w:ascii="Times New Roman" w:hAnsi="Times New Roman" w:cs="Times New Roman"/>
        </w:rPr>
        <w:t xml:space="preserve"> Direct,</w:t>
      </w:r>
      <w:r w:rsidRPr="003320D1">
        <w:rPr>
          <w:rFonts w:ascii="Times New Roman" w:hAnsi="Times New Roman" w:cs="Times New Roman"/>
        </w:rPr>
        <w:t xml:space="preserve"> Exhibit No. __</w:t>
      </w:r>
      <w:proofErr w:type="gramStart"/>
      <w:r w:rsidRPr="003320D1">
        <w:rPr>
          <w:rFonts w:ascii="Times New Roman" w:hAnsi="Times New Roman" w:cs="Times New Roman"/>
        </w:rPr>
        <w:t>_(</w:t>
      </w:r>
      <w:proofErr w:type="gramEnd"/>
      <w:r w:rsidRPr="003320D1">
        <w:rPr>
          <w:rFonts w:ascii="Times New Roman" w:hAnsi="Times New Roman" w:cs="Times New Roman"/>
        </w:rPr>
        <w:t>TES-1T) at</w:t>
      </w:r>
      <w:r w:rsidR="00EB6728" w:rsidRPr="003320D1">
        <w:rPr>
          <w:rFonts w:ascii="Times New Roman" w:hAnsi="Times New Roman" w:cs="Times New Roman"/>
        </w:rPr>
        <w:t xml:space="preserve"> 33:5-8 and</w:t>
      </w:r>
      <w:r w:rsidRPr="003320D1">
        <w:rPr>
          <w:rFonts w:ascii="Times New Roman" w:hAnsi="Times New Roman" w:cs="Times New Roman"/>
        </w:rPr>
        <w:t xml:space="preserve"> </w:t>
      </w:r>
      <w:r>
        <w:rPr>
          <w:rFonts w:ascii="Times New Roman" w:hAnsi="Times New Roman" w:cs="Times New Roman"/>
        </w:rPr>
        <w:t>33:17-34:11</w:t>
      </w:r>
      <w:r w:rsidR="0020738C">
        <w:rPr>
          <w:rFonts w:ascii="Times New Roman" w:hAnsi="Times New Roman" w:cs="Times New Roman"/>
        </w:rPr>
        <w:t>.</w:t>
      </w:r>
    </w:p>
  </w:footnote>
  <w:footnote w:id="13">
    <w:p w14:paraId="36456849" w14:textId="5F3B3AAF" w:rsidR="003D3A78" w:rsidRPr="00BD533D" w:rsidRDefault="003D3A78">
      <w:pPr>
        <w:pStyle w:val="FootnoteText"/>
        <w:rPr>
          <w:rFonts w:ascii="Times New Roman" w:hAnsi="Times New Roman" w:cs="Times New Roman"/>
        </w:rPr>
      </w:pPr>
      <w:r w:rsidRPr="00BD533D">
        <w:rPr>
          <w:rStyle w:val="FootnoteReference"/>
          <w:rFonts w:ascii="Times New Roman" w:hAnsi="Times New Roman" w:cs="Times New Roman"/>
        </w:rPr>
        <w:footnoteRef/>
      </w:r>
      <w:r w:rsidRPr="00BD533D">
        <w:rPr>
          <w:rFonts w:ascii="Times New Roman" w:hAnsi="Times New Roman" w:cs="Times New Roman"/>
        </w:rPr>
        <w:t xml:space="preserve"> </w:t>
      </w:r>
      <w:proofErr w:type="gramStart"/>
      <w:r w:rsidRPr="00BD533D">
        <w:rPr>
          <w:rFonts w:ascii="Times New Roman" w:hAnsi="Times New Roman" w:cs="Times New Roman"/>
          <w:i/>
        </w:rPr>
        <w:t xml:space="preserve">Id. </w:t>
      </w:r>
      <w:r w:rsidRPr="00BD533D">
        <w:rPr>
          <w:rFonts w:ascii="Times New Roman" w:hAnsi="Times New Roman" w:cs="Times New Roman"/>
        </w:rPr>
        <w:t>at 9:10</w:t>
      </w:r>
      <w:r w:rsidR="0020738C">
        <w:rPr>
          <w:rFonts w:ascii="Times New Roman" w:hAnsi="Times New Roman" w:cs="Times New Roman"/>
        </w:rPr>
        <w:t>.</w:t>
      </w:r>
      <w:proofErr w:type="gramEnd"/>
    </w:p>
  </w:footnote>
  <w:footnote w:id="14">
    <w:p w14:paraId="78CE75B2" w14:textId="2B1DD540" w:rsidR="003D3A78" w:rsidRPr="00D63504" w:rsidRDefault="003D3A78" w:rsidP="000C74D4">
      <w:pPr>
        <w:pStyle w:val="FootnoteText"/>
        <w:rPr>
          <w:rFonts w:ascii="Times New Roman" w:hAnsi="Times New Roman" w:cs="Times New Roman"/>
        </w:rPr>
      </w:pPr>
      <w:r w:rsidRPr="00D63504">
        <w:rPr>
          <w:rStyle w:val="FootnoteReference"/>
          <w:rFonts w:ascii="Times New Roman" w:hAnsi="Times New Roman" w:cs="Times New Roman"/>
        </w:rPr>
        <w:footnoteRef/>
      </w:r>
      <w:r w:rsidRPr="00D63504">
        <w:rPr>
          <w:rFonts w:ascii="Times New Roman" w:hAnsi="Times New Roman" w:cs="Times New Roman"/>
        </w:rPr>
        <w:t xml:space="preserve"> </w:t>
      </w:r>
      <w:r w:rsidR="0020738C">
        <w:rPr>
          <w:rFonts w:ascii="Times New Roman" w:hAnsi="Times New Roman" w:cs="Times New Roman"/>
        </w:rPr>
        <w:t xml:space="preserve">Ball, </w:t>
      </w:r>
      <w:r w:rsidRPr="00D63504">
        <w:rPr>
          <w:rFonts w:ascii="Times New Roman" w:hAnsi="Times New Roman" w:cs="Times New Roman"/>
        </w:rPr>
        <w:t>Exhibit No. ___(JLB-2) at 13:18 – 15:12</w:t>
      </w:r>
      <w:r>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A466058"/>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222C75D4"/>
    <w:lvl w:ilvl="0">
      <w:start w:val="1"/>
      <w:numFmt w:val="bullet"/>
      <w:lvlText w:val=""/>
      <w:lvlJc w:val="left"/>
      <w:pPr>
        <w:tabs>
          <w:tab w:val="num" w:pos="360"/>
        </w:tabs>
        <w:ind w:left="360" w:hanging="360"/>
      </w:pPr>
      <w:rPr>
        <w:rFonts w:ascii="Symbol" w:hAnsi="Symbol" w:hint="default"/>
      </w:rPr>
    </w:lvl>
  </w:abstractNum>
  <w:abstractNum w:abstractNumId="2">
    <w:nsid w:val="04393249"/>
    <w:multiLevelType w:val="hybridMultilevel"/>
    <w:tmpl w:val="9DBA8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0E1690"/>
    <w:multiLevelType w:val="hybridMultilevel"/>
    <w:tmpl w:val="A43E638A"/>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DA65238"/>
    <w:multiLevelType w:val="hybridMultilevel"/>
    <w:tmpl w:val="E6F01A06"/>
    <w:lvl w:ilvl="0" w:tplc="2FC4F3C2">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6057ED4"/>
    <w:multiLevelType w:val="hybridMultilevel"/>
    <w:tmpl w:val="B860DC78"/>
    <w:lvl w:ilvl="0" w:tplc="6A360CDC">
      <w:start w:val="1"/>
      <w:numFmt w:val="upperRoman"/>
      <w:pStyle w:val="Heading1"/>
      <w:lvlText w:val="%1."/>
      <w:lvlJc w:val="left"/>
      <w:pPr>
        <w:ind w:left="36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270" w:hanging="360"/>
      </w:pPr>
    </w:lvl>
    <w:lvl w:ilvl="4" w:tplc="04090019" w:tentative="1">
      <w:start w:val="1"/>
      <w:numFmt w:val="lowerLetter"/>
      <w:lvlText w:val="%5."/>
      <w:lvlJc w:val="left"/>
      <w:pPr>
        <w:ind w:left="450" w:hanging="360"/>
      </w:pPr>
    </w:lvl>
    <w:lvl w:ilvl="5" w:tplc="0409001B" w:tentative="1">
      <w:start w:val="1"/>
      <w:numFmt w:val="lowerRoman"/>
      <w:lvlText w:val="%6."/>
      <w:lvlJc w:val="right"/>
      <w:pPr>
        <w:ind w:left="1170" w:hanging="180"/>
      </w:pPr>
    </w:lvl>
    <w:lvl w:ilvl="6" w:tplc="0409000F" w:tentative="1">
      <w:start w:val="1"/>
      <w:numFmt w:val="decimal"/>
      <w:lvlText w:val="%7."/>
      <w:lvlJc w:val="left"/>
      <w:pPr>
        <w:ind w:left="1890" w:hanging="360"/>
      </w:pPr>
    </w:lvl>
    <w:lvl w:ilvl="7" w:tplc="04090019" w:tentative="1">
      <w:start w:val="1"/>
      <w:numFmt w:val="lowerLetter"/>
      <w:lvlText w:val="%8."/>
      <w:lvlJc w:val="left"/>
      <w:pPr>
        <w:ind w:left="2610" w:hanging="360"/>
      </w:pPr>
    </w:lvl>
    <w:lvl w:ilvl="8" w:tplc="0409001B" w:tentative="1">
      <w:start w:val="1"/>
      <w:numFmt w:val="lowerRoman"/>
      <w:lvlText w:val="%9."/>
      <w:lvlJc w:val="right"/>
      <w:pPr>
        <w:ind w:left="3330" w:hanging="180"/>
      </w:pPr>
    </w:lvl>
  </w:abstractNum>
  <w:abstractNum w:abstractNumId="6">
    <w:nsid w:val="2EFC3860"/>
    <w:multiLevelType w:val="hybridMultilevel"/>
    <w:tmpl w:val="471EDDEA"/>
    <w:lvl w:ilvl="0" w:tplc="2B0CC9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96347F"/>
    <w:multiLevelType w:val="hybridMultilevel"/>
    <w:tmpl w:val="9468F6C2"/>
    <w:lvl w:ilvl="0" w:tplc="0B24D90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F97157"/>
    <w:multiLevelType w:val="hybridMultilevel"/>
    <w:tmpl w:val="BFAA8E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64820D45"/>
    <w:multiLevelType w:val="hybridMultilevel"/>
    <w:tmpl w:val="3CC6F992"/>
    <w:lvl w:ilvl="0" w:tplc="04090011">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0">
    <w:nsid w:val="6E656BAB"/>
    <w:multiLevelType w:val="hybridMultilevel"/>
    <w:tmpl w:val="1478B53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3B71023"/>
    <w:multiLevelType w:val="hybridMultilevel"/>
    <w:tmpl w:val="A24255B8"/>
    <w:lvl w:ilvl="0" w:tplc="2B0CC94E">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7"/>
  </w:num>
  <w:num w:numId="3">
    <w:abstractNumId w:val="9"/>
  </w:num>
  <w:num w:numId="4">
    <w:abstractNumId w:val="7"/>
    <w:lvlOverride w:ilvl="0">
      <w:startOverride w:val="1"/>
    </w:lvlOverride>
  </w:num>
  <w:num w:numId="5">
    <w:abstractNumId w:val="5"/>
  </w:num>
  <w:num w:numId="6">
    <w:abstractNumId w:val="11"/>
  </w:num>
  <w:num w:numId="7">
    <w:abstractNumId w:val="2"/>
  </w:num>
  <w:num w:numId="8">
    <w:abstractNumId w:val="3"/>
  </w:num>
  <w:num w:numId="9">
    <w:abstractNumId w:val="8"/>
  </w:num>
  <w:num w:numId="10">
    <w:abstractNumId w:val="10"/>
  </w:num>
  <w:num w:numId="11">
    <w:abstractNumId w:val="5"/>
  </w:num>
  <w:num w:numId="12">
    <w:abstractNumId w:val="4"/>
  </w:num>
  <w:num w:numId="13">
    <w:abstractNumId w:val="5"/>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6AD"/>
    <w:rsid w:val="00005919"/>
    <w:rsid w:val="00022107"/>
    <w:rsid w:val="00033300"/>
    <w:rsid w:val="00052F74"/>
    <w:rsid w:val="000538CD"/>
    <w:rsid w:val="000610B9"/>
    <w:rsid w:val="00065FA3"/>
    <w:rsid w:val="0007345F"/>
    <w:rsid w:val="00084B0C"/>
    <w:rsid w:val="000867C1"/>
    <w:rsid w:val="00087484"/>
    <w:rsid w:val="000A6644"/>
    <w:rsid w:val="000B2044"/>
    <w:rsid w:val="000B6C89"/>
    <w:rsid w:val="000C02E3"/>
    <w:rsid w:val="000C64C8"/>
    <w:rsid w:val="000C74D4"/>
    <w:rsid w:val="000D2B89"/>
    <w:rsid w:val="000E0390"/>
    <w:rsid w:val="000E1B43"/>
    <w:rsid w:val="000E640C"/>
    <w:rsid w:val="000E72B5"/>
    <w:rsid w:val="000F0A77"/>
    <w:rsid w:val="00111748"/>
    <w:rsid w:val="001151DA"/>
    <w:rsid w:val="00115341"/>
    <w:rsid w:val="00122162"/>
    <w:rsid w:val="00135F84"/>
    <w:rsid w:val="001460C3"/>
    <w:rsid w:val="001524D0"/>
    <w:rsid w:val="001551C8"/>
    <w:rsid w:val="00164A72"/>
    <w:rsid w:val="00167DD5"/>
    <w:rsid w:val="00173FEB"/>
    <w:rsid w:val="00174E53"/>
    <w:rsid w:val="0018617F"/>
    <w:rsid w:val="001A07C6"/>
    <w:rsid w:val="001A0BAF"/>
    <w:rsid w:val="001A5C82"/>
    <w:rsid w:val="001B0991"/>
    <w:rsid w:val="001C5AB1"/>
    <w:rsid w:val="001C7314"/>
    <w:rsid w:val="001D2BD5"/>
    <w:rsid w:val="001D5AB0"/>
    <w:rsid w:val="001E1D7A"/>
    <w:rsid w:val="001F0AA3"/>
    <w:rsid w:val="001F3415"/>
    <w:rsid w:val="001F56E7"/>
    <w:rsid w:val="001F734A"/>
    <w:rsid w:val="00201CA6"/>
    <w:rsid w:val="0020738C"/>
    <w:rsid w:val="00211B1B"/>
    <w:rsid w:val="00215CB7"/>
    <w:rsid w:val="00220F49"/>
    <w:rsid w:val="00221332"/>
    <w:rsid w:val="002217E1"/>
    <w:rsid w:val="00222602"/>
    <w:rsid w:val="00225599"/>
    <w:rsid w:val="00230CBA"/>
    <w:rsid w:val="0023282C"/>
    <w:rsid w:val="00235C4C"/>
    <w:rsid w:val="00243780"/>
    <w:rsid w:val="0025612E"/>
    <w:rsid w:val="00261E0C"/>
    <w:rsid w:val="00264E7F"/>
    <w:rsid w:val="0027357D"/>
    <w:rsid w:val="00274F25"/>
    <w:rsid w:val="00275D09"/>
    <w:rsid w:val="0028084F"/>
    <w:rsid w:val="002810B9"/>
    <w:rsid w:val="00282ED0"/>
    <w:rsid w:val="002856A8"/>
    <w:rsid w:val="0029457D"/>
    <w:rsid w:val="00296B4E"/>
    <w:rsid w:val="002A652F"/>
    <w:rsid w:val="002A65A8"/>
    <w:rsid w:val="002B68CF"/>
    <w:rsid w:val="002C039A"/>
    <w:rsid w:val="002C3B0A"/>
    <w:rsid w:val="002C6AF3"/>
    <w:rsid w:val="002D18EF"/>
    <w:rsid w:val="002D1B24"/>
    <w:rsid w:val="002D2EAF"/>
    <w:rsid w:val="002D33C6"/>
    <w:rsid w:val="002D3D19"/>
    <w:rsid w:val="002D5B64"/>
    <w:rsid w:val="002E39C1"/>
    <w:rsid w:val="002F206F"/>
    <w:rsid w:val="002F37CF"/>
    <w:rsid w:val="00303653"/>
    <w:rsid w:val="00305402"/>
    <w:rsid w:val="003056B1"/>
    <w:rsid w:val="003103CE"/>
    <w:rsid w:val="00316424"/>
    <w:rsid w:val="003213C0"/>
    <w:rsid w:val="003276EF"/>
    <w:rsid w:val="003310E6"/>
    <w:rsid w:val="00331ED9"/>
    <w:rsid w:val="003320D1"/>
    <w:rsid w:val="0034237D"/>
    <w:rsid w:val="00346430"/>
    <w:rsid w:val="00351AA1"/>
    <w:rsid w:val="00352C04"/>
    <w:rsid w:val="00355D49"/>
    <w:rsid w:val="003609E0"/>
    <w:rsid w:val="003625F0"/>
    <w:rsid w:val="0036279B"/>
    <w:rsid w:val="00371184"/>
    <w:rsid w:val="0037119A"/>
    <w:rsid w:val="00390410"/>
    <w:rsid w:val="003B1A28"/>
    <w:rsid w:val="003B1AC8"/>
    <w:rsid w:val="003B33B6"/>
    <w:rsid w:val="003B4765"/>
    <w:rsid w:val="003B4FB2"/>
    <w:rsid w:val="003B6E07"/>
    <w:rsid w:val="003C49AB"/>
    <w:rsid w:val="003C502C"/>
    <w:rsid w:val="003D3A78"/>
    <w:rsid w:val="003D686A"/>
    <w:rsid w:val="003E4330"/>
    <w:rsid w:val="003E78E7"/>
    <w:rsid w:val="003F26BA"/>
    <w:rsid w:val="003F2C74"/>
    <w:rsid w:val="003F5955"/>
    <w:rsid w:val="0040003A"/>
    <w:rsid w:val="004015FC"/>
    <w:rsid w:val="004026AD"/>
    <w:rsid w:val="00411E77"/>
    <w:rsid w:val="00413D72"/>
    <w:rsid w:val="00416149"/>
    <w:rsid w:val="0041627C"/>
    <w:rsid w:val="0042148E"/>
    <w:rsid w:val="00423A56"/>
    <w:rsid w:val="00424AA5"/>
    <w:rsid w:val="004308DA"/>
    <w:rsid w:val="00452EF2"/>
    <w:rsid w:val="00453AC1"/>
    <w:rsid w:val="00461111"/>
    <w:rsid w:val="00465CDB"/>
    <w:rsid w:val="00473BD6"/>
    <w:rsid w:val="00486467"/>
    <w:rsid w:val="0048792E"/>
    <w:rsid w:val="0049618E"/>
    <w:rsid w:val="00496EF7"/>
    <w:rsid w:val="004A317D"/>
    <w:rsid w:val="004A3277"/>
    <w:rsid w:val="004A4771"/>
    <w:rsid w:val="004B18EA"/>
    <w:rsid w:val="004B52EA"/>
    <w:rsid w:val="004D603A"/>
    <w:rsid w:val="004E3C38"/>
    <w:rsid w:val="0050004A"/>
    <w:rsid w:val="00500C80"/>
    <w:rsid w:val="00503A3F"/>
    <w:rsid w:val="00512D2E"/>
    <w:rsid w:val="00513F2D"/>
    <w:rsid w:val="005277A1"/>
    <w:rsid w:val="00540335"/>
    <w:rsid w:val="00542C22"/>
    <w:rsid w:val="00547F23"/>
    <w:rsid w:val="00551CEF"/>
    <w:rsid w:val="00552600"/>
    <w:rsid w:val="0055435C"/>
    <w:rsid w:val="00555113"/>
    <w:rsid w:val="00555D94"/>
    <w:rsid w:val="0057042C"/>
    <w:rsid w:val="005707D7"/>
    <w:rsid w:val="00573157"/>
    <w:rsid w:val="00577A15"/>
    <w:rsid w:val="00591783"/>
    <w:rsid w:val="00591A7A"/>
    <w:rsid w:val="005944F2"/>
    <w:rsid w:val="00597817"/>
    <w:rsid w:val="005A1DDE"/>
    <w:rsid w:val="005A3FD8"/>
    <w:rsid w:val="005A6C74"/>
    <w:rsid w:val="005A7435"/>
    <w:rsid w:val="005B4CE5"/>
    <w:rsid w:val="005D3F0D"/>
    <w:rsid w:val="005D6905"/>
    <w:rsid w:val="005E428F"/>
    <w:rsid w:val="005F4293"/>
    <w:rsid w:val="00616A37"/>
    <w:rsid w:val="006262A6"/>
    <w:rsid w:val="006277DE"/>
    <w:rsid w:val="00632B69"/>
    <w:rsid w:val="00667FAE"/>
    <w:rsid w:val="00672F7B"/>
    <w:rsid w:val="00693452"/>
    <w:rsid w:val="00697CAC"/>
    <w:rsid w:val="006A0C0E"/>
    <w:rsid w:val="006A41EE"/>
    <w:rsid w:val="006A7F58"/>
    <w:rsid w:val="006B3F01"/>
    <w:rsid w:val="006C5AF9"/>
    <w:rsid w:val="006E18DB"/>
    <w:rsid w:val="006E38F0"/>
    <w:rsid w:val="006E7F05"/>
    <w:rsid w:val="006F0FE7"/>
    <w:rsid w:val="006F5EA1"/>
    <w:rsid w:val="00704264"/>
    <w:rsid w:val="00710EB1"/>
    <w:rsid w:val="00723CC9"/>
    <w:rsid w:val="00724898"/>
    <w:rsid w:val="0074176C"/>
    <w:rsid w:val="0075052C"/>
    <w:rsid w:val="0075453B"/>
    <w:rsid w:val="007609ED"/>
    <w:rsid w:val="00761104"/>
    <w:rsid w:val="007619F5"/>
    <w:rsid w:val="0076274D"/>
    <w:rsid w:val="00777FCC"/>
    <w:rsid w:val="0078379F"/>
    <w:rsid w:val="00787688"/>
    <w:rsid w:val="007A11AB"/>
    <w:rsid w:val="007A65FF"/>
    <w:rsid w:val="007B5613"/>
    <w:rsid w:val="007B7155"/>
    <w:rsid w:val="007D4069"/>
    <w:rsid w:val="007F3100"/>
    <w:rsid w:val="007F5926"/>
    <w:rsid w:val="007F6B9D"/>
    <w:rsid w:val="008004C0"/>
    <w:rsid w:val="00803052"/>
    <w:rsid w:val="00805849"/>
    <w:rsid w:val="0081298B"/>
    <w:rsid w:val="008177E2"/>
    <w:rsid w:val="00817CD4"/>
    <w:rsid w:val="00820AFB"/>
    <w:rsid w:val="00821C17"/>
    <w:rsid w:val="00821F6C"/>
    <w:rsid w:val="0082248C"/>
    <w:rsid w:val="00836712"/>
    <w:rsid w:val="00843C17"/>
    <w:rsid w:val="0084543A"/>
    <w:rsid w:val="0085570A"/>
    <w:rsid w:val="00857232"/>
    <w:rsid w:val="0085787B"/>
    <w:rsid w:val="008657F4"/>
    <w:rsid w:val="00872632"/>
    <w:rsid w:val="00876299"/>
    <w:rsid w:val="00876D98"/>
    <w:rsid w:val="0088498A"/>
    <w:rsid w:val="008875B0"/>
    <w:rsid w:val="008937AC"/>
    <w:rsid w:val="008A30E4"/>
    <w:rsid w:val="008A317A"/>
    <w:rsid w:val="008A41AF"/>
    <w:rsid w:val="008A6B3B"/>
    <w:rsid w:val="008B55C3"/>
    <w:rsid w:val="008D414B"/>
    <w:rsid w:val="008D4A2E"/>
    <w:rsid w:val="008D4D0F"/>
    <w:rsid w:val="008E561C"/>
    <w:rsid w:val="008E5BF2"/>
    <w:rsid w:val="008F1AE1"/>
    <w:rsid w:val="008F2EB3"/>
    <w:rsid w:val="008F2F6F"/>
    <w:rsid w:val="008F6F30"/>
    <w:rsid w:val="00907FA4"/>
    <w:rsid w:val="009201A4"/>
    <w:rsid w:val="00925684"/>
    <w:rsid w:val="00927650"/>
    <w:rsid w:val="00931602"/>
    <w:rsid w:val="00933116"/>
    <w:rsid w:val="00945FEF"/>
    <w:rsid w:val="009510A5"/>
    <w:rsid w:val="00974AE1"/>
    <w:rsid w:val="00982C5D"/>
    <w:rsid w:val="00985B4A"/>
    <w:rsid w:val="00985F8E"/>
    <w:rsid w:val="0099510B"/>
    <w:rsid w:val="009B0B07"/>
    <w:rsid w:val="009C7C82"/>
    <w:rsid w:val="009F527E"/>
    <w:rsid w:val="00A11403"/>
    <w:rsid w:val="00A1451E"/>
    <w:rsid w:val="00A15CB3"/>
    <w:rsid w:val="00A21376"/>
    <w:rsid w:val="00A2377E"/>
    <w:rsid w:val="00A243E0"/>
    <w:rsid w:val="00A274B2"/>
    <w:rsid w:val="00A34786"/>
    <w:rsid w:val="00A45C46"/>
    <w:rsid w:val="00A54D61"/>
    <w:rsid w:val="00A55AB3"/>
    <w:rsid w:val="00A56E98"/>
    <w:rsid w:val="00A63DE2"/>
    <w:rsid w:val="00A65697"/>
    <w:rsid w:val="00A74995"/>
    <w:rsid w:val="00A77D67"/>
    <w:rsid w:val="00A81895"/>
    <w:rsid w:val="00A84C2A"/>
    <w:rsid w:val="00A92174"/>
    <w:rsid w:val="00A9580A"/>
    <w:rsid w:val="00AA03CB"/>
    <w:rsid w:val="00AC059E"/>
    <w:rsid w:val="00AC146F"/>
    <w:rsid w:val="00AC2C50"/>
    <w:rsid w:val="00AC2EBD"/>
    <w:rsid w:val="00AC5F5F"/>
    <w:rsid w:val="00AD3312"/>
    <w:rsid w:val="00AE273E"/>
    <w:rsid w:val="00AE5432"/>
    <w:rsid w:val="00AF0463"/>
    <w:rsid w:val="00B04F10"/>
    <w:rsid w:val="00B06CBB"/>
    <w:rsid w:val="00B06DCD"/>
    <w:rsid w:val="00B12C22"/>
    <w:rsid w:val="00B13018"/>
    <w:rsid w:val="00B13041"/>
    <w:rsid w:val="00B24AAF"/>
    <w:rsid w:val="00B32E5C"/>
    <w:rsid w:val="00B33739"/>
    <w:rsid w:val="00B412AB"/>
    <w:rsid w:val="00B50030"/>
    <w:rsid w:val="00B60040"/>
    <w:rsid w:val="00B63698"/>
    <w:rsid w:val="00B67979"/>
    <w:rsid w:val="00B762C3"/>
    <w:rsid w:val="00B77AA6"/>
    <w:rsid w:val="00B85B03"/>
    <w:rsid w:val="00B87495"/>
    <w:rsid w:val="00B903C2"/>
    <w:rsid w:val="00B9547B"/>
    <w:rsid w:val="00B9629D"/>
    <w:rsid w:val="00BA5099"/>
    <w:rsid w:val="00BB0909"/>
    <w:rsid w:val="00BB181E"/>
    <w:rsid w:val="00BB1C67"/>
    <w:rsid w:val="00BB4C47"/>
    <w:rsid w:val="00BB69B5"/>
    <w:rsid w:val="00BB6CBF"/>
    <w:rsid w:val="00BD05F9"/>
    <w:rsid w:val="00BD533D"/>
    <w:rsid w:val="00BE4B80"/>
    <w:rsid w:val="00BE63CA"/>
    <w:rsid w:val="00BE6A48"/>
    <w:rsid w:val="00BF2A14"/>
    <w:rsid w:val="00BF36DB"/>
    <w:rsid w:val="00BF3EA7"/>
    <w:rsid w:val="00C02CB3"/>
    <w:rsid w:val="00C14ED6"/>
    <w:rsid w:val="00C16904"/>
    <w:rsid w:val="00C21E8E"/>
    <w:rsid w:val="00C25D68"/>
    <w:rsid w:val="00C36AFD"/>
    <w:rsid w:val="00C47D8E"/>
    <w:rsid w:val="00C5578C"/>
    <w:rsid w:val="00C621E4"/>
    <w:rsid w:val="00C644DA"/>
    <w:rsid w:val="00C66A3F"/>
    <w:rsid w:val="00C928C3"/>
    <w:rsid w:val="00CB1731"/>
    <w:rsid w:val="00CB1C65"/>
    <w:rsid w:val="00CC044C"/>
    <w:rsid w:val="00CC086F"/>
    <w:rsid w:val="00CC09B5"/>
    <w:rsid w:val="00CD0188"/>
    <w:rsid w:val="00CD32EA"/>
    <w:rsid w:val="00CD3DF4"/>
    <w:rsid w:val="00CD3E83"/>
    <w:rsid w:val="00CD6776"/>
    <w:rsid w:val="00CE2246"/>
    <w:rsid w:val="00CF53AB"/>
    <w:rsid w:val="00CF6A9E"/>
    <w:rsid w:val="00D016F1"/>
    <w:rsid w:val="00D05695"/>
    <w:rsid w:val="00D07099"/>
    <w:rsid w:val="00D148EA"/>
    <w:rsid w:val="00D14C21"/>
    <w:rsid w:val="00D202A5"/>
    <w:rsid w:val="00D32E7E"/>
    <w:rsid w:val="00D35535"/>
    <w:rsid w:val="00D40FDE"/>
    <w:rsid w:val="00D5042C"/>
    <w:rsid w:val="00D50973"/>
    <w:rsid w:val="00D50AB7"/>
    <w:rsid w:val="00D63504"/>
    <w:rsid w:val="00D65C8A"/>
    <w:rsid w:val="00D821BD"/>
    <w:rsid w:val="00D8556E"/>
    <w:rsid w:val="00D87B1E"/>
    <w:rsid w:val="00D90D40"/>
    <w:rsid w:val="00D96456"/>
    <w:rsid w:val="00DA0B9C"/>
    <w:rsid w:val="00DA1B86"/>
    <w:rsid w:val="00DA5D0E"/>
    <w:rsid w:val="00DB3A38"/>
    <w:rsid w:val="00DB726D"/>
    <w:rsid w:val="00DC52A5"/>
    <w:rsid w:val="00DD2A47"/>
    <w:rsid w:val="00DD3897"/>
    <w:rsid w:val="00DD4BDD"/>
    <w:rsid w:val="00DE1B89"/>
    <w:rsid w:val="00DE2D7D"/>
    <w:rsid w:val="00DE51AD"/>
    <w:rsid w:val="00DF2B17"/>
    <w:rsid w:val="00DF5A4F"/>
    <w:rsid w:val="00E07383"/>
    <w:rsid w:val="00E14AA5"/>
    <w:rsid w:val="00E17CB2"/>
    <w:rsid w:val="00E20671"/>
    <w:rsid w:val="00E21878"/>
    <w:rsid w:val="00E35CD0"/>
    <w:rsid w:val="00E479EA"/>
    <w:rsid w:val="00E54C8C"/>
    <w:rsid w:val="00E551E2"/>
    <w:rsid w:val="00E616B7"/>
    <w:rsid w:val="00E67C50"/>
    <w:rsid w:val="00E71E19"/>
    <w:rsid w:val="00E734A1"/>
    <w:rsid w:val="00E7378B"/>
    <w:rsid w:val="00E74B02"/>
    <w:rsid w:val="00E81B01"/>
    <w:rsid w:val="00E87020"/>
    <w:rsid w:val="00E91591"/>
    <w:rsid w:val="00E93C3D"/>
    <w:rsid w:val="00EA02D2"/>
    <w:rsid w:val="00EA7A5F"/>
    <w:rsid w:val="00EB3B65"/>
    <w:rsid w:val="00EB44C5"/>
    <w:rsid w:val="00EB4752"/>
    <w:rsid w:val="00EB6034"/>
    <w:rsid w:val="00EB6728"/>
    <w:rsid w:val="00EC31A2"/>
    <w:rsid w:val="00ED1428"/>
    <w:rsid w:val="00EE1487"/>
    <w:rsid w:val="00EE4EB9"/>
    <w:rsid w:val="00EE5F0E"/>
    <w:rsid w:val="00EF10C1"/>
    <w:rsid w:val="00EF62A7"/>
    <w:rsid w:val="00EF7161"/>
    <w:rsid w:val="00F045CA"/>
    <w:rsid w:val="00F21B68"/>
    <w:rsid w:val="00F222F0"/>
    <w:rsid w:val="00F45B13"/>
    <w:rsid w:val="00F701CE"/>
    <w:rsid w:val="00F72670"/>
    <w:rsid w:val="00F74F65"/>
    <w:rsid w:val="00F75D24"/>
    <w:rsid w:val="00F76CFC"/>
    <w:rsid w:val="00F7771D"/>
    <w:rsid w:val="00F82331"/>
    <w:rsid w:val="00F87968"/>
    <w:rsid w:val="00F87D25"/>
    <w:rsid w:val="00F925FD"/>
    <w:rsid w:val="00F9737E"/>
    <w:rsid w:val="00F97612"/>
    <w:rsid w:val="00FC1E94"/>
    <w:rsid w:val="00FC3C6B"/>
    <w:rsid w:val="00FD1460"/>
    <w:rsid w:val="00FD2BC9"/>
    <w:rsid w:val="00FF2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B0AA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390"/>
  </w:style>
  <w:style w:type="paragraph" w:styleId="Heading1">
    <w:name w:val="heading 1"/>
    <w:aliases w:val="Section Header"/>
    <w:basedOn w:val="Normal"/>
    <w:next w:val="Normal"/>
    <w:link w:val="Heading1Char"/>
    <w:uiPriority w:val="9"/>
    <w:qFormat/>
    <w:rsid w:val="002D3D19"/>
    <w:pPr>
      <w:numPr>
        <w:numId w:val="5"/>
      </w:numPr>
      <w:spacing w:line="480" w:lineRule="auto"/>
      <w:jc w:val="center"/>
      <w:outlineLvl w:val="0"/>
    </w:pPr>
    <w:rPr>
      <w:rFonts w:ascii="Times New Roman" w:eastAsia="Times New Roman" w:hAnsi="Times New Roman" w:cs="Times New Roman"/>
      <w:b/>
      <w:sz w:val="24"/>
      <w:szCs w:val="24"/>
    </w:rPr>
  </w:style>
  <w:style w:type="paragraph" w:styleId="Heading2">
    <w:name w:val="heading 2"/>
    <w:aliases w:val="Question"/>
    <w:basedOn w:val="Normal"/>
    <w:next w:val="Normal"/>
    <w:link w:val="Heading2Char"/>
    <w:uiPriority w:val="9"/>
    <w:unhideWhenUsed/>
    <w:qFormat/>
    <w:rsid w:val="00513F2D"/>
    <w:pPr>
      <w:spacing w:line="480" w:lineRule="auto"/>
      <w:ind w:left="720" w:hanging="720"/>
      <w:outlineLvl w:val="1"/>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er Char"/>
    <w:basedOn w:val="DefaultParagraphFont"/>
    <w:link w:val="Heading1"/>
    <w:uiPriority w:val="9"/>
    <w:rsid w:val="002D3D19"/>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4026AD"/>
    <w:pPr>
      <w:tabs>
        <w:tab w:val="center" w:pos="4680"/>
        <w:tab w:val="right" w:pos="9360"/>
      </w:tabs>
    </w:pPr>
  </w:style>
  <w:style w:type="character" w:customStyle="1" w:styleId="FooterChar">
    <w:name w:val="Footer Char"/>
    <w:basedOn w:val="DefaultParagraphFont"/>
    <w:link w:val="Footer"/>
    <w:uiPriority w:val="99"/>
    <w:rsid w:val="004026AD"/>
  </w:style>
  <w:style w:type="character" w:styleId="PageNumber">
    <w:name w:val="page number"/>
    <w:basedOn w:val="DefaultParagraphFont"/>
    <w:uiPriority w:val="99"/>
    <w:rsid w:val="004026AD"/>
    <w:rPr>
      <w:rFonts w:cs="Times New Roman"/>
    </w:rPr>
  </w:style>
  <w:style w:type="character" w:styleId="LineNumber">
    <w:name w:val="line number"/>
    <w:basedOn w:val="DefaultParagraphFont"/>
    <w:uiPriority w:val="99"/>
    <w:semiHidden/>
    <w:unhideWhenUsed/>
    <w:rsid w:val="000E0390"/>
    <w:rPr>
      <w:rFonts w:ascii="Times New Roman" w:hAnsi="Times New Roman"/>
      <w:sz w:val="24"/>
    </w:rPr>
  </w:style>
  <w:style w:type="paragraph" w:styleId="Header">
    <w:name w:val="header"/>
    <w:basedOn w:val="Normal"/>
    <w:link w:val="HeaderChar"/>
    <w:uiPriority w:val="99"/>
    <w:unhideWhenUsed/>
    <w:rsid w:val="00CC09B5"/>
    <w:pPr>
      <w:tabs>
        <w:tab w:val="center" w:pos="4680"/>
        <w:tab w:val="right" w:pos="9360"/>
      </w:tabs>
    </w:pPr>
  </w:style>
  <w:style w:type="character" w:customStyle="1" w:styleId="HeaderChar">
    <w:name w:val="Header Char"/>
    <w:basedOn w:val="DefaultParagraphFont"/>
    <w:link w:val="Header"/>
    <w:uiPriority w:val="99"/>
    <w:rsid w:val="00CC09B5"/>
  </w:style>
  <w:style w:type="paragraph" w:styleId="NoSpacing">
    <w:name w:val="No Spacing"/>
    <w:aliases w:val="Answer"/>
    <w:basedOn w:val="Normal"/>
    <w:uiPriority w:val="1"/>
    <w:qFormat/>
    <w:rsid w:val="00351AA1"/>
    <w:pPr>
      <w:spacing w:line="480" w:lineRule="auto"/>
      <w:ind w:left="720" w:hanging="720"/>
    </w:pPr>
    <w:rPr>
      <w:rFonts w:ascii="Times New Roman" w:eastAsia="Times New Roman" w:hAnsi="Times New Roman" w:cs="Times New Roman"/>
      <w:sz w:val="24"/>
      <w:szCs w:val="24"/>
    </w:rPr>
  </w:style>
  <w:style w:type="character" w:customStyle="1" w:styleId="Heading2Char">
    <w:name w:val="Heading 2 Char"/>
    <w:aliases w:val="Question Char"/>
    <w:basedOn w:val="DefaultParagraphFont"/>
    <w:link w:val="Heading2"/>
    <w:uiPriority w:val="9"/>
    <w:rsid w:val="00513F2D"/>
    <w:rPr>
      <w:rFonts w:ascii="Times New Roman" w:eastAsia="Times New Roman" w:hAnsi="Times New Roman" w:cs="Times New Roman"/>
      <w:b/>
      <w:sz w:val="24"/>
      <w:szCs w:val="24"/>
    </w:rPr>
  </w:style>
  <w:style w:type="paragraph" w:styleId="ListParagraph">
    <w:name w:val="List Paragraph"/>
    <w:basedOn w:val="Normal"/>
    <w:uiPriority w:val="34"/>
    <w:qFormat/>
    <w:rsid w:val="00473BD6"/>
    <w:pPr>
      <w:ind w:left="720"/>
      <w:contextualSpacing/>
    </w:pPr>
  </w:style>
  <w:style w:type="character" w:styleId="Hyperlink">
    <w:name w:val="Hyperlink"/>
    <w:basedOn w:val="DefaultParagraphFont"/>
    <w:uiPriority w:val="99"/>
    <w:unhideWhenUsed/>
    <w:rsid w:val="00305402"/>
    <w:rPr>
      <w:color w:val="0000FF" w:themeColor="hyperlink"/>
      <w:u w:val="single"/>
    </w:rPr>
  </w:style>
  <w:style w:type="character" w:styleId="CommentReference">
    <w:name w:val="annotation reference"/>
    <w:basedOn w:val="DefaultParagraphFont"/>
    <w:uiPriority w:val="99"/>
    <w:semiHidden/>
    <w:unhideWhenUsed/>
    <w:rsid w:val="00D32E7E"/>
    <w:rPr>
      <w:sz w:val="16"/>
      <w:szCs w:val="16"/>
    </w:rPr>
  </w:style>
  <w:style w:type="paragraph" w:styleId="CommentText">
    <w:name w:val="annotation text"/>
    <w:basedOn w:val="Normal"/>
    <w:link w:val="CommentTextChar"/>
    <w:uiPriority w:val="99"/>
    <w:semiHidden/>
    <w:unhideWhenUsed/>
    <w:rsid w:val="00D32E7E"/>
    <w:rPr>
      <w:sz w:val="20"/>
      <w:szCs w:val="20"/>
    </w:rPr>
  </w:style>
  <w:style w:type="character" w:customStyle="1" w:styleId="CommentTextChar">
    <w:name w:val="Comment Text Char"/>
    <w:basedOn w:val="DefaultParagraphFont"/>
    <w:link w:val="CommentText"/>
    <w:uiPriority w:val="99"/>
    <w:semiHidden/>
    <w:rsid w:val="00D32E7E"/>
    <w:rPr>
      <w:sz w:val="20"/>
      <w:szCs w:val="20"/>
    </w:rPr>
  </w:style>
  <w:style w:type="paragraph" w:styleId="CommentSubject">
    <w:name w:val="annotation subject"/>
    <w:basedOn w:val="CommentText"/>
    <w:next w:val="CommentText"/>
    <w:link w:val="CommentSubjectChar"/>
    <w:uiPriority w:val="99"/>
    <w:semiHidden/>
    <w:unhideWhenUsed/>
    <w:rsid w:val="00D32E7E"/>
    <w:rPr>
      <w:b/>
      <w:bCs/>
    </w:rPr>
  </w:style>
  <w:style w:type="character" w:customStyle="1" w:styleId="CommentSubjectChar">
    <w:name w:val="Comment Subject Char"/>
    <w:basedOn w:val="CommentTextChar"/>
    <w:link w:val="CommentSubject"/>
    <w:uiPriority w:val="99"/>
    <w:semiHidden/>
    <w:rsid w:val="00D32E7E"/>
    <w:rPr>
      <w:b/>
      <w:bCs/>
      <w:sz w:val="20"/>
      <w:szCs w:val="20"/>
    </w:rPr>
  </w:style>
  <w:style w:type="paragraph" w:styleId="BalloonText">
    <w:name w:val="Balloon Text"/>
    <w:basedOn w:val="Normal"/>
    <w:link w:val="BalloonTextChar"/>
    <w:uiPriority w:val="99"/>
    <w:semiHidden/>
    <w:unhideWhenUsed/>
    <w:rsid w:val="00D32E7E"/>
    <w:rPr>
      <w:rFonts w:ascii="Tahoma" w:hAnsi="Tahoma" w:cs="Tahoma"/>
      <w:sz w:val="16"/>
      <w:szCs w:val="16"/>
    </w:rPr>
  </w:style>
  <w:style w:type="character" w:customStyle="1" w:styleId="BalloonTextChar">
    <w:name w:val="Balloon Text Char"/>
    <w:basedOn w:val="DefaultParagraphFont"/>
    <w:link w:val="BalloonText"/>
    <w:uiPriority w:val="99"/>
    <w:semiHidden/>
    <w:rsid w:val="00D32E7E"/>
    <w:rPr>
      <w:rFonts w:ascii="Tahoma" w:hAnsi="Tahoma" w:cs="Tahoma"/>
      <w:sz w:val="16"/>
      <w:szCs w:val="16"/>
    </w:rPr>
  </w:style>
  <w:style w:type="paragraph" w:styleId="TOCHeading">
    <w:name w:val="TOC Heading"/>
    <w:basedOn w:val="Heading1"/>
    <w:next w:val="Normal"/>
    <w:uiPriority w:val="39"/>
    <w:unhideWhenUsed/>
    <w:qFormat/>
    <w:rsid w:val="008004C0"/>
    <w:pPr>
      <w:keepNext/>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OC2">
    <w:name w:val="toc 2"/>
    <w:basedOn w:val="Normal"/>
    <w:next w:val="Normal"/>
    <w:autoRedefine/>
    <w:uiPriority w:val="39"/>
    <w:unhideWhenUsed/>
    <w:qFormat/>
    <w:rsid w:val="008004C0"/>
    <w:pPr>
      <w:spacing w:after="100" w:line="276" w:lineRule="auto"/>
      <w:ind w:left="220"/>
    </w:pPr>
    <w:rPr>
      <w:rFonts w:eastAsiaTheme="minorEastAsia"/>
      <w:lang w:eastAsia="ja-JP"/>
    </w:rPr>
  </w:style>
  <w:style w:type="paragraph" w:styleId="TOC1">
    <w:name w:val="toc 1"/>
    <w:basedOn w:val="Normal"/>
    <w:next w:val="Normal"/>
    <w:autoRedefine/>
    <w:uiPriority w:val="39"/>
    <w:unhideWhenUsed/>
    <w:qFormat/>
    <w:rsid w:val="003B1AC8"/>
    <w:pPr>
      <w:tabs>
        <w:tab w:val="left" w:pos="450"/>
        <w:tab w:val="right" w:leader="dot" w:pos="9350"/>
      </w:tabs>
      <w:spacing w:after="100" w:line="276" w:lineRule="auto"/>
    </w:pPr>
    <w:rPr>
      <w:rFonts w:ascii="Times New Roman" w:eastAsiaTheme="minorEastAsia" w:hAnsi="Times New Roman"/>
      <w:sz w:val="24"/>
      <w:lang w:eastAsia="ja-JP"/>
    </w:rPr>
  </w:style>
  <w:style w:type="paragraph" w:styleId="TOC3">
    <w:name w:val="toc 3"/>
    <w:basedOn w:val="Normal"/>
    <w:next w:val="Normal"/>
    <w:autoRedefine/>
    <w:uiPriority w:val="39"/>
    <w:semiHidden/>
    <w:unhideWhenUsed/>
    <w:qFormat/>
    <w:rsid w:val="008004C0"/>
    <w:pPr>
      <w:spacing w:after="100" w:line="276" w:lineRule="auto"/>
      <w:ind w:left="440"/>
    </w:pPr>
    <w:rPr>
      <w:rFonts w:eastAsiaTheme="minorEastAsia"/>
      <w:lang w:eastAsia="ja-JP"/>
    </w:rPr>
  </w:style>
  <w:style w:type="character" w:styleId="Strong">
    <w:name w:val="Strong"/>
    <w:basedOn w:val="DefaultParagraphFont"/>
    <w:uiPriority w:val="22"/>
    <w:qFormat/>
    <w:rsid w:val="008004C0"/>
    <w:rPr>
      <w:b/>
      <w:bCs/>
    </w:rPr>
  </w:style>
  <w:style w:type="paragraph" w:styleId="FootnoteText">
    <w:name w:val="footnote text"/>
    <w:basedOn w:val="Normal"/>
    <w:link w:val="FootnoteTextChar"/>
    <w:uiPriority w:val="99"/>
    <w:semiHidden/>
    <w:unhideWhenUsed/>
    <w:rsid w:val="006B3F01"/>
    <w:rPr>
      <w:sz w:val="20"/>
      <w:szCs w:val="20"/>
    </w:rPr>
  </w:style>
  <w:style w:type="character" w:customStyle="1" w:styleId="FootnoteTextChar">
    <w:name w:val="Footnote Text Char"/>
    <w:basedOn w:val="DefaultParagraphFont"/>
    <w:link w:val="FootnoteText"/>
    <w:uiPriority w:val="99"/>
    <w:semiHidden/>
    <w:rsid w:val="006B3F01"/>
    <w:rPr>
      <w:sz w:val="20"/>
      <w:szCs w:val="20"/>
    </w:rPr>
  </w:style>
  <w:style w:type="character" w:styleId="FootnoteReference">
    <w:name w:val="footnote reference"/>
    <w:basedOn w:val="DefaultParagraphFont"/>
    <w:uiPriority w:val="99"/>
    <w:semiHidden/>
    <w:unhideWhenUsed/>
    <w:rsid w:val="006B3F01"/>
    <w:rPr>
      <w:vertAlign w:val="superscript"/>
    </w:rPr>
  </w:style>
  <w:style w:type="paragraph" w:styleId="Title">
    <w:name w:val="Title"/>
    <w:basedOn w:val="Normal"/>
    <w:next w:val="Normal"/>
    <w:link w:val="TitleChar"/>
    <w:uiPriority w:val="10"/>
    <w:qFormat/>
    <w:rsid w:val="00EB475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4752"/>
    <w:rPr>
      <w:rFonts w:asciiTheme="majorHAnsi" w:eastAsiaTheme="majorEastAsia" w:hAnsiTheme="majorHAnsi" w:cstheme="majorBidi"/>
      <w:color w:val="17365D" w:themeColor="text2" w:themeShade="BF"/>
      <w:spacing w:val="5"/>
      <w:kern w:val="28"/>
      <w:sz w:val="52"/>
      <w:szCs w:val="52"/>
    </w:rPr>
  </w:style>
  <w:style w:type="paragraph" w:styleId="Revision">
    <w:name w:val="Revision"/>
    <w:hidden/>
    <w:uiPriority w:val="99"/>
    <w:semiHidden/>
    <w:rsid w:val="00577A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390"/>
  </w:style>
  <w:style w:type="paragraph" w:styleId="Heading1">
    <w:name w:val="heading 1"/>
    <w:aliases w:val="Section Header"/>
    <w:basedOn w:val="Normal"/>
    <w:next w:val="Normal"/>
    <w:link w:val="Heading1Char"/>
    <w:uiPriority w:val="9"/>
    <w:qFormat/>
    <w:rsid w:val="002D3D19"/>
    <w:pPr>
      <w:numPr>
        <w:numId w:val="5"/>
      </w:numPr>
      <w:spacing w:line="480" w:lineRule="auto"/>
      <w:jc w:val="center"/>
      <w:outlineLvl w:val="0"/>
    </w:pPr>
    <w:rPr>
      <w:rFonts w:ascii="Times New Roman" w:eastAsia="Times New Roman" w:hAnsi="Times New Roman" w:cs="Times New Roman"/>
      <w:b/>
      <w:sz w:val="24"/>
      <w:szCs w:val="24"/>
    </w:rPr>
  </w:style>
  <w:style w:type="paragraph" w:styleId="Heading2">
    <w:name w:val="heading 2"/>
    <w:aliases w:val="Question"/>
    <w:basedOn w:val="Normal"/>
    <w:next w:val="Normal"/>
    <w:link w:val="Heading2Char"/>
    <w:uiPriority w:val="9"/>
    <w:unhideWhenUsed/>
    <w:qFormat/>
    <w:rsid w:val="00513F2D"/>
    <w:pPr>
      <w:spacing w:line="480" w:lineRule="auto"/>
      <w:ind w:left="720" w:hanging="720"/>
      <w:outlineLvl w:val="1"/>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er Char"/>
    <w:basedOn w:val="DefaultParagraphFont"/>
    <w:link w:val="Heading1"/>
    <w:uiPriority w:val="9"/>
    <w:rsid w:val="002D3D19"/>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4026AD"/>
    <w:pPr>
      <w:tabs>
        <w:tab w:val="center" w:pos="4680"/>
        <w:tab w:val="right" w:pos="9360"/>
      </w:tabs>
    </w:pPr>
  </w:style>
  <w:style w:type="character" w:customStyle="1" w:styleId="FooterChar">
    <w:name w:val="Footer Char"/>
    <w:basedOn w:val="DefaultParagraphFont"/>
    <w:link w:val="Footer"/>
    <w:uiPriority w:val="99"/>
    <w:rsid w:val="004026AD"/>
  </w:style>
  <w:style w:type="character" w:styleId="PageNumber">
    <w:name w:val="page number"/>
    <w:basedOn w:val="DefaultParagraphFont"/>
    <w:uiPriority w:val="99"/>
    <w:rsid w:val="004026AD"/>
    <w:rPr>
      <w:rFonts w:cs="Times New Roman"/>
    </w:rPr>
  </w:style>
  <w:style w:type="character" w:styleId="LineNumber">
    <w:name w:val="line number"/>
    <w:basedOn w:val="DefaultParagraphFont"/>
    <w:uiPriority w:val="99"/>
    <w:semiHidden/>
    <w:unhideWhenUsed/>
    <w:rsid w:val="000E0390"/>
    <w:rPr>
      <w:rFonts w:ascii="Times New Roman" w:hAnsi="Times New Roman"/>
      <w:sz w:val="24"/>
    </w:rPr>
  </w:style>
  <w:style w:type="paragraph" w:styleId="Header">
    <w:name w:val="header"/>
    <w:basedOn w:val="Normal"/>
    <w:link w:val="HeaderChar"/>
    <w:uiPriority w:val="99"/>
    <w:unhideWhenUsed/>
    <w:rsid w:val="00CC09B5"/>
    <w:pPr>
      <w:tabs>
        <w:tab w:val="center" w:pos="4680"/>
        <w:tab w:val="right" w:pos="9360"/>
      </w:tabs>
    </w:pPr>
  </w:style>
  <w:style w:type="character" w:customStyle="1" w:styleId="HeaderChar">
    <w:name w:val="Header Char"/>
    <w:basedOn w:val="DefaultParagraphFont"/>
    <w:link w:val="Header"/>
    <w:uiPriority w:val="99"/>
    <w:rsid w:val="00CC09B5"/>
  </w:style>
  <w:style w:type="paragraph" w:styleId="NoSpacing">
    <w:name w:val="No Spacing"/>
    <w:aliases w:val="Answer"/>
    <w:basedOn w:val="Normal"/>
    <w:uiPriority w:val="1"/>
    <w:qFormat/>
    <w:rsid w:val="00351AA1"/>
    <w:pPr>
      <w:spacing w:line="480" w:lineRule="auto"/>
      <w:ind w:left="720" w:hanging="720"/>
    </w:pPr>
    <w:rPr>
      <w:rFonts w:ascii="Times New Roman" w:eastAsia="Times New Roman" w:hAnsi="Times New Roman" w:cs="Times New Roman"/>
      <w:sz w:val="24"/>
      <w:szCs w:val="24"/>
    </w:rPr>
  </w:style>
  <w:style w:type="character" w:customStyle="1" w:styleId="Heading2Char">
    <w:name w:val="Heading 2 Char"/>
    <w:aliases w:val="Question Char"/>
    <w:basedOn w:val="DefaultParagraphFont"/>
    <w:link w:val="Heading2"/>
    <w:uiPriority w:val="9"/>
    <w:rsid w:val="00513F2D"/>
    <w:rPr>
      <w:rFonts w:ascii="Times New Roman" w:eastAsia="Times New Roman" w:hAnsi="Times New Roman" w:cs="Times New Roman"/>
      <w:b/>
      <w:sz w:val="24"/>
      <w:szCs w:val="24"/>
    </w:rPr>
  </w:style>
  <w:style w:type="paragraph" w:styleId="ListParagraph">
    <w:name w:val="List Paragraph"/>
    <w:basedOn w:val="Normal"/>
    <w:uiPriority w:val="34"/>
    <w:qFormat/>
    <w:rsid w:val="00473BD6"/>
    <w:pPr>
      <w:ind w:left="720"/>
      <w:contextualSpacing/>
    </w:pPr>
  </w:style>
  <w:style w:type="character" w:styleId="Hyperlink">
    <w:name w:val="Hyperlink"/>
    <w:basedOn w:val="DefaultParagraphFont"/>
    <w:uiPriority w:val="99"/>
    <w:unhideWhenUsed/>
    <w:rsid w:val="00305402"/>
    <w:rPr>
      <w:color w:val="0000FF" w:themeColor="hyperlink"/>
      <w:u w:val="single"/>
    </w:rPr>
  </w:style>
  <w:style w:type="character" w:styleId="CommentReference">
    <w:name w:val="annotation reference"/>
    <w:basedOn w:val="DefaultParagraphFont"/>
    <w:uiPriority w:val="99"/>
    <w:semiHidden/>
    <w:unhideWhenUsed/>
    <w:rsid w:val="00D32E7E"/>
    <w:rPr>
      <w:sz w:val="16"/>
      <w:szCs w:val="16"/>
    </w:rPr>
  </w:style>
  <w:style w:type="paragraph" w:styleId="CommentText">
    <w:name w:val="annotation text"/>
    <w:basedOn w:val="Normal"/>
    <w:link w:val="CommentTextChar"/>
    <w:uiPriority w:val="99"/>
    <w:semiHidden/>
    <w:unhideWhenUsed/>
    <w:rsid w:val="00D32E7E"/>
    <w:rPr>
      <w:sz w:val="20"/>
      <w:szCs w:val="20"/>
    </w:rPr>
  </w:style>
  <w:style w:type="character" w:customStyle="1" w:styleId="CommentTextChar">
    <w:name w:val="Comment Text Char"/>
    <w:basedOn w:val="DefaultParagraphFont"/>
    <w:link w:val="CommentText"/>
    <w:uiPriority w:val="99"/>
    <w:semiHidden/>
    <w:rsid w:val="00D32E7E"/>
    <w:rPr>
      <w:sz w:val="20"/>
      <w:szCs w:val="20"/>
    </w:rPr>
  </w:style>
  <w:style w:type="paragraph" w:styleId="CommentSubject">
    <w:name w:val="annotation subject"/>
    <w:basedOn w:val="CommentText"/>
    <w:next w:val="CommentText"/>
    <w:link w:val="CommentSubjectChar"/>
    <w:uiPriority w:val="99"/>
    <w:semiHidden/>
    <w:unhideWhenUsed/>
    <w:rsid w:val="00D32E7E"/>
    <w:rPr>
      <w:b/>
      <w:bCs/>
    </w:rPr>
  </w:style>
  <w:style w:type="character" w:customStyle="1" w:styleId="CommentSubjectChar">
    <w:name w:val="Comment Subject Char"/>
    <w:basedOn w:val="CommentTextChar"/>
    <w:link w:val="CommentSubject"/>
    <w:uiPriority w:val="99"/>
    <w:semiHidden/>
    <w:rsid w:val="00D32E7E"/>
    <w:rPr>
      <w:b/>
      <w:bCs/>
      <w:sz w:val="20"/>
      <w:szCs w:val="20"/>
    </w:rPr>
  </w:style>
  <w:style w:type="paragraph" w:styleId="BalloonText">
    <w:name w:val="Balloon Text"/>
    <w:basedOn w:val="Normal"/>
    <w:link w:val="BalloonTextChar"/>
    <w:uiPriority w:val="99"/>
    <w:semiHidden/>
    <w:unhideWhenUsed/>
    <w:rsid w:val="00D32E7E"/>
    <w:rPr>
      <w:rFonts w:ascii="Tahoma" w:hAnsi="Tahoma" w:cs="Tahoma"/>
      <w:sz w:val="16"/>
      <w:szCs w:val="16"/>
    </w:rPr>
  </w:style>
  <w:style w:type="character" w:customStyle="1" w:styleId="BalloonTextChar">
    <w:name w:val="Balloon Text Char"/>
    <w:basedOn w:val="DefaultParagraphFont"/>
    <w:link w:val="BalloonText"/>
    <w:uiPriority w:val="99"/>
    <w:semiHidden/>
    <w:rsid w:val="00D32E7E"/>
    <w:rPr>
      <w:rFonts w:ascii="Tahoma" w:hAnsi="Tahoma" w:cs="Tahoma"/>
      <w:sz w:val="16"/>
      <w:szCs w:val="16"/>
    </w:rPr>
  </w:style>
  <w:style w:type="paragraph" w:styleId="TOCHeading">
    <w:name w:val="TOC Heading"/>
    <w:basedOn w:val="Heading1"/>
    <w:next w:val="Normal"/>
    <w:uiPriority w:val="39"/>
    <w:unhideWhenUsed/>
    <w:qFormat/>
    <w:rsid w:val="008004C0"/>
    <w:pPr>
      <w:keepNext/>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OC2">
    <w:name w:val="toc 2"/>
    <w:basedOn w:val="Normal"/>
    <w:next w:val="Normal"/>
    <w:autoRedefine/>
    <w:uiPriority w:val="39"/>
    <w:unhideWhenUsed/>
    <w:qFormat/>
    <w:rsid w:val="008004C0"/>
    <w:pPr>
      <w:spacing w:after="100" w:line="276" w:lineRule="auto"/>
      <w:ind w:left="220"/>
    </w:pPr>
    <w:rPr>
      <w:rFonts w:eastAsiaTheme="minorEastAsia"/>
      <w:lang w:eastAsia="ja-JP"/>
    </w:rPr>
  </w:style>
  <w:style w:type="paragraph" w:styleId="TOC1">
    <w:name w:val="toc 1"/>
    <w:basedOn w:val="Normal"/>
    <w:next w:val="Normal"/>
    <w:autoRedefine/>
    <w:uiPriority w:val="39"/>
    <w:unhideWhenUsed/>
    <w:qFormat/>
    <w:rsid w:val="003B1AC8"/>
    <w:pPr>
      <w:tabs>
        <w:tab w:val="left" w:pos="450"/>
        <w:tab w:val="right" w:leader="dot" w:pos="9350"/>
      </w:tabs>
      <w:spacing w:after="100" w:line="276" w:lineRule="auto"/>
    </w:pPr>
    <w:rPr>
      <w:rFonts w:ascii="Times New Roman" w:eastAsiaTheme="minorEastAsia" w:hAnsi="Times New Roman"/>
      <w:sz w:val="24"/>
      <w:lang w:eastAsia="ja-JP"/>
    </w:rPr>
  </w:style>
  <w:style w:type="paragraph" w:styleId="TOC3">
    <w:name w:val="toc 3"/>
    <w:basedOn w:val="Normal"/>
    <w:next w:val="Normal"/>
    <w:autoRedefine/>
    <w:uiPriority w:val="39"/>
    <w:semiHidden/>
    <w:unhideWhenUsed/>
    <w:qFormat/>
    <w:rsid w:val="008004C0"/>
    <w:pPr>
      <w:spacing w:after="100" w:line="276" w:lineRule="auto"/>
      <w:ind w:left="440"/>
    </w:pPr>
    <w:rPr>
      <w:rFonts w:eastAsiaTheme="minorEastAsia"/>
      <w:lang w:eastAsia="ja-JP"/>
    </w:rPr>
  </w:style>
  <w:style w:type="character" w:styleId="Strong">
    <w:name w:val="Strong"/>
    <w:basedOn w:val="DefaultParagraphFont"/>
    <w:uiPriority w:val="22"/>
    <w:qFormat/>
    <w:rsid w:val="008004C0"/>
    <w:rPr>
      <w:b/>
      <w:bCs/>
    </w:rPr>
  </w:style>
  <w:style w:type="paragraph" w:styleId="FootnoteText">
    <w:name w:val="footnote text"/>
    <w:basedOn w:val="Normal"/>
    <w:link w:val="FootnoteTextChar"/>
    <w:uiPriority w:val="99"/>
    <w:semiHidden/>
    <w:unhideWhenUsed/>
    <w:rsid w:val="006B3F01"/>
    <w:rPr>
      <w:sz w:val="20"/>
      <w:szCs w:val="20"/>
    </w:rPr>
  </w:style>
  <w:style w:type="character" w:customStyle="1" w:styleId="FootnoteTextChar">
    <w:name w:val="Footnote Text Char"/>
    <w:basedOn w:val="DefaultParagraphFont"/>
    <w:link w:val="FootnoteText"/>
    <w:uiPriority w:val="99"/>
    <w:semiHidden/>
    <w:rsid w:val="006B3F01"/>
    <w:rPr>
      <w:sz w:val="20"/>
      <w:szCs w:val="20"/>
    </w:rPr>
  </w:style>
  <w:style w:type="character" w:styleId="FootnoteReference">
    <w:name w:val="footnote reference"/>
    <w:basedOn w:val="DefaultParagraphFont"/>
    <w:uiPriority w:val="99"/>
    <w:semiHidden/>
    <w:unhideWhenUsed/>
    <w:rsid w:val="006B3F01"/>
    <w:rPr>
      <w:vertAlign w:val="superscript"/>
    </w:rPr>
  </w:style>
  <w:style w:type="paragraph" w:styleId="Title">
    <w:name w:val="Title"/>
    <w:basedOn w:val="Normal"/>
    <w:next w:val="Normal"/>
    <w:link w:val="TitleChar"/>
    <w:uiPriority w:val="10"/>
    <w:qFormat/>
    <w:rsid w:val="00EB475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4752"/>
    <w:rPr>
      <w:rFonts w:asciiTheme="majorHAnsi" w:eastAsiaTheme="majorEastAsia" w:hAnsiTheme="majorHAnsi" w:cstheme="majorBidi"/>
      <w:color w:val="17365D" w:themeColor="text2" w:themeShade="BF"/>
      <w:spacing w:val="5"/>
      <w:kern w:val="28"/>
      <w:sz w:val="52"/>
      <w:szCs w:val="52"/>
    </w:rPr>
  </w:style>
  <w:style w:type="paragraph" w:styleId="Revision">
    <w:name w:val="Revision"/>
    <w:hidden/>
    <w:uiPriority w:val="99"/>
    <w:semiHidden/>
    <w:rsid w:val="00577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ball@utc.wa.gov" TargetMode="External"/><Relationship Id="rId18"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2014-02-04T08:00:00+00:00</OpenedDate>
    <Date1 xmlns="dc463f71-b30c-4ab2-9473-d307f9d35888">2014-07-22T07:00:00+00:00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A36E63C-30B0-4325-860A-AFA50228A598}"/>
</file>

<file path=customXml/itemProps2.xml><?xml version="1.0" encoding="utf-8"?>
<ds:datastoreItem xmlns:ds="http://schemas.openxmlformats.org/officeDocument/2006/customXml" ds:itemID="{8F308B3D-B103-43CC-8EFB-1BE54536A90F}"/>
</file>

<file path=customXml/itemProps3.xml><?xml version="1.0" encoding="utf-8"?>
<ds:datastoreItem xmlns:ds="http://schemas.openxmlformats.org/officeDocument/2006/customXml" ds:itemID="{A99CC9C6-BB73-4DB8-B2F3-A2C534969D98}"/>
</file>

<file path=customXml/itemProps4.xml><?xml version="1.0" encoding="utf-8"?>
<ds:datastoreItem xmlns:ds="http://schemas.openxmlformats.org/officeDocument/2006/customXml" ds:itemID="{566C47E7-47A0-4A11-AEC1-E54D4B7DBE4B}"/>
</file>

<file path=customXml/itemProps5.xml><?xml version="1.0" encoding="utf-8"?>
<ds:datastoreItem xmlns:ds="http://schemas.openxmlformats.org/officeDocument/2006/customXml" ds:itemID="{FE071C75-7D90-41E4-91D3-C93606751324}"/>
</file>

<file path=docProps/app.xml><?xml version="1.0" encoding="utf-8"?>
<Properties xmlns="http://schemas.openxmlformats.org/officeDocument/2006/extended-properties" xmlns:vt="http://schemas.openxmlformats.org/officeDocument/2006/docPropsVTypes">
  <Template>Normal.dotm</Template>
  <TotalTime>7</TotalTime>
  <Pages>15</Pages>
  <Words>2546</Words>
  <Characters>14514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17026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Ball</dc:creator>
  <cp:lastModifiedBy>DeMarco, Betsy (UTC)</cp:lastModifiedBy>
  <cp:revision>9</cp:revision>
  <cp:lastPrinted>2014-07-21T23:48:00Z</cp:lastPrinted>
  <dcterms:created xsi:type="dcterms:W3CDTF">2014-07-21T20:31:00Z</dcterms:created>
  <dcterms:modified xsi:type="dcterms:W3CDTF">2014-07-21T23:48:00Z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0x0101006E56B4D1795A2E4DB2F0B01679ED314A0076D05DFA5A769A459A1C549E33C26839</vt:lpwstr>
  </property>
  <property fmtid="{D5CDD505-2E9C-101B-9397-08002B2CF9AE}" pid="3" name="_docset_NoMedatataSyncRequired">
    <vt:lpwstr>False</vt:lpwstr>
  </property>
</Properties>
</file>