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159E2" w14:textId="77777777" w:rsidR="005711E5" w:rsidRPr="002F4AD5" w:rsidRDefault="005711E5">
      <w:pPr>
        <w:pStyle w:val="BodyText"/>
        <w:rPr>
          <w:b/>
          <w:bCs/>
        </w:rPr>
      </w:pPr>
      <w:r w:rsidRPr="002F4AD5">
        <w:rPr>
          <w:b/>
          <w:bCs/>
        </w:rPr>
        <w:t>BEFORE THE WASHINGTON</w:t>
      </w:r>
    </w:p>
    <w:p w14:paraId="0162114A" w14:textId="77777777" w:rsidR="005711E5" w:rsidRPr="002F4AD5" w:rsidRDefault="005711E5">
      <w:pPr>
        <w:pStyle w:val="BodyText"/>
        <w:rPr>
          <w:b/>
          <w:bCs/>
        </w:rPr>
      </w:pPr>
      <w:r w:rsidRPr="002F4AD5">
        <w:rPr>
          <w:b/>
          <w:bCs/>
        </w:rPr>
        <w:t>UTILITIES AND TRANSPORTATION COMMISSION</w:t>
      </w:r>
    </w:p>
    <w:p w14:paraId="2A3E03B9" w14:textId="77777777" w:rsidR="00892A0D" w:rsidRPr="002F4AD5" w:rsidRDefault="00892A0D">
      <w:pPr>
        <w:pStyle w:val="BodyText"/>
      </w:pPr>
    </w:p>
    <w:tbl>
      <w:tblPr>
        <w:tblStyle w:val="TableGrid"/>
        <w:tblW w:w="817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305"/>
        <w:gridCol w:w="3459"/>
      </w:tblGrid>
      <w:tr w:rsidR="00A4735A" w:rsidRPr="002F4AD5" w14:paraId="2E529F0A" w14:textId="77777777" w:rsidTr="00A4735A">
        <w:trPr>
          <w:trHeight w:val="3108"/>
        </w:trPr>
        <w:tc>
          <w:tcPr>
            <w:tcW w:w="4410" w:type="dxa"/>
          </w:tcPr>
          <w:p w14:paraId="2821A0C2" w14:textId="77777777" w:rsidR="00A4735A" w:rsidRPr="002F4AD5" w:rsidRDefault="00A4735A" w:rsidP="00892A0D">
            <w:pPr>
              <w:pStyle w:val="BodyText"/>
              <w:jc w:val="left"/>
            </w:pPr>
            <w:r w:rsidRPr="002F4AD5">
              <w:t>WASHINGTON UTILITIES AND TRANSPORTATION COMMISSION,</w:t>
            </w:r>
          </w:p>
          <w:p w14:paraId="2D20FB92" w14:textId="77777777" w:rsidR="00A4735A" w:rsidRPr="002F4AD5" w:rsidRDefault="00A4735A" w:rsidP="00892A0D">
            <w:pPr>
              <w:pStyle w:val="BodyText"/>
              <w:jc w:val="left"/>
            </w:pPr>
          </w:p>
          <w:p w14:paraId="655FDE00" w14:textId="77777777" w:rsidR="00A4735A" w:rsidRPr="002F4AD5" w:rsidRDefault="00A4735A" w:rsidP="00892A0D">
            <w:pPr>
              <w:pStyle w:val="BodyText"/>
              <w:tabs>
                <w:tab w:val="left" w:pos="2174"/>
              </w:tabs>
              <w:jc w:val="left"/>
            </w:pPr>
            <w:r w:rsidRPr="002F4AD5">
              <w:tab/>
              <w:t>Complainant,</w:t>
            </w:r>
          </w:p>
          <w:p w14:paraId="29D492E9" w14:textId="77777777" w:rsidR="00A4735A" w:rsidRPr="002F4AD5" w:rsidRDefault="00A4735A" w:rsidP="00892A0D">
            <w:pPr>
              <w:pStyle w:val="BodyText"/>
              <w:tabs>
                <w:tab w:val="left" w:pos="2174"/>
              </w:tabs>
              <w:jc w:val="left"/>
            </w:pPr>
          </w:p>
          <w:p w14:paraId="5B14BBD3" w14:textId="77777777" w:rsidR="00A4735A" w:rsidRPr="002F4AD5" w:rsidRDefault="00A4735A" w:rsidP="00892A0D">
            <w:pPr>
              <w:pStyle w:val="BodyText"/>
              <w:tabs>
                <w:tab w:val="left" w:pos="2174"/>
              </w:tabs>
              <w:jc w:val="left"/>
            </w:pPr>
            <w:r w:rsidRPr="002F4AD5">
              <w:t>v.</w:t>
            </w:r>
          </w:p>
          <w:p w14:paraId="45767CEC" w14:textId="77777777" w:rsidR="00A4735A" w:rsidRPr="002F4AD5" w:rsidRDefault="00A4735A" w:rsidP="00892A0D">
            <w:pPr>
              <w:pStyle w:val="BodyText"/>
              <w:tabs>
                <w:tab w:val="left" w:pos="2174"/>
              </w:tabs>
              <w:jc w:val="left"/>
            </w:pPr>
          </w:p>
          <w:p w14:paraId="6DA33975" w14:textId="77777777" w:rsidR="00A4735A" w:rsidRPr="002F4AD5" w:rsidRDefault="00A4735A" w:rsidP="00892A0D">
            <w:pPr>
              <w:pStyle w:val="BodyText"/>
              <w:tabs>
                <w:tab w:val="left" w:pos="2174"/>
              </w:tabs>
              <w:jc w:val="left"/>
            </w:pPr>
            <w:r w:rsidRPr="002F4AD5">
              <w:t>WASTE CONTROL, INC. (G-101),</w:t>
            </w:r>
          </w:p>
          <w:p w14:paraId="29E02189" w14:textId="77777777" w:rsidR="00A4735A" w:rsidRPr="002F4AD5" w:rsidRDefault="00A4735A" w:rsidP="00892A0D">
            <w:pPr>
              <w:pStyle w:val="BodyText"/>
              <w:tabs>
                <w:tab w:val="left" w:pos="2174"/>
              </w:tabs>
              <w:jc w:val="left"/>
            </w:pPr>
          </w:p>
          <w:p w14:paraId="16734B21" w14:textId="77777777" w:rsidR="00A4735A" w:rsidRPr="002F4AD5" w:rsidRDefault="00A4735A" w:rsidP="00892A0D">
            <w:pPr>
              <w:pStyle w:val="BodyText"/>
              <w:tabs>
                <w:tab w:val="left" w:pos="2174"/>
              </w:tabs>
              <w:jc w:val="left"/>
            </w:pPr>
            <w:r w:rsidRPr="002F4AD5">
              <w:tab/>
              <w:t>Respondent.</w:t>
            </w:r>
          </w:p>
          <w:p w14:paraId="6015F9F8" w14:textId="77777777" w:rsidR="00A4735A" w:rsidRPr="002F4AD5" w:rsidRDefault="00A4735A" w:rsidP="00892A0D">
            <w:pPr>
              <w:pStyle w:val="BodyText"/>
              <w:tabs>
                <w:tab w:val="left" w:pos="2174"/>
              </w:tabs>
              <w:jc w:val="left"/>
            </w:pPr>
          </w:p>
          <w:p w14:paraId="462375C9" w14:textId="77777777" w:rsidR="00A4735A" w:rsidRPr="002F4AD5" w:rsidRDefault="00A4735A" w:rsidP="00892A0D">
            <w:pPr>
              <w:pStyle w:val="BodyText"/>
              <w:tabs>
                <w:tab w:val="left" w:pos="2174"/>
              </w:tabs>
              <w:jc w:val="left"/>
            </w:pPr>
            <w:r w:rsidRPr="002F4AD5">
              <w:t xml:space="preserve">. . . . . . . . . . . . . . . . . . . . . . . . . . . . . . . . . . </w:t>
            </w:r>
            <w:r w:rsidR="00311EB6">
              <w:t xml:space="preserve">. </w:t>
            </w:r>
          </w:p>
        </w:tc>
        <w:tc>
          <w:tcPr>
            <w:tcW w:w="305" w:type="dxa"/>
          </w:tcPr>
          <w:p w14:paraId="596A7FED" w14:textId="77777777" w:rsidR="00A4735A" w:rsidRPr="002F4AD5" w:rsidRDefault="00A4735A" w:rsidP="00892A0D">
            <w:pPr>
              <w:pStyle w:val="BodyText"/>
              <w:jc w:val="left"/>
            </w:pPr>
            <w:r w:rsidRPr="002F4AD5">
              <w:t>)</w:t>
            </w:r>
          </w:p>
          <w:p w14:paraId="65BA941E" w14:textId="77777777" w:rsidR="00A4735A" w:rsidRPr="002F4AD5" w:rsidRDefault="00A4735A" w:rsidP="00892A0D">
            <w:pPr>
              <w:pStyle w:val="BodyText"/>
              <w:jc w:val="left"/>
            </w:pPr>
            <w:r w:rsidRPr="002F4AD5">
              <w:t>)</w:t>
            </w:r>
          </w:p>
          <w:p w14:paraId="41D127C1" w14:textId="77777777" w:rsidR="00A4735A" w:rsidRPr="002F4AD5" w:rsidRDefault="00A4735A" w:rsidP="00892A0D">
            <w:pPr>
              <w:pStyle w:val="BodyText"/>
              <w:jc w:val="left"/>
            </w:pPr>
            <w:r w:rsidRPr="002F4AD5">
              <w:t>)</w:t>
            </w:r>
          </w:p>
          <w:p w14:paraId="0FEEDD53" w14:textId="77777777" w:rsidR="00A4735A" w:rsidRPr="002F4AD5" w:rsidRDefault="00A4735A" w:rsidP="00892A0D">
            <w:pPr>
              <w:pStyle w:val="BodyText"/>
              <w:jc w:val="left"/>
            </w:pPr>
            <w:r w:rsidRPr="002F4AD5">
              <w:t>)</w:t>
            </w:r>
          </w:p>
          <w:p w14:paraId="59AD7432" w14:textId="77777777" w:rsidR="00A4735A" w:rsidRPr="002F4AD5" w:rsidRDefault="00A4735A" w:rsidP="00892A0D">
            <w:pPr>
              <w:pStyle w:val="BodyText"/>
              <w:jc w:val="left"/>
            </w:pPr>
            <w:r w:rsidRPr="002F4AD5">
              <w:t>)</w:t>
            </w:r>
          </w:p>
          <w:p w14:paraId="6E4F8119" w14:textId="77777777" w:rsidR="00A4735A" w:rsidRPr="002F4AD5" w:rsidRDefault="00A4735A" w:rsidP="00892A0D">
            <w:pPr>
              <w:pStyle w:val="BodyText"/>
              <w:jc w:val="left"/>
            </w:pPr>
            <w:r w:rsidRPr="002F4AD5">
              <w:t>)</w:t>
            </w:r>
          </w:p>
          <w:p w14:paraId="7B187B3D" w14:textId="77777777" w:rsidR="00A4735A" w:rsidRPr="002F4AD5" w:rsidRDefault="00A4735A" w:rsidP="00892A0D">
            <w:pPr>
              <w:pStyle w:val="BodyText"/>
              <w:jc w:val="left"/>
            </w:pPr>
            <w:r w:rsidRPr="002F4AD5">
              <w:t>)</w:t>
            </w:r>
          </w:p>
          <w:p w14:paraId="753CC75F" w14:textId="77777777" w:rsidR="00A4735A" w:rsidRPr="002F4AD5" w:rsidRDefault="00A4735A" w:rsidP="00892A0D">
            <w:pPr>
              <w:pStyle w:val="BodyText"/>
              <w:jc w:val="left"/>
            </w:pPr>
            <w:r w:rsidRPr="002F4AD5">
              <w:t>)</w:t>
            </w:r>
          </w:p>
          <w:p w14:paraId="37B97D3A" w14:textId="77777777" w:rsidR="00A4735A" w:rsidRPr="002F4AD5" w:rsidRDefault="00A4735A" w:rsidP="00892A0D">
            <w:pPr>
              <w:pStyle w:val="BodyText"/>
              <w:jc w:val="left"/>
            </w:pPr>
            <w:r w:rsidRPr="002F4AD5">
              <w:t>)</w:t>
            </w:r>
          </w:p>
          <w:p w14:paraId="6205DB55" w14:textId="77777777" w:rsidR="00A4735A" w:rsidRPr="002F4AD5" w:rsidRDefault="00A4735A" w:rsidP="00892A0D">
            <w:pPr>
              <w:pStyle w:val="BodyText"/>
              <w:jc w:val="left"/>
            </w:pPr>
            <w:r w:rsidRPr="002F4AD5">
              <w:t>)</w:t>
            </w:r>
          </w:p>
          <w:p w14:paraId="15BC2DBD" w14:textId="77777777" w:rsidR="00A4735A" w:rsidRPr="002F4AD5" w:rsidRDefault="00A4735A" w:rsidP="00892A0D">
            <w:pPr>
              <w:pStyle w:val="BodyText"/>
              <w:jc w:val="left"/>
            </w:pPr>
            <w:r w:rsidRPr="002F4AD5">
              <w:t>)</w:t>
            </w:r>
          </w:p>
          <w:p w14:paraId="6F3367AD" w14:textId="77777777" w:rsidR="00A4735A" w:rsidRPr="002F4AD5" w:rsidRDefault="00A4735A" w:rsidP="006F16E7">
            <w:pPr>
              <w:pStyle w:val="BodyText"/>
              <w:jc w:val="left"/>
            </w:pPr>
            <w:r w:rsidRPr="002F4AD5">
              <w:t>)</w:t>
            </w:r>
          </w:p>
        </w:tc>
        <w:tc>
          <w:tcPr>
            <w:tcW w:w="3459" w:type="dxa"/>
          </w:tcPr>
          <w:p w14:paraId="221D44A5" w14:textId="77777777" w:rsidR="00A4735A" w:rsidRPr="002F4AD5" w:rsidRDefault="00A4735A" w:rsidP="00A51503">
            <w:pPr>
              <w:pStyle w:val="BodyText"/>
              <w:tabs>
                <w:tab w:val="left" w:pos="2334"/>
              </w:tabs>
              <w:jc w:val="left"/>
            </w:pPr>
            <w:r w:rsidRPr="002F4AD5">
              <w:t>DOCKET TG-140560</w:t>
            </w:r>
          </w:p>
          <w:p w14:paraId="57DF3DE4" w14:textId="77777777" w:rsidR="00A4735A" w:rsidRPr="002F4AD5" w:rsidRDefault="00A4735A" w:rsidP="00892A0D">
            <w:pPr>
              <w:pStyle w:val="BodyText"/>
              <w:jc w:val="left"/>
            </w:pPr>
          </w:p>
          <w:p w14:paraId="2A562667" w14:textId="77777777" w:rsidR="00FE0DC4" w:rsidRDefault="00FE0DC4" w:rsidP="00892A0D">
            <w:pPr>
              <w:pStyle w:val="BodyText"/>
              <w:jc w:val="left"/>
            </w:pPr>
          </w:p>
          <w:p w14:paraId="460BF756" w14:textId="77777777" w:rsidR="009E4737" w:rsidRDefault="009E4737" w:rsidP="00892A0D">
            <w:pPr>
              <w:pStyle w:val="BodyText"/>
              <w:jc w:val="left"/>
            </w:pPr>
          </w:p>
          <w:p w14:paraId="541C87BE" w14:textId="77777777" w:rsidR="00A4735A" w:rsidRPr="002F4AD5" w:rsidRDefault="00A4735A" w:rsidP="00892A0D">
            <w:pPr>
              <w:pStyle w:val="BodyText"/>
              <w:jc w:val="left"/>
            </w:pPr>
            <w:r w:rsidRPr="002F4AD5">
              <w:t>ORDER 1</w:t>
            </w:r>
            <w:r w:rsidR="00FE0DC4">
              <w:t>4</w:t>
            </w:r>
          </w:p>
          <w:p w14:paraId="65905445" w14:textId="77777777" w:rsidR="00A4735A" w:rsidRPr="002F4AD5" w:rsidRDefault="00A4735A" w:rsidP="00892A0D">
            <w:pPr>
              <w:pStyle w:val="BodyText"/>
              <w:jc w:val="left"/>
            </w:pPr>
          </w:p>
          <w:p w14:paraId="6CFDC982" w14:textId="77777777" w:rsidR="00FE0DC4" w:rsidRDefault="00FE0DC4" w:rsidP="005220C8">
            <w:pPr>
              <w:pStyle w:val="BodyText"/>
              <w:jc w:val="left"/>
            </w:pPr>
          </w:p>
          <w:p w14:paraId="5F287663" w14:textId="77777777" w:rsidR="00A4735A" w:rsidRPr="002F4AD5" w:rsidRDefault="00FE0DC4" w:rsidP="005220C8">
            <w:pPr>
              <w:pStyle w:val="BodyText"/>
              <w:jc w:val="left"/>
            </w:pPr>
            <w:r>
              <w:t>DENYING MOTION FOR CLARIFICATION</w:t>
            </w:r>
            <w:r w:rsidR="009E4737">
              <w:t xml:space="preserve"> AND DENYING RECONSIDERATION</w:t>
            </w:r>
          </w:p>
        </w:tc>
      </w:tr>
    </w:tbl>
    <w:p w14:paraId="32AC0BC4" w14:textId="77777777" w:rsidR="003A7E01" w:rsidRPr="002F4AD5" w:rsidRDefault="003A7E01" w:rsidP="003A7E01">
      <w:pPr>
        <w:spacing w:line="288" w:lineRule="auto"/>
      </w:pPr>
    </w:p>
    <w:p w14:paraId="0D4C1C79" w14:textId="77777777" w:rsidR="00FE0DC4" w:rsidRPr="00FE0DC4" w:rsidRDefault="00FE0DC4" w:rsidP="00FE0DC4">
      <w:pPr>
        <w:spacing w:line="288" w:lineRule="auto"/>
        <w:jc w:val="center"/>
        <w:rPr>
          <w:b/>
          <w:u w:val="single"/>
        </w:rPr>
      </w:pPr>
      <w:r>
        <w:rPr>
          <w:b/>
          <w:u w:val="single"/>
        </w:rPr>
        <w:t>MEMORANDUM</w:t>
      </w:r>
    </w:p>
    <w:p w14:paraId="3BECFF43" w14:textId="77777777" w:rsidR="00FE0DC4" w:rsidRPr="002F4AD5" w:rsidRDefault="00FE0DC4" w:rsidP="003A7E01">
      <w:pPr>
        <w:spacing w:line="288" w:lineRule="auto"/>
      </w:pPr>
    </w:p>
    <w:p w14:paraId="0E0974C0" w14:textId="77777777" w:rsidR="00F7253B" w:rsidRDefault="00342C43" w:rsidP="00311EB6">
      <w:pPr>
        <w:numPr>
          <w:ilvl w:val="0"/>
          <w:numId w:val="2"/>
        </w:numPr>
        <w:spacing w:line="288" w:lineRule="auto"/>
        <w:rPr>
          <w:bCs/>
        </w:rPr>
      </w:pPr>
      <w:r w:rsidRPr="002F4AD5">
        <w:t>On April 3, 2014, Waste Control, Inc. (WCI or Company)</w:t>
      </w:r>
      <w:r w:rsidR="004B62B9">
        <w:t>,</w:t>
      </w:r>
      <w:r w:rsidRPr="002F4AD5">
        <w:t xml:space="preserve"> filed with the Washington Utilities and Transportation Commission (Commission) a general rate increase that would</w:t>
      </w:r>
      <w:r w:rsidR="00CC4165">
        <w:t xml:space="preserve"> have</w:t>
      </w:r>
      <w:r w:rsidRPr="002F4AD5">
        <w:t xml:space="preserve"> generate</w:t>
      </w:r>
      <w:r w:rsidR="00CC4165">
        <w:t>d</w:t>
      </w:r>
      <w:r w:rsidRPr="002F4AD5">
        <w:t xml:space="preserve"> approximately $532,000 (15.4 percent) in additional revenue</w:t>
      </w:r>
      <w:r w:rsidR="00826F10">
        <w:t>, if approved</w:t>
      </w:r>
      <w:r w:rsidRPr="002F4AD5">
        <w:t xml:space="preserve">. </w:t>
      </w:r>
      <w:r w:rsidR="00540ADE">
        <w:t>Administrative Law Judge Friedlander</w:t>
      </w:r>
      <w:r w:rsidR="002E50B8" w:rsidRPr="002F4AD5">
        <w:t xml:space="preserve"> entered </w:t>
      </w:r>
      <w:r w:rsidR="00540ADE">
        <w:t xml:space="preserve">an Initial Order, </w:t>
      </w:r>
      <w:r w:rsidR="002E50B8" w:rsidRPr="002F4AD5">
        <w:t>Order 12</w:t>
      </w:r>
      <w:r w:rsidR="00540ADE">
        <w:t>,</w:t>
      </w:r>
      <w:r w:rsidR="002E50B8" w:rsidRPr="002F4AD5">
        <w:t xml:space="preserve"> on June 8, 2015, approving and adopting </w:t>
      </w:r>
      <w:r w:rsidR="004B6C9F">
        <w:t>a</w:t>
      </w:r>
      <w:r w:rsidR="000B3AF7">
        <w:t xml:space="preserve"> </w:t>
      </w:r>
      <w:r w:rsidR="00720264">
        <w:t>p</w:t>
      </w:r>
      <w:r w:rsidR="000B3AF7">
        <w:t xml:space="preserve">artial </w:t>
      </w:r>
      <w:r w:rsidR="00720264">
        <w:t>s</w:t>
      </w:r>
      <w:r w:rsidR="000B3AF7">
        <w:t>ettlement</w:t>
      </w:r>
      <w:r w:rsidR="002E50B8" w:rsidRPr="002F4AD5">
        <w:t xml:space="preserve"> and resolving four contested issues.</w:t>
      </w:r>
      <w:r w:rsidR="00CC4165">
        <w:t xml:space="preserve"> Order 12 authorized a net </w:t>
      </w:r>
      <w:r w:rsidR="00BC36A7">
        <w:t xml:space="preserve">regulated </w:t>
      </w:r>
      <w:r w:rsidR="00CC4165">
        <w:t>revenue requirement increase of $351,961.</w:t>
      </w:r>
      <w:r w:rsidR="00CC4165">
        <w:rPr>
          <w:rStyle w:val="FootnoteReference"/>
        </w:rPr>
        <w:footnoteReference w:id="1"/>
      </w:r>
      <w:r w:rsidR="002E50B8" w:rsidRPr="002F4AD5">
        <w:t xml:space="preserve"> WCI</w:t>
      </w:r>
      <w:r w:rsidR="004B6C9F">
        <w:t xml:space="preserve"> sought</w:t>
      </w:r>
      <w:r w:rsidR="002E50B8" w:rsidRPr="002F4AD5">
        <w:t xml:space="preserve"> administrative review under RCW 34.05.464 and WAC 480-07-825.</w:t>
      </w:r>
      <w:r w:rsidR="00B13E27" w:rsidRPr="002F4AD5">
        <w:t xml:space="preserve"> </w:t>
      </w:r>
      <w:r w:rsidR="008D1805" w:rsidRPr="004B6C9F">
        <w:rPr>
          <w:bCs/>
        </w:rPr>
        <w:t xml:space="preserve"> </w:t>
      </w:r>
    </w:p>
    <w:p w14:paraId="1BD0A133" w14:textId="77777777" w:rsidR="004B6C9F" w:rsidRDefault="004B6C9F" w:rsidP="004B6C9F">
      <w:pPr>
        <w:spacing w:line="288" w:lineRule="auto"/>
        <w:rPr>
          <w:bCs/>
        </w:rPr>
      </w:pPr>
    </w:p>
    <w:p w14:paraId="2DC4E4E4" w14:textId="77777777" w:rsidR="004B6C9F" w:rsidRDefault="004B6C9F" w:rsidP="00BC0047">
      <w:pPr>
        <w:numPr>
          <w:ilvl w:val="0"/>
          <w:numId w:val="2"/>
        </w:numPr>
        <w:spacing w:line="288" w:lineRule="auto"/>
        <w:rPr>
          <w:bCs/>
        </w:rPr>
      </w:pPr>
      <w:r>
        <w:rPr>
          <w:bCs/>
        </w:rPr>
        <w:t xml:space="preserve">The Commission entered its Final Order, Order 13, on August 6, 2015. Order 13, </w:t>
      </w:r>
      <w:r w:rsidR="00CC4165">
        <w:rPr>
          <w:bCs/>
        </w:rPr>
        <w:t xml:space="preserve">among other things, reversed </w:t>
      </w:r>
      <w:r w:rsidRPr="004B6C9F">
        <w:rPr>
          <w:bCs/>
        </w:rPr>
        <w:t xml:space="preserve">the Initial Order’s </w:t>
      </w:r>
      <w:r w:rsidR="00CC4165">
        <w:rPr>
          <w:bCs/>
        </w:rPr>
        <w:t>determination that</w:t>
      </w:r>
      <w:r w:rsidRPr="004B6C9F">
        <w:rPr>
          <w:bCs/>
        </w:rPr>
        <w:t xml:space="preserve"> Staff’s calculation of land rent </w:t>
      </w:r>
      <w:r w:rsidR="00580783" w:rsidRPr="00580783">
        <w:rPr>
          <w:bCs/>
        </w:rPr>
        <w:t xml:space="preserve">in the amount of $85,217 </w:t>
      </w:r>
      <w:r w:rsidRPr="004B6C9F">
        <w:rPr>
          <w:bCs/>
        </w:rPr>
        <w:t>for facilities WCI shares with affiliates</w:t>
      </w:r>
      <w:r w:rsidR="00623513">
        <w:rPr>
          <w:bCs/>
        </w:rPr>
        <w:t xml:space="preserve"> </w:t>
      </w:r>
      <w:r w:rsidR="00CC4165">
        <w:rPr>
          <w:bCs/>
        </w:rPr>
        <w:t>should be approved</w:t>
      </w:r>
      <w:r w:rsidR="00623513">
        <w:rPr>
          <w:bCs/>
        </w:rPr>
        <w:t>.</w:t>
      </w:r>
      <w:r w:rsidR="00623513">
        <w:rPr>
          <w:rStyle w:val="FootnoteReference"/>
          <w:bCs/>
        </w:rPr>
        <w:footnoteReference w:id="2"/>
      </w:r>
      <w:r w:rsidR="00623513">
        <w:rPr>
          <w:bCs/>
        </w:rPr>
        <w:t xml:space="preserve"> The Commission</w:t>
      </w:r>
      <w:r w:rsidRPr="004B6C9F">
        <w:rPr>
          <w:bCs/>
        </w:rPr>
        <w:t xml:space="preserve"> </w:t>
      </w:r>
      <w:r w:rsidR="001B4500">
        <w:rPr>
          <w:bCs/>
        </w:rPr>
        <w:t>found and</w:t>
      </w:r>
      <w:r>
        <w:rPr>
          <w:bCs/>
        </w:rPr>
        <w:t xml:space="preserve"> determined that:</w:t>
      </w:r>
    </w:p>
    <w:p w14:paraId="758DBD9D" w14:textId="77777777" w:rsidR="004B6C9F" w:rsidRDefault="004B6C9F" w:rsidP="004B6C9F">
      <w:pPr>
        <w:pStyle w:val="ListParagraph"/>
        <w:rPr>
          <w:bCs/>
        </w:rPr>
      </w:pPr>
    </w:p>
    <w:p w14:paraId="59B0387A" w14:textId="77777777" w:rsidR="004B6C9F" w:rsidRDefault="004B6C9F" w:rsidP="004B6C9F">
      <w:pPr>
        <w:ind w:left="720" w:right="720"/>
        <w:rPr>
          <w:bCs/>
        </w:rPr>
      </w:pPr>
      <w:r>
        <w:rPr>
          <w:bCs/>
        </w:rPr>
        <w:t>[N]</w:t>
      </w:r>
      <w:r w:rsidRPr="004B6C9F">
        <w:rPr>
          <w:bCs/>
        </w:rPr>
        <w:t xml:space="preserve">either the Company’s nor Staff’s land rent adjustment proposals </w:t>
      </w:r>
      <w:r w:rsidR="000E0601">
        <w:rPr>
          <w:bCs/>
        </w:rPr>
        <w:t xml:space="preserve">[is] </w:t>
      </w:r>
      <w:r w:rsidRPr="004B6C9F">
        <w:rPr>
          <w:bCs/>
        </w:rPr>
        <w:t>adequately supported in this case. Nor is there evidence adequate to support any other adjustment to land rent. As a consequence, we are left with no alternative but to determine that there will be no adjustment to the level of land rent approved in WCI’s 2009 case. WCI accordingly will continue to be authorized to recover in rates and the amount of $80,250 in land rents for purposes of the Company’s compliance filing.</w:t>
      </w:r>
      <w:r w:rsidR="001B4500">
        <w:rPr>
          <w:rStyle w:val="FootnoteReference"/>
          <w:bCs/>
        </w:rPr>
        <w:footnoteReference w:id="3"/>
      </w:r>
    </w:p>
    <w:p w14:paraId="587397AE" w14:textId="77777777" w:rsidR="000E0601" w:rsidRPr="004B6C9F" w:rsidRDefault="000E0601" w:rsidP="004B6C9F">
      <w:pPr>
        <w:ind w:left="720" w:right="720"/>
        <w:rPr>
          <w:bCs/>
        </w:rPr>
      </w:pPr>
    </w:p>
    <w:p w14:paraId="658ED59C" w14:textId="77777777" w:rsidR="002B5C28" w:rsidRDefault="00DD5C86" w:rsidP="002B5C28">
      <w:pPr>
        <w:spacing w:line="288" w:lineRule="auto"/>
      </w:pPr>
      <w:r>
        <w:t xml:space="preserve">On August 17, 2015, WCI filed its Motion for Clarification of Final Order 13. WCI, by its motion, asks the Commission to </w:t>
      </w:r>
      <w:r w:rsidR="003D1B01">
        <w:t>authorize</w:t>
      </w:r>
      <w:r>
        <w:t xml:space="preserve"> recovery of</w:t>
      </w:r>
      <w:r w:rsidR="000E0601">
        <w:t xml:space="preserve"> more than the $80,250 previously authorized in WCI’s 2009 rate case. Specifically, WCI’s motion requests us to modify Order 13 by allowing</w:t>
      </w:r>
      <w:r>
        <w:t xml:space="preserve"> $102,013.00</w:t>
      </w:r>
      <w:r w:rsidR="002000DA">
        <w:t xml:space="preserve"> in land rent</w:t>
      </w:r>
      <w:r w:rsidR="003B738A">
        <w:t>.</w:t>
      </w:r>
      <w:r>
        <w:t xml:space="preserve"> </w:t>
      </w:r>
    </w:p>
    <w:p w14:paraId="33A5B4FD" w14:textId="77777777" w:rsidR="002B5C28" w:rsidRDefault="002B5C28" w:rsidP="002B5C28">
      <w:pPr>
        <w:spacing w:line="288" w:lineRule="auto"/>
      </w:pPr>
    </w:p>
    <w:p w14:paraId="771D164A" w14:textId="77777777" w:rsidR="00DD5C86" w:rsidRDefault="002B5C28" w:rsidP="00BD70AA">
      <w:pPr>
        <w:numPr>
          <w:ilvl w:val="0"/>
          <w:numId w:val="2"/>
        </w:numPr>
        <w:spacing w:line="288" w:lineRule="auto"/>
      </w:pPr>
      <w:r>
        <w:t xml:space="preserve">At the outset, WCI’s motion is procedurally flawed. </w:t>
      </w:r>
      <w:r w:rsidR="002000DA">
        <w:t>WCI would have us</w:t>
      </w:r>
      <w:r w:rsidR="003D1B01">
        <w:t xml:space="preserve"> materially </w:t>
      </w:r>
      <w:r w:rsidR="00580783" w:rsidRPr="00580783">
        <w:t xml:space="preserve">change </w:t>
      </w:r>
      <w:r w:rsidR="008903D3">
        <w:t>the outcome</w:t>
      </w:r>
      <w:r w:rsidR="003D1B01">
        <w:t xml:space="preserve"> of the land rent issue in Order 13.</w:t>
      </w:r>
      <w:r w:rsidR="000E0601">
        <w:t xml:space="preserve"> The Commission’s procedural rules provide that such a request must be in the form of a petition for reconsideration under WAC 480-07-850</w:t>
      </w:r>
      <w:r w:rsidR="00815402">
        <w:t>. Moreover, WAC 480-07-850</w:t>
      </w:r>
      <w:r w:rsidR="000E0601">
        <w:t xml:space="preserve"> state</w:t>
      </w:r>
      <w:r w:rsidR="00815402">
        <w:t>s</w:t>
      </w:r>
      <w:r w:rsidR="000E0601">
        <w:t xml:space="preserve"> expressly that a motion for clarification under WAC 480-07-835 is not appropriate when a party seeks to change the outcome with respect to any issue determined in a Final Order, such as Order 13.</w:t>
      </w:r>
      <w:r w:rsidR="001C7624">
        <w:t xml:space="preserve"> </w:t>
      </w:r>
      <w:r w:rsidR="003D1B01">
        <w:t xml:space="preserve">WAC 480-07-835 governing motions for clarification of </w:t>
      </w:r>
      <w:r w:rsidR="00815402">
        <w:t>F</w:t>
      </w:r>
      <w:r w:rsidR="003D1B01">
        <w:t xml:space="preserve">inal </w:t>
      </w:r>
      <w:r w:rsidR="00815402">
        <w:t>O</w:t>
      </w:r>
      <w:r w:rsidR="003D1B01">
        <w:t>rders states, in relevant parts:</w:t>
      </w:r>
    </w:p>
    <w:p w14:paraId="31ED008E" w14:textId="77777777" w:rsidR="003D1B01" w:rsidRDefault="003D1B01" w:rsidP="00311EB6">
      <w:pPr>
        <w:pStyle w:val="Heading3"/>
        <w:numPr>
          <w:ilvl w:val="0"/>
          <w:numId w:val="0"/>
        </w:numPr>
        <w:ind w:left="720"/>
      </w:pPr>
      <w:r>
        <w:t>Clarification of final order by motion.</w:t>
      </w:r>
    </w:p>
    <w:p w14:paraId="6C3B222C" w14:textId="77777777" w:rsidR="00311EB6" w:rsidRPr="00311EB6" w:rsidRDefault="00311EB6" w:rsidP="00311EB6"/>
    <w:p w14:paraId="339AE2FA" w14:textId="77777777" w:rsidR="003D1B01" w:rsidRDefault="003D1B01" w:rsidP="003D1B01">
      <w:pPr>
        <w:ind w:left="720" w:right="720" w:firstLine="360"/>
      </w:pPr>
      <w:r>
        <w:t xml:space="preserve">(1) </w:t>
      </w:r>
      <w:r>
        <w:rPr>
          <w:b/>
          <w:bCs/>
        </w:rPr>
        <w:t>Motion - when appropriate.</w:t>
      </w:r>
      <w:r>
        <w:t xml:space="preserve"> Any party who does not seek to change the outcome with respect to an issue may file a motion for clarification of a final order within ten days after the order is served. The purpose of a motion for clarification is to ask for clarification of the meaning of an order so that compliance may be enhanced, so that any compliance filing may be accurately prepared and presented, to suggest technical changes that may be required to correct the application of principle to data, or to correct patent error without the need for parties to request reconsideration and without delaying post-order compliance. A motion for clarification may also request that obvious or ministerial errors in orders be corrected by letter from the secretary or by subsequent order, consistent with WAC </w:t>
      </w:r>
      <w:hyperlink r:id="rId11" w:history="1">
        <w:r>
          <w:rPr>
            <w:rStyle w:val="Hyperlink"/>
          </w:rPr>
          <w:t>480-07-875</w:t>
        </w:r>
      </w:hyperlink>
      <w:r>
        <w:t>.</w:t>
      </w:r>
    </w:p>
    <w:p w14:paraId="5802675D" w14:textId="77777777" w:rsidR="00311EB6" w:rsidRDefault="00311EB6" w:rsidP="003D1B01">
      <w:pPr>
        <w:ind w:left="720" w:right="720" w:firstLine="360"/>
      </w:pPr>
    </w:p>
    <w:p w14:paraId="6F442CC1" w14:textId="77777777" w:rsidR="003D1B01" w:rsidRDefault="003D1B01" w:rsidP="003D1B01">
      <w:pPr>
        <w:ind w:left="720" w:right="720" w:firstLine="360"/>
      </w:pPr>
      <w:r>
        <w:t xml:space="preserve">(2) </w:t>
      </w:r>
      <w:r>
        <w:rPr>
          <w:b/>
          <w:bCs/>
        </w:rPr>
        <w:t>Motion - when not appropriate.</w:t>
      </w:r>
      <w:r>
        <w:t xml:space="preserve"> If a party seeks to change an outcome with respect to one or more issues resolved by a final order, or challenge a finding of fact or conclusion of law stated in the order, it may not do so by motion for clarification, but must file a petition for reconsideration pursuant to WAC </w:t>
      </w:r>
      <w:hyperlink r:id="rId12" w:history="1">
        <w:r>
          <w:rPr>
            <w:rStyle w:val="Hyperlink"/>
          </w:rPr>
          <w:t>480-07-850</w:t>
        </w:r>
      </w:hyperlink>
      <w:r>
        <w:t>.</w:t>
      </w:r>
    </w:p>
    <w:p w14:paraId="2575DD61" w14:textId="77777777" w:rsidR="002B5C28" w:rsidRDefault="002B5C28" w:rsidP="00F95E80">
      <w:pPr>
        <w:numPr>
          <w:ilvl w:val="0"/>
          <w:numId w:val="2"/>
        </w:numPr>
        <w:spacing w:line="288" w:lineRule="auto"/>
      </w:pPr>
      <w:r>
        <w:lastRenderedPageBreak/>
        <w:t>The Commission’s procedural rules, however, provide that “[t]he Commission will liberally construe pleadings and motions with a view to effect justice among the parties.”</w:t>
      </w:r>
      <w:r>
        <w:rPr>
          <w:rStyle w:val="FootnoteReference"/>
        </w:rPr>
        <w:footnoteReference w:id="4"/>
      </w:r>
      <w:r>
        <w:t xml:space="preserve"> We will in this case treat WCI’s motion for clarification as if it had been properly filed as a petition for reconsideration, which is the appropriate pleading when a party wishes to “request that the commission change the outcome with respect to one or more issues determined by the commission’s final order”</w:t>
      </w:r>
      <w:r>
        <w:rPr>
          <w:rStyle w:val="FootnoteReference"/>
        </w:rPr>
        <w:footnoteReference w:id="5"/>
      </w:r>
      <w:r>
        <w:t xml:space="preserve"> in a proceeding.</w:t>
      </w:r>
    </w:p>
    <w:p w14:paraId="35BA900E" w14:textId="77777777" w:rsidR="002B5C28" w:rsidRDefault="002B5C28" w:rsidP="00F545F1">
      <w:pPr>
        <w:spacing w:line="288" w:lineRule="auto"/>
      </w:pPr>
    </w:p>
    <w:p w14:paraId="51353D4E" w14:textId="77777777" w:rsidR="005C443C" w:rsidRDefault="002B5C28" w:rsidP="00F95E80">
      <w:pPr>
        <w:numPr>
          <w:ilvl w:val="0"/>
          <w:numId w:val="2"/>
        </w:numPr>
        <w:spacing w:line="288" w:lineRule="auto"/>
      </w:pPr>
      <w:r>
        <w:t xml:space="preserve">Even when construed as a petition for reconsideration, we find WCI’s arguments to be without substantive merit. </w:t>
      </w:r>
      <w:r w:rsidR="001C4620">
        <w:t>WCI’s motion describes its request as one for “a technical change.”</w:t>
      </w:r>
      <w:r w:rsidR="001C4620">
        <w:rPr>
          <w:rStyle w:val="FootnoteReference"/>
        </w:rPr>
        <w:footnoteReference w:id="6"/>
      </w:r>
      <w:r w:rsidR="001C4620">
        <w:t xml:space="preserve"> </w:t>
      </w:r>
      <w:r w:rsidR="00961575">
        <w:t>Although WCI’s motion does not plainly say so, it appears that the Company would have us accept that it is doing no more than</w:t>
      </w:r>
      <w:r w:rsidR="001C4620">
        <w:t xml:space="preserve"> “suggest</w:t>
      </w:r>
      <w:r w:rsidR="00961575">
        <w:t>[ing]</w:t>
      </w:r>
      <w:r w:rsidR="001C4620">
        <w:t xml:space="preserve"> technical changes that may be required to correct the application of principle to data</w:t>
      </w:r>
      <w:r w:rsidR="00961575">
        <w:t>,</w:t>
      </w:r>
      <w:r w:rsidR="001C4620">
        <w:t xml:space="preserve">” </w:t>
      </w:r>
      <w:r w:rsidR="00961575">
        <w:t>which is allowed under WAC 480-07-835.</w:t>
      </w:r>
      <w:r w:rsidR="00961575">
        <w:rPr>
          <w:rStyle w:val="FootnoteReference"/>
        </w:rPr>
        <w:footnoteReference w:id="7"/>
      </w:r>
      <w:r w:rsidR="00961575">
        <w:t xml:space="preserve"> </w:t>
      </w:r>
      <w:r w:rsidR="005C443C">
        <w:t>This implied characterization of the Company’s request misses the mark by a wide margin.</w:t>
      </w:r>
      <w:r w:rsidR="00961575">
        <w:t xml:space="preserve"> </w:t>
      </w:r>
    </w:p>
    <w:p w14:paraId="027DB979" w14:textId="77777777" w:rsidR="005C443C" w:rsidRDefault="005C443C" w:rsidP="00F545F1">
      <w:pPr>
        <w:spacing w:line="288" w:lineRule="auto"/>
      </w:pPr>
    </w:p>
    <w:p w14:paraId="2C410C28" w14:textId="77777777" w:rsidR="002E1F77" w:rsidRDefault="001C4620" w:rsidP="00F95E80">
      <w:pPr>
        <w:numPr>
          <w:ilvl w:val="0"/>
          <w:numId w:val="2"/>
        </w:numPr>
        <w:spacing w:line="288" w:lineRule="auto"/>
      </w:pPr>
      <w:r>
        <w:t>The principle upon which the outcome in Order 13 depends is that when the record of a proceeding does not support an adjustment to an amount previously authorized for recovery with respect to an ongoing cost, the</w:t>
      </w:r>
      <w:r w:rsidR="003E26D4">
        <w:t xml:space="preserve"> Commission may exercise its discretion to allow </w:t>
      </w:r>
      <w:r w:rsidR="005C443C">
        <w:t>a</w:t>
      </w:r>
      <w:r>
        <w:t xml:space="preserve"> previously authorized amount</w:t>
      </w:r>
      <w:r w:rsidR="003E26D4">
        <w:t xml:space="preserve"> to remain in rates. The only alternative to this</w:t>
      </w:r>
      <w:r w:rsidR="005C443C">
        <w:t xml:space="preserve"> result would be</w:t>
      </w:r>
      <w:r w:rsidR="003E26D4">
        <w:t xml:space="preserve"> to disallow recovery of any amount of land rent.</w:t>
      </w:r>
      <w:r>
        <w:t xml:space="preserve"> </w:t>
      </w:r>
      <w:r w:rsidR="003E26D4">
        <w:t xml:space="preserve"> </w:t>
      </w:r>
    </w:p>
    <w:p w14:paraId="567C3306" w14:textId="77777777" w:rsidR="002E1F77" w:rsidRDefault="002E1F77" w:rsidP="00F545F1">
      <w:pPr>
        <w:spacing w:line="288" w:lineRule="auto"/>
      </w:pPr>
    </w:p>
    <w:p w14:paraId="75BE4B83" w14:textId="77777777" w:rsidR="003E26D4" w:rsidRDefault="002E1F77" w:rsidP="00F95E80">
      <w:pPr>
        <w:numPr>
          <w:ilvl w:val="0"/>
          <w:numId w:val="2"/>
        </w:numPr>
        <w:spacing w:line="288" w:lineRule="auto"/>
      </w:pPr>
      <w:r>
        <w:t>Yet</w:t>
      </w:r>
      <w:r w:rsidR="003E26D4">
        <w:t xml:space="preserve">, what WCI proposes is that the Commission </w:t>
      </w:r>
      <w:r>
        <w:t>adjust</w:t>
      </w:r>
      <w:r w:rsidR="003E26D4">
        <w:t xml:space="preserve"> the amount of land rent approved for recovery in 2009 (</w:t>
      </w:r>
      <w:r w:rsidR="003E26D4" w:rsidRPr="003E26D4">
        <w:rPr>
          <w:i/>
        </w:rPr>
        <w:t>i.e.,</w:t>
      </w:r>
      <w:r w:rsidR="003E26D4">
        <w:t xml:space="preserve"> $80,250), </w:t>
      </w:r>
      <w:r>
        <w:t>by adding</w:t>
      </w:r>
      <w:r w:rsidR="003E26D4">
        <w:t xml:space="preserve"> to it additional rent that “reflects the addition of the truck shop property which was not contained in the previous 2009 rate expense.”</w:t>
      </w:r>
      <w:r w:rsidR="003E26D4">
        <w:rPr>
          <w:rStyle w:val="FootnoteReference"/>
        </w:rPr>
        <w:footnoteReference w:id="8"/>
      </w:r>
      <w:r w:rsidR="003E26D4">
        <w:t xml:space="preserve"> The additional rent</w:t>
      </w:r>
      <w:r>
        <w:t xml:space="preserve"> amounts</w:t>
      </w:r>
      <w:r w:rsidR="003E26D4">
        <w:t xml:space="preserve"> that WCI </w:t>
      </w:r>
      <w:r>
        <w:t>seeks are</w:t>
      </w:r>
      <w:r w:rsidR="003E26D4">
        <w:t xml:space="preserve"> taken directly from Staff’s litigation position in this case,</w:t>
      </w:r>
      <w:r>
        <w:rPr>
          <w:rStyle w:val="FootnoteReference"/>
        </w:rPr>
        <w:footnoteReference w:id="9"/>
      </w:r>
      <w:r w:rsidR="003E26D4">
        <w:t xml:space="preserve"> which the Commission expressly reject</w:t>
      </w:r>
      <w:r w:rsidR="00580783">
        <w:t>ed</w:t>
      </w:r>
      <w:r w:rsidR="003E26D4">
        <w:t xml:space="preserve"> in Order 13 as being flawed in its methodology and unsupported.</w:t>
      </w:r>
      <w:r w:rsidR="00376369">
        <w:t xml:space="preserve"> </w:t>
      </w:r>
      <w:r>
        <w:t>The suggestion that the Commission should reverse itself here by selectively adopting data underlying Staff’s litigation position</w:t>
      </w:r>
      <w:r w:rsidR="00580783">
        <w:t xml:space="preserve"> in this case</w:t>
      </w:r>
      <w:r>
        <w:t xml:space="preserve"> to adjust the amount of land rent authorized in 2009 is not a</w:t>
      </w:r>
      <w:r w:rsidR="00580783">
        <w:t xml:space="preserve"> request for a</w:t>
      </w:r>
      <w:r>
        <w:t xml:space="preserve"> technical change within the meaning of WAC 480-07-835.</w:t>
      </w:r>
      <w:r w:rsidR="003E26D4">
        <w:t xml:space="preserve"> </w:t>
      </w:r>
    </w:p>
    <w:p w14:paraId="2063D4BB" w14:textId="77777777" w:rsidR="003E26D4" w:rsidRDefault="003E26D4" w:rsidP="00F545F1">
      <w:pPr>
        <w:spacing w:line="288" w:lineRule="auto"/>
      </w:pPr>
    </w:p>
    <w:p w14:paraId="30E4D264" w14:textId="77777777" w:rsidR="001E3A97" w:rsidRDefault="002B5C28" w:rsidP="00F95E80">
      <w:pPr>
        <w:numPr>
          <w:ilvl w:val="0"/>
          <w:numId w:val="2"/>
        </w:numPr>
        <w:spacing w:line="288" w:lineRule="auto"/>
      </w:pPr>
      <w:r>
        <w:t>In sum, we</w:t>
      </w:r>
      <w:r w:rsidR="001E3A97">
        <w:t xml:space="preserve"> find</w:t>
      </w:r>
      <w:r>
        <w:t xml:space="preserve"> </w:t>
      </w:r>
      <w:r w:rsidR="001E3A97">
        <w:t xml:space="preserve">no reason to reconsider our decision in Order 13. </w:t>
      </w:r>
      <w:r w:rsidR="00376369">
        <w:t>Order 13</w:t>
      </w:r>
      <w:r w:rsidR="001E3A97">
        <w:t xml:space="preserve"> determine</w:t>
      </w:r>
      <w:r w:rsidR="00376369">
        <w:t>s</w:t>
      </w:r>
      <w:r w:rsidR="001E3A97">
        <w:t xml:space="preserve"> that </w:t>
      </w:r>
      <w:r w:rsidR="00B70291">
        <w:t xml:space="preserve">the land rent proposals of both </w:t>
      </w:r>
      <w:r w:rsidR="001E3A97">
        <w:t xml:space="preserve">the Company </w:t>
      </w:r>
      <w:r w:rsidR="00B70291">
        <w:t>and</w:t>
      </w:r>
      <w:r w:rsidR="001E3A97">
        <w:t xml:space="preserve"> Staff</w:t>
      </w:r>
      <w:r w:rsidR="00B70291">
        <w:t xml:space="preserve"> were methodologically flawed and inadequately supported.</w:t>
      </w:r>
      <w:r w:rsidR="00376369">
        <w:t xml:space="preserve"> Both proposals are </w:t>
      </w:r>
      <w:r w:rsidR="008011E8">
        <w:t xml:space="preserve">accordingly </w:t>
      </w:r>
      <w:r w:rsidR="00376369">
        <w:t>rejected in Order 13.</w:t>
      </w:r>
      <w:r w:rsidR="00B70291">
        <w:t xml:space="preserve"> </w:t>
      </w:r>
      <w:r w:rsidR="00376369">
        <w:t>Th</w:t>
      </w:r>
      <w:r w:rsidR="008011E8">
        <w:t>is</w:t>
      </w:r>
      <w:r w:rsidR="00376369">
        <w:t xml:space="preserve"> being so, </w:t>
      </w:r>
      <w:r w:rsidR="00580783">
        <w:t xml:space="preserve">the evidence on which WCI would have us rely </w:t>
      </w:r>
      <w:r w:rsidR="008011E8">
        <w:t>cannot be considered as</w:t>
      </w:r>
      <w:r w:rsidR="00580783">
        <w:t xml:space="preserve"> credible evidence </w:t>
      </w:r>
      <w:r w:rsidR="008011E8">
        <w:t>meeting</w:t>
      </w:r>
      <w:r w:rsidR="00580783">
        <w:t xml:space="preserve"> the substantial competent evidence standard</w:t>
      </w:r>
      <w:r w:rsidR="00376369">
        <w:t xml:space="preserve"> </w:t>
      </w:r>
      <w:r w:rsidR="008011E8">
        <w:t>upon which our determinations of fact depend.</w:t>
      </w:r>
      <w:r w:rsidR="008011E8" w:rsidRPr="008011E8">
        <w:t xml:space="preserve"> </w:t>
      </w:r>
      <w:r w:rsidR="00720264">
        <w:t>I</w:t>
      </w:r>
      <w:r w:rsidR="008011E8" w:rsidRPr="008011E8">
        <w:t xml:space="preserve">t would be patent error for the Commission to now rely on data drawn selectively from Staff’s </w:t>
      </w:r>
      <w:r w:rsidR="00720264">
        <w:t xml:space="preserve">rejected </w:t>
      </w:r>
      <w:r w:rsidR="008011E8" w:rsidRPr="008011E8">
        <w:t>proposal below</w:t>
      </w:r>
      <w:r w:rsidR="008011E8">
        <w:t xml:space="preserve"> to change the outcome of the land rent issue as WCI requests</w:t>
      </w:r>
      <w:r w:rsidR="008011E8" w:rsidRPr="008011E8">
        <w:t xml:space="preserve">. </w:t>
      </w:r>
      <w:r w:rsidR="00376369">
        <w:t>The rationale WCI argues in support of Commission reconsideration of</w:t>
      </w:r>
      <w:r w:rsidR="00B70291">
        <w:t xml:space="preserve"> Order 13 is simply untenable.</w:t>
      </w:r>
      <w:r w:rsidR="001E3A97">
        <w:t xml:space="preserve"> </w:t>
      </w:r>
      <w:r w:rsidR="00376369">
        <w:t xml:space="preserve">We </w:t>
      </w:r>
      <w:r>
        <w:t xml:space="preserve">therefore </w:t>
      </w:r>
      <w:r w:rsidR="00376369">
        <w:t>reject the Company’s arguments and deny its request for relief.</w:t>
      </w:r>
    </w:p>
    <w:p w14:paraId="5568129B" w14:textId="77777777" w:rsidR="00BA08A6" w:rsidRPr="002F4AD5" w:rsidRDefault="00BA08A6" w:rsidP="007E4BB7"/>
    <w:p w14:paraId="149E9AB4" w14:textId="77777777" w:rsidR="003A45CF" w:rsidRPr="002F4AD5" w:rsidRDefault="00A01153" w:rsidP="007D4771">
      <w:pPr>
        <w:pStyle w:val="Heading1"/>
        <w:rPr>
          <w:bCs/>
        </w:rPr>
      </w:pPr>
      <w:bookmarkStart w:id="0" w:name="_Toc425254181"/>
      <w:r w:rsidRPr="002F4AD5">
        <w:t xml:space="preserve">O R D E </w:t>
      </w:r>
      <w:r w:rsidR="003A45CF" w:rsidRPr="002F4AD5">
        <w:t>R</w:t>
      </w:r>
      <w:bookmarkEnd w:id="0"/>
    </w:p>
    <w:p w14:paraId="23A1AF6D" w14:textId="77777777" w:rsidR="003A45CF" w:rsidRPr="002F4AD5" w:rsidRDefault="003A45CF" w:rsidP="00A01153">
      <w:pPr>
        <w:spacing w:line="264" w:lineRule="auto"/>
      </w:pPr>
    </w:p>
    <w:p w14:paraId="0CD3BFBE" w14:textId="77777777" w:rsidR="00A51503" w:rsidRPr="002F4AD5" w:rsidRDefault="003A45CF" w:rsidP="00F95E80">
      <w:pPr>
        <w:numPr>
          <w:ilvl w:val="0"/>
          <w:numId w:val="2"/>
        </w:numPr>
        <w:spacing w:line="288" w:lineRule="auto"/>
      </w:pPr>
      <w:r w:rsidRPr="002F4AD5">
        <w:t>THE COMMISSION ORDERS That</w:t>
      </w:r>
      <w:r w:rsidR="00B70291">
        <w:t xml:space="preserve"> Waste Control Inc.’s Motion for Clarification, liberally construed here as a petition for reconsideration, is denied.</w:t>
      </w:r>
    </w:p>
    <w:p w14:paraId="326F9904" w14:textId="77777777" w:rsidR="009872CB" w:rsidRPr="002F4AD5" w:rsidRDefault="009872CB" w:rsidP="009872CB">
      <w:pPr>
        <w:spacing w:line="264" w:lineRule="auto"/>
      </w:pPr>
    </w:p>
    <w:p w14:paraId="7E4E02BE" w14:textId="77777777" w:rsidR="004059E6" w:rsidRPr="002F4AD5" w:rsidRDefault="004059E6" w:rsidP="004059E6">
      <w:pPr>
        <w:spacing w:line="288" w:lineRule="auto"/>
      </w:pPr>
      <w:r w:rsidRPr="002F4AD5">
        <w:t xml:space="preserve">Dated at Olympia, Washington, and effective </w:t>
      </w:r>
      <w:r w:rsidR="00311EB6">
        <w:t>August 31</w:t>
      </w:r>
      <w:r w:rsidR="009872CB" w:rsidRPr="002F4AD5">
        <w:t>, 2015</w:t>
      </w:r>
      <w:r w:rsidRPr="002F4AD5">
        <w:t>.</w:t>
      </w:r>
    </w:p>
    <w:p w14:paraId="11CC407E" w14:textId="77777777" w:rsidR="004059E6" w:rsidRPr="002F4AD5" w:rsidRDefault="004059E6" w:rsidP="004059E6">
      <w:pPr>
        <w:pStyle w:val="Header"/>
        <w:tabs>
          <w:tab w:val="clear" w:pos="4320"/>
          <w:tab w:val="clear" w:pos="8640"/>
        </w:tabs>
        <w:spacing w:line="288" w:lineRule="auto"/>
      </w:pPr>
    </w:p>
    <w:p w14:paraId="63D2D2DA" w14:textId="77777777" w:rsidR="004059E6" w:rsidRPr="002F4AD5" w:rsidRDefault="004059E6" w:rsidP="004059E6">
      <w:pPr>
        <w:spacing w:line="288" w:lineRule="auto"/>
        <w:jc w:val="center"/>
      </w:pPr>
      <w:r w:rsidRPr="002F4AD5">
        <w:t>WASHINGTON UTILITIES AND TRANSPORTATION COMMISSION</w:t>
      </w:r>
    </w:p>
    <w:p w14:paraId="29EFCE10" w14:textId="77777777" w:rsidR="00ED5032" w:rsidRDefault="00ED5032" w:rsidP="00ED5032">
      <w:pPr>
        <w:spacing w:line="288" w:lineRule="auto"/>
      </w:pPr>
    </w:p>
    <w:p w14:paraId="6FC0FF9F" w14:textId="77777777" w:rsidR="00311EB6" w:rsidRPr="002F4AD5" w:rsidRDefault="00311EB6" w:rsidP="00ED5032">
      <w:pPr>
        <w:spacing w:line="288" w:lineRule="auto"/>
      </w:pPr>
    </w:p>
    <w:p w14:paraId="5A1B5F5C" w14:textId="77777777" w:rsidR="00ED5032" w:rsidRPr="002F4AD5" w:rsidRDefault="00ED5032" w:rsidP="00ED5032">
      <w:pPr>
        <w:spacing w:line="288" w:lineRule="auto"/>
      </w:pPr>
    </w:p>
    <w:p w14:paraId="67263C23" w14:textId="77777777" w:rsidR="00ED5032" w:rsidRPr="002F4AD5" w:rsidRDefault="00311EB6" w:rsidP="00ED5032">
      <w:pPr>
        <w:spacing w:line="288" w:lineRule="auto"/>
      </w:pPr>
      <w:r>
        <w:tab/>
      </w:r>
      <w:r w:rsidR="00ED5032" w:rsidRPr="002F4AD5">
        <w:tab/>
      </w:r>
      <w:r w:rsidR="00ED5032" w:rsidRPr="002F4AD5">
        <w:tab/>
      </w:r>
      <w:r w:rsidR="00ED5032" w:rsidRPr="002F4AD5">
        <w:tab/>
      </w:r>
      <w:r w:rsidR="00ED5032" w:rsidRPr="002F4AD5">
        <w:tab/>
      </w:r>
      <w:r w:rsidR="00ED5032" w:rsidRPr="002F4AD5">
        <w:tab/>
        <w:t>DAVID W. DANNER, Chairman</w:t>
      </w:r>
    </w:p>
    <w:p w14:paraId="40DE0440" w14:textId="77777777" w:rsidR="00ED5032" w:rsidRPr="002F4AD5" w:rsidRDefault="00ED5032" w:rsidP="00ED5032">
      <w:pPr>
        <w:spacing w:line="288" w:lineRule="auto"/>
      </w:pPr>
    </w:p>
    <w:p w14:paraId="2055D68E" w14:textId="77777777" w:rsidR="00ED5032" w:rsidRPr="002F4AD5" w:rsidRDefault="00ED5032" w:rsidP="00ED5032">
      <w:pPr>
        <w:spacing w:line="288" w:lineRule="auto"/>
      </w:pPr>
    </w:p>
    <w:p w14:paraId="1814CE1F" w14:textId="77777777" w:rsidR="00CD4DFF" w:rsidRPr="002F4AD5" w:rsidRDefault="00CD4DFF" w:rsidP="00ED5032">
      <w:pPr>
        <w:spacing w:line="288" w:lineRule="auto"/>
      </w:pPr>
    </w:p>
    <w:p w14:paraId="71342824" w14:textId="77777777" w:rsidR="00ED5032" w:rsidRPr="002F4AD5" w:rsidRDefault="00311EB6" w:rsidP="00ED5032">
      <w:pPr>
        <w:spacing w:line="288" w:lineRule="auto"/>
      </w:pPr>
      <w:r>
        <w:tab/>
      </w:r>
      <w:r w:rsidR="00ED5032" w:rsidRPr="002F4AD5">
        <w:tab/>
      </w:r>
      <w:r w:rsidR="00ED5032" w:rsidRPr="002F4AD5">
        <w:tab/>
      </w:r>
      <w:r w:rsidR="00ED5032" w:rsidRPr="002F4AD5">
        <w:tab/>
      </w:r>
      <w:r w:rsidR="00ED5032" w:rsidRPr="002F4AD5">
        <w:tab/>
      </w:r>
      <w:r w:rsidR="00ED5032" w:rsidRPr="002F4AD5">
        <w:tab/>
        <w:t xml:space="preserve">PHILIP </w:t>
      </w:r>
      <w:r w:rsidR="00CD4DFF" w:rsidRPr="002F4AD5">
        <w:t xml:space="preserve">B. </w:t>
      </w:r>
      <w:r w:rsidR="00ED5032" w:rsidRPr="002F4AD5">
        <w:t>JONES, Commissioner</w:t>
      </w:r>
    </w:p>
    <w:p w14:paraId="78F4E5B6" w14:textId="77777777" w:rsidR="00ED5032" w:rsidRPr="002F4AD5" w:rsidRDefault="00ED5032" w:rsidP="00ED5032">
      <w:pPr>
        <w:spacing w:line="288" w:lineRule="auto"/>
      </w:pPr>
    </w:p>
    <w:p w14:paraId="661D620A" w14:textId="77777777" w:rsidR="00CD4DFF" w:rsidRPr="002F4AD5" w:rsidRDefault="00CD4DFF" w:rsidP="00ED5032">
      <w:pPr>
        <w:spacing w:line="288" w:lineRule="auto"/>
      </w:pPr>
    </w:p>
    <w:p w14:paraId="1046FB45" w14:textId="77777777" w:rsidR="00CD4DFF" w:rsidRPr="002F4AD5" w:rsidRDefault="00CD4DFF" w:rsidP="00ED5032">
      <w:pPr>
        <w:spacing w:line="288" w:lineRule="auto"/>
      </w:pPr>
    </w:p>
    <w:p w14:paraId="0E222D2F" w14:textId="77777777" w:rsidR="00ED5032" w:rsidRPr="002F4AD5" w:rsidRDefault="00311EB6" w:rsidP="00ED5032">
      <w:pPr>
        <w:spacing w:line="288" w:lineRule="auto"/>
      </w:pPr>
      <w:r>
        <w:tab/>
      </w:r>
      <w:r w:rsidR="00ED5032" w:rsidRPr="002F4AD5">
        <w:tab/>
      </w:r>
      <w:r w:rsidR="00ED5032" w:rsidRPr="002F4AD5">
        <w:tab/>
      </w:r>
      <w:r w:rsidR="00ED5032" w:rsidRPr="002F4AD5">
        <w:tab/>
      </w:r>
      <w:r w:rsidR="00ED5032" w:rsidRPr="002F4AD5">
        <w:tab/>
      </w:r>
      <w:r w:rsidR="00ED5032" w:rsidRPr="002F4AD5">
        <w:tab/>
        <w:t>ANN E. RENDAHL, Commissioner</w:t>
      </w:r>
    </w:p>
    <w:p w14:paraId="502C1082" w14:textId="77777777" w:rsidR="00B1424E" w:rsidRDefault="00B1424E" w:rsidP="00452317"/>
    <w:p w14:paraId="45821A0D" w14:textId="77777777" w:rsidR="00790774" w:rsidRPr="002F4AD5" w:rsidRDefault="00790774" w:rsidP="00452317"/>
    <w:sectPr w:rsidR="00790774" w:rsidRPr="002F4AD5" w:rsidSect="00C361E0">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2160" w:header="1440" w:footer="720" w:gutter="0"/>
      <w:pgNumType w:start="1"/>
      <w:cols w:space="0" w:equalWidth="0">
        <w:col w:w="9000" w:space="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F466B" w14:textId="77777777" w:rsidR="00B05F5E" w:rsidRDefault="00B05F5E">
      <w:r>
        <w:separator/>
      </w:r>
    </w:p>
  </w:endnote>
  <w:endnote w:type="continuationSeparator" w:id="0">
    <w:p w14:paraId="1B61D4E9" w14:textId="77777777" w:rsidR="00B05F5E" w:rsidRDefault="00B0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73479" w14:textId="77777777" w:rsidR="00C361E0" w:rsidRDefault="00C361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22898" w14:textId="77777777" w:rsidR="00C361E0" w:rsidRDefault="00C361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497BF" w14:textId="77777777" w:rsidR="00C361E0" w:rsidRDefault="00C361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A4736" w14:textId="77777777" w:rsidR="00B05F5E" w:rsidRDefault="00B05F5E">
      <w:r>
        <w:separator/>
      </w:r>
    </w:p>
  </w:footnote>
  <w:footnote w:type="continuationSeparator" w:id="0">
    <w:p w14:paraId="23D92AB8" w14:textId="77777777" w:rsidR="00B05F5E" w:rsidRDefault="00B05F5E">
      <w:r>
        <w:continuationSeparator/>
      </w:r>
    </w:p>
  </w:footnote>
  <w:footnote w:id="1">
    <w:p w14:paraId="1FD52D4A" w14:textId="77777777" w:rsidR="00CC4165" w:rsidRDefault="00CC4165">
      <w:pPr>
        <w:pStyle w:val="FootnoteText"/>
      </w:pPr>
      <w:r>
        <w:rPr>
          <w:rStyle w:val="FootnoteReference"/>
        </w:rPr>
        <w:footnoteRef/>
      </w:r>
      <w:r>
        <w:t xml:space="preserve"> Order 12 at 30 (Table 2</w:t>
      </w:r>
      <w:r w:rsidR="00BC36A7">
        <w:t>, ln. 37</w:t>
      </w:r>
      <w:r>
        <w:t>).</w:t>
      </w:r>
    </w:p>
  </w:footnote>
  <w:footnote w:id="2">
    <w:p w14:paraId="50374021" w14:textId="77777777" w:rsidR="00623513" w:rsidRDefault="00623513">
      <w:pPr>
        <w:pStyle w:val="FootnoteText"/>
      </w:pPr>
      <w:r>
        <w:rPr>
          <w:rStyle w:val="FootnoteReference"/>
        </w:rPr>
        <w:footnoteRef/>
      </w:r>
      <w:r>
        <w:t xml:space="preserve"> Order 12 accepts Staff’s adjustment of ($52,783) to the Company’s per books land rent of $138,000; ($138,000 - $52,783 = $85,217).</w:t>
      </w:r>
    </w:p>
  </w:footnote>
  <w:footnote w:id="3">
    <w:p w14:paraId="72A4206E" w14:textId="77777777" w:rsidR="002B5C28" w:rsidRPr="00311EB6" w:rsidRDefault="001B4500" w:rsidP="00815402">
      <w:pPr>
        <w:spacing w:line="288" w:lineRule="auto"/>
        <w:rPr>
          <w:sz w:val="22"/>
          <w:szCs w:val="22"/>
        </w:rPr>
      </w:pPr>
      <w:r w:rsidRPr="00311EB6">
        <w:rPr>
          <w:rStyle w:val="FootnoteReference"/>
          <w:sz w:val="22"/>
          <w:szCs w:val="22"/>
        </w:rPr>
        <w:footnoteRef/>
      </w:r>
      <w:r w:rsidRPr="00311EB6">
        <w:rPr>
          <w:sz w:val="22"/>
          <w:szCs w:val="22"/>
        </w:rPr>
        <w:t xml:space="preserve"> Order 13 ¶ 37.</w:t>
      </w:r>
      <w:r w:rsidR="002B5C28" w:rsidRPr="00311EB6">
        <w:rPr>
          <w:sz w:val="22"/>
          <w:szCs w:val="22"/>
        </w:rPr>
        <w:t xml:space="preserve"> It restated this in Finding and Conclusion 18 at ¶ 74 of Order 13, as follows:</w:t>
      </w:r>
    </w:p>
    <w:p w14:paraId="1D7D1220" w14:textId="77777777" w:rsidR="001B4500" w:rsidRDefault="002B5C28" w:rsidP="002B5C28">
      <w:pPr>
        <w:pStyle w:val="FootnoteText"/>
        <w:ind w:left="720"/>
        <w:rPr>
          <w:i/>
        </w:rPr>
      </w:pPr>
      <w:r w:rsidRPr="003B738A">
        <w:rPr>
          <w:i/>
        </w:rPr>
        <w:t>Neither the Company’s nor Staff’s land rent adjustment proposals are adequately supported in this case. As a consequence, there will be no adjustment to the level of land rent from the level approved in WCI’s 2009 rate case and the amount of $80,250 is authorized for recovery in rates determined for purposes of the Company’s compliance filing.</w:t>
      </w:r>
    </w:p>
    <w:p w14:paraId="622D1A55" w14:textId="77777777" w:rsidR="002B5C28" w:rsidRDefault="002B5C28" w:rsidP="002B5C28">
      <w:pPr>
        <w:pStyle w:val="FootnoteText"/>
      </w:pPr>
      <w:r>
        <w:t>(italics in original).</w:t>
      </w:r>
    </w:p>
  </w:footnote>
  <w:footnote w:id="4">
    <w:p w14:paraId="77581E5F" w14:textId="77777777" w:rsidR="002B5C28" w:rsidRDefault="002B5C28" w:rsidP="002B5C28">
      <w:pPr>
        <w:pStyle w:val="FootnoteText"/>
      </w:pPr>
      <w:r>
        <w:rPr>
          <w:rStyle w:val="FootnoteReference"/>
        </w:rPr>
        <w:footnoteRef/>
      </w:r>
      <w:r>
        <w:t xml:space="preserve"> WAC 480-07-395(4).</w:t>
      </w:r>
    </w:p>
  </w:footnote>
  <w:footnote w:id="5">
    <w:p w14:paraId="0A920725" w14:textId="77777777" w:rsidR="002B5C28" w:rsidRDefault="002B5C28" w:rsidP="002B5C28">
      <w:pPr>
        <w:pStyle w:val="FootnoteText"/>
      </w:pPr>
      <w:r>
        <w:rPr>
          <w:rStyle w:val="FootnoteReference"/>
        </w:rPr>
        <w:footnoteRef/>
      </w:r>
      <w:r>
        <w:t xml:space="preserve"> WAC 480-07-850(1).</w:t>
      </w:r>
    </w:p>
  </w:footnote>
  <w:footnote w:id="6">
    <w:p w14:paraId="1F28C7D2" w14:textId="77777777" w:rsidR="001C4620" w:rsidRDefault="001C4620">
      <w:pPr>
        <w:pStyle w:val="FootnoteText"/>
      </w:pPr>
      <w:r>
        <w:rPr>
          <w:rStyle w:val="FootnoteReference"/>
        </w:rPr>
        <w:footnoteRef/>
      </w:r>
      <w:r>
        <w:t xml:space="preserve"> Motion ¶¶ 4, 7. </w:t>
      </w:r>
    </w:p>
  </w:footnote>
  <w:footnote w:id="7">
    <w:p w14:paraId="7A8691A9" w14:textId="77777777" w:rsidR="00961575" w:rsidRDefault="00961575">
      <w:pPr>
        <w:pStyle w:val="FootnoteText"/>
      </w:pPr>
      <w:r>
        <w:rPr>
          <w:rStyle w:val="FootnoteReference"/>
        </w:rPr>
        <w:footnoteRef/>
      </w:r>
      <w:r>
        <w:t xml:space="preserve"> </w:t>
      </w:r>
      <w:r w:rsidRPr="00961575">
        <w:rPr>
          <w:i/>
        </w:rPr>
        <w:t>See</w:t>
      </w:r>
      <w:r>
        <w:t xml:space="preserve"> Motion ¶ 7.</w:t>
      </w:r>
    </w:p>
  </w:footnote>
  <w:footnote w:id="8">
    <w:p w14:paraId="178F0073" w14:textId="77777777" w:rsidR="003E26D4" w:rsidRDefault="003E26D4">
      <w:pPr>
        <w:pStyle w:val="FootnoteText"/>
      </w:pPr>
      <w:r>
        <w:rPr>
          <w:rStyle w:val="FootnoteReference"/>
        </w:rPr>
        <w:footnoteRef/>
      </w:r>
      <w:r>
        <w:t xml:space="preserve"> Motion ¶ 4.</w:t>
      </w:r>
    </w:p>
  </w:footnote>
  <w:footnote w:id="9">
    <w:p w14:paraId="6410FF96" w14:textId="77777777" w:rsidR="002E1F77" w:rsidRDefault="002E1F77">
      <w:pPr>
        <w:pStyle w:val="FootnoteText"/>
      </w:pPr>
      <w:r>
        <w:rPr>
          <w:rStyle w:val="FootnoteReference"/>
        </w:rPr>
        <w:footnoteRef/>
      </w:r>
      <w:r>
        <w:t xml:space="preserve"> See Motion ¶ 5 and Motion Exhibits A and A-1.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12D71" w14:textId="77777777" w:rsidR="00C361E0" w:rsidRDefault="00C361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5BCC2" w14:textId="77777777" w:rsidR="00F3747A" w:rsidRPr="00F523EC" w:rsidRDefault="00F3747A" w:rsidP="00311EB6">
    <w:pPr>
      <w:pStyle w:val="Header"/>
      <w:rPr>
        <w:rStyle w:val="PageNumber"/>
        <w:b/>
        <w:bCs/>
        <w:sz w:val="20"/>
      </w:rPr>
    </w:pPr>
    <w:r>
      <w:rPr>
        <w:b/>
        <w:bCs/>
        <w:sz w:val="20"/>
      </w:rPr>
      <w:t>DOCKET TG-140560</w:t>
    </w:r>
    <w:r w:rsidRPr="00F523EC">
      <w:rPr>
        <w:b/>
        <w:bCs/>
        <w:sz w:val="20"/>
      </w:rPr>
      <w:tab/>
    </w:r>
    <w:r w:rsidRPr="00F523EC">
      <w:rPr>
        <w:b/>
        <w:bCs/>
        <w:sz w:val="20"/>
      </w:rPr>
      <w:tab/>
      <w:t xml:space="preserve">PAGE </w:t>
    </w:r>
    <w:r w:rsidRPr="00F523EC">
      <w:rPr>
        <w:rStyle w:val="PageNumber"/>
        <w:b/>
        <w:bCs/>
        <w:sz w:val="20"/>
      </w:rPr>
      <w:fldChar w:fldCharType="begin"/>
    </w:r>
    <w:r w:rsidRPr="00F523EC">
      <w:rPr>
        <w:rStyle w:val="PageNumber"/>
        <w:b/>
        <w:bCs/>
        <w:sz w:val="20"/>
      </w:rPr>
      <w:instrText xml:space="preserve"> PAGE </w:instrText>
    </w:r>
    <w:r w:rsidRPr="00F523EC">
      <w:rPr>
        <w:rStyle w:val="PageNumber"/>
        <w:b/>
        <w:bCs/>
        <w:sz w:val="20"/>
      </w:rPr>
      <w:fldChar w:fldCharType="separate"/>
    </w:r>
    <w:r w:rsidR="00524E7E">
      <w:rPr>
        <w:rStyle w:val="PageNumber"/>
        <w:b/>
        <w:bCs/>
        <w:noProof/>
        <w:sz w:val="20"/>
      </w:rPr>
      <w:t>4</w:t>
    </w:r>
    <w:r w:rsidRPr="00F523EC">
      <w:rPr>
        <w:rStyle w:val="PageNumber"/>
        <w:b/>
        <w:bCs/>
        <w:sz w:val="20"/>
      </w:rPr>
      <w:fldChar w:fldCharType="end"/>
    </w:r>
  </w:p>
  <w:p w14:paraId="4F874128" w14:textId="77777777" w:rsidR="00F3747A" w:rsidRPr="00F523EC" w:rsidRDefault="00F3747A">
    <w:pPr>
      <w:pStyle w:val="Header"/>
      <w:rPr>
        <w:rStyle w:val="PageNumber"/>
        <w:b/>
        <w:bCs/>
        <w:sz w:val="20"/>
      </w:rPr>
    </w:pPr>
    <w:r w:rsidRPr="00F523EC">
      <w:rPr>
        <w:rStyle w:val="PageNumber"/>
        <w:b/>
        <w:bCs/>
        <w:sz w:val="20"/>
      </w:rPr>
      <w:t xml:space="preserve">ORDER </w:t>
    </w:r>
    <w:r>
      <w:rPr>
        <w:rStyle w:val="PageNumber"/>
        <w:b/>
        <w:bCs/>
        <w:sz w:val="20"/>
      </w:rPr>
      <w:t>1</w:t>
    </w:r>
    <w:r w:rsidR="00B70291">
      <w:rPr>
        <w:rStyle w:val="PageNumber"/>
        <w:b/>
        <w:bCs/>
        <w:sz w:val="20"/>
      </w:rPr>
      <w:t>4</w:t>
    </w:r>
  </w:p>
  <w:p w14:paraId="12DB7DEA" w14:textId="77777777" w:rsidR="00F3747A" w:rsidRPr="00F523EC" w:rsidRDefault="00F3747A">
    <w:pPr>
      <w:pStyle w:val="Header"/>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6FF00" w14:textId="7533F542" w:rsidR="00F3747A" w:rsidRPr="00074AF2" w:rsidRDefault="00F3747A" w:rsidP="00074AF2">
    <w:pPr>
      <w:pStyle w:val="Header"/>
      <w:tabs>
        <w:tab w:val="clear" w:pos="4320"/>
      </w:tabs>
      <w:jc w:val="right"/>
      <w:rPr>
        <w:b/>
        <w:sz w:val="20"/>
        <w:szCs w:val="20"/>
      </w:rPr>
    </w:pPr>
    <w:r>
      <w:tab/>
    </w:r>
    <w:r w:rsidR="00074AF2">
      <w:rPr>
        <w:b/>
        <w:sz w:val="20"/>
        <w:szCs w:val="20"/>
      </w:rPr>
      <w:t xml:space="preserve">[Service date August 31, </w:t>
    </w:r>
    <w:r w:rsidR="00074AF2">
      <w:rPr>
        <w:b/>
        <w:sz w:val="20"/>
        <w:szCs w:val="20"/>
      </w:rPr>
      <w:t>2015]</w:t>
    </w: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F306450"/>
    <w:multiLevelType w:val="hybridMultilevel"/>
    <w:tmpl w:val="1CBE0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983814"/>
    <w:multiLevelType w:val="hybridMultilevel"/>
    <w:tmpl w:val="9870895C"/>
    <w:lvl w:ilvl="0" w:tplc="0D4ED8E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DB3C44"/>
    <w:multiLevelType w:val="hybridMultilevel"/>
    <w:tmpl w:val="57A4A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6F5619"/>
    <w:multiLevelType w:val="hybridMultilevel"/>
    <w:tmpl w:val="946ED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4204C"/>
    <w:multiLevelType w:val="hybridMultilevel"/>
    <w:tmpl w:val="BC08F932"/>
    <w:lvl w:ilvl="0" w:tplc="A81CD388">
      <w:start w:val="1"/>
      <w:numFmt w:val="decimal"/>
      <w:pStyle w:val="FindingsConclusions"/>
      <w:lvlText w:val="%1"/>
      <w:lvlJc w:val="left"/>
      <w:pPr>
        <w:tabs>
          <w:tab w:val="num" w:pos="0"/>
        </w:tabs>
        <w:ind w:left="0" w:hanging="1080"/>
      </w:pPr>
      <w:rPr>
        <w:rFonts w:hint="default"/>
        <w:b w:val="0"/>
        <w:i/>
        <w:sz w:val="20"/>
      </w:rPr>
    </w:lvl>
    <w:lvl w:ilvl="1" w:tplc="04090001">
      <w:start w:val="1"/>
      <w:numFmt w:val="bullet"/>
      <w:lvlText w:val=""/>
      <w:lvlJc w:val="left"/>
      <w:pPr>
        <w:tabs>
          <w:tab w:val="num" w:pos="1800"/>
        </w:tabs>
        <w:ind w:left="1800" w:hanging="720"/>
      </w:pPr>
      <w:rPr>
        <w:rFonts w:ascii="Symbol" w:hAnsi="Symbol"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4B3F06"/>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7B22F7"/>
    <w:multiLevelType w:val="hybridMultilevel"/>
    <w:tmpl w:val="3714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293D5A"/>
    <w:multiLevelType w:val="hybridMultilevel"/>
    <w:tmpl w:val="4DBA276A"/>
    <w:lvl w:ilvl="0" w:tplc="EF08A6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C71477"/>
    <w:multiLevelType w:val="hybridMultilevel"/>
    <w:tmpl w:val="8FF0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0C6A38"/>
    <w:multiLevelType w:val="hybridMultilevel"/>
    <w:tmpl w:val="529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544240"/>
    <w:multiLevelType w:val="hybridMultilevel"/>
    <w:tmpl w:val="11B4636C"/>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7">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50B74294"/>
    <w:multiLevelType w:val="hybridMultilevel"/>
    <w:tmpl w:val="87BEFAA0"/>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DE6811"/>
    <w:multiLevelType w:val="hybridMultilevel"/>
    <w:tmpl w:val="45B21DE4"/>
    <w:lvl w:ilvl="0" w:tplc="09E4E49A">
      <w:start w:val="1"/>
      <w:numFmt w:val="upperLetter"/>
      <w:pStyle w:val="Heading3"/>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58F62854"/>
    <w:multiLevelType w:val="hybridMultilevel"/>
    <w:tmpl w:val="D576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7F5F94"/>
    <w:multiLevelType w:val="hybridMultilevel"/>
    <w:tmpl w:val="44F61BA0"/>
    <w:lvl w:ilvl="0" w:tplc="80662EBC">
      <w:start w:val="1"/>
      <w:numFmt w:val="decimal"/>
      <w:lvlText w:val="%1"/>
      <w:lvlJc w:val="left"/>
      <w:pPr>
        <w:tabs>
          <w:tab w:val="num" w:pos="720"/>
        </w:tabs>
        <w:ind w:left="720" w:hanging="1800"/>
      </w:pPr>
      <w:rPr>
        <w:rFonts w:ascii="Times New Roman" w:hAnsi="Times New Roman" w:hint="default"/>
        <w:b w:val="0"/>
        <w:i/>
        <w:strike w:val="0"/>
        <w:dstrike w:val="0"/>
        <w:sz w:val="20"/>
      </w:rPr>
    </w:lvl>
    <w:lvl w:ilvl="1" w:tplc="04090001">
      <w:start w:val="1"/>
      <w:numFmt w:val="bullet"/>
      <w:lvlText w:val=""/>
      <w:lvlJc w:val="left"/>
      <w:pPr>
        <w:tabs>
          <w:tab w:val="num" w:pos="1440"/>
        </w:tabs>
        <w:ind w:left="1440" w:hanging="360"/>
      </w:pPr>
      <w:rPr>
        <w:rFonts w:ascii="Symbol" w:hAnsi="Symbol" w:hint="default"/>
      </w:rPr>
    </w:lvl>
    <w:lvl w:ilvl="2" w:tplc="13227814">
      <w:start w:val="2"/>
      <w:numFmt w:val="decimal"/>
      <w:lvlText w:val="(%3)"/>
      <w:lvlJc w:val="left"/>
      <w:pPr>
        <w:tabs>
          <w:tab w:val="num" w:pos="3060"/>
        </w:tabs>
        <w:ind w:left="3060" w:hanging="10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B92066"/>
    <w:multiLevelType w:val="hybridMultilevel"/>
    <w:tmpl w:val="9712F5F4"/>
    <w:lvl w:ilvl="0" w:tplc="325AF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C5B321F"/>
    <w:multiLevelType w:val="hybridMultilevel"/>
    <w:tmpl w:val="02D29A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707C203A"/>
    <w:multiLevelType w:val="hybridMultilevel"/>
    <w:tmpl w:val="ADD075AC"/>
    <w:lvl w:ilvl="0" w:tplc="82547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abstractNum w:abstractNumId="28">
    <w:nsid w:val="792B328A"/>
    <w:multiLevelType w:val="hybridMultilevel"/>
    <w:tmpl w:val="22F45042"/>
    <w:lvl w:ilvl="0" w:tplc="80662EBC">
      <w:start w:val="1"/>
      <w:numFmt w:val="decimal"/>
      <w:lvlText w:val="%1"/>
      <w:lvlJc w:val="left"/>
      <w:pPr>
        <w:tabs>
          <w:tab w:val="num" w:pos="720"/>
        </w:tabs>
        <w:ind w:left="720" w:hanging="1800"/>
      </w:pPr>
      <w:rPr>
        <w:rFonts w:ascii="Times New Roman" w:hAnsi="Times New Roman" w:hint="default"/>
        <w:b w:val="0"/>
        <w:i/>
        <w:strike w:val="0"/>
        <w:dstrike w:val="0"/>
        <w:sz w:val="20"/>
      </w:rPr>
    </w:lvl>
    <w:lvl w:ilvl="1" w:tplc="5BCC2CD0">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D3C2E30"/>
    <w:multiLevelType w:val="hybridMultilevel"/>
    <w:tmpl w:val="89A634C2"/>
    <w:lvl w:ilvl="0" w:tplc="64FEF176">
      <w:start w:val="1"/>
      <w:numFmt w:val="decimal"/>
      <w:pStyle w:val="Heading2"/>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5"/>
  </w:num>
  <w:num w:numId="4">
    <w:abstractNumId w:val="23"/>
  </w:num>
  <w:num w:numId="5">
    <w:abstractNumId w:val="27"/>
  </w:num>
  <w:num w:numId="6">
    <w:abstractNumId w:val="8"/>
  </w:num>
  <w:num w:numId="7">
    <w:abstractNumId w:val="18"/>
  </w:num>
  <w:num w:numId="8">
    <w:abstractNumId w:val="20"/>
  </w:num>
  <w:num w:numId="9">
    <w:abstractNumId w:val="26"/>
  </w:num>
  <w:num w:numId="10">
    <w:abstractNumId w:val="12"/>
  </w:num>
  <w:num w:numId="11">
    <w:abstractNumId w:val="14"/>
  </w:num>
  <w:num w:numId="12">
    <w:abstractNumId w:val="10"/>
  </w:num>
  <w:num w:numId="13">
    <w:abstractNumId w:val="7"/>
  </w:num>
  <w:num w:numId="14">
    <w:abstractNumId w:val="16"/>
  </w:num>
  <w:num w:numId="15">
    <w:abstractNumId w:val="17"/>
  </w:num>
  <w:num w:numId="16">
    <w:abstractNumId w:val="1"/>
  </w:num>
  <w:num w:numId="17">
    <w:abstractNumId w:val="24"/>
  </w:num>
  <w:num w:numId="18">
    <w:abstractNumId w:val="25"/>
  </w:num>
  <w:num w:numId="19">
    <w:abstractNumId w:val="6"/>
  </w:num>
  <w:num w:numId="20">
    <w:abstractNumId w:val="22"/>
  </w:num>
  <w:num w:numId="21">
    <w:abstractNumId w:val="3"/>
  </w:num>
  <w:num w:numId="22">
    <w:abstractNumId w:val="29"/>
  </w:num>
  <w:num w:numId="23">
    <w:abstractNumId w:val="19"/>
  </w:num>
  <w:num w:numId="24">
    <w:abstractNumId w:val="21"/>
  </w:num>
  <w:num w:numId="25">
    <w:abstractNumId w:val="28"/>
  </w:num>
  <w:num w:numId="26">
    <w:abstractNumId w:val="9"/>
  </w:num>
  <w:num w:numId="27">
    <w:abstractNumId w:val="0"/>
  </w:num>
  <w:num w:numId="28">
    <w:abstractNumId w:val="13"/>
  </w:num>
  <w:num w:numId="29">
    <w:abstractNumId w:val="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5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1B"/>
    <w:rsid w:val="000029CC"/>
    <w:rsid w:val="0000458E"/>
    <w:rsid w:val="00004AD9"/>
    <w:rsid w:val="00005DA1"/>
    <w:rsid w:val="000133CA"/>
    <w:rsid w:val="00016EF5"/>
    <w:rsid w:val="00016FA0"/>
    <w:rsid w:val="00017FF0"/>
    <w:rsid w:val="00024CD1"/>
    <w:rsid w:val="000328A0"/>
    <w:rsid w:val="0003540C"/>
    <w:rsid w:val="00040008"/>
    <w:rsid w:val="000426DB"/>
    <w:rsid w:val="00042BBA"/>
    <w:rsid w:val="000471BA"/>
    <w:rsid w:val="000477A6"/>
    <w:rsid w:val="00047F04"/>
    <w:rsid w:val="00051AF5"/>
    <w:rsid w:val="00061E67"/>
    <w:rsid w:val="00062662"/>
    <w:rsid w:val="0006429D"/>
    <w:rsid w:val="00074AF2"/>
    <w:rsid w:val="0007500A"/>
    <w:rsid w:val="00076DFB"/>
    <w:rsid w:val="00077947"/>
    <w:rsid w:val="00077D8C"/>
    <w:rsid w:val="00083556"/>
    <w:rsid w:val="0008520A"/>
    <w:rsid w:val="0009719C"/>
    <w:rsid w:val="00097F27"/>
    <w:rsid w:val="000A0451"/>
    <w:rsid w:val="000A2E10"/>
    <w:rsid w:val="000A30D2"/>
    <w:rsid w:val="000A5CAE"/>
    <w:rsid w:val="000A69D8"/>
    <w:rsid w:val="000A7FEE"/>
    <w:rsid w:val="000B2FB2"/>
    <w:rsid w:val="000B3AF7"/>
    <w:rsid w:val="000B4295"/>
    <w:rsid w:val="000B52CF"/>
    <w:rsid w:val="000B5E4A"/>
    <w:rsid w:val="000B6279"/>
    <w:rsid w:val="000C0086"/>
    <w:rsid w:val="000C075B"/>
    <w:rsid w:val="000C0B65"/>
    <w:rsid w:val="000C1BA0"/>
    <w:rsid w:val="000C200E"/>
    <w:rsid w:val="000C3728"/>
    <w:rsid w:val="000C468E"/>
    <w:rsid w:val="000C47A6"/>
    <w:rsid w:val="000C5548"/>
    <w:rsid w:val="000C770D"/>
    <w:rsid w:val="000D0FB2"/>
    <w:rsid w:val="000D4B67"/>
    <w:rsid w:val="000D55AB"/>
    <w:rsid w:val="000D5F40"/>
    <w:rsid w:val="000D6A1B"/>
    <w:rsid w:val="000E0601"/>
    <w:rsid w:val="000E14C0"/>
    <w:rsid w:val="000E24A4"/>
    <w:rsid w:val="000E4BC9"/>
    <w:rsid w:val="000E5273"/>
    <w:rsid w:val="000E6186"/>
    <w:rsid w:val="000E73EA"/>
    <w:rsid w:val="000E74E8"/>
    <w:rsid w:val="000E75B5"/>
    <w:rsid w:val="000E7A44"/>
    <w:rsid w:val="000F1831"/>
    <w:rsid w:val="000F1D22"/>
    <w:rsid w:val="000F1F8A"/>
    <w:rsid w:val="000F45EC"/>
    <w:rsid w:val="000F50B3"/>
    <w:rsid w:val="000F592C"/>
    <w:rsid w:val="000F5E45"/>
    <w:rsid w:val="000F6A61"/>
    <w:rsid w:val="0011065E"/>
    <w:rsid w:val="00113F12"/>
    <w:rsid w:val="001211F4"/>
    <w:rsid w:val="001227E5"/>
    <w:rsid w:val="001232EC"/>
    <w:rsid w:val="0012336B"/>
    <w:rsid w:val="00124764"/>
    <w:rsid w:val="00125029"/>
    <w:rsid w:val="0013279C"/>
    <w:rsid w:val="00142C2B"/>
    <w:rsid w:val="0014392A"/>
    <w:rsid w:val="00143E60"/>
    <w:rsid w:val="0015088C"/>
    <w:rsid w:val="0015762F"/>
    <w:rsid w:val="00161CE2"/>
    <w:rsid w:val="00161DE2"/>
    <w:rsid w:val="00162ADE"/>
    <w:rsid w:val="0016335F"/>
    <w:rsid w:val="00166444"/>
    <w:rsid w:val="00167B60"/>
    <w:rsid w:val="00170FBC"/>
    <w:rsid w:val="0017361A"/>
    <w:rsid w:val="0017428F"/>
    <w:rsid w:val="00175E52"/>
    <w:rsid w:val="00175EE5"/>
    <w:rsid w:val="00177BFE"/>
    <w:rsid w:val="00181093"/>
    <w:rsid w:val="001851E1"/>
    <w:rsid w:val="001922F7"/>
    <w:rsid w:val="00194209"/>
    <w:rsid w:val="00194492"/>
    <w:rsid w:val="001957D1"/>
    <w:rsid w:val="001A13D3"/>
    <w:rsid w:val="001A2533"/>
    <w:rsid w:val="001A2653"/>
    <w:rsid w:val="001A3CCA"/>
    <w:rsid w:val="001B13D3"/>
    <w:rsid w:val="001B1826"/>
    <w:rsid w:val="001B4500"/>
    <w:rsid w:val="001B5A8E"/>
    <w:rsid w:val="001B6325"/>
    <w:rsid w:val="001B7E51"/>
    <w:rsid w:val="001C097D"/>
    <w:rsid w:val="001C1CB1"/>
    <w:rsid w:val="001C37C8"/>
    <w:rsid w:val="001C4620"/>
    <w:rsid w:val="001C5C92"/>
    <w:rsid w:val="001C5DAA"/>
    <w:rsid w:val="001C6FAB"/>
    <w:rsid w:val="001C7624"/>
    <w:rsid w:val="001C7685"/>
    <w:rsid w:val="001D096A"/>
    <w:rsid w:val="001D2E1C"/>
    <w:rsid w:val="001D52B0"/>
    <w:rsid w:val="001E0889"/>
    <w:rsid w:val="001E22B0"/>
    <w:rsid w:val="001E2765"/>
    <w:rsid w:val="001E3A97"/>
    <w:rsid w:val="001E456A"/>
    <w:rsid w:val="001F11E0"/>
    <w:rsid w:val="001F21C8"/>
    <w:rsid w:val="001F2D92"/>
    <w:rsid w:val="002000DA"/>
    <w:rsid w:val="00200E0C"/>
    <w:rsid w:val="0020121D"/>
    <w:rsid w:val="002058E3"/>
    <w:rsid w:val="00206FAE"/>
    <w:rsid w:val="002133C9"/>
    <w:rsid w:val="00227672"/>
    <w:rsid w:val="00227B0F"/>
    <w:rsid w:val="0023302B"/>
    <w:rsid w:val="00233306"/>
    <w:rsid w:val="0023547D"/>
    <w:rsid w:val="00236A18"/>
    <w:rsid w:val="00236B54"/>
    <w:rsid w:val="00240255"/>
    <w:rsid w:val="002458F0"/>
    <w:rsid w:val="00245CBF"/>
    <w:rsid w:val="00245E9C"/>
    <w:rsid w:val="00247AEA"/>
    <w:rsid w:val="0025367F"/>
    <w:rsid w:val="002571FE"/>
    <w:rsid w:val="00257F90"/>
    <w:rsid w:val="00264996"/>
    <w:rsid w:val="0026515A"/>
    <w:rsid w:val="002661DA"/>
    <w:rsid w:val="00267300"/>
    <w:rsid w:val="00272DB6"/>
    <w:rsid w:val="00281B35"/>
    <w:rsid w:val="00282F33"/>
    <w:rsid w:val="002841B6"/>
    <w:rsid w:val="00292450"/>
    <w:rsid w:val="002A6E17"/>
    <w:rsid w:val="002B02ED"/>
    <w:rsid w:val="002B4FB7"/>
    <w:rsid w:val="002B5C28"/>
    <w:rsid w:val="002B7624"/>
    <w:rsid w:val="002B76E0"/>
    <w:rsid w:val="002B7EDF"/>
    <w:rsid w:val="002C1B7D"/>
    <w:rsid w:val="002C44A9"/>
    <w:rsid w:val="002C552C"/>
    <w:rsid w:val="002C5715"/>
    <w:rsid w:val="002C5E50"/>
    <w:rsid w:val="002C632D"/>
    <w:rsid w:val="002C6EC7"/>
    <w:rsid w:val="002D2A0A"/>
    <w:rsid w:val="002D3B16"/>
    <w:rsid w:val="002D7538"/>
    <w:rsid w:val="002D7C30"/>
    <w:rsid w:val="002E0AA3"/>
    <w:rsid w:val="002E1F77"/>
    <w:rsid w:val="002E263B"/>
    <w:rsid w:val="002E50B8"/>
    <w:rsid w:val="002E74B0"/>
    <w:rsid w:val="002F17B5"/>
    <w:rsid w:val="002F214C"/>
    <w:rsid w:val="002F4AD5"/>
    <w:rsid w:val="002F5E61"/>
    <w:rsid w:val="003012C5"/>
    <w:rsid w:val="00304D85"/>
    <w:rsid w:val="00306FFD"/>
    <w:rsid w:val="00311EB6"/>
    <w:rsid w:val="003121EA"/>
    <w:rsid w:val="00312A6C"/>
    <w:rsid w:val="00313012"/>
    <w:rsid w:val="00320617"/>
    <w:rsid w:val="003215C9"/>
    <w:rsid w:val="003216A3"/>
    <w:rsid w:val="00321F71"/>
    <w:rsid w:val="00331133"/>
    <w:rsid w:val="00334B4F"/>
    <w:rsid w:val="00334E86"/>
    <w:rsid w:val="00337A90"/>
    <w:rsid w:val="00341E24"/>
    <w:rsid w:val="00342C43"/>
    <w:rsid w:val="00343481"/>
    <w:rsid w:val="00346E29"/>
    <w:rsid w:val="00346F23"/>
    <w:rsid w:val="00354AD4"/>
    <w:rsid w:val="00361202"/>
    <w:rsid w:val="00361909"/>
    <w:rsid w:val="0036746B"/>
    <w:rsid w:val="00367ED0"/>
    <w:rsid w:val="00371922"/>
    <w:rsid w:val="003728D7"/>
    <w:rsid w:val="00373A0E"/>
    <w:rsid w:val="00376369"/>
    <w:rsid w:val="00376C41"/>
    <w:rsid w:val="00380B5B"/>
    <w:rsid w:val="00382A8A"/>
    <w:rsid w:val="003900BF"/>
    <w:rsid w:val="0039722A"/>
    <w:rsid w:val="003A45CF"/>
    <w:rsid w:val="003A45D3"/>
    <w:rsid w:val="003A54DE"/>
    <w:rsid w:val="003A5688"/>
    <w:rsid w:val="003A7E01"/>
    <w:rsid w:val="003B3E14"/>
    <w:rsid w:val="003B3F75"/>
    <w:rsid w:val="003B5CCA"/>
    <w:rsid w:val="003B738A"/>
    <w:rsid w:val="003C190E"/>
    <w:rsid w:val="003C2893"/>
    <w:rsid w:val="003C3D41"/>
    <w:rsid w:val="003C400B"/>
    <w:rsid w:val="003C50C2"/>
    <w:rsid w:val="003C6101"/>
    <w:rsid w:val="003C6D87"/>
    <w:rsid w:val="003D0297"/>
    <w:rsid w:val="003D0A22"/>
    <w:rsid w:val="003D1190"/>
    <w:rsid w:val="003D1B01"/>
    <w:rsid w:val="003D2786"/>
    <w:rsid w:val="003D6407"/>
    <w:rsid w:val="003D7633"/>
    <w:rsid w:val="003E1FD1"/>
    <w:rsid w:val="003E26D4"/>
    <w:rsid w:val="003E4D25"/>
    <w:rsid w:val="003E6A2E"/>
    <w:rsid w:val="003E7566"/>
    <w:rsid w:val="003F143C"/>
    <w:rsid w:val="003F5937"/>
    <w:rsid w:val="003F5AD6"/>
    <w:rsid w:val="003F761B"/>
    <w:rsid w:val="0040026F"/>
    <w:rsid w:val="0040288A"/>
    <w:rsid w:val="004059E6"/>
    <w:rsid w:val="00407582"/>
    <w:rsid w:val="00410180"/>
    <w:rsid w:val="004168BD"/>
    <w:rsid w:val="00416DB9"/>
    <w:rsid w:val="00424F12"/>
    <w:rsid w:val="00425672"/>
    <w:rsid w:val="00425BCC"/>
    <w:rsid w:val="00425CB9"/>
    <w:rsid w:val="00426CBB"/>
    <w:rsid w:val="00427395"/>
    <w:rsid w:val="004309B2"/>
    <w:rsid w:val="00430A07"/>
    <w:rsid w:val="00430B81"/>
    <w:rsid w:val="00432BD8"/>
    <w:rsid w:val="00434B19"/>
    <w:rsid w:val="004376BA"/>
    <w:rsid w:val="0044303B"/>
    <w:rsid w:val="00446E2B"/>
    <w:rsid w:val="00451653"/>
    <w:rsid w:val="00452317"/>
    <w:rsid w:val="00452680"/>
    <w:rsid w:val="00457C8C"/>
    <w:rsid w:val="00461360"/>
    <w:rsid w:val="00466068"/>
    <w:rsid w:val="004661ED"/>
    <w:rsid w:val="004731D5"/>
    <w:rsid w:val="00474753"/>
    <w:rsid w:val="004806A5"/>
    <w:rsid w:val="00481558"/>
    <w:rsid w:val="0048208E"/>
    <w:rsid w:val="00483D29"/>
    <w:rsid w:val="004872D8"/>
    <w:rsid w:val="004876C4"/>
    <w:rsid w:val="004919CE"/>
    <w:rsid w:val="00491D73"/>
    <w:rsid w:val="00495FBF"/>
    <w:rsid w:val="004A1131"/>
    <w:rsid w:val="004A61DA"/>
    <w:rsid w:val="004A6E84"/>
    <w:rsid w:val="004B3003"/>
    <w:rsid w:val="004B5BDF"/>
    <w:rsid w:val="004B62B9"/>
    <w:rsid w:val="004B6C9F"/>
    <w:rsid w:val="004B7A43"/>
    <w:rsid w:val="004C07B5"/>
    <w:rsid w:val="004C0B68"/>
    <w:rsid w:val="004C6725"/>
    <w:rsid w:val="004D2E6A"/>
    <w:rsid w:val="004D4A06"/>
    <w:rsid w:val="004D5AAF"/>
    <w:rsid w:val="004E740D"/>
    <w:rsid w:val="004F003E"/>
    <w:rsid w:val="004F0ABB"/>
    <w:rsid w:val="004F40C4"/>
    <w:rsid w:val="004F5AE2"/>
    <w:rsid w:val="004F6206"/>
    <w:rsid w:val="005009FF"/>
    <w:rsid w:val="00500ECC"/>
    <w:rsid w:val="00503DA9"/>
    <w:rsid w:val="00504B40"/>
    <w:rsid w:val="00510B18"/>
    <w:rsid w:val="00510CB7"/>
    <w:rsid w:val="00510DDC"/>
    <w:rsid w:val="0052202A"/>
    <w:rsid w:val="005220C8"/>
    <w:rsid w:val="00522BCC"/>
    <w:rsid w:val="0052470A"/>
    <w:rsid w:val="00524E7E"/>
    <w:rsid w:val="00525BDB"/>
    <w:rsid w:val="00527ADE"/>
    <w:rsid w:val="00530951"/>
    <w:rsid w:val="00532381"/>
    <w:rsid w:val="00532684"/>
    <w:rsid w:val="00533D33"/>
    <w:rsid w:val="00535C63"/>
    <w:rsid w:val="005362F1"/>
    <w:rsid w:val="0053792F"/>
    <w:rsid w:val="00540ADE"/>
    <w:rsid w:val="00541258"/>
    <w:rsid w:val="0054329E"/>
    <w:rsid w:val="00543364"/>
    <w:rsid w:val="005533E9"/>
    <w:rsid w:val="00554D04"/>
    <w:rsid w:val="005627F8"/>
    <w:rsid w:val="0056397A"/>
    <w:rsid w:val="005640E3"/>
    <w:rsid w:val="00570218"/>
    <w:rsid w:val="005711E5"/>
    <w:rsid w:val="00576CE9"/>
    <w:rsid w:val="00580783"/>
    <w:rsid w:val="005813DC"/>
    <w:rsid w:val="00582A11"/>
    <w:rsid w:val="00582FC9"/>
    <w:rsid w:val="005857A9"/>
    <w:rsid w:val="005859B1"/>
    <w:rsid w:val="00585DDF"/>
    <w:rsid w:val="005867F4"/>
    <w:rsid w:val="005872A3"/>
    <w:rsid w:val="00587362"/>
    <w:rsid w:val="00590813"/>
    <w:rsid w:val="00597492"/>
    <w:rsid w:val="00597A6E"/>
    <w:rsid w:val="005A10B4"/>
    <w:rsid w:val="005A3487"/>
    <w:rsid w:val="005A3B4D"/>
    <w:rsid w:val="005A4051"/>
    <w:rsid w:val="005A42B8"/>
    <w:rsid w:val="005A6611"/>
    <w:rsid w:val="005B1AAF"/>
    <w:rsid w:val="005B1F04"/>
    <w:rsid w:val="005B47AB"/>
    <w:rsid w:val="005B7124"/>
    <w:rsid w:val="005C08E1"/>
    <w:rsid w:val="005C3BD0"/>
    <w:rsid w:val="005C443C"/>
    <w:rsid w:val="005C5330"/>
    <w:rsid w:val="005C5B9C"/>
    <w:rsid w:val="005D1F5A"/>
    <w:rsid w:val="005D2FB0"/>
    <w:rsid w:val="005D5839"/>
    <w:rsid w:val="005D7742"/>
    <w:rsid w:val="005E44A2"/>
    <w:rsid w:val="005E5421"/>
    <w:rsid w:val="005E6F51"/>
    <w:rsid w:val="005E71D0"/>
    <w:rsid w:val="005F3278"/>
    <w:rsid w:val="005F37FB"/>
    <w:rsid w:val="005F41C0"/>
    <w:rsid w:val="005F6845"/>
    <w:rsid w:val="006022B9"/>
    <w:rsid w:val="00602DA0"/>
    <w:rsid w:val="006034BA"/>
    <w:rsid w:val="0060613D"/>
    <w:rsid w:val="0061080F"/>
    <w:rsid w:val="00614AA9"/>
    <w:rsid w:val="00617206"/>
    <w:rsid w:val="00623513"/>
    <w:rsid w:val="00624601"/>
    <w:rsid w:val="00626E91"/>
    <w:rsid w:val="00626FE9"/>
    <w:rsid w:val="006271E8"/>
    <w:rsid w:val="0063617E"/>
    <w:rsid w:val="00637423"/>
    <w:rsid w:val="00640A79"/>
    <w:rsid w:val="00644558"/>
    <w:rsid w:val="00644679"/>
    <w:rsid w:val="00646C6A"/>
    <w:rsid w:val="00647AAE"/>
    <w:rsid w:val="00655EE2"/>
    <w:rsid w:val="00656A78"/>
    <w:rsid w:val="00656D87"/>
    <w:rsid w:val="00664256"/>
    <w:rsid w:val="0066516A"/>
    <w:rsid w:val="00665E82"/>
    <w:rsid w:val="0066682A"/>
    <w:rsid w:val="00666BB9"/>
    <w:rsid w:val="00670B35"/>
    <w:rsid w:val="0067482D"/>
    <w:rsid w:val="00676D70"/>
    <w:rsid w:val="0068128B"/>
    <w:rsid w:val="00681301"/>
    <w:rsid w:val="00681F09"/>
    <w:rsid w:val="00683C53"/>
    <w:rsid w:val="00684509"/>
    <w:rsid w:val="006878F2"/>
    <w:rsid w:val="00687C38"/>
    <w:rsid w:val="00690241"/>
    <w:rsid w:val="00691F8A"/>
    <w:rsid w:val="0069274B"/>
    <w:rsid w:val="00697A20"/>
    <w:rsid w:val="006A0763"/>
    <w:rsid w:val="006A46E6"/>
    <w:rsid w:val="006B008C"/>
    <w:rsid w:val="006B06F0"/>
    <w:rsid w:val="006B1604"/>
    <w:rsid w:val="006B1641"/>
    <w:rsid w:val="006B237C"/>
    <w:rsid w:val="006B7685"/>
    <w:rsid w:val="006C02B6"/>
    <w:rsid w:val="006C2F53"/>
    <w:rsid w:val="006C3612"/>
    <w:rsid w:val="006D1A06"/>
    <w:rsid w:val="006D1BDC"/>
    <w:rsid w:val="006D2993"/>
    <w:rsid w:val="006D5300"/>
    <w:rsid w:val="006D6337"/>
    <w:rsid w:val="006E11B3"/>
    <w:rsid w:val="006E2CB8"/>
    <w:rsid w:val="006E6CA9"/>
    <w:rsid w:val="006F055D"/>
    <w:rsid w:val="006F16E7"/>
    <w:rsid w:val="006F17B4"/>
    <w:rsid w:val="007008EB"/>
    <w:rsid w:val="0070166D"/>
    <w:rsid w:val="00702D55"/>
    <w:rsid w:val="00706B90"/>
    <w:rsid w:val="00710FD4"/>
    <w:rsid w:val="0071495E"/>
    <w:rsid w:val="00716EDA"/>
    <w:rsid w:val="0071709C"/>
    <w:rsid w:val="007175FA"/>
    <w:rsid w:val="00720264"/>
    <w:rsid w:val="00720D88"/>
    <w:rsid w:val="00723E4D"/>
    <w:rsid w:val="00730B44"/>
    <w:rsid w:val="00733F70"/>
    <w:rsid w:val="00741E4A"/>
    <w:rsid w:val="00743479"/>
    <w:rsid w:val="007434BF"/>
    <w:rsid w:val="00746E0E"/>
    <w:rsid w:val="00751893"/>
    <w:rsid w:val="00753077"/>
    <w:rsid w:val="00754749"/>
    <w:rsid w:val="007624B7"/>
    <w:rsid w:val="00762917"/>
    <w:rsid w:val="00764701"/>
    <w:rsid w:val="00776BC0"/>
    <w:rsid w:val="00777541"/>
    <w:rsid w:val="00780175"/>
    <w:rsid w:val="00780388"/>
    <w:rsid w:val="00780C39"/>
    <w:rsid w:val="00781667"/>
    <w:rsid w:val="007824F4"/>
    <w:rsid w:val="00790082"/>
    <w:rsid w:val="00790181"/>
    <w:rsid w:val="00790774"/>
    <w:rsid w:val="00791D50"/>
    <w:rsid w:val="007922CC"/>
    <w:rsid w:val="007927C1"/>
    <w:rsid w:val="007931A3"/>
    <w:rsid w:val="00793ECE"/>
    <w:rsid w:val="007A0E57"/>
    <w:rsid w:val="007A5CD2"/>
    <w:rsid w:val="007B09C5"/>
    <w:rsid w:val="007B2EB7"/>
    <w:rsid w:val="007C0157"/>
    <w:rsid w:val="007C1E06"/>
    <w:rsid w:val="007C51BB"/>
    <w:rsid w:val="007C5A6F"/>
    <w:rsid w:val="007C6396"/>
    <w:rsid w:val="007C7908"/>
    <w:rsid w:val="007D3DB3"/>
    <w:rsid w:val="007D3EA8"/>
    <w:rsid w:val="007D4771"/>
    <w:rsid w:val="007D6BAC"/>
    <w:rsid w:val="007E048D"/>
    <w:rsid w:val="007E398B"/>
    <w:rsid w:val="007E3DF9"/>
    <w:rsid w:val="007E4BB7"/>
    <w:rsid w:val="007E5B96"/>
    <w:rsid w:val="007E794B"/>
    <w:rsid w:val="007E7C1E"/>
    <w:rsid w:val="008011E8"/>
    <w:rsid w:val="00802917"/>
    <w:rsid w:val="008109C1"/>
    <w:rsid w:val="00813E43"/>
    <w:rsid w:val="00814C24"/>
    <w:rsid w:val="00815402"/>
    <w:rsid w:val="00815A2E"/>
    <w:rsid w:val="00817AF5"/>
    <w:rsid w:val="00826F10"/>
    <w:rsid w:val="008328B9"/>
    <w:rsid w:val="00833F85"/>
    <w:rsid w:val="00835849"/>
    <w:rsid w:val="00841C4C"/>
    <w:rsid w:val="00843363"/>
    <w:rsid w:val="008439EA"/>
    <w:rsid w:val="008446C2"/>
    <w:rsid w:val="00846882"/>
    <w:rsid w:val="008501A9"/>
    <w:rsid w:val="00850770"/>
    <w:rsid w:val="0085210D"/>
    <w:rsid w:val="00855732"/>
    <w:rsid w:val="00855802"/>
    <w:rsid w:val="008558C7"/>
    <w:rsid w:val="00857FEF"/>
    <w:rsid w:val="008603A3"/>
    <w:rsid w:val="00860B00"/>
    <w:rsid w:val="00861098"/>
    <w:rsid w:val="008611CC"/>
    <w:rsid w:val="00863DA0"/>
    <w:rsid w:val="00864722"/>
    <w:rsid w:val="00864BF0"/>
    <w:rsid w:val="00864C8F"/>
    <w:rsid w:val="00866259"/>
    <w:rsid w:val="0086626A"/>
    <w:rsid w:val="0086699F"/>
    <w:rsid w:val="00867CC7"/>
    <w:rsid w:val="00870A34"/>
    <w:rsid w:val="00871AF0"/>
    <w:rsid w:val="00871C36"/>
    <w:rsid w:val="008721A7"/>
    <w:rsid w:val="00872DEF"/>
    <w:rsid w:val="00876D60"/>
    <w:rsid w:val="00881A92"/>
    <w:rsid w:val="0088564D"/>
    <w:rsid w:val="00886C77"/>
    <w:rsid w:val="008903D3"/>
    <w:rsid w:val="00892229"/>
    <w:rsid w:val="00892A0D"/>
    <w:rsid w:val="00894FB7"/>
    <w:rsid w:val="008A5DC7"/>
    <w:rsid w:val="008A6D98"/>
    <w:rsid w:val="008B018B"/>
    <w:rsid w:val="008B0AC8"/>
    <w:rsid w:val="008B1E8E"/>
    <w:rsid w:val="008B78E5"/>
    <w:rsid w:val="008C0C7D"/>
    <w:rsid w:val="008C31CF"/>
    <w:rsid w:val="008C33FA"/>
    <w:rsid w:val="008C3602"/>
    <w:rsid w:val="008C3BD7"/>
    <w:rsid w:val="008C5739"/>
    <w:rsid w:val="008C64AA"/>
    <w:rsid w:val="008C67C4"/>
    <w:rsid w:val="008D1805"/>
    <w:rsid w:val="008D21B0"/>
    <w:rsid w:val="008D25CE"/>
    <w:rsid w:val="008D4922"/>
    <w:rsid w:val="008D7813"/>
    <w:rsid w:val="008E0543"/>
    <w:rsid w:val="008E2614"/>
    <w:rsid w:val="008F09B0"/>
    <w:rsid w:val="008F0E2D"/>
    <w:rsid w:val="008F1FCE"/>
    <w:rsid w:val="008F42FB"/>
    <w:rsid w:val="008F522B"/>
    <w:rsid w:val="008F6B94"/>
    <w:rsid w:val="00900204"/>
    <w:rsid w:val="00901FF9"/>
    <w:rsid w:val="0090233C"/>
    <w:rsid w:val="009054DC"/>
    <w:rsid w:val="00907C71"/>
    <w:rsid w:val="009203B6"/>
    <w:rsid w:val="00921FA6"/>
    <w:rsid w:val="00922D7C"/>
    <w:rsid w:val="00923999"/>
    <w:rsid w:val="00924E42"/>
    <w:rsid w:val="0092713B"/>
    <w:rsid w:val="00933037"/>
    <w:rsid w:val="00934841"/>
    <w:rsid w:val="00935063"/>
    <w:rsid w:val="00936EF6"/>
    <w:rsid w:val="00944D2E"/>
    <w:rsid w:val="00945EC2"/>
    <w:rsid w:val="00951779"/>
    <w:rsid w:val="0095741D"/>
    <w:rsid w:val="00957479"/>
    <w:rsid w:val="009574A5"/>
    <w:rsid w:val="00960761"/>
    <w:rsid w:val="00960CF7"/>
    <w:rsid w:val="00961173"/>
    <w:rsid w:val="00961575"/>
    <w:rsid w:val="009653C0"/>
    <w:rsid w:val="00965579"/>
    <w:rsid w:val="00965F84"/>
    <w:rsid w:val="00972457"/>
    <w:rsid w:val="0097288C"/>
    <w:rsid w:val="00973B3C"/>
    <w:rsid w:val="00974227"/>
    <w:rsid w:val="0097454A"/>
    <w:rsid w:val="009766F2"/>
    <w:rsid w:val="00980145"/>
    <w:rsid w:val="00982A55"/>
    <w:rsid w:val="0098396F"/>
    <w:rsid w:val="009853AD"/>
    <w:rsid w:val="009853B4"/>
    <w:rsid w:val="009872CB"/>
    <w:rsid w:val="00991E93"/>
    <w:rsid w:val="009920D3"/>
    <w:rsid w:val="009925CE"/>
    <w:rsid w:val="00994BB9"/>
    <w:rsid w:val="009954AB"/>
    <w:rsid w:val="009A0264"/>
    <w:rsid w:val="009A1C87"/>
    <w:rsid w:val="009A40D9"/>
    <w:rsid w:val="009A5A62"/>
    <w:rsid w:val="009A5B53"/>
    <w:rsid w:val="009A6FA5"/>
    <w:rsid w:val="009A7965"/>
    <w:rsid w:val="009B0B45"/>
    <w:rsid w:val="009B0D06"/>
    <w:rsid w:val="009B220E"/>
    <w:rsid w:val="009B637B"/>
    <w:rsid w:val="009B6A78"/>
    <w:rsid w:val="009C246C"/>
    <w:rsid w:val="009C659B"/>
    <w:rsid w:val="009C6E59"/>
    <w:rsid w:val="009D1BF4"/>
    <w:rsid w:val="009D63DC"/>
    <w:rsid w:val="009E122A"/>
    <w:rsid w:val="009E1A0C"/>
    <w:rsid w:val="009E2E38"/>
    <w:rsid w:val="009E4737"/>
    <w:rsid w:val="009F1C2A"/>
    <w:rsid w:val="009F2131"/>
    <w:rsid w:val="009F53BE"/>
    <w:rsid w:val="009F596C"/>
    <w:rsid w:val="009F6700"/>
    <w:rsid w:val="00A00271"/>
    <w:rsid w:val="00A006D5"/>
    <w:rsid w:val="00A01153"/>
    <w:rsid w:val="00A0195F"/>
    <w:rsid w:val="00A01AB3"/>
    <w:rsid w:val="00A05A5E"/>
    <w:rsid w:val="00A10A52"/>
    <w:rsid w:val="00A112E4"/>
    <w:rsid w:val="00A11654"/>
    <w:rsid w:val="00A11DD7"/>
    <w:rsid w:val="00A12760"/>
    <w:rsid w:val="00A1514B"/>
    <w:rsid w:val="00A20355"/>
    <w:rsid w:val="00A207CF"/>
    <w:rsid w:val="00A2631E"/>
    <w:rsid w:val="00A27DD2"/>
    <w:rsid w:val="00A30897"/>
    <w:rsid w:val="00A3253B"/>
    <w:rsid w:val="00A32770"/>
    <w:rsid w:val="00A33C06"/>
    <w:rsid w:val="00A345A9"/>
    <w:rsid w:val="00A37902"/>
    <w:rsid w:val="00A41702"/>
    <w:rsid w:val="00A42922"/>
    <w:rsid w:val="00A42979"/>
    <w:rsid w:val="00A44E5A"/>
    <w:rsid w:val="00A4735A"/>
    <w:rsid w:val="00A51503"/>
    <w:rsid w:val="00A547D4"/>
    <w:rsid w:val="00A54B76"/>
    <w:rsid w:val="00A570D5"/>
    <w:rsid w:val="00A608EB"/>
    <w:rsid w:val="00A64AED"/>
    <w:rsid w:val="00A6641A"/>
    <w:rsid w:val="00A66484"/>
    <w:rsid w:val="00A74A19"/>
    <w:rsid w:val="00A764B3"/>
    <w:rsid w:val="00A80316"/>
    <w:rsid w:val="00A81DE4"/>
    <w:rsid w:val="00A8283F"/>
    <w:rsid w:val="00A84830"/>
    <w:rsid w:val="00A8530D"/>
    <w:rsid w:val="00A912B3"/>
    <w:rsid w:val="00A95887"/>
    <w:rsid w:val="00AA0238"/>
    <w:rsid w:val="00AA1325"/>
    <w:rsid w:val="00AA3CB6"/>
    <w:rsid w:val="00AA620C"/>
    <w:rsid w:val="00AB1A3A"/>
    <w:rsid w:val="00AB3053"/>
    <w:rsid w:val="00AB5CDC"/>
    <w:rsid w:val="00AB67C7"/>
    <w:rsid w:val="00AC6D56"/>
    <w:rsid w:val="00AD5050"/>
    <w:rsid w:val="00AE0606"/>
    <w:rsid w:val="00AE0AFD"/>
    <w:rsid w:val="00AE19AA"/>
    <w:rsid w:val="00AE1B01"/>
    <w:rsid w:val="00AE1F2C"/>
    <w:rsid w:val="00AE2198"/>
    <w:rsid w:val="00AE2555"/>
    <w:rsid w:val="00AE3E9B"/>
    <w:rsid w:val="00AE4473"/>
    <w:rsid w:val="00AE5D30"/>
    <w:rsid w:val="00AE6910"/>
    <w:rsid w:val="00AF002C"/>
    <w:rsid w:val="00AF0419"/>
    <w:rsid w:val="00AF5B67"/>
    <w:rsid w:val="00AF6421"/>
    <w:rsid w:val="00AF6C67"/>
    <w:rsid w:val="00B0187B"/>
    <w:rsid w:val="00B05F5E"/>
    <w:rsid w:val="00B0611E"/>
    <w:rsid w:val="00B06854"/>
    <w:rsid w:val="00B11322"/>
    <w:rsid w:val="00B124AF"/>
    <w:rsid w:val="00B132CB"/>
    <w:rsid w:val="00B13450"/>
    <w:rsid w:val="00B13E27"/>
    <w:rsid w:val="00B1424E"/>
    <w:rsid w:val="00B14E91"/>
    <w:rsid w:val="00B154B4"/>
    <w:rsid w:val="00B15D3F"/>
    <w:rsid w:val="00B161F7"/>
    <w:rsid w:val="00B20B24"/>
    <w:rsid w:val="00B26783"/>
    <w:rsid w:val="00B26AD6"/>
    <w:rsid w:val="00B41246"/>
    <w:rsid w:val="00B415A7"/>
    <w:rsid w:val="00B42B7C"/>
    <w:rsid w:val="00B44ED0"/>
    <w:rsid w:val="00B4570A"/>
    <w:rsid w:val="00B53B62"/>
    <w:rsid w:val="00B56730"/>
    <w:rsid w:val="00B6151C"/>
    <w:rsid w:val="00B61BF7"/>
    <w:rsid w:val="00B62627"/>
    <w:rsid w:val="00B62E0A"/>
    <w:rsid w:val="00B65A67"/>
    <w:rsid w:val="00B70291"/>
    <w:rsid w:val="00B71588"/>
    <w:rsid w:val="00B7251E"/>
    <w:rsid w:val="00B72717"/>
    <w:rsid w:val="00B74567"/>
    <w:rsid w:val="00B7613E"/>
    <w:rsid w:val="00B7626D"/>
    <w:rsid w:val="00B767F2"/>
    <w:rsid w:val="00B80231"/>
    <w:rsid w:val="00B81A8B"/>
    <w:rsid w:val="00B82B13"/>
    <w:rsid w:val="00B8317C"/>
    <w:rsid w:val="00B8422E"/>
    <w:rsid w:val="00B846F3"/>
    <w:rsid w:val="00B8506F"/>
    <w:rsid w:val="00B857DC"/>
    <w:rsid w:val="00B879E8"/>
    <w:rsid w:val="00B91D7E"/>
    <w:rsid w:val="00B93298"/>
    <w:rsid w:val="00B955EE"/>
    <w:rsid w:val="00BA08A6"/>
    <w:rsid w:val="00BA1C71"/>
    <w:rsid w:val="00BA3DC9"/>
    <w:rsid w:val="00BA4E78"/>
    <w:rsid w:val="00BA52F8"/>
    <w:rsid w:val="00BA6928"/>
    <w:rsid w:val="00BA7554"/>
    <w:rsid w:val="00BB1553"/>
    <w:rsid w:val="00BB1E6E"/>
    <w:rsid w:val="00BB23F4"/>
    <w:rsid w:val="00BB35E5"/>
    <w:rsid w:val="00BB52C8"/>
    <w:rsid w:val="00BB61BC"/>
    <w:rsid w:val="00BC1B21"/>
    <w:rsid w:val="00BC2181"/>
    <w:rsid w:val="00BC36A7"/>
    <w:rsid w:val="00BC5CBD"/>
    <w:rsid w:val="00BD1450"/>
    <w:rsid w:val="00BD6E87"/>
    <w:rsid w:val="00BE64C8"/>
    <w:rsid w:val="00BF1536"/>
    <w:rsid w:val="00BF1982"/>
    <w:rsid w:val="00BF481F"/>
    <w:rsid w:val="00BF6AAC"/>
    <w:rsid w:val="00C0070C"/>
    <w:rsid w:val="00C02454"/>
    <w:rsid w:val="00C043DB"/>
    <w:rsid w:val="00C134F7"/>
    <w:rsid w:val="00C1445A"/>
    <w:rsid w:val="00C15AA3"/>
    <w:rsid w:val="00C21E7A"/>
    <w:rsid w:val="00C225B4"/>
    <w:rsid w:val="00C2536E"/>
    <w:rsid w:val="00C27E41"/>
    <w:rsid w:val="00C35593"/>
    <w:rsid w:val="00C35609"/>
    <w:rsid w:val="00C361E0"/>
    <w:rsid w:val="00C367C3"/>
    <w:rsid w:val="00C41B0D"/>
    <w:rsid w:val="00C42A9D"/>
    <w:rsid w:val="00C50397"/>
    <w:rsid w:val="00C508F7"/>
    <w:rsid w:val="00C51349"/>
    <w:rsid w:val="00C52F26"/>
    <w:rsid w:val="00C562F9"/>
    <w:rsid w:val="00C56A7A"/>
    <w:rsid w:val="00C60BE6"/>
    <w:rsid w:val="00C6151D"/>
    <w:rsid w:val="00C62936"/>
    <w:rsid w:val="00C65B09"/>
    <w:rsid w:val="00C678E5"/>
    <w:rsid w:val="00C74BF8"/>
    <w:rsid w:val="00C77267"/>
    <w:rsid w:val="00C8027F"/>
    <w:rsid w:val="00C81123"/>
    <w:rsid w:val="00C836D1"/>
    <w:rsid w:val="00C83DA5"/>
    <w:rsid w:val="00C84176"/>
    <w:rsid w:val="00C86E17"/>
    <w:rsid w:val="00C87295"/>
    <w:rsid w:val="00C936C6"/>
    <w:rsid w:val="00CA0322"/>
    <w:rsid w:val="00CA1244"/>
    <w:rsid w:val="00CA1647"/>
    <w:rsid w:val="00CA1DF1"/>
    <w:rsid w:val="00CA2649"/>
    <w:rsid w:val="00CA286F"/>
    <w:rsid w:val="00CA57F7"/>
    <w:rsid w:val="00CA6EFC"/>
    <w:rsid w:val="00CB0B3E"/>
    <w:rsid w:val="00CB126A"/>
    <w:rsid w:val="00CB3865"/>
    <w:rsid w:val="00CC0361"/>
    <w:rsid w:val="00CC2024"/>
    <w:rsid w:val="00CC4165"/>
    <w:rsid w:val="00CC4C83"/>
    <w:rsid w:val="00CC64FE"/>
    <w:rsid w:val="00CD0EA1"/>
    <w:rsid w:val="00CD1B86"/>
    <w:rsid w:val="00CD2A31"/>
    <w:rsid w:val="00CD3241"/>
    <w:rsid w:val="00CD413A"/>
    <w:rsid w:val="00CD4B33"/>
    <w:rsid w:val="00CD4DFF"/>
    <w:rsid w:val="00CD6DF5"/>
    <w:rsid w:val="00CD729A"/>
    <w:rsid w:val="00CE07BC"/>
    <w:rsid w:val="00CE0B63"/>
    <w:rsid w:val="00CE40C5"/>
    <w:rsid w:val="00CE551A"/>
    <w:rsid w:val="00CE7B4B"/>
    <w:rsid w:val="00CE7B72"/>
    <w:rsid w:val="00CF00EC"/>
    <w:rsid w:val="00CF01AA"/>
    <w:rsid w:val="00CF23D2"/>
    <w:rsid w:val="00CF2ADD"/>
    <w:rsid w:val="00CF6028"/>
    <w:rsid w:val="00CF6242"/>
    <w:rsid w:val="00CF7721"/>
    <w:rsid w:val="00D0002C"/>
    <w:rsid w:val="00D0311D"/>
    <w:rsid w:val="00D03BB4"/>
    <w:rsid w:val="00D07E78"/>
    <w:rsid w:val="00D100EF"/>
    <w:rsid w:val="00D145C5"/>
    <w:rsid w:val="00D15DDE"/>
    <w:rsid w:val="00D161C5"/>
    <w:rsid w:val="00D23589"/>
    <w:rsid w:val="00D23F87"/>
    <w:rsid w:val="00D246C4"/>
    <w:rsid w:val="00D25048"/>
    <w:rsid w:val="00D252EF"/>
    <w:rsid w:val="00D26FFE"/>
    <w:rsid w:val="00D31A4E"/>
    <w:rsid w:val="00D32A15"/>
    <w:rsid w:val="00D33421"/>
    <w:rsid w:val="00D33F27"/>
    <w:rsid w:val="00D355B8"/>
    <w:rsid w:val="00D37243"/>
    <w:rsid w:val="00D422D1"/>
    <w:rsid w:val="00D426EC"/>
    <w:rsid w:val="00D47014"/>
    <w:rsid w:val="00D4753C"/>
    <w:rsid w:val="00D512CA"/>
    <w:rsid w:val="00D52958"/>
    <w:rsid w:val="00D53941"/>
    <w:rsid w:val="00D55305"/>
    <w:rsid w:val="00D578E3"/>
    <w:rsid w:val="00D67C43"/>
    <w:rsid w:val="00D71BD4"/>
    <w:rsid w:val="00D72104"/>
    <w:rsid w:val="00D77675"/>
    <w:rsid w:val="00D80B74"/>
    <w:rsid w:val="00D82774"/>
    <w:rsid w:val="00D83559"/>
    <w:rsid w:val="00D8388C"/>
    <w:rsid w:val="00D85774"/>
    <w:rsid w:val="00D87E88"/>
    <w:rsid w:val="00D934B5"/>
    <w:rsid w:val="00D9402E"/>
    <w:rsid w:val="00D96D8E"/>
    <w:rsid w:val="00D976E7"/>
    <w:rsid w:val="00DA1A82"/>
    <w:rsid w:val="00DA2E16"/>
    <w:rsid w:val="00DA3D48"/>
    <w:rsid w:val="00DA7CF9"/>
    <w:rsid w:val="00DB11BF"/>
    <w:rsid w:val="00DB1AA0"/>
    <w:rsid w:val="00DB1C07"/>
    <w:rsid w:val="00DC2615"/>
    <w:rsid w:val="00DC39A1"/>
    <w:rsid w:val="00DC3D40"/>
    <w:rsid w:val="00DC46CB"/>
    <w:rsid w:val="00DC5382"/>
    <w:rsid w:val="00DC5E5B"/>
    <w:rsid w:val="00DC618E"/>
    <w:rsid w:val="00DD0DE6"/>
    <w:rsid w:val="00DD45F4"/>
    <w:rsid w:val="00DD5C86"/>
    <w:rsid w:val="00DE28DA"/>
    <w:rsid w:val="00DE2C2F"/>
    <w:rsid w:val="00DE392F"/>
    <w:rsid w:val="00DE5144"/>
    <w:rsid w:val="00DF309E"/>
    <w:rsid w:val="00DF4C0E"/>
    <w:rsid w:val="00DF6874"/>
    <w:rsid w:val="00DF6FC0"/>
    <w:rsid w:val="00DF7FC4"/>
    <w:rsid w:val="00E01DF5"/>
    <w:rsid w:val="00E03585"/>
    <w:rsid w:val="00E05ECF"/>
    <w:rsid w:val="00E127E1"/>
    <w:rsid w:val="00E1523B"/>
    <w:rsid w:val="00E154E1"/>
    <w:rsid w:val="00E16DE0"/>
    <w:rsid w:val="00E17C65"/>
    <w:rsid w:val="00E23A1E"/>
    <w:rsid w:val="00E27593"/>
    <w:rsid w:val="00E3420A"/>
    <w:rsid w:val="00E34FBB"/>
    <w:rsid w:val="00E36A5F"/>
    <w:rsid w:val="00E3735C"/>
    <w:rsid w:val="00E37F95"/>
    <w:rsid w:val="00E40F72"/>
    <w:rsid w:val="00E41D16"/>
    <w:rsid w:val="00E45D29"/>
    <w:rsid w:val="00E50DC4"/>
    <w:rsid w:val="00E51C00"/>
    <w:rsid w:val="00E51E1A"/>
    <w:rsid w:val="00E528EA"/>
    <w:rsid w:val="00E54763"/>
    <w:rsid w:val="00E57FC5"/>
    <w:rsid w:val="00E61EF1"/>
    <w:rsid w:val="00E6207E"/>
    <w:rsid w:val="00E62608"/>
    <w:rsid w:val="00E64B5A"/>
    <w:rsid w:val="00E6570A"/>
    <w:rsid w:val="00E700E9"/>
    <w:rsid w:val="00E7126A"/>
    <w:rsid w:val="00E720B0"/>
    <w:rsid w:val="00E7250E"/>
    <w:rsid w:val="00E73DB2"/>
    <w:rsid w:val="00E7459E"/>
    <w:rsid w:val="00E75174"/>
    <w:rsid w:val="00E767EE"/>
    <w:rsid w:val="00E77771"/>
    <w:rsid w:val="00E77C95"/>
    <w:rsid w:val="00E77D3F"/>
    <w:rsid w:val="00E822B8"/>
    <w:rsid w:val="00E8450E"/>
    <w:rsid w:val="00E86F70"/>
    <w:rsid w:val="00E87C34"/>
    <w:rsid w:val="00E87F73"/>
    <w:rsid w:val="00E919DE"/>
    <w:rsid w:val="00E91CD0"/>
    <w:rsid w:val="00E93208"/>
    <w:rsid w:val="00E94386"/>
    <w:rsid w:val="00E94FD6"/>
    <w:rsid w:val="00E972FD"/>
    <w:rsid w:val="00E97A44"/>
    <w:rsid w:val="00EA2C88"/>
    <w:rsid w:val="00EB5C98"/>
    <w:rsid w:val="00EC3B3D"/>
    <w:rsid w:val="00EC661E"/>
    <w:rsid w:val="00ED249B"/>
    <w:rsid w:val="00ED42B7"/>
    <w:rsid w:val="00ED5032"/>
    <w:rsid w:val="00ED5654"/>
    <w:rsid w:val="00EE31EA"/>
    <w:rsid w:val="00EE5CE7"/>
    <w:rsid w:val="00EE65A4"/>
    <w:rsid w:val="00EF2FAF"/>
    <w:rsid w:val="00EF45DF"/>
    <w:rsid w:val="00EF4C46"/>
    <w:rsid w:val="00F01266"/>
    <w:rsid w:val="00F104E2"/>
    <w:rsid w:val="00F106BB"/>
    <w:rsid w:val="00F12196"/>
    <w:rsid w:val="00F17A91"/>
    <w:rsid w:val="00F23AE6"/>
    <w:rsid w:val="00F24673"/>
    <w:rsid w:val="00F247E5"/>
    <w:rsid w:val="00F326EC"/>
    <w:rsid w:val="00F342D5"/>
    <w:rsid w:val="00F357C0"/>
    <w:rsid w:val="00F35DFC"/>
    <w:rsid w:val="00F3747A"/>
    <w:rsid w:val="00F4081F"/>
    <w:rsid w:val="00F46445"/>
    <w:rsid w:val="00F46746"/>
    <w:rsid w:val="00F47EA4"/>
    <w:rsid w:val="00F523EC"/>
    <w:rsid w:val="00F5317D"/>
    <w:rsid w:val="00F545F1"/>
    <w:rsid w:val="00F578A6"/>
    <w:rsid w:val="00F6146D"/>
    <w:rsid w:val="00F667A2"/>
    <w:rsid w:val="00F71358"/>
    <w:rsid w:val="00F7253B"/>
    <w:rsid w:val="00F7532D"/>
    <w:rsid w:val="00F806E0"/>
    <w:rsid w:val="00F80B65"/>
    <w:rsid w:val="00F84B35"/>
    <w:rsid w:val="00F86AB8"/>
    <w:rsid w:val="00F87152"/>
    <w:rsid w:val="00F877B8"/>
    <w:rsid w:val="00F905CB"/>
    <w:rsid w:val="00F95E80"/>
    <w:rsid w:val="00F97419"/>
    <w:rsid w:val="00FA06D9"/>
    <w:rsid w:val="00FA429C"/>
    <w:rsid w:val="00FA53A8"/>
    <w:rsid w:val="00FA5A3A"/>
    <w:rsid w:val="00FA6609"/>
    <w:rsid w:val="00FA680E"/>
    <w:rsid w:val="00FA7B20"/>
    <w:rsid w:val="00FB3914"/>
    <w:rsid w:val="00FB3C6A"/>
    <w:rsid w:val="00FB43E7"/>
    <w:rsid w:val="00FB45B1"/>
    <w:rsid w:val="00FB579B"/>
    <w:rsid w:val="00FC630D"/>
    <w:rsid w:val="00FC741B"/>
    <w:rsid w:val="00FD006D"/>
    <w:rsid w:val="00FD09D6"/>
    <w:rsid w:val="00FD1605"/>
    <w:rsid w:val="00FD16D5"/>
    <w:rsid w:val="00FD4FEF"/>
    <w:rsid w:val="00FD5EC6"/>
    <w:rsid w:val="00FD7EB6"/>
    <w:rsid w:val="00FE0738"/>
    <w:rsid w:val="00FE0DC4"/>
    <w:rsid w:val="00FE42B4"/>
    <w:rsid w:val="00FF4D5D"/>
    <w:rsid w:val="00FF57EC"/>
    <w:rsid w:val="00FF712A"/>
    <w:rsid w:val="00FF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11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4771"/>
    <w:pPr>
      <w:keepNext/>
      <w:widowControl w:val="0"/>
      <w:autoSpaceDE w:val="0"/>
      <w:autoSpaceDN w:val="0"/>
      <w:adjustRightInd w:val="0"/>
      <w:jc w:val="center"/>
      <w:outlineLvl w:val="0"/>
    </w:pPr>
    <w:rPr>
      <w:rFonts w:cs="Arial"/>
      <w:b/>
      <w:u w:val="single"/>
    </w:rPr>
  </w:style>
  <w:style w:type="paragraph" w:styleId="Heading2">
    <w:name w:val="heading 2"/>
    <w:basedOn w:val="Normal"/>
    <w:next w:val="Normal"/>
    <w:qFormat/>
    <w:rsid w:val="007D4771"/>
    <w:pPr>
      <w:keepNext/>
      <w:numPr>
        <w:numId w:val="22"/>
      </w:numPr>
      <w:outlineLvl w:val="1"/>
    </w:pPr>
    <w:rPr>
      <w:b/>
      <w:bCs/>
    </w:rPr>
  </w:style>
  <w:style w:type="paragraph" w:styleId="Heading3">
    <w:name w:val="heading 3"/>
    <w:basedOn w:val="Normal"/>
    <w:next w:val="Normal"/>
    <w:link w:val="Heading3Char"/>
    <w:uiPriority w:val="9"/>
    <w:unhideWhenUsed/>
    <w:qFormat/>
    <w:rsid w:val="007D4771"/>
    <w:pPr>
      <w:keepNext/>
      <w:keepLines/>
      <w:numPr>
        <w:numId w:val="23"/>
      </w:numPr>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semiHidden/>
    <w:unhideWhenUsed/>
    <w:rsid w:val="00A1514B"/>
    <w:rPr>
      <w:sz w:val="16"/>
      <w:szCs w:val="16"/>
    </w:rPr>
  </w:style>
  <w:style w:type="paragraph" w:styleId="CommentText">
    <w:name w:val="annotation text"/>
    <w:basedOn w:val="Normal"/>
    <w:link w:val="CommentTextChar"/>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rsid w:val="0089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rsid w:val="007D4771"/>
    <w:rPr>
      <w:rFonts w:eastAsiaTheme="majorEastAsia" w:cstheme="majorBidi"/>
      <w:b/>
      <w:bCs/>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0F1F8A"/>
    <w:pPr>
      <w:spacing w:after="120"/>
    </w:pPr>
    <w:rPr>
      <w:sz w:val="22"/>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F1F8A"/>
    <w:rPr>
      <w:sz w:val="22"/>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nhideWhenUsed/>
    <w:qFormat/>
    <w:rsid w:val="006D2993"/>
    <w:rPr>
      <w:vertAlign w:val="superscript"/>
    </w:rPr>
  </w:style>
  <w:style w:type="paragraph" w:styleId="Revision">
    <w:name w:val="Revision"/>
    <w:hidden/>
    <w:uiPriority w:val="99"/>
    <w:semiHidden/>
    <w:rsid w:val="000E75B5"/>
    <w:rPr>
      <w:sz w:val="24"/>
      <w:szCs w:val="24"/>
    </w:rPr>
  </w:style>
  <w:style w:type="paragraph" w:styleId="NoSpacing">
    <w:name w:val="No Spacing"/>
    <w:uiPriority w:val="1"/>
    <w:qFormat/>
    <w:rsid w:val="006B237C"/>
    <w:rPr>
      <w:rFonts w:eastAsia="Calibri"/>
      <w:sz w:val="25"/>
      <w:szCs w:val="22"/>
    </w:rPr>
  </w:style>
  <w:style w:type="paragraph" w:customStyle="1" w:styleId="Findings">
    <w:name w:val="Findings"/>
    <w:basedOn w:val="Normal"/>
    <w:rsid w:val="003A45CF"/>
    <w:pPr>
      <w:numPr>
        <w:numId w:val="7"/>
      </w:numPr>
    </w:pPr>
  </w:style>
  <w:style w:type="paragraph" w:customStyle="1" w:styleId="FindingsConclusions">
    <w:name w:val="Findings &amp; Conclusions"/>
    <w:basedOn w:val="Normal"/>
    <w:rsid w:val="000B6279"/>
    <w:pPr>
      <w:numPr>
        <w:numId w:val="13"/>
      </w:numPr>
    </w:pPr>
  </w:style>
  <w:style w:type="paragraph" w:customStyle="1" w:styleId="Judge">
    <w:name w:val="Judge"/>
    <w:basedOn w:val="Normal"/>
    <w:link w:val="JudgeChar"/>
    <w:semiHidden/>
    <w:rsid w:val="004F003E"/>
    <w:pPr>
      <w:spacing w:line="240" w:lineRule="exact"/>
      <w:jc w:val="right"/>
    </w:pPr>
  </w:style>
  <w:style w:type="paragraph" w:customStyle="1" w:styleId="Answer">
    <w:name w:val="Answer"/>
    <w:basedOn w:val="Judge"/>
    <w:next w:val="Normal"/>
    <w:link w:val="AnswerChar"/>
    <w:qFormat/>
    <w:rsid w:val="004F003E"/>
    <w:pPr>
      <w:spacing w:before="240" w:after="240" w:line="480" w:lineRule="exact"/>
      <w:ind w:left="720" w:hanging="720"/>
      <w:jc w:val="left"/>
    </w:pPr>
  </w:style>
  <w:style w:type="character" w:customStyle="1" w:styleId="JudgeChar">
    <w:name w:val="Judge Char"/>
    <w:basedOn w:val="DefaultParagraphFont"/>
    <w:link w:val="Judge"/>
    <w:semiHidden/>
    <w:rsid w:val="004F003E"/>
    <w:rPr>
      <w:sz w:val="24"/>
      <w:szCs w:val="24"/>
    </w:rPr>
  </w:style>
  <w:style w:type="character" w:customStyle="1" w:styleId="AnswerChar">
    <w:name w:val="Answer Char"/>
    <w:basedOn w:val="JudgeChar"/>
    <w:link w:val="Answer"/>
    <w:rsid w:val="004F003E"/>
    <w:rPr>
      <w:sz w:val="24"/>
      <w:szCs w:val="24"/>
    </w:rPr>
  </w:style>
  <w:style w:type="paragraph" w:styleId="PlainText">
    <w:name w:val="Plain Text"/>
    <w:basedOn w:val="Normal"/>
    <w:link w:val="PlainTextChar"/>
    <w:uiPriority w:val="99"/>
    <w:unhideWhenUsed/>
    <w:rsid w:val="00AE060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E0606"/>
    <w:rPr>
      <w:rFonts w:ascii="Consolas" w:eastAsiaTheme="minorHAnsi" w:hAnsi="Consolas" w:cstheme="minorBidi"/>
      <w:sz w:val="21"/>
      <w:szCs w:val="21"/>
    </w:rPr>
  </w:style>
  <w:style w:type="paragraph" w:styleId="ListBullet5">
    <w:name w:val="List Bullet 5"/>
    <w:basedOn w:val="Normal"/>
    <w:semiHidden/>
    <w:rsid w:val="00466068"/>
    <w:pPr>
      <w:numPr>
        <w:numId w:val="27"/>
      </w:numPr>
    </w:pPr>
  </w:style>
  <w:style w:type="paragraph" w:styleId="TOCHeading">
    <w:name w:val="TOC Heading"/>
    <w:basedOn w:val="Heading1"/>
    <w:next w:val="Normal"/>
    <w:uiPriority w:val="39"/>
    <w:unhideWhenUsed/>
    <w:qFormat/>
    <w:rsid w:val="00A006D5"/>
    <w:pPr>
      <w:keepLines/>
      <w:widowControl/>
      <w:autoSpaceDE/>
      <w:autoSpaceDN/>
      <w:adjustRightInd/>
      <w:spacing w:before="240" w:line="259" w:lineRule="auto"/>
      <w:jc w:val="left"/>
      <w:outlineLvl w:val="9"/>
    </w:pPr>
    <w:rPr>
      <w:rFonts w:asciiTheme="majorHAnsi" w:eastAsiaTheme="majorEastAsia" w:hAnsiTheme="majorHAnsi" w:cstheme="majorBidi"/>
      <w:b w:val="0"/>
      <w:color w:val="365F91" w:themeColor="accent1" w:themeShade="BF"/>
      <w:sz w:val="32"/>
      <w:szCs w:val="32"/>
      <w:u w:val="none"/>
    </w:rPr>
  </w:style>
  <w:style w:type="paragraph" w:styleId="TOC1">
    <w:name w:val="toc 1"/>
    <w:basedOn w:val="Normal"/>
    <w:next w:val="Normal"/>
    <w:autoRedefine/>
    <w:uiPriority w:val="39"/>
    <w:unhideWhenUsed/>
    <w:rsid w:val="00A006D5"/>
    <w:pPr>
      <w:spacing w:after="100"/>
    </w:pPr>
  </w:style>
  <w:style w:type="paragraph" w:styleId="TOC2">
    <w:name w:val="toc 2"/>
    <w:basedOn w:val="Normal"/>
    <w:next w:val="Normal"/>
    <w:autoRedefine/>
    <w:uiPriority w:val="39"/>
    <w:unhideWhenUsed/>
    <w:rsid w:val="00A006D5"/>
    <w:pPr>
      <w:spacing w:after="100"/>
      <w:ind w:left="240"/>
    </w:pPr>
  </w:style>
  <w:style w:type="paragraph" w:styleId="TOC3">
    <w:name w:val="toc 3"/>
    <w:basedOn w:val="Normal"/>
    <w:next w:val="Normal"/>
    <w:autoRedefine/>
    <w:uiPriority w:val="39"/>
    <w:unhideWhenUsed/>
    <w:rsid w:val="00A006D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274888">
      <w:bodyDiv w:val="1"/>
      <w:marLeft w:val="0"/>
      <w:marRight w:val="0"/>
      <w:marTop w:val="0"/>
      <w:marBottom w:val="0"/>
      <w:divBdr>
        <w:top w:val="none" w:sz="0" w:space="0" w:color="auto"/>
        <w:left w:val="none" w:sz="0" w:space="0" w:color="auto"/>
        <w:bottom w:val="none" w:sz="0" w:space="0" w:color="auto"/>
        <w:right w:val="none" w:sz="0" w:space="0" w:color="auto"/>
      </w:divBdr>
      <w:divsChild>
        <w:div w:id="2108385254">
          <w:marLeft w:val="0"/>
          <w:marRight w:val="0"/>
          <w:marTop w:val="0"/>
          <w:marBottom w:val="0"/>
          <w:divBdr>
            <w:top w:val="none" w:sz="0" w:space="0" w:color="auto"/>
            <w:left w:val="none" w:sz="0" w:space="0" w:color="auto"/>
            <w:bottom w:val="none" w:sz="0" w:space="0" w:color="auto"/>
            <w:right w:val="none" w:sz="0" w:space="0" w:color="auto"/>
          </w:divBdr>
          <w:divsChild>
            <w:div w:id="1419136943">
              <w:marLeft w:val="0"/>
              <w:marRight w:val="0"/>
              <w:marTop w:val="0"/>
              <w:marBottom w:val="0"/>
              <w:divBdr>
                <w:top w:val="none" w:sz="0" w:space="0" w:color="auto"/>
                <w:left w:val="none" w:sz="0" w:space="0" w:color="auto"/>
                <w:bottom w:val="none" w:sz="0" w:space="0" w:color="auto"/>
                <w:right w:val="none" w:sz="0" w:space="0" w:color="auto"/>
              </w:divBdr>
              <w:divsChild>
                <w:div w:id="285506741">
                  <w:marLeft w:val="0"/>
                  <w:marRight w:val="0"/>
                  <w:marTop w:val="0"/>
                  <w:marBottom w:val="0"/>
                  <w:divBdr>
                    <w:top w:val="none" w:sz="0" w:space="12" w:color="auto"/>
                    <w:left w:val="none" w:sz="0" w:space="12" w:color="auto"/>
                    <w:bottom w:val="none" w:sz="0" w:space="12" w:color="auto"/>
                    <w:right w:val="none" w:sz="0" w:space="12" w:color="auto"/>
                  </w:divBdr>
                  <w:divsChild>
                    <w:div w:id="496000170">
                      <w:marLeft w:val="0"/>
                      <w:marRight w:val="0"/>
                      <w:marTop w:val="0"/>
                      <w:marBottom w:val="0"/>
                      <w:divBdr>
                        <w:top w:val="none" w:sz="0" w:space="0" w:color="auto"/>
                        <w:left w:val="none" w:sz="0" w:space="0" w:color="auto"/>
                        <w:bottom w:val="none" w:sz="0" w:space="0" w:color="auto"/>
                        <w:right w:val="none" w:sz="0" w:space="0" w:color="auto"/>
                      </w:divBdr>
                      <w:divsChild>
                        <w:div w:id="1298756777">
                          <w:marLeft w:val="-225"/>
                          <w:marRight w:val="-225"/>
                          <w:marTop w:val="0"/>
                          <w:marBottom w:val="0"/>
                          <w:divBdr>
                            <w:top w:val="none" w:sz="0" w:space="0" w:color="auto"/>
                            <w:left w:val="none" w:sz="0" w:space="0" w:color="auto"/>
                            <w:bottom w:val="none" w:sz="0" w:space="0" w:color="auto"/>
                            <w:right w:val="none" w:sz="0" w:space="0" w:color="auto"/>
                          </w:divBdr>
                          <w:divsChild>
                            <w:div w:id="562719643">
                              <w:marLeft w:val="0"/>
                              <w:marRight w:val="0"/>
                              <w:marTop w:val="0"/>
                              <w:marBottom w:val="0"/>
                              <w:divBdr>
                                <w:top w:val="none" w:sz="0" w:space="0" w:color="auto"/>
                                <w:left w:val="none" w:sz="0" w:space="0" w:color="auto"/>
                                <w:bottom w:val="none" w:sz="0" w:space="0" w:color="auto"/>
                                <w:right w:val="none" w:sz="0" w:space="0" w:color="auto"/>
                              </w:divBdr>
                              <w:divsChild>
                                <w:div w:id="1356537011">
                                  <w:marLeft w:val="0"/>
                                  <w:marRight w:val="0"/>
                                  <w:marTop w:val="0"/>
                                  <w:marBottom w:val="0"/>
                                  <w:divBdr>
                                    <w:top w:val="none" w:sz="0" w:space="0" w:color="auto"/>
                                    <w:left w:val="none" w:sz="0" w:space="0" w:color="auto"/>
                                    <w:bottom w:val="none" w:sz="0" w:space="0" w:color="auto"/>
                                    <w:right w:val="none" w:sz="0" w:space="0" w:color="auto"/>
                                  </w:divBdr>
                                  <w:divsChild>
                                    <w:div w:id="1154221765">
                                      <w:marLeft w:val="-225"/>
                                      <w:marRight w:val="-225"/>
                                      <w:marTop w:val="0"/>
                                      <w:marBottom w:val="0"/>
                                      <w:divBdr>
                                        <w:top w:val="none" w:sz="0" w:space="0" w:color="auto"/>
                                        <w:left w:val="none" w:sz="0" w:space="0" w:color="auto"/>
                                        <w:bottom w:val="none" w:sz="0" w:space="0" w:color="auto"/>
                                        <w:right w:val="none" w:sz="0" w:space="0" w:color="auto"/>
                                      </w:divBdr>
                                      <w:divsChild>
                                        <w:div w:id="419638303">
                                          <w:marLeft w:val="0"/>
                                          <w:marRight w:val="0"/>
                                          <w:marTop w:val="0"/>
                                          <w:marBottom w:val="0"/>
                                          <w:divBdr>
                                            <w:top w:val="none" w:sz="0" w:space="0" w:color="auto"/>
                                            <w:left w:val="none" w:sz="0" w:space="0" w:color="auto"/>
                                            <w:bottom w:val="none" w:sz="0" w:space="0" w:color="auto"/>
                                            <w:right w:val="none" w:sz="0" w:space="0" w:color="auto"/>
                                          </w:divBdr>
                                        </w:div>
                                      </w:divsChild>
                                    </w:div>
                                    <w:div w:id="8340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752831">
      <w:bodyDiv w:val="1"/>
      <w:marLeft w:val="0"/>
      <w:marRight w:val="0"/>
      <w:marTop w:val="0"/>
      <w:marBottom w:val="0"/>
      <w:divBdr>
        <w:top w:val="none" w:sz="0" w:space="0" w:color="auto"/>
        <w:left w:val="none" w:sz="0" w:space="0" w:color="auto"/>
        <w:bottom w:val="none" w:sz="0" w:space="0" w:color="auto"/>
        <w:right w:val="none" w:sz="0" w:space="0" w:color="auto"/>
      </w:divBdr>
      <w:divsChild>
        <w:div w:id="345524928">
          <w:marLeft w:val="0"/>
          <w:marRight w:val="0"/>
          <w:marTop w:val="0"/>
          <w:marBottom w:val="0"/>
          <w:divBdr>
            <w:top w:val="none" w:sz="0" w:space="0" w:color="auto"/>
            <w:left w:val="none" w:sz="0" w:space="0" w:color="auto"/>
            <w:bottom w:val="none" w:sz="0" w:space="0" w:color="auto"/>
            <w:right w:val="none" w:sz="0" w:space="0" w:color="auto"/>
          </w:divBdr>
          <w:divsChild>
            <w:div w:id="917247692">
              <w:marLeft w:val="0"/>
              <w:marRight w:val="0"/>
              <w:marTop w:val="0"/>
              <w:marBottom w:val="0"/>
              <w:divBdr>
                <w:top w:val="none" w:sz="0" w:space="0" w:color="auto"/>
                <w:left w:val="none" w:sz="0" w:space="0" w:color="auto"/>
                <w:bottom w:val="none" w:sz="0" w:space="0" w:color="auto"/>
                <w:right w:val="none" w:sz="0" w:space="0" w:color="auto"/>
              </w:divBdr>
              <w:divsChild>
                <w:div w:id="588199628">
                  <w:marLeft w:val="0"/>
                  <w:marRight w:val="0"/>
                  <w:marTop w:val="0"/>
                  <w:marBottom w:val="0"/>
                  <w:divBdr>
                    <w:top w:val="none" w:sz="0" w:space="12" w:color="auto"/>
                    <w:left w:val="none" w:sz="0" w:space="12" w:color="auto"/>
                    <w:bottom w:val="none" w:sz="0" w:space="12" w:color="auto"/>
                    <w:right w:val="none" w:sz="0" w:space="12" w:color="auto"/>
                  </w:divBdr>
                  <w:divsChild>
                    <w:div w:id="1595355264">
                      <w:marLeft w:val="0"/>
                      <w:marRight w:val="0"/>
                      <w:marTop w:val="0"/>
                      <w:marBottom w:val="0"/>
                      <w:divBdr>
                        <w:top w:val="none" w:sz="0" w:space="12" w:color="auto"/>
                        <w:left w:val="none" w:sz="0" w:space="12" w:color="auto"/>
                        <w:bottom w:val="none" w:sz="0" w:space="12" w:color="auto"/>
                        <w:right w:val="none" w:sz="0" w:space="12" w:color="auto"/>
                      </w:divBdr>
                      <w:divsChild>
                        <w:div w:id="1949115707">
                          <w:marLeft w:val="0"/>
                          <w:marRight w:val="0"/>
                          <w:marTop w:val="0"/>
                          <w:marBottom w:val="0"/>
                          <w:divBdr>
                            <w:top w:val="none" w:sz="0" w:space="0" w:color="auto"/>
                            <w:left w:val="none" w:sz="0" w:space="0" w:color="auto"/>
                            <w:bottom w:val="none" w:sz="0" w:space="0" w:color="auto"/>
                            <w:right w:val="none" w:sz="0" w:space="0" w:color="auto"/>
                          </w:divBdr>
                          <w:divsChild>
                            <w:div w:id="1361276879">
                              <w:marLeft w:val="-225"/>
                              <w:marRight w:val="-225"/>
                              <w:marTop w:val="0"/>
                              <w:marBottom w:val="0"/>
                              <w:divBdr>
                                <w:top w:val="none" w:sz="0" w:space="0" w:color="auto"/>
                                <w:left w:val="none" w:sz="0" w:space="0" w:color="auto"/>
                                <w:bottom w:val="none" w:sz="0" w:space="0" w:color="auto"/>
                                <w:right w:val="none" w:sz="0" w:space="0" w:color="auto"/>
                              </w:divBdr>
                              <w:divsChild>
                                <w:div w:id="536048820">
                                  <w:marLeft w:val="0"/>
                                  <w:marRight w:val="0"/>
                                  <w:marTop w:val="0"/>
                                  <w:marBottom w:val="0"/>
                                  <w:divBdr>
                                    <w:top w:val="none" w:sz="0" w:space="0" w:color="auto"/>
                                    <w:left w:val="none" w:sz="0" w:space="0" w:color="auto"/>
                                    <w:bottom w:val="none" w:sz="0" w:space="0" w:color="auto"/>
                                    <w:right w:val="none" w:sz="0" w:space="0" w:color="auto"/>
                                  </w:divBdr>
                                  <w:divsChild>
                                    <w:div w:id="944775668">
                                      <w:marLeft w:val="0"/>
                                      <w:marRight w:val="0"/>
                                      <w:marTop w:val="0"/>
                                      <w:marBottom w:val="0"/>
                                      <w:divBdr>
                                        <w:top w:val="none" w:sz="0" w:space="0" w:color="auto"/>
                                        <w:left w:val="none" w:sz="0" w:space="0" w:color="auto"/>
                                        <w:bottom w:val="none" w:sz="0" w:space="0" w:color="auto"/>
                                        <w:right w:val="none" w:sz="0" w:space="0" w:color="auto"/>
                                      </w:divBdr>
                                      <w:divsChild>
                                        <w:div w:id="953367963">
                                          <w:marLeft w:val="-225"/>
                                          <w:marRight w:val="-225"/>
                                          <w:marTop w:val="0"/>
                                          <w:marBottom w:val="0"/>
                                          <w:divBdr>
                                            <w:top w:val="none" w:sz="0" w:space="0" w:color="auto"/>
                                            <w:left w:val="none" w:sz="0" w:space="0" w:color="auto"/>
                                            <w:bottom w:val="none" w:sz="0" w:space="0" w:color="auto"/>
                                            <w:right w:val="none" w:sz="0" w:space="0" w:color="auto"/>
                                          </w:divBdr>
                                          <w:divsChild>
                                            <w:div w:id="1139882963">
                                              <w:marLeft w:val="0"/>
                                              <w:marRight w:val="0"/>
                                              <w:marTop w:val="0"/>
                                              <w:marBottom w:val="0"/>
                                              <w:divBdr>
                                                <w:top w:val="none" w:sz="0" w:space="0" w:color="auto"/>
                                                <w:left w:val="none" w:sz="0" w:space="0" w:color="auto"/>
                                                <w:bottom w:val="none" w:sz="0" w:space="0" w:color="auto"/>
                                                <w:right w:val="none" w:sz="0" w:space="0" w:color="auto"/>
                                              </w:divBdr>
                                            </w:div>
                                          </w:divsChild>
                                        </w:div>
                                        <w:div w:id="197204892">
                                          <w:marLeft w:val="-225"/>
                                          <w:marRight w:val="-225"/>
                                          <w:marTop w:val="0"/>
                                          <w:marBottom w:val="0"/>
                                          <w:divBdr>
                                            <w:top w:val="none" w:sz="0" w:space="0" w:color="auto"/>
                                            <w:left w:val="none" w:sz="0" w:space="0" w:color="auto"/>
                                            <w:bottom w:val="none" w:sz="0" w:space="0" w:color="auto"/>
                                            <w:right w:val="none" w:sz="0" w:space="0" w:color="auto"/>
                                          </w:divBdr>
                                          <w:divsChild>
                                            <w:div w:id="184830421">
                                              <w:marLeft w:val="0"/>
                                              <w:marRight w:val="0"/>
                                              <w:marTop w:val="0"/>
                                              <w:marBottom w:val="0"/>
                                              <w:divBdr>
                                                <w:top w:val="none" w:sz="0" w:space="0" w:color="auto"/>
                                                <w:left w:val="none" w:sz="0" w:space="0" w:color="auto"/>
                                                <w:bottom w:val="none" w:sz="0" w:space="0" w:color="auto"/>
                                                <w:right w:val="none" w:sz="0" w:space="0" w:color="auto"/>
                                              </w:divBdr>
                                            </w:div>
                                          </w:divsChild>
                                        </w:div>
                                        <w:div w:id="1102647316">
                                          <w:marLeft w:val="0"/>
                                          <w:marRight w:val="0"/>
                                          <w:marTop w:val="0"/>
                                          <w:marBottom w:val="0"/>
                                          <w:divBdr>
                                            <w:top w:val="none" w:sz="0" w:space="0" w:color="auto"/>
                                            <w:left w:val="none" w:sz="0" w:space="0" w:color="auto"/>
                                            <w:bottom w:val="none" w:sz="0" w:space="0" w:color="auto"/>
                                            <w:right w:val="none" w:sz="0" w:space="0" w:color="auto"/>
                                          </w:divBdr>
                                        </w:div>
                                        <w:div w:id="18122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135410">
      <w:bodyDiv w:val="1"/>
      <w:marLeft w:val="0"/>
      <w:marRight w:val="0"/>
      <w:marTop w:val="0"/>
      <w:marBottom w:val="0"/>
      <w:divBdr>
        <w:top w:val="none" w:sz="0" w:space="0" w:color="auto"/>
        <w:left w:val="none" w:sz="0" w:space="0" w:color="auto"/>
        <w:bottom w:val="none" w:sz="0" w:space="0" w:color="auto"/>
        <w:right w:val="none" w:sz="0" w:space="0" w:color="auto"/>
      </w:divBdr>
      <w:divsChild>
        <w:div w:id="442268292">
          <w:marLeft w:val="0"/>
          <w:marRight w:val="0"/>
          <w:marTop w:val="0"/>
          <w:marBottom w:val="0"/>
          <w:divBdr>
            <w:top w:val="none" w:sz="0" w:space="0" w:color="auto"/>
            <w:left w:val="none" w:sz="0" w:space="0" w:color="auto"/>
            <w:bottom w:val="none" w:sz="0" w:space="0" w:color="auto"/>
            <w:right w:val="none" w:sz="0" w:space="0" w:color="auto"/>
          </w:divBdr>
          <w:divsChild>
            <w:div w:id="214241435">
              <w:marLeft w:val="0"/>
              <w:marRight w:val="0"/>
              <w:marTop w:val="0"/>
              <w:marBottom w:val="0"/>
              <w:divBdr>
                <w:top w:val="none" w:sz="0" w:space="0" w:color="auto"/>
                <w:left w:val="none" w:sz="0" w:space="0" w:color="auto"/>
                <w:bottom w:val="none" w:sz="0" w:space="0" w:color="auto"/>
                <w:right w:val="none" w:sz="0" w:space="0" w:color="auto"/>
              </w:divBdr>
              <w:divsChild>
                <w:div w:id="580216970">
                  <w:marLeft w:val="0"/>
                  <w:marRight w:val="0"/>
                  <w:marTop w:val="0"/>
                  <w:marBottom w:val="0"/>
                  <w:divBdr>
                    <w:top w:val="none" w:sz="0" w:space="12" w:color="auto"/>
                    <w:left w:val="none" w:sz="0" w:space="12" w:color="auto"/>
                    <w:bottom w:val="none" w:sz="0" w:space="12" w:color="auto"/>
                    <w:right w:val="none" w:sz="0" w:space="12" w:color="auto"/>
                  </w:divBdr>
                  <w:divsChild>
                    <w:div w:id="120225315">
                      <w:marLeft w:val="0"/>
                      <w:marRight w:val="0"/>
                      <w:marTop w:val="0"/>
                      <w:marBottom w:val="0"/>
                      <w:divBdr>
                        <w:top w:val="none" w:sz="0" w:space="0" w:color="auto"/>
                        <w:left w:val="none" w:sz="0" w:space="0" w:color="auto"/>
                        <w:bottom w:val="none" w:sz="0" w:space="0" w:color="auto"/>
                        <w:right w:val="none" w:sz="0" w:space="0" w:color="auto"/>
                      </w:divBdr>
                      <w:divsChild>
                        <w:div w:id="1630239206">
                          <w:marLeft w:val="-225"/>
                          <w:marRight w:val="-225"/>
                          <w:marTop w:val="0"/>
                          <w:marBottom w:val="0"/>
                          <w:divBdr>
                            <w:top w:val="none" w:sz="0" w:space="0" w:color="auto"/>
                            <w:left w:val="none" w:sz="0" w:space="0" w:color="auto"/>
                            <w:bottom w:val="none" w:sz="0" w:space="0" w:color="auto"/>
                            <w:right w:val="none" w:sz="0" w:space="0" w:color="auto"/>
                          </w:divBdr>
                          <w:divsChild>
                            <w:div w:id="846332610">
                              <w:marLeft w:val="0"/>
                              <w:marRight w:val="0"/>
                              <w:marTop w:val="0"/>
                              <w:marBottom w:val="0"/>
                              <w:divBdr>
                                <w:top w:val="none" w:sz="0" w:space="0" w:color="auto"/>
                                <w:left w:val="none" w:sz="0" w:space="0" w:color="auto"/>
                                <w:bottom w:val="none" w:sz="0" w:space="0" w:color="auto"/>
                                <w:right w:val="none" w:sz="0" w:space="0" w:color="auto"/>
                              </w:divBdr>
                              <w:divsChild>
                                <w:div w:id="1125349059">
                                  <w:marLeft w:val="0"/>
                                  <w:marRight w:val="0"/>
                                  <w:marTop w:val="0"/>
                                  <w:marBottom w:val="0"/>
                                  <w:divBdr>
                                    <w:top w:val="none" w:sz="0" w:space="0" w:color="auto"/>
                                    <w:left w:val="none" w:sz="0" w:space="0" w:color="auto"/>
                                    <w:bottom w:val="none" w:sz="0" w:space="0" w:color="auto"/>
                                    <w:right w:val="none" w:sz="0" w:space="0" w:color="auto"/>
                                  </w:divBdr>
                                  <w:divsChild>
                                    <w:div w:id="349143022">
                                      <w:marLeft w:val="-225"/>
                                      <w:marRight w:val="-225"/>
                                      <w:marTop w:val="0"/>
                                      <w:marBottom w:val="0"/>
                                      <w:divBdr>
                                        <w:top w:val="none" w:sz="0" w:space="0" w:color="auto"/>
                                        <w:left w:val="none" w:sz="0" w:space="0" w:color="auto"/>
                                        <w:bottom w:val="none" w:sz="0" w:space="0" w:color="auto"/>
                                        <w:right w:val="none" w:sz="0" w:space="0" w:color="auto"/>
                                      </w:divBdr>
                                      <w:divsChild>
                                        <w:div w:id="1688362935">
                                          <w:marLeft w:val="0"/>
                                          <w:marRight w:val="0"/>
                                          <w:marTop w:val="0"/>
                                          <w:marBottom w:val="0"/>
                                          <w:divBdr>
                                            <w:top w:val="none" w:sz="0" w:space="0" w:color="auto"/>
                                            <w:left w:val="none" w:sz="0" w:space="0" w:color="auto"/>
                                            <w:bottom w:val="none" w:sz="0" w:space="0" w:color="auto"/>
                                            <w:right w:val="none" w:sz="0" w:space="0" w:color="auto"/>
                                          </w:divBdr>
                                        </w:div>
                                      </w:divsChild>
                                    </w:div>
                                    <w:div w:id="164828293">
                                      <w:marLeft w:val="-225"/>
                                      <w:marRight w:val="-225"/>
                                      <w:marTop w:val="0"/>
                                      <w:marBottom w:val="0"/>
                                      <w:divBdr>
                                        <w:top w:val="none" w:sz="0" w:space="0" w:color="auto"/>
                                        <w:left w:val="none" w:sz="0" w:space="0" w:color="auto"/>
                                        <w:bottom w:val="none" w:sz="0" w:space="0" w:color="auto"/>
                                        <w:right w:val="none" w:sz="0" w:space="0" w:color="auto"/>
                                      </w:divBdr>
                                      <w:divsChild>
                                        <w:div w:id="17686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apps.leg.wa.gov/wac/default.aspx?cite=480-07-85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480-07-87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Formal</CaseStatus>
    <OpenedDate xmlns="dc463f71-b30c-4ab2-9473-d307f9d35888">2014-04-03T07:00:00+00:00</OpenedDate>
    <Date1 xmlns="dc463f71-b30c-4ab2-9473-d307f9d35888">2015-08-31T07:00:00+00:00</Date1>
    <IsDocumentOrder xmlns="dc463f71-b30c-4ab2-9473-d307f9d35888">true</IsDocumentOrder>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17B94-0A69-4687-8218-F9C76738E5C4}"/>
</file>

<file path=customXml/itemProps2.xml><?xml version="1.0" encoding="utf-8"?>
<ds:datastoreItem xmlns:ds="http://schemas.openxmlformats.org/officeDocument/2006/customXml" ds:itemID="{E38B9DF6-FCE5-484A-9965-9135A923148D}"/>
</file>

<file path=customXml/itemProps3.xml><?xml version="1.0" encoding="utf-8"?>
<ds:datastoreItem xmlns:ds="http://schemas.openxmlformats.org/officeDocument/2006/customXml" ds:itemID="{874A1331-CF94-4EE0-884D-D5B7E1D263F7}"/>
</file>

<file path=customXml/itemProps4.xml><?xml version="1.0" encoding="utf-8"?>
<ds:datastoreItem xmlns:ds="http://schemas.openxmlformats.org/officeDocument/2006/customXml" ds:itemID="{5ABF3016-1932-4A87-A810-38C8EFFFA94F}"/>
</file>

<file path=customXml/itemProps5.xml><?xml version="1.0" encoding="utf-8"?>
<ds:datastoreItem xmlns:ds="http://schemas.openxmlformats.org/officeDocument/2006/customXml" ds:itemID="{38870D92-ED54-4A2D-A7C8-041A509DEB1C}"/>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2015-08-31T18:27:00Z</dcterms:created>
  <dcterms:modified xsi:type="dcterms:W3CDTF">2015-08-31T18:27:00Z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