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69A3" w14:textId="4B2D83D0" w:rsidR="00314E12" w:rsidRDefault="00314E12" w:rsidP="00314E12">
      <w:pPr>
        <w:jc w:val="center"/>
        <w:rPr>
          <w:b/>
        </w:rPr>
      </w:pPr>
      <w:r>
        <w:rPr>
          <w:b/>
        </w:rPr>
        <w:t>DRAFT RULES ON DOUBLE COUNTING AND STORAGE</w:t>
      </w:r>
      <w:r w:rsidR="00DD5FAB">
        <w:rPr>
          <w:b/>
        </w:rPr>
        <w:t xml:space="preserve"> ACCOUNTING</w:t>
      </w:r>
    </w:p>
    <w:p w14:paraId="19496589" w14:textId="6E2FD6AC" w:rsidR="002005B3" w:rsidRPr="009F4BA8" w:rsidRDefault="009F4BA8">
      <w:pPr>
        <w:rPr>
          <w:b/>
        </w:rPr>
      </w:pPr>
      <w:r>
        <w:rPr>
          <w:b/>
        </w:rPr>
        <w:t xml:space="preserve">WAC 194-40-XXX </w:t>
      </w:r>
      <w:r w:rsidR="00FA4F8E">
        <w:rPr>
          <w:b/>
        </w:rPr>
        <w:t xml:space="preserve">/ WAC 480-100-XXX </w:t>
      </w:r>
      <w:r w:rsidR="00033174" w:rsidRPr="009F4BA8">
        <w:rPr>
          <w:b/>
        </w:rPr>
        <w:t>Safeguards to prevent double</w:t>
      </w:r>
      <w:r w:rsidR="00691883">
        <w:rPr>
          <w:b/>
        </w:rPr>
        <w:t xml:space="preserve"> </w:t>
      </w:r>
      <w:r w:rsidR="00033174" w:rsidRPr="009F4BA8">
        <w:rPr>
          <w:b/>
        </w:rPr>
        <w:t>counting of unbundled RECs</w:t>
      </w:r>
    </w:p>
    <w:p w14:paraId="2FC90B44" w14:textId="1D7277F4" w:rsidR="00033174" w:rsidRDefault="00033174">
      <w:r>
        <w:t xml:space="preserve">(1) A utility may use an unbundled REC as an alternative compliance option, as provided in RCW 19.405.040(1)(b), </w:t>
      </w:r>
      <w:r w:rsidR="00482D9B">
        <w:t>only if</w:t>
      </w:r>
      <w:r w:rsidR="00FA1C17">
        <w:t xml:space="preserve"> </w:t>
      </w:r>
      <w:r>
        <w:t>the utility demonstrates that there is no double counting of any nonpower attribute associated with that REC.</w:t>
      </w:r>
      <w:r w:rsidR="00482D9B">
        <w:t xml:space="preserve"> </w:t>
      </w:r>
      <w:r w:rsidR="00A3136E" w:rsidRPr="00A3136E">
        <w:t xml:space="preserve">This section sets only the minimum requirements necessary to demonstrate that no double counting has occurred. The </w:t>
      </w:r>
      <w:r w:rsidR="00C76FE2">
        <w:t>[</w:t>
      </w:r>
      <w:r w:rsidR="00A3136E" w:rsidRPr="00A3136E">
        <w:t>Commission</w:t>
      </w:r>
      <w:r w:rsidR="00C76FE2">
        <w:t>]/[Auditor]</w:t>
      </w:r>
      <w:r w:rsidR="00A3136E" w:rsidRPr="00A3136E">
        <w:t xml:space="preserve"> may require the utility to produce other evidence or take specific actions as </w:t>
      </w:r>
      <w:r w:rsidR="001C47AC">
        <w:t xml:space="preserve">the [Commission]/[Auditor] </w:t>
      </w:r>
      <w:r w:rsidR="00A3136E" w:rsidRPr="00A3136E">
        <w:t>determines necessary to ensure that there is no double counting of nonpower attributes.</w:t>
      </w:r>
    </w:p>
    <w:p w14:paraId="38212397" w14:textId="31E7FAE6" w:rsidR="00AA273F" w:rsidRDefault="00033174" w:rsidP="003E7DE8">
      <w:r>
        <w:t>(2)</w:t>
      </w:r>
      <w:r w:rsidR="008C04A5">
        <w:t xml:space="preserve"> </w:t>
      </w:r>
      <w:r w:rsidR="00267632">
        <w:t>Except as provided in subsection (</w:t>
      </w:r>
      <w:r w:rsidR="00D7671E">
        <w:t>4</w:t>
      </w:r>
      <w:r w:rsidR="00267632">
        <w:t>), a</w:t>
      </w:r>
      <w:r w:rsidR="007765C9">
        <w:t xml:space="preserve"> utility </w:t>
      </w:r>
      <w:r w:rsidR="00B94A5A">
        <w:t xml:space="preserve">may use an unbundled REC for alternative compliance only if </w:t>
      </w:r>
      <w:r w:rsidR="003E7DE8">
        <w:t xml:space="preserve">the </w:t>
      </w:r>
      <w:r w:rsidR="00B94A5A">
        <w:t>utility</w:t>
      </w:r>
      <w:r w:rsidR="00DF0F7C">
        <w:t xml:space="preserve"> demonstrate</w:t>
      </w:r>
      <w:r w:rsidR="00D7671E">
        <w:t>s</w:t>
      </w:r>
      <w:r w:rsidR="00AA273F">
        <w:t>:</w:t>
      </w:r>
    </w:p>
    <w:p w14:paraId="31BE9C40" w14:textId="1F90919F" w:rsidR="00AA273F" w:rsidRPr="00530BF6" w:rsidRDefault="00AA273F" w:rsidP="00AA273F">
      <w:pPr>
        <w:ind w:firstLine="720"/>
      </w:pPr>
      <w:r>
        <w:t xml:space="preserve">(a) </w:t>
      </w:r>
      <w:r w:rsidR="00DF0F7C">
        <w:t>T</w:t>
      </w:r>
      <w:r>
        <w:t xml:space="preserve">he associated </w:t>
      </w:r>
      <w:r w:rsidR="008122DB">
        <w:t xml:space="preserve">electricity was sold, delivered, or transferred </w:t>
      </w:r>
      <w:r w:rsidR="00DF0F7C">
        <w:t>without</w:t>
      </w:r>
      <w:r>
        <w:t xml:space="preserve"> fuel sources or </w:t>
      </w:r>
      <w:r w:rsidRPr="00530BF6">
        <w:t>nonpower attributes</w:t>
      </w:r>
      <w:r w:rsidR="00C84B63" w:rsidRPr="00530BF6">
        <w:t xml:space="preserve"> and </w:t>
      </w:r>
      <w:r w:rsidR="00D441BA" w:rsidRPr="00530BF6">
        <w:t xml:space="preserve">under a </w:t>
      </w:r>
      <w:r w:rsidR="00C84B63" w:rsidRPr="00530BF6">
        <w:t xml:space="preserve">contract </w:t>
      </w:r>
      <w:r w:rsidR="00E0018E" w:rsidRPr="00530BF6">
        <w:t xml:space="preserve">or transaction term </w:t>
      </w:r>
      <w:r w:rsidR="00D441BA" w:rsidRPr="00530BF6">
        <w:t>expressly stating the fuel source or nonpower attributes are not included</w:t>
      </w:r>
      <w:r w:rsidRPr="00530BF6">
        <w:t>;</w:t>
      </w:r>
      <w:r w:rsidR="00DF0F7C" w:rsidRPr="00530BF6">
        <w:t xml:space="preserve"> and</w:t>
      </w:r>
    </w:p>
    <w:p w14:paraId="4EC20904" w14:textId="082F4EB1" w:rsidR="003E7DE8" w:rsidRPr="00530BF6" w:rsidRDefault="00AA273F" w:rsidP="00AA273F">
      <w:pPr>
        <w:ind w:firstLine="720"/>
      </w:pPr>
      <w:r w:rsidRPr="00530BF6">
        <w:t xml:space="preserve">(b) The associated electricity was not delivered, reported, or claimed as a zero-emission </w:t>
      </w:r>
      <w:r w:rsidR="006D5AFA" w:rsidRPr="00530BF6">
        <w:t>specified source or assigned the emissions rate of the renewable generating facility under</w:t>
      </w:r>
      <w:r w:rsidRPr="00530BF6">
        <w:t xml:space="preserve"> a </w:t>
      </w:r>
      <w:r w:rsidR="00C42202" w:rsidRPr="00530BF6">
        <w:t>GHG program</w:t>
      </w:r>
      <w:r w:rsidR="00692196" w:rsidRPr="00530BF6">
        <w:t>.</w:t>
      </w:r>
    </w:p>
    <w:p w14:paraId="763B3E79" w14:textId="65F0A309" w:rsidR="00692196" w:rsidRPr="00530BF6" w:rsidRDefault="00692196" w:rsidP="00530BF6">
      <w:r w:rsidRPr="00530BF6">
        <w:t>(3) A utility’s demonstration under this section may be met by documentation that</w:t>
      </w:r>
      <w:r w:rsidR="007F792F" w:rsidRPr="00530BF6">
        <w:t xml:space="preserve"> the entity providing the unbundled REC</w:t>
      </w:r>
      <w:r w:rsidRPr="00530BF6">
        <w:t>:</w:t>
      </w:r>
    </w:p>
    <w:p w14:paraId="687C21F8" w14:textId="516A2CA3" w:rsidR="00692196" w:rsidRPr="00530BF6" w:rsidRDefault="00692196" w:rsidP="00AA273F">
      <w:pPr>
        <w:ind w:firstLine="720"/>
      </w:pPr>
      <w:r w:rsidRPr="00530BF6">
        <w:t>(</w:t>
      </w:r>
      <w:r w:rsidR="007F792F" w:rsidRPr="00530BF6">
        <w:t>a</w:t>
      </w:r>
      <w:r w:rsidRPr="00530BF6">
        <w:t>) provides contract, confirmation, or other transaction terms that comply with the requirements of subsection</w:t>
      </w:r>
      <w:r w:rsidR="00491097" w:rsidRPr="00530BF6">
        <w:t>s</w:t>
      </w:r>
      <w:r w:rsidR="009C651A" w:rsidRPr="00530BF6">
        <w:t xml:space="preserve"> WAC 480-100-XXX</w:t>
      </w:r>
      <w:r w:rsidRPr="00530BF6">
        <w:t xml:space="preserve"> (</w:t>
      </w:r>
      <w:r w:rsidR="009C651A" w:rsidRPr="00530BF6">
        <w:t>2</w:t>
      </w:r>
      <w:r w:rsidRPr="00530BF6">
        <w:t>)(</w:t>
      </w:r>
      <w:r w:rsidR="009C651A" w:rsidRPr="00530BF6">
        <w:t>a</w:t>
      </w:r>
      <w:r w:rsidRPr="00530BF6">
        <w:t>) and (</w:t>
      </w:r>
      <w:r w:rsidR="009C651A" w:rsidRPr="00530BF6">
        <w:t>2</w:t>
      </w:r>
      <w:r w:rsidRPr="00530BF6">
        <w:t>)</w:t>
      </w:r>
      <w:r w:rsidR="009C651A" w:rsidRPr="00530BF6">
        <w:t>(b)</w:t>
      </w:r>
      <w:r w:rsidRPr="00530BF6">
        <w:t>:</w:t>
      </w:r>
    </w:p>
    <w:p w14:paraId="4565EE8D" w14:textId="57366DD2" w:rsidR="00BE74FF" w:rsidRPr="00530BF6" w:rsidRDefault="00692196" w:rsidP="00AA273F">
      <w:pPr>
        <w:ind w:firstLine="720"/>
      </w:pPr>
      <w:r w:rsidRPr="00530BF6">
        <w:t>(</w:t>
      </w:r>
      <w:r w:rsidR="007F792F" w:rsidRPr="00530BF6">
        <w:t>b</w:t>
      </w:r>
      <w:r w:rsidRPr="00530BF6">
        <w:t>)</w:t>
      </w:r>
      <w:r w:rsidR="008160DA" w:rsidRPr="00530BF6">
        <w:t xml:space="preserve"> </w:t>
      </w:r>
      <w:r w:rsidR="006D5AFA" w:rsidRPr="00530BF6">
        <w:t>was a party to or otherwise has knowledge of the transaction in which the associated electricity was sold or transferred</w:t>
      </w:r>
      <w:r w:rsidR="008160DA" w:rsidRPr="00530BF6">
        <w:t xml:space="preserve"> </w:t>
      </w:r>
      <w:r w:rsidRPr="00530BF6">
        <w:t>and attests to subsection</w:t>
      </w:r>
      <w:r w:rsidR="00491097" w:rsidRPr="00530BF6">
        <w:t>s WAC 480-100-XXX</w:t>
      </w:r>
      <w:r w:rsidRPr="00530BF6">
        <w:t xml:space="preserve"> (</w:t>
      </w:r>
      <w:r w:rsidR="009C651A" w:rsidRPr="00530BF6">
        <w:t>2</w:t>
      </w:r>
      <w:r w:rsidRPr="00530BF6">
        <w:t>)(</w:t>
      </w:r>
      <w:r w:rsidR="009C651A" w:rsidRPr="00530BF6">
        <w:t>a</w:t>
      </w:r>
      <w:r w:rsidRPr="00530BF6">
        <w:t>) and (</w:t>
      </w:r>
      <w:r w:rsidR="009C651A" w:rsidRPr="00530BF6">
        <w:t>2</w:t>
      </w:r>
      <w:r w:rsidRPr="00530BF6">
        <w:t>)</w:t>
      </w:r>
      <w:r w:rsidR="009C651A" w:rsidRPr="00530BF6">
        <w:t>(b)</w:t>
      </w:r>
      <w:r w:rsidRPr="00530BF6">
        <w:t xml:space="preserve"> </w:t>
      </w:r>
      <w:r w:rsidR="008160DA" w:rsidRPr="00530BF6">
        <w:t xml:space="preserve">or </w:t>
      </w:r>
    </w:p>
    <w:p w14:paraId="59A8CBC5" w14:textId="722D8420" w:rsidR="008160DA" w:rsidRPr="00530BF6" w:rsidRDefault="008160DA" w:rsidP="00AA273F">
      <w:pPr>
        <w:ind w:firstLine="720"/>
      </w:pPr>
      <w:r w:rsidRPr="00530BF6">
        <w:t>(</w:t>
      </w:r>
      <w:r w:rsidR="007F792F" w:rsidRPr="00530BF6">
        <w:t>c</w:t>
      </w:r>
      <w:r w:rsidRPr="00530BF6">
        <w:t>) obtained the unbundled REC from an entity that attest</w:t>
      </w:r>
      <w:r w:rsidR="00BE74FF" w:rsidRPr="00530BF6">
        <w:t>s</w:t>
      </w:r>
      <w:r w:rsidRPr="00530BF6">
        <w:t xml:space="preserve"> that it and all previous owners of the REC transferred the REC using transaction terms complying with the requirements of subsections</w:t>
      </w:r>
      <w:r w:rsidR="00A50202" w:rsidRPr="00530BF6">
        <w:t xml:space="preserve"> WAC 480-100-XXX</w:t>
      </w:r>
      <w:r w:rsidRPr="00530BF6">
        <w:t xml:space="preserve"> </w:t>
      </w:r>
      <w:r w:rsidR="007F792F" w:rsidRPr="00530BF6">
        <w:t>(3)</w:t>
      </w:r>
      <w:r w:rsidRPr="00530BF6">
        <w:t xml:space="preserve">(a) </w:t>
      </w:r>
      <w:r w:rsidR="00A50202" w:rsidRPr="00530BF6">
        <w:t>or</w:t>
      </w:r>
      <w:r w:rsidRPr="00530BF6">
        <w:t xml:space="preserve"> </w:t>
      </w:r>
      <w:r w:rsidR="007F792F" w:rsidRPr="00530BF6">
        <w:t>(3)</w:t>
      </w:r>
      <w:r w:rsidRPr="00530BF6">
        <w:t>(</w:t>
      </w:r>
      <w:r w:rsidR="007F792F" w:rsidRPr="00530BF6">
        <w:t>b</w:t>
      </w:r>
      <w:r w:rsidRPr="00530BF6">
        <w:t>).</w:t>
      </w:r>
    </w:p>
    <w:p w14:paraId="03BC71DD" w14:textId="0F876AD5" w:rsidR="00783B7B" w:rsidRDefault="003E7DE8">
      <w:bookmarkStart w:id="0" w:name="_Hlk85726673"/>
      <w:r w:rsidRPr="00530BF6">
        <w:t>(</w:t>
      </w:r>
      <w:r w:rsidR="00876F1D" w:rsidRPr="00530BF6">
        <w:t>4</w:t>
      </w:r>
      <w:r w:rsidRPr="00530BF6">
        <w:t>)</w:t>
      </w:r>
      <w:r w:rsidR="003766B9" w:rsidRPr="00530BF6" w:rsidDel="003766B9">
        <w:t xml:space="preserve"> </w:t>
      </w:r>
      <w:r w:rsidRPr="00530BF6">
        <w:t xml:space="preserve"> </w:t>
      </w:r>
      <w:r w:rsidR="003766B9" w:rsidRPr="00530BF6">
        <w:t>To claim and retire an unbundled REC for alternative compliance</w:t>
      </w:r>
      <w:r w:rsidR="003766B9" w:rsidRPr="003766B9">
        <w:t xml:space="preserve"> where the Washington-eligible RECs were created by renewable electricity marketed by the Bonneville Power Administration (Bonneville) a utility must demonstrate the REC was not associated with electricity from a system sale from Bonneville directly into a state with a GHG program.  The RECs are calculated based on the same vintage year as the year in which the electricity was imported to the state with the GHG program</w:t>
      </w:r>
      <w:r w:rsidR="003766B9">
        <w:t xml:space="preserve">. </w:t>
      </w:r>
    </w:p>
    <w:bookmarkEnd w:id="0"/>
    <w:p w14:paraId="197A2E05" w14:textId="593787CF" w:rsidR="006D5AFA" w:rsidRDefault="006D5AFA">
      <w:r>
        <w:t>(</w:t>
      </w:r>
      <w:r w:rsidR="00876F1D">
        <w:t>5</w:t>
      </w:r>
      <w:r>
        <w:t>) For the purposes of this section, “GHG program”</w:t>
      </w:r>
      <w:r w:rsidR="00C42202">
        <w:t xml:space="preserve"> include</w:t>
      </w:r>
      <w:r>
        <w:t>s a</w:t>
      </w:r>
      <w:r w:rsidR="00C42202">
        <w:t>ny</w:t>
      </w:r>
      <w:r>
        <w:t xml:space="preserve"> </w:t>
      </w:r>
      <w:r w:rsidR="00C42202">
        <w:t>governmental program outside of Washington that caps or limits greenhouse gas emissions or requires the purchase, surrender, or retirement of greenhouse gas allowances, if the scope of the greenhouse gas program includes electricity imported from outside the governmental jurisdiction and does not require the retirement of RECs for such imported electricity.</w:t>
      </w:r>
    </w:p>
    <w:p w14:paraId="29E8C442" w14:textId="4447B1AE" w:rsidR="002774FB" w:rsidRDefault="002774FB">
      <w:r>
        <w:br w:type="page"/>
      </w:r>
    </w:p>
    <w:p w14:paraId="61BDEE38" w14:textId="7345D851" w:rsidR="002774FB" w:rsidRDefault="002774FB" w:rsidP="002774FB">
      <w:r>
        <w:rPr>
          <w:b/>
        </w:rPr>
        <w:lastRenderedPageBreak/>
        <w:t>WAC 194-40-YYY</w:t>
      </w:r>
      <w:r w:rsidRPr="002774FB">
        <w:t xml:space="preserve"> </w:t>
      </w:r>
      <w:r w:rsidR="00FA4F8E">
        <w:rPr>
          <w:b/>
          <w:bCs/>
        </w:rPr>
        <w:t xml:space="preserve">/ WAC 480-100-YYY </w:t>
      </w:r>
      <w:r>
        <w:rPr>
          <w:b/>
        </w:rPr>
        <w:t>Accounting for electricity from storage resources</w:t>
      </w:r>
    </w:p>
    <w:p w14:paraId="5EF9BBEC" w14:textId="1D31B331" w:rsidR="00AB778C" w:rsidRDefault="002774FB" w:rsidP="002774FB">
      <w:r>
        <w:t xml:space="preserve">(1) </w:t>
      </w:r>
      <w:r w:rsidR="00AB778C">
        <w:t xml:space="preserve">For reporting and compliance with </w:t>
      </w:r>
      <w:r w:rsidR="007D67E5">
        <w:t>WAC 480-100-</w:t>
      </w:r>
      <w:r w:rsidR="00AB778C">
        <w:t>650(1)(c)</w:t>
      </w:r>
      <w:r w:rsidR="007D67E5">
        <w:t>:</w:t>
      </w:r>
    </w:p>
    <w:p w14:paraId="4E68B6CE" w14:textId="290922CD" w:rsidR="002774FB" w:rsidRDefault="00AB778C" w:rsidP="00530BF6">
      <w:pPr>
        <w:ind w:firstLine="720"/>
      </w:pPr>
      <w:r>
        <w:t xml:space="preserve">(a) </w:t>
      </w:r>
      <w:r w:rsidR="002774FB">
        <w:t xml:space="preserve">The eligibility of renewable or </w:t>
      </w:r>
      <w:proofErr w:type="spellStart"/>
      <w:r w:rsidR="002774FB">
        <w:t>nonemitting</w:t>
      </w:r>
      <w:proofErr w:type="spellEnd"/>
      <w:r w:rsidR="002774FB">
        <w:t xml:space="preserve"> electricity is not affected by the use of storage resources.</w:t>
      </w:r>
    </w:p>
    <w:p w14:paraId="2239DC39" w14:textId="740A2C88" w:rsidR="002774FB" w:rsidRDefault="00AB778C">
      <w:pPr>
        <w:ind w:firstLine="720"/>
      </w:pPr>
      <w:r>
        <w:t xml:space="preserve">(b) </w:t>
      </w:r>
      <w:r w:rsidR="002774FB">
        <w:t xml:space="preserve">Except for storage resources located on the customer side of a retail meter, any electrical consumption or loss resulting from the charging, holding, and discharging of storage resources is not considered </w:t>
      </w:r>
      <w:r w:rsidR="007259FF">
        <w:t xml:space="preserve">retail electric </w:t>
      </w:r>
      <w:r w:rsidR="002774FB">
        <w:t xml:space="preserve">load </w:t>
      </w:r>
      <w:r w:rsidR="00876F1D">
        <w:t>as</w:t>
      </w:r>
      <w:r w:rsidR="00491097" w:rsidRPr="00491097">
        <w:t xml:space="preserve"> defined in RCW 19.405.020(36)</w:t>
      </w:r>
      <w:r w:rsidR="00491097">
        <w:t>.</w:t>
      </w:r>
    </w:p>
    <w:p w14:paraId="20C232F4" w14:textId="7BD1AAC0" w:rsidR="003E7DE8" w:rsidRDefault="00C018F2" w:rsidP="00AC73D7">
      <w:r>
        <w:t xml:space="preserve">(2) For reporting and </w:t>
      </w:r>
      <w:r w:rsidR="00AA33E2">
        <w:t>compliance</w:t>
      </w:r>
      <w:r>
        <w:t xml:space="preserve"> with </w:t>
      </w:r>
      <w:r w:rsidR="00AA33E2">
        <w:t>WAC 480-100-</w:t>
      </w:r>
      <w:r>
        <w:t>650(1)(a) and (b)</w:t>
      </w:r>
      <w:r w:rsidR="00AA33E2">
        <w:t>, and WAC 480-100-650(2)</w:t>
      </w:r>
      <w:r w:rsidR="00AC73D7">
        <w:t>,</w:t>
      </w:r>
      <w:r w:rsidR="00AB778C">
        <w:t xml:space="preserve"> </w:t>
      </w:r>
      <w:r w:rsidR="00AC73D7">
        <w:t>a</w:t>
      </w:r>
      <w:r w:rsidR="002774FB">
        <w:t>ny consumption or loss resulting from the</w:t>
      </w:r>
      <w:r w:rsidR="002774FB" w:rsidRPr="002774FB">
        <w:t xml:space="preserve"> </w:t>
      </w:r>
      <w:r w:rsidR="002774FB">
        <w:t xml:space="preserve">charging, holding, and discharging of storage resources located on the customer side of a retail meter </w:t>
      </w:r>
      <w:r w:rsidR="00AE47D5">
        <w:t xml:space="preserve">is </w:t>
      </w:r>
      <w:r w:rsidR="002774FB">
        <w:t xml:space="preserve">considered </w:t>
      </w:r>
      <w:r w:rsidR="00CC1086">
        <w:t xml:space="preserve">retail electric </w:t>
      </w:r>
      <w:r w:rsidR="002774FB">
        <w:t>load for the purpose of compliance with CETA.</w:t>
      </w:r>
    </w:p>
    <w:p w14:paraId="34C4613E" w14:textId="35907BAA" w:rsidR="00637458" w:rsidRPr="00E319E3" w:rsidRDefault="00637458" w:rsidP="002774FB">
      <w:pPr>
        <w:rPr>
          <w:b/>
          <w:bCs/>
        </w:rPr>
      </w:pPr>
      <w:r w:rsidRPr="00E319E3">
        <w:rPr>
          <w:b/>
          <w:bCs/>
        </w:rPr>
        <w:t>WAC 194-40-</w:t>
      </w:r>
      <w:r w:rsidR="00E319E3">
        <w:rPr>
          <w:b/>
          <w:bCs/>
        </w:rPr>
        <w:t>ZZZ</w:t>
      </w:r>
      <w:r w:rsidR="00FA4F8E">
        <w:rPr>
          <w:b/>
          <w:bCs/>
        </w:rPr>
        <w:t xml:space="preserve"> / WAC 480-100-ZZZ</w:t>
      </w:r>
      <w:r w:rsidR="00E319E3" w:rsidRPr="00E319E3">
        <w:rPr>
          <w:b/>
          <w:bCs/>
        </w:rPr>
        <w:t xml:space="preserve"> </w:t>
      </w:r>
      <w:r w:rsidRPr="00E319E3">
        <w:rPr>
          <w:b/>
          <w:bCs/>
        </w:rPr>
        <w:t xml:space="preserve">Accounting for retained </w:t>
      </w:r>
      <w:r w:rsidR="00BB221E">
        <w:rPr>
          <w:b/>
          <w:bCs/>
        </w:rPr>
        <w:t>NPA</w:t>
      </w:r>
      <w:r w:rsidRPr="00E319E3">
        <w:rPr>
          <w:b/>
          <w:bCs/>
        </w:rPr>
        <w:t>s</w:t>
      </w:r>
      <w:r w:rsidR="00F92C7D">
        <w:rPr>
          <w:rStyle w:val="FootnoteReference"/>
          <w:b/>
          <w:bCs/>
        </w:rPr>
        <w:footnoteReference w:id="2"/>
      </w:r>
    </w:p>
    <w:p w14:paraId="572D5126" w14:textId="67166AFF" w:rsidR="00D112FA" w:rsidRPr="00530BF6" w:rsidRDefault="00D112FA" w:rsidP="00073ABB">
      <w:bookmarkStart w:id="1" w:name="_Hlk85801336"/>
      <w:r w:rsidRPr="00530BF6">
        <w:t>(1) To claim and retire</w:t>
      </w:r>
      <w:r w:rsidR="002D2A0F" w:rsidRPr="00530BF6">
        <w:t xml:space="preserve"> a</w:t>
      </w:r>
      <w:r w:rsidRPr="00530BF6">
        <w:t xml:space="preserve"> retained </w:t>
      </w:r>
      <w:r w:rsidR="00BB221E" w:rsidRPr="00530BF6">
        <w:t>NPA</w:t>
      </w:r>
      <w:r w:rsidRPr="00530BF6">
        <w:t xml:space="preserve"> for primary compliance</w:t>
      </w:r>
      <w:r w:rsidR="000E7BDF" w:rsidRPr="00530BF6">
        <w:t xml:space="preserve"> under WAC 480-600-650(1)(c)</w:t>
      </w:r>
      <w:r w:rsidRPr="00530BF6">
        <w:t>:</w:t>
      </w:r>
    </w:p>
    <w:p w14:paraId="54DCDF3F" w14:textId="7B27FBE1" w:rsidR="00D112FA" w:rsidRPr="00530BF6" w:rsidRDefault="00D112FA" w:rsidP="001454C8">
      <w:pPr>
        <w:ind w:firstLine="720"/>
      </w:pPr>
      <w:r w:rsidRPr="00530BF6">
        <w:t xml:space="preserve">(a) </w:t>
      </w:r>
      <w:r w:rsidR="00A23AA8" w:rsidRPr="00530BF6">
        <w:t>A</w:t>
      </w:r>
      <w:r w:rsidR="00396F2E" w:rsidRPr="00530BF6">
        <w:t xml:space="preserve"> utility must report </w:t>
      </w:r>
      <w:bookmarkStart w:id="2" w:name="_Hlk92958045"/>
      <w:r w:rsidR="00396F2E" w:rsidRPr="00530BF6">
        <w:t>any</w:t>
      </w:r>
      <w:r w:rsidRPr="00530BF6">
        <w:t xml:space="preserve"> </w:t>
      </w:r>
      <w:r w:rsidR="00291DAD" w:rsidRPr="00530BF6">
        <w:t xml:space="preserve">contract </w:t>
      </w:r>
      <w:r w:rsidR="00651C94" w:rsidRPr="00530BF6">
        <w:t>under which the utility</w:t>
      </w:r>
      <w:r w:rsidR="00291DAD" w:rsidRPr="00530BF6">
        <w:t xml:space="preserve"> </w:t>
      </w:r>
      <w:r w:rsidRPr="00530BF6">
        <w:t>s</w:t>
      </w:r>
      <w:r w:rsidR="002040EC" w:rsidRPr="00530BF6">
        <w:t>old</w:t>
      </w:r>
      <w:r w:rsidRPr="00530BF6">
        <w:t xml:space="preserve"> or </w:t>
      </w:r>
      <w:r w:rsidR="002040EC" w:rsidRPr="00530BF6">
        <w:t>transferred</w:t>
      </w:r>
      <w:r w:rsidRPr="00530BF6">
        <w:t xml:space="preserve"> electricity</w:t>
      </w:r>
      <w:bookmarkEnd w:id="2"/>
      <w:r w:rsidR="0036721E" w:rsidRPr="00530BF6">
        <w:t xml:space="preserve"> </w:t>
      </w:r>
      <w:r w:rsidR="00530A80" w:rsidRPr="00530BF6">
        <w:t>with any portion of th</w:t>
      </w:r>
      <w:r w:rsidR="00651C94" w:rsidRPr="00530BF6">
        <w:t>at electricity’s</w:t>
      </w:r>
      <w:r w:rsidR="00530A80" w:rsidRPr="00530BF6">
        <w:t xml:space="preserve"> nonpower attribute</w:t>
      </w:r>
      <w:r w:rsidR="00651C94" w:rsidRPr="00530BF6">
        <w:t>. This includes</w:t>
      </w:r>
      <w:r w:rsidR="00530A80" w:rsidRPr="00530BF6">
        <w:t xml:space="preserve"> any contract for the sale or transfer of the electricity that </w:t>
      </w:r>
      <w:r w:rsidR="000A597B" w:rsidRPr="00530BF6">
        <w:t>speci</w:t>
      </w:r>
      <w:r w:rsidR="00530A80" w:rsidRPr="00530BF6">
        <w:t>fie</w:t>
      </w:r>
      <w:r w:rsidR="002040EC" w:rsidRPr="00530BF6">
        <w:t>d</w:t>
      </w:r>
      <w:r w:rsidR="000A597B" w:rsidRPr="00530BF6">
        <w:t xml:space="preserve"> </w:t>
      </w:r>
      <w:r w:rsidR="00530A80" w:rsidRPr="00530BF6">
        <w:t>the</w:t>
      </w:r>
      <w:r w:rsidR="00291DAD" w:rsidRPr="00530BF6">
        <w:t xml:space="preserve"> </w:t>
      </w:r>
      <w:r w:rsidRPr="00530BF6">
        <w:t>renewable</w:t>
      </w:r>
      <w:r w:rsidR="000A597B" w:rsidRPr="00530BF6">
        <w:t xml:space="preserve"> or </w:t>
      </w:r>
      <w:proofErr w:type="spellStart"/>
      <w:r w:rsidR="000A597B" w:rsidRPr="00530BF6">
        <w:t>nonemitting</w:t>
      </w:r>
      <w:proofErr w:type="spellEnd"/>
      <w:r w:rsidRPr="00530BF6">
        <w:t xml:space="preserve"> generating facility</w:t>
      </w:r>
      <w:r w:rsidR="00396F2E" w:rsidRPr="00530BF6">
        <w:t xml:space="preserve"> </w:t>
      </w:r>
      <w:r w:rsidR="00651C94" w:rsidRPr="00530BF6">
        <w:t>that generated the electricity</w:t>
      </w:r>
      <w:r w:rsidR="006C03CA" w:rsidRPr="00530BF6">
        <w:t xml:space="preserve">. </w:t>
      </w:r>
      <w:r w:rsidRPr="00530BF6">
        <w:t xml:space="preserve"> </w:t>
      </w:r>
    </w:p>
    <w:p w14:paraId="470E1605" w14:textId="7751466D" w:rsidR="003C3241" w:rsidRDefault="00D112FA" w:rsidP="00582A64">
      <w:pPr>
        <w:ind w:firstLine="720"/>
      </w:pPr>
      <w:r w:rsidRPr="00530BF6">
        <w:t xml:space="preserve">(b) </w:t>
      </w:r>
      <w:r w:rsidR="003528CC" w:rsidRPr="00530BF6">
        <w:t>A utility must identify and report separately any</w:t>
      </w:r>
      <w:r w:rsidRPr="00530BF6">
        <w:t xml:space="preserve"> </w:t>
      </w:r>
      <w:r w:rsidR="00291DAD" w:rsidRPr="00530BF6">
        <w:t>contract</w:t>
      </w:r>
      <w:r w:rsidR="002040EC" w:rsidRPr="00530BF6">
        <w:t xml:space="preserve"> under which the utility</w:t>
      </w:r>
      <w:r w:rsidR="00291DAD" w:rsidRPr="00530BF6">
        <w:t xml:space="preserve"> </w:t>
      </w:r>
      <w:r w:rsidRPr="00530BF6">
        <w:t>s</w:t>
      </w:r>
      <w:r w:rsidR="002040EC" w:rsidRPr="00530BF6">
        <w:t>old</w:t>
      </w:r>
      <w:r w:rsidRPr="00530BF6">
        <w:t xml:space="preserve"> or transfer</w:t>
      </w:r>
      <w:r w:rsidR="002040EC" w:rsidRPr="00530BF6">
        <w:t>red</w:t>
      </w:r>
      <w:r w:rsidRPr="00530BF6">
        <w:t xml:space="preserve"> electricity without the associated </w:t>
      </w:r>
      <w:r w:rsidR="007F3B40" w:rsidRPr="00530BF6">
        <w:t>REC or nonpower attribute.</w:t>
      </w:r>
      <w:r w:rsidRPr="00530BF6">
        <w:t xml:space="preserve"> </w:t>
      </w:r>
      <w:r w:rsidR="009D0595" w:rsidRPr="00530BF6">
        <w:t xml:space="preserve">The contract must </w:t>
      </w:r>
      <w:r w:rsidR="0080316E" w:rsidRPr="00530BF6">
        <w:t>include</w:t>
      </w:r>
      <w:r w:rsidR="009D0595" w:rsidRPr="00530BF6">
        <w:t xml:space="preserve"> terms stating the </w:t>
      </w:r>
      <w:r w:rsidR="002040EC" w:rsidRPr="00530BF6">
        <w:t>utility</w:t>
      </w:r>
      <w:r w:rsidR="009D0595" w:rsidRPr="00530BF6">
        <w:t xml:space="preserve"> is not transferring any of the nonpower attributes</w:t>
      </w:r>
      <w:r w:rsidR="0080316E" w:rsidRPr="00530BF6">
        <w:t xml:space="preserve">, </w:t>
      </w:r>
      <w:r w:rsidR="009D0595" w:rsidRPr="00530BF6">
        <w:t xml:space="preserve">the buyer </w:t>
      </w:r>
      <w:r w:rsidR="002040EC" w:rsidRPr="00530BF6">
        <w:t>will</w:t>
      </w:r>
      <w:r w:rsidR="009D0595" w:rsidRPr="00530BF6">
        <w:t xml:space="preserve"> not represent in any form that the electricity has any nonpower attributes associated with it</w:t>
      </w:r>
      <w:r w:rsidR="0080316E" w:rsidRPr="00530BF6">
        <w:t>, and</w:t>
      </w:r>
      <w:r w:rsidR="009D0595" w:rsidRPr="00530BF6">
        <w:t xml:space="preserve"> the buyer must include such provision in any</w:t>
      </w:r>
      <w:r w:rsidR="002040EC" w:rsidRPr="00530BF6">
        <w:t xml:space="preserve"> subsequent</w:t>
      </w:r>
      <w:r w:rsidR="009D0595" w:rsidRPr="00530BF6">
        <w:t xml:space="preserve"> sale of the electricity.</w:t>
      </w:r>
      <w:r w:rsidR="00CF02B2" w:rsidRPr="00530BF6">
        <w:t xml:space="preserve"> </w:t>
      </w:r>
      <w:r w:rsidR="002419C1">
        <w:t xml:space="preserve"> </w:t>
      </w:r>
    </w:p>
    <w:p w14:paraId="4990736E" w14:textId="6F3F8FD1" w:rsidR="00637458" w:rsidRPr="00C451CB" w:rsidRDefault="001454C8" w:rsidP="001454C8">
      <w:r>
        <w:t xml:space="preserve">(2) </w:t>
      </w:r>
      <w:r w:rsidR="007F3B40">
        <w:t>B</w:t>
      </w:r>
      <w:r w:rsidR="007F3B40" w:rsidRPr="007F3B40">
        <w:t>ased on the statutory definition of unbundled REC under RCW 19.405.020(38)</w:t>
      </w:r>
      <w:r w:rsidR="007F3B40">
        <w:t>,</w:t>
      </w:r>
      <w:r w:rsidR="007F3B40" w:rsidRPr="007F3B40">
        <w:t xml:space="preserve"> </w:t>
      </w:r>
      <w:r w:rsidR="007F3B40">
        <w:t>a</w:t>
      </w:r>
      <w:r w:rsidR="003C3241" w:rsidRPr="00C451CB">
        <w:t xml:space="preserve"> REC</w:t>
      </w:r>
      <w:r w:rsidR="00A85FA1">
        <w:t xml:space="preserve"> that meets the definition of a retained NPA under WAC 480-100-605</w:t>
      </w:r>
      <w:r w:rsidR="003C3241" w:rsidRPr="00C451CB">
        <w:t xml:space="preserve"> that is</w:t>
      </w:r>
      <w:r w:rsidR="00A85FA1">
        <w:t xml:space="preserve"> subsequently</w:t>
      </w:r>
      <w:r w:rsidR="003C3241" w:rsidRPr="00C451CB">
        <w:t xml:space="preserve"> sold becomes a</w:t>
      </w:r>
      <w:r w:rsidR="00CC1086" w:rsidRPr="00C451CB">
        <w:t>n</w:t>
      </w:r>
      <w:r w:rsidR="003C3241" w:rsidRPr="00C451CB">
        <w:t xml:space="preserve"> unbundled REC</w:t>
      </w:r>
      <w:r w:rsidR="000303BF">
        <w:t>.</w:t>
      </w:r>
    </w:p>
    <w:bookmarkEnd w:id="1"/>
    <w:p w14:paraId="55296F9D" w14:textId="77777777" w:rsidR="00C22069" w:rsidRDefault="00C22069"/>
    <w:sectPr w:rsidR="00C220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1CF3" w14:textId="77777777" w:rsidR="00654F31" w:rsidRDefault="00654F31" w:rsidP="007075FB">
      <w:pPr>
        <w:spacing w:after="0" w:line="240" w:lineRule="auto"/>
      </w:pPr>
      <w:r>
        <w:separator/>
      </w:r>
    </w:p>
  </w:endnote>
  <w:endnote w:type="continuationSeparator" w:id="0">
    <w:p w14:paraId="439DA970" w14:textId="77777777" w:rsidR="00654F31" w:rsidRDefault="00654F31" w:rsidP="007075FB">
      <w:pPr>
        <w:spacing w:after="0" w:line="240" w:lineRule="auto"/>
      </w:pPr>
      <w:r>
        <w:continuationSeparator/>
      </w:r>
    </w:p>
  </w:endnote>
  <w:endnote w:type="continuationNotice" w:id="1">
    <w:p w14:paraId="6E1DDC1C" w14:textId="77777777" w:rsidR="00654F31" w:rsidRDefault="0065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08D5" w14:textId="77777777" w:rsidR="00654F31" w:rsidRDefault="00654F31" w:rsidP="007075FB">
      <w:pPr>
        <w:spacing w:after="0" w:line="240" w:lineRule="auto"/>
      </w:pPr>
      <w:r>
        <w:separator/>
      </w:r>
    </w:p>
  </w:footnote>
  <w:footnote w:type="continuationSeparator" w:id="0">
    <w:p w14:paraId="5D6360F9" w14:textId="77777777" w:rsidR="00654F31" w:rsidRDefault="00654F31" w:rsidP="007075FB">
      <w:pPr>
        <w:spacing w:after="0" w:line="240" w:lineRule="auto"/>
      </w:pPr>
      <w:r>
        <w:continuationSeparator/>
      </w:r>
    </w:p>
  </w:footnote>
  <w:footnote w:type="continuationNotice" w:id="1">
    <w:p w14:paraId="43C3A59F" w14:textId="77777777" w:rsidR="00654F31" w:rsidRDefault="00654F31">
      <w:pPr>
        <w:spacing w:after="0" w:line="240" w:lineRule="auto"/>
      </w:pPr>
    </w:p>
  </w:footnote>
  <w:footnote w:id="2">
    <w:p w14:paraId="5009C24F" w14:textId="77ADA300" w:rsidR="00F92C7D" w:rsidRDefault="00F92C7D">
      <w:pPr>
        <w:pStyle w:val="FootnoteText"/>
      </w:pPr>
      <w:r>
        <w:rPr>
          <w:rStyle w:val="FootnoteReference"/>
        </w:rPr>
        <w:footnoteRef/>
      </w:r>
      <w:r>
        <w:t xml:space="preserve"> The terms “</w:t>
      </w:r>
      <w:r w:rsidRPr="00530BF6">
        <w:t xml:space="preserve">retained </w:t>
      </w:r>
      <w:r w:rsidR="00A85FA1" w:rsidRPr="00530BF6">
        <w:t>NPA</w:t>
      </w:r>
      <w:r w:rsidRPr="00530BF6">
        <w:t xml:space="preserve">” and “primary compliance” are defined in draft rules issued by the UTC on </w:t>
      </w:r>
      <w:r w:rsidR="00A85FA1" w:rsidRPr="00530BF6">
        <w:t>January 1</w:t>
      </w:r>
      <w:r w:rsidR="00530BF6" w:rsidRPr="00530BF6">
        <w:t>9</w:t>
      </w:r>
      <w:r w:rsidRPr="00530BF6">
        <w:t>, 202</w:t>
      </w:r>
      <w:r w:rsidR="00A85FA1" w:rsidRPr="00530BF6">
        <w:t>2</w:t>
      </w:r>
      <w:r w:rsidR="00C32A14" w:rsidRPr="00530BF6">
        <w:t>, in Do</w:t>
      </w:r>
      <w:r w:rsidR="00C32A14">
        <w:t>cket UE-210183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974" w14:textId="2BE543E4" w:rsidR="00314E12" w:rsidRDefault="00B97E93">
    <w:pPr>
      <w:pStyle w:val="Header"/>
    </w:pPr>
    <w:r>
      <w:t>01</w:t>
    </w:r>
    <w:r w:rsidR="006D5AFA">
      <w:t>/</w:t>
    </w:r>
    <w:r>
      <w:t>19</w:t>
    </w:r>
    <w:r w:rsidR="006D5AFA">
      <w:t>/202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434"/>
    <w:multiLevelType w:val="hybridMultilevel"/>
    <w:tmpl w:val="2B4EA9E8"/>
    <w:lvl w:ilvl="0" w:tplc="F7BC7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95685"/>
    <w:multiLevelType w:val="hybridMultilevel"/>
    <w:tmpl w:val="CDCA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83020"/>
    <w:multiLevelType w:val="hybridMultilevel"/>
    <w:tmpl w:val="67AEE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74"/>
    <w:rsid w:val="000303BF"/>
    <w:rsid w:val="00033174"/>
    <w:rsid w:val="00066E7B"/>
    <w:rsid w:val="00071E90"/>
    <w:rsid w:val="00073ABB"/>
    <w:rsid w:val="00077881"/>
    <w:rsid w:val="00081850"/>
    <w:rsid w:val="000855D8"/>
    <w:rsid w:val="0009221B"/>
    <w:rsid w:val="000A597B"/>
    <w:rsid w:val="000A7FD1"/>
    <w:rsid w:val="000B3F7F"/>
    <w:rsid w:val="000B6E5E"/>
    <w:rsid w:val="000D1480"/>
    <w:rsid w:val="000D63AF"/>
    <w:rsid w:val="000E7BDF"/>
    <w:rsid w:val="000F3DC8"/>
    <w:rsid w:val="000F7D53"/>
    <w:rsid w:val="00124A44"/>
    <w:rsid w:val="0013044C"/>
    <w:rsid w:val="00130F59"/>
    <w:rsid w:val="001454C8"/>
    <w:rsid w:val="00157815"/>
    <w:rsid w:val="00160131"/>
    <w:rsid w:val="0018099F"/>
    <w:rsid w:val="001B404C"/>
    <w:rsid w:val="001C47AC"/>
    <w:rsid w:val="001D58D4"/>
    <w:rsid w:val="001E25B3"/>
    <w:rsid w:val="001E3065"/>
    <w:rsid w:val="001E6FFD"/>
    <w:rsid w:val="002005B3"/>
    <w:rsid w:val="002040EC"/>
    <w:rsid w:val="0021579D"/>
    <w:rsid w:val="00215974"/>
    <w:rsid w:val="002169FD"/>
    <w:rsid w:val="00227FDC"/>
    <w:rsid w:val="002419C1"/>
    <w:rsid w:val="0024511A"/>
    <w:rsid w:val="00253B7F"/>
    <w:rsid w:val="00265BC0"/>
    <w:rsid w:val="00265D5E"/>
    <w:rsid w:val="00267632"/>
    <w:rsid w:val="002774FB"/>
    <w:rsid w:val="002840B6"/>
    <w:rsid w:val="002901A0"/>
    <w:rsid w:val="00291DAD"/>
    <w:rsid w:val="002A0A5A"/>
    <w:rsid w:val="002A0BEB"/>
    <w:rsid w:val="002A0F40"/>
    <w:rsid w:val="002A3297"/>
    <w:rsid w:val="002B59E6"/>
    <w:rsid w:val="002C729D"/>
    <w:rsid w:val="002D2A0F"/>
    <w:rsid w:val="002E0CF0"/>
    <w:rsid w:val="002F152C"/>
    <w:rsid w:val="002F4470"/>
    <w:rsid w:val="00313FD1"/>
    <w:rsid w:val="00314E12"/>
    <w:rsid w:val="00315E8F"/>
    <w:rsid w:val="00316175"/>
    <w:rsid w:val="003528CC"/>
    <w:rsid w:val="0036721E"/>
    <w:rsid w:val="003766B9"/>
    <w:rsid w:val="00384092"/>
    <w:rsid w:val="00384D01"/>
    <w:rsid w:val="00393DF4"/>
    <w:rsid w:val="00396F2E"/>
    <w:rsid w:val="003A3806"/>
    <w:rsid w:val="003C3241"/>
    <w:rsid w:val="003D175C"/>
    <w:rsid w:val="003E0C3C"/>
    <w:rsid w:val="003E5532"/>
    <w:rsid w:val="003E7DE8"/>
    <w:rsid w:val="003F02BD"/>
    <w:rsid w:val="00413202"/>
    <w:rsid w:val="00413EFD"/>
    <w:rsid w:val="0042033F"/>
    <w:rsid w:val="00456B48"/>
    <w:rsid w:val="004650D5"/>
    <w:rsid w:val="00482D9B"/>
    <w:rsid w:val="00491097"/>
    <w:rsid w:val="0049742B"/>
    <w:rsid w:val="004A3E31"/>
    <w:rsid w:val="004C0E8C"/>
    <w:rsid w:val="004C61A9"/>
    <w:rsid w:val="004C63A8"/>
    <w:rsid w:val="005242FB"/>
    <w:rsid w:val="00530A80"/>
    <w:rsid w:val="00530BF6"/>
    <w:rsid w:val="00572C04"/>
    <w:rsid w:val="00573963"/>
    <w:rsid w:val="00574F71"/>
    <w:rsid w:val="00582A64"/>
    <w:rsid w:val="005977DC"/>
    <w:rsid w:val="005A16FA"/>
    <w:rsid w:val="005A37A5"/>
    <w:rsid w:val="005A6DF4"/>
    <w:rsid w:val="005C272E"/>
    <w:rsid w:val="005D1236"/>
    <w:rsid w:val="005E40A8"/>
    <w:rsid w:val="00614242"/>
    <w:rsid w:val="0062384D"/>
    <w:rsid w:val="00623996"/>
    <w:rsid w:val="00631BBC"/>
    <w:rsid w:val="00637458"/>
    <w:rsid w:val="006504B3"/>
    <w:rsid w:val="00651C94"/>
    <w:rsid w:val="00654F31"/>
    <w:rsid w:val="00655ACC"/>
    <w:rsid w:val="00672EDC"/>
    <w:rsid w:val="00691883"/>
    <w:rsid w:val="00692196"/>
    <w:rsid w:val="006A4E54"/>
    <w:rsid w:val="006B641E"/>
    <w:rsid w:val="006C03CA"/>
    <w:rsid w:val="006D4689"/>
    <w:rsid w:val="006D5AFA"/>
    <w:rsid w:val="006E4B62"/>
    <w:rsid w:val="006E6E36"/>
    <w:rsid w:val="007075FB"/>
    <w:rsid w:val="00707DB5"/>
    <w:rsid w:val="00713FCA"/>
    <w:rsid w:val="00720566"/>
    <w:rsid w:val="007259FF"/>
    <w:rsid w:val="00744762"/>
    <w:rsid w:val="007601F0"/>
    <w:rsid w:val="00770B1B"/>
    <w:rsid w:val="007765C9"/>
    <w:rsid w:val="00783B7B"/>
    <w:rsid w:val="007A1A84"/>
    <w:rsid w:val="007A623A"/>
    <w:rsid w:val="007D67E5"/>
    <w:rsid w:val="007E73C0"/>
    <w:rsid w:val="007F3B40"/>
    <w:rsid w:val="007F737A"/>
    <w:rsid w:val="007F792F"/>
    <w:rsid w:val="00801FED"/>
    <w:rsid w:val="0080316E"/>
    <w:rsid w:val="008122DB"/>
    <w:rsid w:val="00812F16"/>
    <w:rsid w:val="008160DA"/>
    <w:rsid w:val="00821799"/>
    <w:rsid w:val="0086294E"/>
    <w:rsid w:val="00876F1D"/>
    <w:rsid w:val="00883201"/>
    <w:rsid w:val="00892F2E"/>
    <w:rsid w:val="00894414"/>
    <w:rsid w:val="00894F6B"/>
    <w:rsid w:val="008C04A5"/>
    <w:rsid w:val="008C08D1"/>
    <w:rsid w:val="008C0CC9"/>
    <w:rsid w:val="008F3702"/>
    <w:rsid w:val="00900A28"/>
    <w:rsid w:val="0091169A"/>
    <w:rsid w:val="00920559"/>
    <w:rsid w:val="00920DEE"/>
    <w:rsid w:val="0094017F"/>
    <w:rsid w:val="0094065D"/>
    <w:rsid w:val="00950406"/>
    <w:rsid w:val="00951BFA"/>
    <w:rsid w:val="00957489"/>
    <w:rsid w:val="009C651A"/>
    <w:rsid w:val="009D0595"/>
    <w:rsid w:val="009D36D3"/>
    <w:rsid w:val="009D3E2C"/>
    <w:rsid w:val="009E1906"/>
    <w:rsid w:val="009F4BA8"/>
    <w:rsid w:val="00A0108E"/>
    <w:rsid w:val="00A07888"/>
    <w:rsid w:val="00A23AA8"/>
    <w:rsid w:val="00A3136E"/>
    <w:rsid w:val="00A36071"/>
    <w:rsid w:val="00A50202"/>
    <w:rsid w:val="00A530DA"/>
    <w:rsid w:val="00A57F67"/>
    <w:rsid w:val="00A77E2C"/>
    <w:rsid w:val="00A77E44"/>
    <w:rsid w:val="00A85FA1"/>
    <w:rsid w:val="00A97F82"/>
    <w:rsid w:val="00AA273F"/>
    <w:rsid w:val="00AA33E2"/>
    <w:rsid w:val="00AB1DE5"/>
    <w:rsid w:val="00AB513B"/>
    <w:rsid w:val="00AB778C"/>
    <w:rsid w:val="00AB7C4B"/>
    <w:rsid w:val="00AC73D7"/>
    <w:rsid w:val="00AD12A4"/>
    <w:rsid w:val="00AE36DA"/>
    <w:rsid w:val="00AE47D5"/>
    <w:rsid w:val="00B11369"/>
    <w:rsid w:val="00B11C24"/>
    <w:rsid w:val="00B25B70"/>
    <w:rsid w:val="00B37BBD"/>
    <w:rsid w:val="00B41B80"/>
    <w:rsid w:val="00B4619B"/>
    <w:rsid w:val="00B52D18"/>
    <w:rsid w:val="00B55C0C"/>
    <w:rsid w:val="00B65379"/>
    <w:rsid w:val="00B77764"/>
    <w:rsid w:val="00B864AC"/>
    <w:rsid w:val="00B94A5A"/>
    <w:rsid w:val="00B97E93"/>
    <w:rsid w:val="00BA40EB"/>
    <w:rsid w:val="00BB221E"/>
    <w:rsid w:val="00BB2885"/>
    <w:rsid w:val="00BC43CF"/>
    <w:rsid w:val="00BE4859"/>
    <w:rsid w:val="00BE5780"/>
    <w:rsid w:val="00BE6A86"/>
    <w:rsid w:val="00BE74FF"/>
    <w:rsid w:val="00BF04C4"/>
    <w:rsid w:val="00C018F2"/>
    <w:rsid w:val="00C05DFE"/>
    <w:rsid w:val="00C16C8D"/>
    <w:rsid w:val="00C17A3A"/>
    <w:rsid w:val="00C22069"/>
    <w:rsid w:val="00C32A14"/>
    <w:rsid w:val="00C42202"/>
    <w:rsid w:val="00C434A3"/>
    <w:rsid w:val="00C451CB"/>
    <w:rsid w:val="00C56E25"/>
    <w:rsid w:val="00C70969"/>
    <w:rsid w:val="00C76FE2"/>
    <w:rsid w:val="00C81580"/>
    <w:rsid w:val="00C84B63"/>
    <w:rsid w:val="00C84F8F"/>
    <w:rsid w:val="00CB09FB"/>
    <w:rsid w:val="00CC1086"/>
    <w:rsid w:val="00CD2F28"/>
    <w:rsid w:val="00CF02B2"/>
    <w:rsid w:val="00D016CB"/>
    <w:rsid w:val="00D07F91"/>
    <w:rsid w:val="00D112FA"/>
    <w:rsid w:val="00D16E42"/>
    <w:rsid w:val="00D36DF9"/>
    <w:rsid w:val="00D441BA"/>
    <w:rsid w:val="00D47DE3"/>
    <w:rsid w:val="00D6149B"/>
    <w:rsid w:val="00D66572"/>
    <w:rsid w:val="00D7671E"/>
    <w:rsid w:val="00D853BA"/>
    <w:rsid w:val="00DA2C1F"/>
    <w:rsid w:val="00DA7E42"/>
    <w:rsid w:val="00DB6BDD"/>
    <w:rsid w:val="00DC0D71"/>
    <w:rsid w:val="00DC2293"/>
    <w:rsid w:val="00DD5FAB"/>
    <w:rsid w:val="00DF0F7C"/>
    <w:rsid w:val="00E0018E"/>
    <w:rsid w:val="00E04C98"/>
    <w:rsid w:val="00E164F0"/>
    <w:rsid w:val="00E258BA"/>
    <w:rsid w:val="00E267B6"/>
    <w:rsid w:val="00E319E3"/>
    <w:rsid w:val="00E40EA4"/>
    <w:rsid w:val="00E4340F"/>
    <w:rsid w:val="00E51A08"/>
    <w:rsid w:val="00E551B8"/>
    <w:rsid w:val="00E61D9E"/>
    <w:rsid w:val="00EA2433"/>
    <w:rsid w:val="00EB0179"/>
    <w:rsid w:val="00EB4459"/>
    <w:rsid w:val="00EC725A"/>
    <w:rsid w:val="00EE34AF"/>
    <w:rsid w:val="00F56895"/>
    <w:rsid w:val="00F63122"/>
    <w:rsid w:val="00F92547"/>
    <w:rsid w:val="00F92C7D"/>
    <w:rsid w:val="00FA1C17"/>
    <w:rsid w:val="00FA4F8E"/>
    <w:rsid w:val="00FE5CEF"/>
    <w:rsid w:val="00FE7220"/>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7D9"/>
  <w15:chartTrackingRefBased/>
  <w15:docId w15:val="{8B6F8828-9E48-48AA-9B09-106B2370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4A3"/>
    <w:pPr>
      <w:ind w:left="720"/>
      <w:contextualSpacing/>
    </w:pPr>
  </w:style>
  <w:style w:type="paragraph" w:styleId="FootnoteText">
    <w:name w:val="footnote text"/>
    <w:basedOn w:val="Normal"/>
    <w:link w:val="FootnoteTextChar"/>
    <w:uiPriority w:val="99"/>
    <w:semiHidden/>
    <w:unhideWhenUsed/>
    <w:rsid w:val="00707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5FB"/>
    <w:rPr>
      <w:sz w:val="20"/>
      <w:szCs w:val="20"/>
    </w:rPr>
  </w:style>
  <w:style w:type="character" w:styleId="FootnoteReference">
    <w:name w:val="footnote reference"/>
    <w:basedOn w:val="DefaultParagraphFont"/>
    <w:uiPriority w:val="99"/>
    <w:semiHidden/>
    <w:unhideWhenUsed/>
    <w:rsid w:val="007075FB"/>
    <w:rPr>
      <w:vertAlign w:val="superscript"/>
    </w:rPr>
  </w:style>
  <w:style w:type="character" w:styleId="CommentReference">
    <w:name w:val="annotation reference"/>
    <w:basedOn w:val="DefaultParagraphFont"/>
    <w:uiPriority w:val="99"/>
    <w:semiHidden/>
    <w:unhideWhenUsed/>
    <w:rsid w:val="00FA1C17"/>
    <w:rPr>
      <w:sz w:val="16"/>
      <w:szCs w:val="16"/>
    </w:rPr>
  </w:style>
  <w:style w:type="paragraph" w:styleId="CommentText">
    <w:name w:val="annotation text"/>
    <w:basedOn w:val="Normal"/>
    <w:link w:val="CommentTextChar"/>
    <w:uiPriority w:val="99"/>
    <w:unhideWhenUsed/>
    <w:rsid w:val="00FA1C17"/>
    <w:pPr>
      <w:spacing w:line="240" w:lineRule="auto"/>
    </w:pPr>
    <w:rPr>
      <w:sz w:val="20"/>
      <w:szCs w:val="20"/>
    </w:rPr>
  </w:style>
  <w:style w:type="character" w:customStyle="1" w:styleId="CommentTextChar">
    <w:name w:val="Comment Text Char"/>
    <w:basedOn w:val="DefaultParagraphFont"/>
    <w:link w:val="CommentText"/>
    <w:uiPriority w:val="99"/>
    <w:rsid w:val="00FA1C17"/>
    <w:rPr>
      <w:sz w:val="20"/>
      <w:szCs w:val="20"/>
    </w:rPr>
  </w:style>
  <w:style w:type="paragraph" w:styleId="CommentSubject">
    <w:name w:val="annotation subject"/>
    <w:basedOn w:val="CommentText"/>
    <w:next w:val="CommentText"/>
    <w:link w:val="CommentSubjectChar"/>
    <w:uiPriority w:val="99"/>
    <w:semiHidden/>
    <w:unhideWhenUsed/>
    <w:rsid w:val="00FA1C17"/>
    <w:rPr>
      <w:b/>
      <w:bCs/>
    </w:rPr>
  </w:style>
  <w:style w:type="character" w:customStyle="1" w:styleId="CommentSubjectChar">
    <w:name w:val="Comment Subject Char"/>
    <w:basedOn w:val="CommentTextChar"/>
    <w:link w:val="CommentSubject"/>
    <w:uiPriority w:val="99"/>
    <w:semiHidden/>
    <w:rsid w:val="00FA1C17"/>
    <w:rPr>
      <w:b/>
      <w:bCs/>
      <w:sz w:val="20"/>
      <w:szCs w:val="20"/>
    </w:rPr>
  </w:style>
  <w:style w:type="paragraph" w:styleId="Header">
    <w:name w:val="header"/>
    <w:basedOn w:val="Normal"/>
    <w:link w:val="HeaderChar"/>
    <w:uiPriority w:val="99"/>
    <w:unhideWhenUsed/>
    <w:rsid w:val="00AB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13B"/>
  </w:style>
  <w:style w:type="paragraph" w:styleId="Footer">
    <w:name w:val="footer"/>
    <w:basedOn w:val="Normal"/>
    <w:link w:val="FooterChar"/>
    <w:uiPriority w:val="99"/>
    <w:unhideWhenUsed/>
    <w:rsid w:val="00AB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13B"/>
  </w:style>
  <w:style w:type="paragraph" w:styleId="Revision">
    <w:name w:val="Revision"/>
    <w:hidden/>
    <w:uiPriority w:val="99"/>
    <w:semiHidden/>
    <w:rsid w:val="00AB513B"/>
    <w:pPr>
      <w:spacing w:after="0" w:line="240" w:lineRule="auto"/>
    </w:pPr>
  </w:style>
  <w:style w:type="character" w:styleId="Hyperlink">
    <w:name w:val="Hyperlink"/>
    <w:basedOn w:val="DefaultParagraphFont"/>
    <w:uiPriority w:val="99"/>
    <w:semiHidden/>
    <w:unhideWhenUsed/>
    <w:rsid w:val="00A77E2C"/>
    <w:rPr>
      <w:color w:val="2B674D"/>
      <w:u w:val="single"/>
    </w:rPr>
  </w:style>
  <w:style w:type="paragraph" w:styleId="BalloonText">
    <w:name w:val="Balloon Text"/>
    <w:basedOn w:val="Normal"/>
    <w:link w:val="BalloonTextChar"/>
    <w:uiPriority w:val="99"/>
    <w:semiHidden/>
    <w:unhideWhenUsed/>
    <w:rsid w:val="0082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4728">
      <w:bodyDiv w:val="1"/>
      <w:marLeft w:val="0"/>
      <w:marRight w:val="0"/>
      <w:marTop w:val="0"/>
      <w:marBottom w:val="0"/>
      <w:divBdr>
        <w:top w:val="none" w:sz="0" w:space="0" w:color="auto"/>
        <w:left w:val="none" w:sz="0" w:space="0" w:color="auto"/>
        <w:bottom w:val="none" w:sz="0" w:space="0" w:color="auto"/>
        <w:right w:val="none" w:sz="0" w:space="0" w:color="auto"/>
      </w:divBdr>
    </w:div>
    <w:div w:id="13834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210183</DocketNumber>
    <IndustryCode xmlns="dc463f71-b30c-4ab2-9473-d307f9d35888">140</IndustryCode>
    <Prefix xmlns="dc463f71-b30c-4ab2-9473-d307f9d35888">UE</Prefix>
    <Visibility xmlns="dc463f71-b30c-4ab2-9473-d307f9d35888">Full Visibility</Visibility>
    <DocumentSetType xmlns="dc463f71-b30c-4ab2-9473-d307f9d35888">Notice - Opportunity to file Written Comment</DocumentSetType>
    <IsConfidential xmlns="dc463f71-b30c-4ab2-9473-d307f9d35888">false</IsConfidential>
    <CaseType xmlns="dc463f71-b30c-4ab2-9473-d307f9d35888">Rulemaking</CaseType>
    <CaseStatus xmlns="dc463f71-b30c-4ab2-9473-d307f9d35888">Formal</CaseStatus>
    <OpenedDate xmlns="dc463f71-b30c-4ab2-9473-d307f9d35888">2021-03-18T07:00:00+00:00</OpenedDate>
    <Date1 xmlns="dc463f71-b30c-4ab2-9473-d307f9d35888">2022-01-19T18:21:21+00:00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38D1C1FD001469ABA2E73906F181D" ma:contentTypeVersion="44" ma:contentTypeDescription="" ma:contentTypeScope="" ma:versionID="adbe4b6899bb659626f99345b1fe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FB7449-7440-4108-8FD3-D27A811F8C60}">
  <ds:schemaRefs>
    <ds:schemaRef ds:uri="http://schemas.microsoft.com/sharepoint/v3/contenttype/forms"/>
  </ds:schemaRefs>
</ds:datastoreItem>
</file>

<file path=customXml/itemProps2.xml><?xml version="1.0" encoding="utf-8"?>
<ds:datastoreItem xmlns:ds="http://schemas.openxmlformats.org/officeDocument/2006/customXml" ds:itemID="{E4EAD03A-EF83-49A3-B55C-E05F420BA873}">
  <ds:schemaRefs>
    <ds:schemaRef ds:uri="fb371240-bfad-4c00-bc9b-0e9ef8fe056a"/>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8EDEE66-81C2-4385-AC33-8EA77F598D45}">
  <ds:schemaRefs>
    <ds:schemaRef ds:uri="http://schemas.openxmlformats.org/officeDocument/2006/bibliography"/>
  </ds:schemaRefs>
</ds:datastoreItem>
</file>

<file path=customXml/itemProps4.xml><?xml version="1.0" encoding="utf-8"?>
<ds:datastoreItem xmlns:ds="http://schemas.openxmlformats.org/officeDocument/2006/customXml" ds:itemID="{2D878932-A201-4F14-8C27-EA929B2B517F}"/>
</file>

<file path=customXml/itemProps5.xml><?xml version="1.0" encoding="utf-8"?>
<ds:datastoreItem xmlns:ds="http://schemas.openxmlformats.org/officeDocument/2006/customXml" ds:itemID="{A5B1C5DB-9DA7-4DBA-AAEB-3D504D7BF7C9}"/>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Blackmon, Glenn (COM)</dc:creator>
  <cp:keywords/>
  <dc:description/>
  <cp:lastModifiedBy>Doyle, Paige (UTC)</cp:lastModifiedBy>
  <cp:revision>2</cp:revision>
  <dcterms:created xsi:type="dcterms:W3CDTF">2022-01-19T18:02:00Z</dcterms:created>
  <dcterms:modified xsi:type="dcterms:W3CDTF">2022-01-19T18:02:00Z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0x0101006E56B4D1795A2E4DB2F0B01679ED314A00CD238D1C1FD001469ABA2E73906F181D</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