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37911" w14:textId="77777777" w:rsidR="00BA1C02" w:rsidRDefault="00BA1C02" w:rsidP="00C1073A">
      <w:pPr>
        <w:jc w:val="both"/>
      </w:pPr>
      <w:bookmarkStart w:id="0" w:name="_GoBack"/>
      <w:bookmarkEnd w:id="0"/>
    </w:p>
    <w:p w14:paraId="7B988280" w14:textId="77777777" w:rsidR="00942DA1" w:rsidRDefault="00350499" w:rsidP="00C1073A">
      <w:pPr>
        <w:pStyle w:val="CourtName"/>
        <w:rPr>
          <w:caps/>
        </w:rPr>
      </w:pPr>
      <w:bookmarkStart w:id="1" w:name="TitleOfPleading"/>
      <w:bookmarkEnd w:id="1"/>
      <w:r>
        <w:rPr>
          <w:caps/>
        </w:rPr>
        <w:t>BEFORE THE WASHINGTON</w:t>
      </w:r>
    </w:p>
    <w:p w14:paraId="24D3561F" w14:textId="77777777" w:rsidR="00C1073A" w:rsidRDefault="00C1073A" w:rsidP="00C1073A">
      <w:pPr>
        <w:pStyle w:val="CourtName"/>
        <w:rPr>
          <w:caps/>
        </w:rPr>
      </w:pPr>
      <w:r>
        <w:rPr>
          <w:caps/>
        </w:rPr>
        <w:t>UTILITIES AND TRANSPORTATION COMMISSION</w:t>
      </w:r>
    </w:p>
    <w:p w14:paraId="5A9BB335" w14:textId="77777777" w:rsidR="00C1073A" w:rsidRDefault="00C1073A" w:rsidP="00C1073A">
      <w:pPr>
        <w:jc w:val="center"/>
      </w:pPr>
    </w:p>
    <w:p w14:paraId="2236F131" w14:textId="77777777" w:rsidR="00C1073A" w:rsidRDefault="00C1073A" w:rsidP="00C1073A">
      <w:pPr>
        <w:jc w:val="cente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C1073A" w14:paraId="5C39E0F5" w14:textId="77777777" w:rsidTr="00954A47">
        <w:tc>
          <w:tcPr>
            <w:tcW w:w="4500" w:type="dxa"/>
            <w:tcBorders>
              <w:bottom w:val="single" w:sz="6" w:space="0" w:color="auto"/>
              <w:right w:val="single" w:sz="6" w:space="0" w:color="auto"/>
            </w:tcBorders>
          </w:tcPr>
          <w:p w14:paraId="30CF9EB9" w14:textId="77777777" w:rsidR="00C1073A" w:rsidRDefault="00D50B2C" w:rsidP="00954A47">
            <w:pPr>
              <w:tabs>
                <w:tab w:val="left" w:pos="2520"/>
              </w:tabs>
              <w:ind w:left="-360"/>
            </w:pPr>
            <w:bookmarkStart w:id="2" w:name="Appellant_Name"/>
            <w:bookmarkStart w:id="3" w:name="tag1"/>
            <w:bookmarkStart w:id="4" w:name="Respondent_Name"/>
            <w:bookmarkStart w:id="5" w:name="tag2"/>
            <w:bookmarkStart w:id="6" w:name="Caption"/>
            <w:bookmarkEnd w:id="2"/>
            <w:bookmarkEnd w:id="3"/>
            <w:bookmarkEnd w:id="4"/>
            <w:bookmarkEnd w:id="5"/>
            <w:r>
              <w:t>WASHINGTON UTILITIES AND TRANSPORTATION COMMISSION,</w:t>
            </w:r>
          </w:p>
          <w:p w14:paraId="2808E258" w14:textId="77777777" w:rsidR="00D50B2C" w:rsidRDefault="00D50B2C" w:rsidP="00954A47">
            <w:pPr>
              <w:tabs>
                <w:tab w:val="left" w:pos="2520"/>
              </w:tabs>
              <w:ind w:left="-360"/>
            </w:pPr>
          </w:p>
          <w:p w14:paraId="77E01A37" w14:textId="77777777" w:rsidR="00D50B2C" w:rsidRDefault="00D50B2C" w:rsidP="00954A47">
            <w:pPr>
              <w:tabs>
                <w:tab w:val="left" w:pos="2520"/>
              </w:tabs>
              <w:ind w:left="-360"/>
            </w:pPr>
            <w:r>
              <w:t xml:space="preserve">                        Complainant,</w:t>
            </w:r>
          </w:p>
          <w:p w14:paraId="6B5A9E6C" w14:textId="77777777" w:rsidR="00D50B2C" w:rsidRDefault="00D50B2C" w:rsidP="00954A47">
            <w:pPr>
              <w:tabs>
                <w:tab w:val="left" w:pos="2520"/>
              </w:tabs>
              <w:ind w:left="-360"/>
            </w:pPr>
          </w:p>
          <w:p w14:paraId="0E7C8B8D" w14:textId="77777777" w:rsidR="00D50B2C" w:rsidRDefault="00D50B2C" w:rsidP="00954A47">
            <w:pPr>
              <w:tabs>
                <w:tab w:val="left" w:pos="2520"/>
              </w:tabs>
              <w:ind w:left="-360"/>
            </w:pPr>
            <w:r>
              <w:t xml:space="preserve">                                 v.</w:t>
            </w:r>
          </w:p>
          <w:p w14:paraId="5B024C81" w14:textId="77777777" w:rsidR="00D50B2C" w:rsidRDefault="00D50B2C" w:rsidP="00954A47">
            <w:pPr>
              <w:tabs>
                <w:tab w:val="left" w:pos="2520"/>
              </w:tabs>
              <w:ind w:left="-360"/>
            </w:pPr>
          </w:p>
          <w:p w14:paraId="023DD81E" w14:textId="77777777" w:rsidR="00D50B2C" w:rsidRDefault="00D50B2C" w:rsidP="00954A47">
            <w:pPr>
              <w:tabs>
                <w:tab w:val="left" w:pos="2520"/>
              </w:tabs>
              <w:ind w:left="-360"/>
            </w:pPr>
            <w:r>
              <w:t>PACIFIC POWER &amp; LIGHT COMPANY,</w:t>
            </w:r>
          </w:p>
          <w:p w14:paraId="1998B5EA" w14:textId="77777777" w:rsidR="00D50B2C" w:rsidRDefault="00D50B2C" w:rsidP="00954A47">
            <w:pPr>
              <w:tabs>
                <w:tab w:val="left" w:pos="2520"/>
              </w:tabs>
              <w:ind w:left="-360"/>
            </w:pPr>
          </w:p>
          <w:p w14:paraId="1287A2A3" w14:textId="77777777" w:rsidR="00D50B2C" w:rsidRDefault="00D50B2C" w:rsidP="00954A47">
            <w:pPr>
              <w:tabs>
                <w:tab w:val="left" w:pos="2520"/>
              </w:tabs>
              <w:ind w:left="-360"/>
            </w:pPr>
            <w:r>
              <w:t xml:space="preserve">                         Respondent.</w:t>
            </w:r>
          </w:p>
          <w:p w14:paraId="7876FC69" w14:textId="77777777" w:rsidR="00C1073A" w:rsidRDefault="00C1073A" w:rsidP="00954A47">
            <w:pPr>
              <w:tabs>
                <w:tab w:val="left" w:pos="2160"/>
              </w:tabs>
            </w:pPr>
            <w:r>
              <w:t xml:space="preserve">    </w:t>
            </w:r>
            <w:r>
              <w:tab/>
            </w:r>
          </w:p>
          <w:p w14:paraId="07BE4700" w14:textId="77777777" w:rsidR="00C1073A" w:rsidRDefault="00C1073A" w:rsidP="00954A47">
            <w:pPr>
              <w:tabs>
                <w:tab w:val="left" w:pos="2520"/>
              </w:tabs>
              <w:ind w:left="-360"/>
            </w:pPr>
          </w:p>
          <w:p w14:paraId="29B69269" w14:textId="77777777" w:rsidR="00C1073A" w:rsidRDefault="00C1073A" w:rsidP="00954A47">
            <w:pPr>
              <w:tabs>
                <w:tab w:val="left" w:pos="2520"/>
              </w:tabs>
              <w:ind w:left="-360"/>
            </w:pPr>
          </w:p>
        </w:tc>
        <w:tc>
          <w:tcPr>
            <w:tcW w:w="4500" w:type="dxa"/>
            <w:tcBorders>
              <w:left w:val="nil"/>
              <w:bottom w:val="nil"/>
            </w:tcBorders>
          </w:tcPr>
          <w:p w14:paraId="5C1B7D97" w14:textId="77777777" w:rsidR="00C1073A" w:rsidRDefault="00C1073A" w:rsidP="00954A47"/>
          <w:p w14:paraId="25ADF395" w14:textId="77777777" w:rsidR="00C1073A" w:rsidRDefault="00B82900" w:rsidP="00954A47">
            <w:bookmarkStart w:id="7" w:name="Court_Doc_Number"/>
            <w:bookmarkEnd w:id="7"/>
            <w:r>
              <w:t xml:space="preserve">DOCKET </w:t>
            </w:r>
            <w:r w:rsidR="00D50B2C">
              <w:t>UE-161204</w:t>
            </w:r>
          </w:p>
          <w:p w14:paraId="1D6659EC" w14:textId="77777777" w:rsidR="00C1073A" w:rsidRDefault="00C1073A" w:rsidP="00954A47"/>
          <w:p w14:paraId="7A946E73" w14:textId="77777777" w:rsidR="00C1073A" w:rsidRDefault="00C1073A" w:rsidP="00954A47"/>
          <w:p w14:paraId="2B5E2911" w14:textId="77777777" w:rsidR="00C1073A" w:rsidRDefault="00C1073A" w:rsidP="00954A47"/>
          <w:p w14:paraId="565A2B3F" w14:textId="77777777" w:rsidR="00C1073A" w:rsidRDefault="00C1073A" w:rsidP="00954A47"/>
        </w:tc>
      </w:tr>
      <w:bookmarkEnd w:id="6"/>
    </w:tbl>
    <w:p w14:paraId="33780560" w14:textId="77777777" w:rsidR="00C1073A" w:rsidRDefault="00C1073A" w:rsidP="00C1073A">
      <w:pPr>
        <w:pStyle w:val="CourtName"/>
        <w:spacing w:line="480" w:lineRule="exact"/>
        <w:ind w:firstLine="720"/>
        <w:jc w:val="left"/>
      </w:pPr>
    </w:p>
    <w:p w14:paraId="1E72FCB5" w14:textId="77777777" w:rsidR="00C1073A" w:rsidRDefault="00C1073A" w:rsidP="00C1073A">
      <w:pPr>
        <w:pStyle w:val="CourtName"/>
        <w:spacing w:line="480" w:lineRule="exact"/>
        <w:ind w:firstLine="720"/>
        <w:rPr>
          <w:b/>
        </w:rPr>
      </w:pPr>
    </w:p>
    <w:p w14:paraId="3C557483" w14:textId="77777777" w:rsidR="00D50B2C" w:rsidRDefault="00D50B2C" w:rsidP="00D50B2C">
      <w:pPr>
        <w:jc w:val="center"/>
      </w:pPr>
    </w:p>
    <w:p w14:paraId="35638761" w14:textId="77777777" w:rsidR="00D50B2C" w:rsidRDefault="00D50B2C" w:rsidP="00D50B2C">
      <w:pPr>
        <w:jc w:val="center"/>
      </w:pPr>
    </w:p>
    <w:p w14:paraId="464D5A25" w14:textId="77777777" w:rsidR="00D50B2C" w:rsidRDefault="00D50B2C" w:rsidP="00D50B2C">
      <w:pPr>
        <w:jc w:val="center"/>
      </w:pPr>
    </w:p>
    <w:p w14:paraId="20882957" w14:textId="77777777" w:rsidR="00D50B2C" w:rsidRDefault="00D50B2C" w:rsidP="00D50B2C">
      <w:pPr>
        <w:jc w:val="center"/>
      </w:pPr>
    </w:p>
    <w:p w14:paraId="22A6B7AA" w14:textId="77777777" w:rsidR="00D50B2C" w:rsidRDefault="00D50B2C" w:rsidP="00D50B2C">
      <w:pPr>
        <w:jc w:val="center"/>
      </w:pPr>
    </w:p>
    <w:p w14:paraId="70E0AC0D" w14:textId="77777777" w:rsidR="00D50B2C" w:rsidRDefault="00D50B2C" w:rsidP="00D50B2C">
      <w:pPr>
        <w:jc w:val="center"/>
      </w:pPr>
    </w:p>
    <w:p w14:paraId="763570DF" w14:textId="77777777" w:rsidR="00D50B2C" w:rsidRDefault="00D50B2C" w:rsidP="00D50B2C">
      <w:pPr>
        <w:jc w:val="center"/>
      </w:pPr>
    </w:p>
    <w:p w14:paraId="7B38087B" w14:textId="77777777" w:rsidR="00D50B2C" w:rsidRDefault="00D50B2C" w:rsidP="00D50B2C">
      <w:pPr>
        <w:jc w:val="center"/>
      </w:pPr>
      <w:r>
        <w:t xml:space="preserve">INTIAL POST-HEARING </w:t>
      </w:r>
      <w:r w:rsidR="00A54312">
        <w:t xml:space="preserve">BRIEF </w:t>
      </w:r>
    </w:p>
    <w:p w14:paraId="2FAA3F0F" w14:textId="77777777" w:rsidR="00D50B2C" w:rsidRDefault="00D50B2C" w:rsidP="00D50B2C">
      <w:pPr>
        <w:jc w:val="center"/>
      </w:pPr>
    </w:p>
    <w:p w14:paraId="3141FD57" w14:textId="77777777" w:rsidR="00C1073A" w:rsidRDefault="00A54312" w:rsidP="00D50B2C">
      <w:pPr>
        <w:jc w:val="center"/>
      </w:pPr>
      <w:r>
        <w:t xml:space="preserve">OF </w:t>
      </w:r>
      <w:r w:rsidR="00B82900">
        <w:t>THE ENERGY PROJECT</w:t>
      </w:r>
    </w:p>
    <w:p w14:paraId="4BA0B2BE" w14:textId="77777777" w:rsidR="00D50B2C" w:rsidRPr="00D50B2C" w:rsidRDefault="00D50B2C" w:rsidP="00D50B2C"/>
    <w:p w14:paraId="6EF60F71" w14:textId="77777777" w:rsidR="00D50B2C" w:rsidRPr="00D50B2C" w:rsidRDefault="00D50B2C" w:rsidP="00D50B2C"/>
    <w:p w14:paraId="70BB5BE2" w14:textId="77777777" w:rsidR="00C1073A" w:rsidRDefault="00C1073A" w:rsidP="00C1073A">
      <w:pPr>
        <w:pStyle w:val="CourtName"/>
        <w:spacing w:line="480" w:lineRule="exact"/>
        <w:ind w:firstLine="720"/>
        <w:rPr>
          <w:b/>
        </w:rPr>
      </w:pPr>
    </w:p>
    <w:p w14:paraId="5EC0D46D" w14:textId="77777777" w:rsidR="00A46CA5" w:rsidRDefault="00D50B2C" w:rsidP="00D50B2C">
      <w:pPr>
        <w:jc w:val="center"/>
      </w:pPr>
      <w:r>
        <w:t>JULY 28, 2017</w:t>
      </w:r>
    </w:p>
    <w:p w14:paraId="26A24605" w14:textId="77777777" w:rsidR="00A46CA5" w:rsidRDefault="00A46CA5">
      <w:r>
        <w:br w:type="page"/>
      </w:r>
    </w:p>
    <w:sdt>
      <w:sdtPr>
        <w:rPr>
          <w:rFonts w:ascii="Times New Roman" w:eastAsia="Times New Roman" w:hAnsi="Times New Roman" w:cs="Times New Roman"/>
          <w:color w:val="auto"/>
          <w:sz w:val="24"/>
          <w:szCs w:val="24"/>
        </w:rPr>
        <w:id w:val="1122114614"/>
        <w:docPartObj>
          <w:docPartGallery w:val="Table of Contents"/>
          <w:docPartUnique/>
        </w:docPartObj>
      </w:sdtPr>
      <w:sdtEndPr>
        <w:rPr>
          <w:b/>
          <w:bCs/>
          <w:noProof/>
        </w:rPr>
      </w:sdtEndPr>
      <w:sdtContent>
        <w:p w14:paraId="3A65014A" w14:textId="77777777" w:rsidR="00A46CA5" w:rsidRPr="00E2110C" w:rsidRDefault="00A46CA5" w:rsidP="00A46CA5">
          <w:pPr>
            <w:pStyle w:val="TOCHeading"/>
            <w:jc w:val="center"/>
            <w:rPr>
              <w:rFonts w:ascii="Times New Roman" w:hAnsi="Times New Roman" w:cs="Times New Roman"/>
              <w:b/>
              <w:color w:val="000000" w:themeColor="text1"/>
              <w:sz w:val="24"/>
              <w:szCs w:val="24"/>
            </w:rPr>
          </w:pPr>
          <w:r w:rsidRPr="00E2110C">
            <w:rPr>
              <w:rFonts w:ascii="Times New Roman" w:hAnsi="Times New Roman" w:cs="Times New Roman"/>
              <w:b/>
              <w:color w:val="000000" w:themeColor="text1"/>
              <w:sz w:val="24"/>
              <w:szCs w:val="24"/>
            </w:rPr>
            <w:t>TABLE OF CONTENTS</w:t>
          </w:r>
        </w:p>
        <w:p w14:paraId="4FEF34B2" w14:textId="77777777" w:rsidR="00A46CA5" w:rsidRDefault="00A46CA5" w:rsidP="00A46CA5">
          <w:pPr>
            <w:pStyle w:val="TOC1"/>
            <w:rPr>
              <w:rFonts w:asciiTheme="minorHAnsi" w:eastAsiaTheme="minorEastAsia" w:hAnsiTheme="minorHAnsi" w:cstheme="minorBidi"/>
              <w:caps w:val="0"/>
              <w:sz w:val="22"/>
              <w:szCs w:val="22"/>
            </w:rPr>
          </w:pPr>
          <w:r>
            <w:fldChar w:fldCharType="begin"/>
          </w:r>
          <w:r>
            <w:instrText xml:space="preserve"> TOC \o "1-3" \h \z \u </w:instrText>
          </w:r>
          <w:r>
            <w:fldChar w:fldCharType="separate"/>
          </w:r>
          <w:hyperlink w:anchor="_Toc489005701" w:history="1">
            <w:r w:rsidRPr="008D121D">
              <w:rPr>
                <w:rStyle w:val="Hyperlink"/>
              </w:rPr>
              <w:t>I.</w:t>
            </w:r>
            <w:r>
              <w:rPr>
                <w:rFonts w:asciiTheme="minorHAnsi" w:eastAsiaTheme="minorEastAsia" w:hAnsiTheme="minorHAnsi" w:cstheme="minorBidi"/>
                <w:caps w:val="0"/>
                <w:sz w:val="22"/>
                <w:szCs w:val="22"/>
              </w:rPr>
              <w:tab/>
            </w:r>
            <w:r w:rsidRPr="008D121D">
              <w:rPr>
                <w:rStyle w:val="Hyperlink"/>
              </w:rPr>
              <w:t>INTRODUCTION</w:t>
            </w:r>
            <w:r>
              <w:rPr>
                <w:webHidden/>
              </w:rPr>
              <w:tab/>
            </w:r>
            <w:r>
              <w:rPr>
                <w:webHidden/>
              </w:rPr>
              <w:fldChar w:fldCharType="begin"/>
            </w:r>
            <w:r>
              <w:rPr>
                <w:webHidden/>
              </w:rPr>
              <w:instrText xml:space="preserve"> PAGEREF _Toc489005701 \h </w:instrText>
            </w:r>
            <w:r>
              <w:rPr>
                <w:webHidden/>
              </w:rPr>
            </w:r>
            <w:r>
              <w:rPr>
                <w:webHidden/>
              </w:rPr>
              <w:fldChar w:fldCharType="separate"/>
            </w:r>
            <w:r w:rsidR="004C7FF8">
              <w:rPr>
                <w:webHidden/>
              </w:rPr>
              <w:t>1</w:t>
            </w:r>
            <w:r>
              <w:rPr>
                <w:webHidden/>
              </w:rPr>
              <w:fldChar w:fldCharType="end"/>
            </w:r>
          </w:hyperlink>
        </w:p>
        <w:p w14:paraId="26C56F13" w14:textId="77777777" w:rsidR="00A46CA5" w:rsidRDefault="009B670B" w:rsidP="00A46CA5">
          <w:pPr>
            <w:pStyle w:val="TOC1"/>
            <w:rPr>
              <w:rFonts w:asciiTheme="minorHAnsi" w:eastAsiaTheme="minorEastAsia" w:hAnsiTheme="minorHAnsi" w:cstheme="minorBidi"/>
              <w:caps w:val="0"/>
              <w:sz w:val="22"/>
              <w:szCs w:val="22"/>
            </w:rPr>
          </w:pPr>
          <w:hyperlink w:anchor="_Toc489005702" w:history="1">
            <w:r w:rsidR="00A46CA5" w:rsidRPr="008D121D">
              <w:rPr>
                <w:rStyle w:val="Hyperlink"/>
              </w:rPr>
              <w:t>II.</w:t>
            </w:r>
            <w:r w:rsidR="00A46CA5">
              <w:rPr>
                <w:rFonts w:asciiTheme="minorHAnsi" w:eastAsiaTheme="minorEastAsia" w:hAnsiTheme="minorHAnsi" w:cstheme="minorBidi"/>
                <w:caps w:val="0"/>
                <w:sz w:val="22"/>
                <w:szCs w:val="22"/>
              </w:rPr>
              <w:tab/>
            </w:r>
            <w:r w:rsidR="00A46CA5" w:rsidRPr="008D121D">
              <w:rPr>
                <w:rStyle w:val="Hyperlink"/>
              </w:rPr>
              <w:t>overview of Pacific Power low-income programs</w:t>
            </w:r>
            <w:r w:rsidR="00A46CA5">
              <w:rPr>
                <w:webHidden/>
              </w:rPr>
              <w:tab/>
            </w:r>
            <w:r w:rsidR="00A46CA5">
              <w:rPr>
                <w:webHidden/>
              </w:rPr>
              <w:fldChar w:fldCharType="begin"/>
            </w:r>
            <w:r w:rsidR="00A46CA5">
              <w:rPr>
                <w:webHidden/>
              </w:rPr>
              <w:instrText xml:space="preserve"> PAGEREF _Toc489005702 \h </w:instrText>
            </w:r>
            <w:r w:rsidR="00A46CA5">
              <w:rPr>
                <w:webHidden/>
              </w:rPr>
            </w:r>
            <w:r w:rsidR="00A46CA5">
              <w:rPr>
                <w:webHidden/>
              </w:rPr>
              <w:fldChar w:fldCharType="separate"/>
            </w:r>
            <w:r w:rsidR="004C7FF8">
              <w:rPr>
                <w:webHidden/>
              </w:rPr>
              <w:t>1</w:t>
            </w:r>
            <w:r w:rsidR="00A46CA5">
              <w:rPr>
                <w:webHidden/>
              </w:rPr>
              <w:fldChar w:fldCharType="end"/>
            </w:r>
          </w:hyperlink>
        </w:p>
        <w:p w14:paraId="7F4300A5" w14:textId="77777777" w:rsidR="00A46CA5" w:rsidRDefault="009B670B" w:rsidP="00A46CA5">
          <w:pPr>
            <w:pStyle w:val="TOC2"/>
            <w:tabs>
              <w:tab w:val="left" w:pos="1530"/>
            </w:tabs>
            <w:rPr>
              <w:rFonts w:asciiTheme="minorHAnsi" w:eastAsiaTheme="minorEastAsia" w:hAnsiTheme="minorHAnsi" w:cstheme="minorBidi"/>
              <w:sz w:val="22"/>
              <w:szCs w:val="22"/>
            </w:rPr>
          </w:pPr>
          <w:hyperlink w:anchor="_Toc489005703" w:history="1">
            <w:r w:rsidR="00A46CA5" w:rsidRPr="008D121D">
              <w:rPr>
                <w:rStyle w:val="Hyperlink"/>
              </w:rPr>
              <w:t>A.</w:t>
            </w:r>
            <w:r w:rsidR="00A46CA5">
              <w:rPr>
                <w:rFonts w:asciiTheme="minorHAnsi" w:eastAsiaTheme="minorEastAsia" w:hAnsiTheme="minorHAnsi" w:cstheme="minorBidi"/>
                <w:sz w:val="22"/>
                <w:szCs w:val="22"/>
              </w:rPr>
              <w:tab/>
            </w:r>
            <w:r w:rsidR="00A46CA5" w:rsidRPr="008D121D">
              <w:rPr>
                <w:rStyle w:val="Hyperlink"/>
              </w:rPr>
              <w:t>Electric Bill Assistance Program</w:t>
            </w:r>
            <w:r w:rsidR="00A46CA5">
              <w:rPr>
                <w:webHidden/>
              </w:rPr>
              <w:tab/>
            </w:r>
            <w:r w:rsidR="00A46CA5">
              <w:rPr>
                <w:webHidden/>
              </w:rPr>
              <w:fldChar w:fldCharType="begin"/>
            </w:r>
            <w:r w:rsidR="00A46CA5">
              <w:rPr>
                <w:webHidden/>
              </w:rPr>
              <w:instrText xml:space="preserve"> PAGEREF _Toc489005703 \h </w:instrText>
            </w:r>
            <w:r w:rsidR="00A46CA5">
              <w:rPr>
                <w:webHidden/>
              </w:rPr>
            </w:r>
            <w:r w:rsidR="00A46CA5">
              <w:rPr>
                <w:webHidden/>
              </w:rPr>
              <w:fldChar w:fldCharType="separate"/>
            </w:r>
            <w:r w:rsidR="004C7FF8">
              <w:rPr>
                <w:webHidden/>
              </w:rPr>
              <w:t>1</w:t>
            </w:r>
            <w:r w:rsidR="00A46CA5">
              <w:rPr>
                <w:webHidden/>
              </w:rPr>
              <w:fldChar w:fldCharType="end"/>
            </w:r>
          </w:hyperlink>
        </w:p>
        <w:p w14:paraId="487CA47D" w14:textId="77777777" w:rsidR="00A46CA5" w:rsidRDefault="009B670B" w:rsidP="00A46CA5">
          <w:pPr>
            <w:pStyle w:val="TOC2"/>
            <w:tabs>
              <w:tab w:val="left" w:pos="1080"/>
            </w:tabs>
            <w:rPr>
              <w:rFonts w:asciiTheme="minorHAnsi" w:eastAsiaTheme="minorEastAsia" w:hAnsiTheme="minorHAnsi" w:cstheme="minorBidi"/>
              <w:sz w:val="22"/>
              <w:szCs w:val="22"/>
            </w:rPr>
          </w:pPr>
          <w:hyperlink w:anchor="_Toc489005704" w:history="1">
            <w:r w:rsidR="00A46CA5" w:rsidRPr="008D121D">
              <w:rPr>
                <w:rStyle w:val="Hyperlink"/>
              </w:rPr>
              <w:t>B.</w:t>
            </w:r>
            <w:r w:rsidR="00A46CA5">
              <w:rPr>
                <w:rFonts w:asciiTheme="minorHAnsi" w:eastAsiaTheme="minorEastAsia" w:hAnsiTheme="minorHAnsi" w:cstheme="minorBidi"/>
                <w:sz w:val="22"/>
                <w:szCs w:val="22"/>
              </w:rPr>
              <w:tab/>
            </w:r>
            <w:r w:rsidR="00A46CA5" w:rsidRPr="008D121D">
              <w:rPr>
                <w:rStyle w:val="Hyperlink"/>
              </w:rPr>
              <w:t>Low-Income Weatherization Program</w:t>
            </w:r>
            <w:r w:rsidR="00A46CA5">
              <w:rPr>
                <w:webHidden/>
              </w:rPr>
              <w:tab/>
            </w:r>
            <w:r w:rsidR="00A46CA5">
              <w:rPr>
                <w:webHidden/>
              </w:rPr>
              <w:fldChar w:fldCharType="begin"/>
            </w:r>
            <w:r w:rsidR="00A46CA5">
              <w:rPr>
                <w:webHidden/>
              </w:rPr>
              <w:instrText xml:space="preserve"> PAGEREF _Toc489005704 \h </w:instrText>
            </w:r>
            <w:r w:rsidR="00A46CA5">
              <w:rPr>
                <w:webHidden/>
              </w:rPr>
            </w:r>
            <w:r w:rsidR="00A46CA5">
              <w:rPr>
                <w:webHidden/>
              </w:rPr>
              <w:fldChar w:fldCharType="separate"/>
            </w:r>
            <w:r w:rsidR="004C7FF8">
              <w:rPr>
                <w:webHidden/>
              </w:rPr>
              <w:t>3</w:t>
            </w:r>
            <w:r w:rsidR="00A46CA5">
              <w:rPr>
                <w:webHidden/>
              </w:rPr>
              <w:fldChar w:fldCharType="end"/>
            </w:r>
          </w:hyperlink>
        </w:p>
        <w:p w14:paraId="70BF34A3" w14:textId="77777777" w:rsidR="00A46CA5" w:rsidRDefault="009B670B" w:rsidP="00A46CA5">
          <w:pPr>
            <w:pStyle w:val="TOC1"/>
            <w:rPr>
              <w:rFonts w:asciiTheme="minorHAnsi" w:eastAsiaTheme="minorEastAsia" w:hAnsiTheme="minorHAnsi" w:cstheme="minorBidi"/>
              <w:caps w:val="0"/>
              <w:sz w:val="22"/>
              <w:szCs w:val="22"/>
            </w:rPr>
          </w:pPr>
          <w:hyperlink w:anchor="_Toc489005705" w:history="1">
            <w:r w:rsidR="00A46CA5" w:rsidRPr="008D121D">
              <w:rPr>
                <w:rStyle w:val="Hyperlink"/>
              </w:rPr>
              <w:t>III.</w:t>
            </w:r>
            <w:r w:rsidR="00A46CA5">
              <w:rPr>
                <w:rFonts w:asciiTheme="minorHAnsi" w:eastAsiaTheme="minorEastAsia" w:hAnsiTheme="minorHAnsi" w:cstheme="minorBidi"/>
                <w:caps w:val="0"/>
                <w:sz w:val="22"/>
                <w:szCs w:val="22"/>
              </w:rPr>
              <w:tab/>
            </w:r>
            <w:r w:rsidR="00A46CA5" w:rsidRPr="008D121D">
              <w:rPr>
                <w:rStyle w:val="Hyperlink"/>
              </w:rPr>
              <w:t>Pacific Power’s proposal for stranded cost recovery to maintain support for low-income and energy efficiency programs</w:t>
            </w:r>
            <w:r w:rsidR="00A46CA5">
              <w:rPr>
                <w:webHidden/>
              </w:rPr>
              <w:tab/>
            </w:r>
            <w:r w:rsidR="00A46CA5">
              <w:rPr>
                <w:webHidden/>
              </w:rPr>
              <w:fldChar w:fldCharType="begin"/>
            </w:r>
            <w:r w:rsidR="00A46CA5">
              <w:rPr>
                <w:webHidden/>
              </w:rPr>
              <w:instrText xml:space="preserve"> PAGEREF _Toc489005705 \h </w:instrText>
            </w:r>
            <w:r w:rsidR="00A46CA5">
              <w:rPr>
                <w:webHidden/>
              </w:rPr>
            </w:r>
            <w:r w:rsidR="00A46CA5">
              <w:rPr>
                <w:webHidden/>
              </w:rPr>
              <w:fldChar w:fldCharType="separate"/>
            </w:r>
            <w:r w:rsidR="004C7FF8">
              <w:rPr>
                <w:webHidden/>
              </w:rPr>
              <w:t>4</w:t>
            </w:r>
            <w:r w:rsidR="00A46CA5">
              <w:rPr>
                <w:webHidden/>
              </w:rPr>
              <w:fldChar w:fldCharType="end"/>
            </w:r>
          </w:hyperlink>
        </w:p>
        <w:p w14:paraId="72533A43" w14:textId="77777777" w:rsidR="00A46CA5" w:rsidRDefault="009B670B" w:rsidP="00A46CA5">
          <w:pPr>
            <w:pStyle w:val="TOC2"/>
            <w:tabs>
              <w:tab w:val="left" w:pos="1530"/>
            </w:tabs>
            <w:rPr>
              <w:rFonts w:asciiTheme="minorHAnsi" w:eastAsiaTheme="minorEastAsia" w:hAnsiTheme="minorHAnsi" w:cstheme="minorBidi"/>
              <w:sz w:val="22"/>
              <w:szCs w:val="22"/>
            </w:rPr>
          </w:pPr>
          <w:hyperlink w:anchor="_Toc489005706" w:history="1">
            <w:r w:rsidR="00A46CA5" w:rsidRPr="008D121D">
              <w:rPr>
                <w:rStyle w:val="Hyperlink"/>
              </w:rPr>
              <w:t>A.</w:t>
            </w:r>
            <w:r w:rsidR="00A46CA5">
              <w:rPr>
                <w:rFonts w:asciiTheme="minorHAnsi" w:eastAsiaTheme="minorEastAsia" w:hAnsiTheme="minorHAnsi" w:cstheme="minorBidi"/>
                <w:sz w:val="22"/>
                <w:szCs w:val="22"/>
              </w:rPr>
              <w:tab/>
            </w:r>
            <w:r w:rsidR="00A46CA5" w:rsidRPr="008D121D">
              <w:rPr>
                <w:rStyle w:val="Hyperlink"/>
              </w:rPr>
              <w:t>The Pacific Power Proposal</w:t>
            </w:r>
            <w:r w:rsidR="00A46CA5">
              <w:rPr>
                <w:webHidden/>
              </w:rPr>
              <w:tab/>
            </w:r>
            <w:r w:rsidR="00A46CA5">
              <w:rPr>
                <w:webHidden/>
              </w:rPr>
              <w:fldChar w:fldCharType="begin"/>
            </w:r>
            <w:r w:rsidR="00A46CA5">
              <w:rPr>
                <w:webHidden/>
              </w:rPr>
              <w:instrText xml:space="preserve"> PAGEREF _Toc489005706 \h </w:instrText>
            </w:r>
            <w:r w:rsidR="00A46CA5">
              <w:rPr>
                <w:webHidden/>
              </w:rPr>
            </w:r>
            <w:r w:rsidR="00A46CA5">
              <w:rPr>
                <w:webHidden/>
              </w:rPr>
              <w:fldChar w:fldCharType="separate"/>
            </w:r>
            <w:r w:rsidR="004C7FF8">
              <w:rPr>
                <w:webHidden/>
              </w:rPr>
              <w:t>4</w:t>
            </w:r>
            <w:r w:rsidR="00A46CA5">
              <w:rPr>
                <w:webHidden/>
              </w:rPr>
              <w:fldChar w:fldCharType="end"/>
            </w:r>
          </w:hyperlink>
        </w:p>
        <w:p w14:paraId="7DEF0FA7" w14:textId="77777777" w:rsidR="00A46CA5" w:rsidRDefault="009B670B" w:rsidP="00A46CA5">
          <w:pPr>
            <w:pStyle w:val="TOC2"/>
            <w:tabs>
              <w:tab w:val="left" w:pos="1080"/>
            </w:tabs>
            <w:rPr>
              <w:rFonts w:asciiTheme="minorHAnsi" w:eastAsiaTheme="minorEastAsia" w:hAnsiTheme="minorHAnsi" w:cstheme="minorBidi"/>
              <w:sz w:val="22"/>
              <w:szCs w:val="22"/>
            </w:rPr>
          </w:pPr>
          <w:hyperlink w:anchor="_Toc489005707" w:history="1">
            <w:r w:rsidR="00A46CA5" w:rsidRPr="008D121D">
              <w:rPr>
                <w:rStyle w:val="Hyperlink"/>
              </w:rPr>
              <w:t>B.</w:t>
            </w:r>
            <w:r w:rsidR="00A46CA5">
              <w:rPr>
                <w:rFonts w:asciiTheme="minorHAnsi" w:eastAsiaTheme="minorEastAsia" w:hAnsiTheme="minorHAnsi" w:cstheme="minorBidi"/>
                <w:sz w:val="22"/>
                <w:szCs w:val="22"/>
              </w:rPr>
              <w:tab/>
            </w:r>
            <w:r w:rsidR="00A46CA5" w:rsidRPr="008D121D">
              <w:rPr>
                <w:rStyle w:val="Hyperlink"/>
              </w:rPr>
              <w:t>Pacific Power’s Proposal Is A Reasonable And Necessary Response To Potential Cost-Shifting</w:t>
            </w:r>
            <w:r w:rsidR="00A46CA5">
              <w:rPr>
                <w:webHidden/>
              </w:rPr>
              <w:tab/>
            </w:r>
            <w:r w:rsidR="00A46CA5">
              <w:rPr>
                <w:webHidden/>
              </w:rPr>
              <w:fldChar w:fldCharType="begin"/>
            </w:r>
            <w:r w:rsidR="00A46CA5">
              <w:rPr>
                <w:webHidden/>
              </w:rPr>
              <w:instrText xml:space="preserve"> PAGEREF _Toc489005707 \h </w:instrText>
            </w:r>
            <w:r w:rsidR="00A46CA5">
              <w:rPr>
                <w:webHidden/>
              </w:rPr>
            </w:r>
            <w:r w:rsidR="00A46CA5">
              <w:rPr>
                <w:webHidden/>
              </w:rPr>
              <w:fldChar w:fldCharType="separate"/>
            </w:r>
            <w:r w:rsidR="004C7FF8">
              <w:rPr>
                <w:webHidden/>
              </w:rPr>
              <w:t>6</w:t>
            </w:r>
            <w:r w:rsidR="00A46CA5">
              <w:rPr>
                <w:webHidden/>
              </w:rPr>
              <w:fldChar w:fldCharType="end"/>
            </w:r>
          </w:hyperlink>
        </w:p>
        <w:p w14:paraId="5738687C" w14:textId="77777777" w:rsidR="00A46CA5" w:rsidRDefault="009B670B" w:rsidP="00A46CA5">
          <w:pPr>
            <w:pStyle w:val="TOC2"/>
            <w:tabs>
              <w:tab w:val="left" w:pos="1080"/>
            </w:tabs>
            <w:rPr>
              <w:rFonts w:asciiTheme="minorHAnsi" w:eastAsiaTheme="minorEastAsia" w:hAnsiTheme="minorHAnsi" w:cstheme="minorBidi"/>
              <w:sz w:val="22"/>
              <w:szCs w:val="22"/>
            </w:rPr>
          </w:pPr>
          <w:hyperlink w:anchor="_Toc489005708" w:history="1">
            <w:r w:rsidR="00A46CA5" w:rsidRPr="008D121D">
              <w:rPr>
                <w:rStyle w:val="Hyperlink"/>
              </w:rPr>
              <w:t>C.</w:t>
            </w:r>
            <w:r w:rsidR="00A46CA5">
              <w:rPr>
                <w:rFonts w:asciiTheme="minorHAnsi" w:eastAsiaTheme="minorEastAsia" w:hAnsiTheme="minorHAnsi" w:cstheme="minorBidi"/>
                <w:sz w:val="22"/>
                <w:szCs w:val="22"/>
              </w:rPr>
              <w:tab/>
            </w:r>
            <w:r w:rsidR="00A46CA5" w:rsidRPr="008D121D">
              <w:rPr>
                <w:rStyle w:val="Hyperlink"/>
              </w:rPr>
              <w:t>The Company Proposal Is Consistent With Washington Regulatory Policy</w:t>
            </w:r>
            <w:r w:rsidR="00A46CA5">
              <w:rPr>
                <w:webHidden/>
              </w:rPr>
              <w:tab/>
            </w:r>
            <w:r w:rsidR="00A46CA5">
              <w:rPr>
                <w:webHidden/>
              </w:rPr>
              <w:fldChar w:fldCharType="begin"/>
            </w:r>
            <w:r w:rsidR="00A46CA5">
              <w:rPr>
                <w:webHidden/>
              </w:rPr>
              <w:instrText xml:space="preserve"> PAGEREF _Toc489005708 \h </w:instrText>
            </w:r>
            <w:r w:rsidR="00A46CA5">
              <w:rPr>
                <w:webHidden/>
              </w:rPr>
            </w:r>
            <w:r w:rsidR="00A46CA5">
              <w:rPr>
                <w:webHidden/>
              </w:rPr>
              <w:fldChar w:fldCharType="separate"/>
            </w:r>
            <w:r w:rsidR="004C7FF8">
              <w:rPr>
                <w:webHidden/>
              </w:rPr>
              <w:t>7</w:t>
            </w:r>
            <w:r w:rsidR="00A46CA5">
              <w:rPr>
                <w:webHidden/>
              </w:rPr>
              <w:fldChar w:fldCharType="end"/>
            </w:r>
          </w:hyperlink>
        </w:p>
        <w:p w14:paraId="2A0D4FC4" w14:textId="77777777" w:rsidR="00A46CA5" w:rsidRDefault="009B670B" w:rsidP="00A46CA5">
          <w:pPr>
            <w:pStyle w:val="TOC3"/>
            <w:tabs>
              <w:tab w:val="left" w:pos="1530"/>
            </w:tabs>
            <w:rPr>
              <w:rFonts w:asciiTheme="minorHAnsi" w:eastAsiaTheme="minorEastAsia" w:hAnsiTheme="minorHAnsi" w:cstheme="minorBidi"/>
              <w:sz w:val="22"/>
              <w:szCs w:val="22"/>
            </w:rPr>
          </w:pPr>
          <w:hyperlink w:anchor="_Toc489005709" w:history="1">
            <w:r w:rsidR="00A46CA5" w:rsidRPr="008D121D">
              <w:rPr>
                <w:rStyle w:val="Hyperlink"/>
              </w:rPr>
              <w:t>1.</w:t>
            </w:r>
            <w:r w:rsidR="00A46CA5">
              <w:rPr>
                <w:rFonts w:asciiTheme="minorHAnsi" w:eastAsiaTheme="minorEastAsia" w:hAnsiTheme="minorHAnsi" w:cstheme="minorBidi"/>
                <w:sz w:val="22"/>
                <w:szCs w:val="22"/>
              </w:rPr>
              <w:tab/>
            </w:r>
            <w:r w:rsidR="00A46CA5" w:rsidRPr="008D121D">
              <w:rPr>
                <w:rStyle w:val="Hyperlink"/>
              </w:rPr>
              <w:t>Guiding principles</w:t>
            </w:r>
            <w:r w:rsidR="00A46CA5">
              <w:rPr>
                <w:webHidden/>
              </w:rPr>
              <w:tab/>
            </w:r>
            <w:r w:rsidR="00A46CA5">
              <w:rPr>
                <w:webHidden/>
              </w:rPr>
              <w:fldChar w:fldCharType="begin"/>
            </w:r>
            <w:r w:rsidR="00A46CA5">
              <w:rPr>
                <w:webHidden/>
              </w:rPr>
              <w:instrText xml:space="preserve"> PAGEREF _Toc489005709 \h </w:instrText>
            </w:r>
            <w:r w:rsidR="00A46CA5">
              <w:rPr>
                <w:webHidden/>
              </w:rPr>
            </w:r>
            <w:r w:rsidR="00A46CA5">
              <w:rPr>
                <w:webHidden/>
              </w:rPr>
              <w:fldChar w:fldCharType="separate"/>
            </w:r>
            <w:r w:rsidR="004C7FF8">
              <w:rPr>
                <w:webHidden/>
              </w:rPr>
              <w:t>7</w:t>
            </w:r>
            <w:r w:rsidR="00A46CA5">
              <w:rPr>
                <w:webHidden/>
              </w:rPr>
              <w:fldChar w:fldCharType="end"/>
            </w:r>
          </w:hyperlink>
        </w:p>
        <w:p w14:paraId="5BB9C933" w14:textId="77777777" w:rsidR="00A46CA5" w:rsidRDefault="009B670B" w:rsidP="00A46CA5">
          <w:pPr>
            <w:pStyle w:val="TOC3"/>
            <w:tabs>
              <w:tab w:val="left" w:pos="1530"/>
            </w:tabs>
            <w:rPr>
              <w:rFonts w:asciiTheme="minorHAnsi" w:eastAsiaTheme="minorEastAsia" w:hAnsiTheme="minorHAnsi" w:cstheme="minorBidi"/>
              <w:sz w:val="22"/>
              <w:szCs w:val="22"/>
            </w:rPr>
          </w:pPr>
          <w:hyperlink w:anchor="_Toc489005710" w:history="1">
            <w:r w:rsidR="00A46CA5" w:rsidRPr="008D121D">
              <w:rPr>
                <w:rStyle w:val="Hyperlink"/>
              </w:rPr>
              <w:t>2.</w:t>
            </w:r>
            <w:r w:rsidR="00A46CA5">
              <w:rPr>
                <w:rFonts w:asciiTheme="minorHAnsi" w:eastAsiaTheme="minorEastAsia" w:hAnsiTheme="minorHAnsi" w:cstheme="minorBidi"/>
                <w:sz w:val="22"/>
                <w:szCs w:val="22"/>
              </w:rPr>
              <w:tab/>
            </w:r>
            <w:r w:rsidR="00A46CA5" w:rsidRPr="008D121D">
              <w:rPr>
                <w:rStyle w:val="Hyperlink"/>
              </w:rPr>
              <w:t>The “Regulatory Compact”</w:t>
            </w:r>
            <w:r w:rsidR="00A46CA5">
              <w:rPr>
                <w:webHidden/>
              </w:rPr>
              <w:tab/>
            </w:r>
            <w:r w:rsidR="00A46CA5">
              <w:rPr>
                <w:webHidden/>
              </w:rPr>
              <w:fldChar w:fldCharType="begin"/>
            </w:r>
            <w:r w:rsidR="00A46CA5">
              <w:rPr>
                <w:webHidden/>
              </w:rPr>
              <w:instrText xml:space="preserve"> PAGEREF _Toc489005710 \h </w:instrText>
            </w:r>
            <w:r w:rsidR="00A46CA5">
              <w:rPr>
                <w:webHidden/>
              </w:rPr>
            </w:r>
            <w:r w:rsidR="00A46CA5">
              <w:rPr>
                <w:webHidden/>
              </w:rPr>
              <w:fldChar w:fldCharType="separate"/>
            </w:r>
            <w:r w:rsidR="004C7FF8">
              <w:rPr>
                <w:webHidden/>
              </w:rPr>
              <w:t>10</w:t>
            </w:r>
            <w:r w:rsidR="00A46CA5">
              <w:rPr>
                <w:webHidden/>
              </w:rPr>
              <w:fldChar w:fldCharType="end"/>
            </w:r>
          </w:hyperlink>
        </w:p>
        <w:p w14:paraId="01688FCF" w14:textId="77777777" w:rsidR="00A46CA5" w:rsidRDefault="009B670B" w:rsidP="00A46CA5">
          <w:pPr>
            <w:pStyle w:val="TOC1"/>
            <w:rPr>
              <w:rFonts w:asciiTheme="minorHAnsi" w:eastAsiaTheme="minorEastAsia" w:hAnsiTheme="minorHAnsi" w:cstheme="minorBidi"/>
              <w:caps w:val="0"/>
              <w:sz w:val="22"/>
              <w:szCs w:val="22"/>
            </w:rPr>
          </w:pPr>
          <w:hyperlink w:anchor="_Toc489005711" w:history="1">
            <w:r w:rsidR="00A46CA5" w:rsidRPr="008D121D">
              <w:rPr>
                <w:rStyle w:val="Hyperlink"/>
              </w:rPr>
              <w:t>IV.</w:t>
            </w:r>
            <w:r w:rsidR="00A46CA5">
              <w:rPr>
                <w:rFonts w:asciiTheme="minorHAnsi" w:eastAsiaTheme="minorEastAsia" w:hAnsiTheme="minorHAnsi" w:cstheme="minorBidi"/>
                <w:caps w:val="0"/>
                <w:sz w:val="22"/>
                <w:szCs w:val="22"/>
              </w:rPr>
              <w:tab/>
            </w:r>
            <w:r w:rsidR="00A46CA5" w:rsidRPr="008D121D">
              <w:rPr>
                <w:rStyle w:val="Hyperlink"/>
              </w:rPr>
              <w:t>conclusion</w:t>
            </w:r>
            <w:r w:rsidR="00A46CA5">
              <w:rPr>
                <w:webHidden/>
              </w:rPr>
              <w:tab/>
            </w:r>
            <w:r w:rsidR="00A46CA5">
              <w:rPr>
                <w:webHidden/>
              </w:rPr>
              <w:fldChar w:fldCharType="begin"/>
            </w:r>
            <w:r w:rsidR="00A46CA5">
              <w:rPr>
                <w:webHidden/>
              </w:rPr>
              <w:instrText xml:space="preserve"> PAGEREF _Toc489005711 \h </w:instrText>
            </w:r>
            <w:r w:rsidR="00A46CA5">
              <w:rPr>
                <w:webHidden/>
              </w:rPr>
            </w:r>
            <w:r w:rsidR="00A46CA5">
              <w:rPr>
                <w:webHidden/>
              </w:rPr>
              <w:fldChar w:fldCharType="separate"/>
            </w:r>
            <w:r w:rsidR="004C7FF8">
              <w:rPr>
                <w:webHidden/>
              </w:rPr>
              <w:t>13</w:t>
            </w:r>
            <w:r w:rsidR="00A46CA5">
              <w:rPr>
                <w:webHidden/>
              </w:rPr>
              <w:fldChar w:fldCharType="end"/>
            </w:r>
          </w:hyperlink>
        </w:p>
        <w:p w14:paraId="2361A95B" w14:textId="77777777" w:rsidR="00A46CA5" w:rsidRDefault="00A46CA5" w:rsidP="00A46CA5">
          <w:r>
            <w:rPr>
              <w:b/>
              <w:bCs/>
              <w:noProof/>
            </w:rPr>
            <w:fldChar w:fldCharType="end"/>
          </w:r>
        </w:p>
      </w:sdtContent>
    </w:sdt>
    <w:p w14:paraId="74AAC187" w14:textId="77777777" w:rsidR="00A46CA5" w:rsidRPr="00BD1378" w:rsidRDefault="00A46CA5" w:rsidP="00A46CA5">
      <w:pPr>
        <w:jc w:val="center"/>
        <w:rPr>
          <w:b/>
        </w:rPr>
      </w:pPr>
      <w:r w:rsidRPr="00BD1378">
        <w:rPr>
          <w:b/>
        </w:rPr>
        <w:t>TABLE OF AUTHORITIES</w:t>
      </w:r>
    </w:p>
    <w:p w14:paraId="55CF4999" w14:textId="77777777" w:rsidR="00A46CA5" w:rsidRDefault="00A46CA5" w:rsidP="00A46CA5">
      <w:pPr>
        <w:jc w:val="center"/>
      </w:pPr>
    </w:p>
    <w:p w14:paraId="0C4743E2" w14:textId="77777777" w:rsidR="00A46CA5" w:rsidRPr="00BD1378" w:rsidRDefault="00A46CA5" w:rsidP="00A46CA5">
      <w:pPr>
        <w:jc w:val="center"/>
        <w:rPr>
          <w:b/>
          <w:noProof/>
        </w:rPr>
      </w:pPr>
      <w:r>
        <w:fldChar w:fldCharType="begin"/>
      </w:r>
      <w:r>
        <w:instrText xml:space="preserve"> TOA \h \c "1" \p </w:instrText>
      </w:r>
      <w:r>
        <w:fldChar w:fldCharType="separate"/>
      </w:r>
      <w:r w:rsidRPr="00BD1378">
        <w:rPr>
          <w:b/>
          <w:noProof/>
        </w:rPr>
        <w:t>Cases</w:t>
      </w:r>
    </w:p>
    <w:p w14:paraId="2503EBA7" w14:textId="77777777" w:rsidR="00A46CA5" w:rsidRDefault="00A46CA5" w:rsidP="00A46CA5">
      <w:pPr>
        <w:jc w:val="center"/>
        <w:rPr>
          <w:rFonts w:asciiTheme="minorHAnsi" w:eastAsiaTheme="minorEastAsia" w:hAnsiTheme="minorHAnsi" w:cstheme="minorBidi"/>
          <w:b/>
          <w:bCs/>
          <w:noProof/>
          <w:sz w:val="22"/>
          <w:szCs w:val="22"/>
        </w:rPr>
      </w:pPr>
    </w:p>
    <w:p w14:paraId="22742223" w14:textId="77777777" w:rsidR="00A46CA5" w:rsidRDefault="00A46CA5" w:rsidP="00A46CA5">
      <w:pPr>
        <w:pStyle w:val="TableofAuthorities"/>
        <w:tabs>
          <w:tab w:val="clear" w:pos="9360"/>
          <w:tab w:val="right" w:leader="dot" w:pos="9350"/>
        </w:tabs>
        <w:rPr>
          <w:noProof/>
        </w:rPr>
      </w:pPr>
      <w:r w:rsidRPr="00804C47">
        <w:rPr>
          <w:i/>
          <w:noProof/>
        </w:rPr>
        <w:t>Jewell v. Washington Utilities &amp; Transportation Commission,</w:t>
      </w:r>
      <w:r>
        <w:rPr>
          <w:noProof/>
        </w:rPr>
        <w:t xml:space="preserve"> </w:t>
      </w:r>
      <w:r>
        <w:rPr>
          <w:noProof/>
        </w:rPr>
        <w:br/>
        <w:t>90 Wn.2d 775, 776, 585 P.2d 1167 (1978)</w:t>
      </w:r>
      <w:r>
        <w:rPr>
          <w:noProof/>
        </w:rPr>
        <w:tab/>
        <w:t>12</w:t>
      </w:r>
    </w:p>
    <w:p w14:paraId="5C4E6298" w14:textId="77777777" w:rsidR="00A46CA5" w:rsidRDefault="00A46CA5" w:rsidP="00A46CA5">
      <w:pPr>
        <w:rPr>
          <w:i/>
        </w:rPr>
      </w:pPr>
      <w:r>
        <w:rPr>
          <w:i/>
        </w:rPr>
        <w:t>Tanner Electric Cooperative v. Puget Sound Power &amp; Light,</w:t>
      </w:r>
    </w:p>
    <w:p w14:paraId="46293ECE" w14:textId="77777777" w:rsidR="00A46CA5" w:rsidRPr="00BD1378" w:rsidRDefault="00301AE0" w:rsidP="00A46CA5">
      <w:r>
        <w:t xml:space="preserve">    </w:t>
      </w:r>
      <w:r w:rsidR="00A46CA5">
        <w:t>128 Wn.2d 656, 682-685), 911 P.2d 1302 (</w:t>
      </w:r>
      <w:r w:rsidR="008B69BE">
        <w:t>1996)</w:t>
      </w:r>
      <w:r w:rsidR="008B69BE">
        <w:rPr>
          <w:noProof/>
        </w:rPr>
        <w:t xml:space="preserve"> …</w:t>
      </w:r>
      <w:r w:rsidR="00A46CA5">
        <w:rPr>
          <w:noProof/>
        </w:rPr>
        <w:t>…………</w:t>
      </w:r>
      <w:r w:rsidR="009C23C4">
        <w:rPr>
          <w:noProof/>
        </w:rPr>
        <w:t>...</w:t>
      </w:r>
      <w:r w:rsidR="00A46CA5">
        <w:rPr>
          <w:noProof/>
        </w:rPr>
        <w:t>……………….………..11, 12</w:t>
      </w:r>
    </w:p>
    <w:p w14:paraId="375B39A8" w14:textId="77777777" w:rsidR="00A46CA5" w:rsidRDefault="00A46CA5" w:rsidP="00A46CA5">
      <w:pPr>
        <w:pStyle w:val="TOAHeading"/>
        <w:tabs>
          <w:tab w:val="right" w:leader="dot" w:pos="9350"/>
        </w:tabs>
      </w:pPr>
      <w:r>
        <w:fldChar w:fldCharType="end"/>
      </w:r>
    </w:p>
    <w:p w14:paraId="41BFAD2F" w14:textId="77777777" w:rsidR="00A46CA5" w:rsidRDefault="00A46CA5" w:rsidP="00A46CA5">
      <w:pPr>
        <w:rPr>
          <w:b/>
          <w:u w:val="single"/>
        </w:rPr>
      </w:pPr>
      <w:r>
        <w:br w:type="page"/>
      </w:r>
    </w:p>
    <w:p w14:paraId="7163C507" w14:textId="77777777" w:rsidR="00A46CA5" w:rsidRDefault="00A46CA5" w:rsidP="00A46CA5">
      <w:pPr>
        <w:pStyle w:val="TOAHeading"/>
        <w:tabs>
          <w:tab w:val="right" w:leader="dot" w:pos="9350"/>
        </w:tabs>
        <w:rPr>
          <w:rFonts w:asciiTheme="minorHAnsi" w:eastAsiaTheme="minorEastAsia" w:hAnsiTheme="minorHAnsi" w:cstheme="minorBidi"/>
          <w:b w:val="0"/>
          <w:bCs/>
          <w:noProof/>
          <w:sz w:val="22"/>
          <w:szCs w:val="22"/>
        </w:rPr>
      </w:pPr>
      <w:r>
        <w:lastRenderedPageBreak/>
        <w:fldChar w:fldCharType="begin"/>
      </w:r>
      <w:r>
        <w:instrText xml:space="preserve"> TOA \h \c "2" \p </w:instrText>
      </w:r>
      <w:r>
        <w:fldChar w:fldCharType="separate"/>
      </w:r>
      <w:r>
        <w:rPr>
          <w:noProof/>
        </w:rPr>
        <w:t>Statutes</w:t>
      </w:r>
    </w:p>
    <w:p w14:paraId="1B8A9F65" w14:textId="77777777" w:rsidR="00A46CA5" w:rsidRDefault="00A46CA5" w:rsidP="00A46CA5">
      <w:pPr>
        <w:pStyle w:val="TableofAuthorities"/>
        <w:tabs>
          <w:tab w:val="clear" w:pos="9360"/>
          <w:tab w:val="right" w:leader="dot" w:pos="9350"/>
        </w:tabs>
        <w:rPr>
          <w:noProof/>
        </w:rPr>
      </w:pPr>
      <w:r>
        <w:rPr>
          <w:noProof/>
        </w:rPr>
        <w:t>RCW 54.48.020</w:t>
      </w:r>
      <w:r>
        <w:rPr>
          <w:noProof/>
        </w:rPr>
        <w:tab/>
        <w:t>12</w:t>
      </w:r>
    </w:p>
    <w:p w14:paraId="3011B74A" w14:textId="77777777" w:rsidR="00A46CA5" w:rsidRDefault="00A46CA5" w:rsidP="00A46CA5">
      <w:pPr>
        <w:pStyle w:val="TableofAuthorities"/>
        <w:tabs>
          <w:tab w:val="clear" w:pos="9360"/>
          <w:tab w:val="right" w:leader="dot" w:pos="9350"/>
        </w:tabs>
        <w:rPr>
          <w:noProof/>
        </w:rPr>
      </w:pPr>
      <w:r>
        <w:rPr>
          <w:noProof/>
        </w:rPr>
        <w:t>RCW 80.28.025</w:t>
      </w:r>
      <w:r>
        <w:rPr>
          <w:noProof/>
        </w:rPr>
        <w:tab/>
        <w:t>12</w:t>
      </w:r>
    </w:p>
    <w:p w14:paraId="32B1644E" w14:textId="77777777" w:rsidR="00A46CA5" w:rsidRDefault="00A46CA5" w:rsidP="00A46CA5">
      <w:pPr>
        <w:pStyle w:val="TableofAuthorities"/>
        <w:tabs>
          <w:tab w:val="clear" w:pos="9360"/>
          <w:tab w:val="right" w:leader="dot" w:pos="9350"/>
        </w:tabs>
        <w:rPr>
          <w:noProof/>
        </w:rPr>
      </w:pPr>
      <w:r>
        <w:rPr>
          <w:noProof/>
        </w:rPr>
        <w:t>RCW 80.28.068</w:t>
      </w:r>
      <w:r>
        <w:rPr>
          <w:noProof/>
        </w:rPr>
        <w:tab/>
        <w:t>12</w:t>
      </w:r>
    </w:p>
    <w:p w14:paraId="5A61D6AE" w14:textId="77777777" w:rsidR="00A46CA5" w:rsidRDefault="00A46CA5" w:rsidP="00A46CA5">
      <w:pPr>
        <w:pStyle w:val="TableofAuthorities"/>
        <w:tabs>
          <w:tab w:val="clear" w:pos="9360"/>
          <w:tab w:val="right" w:leader="dot" w:pos="9350"/>
        </w:tabs>
        <w:rPr>
          <w:noProof/>
        </w:rPr>
      </w:pPr>
      <w:r>
        <w:rPr>
          <w:noProof/>
        </w:rPr>
        <w:t>RCW 80.28.074</w:t>
      </w:r>
      <w:r>
        <w:rPr>
          <w:noProof/>
        </w:rPr>
        <w:tab/>
        <w:t>12</w:t>
      </w:r>
    </w:p>
    <w:p w14:paraId="7675C2F3" w14:textId="77777777" w:rsidR="00A46CA5" w:rsidRDefault="00A46CA5" w:rsidP="00A46CA5">
      <w:pPr>
        <w:pStyle w:val="TableofAuthorities"/>
        <w:tabs>
          <w:tab w:val="clear" w:pos="9360"/>
          <w:tab w:val="right" w:leader="dot" w:pos="9350"/>
        </w:tabs>
        <w:rPr>
          <w:noProof/>
        </w:rPr>
      </w:pPr>
      <w:r>
        <w:rPr>
          <w:noProof/>
        </w:rPr>
        <w:t>RCW 80.28.110</w:t>
      </w:r>
      <w:r>
        <w:rPr>
          <w:noProof/>
        </w:rPr>
        <w:tab/>
        <w:t>12</w:t>
      </w:r>
    </w:p>
    <w:p w14:paraId="1EC4DA24" w14:textId="77777777" w:rsidR="00A46CA5" w:rsidRDefault="00A46CA5" w:rsidP="00A46CA5">
      <w:pPr>
        <w:pStyle w:val="TOAHeading"/>
        <w:tabs>
          <w:tab w:val="right" w:leader="dot" w:pos="9350"/>
        </w:tabs>
        <w:rPr>
          <w:rFonts w:asciiTheme="minorHAnsi" w:eastAsiaTheme="minorEastAsia" w:hAnsiTheme="minorHAnsi" w:cstheme="minorBidi"/>
          <w:b w:val="0"/>
          <w:bCs/>
          <w:noProof/>
          <w:sz w:val="22"/>
          <w:szCs w:val="22"/>
        </w:rPr>
      </w:pPr>
      <w:r>
        <w:fldChar w:fldCharType="end"/>
      </w:r>
      <w:r>
        <w:fldChar w:fldCharType="begin"/>
      </w:r>
      <w:r>
        <w:instrText xml:space="preserve"> TOA \h \c "3" \p </w:instrText>
      </w:r>
      <w:r>
        <w:fldChar w:fldCharType="separate"/>
      </w:r>
      <w:r>
        <w:rPr>
          <w:noProof/>
        </w:rPr>
        <w:t>UTC Decisions</w:t>
      </w:r>
    </w:p>
    <w:p w14:paraId="00F16648" w14:textId="77777777" w:rsidR="00A46CA5" w:rsidRDefault="00A46CA5" w:rsidP="00A46CA5">
      <w:pPr>
        <w:pStyle w:val="TableofAuthorities"/>
        <w:tabs>
          <w:tab w:val="clear" w:pos="9360"/>
          <w:tab w:val="right" w:leader="dot" w:pos="9350"/>
        </w:tabs>
        <w:rPr>
          <w:noProof/>
        </w:rPr>
      </w:pPr>
      <w:r w:rsidRPr="00D524D5">
        <w:rPr>
          <w:i/>
          <w:noProof/>
        </w:rPr>
        <w:t>In the Matter of the Commission’s Notice of Inquiry: Examining Regulation of Electric Utilities in the Face of Change in the Electric Industry</w:t>
      </w:r>
      <w:r>
        <w:rPr>
          <w:noProof/>
        </w:rPr>
        <w:t xml:space="preserve">, </w:t>
      </w:r>
      <w:r>
        <w:rPr>
          <w:noProof/>
        </w:rPr>
        <w:br/>
        <w:t>Docket UE-940932</w:t>
      </w:r>
      <w:r>
        <w:rPr>
          <w:noProof/>
        </w:rPr>
        <w:tab/>
        <w:t>8</w:t>
      </w:r>
      <w:r w:rsidR="008B69BE">
        <w:rPr>
          <w:noProof/>
        </w:rPr>
        <w:t>, 9</w:t>
      </w:r>
    </w:p>
    <w:p w14:paraId="47ED8B68" w14:textId="77777777" w:rsidR="00301AE0" w:rsidRDefault="00A46CA5" w:rsidP="00301AE0">
      <w:pPr>
        <w:pStyle w:val="TableofAuthorities"/>
        <w:tabs>
          <w:tab w:val="clear" w:pos="9360"/>
          <w:tab w:val="right" w:leader="dot" w:pos="9350"/>
        </w:tabs>
        <w:spacing w:after="0"/>
        <w:rPr>
          <w:i/>
          <w:noProof/>
        </w:rPr>
      </w:pPr>
      <w:r w:rsidRPr="00D524D5">
        <w:rPr>
          <w:i/>
          <w:noProof/>
        </w:rPr>
        <w:t xml:space="preserve">In the Matter of the Petition of Puget Sound Energy For An Accounting Order Approving The Allocation Of Proceeds Of The Sale Of Certain Assets To Public </w:t>
      </w:r>
    </w:p>
    <w:p w14:paraId="7F09F7E9" w14:textId="77777777" w:rsidR="00301AE0" w:rsidRDefault="00301AE0" w:rsidP="00301AE0">
      <w:pPr>
        <w:pStyle w:val="TableofAuthorities"/>
        <w:tabs>
          <w:tab w:val="clear" w:pos="9360"/>
          <w:tab w:val="right" w:leader="dot" w:pos="9350"/>
        </w:tabs>
        <w:spacing w:after="0"/>
        <w:rPr>
          <w:noProof/>
        </w:rPr>
      </w:pPr>
      <w:r>
        <w:rPr>
          <w:i/>
          <w:noProof/>
        </w:rPr>
        <w:t xml:space="preserve">    Utility</w:t>
      </w:r>
      <w:r w:rsidR="004C7FF8">
        <w:rPr>
          <w:i/>
          <w:noProof/>
        </w:rPr>
        <w:t xml:space="preserve"> </w:t>
      </w:r>
      <w:r w:rsidR="00A46CA5" w:rsidRPr="00D524D5">
        <w:rPr>
          <w:i/>
          <w:noProof/>
        </w:rPr>
        <w:t>District # 1 Of Jefferson County</w:t>
      </w:r>
      <w:r w:rsidR="00A46CA5">
        <w:rPr>
          <w:noProof/>
        </w:rPr>
        <w:t>,</w:t>
      </w:r>
      <w:r>
        <w:rPr>
          <w:noProof/>
        </w:rPr>
        <w:t xml:space="preserve"> </w:t>
      </w:r>
    </w:p>
    <w:p w14:paraId="3C7896DD" w14:textId="77777777" w:rsidR="00301AE0" w:rsidRPr="00301AE0" w:rsidRDefault="00301AE0" w:rsidP="00301AE0">
      <w:pPr>
        <w:pStyle w:val="TableofAuthorities"/>
        <w:tabs>
          <w:tab w:val="clear" w:pos="9360"/>
          <w:tab w:val="right" w:leader="dot" w:pos="9350"/>
        </w:tabs>
        <w:spacing w:after="0"/>
        <w:rPr>
          <w:noProof/>
        </w:rPr>
      </w:pPr>
      <w:r>
        <w:rPr>
          <w:noProof/>
        </w:rPr>
        <w:t xml:space="preserve">    </w:t>
      </w:r>
      <w:r w:rsidR="00A46CA5">
        <w:rPr>
          <w:noProof/>
        </w:rPr>
        <w:t>Docket UE-132027, Order 04, ¶ 15 (September 11, 2014)</w:t>
      </w:r>
      <w:r w:rsidR="00A46CA5">
        <w:rPr>
          <w:noProof/>
        </w:rPr>
        <w:tab/>
        <w:t>11</w:t>
      </w:r>
    </w:p>
    <w:p w14:paraId="79406171" w14:textId="77777777" w:rsidR="00301AE0" w:rsidRDefault="00301AE0" w:rsidP="00301AE0">
      <w:pPr>
        <w:pStyle w:val="TableofAuthorities"/>
        <w:tabs>
          <w:tab w:val="clear" w:pos="9360"/>
          <w:tab w:val="right" w:leader="dot" w:pos="9350"/>
        </w:tabs>
        <w:spacing w:after="0"/>
        <w:rPr>
          <w:i/>
          <w:noProof/>
        </w:rPr>
      </w:pPr>
    </w:p>
    <w:p w14:paraId="35E71EFE" w14:textId="77777777" w:rsidR="00A46CA5" w:rsidRDefault="00A46CA5" w:rsidP="00A46CA5">
      <w:pPr>
        <w:pStyle w:val="TableofAuthorities"/>
        <w:tabs>
          <w:tab w:val="clear" w:pos="9360"/>
          <w:tab w:val="right" w:leader="dot" w:pos="9350"/>
        </w:tabs>
        <w:rPr>
          <w:noProof/>
        </w:rPr>
      </w:pPr>
      <w:r w:rsidRPr="00D524D5">
        <w:rPr>
          <w:i/>
          <w:noProof/>
        </w:rPr>
        <w:t>Walla Walla Country Club v. Pacific Power &amp; Light Co.</w:t>
      </w:r>
      <w:r>
        <w:rPr>
          <w:noProof/>
        </w:rPr>
        <w:t xml:space="preserve">, </w:t>
      </w:r>
      <w:r>
        <w:rPr>
          <w:noProof/>
        </w:rPr>
        <w:br/>
        <w:t>Docket UE-143932</w:t>
      </w:r>
      <w:r w:rsidRPr="00D524D5">
        <w:rPr>
          <w:i/>
          <w:noProof/>
        </w:rPr>
        <w:t xml:space="preserve">, </w:t>
      </w:r>
      <w:r>
        <w:rPr>
          <w:noProof/>
        </w:rPr>
        <w:t>Order 05, p. 7, ¶ 3</w:t>
      </w:r>
      <w:r>
        <w:rPr>
          <w:noProof/>
        </w:rPr>
        <w:tab/>
        <w:t>10</w:t>
      </w:r>
    </w:p>
    <w:p w14:paraId="7E9CC252" w14:textId="77777777" w:rsidR="00A46CA5" w:rsidRDefault="00A46CA5" w:rsidP="00A46CA5">
      <w:pPr>
        <w:pStyle w:val="TableofAuthorities"/>
        <w:tabs>
          <w:tab w:val="clear" w:pos="9360"/>
          <w:tab w:val="right" w:leader="dot" w:pos="9350"/>
        </w:tabs>
        <w:rPr>
          <w:noProof/>
        </w:rPr>
      </w:pPr>
      <w:r w:rsidRPr="00D524D5">
        <w:rPr>
          <w:i/>
          <w:noProof/>
        </w:rPr>
        <w:t>Washington Utilities &amp; Transportation Commission v. Pacific Power &amp; Light Co</w:t>
      </w:r>
      <w:r>
        <w:rPr>
          <w:noProof/>
        </w:rPr>
        <w:t>., Docket UE-140762 et al, Order 08, ¶ 242</w:t>
      </w:r>
      <w:r>
        <w:rPr>
          <w:noProof/>
        </w:rPr>
        <w:tab/>
        <w:t>1, 2</w:t>
      </w:r>
    </w:p>
    <w:p w14:paraId="5ED7D200" w14:textId="77777777" w:rsidR="00A46CA5" w:rsidRDefault="00A46CA5" w:rsidP="00A46CA5">
      <w:pPr>
        <w:pStyle w:val="TableofAuthorities"/>
        <w:tabs>
          <w:tab w:val="clear" w:pos="9360"/>
          <w:tab w:val="right" w:leader="dot" w:pos="9350"/>
        </w:tabs>
        <w:rPr>
          <w:noProof/>
        </w:rPr>
      </w:pPr>
      <w:r w:rsidRPr="00D524D5">
        <w:rPr>
          <w:i/>
          <w:noProof/>
        </w:rPr>
        <w:t>Washington Utilities &amp; Transportation Commission v. PacifiCorp</w:t>
      </w:r>
      <w:r>
        <w:rPr>
          <w:noProof/>
        </w:rPr>
        <w:t xml:space="preserve">, </w:t>
      </w:r>
      <w:r>
        <w:rPr>
          <w:noProof/>
        </w:rPr>
        <w:br/>
        <w:t>Docket UE-111190, Order 07, ¶ 17</w:t>
      </w:r>
      <w:r>
        <w:rPr>
          <w:noProof/>
        </w:rPr>
        <w:tab/>
        <w:t>2</w:t>
      </w:r>
    </w:p>
    <w:p w14:paraId="18A040EA" w14:textId="77777777" w:rsidR="00301AE0" w:rsidRDefault="00A46CA5" w:rsidP="00301AE0">
      <w:pPr>
        <w:pStyle w:val="TableofAuthorities"/>
        <w:tabs>
          <w:tab w:val="clear" w:pos="9360"/>
          <w:tab w:val="right" w:leader="dot" w:pos="9350"/>
        </w:tabs>
        <w:spacing w:after="0"/>
        <w:rPr>
          <w:noProof/>
        </w:rPr>
      </w:pPr>
      <w:r w:rsidRPr="00D524D5">
        <w:rPr>
          <w:i/>
          <w:noProof/>
        </w:rPr>
        <w:t>Washington Utilities &amp; Transportation Commission v. Puget Sound Energy</w:t>
      </w:r>
      <w:r>
        <w:rPr>
          <w:noProof/>
        </w:rPr>
        <w:t xml:space="preserve">, </w:t>
      </w:r>
    </w:p>
    <w:p w14:paraId="56E70E99" w14:textId="77777777" w:rsidR="00A46CA5" w:rsidRDefault="00301AE0" w:rsidP="00301AE0">
      <w:pPr>
        <w:pStyle w:val="TableofAuthorities"/>
        <w:tabs>
          <w:tab w:val="clear" w:pos="9360"/>
          <w:tab w:val="right" w:leader="dot" w:pos="9350"/>
        </w:tabs>
        <w:spacing w:after="0"/>
        <w:rPr>
          <w:noProof/>
        </w:rPr>
      </w:pPr>
      <w:r>
        <w:rPr>
          <w:noProof/>
        </w:rPr>
        <w:t xml:space="preserve">    </w:t>
      </w:r>
      <w:r w:rsidR="00A46CA5">
        <w:rPr>
          <w:noProof/>
        </w:rPr>
        <w:t>Docket UE-161123, Order 06, Order Approving Settlement Agreement, ¶ 91</w:t>
      </w:r>
      <w:r w:rsidR="00A46CA5">
        <w:rPr>
          <w:noProof/>
        </w:rPr>
        <w:tab/>
        <w:t>9, 10</w:t>
      </w:r>
    </w:p>
    <w:p w14:paraId="7927E942" w14:textId="77777777" w:rsidR="00A46CA5" w:rsidRDefault="00A46CA5" w:rsidP="00A46CA5">
      <w:pPr>
        <w:pStyle w:val="TOAHeading"/>
        <w:tabs>
          <w:tab w:val="right" w:leader="dot" w:pos="9350"/>
        </w:tabs>
        <w:rPr>
          <w:rFonts w:asciiTheme="minorHAnsi" w:eastAsiaTheme="minorEastAsia" w:hAnsiTheme="minorHAnsi" w:cstheme="minorBidi"/>
          <w:b w:val="0"/>
          <w:bCs/>
          <w:noProof/>
          <w:sz w:val="22"/>
          <w:szCs w:val="22"/>
        </w:rPr>
      </w:pPr>
      <w:r>
        <w:fldChar w:fldCharType="end"/>
      </w:r>
      <w:r>
        <w:fldChar w:fldCharType="begin"/>
      </w:r>
      <w:r>
        <w:instrText xml:space="preserve"> TOA \h \c "6" \p </w:instrText>
      </w:r>
      <w:r>
        <w:fldChar w:fldCharType="separate"/>
      </w:r>
      <w:r>
        <w:rPr>
          <w:noProof/>
        </w:rPr>
        <w:t>Regulations</w:t>
      </w:r>
    </w:p>
    <w:p w14:paraId="0B2C757A" w14:textId="77777777" w:rsidR="00A46CA5" w:rsidRDefault="00A46CA5" w:rsidP="00A46CA5">
      <w:pPr>
        <w:pStyle w:val="TableofAuthorities"/>
        <w:tabs>
          <w:tab w:val="clear" w:pos="9360"/>
          <w:tab w:val="right" w:leader="dot" w:pos="9350"/>
        </w:tabs>
        <w:rPr>
          <w:noProof/>
        </w:rPr>
      </w:pPr>
      <w:r>
        <w:rPr>
          <w:noProof/>
        </w:rPr>
        <w:t>WAC 480-07-495(2)(a)(i)(C)</w:t>
      </w:r>
      <w:r>
        <w:rPr>
          <w:noProof/>
        </w:rPr>
        <w:tab/>
        <w:t>2</w:t>
      </w:r>
    </w:p>
    <w:p w14:paraId="43A37D65" w14:textId="77777777" w:rsidR="00A46CA5" w:rsidRPr="00A54312" w:rsidRDefault="00A46CA5" w:rsidP="00A46CA5">
      <w:pPr>
        <w:ind w:left="4320" w:firstLine="720"/>
      </w:pPr>
      <w:r>
        <w:fldChar w:fldCharType="end"/>
      </w:r>
    </w:p>
    <w:p w14:paraId="720E6EBE" w14:textId="77777777" w:rsidR="00C1073A" w:rsidRDefault="00C1073A" w:rsidP="00D50B2C">
      <w:pPr>
        <w:jc w:val="center"/>
      </w:pPr>
    </w:p>
    <w:p w14:paraId="2EBB742C" w14:textId="77777777" w:rsidR="00A46CA5" w:rsidRDefault="00A46CA5" w:rsidP="00D50B2C">
      <w:pPr>
        <w:jc w:val="center"/>
      </w:pPr>
    </w:p>
    <w:p w14:paraId="2FAAAE3C" w14:textId="77777777" w:rsidR="00A46CA5" w:rsidRDefault="00A46CA5" w:rsidP="00D50B2C">
      <w:pPr>
        <w:jc w:val="center"/>
        <w:sectPr w:rsidR="00A46CA5">
          <w:headerReference w:type="default" r:id="rId11"/>
          <w:footerReference w:type="default" r:id="rId12"/>
          <w:pgSz w:w="12240" w:h="15840" w:code="1"/>
          <w:pgMar w:top="1440" w:right="1440" w:bottom="1440" w:left="1440" w:header="720" w:footer="720" w:gutter="0"/>
          <w:cols w:space="720"/>
          <w:titlePg/>
        </w:sectPr>
      </w:pPr>
    </w:p>
    <w:p w14:paraId="41EB07CB" w14:textId="77777777" w:rsidR="00C1073A" w:rsidRDefault="00C1073A" w:rsidP="007E6208">
      <w:pPr>
        <w:pStyle w:val="Heading1"/>
      </w:pPr>
      <w:bookmarkStart w:id="8" w:name="_Toc489005701"/>
      <w:r>
        <w:lastRenderedPageBreak/>
        <w:t>INTRODUCTION</w:t>
      </w:r>
      <w:bookmarkEnd w:id="8"/>
    </w:p>
    <w:p w14:paraId="7096C1F9" w14:textId="77777777" w:rsidR="00C1073A" w:rsidRDefault="00C1073A" w:rsidP="00C1073A"/>
    <w:p w14:paraId="629C5561" w14:textId="77777777" w:rsidR="007E6208" w:rsidRDefault="00CA2CE4" w:rsidP="00F76CB8">
      <w:pPr>
        <w:pStyle w:val="ParNumber"/>
        <w:tabs>
          <w:tab w:val="clear" w:pos="360"/>
          <w:tab w:val="clear" w:pos="720"/>
          <w:tab w:val="num" w:pos="0"/>
        </w:tabs>
        <w:spacing w:line="480" w:lineRule="auto"/>
        <w:ind w:left="0" w:hanging="720"/>
      </w:pPr>
      <w:r>
        <w:t xml:space="preserve">          </w:t>
      </w:r>
      <w:r w:rsidR="0021669B">
        <w:t xml:space="preserve">The Energy Project has </w:t>
      </w:r>
      <w:r w:rsidR="009D4E17">
        <w:t xml:space="preserve">maintained a </w:t>
      </w:r>
      <w:r w:rsidR="00FA4832">
        <w:t xml:space="preserve">limited </w:t>
      </w:r>
      <w:r w:rsidR="0021669B">
        <w:t>role in</w:t>
      </w:r>
      <w:r w:rsidR="009D4E17">
        <w:t xml:space="preserve"> this docket, </w:t>
      </w:r>
      <w:r w:rsidR="00886A7E">
        <w:t xml:space="preserve">not filing testimony and </w:t>
      </w:r>
      <w:r w:rsidR="0021669B">
        <w:t>monitoring the case to understand the impact of parties’ proposals on Pacific Power’s low-income bill assistance and energy efficiency programs</w:t>
      </w:r>
      <w:r w:rsidR="00C80522">
        <w:t xml:space="preserve">.  </w:t>
      </w:r>
      <w:r w:rsidR="009D4E17">
        <w:t xml:space="preserve">In keeping with that narrow focus, </w:t>
      </w:r>
      <w:r w:rsidR="00517B5E">
        <w:t xml:space="preserve">The </w:t>
      </w:r>
      <w:r w:rsidR="009D4E17">
        <w:t xml:space="preserve">Energy Project does not take a position on the specific recommendations regarding </w:t>
      </w:r>
      <w:r w:rsidR="00C80522">
        <w:t xml:space="preserve">the calculation of </w:t>
      </w:r>
      <w:r w:rsidR="009D4E17">
        <w:t>permanent disconnection</w:t>
      </w:r>
      <w:r w:rsidR="00C80522">
        <w:t xml:space="preserve"> and stranded cost </w:t>
      </w:r>
      <w:r w:rsidR="00DE5F5D">
        <w:t xml:space="preserve">fees.  </w:t>
      </w:r>
      <w:r w:rsidR="00C80522">
        <w:t xml:space="preserve">The Energy Project, however, does have a general policy concern </w:t>
      </w:r>
      <w:r w:rsidR="00021A0D">
        <w:t>about the impact of</w:t>
      </w:r>
      <w:r w:rsidR="00C80522">
        <w:t xml:space="preserve"> larger and “high-margin” customers in Washington</w:t>
      </w:r>
      <w:r w:rsidR="00021A0D">
        <w:t xml:space="preserve"> who</w:t>
      </w:r>
      <w:r w:rsidR="00C80522">
        <w:t xml:space="preserve"> may seek alternatives to regulated utility providers</w:t>
      </w:r>
      <w:r w:rsidR="00021A0D">
        <w:t>.</w:t>
      </w:r>
      <w:r w:rsidR="00C80522">
        <w:t xml:space="preserve"> </w:t>
      </w:r>
      <w:r w:rsidR="00DE5F5D">
        <w:t xml:space="preserve"> </w:t>
      </w:r>
      <w:r w:rsidR="009D4E17">
        <w:t xml:space="preserve">The Energy Project’s brief focuses on the issue of holding Pacific Power’s remaining customers harmless </w:t>
      </w:r>
      <w:r w:rsidR="00021A0D">
        <w:t>from</w:t>
      </w:r>
      <w:r w:rsidR="009D4E17">
        <w:t xml:space="preserve"> impacts of departing customers by </w:t>
      </w:r>
      <w:r w:rsidR="00021A0D">
        <w:t xml:space="preserve">protecting against unfair cost-shifts and by </w:t>
      </w:r>
      <w:r w:rsidR="009D4E17">
        <w:t>maintaining support for Pacific Power’s low-income and</w:t>
      </w:r>
      <w:r w:rsidR="00DE5F5D">
        <w:t xml:space="preserve"> energy efficiency programs.  </w:t>
      </w:r>
      <w:r w:rsidR="009D4E17">
        <w:t xml:space="preserve">The Energy Project </w:t>
      </w:r>
      <w:r w:rsidR="00B84515">
        <w:t>recommends</w:t>
      </w:r>
      <w:r w:rsidR="00CA5397">
        <w:t xml:space="preserve"> that</w:t>
      </w:r>
      <w:r w:rsidR="00B84515">
        <w:t>,</w:t>
      </w:r>
      <w:r w:rsidR="009D4E17">
        <w:t xml:space="preserve"> in the event the Commission </w:t>
      </w:r>
      <w:r w:rsidR="00B84515">
        <w:t>determines</w:t>
      </w:r>
      <w:r w:rsidR="009D4E17">
        <w:t xml:space="preserve"> that stranded cost recovery</w:t>
      </w:r>
      <w:r w:rsidR="00B84515">
        <w:t xml:space="preserve"> fee</w:t>
      </w:r>
      <w:r w:rsidR="00DE5F5D">
        <w:t>s are</w:t>
      </w:r>
      <w:r w:rsidR="009D4E17">
        <w:t xml:space="preserve"> appropriate in this case, </w:t>
      </w:r>
      <w:r w:rsidR="00B84515">
        <w:t>such fee</w:t>
      </w:r>
      <w:r w:rsidR="00CA5397">
        <w:t>s</w:t>
      </w:r>
      <w:r w:rsidR="00B84515">
        <w:t xml:space="preserve"> </w:t>
      </w:r>
      <w:r w:rsidR="009D4E17">
        <w:t xml:space="preserve">should </w:t>
      </w:r>
      <w:r w:rsidR="00CA5397">
        <w:t xml:space="preserve">include </w:t>
      </w:r>
      <w:r w:rsidR="009D4E17">
        <w:t>support for Pacific Power</w:t>
      </w:r>
      <w:r w:rsidR="00CA5397">
        <w:t>’s</w:t>
      </w:r>
      <w:r w:rsidR="009D4E17">
        <w:t xml:space="preserve"> low-income and conservation programs.</w:t>
      </w:r>
    </w:p>
    <w:p w14:paraId="2284680C" w14:textId="77777777" w:rsidR="000D04CA" w:rsidRDefault="000D04CA" w:rsidP="00DE5F5D">
      <w:pPr>
        <w:pStyle w:val="Heading1"/>
        <w:spacing w:before="0"/>
      </w:pPr>
      <w:bookmarkStart w:id="9" w:name="_Toc489005702"/>
      <w:r>
        <w:t>overview of Pacific Power low-income programs</w:t>
      </w:r>
      <w:bookmarkEnd w:id="9"/>
    </w:p>
    <w:p w14:paraId="4C9846DC" w14:textId="77777777" w:rsidR="00C1073A" w:rsidRDefault="00A25AEC" w:rsidP="00C75F16">
      <w:pPr>
        <w:pStyle w:val="Heading2"/>
        <w:spacing w:line="480" w:lineRule="auto"/>
      </w:pPr>
      <w:bookmarkStart w:id="10" w:name="_Toc489005703"/>
      <w:r>
        <w:t>Electric Bill Assistance</w:t>
      </w:r>
      <w:r w:rsidR="007A56C6">
        <w:t xml:space="preserve"> Program</w:t>
      </w:r>
      <w:bookmarkEnd w:id="10"/>
    </w:p>
    <w:p w14:paraId="08E35019" w14:textId="77777777" w:rsidR="00CA2CE4" w:rsidRPr="00CA2CE4" w:rsidRDefault="00CA2CE4" w:rsidP="00CA2CE4">
      <w:pPr>
        <w:pStyle w:val="ParNumber"/>
        <w:tabs>
          <w:tab w:val="clear" w:pos="360"/>
          <w:tab w:val="clear" w:pos="720"/>
        </w:tabs>
        <w:spacing w:line="480" w:lineRule="auto"/>
        <w:ind w:left="0" w:hanging="720"/>
        <w:rPr>
          <w:i/>
        </w:rPr>
      </w:pPr>
      <w:r>
        <w:t xml:space="preserve">          </w:t>
      </w:r>
      <w:r w:rsidR="007A7593">
        <w:t xml:space="preserve">As the Commission has previously noted, </w:t>
      </w:r>
      <w:r w:rsidR="005B726C">
        <w:t xml:space="preserve">the </w:t>
      </w:r>
      <w:r w:rsidR="007A7593">
        <w:t xml:space="preserve">issue of low-income bill assistance for Pacific </w:t>
      </w:r>
      <w:r w:rsidR="00DE5F5D">
        <w:t>Power customers is</w:t>
      </w:r>
      <w:r w:rsidR="007A7593">
        <w:t xml:space="preserve"> “critically important and deserves close attention on a continuing basis.”</w:t>
      </w:r>
      <w:r w:rsidR="007A7593">
        <w:rPr>
          <w:rStyle w:val="FootnoteReference"/>
        </w:rPr>
        <w:footnoteReference w:id="1"/>
      </w:r>
      <w:r w:rsidR="007A7593">
        <w:t xml:space="preserve">  </w:t>
      </w:r>
      <w:r w:rsidR="00CA5397">
        <w:t xml:space="preserve">In </w:t>
      </w:r>
      <w:r w:rsidR="000D04CA">
        <w:t>Pacific Power</w:t>
      </w:r>
      <w:r w:rsidR="007A7593">
        <w:t>’s 2011/2012 General Rate Case</w:t>
      </w:r>
      <w:r w:rsidR="007C1EF3">
        <w:t xml:space="preserve"> (GRC)</w:t>
      </w:r>
      <w:r w:rsidR="007A7593">
        <w:t xml:space="preserve">, the Commission approved an </w:t>
      </w:r>
      <w:r w:rsidR="007A7593">
        <w:lastRenderedPageBreak/>
        <w:t>all-party settlement that included</w:t>
      </w:r>
      <w:r w:rsidR="00F72A89">
        <w:t xml:space="preserve"> a five-year plan to increase </w:t>
      </w:r>
      <w:r w:rsidR="00E7129F">
        <w:t>funding for Pacific Power’s Low-</w:t>
      </w:r>
      <w:r w:rsidR="00F72A89">
        <w:t>Income Bill Assistance</w:t>
      </w:r>
      <w:r w:rsidR="00A56EDE">
        <w:t xml:space="preserve"> (LIBA) </w:t>
      </w:r>
      <w:r w:rsidR="00F72A89">
        <w:t>program gradually over time</w:t>
      </w:r>
      <w:r w:rsidR="007A7593">
        <w:t>.</w:t>
      </w:r>
      <w:r w:rsidR="00F72A89">
        <w:rPr>
          <w:rStyle w:val="FootnoteReference"/>
        </w:rPr>
        <w:footnoteReference w:id="2"/>
      </w:r>
      <w:r w:rsidR="007A7593">
        <w:t xml:space="preserve"> </w:t>
      </w:r>
      <w:r w:rsidR="00DE5F5D">
        <w:t xml:space="preserve"> </w:t>
      </w:r>
      <w:r w:rsidR="00133E0A">
        <w:t xml:space="preserve">As the initial five-year plan was coming to a close, </w:t>
      </w:r>
      <w:r w:rsidR="000D5A3B">
        <w:t>Pacific Power, The Energy Project, Commission Staff</w:t>
      </w:r>
      <w:r w:rsidR="00CA5397">
        <w:t xml:space="preserve">, Public Counsel, </w:t>
      </w:r>
      <w:r w:rsidR="000D5A3B">
        <w:t>and other stakeholders in early 2017 agreed to proposed modifications and an extension of the LIBA plan for the next five years beginning October 2017.</w:t>
      </w:r>
      <w:r w:rsidR="00133E0A">
        <w:t xml:space="preserve">  </w:t>
      </w:r>
      <w:r w:rsidR="000D5A3B">
        <w:t xml:space="preserve">In summary, the new plan provides for increasing enrollment by 2 percent annually, an increase in credit levels in conjunction with Pacific Power’s September 2017 rate increase, </w:t>
      </w:r>
      <w:r w:rsidR="00F61E82">
        <w:t>and</w:t>
      </w:r>
      <w:r w:rsidR="000D5A3B">
        <w:t xml:space="preserve"> a gradual increase in revenue collections through the 2021-2022 program year</w:t>
      </w:r>
      <w:r w:rsidR="00AF117E">
        <w:t xml:space="preserve"> from $2.5 million in 2016-2017 to $3.3 million in 2021-2022.</w:t>
      </w:r>
      <w:r w:rsidR="00F61E82">
        <w:t xml:space="preserve">  The collaborative also agreed to a number of other technical changes to improve the program.</w:t>
      </w:r>
      <w:r w:rsidR="00A76F44">
        <w:t xml:space="preserve">  </w:t>
      </w:r>
      <w:r w:rsidR="00CA5397">
        <w:t>The details of the plan are available in Advice 17-04 filed with the Commission on March 29, 2017.</w:t>
      </w:r>
      <w:r w:rsidR="00133E0A">
        <w:rPr>
          <w:rStyle w:val="FootnoteReference"/>
        </w:rPr>
        <w:footnoteReference w:id="3"/>
      </w:r>
    </w:p>
    <w:p w14:paraId="7B302A22" w14:textId="77777777" w:rsidR="00CA2CE4" w:rsidRPr="00CA2CE4" w:rsidRDefault="00CA2CE4" w:rsidP="00CA2CE4">
      <w:pPr>
        <w:pStyle w:val="ParNumber"/>
        <w:tabs>
          <w:tab w:val="clear" w:pos="360"/>
          <w:tab w:val="clear" w:pos="720"/>
        </w:tabs>
        <w:spacing w:line="480" w:lineRule="auto"/>
        <w:ind w:left="0" w:hanging="720"/>
        <w:rPr>
          <w:i/>
        </w:rPr>
      </w:pPr>
      <w:r>
        <w:t xml:space="preserve">          </w:t>
      </w:r>
      <w:r w:rsidR="000D04CA">
        <w:t xml:space="preserve">The </w:t>
      </w:r>
      <w:r w:rsidR="00133E0A">
        <w:t xml:space="preserve">LIBA </w:t>
      </w:r>
      <w:r w:rsidR="000D04CA">
        <w:t xml:space="preserve">program is offered under Schedule 17 and is a discount-based program </w:t>
      </w:r>
      <w:r w:rsidR="00133E0A">
        <w:t xml:space="preserve">currently </w:t>
      </w:r>
      <w:r w:rsidR="000D04CA">
        <w:t>serving approximately 4700 customers.</w:t>
      </w:r>
      <w:r w:rsidR="007A7593">
        <w:rPr>
          <w:rStyle w:val="FootnoteReference"/>
        </w:rPr>
        <w:footnoteReference w:id="4"/>
      </w:r>
      <w:r w:rsidR="00DE5F5D">
        <w:t xml:space="preserve"> </w:t>
      </w:r>
      <w:r w:rsidR="000D04CA">
        <w:t xml:space="preserve"> Discount credits were provided to cust</w:t>
      </w:r>
      <w:r w:rsidR="00A25AEC">
        <w:t>omers</w:t>
      </w:r>
      <w:r w:rsidR="00BA1C02">
        <w:t xml:space="preserve"> in the amount</w:t>
      </w:r>
      <w:r w:rsidR="00A25AEC">
        <w:t xml:space="preserve"> of $1.2</w:t>
      </w:r>
      <w:r w:rsidR="00BA1C02">
        <w:t>6</w:t>
      </w:r>
      <w:r w:rsidR="00A25AEC">
        <w:t xml:space="preserve"> million in 2016.  The maximum income for customer eligibility for the program is 150 perce</w:t>
      </w:r>
      <w:r w:rsidR="00DE5F5D">
        <w:t xml:space="preserve">nt of Federal Poverty Level.  </w:t>
      </w:r>
      <w:r w:rsidR="00A25AEC">
        <w:t xml:space="preserve">Customer eligibility is determined by local community action agencies, including Blue Mountain Action Council (BMAC) in Walla Walla, </w:t>
      </w:r>
      <w:r w:rsidR="00A25AEC">
        <w:lastRenderedPageBreak/>
        <w:t>NW Community Action (NCAC) in Toppenish, and Opportunities Industrialization Center (OIC) in Yakima.</w:t>
      </w:r>
      <w:r w:rsidR="00734453">
        <w:rPr>
          <w:rStyle w:val="FootnoteReference"/>
        </w:rPr>
        <w:footnoteReference w:id="5"/>
      </w:r>
    </w:p>
    <w:p w14:paraId="49ABF5DC" w14:textId="77777777" w:rsidR="00CA2CE4" w:rsidRPr="00CA2CE4" w:rsidRDefault="00CA2CE4" w:rsidP="00CA2CE4">
      <w:pPr>
        <w:pStyle w:val="ParNumber"/>
        <w:tabs>
          <w:tab w:val="clear" w:pos="360"/>
          <w:tab w:val="clear" w:pos="720"/>
        </w:tabs>
        <w:spacing w:line="480" w:lineRule="auto"/>
        <w:ind w:left="0" w:hanging="720"/>
        <w:rPr>
          <w:i/>
        </w:rPr>
      </w:pPr>
      <w:r>
        <w:t xml:space="preserve">          </w:t>
      </w:r>
      <w:r w:rsidR="00A25AEC">
        <w:t xml:space="preserve">The LIBA program is funded through Schedule 91.  The cost of the LIBA program </w:t>
      </w:r>
      <w:r w:rsidR="00BA1C02">
        <w:t xml:space="preserve">was initially </w:t>
      </w:r>
      <w:r w:rsidR="00A25AEC">
        <w:t>allocated to each customer class based on</w:t>
      </w:r>
      <w:r w:rsidR="00BA1C02">
        <w:t xml:space="preserve"> each class</w:t>
      </w:r>
      <w:r w:rsidR="00133E0A">
        <w:t xml:space="preserve">’ </w:t>
      </w:r>
      <w:r w:rsidR="00BA1C02">
        <w:t>percentage of base revenues to to</w:t>
      </w:r>
      <w:r w:rsidR="00133E0A">
        <w:t>t</w:t>
      </w:r>
      <w:r w:rsidR="00BA1C02">
        <w:t>al Washington base revenues</w:t>
      </w:r>
      <w:r w:rsidR="00893AB2">
        <w:t>, with a $50 per month</w:t>
      </w:r>
      <w:r w:rsidR="00A25AEC">
        <w:t xml:space="preserve"> cap.  </w:t>
      </w:r>
      <w:r w:rsidR="00BA1C02">
        <w:t>After prices were originally set, further changes in collections for the program were made on an equal percentage basis.</w:t>
      </w:r>
      <w:r w:rsidR="00BA1C02">
        <w:rPr>
          <w:rStyle w:val="FootnoteReference"/>
        </w:rPr>
        <w:footnoteReference w:id="6"/>
      </w:r>
    </w:p>
    <w:p w14:paraId="609F1EA7" w14:textId="77777777" w:rsidR="00734453" w:rsidRPr="00CA2CE4" w:rsidRDefault="00CA2CE4" w:rsidP="00CA2CE4">
      <w:pPr>
        <w:pStyle w:val="ParNumber"/>
        <w:tabs>
          <w:tab w:val="clear" w:pos="360"/>
          <w:tab w:val="clear" w:pos="720"/>
        </w:tabs>
        <w:spacing w:line="480" w:lineRule="auto"/>
        <w:ind w:left="0" w:hanging="720"/>
        <w:rPr>
          <w:i/>
        </w:rPr>
      </w:pPr>
      <w:r>
        <w:t xml:space="preserve">          </w:t>
      </w:r>
      <w:r w:rsidR="00734453">
        <w:t xml:space="preserve">In addition to these sources of bill assistance, customers in Pacific Power’s service territory are eligible to receive help under the federal Low-Income Heating </w:t>
      </w:r>
      <w:r w:rsidR="00DE5F5D">
        <w:t xml:space="preserve">Assistance Program (LIHEAP).  </w:t>
      </w:r>
      <w:r w:rsidR="00734453">
        <w:t>LIHEAP provided approximately $2 million annually in support from 2014-2016, with eligibility determination and fund distribution conducted by the community action agencies mentioned above.</w:t>
      </w:r>
      <w:r w:rsidR="00893AB2">
        <w:rPr>
          <w:rStyle w:val="FootnoteReference"/>
        </w:rPr>
        <w:footnoteReference w:id="7"/>
      </w:r>
    </w:p>
    <w:p w14:paraId="5402A3AD" w14:textId="77777777" w:rsidR="000D04CA" w:rsidRDefault="0028381F" w:rsidP="00CA2CE4">
      <w:pPr>
        <w:pStyle w:val="Heading2"/>
        <w:spacing w:before="0"/>
      </w:pPr>
      <w:bookmarkStart w:id="11" w:name="_Toc489005704"/>
      <w:r>
        <w:t>Low-I</w:t>
      </w:r>
      <w:r w:rsidR="00A25AEC">
        <w:t>ncome Weatherization</w:t>
      </w:r>
      <w:r>
        <w:t xml:space="preserve"> Program</w:t>
      </w:r>
      <w:bookmarkEnd w:id="11"/>
    </w:p>
    <w:p w14:paraId="044E0243" w14:textId="77777777" w:rsidR="00A25AEC" w:rsidRDefault="00A25AEC" w:rsidP="00A25AEC"/>
    <w:p w14:paraId="3FB972B9" w14:textId="77777777" w:rsidR="00A25AEC" w:rsidRDefault="00CA2CE4" w:rsidP="00CA2CE4">
      <w:pPr>
        <w:pStyle w:val="ParNumber"/>
        <w:tabs>
          <w:tab w:val="clear" w:pos="360"/>
        </w:tabs>
        <w:spacing w:line="480" w:lineRule="auto"/>
        <w:ind w:left="0" w:hanging="720"/>
      </w:pPr>
      <w:r>
        <w:t xml:space="preserve">          </w:t>
      </w:r>
      <w:r w:rsidR="00734453">
        <w:t xml:space="preserve">Pacific Power also </w:t>
      </w:r>
      <w:r w:rsidR="00893AB2">
        <w:t>provides</w:t>
      </w:r>
      <w:r w:rsidR="00734453">
        <w:t xml:space="preserve"> a low-income weatherizat</w:t>
      </w:r>
      <w:r w:rsidR="0028381F">
        <w:t xml:space="preserve">ion program under Schedule 114, partnering with Blue Mountain Action Council, Northwest Community Action, and Opportunities Industrialization Center to install energy efficiency measures in the homes of income-eligible customers.  The funding through the Low-Income Weatherization Program, reimburses the agencies for 50 percent of the cost of installing the measures when the agencies have state Match Maker Program funds.  If these agency </w:t>
      </w:r>
      <w:r w:rsidR="00C43A21">
        <w:t xml:space="preserve">Match Maker </w:t>
      </w:r>
      <w:r w:rsidR="0028381F">
        <w:t xml:space="preserve">funds are depleted, </w:t>
      </w:r>
      <w:r w:rsidR="0028381F">
        <w:lastRenderedPageBreak/>
        <w:t>Pacific Power will cover up to 100 percent of the costs.  The weatherization services are available at no cost to homeowners and renters residing in single family, manufactured homes, and apartments.  Program funding</w:t>
      </w:r>
      <w:r w:rsidR="00734453">
        <w:t xml:space="preserve"> was in the $700-800,000 r</w:t>
      </w:r>
      <w:r w:rsidR="00DE5F5D">
        <w:t xml:space="preserve">ange in the 2014-2016 period.  </w:t>
      </w:r>
      <w:r w:rsidR="00734453">
        <w:t xml:space="preserve">Energy savings reported were 294,000 kW for 2016.  </w:t>
      </w:r>
      <w:r w:rsidR="0028381F">
        <w:t>Funding for the program is provided under Schedule 191.  Costs are allocated to customer classes based on each class’ percentage of base revenues to total Washington base revenues.</w:t>
      </w:r>
      <w:r w:rsidR="0028381F">
        <w:rPr>
          <w:rStyle w:val="FootnoteReference"/>
        </w:rPr>
        <w:footnoteReference w:id="8"/>
      </w:r>
    </w:p>
    <w:p w14:paraId="7B23CC67" w14:textId="77777777" w:rsidR="00670739" w:rsidRPr="00670739" w:rsidRDefault="00CE3D6F" w:rsidP="00DE5F5D">
      <w:pPr>
        <w:pStyle w:val="Heading1"/>
        <w:spacing w:before="0"/>
      </w:pPr>
      <w:bookmarkStart w:id="12" w:name="_Toc489005705"/>
      <w:r>
        <w:t xml:space="preserve">Pacific Power’s </w:t>
      </w:r>
      <w:r w:rsidR="00670739">
        <w:t>proposal for stranded cost recovery to maintain support for low</w:t>
      </w:r>
      <w:r w:rsidR="00E7129F">
        <w:t>-</w:t>
      </w:r>
      <w:r w:rsidR="00670739">
        <w:t>income and energy efficiency programs</w:t>
      </w:r>
      <w:bookmarkEnd w:id="12"/>
    </w:p>
    <w:p w14:paraId="27658CE5" w14:textId="77777777" w:rsidR="00670739" w:rsidRDefault="00CE3D6F" w:rsidP="00670739">
      <w:pPr>
        <w:pStyle w:val="Heading2"/>
      </w:pPr>
      <w:bookmarkStart w:id="13" w:name="_Toc489005706"/>
      <w:r>
        <w:t xml:space="preserve">The Pacific Power </w:t>
      </w:r>
      <w:r w:rsidR="00670739">
        <w:t>Proposal</w:t>
      </w:r>
      <w:bookmarkEnd w:id="13"/>
    </w:p>
    <w:p w14:paraId="7DDB023B" w14:textId="77777777" w:rsidR="00670739" w:rsidRDefault="00670739" w:rsidP="00670739"/>
    <w:p w14:paraId="55F197DB" w14:textId="77777777" w:rsidR="00E944EF" w:rsidRDefault="00CA2CE4" w:rsidP="00CA2CE4">
      <w:pPr>
        <w:pStyle w:val="ParNumber"/>
        <w:tabs>
          <w:tab w:val="clear" w:pos="360"/>
        </w:tabs>
        <w:spacing w:line="480" w:lineRule="auto"/>
        <w:ind w:left="0" w:hanging="720"/>
      </w:pPr>
      <w:r>
        <w:t xml:space="preserve">          </w:t>
      </w:r>
      <w:r w:rsidR="00670739">
        <w:t xml:space="preserve">Pacific Power’s testimony in the case has raised from the outset the concern that </w:t>
      </w:r>
      <w:r w:rsidR="00E944EF">
        <w:t>departure of high-margin cus</w:t>
      </w:r>
      <w:r w:rsidR="0019606F">
        <w:t xml:space="preserve">tomers creates the potential for </w:t>
      </w:r>
      <w:r w:rsidR="00E944EF">
        <w:t>shifting of costs</w:t>
      </w:r>
      <w:r w:rsidR="009B7233">
        <w:t xml:space="preserve"> to the detriment of low-income customers</w:t>
      </w:r>
      <w:r w:rsidR="00E944EF">
        <w:t>:</w:t>
      </w:r>
    </w:p>
    <w:p w14:paraId="305B814E" w14:textId="77777777" w:rsidR="00670739" w:rsidRPr="00670739" w:rsidRDefault="00E944EF" w:rsidP="00BD3F11">
      <w:pPr>
        <w:ind w:left="1440"/>
      </w:pPr>
      <w:r>
        <w:t xml:space="preserve">The current one-off permanent disconnections occurring </w:t>
      </w:r>
      <w:r w:rsidR="00893AB2">
        <w:t>in t</w:t>
      </w:r>
      <w:r>
        <w:t>he Company’s Washington service area provide little in terms of relief to the Company’s remaining customers.  In fact, these permanent disconnections, accumulated over time, will only increase the burden on the Company’s remaining customers, including low- and fixed-income customers.</w:t>
      </w:r>
      <w:r w:rsidR="00AD58BA">
        <w:rPr>
          <w:rStyle w:val="FootnoteReference"/>
        </w:rPr>
        <w:footnoteReference w:id="9"/>
      </w:r>
      <w:r>
        <w:t xml:space="preserve">  </w:t>
      </w:r>
    </w:p>
    <w:p w14:paraId="59504065" w14:textId="77777777" w:rsidR="00A25AEC" w:rsidRDefault="00A25AEC" w:rsidP="00A25AEC"/>
    <w:p w14:paraId="76C33DCD" w14:textId="77777777" w:rsidR="00FB6DC4" w:rsidRDefault="00AD58BA" w:rsidP="00FB6DC4">
      <w:pPr>
        <w:pStyle w:val="ParNumber"/>
        <w:tabs>
          <w:tab w:val="clear" w:pos="360"/>
          <w:tab w:val="num" w:pos="-90"/>
        </w:tabs>
        <w:spacing w:line="480" w:lineRule="auto"/>
        <w:ind w:left="0" w:hanging="720"/>
      </w:pPr>
      <w:r>
        <w:tab/>
      </w:r>
      <w:r w:rsidR="00FB6DC4">
        <w:t xml:space="preserve">          </w:t>
      </w:r>
      <w:r>
        <w:t>To address its concerns</w:t>
      </w:r>
      <w:r w:rsidR="009B7233">
        <w:t xml:space="preserve"> about cost shifts and increased rate pressures on remaining customers</w:t>
      </w:r>
      <w:r>
        <w:t>, Pacific Power has proposed to modify its permanent disconnection and removal tariffs</w:t>
      </w:r>
      <w:r w:rsidR="00074AEA">
        <w:t>.  In addition, Pacific Power proposes t</w:t>
      </w:r>
      <w:r>
        <w:t>o establish a “</w:t>
      </w:r>
      <w:r w:rsidR="00074AEA">
        <w:t xml:space="preserve">Stranded Cost Recovery Fee,” the </w:t>
      </w:r>
      <w:r w:rsidR="00074AEA">
        <w:lastRenderedPageBreak/>
        <w:t>purpose of which is “to mitigate the financial impact to remaining customers when a customer opts to permanently disconnect and receive service from another service provider.”</w:t>
      </w:r>
      <w:r w:rsidR="00074AEA">
        <w:rPr>
          <w:rStyle w:val="FootnoteReference"/>
        </w:rPr>
        <w:footnoteReference w:id="10"/>
      </w:r>
      <w:r w:rsidR="009C232F">
        <w:t xml:space="preserve">  </w:t>
      </w:r>
    </w:p>
    <w:p w14:paraId="5CF483DF" w14:textId="77777777" w:rsidR="00FB6DC4" w:rsidRDefault="00FB6DC4" w:rsidP="00FB6DC4">
      <w:pPr>
        <w:pStyle w:val="ParNumber"/>
        <w:tabs>
          <w:tab w:val="clear" w:pos="360"/>
          <w:tab w:val="num" w:pos="-90"/>
        </w:tabs>
        <w:spacing w:line="480" w:lineRule="auto"/>
        <w:ind w:left="0" w:hanging="720"/>
      </w:pPr>
      <w:r>
        <w:t xml:space="preserve">          </w:t>
      </w:r>
      <w:r w:rsidR="009C232F">
        <w:t>Although the Company had identified concerns with the i</w:t>
      </w:r>
      <w:r w:rsidR="009B7233">
        <w:t xml:space="preserve">mpact on low-income customers, </w:t>
      </w:r>
      <w:r w:rsidR="009C232F">
        <w:t>it did not include in its initial Stranded Cost Recovery Fee specific</w:t>
      </w:r>
      <w:r w:rsidR="006336E3">
        <w:t xml:space="preserve"> </w:t>
      </w:r>
      <w:r w:rsidR="009C232F">
        <w:t>cost-recovery components to mitigate impacts on low-income o</w:t>
      </w:r>
      <w:r w:rsidR="00E7129F">
        <w:t xml:space="preserve">r energy efficiency programs.  </w:t>
      </w:r>
      <w:r w:rsidR="009C232F">
        <w:t>Public Counsel’s</w:t>
      </w:r>
      <w:r w:rsidR="006336E3">
        <w:t xml:space="preserve"> expert </w:t>
      </w:r>
      <w:r w:rsidR="009C232F">
        <w:t xml:space="preserve">witness Kathleen Kelly </w:t>
      </w:r>
      <w:r w:rsidR="006336E3">
        <w:t>addressed this in her responsive testimony</w:t>
      </w:r>
      <w:r w:rsidR="00B84119">
        <w:t>, observing</w:t>
      </w:r>
      <w:r w:rsidR="009B7233">
        <w:t xml:space="preserve"> that continued migration of customers from Pacific Power to Columbia </w:t>
      </w:r>
      <w:r w:rsidR="00893AB2">
        <w:t>Rural Electric Association (</w:t>
      </w:r>
      <w:r w:rsidR="009B7233">
        <w:t>REA</w:t>
      </w:r>
      <w:r w:rsidR="00893AB2">
        <w:t>)</w:t>
      </w:r>
      <w:r w:rsidR="009B7233">
        <w:t xml:space="preserve"> would erode support for Pacific Power’s LIBA programs, as well as its conservation program.  Ms. Kelly recommended</w:t>
      </w:r>
      <w:r w:rsidR="006336E3">
        <w:t xml:space="preserve"> that “[f]urther modifications [to the Stranded Cost Recovery Fee] based on capturing the impact of contributions to low-income rate assistance programs and energy efficiency programs would be appropriate.”</w:t>
      </w:r>
      <w:r w:rsidR="006336E3">
        <w:rPr>
          <w:rStyle w:val="FootnoteReference"/>
        </w:rPr>
        <w:footnoteReference w:id="11"/>
      </w:r>
      <w:r w:rsidR="00D515B7">
        <w:t xml:space="preserve">  </w:t>
      </w:r>
    </w:p>
    <w:p w14:paraId="170828E5" w14:textId="77777777" w:rsidR="0074578B" w:rsidRPr="00EF288C" w:rsidRDefault="00FB6DC4" w:rsidP="00FB6DC4">
      <w:pPr>
        <w:pStyle w:val="ParNumber"/>
        <w:tabs>
          <w:tab w:val="clear" w:pos="360"/>
          <w:tab w:val="num" w:pos="-90"/>
        </w:tabs>
        <w:spacing w:line="480" w:lineRule="auto"/>
        <w:ind w:left="0" w:hanging="720"/>
      </w:pPr>
      <w:r>
        <w:t xml:space="preserve">          </w:t>
      </w:r>
      <w:r w:rsidR="009B7233">
        <w:t xml:space="preserve">In its rebuttal testimony in </w:t>
      </w:r>
      <w:r w:rsidR="00893AB2">
        <w:t>this</w:t>
      </w:r>
      <w:r w:rsidR="009B7233">
        <w:t xml:space="preserve"> case, Pacific Power accepted Public Counsel’s recommendation </w:t>
      </w:r>
      <w:r w:rsidR="00D515B7">
        <w:t xml:space="preserve">and amended </w:t>
      </w:r>
      <w:r w:rsidR="009B7233">
        <w:t>its Stranded Cost Recovery Fee proposal to include a Low-Income Program Recovery Fee and a Demand Side Management Recovery Fee.</w:t>
      </w:r>
      <w:r w:rsidR="00D515B7">
        <w:rPr>
          <w:rStyle w:val="FootnoteReference"/>
        </w:rPr>
        <w:footnoteReference w:id="12"/>
      </w:r>
      <w:r w:rsidR="00562377">
        <w:t xml:space="preserve">  Mr. Dalley </w:t>
      </w:r>
      <w:r w:rsidR="001639EA">
        <w:t>confirmed</w:t>
      </w:r>
      <w:r w:rsidR="00562377">
        <w:t xml:space="preserve"> that Pacific Power distributed over $2 million in energy bill assistance through the LIBA pr</w:t>
      </w:r>
      <w:r w:rsidR="00E7129F">
        <w:t xml:space="preserve">ogram between 2014 and 2016.  </w:t>
      </w:r>
      <w:r w:rsidR="00562377">
        <w:t xml:space="preserve">He noted that both the LIBA program and the conservation programs are funded by tariff riders and that </w:t>
      </w:r>
      <w:r w:rsidR="00035DE2">
        <w:t xml:space="preserve">the </w:t>
      </w:r>
      <w:r w:rsidR="00EF288C">
        <w:t xml:space="preserve">burden of the riders on remaining customers </w:t>
      </w:r>
      <w:r w:rsidR="00562377">
        <w:t>will increase</w:t>
      </w:r>
      <w:r w:rsidR="00EF288C">
        <w:t xml:space="preserve"> absent stranded cost recovery</w:t>
      </w:r>
      <w:r w:rsidR="00562377">
        <w:t>.</w:t>
      </w:r>
      <w:r w:rsidR="00EF288C">
        <w:rPr>
          <w:rStyle w:val="FootnoteReference"/>
        </w:rPr>
        <w:footnoteReference w:id="13"/>
      </w:r>
      <w:r w:rsidR="00562377">
        <w:t xml:space="preserve"> </w:t>
      </w:r>
      <w:r w:rsidR="00893AB2">
        <w:t xml:space="preserve"> </w:t>
      </w:r>
      <w:r w:rsidR="00893AB2" w:rsidRPr="00EF288C">
        <w:t>P</w:t>
      </w:r>
      <w:r w:rsidR="009C1EDE">
        <w:t>acific</w:t>
      </w:r>
      <w:r w:rsidR="00893AB2" w:rsidRPr="00EF288C">
        <w:t xml:space="preserve"> Power witness Robert Meredith </w:t>
      </w:r>
      <w:r w:rsidR="00893AB2" w:rsidRPr="00EF288C">
        <w:lastRenderedPageBreak/>
        <w:t>provided testimony containing the specific support for the recommended fees</w:t>
      </w:r>
      <w:r w:rsidR="00EF288C">
        <w:t xml:space="preserve"> “[t]o ensure permanently disconnecting customers do not adversely impact th</w:t>
      </w:r>
      <w:r w:rsidR="00E7129F">
        <w:t>e low-</w:t>
      </w:r>
      <w:r w:rsidR="00EF288C">
        <w:t>income assistance and demand side management programs or shift those costs to remaining customers [.]”</w:t>
      </w:r>
      <w:r w:rsidR="00EF288C">
        <w:rPr>
          <w:rStyle w:val="FootnoteReference"/>
        </w:rPr>
        <w:footnoteReference w:id="14"/>
      </w:r>
      <w:r w:rsidR="00893AB2" w:rsidRPr="00EF288C">
        <w:t xml:space="preserve">  </w:t>
      </w:r>
      <w:r w:rsidR="00382705">
        <w:t xml:space="preserve">His Exh. </w:t>
      </w:r>
      <w:r w:rsidR="00035DE2">
        <w:t>RMM-2 calculates the specific stranded cost for an individual customer within each class on a net present value basis over</w:t>
      </w:r>
      <w:r w:rsidR="00382705">
        <w:t xml:space="preserve"> the six-year analytic period.  </w:t>
      </w:r>
      <w:r w:rsidR="00404F6F">
        <w:t>His</w:t>
      </w:r>
      <w:r w:rsidR="00035DE2">
        <w:t xml:space="preserve"> analysis </w:t>
      </w:r>
      <w:r w:rsidR="000F0603">
        <w:t>presents</w:t>
      </w:r>
      <w:r w:rsidR="00404F6F">
        <w:t xml:space="preserve"> a </w:t>
      </w:r>
      <w:r w:rsidR="00035DE2">
        <w:t>significant disparity in stranded costs between residential and larger customers.</w:t>
      </w:r>
      <w:r w:rsidR="00035DE2">
        <w:rPr>
          <w:rStyle w:val="FootnoteReference"/>
        </w:rPr>
        <w:footnoteReference w:id="15"/>
      </w:r>
    </w:p>
    <w:p w14:paraId="0BE9A3D5" w14:textId="77777777" w:rsidR="00EE19D0" w:rsidRDefault="00502F90" w:rsidP="00FB6DC4">
      <w:pPr>
        <w:pStyle w:val="Heading2"/>
        <w:spacing w:before="0"/>
      </w:pPr>
      <w:bookmarkStart w:id="14" w:name="_Toc489005707"/>
      <w:r>
        <w:t xml:space="preserve">Pacific Power’s Proposal Is A Reasonable </w:t>
      </w:r>
      <w:r w:rsidR="004A5F82">
        <w:t xml:space="preserve">And Necessary </w:t>
      </w:r>
      <w:r>
        <w:t>Response To Potential Cost-Shifting</w:t>
      </w:r>
      <w:bookmarkEnd w:id="14"/>
    </w:p>
    <w:p w14:paraId="1D3ED974" w14:textId="77777777" w:rsidR="00502F90" w:rsidRDefault="00502F90" w:rsidP="00502F90"/>
    <w:p w14:paraId="0F28FE07" w14:textId="77777777" w:rsidR="00FB6DC4" w:rsidRDefault="00382705" w:rsidP="00382705">
      <w:pPr>
        <w:pStyle w:val="ParNumber"/>
        <w:spacing w:line="480" w:lineRule="auto"/>
        <w:ind w:left="90" w:hanging="810"/>
      </w:pPr>
      <w:r>
        <w:t xml:space="preserve">          </w:t>
      </w:r>
      <w:r w:rsidR="00D00194">
        <w:t>P</w:t>
      </w:r>
      <w:r w:rsidR="00502F90">
        <w:t>acific Power</w:t>
      </w:r>
      <w:r w:rsidR="00D00194">
        <w:t xml:space="preserve">’s proposal for a </w:t>
      </w:r>
      <w:r w:rsidR="00502F90">
        <w:t xml:space="preserve">stranded cost </w:t>
      </w:r>
      <w:r w:rsidR="00D00194">
        <w:t xml:space="preserve">fee </w:t>
      </w:r>
      <w:r w:rsidR="00502F90">
        <w:t xml:space="preserve">for recovery of low-income and DSM </w:t>
      </w:r>
      <w:r w:rsidR="004A5F82">
        <w:t xml:space="preserve">(conservation/energy efficiency) </w:t>
      </w:r>
      <w:r w:rsidR="00502F90">
        <w:t xml:space="preserve">program costs </w:t>
      </w:r>
      <w:r w:rsidR="00866659">
        <w:t>is</w:t>
      </w:r>
      <w:r w:rsidR="00502F90">
        <w:t xml:space="preserve"> a </w:t>
      </w:r>
      <w:r w:rsidR="00D00194">
        <w:t xml:space="preserve">reasonable </w:t>
      </w:r>
      <w:r w:rsidR="004A5F82">
        <w:t xml:space="preserve">and necessary </w:t>
      </w:r>
      <w:r w:rsidR="00D00194">
        <w:t xml:space="preserve">response </w:t>
      </w:r>
      <w:r w:rsidR="00502F90">
        <w:t xml:space="preserve">to </w:t>
      </w:r>
      <w:r w:rsidR="00D00194">
        <w:t>the</w:t>
      </w:r>
      <w:r w:rsidR="00E7129F">
        <w:t xml:space="preserve"> potential for cost-shifting. </w:t>
      </w:r>
      <w:r w:rsidR="00D00194">
        <w:t xml:space="preserve"> As Pacific Power notes, both the LIBA and conservatio</w:t>
      </w:r>
      <w:r w:rsidR="00E7129F">
        <w:t>n</w:t>
      </w:r>
      <w:r w:rsidR="00FD094D">
        <w:t xml:space="preserve"> programs</w:t>
      </w:r>
      <w:r w:rsidR="00E7129F">
        <w:t xml:space="preserve"> are funded by tariff riders. </w:t>
      </w:r>
      <w:r w:rsidR="00D00194">
        <w:t xml:space="preserve"> </w:t>
      </w:r>
      <w:bookmarkStart w:id="15" w:name="_Hlk488921261"/>
      <w:r w:rsidR="00D00194">
        <w:t>For the LIBA program, the rider (surcharge) is collected unde</w:t>
      </w:r>
      <w:r w:rsidR="006775F5">
        <w:t xml:space="preserve">r Schedule 91 from the </w:t>
      </w:r>
      <w:r w:rsidR="00FE4C92">
        <w:t xml:space="preserve">broad range of Pacific Power </w:t>
      </w:r>
      <w:r w:rsidR="006775F5">
        <w:t>customer classes</w:t>
      </w:r>
      <w:r w:rsidR="002507D8">
        <w:t>.</w:t>
      </w:r>
      <w:r w:rsidR="002507D8">
        <w:rPr>
          <w:rStyle w:val="FootnoteReference"/>
        </w:rPr>
        <w:footnoteReference w:id="16"/>
      </w:r>
      <w:r w:rsidR="006775F5">
        <w:t xml:space="preserve">  The surcharge is based upon an allocation of customer costs based on each customer class percentage of base revenues to total Washington base revenues.</w:t>
      </w:r>
      <w:r w:rsidR="006775F5">
        <w:rPr>
          <w:rStyle w:val="FootnoteReference"/>
        </w:rPr>
        <w:footnoteReference w:id="17"/>
      </w:r>
      <w:r w:rsidR="006775F5">
        <w:t xml:space="preserve">  </w:t>
      </w:r>
      <w:r w:rsidR="004A5F82">
        <w:t>As a general</w:t>
      </w:r>
      <w:r w:rsidR="00CA2FFB">
        <w:t xml:space="preserve"> proposition, therefore</w:t>
      </w:r>
      <w:r w:rsidR="004A5F82">
        <w:t>, i</w:t>
      </w:r>
      <w:r w:rsidR="0074578B">
        <w:t xml:space="preserve">f </w:t>
      </w:r>
      <w:r w:rsidR="006775F5">
        <w:t xml:space="preserve">revenue from non-residential classes declines, the residential class will </w:t>
      </w:r>
      <w:r w:rsidR="00CA2FFB">
        <w:t xml:space="preserve">be allocated a </w:t>
      </w:r>
      <w:r w:rsidR="006775F5">
        <w:t xml:space="preserve">greater </w:t>
      </w:r>
      <w:r w:rsidR="00CA2FFB">
        <w:t xml:space="preserve">share </w:t>
      </w:r>
      <w:r w:rsidR="006775F5">
        <w:t>of costs, assuming a constant level of program costs</w:t>
      </w:r>
      <w:bookmarkEnd w:id="15"/>
      <w:r w:rsidR="00035DE2">
        <w:t xml:space="preserve">. </w:t>
      </w:r>
      <w:r>
        <w:t xml:space="preserve"> </w:t>
      </w:r>
      <w:r w:rsidR="00035DE2">
        <w:t xml:space="preserve">This causes an unfair cost shift unless there is mitigation. </w:t>
      </w:r>
    </w:p>
    <w:p w14:paraId="37B46534" w14:textId="77777777" w:rsidR="00502F90" w:rsidRDefault="00FB6DC4" w:rsidP="00FB6DC4">
      <w:pPr>
        <w:pStyle w:val="ParNumber"/>
        <w:tabs>
          <w:tab w:val="clear" w:pos="360"/>
        </w:tabs>
        <w:spacing w:line="480" w:lineRule="auto"/>
        <w:ind w:left="0" w:hanging="720"/>
      </w:pPr>
      <w:r>
        <w:lastRenderedPageBreak/>
        <w:t xml:space="preserve">          </w:t>
      </w:r>
      <w:r w:rsidR="00A111B6">
        <w:t>As discussed above</w:t>
      </w:r>
      <w:r w:rsidR="0074578B">
        <w:t>, t</w:t>
      </w:r>
      <w:r w:rsidR="00D8758A">
        <w:t xml:space="preserve">he costs of the LIBA program </w:t>
      </w:r>
      <w:r w:rsidR="0074578B">
        <w:t>will be increasing</w:t>
      </w:r>
      <w:r w:rsidR="00A111B6">
        <w:t xml:space="preserve"> through 2022</w:t>
      </w:r>
      <w:r w:rsidR="00CA2FFB">
        <w:t>, u</w:t>
      </w:r>
      <w:r w:rsidR="00183DA6">
        <w:t xml:space="preserve">nder the </w:t>
      </w:r>
      <w:r w:rsidR="0074578B">
        <w:t>agreed five-year</w:t>
      </w:r>
      <w:r w:rsidR="00183DA6">
        <w:t xml:space="preserve"> plan </w:t>
      </w:r>
      <w:r w:rsidR="0074578B">
        <w:t xml:space="preserve">filed with </w:t>
      </w:r>
      <w:r w:rsidR="00183DA6">
        <w:t>the Commission</w:t>
      </w:r>
      <w:r w:rsidR="00A111B6">
        <w:t>.</w:t>
      </w:r>
      <w:r w:rsidR="00E7129F">
        <w:t xml:space="preserve">  </w:t>
      </w:r>
      <w:r w:rsidR="00CA2FFB">
        <w:t>While i</w:t>
      </w:r>
      <w:r w:rsidR="00DC6230">
        <w:t>n theory, the departure of</w:t>
      </w:r>
      <w:r w:rsidR="00000771">
        <w:t xml:space="preserve"> very </w:t>
      </w:r>
      <w:r w:rsidR="00DC6230">
        <w:t>si</w:t>
      </w:r>
      <w:r w:rsidR="00AC3B14">
        <w:t xml:space="preserve">gnificant numbers of low-income customers </w:t>
      </w:r>
      <w:r w:rsidR="00DC6230">
        <w:t xml:space="preserve">from </w:t>
      </w:r>
      <w:r w:rsidR="00AC3B14">
        <w:t xml:space="preserve">the Pacific Power system might reduce </w:t>
      </w:r>
      <w:r w:rsidR="00CA2FFB">
        <w:t xml:space="preserve">LIBA </w:t>
      </w:r>
      <w:r w:rsidR="00AC3B14">
        <w:t>program costs and mitigate cost-shifting</w:t>
      </w:r>
      <w:r w:rsidR="00CA2FFB">
        <w:t>, t</w:t>
      </w:r>
      <w:r w:rsidR="00AC3B14">
        <w:t>here is no evidence</w:t>
      </w:r>
      <w:r w:rsidR="00035DE2">
        <w:t xml:space="preserve"> </w:t>
      </w:r>
      <w:r w:rsidR="00A111B6">
        <w:t>that</w:t>
      </w:r>
      <w:r w:rsidR="00DC6230">
        <w:t xml:space="preserve"> such migration</w:t>
      </w:r>
      <w:r w:rsidR="00A111B6">
        <w:t xml:space="preserve"> is occurring</w:t>
      </w:r>
      <w:r w:rsidR="00DC6230">
        <w:t>.</w:t>
      </w:r>
      <w:r w:rsidR="00CA2FFB">
        <w:rPr>
          <w:rStyle w:val="FootnoteReference"/>
        </w:rPr>
        <w:footnoteReference w:id="18"/>
      </w:r>
      <w:r w:rsidR="00CA2FFB">
        <w:t xml:space="preserve"> </w:t>
      </w:r>
      <w:r>
        <w:t xml:space="preserve"> </w:t>
      </w:r>
      <w:r w:rsidR="00DC6230">
        <w:t>On the contrary, in response to discovery</w:t>
      </w:r>
      <w:r w:rsidR="00035DE2">
        <w:t xml:space="preserve">, </w:t>
      </w:r>
      <w:r w:rsidR="00DC7B43">
        <w:t xml:space="preserve">both Pacific Power and </w:t>
      </w:r>
      <w:r w:rsidR="00DC6230">
        <w:t xml:space="preserve">Columbia </w:t>
      </w:r>
      <w:r w:rsidR="00AC3B14">
        <w:t xml:space="preserve">REA </w:t>
      </w:r>
      <w:r w:rsidR="00DC7B43">
        <w:t>provided information indicating</w:t>
      </w:r>
      <w:r w:rsidR="00DC6230">
        <w:t xml:space="preserve"> </w:t>
      </w:r>
      <w:r w:rsidR="00CA2FFB">
        <w:t xml:space="preserve">that </w:t>
      </w:r>
      <w:r w:rsidR="00DC6230">
        <w:t>low-income customers were not transferring to Columbia REA.</w:t>
      </w:r>
      <w:r w:rsidR="00DC7B43">
        <w:rPr>
          <w:rStyle w:val="FootnoteReference"/>
        </w:rPr>
        <w:footnoteReference w:id="19"/>
      </w:r>
      <w:r w:rsidR="00E7129F">
        <w:t xml:space="preserve">  </w:t>
      </w:r>
      <w:r w:rsidR="00A111B6">
        <w:t xml:space="preserve">Further, </w:t>
      </w:r>
      <w:r w:rsidR="00DC6230">
        <w:t xml:space="preserve">because there is no </w:t>
      </w:r>
      <w:r w:rsidR="00A111B6">
        <w:t xml:space="preserve">expected </w:t>
      </w:r>
      <w:r w:rsidR="00DC6230">
        <w:t xml:space="preserve">reduction in the Pacific Power low-income population, the Company’s low-income customers will continue to need the same or increased levels of </w:t>
      </w:r>
      <w:r w:rsidR="00A111B6">
        <w:t xml:space="preserve">bill assistance and </w:t>
      </w:r>
      <w:r w:rsidR="00DC6230">
        <w:t xml:space="preserve">low-income weatherization programs. </w:t>
      </w:r>
      <w:r w:rsidR="00121639">
        <w:t xml:space="preserve"> If, at the same time, the departure of larger customers continues or increases, program costs will inevitably fall more heavily on remaining customers. </w:t>
      </w:r>
    </w:p>
    <w:p w14:paraId="3786B9AE" w14:textId="77777777" w:rsidR="004C1B14" w:rsidRDefault="004727E3" w:rsidP="00FB6DC4">
      <w:pPr>
        <w:pStyle w:val="Heading2"/>
        <w:spacing w:before="0"/>
      </w:pPr>
      <w:bookmarkStart w:id="16" w:name="_Toc489005708"/>
      <w:r>
        <w:t xml:space="preserve">The </w:t>
      </w:r>
      <w:r w:rsidR="00FF3495">
        <w:t xml:space="preserve">Company </w:t>
      </w:r>
      <w:r>
        <w:t>Proposal Is Consistent With Washington Regulatory Policy</w:t>
      </w:r>
      <w:bookmarkEnd w:id="16"/>
    </w:p>
    <w:p w14:paraId="468E2173" w14:textId="77777777" w:rsidR="004727E3" w:rsidRPr="004C620C" w:rsidRDefault="00D275C4" w:rsidP="00FB6DC4">
      <w:pPr>
        <w:pStyle w:val="Heading3"/>
        <w:spacing w:line="480" w:lineRule="auto"/>
        <w:rPr>
          <w:i/>
        </w:rPr>
      </w:pPr>
      <w:bookmarkStart w:id="17" w:name="_Toc489005709"/>
      <w:r>
        <w:t>Guiding principles</w:t>
      </w:r>
      <w:bookmarkEnd w:id="17"/>
    </w:p>
    <w:p w14:paraId="55A61F6E" w14:textId="77777777" w:rsidR="00480022" w:rsidRDefault="00FB6DC4" w:rsidP="00FB6DC4">
      <w:pPr>
        <w:pStyle w:val="ParNumber"/>
        <w:tabs>
          <w:tab w:val="clear" w:pos="360"/>
        </w:tabs>
        <w:spacing w:line="480" w:lineRule="auto"/>
        <w:ind w:left="0" w:hanging="720"/>
      </w:pPr>
      <w:r>
        <w:t xml:space="preserve">          </w:t>
      </w:r>
      <w:r w:rsidR="004727E3">
        <w:t xml:space="preserve">Washington regulatory policy recognizes that at the interface between regulated industries and competition, there is the potential for </w:t>
      </w:r>
      <w:r w:rsidR="0028619A">
        <w:t>unfair cost shifting</w:t>
      </w:r>
      <w:r w:rsidR="004F65A3">
        <w:t xml:space="preserve">, </w:t>
      </w:r>
      <w:r w:rsidR="0028619A">
        <w:t xml:space="preserve">for </w:t>
      </w:r>
      <w:r w:rsidR="004F65A3">
        <w:t xml:space="preserve">improperly </w:t>
      </w:r>
      <w:r w:rsidR="0028619A">
        <w:t xml:space="preserve">stranded </w:t>
      </w:r>
      <w:r w:rsidR="004727E3">
        <w:t>cost</w:t>
      </w:r>
      <w:r w:rsidR="00480022">
        <w:t>s</w:t>
      </w:r>
      <w:r w:rsidR="004F65A3">
        <w:t xml:space="preserve">, and for harm to important public policy goals.  </w:t>
      </w:r>
      <w:r w:rsidR="007A7293">
        <w:t xml:space="preserve">These factors can cause harm to </w:t>
      </w:r>
      <w:r w:rsidR="0028619A">
        <w:t xml:space="preserve">remaining customers at </w:t>
      </w:r>
      <w:r w:rsidR="004727E3">
        <w:t xml:space="preserve">a regulated company when </w:t>
      </w:r>
      <w:r w:rsidR="007D310F">
        <w:t>other</w:t>
      </w:r>
      <w:r w:rsidR="004C620C">
        <w:t xml:space="preserve"> </w:t>
      </w:r>
      <w:r w:rsidR="004727E3">
        <w:t>customers</w:t>
      </w:r>
      <w:r w:rsidR="004F1CE6">
        <w:t xml:space="preserve">, usually larger customers, </w:t>
      </w:r>
      <w:r w:rsidR="004727E3">
        <w:t xml:space="preserve">choose to leave the </w:t>
      </w:r>
      <w:r w:rsidR="004727E3">
        <w:lastRenderedPageBreak/>
        <w:t xml:space="preserve">regulated provider for a </w:t>
      </w:r>
      <w:r w:rsidR="00610C6D">
        <w:t xml:space="preserve">competitive </w:t>
      </w:r>
      <w:r w:rsidR="004727E3">
        <w:t>service.</w:t>
      </w:r>
      <w:r w:rsidR="00C27D44">
        <w:t xml:space="preserve">  </w:t>
      </w:r>
      <w:r w:rsidR="00610C6D">
        <w:t>D</w:t>
      </w:r>
      <w:r w:rsidR="00F73AB6">
        <w:t>uring the 1990s, as Washington S</w:t>
      </w:r>
      <w:r w:rsidR="00610C6D">
        <w:t>tate, along with the rest of the count</w:t>
      </w:r>
      <w:r w:rsidR="00480022">
        <w:t>r</w:t>
      </w:r>
      <w:r w:rsidR="00610C6D">
        <w:t>y, considered whether to adopt a transition to</w:t>
      </w:r>
      <w:r w:rsidR="0077410E">
        <w:t xml:space="preserve"> retail competition in </w:t>
      </w:r>
      <w:r w:rsidR="00480022">
        <w:t>electricity,</w:t>
      </w:r>
      <w:r w:rsidR="0077410E">
        <w:t xml:space="preserve"> </w:t>
      </w:r>
      <w:r w:rsidR="00610C6D">
        <w:t xml:space="preserve">the Commission conducted a policy </w:t>
      </w:r>
      <w:r w:rsidR="00480022">
        <w:t>inquiry</w:t>
      </w:r>
      <w:r w:rsidR="00610C6D">
        <w:t xml:space="preserve"> to review issues raised by the</w:t>
      </w:r>
      <w:r w:rsidR="00480022">
        <w:t xml:space="preserve"> potential</w:t>
      </w:r>
      <w:r w:rsidR="00610C6D">
        <w:t xml:space="preserve"> transition, and issued a </w:t>
      </w:r>
      <w:r w:rsidR="00F636EA">
        <w:t>Policy S</w:t>
      </w:r>
      <w:r w:rsidR="00610C6D">
        <w:t xml:space="preserve">tatement announcing </w:t>
      </w:r>
      <w:r w:rsidR="00F636EA">
        <w:t xml:space="preserve">Guiding Principles for Regulation in an Evolving </w:t>
      </w:r>
      <w:r w:rsidR="00480022">
        <w:t>Electricity Industry</w:t>
      </w:r>
      <w:r w:rsidR="00610C6D">
        <w:t>.</w:t>
      </w:r>
      <w:r w:rsidR="00480022">
        <w:rPr>
          <w:rStyle w:val="FootnoteReference"/>
        </w:rPr>
        <w:footnoteReference w:id="20"/>
      </w:r>
      <w:r w:rsidR="009E76CE">
        <w:t xml:space="preserve"> </w:t>
      </w:r>
      <w:r w:rsidR="00610C6D">
        <w:t xml:space="preserve"> </w:t>
      </w:r>
      <w:r w:rsidR="0028619A">
        <w:t>Regarding cost shifting</w:t>
      </w:r>
      <w:r w:rsidR="004F65A3">
        <w:t xml:space="preserve"> </w:t>
      </w:r>
      <w:r w:rsidR="00480022">
        <w:t>the Commission stated:</w:t>
      </w:r>
    </w:p>
    <w:p w14:paraId="53E28C3B" w14:textId="77777777" w:rsidR="00F636EA" w:rsidRDefault="00F636EA" w:rsidP="00C27D44">
      <w:pPr>
        <w:ind w:left="1440"/>
      </w:pPr>
      <w:r>
        <w:t>“Non-economic bypass and the inappropriate shifting of costs of the electric system between or among customers do not constitute fair and efficient competition, are contrary to the public interest, and should be avoided.  Customers of continuing monopoly service should benefit, or at least not be harmed, from choices made by customers with access to competitive options.”</w:t>
      </w:r>
      <w:r w:rsidR="0028619A">
        <w:rPr>
          <w:rStyle w:val="FootnoteReference"/>
        </w:rPr>
        <w:footnoteReference w:id="21"/>
      </w:r>
      <w:r>
        <w:t xml:space="preserve"> </w:t>
      </w:r>
    </w:p>
    <w:p w14:paraId="3E96EFCA" w14:textId="77777777" w:rsidR="00FB6DC4" w:rsidRDefault="00FB6DC4" w:rsidP="00FB6DC4">
      <w:pPr>
        <w:ind w:left="1440"/>
      </w:pPr>
    </w:p>
    <w:p w14:paraId="3F79EA48" w14:textId="77777777" w:rsidR="00FB6DC4" w:rsidRDefault="00FB6DC4" w:rsidP="00FB6DC4">
      <w:pPr>
        <w:pStyle w:val="ParNumber"/>
        <w:tabs>
          <w:tab w:val="clear" w:pos="360"/>
          <w:tab w:val="num" w:pos="0"/>
        </w:tabs>
        <w:spacing w:line="480" w:lineRule="auto"/>
        <w:ind w:left="0" w:hanging="720"/>
      </w:pPr>
      <w:r>
        <w:t xml:space="preserve">          </w:t>
      </w:r>
      <w:r w:rsidR="004F65A3">
        <w:t>Addressing stranded costs, t</w:t>
      </w:r>
      <w:r w:rsidR="0028619A">
        <w:t>he Commission went on to state that “[w]hen justified by the public interest, regulatory policy should seek flexible ways to reduce both shareholder and ratepayer exposure to potentially stranded costs.”</w:t>
      </w:r>
      <w:r w:rsidR="0028619A">
        <w:rPr>
          <w:rStyle w:val="FootnoteReference"/>
        </w:rPr>
        <w:footnoteReference w:id="22"/>
      </w:r>
    </w:p>
    <w:p w14:paraId="60C6F837" w14:textId="77777777" w:rsidR="00FB6DC4" w:rsidRDefault="00FB6DC4" w:rsidP="00FB6DC4">
      <w:pPr>
        <w:pStyle w:val="ParNumber"/>
        <w:tabs>
          <w:tab w:val="clear" w:pos="360"/>
          <w:tab w:val="num" w:pos="0"/>
        </w:tabs>
        <w:spacing w:line="480" w:lineRule="auto"/>
        <w:ind w:left="0" w:hanging="720"/>
      </w:pPr>
      <w:r>
        <w:t xml:space="preserve">          </w:t>
      </w:r>
      <w:r w:rsidR="004F65A3">
        <w:t>The Commission also expressed concern that public policy goals should not be negatively impacted, stating that: “[d]</w:t>
      </w:r>
      <w:r w:rsidR="00F636EA">
        <w:t xml:space="preserve">evelopment of competitive electricity markets should not undermine </w:t>
      </w:r>
      <w:r w:rsidR="00F636EA">
        <w:lastRenderedPageBreak/>
        <w:t>public policies favoring environmental protection, energy</w:t>
      </w:r>
      <w:r w:rsidR="009B48E5">
        <w:t xml:space="preserve"> efficiency, resource diversity, and technological innovation.”</w:t>
      </w:r>
      <w:r w:rsidR="004F65A3">
        <w:rPr>
          <w:rStyle w:val="FootnoteReference"/>
        </w:rPr>
        <w:footnoteReference w:id="23"/>
      </w:r>
      <w:r w:rsidR="009B48E5">
        <w:t xml:space="preserve"> </w:t>
      </w:r>
    </w:p>
    <w:p w14:paraId="005ED120" w14:textId="77777777" w:rsidR="00CE5DE1" w:rsidRDefault="00FB6DC4" w:rsidP="00FB6DC4">
      <w:pPr>
        <w:pStyle w:val="ParNumber"/>
        <w:tabs>
          <w:tab w:val="clear" w:pos="360"/>
          <w:tab w:val="num" w:pos="0"/>
        </w:tabs>
        <w:spacing w:line="480" w:lineRule="auto"/>
        <w:ind w:left="0" w:hanging="720"/>
      </w:pPr>
      <w:r>
        <w:t xml:space="preserve">          </w:t>
      </w:r>
      <w:r w:rsidR="00CE5DE1">
        <w:t>Although</w:t>
      </w:r>
      <w:r w:rsidR="004F65A3">
        <w:t xml:space="preserve"> Washington </w:t>
      </w:r>
      <w:r w:rsidR="00CE5DE1">
        <w:t xml:space="preserve">ultimately </w:t>
      </w:r>
      <w:r w:rsidR="004F65A3">
        <w:t>chose not to adopt a statutory framework for</w:t>
      </w:r>
      <w:r w:rsidR="00CE5DE1">
        <w:t xml:space="preserve"> retail electric competition, </w:t>
      </w:r>
      <w:r w:rsidR="004F65A3">
        <w:t xml:space="preserve">these principles </w:t>
      </w:r>
      <w:r w:rsidR="00267444">
        <w:t>continue to provide guidance</w:t>
      </w:r>
      <w:r w:rsidR="004F65A3">
        <w:t xml:space="preserve"> </w:t>
      </w:r>
      <w:r w:rsidR="00CE5DE1">
        <w:t xml:space="preserve">in Washington utility regulation.  The Policy Statement was </w:t>
      </w:r>
      <w:r w:rsidR="004F65A3">
        <w:t xml:space="preserve">recently </w:t>
      </w:r>
      <w:r w:rsidR="009B48E5">
        <w:t xml:space="preserve">reaffirmed in the Commission’s order in the </w:t>
      </w:r>
      <w:r w:rsidR="009B48E5" w:rsidRPr="00FB6DC4">
        <w:rPr>
          <w:i/>
        </w:rPr>
        <w:t xml:space="preserve">Microsoft </w:t>
      </w:r>
      <w:r w:rsidR="004F65A3" w:rsidRPr="00FB6DC4">
        <w:rPr>
          <w:i/>
        </w:rPr>
        <w:t>Special Contract</w:t>
      </w:r>
      <w:r w:rsidR="004F65A3">
        <w:t xml:space="preserve"> </w:t>
      </w:r>
      <w:r w:rsidR="009B48E5">
        <w:t>case</w:t>
      </w:r>
      <w:r w:rsidR="008432DD">
        <w:t>:</w:t>
      </w:r>
      <w:r w:rsidR="004F65A3">
        <w:rPr>
          <w:rStyle w:val="FootnoteReference"/>
        </w:rPr>
        <w:footnoteReference w:id="24"/>
      </w:r>
      <w:r w:rsidR="009B48E5">
        <w:t xml:space="preserve">   </w:t>
      </w:r>
    </w:p>
    <w:p w14:paraId="408F6F71" w14:textId="77777777" w:rsidR="00CE5DE1" w:rsidRDefault="00CE5DE1" w:rsidP="00FB6DC4">
      <w:pPr>
        <w:ind w:left="1440"/>
      </w:pPr>
      <w:r>
        <w:t xml:space="preserve">“We reaffirm the Commission’s 1995 Policy Statement….In particular, we stress that ‘[e]lectricity service should be available to customers at prices that are both reasonable and affordable,’ and’[t]he long term integrity, safety, reliability, and quality of the bulk electric system and retail electricity service should not be jeopardized.’ </w:t>
      </w:r>
      <w:r w:rsidR="006D151E">
        <w:t xml:space="preserve"> </w:t>
      </w:r>
      <w:r>
        <w:t>We are acutely concerned that large business access to wholesale markets, regardless of the rationale, should not result in unreasonable or affordable rates for remaining customers, especially those least able to pay [.]</w:t>
      </w:r>
      <w:r>
        <w:rPr>
          <w:rStyle w:val="FootnoteReference"/>
        </w:rPr>
        <w:footnoteReference w:id="25"/>
      </w:r>
    </w:p>
    <w:p w14:paraId="469DF2DF" w14:textId="77777777" w:rsidR="00CE5DE1" w:rsidRPr="00CE5DE1" w:rsidRDefault="00CE5DE1" w:rsidP="00CE5DE1">
      <w:pPr>
        <w:ind w:left="720"/>
      </w:pPr>
    </w:p>
    <w:p w14:paraId="347B331F" w14:textId="77777777" w:rsidR="00FB6DC4" w:rsidRDefault="00FB6DC4" w:rsidP="00FB6DC4">
      <w:pPr>
        <w:pStyle w:val="ParNumber"/>
        <w:tabs>
          <w:tab w:val="clear" w:pos="720"/>
          <w:tab w:val="left" w:pos="0"/>
          <w:tab w:val="left" w:pos="360"/>
        </w:tabs>
        <w:spacing w:line="480" w:lineRule="auto"/>
        <w:ind w:left="0" w:hanging="720"/>
      </w:pPr>
      <w:r>
        <w:t xml:space="preserve">          </w:t>
      </w:r>
      <w:r w:rsidR="008432DD">
        <w:t xml:space="preserve">While the </w:t>
      </w:r>
      <w:r w:rsidR="008432DD" w:rsidRPr="000C55EE">
        <w:rPr>
          <w:i/>
        </w:rPr>
        <w:t>Microsoft</w:t>
      </w:r>
      <w:r w:rsidR="000C55EE" w:rsidRPr="000C55EE">
        <w:rPr>
          <w:i/>
        </w:rPr>
        <w:t xml:space="preserve"> Special Contract</w:t>
      </w:r>
      <w:r w:rsidR="008432DD">
        <w:t xml:space="preserve"> case involves a custom</w:t>
      </w:r>
      <w:r>
        <w:t xml:space="preserve">er’s departure to the wholesale </w:t>
      </w:r>
      <w:r w:rsidR="008432DD">
        <w:t>market, rather than to an alternate retail provider</w:t>
      </w:r>
      <w:r w:rsidR="004F1CE6">
        <w:t xml:space="preserve"> as in this case</w:t>
      </w:r>
      <w:r w:rsidR="008432DD">
        <w:t xml:space="preserve">, the policy guidance of the order is </w:t>
      </w:r>
      <w:r w:rsidR="002A4463">
        <w:t xml:space="preserve">relevant for this </w:t>
      </w:r>
      <w:r w:rsidR="008432DD">
        <w:t xml:space="preserve">docket.  </w:t>
      </w:r>
      <w:r w:rsidR="009B48E5">
        <w:t xml:space="preserve">Both cases involve the need to protect remaining customers from harm that results from </w:t>
      </w:r>
      <w:r w:rsidR="00CE5DE1">
        <w:t>larger customers</w:t>
      </w:r>
      <w:r w:rsidR="009B48E5">
        <w:t xml:space="preserve"> leaving the </w:t>
      </w:r>
      <w:r w:rsidR="00CE5DE1">
        <w:t xml:space="preserve">regulated utility’s </w:t>
      </w:r>
      <w:r w:rsidR="009B48E5">
        <w:t xml:space="preserve">system.  </w:t>
      </w:r>
    </w:p>
    <w:p w14:paraId="75650B7E" w14:textId="77777777" w:rsidR="008432DD" w:rsidRDefault="00FB6DC4" w:rsidP="00FB6DC4">
      <w:pPr>
        <w:pStyle w:val="ParNumber"/>
        <w:tabs>
          <w:tab w:val="clear" w:pos="720"/>
          <w:tab w:val="left" w:pos="0"/>
          <w:tab w:val="left" w:pos="360"/>
        </w:tabs>
        <w:spacing w:line="480" w:lineRule="auto"/>
        <w:ind w:left="0" w:hanging="720"/>
      </w:pPr>
      <w:r>
        <w:t xml:space="preserve">          </w:t>
      </w:r>
      <w:r w:rsidR="008432DD">
        <w:t>In the Microsoft case, the Commission approved Microsoft’s departure from the PSE system because the settlement in the case directly addressed the issues of stranded costs, cost-shifting, and</w:t>
      </w:r>
      <w:r w:rsidR="00C91CEF">
        <w:t xml:space="preserve"> continued support for public policy programs</w:t>
      </w:r>
      <w:r w:rsidR="008432DD">
        <w:t>:</w:t>
      </w:r>
    </w:p>
    <w:p w14:paraId="4076DBCE" w14:textId="77777777" w:rsidR="009B48E5" w:rsidRDefault="008432DD" w:rsidP="00FB6DC4">
      <w:pPr>
        <w:ind w:left="1440"/>
      </w:pPr>
      <w:r>
        <w:t>“Microsoft’s suite of commitments in the Settlement addresses these concerns to a significant degree.  Microsoft’s payment of the Transition Fee and agree</w:t>
      </w:r>
      <w:r w:rsidR="002A4463">
        <w:t>ment</w:t>
      </w:r>
      <w:r>
        <w:t xml:space="preserve"> to continue or increase its contribution to conservation, energy efficiency, and low-income support funding reasonably protects remaining customers from the </w:t>
      </w:r>
      <w:r>
        <w:lastRenderedPageBreak/>
        <w:t xml:space="preserve">potentially adverse effect </w:t>
      </w:r>
      <w:r w:rsidR="00C91CEF">
        <w:t>of by [sic] Microsoft’s change from a core to a non-core customer.”</w:t>
      </w:r>
      <w:r w:rsidR="00C91CEF">
        <w:rPr>
          <w:rStyle w:val="FootnoteReference"/>
        </w:rPr>
        <w:footnoteReference w:id="26"/>
      </w:r>
    </w:p>
    <w:p w14:paraId="3AD4F873" w14:textId="77777777" w:rsidR="00C91CEF" w:rsidRDefault="00C91CEF" w:rsidP="00C91CEF">
      <w:pPr>
        <w:ind w:left="720"/>
      </w:pPr>
    </w:p>
    <w:p w14:paraId="174C2647" w14:textId="77777777" w:rsidR="0077410E" w:rsidRDefault="00FB6DC4" w:rsidP="00FB6DC4">
      <w:pPr>
        <w:pStyle w:val="ParNumber"/>
        <w:tabs>
          <w:tab w:val="clear" w:pos="360"/>
        </w:tabs>
        <w:spacing w:line="480" w:lineRule="auto"/>
        <w:ind w:left="0" w:hanging="720"/>
      </w:pPr>
      <w:r>
        <w:t xml:space="preserve">          </w:t>
      </w:r>
      <w:r w:rsidR="000C55EE">
        <w:t xml:space="preserve">This statement </w:t>
      </w:r>
      <w:r w:rsidR="004D4286">
        <w:t>highlights</w:t>
      </w:r>
      <w:r w:rsidR="000C55EE">
        <w:t xml:space="preserve"> that </w:t>
      </w:r>
      <w:r w:rsidR="00267444">
        <w:t>o</w:t>
      </w:r>
      <w:r w:rsidR="0077410E">
        <w:t xml:space="preserve">ne of the key problems raised by </w:t>
      </w:r>
      <w:r w:rsidR="000C55EE">
        <w:t xml:space="preserve">the </w:t>
      </w:r>
      <w:r w:rsidR="0077410E">
        <w:t xml:space="preserve">departure of customers </w:t>
      </w:r>
      <w:r w:rsidR="00C91CEF">
        <w:t>f</w:t>
      </w:r>
      <w:r w:rsidR="000C55EE">
        <w:t xml:space="preserve">rom </w:t>
      </w:r>
      <w:r w:rsidR="00C91CEF">
        <w:t>a regulated company</w:t>
      </w:r>
      <w:r w:rsidR="004F1CE6">
        <w:t xml:space="preserve"> </w:t>
      </w:r>
      <w:r w:rsidR="00C91CEF">
        <w:t>is</w:t>
      </w:r>
      <w:r w:rsidR="0077410E">
        <w:t xml:space="preserve"> the challenge of maintaining equitable support for public policy goals, including adequate support for energy efficiency and low-income programs. </w:t>
      </w:r>
      <w:r>
        <w:t xml:space="preserve"> </w:t>
      </w:r>
      <w:r w:rsidR="00C91CEF">
        <w:t xml:space="preserve">In the </w:t>
      </w:r>
      <w:r w:rsidR="00C91CEF" w:rsidRPr="00C91CEF">
        <w:rPr>
          <w:i/>
        </w:rPr>
        <w:t>Microsoft Special Contract</w:t>
      </w:r>
      <w:r w:rsidR="00C91CEF">
        <w:t xml:space="preserve"> case, the Commission concluded that “Microsoft’s agreement to continue its contributions to PSE’s conservation and low-income assistance programs and to contribute additional funds for energy efficiency and access to renewable resources for low-income customers is lawful, supported by an appropriate record, and consistent with the public interest in protecting ratepayers from Microsoft’s departure and in promoting the State’s and the Commission’s conservation, energy efficiency, and low-income assistance policies.”</w:t>
      </w:r>
      <w:r w:rsidR="00940D64">
        <w:rPr>
          <w:rStyle w:val="FootnoteReference"/>
        </w:rPr>
        <w:footnoteReference w:id="27"/>
      </w:r>
      <w:r w:rsidR="00267444">
        <w:t xml:space="preserve"> </w:t>
      </w:r>
      <w:r w:rsidR="00C27D44">
        <w:t xml:space="preserve"> </w:t>
      </w:r>
      <w:r w:rsidR="005731B8">
        <w:t xml:space="preserve">The same rationale </w:t>
      </w:r>
      <w:r w:rsidR="00E20742">
        <w:t>applies</w:t>
      </w:r>
      <w:r w:rsidR="00397B72">
        <w:t xml:space="preserve"> </w:t>
      </w:r>
      <w:r w:rsidR="005731B8">
        <w:t>in this case.</w:t>
      </w:r>
    </w:p>
    <w:p w14:paraId="463F7AA5" w14:textId="77777777" w:rsidR="000D25EE" w:rsidRDefault="00267444" w:rsidP="00C75F16">
      <w:pPr>
        <w:pStyle w:val="Heading3"/>
        <w:spacing w:before="0"/>
      </w:pPr>
      <w:bookmarkStart w:id="18" w:name="_Toc489005710"/>
      <w:r>
        <w:t xml:space="preserve">The </w:t>
      </w:r>
      <w:r w:rsidR="00C75F16">
        <w:t>“</w:t>
      </w:r>
      <w:r w:rsidR="00127016">
        <w:t>Regulatory Compact</w:t>
      </w:r>
      <w:r w:rsidR="00C75F16">
        <w:t>”</w:t>
      </w:r>
      <w:bookmarkEnd w:id="18"/>
    </w:p>
    <w:p w14:paraId="0C50DBD2" w14:textId="77777777" w:rsidR="00267444" w:rsidRPr="00267444" w:rsidRDefault="00267444" w:rsidP="00267444"/>
    <w:p w14:paraId="150DAC88" w14:textId="77777777" w:rsidR="00FB6DC4" w:rsidRDefault="006D151E" w:rsidP="00822618">
      <w:pPr>
        <w:pStyle w:val="ParNumber"/>
        <w:tabs>
          <w:tab w:val="clear" w:pos="360"/>
        </w:tabs>
        <w:spacing w:line="480" w:lineRule="auto"/>
        <w:ind w:left="0" w:hanging="720"/>
      </w:pPr>
      <w:r>
        <w:t xml:space="preserve">          </w:t>
      </w:r>
      <w:r w:rsidR="00822618">
        <w:t>The Commission continues to recognize the viability of the “regu</w:t>
      </w:r>
      <w:r>
        <w:t xml:space="preserve">latory compact” in Washington. </w:t>
      </w:r>
      <w:r w:rsidR="00822618">
        <w:t xml:space="preserve"> </w:t>
      </w:r>
      <w:r w:rsidR="00127016">
        <w:t xml:space="preserve">Chairman Danner’s Separate Statement in the </w:t>
      </w:r>
      <w:r w:rsidR="00127016" w:rsidRPr="00822618">
        <w:rPr>
          <w:i/>
        </w:rPr>
        <w:t xml:space="preserve">Walla Walla Country Club </w:t>
      </w:r>
      <w:r w:rsidR="00127016">
        <w:t xml:space="preserve">case </w:t>
      </w:r>
      <w:r w:rsidR="00822618">
        <w:t xml:space="preserve">acknowledges </w:t>
      </w:r>
      <w:r w:rsidR="00127016">
        <w:t>tha</w:t>
      </w:r>
      <w:r w:rsidR="00822618">
        <w:t>t there is an evolution of the regulatory compact</w:t>
      </w:r>
      <w:r w:rsidR="00127016">
        <w:t xml:space="preserve"> in Washington,</w:t>
      </w:r>
      <w:r w:rsidR="00822618">
        <w:t xml:space="preserve"> while at the same time accurately concluding </w:t>
      </w:r>
      <w:r w:rsidR="00127016">
        <w:t>that “for all intents and purposes, the regulatory compact continues to this day and has served the customer</w:t>
      </w:r>
      <w:r w:rsidR="00310551">
        <w:t>s</w:t>
      </w:r>
      <w:r w:rsidR="00127016">
        <w:t xml:space="preserve"> of Washington’s </w:t>
      </w:r>
      <w:r w:rsidR="002700C0">
        <w:t>investor-owned electric utilities well, ensuring that service is available and affordable.”</w:t>
      </w:r>
      <w:r w:rsidR="002700C0">
        <w:rPr>
          <w:rStyle w:val="FootnoteReference"/>
        </w:rPr>
        <w:footnoteReference w:id="28"/>
      </w:r>
    </w:p>
    <w:p w14:paraId="54784D8A" w14:textId="77777777" w:rsidR="00FD40B3" w:rsidRDefault="006D151E" w:rsidP="006D151E">
      <w:pPr>
        <w:pStyle w:val="ParNumber"/>
        <w:tabs>
          <w:tab w:val="clear" w:pos="360"/>
          <w:tab w:val="num" w:pos="0"/>
        </w:tabs>
        <w:spacing w:line="480" w:lineRule="auto"/>
        <w:ind w:left="0" w:hanging="720"/>
      </w:pPr>
      <w:r>
        <w:lastRenderedPageBreak/>
        <w:t xml:space="preserve">          </w:t>
      </w:r>
      <w:r w:rsidR="00822618">
        <w:t xml:space="preserve">In the Jefferson PUD case, the Commission described the regulatory compact as </w:t>
      </w:r>
      <w:r w:rsidR="00310551">
        <w:t xml:space="preserve">constituting </w:t>
      </w:r>
      <w:r w:rsidR="00FD40B3">
        <w:t>the “</w:t>
      </w:r>
      <w:r w:rsidR="00FD40B3" w:rsidRPr="005E2D5D">
        <w:t>most basic underpinnings</w:t>
      </w:r>
      <w:r w:rsidR="00FD40B3">
        <w:t>”</w:t>
      </w:r>
      <w:r w:rsidR="00FD40B3" w:rsidRPr="005E2D5D">
        <w:t xml:space="preserve"> of utility regulation</w:t>
      </w:r>
      <w:r w:rsidR="00FD40B3">
        <w:t>, going on to say:</w:t>
      </w:r>
    </w:p>
    <w:p w14:paraId="26437AE8" w14:textId="77777777" w:rsidR="00FD40B3" w:rsidRDefault="00FD40B3" w:rsidP="00FD40B3">
      <w:pPr>
        <w:spacing w:line="288" w:lineRule="auto"/>
        <w:ind w:left="1440"/>
      </w:pPr>
      <w:r w:rsidRPr="005E2D5D">
        <w:t xml:space="preserve">This compact, or understanding, between utilities and those who regulate them is necessary because utilities generally are regarded as being natural monopolies.  They are capital intensive to the point that it is economically inefficient for more than one firm to build, operate and maintain the infrastructure necessary to provide service in the public interest.  Monopolies, by their nature, are able to restrict output and charge prices higher than what is economically justified.  Governmental oversight, such as provided by the Commission, prevents utilities such as PSE from exercising monopoly power, with regulation substituting for competition as the determiner of price.  Thus, in its most basic form, the regulatory compact is that utilities have an obligation to </w:t>
      </w:r>
      <w:r>
        <w:t>provide</w:t>
      </w:r>
      <w:r w:rsidRPr="005E2D5D">
        <w:t xml:space="preserve"> all customers in their territory with safe and reliable service in return for the regulator’s promise to set rates that will compensate the utility for the costs incurred to meet that obligation.</w:t>
      </w:r>
      <w:r w:rsidR="0013370D">
        <w:rPr>
          <w:rStyle w:val="FootnoteReference"/>
        </w:rPr>
        <w:footnoteReference w:id="29"/>
      </w:r>
    </w:p>
    <w:p w14:paraId="698C243B" w14:textId="77777777" w:rsidR="006D151E" w:rsidRPr="005E2D5D" w:rsidRDefault="006D151E" w:rsidP="00FD40B3">
      <w:pPr>
        <w:spacing w:line="288" w:lineRule="auto"/>
        <w:ind w:left="1440"/>
      </w:pPr>
    </w:p>
    <w:p w14:paraId="4056E80A" w14:textId="77777777" w:rsidR="00310551" w:rsidRDefault="006D151E" w:rsidP="006D151E">
      <w:pPr>
        <w:pStyle w:val="ParNumber"/>
        <w:tabs>
          <w:tab w:val="clear" w:pos="360"/>
          <w:tab w:val="clear" w:pos="720"/>
          <w:tab w:val="left" w:pos="0"/>
        </w:tabs>
        <w:spacing w:line="480" w:lineRule="auto"/>
        <w:ind w:left="0" w:hanging="720"/>
      </w:pPr>
      <w:r>
        <w:t xml:space="preserve">        </w:t>
      </w:r>
      <w:r w:rsidR="002700C0">
        <w:t>While an in-depth discussion of the regulatory compact is beyond the scope of this brief, the accuracy of Chairman Danner’s observation</w:t>
      </w:r>
      <w:r w:rsidR="00507BEC">
        <w:t xml:space="preserve"> above</w:t>
      </w:r>
      <w:r w:rsidR="002700C0">
        <w:t xml:space="preserve"> is apparent.</w:t>
      </w:r>
      <w:r w:rsidR="00F3754B">
        <w:rPr>
          <w:rStyle w:val="FootnoteReference"/>
        </w:rPr>
        <w:footnoteReference w:id="30"/>
      </w:r>
      <w:r w:rsidR="00C27D44">
        <w:t xml:space="preserve">  </w:t>
      </w:r>
      <w:r w:rsidR="002700C0">
        <w:t xml:space="preserve">Although </w:t>
      </w:r>
      <w:r w:rsidR="00940D64">
        <w:t xml:space="preserve">there is no dispute that </w:t>
      </w:r>
      <w:r w:rsidR="002700C0">
        <w:t xml:space="preserve">Washington law does not </w:t>
      </w:r>
      <w:r w:rsidR="00940D64">
        <w:t>establish</w:t>
      </w:r>
      <w:r w:rsidR="002700C0">
        <w:t xml:space="preserve"> </w:t>
      </w:r>
      <w:r w:rsidR="002700C0" w:rsidRPr="00310551">
        <w:rPr>
          <w:i/>
        </w:rPr>
        <w:t xml:space="preserve">de jure </w:t>
      </w:r>
      <w:r w:rsidR="002700C0">
        <w:t xml:space="preserve">franchises for its investor-owned utilities, </w:t>
      </w:r>
      <w:r w:rsidR="00C31ABB">
        <w:t>with minor exceptions,</w:t>
      </w:r>
      <w:r w:rsidR="00F871E0">
        <w:rPr>
          <w:rStyle w:val="FootnoteReference"/>
        </w:rPr>
        <w:footnoteReference w:id="31"/>
      </w:r>
      <w:r w:rsidR="00C31ABB">
        <w:t xml:space="preserve"> </w:t>
      </w:r>
      <w:r w:rsidR="002700C0">
        <w:t xml:space="preserve"> Washington IOU</w:t>
      </w:r>
      <w:r w:rsidR="00C31ABB">
        <w:t>s operate</w:t>
      </w:r>
      <w:r w:rsidR="002700C0">
        <w:t xml:space="preserve"> as </w:t>
      </w:r>
      <w:r w:rsidR="002700C0" w:rsidRPr="00310551">
        <w:rPr>
          <w:i/>
        </w:rPr>
        <w:t>de facto</w:t>
      </w:r>
      <w:r w:rsidR="00C31ABB">
        <w:t xml:space="preserve"> monopolies</w:t>
      </w:r>
      <w:r w:rsidR="002700C0">
        <w:t xml:space="preserve"> in </w:t>
      </w:r>
      <w:r w:rsidR="00C31ABB">
        <w:t>their</w:t>
      </w:r>
      <w:r w:rsidR="002700C0">
        <w:t xml:space="preserve"> service </w:t>
      </w:r>
      <w:r w:rsidR="00C31ABB">
        <w:t>areas</w:t>
      </w:r>
      <w:r w:rsidR="00FD40B3">
        <w:t xml:space="preserve"> as court and Commission decisions recognize.</w:t>
      </w:r>
      <w:r w:rsidR="00E75794">
        <w:rPr>
          <w:rStyle w:val="FootnoteReference"/>
        </w:rPr>
        <w:footnoteReference w:id="32"/>
      </w:r>
      <w:r w:rsidR="00E75794">
        <w:t xml:space="preserve">  Territorial issues </w:t>
      </w:r>
      <w:r w:rsidR="009A3021">
        <w:t xml:space="preserve">with neighboring utilities </w:t>
      </w:r>
      <w:r w:rsidR="00E75794">
        <w:t xml:space="preserve">are </w:t>
      </w:r>
      <w:r w:rsidR="00E75794">
        <w:lastRenderedPageBreak/>
        <w:t>primarily resolved by service area agreements, encourage</w:t>
      </w:r>
      <w:r w:rsidR="00310551">
        <w:t>d by statute.</w:t>
      </w:r>
      <w:r w:rsidR="00310551">
        <w:rPr>
          <w:rStyle w:val="FootnoteReference"/>
        </w:rPr>
        <w:footnoteReference w:id="33"/>
      </w:r>
      <w:r w:rsidR="00FB6DC4">
        <w:t xml:space="preserve"> </w:t>
      </w:r>
      <w:r w:rsidR="00EA1428">
        <w:t xml:space="preserve"> </w:t>
      </w:r>
      <w:r w:rsidR="00E75794">
        <w:t>The Commission’s regulatory authority over rates, service, safety and reliability</w:t>
      </w:r>
      <w:r w:rsidR="00C31ABB">
        <w:t xml:space="preserve"> for regulated utilities</w:t>
      </w:r>
      <w:r w:rsidR="00E75794">
        <w:t xml:space="preserve"> is </w:t>
      </w:r>
      <w:r w:rsidR="00BD4F72">
        <w:t>“</w:t>
      </w:r>
      <w:r w:rsidR="00E75794">
        <w:t>pervasive</w:t>
      </w:r>
      <w:r w:rsidR="00BD4F72">
        <w:t>”</w:t>
      </w:r>
      <w:r w:rsidR="00E75794">
        <w:t>, in recognition o</w:t>
      </w:r>
      <w:r w:rsidR="00BD4F72">
        <w:t xml:space="preserve">f the monopoly character of regulated </w:t>
      </w:r>
      <w:r w:rsidR="00E75794">
        <w:t>utility service.</w:t>
      </w:r>
      <w:r w:rsidR="009A3021">
        <w:rPr>
          <w:rStyle w:val="FootnoteReference"/>
        </w:rPr>
        <w:footnoteReference w:id="34"/>
      </w:r>
      <w:r w:rsidR="00E75794">
        <w:t xml:space="preserve">  Regulated electric utilities have an obligation to service all customers who request service, and may charge only fair, just, reasonable, and sufficient rates set by the Commission.</w:t>
      </w:r>
      <w:r w:rsidR="009A3021">
        <w:rPr>
          <w:rStyle w:val="FootnoteReference"/>
        </w:rPr>
        <w:footnoteReference w:id="35"/>
      </w:r>
      <w:r w:rsidR="00E75794">
        <w:t xml:space="preserve">  </w:t>
      </w:r>
      <w:r w:rsidR="00F3754B">
        <w:t>The statutory framework of Title 80 regulation recognizes the importance of affordability,</w:t>
      </w:r>
      <w:r w:rsidR="00BD553E">
        <w:rPr>
          <w:rStyle w:val="FootnoteReference"/>
        </w:rPr>
        <w:footnoteReference w:id="36"/>
      </w:r>
      <w:r w:rsidR="00F3754B">
        <w:t xml:space="preserve"> low-income programs,</w:t>
      </w:r>
      <w:r w:rsidR="00BD553E">
        <w:rPr>
          <w:rStyle w:val="FootnoteReference"/>
        </w:rPr>
        <w:footnoteReference w:id="37"/>
      </w:r>
      <w:r w:rsidR="00F3754B">
        <w:t xml:space="preserve"> and energy efficiency.</w:t>
      </w:r>
      <w:r w:rsidR="00F3754B">
        <w:rPr>
          <w:rStyle w:val="FootnoteReference"/>
        </w:rPr>
        <w:footnoteReference w:id="38"/>
      </w:r>
      <w:r w:rsidR="00F3754B">
        <w:t xml:space="preserve"> </w:t>
      </w:r>
      <w:r w:rsidR="00EA1428">
        <w:t xml:space="preserve"> </w:t>
      </w:r>
      <w:r w:rsidR="00BD4F72">
        <w:t>The provision by regulated utilities in Washington</w:t>
      </w:r>
      <w:r w:rsidR="00310551">
        <w:t xml:space="preserve"> of system benefits such as energy efficiency and low-income programs has evolved to become an integral part of regulated service</w:t>
      </w:r>
      <w:r w:rsidR="00BD553E">
        <w:t xml:space="preserve">.  </w:t>
      </w:r>
    </w:p>
    <w:p w14:paraId="635EA822" w14:textId="77777777" w:rsidR="002700C0" w:rsidRPr="002700C0" w:rsidRDefault="00131C19" w:rsidP="00131C19">
      <w:pPr>
        <w:pStyle w:val="ParNumber"/>
        <w:tabs>
          <w:tab w:val="clear" w:pos="360"/>
          <w:tab w:val="clear" w:pos="720"/>
          <w:tab w:val="left" w:pos="0"/>
        </w:tabs>
        <w:spacing w:line="480" w:lineRule="auto"/>
        <w:ind w:left="0" w:hanging="720"/>
      </w:pPr>
      <w:r>
        <w:t xml:space="preserve">          </w:t>
      </w:r>
      <w:r w:rsidR="00507BEC">
        <w:t xml:space="preserve">As the </w:t>
      </w:r>
      <w:r w:rsidR="00507BEC" w:rsidRPr="00310551">
        <w:rPr>
          <w:i/>
        </w:rPr>
        <w:t xml:space="preserve">Tanner Electric </w:t>
      </w:r>
      <w:r w:rsidR="00507BEC">
        <w:t xml:space="preserve">decision makes clear, the Commission has the authority to regulate the relationship between </w:t>
      </w:r>
      <w:r w:rsidR="009057B8">
        <w:t xml:space="preserve">an electric cooperative and </w:t>
      </w:r>
      <w:r w:rsidR="00507BEC">
        <w:t xml:space="preserve">the regulated monopoly utility and to do so in the </w:t>
      </w:r>
      <w:r w:rsidR="00BD4F72">
        <w:t>broader context of the</w:t>
      </w:r>
      <w:r w:rsidR="009057B8">
        <w:t xml:space="preserve"> exercise of its Title 80 powers to regulate in</w:t>
      </w:r>
      <w:r w:rsidR="00AE4BF2">
        <w:t xml:space="preserve"> the</w:t>
      </w:r>
      <w:r w:rsidR="009057B8">
        <w:t xml:space="preserve"> public interest for the protection of its customers and the interest of the regulated utility in financial soundness. </w:t>
      </w:r>
    </w:p>
    <w:p w14:paraId="4165117E" w14:textId="77777777" w:rsidR="004D0873" w:rsidRDefault="0021669B" w:rsidP="00FB6DC4">
      <w:pPr>
        <w:pStyle w:val="Heading1"/>
        <w:spacing w:before="0" w:line="480" w:lineRule="auto"/>
      </w:pPr>
      <w:bookmarkStart w:id="19" w:name="_Toc489005711"/>
      <w:r>
        <w:lastRenderedPageBreak/>
        <w:t>conclusion</w:t>
      </w:r>
      <w:bookmarkEnd w:id="19"/>
    </w:p>
    <w:p w14:paraId="5D5CF340" w14:textId="77777777" w:rsidR="00267444" w:rsidRDefault="00FB6DC4" w:rsidP="00FB6DC4">
      <w:pPr>
        <w:pStyle w:val="ParNumber"/>
        <w:tabs>
          <w:tab w:val="clear" w:pos="360"/>
          <w:tab w:val="num" w:pos="540"/>
        </w:tabs>
        <w:spacing w:line="480" w:lineRule="auto"/>
        <w:ind w:left="0" w:hanging="720"/>
      </w:pPr>
      <w:r>
        <w:t xml:space="preserve">          </w:t>
      </w:r>
      <w:r w:rsidR="004F2265">
        <w:t>For the foregoing reasons</w:t>
      </w:r>
      <w:r w:rsidR="00267444">
        <w:t>, if the Commissi</w:t>
      </w:r>
      <w:r w:rsidR="00133A84">
        <w:t>on concludes that stranded cost</w:t>
      </w:r>
      <w:r w:rsidR="00267444">
        <w:t xml:space="preserve"> fees </w:t>
      </w:r>
      <w:r w:rsidR="00310551">
        <w:t>may</w:t>
      </w:r>
      <w:r w:rsidR="00267444">
        <w:t xml:space="preserve"> </w:t>
      </w:r>
      <w:r w:rsidR="007A7A0A">
        <w:t xml:space="preserve">reasonably </w:t>
      </w:r>
      <w:r w:rsidR="00267444">
        <w:t>be imposed on departing</w:t>
      </w:r>
      <w:r w:rsidR="007A7A0A">
        <w:t xml:space="preserve"> Pacific Power </w:t>
      </w:r>
      <w:r w:rsidR="00267444">
        <w:t>customers</w:t>
      </w:r>
      <w:r w:rsidR="004F2265">
        <w:t xml:space="preserve"> in order to prevent cost-shifting</w:t>
      </w:r>
      <w:r w:rsidR="00310551">
        <w:t xml:space="preserve">, The Energy Project respectfully recommends </w:t>
      </w:r>
      <w:r w:rsidR="007A7A0A">
        <w:t xml:space="preserve">that the Commission require the inclusion of </w:t>
      </w:r>
      <w:r w:rsidR="00310551">
        <w:t xml:space="preserve">recovery for low-income and conservation programs as a part of the </w:t>
      </w:r>
      <w:r w:rsidR="00131C19">
        <w:t xml:space="preserve">stranded cost fee structure.  </w:t>
      </w:r>
      <w:r w:rsidR="00BA4B72">
        <w:t xml:space="preserve">Such a result is </w:t>
      </w:r>
      <w:r w:rsidR="00267444">
        <w:t>consistent with the regulatory policies of t</w:t>
      </w:r>
      <w:r w:rsidR="00BA4B72">
        <w:t>he Commission, and is necessary and appropriate to preserve system benefits and advance important state policy goals.</w:t>
      </w:r>
    </w:p>
    <w:p w14:paraId="51ECCE58" w14:textId="77777777" w:rsidR="00C1073A" w:rsidRDefault="00C1073A" w:rsidP="00C1073A">
      <w:pPr>
        <w:pStyle w:val="CourtName"/>
        <w:spacing w:line="480" w:lineRule="exact"/>
        <w:ind w:firstLine="720"/>
        <w:jc w:val="left"/>
      </w:pPr>
      <w:r>
        <w:t>DATED</w:t>
      </w:r>
      <w:r w:rsidR="00125CC0">
        <w:t xml:space="preserve"> this </w:t>
      </w:r>
      <w:r w:rsidR="00D50B2C">
        <w:t>28</w:t>
      </w:r>
      <w:r w:rsidR="00D50B2C">
        <w:rPr>
          <w:vertAlign w:val="superscript"/>
        </w:rPr>
        <w:t xml:space="preserve">th </w:t>
      </w:r>
      <w:r w:rsidR="00D50B2C">
        <w:t>day of July 2017.</w:t>
      </w:r>
    </w:p>
    <w:p w14:paraId="04B4D59F" w14:textId="77777777" w:rsidR="00C1073A" w:rsidRDefault="00C1073A" w:rsidP="00C1073A">
      <w:pPr>
        <w:pStyle w:val="CourtName"/>
        <w:spacing w:line="480" w:lineRule="exact"/>
        <w:ind w:firstLine="720"/>
        <w:jc w:val="left"/>
      </w:pPr>
    </w:p>
    <w:p w14:paraId="2873EB76" w14:textId="77777777" w:rsidR="00C1073A" w:rsidRDefault="00C1073A" w:rsidP="00C1073A">
      <w:pPr>
        <w:ind w:left="2160"/>
      </w:pPr>
      <w:r>
        <w:tab/>
      </w:r>
      <w:r>
        <w:tab/>
      </w:r>
      <w:r>
        <w:tab/>
      </w:r>
      <w:r>
        <w:tab/>
      </w:r>
      <w:r w:rsidR="00A54312">
        <w:t>Simon J. ffitch</w:t>
      </w:r>
    </w:p>
    <w:p w14:paraId="021CD846" w14:textId="77777777" w:rsidR="00C1073A" w:rsidRDefault="00C1073A" w:rsidP="00C1073A">
      <w:pPr>
        <w:ind w:left="2160"/>
      </w:pPr>
      <w:r>
        <w:tab/>
      </w:r>
      <w:r>
        <w:tab/>
      </w:r>
      <w:r>
        <w:tab/>
      </w:r>
      <w:r>
        <w:tab/>
      </w:r>
    </w:p>
    <w:p w14:paraId="27A1B712" w14:textId="77777777" w:rsidR="00C1073A" w:rsidRDefault="00C1073A" w:rsidP="00C1073A">
      <w:pPr>
        <w:ind w:left="2160"/>
      </w:pPr>
      <w:r>
        <w:tab/>
      </w:r>
      <w:r>
        <w:tab/>
      </w:r>
      <w:r>
        <w:tab/>
      </w:r>
      <w:r>
        <w:tab/>
      </w:r>
    </w:p>
    <w:p w14:paraId="01F8E584" w14:textId="77777777" w:rsidR="00A54312" w:rsidRDefault="00C1073A" w:rsidP="00A54312">
      <w:pPr>
        <w:ind w:left="2160"/>
      </w:pPr>
      <w:r>
        <w:tab/>
      </w:r>
      <w:r>
        <w:tab/>
      </w:r>
      <w:r>
        <w:tab/>
      </w:r>
      <w:r>
        <w:tab/>
      </w:r>
      <w:r w:rsidR="00A54312">
        <w:t>Attorney at Law</w:t>
      </w:r>
    </w:p>
    <w:p w14:paraId="4489B75E" w14:textId="77777777" w:rsidR="00BD1378" w:rsidRDefault="00A54312" w:rsidP="008B69BE">
      <w:pPr>
        <w:ind w:left="4320" w:firstLine="720"/>
      </w:pPr>
      <w:r>
        <w:t>for The Energy Project</w:t>
      </w:r>
    </w:p>
    <w:sectPr w:rsidR="00BD1378" w:rsidSect="00942DA1">
      <w:headerReference w:type="defaul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18420" w14:textId="77777777" w:rsidR="00197B7D" w:rsidRDefault="00197B7D">
      <w:r>
        <w:separator/>
      </w:r>
    </w:p>
  </w:endnote>
  <w:endnote w:type="continuationSeparator" w:id="0">
    <w:p w14:paraId="7076AB72" w14:textId="77777777" w:rsidR="00197B7D" w:rsidRDefault="0019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E49AE" w14:textId="77777777" w:rsidR="00F921E2" w:rsidRDefault="00F921E2"/>
  <w:tbl>
    <w:tblPr>
      <w:tblW w:w="0" w:type="auto"/>
      <w:tblInd w:w="108" w:type="dxa"/>
      <w:tblLayout w:type="fixed"/>
      <w:tblLook w:val="0000" w:firstRow="0" w:lastRow="0" w:firstColumn="0" w:lastColumn="0" w:noHBand="0" w:noVBand="0"/>
    </w:tblPr>
    <w:tblGrid>
      <w:gridCol w:w="3780"/>
      <w:gridCol w:w="1620"/>
      <w:gridCol w:w="4068"/>
    </w:tblGrid>
    <w:tr w:rsidR="00F921E2" w14:paraId="1A40210D" w14:textId="77777777" w:rsidTr="00942DA1">
      <w:tc>
        <w:tcPr>
          <w:tcW w:w="3780" w:type="dxa"/>
        </w:tcPr>
        <w:p w14:paraId="4AFD7CC4" w14:textId="77777777" w:rsidR="00F921E2" w:rsidRPr="00942DA1" w:rsidRDefault="00D50B2C">
          <w:pPr>
            <w:pStyle w:val="Footer"/>
            <w:rPr>
              <w:caps/>
              <w:szCs w:val="20"/>
            </w:rPr>
          </w:pPr>
          <w:r>
            <w:rPr>
              <w:caps/>
              <w:szCs w:val="20"/>
            </w:rPr>
            <w:t xml:space="preserve">INTIAL POST-HEARING BRIEF OF tEP </w:t>
          </w:r>
        </w:p>
        <w:p w14:paraId="79A83BE6" w14:textId="77777777" w:rsidR="00F921E2" w:rsidRPr="00942DA1" w:rsidRDefault="00942DA1">
          <w:pPr>
            <w:pStyle w:val="Footer"/>
            <w:rPr>
              <w:caps/>
              <w:szCs w:val="20"/>
            </w:rPr>
          </w:pPr>
          <w:r w:rsidRPr="00942DA1">
            <w:rPr>
              <w:caps/>
              <w:szCs w:val="20"/>
            </w:rPr>
            <w:t>DOCKET</w:t>
          </w:r>
          <w:r w:rsidR="004D0873">
            <w:rPr>
              <w:caps/>
              <w:szCs w:val="20"/>
            </w:rPr>
            <w:t xml:space="preserve"> </w:t>
          </w:r>
          <w:r w:rsidR="00FA4832">
            <w:rPr>
              <w:caps/>
              <w:szCs w:val="20"/>
            </w:rPr>
            <w:t>UE-</w:t>
          </w:r>
          <w:r w:rsidR="004D0873">
            <w:rPr>
              <w:caps/>
              <w:szCs w:val="20"/>
            </w:rPr>
            <w:t>161</w:t>
          </w:r>
          <w:r w:rsidR="00D50B2C">
            <w:rPr>
              <w:caps/>
              <w:szCs w:val="20"/>
            </w:rPr>
            <w:t>2</w:t>
          </w:r>
          <w:r w:rsidR="004D0873">
            <w:rPr>
              <w:caps/>
              <w:szCs w:val="20"/>
            </w:rPr>
            <w:t>0</w:t>
          </w:r>
          <w:r w:rsidR="00D50B2C">
            <w:rPr>
              <w:caps/>
              <w:szCs w:val="20"/>
            </w:rPr>
            <w:t>4</w:t>
          </w:r>
        </w:p>
        <w:p w14:paraId="460ED872" w14:textId="77777777" w:rsidR="00F921E2" w:rsidRPr="00942DA1" w:rsidRDefault="00F921E2">
          <w:pPr>
            <w:pStyle w:val="Footer"/>
            <w:rPr>
              <w:caps/>
              <w:szCs w:val="20"/>
            </w:rPr>
          </w:pPr>
        </w:p>
      </w:tc>
      <w:tc>
        <w:tcPr>
          <w:tcW w:w="1620" w:type="dxa"/>
        </w:tcPr>
        <w:p w14:paraId="42926ADA" w14:textId="77777777" w:rsidR="00F921E2" w:rsidRPr="00942DA1" w:rsidRDefault="00942DA1">
          <w:pPr>
            <w:pStyle w:val="Footer"/>
            <w:ind w:left="612"/>
            <w:rPr>
              <w:szCs w:val="20"/>
            </w:rPr>
          </w:pPr>
          <w:r w:rsidRPr="00942DA1">
            <w:rPr>
              <w:szCs w:val="20"/>
            </w:rPr>
            <w:fldChar w:fldCharType="begin"/>
          </w:r>
          <w:r w:rsidRPr="00942DA1">
            <w:rPr>
              <w:szCs w:val="20"/>
            </w:rPr>
            <w:instrText xml:space="preserve"> PAGE  \* MERGEFORMAT </w:instrText>
          </w:r>
          <w:r w:rsidRPr="00942DA1">
            <w:rPr>
              <w:szCs w:val="20"/>
            </w:rPr>
            <w:fldChar w:fldCharType="separate"/>
          </w:r>
          <w:r w:rsidR="009B670B">
            <w:rPr>
              <w:noProof/>
              <w:szCs w:val="20"/>
            </w:rPr>
            <w:t>2</w:t>
          </w:r>
          <w:r w:rsidRPr="00942DA1">
            <w:rPr>
              <w:noProof/>
              <w:szCs w:val="20"/>
            </w:rPr>
            <w:fldChar w:fldCharType="end"/>
          </w:r>
        </w:p>
      </w:tc>
      <w:tc>
        <w:tcPr>
          <w:tcW w:w="4068" w:type="dxa"/>
        </w:tcPr>
        <w:p w14:paraId="0619F415" w14:textId="77777777" w:rsidR="00A54312" w:rsidRPr="00A54312" w:rsidRDefault="00A54312" w:rsidP="00A54312">
          <w:pPr>
            <w:tabs>
              <w:tab w:val="center" w:pos="4320"/>
              <w:tab w:val="right" w:pos="8640"/>
            </w:tabs>
            <w:jc w:val="center"/>
            <w:rPr>
              <w:sz w:val="20"/>
              <w:szCs w:val="20"/>
            </w:rPr>
          </w:pPr>
          <w:r w:rsidRPr="00A54312">
            <w:rPr>
              <w:sz w:val="20"/>
              <w:szCs w:val="20"/>
            </w:rPr>
            <w:t>Simon J. ffitch</w:t>
          </w:r>
        </w:p>
        <w:p w14:paraId="2CB576AA" w14:textId="77777777" w:rsidR="00A54312" w:rsidRPr="00A54312" w:rsidRDefault="00A54312" w:rsidP="00A54312">
          <w:pPr>
            <w:tabs>
              <w:tab w:val="center" w:pos="4320"/>
              <w:tab w:val="right" w:pos="8640"/>
            </w:tabs>
            <w:jc w:val="center"/>
            <w:rPr>
              <w:sz w:val="20"/>
              <w:szCs w:val="20"/>
            </w:rPr>
          </w:pPr>
          <w:r w:rsidRPr="00A54312">
            <w:rPr>
              <w:sz w:val="20"/>
              <w:szCs w:val="20"/>
            </w:rPr>
            <w:t>Attorney at Law</w:t>
          </w:r>
        </w:p>
        <w:p w14:paraId="4896119A" w14:textId="77777777" w:rsidR="00A54312" w:rsidRPr="00A54312" w:rsidRDefault="00A54312" w:rsidP="00A54312">
          <w:pPr>
            <w:tabs>
              <w:tab w:val="center" w:pos="4320"/>
              <w:tab w:val="right" w:pos="8640"/>
            </w:tabs>
            <w:jc w:val="center"/>
            <w:rPr>
              <w:sz w:val="20"/>
              <w:szCs w:val="20"/>
            </w:rPr>
          </w:pPr>
          <w:r w:rsidRPr="00A54312">
            <w:rPr>
              <w:sz w:val="20"/>
              <w:szCs w:val="20"/>
            </w:rPr>
            <w:t xml:space="preserve">321 High School Rd. NE, </w:t>
          </w:r>
        </w:p>
        <w:p w14:paraId="402E237A" w14:textId="77777777" w:rsidR="00A54312" w:rsidRPr="00A54312" w:rsidRDefault="00A54312" w:rsidP="00A54312">
          <w:pPr>
            <w:tabs>
              <w:tab w:val="center" w:pos="4320"/>
              <w:tab w:val="right" w:pos="8640"/>
            </w:tabs>
            <w:jc w:val="center"/>
            <w:rPr>
              <w:sz w:val="20"/>
              <w:szCs w:val="20"/>
            </w:rPr>
          </w:pPr>
          <w:r w:rsidRPr="00A54312">
            <w:rPr>
              <w:sz w:val="20"/>
              <w:szCs w:val="20"/>
            </w:rPr>
            <w:t>Suite D3, Box No. 383</w:t>
          </w:r>
        </w:p>
        <w:p w14:paraId="4513D3B1" w14:textId="77777777" w:rsidR="00A54312" w:rsidRPr="00A54312" w:rsidRDefault="00A54312" w:rsidP="00A54312">
          <w:pPr>
            <w:tabs>
              <w:tab w:val="center" w:pos="4320"/>
              <w:tab w:val="right" w:pos="8640"/>
            </w:tabs>
            <w:jc w:val="center"/>
            <w:rPr>
              <w:sz w:val="20"/>
              <w:szCs w:val="20"/>
            </w:rPr>
          </w:pPr>
          <w:smartTag w:uri="urn:schemas-microsoft-com:office:smarttags" w:element="place">
            <w:smartTag w:uri="urn:schemas-microsoft-com:office:smarttags" w:element="City">
              <w:r w:rsidRPr="00A54312">
                <w:rPr>
                  <w:sz w:val="20"/>
                  <w:szCs w:val="20"/>
                </w:rPr>
                <w:t>Bainbridge Island</w:t>
              </w:r>
            </w:smartTag>
            <w:r w:rsidRPr="00A54312">
              <w:rPr>
                <w:sz w:val="20"/>
                <w:szCs w:val="20"/>
              </w:rPr>
              <w:t xml:space="preserve">, </w:t>
            </w:r>
            <w:smartTag w:uri="urn:schemas-microsoft-com:office:smarttags" w:element="State">
              <w:r w:rsidRPr="00A54312">
                <w:rPr>
                  <w:sz w:val="20"/>
                  <w:szCs w:val="20"/>
                </w:rPr>
                <w:t>WA</w:t>
              </w:r>
            </w:smartTag>
            <w:r w:rsidRPr="00A54312">
              <w:rPr>
                <w:sz w:val="20"/>
                <w:szCs w:val="20"/>
              </w:rPr>
              <w:t xml:space="preserve"> </w:t>
            </w:r>
            <w:smartTag w:uri="urn:schemas-microsoft-com:office:smarttags" w:element="PostalCode">
              <w:r w:rsidRPr="00A54312">
                <w:rPr>
                  <w:sz w:val="20"/>
                  <w:szCs w:val="20"/>
                </w:rPr>
                <w:t>98110</w:t>
              </w:r>
            </w:smartTag>
          </w:smartTag>
        </w:p>
        <w:p w14:paraId="24ACF502" w14:textId="77777777" w:rsidR="00942DA1" w:rsidRPr="00133A84" w:rsidRDefault="00A54312" w:rsidP="00A54312">
          <w:pPr>
            <w:pStyle w:val="Footer"/>
            <w:jc w:val="center"/>
            <w:rPr>
              <w:szCs w:val="20"/>
            </w:rPr>
          </w:pPr>
          <w:r w:rsidRPr="00133A84">
            <w:rPr>
              <w:szCs w:val="20"/>
            </w:rPr>
            <w:t>(206) 669-8197</w:t>
          </w:r>
        </w:p>
      </w:tc>
    </w:tr>
  </w:tbl>
  <w:p w14:paraId="2940A29A" w14:textId="77777777" w:rsidR="00F921E2" w:rsidRDefault="00F92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5BFCC" w14:textId="77777777" w:rsidR="00197B7D" w:rsidRDefault="00197B7D">
      <w:r>
        <w:separator/>
      </w:r>
    </w:p>
  </w:footnote>
  <w:footnote w:type="continuationSeparator" w:id="0">
    <w:p w14:paraId="140BE6A1" w14:textId="77777777" w:rsidR="00197B7D" w:rsidRDefault="00197B7D">
      <w:pPr>
        <w:ind w:right="5760"/>
      </w:pPr>
      <w:r>
        <w:continuationSeparator/>
      </w:r>
    </w:p>
  </w:footnote>
  <w:footnote w:id="1">
    <w:p w14:paraId="279B6916" w14:textId="77777777" w:rsidR="007A7593" w:rsidRDefault="007A7593">
      <w:pPr>
        <w:pStyle w:val="FootnoteText"/>
      </w:pPr>
      <w:r>
        <w:rPr>
          <w:rStyle w:val="FootnoteReference"/>
        </w:rPr>
        <w:footnoteRef/>
      </w:r>
      <w:r>
        <w:t xml:space="preserve"> </w:t>
      </w:r>
      <w:r w:rsidRPr="007A7593">
        <w:rPr>
          <w:i/>
        </w:rPr>
        <w:t>Washington Utilities &amp; Transportation Commission v. Pacific Power &amp; Light Co</w:t>
      </w:r>
      <w:r>
        <w:t>., Docket UE-140762 et al, Order 08, ¶ 242</w:t>
      </w:r>
      <w:r w:rsidR="00D82954">
        <w:fldChar w:fldCharType="begin"/>
      </w:r>
      <w:r w:rsidR="00D82954">
        <w:instrText xml:space="preserve"> TA \l "</w:instrText>
      </w:r>
      <w:r w:rsidR="00D82954" w:rsidRPr="00CA5E8F">
        <w:rPr>
          <w:i/>
        </w:rPr>
        <w:instrText>Washington Utilities &amp; Transportation Commission v. Pacific Power &amp; Light Co</w:instrText>
      </w:r>
      <w:r w:rsidR="00D82954" w:rsidRPr="00CA5E8F">
        <w:instrText>., Docket UE-140762 et al, Order 08, ¶ 242</w:instrText>
      </w:r>
      <w:r w:rsidR="00D82954">
        <w:instrText>" \s "Washington Utilities &amp; Transportation Commission v. Pacific Power &amp; Light Co., Do</w:instrText>
      </w:r>
      <w:r w:rsidR="00054E25">
        <w:instrText>cket UE-140762 et al, Order 08,</w:instrText>
      </w:r>
      <w:r w:rsidR="00D82954">
        <w:instrText xml:space="preserve"> 242" \c 3 </w:instrText>
      </w:r>
      <w:r w:rsidR="00D82954">
        <w:fldChar w:fldCharType="end"/>
      </w:r>
      <w:r>
        <w:t xml:space="preserve"> (Pacific Power 2014 GRC).</w:t>
      </w:r>
    </w:p>
  </w:footnote>
  <w:footnote w:id="2">
    <w:p w14:paraId="101B261F" w14:textId="77777777" w:rsidR="00F72A89" w:rsidRDefault="00F72A89">
      <w:pPr>
        <w:pStyle w:val="FootnoteText"/>
      </w:pPr>
      <w:r>
        <w:rPr>
          <w:rStyle w:val="FootnoteReference"/>
        </w:rPr>
        <w:footnoteRef/>
      </w:r>
      <w:r>
        <w:t xml:space="preserve"> </w:t>
      </w:r>
      <w:r w:rsidRPr="00F72A89">
        <w:rPr>
          <w:i/>
        </w:rPr>
        <w:t>Washington Utilities &amp; Transportation Commission v. PacifiCorp</w:t>
      </w:r>
      <w:r>
        <w:t>, Docket UE-111190, Order 07, ¶ 17</w:t>
      </w:r>
      <w:r w:rsidR="00054E25">
        <w:fldChar w:fldCharType="begin"/>
      </w:r>
      <w:r w:rsidR="00054E25">
        <w:instrText xml:space="preserve"> TA \l "</w:instrText>
      </w:r>
      <w:r w:rsidR="00054E25" w:rsidRPr="00657F71">
        <w:rPr>
          <w:i/>
        </w:rPr>
        <w:instrText>Washington Utilities &amp; Transportation Commission v. PacifiCorp</w:instrText>
      </w:r>
      <w:r w:rsidR="00054E25" w:rsidRPr="00657F71">
        <w:instrText xml:space="preserve">, </w:instrText>
      </w:r>
      <w:r w:rsidR="00054E25" w:rsidRPr="00657F71">
        <w:br/>
        <w:instrText>Docket UE-111190, Order 07, ¶ 17</w:instrText>
      </w:r>
      <w:r w:rsidR="00054E25">
        <w:instrText xml:space="preserve">" \s "Washington Utilities &amp; Transportation Commission v. PacifiCorp, Docket UE-111190, Order 07,  17" \c 3 </w:instrText>
      </w:r>
      <w:r w:rsidR="00054E25">
        <w:fldChar w:fldCharType="end"/>
      </w:r>
      <w:r w:rsidR="007C1EF3">
        <w:t xml:space="preserve"> (Pacific Power 2011/2012 GRC)</w:t>
      </w:r>
      <w:r w:rsidR="00A76F44">
        <w:t>.</w:t>
      </w:r>
      <w:r>
        <w:t xml:space="preserve"> </w:t>
      </w:r>
    </w:p>
  </w:footnote>
  <w:footnote w:id="3">
    <w:p w14:paraId="7C921E6B" w14:textId="77777777" w:rsidR="00133E0A" w:rsidRDefault="00133E0A" w:rsidP="00133E0A">
      <w:pPr>
        <w:pStyle w:val="FootnoteText"/>
      </w:pPr>
      <w:r>
        <w:rPr>
          <w:rStyle w:val="FootnoteReference"/>
        </w:rPr>
        <w:footnoteRef/>
      </w:r>
      <w:r>
        <w:t xml:space="preserve"> </w:t>
      </w:r>
      <w:r w:rsidR="00CA5397">
        <w:t>The Energy Project requests that the Commission take official notice of the tariff</w:t>
      </w:r>
      <w:r w:rsidR="005065F6">
        <w:t xml:space="preserve"> and tariff filing</w:t>
      </w:r>
      <w:r w:rsidR="00CA5397">
        <w:t xml:space="preserve">, pursuant to </w:t>
      </w:r>
      <w:r w:rsidR="00CA5397" w:rsidRPr="00942A8D">
        <w:t>WAC 480-07-</w:t>
      </w:r>
      <w:r w:rsidR="007C1EF3">
        <w:t>495(2)(a)(i)(C)</w:t>
      </w:r>
      <w:r w:rsidR="00054E25">
        <w:fldChar w:fldCharType="begin"/>
      </w:r>
      <w:r w:rsidR="00054E25">
        <w:instrText xml:space="preserve"> TA \l "</w:instrText>
      </w:r>
      <w:r w:rsidR="00054E25" w:rsidRPr="00580776">
        <w:instrText>WAC 480-07-495(2)(a)(i)(C)</w:instrText>
      </w:r>
      <w:r w:rsidR="00054E25">
        <w:instrText xml:space="preserve">" \s "WAC 480-07-495(2)(a)(i)(C)" \c 6 </w:instrText>
      </w:r>
      <w:r w:rsidR="00054E25">
        <w:fldChar w:fldCharType="end"/>
      </w:r>
      <w:r w:rsidR="007C1EF3">
        <w:t xml:space="preserve">. </w:t>
      </w:r>
      <w:r w:rsidR="005065F6">
        <w:rPr>
          <w:b/>
        </w:rPr>
        <w:t xml:space="preserve"> </w:t>
      </w:r>
      <w:r w:rsidR="005065F6">
        <w:t xml:space="preserve">Planned revenue collections, credits and participation for the next five years are </w:t>
      </w:r>
      <w:r w:rsidR="00CA5397">
        <w:t>shown at</w:t>
      </w:r>
      <w:r w:rsidR="00CA5397">
        <w:rPr>
          <w:b/>
        </w:rPr>
        <w:t xml:space="preserve"> </w:t>
      </w:r>
      <w:r w:rsidR="00CA5397">
        <w:t xml:space="preserve">Advice 17-04, Exhibit A (Proposed Enrollments, Administrative Costs, and Customer Credits), Pacific Power Low-Income Bill Assistance (LIBA) Program, Program Years 2017-2022.  </w:t>
      </w:r>
      <w:r>
        <w:t>Additional stakeholders participating in the collaborative included Boise, NW Energy Coalition, Blue Mountain Action Council, Northwest Community Action Center, and Opportunities</w:t>
      </w:r>
      <w:r w:rsidR="00A76F44">
        <w:t xml:space="preserve"> Industrialization Center.</w:t>
      </w:r>
    </w:p>
  </w:footnote>
  <w:footnote w:id="4">
    <w:p w14:paraId="0CA5E0B1" w14:textId="77777777" w:rsidR="007A7593" w:rsidRDefault="007A7593">
      <w:pPr>
        <w:pStyle w:val="FootnoteText"/>
      </w:pPr>
      <w:r>
        <w:rPr>
          <w:rStyle w:val="FootnoteReference"/>
        </w:rPr>
        <w:footnoteRef/>
      </w:r>
      <w:r>
        <w:t xml:space="preserve"> </w:t>
      </w:r>
      <w:r w:rsidR="00133E0A" w:rsidRPr="00133E0A">
        <w:rPr>
          <w:i/>
        </w:rPr>
        <w:t xml:space="preserve">Pacific Power </w:t>
      </w:r>
      <w:r w:rsidRPr="00133E0A">
        <w:rPr>
          <w:i/>
        </w:rPr>
        <w:t>2014 GRC</w:t>
      </w:r>
      <w:r>
        <w:t>, Order 08, ¶ 240</w:t>
      </w:r>
      <w:r w:rsidR="00054E25">
        <w:fldChar w:fldCharType="begin"/>
      </w:r>
      <w:r w:rsidR="00054E25">
        <w:instrText xml:space="preserve"> TA \s "Washington Utilities &amp; Transportation Commission v. Pacific Power &amp; Light Co., Docket UE-140762 et al, Order 08, 242" </w:instrText>
      </w:r>
      <w:r w:rsidR="00054E25">
        <w:fldChar w:fldCharType="end"/>
      </w:r>
      <w:r>
        <w:t>.</w:t>
      </w:r>
    </w:p>
  </w:footnote>
  <w:footnote w:id="5">
    <w:p w14:paraId="52A9967B" w14:textId="77777777" w:rsidR="00734453" w:rsidRPr="00133E0A" w:rsidRDefault="00734453">
      <w:pPr>
        <w:pStyle w:val="FootnoteText"/>
        <w:rPr>
          <w:b/>
        </w:rPr>
      </w:pPr>
      <w:r>
        <w:rPr>
          <w:rStyle w:val="FootnoteReference"/>
        </w:rPr>
        <w:footnoteRef/>
      </w:r>
      <w:r>
        <w:t xml:space="preserve"> </w:t>
      </w:r>
      <w:r w:rsidR="00A76F44">
        <w:t xml:space="preserve">Exh. </w:t>
      </w:r>
      <w:r w:rsidR="007C1EF3">
        <w:t xml:space="preserve">RMM-4X (Pacific Power </w:t>
      </w:r>
      <w:r>
        <w:t>Resp</w:t>
      </w:r>
      <w:r w:rsidR="00DE5F5D">
        <w:t>o</w:t>
      </w:r>
      <w:r w:rsidR="00E7129F">
        <w:t>n</w:t>
      </w:r>
      <w:r w:rsidR="00DE5F5D">
        <w:t>se</w:t>
      </w:r>
      <w:r>
        <w:t xml:space="preserve"> to Public Counsel Data Request No. 15</w:t>
      </w:r>
      <w:r w:rsidR="00C32B1A">
        <w:t>), pp. 1-2</w:t>
      </w:r>
      <w:r w:rsidR="00DE5F5D">
        <w:rPr>
          <w:b/>
        </w:rPr>
        <w:t>.</w:t>
      </w:r>
    </w:p>
  </w:footnote>
  <w:footnote w:id="6">
    <w:p w14:paraId="4EFEBEA8" w14:textId="77777777" w:rsidR="00BA1C02" w:rsidRPr="00BA1C02" w:rsidRDefault="00BA1C02">
      <w:pPr>
        <w:pStyle w:val="FootnoteText"/>
      </w:pPr>
      <w:r>
        <w:rPr>
          <w:rStyle w:val="FootnoteReference"/>
        </w:rPr>
        <w:footnoteRef/>
      </w:r>
      <w:r>
        <w:t xml:space="preserve"> </w:t>
      </w:r>
      <w:r>
        <w:rPr>
          <w:i/>
        </w:rPr>
        <w:t>Id</w:t>
      </w:r>
      <w:r>
        <w:t>.</w:t>
      </w:r>
      <w:r w:rsidR="00C32B1A">
        <w:t>, p. 4</w:t>
      </w:r>
      <w:r w:rsidR="00A76F44">
        <w:t>.</w:t>
      </w:r>
    </w:p>
  </w:footnote>
  <w:footnote w:id="7">
    <w:p w14:paraId="1DE501EF" w14:textId="77777777" w:rsidR="00893AB2" w:rsidRPr="0046177F" w:rsidRDefault="00893AB2">
      <w:pPr>
        <w:pStyle w:val="FootnoteText"/>
        <w:rPr>
          <w:i/>
        </w:rPr>
      </w:pPr>
      <w:r>
        <w:rPr>
          <w:rStyle w:val="FootnoteReference"/>
        </w:rPr>
        <w:footnoteRef/>
      </w:r>
      <w:r w:rsidR="00DE5F5D">
        <w:t xml:space="preserve"> </w:t>
      </w:r>
      <w:r w:rsidR="00C32B1A">
        <w:rPr>
          <w:i/>
        </w:rPr>
        <w:t>Id.</w:t>
      </w:r>
      <w:r w:rsidR="00C32B1A">
        <w:t>, p. 2.</w:t>
      </w:r>
      <w:r w:rsidR="00A76F44">
        <w:t xml:space="preserve"> </w:t>
      </w:r>
      <w:r w:rsidR="0046177F">
        <w:rPr>
          <w:b/>
        </w:rPr>
        <w:t xml:space="preserve"> </w:t>
      </w:r>
      <w:r w:rsidR="0046177F">
        <w:t>Pacific Power also provides bill as</w:t>
      </w:r>
      <w:r w:rsidR="00DE5F5D">
        <w:t xml:space="preserve">sistance through Project HELP, </w:t>
      </w:r>
      <w:r w:rsidR="0046177F">
        <w:t xml:space="preserve">a fuel fund supported by donations which are matched </w:t>
      </w:r>
      <w:r w:rsidR="009F3BDA">
        <w:t xml:space="preserve">by the Company with </w:t>
      </w:r>
      <w:r w:rsidR="0046177F">
        <w:t>$2 for each $1 donated.  Project HELP provided $56,445 of bill assistance in 2016.</w:t>
      </w:r>
      <w:r w:rsidR="00DE5F5D">
        <w:t xml:space="preserve"> </w:t>
      </w:r>
      <w:r w:rsidR="0046177F">
        <w:t xml:space="preserve"> </w:t>
      </w:r>
      <w:r w:rsidR="0046177F">
        <w:rPr>
          <w:i/>
        </w:rPr>
        <w:t>Id.</w:t>
      </w:r>
    </w:p>
  </w:footnote>
  <w:footnote w:id="8">
    <w:p w14:paraId="7587EB90" w14:textId="77777777" w:rsidR="0028381F" w:rsidRPr="00C32B1A" w:rsidRDefault="0028381F">
      <w:pPr>
        <w:pStyle w:val="FootnoteText"/>
      </w:pPr>
      <w:r>
        <w:rPr>
          <w:rStyle w:val="FootnoteReference"/>
        </w:rPr>
        <w:footnoteRef/>
      </w:r>
      <w:r>
        <w:t xml:space="preserve"> </w:t>
      </w:r>
      <w:r>
        <w:rPr>
          <w:i/>
        </w:rPr>
        <w:t>Id.</w:t>
      </w:r>
      <w:r w:rsidR="00C32B1A">
        <w:t>, p. 4</w:t>
      </w:r>
      <w:r w:rsidR="00382705">
        <w:t>.</w:t>
      </w:r>
    </w:p>
  </w:footnote>
  <w:footnote w:id="9">
    <w:p w14:paraId="7A64E6EC" w14:textId="77777777" w:rsidR="00AD58BA" w:rsidRDefault="00AD58BA">
      <w:pPr>
        <w:pStyle w:val="FootnoteText"/>
      </w:pPr>
      <w:r>
        <w:rPr>
          <w:rStyle w:val="FootnoteReference"/>
        </w:rPr>
        <w:footnoteRef/>
      </w:r>
      <w:r>
        <w:t xml:space="preserve"> Revised </w:t>
      </w:r>
      <w:r w:rsidR="00E7129F">
        <w:t>Direct of Dalley</w:t>
      </w:r>
      <w:r w:rsidR="00382705">
        <w:t>,</w:t>
      </w:r>
      <w:r w:rsidR="00E7129F">
        <w:t xml:space="preserve"> Exh. </w:t>
      </w:r>
      <w:r w:rsidR="00AE4BF2">
        <w:t xml:space="preserve">RBD-1T, </w:t>
      </w:r>
      <w:r>
        <w:t>at 7:17-21.</w:t>
      </w:r>
      <w:r w:rsidR="00A01E2A">
        <w:t xml:space="preserve">  Bolton, TR. 176:10-15 (“</w:t>
      </w:r>
      <w:r w:rsidR="00A01E2A" w:rsidRPr="00A01E2A">
        <w:t>The Company incur</w:t>
      </w:r>
      <w:r w:rsidR="00BD3F11">
        <w:t>s stranded costs whenever any</w:t>
      </w:r>
      <w:r w:rsidR="00A01E2A" w:rsidRPr="00A01E2A">
        <w:t xml:space="preserve"> customer departs, but cer</w:t>
      </w:r>
      <w:r w:rsidR="00A01E2A">
        <w:t xml:space="preserve">tainly those -- the magnitude </w:t>
      </w:r>
      <w:r w:rsidR="00A01E2A" w:rsidRPr="00A01E2A">
        <w:t>or the impact of cost shift</w:t>
      </w:r>
      <w:r w:rsidR="00A01E2A">
        <w:t xml:space="preserve">ing is much more severe when </w:t>
      </w:r>
      <w:r w:rsidR="00A01E2A" w:rsidRPr="00A01E2A">
        <w:t>it's a higher-margin cust</w:t>
      </w:r>
      <w:r w:rsidR="00A01E2A">
        <w:t xml:space="preserve">omer leaving the system and, </w:t>
      </w:r>
      <w:r w:rsidR="00A01E2A" w:rsidRPr="00A01E2A">
        <w:t>frankly, lower-margin or low-in</w:t>
      </w:r>
      <w:r w:rsidR="00A01E2A">
        <w:t xml:space="preserve">come customers continue </w:t>
      </w:r>
      <w:r w:rsidR="00A01E2A" w:rsidRPr="00A01E2A">
        <w:t>to remain.</w:t>
      </w:r>
      <w:r w:rsidR="00A01E2A">
        <w:t>”)</w:t>
      </w:r>
      <w:r w:rsidR="004D4374">
        <w:t xml:space="preserve">  Mr. Dalley’s testimony was adopted by Scott Bolton.</w:t>
      </w:r>
    </w:p>
  </w:footnote>
  <w:footnote w:id="10">
    <w:p w14:paraId="0BFBF66E" w14:textId="77777777" w:rsidR="00074AEA" w:rsidRDefault="00074AEA">
      <w:pPr>
        <w:pStyle w:val="FootnoteText"/>
      </w:pPr>
      <w:r>
        <w:rPr>
          <w:rStyle w:val="FootnoteReference"/>
        </w:rPr>
        <w:footnoteRef/>
      </w:r>
      <w:r w:rsidR="00E7129F">
        <w:t xml:space="preserve"> Revised </w:t>
      </w:r>
      <w:r w:rsidR="004D4374">
        <w:t xml:space="preserve">Direct of </w:t>
      </w:r>
      <w:r w:rsidR="00E7129F">
        <w:t xml:space="preserve">Dalley, Exh. </w:t>
      </w:r>
      <w:r>
        <w:t>RBD-1T</w:t>
      </w:r>
      <w:r w:rsidR="004D4374">
        <w:t>,</w:t>
      </w:r>
      <w:r>
        <w:t xml:space="preserve"> at 13:9-12, 14:12-21</w:t>
      </w:r>
      <w:r w:rsidR="00382705">
        <w:t>.</w:t>
      </w:r>
    </w:p>
  </w:footnote>
  <w:footnote w:id="11">
    <w:p w14:paraId="5C2995D4" w14:textId="77777777" w:rsidR="006336E3" w:rsidRDefault="006336E3">
      <w:pPr>
        <w:pStyle w:val="FootnoteText"/>
      </w:pPr>
      <w:r>
        <w:rPr>
          <w:rStyle w:val="FootnoteReference"/>
        </w:rPr>
        <w:footnoteRef/>
      </w:r>
      <w:r>
        <w:t xml:space="preserve"> Responsive Testimon</w:t>
      </w:r>
      <w:r w:rsidR="00E7129F">
        <w:t>y of Kathleen Kelly, Exh.</w:t>
      </w:r>
      <w:r>
        <w:t xml:space="preserve"> KAK-1T at 60:5-6.  Ms. Kelly’s general discussion of low-income and energy effic</w:t>
      </w:r>
      <w:r w:rsidR="00E7129F">
        <w:t xml:space="preserve">iency programs appears at pp. </w:t>
      </w:r>
      <w:r>
        <w:t xml:space="preserve">53-57 of her testimony. </w:t>
      </w:r>
    </w:p>
  </w:footnote>
  <w:footnote w:id="12">
    <w:p w14:paraId="4265C4E0" w14:textId="77777777" w:rsidR="00D515B7" w:rsidRDefault="00D515B7">
      <w:pPr>
        <w:pStyle w:val="FootnoteText"/>
      </w:pPr>
      <w:r>
        <w:rPr>
          <w:rStyle w:val="FootnoteReference"/>
        </w:rPr>
        <w:footnoteRef/>
      </w:r>
      <w:r w:rsidR="004D4374">
        <w:t xml:space="preserve"> Revised Rebuttal of Dalley</w:t>
      </w:r>
      <w:r w:rsidR="00E7129F">
        <w:t xml:space="preserve">, Exh. </w:t>
      </w:r>
      <w:r>
        <w:t>RBD-5T</w:t>
      </w:r>
      <w:r w:rsidR="004D4374">
        <w:t>r,</w:t>
      </w:r>
      <w:r>
        <w:t xml:space="preserve"> at 9:12-10:6.</w:t>
      </w:r>
    </w:p>
  </w:footnote>
  <w:footnote w:id="13">
    <w:p w14:paraId="553E9D91" w14:textId="77777777" w:rsidR="00EF288C" w:rsidRDefault="00EF288C">
      <w:pPr>
        <w:pStyle w:val="FootnoteText"/>
      </w:pPr>
      <w:r>
        <w:rPr>
          <w:rStyle w:val="FootnoteReference"/>
        </w:rPr>
        <w:footnoteRef/>
      </w:r>
      <w:r w:rsidR="004D4374">
        <w:t xml:space="preserve"> Revised Rebuttal of Dalley, Exh. RBD-5Tr</w:t>
      </w:r>
      <w:r>
        <w:t>, at 9:7-19.</w:t>
      </w:r>
    </w:p>
  </w:footnote>
  <w:footnote w:id="14">
    <w:p w14:paraId="5E2F957F" w14:textId="77777777" w:rsidR="00EF288C" w:rsidRDefault="00EF288C">
      <w:pPr>
        <w:pStyle w:val="FootnoteText"/>
      </w:pPr>
      <w:r>
        <w:rPr>
          <w:rStyle w:val="FootnoteReference"/>
        </w:rPr>
        <w:footnoteRef/>
      </w:r>
      <w:r>
        <w:t xml:space="preserve"> Revised Rebuttal Testimon</w:t>
      </w:r>
      <w:r w:rsidR="00E7129F">
        <w:t>y of Robert M. Meredith, Exh.</w:t>
      </w:r>
      <w:r>
        <w:t xml:space="preserve"> RMM-1T</w:t>
      </w:r>
      <w:r w:rsidR="004D4374">
        <w:t>,</w:t>
      </w:r>
      <w:r>
        <w:t xml:space="preserve"> at 15; </w:t>
      </w:r>
      <w:r w:rsidR="00E7129F">
        <w:t xml:space="preserve">Exh. </w:t>
      </w:r>
      <w:r>
        <w:t>RMM-2T.</w:t>
      </w:r>
    </w:p>
  </w:footnote>
  <w:footnote w:id="15">
    <w:p w14:paraId="62871076" w14:textId="77777777" w:rsidR="00035DE2" w:rsidRDefault="00035DE2">
      <w:pPr>
        <w:pStyle w:val="FootnoteText"/>
      </w:pPr>
      <w:r>
        <w:rPr>
          <w:rStyle w:val="FootnoteReference"/>
        </w:rPr>
        <w:footnoteRef/>
      </w:r>
      <w:r w:rsidR="00812952">
        <w:t xml:space="preserve"> </w:t>
      </w:r>
      <w:r w:rsidR="00404F6F">
        <w:t>For example, t</w:t>
      </w:r>
      <w:r w:rsidR="00812952">
        <w:t>he s</w:t>
      </w:r>
      <w:r w:rsidR="001E1AA6">
        <w:t>ix-</w:t>
      </w:r>
      <w:r w:rsidR="00812952">
        <w:t>year net present value cost</w:t>
      </w:r>
      <w:r w:rsidR="00404F6F">
        <w:t xml:space="preserve"> he calculates </w:t>
      </w:r>
      <w:r w:rsidR="00812952">
        <w:t xml:space="preserve">for a residential customer (Schedule 16) is $41.  For a large general service customer </w:t>
      </w:r>
      <w:r w:rsidR="00FD094D">
        <w:t xml:space="preserve">using less than 1000 kW </w:t>
      </w:r>
      <w:r w:rsidR="00812952">
        <w:t xml:space="preserve">(Schedule </w:t>
      </w:r>
      <w:r w:rsidR="00382705">
        <w:t xml:space="preserve">36) the cost is $2209.  Exh. </w:t>
      </w:r>
      <w:r w:rsidR="004D4374">
        <w:t xml:space="preserve">RMM-2, </w:t>
      </w:r>
      <w:r w:rsidR="00812952">
        <w:t xml:space="preserve">at 2, 4.  </w:t>
      </w:r>
    </w:p>
  </w:footnote>
  <w:footnote w:id="16">
    <w:p w14:paraId="728F6B36" w14:textId="77777777" w:rsidR="002507D8" w:rsidRDefault="002507D8">
      <w:pPr>
        <w:pStyle w:val="FootnoteText"/>
      </w:pPr>
      <w:r>
        <w:rPr>
          <w:rStyle w:val="FootnoteReference"/>
        </w:rPr>
        <w:footnoteRef/>
      </w:r>
      <w:r>
        <w:t xml:space="preserve"> </w:t>
      </w:r>
      <w:r w:rsidR="0074578B">
        <w:t>The classes listed in the tariff are: o</w:t>
      </w:r>
      <w:r>
        <w:t xml:space="preserve">utdoor lighting, residential, low-income, small general service, partial requirements, large general service, agricultural pumping, street and recreational field lighting.   </w:t>
      </w:r>
    </w:p>
  </w:footnote>
  <w:footnote w:id="17">
    <w:p w14:paraId="0310E97C" w14:textId="77777777" w:rsidR="006775F5" w:rsidRDefault="006775F5">
      <w:pPr>
        <w:pStyle w:val="FootnoteText"/>
      </w:pPr>
      <w:r>
        <w:rPr>
          <w:rStyle w:val="FootnoteReference"/>
        </w:rPr>
        <w:footnoteRef/>
      </w:r>
      <w:r w:rsidR="00D811FB">
        <w:t xml:space="preserve"> </w:t>
      </w:r>
      <w:r w:rsidR="00382705">
        <w:t xml:space="preserve">Exh. </w:t>
      </w:r>
      <w:r w:rsidR="00C32B1A">
        <w:t>RMM-4X, p. 4</w:t>
      </w:r>
      <w:r w:rsidR="001B4D8F">
        <w:t>.</w:t>
      </w:r>
    </w:p>
  </w:footnote>
  <w:footnote w:id="18">
    <w:p w14:paraId="3AD9FF0E" w14:textId="77777777" w:rsidR="00CA2FFB" w:rsidRDefault="00CA2FFB" w:rsidP="00CA2FFB">
      <w:pPr>
        <w:pStyle w:val="FootnoteText"/>
      </w:pPr>
      <w:r>
        <w:rPr>
          <w:rStyle w:val="FootnoteReference"/>
        </w:rPr>
        <w:footnoteRef/>
      </w:r>
      <w:r>
        <w:t xml:space="preserve"> Mr. Gorman for Columbia REA responds to Ms. Kelly’s recommendation regarding low-income support by arguing that customer departures will reduce the need for low-income and energy efficiency programs and therefore obviate any cost shift to re</w:t>
      </w:r>
      <w:r w:rsidR="00C27D44">
        <w:t xml:space="preserve">maining customers.  Exh. </w:t>
      </w:r>
      <w:r>
        <w:t>MPG-8T</w:t>
      </w:r>
      <w:r w:rsidR="009E76CE">
        <w:t>,</w:t>
      </w:r>
      <w:r>
        <w:t xml:space="preserve"> at 8:14-24.  He does </w:t>
      </w:r>
      <w:r w:rsidR="00FD094D">
        <w:t xml:space="preserve">not reference </w:t>
      </w:r>
      <w:r>
        <w:t>Pacific Power’s multi-year LIBA program or its funding mechanism.</w:t>
      </w:r>
    </w:p>
  </w:footnote>
  <w:footnote w:id="19">
    <w:p w14:paraId="581AA117" w14:textId="77777777" w:rsidR="00DC7B43" w:rsidRPr="00DC7B43" w:rsidRDefault="00DC7B43">
      <w:pPr>
        <w:pStyle w:val="FootnoteText"/>
        <w:rPr>
          <w:i/>
        </w:rPr>
      </w:pPr>
      <w:r>
        <w:rPr>
          <w:rStyle w:val="FootnoteReference"/>
        </w:rPr>
        <w:footnoteRef/>
      </w:r>
      <w:r>
        <w:t xml:space="preserve"> </w:t>
      </w:r>
      <w:r w:rsidR="00C27D44">
        <w:t>Exh.</w:t>
      </w:r>
      <w:r w:rsidR="00506E7B">
        <w:t xml:space="preserve"> RMM 5X</w:t>
      </w:r>
      <w:r w:rsidR="00D811FB">
        <w:t xml:space="preserve"> (Pacific Power Response to Public Counsel Data Request No. 20(a))</w:t>
      </w:r>
      <w:r w:rsidR="00506E7B">
        <w:t xml:space="preserve"> (“The Company has not received any permanent disconnection requests from customers who qualify for Pacific Power’s low-income bill ass</w:t>
      </w:r>
      <w:r w:rsidR="00C27D44">
        <w:t xml:space="preserve">istance program.”); Exh. </w:t>
      </w:r>
      <w:r w:rsidR="00506E7B">
        <w:t xml:space="preserve">MPG 10X </w:t>
      </w:r>
      <w:r w:rsidR="001133D3">
        <w:t>(Columbia REA Response to Public Counsel Data Request No. 2)</w:t>
      </w:r>
      <w:r w:rsidR="00506E7B">
        <w:t xml:space="preserve">(“No customers who qualify for CREA’s low-income programs have switched their electric service from Pacific Power to CREA.”); Gorman, TR. 85:3-22. </w:t>
      </w:r>
    </w:p>
  </w:footnote>
  <w:footnote w:id="20">
    <w:p w14:paraId="10A2DA82" w14:textId="77777777" w:rsidR="00480022" w:rsidRDefault="00480022">
      <w:pPr>
        <w:pStyle w:val="FootnoteText"/>
      </w:pPr>
      <w:r>
        <w:rPr>
          <w:rStyle w:val="FootnoteReference"/>
        </w:rPr>
        <w:footnoteRef/>
      </w:r>
      <w:r>
        <w:t xml:space="preserve"> </w:t>
      </w:r>
      <w:r w:rsidRPr="00480022">
        <w:rPr>
          <w:i/>
        </w:rPr>
        <w:t xml:space="preserve">In the Matter of the Commission’s </w:t>
      </w:r>
      <w:r w:rsidR="00C91CEF">
        <w:rPr>
          <w:i/>
        </w:rPr>
        <w:t xml:space="preserve">Notice of Inquiry: </w:t>
      </w:r>
      <w:r w:rsidRPr="00480022">
        <w:rPr>
          <w:i/>
        </w:rPr>
        <w:t>Examining Regulation of Electric Utilities in the Face of Change in the Electric Industry</w:t>
      </w:r>
      <w:r w:rsidR="00054E25">
        <w:t xml:space="preserve">, Docket </w:t>
      </w:r>
      <w:r>
        <w:t>UE-940932</w:t>
      </w:r>
      <w:r w:rsidR="00054E25">
        <w:fldChar w:fldCharType="begin"/>
      </w:r>
      <w:r w:rsidR="00054E25">
        <w:instrText xml:space="preserve"> TA \l "</w:instrText>
      </w:r>
      <w:r w:rsidR="00054E25" w:rsidRPr="00D84F2D">
        <w:rPr>
          <w:i/>
        </w:rPr>
        <w:instrText>In the Matter of the Commission’s Notice of Inquiry: Examining Regulation of Electric Utilities in the Face of Change in the Electric Industry</w:instrText>
      </w:r>
      <w:r w:rsidR="00054E25" w:rsidRPr="00D84F2D">
        <w:instrText xml:space="preserve">, </w:instrText>
      </w:r>
      <w:r w:rsidR="00054E25" w:rsidRPr="00D84F2D">
        <w:br/>
        <w:instrText>Docket UE-940932</w:instrText>
      </w:r>
      <w:r w:rsidR="00054E25">
        <w:instrText xml:space="preserve">" \s "In the Matter of the Commission’s Notice of Inquiry: Examining Regulation of Electric Utilities in the Face of Change in the Electric Industry, Docket UE-940932" \c 3 </w:instrText>
      </w:r>
      <w:r w:rsidR="00054E25">
        <w:fldChar w:fldCharType="end"/>
      </w:r>
      <w:r>
        <w:t>, Policy Statement, Guiding Principles for Regulation in an Evolving Electricity Industry (Policy Statement).</w:t>
      </w:r>
      <w:r w:rsidR="00FF3495">
        <w:t xml:space="preserve">  Of some concern is the fact that Staff’</w:t>
      </w:r>
      <w:r w:rsidR="0034615C">
        <w:t>s witness David Panc</w:t>
      </w:r>
      <w:r w:rsidR="00FF3495">
        <w:t xml:space="preserve">o testified he was </w:t>
      </w:r>
      <w:r w:rsidR="0034615C">
        <w:t>“</w:t>
      </w:r>
      <w:r w:rsidR="00FF3495">
        <w:t>not familiar</w:t>
      </w:r>
      <w:r w:rsidR="0034615C">
        <w:t>”</w:t>
      </w:r>
      <w:r w:rsidR="00FF3495">
        <w:t xml:space="preserve"> with the Policy Statement and did not consider it</w:t>
      </w:r>
      <w:r w:rsidR="000D1310">
        <w:t xml:space="preserve"> in this case</w:t>
      </w:r>
      <w:r w:rsidR="00FF3495">
        <w:t>.  Panko, TR. 369:9-20, 370:4-6.</w:t>
      </w:r>
    </w:p>
  </w:footnote>
  <w:footnote w:id="21">
    <w:p w14:paraId="52A556F6" w14:textId="77777777" w:rsidR="0028619A" w:rsidRDefault="0028619A">
      <w:pPr>
        <w:pStyle w:val="FootnoteText"/>
      </w:pPr>
      <w:r>
        <w:rPr>
          <w:rStyle w:val="FootnoteReference"/>
        </w:rPr>
        <w:footnoteRef/>
      </w:r>
      <w:r>
        <w:t xml:space="preserve"> Policy Statement at 2</w:t>
      </w:r>
      <w:r w:rsidR="006D151E">
        <w:t xml:space="preserve">.  </w:t>
      </w:r>
      <w:r w:rsidR="0034615C">
        <w:t>Mr. Panco testified he did not “explicitly consider the principle” that customers not be harmed.  Panco, TR. 369:21-370:6.  Staff did not file cross-answering testimony responding to the recommendation that low-income and energy effi</w:t>
      </w:r>
      <w:r w:rsidR="006D151E">
        <w:t xml:space="preserve">ciency programs be supported.  </w:t>
      </w:r>
      <w:r w:rsidR="0034615C">
        <w:t xml:space="preserve">Mr. Panco’s </w:t>
      </w:r>
      <w:r w:rsidR="00C27D44">
        <w:t>stated at hearing that</w:t>
      </w:r>
      <w:r w:rsidR="0034615C">
        <w:t xml:space="preserve"> </w:t>
      </w:r>
      <w:r w:rsidR="005358E2">
        <w:t xml:space="preserve">“it wasn’t clear …that </w:t>
      </w:r>
      <w:r w:rsidR="0034615C">
        <w:t>the low-income or conservation issues</w:t>
      </w:r>
      <w:r w:rsidR="005358E2">
        <w:t xml:space="preserve"> deserved special mention or attention” given his overall recommendation.  </w:t>
      </w:r>
      <w:r w:rsidR="0034615C">
        <w:t xml:space="preserve"> </w:t>
      </w:r>
    </w:p>
  </w:footnote>
  <w:footnote w:id="22">
    <w:p w14:paraId="2C05FBE0" w14:textId="77777777" w:rsidR="0028619A" w:rsidRPr="0028619A" w:rsidRDefault="0028619A">
      <w:pPr>
        <w:pStyle w:val="FootnoteText"/>
      </w:pPr>
      <w:r>
        <w:rPr>
          <w:rStyle w:val="FootnoteReference"/>
        </w:rPr>
        <w:footnoteRef/>
      </w:r>
      <w:r>
        <w:t xml:space="preserve"> </w:t>
      </w:r>
      <w:r>
        <w:rPr>
          <w:i/>
        </w:rPr>
        <w:t>Id</w:t>
      </w:r>
      <w:r w:rsidR="006A3508">
        <w:rPr>
          <w:i/>
        </w:rPr>
        <w:fldChar w:fldCharType="begin"/>
      </w:r>
      <w:r w:rsidR="006A3508">
        <w:instrText xml:space="preserve"> TA \s "In the Matter of the Commission’s Notice of Inquiry: Examining Regulation of Electric Utilities in the Face of Change in the Electric Industry, Docket UE-940932" </w:instrText>
      </w:r>
      <w:r w:rsidR="006A3508">
        <w:rPr>
          <w:i/>
        </w:rPr>
        <w:fldChar w:fldCharType="end"/>
      </w:r>
      <w:r>
        <w:rPr>
          <w:i/>
        </w:rPr>
        <w:t xml:space="preserve">.  </w:t>
      </w:r>
      <w:r>
        <w:t xml:space="preserve">In this regard, the Commission cautioned that regulation should not and cannot be expected to guarantee utilities will, in all circumstances, be made entirely whole for generation or other costs that are determined through actual and fair competition to be stranded or uneconomic.  </w:t>
      </w:r>
      <w:r w:rsidR="004F65A3">
        <w:t>As noted above, t</w:t>
      </w:r>
      <w:r>
        <w:t xml:space="preserve">he Policy Statement </w:t>
      </w:r>
      <w:r w:rsidR="004F65A3">
        <w:t xml:space="preserve">also notes that unfair cost shifting does not constitute fair competition. </w:t>
      </w:r>
    </w:p>
  </w:footnote>
  <w:footnote w:id="23">
    <w:p w14:paraId="7C9C986A" w14:textId="77777777" w:rsidR="004F65A3" w:rsidRPr="004F65A3" w:rsidRDefault="004F65A3">
      <w:pPr>
        <w:pStyle w:val="FootnoteText"/>
        <w:rPr>
          <w:i/>
        </w:rPr>
      </w:pPr>
      <w:r>
        <w:rPr>
          <w:rStyle w:val="FootnoteReference"/>
        </w:rPr>
        <w:footnoteRef/>
      </w:r>
      <w:r>
        <w:t xml:space="preserve"> </w:t>
      </w:r>
      <w:r>
        <w:rPr>
          <w:i/>
        </w:rPr>
        <w:t>Id.</w:t>
      </w:r>
    </w:p>
  </w:footnote>
  <w:footnote w:id="24">
    <w:p w14:paraId="1E9004C2" w14:textId="77777777" w:rsidR="004F65A3" w:rsidRPr="004F65A3" w:rsidRDefault="004F65A3">
      <w:pPr>
        <w:pStyle w:val="FootnoteText"/>
        <w:rPr>
          <w:i/>
        </w:rPr>
      </w:pPr>
      <w:r>
        <w:rPr>
          <w:rStyle w:val="FootnoteReference"/>
        </w:rPr>
        <w:footnoteRef/>
      </w:r>
      <w:r w:rsidRPr="004F65A3">
        <w:rPr>
          <w:i/>
        </w:rPr>
        <w:t>Washington Utilities &amp; Transportation Commission v. Puget Sound Energy</w:t>
      </w:r>
      <w:r w:rsidR="00C27D44">
        <w:t xml:space="preserve">, Docket </w:t>
      </w:r>
      <w:r>
        <w:t>UE-161123, Order 06, Order Approving Settlement Agreement</w:t>
      </w:r>
      <w:r w:rsidR="00CE5DE1">
        <w:t>, ¶ 91</w:t>
      </w:r>
      <w:r w:rsidR="006A3508">
        <w:fldChar w:fldCharType="begin"/>
      </w:r>
      <w:r w:rsidR="006A3508">
        <w:instrText xml:space="preserve"> TA \l "</w:instrText>
      </w:r>
      <w:r w:rsidR="006A3508" w:rsidRPr="004C0B98">
        <w:rPr>
          <w:i/>
        </w:rPr>
        <w:instrText>Washington Utilities &amp; Transportation Commission v. Puget Sound Energy</w:instrText>
      </w:r>
      <w:r w:rsidR="006A3508" w:rsidRPr="004C0B98">
        <w:instrText>, Docket UE-161123, Order 06, Order Approving Settlement Agreement, ¶ 91</w:instrText>
      </w:r>
      <w:r w:rsidR="006A3508">
        <w:instrText xml:space="preserve">" \s "Washington Utilities &amp; Transportation Commission v. Puget Sound Energy, Docket UE-161123, Order 06, Order Approving Settlement Agreement,  91" \c 3 </w:instrText>
      </w:r>
      <w:r w:rsidR="006A3508">
        <w:fldChar w:fldCharType="end"/>
      </w:r>
      <w:r w:rsidR="00CE5DE1">
        <w:t>.</w:t>
      </w:r>
      <w:r w:rsidR="004D4374">
        <w:t xml:space="preserve"> </w:t>
      </w:r>
      <w:r w:rsidR="00CE5DE1">
        <w:t xml:space="preserve"> </w:t>
      </w:r>
      <w:r>
        <w:t xml:space="preserve">(Microsoft Special Contract </w:t>
      </w:r>
      <w:r w:rsidR="00CA3C44">
        <w:t>case</w:t>
      </w:r>
      <w:r>
        <w:t>).</w:t>
      </w:r>
    </w:p>
  </w:footnote>
  <w:footnote w:id="25">
    <w:p w14:paraId="16134FD6" w14:textId="77777777" w:rsidR="00CE5DE1" w:rsidRPr="00CE5DE1" w:rsidRDefault="00CE5DE1">
      <w:pPr>
        <w:pStyle w:val="FootnoteText"/>
        <w:rPr>
          <w:i/>
        </w:rPr>
      </w:pPr>
      <w:r>
        <w:rPr>
          <w:rStyle w:val="FootnoteReference"/>
        </w:rPr>
        <w:footnoteRef/>
      </w:r>
      <w:r>
        <w:t xml:space="preserve"> </w:t>
      </w:r>
      <w:r>
        <w:rPr>
          <w:i/>
        </w:rPr>
        <w:t>Id.</w:t>
      </w:r>
    </w:p>
  </w:footnote>
  <w:footnote w:id="26">
    <w:p w14:paraId="7DEA718C" w14:textId="77777777" w:rsidR="00C91CEF" w:rsidRPr="00C91CEF" w:rsidRDefault="00C91CEF">
      <w:pPr>
        <w:pStyle w:val="FootnoteText"/>
      </w:pPr>
      <w:r>
        <w:rPr>
          <w:rStyle w:val="FootnoteReference"/>
        </w:rPr>
        <w:footnoteRef/>
      </w:r>
      <w:r>
        <w:t xml:space="preserve"> </w:t>
      </w:r>
      <w:r>
        <w:rPr>
          <w:i/>
        </w:rPr>
        <w:t>Id</w:t>
      </w:r>
      <w:r w:rsidR="006A3508">
        <w:rPr>
          <w:i/>
        </w:rPr>
        <w:t>.</w:t>
      </w:r>
      <w:r>
        <w:rPr>
          <w:i/>
        </w:rPr>
        <w:t xml:space="preserve">, </w:t>
      </w:r>
      <w:r>
        <w:t>¶ 92</w:t>
      </w:r>
      <w:r w:rsidR="006A3508">
        <w:fldChar w:fldCharType="begin"/>
      </w:r>
      <w:r w:rsidR="006A3508">
        <w:instrText xml:space="preserve"> TA \s "Washington Utilities &amp; Transportation Commission v. Puget Sound Energy, Docket UE-161123, Order 06, Order Approving Settlement Agreement,  91" </w:instrText>
      </w:r>
      <w:r w:rsidR="006A3508">
        <w:fldChar w:fldCharType="end"/>
      </w:r>
      <w:r>
        <w:t>.</w:t>
      </w:r>
    </w:p>
  </w:footnote>
  <w:footnote w:id="27">
    <w:p w14:paraId="2612F987" w14:textId="77777777" w:rsidR="00940D64" w:rsidRPr="00940D64" w:rsidRDefault="00940D64">
      <w:pPr>
        <w:pStyle w:val="FootnoteText"/>
      </w:pPr>
      <w:r>
        <w:rPr>
          <w:rStyle w:val="FootnoteReference"/>
        </w:rPr>
        <w:footnoteRef/>
      </w:r>
      <w:r>
        <w:t xml:space="preserve"> </w:t>
      </w:r>
      <w:r>
        <w:rPr>
          <w:i/>
        </w:rPr>
        <w:t xml:space="preserve">Id., </w:t>
      </w:r>
      <w:r>
        <w:t xml:space="preserve">¶ 63. </w:t>
      </w:r>
    </w:p>
  </w:footnote>
  <w:footnote w:id="28">
    <w:p w14:paraId="40FB78A6" w14:textId="77777777" w:rsidR="002700C0" w:rsidRPr="002700C0" w:rsidRDefault="002700C0">
      <w:pPr>
        <w:pStyle w:val="FootnoteText"/>
      </w:pPr>
      <w:r>
        <w:rPr>
          <w:rStyle w:val="FootnoteReference"/>
        </w:rPr>
        <w:footnoteRef/>
      </w:r>
      <w:r>
        <w:t xml:space="preserve"> </w:t>
      </w:r>
      <w:r>
        <w:rPr>
          <w:i/>
        </w:rPr>
        <w:t>Walla Walla Country Club</w:t>
      </w:r>
      <w:r w:rsidR="00F022B0">
        <w:rPr>
          <w:i/>
        </w:rPr>
        <w:t xml:space="preserve"> v. Pacific Power &amp; Light Co.</w:t>
      </w:r>
      <w:r w:rsidR="00F022B0">
        <w:t>, Docket UE-143932</w:t>
      </w:r>
      <w:r>
        <w:rPr>
          <w:i/>
        </w:rPr>
        <w:t xml:space="preserve">, </w:t>
      </w:r>
      <w:r>
        <w:t xml:space="preserve">Order 05, </w:t>
      </w:r>
      <w:r w:rsidR="00F022B0">
        <w:t>p.</w:t>
      </w:r>
      <w:r>
        <w:t xml:space="preserve"> 7</w:t>
      </w:r>
      <w:r w:rsidR="00F022B0">
        <w:t>, ¶ 3</w:t>
      </w:r>
      <w:r w:rsidR="006A3508">
        <w:fldChar w:fldCharType="begin"/>
      </w:r>
      <w:r w:rsidR="006A3508">
        <w:instrText xml:space="preserve"> TA \l "</w:instrText>
      </w:r>
      <w:r w:rsidR="006A3508" w:rsidRPr="00A51CF0">
        <w:rPr>
          <w:i/>
        </w:rPr>
        <w:instrText>Walla Walla Country Club v. Pacific Power &amp; Light Co.</w:instrText>
      </w:r>
      <w:r w:rsidR="006A3508" w:rsidRPr="00A51CF0">
        <w:instrText xml:space="preserve">, </w:instrText>
      </w:r>
      <w:r w:rsidR="006A3508" w:rsidRPr="00A51CF0">
        <w:br/>
        <w:instrText>Docket UE-143932</w:instrText>
      </w:r>
      <w:r w:rsidR="006A3508" w:rsidRPr="00A51CF0">
        <w:rPr>
          <w:i/>
        </w:rPr>
        <w:instrText xml:space="preserve">, </w:instrText>
      </w:r>
      <w:r w:rsidR="006A3508" w:rsidRPr="00A51CF0">
        <w:instrText>Order 05, p. 7, ¶ 3</w:instrText>
      </w:r>
      <w:r w:rsidR="006A3508">
        <w:instrText xml:space="preserve">" \s "Walla Walla Country Club v. Pacific Power &amp; Light Co., Docket UE-143932, Order 05, p. 7,  3" \c 3 </w:instrText>
      </w:r>
      <w:r w:rsidR="006A3508">
        <w:fldChar w:fldCharType="end"/>
      </w:r>
      <w:r>
        <w:t xml:space="preserve"> (Separate Statement)</w:t>
      </w:r>
      <w:r w:rsidR="0063106A">
        <w:t>(Walla Walla Country Club)</w:t>
      </w:r>
      <w:r>
        <w:t xml:space="preserve">. </w:t>
      </w:r>
    </w:p>
  </w:footnote>
  <w:footnote w:id="29">
    <w:p w14:paraId="0A505286" w14:textId="77777777" w:rsidR="0013370D" w:rsidRPr="0013370D" w:rsidRDefault="0013370D">
      <w:pPr>
        <w:pStyle w:val="FootnoteText"/>
      </w:pPr>
      <w:r>
        <w:rPr>
          <w:rStyle w:val="FootnoteReference"/>
        </w:rPr>
        <w:footnoteRef/>
      </w:r>
      <w:r>
        <w:t xml:space="preserve"> </w:t>
      </w:r>
      <w:r>
        <w:rPr>
          <w:i/>
        </w:rPr>
        <w:t>In the Matter of the Petition of Puget Sound Energy For An Accounting Order Approving The Allocation Of Proceeds Of The Sale Of Certain Assets To Public Utility District # 1 Of Jefferson County</w:t>
      </w:r>
      <w:r>
        <w:t xml:space="preserve">, Docket </w:t>
      </w:r>
      <w:r w:rsidR="005C0FCB">
        <w:t>UE-</w:t>
      </w:r>
      <w:r>
        <w:t>132027, Order 04, ¶</w:t>
      </w:r>
      <w:r w:rsidR="006A3508">
        <w:t xml:space="preserve"> </w:t>
      </w:r>
      <w:r>
        <w:t>15 (September 11, 2014)</w:t>
      </w:r>
      <w:r w:rsidR="006A3508">
        <w:fldChar w:fldCharType="begin"/>
      </w:r>
      <w:r w:rsidR="006A3508">
        <w:instrText xml:space="preserve"> TA \l "</w:instrText>
      </w:r>
      <w:r w:rsidR="006A3508" w:rsidRPr="00937FE6">
        <w:rPr>
          <w:i/>
        </w:rPr>
        <w:instrText>In the Matter of the Petition of Puget Sound Energy For An Accounting Order Approving The Allocation Of Proceeds Of The Sale Of Certain Assets To Public Utility District # 1 Of Jefferson County</w:instrText>
      </w:r>
      <w:r w:rsidR="006A3508" w:rsidRPr="00937FE6">
        <w:instrText>, Docket UE-132027, Order 04, ¶ 15 (September 11, 2014)</w:instrText>
      </w:r>
      <w:r w:rsidR="006A3508">
        <w:instrText xml:space="preserve">" \s "In the Matter of the Petition of Puget Sound Energy For An Accounting Order Approving The Allocation Of Proceeds Of The Sale Of Certain Assets To Public Utility District # 1 Of Jefferson County, Docket UE-132027, Order 04, 15 (September 11, 2014)" \c 3 </w:instrText>
      </w:r>
      <w:r w:rsidR="006A3508">
        <w:fldChar w:fldCharType="end"/>
      </w:r>
      <w:r>
        <w:t xml:space="preserve">.  </w:t>
      </w:r>
    </w:p>
  </w:footnote>
  <w:footnote w:id="30">
    <w:p w14:paraId="467A8677" w14:textId="77777777" w:rsidR="00F3754B" w:rsidRDefault="00F3754B">
      <w:pPr>
        <w:pStyle w:val="FootnoteText"/>
      </w:pPr>
      <w:r>
        <w:rPr>
          <w:rStyle w:val="FootnoteReference"/>
        </w:rPr>
        <w:footnoteRef/>
      </w:r>
      <w:r>
        <w:t xml:space="preserve"> As described by Pacific Power witness Bolton, the regulatory compact is a “governing construct” grounded in statutory and constitutional requirements and reflected in the rules and decisions of the Commission.  Bolton, TR. 112:19-113:5.</w:t>
      </w:r>
    </w:p>
  </w:footnote>
  <w:footnote w:id="31">
    <w:p w14:paraId="65856E60" w14:textId="77777777" w:rsidR="00F871E0" w:rsidRDefault="00F871E0">
      <w:pPr>
        <w:pStyle w:val="FootnoteText"/>
      </w:pPr>
      <w:r>
        <w:rPr>
          <w:rStyle w:val="FootnoteReference"/>
        </w:rPr>
        <w:footnoteRef/>
      </w:r>
      <w:r>
        <w:t xml:space="preserve"> </w:t>
      </w:r>
      <w:r w:rsidR="00F3754B">
        <w:t>The situation presented in this case was described as a “very localized problem” by Pacific Power witness Bolton.  TR. 138:8-9.</w:t>
      </w:r>
    </w:p>
  </w:footnote>
  <w:footnote w:id="32">
    <w:p w14:paraId="4AE84F56" w14:textId="77777777" w:rsidR="00E75794" w:rsidRPr="0000589C" w:rsidRDefault="00E75794">
      <w:pPr>
        <w:pStyle w:val="FootnoteText"/>
      </w:pPr>
      <w:r>
        <w:rPr>
          <w:rStyle w:val="FootnoteReference"/>
        </w:rPr>
        <w:footnoteRef/>
      </w:r>
      <w:r w:rsidR="002736ED">
        <w:t xml:space="preserve">  </w:t>
      </w:r>
      <w:r w:rsidR="002736ED">
        <w:rPr>
          <w:i/>
        </w:rPr>
        <w:t xml:space="preserve">Tanner Electric Cooperative v. Puget Sound Power &amp; Light, </w:t>
      </w:r>
      <w:r w:rsidR="00C27D44">
        <w:t>128 Wn.2d 656,</w:t>
      </w:r>
      <w:r w:rsidR="00EA1428">
        <w:t xml:space="preserve"> </w:t>
      </w:r>
      <w:r w:rsidR="00C27D44">
        <w:t xml:space="preserve">682-685), </w:t>
      </w:r>
      <w:r w:rsidR="002736ED">
        <w:t>911 P.2d 1302 (1996)</w:t>
      </w:r>
      <w:r w:rsidR="00EA64A0">
        <w:fldChar w:fldCharType="begin"/>
      </w:r>
      <w:r w:rsidR="00EA64A0">
        <w:instrText xml:space="preserve"> TA \s "Tanner Electric Cooperative v. Puget Sound Power &amp; Light, 128 Wn.2d 656, 682-685), 911 P.2d 1302 (1996)" </w:instrText>
      </w:r>
      <w:r w:rsidR="00EA64A0">
        <w:fldChar w:fldCharType="end"/>
      </w:r>
      <w:r w:rsidR="00EA64A0">
        <w:t xml:space="preserve"> </w:t>
      </w:r>
      <w:r w:rsidR="002736ED">
        <w:t>(</w:t>
      </w:r>
      <w:r w:rsidR="0000589C">
        <w:t xml:space="preserve">Observing that “state law exempts public utilities from the sphere of free competition, and in fact discourages it,” and </w:t>
      </w:r>
      <w:r w:rsidR="002736ED">
        <w:t>discussing the “monopoly status</w:t>
      </w:r>
      <w:r w:rsidR="00507BEC">
        <w:t>”</w:t>
      </w:r>
      <w:r w:rsidR="002736ED">
        <w:t xml:space="preserve"> of public utilities</w:t>
      </w:r>
      <w:r w:rsidR="0000589C">
        <w:t>)</w:t>
      </w:r>
      <w:r w:rsidR="00BD4F72">
        <w:t>(</w:t>
      </w:r>
      <w:r w:rsidR="00BD4F72" w:rsidRPr="00BD4F72">
        <w:rPr>
          <w:i/>
        </w:rPr>
        <w:t>Tanner Electric</w:t>
      </w:r>
      <w:r w:rsidR="00BD4F72">
        <w:t>)</w:t>
      </w:r>
      <w:r w:rsidR="002736ED">
        <w:t xml:space="preserve">; </w:t>
      </w:r>
      <w:r w:rsidR="00F3754B">
        <w:rPr>
          <w:i/>
        </w:rPr>
        <w:t>Jewell</w:t>
      </w:r>
      <w:r w:rsidR="002736ED">
        <w:rPr>
          <w:i/>
        </w:rPr>
        <w:t xml:space="preserve"> v. Washington Utilities &amp; Transportation Commission</w:t>
      </w:r>
      <w:r w:rsidR="00F3754B">
        <w:rPr>
          <w:i/>
        </w:rPr>
        <w:t>,</w:t>
      </w:r>
      <w:r w:rsidR="002736ED">
        <w:t xml:space="preserve"> 90 </w:t>
      </w:r>
      <w:r w:rsidR="00EA1428">
        <w:t>Wn.</w:t>
      </w:r>
      <w:r w:rsidR="002736ED">
        <w:t>2d 775, 776, 585 P.2d 1167 (1978)</w:t>
      </w:r>
      <w:r w:rsidR="006A3508">
        <w:fldChar w:fldCharType="begin"/>
      </w:r>
      <w:r w:rsidR="006A3508">
        <w:instrText xml:space="preserve"> TA \l "</w:instrText>
      </w:r>
      <w:r w:rsidR="006A3508" w:rsidRPr="003F7F82">
        <w:rPr>
          <w:i/>
        </w:rPr>
        <w:instrText>Jewell v. Washington Utilities &amp; Transportation Commission,</w:instrText>
      </w:r>
      <w:r w:rsidR="006A3508" w:rsidRPr="003F7F82">
        <w:instrText xml:space="preserve"> </w:instrText>
      </w:r>
      <w:r w:rsidR="006A3508" w:rsidRPr="003F7F82">
        <w:br/>
        <w:instrText>90 Wn.2d 775, 776, 585 P.2d 1167 (1978)</w:instrText>
      </w:r>
      <w:r w:rsidR="006A3508">
        <w:instrText xml:space="preserve">" \s "Jewell v. Washington Utilities &amp; Transportation Commission, 90 Wn.2d 775, 776, 585 P.2d 1167 (1978)" \c 1 </w:instrText>
      </w:r>
      <w:r w:rsidR="006A3508">
        <w:fldChar w:fldCharType="end"/>
      </w:r>
      <w:r w:rsidR="002736ED">
        <w:t>(</w:t>
      </w:r>
      <w:r w:rsidR="00331DD2">
        <w:t>“The public interest, in return for the grant of a monopoly” requires quality service and the company is entitled</w:t>
      </w:r>
      <w:r w:rsidR="00BD4F72">
        <w:t xml:space="preserve"> to fair, just, </w:t>
      </w:r>
      <w:r w:rsidR="00331DD2">
        <w:t>reasonable and sufficient rates</w:t>
      </w:r>
      <w:r w:rsidR="00822618">
        <w:t>)</w:t>
      </w:r>
      <w:r w:rsidR="005731B8" w:rsidRPr="00822618">
        <w:rPr>
          <w:i/>
        </w:rPr>
        <w:t>.</w:t>
      </w:r>
      <w:r w:rsidR="00C27D44">
        <w:rPr>
          <w:i/>
        </w:rPr>
        <w:t xml:space="preserve"> </w:t>
      </w:r>
      <w:r w:rsidR="00C31ABB">
        <w:rPr>
          <w:i/>
        </w:rPr>
        <w:t xml:space="preserve"> </w:t>
      </w:r>
      <w:r w:rsidR="002736ED">
        <w:t xml:space="preserve">IOUs have defined service areas, as reflected in </w:t>
      </w:r>
      <w:r>
        <w:t>service area ma</w:t>
      </w:r>
      <w:r w:rsidR="00331DD2">
        <w:t>ps available on the UTC website</w:t>
      </w:r>
      <w:r w:rsidR="001D6935">
        <w:t>.</w:t>
      </w:r>
    </w:p>
  </w:footnote>
  <w:footnote w:id="33">
    <w:p w14:paraId="4D3876C0" w14:textId="77777777" w:rsidR="00310551" w:rsidRDefault="00310551">
      <w:pPr>
        <w:pStyle w:val="FootnoteText"/>
      </w:pPr>
      <w:r>
        <w:rPr>
          <w:rStyle w:val="FootnoteReference"/>
        </w:rPr>
        <w:footnoteRef/>
      </w:r>
      <w:r>
        <w:t xml:space="preserve"> RCW 54.48.020</w:t>
      </w:r>
      <w:r w:rsidR="002B2ED0">
        <w:fldChar w:fldCharType="begin"/>
      </w:r>
      <w:r w:rsidR="002B2ED0">
        <w:instrText xml:space="preserve"> TA \l "</w:instrText>
      </w:r>
      <w:r w:rsidR="002B2ED0" w:rsidRPr="00450F1C">
        <w:instrText>RCW 54.48.020</w:instrText>
      </w:r>
      <w:r w:rsidR="002B2ED0">
        <w:instrText xml:space="preserve">" \s "RCW 54.48.020" \c 2 </w:instrText>
      </w:r>
      <w:r w:rsidR="002B2ED0">
        <w:fldChar w:fldCharType="end"/>
      </w:r>
      <w:r w:rsidR="00131C19">
        <w:t>.</w:t>
      </w:r>
    </w:p>
  </w:footnote>
  <w:footnote w:id="34">
    <w:p w14:paraId="0A307BCB" w14:textId="77777777" w:rsidR="009A3021" w:rsidRPr="00FD40B3" w:rsidRDefault="009A3021">
      <w:pPr>
        <w:pStyle w:val="FootnoteText"/>
      </w:pPr>
      <w:r>
        <w:rPr>
          <w:rStyle w:val="FootnoteReference"/>
        </w:rPr>
        <w:footnoteRef/>
      </w:r>
      <w:r w:rsidR="00FD40B3">
        <w:rPr>
          <w:i/>
        </w:rPr>
        <w:t>Tanner Electric</w:t>
      </w:r>
      <w:r w:rsidR="00BD4F72">
        <w:rPr>
          <w:i/>
        </w:rPr>
        <w:t>, 128 Wn</w:t>
      </w:r>
      <w:r w:rsidR="001B4D8F">
        <w:rPr>
          <w:i/>
        </w:rPr>
        <w:t>.</w:t>
      </w:r>
      <w:r w:rsidR="00BD4F72">
        <w:rPr>
          <w:i/>
        </w:rPr>
        <w:t>2d at 682</w:t>
      </w:r>
      <w:r w:rsidR="00EA64A0">
        <w:rPr>
          <w:i/>
        </w:rPr>
        <w:fldChar w:fldCharType="begin"/>
      </w:r>
      <w:r w:rsidR="00EA64A0">
        <w:instrText xml:space="preserve"> TA \s "Tanner Electric Cooperative v. Puget Sound Power &amp; Light, 128 Wn.2d 656, 682-685), 911 P.2d 1302 (1996)" </w:instrText>
      </w:r>
      <w:r w:rsidR="00EA64A0">
        <w:rPr>
          <w:i/>
        </w:rPr>
        <w:fldChar w:fldCharType="end"/>
      </w:r>
      <w:r w:rsidR="00BD4F72">
        <w:rPr>
          <w:i/>
        </w:rPr>
        <w:t xml:space="preserve"> </w:t>
      </w:r>
      <w:r w:rsidR="00FD40B3">
        <w:t>(“The public utilities industry is one where the legislature has decided that the public interest is best served by direct and uniform regulation of almost every phase of industry activity.”)</w:t>
      </w:r>
    </w:p>
  </w:footnote>
  <w:footnote w:id="35">
    <w:p w14:paraId="0109DEA3" w14:textId="77777777" w:rsidR="009A3021" w:rsidRDefault="009A3021">
      <w:pPr>
        <w:pStyle w:val="FootnoteText"/>
      </w:pPr>
      <w:r>
        <w:rPr>
          <w:rStyle w:val="FootnoteReference"/>
        </w:rPr>
        <w:footnoteRef/>
      </w:r>
      <w:r w:rsidR="00BD4F72">
        <w:t xml:space="preserve"> RCW 80.28.110</w:t>
      </w:r>
      <w:r w:rsidR="002B2ED0">
        <w:fldChar w:fldCharType="begin"/>
      </w:r>
      <w:r w:rsidR="002B2ED0">
        <w:instrText xml:space="preserve"> TA \l "</w:instrText>
      </w:r>
      <w:r w:rsidR="002B2ED0" w:rsidRPr="003F3F62">
        <w:instrText>RCW 80.28.110</w:instrText>
      </w:r>
      <w:r w:rsidR="002B2ED0">
        <w:instrText xml:space="preserve">" \s "RCW 80.28.110" \c 2 </w:instrText>
      </w:r>
      <w:r w:rsidR="002B2ED0">
        <w:fldChar w:fldCharType="end"/>
      </w:r>
      <w:r w:rsidR="00133A84">
        <w:t xml:space="preserve"> (obligation to serve); </w:t>
      </w:r>
      <w:r w:rsidR="00BD4F72">
        <w:t>RCW 80.28.010 (rates)</w:t>
      </w:r>
      <w:r w:rsidR="00131C19">
        <w:t>.</w:t>
      </w:r>
    </w:p>
  </w:footnote>
  <w:footnote w:id="36">
    <w:p w14:paraId="72AEB60E" w14:textId="77777777" w:rsidR="00BD553E" w:rsidRDefault="00BD553E">
      <w:pPr>
        <w:pStyle w:val="FootnoteText"/>
      </w:pPr>
      <w:r>
        <w:rPr>
          <w:rStyle w:val="FootnoteReference"/>
        </w:rPr>
        <w:footnoteRef/>
      </w:r>
      <w:r>
        <w:t xml:space="preserve"> RCW 80.28.074</w:t>
      </w:r>
      <w:r w:rsidR="002B2ED0">
        <w:fldChar w:fldCharType="begin"/>
      </w:r>
      <w:r w:rsidR="002B2ED0">
        <w:instrText xml:space="preserve"> TA \l "</w:instrText>
      </w:r>
      <w:r w:rsidR="002B2ED0" w:rsidRPr="00DE648D">
        <w:instrText>RCW 80.28.074</w:instrText>
      </w:r>
      <w:r w:rsidR="002B2ED0">
        <w:instrText xml:space="preserve">" \s "RCW 80.28.074" \c 2 </w:instrText>
      </w:r>
      <w:r w:rsidR="002B2ED0">
        <w:fldChar w:fldCharType="end"/>
      </w:r>
      <w:r w:rsidR="00131C19">
        <w:t>.</w:t>
      </w:r>
    </w:p>
  </w:footnote>
  <w:footnote w:id="37">
    <w:p w14:paraId="338B22AF" w14:textId="77777777" w:rsidR="00BD553E" w:rsidRDefault="00BD553E">
      <w:pPr>
        <w:pStyle w:val="FootnoteText"/>
      </w:pPr>
      <w:r>
        <w:rPr>
          <w:rStyle w:val="FootnoteReference"/>
        </w:rPr>
        <w:footnoteRef/>
      </w:r>
      <w:r w:rsidR="00131C19">
        <w:t xml:space="preserve"> RCW 80.28.010</w:t>
      </w:r>
      <w:r w:rsidR="002B2ED0">
        <w:fldChar w:fldCharType="begin"/>
      </w:r>
      <w:r w:rsidR="002B2ED0">
        <w:instrText xml:space="preserve"> TA \s "RCW 80.28.110" </w:instrText>
      </w:r>
      <w:r w:rsidR="002B2ED0">
        <w:fldChar w:fldCharType="end"/>
      </w:r>
      <w:r w:rsidR="00131C19">
        <w:t>,</w:t>
      </w:r>
      <w:r>
        <w:t xml:space="preserve"> generally requiring “fair, just, reasonable, and sufficient” rates, also incorporates a winter shut-off moratorium and </w:t>
      </w:r>
      <w:r w:rsidR="006939DB">
        <w:t xml:space="preserve">contemplates the availability of </w:t>
      </w:r>
      <w:r>
        <w:t xml:space="preserve">weatherization </w:t>
      </w:r>
      <w:r w:rsidR="006939DB">
        <w:t xml:space="preserve">programs </w:t>
      </w:r>
      <w:r>
        <w:t>for low-income customers</w:t>
      </w:r>
      <w:r w:rsidR="006939DB">
        <w:t xml:space="preserve"> provided by the utility or other appropriate agency. </w:t>
      </w:r>
      <w:r>
        <w:t xml:space="preserve"> </w:t>
      </w:r>
      <w:r w:rsidR="0013370D">
        <w:t>RCW 80.28.068</w:t>
      </w:r>
      <w:r w:rsidR="002B2ED0">
        <w:fldChar w:fldCharType="begin"/>
      </w:r>
      <w:r w:rsidR="002B2ED0">
        <w:instrText xml:space="preserve"> TA \l "</w:instrText>
      </w:r>
      <w:r w:rsidR="002B2ED0" w:rsidRPr="005C01B9">
        <w:instrText>RCW 80.28.068</w:instrText>
      </w:r>
      <w:r w:rsidR="002B2ED0">
        <w:instrText xml:space="preserve">" \s "RCW 80.28.068" \c 2 </w:instrText>
      </w:r>
      <w:r w:rsidR="002B2ED0">
        <w:fldChar w:fldCharType="end"/>
      </w:r>
      <w:r w:rsidR="0013370D">
        <w:t xml:space="preserve"> authorizes the Commission to approve low-income discount programs</w:t>
      </w:r>
    </w:p>
  </w:footnote>
  <w:footnote w:id="38">
    <w:p w14:paraId="7BBE72A8" w14:textId="77777777" w:rsidR="00F3754B" w:rsidRDefault="00F3754B">
      <w:pPr>
        <w:pStyle w:val="FootnoteText"/>
      </w:pPr>
      <w:r>
        <w:rPr>
          <w:rStyle w:val="FootnoteReference"/>
        </w:rPr>
        <w:footnoteRef/>
      </w:r>
      <w:r w:rsidR="00BD553E">
        <w:t xml:space="preserve"> RCW 80.28.025</w:t>
      </w:r>
      <w:r w:rsidR="002B2ED0">
        <w:fldChar w:fldCharType="begin"/>
      </w:r>
      <w:r w:rsidR="002B2ED0">
        <w:instrText xml:space="preserve"> TA \l "</w:instrText>
      </w:r>
      <w:r w:rsidR="002B2ED0" w:rsidRPr="001B215F">
        <w:instrText>RCW 80.28.025</w:instrText>
      </w:r>
      <w:r w:rsidR="002B2ED0">
        <w:instrText xml:space="preserve">" \s "RCW 80.28.025" \c 2 </w:instrText>
      </w:r>
      <w:r w:rsidR="002B2ED0">
        <w:fldChar w:fldCharType="end"/>
      </w:r>
      <w:r w:rsidR="00BD553E">
        <w:t xml:space="preserve"> (encouraging energy conservation)</w:t>
      </w:r>
      <w:r w:rsidR="00131C1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CE010" w14:textId="77777777" w:rsidR="00F921E2" w:rsidRDefault="00D50B2C">
    <w:r>
      <w:rPr>
        <w:noProof/>
      </w:rPr>
      <mc:AlternateContent>
        <mc:Choice Requires="wps">
          <w:drawing>
            <wp:anchor distT="0" distB="0" distL="114300" distR="114300" simplePos="0" relativeHeight="251658240" behindDoc="0" locked="0" layoutInCell="0" allowOverlap="1">
              <wp:simplePos x="0" y="0"/>
              <wp:positionH relativeFrom="margin">
                <wp:posOffset>-91440</wp:posOffset>
              </wp:positionH>
              <wp:positionV relativeFrom="page">
                <wp:posOffset>0</wp:posOffset>
              </wp:positionV>
              <wp:extent cx="635" cy="100584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2C73425B"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" o:allowincell="f" stroked="f">
              <v:stroke startarrowwidth="narrow" startarrowlength="short" endarrowwidth="narrow" endarrowlength="short"/>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4A047" w14:textId="77777777" w:rsidR="00F921E2" w:rsidRDefault="00D50B2C">
    <w:r>
      <w:rPr>
        <w:noProof/>
      </w:rPr>
      <mc:AlternateContent>
        <mc:Choice Requires="wps">
          <w:drawing>
            <wp:anchor distT="0" distB="0" distL="114300" distR="114300" simplePos="0" relativeHeight="251657216" behindDoc="0" locked="0" layoutInCell="0" allowOverlap="1">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0A4B4BDF"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6167514"/>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rPr>
        <w:i w:val="0"/>
      </w:r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15:restartNumberingAfterBreak="0">
    <w:nsid w:val="21171526"/>
    <w:multiLevelType w:val="hybridMultilevel"/>
    <w:tmpl w:val="9998F99E"/>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B001003"/>
    <w:multiLevelType w:val="singleLevel"/>
    <w:tmpl w:val="8A2C40FC"/>
    <w:lvl w:ilvl="0">
      <w:start w:val="1"/>
      <w:numFmt w:val="decimal"/>
      <w:pStyle w:val="ParNumber"/>
      <w:lvlText w:val="%1."/>
      <w:lvlJc w:val="left"/>
      <w:pPr>
        <w:tabs>
          <w:tab w:val="num" w:pos="360"/>
        </w:tabs>
        <w:ind w:left="360" w:hanging="360"/>
      </w:pPr>
      <w:rPr>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3A"/>
    <w:rsid w:val="00000771"/>
    <w:rsid w:val="0000589C"/>
    <w:rsid w:val="00021A0D"/>
    <w:rsid w:val="00035DE2"/>
    <w:rsid w:val="00054E25"/>
    <w:rsid w:val="00064537"/>
    <w:rsid w:val="00072067"/>
    <w:rsid w:val="00074AEA"/>
    <w:rsid w:val="000C55EE"/>
    <w:rsid w:val="000D04CA"/>
    <w:rsid w:val="000D1310"/>
    <w:rsid w:val="000D25EE"/>
    <w:rsid w:val="000D5A3B"/>
    <w:rsid w:val="000F0603"/>
    <w:rsid w:val="001133D3"/>
    <w:rsid w:val="00117E96"/>
    <w:rsid w:val="00121639"/>
    <w:rsid w:val="00125CC0"/>
    <w:rsid w:val="00127016"/>
    <w:rsid w:val="00131C19"/>
    <w:rsid w:val="0013370D"/>
    <w:rsid w:val="00133A84"/>
    <w:rsid w:val="00133E0A"/>
    <w:rsid w:val="001639EA"/>
    <w:rsid w:val="00181E40"/>
    <w:rsid w:val="00183DA6"/>
    <w:rsid w:val="0019606F"/>
    <w:rsid w:val="00197B7D"/>
    <w:rsid w:val="00197ED8"/>
    <w:rsid w:val="001B4D8F"/>
    <w:rsid w:val="001D6935"/>
    <w:rsid w:val="001E1AA6"/>
    <w:rsid w:val="001E4D7A"/>
    <w:rsid w:val="0021669B"/>
    <w:rsid w:val="002507D8"/>
    <w:rsid w:val="00267444"/>
    <w:rsid w:val="002700C0"/>
    <w:rsid w:val="002736ED"/>
    <w:rsid w:val="0028381F"/>
    <w:rsid w:val="0028619A"/>
    <w:rsid w:val="002A4463"/>
    <w:rsid w:val="002B2ED0"/>
    <w:rsid w:val="00301AE0"/>
    <w:rsid w:val="0030665B"/>
    <w:rsid w:val="00310551"/>
    <w:rsid w:val="0033039E"/>
    <w:rsid w:val="00331DD2"/>
    <w:rsid w:val="0034615C"/>
    <w:rsid w:val="00350499"/>
    <w:rsid w:val="00364517"/>
    <w:rsid w:val="00382705"/>
    <w:rsid w:val="00391236"/>
    <w:rsid w:val="00397B72"/>
    <w:rsid w:val="003A29E8"/>
    <w:rsid w:val="00404F6F"/>
    <w:rsid w:val="00444576"/>
    <w:rsid w:val="0046177F"/>
    <w:rsid w:val="004642AD"/>
    <w:rsid w:val="00464B3A"/>
    <w:rsid w:val="004727E3"/>
    <w:rsid w:val="00480022"/>
    <w:rsid w:val="0048166D"/>
    <w:rsid w:val="004A5F82"/>
    <w:rsid w:val="004C1B14"/>
    <w:rsid w:val="004C620C"/>
    <w:rsid w:val="004C7FF8"/>
    <w:rsid w:val="004D0873"/>
    <w:rsid w:val="004D4286"/>
    <w:rsid w:val="004D4374"/>
    <w:rsid w:val="004E0500"/>
    <w:rsid w:val="004F1CE6"/>
    <w:rsid w:val="004F2265"/>
    <w:rsid w:val="004F279C"/>
    <w:rsid w:val="004F44D5"/>
    <w:rsid w:val="004F65A3"/>
    <w:rsid w:val="00500FAC"/>
    <w:rsid w:val="00502F90"/>
    <w:rsid w:val="005065F6"/>
    <w:rsid w:val="00506E7B"/>
    <w:rsid w:val="00507BEC"/>
    <w:rsid w:val="00517B5E"/>
    <w:rsid w:val="005277C9"/>
    <w:rsid w:val="005358E2"/>
    <w:rsid w:val="00562377"/>
    <w:rsid w:val="00567AA2"/>
    <w:rsid w:val="005731B8"/>
    <w:rsid w:val="00575F97"/>
    <w:rsid w:val="005A0F90"/>
    <w:rsid w:val="005B66F9"/>
    <w:rsid w:val="005B726C"/>
    <w:rsid w:val="005C0FCB"/>
    <w:rsid w:val="00610C6D"/>
    <w:rsid w:val="0063106A"/>
    <w:rsid w:val="006336E3"/>
    <w:rsid w:val="00670739"/>
    <w:rsid w:val="006775F5"/>
    <w:rsid w:val="0068462E"/>
    <w:rsid w:val="006939DB"/>
    <w:rsid w:val="006A3508"/>
    <w:rsid w:val="006B4ABB"/>
    <w:rsid w:val="006C22ED"/>
    <w:rsid w:val="006C3C0E"/>
    <w:rsid w:val="006D151E"/>
    <w:rsid w:val="006E6F38"/>
    <w:rsid w:val="006E73E6"/>
    <w:rsid w:val="006F1026"/>
    <w:rsid w:val="00734453"/>
    <w:rsid w:val="0074578B"/>
    <w:rsid w:val="00772514"/>
    <w:rsid w:val="0077352D"/>
    <w:rsid w:val="0077410E"/>
    <w:rsid w:val="007A56C6"/>
    <w:rsid w:val="007A7293"/>
    <w:rsid w:val="007A7593"/>
    <w:rsid w:val="007A7A0A"/>
    <w:rsid w:val="007C1EF3"/>
    <w:rsid w:val="007C4FDB"/>
    <w:rsid w:val="007D2E0A"/>
    <w:rsid w:val="007D310F"/>
    <w:rsid w:val="007E6208"/>
    <w:rsid w:val="00812952"/>
    <w:rsid w:val="00822618"/>
    <w:rsid w:val="00827663"/>
    <w:rsid w:val="008432DD"/>
    <w:rsid w:val="00866659"/>
    <w:rsid w:val="00882FC9"/>
    <w:rsid w:val="00886A7E"/>
    <w:rsid w:val="008935E8"/>
    <w:rsid w:val="00893AB2"/>
    <w:rsid w:val="008B69BE"/>
    <w:rsid w:val="009057B8"/>
    <w:rsid w:val="00920838"/>
    <w:rsid w:val="00940D64"/>
    <w:rsid w:val="00941318"/>
    <w:rsid w:val="00942A8D"/>
    <w:rsid w:val="00942DA1"/>
    <w:rsid w:val="00954A47"/>
    <w:rsid w:val="0097368C"/>
    <w:rsid w:val="00997DD6"/>
    <w:rsid w:val="009A3021"/>
    <w:rsid w:val="009B48E5"/>
    <w:rsid w:val="009B670B"/>
    <w:rsid w:val="009B6CCB"/>
    <w:rsid w:val="009B7233"/>
    <w:rsid w:val="009C1EDE"/>
    <w:rsid w:val="009C232F"/>
    <w:rsid w:val="009C23C4"/>
    <w:rsid w:val="009D4E17"/>
    <w:rsid w:val="009E76CE"/>
    <w:rsid w:val="009F3BDA"/>
    <w:rsid w:val="00A01E2A"/>
    <w:rsid w:val="00A05EB4"/>
    <w:rsid w:val="00A111B6"/>
    <w:rsid w:val="00A11E62"/>
    <w:rsid w:val="00A25AEC"/>
    <w:rsid w:val="00A279E6"/>
    <w:rsid w:val="00A46CA5"/>
    <w:rsid w:val="00A54312"/>
    <w:rsid w:val="00A56EDE"/>
    <w:rsid w:val="00A64869"/>
    <w:rsid w:val="00A76F44"/>
    <w:rsid w:val="00AB3277"/>
    <w:rsid w:val="00AB355F"/>
    <w:rsid w:val="00AC3B14"/>
    <w:rsid w:val="00AD58BA"/>
    <w:rsid w:val="00AE4BF2"/>
    <w:rsid w:val="00AF117E"/>
    <w:rsid w:val="00B82900"/>
    <w:rsid w:val="00B84119"/>
    <w:rsid w:val="00B84515"/>
    <w:rsid w:val="00B85EC5"/>
    <w:rsid w:val="00B965FA"/>
    <w:rsid w:val="00BA1C02"/>
    <w:rsid w:val="00BA4B72"/>
    <w:rsid w:val="00BD1378"/>
    <w:rsid w:val="00BD3F11"/>
    <w:rsid w:val="00BD4F72"/>
    <w:rsid w:val="00BD553E"/>
    <w:rsid w:val="00BE451C"/>
    <w:rsid w:val="00C1073A"/>
    <w:rsid w:val="00C27D44"/>
    <w:rsid w:val="00C31ABB"/>
    <w:rsid w:val="00C32124"/>
    <w:rsid w:val="00C32B1A"/>
    <w:rsid w:val="00C43A21"/>
    <w:rsid w:val="00C75F16"/>
    <w:rsid w:val="00C80522"/>
    <w:rsid w:val="00C91CEF"/>
    <w:rsid w:val="00C9343E"/>
    <w:rsid w:val="00CA2CE4"/>
    <w:rsid w:val="00CA2FFB"/>
    <w:rsid w:val="00CA3C44"/>
    <w:rsid w:val="00CA5397"/>
    <w:rsid w:val="00CB239A"/>
    <w:rsid w:val="00CE3D6F"/>
    <w:rsid w:val="00CE5DE1"/>
    <w:rsid w:val="00D00194"/>
    <w:rsid w:val="00D275C4"/>
    <w:rsid w:val="00D50B2C"/>
    <w:rsid w:val="00D515B7"/>
    <w:rsid w:val="00D811FB"/>
    <w:rsid w:val="00D82954"/>
    <w:rsid w:val="00D8758A"/>
    <w:rsid w:val="00D9594B"/>
    <w:rsid w:val="00DC6230"/>
    <w:rsid w:val="00DC7B43"/>
    <w:rsid w:val="00DE5F5D"/>
    <w:rsid w:val="00DF36AA"/>
    <w:rsid w:val="00E20742"/>
    <w:rsid w:val="00E2110C"/>
    <w:rsid w:val="00E43BD0"/>
    <w:rsid w:val="00E63D48"/>
    <w:rsid w:val="00E7129F"/>
    <w:rsid w:val="00E75794"/>
    <w:rsid w:val="00E8380C"/>
    <w:rsid w:val="00E944EF"/>
    <w:rsid w:val="00EA0752"/>
    <w:rsid w:val="00EA1428"/>
    <w:rsid w:val="00EA64A0"/>
    <w:rsid w:val="00EC6EF5"/>
    <w:rsid w:val="00ED0433"/>
    <w:rsid w:val="00ED40BE"/>
    <w:rsid w:val="00EE19D0"/>
    <w:rsid w:val="00EE4DA8"/>
    <w:rsid w:val="00EF0DF2"/>
    <w:rsid w:val="00EF288C"/>
    <w:rsid w:val="00F022B0"/>
    <w:rsid w:val="00F023E0"/>
    <w:rsid w:val="00F04DF7"/>
    <w:rsid w:val="00F3754B"/>
    <w:rsid w:val="00F56449"/>
    <w:rsid w:val="00F61E82"/>
    <w:rsid w:val="00F636EA"/>
    <w:rsid w:val="00F72A89"/>
    <w:rsid w:val="00F73AB6"/>
    <w:rsid w:val="00F76CB8"/>
    <w:rsid w:val="00F87004"/>
    <w:rsid w:val="00F871E0"/>
    <w:rsid w:val="00F921E2"/>
    <w:rsid w:val="00FA4832"/>
    <w:rsid w:val="00FA54AD"/>
    <w:rsid w:val="00FB6DC4"/>
    <w:rsid w:val="00FD094D"/>
    <w:rsid w:val="00FD40B3"/>
    <w:rsid w:val="00FE4C92"/>
    <w:rsid w:val="00FF3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35F4C269"/>
  <w15:docId w15:val="{CF5294B7-6DFF-412D-9436-74511BF7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5A0F90"/>
    <w:pPr>
      <w:keepNext/>
      <w:numPr>
        <w:numId w:val="11"/>
      </w:numPr>
      <w:spacing w:before="24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5A0F90"/>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uiPriority w:val="99"/>
    <w:qFormat/>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uiPriority w:val="99"/>
    <w:semiHidden/>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uiPriority w:val="39"/>
    <w:rsid w:val="005A0F90"/>
    <w:pPr>
      <w:tabs>
        <w:tab w:val="right" w:leader="dot" w:pos="9360"/>
      </w:tabs>
      <w:spacing w:after="240"/>
      <w:ind w:left="1080" w:right="547" w:hanging="450"/>
    </w:pPr>
    <w:rPr>
      <w:noProof/>
    </w:rPr>
  </w:style>
  <w:style w:type="paragraph" w:styleId="TOC3">
    <w:name w:val="toc 3"/>
    <w:basedOn w:val="Normal"/>
    <w:next w:val="Normal"/>
    <w:uiPriority w:val="39"/>
    <w:rsid w:val="005A0F90"/>
    <w:pPr>
      <w:tabs>
        <w:tab w:val="right" w:leader="dot" w:pos="9360"/>
      </w:tabs>
      <w:spacing w:after="240"/>
      <w:ind w:left="1530" w:right="547" w:hanging="450"/>
    </w:pPr>
    <w:rPr>
      <w:noProof/>
    </w:rPr>
  </w:style>
  <w:style w:type="paragraph" w:styleId="TOC4">
    <w:name w:val="toc 4"/>
    <w:basedOn w:val="Normal"/>
    <w:next w:val="Normal"/>
    <w:semiHidden/>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5A0F90"/>
    <w:pPr>
      <w:numPr>
        <w:numId w:val="12"/>
      </w:numPr>
      <w:tabs>
        <w:tab w:val="left" w:pos="720"/>
      </w:tabs>
    </w:pPr>
  </w:style>
  <w:style w:type="character" w:customStyle="1" w:styleId="Heading1Char">
    <w:name w:val="Heading 1 Char"/>
    <w:link w:val="Heading1"/>
    <w:rsid w:val="00C1073A"/>
    <w:rPr>
      <w:b/>
      <w:caps/>
      <w:kern w:val="28"/>
      <w:sz w:val="24"/>
    </w:rPr>
  </w:style>
  <w:style w:type="character" w:customStyle="1" w:styleId="FooterChar">
    <w:name w:val="Footer Char"/>
    <w:basedOn w:val="DefaultParagraphFont"/>
    <w:link w:val="Footer"/>
    <w:rsid w:val="00C1073A"/>
  </w:style>
  <w:style w:type="paragraph" w:styleId="BalloonText">
    <w:name w:val="Balloon Text"/>
    <w:basedOn w:val="Normal"/>
    <w:link w:val="BalloonTextChar"/>
    <w:uiPriority w:val="99"/>
    <w:semiHidden/>
    <w:unhideWhenUsed/>
    <w:rsid w:val="00F73A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AB6"/>
    <w:rPr>
      <w:rFonts w:ascii="Segoe UI" w:hAnsi="Segoe UI" w:cs="Segoe UI"/>
      <w:sz w:val="18"/>
      <w:szCs w:val="18"/>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semiHidden/>
    <w:rsid w:val="00FD40B3"/>
    <w:rPr>
      <w:szCs w:val="24"/>
    </w:rPr>
  </w:style>
  <w:style w:type="paragraph" w:styleId="TOCHeading">
    <w:name w:val="TOC Heading"/>
    <w:basedOn w:val="Heading1"/>
    <w:next w:val="Normal"/>
    <w:uiPriority w:val="39"/>
    <w:unhideWhenUsed/>
    <w:qFormat/>
    <w:rsid w:val="00BD1378"/>
    <w:pPr>
      <w:keepLines/>
      <w:numPr>
        <w:numId w:val="0"/>
      </w:numPr>
      <w:spacing w:line="259" w:lineRule="auto"/>
      <w:jc w:val="left"/>
      <w:outlineLvl w:val="9"/>
    </w:pPr>
    <w:rPr>
      <w:rFonts w:asciiTheme="majorHAnsi" w:eastAsiaTheme="majorEastAsia" w:hAnsiTheme="majorHAnsi" w:cstheme="majorBidi"/>
      <w:b w:val="0"/>
      <w:caps w:val="0"/>
      <w:color w:val="365F91" w:themeColor="accent1" w:themeShade="BF"/>
      <w:kern w:val="0"/>
      <w:sz w:val="32"/>
      <w:szCs w:val="32"/>
    </w:rPr>
  </w:style>
  <w:style w:type="character" w:styleId="Hyperlink">
    <w:name w:val="Hyperlink"/>
    <w:basedOn w:val="DefaultParagraphFont"/>
    <w:uiPriority w:val="99"/>
    <w:unhideWhenUsed/>
    <w:rsid w:val="00BD13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52870">
      <w:bodyDiv w:val="1"/>
      <w:marLeft w:val="0"/>
      <w:marRight w:val="0"/>
      <w:marTop w:val="0"/>
      <w:marBottom w:val="0"/>
      <w:divBdr>
        <w:top w:val="none" w:sz="0" w:space="0" w:color="auto"/>
        <w:left w:val="none" w:sz="0" w:space="0" w:color="auto"/>
        <w:bottom w:val="none" w:sz="0" w:space="0" w:color="auto"/>
        <w:right w:val="none" w:sz="0" w:space="0" w:color="auto"/>
      </w:divBdr>
    </w:div>
    <w:div w:id="136192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2017-07-28T07:00:00+00:00</Date1>
    <IsDocumentOrder xmlns="dc463f71-b30c-4ab2-9473-d307f9d35888" xsi:nil="true"/>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161204</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EF35F80-DF9E-45CB-ADB0-C7B4C0BA5C96}">
  <ds:schemaRefs>
    <ds:schemaRef ds:uri="http://schemas.openxmlformats.org/package/2006/metadata/core-properties"/>
    <ds:schemaRef ds:uri="http://purl.org/dc/dcmitype/"/>
    <ds:schemaRef ds:uri="http://schemas.microsoft.com/office/2006/documentManagement/types"/>
    <ds:schemaRef ds:uri="http://purl.org/dc/elements/1.1/"/>
    <ds:schemaRef ds:uri="6a7bd91e-004b-490a-8704-e368d63d59a0"/>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7775942-4876-4A2C-8829-ABE157B65ECC}">
  <ds:schemaRefs>
    <ds:schemaRef ds:uri="http://schemas.microsoft.com/sharepoint/v3/contenttype/forms"/>
  </ds:schemaRefs>
</ds:datastoreItem>
</file>

<file path=customXml/itemProps3.xml><?xml version="1.0" encoding="utf-8"?>
<ds:datastoreItem xmlns:ds="http://schemas.openxmlformats.org/officeDocument/2006/customXml" ds:itemID="{89AF04C5-670A-444B-B73A-6BF63080F7B8}"/>
</file>

<file path=customXml/itemProps4.xml><?xml version="1.0" encoding="utf-8"?>
<ds:datastoreItem xmlns:ds="http://schemas.openxmlformats.org/officeDocument/2006/customXml" ds:itemID="{3B586E8B-3B0C-41D1-96F2-7D8826881054}">
  <ds:schemaRefs>
    <ds:schemaRef ds:uri="http://schemas.openxmlformats.org/officeDocument/2006/bibliography"/>
  </ds:schemaRefs>
</ds:datastoreItem>
</file>

<file path=customXml/itemProps5.xml><?xml version="1.0" encoding="utf-8"?>
<ds:datastoreItem xmlns:ds="http://schemas.openxmlformats.org/officeDocument/2006/customXml" ds:itemID="{F98C9C1C-3466-46ED-A8EA-347E7736B9A5}"/>
</file>

<file path=docProps/app.xml><?xml version="1.0" encoding="utf-8"?>
<Properties xmlns="http://schemas.openxmlformats.org/officeDocument/2006/extended-properties" xmlns:vt="http://schemas.openxmlformats.org/officeDocument/2006/docPropsVTypes">
  <Template>Normal</Template>
  <TotalTime>1</TotalTime>
  <Pages>16</Pages>
  <Words>3224</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Plain Pleading</vt:lpstr>
    </vt:vector>
  </TitlesOfParts>
  <Company/>
  <LinksUpToDate>false</LinksUpToDate>
  <CharactersWithSpaces>21564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subject/>
  <dc:creator>carolw</dc:creator>
  <cp:keywords/>
  <dc:description/>
  <cp:lastModifiedBy>Huff, Ashley (UTC)</cp:lastModifiedBy>
  <cp:revision>2</cp:revision>
  <cp:lastPrinted>2017-07-28T19:32:00Z</cp:lastPrinted>
  <dcterms:created xsi:type="dcterms:W3CDTF">2017-07-31T15:19:00Z</dcterms:created>
  <dcterms:modified xsi:type="dcterms:W3CDTF">2017-07-31T15:19:00Z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0x0101006E56B4D1795A2E4DB2F0B01679ED314A0082BE3214F6FBE444A686B76141802F0A</vt:lpwstr>
  </property>
  <property fmtid="{D5CDD505-2E9C-101B-9397-08002B2CF9AE}" pid="3" name="_docset_NoMedatataSyncRequired">
    <vt:lpwstr>False</vt:lpwstr>
  </property>
  <property fmtid="{D5CDD505-2E9C-101B-9397-08002B2CF9AE}" pid="4" name="IsEFSEC">
    <vt:bool>false</vt:bool>
  </property>
</Properties>
</file>