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word/commentsExtended.xml" ContentType="application/vnd.openxmlformats-officedocument.wordprocessingml.commentsExtended+xml"/>
  <Override PartName="/word/people.xml" ContentType="application/vnd.openxmlformats-officedocument.wordprocessingml.peop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7FDC4A" w14:textId="77777777" w:rsidR="008305BF" w:rsidRDefault="00A05C58" w:rsidP="00A05C58">
      <w:pPr>
        <w:pStyle w:val="Title"/>
        <w:rPr>
          <w:szCs w:val="24"/>
        </w:rPr>
      </w:pPr>
      <w:r w:rsidRPr="00376EF7">
        <w:rPr>
          <w:szCs w:val="24"/>
        </w:rPr>
        <w:t xml:space="preserve">BEFORE THE </w:t>
      </w:r>
      <w:r w:rsidR="008305BF">
        <w:rPr>
          <w:szCs w:val="24"/>
        </w:rPr>
        <w:t>WASHINGTON UTILITIES AND</w:t>
      </w:r>
    </w:p>
    <w:p w14:paraId="0732D0F6" w14:textId="77777777" w:rsidR="008305BF" w:rsidRDefault="008305BF" w:rsidP="00A05C58">
      <w:pPr>
        <w:pStyle w:val="Title"/>
        <w:rPr>
          <w:szCs w:val="24"/>
        </w:rPr>
      </w:pPr>
    </w:p>
    <w:p w14:paraId="43872B2F" w14:textId="77777777" w:rsidR="00A05C58" w:rsidRPr="00376EF7" w:rsidRDefault="008305BF" w:rsidP="008305BF">
      <w:pPr>
        <w:pStyle w:val="Title"/>
        <w:rPr>
          <w:szCs w:val="24"/>
        </w:rPr>
      </w:pPr>
      <w:r>
        <w:rPr>
          <w:szCs w:val="24"/>
        </w:rPr>
        <w:t xml:space="preserve"> TRANSPORTATION COMMISSION</w:t>
      </w:r>
    </w:p>
    <w:p w14:paraId="33907E4B" w14:textId="77777777" w:rsidR="00A05C58" w:rsidRPr="00376EF7" w:rsidRDefault="00A05C58" w:rsidP="00A05C58">
      <w:pPr>
        <w:jc w:val="center"/>
        <w:rPr>
          <w:szCs w:val="24"/>
        </w:rPr>
      </w:pPr>
    </w:p>
    <w:p w14:paraId="4949E361" w14:textId="77777777" w:rsidR="00A05C58" w:rsidRPr="00376EF7" w:rsidRDefault="008305BF" w:rsidP="008305BF">
      <w:pPr>
        <w:pStyle w:val="Heading1"/>
        <w:rPr>
          <w:szCs w:val="24"/>
        </w:rPr>
      </w:pPr>
      <w:r w:rsidRPr="008305BF">
        <w:rPr>
          <w:szCs w:val="24"/>
        </w:rPr>
        <w:t>UE-161024</w:t>
      </w:r>
    </w:p>
    <w:tbl>
      <w:tblPr>
        <w:tblW w:w="0" w:type="auto"/>
        <w:tblLayout w:type="fixed"/>
        <w:tblCellMar>
          <w:left w:w="0" w:type="dxa"/>
          <w:right w:w="0" w:type="dxa"/>
        </w:tblCellMar>
        <w:tblLook w:val="0000" w:firstRow="0" w:lastRow="0" w:firstColumn="0" w:lastColumn="0" w:noHBand="0" w:noVBand="0"/>
      </w:tblPr>
      <w:tblGrid>
        <w:gridCol w:w="4508"/>
        <w:gridCol w:w="310"/>
        <w:gridCol w:w="4542"/>
      </w:tblGrid>
      <w:tr w:rsidR="00A05C58" w14:paraId="403964BB" w14:textId="77777777" w:rsidTr="00A05C58">
        <w:trPr>
          <w:trHeight w:val="2223"/>
        </w:trPr>
        <w:tc>
          <w:tcPr>
            <w:tcW w:w="4508" w:type="dxa"/>
            <w:tcBorders>
              <w:bottom w:val="single" w:sz="4" w:space="0" w:color="auto"/>
            </w:tcBorders>
          </w:tcPr>
          <w:p w14:paraId="32A4DBCD" w14:textId="77777777" w:rsidR="00A05C58" w:rsidRDefault="00A05C58" w:rsidP="00A05C58">
            <w:pPr>
              <w:tabs>
                <w:tab w:val="left" w:pos="1456"/>
              </w:tabs>
              <w:autoSpaceDE w:val="0"/>
              <w:autoSpaceDN w:val="0"/>
              <w:adjustRightInd w:val="0"/>
            </w:pPr>
          </w:p>
          <w:p w14:paraId="79911FF6" w14:textId="77777777" w:rsidR="00A55146" w:rsidRDefault="00A55146" w:rsidP="00A55146">
            <w:pPr>
              <w:tabs>
                <w:tab w:val="left" w:pos="1456"/>
              </w:tabs>
              <w:autoSpaceDE w:val="0"/>
              <w:autoSpaceDN w:val="0"/>
              <w:adjustRightInd w:val="0"/>
            </w:pPr>
            <w:r w:rsidRPr="00A55146">
              <w:t xml:space="preserve">In the Matter of </w:t>
            </w:r>
          </w:p>
          <w:p w14:paraId="4F840E10" w14:textId="77777777" w:rsidR="00A55146" w:rsidRDefault="00A55146" w:rsidP="00A55146">
            <w:pPr>
              <w:tabs>
                <w:tab w:val="left" w:pos="1456"/>
              </w:tabs>
              <w:autoSpaceDE w:val="0"/>
              <w:autoSpaceDN w:val="0"/>
              <w:adjustRightInd w:val="0"/>
            </w:pPr>
          </w:p>
          <w:p w14:paraId="181C52A8" w14:textId="77777777" w:rsidR="00BE598D" w:rsidRDefault="008305BF" w:rsidP="008305BF">
            <w:pPr>
              <w:tabs>
                <w:tab w:val="left" w:pos="1456"/>
              </w:tabs>
              <w:autoSpaceDE w:val="0"/>
              <w:autoSpaceDN w:val="0"/>
              <w:adjustRightInd w:val="0"/>
            </w:pPr>
            <w:r w:rsidRPr="008305BF">
              <w:t xml:space="preserve">Rulemaking for Integrated Resource </w:t>
            </w:r>
          </w:p>
          <w:p w14:paraId="119BBE84" w14:textId="77777777" w:rsidR="00A05C58" w:rsidRPr="00A55146" w:rsidRDefault="008305BF" w:rsidP="008305BF">
            <w:pPr>
              <w:tabs>
                <w:tab w:val="left" w:pos="1456"/>
              </w:tabs>
              <w:autoSpaceDE w:val="0"/>
              <w:autoSpaceDN w:val="0"/>
              <w:adjustRightInd w:val="0"/>
            </w:pPr>
            <w:r w:rsidRPr="008305BF">
              <w:t xml:space="preserve">Planning, WAC 480-100-238, WAC 480-90-238, and WAC 480-107 </w:t>
            </w:r>
          </w:p>
        </w:tc>
        <w:tc>
          <w:tcPr>
            <w:tcW w:w="310" w:type="dxa"/>
          </w:tcPr>
          <w:p w14:paraId="1EE88C5F" w14:textId="77777777" w:rsidR="00A05C58" w:rsidRDefault="00A05C58" w:rsidP="00A05C58">
            <w:pPr>
              <w:pStyle w:val="SingleSpacing"/>
              <w:spacing w:line="240" w:lineRule="auto"/>
            </w:pPr>
          </w:p>
          <w:p w14:paraId="5A5DD7C0" w14:textId="77777777" w:rsidR="00A05C58" w:rsidRDefault="00A05C58" w:rsidP="00A05C58">
            <w:pPr>
              <w:pStyle w:val="SingleSpacing"/>
              <w:spacing w:line="240" w:lineRule="auto"/>
            </w:pPr>
            <w:r>
              <w:t>)</w:t>
            </w:r>
          </w:p>
          <w:p w14:paraId="5D2AC647" w14:textId="77777777" w:rsidR="00A05C58" w:rsidRDefault="00A05C58" w:rsidP="00A05C58">
            <w:pPr>
              <w:pStyle w:val="SingleSpacing"/>
              <w:spacing w:line="240" w:lineRule="auto"/>
            </w:pPr>
            <w:r>
              <w:t>)</w:t>
            </w:r>
          </w:p>
          <w:p w14:paraId="4D05705A" w14:textId="77777777" w:rsidR="00A05C58" w:rsidRDefault="00A05C58" w:rsidP="00A05C58">
            <w:pPr>
              <w:pStyle w:val="SingleSpacing"/>
              <w:spacing w:line="240" w:lineRule="auto"/>
            </w:pPr>
            <w:r>
              <w:t>)</w:t>
            </w:r>
          </w:p>
          <w:p w14:paraId="64B40F60" w14:textId="77777777" w:rsidR="00A05C58" w:rsidRDefault="00A05C58" w:rsidP="00A05C58">
            <w:pPr>
              <w:pStyle w:val="SingleSpacing"/>
              <w:spacing w:line="240" w:lineRule="auto"/>
            </w:pPr>
            <w:r>
              <w:t>)</w:t>
            </w:r>
          </w:p>
          <w:p w14:paraId="6ABEB82E" w14:textId="77777777" w:rsidR="00A05C58" w:rsidRDefault="00A05C58" w:rsidP="00A05C58">
            <w:pPr>
              <w:pStyle w:val="SingleSpacing"/>
              <w:spacing w:line="240" w:lineRule="auto"/>
            </w:pPr>
            <w:r>
              <w:t>)</w:t>
            </w:r>
          </w:p>
          <w:p w14:paraId="31ACA28A" w14:textId="77777777" w:rsidR="00957C7C" w:rsidRDefault="003A0C16" w:rsidP="00CA6225">
            <w:pPr>
              <w:pStyle w:val="SingleSpacing"/>
              <w:spacing w:line="240" w:lineRule="auto"/>
            </w:pPr>
            <w:r>
              <w:t>)</w:t>
            </w:r>
          </w:p>
          <w:p w14:paraId="46E45C34" w14:textId="77777777" w:rsidR="00A05C58" w:rsidRPr="00340346" w:rsidRDefault="00A05C58" w:rsidP="00A05C58">
            <w:r>
              <w:t>)</w:t>
            </w:r>
          </w:p>
        </w:tc>
        <w:tc>
          <w:tcPr>
            <w:tcW w:w="4542" w:type="dxa"/>
          </w:tcPr>
          <w:p w14:paraId="41B20916" w14:textId="77777777" w:rsidR="00A05C58" w:rsidRDefault="00A05C58" w:rsidP="00A05C58">
            <w:pPr>
              <w:pStyle w:val="SingleSpacing"/>
              <w:spacing w:line="240" w:lineRule="auto"/>
            </w:pPr>
            <w:bookmarkStart w:id="0" w:name="CaseNumber"/>
            <w:bookmarkEnd w:id="0"/>
          </w:p>
          <w:p w14:paraId="661374CB" w14:textId="77777777" w:rsidR="00A05C58" w:rsidRDefault="00A05C58" w:rsidP="00A05C58">
            <w:pPr>
              <w:pStyle w:val="SingleSpacing"/>
              <w:spacing w:line="240" w:lineRule="auto"/>
            </w:pPr>
          </w:p>
          <w:p w14:paraId="13748DDA" w14:textId="77777777" w:rsidR="00A05C58" w:rsidRDefault="008305BF" w:rsidP="00A05C58">
            <w:pPr>
              <w:pStyle w:val="BodyText2"/>
              <w:ind w:left="410"/>
              <w:rPr>
                <w:b w:val="0"/>
                <w:bCs w:val="0"/>
              </w:rPr>
            </w:pPr>
            <w:r>
              <w:rPr>
                <w:b w:val="0"/>
                <w:bCs w:val="0"/>
              </w:rPr>
              <w:t>NORTHWEST AND INTERMOUNTAIN POWER PRODUCERS COALITION COMMENTS</w:t>
            </w:r>
          </w:p>
          <w:p w14:paraId="7972B291" w14:textId="77777777" w:rsidR="00A05C58" w:rsidRPr="00FA693A" w:rsidRDefault="00A05C58" w:rsidP="00A05C58">
            <w:pPr>
              <w:pStyle w:val="BodyText2"/>
              <w:ind w:left="410"/>
              <w:rPr>
                <w:b w:val="0"/>
                <w:bCs w:val="0"/>
              </w:rPr>
            </w:pPr>
          </w:p>
        </w:tc>
      </w:tr>
    </w:tbl>
    <w:p w14:paraId="74DA1DBE" w14:textId="77777777" w:rsidR="00A05C58" w:rsidRDefault="00A05C58" w:rsidP="00A05C58"/>
    <w:p w14:paraId="6EB3EA9F" w14:textId="77777777" w:rsidR="006A1BC6" w:rsidRPr="006A1BC6" w:rsidRDefault="006A1BC6" w:rsidP="006A1BC6">
      <w:pPr>
        <w:spacing w:line="480" w:lineRule="auto"/>
        <w:jc w:val="center"/>
        <w:rPr>
          <w:b/>
        </w:rPr>
      </w:pPr>
      <w:r>
        <w:rPr>
          <w:b/>
        </w:rPr>
        <w:t>I.</w:t>
      </w:r>
      <w:r>
        <w:rPr>
          <w:b/>
        </w:rPr>
        <w:tab/>
        <w:t>INTRODUCTION</w:t>
      </w:r>
    </w:p>
    <w:p w14:paraId="073CC57C" w14:textId="001C8220" w:rsidR="006A1BC6" w:rsidRDefault="001C76DC" w:rsidP="001C76DC">
      <w:pPr>
        <w:pStyle w:val="ListParagraph"/>
        <w:numPr>
          <w:ilvl w:val="1"/>
          <w:numId w:val="33"/>
        </w:numPr>
        <w:spacing w:line="480" w:lineRule="auto"/>
        <w:ind w:left="0" w:hanging="540"/>
      </w:pPr>
      <w:r>
        <w:t xml:space="preserve">            </w:t>
      </w:r>
      <w:r w:rsidR="00C03A64" w:rsidRPr="00C03A64">
        <w:t>The Northwest and Intermountain Power Producers Coalition (“NIPPC”)</w:t>
      </w:r>
      <w:r w:rsidR="00C03A64">
        <w:t xml:space="preserve"> submits these comments regarding the Washington Utilities and Transportation Commission’s </w:t>
      </w:r>
      <w:r w:rsidR="00E451BC">
        <w:t>(</w:t>
      </w:r>
      <w:r w:rsidR="00474A45">
        <w:t xml:space="preserve">the “Commission” or </w:t>
      </w:r>
      <w:r w:rsidR="00E451BC">
        <w:t xml:space="preserve">“WUTC”) </w:t>
      </w:r>
      <w:r w:rsidR="00C03A64">
        <w:t xml:space="preserve">rulemaking </w:t>
      </w:r>
      <w:r w:rsidR="001C1649">
        <w:t xml:space="preserve">to </w:t>
      </w:r>
      <w:r w:rsidR="00C03A64" w:rsidRPr="00C03A64">
        <w:t>examine whether the Commission’s rules related to the integrated resource plan (</w:t>
      </w:r>
      <w:r w:rsidR="001C1649">
        <w:t>“</w:t>
      </w:r>
      <w:r w:rsidR="00C03A64" w:rsidRPr="00C03A64">
        <w:t>IRP</w:t>
      </w:r>
      <w:r w:rsidR="001C1649">
        <w:t>”</w:t>
      </w:r>
      <w:r w:rsidR="00C03A64" w:rsidRPr="00C03A64">
        <w:t>) process</w:t>
      </w:r>
      <w:r w:rsidR="001C1649">
        <w:t>, energy storage, requests for proposals</w:t>
      </w:r>
      <w:r w:rsidR="00E451BC">
        <w:t xml:space="preserve"> (“RFP”)</w:t>
      </w:r>
      <w:r w:rsidR="001C1649">
        <w:t>, avoided costs, t</w:t>
      </w:r>
      <w:r w:rsidR="001C1649" w:rsidRPr="001C1649">
        <w:t>ransmis</w:t>
      </w:r>
      <w:r w:rsidR="001C1649">
        <w:t>sion and distribution planning, and flexible resource modeling</w:t>
      </w:r>
      <w:r w:rsidR="00C03A64" w:rsidRPr="00C03A64">
        <w:t xml:space="preserve"> require an update to keep up with recent trends in the energy industry.</w:t>
      </w:r>
      <w:r w:rsidR="00474A45">
        <w:t xml:space="preserve">  NIPPC recommends that the Commission significantly modify it</w:t>
      </w:r>
      <w:r w:rsidR="00523DFF">
        <w:t>s</w:t>
      </w:r>
      <w:r w:rsidR="00474A45">
        <w:t xml:space="preserve"> RFP and competitive bidding rules </w:t>
      </w:r>
      <w:r w:rsidR="0010141C">
        <w:t xml:space="preserve">to </w:t>
      </w:r>
      <w:r w:rsidR="00BF2A64" w:rsidRPr="00BF2A64">
        <w:t xml:space="preserve">attract innovative resource proposals </w:t>
      </w:r>
      <w:r w:rsidR="00BF2A64">
        <w:t xml:space="preserve">and </w:t>
      </w:r>
      <w:r w:rsidR="0010141C">
        <w:t xml:space="preserve">achieve lower customer rates by fostering the development of competitive electricity markets and diverse ownership of </w:t>
      </w:r>
      <w:r w:rsidR="00983904">
        <w:t xml:space="preserve">generating facilities.  </w:t>
      </w:r>
    </w:p>
    <w:p w14:paraId="4170D2EE" w14:textId="6146BE1C" w:rsidR="009F317F" w:rsidRDefault="001C76DC" w:rsidP="001C76DC">
      <w:pPr>
        <w:pStyle w:val="ListParagraph"/>
        <w:numPr>
          <w:ilvl w:val="1"/>
          <w:numId w:val="33"/>
        </w:numPr>
        <w:spacing w:line="480" w:lineRule="auto"/>
        <w:ind w:left="0" w:hanging="540"/>
      </w:pPr>
      <w:r>
        <w:t xml:space="preserve">            </w:t>
      </w:r>
      <w:r w:rsidR="00AE5485">
        <w:t>The Commission’s current IRP and RFP rules were adopted in 2006</w:t>
      </w:r>
      <w:r w:rsidR="00070848">
        <w:t xml:space="preserve"> and have not adequately protected customers from electric utilit</w:t>
      </w:r>
      <w:r w:rsidR="00523DFF">
        <w:t>y</w:t>
      </w:r>
      <w:r w:rsidR="00070848">
        <w:t xml:space="preserve"> bias to own electric generation resources rather than </w:t>
      </w:r>
      <w:r w:rsidR="00F66E29">
        <w:t xml:space="preserve">enter into power purchase agreements (“PPAs”) with independent </w:t>
      </w:r>
      <w:r w:rsidR="00F66E29">
        <w:lastRenderedPageBreak/>
        <w:t>power producers (“IPPs”).</w:t>
      </w:r>
      <w:r w:rsidR="006B783F">
        <w:rPr>
          <w:rStyle w:val="FootnoteReference"/>
        </w:rPr>
        <w:footnoteReference w:id="1"/>
      </w:r>
      <w:r w:rsidR="00951E17">
        <w:t xml:space="preserve">  </w:t>
      </w:r>
      <w:r w:rsidR="009F317F">
        <w:t>The Commission originally issued competitive bidding rules in 1989 as part of its Public Utility Regulatory</w:t>
      </w:r>
      <w:r w:rsidR="00523DFF">
        <w:t xml:space="preserve"> Policies</w:t>
      </w:r>
      <w:r w:rsidR="009F317F">
        <w:t xml:space="preserve"> Act (“PURPA”) implementation with the stated intention of ensuring that regulated utilities were not paying too much for purchased power resources.</w:t>
      </w:r>
      <w:r w:rsidR="009F317F">
        <w:rPr>
          <w:rStyle w:val="FootnoteReference"/>
        </w:rPr>
        <w:footnoteReference w:id="2"/>
      </w:r>
      <w:r w:rsidR="009F317F">
        <w:t xml:space="preserve">  The original rules also sought to </w:t>
      </w:r>
      <w:r w:rsidR="00AA568A">
        <w:t>require</w:t>
      </w:r>
      <w:r w:rsidR="009F317F">
        <w:t xml:space="preserve"> utilities </w:t>
      </w:r>
      <w:r w:rsidR="00AA568A">
        <w:t xml:space="preserve">to </w:t>
      </w:r>
      <w:r w:rsidR="009F317F">
        <w:t>compare opportunities in competitive wholesale markets with the cost of utility owned projects.</w:t>
      </w:r>
      <w:r w:rsidR="009F317F">
        <w:rPr>
          <w:rStyle w:val="FootnoteReference"/>
        </w:rPr>
        <w:footnoteReference w:id="3"/>
      </w:r>
      <w:r w:rsidR="009F317F">
        <w:t xml:space="preserve">  </w:t>
      </w:r>
      <w:r w:rsidR="006B683F" w:rsidRPr="006B683F">
        <w:t>While the latter aim could potentially encourage competitive markets, the process of developing rules and procedures to ensure meaningful competition from the wholesale market have yet to be put in place.  Specifically, there are no rules in place to ensure utilities actually undergo any meaningful comparison between building and buying generation, which has stifled meaningful participation in the RFP process and increased customer rates</w:t>
      </w:r>
      <w:r w:rsidR="009F317F">
        <w:t>.</w:t>
      </w:r>
      <w:r w:rsidR="00261F0E">
        <w:rPr>
          <w:rStyle w:val="FootnoteReference"/>
        </w:rPr>
        <w:footnoteReference w:id="4"/>
      </w:r>
      <w:r w:rsidR="009F317F">
        <w:t xml:space="preserve">    </w:t>
      </w:r>
    </w:p>
    <w:p w14:paraId="08CCDEB6" w14:textId="4182F66F" w:rsidR="001E6371" w:rsidRDefault="001C76DC" w:rsidP="001C76DC">
      <w:pPr>
        <w:pStyle w:val="ListParagraph"/>
        <w:numPr>
          <w:ilvl w:val="1"/>
          <w:numId w:val="33"/>
        </w:numPr>
        <w:spacing w:line="480" w:lineRule="auto"/>
        <w:ind w:left="0" w:hanging="540"/>
      </w:pPr>
      <w:r>
        <w:t xml:space="preserve">            </w:t>
      </w:r>
      <w:r w:rsidR="009F317F">
        <w:t>In 2003, the Commission proposed reviewing its competitive bidding rules to</w:t>
      </w:r>
      <w:r w:rsidR="00DF14C2">
        <w:t>, among other things,</w:t>
      </w:r>
      <w:r w:rsidR="009F317F">
        <w:t xml:space="preserve"> ensure effectiveness and efficiency.</w:t>
      </w:r>
      <w:r w:rsidR="009F317F">
        <w:rPr>
          <w:rStyle w:val="FootnoteReference"/>
        </w:rPr>
        <w:footnoteReference w:id="5"/>
      </w:r>
      <w:r w:rsidR="009F317F">
        <w:t xml:space="preserve"> </w:t>
      </w:r>
      <w:r w:rsidR="002A1718">
        <w:t xml:space="preserve"> </w:t>
      </w:r>
      <w:r w:rsidR="009F317F">
        <w:t xml:space="preserve">Despite active stakeholder </w:t>
      </w:r>
      <w:r w:rsidR="009F317F">
        <w:lastRenderedPageBreak/>
        <w:t>involvement and comments</w:t>
      </w:r>
      <w:r w:rsidR="003207E7">
        <w:t xml:space="preserve"> over about three years</w:t>
      </w:r>
      <w:r w:rsidR="00523DFF">
        <w:t>,</w:t>
      </w:r>
      <w:r w:rsidR="009F317F">
        <w:rPr>
          <w:rStyle w:val="FootnoteReference"/>
        </w:rPr>
        <w:footnoteReference w:id="6"/>
      </w:r>
      <w:r w:rsidR="009F317F">
        <w:t xml:space="preserve"> the Commission ultimately adopted, revisions that did not significantly modify the rules.  Generally, the 2006 revisions</w:t>
      </w:r>
      <w:r w:rsidR="00445166">
        <w:t xml:space="preserve">: </w:t>
      </w:r>
      <w:r w:rsidR="009F317F">
        <w:t xml:space="preserve"> 1) removed the requirement to issue an RFP </w:t>
      </w:r>
      <w:r w:rsidR="00523DFF">
        <w:t xml:space="preserve">if </w:t>
      </w:r>
      <w:r w:rsidR="009F317F">
        <w:t>an IRP does not demonstrate a need within the next three years</w:t>
      </w:r>
      <w:r w:rsidR="00FA0EBA">
        <w:t>;</w:t>
      </w:r>
      <w:r w:rsidR="009F317F">
        <w:t xml:space="preserve"> 2) permitted bidders to request (and pay for) an </w:t>
      </w:r>
      <w:r w:rsidR="00523DFF">
        <w:t>Independent Evaluator (“</w:t>
      </w:r>
      <w:r w:rsidR="009F317F">
        <w:t>IE</w:t>
      </w:r>
      <w:r w:rsidR="00523DFF">
        <w:t>”)</w:t>
      </w:r>
      <w:r w:rsidR="009F317F">
        <w:t xml:space="preserve"> when a utility submits a bid within its own RFP</w:t>
      </w:r>
      <w:r w:rsidR="00FA0EBA">
        <w:t>;</w:t>
      </w:r>
      <w:r w:rsidR="009F317F">
        <w:t xml:space="preserve"> and 3) clarified how environmental effects should affect ranking criteria.</w:t>
      </w:r>
      <w:r w:rsidR="002A1718">
        <w:rPr>
          <w:rStyle w:val="FootnoteReference"/>
        </w:rPr>
        <w:footnoteReference w:id="7"/>
      </w:r>
      <w:r w:rsidR="009F317F">
        <w:t xml:space="preserve">  These modifications did little to address utility bias.  Although the changes likely increased efficiency of the </w:t>
      </w:r>
      <w:r w:rsidR="00FA0EBA">
        <w:t>W</w:t>
      </w:r>
      <w:r w:rsidR="009F317F">
        <w:t>UTC’s process, they have done little to ensure its effectiveness</w:t>
      </w:r>
      <w:r w:rsidR="002333C0">
        <w:t xml:space="preserve"> or advance the Commission’s intent</w:t>
      </w:r>
      <w:r w:rsidR="009F317F">
        <w:t xml:space="preserve">.     </w:t>
      </w:r>
    </w:p>
    <w:p w14:paraId="36889960" w14:textId="6897AD80" w:rsidR="001C2725" w:rsidRDefault="001C76DC" w:rsidP="001C76DC">
      <w:pPr>
        <w:pStyle w:val="ListParagraph"/>
        <w:numPr>
          <w:ilvl w:val="1"/>
          <w:numId w:val="33"/>
        </w:numPr>
        <w:spacing w:line="480" w:lineRule="auto"/>
        <w:ind w:left="0" w:hanging="540"/>
      </w:pPr>
      <w:r>
        <w:t xml:space="preserve">            </w:t>
      </w:r>
      <w:r w:rsidR="001C2725" w:rsidRPr="001C2725">
        <w:t xml:space="preserve">As one might expect from these results, the competitive market has </w:t>
      </w:r>
      <w:r w:rsidR="00C9427D">
        <w:t>no confidence that the current rules</w:t>
      </w:r>
      <w:r w:rsidR="001C2725" w:rsidRPr="001C2725">
        <w:t xml:space="preserve"> </w:t>
      </w:r>
      <w:r w:rsidR="0037039B">
        <w:t>will limit the utilit</w:t>
      </w:r>
      <w:r w:rsidR="0071243F">
        <w:t>ie</w:t>
      </w:r>
      <w:r w:rsidR="0037039B">
        <w:t>s</w:t>
      </w:r>
      <w:r w:rsidR="0071243F">
        <w:t>’</w:t>
      </w:r>
      <w:r w:rsidR="0037039B">
        <w:t xml:space="preserve"> bias in favor of owning resources</w:t>
      </w:r>
      <w:r w:rsidR="001C2725" w:rsidRPr="001C2725">
        <w:t>, will ever allow for diversity of</w:t>
      </w:r>
      <w:r w:rsidR="00BE733F">
        <w:t xml:space="preserve"> generation</w:t>
      </w:r>
      <w:r w:rsidR="001C2725" w:rsidRPr="001C2725">
        <w:t xml:space="preserve"> ownership, or will result in a resource portfolio that is the least cost and least risk to ratepayers.  There are very real impacts to the utilit</w:t>
      </w:r>
      <w:r w:rsidR="008036D9">
        <w:t>ie</w:t>
      </w:r>
      <w:r w:rsidR="001C2725" w:rsidRPr="001C2725">
        <w:t>s</w:t>
      </w:r>
      <w:r w:rsidR="008036D9">
        <w:t>’</w:t>
      </w:r>
      <w:r w:rsidR="001C2725" w:rsidRPr="001C2725">
        <w:t xml:space="preserve"> ratepayers resulting from anticompetitive behavior</w:t>
      </w:r>
      <w:r w:rsidR="006712A3">
        <w:t xml:space="preserve"> and discrimination against </w:t>
      </w:r>
      <w:r w:rsidR="006712A3" w:rsidRPr="006712A3">
        <w:t>competitive resource offers</w:t>
      </w:r>
      <w:r w:rsidR="008036D9">
        <w:t xml:space="preserve">. </w:t>
      </w:r>
      <w:r w:rsidR="001C2725" w:rsidRPr="001C2725">
        <w:t xml:space="preserve"> </w:t>
      </w:r>
      <w:r w:rsidR="008036D9">
        <w:t>T</w:t>
      </w:r>
      <w:r w:rsidR="001C2725" w:rsidRPr="001C2725">
        <w:t>he mere appearance of unfairness chills the market and limits the effort and resources</w:t>
      </w:r>
      <w:r w:rsidR="0075375F">
        <w:t xml:space="preserve"> that</w:t>
      </w:r>
      <w:r w:rsidR="001C2725" w:rsidRPr="001C2725">
        <w:t xml:space="preserve"> </w:t>
      </w:r>
      <w:r w:rsidR="002333C0">
        <w:t xml:space="preserve">IPPs </w:t>
      </w:r>
      <w:r w:rsidR="001C2725" w:rsidRPr="001C2725">
        <w:t xml:space="preserve">are willing to commit to what </w:t>
      </w:r>
      <w:r w:rsidR="00CF708A">
        <w:t>seems</w:t>
      </w:r>
      <w:r w:rsidR="001C2725" w:rsidRPr="001C2725">
        <w:t xml:space="preserve"> be a losing bid.  </w:t>
      </w:r>
    </w:p>
    <w:p w14:paraId="3170C6A0" w14:textId="1DE7F4E6" w:rsidR="001A65E1" w:rsidRDefault="001C76DC" w:rsidP="001C76DC">
      <w:pPr>
        <w:pStyle w:val="ListParagraph"/>
        <w:numPr>
          <w:ilvl w:val="1"/>
          <w:numId w:val="33"/>
        </w:numPr>
        <w:spacing w:line="480" w:lineRule="auto"/>
        <w:ind w:left="0" w:hanging="540"/>
      </w:pPr>
      <w:r>
        <w:t xml:space="preserve">            </w:t>
      </w:r>
      <w:r w:rsidR="00C4252F" w:rsidRPr="00C4252F">
        <w:t xml:space="preserve">The Commission needs to act proactively if it is to protect customers because utilities are structurally incented to select ownership options over PPAs due to the fact </w:t>
      </w:r>
      <w:r w:rsidR="00C4252F" w:rsidRPr="00C4252F">
        <w:lastRenderedPageBreak/>
        <w:t xml:space="preserve">that utilities can recover their costs and earn a return on their own </w:t>
      </w:r>
      <w:r w:rsidR="006712A3">
        <w:t xml:space="preserve">equity </w:t>
      </w:r>
      <w:r w:rsidR="00C4252F" w:rsidRPr="00C4252F">
        <w:t>capital investments</w:t>
      </w:r>
      <w:r w:rsidR="00C4252F">
        <w:t>—</w:t>
      </w:r>
      <w:r w:rsidR="00C4252F" w:rsidRPr="00C4252F">
        <w:t xml:space="preserve">no such return is permitted when they purchase power from IPPs.  </w:t>
      </w:r>
      <w:r w:rsidR="00951E17" w:rsidRPr="00951E17">
        <w:t>Neverth</w:t>
      </w:r>
      <w:r w:rsidR="005A66D9">
        <w:t xml:space="preserve">eless, shareholder value should not </w:t>
      </w:r>
      <w:r w:rsidR="00106E58">
        <w:t xml:space="preserve">trump </w:t>
      </w:r>
      <w:r w:rsidR="00951E17" w:rsidRPr="00951E17">
        <w:t>the Commission’s obligation to protect ratepayers by eliminating barriers to competitive markets and ensuring customers</w:t>
      </w:r>
      <w:r w:rsidR="000C737E">
        <w:t xml:space="preserve"> are served with </w:t>
      </w:r>
      <w:r w:rsidR="002333C0">
        <w:t>a</w:t>
      </w:r>
      <w:r w:rsidR="000C737E">
        <w:t xml:space="preserve"> least cost and least risk generation portfolio</w:t>
      </w:r>
      <w:r w:rsidR="00951E17" w:rsidRPr="00951E17">
        <w:t>.</w:t>
      </w:r>
    </w:p>
    <w:p w14:paraId="4E80BE4B" w14:textId="6F0FCFDA" w:rsidR="001A65E1" w:rsidRPr="001A65E1" w:rsidRDefault="001C76DC" w:rsidP="001C76DC">
      <w:pPr>
        <w:pStyle w:val="ListParagraph"/>
        <w:numPr>
          <w:ilvl w:val="1"/>
          <w:numId w:val="33"/>
        </w:numPr>
        <w:spacing w:line="480" w:lineRule="auto"/>
        <w:ind w:left="0" w:hanging="540"/>
      </w:pPr>
      <w:r>
        <w:t xml:space="preserve">            </w:t>
      </w:r>
      <w:r w:rsidR="00C4252F" w:rsidRPr="00C4252F">
        <w:t>Customers will never be fully protected against utility bias unless the Commission acknowledges that a comparison of cost-plus utility-owned bids to competitive bids with fixed prices and contract terms for performance is simply not viable</w:t>
      </w:r>
      <w:r w:rsidR="00B25746">
        <w:t>.  The difficulty in comparison is</w:t>
      </w:r>
      <w:r w:rsidR="00C4252F" w:rsidRPr="00C4252F">
        <w:t xml:space="preserve"> because it is impossible to truly compare the unique advantages and disadvantages of the different ownership structures on a head to head basis, especially considering that the utility has an economic incentive to select its own self-built generation resource.  The consequence is captive customers paying more costs and assuming more risks than would be the case if there were true diversity of ownership.</w:t>
      </w:r>
    </w:p>
    <w:p w14:paraId="3C1118BD" w14:textId="4CA5C106" w:rsidR="001A65E1" w:rsidRDefault="001C76DC" w:rsidP="001C76DC">
      <w:pPr>
        <w:pStyle w:val="ListParagraph"/>
        <w:numPr>
          <w:ilvl w:val="1"/>
          <w:numId w:val="33"/>
        </w:numPr>
        <w:spacing w:line="480" w:lineRule="auto"/>
        <w:ind w:left="0" w:hanging="540"/>
      </w:pPr>
      <w:r>
        <w:t xml:space="preserve">            </w:t>
      </w:r>
      <w:r w:rsidR="00DA210D">
        <w:t xml:space="preserve">NIPPC believes that the best </w:t>
      </w:r>
      <w:r w:rsidR="00C97C7D">
        <w:t xml:space="preserve">way to fully protect customers and ensure the lowest cost and least risk generation costs would be </w:t>
      </w:r>
      <w:r w:rsidR="0075375F">
        <w:t>to</w:t>
      </w:r>
      <w:r w:rsidR="00C97C7D">
        <w:t xml:space="preserve">: </w:t>
      </w:r>
      <w:r w:rsidR="001A65E1" w:rsidRPr="001A65E1">
        <w:t>1) bar</w:t>
      </w:r>
      <w:r w:rsidR="0075375F">
        <w:t xml:space="preserve"> utilities</w:t>
      </w:r>
      <w:r w:rsidR="001A65E1" w:rsidRPr="001A65E1">
        <w:t xml:space="preserve"> from owning new generation unless they can demonstrate that the </w:t>
      </w:r>
      <w:r w:rsidR="00B25746">
        <w:t>market has failed, or there is some</w:t>
      </w:r>
      <w:r w:rsidR="001A65E1" w:rsidRPr="001A65E1">
        <w:t xml:space="preserve"> unique and valuable opportunity for ratepayers</w:t>
      </w:r>
      <w:r w:rsidR="002333C0">
        <w:t xml:space="preserve">, </w:t>
      </w:r>
      <w:r w:rsidR="009A0DF0">
        <w:t xml:space="preserve">which </w:t>
      </w:r>
      <w:r w:rsidR="009A0DF0" w:rsidRPr="009A0DF0">
        <w:t>can only be realized through utility ownership</w:t>
      </w:r>
      <w:r w:rsidR="001A65E1" w:rsidRPr="001A65E1">
        <w:t>; or</w:t>
      </w:r>
      <w:r w:rsidR="002333C0">
        <w:t>, alternatively</w:t>
      </w:r>
      <w:r w:rsidR="001A65E1" w:rsidRPr="001A65E1">
        <w:t xml:space="preserve"> 2) </w:t>
      </w:r>
      <w:r w:rsidR="0075375F">
        <w:t xml:space="preserve">cap </w:t>
      </w:r>
      <w:r w:rsidR="001A65E1" w:rsidRPr="001A65E1">
        <w:t xml:space="preserve">utility ownership at a specific percentage.  Without </w:t>
      </w:r>
      <w:r w:rsidR="009A0DF0">
        <w:t>structured rules</w:t>
      </w:r>
      <w:r w:rsidR="001A65E1" w:rsidRPr="001A65E1">
        <w:t>, then it will be difficult for any competitive bidding process to clearly allow for diversity of ownership</w:t>
      </w:r>
      <w:r w:rsidR="00DA210D">
        <w:t xml:space="preserve"> and the least cost/risk generation for customers</w:t>
      </w:r>
      <w:r w:rsidR="001A65E1" w:rsidRPr="001A65E1">
        <w:t xml:space="preserve">. </w:t>
      </w:r>
      <w:r w:rsidR="008D07F4">
        <w:t xml:space="preserve"> T</w:t>
      </w:r>
      <w:r w:rsidR="001A65E1" w:rsidRPr="001A65E1">
        <w:t>he best of intentions will fall far short of true ratepayer prote</w:t>
      </w:r>
      <w:r w:rsidR="008D07F4">
        <w:t xml:space="preserve">ction as long as utility and </w:t>
      </w:r>
      <w:r w:rsidR="00400B4A">
        <w:t>IPP</w:t>
      </w:r>
      <w:r w:rsidR="001A65E1" w:rsidRPr="001A65E1">
        <w:t xml:space="preserve"> resource offerings are evaluated side by side.  </w:t>
      </w:r>
    </w:p>
    <w:p w14:paraId="76EEEE29" w14:textId="0DEAF380" w:rsidR="00475F8B" w:rsidRDefault="001C76DC" w:rsidP="001C76DC">
      <w:pPr>
        <w:pStyle w:val="ListParagraph"/>
        <w:numPr>
          <w:ilvl w:val="1"/>
          <w:numId w:val="33"/>
        </w:numPr>
        <w:spacing w:line="480" w:lineRule="auto"/>
        <w:ind w:left="0" w:hanging="540"/>
      </w:pPr>
      <w:r>
        <w:lastRenderedPageBreak/>
        <w:t xml:space="preserve">            </w:t>
      </w:r>
      <w:r w:rsidR="00986487" w:rsidRPr="00986487">
        <w:t>Despite the inadequacies of the current regulatory construct, NIPPC understands that the utilities will strongly oppose any firm limitations on their ability to pursue self-build of new generation assets.  To the extent the Commission does not impo</w:t>
      </w:r>
      <w:r w:rsidR="00986487">
        <w:t>se such limitations</w:t>
      </w:r>
      <w:r w:rsidR="00AE648F">
        <w:t xml:space="preserve">, NIPPC </w:t>
      </w:r>
      <w:r w:rsidR="00986487" w:rsidRPr="00986487">
        <w:t xml:space="preserve">proposes </w:t>
      </w:r>
      <w:r w:rsidR="00986487">
        <w:t xml:space="preserve">the second best solution: </w:t>
      </w:r>
      <w:r w:rsidR="00986487" w:rsidRPr="00986487">
        <w:t>significant revisions of the Commission’s current IRP and RFP rules that will increase the prospects for greater diversity of resource ownership.  NIPPC specifically recommends that the Commission</w:t>
      </w:r>
      <w:r w:rsidR="00475F8B">
        <w:t>:</w:t>
      </w:r>
    </w:p>
    <w:p w14:paraId="4733A37D" w14:textId="2F5EFEC5" w:rsidR="00475F8B" w:rsidRDefault="00AE648F" w:rsidP="001C76DC">
      <w:pPr>
        <w:pStyle w:val="ListParagraph"/>
        <w:numPr>
          <w:ilvl w:val="0"/>
          <w:numId w:val="35"/>
        </w:numPr>
        <w:rPr>
          <w:rFonts w:eastAsia="MS Mincho"/>
          <w:szCs w:val="24"/>
          <w:lang w:eastAsia="ja-JP"/>
        </w:rPr>
      </w:pPr>
      <w:r>
        <w:rPr>
          <w:rFonts w:eastAsia="MS Mincho"/>
          <w:szCs w:val="24"/>
          <w:lang w:eastAsia="ja-JP"/>
        </w:rPr>
        <w:t>Require</w:t>
      </w:r>
      <w:r w:rsidR="000669B8">
        <w:rPr>
          <w:rFonts w:eastAsia="MS Mincho"/>
          <w:szCs w:val="24"/>
          <w:lang w:eastAsia="ja-JP"/>
        </w:rPr>
        <w:t xml:space="preserve"> a</w:t>
      </w:r>
      <w:r w:rsidR="000669B8" w:rsidRPr="000E6412">
        <w:rPr>
          <w:rFonts w:eastAsia="MS Mincho"/>
          <w:szCs w:val="24"/>
          <w:lang w:eastAsia="ja-JP"/>
        </w:rPr>
        <w:t xml:space="preserve"> utility to </w:t>
      </w:r>
      <w:r w:rsidR="000669B8">
        <w:rPr>
          <w:rFonts w:eastAsia="MS Mincho"/>
          <w:szCs w:val="24"/>
          <w:lang w:eastAsia="ja-JP"/>
        </w:rPr>
        <w:t xml:space="preserve">hold a Commission-supervised RFP prior to </w:t>
      </w:r>
      <w:r w:rsidR="000669B8" w:rsidRPr="000E6412">
        <w:rPr>
          <w:rFonts w:eastAsia="MS Mincho"/>
          <w:szCs w:val="24"/>
          <w:lang w:eastAsia="ja-JP"/>
        </w:rPr>
        <w:t>acquir</w:t>
      </w:r>
      <w:r w:rsidR="000669B8">
        <w:rPr>
          <w:rFonts w:eastAsia="MS Mincho"/>
          <w:szCs w:val="24"/>
          <w:lang w:eastAsia="ja-JP"/>
        </w:rPr>
        <w:t>ing</w:t>
      </w:r>
      <w:r w:rsidR="000669B8" w:rsidRPr="000E6412">
        <w:rPr>
          <w:rFonts w:eastAsia="MS Mincho"/>
          <w:szCs w:val="24"/>
          <w:lang w:eastAsia="ja-JP"/>
        </w:rPr>
        <w:t xml:space="preserve"> 50</w:t>
      </w:r>
      <w:r w:rsidR="00807325">
        <w:rPr>
          <w:rFonts w:eastAsia="MS Mincho"/>
          <w:szCs w:val="24"/>
          <w:lang w:eastAsia="ja-JP"/>
        </w:rPr>
        <w:t xml:space="preserve"> megawatts</w:t>
      </w:r>
      <w:r w:rsidR="000669B8" w:rsidRPr="000E6412">
        <w:rPr>
          <w:rFonts w:eastAsia="MS Mincho"/>
          <w:szCs w:val="24"/>
          <w:lang w:eastAsia="ja-JP"/>
        </w:rPr>
        <w:t xml:space="preserve"> </w:t>
      </w:r>
      <w:r w:rsidR="00807325">
        <w:rPr>
          <w:rFonts w:eastAsia="MS Mincho"/>
          <w:szCs w:val="24"/>
          <w:lang w:eastAsia="ja-JP"/>
        </w:rPr>
        <w:t>(“</w:t>
      </w:r>
      <w:r w:rsidR="000669B8" w:rsidRPr="000E6412">
        <w:rPr>
          <w:rFonts w:eastAsia="MS Mincho"/>
          <w:szCs w:val="24"/>
          <w:lang w:eastAsia="ja-JP"/>
        </w:rPr>
        <w:t>MW</w:t>
      </w:r>
      <w:r w:rsidR="00807325">
        <w:rPr>
          <w:rFonts w:eastAsia="MS Mincho"/>
          <w:szCs w:val="24"/>
          <w:lang w:eastAsia="ja-JP"/>
        </w:rPr>
        <w:t>s”)</w:t>
      </w:r>
      <w:r w:rsidR="000669B8">
        <w:rPr>
          <w:rFonts w:eastAsia="MS Mincho"/>
          <w:szCs w:val="24"/>
          <w:lang w:eastAsia="ja-JP"/>
        </w:rPr>
        <w:t xml:space="preserve"> or more</w:t>
      </w:r>
      <w:r w:rsidR="000669B8" w:rsidRPr="000E6412">
        <w:rPr>
          <w:rFonts w:eastAsia="MS Mincho"/>
          <w:szCs w:val="24"/>
          <w:lang w:eastAsia="ja-JP"/>
        </w:rPr>
        <w:t xml:space="preserve"> of new </w:t>
      </w:r>
      <w:r w:rsidR="000669B8">
        <w:rPr>
          <w:rFonts w:eastAsia="MS Mincho"/>
          <w:szCs w:val="24"/>
          <w:lang w:eastAsia="ja-JP"/>
        </w:rPr>
        <w:t xml:space="preserve">generation </w:t>
      </w:r>
      <w:r w:rsidR="000669B8" w:rsidRPr="000E6412">
        <w:rPr>
          <w:rFonts w:eastAsia="MS Mincho"/>
          <w:szCs w:val="24"/>
          <w:lang w:eastAsia="ja-JP"/>
        </w:rPr>
        <w:t>resources and certain energy storage with a term of five years or more in an RFP, with limited exceptions</w:t>
      </w:r>
      <w:r w:rsidR="00475F8B" w:rsidRPr="000E6412">
        <w:rPr>
          <w:rFonts w:eastAsia="MS Mincho"/>
          <w:szCs w:val="24"/>
          <w:lang w:eastAsia="ja-JP"/>
        </w:rPr>
        <w:t xml:space="preserve">; </w:t>
      </w:r>
    </w:p>
    <w:p w14:paraId="2313D159" w14:textId="77777777" w:rsidR="000E6412" w:rsidRPr="000E6412" w:rsidRDefault="000E6412" w:rsidP="001C76DC">
      <w:pPr>
        <w:ind w:hanging="540"/>
        <w:rPr>
          <w:rFonts w:eastAsia="MS Mincho"/>
          <w:szCs w:val="24"/>
          <w:lang w:eastAsia="ja-JP"/>
        </w:rPr>
      </w:pPr>
    </w:p>
    <w:p w14:paraId="4A52FC21" w14:textId="7498B8BA" w:rsidR="00565626" w:rsidRDefault="004956FB" w:rsidP="001C76DC">
      <w:pPr>
        <w:pStyle w:val="ListParagraph"/>
        <w:numPr>
          <w:ilvl w:val="0"/>
          <w:numId w:val="35"/>
        </w:numPr>
        <w:rPr>
          <w:rFonts w:eastAsia="MS Mincho"/>
          <w:szCs w:val="24"/>
          <w:lang w:eastAsia="ja-JP"/>
        </w:rPr>
      </w:pPr>
      <w:r>
        <w:rPr>
          <w:rFonts w:eastAsia="MS Mincho"/>
          <w:szCs w:val="24"/>
          <w:lang w:eastAsia="ja-JP"/>
        </w:rPr>
        <w:t>R</w:t>
      </w:r>
      <w:r w:rsidR="00565626" w:rsidRPr="000E6412">
        <w:rPr>
          <w:rFonts w:eastAsia="MS Mincho"/>
          <w:szCs w:val="24"/>
          <w:lang w:eastAsia="ja-JP"/>
        </w:rPr>
        <w:t xml:space="preserve">etain an independent evaluator </w:t>
      </w:r>
      <w:r w:rsidR="00ED2AE4">
        <w:rPr>
          <w:rFonts w:eastAsia="MS Mincho"/>
          <w:szCs w:val="24"/>
          <w:lang w:eastAsia="ja-JP"/>
        </w:rPr>
        <w:t xml:space="preserve">to protect against utility bias </w:t>
      </w:r>
      <w:r w:rsidR="00565626" w:rsidRPr="000E6412">
        <w:rPr>
          <w:rFonts w:eastAsia="MS Mincho"/>
          <w:szCs w:val="24"/>
          <w:lang w:eastAsia="ja-JP"/>
        </w:rPr>
        <w:t>and due diligence expert</w:t>
      </w:r>
      <w:r w:rsidR="00ED2AE4">
        <w:rPr>
          <w:rFonts w:eastAsia="MS Mincho"/>
          <w:szCs w:val="24"/>
          <w:lang w:eastAsia="ja-JP"/>
        </w:rPr>
        <w:t xml:space="preserve"> to ensure ownership bids are fairly priced</w:t>
      </w:r>
      <w:r w:rsidR="00565626" w:rsidRPr="000E6412">
        <w:rPr>
          <w:rFonts w:eastAsia="MS Mincho"/>
          <w:szCs w:val="24"/>
          <w:lang w:eastAsia="ja-JP"/>
        </w:rPr>
        <w:t xml:space="preserve">; </w:t>
      </w:r>
    </w:p>
    <w:p w14:paraId="6C9F4BB0" w14:textId="77777777" w:rsidR="000E6412" w:rsidRPr="000E6412" w:rsidRDefault="000E6412" w:rsidP="001C76DC">
      <w:pPr>
        <w:ind w:hanging="540"/>
        <w:rPr>
          <w:rFonts w:eastAsia="MS Mincho"/>
          <w:szCs w:val="24"/>
          <w:lang w:eastAsia="ja-JP"/>
        </w:rPr>
      </w:pPr>
    </w:p>
    <w:p w14:paraId="362786A4" w14:textId="21F3A27F" w:rsidR="00565626" w:rsidRDefault="00130904" w:rsidP="001C76DC">
      <w:pPr>
        <w:pStyle w:val="ListParagraph"/>
        <w:numPr>
          <w:ilvl w:val="0"/>
          <w:numId w:val="35"/>
        </w:numPr>
        <w:rPr>
          <w:rFonts w:eastAsia="MS Mincho"/>
          <w:szCs w:val="24"/>
          <w:lang w:eastAsia="ja-JP"/>
        </w:rPr>
      </w:pPr>
      <w:r w:rsidRPr="000E6412">
        <w:rPr>
          <w:rFonts w:eastAsia="MS Mincho"/>
          <w:szCs w:val="24"/>
          <w:lang w:eastAsia="ja-JP"/>
        </w:rPr>
        <w:t>Provid</w:t>
      </w:r>
      <w:r w:rsidR="004956FB">
        <w:rPr>
          <w:rFonts w:eastAsia="MS Mincho"/>
          <w:szCs w:val="24"/>
          <w:lang w:eastAsia="ja-JP"/>
        </w:rPr>
        <w:t>e</w:t>
      </w:r>
      <w:r w:rsidRPr="000E6412">
        <w:rPr>
          <w:rFonts w:eastAsia="MS Mincho"/>
          <w:szCs w:val="24"/>
          <w:lang w:eastAsia="ja-JP"/>
        </w:rPr>
        <w:t xml:space="preserve"> s</w:t>
      </w:r>
      <w:r w:rsidR="00565626" w:rsidRPr="000E6412">
        <w:rPr>
          <w:rFonts w:eastAsia="MS Mincho"/>
          <w:szCs w:val="24"/>
          <w:lang w:eastAsia="ja-JP"/>
        </w:rPr>
        <w:t>takeholders an opportunity to comment on both the draft and final RFPs, which</w:t>
      </w:r>
      <w:r w:rsidR="002333C0">
        <w:rPr>
          <w:rFonts w:eastAsia="MS Mincho"/>
          <w:szCs w:val="24"/>
          <w:lang w:eastAsia="ja-JP"/>
        </w:rPr>
        <w:t xml:space="preserve"> </w:t>
      </w:r>
      <w:r w:rsidR="00565626" w:rsidRPr="000E6412">
        <w:rPr>
          <w:rFonts w:eastAsia="MS Mincho"/>
          <w:szCs w:val="24"/>
          <w:lang w:eastAsia="ja-JP"/>
        </w:rPr>
        <w:t>mus</w:t>
      </w:r>
      <w:r w:rsidRPr="000E6412">
        <w:rPr>
          <w:rFonts w:eastAsia="MS Mincho"/>
          <w:szCs w:val="24"/>
          <w:lang w:eastAsia="ja-JP"/>
        </w:rPr>
        <w:t xml:space="preserve">t be approved by the Commission; </w:t>
      </w:r>
    </w:p>
    <w:p w14:paraId="2565040B" w14:textId="77777777" w:rsidR="000E6412" w:rsidRPr="000E6412" w:rsidRDefault="000E6412" w:rsidP="001C76DC">
      <w:pPr>
        <w:ind w:hanging="540"/>
        <w:rPr>
          <w:rFonts w:eastAsia="MS Mincho"/>
          <w:szCs w:val="24"/>
          <w:lang w:eastAsia="ja-JP"/>
        </w:rPr>
      </w:pPr>
    </w:p>
    <w:p w14:paraId="2F58D1E5" w14:textId="0787A23B" w:rsidR="00130904" w:rsidRDefault="00130904" w:rsidP="001C76DC">
      <w:pPr>
        <w:pStyle w:val="ListParagraph"/>
        <w:numPr>
          <w:ilvl w:val="0"/>
          <w:numId w:val="35"/>
        </w:numPr>
        <w:rPr>
          <w:rFonts w:eastAsia="MS Mincho"/>
          <w:szCs w:val="24"/>
          <w:lang w:eastAsia="ja-JP"/>
        </w:rPr>
      </w:pPr>
      <w:r w:rsidRPr="000E6412">
        <w:rPr>
          <w:rFonts w:eastAsia="MS Mincho"/>
          <w:szCs w:val="24"/>
          <w:lang w:eastAsia="ja-JP"/>
        </w:rPr>
        <w:t xml:space="preserve">Adopt </w:t>
      </w:r>
      <w:r w:rsidR="002333C0">
        <w:rPr>
          <w:rFonts w:eastAsia="MS Mincho"/>
          <w:szCs w:val="24"/>
          <w:lang w:eastAsia="ja-JP"/>
        </w:rPr>
        <w:t>highly-</w:t>
      </w:r>
      <w:r w:rsidRPr="000E6412">
        <w:rPr>
          <w:rFonts w:eastAsia="MS Mincho"/>
          <w:szCs w:val="24"/>
          <w:lang w:eastAsia="ja-JP"/>
        </w:rPr>
        <w:t>specific RFP scoring and evaluation criteria</w:t>
      </w:r>
      <w:r w:rsidR="00AE648F">
        <w:rPr>
          <w:rFonts w:eastAsia="MS Mincho"/>
          <w:szCs w:val="24"/>
          <w:lang w:eastAsia="ja-JP"/>
        </w:rPr>
        <w:t xml:space="preserve"> </w:t>
      </w:r>
      <w:r w:rsidR="00E30A6C">
        <w:rPr>
          <w:rFonts w:eastAsia="MS Mincho"/>
          <w:szCs w:val="24"/>
          <w:lang w:eastAsia="ja-JP"/>
        </w:rPr>
        <w:t>to</w:t>
      </w:r>
      <w:r w:rsidR="00AE648F" w:rsidRPr="00AE648F">
        <w:rPr>
          <w:rFonts w:eastAsia="MS Mincho"/>
          <w:szCs w:val="24"/>
          <w:lang w:eastAsia="ja-JP"/>
        </w:rPr>
        <w:t xml:space="preserve"> ensure that the</w:t>
      </w:r>
      <w:r w:rsidR="00E30A6C">
        <w:rPr>
          <w:rFonts w:eastAsia="MS Mincho"/>
          <w:szCs w:val="24"/>
          <w:lang w:eastAsia="ja-JP"/>
        </w:rPr>
        <w:t>y</w:t>
      </w:r>
      <w:r w:rsidR="00AE648F" w:rsidRPr="00AE648F">
        <w:rPr>
          <w:rFonts w:eastAsia="MS Mincho"/>
          <w:szCs w:val="24"/>
          <w:lang w:eastAsia="ja-JP"/>
        </w:rPr>
        <w:t xml:space="preserve"> are transparent to all bidders</w:t>
      </w:r>
      <w:r w:rsidRPr="000E6412">
        <w:rPr>
          <w:rFonts w:eastAsia="MS Mincho"/>
          <w:szCs w:val="24"/>
          <w:lang w:eastAsia="ja-JP"/>
        </w:rPr>
        <w:t xml:space="preserve">; </w:t>
      </w:r>
    </w:p>
    <w:p w14:paraId="7D7904FF" w14:textId="77777777" w:rsidR="000E6412" w:rsidRPr="000E6412" w:rsidRDefault="000E6412" w:rsidP="001C76DC">
      <w:pPr>
        <w:ind w:hanging="540"/>
        <w:rPr>
          <w:rFonts w:eastAsia="MS Mincho"/>
          <w:szCs w:val="24"/>
          <w:lang w:eastAsia="ja-JP"/>
        </w:rPr>
      </w:pPr>
    </w:p>
    <w:p w14:paraId="26C19D6E" w14:textId="7B76B220" w:rsidR="00227EB9" w:rsidRDefault="000669B8" w:rsidP="001C76DC">
      <w:pPr>
        <w:pStyle w:val="ListParagraph"/>
        <w:numPr>
          <w:ilvl w:val="0"/>
          <w:numId w:val="35"/>
        </w:numPr>
        <w:rPr>
          <w:rFonts w:eastAsia="MS Mincho"/>
          <w:bCs/>
          <w:szCs w:val="24"/>
          <w:lang w:eastAsia="ja-JP"/>
        </w:rPr>
      </w:pPr>
      <w:r w:rsidRPr="000E6412">
        <w:rPr>
          <w:rFonts w:eastAsia="MS Mincho"/>
          <w:bCs/>
          <w:szCs w:val="24"/>
          <w:lang w:eastAsia="ja-JP"/>
        </w:rPr>
        <w:t xml:space="preserve">When the utility could own a generation asset at the completion of the RFP, requiring a two stage RFP with </w:t>
      </w:r>
      <w:r w:rsidR="00E30A6C">
        <w:rPr>
          <w:rFonts w:eastAsia="MS Mincho"/>
          <w:bCs/>
          <w:szCs w:val="24"/>
          <w:lang w:eastAsia="ja-JP"/>
        </w:rPr>
        <w:t xml:space="preserve">the price scores of the </w:t>
      </w:r>
      <w:r w:rsidRPr="000E6412">
        <w:rPr>
          <w:rFonts w:eastAsia="MS Mincho"/>
          <w:bCs/>
          <w:szCs w:val="24"/>
          <w:lang w:eastAsia="ja-JP"/>
        </w:rPr>
        <w:t xml:space="preserve">ownership options </w:t>
      </w:r>
      <w:r w:rsidR="00711197">
        <w:rPr>
          <w:rFonts w:eastAsia="MS Mincho"/>
          <w:bCs/>
          <w:szCs w:val="24"/>
          <w:lang w:eastAsia="ja-JP"/>
        </w:rPr>
        <w:t>made available</w:t>
      </w:r>
      <w:r w:rsidRPr="000E6412">
        <w:rPr>
          <w:rFonts w:eastAsia="MS Mincho"/>
          <w:bCs/>
          <w:szCs w:val="24"/>
          <w:lang w:eastAsia="ja-JP"/>
        </w:rPr>
        <w:t xml:space="preserve"> </w:t>
      </w:r>
      <w:r>
        <w:rPr>
          <w:rFonts w:eastAsia="MS Mincho"/>
          <w:bCs/>
          <w:szCs w:val="24"/>
          <w:lang w:eastAsia="ja-JP"/>
        </w:rPr>
        <w:t xml:space="preserve">prior to </w:t>
      </w:r>
      <w:r w:rsidR="00711197">
        <w:rPr>
          <w:rFonts w:eastAsia="MS Mincho"/>
          <w:bCs/>
          <w:szCs w:val="24"/>
          <w:lang w:eastAsia="ja-JP"/>
        </w:rPr>
        <w:t>the bidding for the</w:t>
      </w:r>
      <w:r>
        <w:rPr>
          <w:rFonts w:eastAsia="MS Mincho"/>
          <w:bCs/>
          <w:szCs w:val="24"/>
          <w:lang w:eastAsia="ja-JP"/>
        </w:rPr>
        <w:t xml:space="preserve"> </w:t>
      </w:r>
      <w:r w:rsidRPr="000E6412">
        <w:rPr>
          <w:rFonts w:eastAsia="MS Mincho"/>
          <w:bCs/>
          <w:szCs w:val="24"/>
          <w:lang w:eastAsia="ja-JP"/>
        </w:rPr>
        <w:t>PPA options</w:t>
      </w:r>
      <w:r w:rsidR="00711197">
        <w:rPr>
          <w:rFonts w:eastAsia="MS Mincho"/>
          <w:bCs/>
          <w:szCs w:val="24"/>
          <w:lang w:eastAsia="ja-JP"/>
        </w:rPr>
        <w:t>,</w:t>
      </w:r>
      <w:r>
        <w:rPr>
          <w:rFonts w:eastAsia="MS Mincho"/>
          <w:bCs/>
          <w:szCs w:val="24"/>
          <w:lang w:eastAsia="ja-JP"/>
        </w:rPr>
        <w:t xml:space="preserve"> which may</w:t>
      </w:r>
      <w:r w:rsidRPr="000E6412">
        <w:rPr>
          <w:rFonts w:eastAsia="MS Mincho"/>
          <w:bCs/>
          <w:szCs w:val="24"/>
          <w:lang w:eastAsia="ja-JP"/>
        </w:rPr>
        <w:t xml:space="preserve"> attempt to</w:t>
      </w:r>
      <w:r>
        <w:rPr>
          <w:rFonts w:eastAsia="MS Mincho"/>
          <w:bCs/>
          <w:szCs w:val="24"/>
          <w:lang w:eastAsia="ja-JP"/>
        </w:rPr>
        <w:t xml:space="preserve"> “beat” the utility-ownership score</w:t>
      </w:r>
      <w:r w:rsidR="00CE6455">
        <w:rPr>
          <w:rFonts w:eastAsia="MS Mincho"/>
          <w:bCs/>
          <w:szCs w:val="24"/>
          <w:lang w:eastAsia="ja-JP"/>
        </w:rPr>
        <w:t xml:space="preserve">; </w:t>
      </w:r>
    </w:p>
    <w:p w14:paraId="6CC142ED" w14:textId="77777777" w:rsidR="000E6412" w:rsidRPr="000E6412" w:rsidRDefault="000E6412" w:rsidP="001C76DC">
      <w:pPr>
        <w:ind w:hanging="540"/>
        <w:rPr>
          <w:rFonts w:eastAsia="MS Mincho"/>
          <w:bCs/>
          <w:szCs w:val="24"/>
          <w:lang w:eastAsia="ja-JP"/>
        </w:rPr>
      </w:pPr>
    </w:p>
    <w:p w14:paraId="4D316041" w14:textId="79675938" w:rsidR="00CE6455" w:rsidRDefault="00227EB9" w:rsidP="001C76DC">
      <w:pPr>
        <w:pStyle w:val="ListParagraph"/>
        <w:numPr>
          <w:ilvl w:val="0"/>
          <w:numId w:val="35"/>
        </w:numPr>
        <w:rPr>
          <w:rFonts w:eastAsia="MS Mincho"/>
          <w:bCs/>
          <w:szCs w:val="24"/>
          <w:lang w:eastAsia="ja-JP"/>
        </w:rPr>
      </w:pPr>
      <w:r w:rsidRPr="000E6412">
        <w:rPr>
          <w:rFonts w:eastAsia="MS Mincho"/>
          <w:bCs/>
          <w:szCs w:val="24"/>
          <w:lang w:eastAsia="ja-JP"/>
        </w:rPr>
        <w:t xml:space="preserve">If a utility ownership bid wins the RFP, </w:t>
      </w:r>
      <w:r w:rsidR="00616469">
        <w:rPr>
          <w:rFonts w:eastAsia="MS Mincho"/>
          <w:bCs/>
          <w:szCs w:val="24"/>
          <w:lang w:eastAsia="ja-JP"/>
        </w:rPr>
        <w:t>subject</w:t>
      </w:r>
      <w:r w:rsidRPr="000E6412">
        <w:rPr>
          <w:rFonts w:eastAsia="MS Mincho"/>
          <w:bCs/>
          <w:szCs w:val="24"/>
          <w:lang w:eastAsia="ja-JP"/>
        </w:rPr>
        <w:t xml:space="preserve"> the utility’s resource short list t</w:t>
      </w:r>
      <w:r w:rsidR="00CE6455">
        <w:rPr>
          <w:rFonts w:eastAsia="MS Mincho"/>
          <w:bCs/>
          <w:szCs w:val="24"/>
          <w:lang w:eastAsia="ja-JP"/>
        </w:rPr>
        <w:t>o an acknowledgement proceeding</w:t>
      </w:r>
      <w:r w:rsidR="00E30A6C">
        <w:rPr>
          <w:rFonts w:eastAsia="MS Mincho"/>
          <w:bCs/>
          <w:szCs w:val="24"/>
          <w:lang w:eastAsia="ja-JP"/>
        </w:rPr>
        <w:t xml:space="preserve"> that has the same effect as IRP acknowledgment</w:t>
      </w:r>
      <w:r w:rsidR="00CE6455">
        <w:rPr>
          <w:rFonts w:eastAsia="MS Mincho"/>
          <w:bCs/>
          <w:szCs w:val="24"/>
          <w:lang w:eastAsia="ja-JP"/>
        </w:rPr>
        <w:t>; and</w:t>
      </w:r>
    </w:p>
    <w:p w14:paraId="7A4675A7" w14:textId="77777777" w:rsidR="00CE6455" w:rsidRPr="00CE6455" w:rsidRDefault="00CE6455" w:rsidP="001C76DC">
      <w:pPr>
        <w:ind w:hanging="540"/>
        <w:rPr>
          <w:rFonts w:eastAsia="MS Mincho"/>
          <w:bCs/>
          <w:szCs w:val="24"/>
          <w:lang w:eastAsia="ja-JP"/>
        </w:rPr>
      </w:pPr>
    </w:p>
    <w:p w14:paraId="6A4B0DB9" w14:textId="403D1697" w:rsidR="002A4778" w:rsidRPr="006F3E98" w:rsidRDefault="00616469" w:rsidP="001C76DC">
      <w:pPr>
        <w:pStyle w:val="ListParagraph"/>
        <w:numPr>
          <w:ilvl w:val="0"/>
          <w:numId w:val="35"/>
        </w:numPr>
        <w:rPr>
          <w:rFonts w:eastAsia="MS Mincho"/>
          <w:bCs/>
          <w:szCs w:val="24"/>
          <w:lang w:eastAsia="ja-JP"/>
        </w:rPr>
      </w:pPr>
      <w:r>
        <w:rPr>
          <w:rFonts w:eastAsia="MS Mincho"/>
          <w:bCs/>
          <w:szCs w:val="24"/>
          <w:lang w:eastAsia="ja-JP"/>
        </w:rPr>
        <w:t>C</w:t>
      </w:r>
      <w:r w:rsidR="00CE6455" w:rsidRPr="00CE6455">
        <w:rPr>
          <w:rFonts w:eastAsia="MS Mincho"/>
          <w:bCs/>
          <w:szCs w:val="24"/>
          <w:lang w:eastAsia="ja-JP"/>
        </w:rPr>
        <w:t>ap the costs included in rates for utility owned generation at the cost included in the bid used for comparative analysis in the RFP</w:t>
      </w:r>
      <w:r w:rsidR="00CE6455">
        <w:rPr>
          <w:rFonts w:eastAsia="MS Mincho"/>
          <w:bCs/>
          <w:szCs w:val="24"/>
          <w:lang w:eastAsia="ja-JP"/>
        </w:rPr>
        <w:t>.</w:t>
      </w:r>
      <w:r w:rsidR="00227EB9" w:rsidRPr="00CE6455">
        <w:rPr>
          <w:rFonts w:eastAsia="MS Mincho"/>
          <w:bCs/>
          <w:szCs w:val="24"/>
          <w:lang w:eastAsia="ja-JP"/>
        </w:rPr>
        <w:t xml:space="preserve"> </w:t>
      </w:r>
    </w:p>
    <w:p w14:paraId="13E70333" w14:textId="3D635C78" w:rsidR="00AC7EB2" w:rsidRPr="00227EB9" w:rsidRDefault="00AC7EB2" w:rsidP="001C76DC">
      <w:pPr>
        <w:spacing w:line="480" w:lineRule="auto"/>
        <w:ind w:hanging="540"/>
        <w:rPr>
          <w:rFonts w:eastAsia="MS Mincho"/>
          <w:bCs/>
          <w:szCs w:val="24"/>
          <w:lang w:eastAsia="ja-JP"/>
        </w:rPr>
      </w:pPr>
    </w:p>
    <w:p w14:paraId="60FC39B6" w14:textId="77777777" w:rsidR="00121ACC" w:rsidRDefault="00121ACC">
      <w:pPr>
        <w:rPr>
          <w:rFonts w:eastAsia="MS Mincho"/>
          <w:b/>
          <w:szCs w:val="24"/>
          <w:lang w:eastAsia="ja-JP"/>
        </w:rPr>
      </w:pPr>
      <w:r>
        <w:rPr>
          <w:rFonts w:eastAsia="MS Mincho"/>
          <w:b/>
          <w:szCs w:val="24"/>
          <w:lang w:eastAsia="ja-JP"/>
        </w:rPr>
        <w:br w:type="page"/>
      </w:r>
    </w:p>
    <w:p w14:paraId="20727FF0" w14:textId="5A89512E" w:rsidR="00A50471" w:rsidRPr="001C76DC" w:rsidRDefault="00474BB0" w:rsidP="001C76DC">
      <w:pPr>
        <w:pStyle w:val="ListParagraph"/>
        <w:spacing w:line="480" w:lineRule="auto"/>
        <w:ind w:left="0"/>
        <w:jc w:val="center"/>
        <w:rPr>
          <w:rFonts w:eastAsia="MS Mincho"/>
          <w:b/>
          <w:szCs w:val="24"/>
          <w:lang w:eastAsia="ja-JP"/>
        </w:rPr>
      </w:pPr>
      <w:r w:rsidRPr="001C76DC">
        <w:rPr>
          <w:rFonts w:eastAsia="MS Mincho"/>
          <w:b/>
          <w:szCs w:val="24"/>
          <w:lang w:eastAsia="ja-JP"/>
        </w:rPr>
        <w:lastRenderedPageBreak/>
        <w:t>II.</w:t>
      </w:r>
      <w:r w:rsidRPr="001C76DC">
        <w:rPr>
          <w:rFonts w:eastAsia="MS Mincho"/>
          <w:b/>
          <w:szCs w:val="24"/>
          <w:lang w:eastAsia="ja-JP"/>
        </w:rPr>
        <w:tab/>
        <w:t>COMMENTS</w:t>
      </w:r>
    </w:p>
    <w:p w14:paraId="63A2EDCE" w14:textId="28841938" w:rsidR="00A50471" w:rsidRPr="00523449" w:rsidRDefault="009D5633" w:rsidP="00523449">
      <w:pPr>
        <w:pStyle w:val="ListParagraph"/>
        <w:numPr>
          <w:ilvl w:val="0"/>
          <w:numId w:val="37"/>
        </w:numPr>
        <w:rPr>
          <w:rFonts w:eastAsia="MS Mincho"/>
          <w:b/>
          <w:szCs w:val="24"/>
          <w:lang w:eastAsia="ja-JP"/>
        </w:rPr>
      </w:pPr>
      <w:r w:rsidRPr="00523449">
        <w:rPr>
          <w:rFonts w:eastAsia="MS Mincho"/>
          <w:b/>
          <w:szCs w:val="24"/>
          <w:lang w:eastAsia="ja-JP"/>
        </w:rPr>
        <w:t xml:space="preserve">Customers Benefit from </w:t>
      </w:r>
      <w:r w:rsidR="00757D0C" w:rsidRPr="00523449">
        <w:rPr>
          <w:rFonts w:eastAsia="MS Mincho"/>
          <w:b/>
          <w:szCs w:val="24"/>
          <w:lang w:eastAsia="ja-JP"/>
        </w:rPr>
        <w:t xml:space="preserve">Robust Competitive Electricity Markets and Diverse </w:t>
      </w:r>
      <w:r w:rsidR="00C31CED">
        <w:rPr>
          <w:rFonts w:eastAsia="MS Mincho"/>
          <w:b/>
          <w:szCs w:val="24"/>
          <w:lang w:eastAsia="ja-JP"/>
        </w:rPr>
        <w:t>Ownership of Generation</w:t>
      </w:r>
      <w:r w:rsidR="00757D0C" w:rsidRPr="00523449">
        <w:rPr>
          <w:rFonts w:eastAsia="MS Mincho"/>
          <w:b/>
          <w:szCs w:val="24"/>
          <w:lang w:eastAsia="ja-JP"/>
        </w:rPr>
        <w:t xml:space="preserve"> </w:t>
      </w:r>
    </w:p>
    <w:p w14:paraId="7C89ECF2" w14:textId="77777777" w:rsidR="00A50471" w:rsidRPr="00C57CB2" w:rsidRDefault="00A50471" w:rsidP="001C76DC">
      <w:pPr>
        <w:ind w:hanging="540"/>
        <w:rPr>
          <w:rFonts w:eastAsia="MS Mincho"/>
          <w:szCs w:val="24"/>
          <w:lang w:eastAsia="ja-JP"/>
        </w:rPr>
      </w:pPr>
    </w:p>
    <w:p w14:paraId="5253FC72" w14:textId="1ED05D9A" w:rsidR="00C96E9A" w:rsidRPr="001C76DC" w:rsidRDefault="00523449" w:rsidP="00523449">
      <w:pPr>
        <w:pStyle w:val="ListParagraph"/>
        <w:numPr>
          <w:ilvl w:val="1"/>
          <w:numId w:val="33"/>
        </w:numPr>
        <w:spacing w:line="480" w:lineRule="auto"/>
        <w:ind w:left="0" w:hanging="540"/>
        <w:rPr>
          <w:rFonts w:eastAsia="MS Mincho"/>
          <w:lang w:eastAsia="ja-JP"/>
        </w:rPr>
      </w:pPr>
      <w:r>
        <w:t xml:space="preserve">            </w:t>
      </w:r>
      <w:r w:rsidR="00CC46E2" w:rsidRPr="001C76DC">
        <w:rPr>
          <w:rFonts w:eastAsia="MS Mincho"/>
          <w:szCs w:val="24"/>
          <w:lang w:eastAsia="ja-JP"/>
        </w:rPr>
        <w:t xml:space="preserve">The Commission has long recognized </w:t>
      </w:r>
      <w:r w:rsidR="00B50741">
        <w:rPr>
          <w:rFonts w:eastAsia="MS Mincho"/>
          <w:szCs w:val="24"/>
          <w:lang w:eastAsia="ja-JP"/>
        </w:rPr>
        <w:t>“</w:t>
      </w:r>
      <w:r w:rsidR="00CC46E2" w:rsidRPr="001C76DC">
        <w:rPr>
          <w:rFonts w:eastAsia="MS Mincho"/>
          <w:szCs w:val="24"/>
          <w:lang w:eastAsia="ja-JP"/>
        </w:rPr>
        <w:t>competition should be accommodated and encouraged” to reduce costs when it can be done in an efficient and fair manner.</w:t>
      </w:r>
      <w:r w:rsidR="00CC46E2" w:rsidRPr="00CC46E2">
        <w:rPr>
          <w:rFonts w:eastAsia="MS Mincho"/>
          <w:vertAlign w:val="superscript"/>
          <w:lang w:eastAsia="ja-JP"/>
        </w:rPr>
        <w:footnoteReference w:id="8"/>
      </w:r>
      <w:r w:rsidR="00CC46E2" w:rsidRPr="001C76DC">
        <w:rPr>
          <w:rFonts w:eastAsia="MS Mincho"/>
          <w:szCs w:val="24"/>
          <w:vertAlign w:val="superscript"/>
          <w:lang w:eastAsia="ja-JP"/>
        </w:rPr>
        <w:t xml:space="preserve"> </w:t>
      </w:r>
      <w:r w:rsidR="00E40EC6" w:rsidRPr="001C76DC">
        <w:rPr>
          <w:rFonts w:eastAsia="MS Mincho"/>
          <w:szCs w:val="24"/>
          <w:lang w:eastAsia="ja-JP"/>
        </w:rPr>
        <w:t>Competitive whole</w:t>
      </w:r>
      <w:r w:rsidR="00C71446">
        <w:rPr>
          <w:rFonts w:eastAsia="MS Mincho"/>
          <w:szCs w:val="24"/>
          <w:lang w:eastAsia="ja-JP"/>
        </w:rPr>
        <w:t>sale</w:t>
      </w:r>
      <w:r w:rsidR="00E40EC6" w:rsidRPr="001C76DC">
        <w:rPr>
          <w:rFonts w:eastAsia="MS Mincho"/>
          <w:szCs w:val="24"/>
          <w:lang w:eastAsia="ja-JP"/>
        </w:rPr>
        <w:t xml:space="preserve"> electricity</w:t>
      </w:r>
      <w:r w:rsidR="00C57CB2" w:rsidRPr="001C76DC">
        <w:rPr>
          <w:rFonts w:eastAsia="MS Mincho"/>
          <w:szCs w:val="24"/>
          <w:lang w:eastAsia="ja-JP"/>
        </w:rPr>
        <w:t xml:space="preserve"> markets in which </w:t>
      </w:r>
      <w:r w:rsidR="00135EE8" w:rsidRPr="001C76DC">
        <w:rPr>
          <w:rFonts w:eastAsia="MS Mincho"/>
          <w:szCs w:val="24"/>
          <w:lang w:eastAsia="ja-JP"/>
        </w:rPr>
        <w:t xml:space="preserve">monopoly utilities are not the sole </w:t>
      </w:r>
      <w:r w:rsidR="00C207E7" w:rsidRPr="001C76DC">
        <w:rPr>
          <w:rFonts w:eastAsia="MS Mincho"/>
          <w:szCs w:val="24"/>
          <w:lang w:eastAsia="ja-JP"/>
        </w:rPr>
        <w:t>resource</w:t>
      </w:r>
      <w:r w:rsidR="00700427" w:rsidRPr="001C76DC">
        <w:rPr>
          <w:rFonts w:eastAsia="MS Mincho"/>
          <w:szCs w:val="24"/>
          <w:lang w:eastAsia="ja-JP"/>
        </w:rPr>
        <w:t xml:space="preserve"> owners </w:t>
      </w:r>
      <w:r w:rsidR="00135EE8" w:rsidRPr="001C76DC">
        <w:rPr>
          <w:rFonts w:eastAsia="MS Mincho"/>
          <w:szCs w:val="24"/>
          <w:lang w:eastAsia="ja-JP"/>
        </w:rPr>
        <w:t>ha</w:t>
      </w:r>
      <w:r w:rsidR="000669B8" w:rsidRPr="001C76DC">
        <w:rPr>
          <w:rFonts w:eastAsia="MS Mincho"/>
          <w:szCs w:val="24"/>
          <w:lang w:eastAsia="ja-JP"/>
        </w:rPr>
        <w:t>ve</w:t>
      </w:r>
      <w:r w:rsidR="00135EE8" w:rsidRPr="001C76DC">
        <w:rPr>
          <w:rFonts w:eastAsia="MS Mincho"/>
          <w:szCs w:val="24"/>
          <w:lang w:eastAsia="ja-JP"/>
        </w:rPr>
        <w:t xml:space="preserve"> produced significant savings for Northwest ratepayers.</w:t>
      </w:r>
      <w:r w:rsidR="00C207E7" w:rsidRPr="001C76DC">
        <w:rPr>
          <w:rFonts w:eastAsia="MS Mincho"/>
          <w:szCs w:val="24"/>
          <w:lang w:eastAsia="ja-JP"/>
        </w:rPr>
        <w:t xml:space="preserve">  Robust competition drives down the costs of a</w:t>
      </w:r>
      <w:r w:rsidR="00AC497D" w:rsidRPr="001C76DC">
        <w:rPr>
          <w:rFonts w:eastAsia="MS Mincho"/>
          <w:szCs w:val="24"/>
          <w:lang w:eastAsia="ja-JP"/>
        </w:rPr>
        <w:t xml:space="preserve">ll generation resources regardless of ownership and provides significant rate savings for customers.  Non-utility ownership in and of itself provides significant cost and </w:t>
      </w:r>
      <w:r w:rsidR="00C96E9A" w:rsidRPr="001C76DC">
        <w:rPr>
          <w:rFonts w:eastAsia="MS Mincho"/>
          <w:szCs w:val="24"/>
          <w:lang w:eastAsia="ja-JP"/>
        </w:rPr>
        <w:t>other</w:t>
      </w:r>
      <w:r w:rsidR="00AC497D" w:rsidRPr="001C76DC">
        <w:rPr>
          <w:rFonts w:eastAsia="MS Mincho"/>
          <w:szCs w:val="24"/>
          <w:lang w:eastAsia="ja-JP"/>
        </w:rPr>
        <w:t xml:space="preserve"> customer benefits </w:t>
      </w:r>
      <w:r w:rsidR="00ED47AA" w:rsidRPr="001C76DC">
        <w:rPr>
          <w:rFonts w:eastAsia="MS Mincho"/>
          <w:szCs w:val="24"/>
          <w:lang w:eastAsia="ja-JP"/>
        </w:rPr>
        <w:t>because</w:t>
      </w:r>
      <w:r w:rsidR="00AC497D" w:rsidRPr="001C76DC">
        <w:rPr>
          <w:rFonts w:eastAsia="MS Mincho"/>
          <w:szCs w:val="24"/>
          <w:lang w:eastAsia="ja-JP"/>
        </w:rPr>
        <w:t xml:space="preserve"> </w:t>
      </w:r>
      <w:r w:rsidR="003A7DDC" w:rsidRPr="001C76DC">
        <w:rPr>
          <w:rFonts w:eastAsia="MS Mincho"/>
          <w:szCs w:val="24"/>
          <w:lang w:eastAsia="ja-JP"/>
        </w:rPr>
        <w:t>PPAs</w:t>
      </w:r>
      <w:r w:rsidR="00ED47AA" w:rsidRPr="001C76DC">
        <w:rPr>
          <w:rFonts w:eastAsia="MS Mincho"/>
          <w:szCs w:val="24"/>
          <w:lang w:eastAsia="ja-JP"/>
        </w:rPr>
        <w:t xml:space="preserve"> are more cost effective and</w:t>
      </w:r>
      <w:r w:rsidR="00AC497D" w:rsidRPr="001C76DC">
        <w:rPr>
          <w:rFonts w:eastAsia="MS Mincho"/>
          <w:szCs w:val="24"/>
          <w:lang w:eastAsia="ja-JP"/>
        </w:rPr>
        <w:t xml:space="preserve"> </w:t>
      </w:r>
      <w:r w:rsidR="00C96E9A" w:rsidRPr="001C76DC">
        <w:rPr>
          <w:rFonts w:eastAsia="MS Mincho"/>
          <w:szCs w:val="24"/>
          <w:lang w:eastAsia="ja-JP"/>
        </w:rPr>
        <w:t xml:space="preserve">reduce risks associated with project failure, </w:t>
      </w:r>
      <w:r w:rsidR="000A2E13" w:rsidRPr="001C76DC">
        <w:rPr>
          <w:rFonts w:eastAsia="MS Mincho"/>
          <w:lang w:eastAsia="ja-JP"/>
        </w:rPr>
        <w:t>construction delays, cost over</w:t>
      </w:r>
      <w:r w:rsidR="00C96E9A" w:rsidRPr="001C76DC">
        <w:rPr>
          <w:rFonts w:eastAsia="MS Mincho"/>
          <w:lang w:eastAsia="ja-JP"/>
        </w:rPr>
        <w:t>runs</w:t>
      </w:r>
      <w:r w:rsidR="00D87C72" w:rsidRPr="001C76DC">
        <w:rPr>
          <w:rFonts w:eastAsia="MS Mincho"/>
          <w:lang w:eastAsia="ja-JP"/>
        </w:rPr>
        <w:t>,</w:t>
      </w:r>
      <w:r w:rsidR="00C96E9A" w:rsidRPr="001C76DC">
        <w:rPr>
          <w:rFonts w:eastAsia="MS Mincho"/>
          <w:lang w:eastAsia="ja-JP"/>
        </w:rPr>
        <w:t xml:space="preserve"> an</w:t>
      </w:r>
      <w:r w:rsidR="00D87C72" w:rsidRPr="001C76DC">
        <w:rPr>
          <w:rFonts w:eastAsia="MS Mincho"/>
          <w:lang w:eastAsia="ja-JP"/>
        </w:rPr>
        <w:t>d poor operating performance.</w:t>
      </w:r>
      <w:r w:rsidR="00C71446">
        <w:rPr>
          <w:rFonts w:eastAsia="MS Mincho"/>
          <w:lang w:eastAsia="ja-JP"/>
        </w:rPr>
        <w:t xml:space="preserve">  Competitive markets ensure that t</w:t>
      </w:r>
      <w:r w:rsidR="000A2E13" w:rsidRPr="001C76DC">
        <w:rPr>
          <w:rFonts w:eastAsia="MS Mincho"/>
          <w:lang w:eastAsia="ja-JP"/>
        </w:rPr>
        <w:t xml:space="preserve">he shareholders of </w:t>
      </w:r>
      <w:r w:rsidR="003A7DDC" w:rsidRPr="001C76DC">
        <w:rPr>
          <w:rFonts w:eastAsia="MS Mincho"/>
          <w:lang w:eastAsia="ja-JP"/>
        </w:rPr>
        <w:t xml:space="preserve">IPPs </w:t>
      </w:r>
      <w:r w:rsidR="000A2E13" w:rsidRPr="001C76DC">
        <w:rPr>
          <w:rFonts w:eastAsia="MS Mincho"/>
          <w:lang w:eastAsia="ja-JP"/>
        </w:rPr>
        <w:t>rather than the captive ratepayers shoulder the</w:t>
      </w:r>
      <w:r w:rsidR="00F30BE1" w:rsidRPr="001C76DC">
        <w:rPr>
          <w:rFonts w:eastAsia="MS Mincho"/>
          <w:lang w:eastAsia="ja-JP"/>
        </w:rPr>
        <w:t xml:space="preserve"> risks associated with development, operation</w:t>
      </w:r>
      <w:r w:rsidR="003A7DDC" w:rsidRPr="001C76DC">
        <w:rPr>
          <w:rFonts w:eastAsia="MS Mincho"/>
          <w:lang w:eastAsia="ja-JP"/>
        </w:rPr>
        <w:t>,</w:t>
      </w:r>
      <w:r w:rsidR="00F30BE1" w:rsidRPr="001C76DC">
        <w:rPr>
          <w:rFonts w:eastAsia="MS Mincho"/>
          <w:lang w:eastAsia="ja-JP"/>
        </w:rPr>
        <w:t xml:space="preserve"> and management of generation.</w:t>
      </w:r>
    </w:p>
    <w:p w14:paraId="7B08770E" w14:textId="35EFBB31" w:rsidR="00BC2D42" w:rsidRPr="001C76DC" w:rsidRDefault="00523449" w:rsidP="00523449">
      <w:pPr>
        <w:pStyle w:val="ListParagraph"/>
        <w:numPr>
          <w:ilvl w:val="1"/>
          <w:numId w:val="33"/>
        </w:numPr>
        <w:spacing w:line="480" w:lineRule="auto"/>
        <w:ind w:left="0" w:hanging="540"/>
        <w:rPr>
          <w:rFonts w:eastAsia="MS Mincho"/>
          <w:lang w:eastAsia="ja-JP"/>
        </w:rPr>
      </w:pPr>
      <w:r>
        <w:t xml:space="preserve">            </w:t>
      </w:r>
      <w:r w:rsidR="008539F7" w:rsidRPr="001C76DC">
        <w:rPr>
          <w:rFonts w:eastAsia="MS Mincho"/>
          <w:lang w:eastAsia="ja-JP"/>
        </w:rPr>
        <w:t>Electric service in W</w:t>
      </w:r>
      <w:r w:rsidR="00360CFC" w:rsidRPr="001C76DC">
        <w:rPr>
          <w:rFonts w:eastAsia="MS Mincho"/>
          <w:lang w:eastAsia="ja-JP"/>
        </w:rPr>
        <w:t>ashington</w:t>
      </w:r>
      <w:r w:rsidR="003C4F42" w:rsidRPr="001C76DC">
        <w:rPr>
          <w:rFonts w:eastAsia="MS Mincho"/>
          <w:lang w:eastAsia="ja-JP"/>
        </w:rPr>
        <w:t>, like most of the United States</w:t>
      </w:r>
      <w:r w:rsidR="008539F7" w:rsidRPr="001C76DC">
        <w:rPr>
          <w:rFonts w:eastAsia="MS Mincho"/>
          <w:lang w:eastAsia="ja-JP"/>
        </w:rPr>
        <w:t xml:space="preserve">, </w:t>
      </w:r>
      <w:r w:rsidR="00360CFC" w:rsidRPr="001C76DC">
        <w:rPr>
          <w:rFonts w:eastAsia="MS Mincho"/>
          <w:lang w:eastAsia="ja-JP"/>
        </w:rPr>
        <w:t xml:space="preserve">has </w:t>
      </w:r>
      <w:r w:rsidR="003A7DDC" w:rsidRPr="001C76DC">
        <w:rPr>
          <w:rFonts w:eastAsia="MS Mincho"/>
          <w:lang w:eastAsia="ja-JP"/>
        </w:rPr>
        <w:t xml:space="preserve">historically </w:t>
      </w:r>
      <w:r w:rsidR="008539F7" w:rsidRPr="001C76DC">
        <w:rPr>
          <w:rFonts w:eastAsia="MS Mincho"/>
          <w:lang w:eastAsia="ja-JP"/>
        </w:rPr>
        <w:t>been provided by vertically integrated utilities.  Electric utility monopolies in Washington, however, are</w:t>
      </w:r>
      <w:r w:rsidR="00973BBF" w:rsidRPr="001C76DC">
        <w:rPr>
          <w:rFonts w:eastAsia="MS Mincho"/>
          <w:lang w:eastAsia="ja-JP"/>
        </w:rPr>
        <w:t xml:space="preserve"> </w:t>
      </w:r>
      <w:r w:rsidR="00973BBF" w:rsidRPr="001C76DC">
        <w:rPr>
          <w:rFonts w:eastAsia="MS Mincho"/>
          <w:i/>
          <w:lang w:eastAsia="ja-JP"/>
        </w:rPr>
        <w:t>de facto</w:t>
      </w:r>
      <w:r w:rsidR="00973BBF" w:rsidRPr="001C76DC">
        <w:rPr>
          <w:rFonts w:eastAsia="MS Mincho"/>
          <w:lang w:eastAsia="ja-JP"/>
        </w:rPr>
        <w:t xml:space="preserve"> rather than </w:t>
      </w:r>
      <w:r w:rsidR="00973BBF" w:rsidRPr="001C76DC">
        <w:rPr>
          <w:rFonts w:eastAsia="MS Mincho"/>
          <w:i/>
          <w:lang w:eastAsia="ja-JP"/>
        </w:rPr>
        <w:t>de jure</w:t>
      </w:r>
      <w:r w:rsidR="00973BBF" w:rsidRPr="001C76DC">
        <w:rPr>
          <w:rFonts w:eastAsia="MS Mincho"/>
          <w:lang w:eastAsia="ja-JP"/>
        </w:rPr>
        <w:t xml:space="preserve">. </w:t>
      </w:r>
      <w:r w:rsidR="008539F7" w:rsidRPr="001C76DC">
        <w:rPr>
          <w:rFonts w:eastAsia="MS Mincho"/>
          <w:lang w:eastAsia="ja-JP"/>
        </w:rPr>
        <w:t xml:space="preserve"> While the Washington constitution bars monopolies and the granting of privileges to any citizen that are not granted equally to all citizens,</w:t>
      </w:r>
      <w:r w:rsidR="008539F7" w:rsidRPr="008539F7">
        <w:rPr>
          <w:rFonts w:eastAsia="MS Mincho"/>
          <w:vertAlign w:val="superscript"/>
          <w:lang w:eastAsia="ja-JP"/>
        </w:rPr>
        <w:footnoteReference w:id="9"/>
      </w:r>
      <w:r w:rsidR="008539F7" w:rsidRPr="001C76DC">
        <w:rPr>
          <w:rFonts w:eastAsia="MS Mincho"/>
          <w:lang w:eastAsia="ja-JP"/>
        </w:rPr>
        <w:t xml:space="preserve"> the courts have allowed monopolies as well as the creation of new monopolies.</w:t>
      </w:r>
      <w:r w:rsidR="008539F7" w:rsidRPr="008539F7">
        <w:rPr>
          <w:rFonts w:eastAsia="MS Mincho"/>
          <w:vertAlign w:val="superscript"/>
          <w:lang w:eastAsia="ja-JP"/>
        </w:rPr>
        <w:footnoteReference w:id="10"/>
      </w:r>
      <w:r w:rsidR="008539F7" w:rsidRPr="001C76DC">
        <w:rPr>
          <w:rFonts w:eastAsia="MS Mincho"/>
          <w:lang w:eastAsia="ja-JP"/>
        </w:rPr>
        <w:t xml:space="preserve">  </w:t>
      </w:r>
      <w:r w:rsidR="008A21A4" w:rsidRPr="001C76DC">
        <w:rPr>
          <w:rFonts w:eastAsia="MS Mincho"/>
          <w:lang w:eastAsia="ja-JP"/>
        </w:rPr>
        <w:t xml:space="preserve">While most Washington utilities operate with bi-lateral </w:t>
      </w:r>
      <w:r w:rsidR="008A21A4" w:rsidRPr="001C76DC">
        <w:rPr>
          <w:rFonts w:eastAsia="MS Mincho"/>
          <w:lang w:eastAsia="ja-JP"/>
        </w:rPr>
        <w:lastRenderedPageBreak/>
        <w:t xml:space="preserve">exclusive service territory agreements, Washington law does not explicitly favor service territories.  Instead, </w:t>
      </w:r>
      <w:r w:rsidR="00747B75" w:rsidRPr="001C76DC">
        <w:rPr>
          <w:rFonts w:eastAsia="MS Mincho"/>
          <w:lang w:eastAsia="ja-JP"/>
        </w:rPr>
        <w:t>Washington</w:t>
      </w:r>
      <w:r w:rsidR="008539F7" w:rsidRPr="001C76DC">
        <w:rPr>
          <w:rFonts w:eastAsia="MS Mincho"/>
          <w:lang w:eastAsia="ja-JP"/>
        </w:rPr>
        <w:t xml:space="preserve"> discourages duplication of electric distribution and transmission facilities</w:t>
      </w:r>
      <w:r w:rsidR="00360CFC" w:rsidRPr="001C76DC">
        <w:rPr>
          <w:rFonts w:eastAsia="MS Mincho"/>
          <w:lang w:eastAsia="ja-JP"/>
        </w:rPr>
        <w:t>, and</w:t>
      </w:r>
      <w:r w:rsidR="008539F7" w:rsidRPr="001C76DC">
        <w:rPr>
          <w:rFonts w:eastAsia="MS Mincho"/>
          <w:lang w:eastAsia="ja-JP"/>
        </w:rPr>
        <w:t xml:space="preserve"> allows for the creation of exclusive service territories by public utilities and cooperatives entering “into agreements for the purpose of avoiding or eliminating such duplication.”</w:t>
      </w:r>
      <w:r w:rsidR="008539F7" w:rsidRPr="008539F7">
        <w:rPr>
          <w:rFonts w:eastAsia="MS Mincho"/>
          <w:vertAlign w:val="superscript"/>
          <w:lang w:eastAsia="ja-JP"/>
        </w:rPr>
        <w:footnoteReference w:id="11"/>
      </w:r>
      <w:r w:rsidR="00747B75" w:rsidRPr="001C76DC">
        <w:rPr>
          <w:rFonts w:eastAsia="MS Mincho"/>
          <w:lang w:eastAsia="ja-JP"/>
        </w:rPr>
        <w:t xml:space="preserve">  </w:t>
      </w:r>
      <w:r w:rsidR="00CD1EF1" w:rsidRPr="001C76DC">
        <w:rPr>
          <w:rFonts w:eastAsia="MS Mincho"/>
          <w:lang w:eastAsia="ja-JP"/>
        </w:rPr>
        <w:t>Historically, c</w:t>
      </w:r>
      <w:r w:rsidR="00E80F79" w:rsidRPr="001C76DC">
        <w:rPr>
          <w:rFonts w:eastAsia="MS Mincho"/>
          <w:lang w:eastAsia="ja-JP"/>
        </w:rPr>
        <w:t xml:space="preserve">ompetition </w:t>
      </w:r>
      <w:r w:rsidR="00CD1EF1" w:rsidRPr="001C76DC">
        <w:rPr>
          <w:rFonts w:eastAsia="MS Mincho"/>
          <w:lang w:eastAsia="ja-JP"/>
        </w:rPr>
        <w:t>has</w:t>
      </w:r>
      <w:r w:rsidR="00827BFB" w:rsidRPr="001C76DC">
        <w:rPr>
          <w:rFonts w:eastAsia="MS Mincho"/>
          <w:lang w:eastAsia="ja-JP"/>
        </w:rPr>
        <w:t xml:space="preserve"> benefited customers</w:t>
      </w:r>
      <w:r w:rsidR="00E80F79" w:rsidRPr="001C76DC">
        <w:rPr>
          <w:rFonts w:eastAsia="MS Mincho"/>
          <w:lang w:eastAsia="ja-JP"/>
        </w:rPr>
        <w:t xml:space="preserve">, but was generally </w:t>
      </w:r>
      <w:r w:rsidR="002333C0" w:rsidRPr="001C76DC">
        <w:rPr>
          <w:rFonts w:eastAsia="MS Mincho"/>
          <w:lang w:eastAsia="ja-JP"/>
        </w:rPr>
        <w:t xml:space="preserve">limited to competition </w:t>
      </w:r>
      <w:r w:rsidR="00E80F79" w:rsidRPr="001C76DC">
        <w:rPr>
          <w:rFonts w:eastAsia="MS Mincho"/>
          <w:lang w:eastAsia="ja-JP"/>
        </w:rPr>
        <w:t>betwe</w:t>
      </w:r>
      <w:r w:rsidR="0003706E" w:rsidRPr="001C76DC">
        <w:rPr>
          <w:rFonts w:eastAsia="MS Mincho"/>
          <w:lang w:eastAsia="ja-JP"/>
        </w:rPr>
        <w:t>en public and private utilities</w:t>
      </w:r>
      <w:r w:rsidR="0003706E" w:rsidRPr="001C76DC">
        <w:rPr>
          <w:rFonts w:eastAsia="MS Mincho"/>
          <w:szCs w:val="24"/>
          <w:lang w:eastAsia="ja-JP"/>
        </w:rPr>
        <w:t xml:space="preserve">, </w:t>
      </w:r>
      <w:r w:rsidR="00023766" w:rsidRPr="001C76DC">
        <w:rPr>
          <w:rFonts w:eastAsia="MS Mincho"/>
          <w:szCs w:val="24"/>
          <w:lang w:eastAsia="ja-JP"/>
        </w:rPr>
        <w:t>with the publicly owned utilities often using (or attempting to use) legal tools, including municipalization, the formation of people’s utility districts, and condemnation.</w:t>
      </w:r>
      <w:r w:rsidR="00023766" w:rsidRPr="00023766">
        <w:rPr>
          <w:rFonts w:eastAsia="MS Mincho"/>
          <w:szCs w:val="24"/>
          <w:vertAlign w:val="superscript"/>
          <w:lang w:eastAsia="ja-JP"/>
        </w:rPr>
        <w:footnoteReference w:id="12"/>
      </w:r>
      <w:r w:rsidR="00023766" w:rsidRPr="001C76DC">
        <w:rPr>
          <w:rFonts w:eastAsia="MS Mincho"/>
          <w:szCs w:val="24"/>
          <w:lang w:eastAsia="ja-JP"/>
        </w:rPr>
        <w:t xml:space="preserve">  This competition between utilities has been referred to as “yardstick competition” by which consumers can compare the rates and service offered by public and private utilities, and select their electric utility through elections.</w:t>
      </w:r>
      <w:r w:rsidR="00023766" w:rsidRPr="00023766">
        <w:rPr>
          <w:rFonts w:eastAsia="MS Mincho"/>
          <w:szCs w:val="24"/>
          <w:vertAlign w:val="superscript"/>
          <w:lang w:eastAsia="ja-JP"/>
        </w:rPr>
        <w:footnoteReference w:id="13"/>
      </w:r>
    </w:p>
    <w:p w14:paraId="0ECC4588" w14:textId="435E0E73" w:rsidR="0068029E" w:rsidRPr="001C76DC" w:rsidRDefault="00523449" w:rsidP="00523449">
      <w:pPr>
        <w:pStyle w:val="ListParagraph"/>
        <w:numPr>
          <w:ilvl w:val="1"/>
          <w:numId w:val="33"/>
        </w:numPr>
        <w:spacing w:line="480" w:lineRule="auto"/>
        <w:ind w:left="0" w:hanging="540"/>
        <w:rPr>
          <w:rFonts w:eastAsia="MS Mincho"/>
          <w:szCs w:val="24"/>
          <w:lang w:eastAsia="ja-JP"/>
        </w:rPr>
      </w:pPr>
      <w:r>
        <w:t xml:space="preserve">            </w:t>
      </w:r>
      <w:r w:rsidR="00BC2D42" w:rsidRPr="001C76DC">
        <w:rPr>
          <w:rFonts w:eastAsia="MS Mincho"/>
          <w:szCs w:val="24"/>
          <w:lang w:eastAsia="ja-JP"/>
        </w:rPr>
        <w:t xml:space="preserve">The creation of wholesale competition in Washington and the nation has its start with Congress’ enactment of PURPA in 1978 to promote greater use of renewable energy and to force monopoly utilities to purchase power from </w:t>
      </w:r>
      <w:r w:rsidR="002333C0" w:rsidRPr="001C76DC">
        <w:rPr>
          <w:rFonts w:eastAsia="MS Mincho"/>
          <w:szCs w:val="24"/>
          <w:lang w:eastAsia="ja-JP"/>
        </w:rPr>
        <w:t xml:space="preserve">innovative </w:t>
      </w:r>
      <w:r w:rsidR="00BC2D42" w:rsidRPr="001C76DC">
        <w:rPr>
          <w:rFonts w:eastAsia="MS Mincho"/>
          <w:szCs w:val="24"/>
          <w:lang w:eastAsia="ja-JP"/>
        </w:rPr>
        <w:t>small and independent power producers.</w:t>
      </w:r>
      <w:r w:rsidR="0003706E">
        <w:rPr>
          <w:rStyle w:val="FootnoteReference"/>
          <w:rFonts w:eastAsia="MS Mincho"/>
          <w:szCs w:val="24"/>
          <w:lang w:eastAsia="ja-JP"/>
        </w:rPr>
        <w:footnoteReference w:id="14"/>
      </w:r>
      <w:r w:rsidR="00BC2D42" w:rsidRPr="001C76DC">
        <w:rPr>
          <w:rFonts w:eastAsia="MS Mincho"/>
          <w:szCs w:val="24"/>
          <w:lang w:eastAsia="ja-JP"/>
        </w:rPr>
        <w:t xml:space="preserve"> </w:t>
      </w:r>
      <w:r w:rsidR="00EA113F" w:rsidRPr="001C76DC">
        <w:rPr>
          <w:rFonts w:eastAsia="MS Mincho"/>
          <w:szCs w:val="24"/>
          <w:lang w:eastAsia="ja-JP"/>
        </w:rPr>
        <w:t xml:space="preserve"> </w:t>
      </w:r>
      <w:r w:rsidR="00BC2D42" w:rsidRPr="001C76DC">
        <w:rPr>
          <w:rFonts w:eastAsia="MS Mincho"/>
          <w:szCs w:val="24"/>
          <w:lang w:eastAsia="ja-JP"/>
        </w:rPr>
        <w:t>The law’s purpose was to diversify the supply of electric power by developing cost-effective non-utility resources.</w:t>
      </w:r>
      <w:r w:rsidR="0003706E">
        <w:rPr>
          <w:rStyle w:val="FootnoteReference"/>
          <w:rFonts w:eastAsia="MS Mincho"/>
          <w:szCs w:val="24"/>
          <w:lang w:eastAsia="ja-JP"/>
        </w:rPr>
        <w:footnoteReference w:id="15"/>
      </w:r>
      <w:r w:rsidR="00BC2D42" w:rsidRPr="001C76DC">
        <w:rPr>
          <w:rFonts w:eastAsia="MS Mincho"/>
          <w:szCs w:val="24"/>
          <w:lang w:eastAsia="ja-JP"/>
        </w:rPr>
        <w:t xml:space="preserve"> </w:t>
      </w:r>
      <w:r w:rsidR="00121817" w:rsidRPr="001C76DC">
        <w:rPr>
          <w:rFonts w:eastAsia="MS Mincho"/>
          <w:szCs w:val="24"/>
          <w:lang w:eastAsia="ja-JP"/>
        </w:rPr>
        <w:t xml:space="preserve"> </w:t>
      </w:r>
      <w:r w:rsidR="00F30908" w:rsidRPr="001C76DC">
        <w:rPr>
          <w:rFonts w:eastAsia="MS Mincho"/>
          <w:szCs w:val="24"/>
          <w:lang w:eastAsia="ja-JP"/>
        </w:rPr>
        <w:t xml:space="preserve">Further Congressional statutes, </w:t>
      </w:r>
      <w:r w:rsidR="00F30908" w:rsidRPr="001C76DC">
        <w:rPr>
          <w:rFonts w:eastAsia="MS Mincho"/>
          <w:szCs w:val="24"/>
          <w:lang w:eastAsia="ja-JP"/>
        </w:rPr>
        <w:lastRenderedPageBreak/>
        <w:t>including the</w:t>
      </w:r>
      <w:r w:rsidR="008E28E1" w:rsidRPr="001C76DC">
        <w:rPr>
          <w:rFonts w:eastAsia="MS Mincho"/>
          <w:szCs w:val="24"/>
          <w:lang w:eastAsia="ja-JP"/>
        </w:rPr>
        <w:t xml:space="preserve"> 1992</w:t>
      </w:r>
      <w:r w:rsidR="00E90AAB" w:rsidRPr="001C76DC">
        <w:rPr>
          <w:rFonts w:eastAsia="MS Mincho"/>
          <w:szCs w:val="24"/>
          <w:lang w:eastAsia="ja-JP"/>
        </w:rPr>
        <w:t xml:space="preserve"> Energy Policy Act</w:t>
      </w:r>
      <w:r w:rsidR="00F30908" w:rsidRPr="001C76DC">
        <w:rPr>
          <w:rFonts w:eastAsia="MS Mincho"/>
          <w:szCs w:val="24"/>
          <w:lang w:eastAsia="ja-JP"/>
        </w:rPr>
        <w:t xml:space="preserve"> that created</w:t>
      </w:r>
      <w:r w:rsidR="00E90AAB" w:rsidRPr="001C76DC">
        <w:rPr>
          <w:rFonts w:eastAsia="MS Mincho"/>
          <w:szCs w:val="24"/>
          <w:lang w:eastAsia="ja-JP"/>
        </w:rPr>
        <w:t xml:space="preserve"> Exempt Wholesale Generators,</w:t>
      </w:r>
      <w:r w:rsidR="008E28E1" w:rsidRPr="001C76DC">
        <w:rPr>
          <w:rFonts w:eastAsia="MS Mincho"/>
          <w:szCs w:val="24"/>
          <w:lang w:eastAsia="ja-JP"/>
        </w:rPr>
        <w:t xml:space="preserve"> as well as the </w:t>
      </w:r>
      <w:r w:rsidR="002734D7" w:rsidRPr="001C76DC">
        <w:rPr>
          <w:rFonts w:eastAsia="MS Mincho"/>
          <w:szCs w:val="24"/>
          <w:lang w:eastAsia="ja-JP"/>
        </w:rPr>
        <w:t xml:space="preserve">Federal </w:t>
      </w:r>
      <w:r w:rsidR="00F30908" w:rsidRPr="001C76DC">
        <w:rPr>
          <w:rFonts w:eastAsia="MS Mincho"/>
          <w:szCs w:val="24"/>
          <w:lang w:eastAsia="ja-JP"/>
        </w:rPr>
        <w:t xml:space="preserve">Regulatory Energy Commission (“FERC”) policies and rules </w:t>
      </w:r>
      <w:r w:rsidR="002333C0" w:rsidRPr="001C76DC">
        <w:rPr>
          <w:rFonts w:eastAsia="MS Mincho"/>
          <w:szCs w:val="24"/>
          <w:lang w:eastAsia="ja-JP"/>
        </w:rPr>
        <w:t xml:space="preserve">implementing </w:t>
      </w:r>
      <w:r w:rsidR="0068029E" w:rsidRPr="001C76DC">
        <w:rPr>
          <w:rFonts w:eastAsia="MS Mincho"/>
          <w:szCs w:val="24"/>
          <w:lang w:eastAsia="ja-JP"/>
        </w:rPr>
        <w:t>non</w:t>
      </w:r>
      <w:r w:rsidR="002333C0" w:rsidRPr="001C76DC">
        <w:rPr>
          <w:rFonts w:eastAsia="MS Mincho"/>
          <w:szCs w:val="24"/>
          <w:lang w:eastAsia="ja-JP"/>
        </w:rPr>
        <w:t>-</w:t>
      </w:r>
      <w:r w:rsidR="0068029E" w:rsidRPr="001C76DC">
        <w:rPr>
          <w:rFonts w:eastAsia="MS Mincho"/>
          <w:szCs w:val="24"/>
          <w:lang w:eastAsia="ja-JP"/>
        </w:rPr>
        <w:t>discriminatory transmission access, market</w:t>
      </w:r>
      <w:r w:rsidR="000669B8" w:rsidRPr="001C76DC">
        <w:rPr>
          <w:rFonts w:eastAsia="MS Mincho"/>
          <w:szCs w:val="24"/>
          <w:lang w:eastAsia="ja-JP"/>
        </w:rPr>
        <w:t>-</w:t>
      </w:r>
      <w:r w:rsidR="0068029E" w:rsidRPr="001C76DC">
        <w:rPr>
          <w:rFonts w:eastAsia="MS Mincho"/>
          <w:szCs w:val="24"/>
          <w:lang w:eastAsia="ja-JP"/>
        </w:rPr>
        <w:t xml:space="preserve">based rates, and the promotion of </w:t>
      </w:r>
      <w:r w:rsidR="00E90AAB" w:rsidRPr="001C76DC">
        <w:rPr>
          <w:rFonts w:eastAsia="MS Mincho"/>
          <w:szCs w:val="24"/>
          <w:lang w:eastAsia="ja-JP"/>
        </w:rPr>
        <w:t>competitive wholesale power</w:t>
      </w:r>
      <w:r w:rsidR="0068029E" w:rsidRPr="001C76DC">
        <w:rPr>
          <w:rFonts w:eastAsia="MS Mincho"/>
          <w:szCs w:val="24"/>
          <w:lang w:eastAsia="ja-JP"/>
        </w:rPr>
        <w:t xml:space="preserve"> have led to</w:t>
      </w:r>
      <w:r w:rsidR="00E90AAB" w:rsidRPr="001C76DC">
        <w:rPr>
          <w:rFonts w:eastAsia="MS Mincho"/>
          <w:szCs w:val="24"/>
          <w:lang w:eastAsia="ja-JP"/>
        </w:rPr>
        <w:t xml:space="preserve"> nearly half the generation in the</w:t>
      </w:r>
      <w:r w:rsidR="0068029E" w:rsidRPr="001C76DC">
        <w:rPr>
          <w:rFonts w:eastAsia="MS Mincho"/>
          <w:szCs w:val="24"/>
          <w:lang w:eastAsia="ja-JP"/>
        </w:rPr>
        <w:t xml:space="preserve"> United States being </w:t>
      </w:r>
      <w:r w:rsidR="00E90AAB" w:rsidRPr="001C76DC">
        <w:rPr>
          <w:rFonts w:eastAsia="MS Mincho"/>
          <w:szCs w:val="24"/>
          <w:lang w:eastAsia="ja-JP"/>
        </w:rPr>
        <w:t>owned by non-utilit</w:t>
      </w:r>
      <w:r w:rsidR="002333C0" w:rsidRPr="001C76DC">
        <w:rPr>
          <w:rFonts w:eastAsia="MS Mincho"/>
          <w:szCs w:val="24"/>
          <w:lang w:eastAsia="ja-JP"/>
        </w:rPr>
        <w:t>y independent producers.</w:t>
      </w:r>
      <w:r w:rsidR="0068029E">
        <w:rPr>
          <w:rStyle w:val="FootnoteReference"/>
          <w:rFonts w:eastAsia="MS Mincho"/>
          <w:szCs w:val="24"/>
          <w:lang w:eastAsia="ja-JP"/>
        </w:rPr>
        <w:footnoteReference w:id="16"/>
      </w:r>
    </w:p>
    <w:p w14:paraId="4D94262E" w14:textId="0A5D35E3" w:rsidR="000719FA" w:rsidRPr="001C76DC" w:rsidRDefault="00523449" w:rsidP="00523449">
      <w:pPr>
        <w:pStyle w:val="ListParagraph"/>
        <w:numPr>
          <w:ilvl w:val="1"/>
          <w:numId w:val="33"/>
        </w:numPr>
        <w:spacing w:line="480" w:lineRule="auto"/>
        <w:ind w:left="0" w:hanging="540"/>
        <w:rPr>
          <w:rFonts w:eastAsia="MS Mincho"/>
          <w:lang w:eastAsia="ja-JP"/>
        </w:rPr>
      </w:pPr>
      <w:r>
        <w:t xml:space="preserve">            </w:t>
      </w:r>
      <w:r w:rsidR="0073659E" w:rsidRPr="001C76DC">
        <w:rPr>
          <w:rFonts w:eastAsia="MS Mincho"/>
          <w:szCs w:val="24"/>
          <w:lang w:eastAsia="ja-JP"/>
        </w:rPr>
        <w:t>Robust regional generation surpluses and who</w:t>
      </w:r>
      <w:r w:rsidR="00FD21A2" w:rsidRPr="001C76DC">
        <w:rPr>
          <w:rFonts w:eastAsia="MS Mincho"/>
          <w:szCs w:val="24"/>
          <w:lang w:eastAsia="ja-JP"/>
        </w:rPr>
        <w:t>lesale competition has helped keep Washington retail electric rates low</w:t>
      </w:r>
      <w:r w:rsidR="00BE4F56" w:rsidRPr="001C76DC">
        <w:rPr>
          <w:rFonts w:eastAsia="MS Mincho"/>
          <w:szCs w:val="24"/>
          <w:lang w:eastAsia="ja-JP"/>
        </w:rPr>
        <w:t xml:space="preserve">. </w:t>
      </w:r>
      <w:r w:rsidR="00762961" w:rsidRPr="001C76DC">
        <w:rPr>
          <w:rFonts w:eastAsia="MS Mincho"/>
          <w:szCs w:val="24"/>
          <w:lang w:eastAsia="ja-JP"/>
        </w:rPr>
        <w:t xml:space="preserve"> </w:t>
      </w:r>
      <w:r w:rsidR="00BE4F56" w:rsidRPr="001C76DC">
        <w:rPr>
          <w:rFonts w:eastAsia="MS Mincho"/>
          <w:szCs w:val="24"/>
          <w:lang w:eastAsia="ja-JP"/>
        </w:rPr>
        <w:t>E</w:t>
      </w:r>
      <w:r w:rsidR="000719FA" w:rsidRPr="001C76DC">
        <w:rPr>
          <w:rFonts w:eastAsia="MS Mincho"/>
          <w:szCs w:val="24"/>
          <w:lang w:eastAsia="ja-JP"/>
        </w:rPr>
        <w:t>nd use consumer rates would be highe</w:t>
      </w:r>
      <w:r w:rsidR="00BE4F56" w:rsidRPr="001C76DC">
        <w:rPr>
          <w:rFonts w:eastAsia="MS Mincho"/>
          <w:szCs w:val="24"/>
          <w:lang w:eastAsia="ja-JP"/>
        </w:rPr>
        <w:t>r</w:t>
      </w:r>
      <w:r w:rsidR="000719FA" w:rsidRPr="001C76DC">
        <w:rPr>
          <w:rFonts w:eastAsia="MS Mincho"/>
          <w:szCs w:val="24"/>
          <w:lang w:eastAsia="ja-JP"/>
        </w:rPr>
        <w:t xml:space="preserve"> without this robust market</w:t>
      </w:r>
      <w:r w:rsidR="00FD21A2" w:rsidRPr="001C76DC">
        <w:rPr>
          <w:rFonts w:eastAsia="MS Mincho"/>
          <w:szCs w:val="24"/>
          <w:lang w:eastAsia="ja-JP"/>
        </w:rPr>
        <w:t>.</w:t>
      </w:r>
      <w:r w:rsidR="009F317F">
        <w:rPr>
          <w:rStyle w:val="FootnoteReference"/>
          <w:rFonts w:eastAsia="MS Mincho"/>
          <w:szCs w:val="24"/>
          <w:lang w:eastAsia="ja-JP"/>
        </w:rPr>
        <w:footnoteReference w:id="17"/>
      </w:r>
      <w:r w:rsidR="002152CF" w:rsidRPr="001C76DC">
        <w:rPr>
          <w:rFonts w:eastAsia="MS Mincho"/>
          <w:szCs w:val="24"/>
          <w:lang w:eastAsia="ja-JP"/>
        </w:rPr>
        <w:t xml:space="preserve">  </w:t>
      </w:r>
      <w:r w:rsidR="00F70F20" w:rsidRPr="001C76DC">
        <w:rPr>
          <w:rFonts w:eastAsia="MS Mincho"/>
          <w:szCs w:val="24"/>
          <w:lang w:eastAsia="ja-JP"/>
        </w:rPr>
        <w:t>As explained by PSE, “</w:t>
      </w:r>
      <w:r w:rsidR="00762961" w:rsidRPr="001C76DC">
        <w:rPr>
          <w:rFonts w:eastAsia="MS Mincho"/>
          <w:lang w:eastAsia="ja-JP"/>
        </w:rPr>
        <w:t>[f]</w:t>
      </w:r>
      <w:r w:rsidR="00F70F20" w:rsidRPr="001C76DC">
        <w:rPr>
          <w:rFonts w:eastAsia="MS Mincho"/>
          <w:lang w:eastAsia="ja-JP"/>
        </w:rPr>
        <w:t>or a decade, these surpluses have enabled many utilities, including PSE, to use wholesale market purchases to meet load obligations with a high degree of confidence in the reliability of both physical supply and reasonable prices.</w:t>
      </w:r>
      <w:r w:rsidR="00F70F20" w:rsidRPr="001C76DC">
        <w:rPr>
          <w:rFonts w:eastAsia="MS Mincho"/>
          <w:szCs w:val="24"/>
          <w:lang w:eastAsia="ja-JP"/>
        </w:rPr>
        <w:t>”</w:t>
      </w:r>
      <w:r w:rsidR="00F70F20" w:rsidRPr="00F70F20">
        <w:rPr>
          <w:rFonts w:eastAsia="MS Mincho"/>
          <w:vertAlign w:val="superscript"/>
          <w:lang w:eastAsia="ja-JP"/>
        </w:rPr>
        <w:footnoteReference w:id="18"/>
      </w:r>
      <w:r w:rsidR="00F70F20" w:rsidRPr="001C76DC">
        <w:rPr>
          <w:rFonts w:eastAsia="MS Mincho"/>
          <w:szCs w:val="24"/>
          <w:lang w:eastAsia="ja-JP"/>
        </w:rPr>
        <w:t xml:space="preserve"> </w:t>
      </w:r>
      <w:r w:rsidR="00CA1367" w:rsidRPr="001C76DC">
        <w:rPr>
          <w:rFonts w:eastAsia="MS Mincho"/>
          <w:szCs w:val="24"/>
          <w:lang w:eastAsia="ja-JP"/>
        </w:rPr>
        <w:t xml:space="preserve"> </w:t>
      </w:r>
      <w:r w:rsidR="005D1430" w:rsidRPr="001C76DC">
        <w:rPr>
          <w:rFonts w:eastAsia="MS Mincho"/>
          <w:szCs w:val="24"/>
          <w:lang w:eastAsia="ja-JP"/>
        </w:rPr>
        <w:t>PSE explains that th</w:t>
      </w:r>
      <w:r w:rsidR="004906F8" w:rsidRPr="001C76DC">
        <w:rPr>
          <w:rFonts w:eastAsia="MS Mincho"/>
          <w:szCs w:val="24"/>
          <w:lang w:eastAsia="ja-JP"/>
        </w:rPr>
        <w:t xml:space="preserve">e energy surplus </w:t>
      </w:r>
      <w:r w:rsidR="005D1430" w:rsidRPr="001C76DC">
        <w:rPr>
          <w:rFonts w:eastAsia="MS Mincho"/>
          <w:szCs w:val="24"/>
          <w:lang w:eastAsia="ja-JP"/>
        </w:rPr>
        <w:t>“</w:t>
      </w:r>
      <w:r w:rsidR="005D1430" w:rsidRPr="001C76DC">
        <w:rPr>
          <w:rFonts w:eastAsia="MS Mincho"/>
          <w:iCs/>
          <w:szCs w:val="24"/>
          <w:lang w:eastAsia="ja-JP"/>
        </w:rPr>
        <w:t>has made it less expensive for utilities like Puget Sound Energy to meet its load needs by purchasing energy and capacity in the wholesale market rather than building new generating plants.</w:t>
      </w:r>
      <w:r w:rsidR="005D1430" w:rsidRPr="001C76DC">
        <w:rPr>
          <w:rFonts w:eastAsia="MS Mincho"/>
          <w:szCs w:val="24"/>
          <w:lang w:eastAsia="ja-JP"/>
        </w:rPr>
        <w:t>”</w:t>
      </w:r>
      <w:r w:rsidR="004906F8">
        <w:rPr>
          <w:rStyle w:val="FootnoteReference"/>
          <w:rFonts w:eastAsia="MS Mincho"/>
          <w:szCs w:val="24"/>
          <w:lang w:eastAsia="ja-JP"/>
        </w:rPr>
        <w:footnoteReference w:id="19"/>
      </w:r>
      <w:r w:rsidR="004906F8" w:rsidRPr="001C76DC">
        <w:rPr>
          <w:rFonts w:eastAsia="MS Mincho"/>
          <w:szCs w:val="24"/>
          <w:lang w:eastAsia="ja-JP"/>
        </w:rPr>
        <w:t xml:space="preserve"> </w:t>
      </w:r>
      <w:r w:rsidR="005D1430" w:rsidRPr="001C76DC">
        <w:rPr>
          <w:rFonts w:eastAsia="MS Mincho"/>
          <w:szCs w:val="24"/>
          <w:lang w:eastAsia="ja-JP"/>
        </w:rPr>
        <w:t xml:space="preserve"> </w:t>
      </w:r>
      <w:r w:rsidR="000A0419" w:rsidRPr="001C76DC">
        <w:rPr>
          <w:rFonts w:eastAsia="MS Mincho"/>
          <w:szCs w:val="24"/>
          <w:lang w:eastAsia="ja-JP"/>
        </w:rPr>
        <w:t xml:space="preserve">Essentially, </w:t>
      </w:r>
      <w:r w:rsidR="002152CF" w:rsidRPr="001C76DC">
        <w:rPr>
          <w:rFonts w:eastAsia="MS Mincho"/>
          <w:szCs w:val="24"/>
          <w:lang w:eastAsia="ja-JP"/>
        </w:rPr>
        <w:t>Washington utilities have</w:t>
      </w:r>
      <w:r w:rsidR="00B43FA2" w:rsidRPr="001C76DC">
        <w:rPr>
          <w:rFonts w:eastAsia="MS Mincho"/>
          <w:szCs w:val="24"/>
          <w:lang w:eastAsia="ja-JP"/>
        </w:rPr>
        <w:t xml:space="preserve"> </w:t>
      </w:r>
      <w:r w:rsidR="002152CF" w:rsidRPr="001C76DC">
        <w:rPr>
          <w:rFonts w:eastAsia="MS Mincho"/>
          <w:szCs w:val="24"/>
          <w:lang w:eastAsia="ja-JP"/>
        </w:rPr>
        <w:t xml:space="preserve">met their </w:t>
      </w:r>
      <w:r w:rsidR="00270CDC" w:rsidRPr="001C76DC">
        <w:rPr>
          <w:rFonts w:eastAsia="MS Mincho"/>
          <w:szCs w:val="24"/>
          <w:lang w:eastAsia="ja-JP"/>
        </w:rPr>
        <w:t>short-term</w:t>
      </w:r>
      <w:r w:rsidR="002152CF" w:rsidRPr="001C76DC">
        <w:rPr>
          <w:rFonts w:eastAsia="MS Mincho"/>
          <w:szCs w:val="24"/>
          <w:lang w:eastAsia="ja-JP"/>
        </w:rPr>
        <w:t xml:space="preserve"> energy and capacity needs with </w:t>
      </w:r>
      <w:r w:rsidR="00B43FA2" w:rsidRPr="001C76DC">
        <w:rPr>
          <w:rFonts w:eastAsia="MS Mincho"/>
          <w:szCs w:val="24"/>
          <w:lang w:eastAsia="ja-JP"/>
        </w:rPr>
        <w:t xml:space="preserve">low cost </w:t>
      </w:r>
      <w:r w:rsidR="00C76410" w:rsidRPr="001C76DC">
        <w:rPr>
          <w:rFonts w:eastAsia="MS Mincho"/>
          <w:szCs w:val="24"/>
          <w:lang w:eastAsia="ja-JP"/>
        </w:rPr>
        <w:t>market purchases</w:t>
      </w:r>
      <w:r w:rsidR="00B43FA2" w:rsidRPr="001C76DC">
        <w:rPr>
          <w:rFonts w:eastAsia="MS Mincho"/>
          <w:szCs w:val="24"/>
          <w:lang w:eastAsia="ja-JP"/>
        </w:rPr>
        <w:t>,</w:t>
      </w:r>
      <w:r w:rsidR="00B43FA2">
        <w:rPr>
          <w:rStyle w:val="FootnoteReference"/>
          <w:rFonts w:eastAsia="MS Mincho"/>
          <w:szCs w:val="24"/>
          <w:lang w:eastAsia="ja-JP"/>
        </w:rPr>
        <w:footnoteReference w:id="20"/>
      </w:r>
      <w:r w:rsidR="00B43FA2" w:rsidRPr="001C76DC">
        <w:rPr>
          <w:rFonts w:eastAsia="MS Mincho"/>
          <w:szCs w:val="24"/>
          <w:lang w:eastAsia="ja-JP"/>
        </w:rPr>
        <w:t xml:space="preserve"> which would likely not exist and cost more without a competitive </w:t>
      </w:r>
      <w:r w:rsidR="002333C0" w:rsidRPr="001C76DC">
        <w:rPr>
          <w:rFonts w:eastAsia="MS Mincho"/>
          <w:szCs w:val="24"/>
          <w:lang w:eastAsia="ja-JP"/>
        </w:rPr>
        <w:t xml:space="preserve">power </w:t>
      </w:r>
      <w:r w:rsidR="00B43FA2" w:rsidRPr="001C76DC">
        <w:rPr>
          <w:rFonts w:eastAsia="MS Mincho"/>
          <w:szCs w:val="24"/>
          <w:lang w:eastAsia="ja-JP"/>
        </w:rPr>
        <w:t>market</w:t>
      </w:r>
      <w:r w:rsidR="002333C0" w:rsidRPr="001C76DC">
        <w:rPr>
          <w:rFonts w:eastAsia="MS Mincho"/>
          <w:szCs w:val="24"/>
          <w:lang w:eastAsia="ja-JP"/>
        </w:rPr>
        <w:t xml:space="preserve"> in the West</w:t>
      </w:r>
      <w:r w:rsidR="00B43FA2" w:rsidRPr="001C76DC">
        <w:rPr>
          <w:rFonts w:eastAsia="MS Mincho"/>
          <w:szCs w:val="24"/>
          <w:lang w:eastAsia="ja-JP"/>
        </w:rPr>
        <w:t>.</w:t>
      </w:r>
      <w:r w:rsidR="002152CF" w:rsidRPr="001C76DC">
        <w:rPr>
          <w:rFonts w:eastAsia="MS Mincho"/>
          <w:szCs w:val="24"/>
          <w:lang w:eastAsia="ja-JP"/>
        </w:rPr>
        <w:t xml:space="preserve"> </w:t>
      </w:r>
    </w:p>
    <w:p w14:paraId="4789A042" w14:textId="282229E0" w:rsidR="00E90AAB" w:rsidRPr="001C76DC" w:rsidRDefault="00523449" w:rsidP="00523449">
      <w:pPr>
        <w:pStyle w:val="ListParagraph"/>
        <w:numPr>
          <w:ilvl w:val="1"/>
          <w:numId w:val="33"/>
        </w:numPr>
        <w:spacing w:line="480" w:lineRule="auto"/>
        <w:ind w:left="0" w:hanging="540"/>
        <w:rPr>
          <w:rFonts w:eastAsia="MS Mincho"/>
          <w:szCs w:val="24"/>
          <w:lang w:eastAsia="ja-JP"/>
        </w:rPr>
      </w:pPr>
      <w:r>
        <w:lastRenderedPageBreak/>
        <w:t xml:space="preserve">            </w:t>
      </w:r>
      <w:r w:rsidR="0093705C" w:rsidRPr="001C76DC">
        <w:rPr>
          <w:rFonts w:eastAsia="MS Mincho"/>
          <w:szCs w:val="24"/>
          <w:lang w:eastAsia="ja-JP"/>
        </w:rPr>
        <w:t>An example of the lower costs produced by the market is PSE’s large industrial customer retail access program.</w:t>
      </w:r>
      <w:r w:rsidR="00E80106" w:rsidRPr="001C76DC">
        <w:rPr>
          <w:rFonts w:eastAsia="MS Mincho"/>
          <w:szCs w:val="24"/>
          <w:lang w:eastAsia="ja-JP"/>
        </w:rPr>
        <w:t xml:space="preserve">  PSE’s successful direct access program for lar</w:t>
      </w:r>
      <w:r w:rsidR="00A33251">
        <w:rPr>
          <w:rFonts w:eastAsia="MS Mincho"/>
          <w:szCs w:val="24"/>
          <w:lang w:eastAsia="ja-JP"/>
        </w:rPr>
        <w:t>ge industrial customers has operated</w:t>
      </w:r>
      <w:r w:rsidR="00E80106" w:rsidRPr="001C76DC">
        <w:rPr>
          <w:rFonts w:eastAsia="MS Mincho"/>
          <w:szCs w:val="24"/>
          <w:lang w:eastAsia="ja-JP"/>
        </w:rPr>
        <w:t xml:space="preserve"> </w:t>
      </w:r>
      <w:r w:rsidR="005336A1" w:rsidRPr="001C76DC">
        <w:rPr>
          <w:rFonts w:eastAsia="MS Mincho"/>
          <w:szCs w:val="24"/>
          <w:lang w:eastAsia="ja-JP"/>
        </w:rPr>
        <w:t>for about fifteen years</w:t>
      </w:r>
      <w:r w:rsidR="00BE5FCF" w:rsidRPr="001C76DC">
        <w:rPr>
          <w:rFonts w:eastAsia="MS Mincho"/>
          <w:szCs w:val="24"/>
          <w:lang w:eastAsia="ja-JP"/>
        </w:rPr>
        <w:t xml:space="preserve"> and the associated savings have </w:t>
      </w:r>
      <w:r w:rsidR="002333C0" w:rsidRPr="001C76DC">
        <w:rPr>
          <w:rFonts w:eastAsia="MS Mincho"/>
          <w:szCs w:val="24"/>
          <w:lang w:eastAsia="ja-JP"/>
        </w:rPr>
        <w:t xml:space="preserve">helped </w:t>
      </w:r>
      <w:r w:rsidR="00BE5FCF" w:rsidRPr="001C76DC">
        <w:rPr>
          <w:rFonts w:eastAsia="MS Mincho"/>
          <w:szCs w:val="24"/>
          <w:lang w:eastAsia="ja-JP"/>
        </w:rPr>
        <w:t>keep these businesses economically viable</w:t>
      </w:r>
      <w:r w:rsidR="00E80106" w:rsidRPr="001C76DC">
        <w:rPr>
          <w:rFonts w:eastAsia="MS Mincho"/>
          <w:szCs w:val="24"/>
          <w:lang w:eastAsia="ja-JP"/>
        </w:rPr>
        <w:t>.</w:t>
      </w:r>
      <w:r w:rsidR="003F0C6D" w:rsidRPr="001C76DC">
        <w:rPr>
          <w:rFonts w:eastAsia="MS Mincho"/>
          <w:szCs w:val="24"/>
          <w:lang w:eastAsia="ja-JP"/>
        </w:rPr>
        <w:t xml:space="preserve">  </w:t>
      </w:r>
      <w:r w:rsidR="00BE5FCF" w:rsidRPr="001C76DC">
        <w:rPr>
          <w:rFonts w:eastAsia="MS Mincho"/>
          <w:szCs w:val="24"/>
          <w:lang w:eastAsia="ja-JP"/>
        </w:rPr>
        <w:t>Notably, n</w:t>
      </w:r>
      <w:r w:rsidR="003F0C6D" w:rsidRPr="001C76DC">
        <w:rPr>
          <w:rFonts w:eastAsia="MS Mincho"/>
          <w:szCs w:val="24"/>
          <w:lang w:eastAsia="ja-JP"/>
        </w:rPr>
        <w:t xml:space="preserve">one of the </w:t>
      </w:r>
      <w:r w:rsidR="009134FF" w:rsidRPr="001C76DC">
        <w:rPr>
          <w:rFonts w:eastAsia="MS Mincho"/>
          <w:szCs w:val="24"/>
          <w:lang w:eastAsia="ja-JP"/>
        </w:rPr>
        <w:t>customers that left</w:t>
      </w:r>
      <w:r w:rsidR="00BE5FCF" w:rsidRPr="001C76DC">
        <w:rPr>
          <w:rFonts w:eastAsia="MS Mincho"/>
          <w:szCs w:val="24"/>
          <w:lang w:eastAsia="ja-JP"/>
        </w:rPr>
        <w:t xml:space="preserve"> have wanted to return to cost of service regulation</w:t>
      </w:r>
      <w:r w:rsidR="00CC4BF0" w:rsidRPr="001C76DC">
        <w:rPr>
          <w:rFonts w:eastAsia="MS Mincho"/>
          <w:szCs w:val="24"/>
          <w:lang w:eastAsia="ja-JP"/>
        </w:rPr>
        <w:t>,</w:t>
      </w:r>
      <w:r w:rsidR="0093705C" w:rsidRPr="001C76DC">
        <w:rPr>
          <w:rFonts w:eastAsia="MS Mincho"/>
          <w:szCs w:val="24"/>
          <w:lang w:eastAsia="ja-JP"/>
        </w:rPr>
        <w:t xml:space="preserve"> </w:t>
      </w:r>
      <w:r w:rsidR="00BE5FCF" w:rsidRPr="001C76DC">
        <w:rPr>
          <w:rFonts w:eastAsia="MS Mincho"/>
          <w:szCs w:val="24"/>
          <w:lang w:eastAsia="ja-JP"/>
        </w:rPr>
        <w:t xml:space="preserve">and other industrial and commercial customers are seeking the same opportunities to purchase </w:t>
      </w:r>
      <w:r w:rsidR="001B1372" w:rsidRPr="001C76DC">
        <w:rPr>
          <w:rFonts w:eastAsia="MS Mincho"/>
          <w:szCs w:val="24"/>
          <w:lang w:eastAsia="ja-JP"/>
        </w:rPr>
        <w:t xml:space="preserve">lower cost and renewable </w:t>
      </w:r>
      <w:r w:rsidR="00BE5FCF" w:rsidRPr="001C76DC">
        <w:rPr>
          <w:rFonts w:eastAsia="MS Mincho"/>
          <w:szCs w:val="24"/>
          <w:lang w:eastAsia="ja-JP"/>
        </w:rPr>
        <w:t xml:space="preserve">power </w:t>
      </w:r>
      <w:r w:rsidR="001B1372" w:rsidRPr="001C76DC">
        <w:rPr>
          <w:rFonts w:eastAsia="MS Mincho"/>
          <w:szCs w:val="24"/>
          <w:lang w:eastAsia="ja-JP"/>
        </w:rPr>
        <w:t>from</w:t>
      </w:r>
      <w:r w:rsidR="002333C0" w:rsidRPr="001C76DC">
        <w:rPr>
          <w:rFonts w:eastAsia="MS Mincho"/>
          <w:szCs w:val="24"/>
          <w:lang w:eastAsia="ja-JP"/>
        </w:rPr>
        <w:t xml:space="preserve"> the market</w:t>
      </w:r>
      <w:r w:rsidR="009134FF" w:rsidRPr="001C76DC">
        <w:rPr>
          <w:rFonts w:eastAsia="MS Mincho"/>
          <w:szCs w:val="24"/>
          <w:lang w:eastAsia="ja-JP"/>
        </w:rPr>
        <w:t>.</w:t>
      </w:r>
      <w:r w:rsidR="001B1372" w:rsidRPr="001C76DC">
        <w:rPr>
          <w:rFonts w:eastAsia="MS Mincho"/>
          <w:szCs w:val="24"/>
          <w:lang w:eastAsia="ja-JP"/>
        </w:rPr>
        <w:t xml:space="preserve">  </w:t>
      </w:r>
      <w:r w:rsidR="0093705C" w:rsidRPr="001C76DC">
        <w:rPr>
          <w:rFonts w:eastAsia="MS Mincho"/>
          <w:szCs w:val="24"/>
          <w:lang w:eastAsia="ja-JP"/>
        </w:rPr>
        <w:t xml:space="preserve"> </w:t>
      </w:r>
      <w:r w:rsidR="00FD21A2" w:rsidRPr="001C76DC">
        <w:rPr>
          <w:rFonts w:eastAsia="MS Mincho"/>
          <w:szCs w:val="24"/>
          <w:lang w:eastAsia="ja-JP"/>
        </w:rPr>
        <w:t xml:space="preserve">  </w:t>
      </w:r>
    </w:p>
    <w:p w14:paraId="05D5CCE3" w14:textId="2F1694BC" w:rsidR="00F71723" w:rsidRPr="001C76DC" w:rsidRDefault="00523449" w:rsidP="00523449">
      <w:pPr>
        <w:pStyle w:val="ListParagraph"/>
        <w:numPr>
          <w:ilvl w:val="1"/>
          <w:numId w:val="33"/>
        </w:numPr>
        <w:spacing w:line="480" w:lineRule="auto"/>
        <w:ind w:left="0" w:hanging="540"/>
        <w:rPr>
          <w:rFonts w:eastAsia="MS Mincho"/>
          <w:szCs w:val="24"/>
          <w:lang w:eastAsia="ja-JP"/>
        </w:rPr>
      </w:pPr>
      <w:r>
        <w:t xml:space="preserve">            </w:t>
      </w:r>
      <w:r w:rsidR="00DF3D69" w:rsidRPr="001C76DC">
        <w:rPr>
          <w:rFonts w:eastAsia="MS Mincho"/>
          <w:szCs w:val="24"/>
          <w:lang w:eastAsia="ja-JP"/>
        </w:rPr>
        <w:t>In contrast, Pacific Northwest utilities have a l</w:t>
      </w:r>
      <w:r w:rsidR="00797371" w:rsidRPr="001C76DC">
        <w:rPr>
          <w:rFonts w:eastAsia="MS Mincho"/>
          <w:szCs w:val="24"/>
          <w:lang w:eastAsia="ja-JP"/>
        </w:rPr>
        <w:t xml:space="preserve">ong history of developing </w:t>
      </w:r>
      <w:r w:rsidR="00A33251">
        <w:rPr>
          <w:rFonts w:eastAsia="MS Mincho"/>
          <w:szCs w:val="24"/>
          <w:lang w:eastAsia="ja-JP"/>
        </w:rPr>
        <w:t>costlier</w:t>
      </w:r>
      <w:r w:rsidR="00797371" w:rsidRPr="001C76DC">
        <w:rPr>
          <w:rFonts w:eastAsia="MS Mincho"/>
          <w:szCs w:val="24"/>
          <w:lang w:eastAsia="ja-JP"/>
        </w:rPr>
        <w:t xml:space="preserve"> and riskier</w:t>
      </w:r>
      <w:r w:rsidR="00DF3D69" w:rsidRPr="001C76DC">
        <w:rPr>
          <w:rFonts w:eastAsia="MS Mincho"/>
          <w:szCs w:val="24"/>
          <w:lang w:eastAsia="ja-JP"/>
        </w:rPr>
        <w:t xml:space="preserve"> generation</w:t>
      </w:r>
      <w:r w:rsidR="00797371" w:rsidRPr="001C76DC">
        <w:rPr>
          <w:rFonts w:eastAsia="MS Mincho"/>
          <w:szCs w:val="24"/>
          <w:lang w:eastAsia="ja-JP"/>
        </w:rPr>
        <w:t>, including projects that exceeded</w:t>
      </w:r>
      <w:r w:rsidR="002D7ADB" w:rsidRPr="001C76DC">
        <w:rPr>
          <w:rFonts w:eastAsia="MS Mincho"/>
          <w:szCs w:val="24"/>
          <w:lang w:eastAsia="ja-JP"/>
        </w:rPr>
        <w:t xml:space="preserve"> initial cost estimates, were</w:t>
      </w:r>
      <w:r w:rsidR="00DF3D69" w:rsidRPr="001C76DC">
        <w:rPr>
          <w:rFonts w:eastAsia="MS Mincho"/>
          <w:szCs w:val="24"/>
          <w:lang w:eastAsia="ja-JP"/>
        </w:rPr>
        <w:t xml:space="preserve"> more expensive than comparable </w:t>
      </w:r>
      <w:r w:rsidR="00530769" w:rsidRPr="001C76DC">
        <w:rPr>
          <w:rFonts w:eastAsia="MS Mincho"/>
          <w:szCs w:val="24"/>
          <w:lang w:eastAsia="ja-JP"/>
        </w:rPr>
        <w:t xml:space="preserve">non-utility resources, </w:t>
      </w:r>
      <w:r w:rsidR="002D7ADB" w:rsidRPr="001C76DC">
        <w:rPr>
          <w:rFonts w:eastAsia="MS Mincho"/>
          <w:szCs w:val="24"/>
          <w:lang w:eastAsia="ja-JP"/>
        </w:rPr>
        <w:t>underperformed, or required</w:t>
      </w:r>
      <w:r w:rsidR="00BC42A5" w:rsidRPr="001C76DC">
        <w:rPr>
          <w:rFonts w:eastAsia="MS Mincho"/>
          <w:szCs w:val="24"/>
          <w:lang w:eastAsia="ja-JP"/>
        </w:rPr>
        <w:t xml:space="preserve"> early closure or abandonment.  </w:t>
      </w:r>
      <w:r w:rsidR="00F71723" w:rsidRPr="001C76DC">
        <w:rPr>
          <w:rFonts w:eastAsia="MS Mincho"/>
          <w:szCs w:val="24"/>
          <w:lang w:eastAsia="ja-JP"/>
        </w:rPr>
        <w:t>All of the No</w:t>
      </w:r>
      <w:r w:rsidR="003F1AA7" w:rsidRPr="001C76DC">
        <w:rPr>
          <w:rFonts w:eastAsia="MS Mincho"/>
          <w:szCs w:val="24"/>
          <w:lang w:eastAsia="ja-JP"/>
        </w:rPr>
        <w:t>rthwest investor owned</w:t>
      </w:r>
      <w:r w:rsidR="00F71723" w:rsidRPr="001C76DC">
        <w:rPr>
          <w:rFonts w:eastAsia="MS Mincho"/>
          <w:szCs w:val="24"/>
          <w:lang w:eastAsia="ja-JP"/>
        </w:rPr>
        <w:t xml:space="preserve"> </w:t>
      </w:r>
      <w:r w:rsidR="003F1AA7" w:rsidRPr="001C76DC">
        <w:rPr>
          <w:rFonts w:eastAsia="MS Mincho"/>
          <w:szCs w:val="24"/>
          <w:lang w:eastAsia="ja-JP"/>
        </w:rPr>
        <w:t xml:space="preserve">and many publicly owned utilities </w:t>
      </w:r>
      <w:r w:rsidR="00F71723" w:rsidRPr="001C76DC">
        <w:rPr>
          <w:rFonts w:eastAsia="MS Mincho"/>
          <w:szCs w:val="24"/>
          <w:lang w:eastAsia="ja-JP"/>
        </w:rPr>
        <w:t xml:space="preserve">have their own unique stories of more expensive utility owned generation in which ratepayers would have been better served if the utility had entered into a long-term </w:t>
      </w:r>
      <w:r w:rsidR="00781541" w:rsidRPr="001C76DC">
        <w:rPr>
          <w:rFonts w:eastAsia="MS Mincho"/>
          <w:szCs w:val="24"/>
          <w:lang w:eastAsia="ja-JP"/>
        </w:rPr>
        <w:t>PPA</w:t>
      </w:r>
      <w:r w:rsidR="00F71723" w:rsidRPr="001C76DC">
        <w:rPr>
          <w:rFonts w:eastAsia="MS Mincho"/>
          <w:szCs w:val="24"/>
          <w:lang w:eastAsia="ja-JP"/>
        </w:rPr>
        <w:t xml:space="preserve">, or at least tested the market with a competitive bidding process that would have allowed </w:t>
      </w:r>
      <w:r w:rsidR="00781541" w:rsidRPr="001C76DC">
        <w:rPr>
          <w:rFonts w:eastAsia="MS Mincho"/>
          <w:szCs w:val="24"/>
          <w:lang w:eastAsia="ja-JP"/>
        </w:rPr>
        <w:t>IPPs</w:t>
      </w:r>
      <w:r w:rsidR="00F71723" w:rsidRPr="001C76DC">
        <w:rPr>
          <w:rFonts w:eastAsia="MS Mincho"/>
          <w:szCs w:val="24"/>
          <w:lang w:eastAsia="ja-JP"/>
        </w:rPr>
        <w:t xml:space="preserve"> a fair opportunity </w:t>
      </w:r>
      <w:r w:rsidR="00CC141E" w:rsidRPr="001C76DC">
        <w:rPr>
          <w:rFonts w:eastAsia="MS Mincho"/>
          <w:szCs w:val="24"/>
          <w:lang w:eastAsia="ja-JP"/>
        </w:rPr>
        <w:t xml:space="preserve">to </w:t>
      </w:r>
      <w:r w:rsidR="00F71723" w:rsidRPr="001C76DC">
        <w:rPr>
          <w:rFonts w:eastAsia="MS Mincho"/>
          <w:szCs w:val="24"/>
          <w:lang w:eastAsia="ja-JP"/>
        </w:rPr>
        <w:t>sell power at lower costs and risks.</w:t>
      </w:r>
    </w:p>
    <w:p w14:paraId="7621C9D3" w14:textId="54FD022C" w:rsidR="0001694D" w:rsidRPr="001C76DC" w:rsidRDefault="00523449" w:rsidP="00523449">
      <w:pPr>
        <w:pStyle w:val="ListParagraph"/>
        <w:numPr>
          <w:ilvl w:val="1"/>
          <w:numId w:val="33"/>
        </w:numPr>
        <w:spacing w:line="480" w:lineRule="auto"/>
        <w:ind w:left="0" w:hanging="540"/>
        <w:rPr>
          <w:rFonts w:eastAsia="MS Mincho"/>
          <w:szCs w:val="24"/>
          <w:lang w:eastAsia="ja-JP"/>
        </w:rPr>
      </w:pPr>
      <w:r>
        <w:t xml:space="preserve">            </w:t>
      </w:r>
      <w:r w:rsidR="00B67A6F" w:rsidRPr="001C76DC">
        <w:rPr>
          <w:rFonts w:eastAsia="MS Mincho"/>
          <w:szCs w:val="24"/>
          <w:lang w:eastAsia="ja-JP"/>
        </w:rPr>
        <w:t>T</w:t>
      </w:r>
      <w:r w:rsidR="00BC42A5" w:rsidRPr="001C76DC">
        <w:rPr>
          <w:rFonts w:eastAsia="MS Mincho"/>
          <w:szCs w:val="24"/>
          <w:lang w:eastAsia="ja-JP"/>
        </w:rPr>
        <w:t xml:space="preserve">he </w:t>
      </w:r>
      <w:r w:rsidR="00B67A6F" w:rsidRPr="001C76DC">
        <w:rPr>
          <w:rFonts w:eastAsia="MS Mincho"/>
          <w:szCs w:val="24"/>
          <w:lang w:eastAsia="ja-JP"/>
        </w:rPr>
        <w:t xml:space="preserve">region’s </w:t>
      </w:r>
      <w:r w:rsidR="00BC42A5" w:rsidRPr="001C76DC">
        <w:rPr>
          <w:rFonts w:eastAsia="MS Mincho"/>
          <w:szCs w:val="24"/>
          <w:lang w:eastAsia="ja-JP"/>
        </w:rPr>
        <w:t xml:space="preserve">largest </w:t>
      </w:r>
      <w:r w:rsidR="00960D62" w:rsidRPr="001C76DC">
        <w:rPr>
          <w:rFonts w:eastAsia="MS Mincho"/>
          <w:szCs w:val="24"/>
          <w:lang w:eastAsia="ja-JP"/>
        </w:rPr>
        <w:t xml:space="preserve">utility </w:t>
      </w:r>
      <w:r w:rsidR="00B67A6F" w:rsidRPr="001C76DC">
        <w:rPr>
          <w:rFonts w:eastAsia="MS Mincho"/>
          <w:szCs w:val="24"/>
          <w:lang w:eastAsia="ja-JP"/>
        </w:rPr>
        <w:t>resource investment</w:t>
      </w:r>
      <w:r w:rsidR="00960D62" w:rsidRPr="001C76DC">
        <w:rPr>
          <w:rFonts w:eastAsia="MS Mincho"/>
          <w:szCs w:val="24"/>
          <w:lang w:eastAsia="ja-JP"/>
        </w:rPr>
        <w:t xml:space="preserve"> failures were the </w:t>
      </w:r>
      <w:r w:rsidR="000D7A28" w:rsidRPr="001C76DC">
        <w:rPr>
          <w:rFonts w:eastAsia="MS Mincho"/>
          <w:szCs w:val="24"/>
          <w:lang w:eastAsia="ja-JP"/>
        </w:rPr>
        <w:t>nuclear plant co</w:t>
      </w:r>
      <w:r w:rsidR="00B67A6F" w:rsidRPr="001C76DC">
        <w:rPr>
          <w:rFonts w:eastAsia="MS Mincho"/>
          <w:szCs w:val="24"/>
          <w:lang w:eastAsia="ja-JP"/>
        </w:rPr>
        <w:t>mmitments made by</w:t>
      </w:r>
      <w:r w:rsidR="000D7A28" w:rsidRPr="001C76DC">
        <w:rPr>
          <w:rFonts w:eastAsia="MS Mincho"/>
          <w:szCs w:val="24"/>
          <w:lang w:eastAsia="ja-JP"/>
        </w:rPr>
        <w:t xml:space="preserve"> Portland General Electric Company </w:t>
      </w:r>
      <w:r w:rsidR="002934E0" w:rsidRPr="001C76DC">
        <w:rPr>
          <w:rFonts w:eastAsia="MS Mincho"/>
          <w:szCs w:val="24"/>
          <w:lang w:eastAsia="ja-JP"/>
        </w:rPr>
        <w:t>(“PGE”)</w:t>
      </w:r>
      <w:r w:rsidR="00BE4F56" w:rsidRPr="001C76DC">
        <w:rPr>
          <w:rFonts w:eastAsia="MS Mincho"/>
          <w:szCs w:val="24"/>
          <w:lang w:eastAsia="ja-JP"/>
        </w:rPr>
        <w:t>, PacifiCorp</w:t>
      </w:r>
      <w:r w:rsidR="00601940" w:rsidRPr="001C76DC">
        <w:rPr>
          <w:rFonts w:eastAsia="MS Mincho"/>
          <w:szCs w:val="24"/>
          <w:lang w:eastAsia="ja-JP"/>
        </w:rPr>
        <w:t xml:space="preserve"> (as Pacific Light &amp;</w:t>
      </w:r>
      <w:r w:rsidR="00D264AA" w:rsidRPr="001C76DC">
        <w:rPr>
          <w:rFonts w:eastAsia="MS Mincho"/>
          <w:szCs w:val="24"/>
          <w:lang w:eastAsia="ja-JP"/>
        </w:rPr>
        <w:t xml:space="preserve"> Power)</w:t>
      </w:r>
      <w:r w:rsidR="00BE4F56" w:rsidRPr="001C76DC">
        <w:rPr>
          <w:rFonts w:eastAsia="MS Mincho"/>
          <w:szCs w:val="24"/>
          <w:lang w:eastAsia="ja-JP"/>
        </w:rPr>
        <w:t>,</w:t>
      </w:r>
      <w:r w:rsidR="004666B5">
        <w:rPr>
          <w:rStyle w:val="FootnoteReference"/>
        </w:rPr>
        <w:footnoteReference w:id="21"/>
      </w:r>
      <w:r w:rsidR="00BE4F56" w:rsidRPr="001C76DC">
        <w:rPr>
          <w:rFonts w:eastAsia="MS Mincho"/>
          <w:szCs w:val="24"/>
          <w:lang w:eastAsia="ja-JP"/>
        </w:rPr>
        <w:t xml:space="preserve"> Puget Sound </w:t>
      </w:r>
      <w:r w:rsidR="00D264AA" w:rsidRPr="001C76DC">
        <w:rPr>
          <w:rFonts w:eastAsia="MS Mincho"/>
          <w:szCs w:val="24"/>
          <w:lang w:eastAsia="ja-JP"/>
        </w:rPr>
        <w:t>Energy (“PSE”) (as Puget Sound Power &amp; Light)</w:t>
      </w:r>
      <w:r w:rsidR="00601940" w:rsidRPr="001C76DC">
        <w:rPr>
          <w:rFonts w:eastAsia="MS Mincho"/>
          <w:szCs w:val="24"/>
          <w:lang w:eastAsia="ja-JP"/>
        </w:rPr>
        <w:t xml:space="preserve">, </w:t>
      </w:r>
      <w:r w:rsidR="00601940" w:rsidRPr="001C76DC">
        <w:rPr>
          <w:rFonts w:eastAsia="MS Mincho"/>
          <w:szCs w:val="24"/>
          <w:lang w:eastAsia="ja-JP"/>
        </w:rPr>
        <w:lastRenderedPageBreak/>
        <w:t>Avista (as Washington Water Power),</w:t>
      </w:r>
      <w:r w:rsidR="002934E0" w:rsidRPr="001C76DC">
        <w:rPr>
          <w:rFonts w:eastAsia="MS Mincho"/>
          <w:szCs w:val="24"/>
          <w:lang w:eastAsia="ja-JP"/>
        </w:rPr>
        <w:t xml:space="preserve"> </w:t>
      </w:r>
      <w:r w:rsidR="000D7A28" w:rsidRPr="001C76DC">
        <w:rPr>
          <w:rFonts w:eastAsia="MS Mincho"/>
          <w:szCs w:val="24"/>
          <w:lang w:eastAsia="ja-JP"/>
        </w:rPr>
        <w:t>and</w:t>
      </w:r>
      <w:r w:rsidR="00B67A6F" w:rsidRPr="001C76DC">
        <w:rPr>
          <w:rFonts w:eastAsia="MS Mincho"/>
          <w:szCs w:val="24"/>
          <w:lang w:eastAsia="ja-JP"/>
        </w:rPr>
        <w:t xml:space="preserve">, of course, </w:t>
      </w:r>
      <w:r w:rsidR="00C07888" w:rsidRPr="001C76DC">
        <w:rPr>
          <w:rFonts w:eastAsia="MS Mincho"/>
          <w:szCs w:val="24"/>
          <w:lang w:eastAsia="ja-JP"/>
        </w:rPr>
        <w:t>the Washin</w:t>
      </w:r>
      <w:r w:rsidR="003C4048" w:rsidRPr="001C76DC">
        <w:rPr>
          <w:rFonts w:eastAsia="MS Mincho"/>
          <w:szCs w:val="24"/>
          <w:lang w:eastAsia="ja-JP"/>
        </w:rPr>
        <w:t>gton Public Power Supply System (“WPPSS”</w:t>
      </w:r>
      <w:r w:rsidR="009A03CC" w:rsidRPr="001C76DC">
        <w:rPr>
          <w:rFonts w:eastAsia="MS Mincho"/>
          <w:szCs w:val="24"/>
          <w:lang w:eastAsia="ja-JP"/>
        </w:rPr>
        <w:t>)</w:t>
      </w:r>
      <w:r w:rsidR="00781541" w:rsidRPr="001C76DC">
        <w:rPr>
          <w:rFonts w:eastAsia="MS Mincho"/>
          <w:szCs w:val="24"/>
          <w:lang w:eastAsia="ja-JP"/>
        </w:rPr>
        <w:t xml:space="preserve">. </w:t>
      </w:r>
      <w:r w:rsidR="009A03CC" w:rsidRPr="001C76DC">
        <w:rPr>
          <w:rFonts w:eastAsia="MS Mincho"/>
          <w:szCs w:val="24"/>
          <w:lang w:eastAsia="ja-JP"/>
        </w:rPr>
        <w:t xml:space="preserve"> </w:t>
      </w:r>
      <w:r w:rsidR="003C4048" w:rsidRPr="001C76DC">
        <w:rPr>
          <w:rFonts w:eastAsia="MS Mincho"/>
          <w:szCs w:val="24"/>
          <w:lang w:eastAsia="ja-JP"/>
        </w:rPr>
        <w:t xml:space="preserve">PGE’s controversial Trojan plant </w:t>
      </w:r>
      <w:r w:rsidR="004C4C79" w:rsidRPr="001C76DC">
        <w:rPr>
          <w:rFonts w:eastAsia="MS Mincho"/>
          <w:szCs w:val="24"/>
          <w:lang w:eastAsia="ja-JP"/>
        </w:rPr>
        <w:t>was closed early</w:t>
      </w:r>
      <w:r w:rsidR="00E87DF9">
        <w:rPr>
          <w:rFonts w:eastAsia="MS Mincho"/>
          <w:szCs w:val="24"/>
          <w:lang w:eastAsia="ja-JP"/>
        </w:rPr>
        <w:t xml:space="preserve"> </w:t>
      </w:r>
      <w:r w:rsidR="00E87DF9" w:rsidRPr="00E87DF9">
        <w:rPr>
          <w:rFonts w:eastAsia="MS Mincho"/>
          <w:szCs w:val="24"/>
          <w:lang w:eastAsia="ja-JP"/>
        </w:rPr>
        <w:t>for economic reasons</w:t>
      </w:r>
      <w:r w:rsidR="00B04CBB" w:rsidRPr="001C76DC">
        <w:rPr>
          <w:rFonts w:eastAsia="MS Mincho"/>
          <w:szCs w:val="24"/>
          <w:lang w:eastAsia="ja-JP"/>
        </w:rPr>
        <w:t>,</w:t>
      </w:r>
      <w:r w:rsidR="004C4C79" w:rsidRPr="001C76DC">
        <w:rPr>
          <w:rFonts w:eastAsia="MS Mincho"/>
          <w:szCs w:val="24"/>
          <w:lang w:eastAsia="ja-JP"/>
        </w:rPr>
        <w:t xml:space="preserve"> </w:t>
      </w:r>
      <w:r w:rsidR="00DF66D4" w:rsidRPr="001C76DC">
        <w:rPr>
          <w:rFonts w:eastAsia="MS Mincho"/>
          <w:szCs w:val="24"/>
          <w:lang w:eastAsia="ja-JP"/>
        </w:rPr>
        <w:t xml:space="preserve">PSE, </w:t>
      </w:r>
      <w:r w:rsidR="001147FF" w:rsidRPr="001C76DC">
        <w:rPr>
          <w:rFonts w:eastAsia="MS Mincho"/>
          <w:szCs w:val="24"/>
          <w:lang w:eastAsia="ja-JP"/>
        </w:rPr>
        <w:t xml:space="preserve">PGE, </w:t>
      </w:r>
      <w:r w:rsidR="00DF66D4" w:rsidRPr="001C76DC">
        <w:rPr>
          <w:rFonts w:eastAsia="MS Mincho"/>
          <w:szCs w:val="24"/>
          <w:lang w:eastAsia="ja-JP"/>
        </w:rPr>
        <w:t xml:space="preserve">PacifiCorp </w:t>
      </w:r>
      <w:r w:rsidR="000D1562">
        <w:rPr>
          <w:rFonts w:eastAsia="MS Mincho"/>
          <w:szCs w:val="24"/>
          <w:lang w:eastAsia="ja-JP"/>
        </w:rPr>
        <w:t>and Avista</w:t>
      </w:r>
      <w:r w:rsidR="00A33251">
        <w:rPr>
          <w:rFonts w:eastAsia="MS Mincho"/>
          <w:szCs w:val="24"/>
          <w:lang w:eastAsia="ja-JP"/>
        </w:rPr>
        <w:t>’s</w:t>
      </w:r>
      <w:r w:rsidR="00DF66D4" w:rsidRPr="001C76DC">
        <w:rPr>
          <w:rFonts w:eastAsia="MS Mincho"/>
          <w:szCs w:val="24"/>
          <w:lang w:eastAsia="ja-JP"/>
        </w:rPr>
        <w:t xml:space="preserve"> </w:t>
      </w:r>
      <w:r w:rsidR="00F92018" w:rsidRPr="001C76DC">
        <w:rPr>
          <w:rFonts w:eastAsia="MS Mincho"/>
          <w:szCs w:val="24"/>
          <w:lang w:eastAsia="ja-JP"/>
        </w:rPr>
        <w:t xml:space="preserve">abandoned </w:t>
      </w:r>
      <w:r w:rsidR="00B67A6F" w:rsidRPr="001C76DC">
        <w:rPr>
          <w:rFonts w:eastAsia="MS Mincho"/>
          <w:szCs w:val="24"/>
          <w:lang w:eastAsia="ja-JP"/>
        </w:rPr>
        <w:t xml:space="preserve">the </w:t>
      </w:r>
      <w:r w:rsidR="00F92018" w:rsidRPr="001C76DC">
        <w:rPr>
          <w:rFonts w:eastAsia="MS Mincho"/>
          <w:szCs w:val="24"/>
          <w:lang w:eastAsia="ja-JP"/>
        </w:rPr>
        <w:t>Pebble Springs</w:t>
      </w:r>
      <w:r w:rsidR="0018400B" w:rsidRPr="001C76DC">
        <w:rPr>
          <w:rFonts w:eastAsia="MS Mincho"/>
          <w:szCs w:val="24"/>
          <w:lang w:eastAsia="ja-JP"/>
        </w:rPr>
        <w:t xml:space="preserve"> and Skagit</w:t>
      </w:r>
      <w:r w:rsidR="00F92018" w:rsidRPr="001C76DC">
        <w:rPr>
          <w:rFonts w:eastAsia="MS Mincho"/>
          <w:szCs w:val="24"/>
          <w:lang w:eastAsia="ja-JP"/>
        </w:rPr>
        <w:t xml:space="preserve"> plant</w:t>
      </w:r>
      <w:r w:rsidR="001147FF" w:rsidRPr="001C76DC">
        <w:rPr>
          <w:rFonts w:eastAsia="MS Mincho"/>
          <w:szCs w:val="24"/>
          <w:lang w:eastAsia="ja-JP"/>
        </w:rPr>
        <w:t>s</w:t>
      </w:r>
      <w:r w:rsidR="00F92018" w:rsidRPr="001C76DC">
        <w:rPr>
          <w:rFonts w:eastAsia="MS Mincho"/>
          <w:szCs w:val="24"/>
          <w:lang w:eastAsia="ja-JP"/>
        </w:rPr>
        <w:t xml:space="preserve">, </w:t>
      </w:r>
      <w:r w:rsidR="004C4C79" w:rsidRPr="001C76DC">
        <w:rPr>
          <w:rFonts w:eastAsia="MS Mincho"/>
          <w:szCs w:val="24"/>
          <w:lang w:eastAsia="ja-JP"/>
        </w:rPr>
        <w:t>and</w:t>
      </w:r>
      <w:r w:rsidR="002D7ADB" w:rsidRPr="001C76DC">
        <w:rPr>
          <w:rFonts w:eastAsia="MS Mincho"/>
          <w:szCs w:val="24"/>
          <w:lang w:eastAsia="ja-JP"/>
        </w:rPr>
        <w:t>,</w:t>
      </w:r>
      <w:r w:rsidR="004C4C79" w:rsidRPr="001C76DC">
        <w:rPr>
          <w:rFonts w:eastAsia="MS Mincho"/>
          <w:szCs w:val="24"/>
          <w:lang w:eastAsia="ja-JP"/>
        </w:rPr>
        <w:t xml:space="preserve"> </w:t>
      </w:r>
      <w:r w:rsidR="00B04CBB" w:rsidRPr="001C76DC">
        <w:rPr>
          <w:rFonts w:eastAsia="MS Mincho"/>
          <w:szCs w:val="24"/>
          <w:lang w:eastAsia="ja-JP"/>
        </w:rPr>
        <w:t>while five</w:t>
      </w:r>
      <w:r w:rsidR="00C07888" w:rsidRPr="001C76DC">
        <w:rPr>
          <w:rFonts w:eastAsia="MS Mincho"/>
          <w:szCs w:val="24"/>
          <w:lang w:eastAsia="ja-JP"/>
        </w:rPr>
        <w:t xml:space="preserve"> </w:t>
      </w:r>
      <w:r w:rsidR="004C4C79" w:rsidRPr="001C76DC">
        <w:rPr>
          <w:rFonts w:eastAsia="MS Mincho"/>
          <w:szCs w:val="24"/>
          <w:lang w:eastAsia="ja-JP"/>
        </w:rPr>
        <w:t xml:space="preserve">WPPSS plants </w:t>
      </w:r>
      <w:r w:rsidR="0001694D" w:rsidRPr="001C76DC">
        <w:rPr>
          <w:rFonts w:eastAsia="MS Mincho"/>
          <w:szCs w:val="24"/>
          <w:lang w:eastAsia="ja-JP"/>
        </w:rPr>
        <w:t>were planned</w:t>
      </w:r>
      <w:r w:rsidR="00307BBB" w:rsidRPr="001C76DC">
        <w:rPr>
          <w:rFonts w:eastAsia="MS Mincho"/>
          <w:szCs w:val="24"/>
          <w:lang w:eastAsia="ja-JP"/>
        </w:rPr>
        <w:t xml:space="preserve"> in the 1970s</w:t>
      </w:r>
      <w:r w:rsidR="00585A55" w:rsidRPr="001C76DC">
        <w:rPr>
          <w:rFonts w:eastAsia="MS Mincho"/>
          <w:szCs w:val="24"/>
          <w:lang w:eastAsia="ja-JP"/>
        </w:rPr>
        <w:t xml:space="preserve">, </w:t>
      </w:r>
      <w:r w:rsidR="0001694D" w:rsidRPr="001C76DC">
        <w:rPr>
          <w:rFonts w:eastAsia="MS Mincho"/>
          <w:szCs w:val="24"/>
          <w:lang w:eastAsia="ja-JP"/>
        </w:rPr>
        <w:t>only one</w:t>
      </w:r>
      <w:r w:rsidR="009D59C2" w:rsidRPr="001C76DC">
        <w:rPr>
          <w:rFonts w:eastAsia="MS Mincho"/>
          <w:szCs w:val="24"/>
          <w:lang w:eastAsia="ja-JP"/>
        </w:rPr>
        <w:t xml:space="preserve"> was completed</w:t>
      </w:r>
      <w:r w:rsidR="00585A55" w:rsidRPr="001C76DC">
        <w:rPr>
          <w:rFonts w:eastAsia="MS Mincho"/>
          <w:szCs w:val="24"/>
          <w:lang w:eastAsia="ja-JP"/>
        </w:rPr>
        <w:t xml:space="preserve"> at </w:t>
      </w:r>
      <w:r w:rsidR="009D59C2" w:rsidRPr="001C76DC">
        <w:rPr>
          <w:rFonts w:eastAsia="MS Mincho"/>
          <w:szCs w:val="24"/>
          <w:lang w:eastAsia="ja-JP"/>
        </w:rPr>
        <w:t>a cost</w:t>
      </w:r>
      <w:r w:rsidR="00585A55" w:rsidRPr="001C76DC">
        <w:rPr>
          <w:rFonts w:eastAsia="MS Mincho"/>
          <w:szCs w:val="24"/>
          <w:lang w:eastAsia="ja-JP"/>
        </w:rPr>
        <w:t xml:space="preserve"> far more expensive than expected</w:t>
      </w:r>
      <w:r w:rsidR="009D59C2" w:rsidRPr="001C76DC">
        <w:rPr>
          <w:rFonts w:eastAsia="MS Mincho"/>
          <w:szCs w:val="24"/>
          <w:lang w:eastAsia="ja-JP"/>
        </w:rPr>
        <w:t>.  WPPSS resulted</w:t>
      </w:r>
      <w:r w:rsidR="0001694D" w:rsidRPr="001C76DC">
        <w:rPr>
          <w:rFonts w:eastAsia="MS Mincho"/>
          <w:szCs w:val="24"/>
          <w:lang w:eastAsia="ja-JP"/>
        </w:rPr>
        <w:t xml:space="preserve"> in extreme financial difficulties and</w:t>
      </w:r>
      <w:r w:rsidR="00B67A6F" w:rsidRPr="001C76DC">
        <w:rPr>
          <w:rFonts w:eastAsia="MS Mincho"/>
          <w:szCs w:val="24"/>
          <w:lang w:eastAsia="ja-JP"/>
        </w:rPr>
        <w:t xml:space="preserve"> lapsed into</w:t>
      </w:r>
      <w:r w:rsidR="0001694D" w:rsidRPr="001C76DC">
        <w:rPr>
          <w:rFonts w:eastAsia="MS Mincho"/>
          <w:szCs w:val="24"/>
          <w:lang w:eastAsia="ja-JP"/>
        </w:rPr>
        <w:t xml:space="preserve"> the </w:t>
      </w:r>
      <w:r w:rsidR="00273BC0" w:rsidRPr="001C76DC">
        <w:rPr>
          <w:rFonts w:eastAsia="MS Mincho"/>
          <w:szCs w:val="24"/>
          <w:lang w:eastAsia="ja-JP"/>
        </w:rPr>
        <w:t xml:space="preserve">nation’s </w:t>
      </w:r>
      <w:r w:rsidR="0001694D" w:rsidRPr="001C76DC">
        <w:rPr>
          <w:rFonts w:eastAsia="MS Mincho"/>
          <w:szCs w:val="24"/>
          <w:lang w:eastAsia="ja-JP"/>
        </w:rPr>
        <w:t>second largest municipal bond default.</w:t>
      </w:r>
      <w:r w:rsidR="0018400B" w:rsidRPr="001C76DC">
        <w:rPr>
          <w:rFonts w:eastAsia="MS Mincho"/>
          <w:szCs w:val="24"/>
          <w:lang w:eastAsia="ja-JP"/>
        </w:rPr>
        <w:t xml:space="preserve">  Fortunately for shareholders, </w:t>
      </w:r>
      <w:r w:rsidR="00DC7379" w:rsidRPr="001C76DC">
        <w:rPr>
          <w:rFonts w:eastAsia="MS Mincho"/>
          <w:szCs w:val="24"/>
          <w:lang w:eastAsia="ja-JP"/>
        </w:rPr>
        <w:t xml:space="preserve">the </w:t>
      </w:r>
      <w:r w:rsidR="00B86F83" w:rsidRPr="001C76DC">
        <w:rPr>
          <w:rFonts w:eastAsia="MS Mincho"/>
          <w:szCs w:val="24"/>
          <w:lang w:eastAsia="ja-JP"/>
        </w:rPr>
        <w:t xml:space="preserve">investor owned </w:t>
      </w:r>
      <w:r w:rsidR="00DC7379" w:rsidRPr="001C76DC">
        <w:rPr>
          <w:rFonts w:eastAsia="MS Mincho"/>
          <w:szCs w:val="24"/>
          <w:lang w:eastAsia="ja-JP"/>
        </w:rPr>
        <w:t xml:space="preserve">utilities were allowed to recover </w:t>
      </w:r>
      <w:r w:rsidR="00B67A6F" w:rsidRPr="001C76DC">
        <w:rPr>
          <w:rFonts w:eastAsia="MS Mincho"/>
          <w:szCs w:val="24"/>
          <w:lang w:eastAsia="ja-JP"/>
        </w:rPr>
        <w:t>nearly all</w:t>
      </w:r>
      <w:r w:rsidR="00DC7379" w:rsidRPr="001C76DC">
        <w:rPr>
          <w:rFonts w:eastAsia="MS Mincho"/>
          <w:szCs w:val="24"/>
          <w:lang w:eastAsia="ja-JP"/>
        </w:rPr>
        <w:t xml:space="preserve"> the costs of </w:t>
      </w:r>
      <w:r w:rsidR="00B86F83" w:rsidRPr="001C76DC">
        <w:rPr>
          <w:rFonts w:eastAsia="MS Mincho"/>
          <w:szCs w:val="24"/>
          <w:lang w:eastAsia="ja-JP"/>
        </w:rPr>
        <w:t>these abandoned or shut down nuclear power plants</w:t>
      </w:r>
      <w:r w:rsidR="00273BC0" w:rsidRPr="001C76DC">
        <w:rPr>
          <w:rFonts w:eastAsia="MS Mincho"/>
          <w:szCs w:val="24"/>
          <w:lang w:eastAsia="ja-JP"/>
        </w:rPr>
        <w:t xml:space="preserve"> courtesy of their ratepayers</w:t>
      </w:r>
      <w:r w:rsidR="00B86F83" w:rsidRPr="001C76DC">
        <w:rPr>
          <w:rFonts w:eastAsia="MS Mincho"/>
          <w:szCs w:val="24"/>
          <w:lang w:eastAsia="ja-JP"/>
        </w:rPr>
        <w:t>.</w:t>
      </w:r>
      <w:r w:rsidR="00B86F83">
        <w:rPr>
          <w:rStyle w:val="FootnoteReference"/>
          <w:rFonts w:eastAsia="MS Mincho"/>
          <w:szCs w:val="24"/>
          <w:lang w:eastAsia="ja-JP"/>
        </w:rPr>
        <w:footnoteReference w:id="22"/>
      </w:r>
      <w:r w:rsidR="00DC7379" w:rsidRPr="001C76DC">
        <w:rPr>
          <w:rFonts w:eastAsia="MS Mincho"/>
          <w:szCs w:val="24"/>
          <w:lang w:eastAsia="ja-JP"/>
        </w:rPr>
        <w:t xml:space="preserve"> </w:t>
      </w:r>
    </w:p>
    <w:p w14:paraId="094887AF" w14:textId="7FDDB777" w:rsidR="0099764D" w:rsidRPr="001C76DC" w:rsidRDefault="00523449" w:rsidP="00523449">
      <w:pPr>
        <w:pStyle w:val="ListParagraph"/>
        <w:numPr>
          <w:ilvl w:val="1"/>
          <w:numId w:val="33"/>
        </w:numPr>
        <w:spacing w:line="480" w:lineRule="auto"/>
        <w:ind w:left="0" w:hanging="540"/>
        <w:rPr>
          <w:rFonts w:eastAsia="MS Mincho"/>
          <w:lang w:eastAsia="ja-JP"/>
        </w:rPr>
      </w:pPr>
      <w:r>
        <w:t xml:space="preserve">            </w:t>
      </w:r>
      <w:r w:rsidR="00FF2B30" w:rsidRPr="001C76DC">
        <w:rPr>
          <w:rFonts w:eastAsia="MS Mincho"/>
          <w:szCs w:val="24"/>
          <w:lang w:eastAsia="ja-JP"/>
        </w:rPr>
        <w:t xml:space="preserve">The most recent example of the troubles associated with utility owned </w:t>
      </w:r>
      <w:r w:rsidR="00B67A6F" w:rsidRPr="001C76DC">
        <w:rPr>
          <w:rFonts w:eastAsia="MS Mincho"/>
          <w:szCs w:val="24"/>
          <w:lang w:eastAsia="ja-JP"/>
        </w:rPr>
        <w:t>projects</w:t>
      </w:r>
      <w:r w:rsidR="00FF2B30" w:rsidRPr="001C76DC">
        <w:rPr>
          <w:rFonts w:eastAsia="MS Mincho"/>
          <w:szCs w:val="24"/>
          <w:lang w:eastAsia="ja-JP"/>
        </w:rPr>
        <w:t xml:space="preserve"> is PGE’s ill-fated Carty </w:t>
      </w:r>
      <w:r w:rsidR="00B67A6F" w:rsidRPr="001C76DC">
        <w:rPr>
          <w:rFonts w:eastAsia="MS Mincho"/>
          <w:szCs w:val="24"/>
          <w:lang w:eastAsia="ja-JP"/>
        </w:rPr>
        <w:t>G</w:t>
      </w:r>
      <w:r w:rsidR="00FF2B30" w:rsidRPr="001C76DC">
        <w:rPr>
          <w:rFonts w:eastAsia="MS Mincho"/>
          <w:szCs w:val="24"/>
          <w:lang w:eastAsia="ja-JP"/>
        </w:rPr>
        <w:t>enerati</w:t>
      </w:r>
      <w:r w:rsidR="00B67A6F" w:rsidRPr="001C76DC">
        <w:rPr>
          <w:rFonts w:eastAsia="MS Mincho"/>
          <w:szCs w:val="24"/>
          <w:lang w:eastAsia="ja-JP"/>
        </w:rPr>
        <w:t>ng</w:t>
      </w:r>
      <w:r w:rsidR="00FF2B30" w:rsidRPr="001C76DC">
        <w:rPr>
          <w:rFonts w:eastAsia="MS Mincho"/>
          <w:szCs w:val="24"/>
          <w:lang w:eastAsia="ja-JP"/>
        </w:rPr>
        <w:t xml:space="preserve"> </w:t>
      </w:r>
      <w:r w:rsidR="00B67A6F" w:rsidRPr="001C76DC">
        <w:rPr>
          <w:rFonts w:eastAsia="MS Mincho"/>
          <w:szCs w:val="24"/>
          <w:lang w:eastAsia="ja-JP"/>
        </w:rPr>
        <w:t>S</w:t>
      </w:r>
      <w:r w:rsidR="00FF2B30" w:rsidRPr="001C76DC">
        <w:rPr>
          <w:rFonts w:eastAsia="MS Mincho"/>
          <w:szCs w:val="24"/>
          <w:lang w:eastAsia="ja-JP"/>
        </w:rPr>
        <w:t>tation</w:t>
      </w:r>
      <w:r w:rsidR="00B67A6F" w:rsidRPr="001C76DC">
        <w:rPr>
          <w:rFonts w:eastAsia="MS Mincho"/>
          <w:szCs w:val="24"/>
          <w:lang w:eastAsia="ja-JP"/>
        </w:rPr>
        <w:t xml:space="preserve"> Unit 1</w:t>
      </w:r>
      <w:r w:rsidR="00FF2B30" w:rsidRPr="001C76DC">
        <w:rPr>
          <w:rFonts w:eastAsia="MS Mincho"/>
          <w:szCs w:val="24"/>
          <w:lang w:eastAsia="ja-JP"/>
        </w:rPr>
        <w:t xml:space="preserve">.  Despite significant opposition from industrial customers and </w:t>
      </w:r>
      <w:r w:rsidR="00EC3A18" w:rsidRPr="001C76DC">
        <w:rPr>
          <w:rFonts w:eastAsia="MS Mincho"/>
          <w:szCs w:val="24"/>
          <w:lang w:eastAsia="ja-JP"/>
        </w:rPr>
        <w:t>IPPs</w:t>
      </w:r>
      <w:r w:rsidR="00FF2B30" w:rsidRPr="001C76DC">
        <w:rPr>
          <w:rFonts w:eastAsia="MS Mincho"/>
          <w:szCs w:val="24"/>
          <w:lang w:eastAsia="ja-JP"/>
        </w:rPr>
        <w:t xml:space="preserve">, PGE selected a </w:t>
      </w:r>
      <w:r w:rsidR="007237A1">
        <w:rPr>
          <w:rFonts w:eastAsia="MS Mincho"/>
          <w:szCs w:val="24"/>
          <w:lang w:eastAsia="ja-JP"/>
        </w:rPr>
        <w:t>utility-</w:t>
      </w:r>
      <w:r w:rsidR="009C214B">
        <w:rPr>
          <w:rFonts w:eastAsia="MS Mincho"/>
          <w:szCs w:val="24"/>
          <w:lang w:eastAsia="ja-JP"/>
        </w:rPr>
        <w:t>owned</w:t>
      </w:r>
      <w:r w:rsidR="00FF2B30" w:rsidRPr="001C76DC">
        <w:rPr>
          <w:rFonts w:eastAsia="MS Mincho"/>
          <w:szCs w:val="24"/>
          <w:lang w:eastAsia="ja-JP"/>
        </w:rPr>
        <w:t xml:space="preserve"> bid over what </w:t>
      </w:r>
      <w:r w:rsidR="00251431" w:rsidRPr="001C76DC">
        <w:rPr>
          <w:rFonts w:eastAsia="MS Mincho"/>
          <w:szCs w:val="24"/>
          <w:lang w:eastAsia="ja-JP"/>
        </w:rPr>
        <w:t>customers and other bid</w:t>
      </w:r>
      <w:r w:rsidR="000669B8" w:rsidRPr="001C76DC">
        <w:rPr>
          <w:rFonts w:eastAsia="MS Mincho"/>
          <w:szCs w:val="24"/>
          <w:lang w:eastAsia="ja-JP"/>
        </w:rPr>
        <w:t>der</w:t>
      </w:r>
      <w:r w:rsidR="00251431" w:rsidRPr="001C76DC">
        <w:rPr>
          <w:rFonts w:eastAsia="MS Mincho"/>
          <w:szCs w:val="24"/>
          <w:lang w:eastAsia="ja-JP"/>
        </w:rPr>
        <w:t>s argued were</w:t>
      </w:r>
      <w:r w:rsidR="00FF2B30" w:rsidRPr="001C76DC">
        <w:rPr>
          <w:rFonts w:eastAsia="MS Mincho"/>
          <w:szCs w:val="24"/>
          <w:lang w:eastAsia="ja-JP"/>
        </w:rPr>
        <w:t xml:space="preserve"> lower cost </w:t>
      </w:r>
      <w:r w:rsidR="00251431" w:rsidRPr="001C76DC">
        <w:rPr>
          <w:rFonts w:eastAsia="MS Mincho"/>
          <w:szCs w:val="24"/>
          <w:lang w:eastAsia="ja-JP"/>
        </w:rPr>
        <w:t xml:space="preserve">and less risky </w:t>
      </w:r>
      <w:r w:rsidR="00FF2B30" w:rsidRPr="001C76DC">
        <w:rPr>
          <w:rFonts w:eastAsia="MS Mincho"/>
          <w:szCs w:val="24"/>
          <w:lang w:eastAsia="ja-JP"/>
        </w:rPr>
        <w:t>bids</w:t>
      </w:r>
      <w:r w:rsidR="00B67A6F" w:rsidRPr="001C76DC">
        <w:rPr>
          <w:rFonts w:eastAsia="MS Mincho"/>
          <w:szCs w:val="24"/>
          <w:lang w:eastAsia="ja-JP"/>
        </w:rPr>
        <w:t xml:space="preserve"> offered by IPPs</w:t>
      </w:r>
      <w:r w:rsidR="00FF2B30" w:rsidRPr="001C76DC">
        <w:rPr>
          <w:rFonts w:eastAsia="MS Mincho"/>
          <w:szCs w:val="24"/>
          <w:lang w:eastAsia="ja-JP"/>
        </w:rPr>
        <w:t>.</w:t>
      </w:r>
      <w:r w:rsidR="006E6DCD" w:rsidRPr="001C76DC">
        <w:rPr>
          <w:vertAlign w:val="superscript"/>
        </w:rPr>
        <w:t xml:space="preserve"> </w:t>
      </w:r>
      <w:r w:rsidR="006E6DCD" w:rsidRPr="006E6DCD">
        <w:rPr>
          <w:rFonts w:eastAsia="MS Mincho"/>
          <w:vertAlign w:val="superscript"/>
          <w:lang w:eastAsia="ja-JP"/>
        </w:rPr>
        <w:footnoteReference w:id="23"/>
      </w:r>
      <w:r w:rsidR="00FF2B30" w:rsidRPr="001C76DC">
        <w:rPr>
          <w:rFonts w:eastAsia="MS Mincho"/>
          <w:szCs w:val="24"/>
          <w:lang w:eastAsia="ja-JP"/>
        </w:rPr>
        <w:t xml:space="preserve">  </w:t>
      </w:r>
      <w:r w:rsidR="00251431" w:rsidRPr="001C76DC">
        <w:rPr>
          <w:rFonts w:eastAsia="MS Mincho"/>
          <w:szCs w:val="24"/>
          <w:lang w:eastAsia="ja-JP"/>
        </w:rPr>
        <w:t xml:space="preserve">Customers and the </w:t>
      </w:r>
      <w:r w:rsidR="00EC3A18" w:rsidRPr="001C76DC">
        <w:rPr>
          <w:rFonts w:eastAsia="MS Mincho"/>
          <w:szCs w:val="24"/>
          <w:lang w:eastAsia="ja-JP"/>
        </w:rPr>
        <w:t>IPPs</w:t>
      </w:r>
      <w:r w:rsidR="00251431" w:rsidRPr="001C76DC">
        <w:rPr>
          <w:rFonts w:eastAsia="MS Mincho"/>
          <w:szCs w:val="24"/>
          <w:lang w:eastAsia="ja-JP"/>
        </w:rPr>
        <w:t xml:space="preserve"> proved to be correct as </w:t>
      </w:r>
      <w:r w:rsidR="0099764D" w:rsidRPr="001C76DC">
        <w:rPr>
          <w:rFonts w:eastAsia="MS Mincho"/>
          <w:lang w:eastAsia="ja-JP"/>
        </w:rPr>
        <w:t>PGE estimates</w:t>
      </w:r>
      <w:r w:rsidR="00E427AD" w:rsidRPr="001C76DC">
        <w:rPr>
          <w:rFonts w:eastAsia="MS Mincho"/>
          <w:lang w:eastAsia="ja-JP"/>
        </w:rPr>
        <w:t xml:space="preserve"> the</w:t>
      </w:r>
      <w:r w:rsidR="0099764D" w:rsidRPr="001C76DC">
        <w:rPr>
          <w:rFonts w:eastAsia="MS Mincho"/>
          <w:lang w:eastAsia="ja-JP"/>
        </w:rPr>
        <w:t xml:space="preserve"> total Carty capital costs to be in the range of $126 million and $146 million more than the $514 million</w:t>
      </w:r>
      <w:r w:rsidR="0046085E" w:rsidRPr="001C76DC">
        <w:rPr>
          <w:rFonts w:eastAsia="MS Mincho"/>
          <w:lang w:eastAsia="ja-JP"/>
        </w:rPr>
        <w:t xml:space="preserve"> original </w:t>
      </w:r>
      <w:r w:rsidR="0046085E" w:rsidRPr="001C76DC">
        <w:rPr>
          <w:rFonts w:eastAsia="MS Mincho"/>
          <w:lang w:eastAsia="ja-JP"/>
        </w:rPr>
        <w:lastRenderedPageBreak/>
        <w:t>estimate</w:t>
      </w:r>
      <w:r w:rsidR="0099764D" w:rsidRPr="001C76DC">
        <w:rPr>
          <w:rFonts w:eastAsia="MS Mincho"/>
          <w:lang w:eastAsia="ja-JP"/>
        </w:rPr>
        <w:t>.</w:t>
      </w:r>
      <w:r w:rsidR="0046085E">
        <w:rPr>
          <w:rStyle w:val="FootnoteReference"/>
          <w:rFonts w:eastAsia="MS Mincho"/>
          <w:lang w:eastAsia="ja-JP"/>
        </w:rPr>
        <w:footnoteReference w:id="24"/>
      </w:r>
      <w:r w:rsidR="0099764D" w:rsidRPr="001C76DC">
        <w:rPr>
          <w:rFonts w:eastAsia="MS Mincho"/>
          <w:lang w:eastAsia="ja-JP"/>
        </w:rPr>
        <w:t xml:space="preserve"> </w:t>
      </w:r>
      <w:r w:rsidR="00595784" w:rsidRPr="001C76DC">
        <w:rPr>
          <w:rFonts w:eastAsia="MS Mincho"/>
          <w:lang w:eastAsia="ja-JP"/>
        </w:rPr>
        <w:t xml:space="preserve"> Ratepayers would not be at risk </w:t>
      </w:r>
      <w:r w:rsidR="009B5702" w:rsidRPr="001C76DC">
        <w:rPr>
          <w:rFonts w:eastAsia="MS Mincho"/>
          <w:lang w:eastAsia="ja-JP"/>
        </w:rPr>
        <w:t xml:space="preserve">for any of these cost overruns if PGE had selected a lower cost and less risky </w:t>
      </w:r>
      <w:r w:rsidR="00807325" w:rsidRPr="001C76DC">
        <w:rPr>
          <w:rFonts w:eastAsia="MS Mincho"/>
          <w:lang w:eastAsia="ja-JP"/>
        </w:rPr>
        <w:t>PPA</w:t>
      </w:r>
      <w:r w:rsidR="009B5702" w:rsidRPr="001C76DC">
        <w:rPr>
          <w:rFonts w:eastAsia="MS Mincho"/>
          <w:lang w:eastAsia="ja-JP"/>
        </w:rPr>
        <w:t>.</w:t>
      </w:r>
    </w:p>
    <w:p w14:paraId="499AB1A1" w14:textId="63C32C75" w:rsidR="00731509" w:rsidRPr="001C76DC" w:rsidRDefault="00523449" w:rsidP="00523449">
      <w:pPr>
        <w:pStyle w:val="ListParagraph"/>
        <w:numPr>
          <w:ilvl w:val="1"/>
          <w:numId w:val="33"/>
        </w:numPr>
        <w:spacing w:line="480" w:lineRule="auto"/>
        <w:ind w:left="0" w:hanging="540"/>
        <w:rPr>
          <w:rFonts w:eastAsia="MS Mincho"/>
          <w:szCs w:val="24"/>
          <w:lang w:eastAsia="ja-JP"/>
        </w:rPr>
      </w:pPr>
      <w:r>
        <w:t xml:space="preserve">            </w:t>
      </w:r>
      <w:r w:rsidR="00807325" w:rsidRPr="001C76DC">
        <w:rPr>
          <w:rFonts w:eastAsia="MS Mincho"/>
          <w:szCs w:val="24"/>
          <w:lang w:eastAsia="ja-JP"/>
        </w:rPr>
        <w:t xml:space="preserve">In addition to the nuclear plant </w:t>
      </w:r>
      <w:r w:rsidR="00B67A6F" w:rsidRPr="001C76DC">
        <w:rPr>
          <w:rFonts w:eastAsia="MS Mincho"/>
          <w:szCs w:val="24"/>
          <w:lang w:eastAsia="ja-JP"/>
        </w:rPr>
        <w:t>miscalculations</w:t>
      </w:r>
      <w:r w:rsidR="00807325" w:rsidRPr="001C76DC">
        <w:rPr>
          <w:rFonts w:eastAsia="MS Mincho"/>
          <w:szCs w:val="24"/>
          <w:lang w:eastAsia="ja-JP"/>
        </w:rPr>
        <w:t xml:space="preserve">, </w:t>
      </w:r>
      <w:r w:rsidR="00687FAE" w:rsidRPr="001C76DC">
        <w:rPr>
          <w:rFonts w:eastAsia="MS Mincho"/>
          <w:szCs w:val="24"/>
          <w:lang w:eastAsia="ja-JP"/>
        </w:rPr>
        <w:t xml:space="preserve">PSE has its own examples of unfortunate utility owned resource options that proved unnecessarily expensive for </w:t>
      </w:r>
      <w:r w:rsidR="00CC141E" w:rsidRPr="001C76DC">
        <w:rPr>
          <w:rFonts w:eastAsia="MS Mincho"/>
          <w:szCs w:val="24"/>
          <w:lang w:eastAsia="ja-JP"/>
        </w:rPr>
        <w:t>ratepayers</w:t>
      </w:r>
      <w:r w:rsidR="00807325" w:rsidRPr="001C76DC">
        <w:rPr>
          <w:rFonts w:eastAsia="MS Mincho"/>
          <w:szCs w:val="24"/>
          <w:lang w:eastAsia="ja-JP"/>
        </w:rPr>
        <w:t>,</w:t>
      </w:r>
      <w:r w:rsidR="00CC141E" w:rsidRPr="001C76DC">
        <w:rPr>
          <w:rFonts w:eastAsia="MS Mincho"/>
          <w:szCs w:val="24"/>
          <w:lang w:eastAsia="ja-JP"/>
        </w:rPr>
        <w:t xml:space="preserve"> as </w:t>
      </w:r>
      <w:r w:rsidR="00DC583D" w:rsidRPr="001C76DC">
        <w:rPr>
          <w:rFonts w:eastAsia="MS Mincho"/>
          <w:szCs w:val="24"/>
          <w:lang w:eastAsia="ja-JP"/>
        </w:rPr>
        <w:t xml:space="preserve">illustrated by the </w:t>
      </w:r>
      <w:r w:rsidR="00687FAE" w:rsidRPr="001C76DC">
        <w:rPr>
          <w:rFonts w:eastAsia="MS Mincho"/>
          <w:szCs w:val="24"/>
          <w:lang w:eastAsia="ja-JP"/>
        </w:rPr>
        <w:t xml:space="preserve">Lower Snake River wind project.  </w:t>
      </w:r>
      <w:r w:rsidR="007006E2" w:rsidRPr="001C76DC">
        <w:rPr>
          <w:rFonts w:eastAsia="MS Mincho"/>
          <w:szCs w:val="24"/>
          <w:lang w:eastAsia="ja-JP"/>
        </w:rPr>
        <w:t>PSE constructed the Lower Snake River project well in advance of need</w:t>
      </w:r>
      <w:r w:rsidR="000D0B5A" w:rsidRPr="001C76DC">
        <w:rPr>
          <w:rFonts w:eastAsia="MS Mincho"/>
          <w:szCs w:val="24"/>
          <w:lang w:eastAsia="ja-JP"/>
        </w:rPr>
        <w:t xml:space="preserve"> on a </w:t>
      </w:r>
      <w:r w:rsidR="0045205D" w:rsidRPr="001C76DC">
        <w:rPr>
          <w:rFonts w:eastAsia="MS Mincho"/>
          <w:szCs w:val="24"/>
          <w:lang w:eastAsia="ja-JP"/>
        </w:rPr>
        <w:t xml:space="preserve">location that included </w:t>
      </w:r>
      <w:r w:rsidR="000D0B5A" w:rsidRPr="001C76DC">
        <w:rPr>
          <w:rFonts w:eastAsia="MS Mincho"/>
          <w:szCs w:val="24"/>
          <w:lang w:eastAsia="ja-JP"/>
        </w:rPr>
        <w:t>four wind resource areas and includes enough acreage and wind potential for a 1</w:t>
      </w:r>
      <w:r w:rsidR="0045205D" w:rsidRPr="001C76DC">
        <w:rPr>
          <w:rFonts w:eastAsia="MS Mincho"/>
          <w:szCs w:val="24"/>
          <w:lang w:eastAsia="ja-JP"/>
        </w:rPr>
        <w:t>,</w:t>
      </w:r>
      <w:r w:rsidR="000D0B5A" w:rsidRPr="001C76DC">
        <w:rPr>
          <w:rFonts w:eastAsia="MS Mincho"/>
          <w:szCs w:val="24"/>
          <w:lang w:eastAsia="ja-JP"/>
        </w:rPr>
        <w:t>250 MW development.</w:t>
      </w:r>
      <w:r w:rsidR="0045205D">
        <w:rPr>
          <w:rStyle w:val="FootnoteReference"/>
          <w:rFonts w:eastAsia="MS Mincho"/>
          <w:szCs w:val="24"/>
          <w:lang w:eastAsia="ja-JP"/>
        </w:rPr>
        <w:footnoteReference w:id="25"/>
      </w:r>
      <w:r w:rsidR="0045205D" w:rsidRPr="001C76DC">
        <w:rPr>
          <w:rFonts w:eastAsia="MS Mincho"/>
          <w:szCs w:val="24"/>
          <w:lang w:eastAsia="ja-JP"/>
        </w:rPr>
        <w:t xml:space="preserve">  </w:t>
      </w:r>
      <w:r w:rsidR="00A93A00" w:rsidRPr="001C76DC">
        <w:rPr>
          <w:rFonts w:eastAsia="MS Mincho"/>
          <w:szCs w:val="24"/>
          <w:lang w:eastAsia="ja-JP"/>
        </w:rPr>
        <w:t xml:space="preserve">Public Counsel and industrial customers argued that the </w:t>
      </w:r>
      <w:r w:rsidR="001856EA" w:rsidRPr="001C76DC">
        <w:rPr>
          <w:rFonts w:eastAsia="MS Mincho"/>
          <w:szCs w:val="24"/>
          <w:lang w:eastAsia="ja-JP"/>
        </w:rPr>
        <w:t xml:space="preserve">343 MW </w:t>
      </w:r>
      <w:r w:rsidR="0045205D" w:rsidRPr="001C76DC">
        <w:rPr>
          <w:rFonts w:eastAsia="MS Mincho"/>
          <w:szCs w:val="24"/>
          <w:lang w:eastAsia="ja-JP"/>
        </w:rPr>
        <w:t xml:space="preserve">Lower Snake River 1 was </w:t>
      </w:r>
      <w:r w:rsidR="001856EA" w:rsidRPr="001C76DC">
        <w:rPr>
          <w:rFonts w:eastAsia="MS Mincho"/>
          <w:szCs w:val="24"/>
          <w:lang w:eastAsia="ja-JP"/>
        </w:rPr>
        <w:t>built in advance of need, not cost effective, not used and useful, and imprudent.</w:t>
      </w:r>
      <w:r w:rsidR="001856EA">
        <w:rPr>
          <w:rStyle w:val="FootnoteReference"/>
          <w:rFonts w:eastAsia="MS Mincho"/>
          <w:szCs w:val="24"/>
          <w:lang w:eastAsia="ja-JP"/>
        </w:rPr>
        <w:footnoteReference w:id="26"/>
      </w:r>
      <w:r w:rsidR="001856EA" w:rsidRPr="001C76DC">
        <w:rPr>
          <w:rFonts w:eastAsia="MS Mincho"/>
          <w:szCs w:val="24"/>
          <w:lang w:eastAsia="ja-JP"/>
        </w:rPr>
        <w:t xml:space="preserve">  </w:t>
      </w:r>
      <w:r w:rsidR="00731509" w:rsidRPr="001C76DC">
        <w:rPr>
          <w:rFonts w:eastAsia="MS Mincho"/>
          <w:szCs w:val="24"/>
          <w:lang w:eastAsia="ja-JP"/>
        </w:rPr>
        <w:t>WUTC staff also recommended reduc</w:t>
      </w:r>
      <w:r w:rsidR="00273BC0" w:rsidRPr="001C76DC">
        <w:rPr>
          <w:rFonts w:eastAsia="MS Mincho"/>
          <w:szCs w:val="24"/>
          <w:lang w:eastAsia="ja-JP"/>
        </w:rPr>
        <w:t>ing</w:t>
      </w:r>
      <w:r w:rsidR="00731509" w:rsidRPr="001C76DC">
        <w:rPr>
          <w:rFonts w:eastAsia="MS Mincho"/>
          <w:szCs w:val="24"/>
          <w:lang w:eastAsia="ja-JP"/>
        </w:rPr>
        <w:t xml:space="preserve"> PSE</w:t>
      </w:r>
      <w:r w:rsidR="00273BC0" w:rsidRPr="001C76DC">
        <w:rPr>
          <w:rFonts w:eastAsia="MS Mincho"/>
          <w:szCs w:val="24"/>
          <w:lang w:eastAsia="ja-JP"/>
        </w:rPr>
        <w:t>’</w:t>
      </w:r>
      <w:r w:rsidR="00731509" w:rsidRPr="001C76DC">
        <w:rPr>
          <w:rFonts w:eastAsia="MS Mincho"/>
          <w:szCs w:val="24"/>
          <w:lang w:eastAsia="ja-JP"/>
        </w:rPr>
        <w:t>s recovery on power costs, incentive pay, and federal income-tax issues associated with the project.</w:t>
      </w:r>
      <w:r w:rsidR="00731509" w:rsidRPr="00731509">
        <w:rPr>
          <w:rFonts w:eastAsia="MS Mincho"/>
          <w:vertAlign w:val="superscript"/>
          <w:lang w:eastAsia="ja-JP"/>
        </w:rPr>
        <w:footnoteReference w:id="27"/>
      </w:r>
      <w:r w:rsidR="00731509" w:rsidRPr="001C76DC">
        <w:rPr>
          <w:rFonts w:eastAsia="MS Mincho"/>
          <w:szCs w:val="24"/>
          <w:lang w:eastAsia="ja-JP"/>
        </w:rPr>
        <w:t xml:space="preserve"> </w:t>
      </w:r>
    </w:p>
    <w:p w14:paraId="3E8A0AEF" w14:textId="518D7FD6" w:rsidR="000D0B5A" w:rsidRPr="001C76DC" w:rsidRDefault="00523449" w:rsidP="00523449">
      <w:pPr>
        <w:pStyle w:val="ListParagraph"/>
        <w:numPr>
          <w:ilvl w:val="1"/>
          <w:numId w:val="33"/>
        </w:numPr>
        <w:spacing w:line="480" w:lineRule="auto"/>
        <w:ind w:left="0" w:hanging="540"/>
        <w:rPr>
          <w:rFonts w:eastAsia="MS Mincho"/>
          <w:szCs w:val="24"/>
          <w:lang w:eastAsia="ja-JP"/>
        </w:rPr>
      </w:pPr>
      <w:r>
        <w:t xml:space="preserve">            </w:t>
      </w:r>
      <w:r w:rsidR="00A848E2" w:rsidRPr="001C76DC">
        <w:rPr>
          <w:rFonts w:eastAsia="MS Mincho"/>
          <w:szCs w:val="24"/>
          <w:lang w:eastAsia="ja-JP"/>
        </w:rPr>
        <w:t xml:space="preserve">The Commission </w:t>
      </w:r>
      <w:r w:rsidR="00D45C17" w:rsidRPr="001C76DC">
        <w:rPr>
          <w:rFonts w:eastAsia="MS Mincho"/>
          <w:szCs w:val="24"/>
          <w:lang w:eastAsia="ja-JP"/>
        </w:rPr>
        <w:t>concluded that</w:t>
      </w:r>
      <w:r w:rsidR="00A848E2" w:rsidRPr="001C76DC">
        <w:rPr>
          <w:rFonts w:eastAsia="MS Mincho"/>
          <w:szCs w:val="24"/>
          <w:lang w:eastAsia="ja-JP"/>
        </w:rPr>
        <w:t xml:space="preserve"> PSE had constructed Lower Snake River 1 in advance of need, but found this decision prudent in light of the utility’s renewable portfolio standard obligations.</w:t>
      </w:r>
      <w:r w:rsidR="00373533">
        <w:rPr>
          <w:rStyle w:val="FootnoteReference"/>
          <w:rFonts w:eastAsia="MS Mincho"/>
          <w:szCs w:val="24"/>
          <w:lang w:eastAsia="ja-JP"/>
        </w:rPr>
        <w:footnoteReference w:id="28"/>
      </w:r>
      <w:r w:rsidR="00545585" w:rsidRPr="001C76DC">
        <w:rPr>
          <w:rFonts w:eastAsia="MS Mincho"/>
          <w:szCs w:val="24"/>
          <w:lang w:eastAsia="ja-JP"/>
        </w:rPr>
        <w:t xml:space="preserve">  </w:t>
      </w:r>
      <w:r w:rsidR="00AB3D04" w:rsidRPr="001C76DC">
        <w:rPr>
          <w:rFonts w:eastAsia="MS Mincho"/>
          <w:szCs w:val="24"/>
          <w:lang w:eastAsia="ja-JP"/>
        </w:rPr>
        <w:t>However, i</w:t>
      </w:r>
      <w:r w:rsidR="00545585" w:rsidRPr="001C76DC">
        <w:rPr>
          <w:rFonts w:eastAsia="MS Mincho"/>
          <w:szCs w:val="24"/>
          <w:lang w:eastAsia="ja-JP"/>
        </w:rPr>
        <w:t xml:space="preserve">f PSE had purchased a PPA, then it likely would not have needed to include </w:t>
      </w:r>
      <w:r w:rsidR="00D45C17" w:rsidRPr="001C76DC">
        <w:rPr>
          <w:rFonts w:eastAsia="MS Mincho"/>
          <w:szCs w:val="24"/>
          <w:lang w:eastAsia="ja-JP"/>
        </w:rPr>
        <w:t xml:space="preserve">PSE’s $770 million investment in Lower Snake River 1 </w:t>
      </w:r>
      <w:r w:rsidR="00545585" w:rsidRPr="001C76DC">
        <w:rPr>
          <w:rFonts w:eastAsia="MS Mincho"/>
          <w:szCs w:val="24"/>
          <w:lang w:eastAsia="ja-JP"/>
        </w:rPr>
        <w:t>in rates so far before the power was needed.</w:t>
      </w:r>
    </w:p>
    <w:p w14:paraId="50D23BCE" w14:textId="77D45227" w:rsidR="009F317F" w:rsidRPr="001C76DC" w:rsidRDefault="00523449" w:rsidP="00523449">
      <w:pPr>
        <w:pStyle w:val="ListParagraph"/>
        <w:numPr>
          <w:ilvl w:val="1"/>
          <w:numId w:val="33"/>
        </w:numPr>
        <w:spacing w:line="480" w:lineRule="auto"/>
        <w:ind w:left="0" w:hanging="540"/>
        <w:rPr>
          <w:rFonts w:eastAsia="MS Mincho"/>
          <w:szCs w:val="24"/>
          <w:lang w:eastAsia="ja-JP"/>
        </w:rPr>
      </w:pPr>
      <w:r>
        <w:t xml:space="preserve">            </w:t>
      </w:r>
      <w:r w:rsidR="009F317F" w:rsidRPr="001C76DC">
        <w:rPr>
          <w:rFonts w:eastAsia="MS Mincho"/>
          <w:szCs w:val="24"/>
          <w:lang w:eastAsia="ja-JP"/>
        </w:rPr>
        <w:t>Lower Snake River was originally permitted in 2009 for 1</w:t>
      </w:r>
      <w:r w:rsidR="00545585" w:rsidRPr="001C76DC">
        <w:rPr>
          <w:rFonts w:eastAsia="MS Mincho"/>
          <w:szCs w:val="24"/>
          <w:lang w:eastAsia="ja-JP"/>
        </w:rPr>
        <w:t>,</w:t>
      </w:r>
      <w:r w:rsidR="00360703">
        <w:rPr>
          <w:rFonts w:eastAsia="MS Mincho"/>
          <w:szCs w:val="24"/>
          <w:lang w:eastAsia="ja-JP"/>
        </w:rPr>
        <w:t>432</w:t>
      </w:r>
      <w:r w:rsidR="00360703" w:rsidRPr="001C76DC">
        <w:rPr>
          <w:rFonts w:eastAsia="MS Mincho"/>
          <w:szCs w:val="24"/>
          <w:lang w:eastAsia="ja-JP"/>
        </w:rPr>
        <w:t xml:space="preserve"> </w:t>
      </w:r>
      <w:r w:rsidR="009F317F" w:rsidRPr="001C76DC">
        <w:rPr>
          <w:rFonts w:eastAsia="MS Mincho"/>
          <w:szCs w:val="24"/>
          <w:lang w:eastAsia="ja-JP"/>
        </w:rPr>
        <w:t xml:space="preserve">MW of wind generation, the largest announced project in the nation at the time, and was to be </w:t>
      </w:r>
      <w:r w:rsidR="009F317F" w:rsidRPr="001C76DC">
        <w:rPr>
          <w:rFonts w:eastAsia="MS Mincho"/>
          <w:szCs w:val="24"/>
          <w:lang w:eastAsia="ja-JP"/>
        </w:rPr>
        <w:lastRenderedPageBreak/>
        <w:t>implemented in phases.</w:t>
      </w:r>
      <w:r w:rsidR="009F317F">
        <w:rPr>
          <w:rStyle w:val="FootnoteReference"/>
          <w:rFonts w:eastAsia="MS Mincho"/>
          <w:szCs w:val="24"/>
          <w:lang w:eastAsia="ja-JP"/>
        </w:rPr>
        <w:footnoteReference w:id="29"/>
      </w:r>
      <w:r w:rsidR="009F317F" w:rsidRPr="001C76DC">
        <w:rPr>
          <w:rFonts w:eastAsia="MS Mincho"/>
          <w:szCs w:val="24"/>
          <w:lang w:eastAsia="ja-JP"/>
        </w:rPr>
        <w:t xml:space="preserve"> </w:t>
      </w:r>
      <w:r w:rsidR="008F0F6B" w:rsidRPr="001C76DC">
        <w:rPr>
          <w:rFonts w:eastAsia="MS Mincho"/>
          <w:szCs w:val="24"/>
          <w:lang w:eastAsia="ja-JP"/>
        </w:rPr>
        <w:t xml:space="preserve"> </w:t>
      </w:r>
      <w:r w:rsidR="009F317F" w:rsidRPr="001C76DC">
        <w:rPr>
          <w:rFonts w:eastAsia="MS Mincho"/>
          <w:szCs w:val="24"/>
          <w:lang w:eastAsia="ja-JP"/>
        </w:rPr>
        <w:t>Phase I</w:t>
      </w:r>
      <w:r w:rsidR="00AB3D04" w:rsidRPr="001C76DC">
        <w:rPr>
          <w:rFonts w:eastAsia="MS Mincho"/>
          <w:szCs w:val="24"/>
          <w:lang w:eastAsia="ja-JP"/>
        </w:rPr>
        <w:t xml:space="preserve"> </w:t>
      </w:r>
      <w:r w:rsidR="009F317F" w:rsidRPr="001C76DC">
        <w:rPr>
          <w:rFonts w:eastAsia="MS Mincho"/>
          <w:szCs w:val="24"/>
          <w:lang w:eastAsia="ja-JP"/>
        </w:rPr>
        <w:t>included 149 turbines generating 343 MW of wind power at $70.62 per MWh</w:t>
      </w:r>
      <w:r w:rsidR="000669B8" w:rsidRPr="001C76DC">
        <w:rPr>
          <w:rFonts w:eastAsia="MS Mincho"/>
          <w:szCs w:val="24"/>
          <w:lang w:eastAsia="ja-JP"/>
        </w:rPr>
        <w:t>, which is still a “cost-plus” figure based on costs initially placed in rate base without any real guarantee as to escalation of operations and maintenance or reduced performance over the project’s lifetime</w:t>
      </w:r>
      <w:r w:rsidR="009F317F" w:rsidRPr="001C76DC">
        <w:rPr>
          <w:rFonts w:eastAsia="MS Mincho"/>
          <w:szCs w:val="24"/>
          <w:lang w:eastAsia="ja-JP"/>
        </w:rPr>
        <w:t>.  Because PSE significantly overestimated its need for renewable energy and transmission, PSE eventually sold off much of the wind site to PGE.  Phase II of Lower Snake River was built as PGE’s lower Tucannon 267 MW wind project, including 116 turbines that cost PGE’s ratepayers approximately $525 million.</w:t>
      </w:r>
      <w:r w:rsidR="009F317F">
        <w:rPr>
          <w:rStyle w:val="FootnoteReference"/>
          <w:rFonts w:eastAsia="MS Mincho"/>
          <w:szCs w:val="24"/>
          <w:lang w:eastAsia="ja-JP"/>
        </w:rPr>
        <w:footnoteReference w:id="30"/>
      </w:r>
      <w:r w:rsidR="009F317F" w:rsidRPr="001C76DC">
        <w:rPr>
          <w:rFonts w:eastAsia="MS Mincho"/>
          <w:szCs w:val="24"/>
          <w:lang w:eastAsia="ja-JP"/>
        </w:rPr>
        <w:t xml:space="preserve"> </w:t>
      </w:r>
      <w:r w:rsidR="00517D16" w:rsidRPr="001C76DC">
        <w:rPr>
          <w:rFonts w:eastAsia="MS Mincho"/>
          <w:szCs w:val="24"/>
          <w:lang w:eastAsia="ja-JP"/>
        </w:rPr>
        <w:t xml:space="preserve"> PSE appears to be repeating </w:t>
      </w:r>
      <w:r w:rsidR="00273BC0" w:rsidRPr="001C76DC">
        <w:rPr>
          <w:rFonts w:eastAsia="MS Mincho"/>
          <w:szCs w:val="24"/>
          <w:lang w:eastAsia="ja-JP"/>
        </w:rPr>
        <w:t xml:space="preserve">this regrettable </w:t>
      </w:r>
      <w:r w:rsidR="00517D16" w:rsidRPr="001C76DC">
        <w:rPr>
          <w:rFonts w:eastAsia="MS Mincho"/>
          <w:szCs w:val="24"/>
          <w:lang w:eastAsia="ja-JP"/>
        </w:rPr>
        <w:t xml:space="preserve">history, as the </w:t>
      </w:r>
      <w:r w:rsidR="006F064F" w:rsidRPr="001C76DC">
        <w:rPr>
          <w:rFonts w:eastAsia="MS Mincho"/>
          <w:szCs w:val="24"/>
          <w:lang w:eastAsia="ja-JP"/>
        </w:rPr>
        <w:t>assumed Washington wind in its draft 2017 IRP have capital costs of $2,018 per kilowatt (“kW”), as compared to PGE’s draft 2016 IRP with has an assumption of $1,400 per kW</w:t>
      </w:r>
      <w:r w:rsidR="00891D41" w:rsidRPr="001C76DC">
        <w:rPr>
          <w:rFonts w:eastAsia="MS Mincho"/>
          <w:szCs w:val="24"/>
          <w:lang w:eastAsia="ja-JP"/>
        </w:rPr>
        <w:t>,</w:t>
      </w:r>
      <w:r w:rsidR="00317405">
        <w:rPr>
          <w:rStyle w:val="FootnoteReference"/>
          <w:rFonts w:eastAsia="MS Mincho"/>
          <w:szCs w:val="24"/>
          <w:lang w:eastAsia="ja-JP"/>
        </w:rPr>
        <w:footnoteReference w:id="31"/>
      </w:r>
      <w:r w:rsidR="00891D41" w:rsidRPr="001C76DC">
        <w:rPr>
          <w:rFonts w:eastAsia="MS Mincho"/>
          <w:szCs w:val="24"/>
          <w:lang w:eastAsia="ja-JP"/>
        </w:rPr>
        <w:t xml:space="preserve"> and potentially lower costs in the market.</w:t>
      </w:r>
    </w:p>
    <w:p w14:paraId="2C4D2488" w14:textId="1BB9061B" w:rsidR="009F317F" w:rsidRPr="001C76DC" w:rsidRDefault="00523449" w:rsidP="00523449">
      <w:pPr>
        <w:pStyle w:val="ListParagraph"/>
        <w:numPr>
          <w:ilvl w:val="1"/>
          <w:numId w:val="33"/>
        </w:numPr>
        <w:spacing w:line="480" w:lineRule="auto"/>
        <w:ind w:left="0" w:hanging="540"/>
        <w:rPr>
          <w:rFonts w:eastAsia="MS Mincho"/>
          <w:szCs w:val="24"/>
          <w:lang w:eastAsia="ja-JP"/>
        </w:rPr>
      </w:pPr>
      <w:r>
        <w:t xml:space="preserve">            </w:t>
      </w:r>
      <w:r w:rsidR="00C04F13" w:rsidRPr="001C76DC">
        <w:rPr>
          <w:rFonts w:eastAsia="MS Mincho"/>
          <w:szCs w:val="24"/>
          <w:lang w:eastAsia="ja-JP"/>
        </w:rPr>
        <w:t>By way of co</w:t>
      </w:r>
      <w:r w:rsidR="009147EB" w:rsidRPr="001C76DC">
        <w:rPr>
          <w:rFonts w:eastAsia="MS Mincho"/>
          <w:szCs w:val="24"/>
          <w:lang w:eastAsia="ja-JP"/>
        </w:rPr>
        <w:t>ntrast</w:t>
      </w:r>
      <w:r w:rsidR="00C04F13" w:rsidRPr="001C76DC">
        <w:rPr>
          <w:rFonts w:eastAsia="MS Mincho"/>
          <w:szCs w:val="24"/>
          <w:lang w:eastAsia="ja-JP"/>
        </w:rPr>
        <w:t>, in 201</w:t>
      </w:r>
      <w:r w:rsidR="00034D54">
        <w:rPr>
          <w:rFonts w:eastAsia="MS Mincho"/>
          <w:szCs w:val="24"/>
          <w:lang w:eastAsia="ja-JP"/>
        </w:rPr>
        <w:t>2</w:t>
      </w:r>
      <w:r w:rsidR="009F317F" w:rsidRPr="001C76DC">
        <w:rPr>
          <w:rFonts w:eastAsia="MS Mincho"/>
          <w:szCs w:val="24"/>
          <w:lang w:eastAsia="ja-JP"/>
        </w:rPr>
        <w:t xml:space="preserve"> the Commission also approved</w:t>
      </w:r>
      <w:r w:rsidR="009147EB" w:rsidRPr="001C76DC">
        <w:rPr>
          <w:rFonts w:eastAsia="MS Mincho"/>
          <w:szCs w:val="24"/>
          <w:lang w:eastAsia="ja-JP"/>
        </w:rPr>
        <w:t xml:space="preserve"> as prudent</w:t>
      </w:r>
      <w:r w:rsidR="009F317F" w:rsidRPr="001C76DC">
        <w:rPr>
          <w:rFonts w:eastAsia="MS Mincho"/>
          <w:szCs w:val="24"/>
          <w:lang w:eastAsia="ja-JP"/>
        </w:rPr>
        <w:t xml:space="preserve"> Avista’s 30-year PPA with Palouse Wind.</w:t>
      </w:r>
      <w:r w:rsidR="009F317F">
        <w:rPr>
          <w:rStyle w:val="FootnoteReference"/>
          <w:rFonts w:eastAsia="MS Mincho"/>
          <w:szCs w:val="24"/>
          <w:lang w:eastAsia="ja-JP"/>
        </w:rPr>
        <w:footnoteReference w:id="32"/>
      </w:r>
      <w:r w:rsidR="009F317F" w:rsidRPr="001C76DC">
        <w:rPr>
          <w:rFonts w:eastAsia="MS Mincho"/>
          <w:szCs w:val="24"/>
          <w:lang w:eastAsia="ja-JP"/>
        </w:rPr>
        <w:t xml:space="preserve">  Palouse Wind’s $62 per MWh bid was selected from Avista’s RFP</w:t>
      </w:r>
      <w:r w:rsidR="00B45D43">
        <w:rPr>
          <w:rFonts w:eastAsia="MS Mincho"/>
          <w:szCs w:val="24"/>
          <w:lang w:eastAsia="ja-JP"/>
        </w:rPr>
        <w:t xml:space="preserve"> to build a</w:t>
      </w:r>
      <w:r w:rsidR="00B45D43" w:rsidRPr="001C76DC">
        <w:rPr>
          <w:rFonts w:eastAsia="MS Mincho"/>
          <w:szCs w:val="24"/>
          <w:lang w:eastAsia="ja-JP"/>
        </w:rPr>
        <w:t xml:space="preserve"> 58 turbine project generating 104 MW in Whitman County</w:t>
      </w:r>
      <w:r w:rsidR="009F317F" w:rsidRPr="001C76DC">
        <w:rPr>
          <w:rFonts w:eastAsia="MS Mincho"/>
          <w:szCs w:val="24"/>
          <w:lang w:eastAsia="ja-JP"/>
        </w:rPr>
        <w:t>.</w:t>
      </w:r>
      <w:r w:rsidR="009F317F">
        <w:rPr>
          <w:rStyle w:val="FootnoteReference"/>
          <w:rFonts w:eastAsia="MS Mincho"/>
          <w:szCs w:val="24"/>
          <w:lang w:eastAsia="ja-JP"/>
        </w:rPr>
        <w:footnoteReference w:id="33"/>
      </w:r>
      <w:r w:rsidR="009F317F" w:rsidRPr="001C76DC">
        <w:rPr>
          <w:rFonts w:eastAsia="MS Mincho"/>
          <w:szCs w:val="24"/>
          <w:lang w:eastAsia="ja-JP"/>
        </w:rPr>
        <w:t xml:space="preserve"> </w:t>
      </w:r>
      <w:r w:rsidR="00B2599D" w:rsidRPr="001C76DC">
        <w:rPr>
          <w:rFonts w:eastAsia="MS Mincho"/>
          <w:szCs w:val="24"/>
          <w:lang w:eastAsia="ja-JP"/>
        </w:rPr>
        <w:t xml:space="preserve"> </w:t>
      </w:r>
      <w:r w:rsidR="009F317F" w:rsidRPr="001C76DC">
        <w:rPr>
          <w:rFonts w:eastAsia="MS Mincho"/>
          <w:szCs w:val="24"/>
          <w:lang w:eastAsia="ja-JP"/>
        </w:rPr>
        <w:t xml:space="preserve">Unlike Lower Snake River 1 and Tucannon, </w:t>
      </w:r>
      <w:r w:rsidR="00B2599D" w:rsidRPr="001C76DC">
        <w:rPr>
          <w:rFonts w:eastAsia="MS Mincho"/>
          <w:szCs w:val="24"/>
          <w:lang w:eastAsia="ja-JP"/>
        </w:rPr>
        <w:t xml:space="preserve">any </w:t>
      </w:r>
      <w:r w:rsidR="009F317F" w:rsidRPr="001C76DC">
        <w:rPr>
          <w:rFonts w:eastAsia="MS Mincho"/>
          <w:szCs w:val="24"/>
          <w:lang w:eastAsia="ja-JP"/>
        </w:rPr>
        <w:t xml:space="preserve">Palouse Wind cost overruns could not </w:t>
      </w:r>
      <w:r w:rsidR="009F317F" w:rsidRPr="001C76DC">
        <w:rPr>
          <w:rFonts w:eastAsia="MS Mincho"/>
          <w:szCs w:val="24"/>
          <w:lang w:eastAsia="ja-JP"/>
        </w:rPr>
        <w:lastRenderedPageBreak/>
        <w:t xml:space="preserve">be collected from ratepayers. </w:t>
      </w:r>
      <w:r w:rsidR="00B2599D" w:rsidRPr="001C76DC">
        <w:rPr>
          <w:rFonts w:eastAsia="MS Mincho"/>
          <w:szCs w:val="24"/>
          <w:lang w:eastAsia="ja-JP"/>
        </w:rPr>
        <w:t xml:space="preserve"> </w:t>
      </w:r>
      <w:r w:rsidR="009F317F" w:rsidRPr="001C76DC">
        <w:rPr>
          <w:rFonts w:eastAsia="MS Mincho"/>
          <w:szCs w:val="24"/>
          <w:lang w:eastAsia="ja-JP"/>
        </w:rPr>
        <w:t>Comparing PSE’s</w:t>
      </w:r>
      <w:r w:rsidR="00F97DBB" w:rsidRPr="001C76DC">
        <w:rPr>
          <w:rFonts w:eastAsia="MS Mincho"/>
          <w:szCs w:val="24"/>
          <w:lang w:eastAsia="ja-JP"/>
        </w:rPr>
        <w:t xml:space="preserve"> contemporaneous</w:t>
      </w:r>
      <w:r w:rsidR="009F317F" w:rsidRPr="001C76DC">
        <w:rPr>
          <w:rFonts w:eastAsia="MS Mincho"/>
          <w:szCs w:val="24"/>
          <w:lang w:eastAsia="ja-JP"/>
        </w:rPr>
        <w:t xml:space="preserve"> </w:t>
      </w:r>
      <w:r w:rsidR="000669B8" w:rsidRPr="001C76DC">
        <w:rPr>
          <w:rFonts w:eastAsia="MS Mincho"/>
          <w:szCs w:val="24"/>
          <w:lang w:eastAsia="ja-JP"/>
        </w:rPr>
        <w:t xml:space="preserve">cost-plus </w:t>
      </w:r>
      <w:r w:rsidR="009F317F" w:rsidRPr="001C76DC">
        <w:rPr>
          <w:rFonts w:eastAsia="MS Mincho"/>
          <w:szCs w:val="24"/>
          <w:lang w:eastAsia="ja-JP"/>
        </w:rPr>
        <w:t xml:space="preserve">$70.62 </w:t>
      </w:r>
      <w:r w:rsidR="000669B8" w:rsidRPr="001C76DC">
        <w:rPr>
          <w:rFonts w:eastAsia="MS Mincho"/>
          <w:szCs w:val="24"/>
          <w:lang w:eastAsia="ja-JP"/>
        </w:rPr>
        <w:t xml:space="preserve">per </w:t>
      </w:r>
      <w:r w:rsidR="009F317F" w:rsidRPr="001C76DC">
        <w:rPr>
          <w:rFonts w:eastAsia="MS Mincho"/>
          <w:szCs w:val="24"/>
          <w:lang w:eastAsia="ja-JP"/>
        </w:rPr>
        <w:t xml:space="preserve">MWh price with Avista’s </w:t>
      </w:r>
      <w:r w:rsidR="000669B8" w:rsidRPr="001C76DC">
        <w:rPr>
          <w:rFonts w:eastAsia="MS Mincho"/>
          <w:szCs w:val="24"/>
          <w:lang w:eastAsia="ja-JP"/>
        </w:rPr>
        <w:t xml:space="preserve">fixed-price </w:t>
      </w:r>
      <w:r w:rsidR="009F317F" w:rsidRPr="001C76DC">
        <w:rPr>
          <w:rFonts w:eastAsia="MS Mincho"/>
          <w:szCs w:val="24"/>
          <w:lang w:eastAsia="ja-JP"/>
        </w:rPr>
        <w:t xml:space="preserve">$62 </w:t>
      </w:r>
      <w:r w:rsidR="000669B8" w:rsidRPr="001C76DC">
        <w:rPr>
          <w:rFonts w:eastAsia="MS Mincho"/>
          <w:szCs w:val="24"/>
          <w:lang w:eastAsia="ja-JP"/>
        </w:rPr>
        <w:t xml:space="preserve">per MWh price </w:t>
      </w:r>
      <w:r w:rsidR="009F317F" w:rsidRPr="001C76DC">
        <w:rPr>
          <w:rFonts w:eastAsia="MS Mincho"/>
          <w:szCs w:val="24"/>
          <w:lang w:eastAsia="ja-JP"/>
        </w:rPr>
        <w:t xml:space="preserve">makes clear that PPAs can offer significant </w:t>
      </w:r>
      <w:r w:rsidR="00270CDC" w:rsidRPr="001C76DC">
        <w:rPr>
          <w:rFonts w:eastAsia="MS Mincho"/>
          <w:szCs w:val="24"/>
          <w:lang w:eastAsia="ja-JP"/>
        </w:rPr>
        <w:t>long-term</w:t>
      </w:r>
      <w:r w:rsidR="009F317F" w:rsidRPr="001C76DC">
        <w:rPr>
          <w:rFonts w:eastAsia="MS Mincho"/>
          <w:szCs w:val="24"/>
          <w:lang w:eastAsia="ja-JP"/>
        </w:rPr>
        <w:t xml:space="preserve"> savings to ratepayers</w:t>
      </w:r>
      <w:r w:rsidR="00F97DBB" w:rsidRPr="001C76DC">
        <w:rPr>
          <w:rFonts w:eastAsia="MS Mincho"/>
          <w:szCs w:val="24"/>
          <w:lang w:eastAsia="ja-JP"/>
        </w:rPr>
        <w:t xml:space="preserve"> in addition to greater flexibility and lower risk</w:t>
      </w:r>
      <w:r w:rsidR="009F317F" w:rsidRPr="001C76DC">
        <w:rPr>
          <w:rFonts w:eastAsia="MS Mincho"/>
          <w:szCs w:val="24"/>
          <w:lang w:eastAsia="ja-JP"/>
        </w:rPr>
        <w:t xml:space="preserve">.  </w:t>
      </w:r>
    </w:p>
    <w:p w14:paraId="46D9FAAF" w14:textId="046CDDF6" w:rsidR="00E80FAD" w:rsidRPr="001C76DC" w:rsidRDefault="00523449" w:rsidP="00523449">
      <w:pPr>
        <w:pStyle w:val="ListParagraph"/>
        <w:numPr>
          <w:ilvl w:val="1"/>
          <w:numId w:val="33"/>
        </w:numPr>
        <w:spacing w:line="480" w:lineRule="auto"/>
        <w:ind w:left="0" w:hanging="540"/>
        <w:rPr>
          <w:rFonts w:eastAsia="MS Mincho"/>
          <w:szCs w:val="24"/>
          <w:lang w:eastAsia="ja-JP"/>
        </w:rPr>
      </w:pPr>
      <w:r>
        <w:t xml:space="preserve">            </w:t>
      </w:r>
      <w:r w:rsidR="002B53E6" w:rsidRPr="001C76DC">
        <w:rPr>
          <w:rFonts w:eastAsia="MS Mincho"/>
          <w:szCs w:val="24"/>
          <w:lang w:eastAsia="ja-JP"/>
        </w:rPr>
        <w:t xml:space="preserve">While Avista smartly entered into the Palouse </w:t>
      </w:r>
      <w:r w:rsidR="00E80FAD" w:rsidRPr="001C76DC">
        <w:rPr>
          <w:rFonts w:eastAsia="MS Mincho"/>
          <w:szCs w:val="24"/>
          <w:lang w:eastAsia="ja-JP"/>
        </w:rPr>
        <w:t>PPA, this only occurred after that utility’s original decision to construct, and then abandon, the Reardan Wind Project.   Four years after the project commenced, but</w:t>
      </w:r>
      <w:r w:rsidR="001F7BDD" w:rsidRPr="001C76DC">
        <w:rPr>
          <w:rFonts w:eastAsia="MS Mincho"/>
          <w:szCs w:val="24"/>
          <w:lang w:eastAsia="ja-JP"/>
        </w:rPr>
        <w:t>,</w:t>
      </w:r>
      <w:r w:rsidR="00E80FAD" w:rsidRPr="001C76DC">
        <w:rPr>
          <w:rFonts w:eastAsia="MS Mincho"/>
          <w:szCs w:val="24"/>
          <w:lang w:eastAsia="ja-JP"/>
        </w:rPr>
        <w:t xml:space="preserve"> luckily for ratepayers, before project construction had </w:t>
      </w:r>
      <w:r w:rsidR="00EE1BE3" w:rsidRPr="001C76DC">
        <w:rPr>
          <w:rFonts w:eastAsia="MS Mincho"/>
          <w:szCs w:val="24"/>
          <w:lang w:eastAsia="ja-JP"/>
        </w:rPr>
        <w:t>actually started</w:t>
      </w:r>
      <w:r w:rsidR="00E80FAD" w:rsidRPr="001C76DC">
        <w:rPr>
          <w:rFonts w:eastAsia="MS Mincho"/>
          <w:szCs w:val="24"/>
          <w:lang w:eastAsia="ja-JP"/>
        </w:rPr>
        <w:t xml:space="preserve">, Avista reevaluated the estimated costs of the project </w:t>
      </w:r>
      <w:r w:rsidR="00EE1BE3" w:rsidRPr="001C76DC">
        <w:rPr>
          <w:rFonts w:eastAsia="MS Mincho"/>
          <w:szCs w:val="24"/>
          <w:lang w:eastAsia="ja-JP"/>
        </w:rPr>
        <w:t xml:space="preserve">and </w:t>
      </w:r>
      <w:r w:rsidR="00E80FAD" w:rsidRPr="001C76DC">
        <w:rPr>
          <w:rFonts w:eastAsia="MS Mincho"/>
          <w:szCs w:val="24"/>
          <w:lang w:eastAsia="ja-JP"/>
        </w:rPr>
        <w:t>abandon</w:t>
      </w:r>
      <w:r w:rsidR="00EE1BE3" w:rsidRPr="001C76DC">
        <w:rPr>
          <w:rFonts w:eastAsia="MS Mincho"/>
          <w:szCs w:val="24"/>
          <w:lang w:eastAsia="ja-JP"/>
        </w:rPr>
        <w:t>ed Reardan</w:t>
      </w:r>
      <w:r w:rsidR="00E80FAD" w:rsidRPr="001C76DC">
        <w:rPr>
          <w:rFonts w:eastAsia="MS Mincho"/>
          <w:szCs w:val="24"/>
          <w:lang w:eastAsia="ja-JP"/>
        </w:rPr>
        <w:t xml:space="preserve">. </w:t>
      </w:r>
      <w:r w:rsidR="009A6CF7" w:rsidRPr="001C76DC">
        <w:rPr>
          <w:rFonts w:eastAsia="MS Mincho"/>
          <w:szCs w:val="24"/>
          <w:lang w:eastAsia="ja-JP"/>
        </w:rPr>
        <w:t xml:space="preserve"> </w:t>
      </w:r>
      <w:r w:rsidR="00E80FAD" w:rsidRPr="001C76DC">
        <w:rPr>
          <w:rFonts w:eastAsia="MS Mincho"/>
          <w:szCs w:val="24"/>
          <w:lang w:eastAsia="ja-JP"/>
        </w:rPr>
        <w:t xml:space="preserve">The Commission </w:t>
      </w:r>
      <w:r w:rsidR="00EE1BE3" w:rsidRPr="001C76DC">
        <w:rPr>
          <w:rFonts w:eastAsia="MS Mincho"/>
          <w:szCs w:val="24"/>
          <w:lang w:eastAsia="ja-JP"/>
        </w:rPr>
        <w:t xml:space="preserve">ultimately </w:t>
      </w:r>
      <w:r w:rsidR="00E80FAD" w:rsidRPr="001C76DC">
        <w:rPr>
          <w:rFonts w:eastAsia="MS Mincho"/>
          <w:szCs w:val="24"/>
          <w:lang w:eastAsia="ja-JP"/>
        </w:rPr>
        <w:t>authorized Avista to recover its share</w:t>
      </w:r>
      <w:r w:rsidR="00C04F13" w:rsidRPr="001C76DC">
        <w:rPr>
          <w:rFonts w:eastAsia="MS Mincho"/>
          <w:szCs w:val="24"/>
          <w:lang w:eastAsia="ja-JP"/>
        </w:rPr>
        <w:t>,</w:t>
      </w:r>
      <w:r w:rsidR="00E80FAD" w:rsidRPr="001C76DC">
        <w:rPr>
          <w:rFonts w:eastAsia="MS Mincho"/>
          <w:szCs w:val="24"/>
          <w:lang w:eastAsia="ja-JP"/>
        </w:rPr>
        <w:t xml:space="preserve"> </w:t>
      </w:r>
      <w:r w:rsidR="00F0402F" w:rsidRPr="001C76DC">
        <w:rPr>
          <w:rFonts w:eastAsia="MS Mincho"/>
          <w:szCs w:val="24"/>
          <w:lang w:eastAsia="ja-JP"/>
        </w:rPr>
        <w:t>about $2.5 million from customers</w:t>
      </w:r>
      <w:r w:rsidR="00E80FAD" w:rsidRPr="001C76DC">
        <w:rPr>
          <w:rFonts w:eastAsia="MS Mincho"/>
          <w:szCs w:val="24"/>
          <w:lang w:eastAsia="ja-JP"/>
        </w:rPr>
        <w:t>.</w:t>
      </w:r>
      <w:r w:rsidR="00F0402F">
        <w:rPr>
          <w:rStyle w:val="FootnoteReference"/>
          <w:rFonts w:eastAsia="MS Mincho"/>
          <w:szCs w:val="24"/>
          <w:lang w:eastAsia="ja-JP"/>
        </w:rPr>
        <w:footnoteReference w:id="34"/>
      </w:r>
      <w:r w:rsidR="00E80FAD" w:rsidRPr="001C76DC">
        <w:rPr>
          <w:rFonts w:eastAsia="MS Mincho"/>
          <w:szCs w:val="24"/>
          <w:lang w:eastAsia="ja-JP"/>
        </w:rPr>
        <w:t xml:space="preserve"> </w:t>
      </w:r>
      <w:r w:rsidR="001F7BDD" w:rsidRPr="001C76DC">
        <w:rPr>
          <w:rFonts w:eastAsia="MS Mincho"/>
          <w:szCs w:val="24"/>
          <w:lang w:eastAsia="ja-JP"/>
        </w:rPr>
        <w:t xml:space="preserve"> </w:t>
      </w:r>
    </w:p>
    <w:p w14:paraId="78390D4B" w14:textId="4BD3BA65" w:rsidR="00090934" w:rsidRPr="001C76DC" w:rsidRDefault="00523449" w:rsidP="00523449">
      <w:pPr>
        <w:pStyle w:val="ListParagraph"/>
        <w:numPr>
          <w:ilvl w:val="1"/>
          <w:numId w:val="33"/>
        </w:numPr>
        <w:spacing w:line="480" w:lineRule="auto"/>
        <w:ind w:left="0" w:hanging="540"/>
        <w:rPr>
          <w:rFonts w:eastAsia="MS Mincho"/>
          <w:lang w:eastAsia="ja-JP"/>
        </w:rPr>
      </w:pPr>
      <w:r>
        <w:t xml:space="preserve">            </w:t>
      </w:r>
      <w:r w:rsidR="00483D62" w:rsidRPr="001C76DC">
        <w:rPr>
          <w:rFonts w:eastAsia="MS Mincho"/>
          <w:szCs w:val="24"/>
          <w:lang w:eastAsia="ja-JP"/>
        </w:rPr>
        <w:t xml:space="preserve">Meanwhile, </w:t>
      </w:r>
      <w:r w:rsidR="00D11915" w:rsidRPr="001C76DC">
        <w:rPr>
          <w:rFonts w:eastAsia="MS Mincho"/>
          <w:szCs w:val="24"/>
          <w:lang w:eastAsia="ja-JP"/>
        </w:rPr>
        <w:t>PacifiCorp</w:t>
      </w:r>
      <w:r w:rsidR="004C6803" w:rsidRPr="001C76DC">
        <w:rPr>
          <w:rFonts w:eastAsia="MS Mincho"/>
          <w:szCs w:val="24"/>
          <w:lang w:eastAsia="ja-JP"/>
        </w:rPr>
        <w:t>’s recent</w:t>
      </w:r>
      <w:r w:rsidR="00D11915" w:rsidRPr="001C76DC">
        <w:rPr>
          <w:rFonts w:eastAsia="MS Mincho"/>
          <w:szCs w:val="24"/>
          <w:lang w:eastAsia="ja-JP"/>
        </w:rPr>
        <w:t xml:space="preserve"> </w:t>
      </w:r>
      <w:r w:rsidR="0069324F" w:rsidRPr="001C76DC">
        <w:rPr>
          <w:rFonts w:eastAsia="MS Mincho"/>
          <w:szCs w:val="24"/>
          <w:lang w:eastAsia="ja-JP"/>
        </w:rPr>
        <w:t>utility owned</w:t>
      </w:r>
      <w:r w:rsidR="00D11915" w:rsidRPr="001C76DC">
        <w:rPr>
          <w:rFonts w:eastAsia="MS Mincho"/>
          <w:szCs w:val="24"/>
          <w:lang w:eastAsia="ja-JP"/>
        </w:rPr>
        <w:t xml:space="preserve"> resource decisions have proved costly to ratepayers</w:t>
      </w:r>
      <w:r w:rsidR="00FC0E70" w:rsidRPr="001C76DC">
        <w:rPr>
          <w:rFonts w:eastAsia="MS Mincho"/>
          <w:szCs w:val="24"/>
          <w:lang w:eastAsia="ja-JP"/>
        </w:rPr>
        <w:t>.</w:t>
      </w:r>
      <w:r w:rsidR="00BD371E" w:rsidRPr="001C76DC">
        <w:rPr>
          <w:rFonts w:eastAsia="MS Mincho"/>
          <w:szCs w:val="24"/>
          <w:lang w:eastAsia="ja-JP"/>
        </w:rPr>
        <w:t xml:space="preserve">  PacifiCorp’s</w:t>
      </w:r>
      <w:r w:rsidR="00273BC0" w:rsidRPr="001C76DC">
        <w:rPr>
          <w:rFonts w:eastAsia="MS Mincho"/>
          <w:szCs w:val="24"/>
          <w:lang w:eastAsia="ja-JP"/>
        </w:rPr>
        <w:t xml:space="preserve"> </w:t>
      </w:r>
      <w:r w:rsidR="00BD371E" w:rsidRPr="001C76DC">
        <w:rPr>
          <w:rFonts w:eastAsia="MS Mincho"/>
          <w:szCs w:val="24"/>
          <w:lang w:eastAsia="ja-JP"/>
        </w:rPr>
        <w:t>wind projects are a glaring example.</w:t>
      </w:r>
      <w:r w:rsidR="00090934" w:rsidRPr="001C76DC">
        <w:rPr>
          <w:rFonts w:eastAsia="MS Mincho"/>
          <w:szCs w:val="24"/>
          <w:lang w:eastAsia="ja-JP"/>
        </w:rPr>
        <w:t xml:space="preserve"> </w:t>
      </w:r>
      <w:r w:rsidR="00BD371E" w:rsidRPr="001C76DC">
        <w:rPr>
          <w:rFonts w:eastAsia="MS Mincho"/>
          <w:szCs w:val="24"/>
          <w:lang w:eastAsia="ja-JP"/>
        </w:rPr>
        <w:t xml:space="preserve"> </w:t>
      </w:r>
      <w:r w:rsidR="00090934" w:rsidRPr="001C76DC">
        <w:rPr>
          <w:rFonts w:eastAsia="MS Mincho"/>
          <w:szCs w:val="24"/>
          <w:lang w:eastAsia="ja-JP"/>
        </w:rPr>
        <w:t xml:space="preserve">Overall, PacifiCorp has </w:t>
      </w:r>
      <w:r w:rsidR="00090934" w:rsidRPr="001C76DC">
        <w:rPr>
          <w:rFonts w:eastAsia="MS Mincho"/>
          <w:lang w:eastAsia="ja-JP"/>
        </w:rPr>
        <w:t xml:space="preserve">systemically over-estimated the capacity factor </w:t>
      </w:r>
      <w:r w:rsidR="00C04F13" w:rsidRPr="001C76DC">
        <w:rPr>
          <w:rFonts w:eastAsia="MS Mincho"/>
          <w:lang w:eastAsia="ja-JP"/>
        </w:rPr>
        <w:t xml:space="preserve">of </w:t>
      </w:r>
      <w:r w:rsidR="00090934" w:rsidRPr="001C76DC">
        <w:rPr>
          <w:rFonts w:eastAsia="MS Mincho"/>
          <w:lang w:eastAsia="ja-JP"/>
        </w:rPr>
        <w:t>its 12 wind plants that</w:t>
      </w:r>
      <w:r w:rsidR="005B56DD" w:rsidRPr="001C76DC">
        <w:rPr>
          <w:rFonts w:eastAsia="MS Mincho"/>
          <w:lang w:eastAsia="ja-JP"/>
        </w:rPr>
        <w:t xml:space="preserve"> began operating prior to 2010.</w:t>
      </w:r>
      <w:r w:rsidR="005B56DD">
        <w:rPr>
          <w:rStyle w:val="FootnoteReference"/>
          <w:rFonts w:eastAsia="MS Mincho"/>
          <w:lang w:eastAsia="ja-JP"/>
        </w:rPr>
        <w:footnoteReference w:id="35"/>
      </w:r>
      <w:r w:rsidR="00090934" w:rsidRPr="001C76DC">
        <w:rPr>
          <w:rFonts w:eastAsia="MS Mincho"/>
          <w:lang w:eastAsia="ja-JP"/>
        </w:rPr>
        <w:t xml:space="preserve"> </w:t>
      </w:r>
      <w:r w:rsidR="00714745" w:rsidRPr="001C76DC">
        <w:rPr>
          <w:rFonts w:eastAsia="MS Mincho"/>
          <w:lang w:eastAsia="ja-JP"/>
        </w:rPr>
        <w:t xml:space="preserve"> PacifiCorp </w:t>
      </w:r>
      <w:r w:rsidR="007810CA" w:rsidRPr="001C76DC">
        <w:rPr>
          <w:rFonts w:eastAsia="MS Mincho"/>
          <w:lang w:eastAsia="ja-JP"/>
        </w:rPr>
        <w:t xml:space="preserve">used a “strategy of avoiding the” Oregon Public Utility Commission’s competitive bidding guidelines, which resulted in the </w:t>
      </w:r>
      <w:r w:rsidR="00273BC0" w:rsidRPr="001C76DC">
        <w:rPr>
          <w:rFonts w:eastAsia="MS Mincho"/>
          <w:lang w:eastAsia="ja-JP"/>
        </w:rPr>
        <w:t>OPUC</w:t>
      </w:r>
      <w:r w:rsidR="0093666F" w:rsidRPr="001C76DC">
        <w:rPr>
          <w:rFonts w:eastAsia="MS Mincho"/>
          <w:lang w:eastAsia="ja-JP"/>
        </w:rPr>
        <w:t xml:space="preserve"> finding that “the </w:t>
      </w:r>
      <w:r w:rsidR="002E2F1B" w:rsidRPr="001C76DC">
        <w:rPr>
          <w:rFonts w:eastAsia="MS Mincho"/>
          <w:lang w:eastAsia="ja-JP"/>
        </w:rPr>
        <w:t>poor capacity factor for Rolling Hills … project acquisition was not prudent.”</w:t>
      </w:r>
      <w:r w:rsidR="0041480F">
        <w:rPr>
          <w:rStyle w:val="FootnoteReference"/>
          <w:rFonts w:eastAsia="MS Mincho"/>
          <w:lang w:eastAsia="ja-JP"/>
        </w:rPr>
        <w:footnoteReference w:id="36"/>
      </w:r>
      <w:r w:rsidR="00A82A9B" w:rsidRPr="001C76DC">
        <w:rPr>
          <w:rFonts w:eastAsia="MS Mincho"/>
          <w:lang w:eastAsia="ja-JP"/>
        </w:rPr>
        <w:t xml:space="preserve">  In addition, both the Oregon and Washington commissions have found that PacifiCorp imprudently installed upgrades at its coal plants</w:t>
      </w:r>
      <w:r w:rsidR="003D369D" w:rsidRPr="001C76DC">
        <w:rPr>
          <w:rFonts w:eastAsia="MS Mincho"/>
          <w:lang w:eastAsia="ja-JP"/>
        </w:rPr>
        <w:t xml:space="preserve">, resulting in </w:t>
      </w:r>
      <w:r w:rsidR="00364522" w:rsidRPr="001C76DC">
        <w:rPr>
          <w:rFonts w:eastAsia="MS Mincho"/>
          <w:lang w:eastAsia="ja-JP"/>
        </w:rPr>
        <w:t xml:space="preserve">cost increases for </w:t>
      </w:r>
      <w:r w:rsidR="00364522" w:rsidRPr="001C76DC">
        <w:rPr>
          <w:rFonts w:eastAsia="MS Mincho"/>
          <w:lang w:eastAsia="ja-JP"/>
        </w:rPr>
        <w:lastRenderedPageBreak/>
        <w:t>customers</w:t>
      </w:r>
      <w:r w:rsidR="003D369D" w:rsidRPr="001C76DC">
        <w:rPr>
          <w:rFonts w:eastAsia="MS Mincho"/>
          <w:lang w:eastAsia="ja-JP"/>
        </w:rPr>
        <w:t>.</w:t>
      </w:r>
      <w:r w:rsidR="003D369D">
        <w:rPr>
          <w:rStyle w:val="FootnoteReference"/>
          <w:rFonts w:eastAsia="MS Mincho"/>
          <w:lang w:eastAsia="ja-JP"/>
        </w:rPr>
        <w:footnoteReference w:id="37"/>
      </w:r>
      <w:r w:rsidR="003D369D" w:rsidRPr="001C76DC">
        <w:rPr>
          <w:rFonts w:eastAsia="MS Mincho"/>
          <w:lang w:eastAsia="ja-JP"/>
        </w:rPr>
        <w:t xml:space="preserve">  </w:t>
      </w:r>
      <w:r w:rsidR="00926C46" w:rsidRPr="001C76DC">
        <w:rPr>
          <w:rFonts w:eastAsia="MS Mincho"/>
          <w:lang w:eastAsia="ja-JP"/>
        </w:rPr>
        <w:t xml:space="preserve">PacifiCorp’s outage at its Hunter plant in 2000 ended up costing </w:t>
      </w:r>
      <w:r w:rsidR="00B64352" w:rsidRPr="001C76DC">
        <w:rPr>
          <w:rFonts w:eastAsia="MS Mincho"/>
          <w:lang w:eastAsia="ja-JP"/>
        </w:rPr>
        <w:t xml:space="preserve">Oregon </w:t>
      </w:r>
      <w:r w:rsidR="00926C46" w:rsidRPr="001C76DC">
        <w:rPr>
          <w:rFonts w:eastAsia="MS Mincho"/>
          <w:lang w:eastAsia="ja-JP"/>
        </w:rPr>
        <w:t>customers more than $130 million</w:t>
      </w:r>
      <w:r w:rsidR="00544890" w:rsidRPr="001C76DC">
        <w:rPr>
          <w:rFonts w:eastAsia="MS Mincho"/>
          <w:lang w:eastAsia="ja-JP"/>
        </w:rPr>
        <w:t xml:space="preserve"> </w:t>
      </w:r>
      <w:r w:rsidR="00C12203" w:rsidRPr="001C76DC">
        <w:rPr>
          <w:rFonts w:eastAsia="MS Mincho"/>
          <w:lang w:eastAsia="ja-JP"/>
        </w:rPr>
        <w:t xml:space="preserve">in power costs, plus </w:t>
      </w:r>
      <w:r w:rsidR="00B64352" w:rsidRPr="001C76DC">
        <w:rPr>
          <w:rFonts w:eastAsia="MS Mincho"/>
          <w:lang w:eastAsia="ja-JP"/>
        </w:rPr>
        <w:t xml:space="preserve">paying for </w:t>
      </w:r>
      <w:r w:rsidR="00C12203" w:rsidRPr="001C76DC">
        <w:rPr>
          <w:rFonts w:eastAsia="MS Mincho"/>
          <w:lang w:eastAsia="ja-JP"/>
        </w:rPr>
        <w:t xml:space="preserve">the utility’s legal and other fees to litigate the case all the way to the Oregon </w:t>
      </w:r>
      <w:r w:rsidR="00483D62" w:rsidRPr="001C76DC">
        <w:rPr>
          <w:rFonts w:eastAsia="MS Mincho"/>
          <w:lang w:eastAsia="ja-JP"/>
        </w:rPr>
        <w:t>C</w:t>
      </w:r>
      <w:r w:rsidR="00C12203" w:rsidRPr="001C76DC">
        <w:rPr>
          <w:rFonts w:eastAsia="MS Mincho"/>
          <w:lang w:eastAsia="ja-JP"/>
        </w:rPr>
        <w:t xml:space="preserve">ourt of </w:t>
      </w:r>
      <w:r w:rsidR="00483D62" w:rsidRPr="001C76DC">
        <w:rPr>
          <w:rFonts w:eastAsia="MS Mincho"/>
          <w:lang w:eastAsia="ja-JP"/>
        </w:rPr>
        <w:t>A</w:t>
      </w:r>
      <w:r w:rsidR="00C12203" w:rsidRPr="001C76DC">
        <w:rPr>
          <w:rFonts w:eastAsia="MS Mincho"/>
          <w:lang w:eastAsia="ja-JP"/>
        </w:rPr>
        <w:t>ppeals</w:t>
      </w:r>
      <w:r w:rsidR="00926C46" w:rsidRPr="001C76DC">
        <w:rPr>
          <w:rFonts w:eastAsia="MS Mincho"/>
          <w:lang w:eastAsia="ja-JP"/>
        </w:rPr>
        <w:t>.</w:t>
      </w:r>
      <w:r w:rsidR="00926C46">
        <w:rPr>
          <w:rStyle w:val="FootnoteReference"/>
          <w:rFonts w:eastAsia="MS Mincho"/>
          <w:lang w:eastAsia="ja-JP"/>
        </w:rPr>
        <w:footnoteReference w:id="38"/>
      </w:r>
    </w:p>
    <w:p w14:paraId="3033AB75" w14:textId="4F19A0BB" w:rsidR="00757D0C" w:rsidRPr="001C76DC" w:rsidRDefault="00523449" w:rsidP="00523449">
      <w:pPr>
        <w:pStyle w:val="ListParagraph"/>
        <w:numPr>
          <w:ilvl w:val="1"/>
          <w:numId w:val="33"/>
        </w:numPr>
        <w:autoSpaceDE w:val="0"/>
        <w:autoSpaceDN w:val="0"/>
        <w:adjustRightInd w:val="0"/>
        <w:spacing w:line="480" w:lineRule="auto"/>
        <w:ind w:left="0" w:hanging="540"/>
        <w:rPr>
          <w:rFonts w:eastAsia="MS Mincho"/>
          <w:szCs w:val="24"/>
          <w:lang w:eastAsia="ja-JP"/>
        </w:rPr>
      </w:pPr>
      <w:r>
        <w:t xml:space="preserve">            </w:t>
      </w:r>
      <w:r w:rsidR="00A0523E" w:rsidRPr="001C76DC">
        <w:rPr>
          <w:rFonts w:eastAsia="MS Mincho"/>
          <w:szCs w:val="24"/>
          <w:lang w:eastAsia="ja-JP"/>
        </w:rPr>
        <w:t xml:space="preserve">In Washington’s neighboring state, Idaho, there are additional examples of an investor-owned utility imposing substantial cost overruns </w:t>
      </w:r>
      <w:r w:rsidR="001457D5" w:rsidRPr="001C76DC">
        <w:rPr>
          <w:rFonts w:eastAsia="MS Mincho"/>
          <w:szCs w:val="24"/>
          <w:lang w:eastAsia="ja-JP"/>
        </w:rPr>
        <w:t xml:space="preserve">at a utility-owned plant </w:t>
      </w:r>
      <w:r w:rsidR="00A0523E" w:rsidRPr="001C76DC">
        <w:rPr>
          <w:rFonts w:eastAsia="MS Mincho"/>
          <w:szCs w:val="24"/>
          <w:lang w:eastAsia="ja-JP"/>
        </w:rPr>
        <w:t xml:space="preserve">on its ratepayers. </w:t>
      </w:r>
      <w:r w:rsidR="00733566" w:rsidRPr="001C76DC">
        <w:rPr>
          <w:rFonts w:eastAsia="MS Mincho"/>
          <w:szCs w:val="24"/>
          <w:lang w:eastAsia="ja-JP"/>
        </w:rPr>
        <w:t xml:space="preserve"> </w:t>
      </w:r>
      <w:r w:rsidR="00A0523E" w:rsidRPr="001C76DC">
        <w:rPr>
          <w:rFonts w:eastAsia="MS Mincho"/>
          <w:szCs w:val="24"/>
          <w:lang w:eastAsia="ja-JP"/>
        </w:rPr>
        <w:t>Shortly after placing its Bennet</w:t>
      </w:r>
      <w:r w:rsidR="009250B8" w:rsidRPr="001C76DC">
        <w:rPr>
          <w:rFonts w:eastAsia="MS Mincho"/>
          <w:szCs w:val="24"/>
          <w:lang w:eastAsia="ja-JP"/>
        </w:rPr>
        <w:t>t</w:t>
      </w:r>
      <w:r w:rsidR="00A0523E" w:rsidRPr="001C76DC">
        <w:rPr>
          <w:rFonts w:eastAsia="MS Mincho"/>
          <w:szCs w:val="24"/>
          <w:lang w:eastAsia="ja-JP"/>
        </w:rPr>
        <w:t xml:space="preserve"> Mountain gas</w:t>
      </w:r>
      <w:r w:rsidR="00483D62" w:rsidRPr="001C76DC">
        <w:rPr>
          <w:rFonts w:eastAsia="MS Mincho"/>
          <w:szCs w:val="24"/>
          <w:lang w:eastAsia="ja-JP"/>
        </w:rPr>
        <w:t>-fired power</w:t>
      </w:r>
      <w:r w:rsidR="00A0523E" w:rsidRPr="001C76DC">
        <w:rPr>
          <w:rFonts w:eastAsia="MS Mincho"/>
          <w:szCs w:val="24"/>
          <w:lang w:eastAsia="ja-JP"/>
        </w:rPr>
        <w:t xml:space="preserve"> plant in service, </w:t>
      </w:r>
      <w:r w:rsidR="00A0523E" w:rsidRPr="001C76DC">
        <w:rPr>
          <w:szCs w:val="24"/>
        </w:rPr>
        <w:t xml:space="preserve">Idaho Power Company </w:t>
      </w:r>
      <w:r w:rsidR="00AE040F" w:rsidRPr="001C76DC">
        <w:rPr>
          <w:szCs w:val="24"/>
        </w:rPr>
        <w:t>experienced</w:t>
      </w:r>
      <w:r w:rsidR="00A0523E" w:rsidRPr="001C76DC">
        <w:rPr>
          <w:szCs w:val="24"/>
        </w:rPr>
        <w:t xml:space="preserve"> a $14 million capital expense </w:t>
      </w:r>
      <w:r w:rsidR="00AE040F" w:rsidRPr="001C76DC">
        <w:rPr>
          <w:szCs w:val="24"/>
        </w:rPr>
        <w:t>above</w:t>
      </w:r>
      <w:r w:rsidR="00A0523E" w:rsidRPr="001C76DC">
        <w:rPr>
          <w:szCs w:val="24"/>
        </w:rPr>
        <w:t xml:space="preserve"> the </w:t>
      </w:r>
      <w:r w:rsidR="001457D5" w:rsidRPr="001C76DC">
        <w:rPr>
          <w:szCs w:val="24"/>
        </w:rPr>
        <w:t>i</w:t>
      </w:r>
      <w:r w:rsidR="00A23C3D">
        <w:rPr>
          <w:szCs w:val="24"/>
        </w:rPr>
        <w:t xml:space="preserve">nitially committed cost of </w:t>
      </w:r>
      <w:r w:rsidR="00A0523E" w:rsidRPr="001C76DC">
        <w:rPr>
          <w:szCs w:val="24"/>
        </w:rPr>
        <w:t>$60 million</w:t>
      </w:r>
      <w:r w:rsidR="001457D5" w:rsidRPr="001C76DC">
        <w:rPr>
          <w:szCs w:val="24"/>
        </w:rPr>
        <w:t>.</w:t>
      </w:r>
      <w:r w:rsidR="0049586C">
        <w:rPr>
          <w:szCs w:val="24"/>
        </w:rPr>
        <w:t xml:space="preserve"> </w:t>
      </w:r>
      <w:r w:rsidR="001457D5" w:rsidRPr="001C76DC">
        <w:rPr>
          <w:szCs w:val="24"/>
        </w:rPr>
        <w:t xml:space="preserve"> The cost overrun resulted from </w:t>
      </w:r>
      <w:r w:rsidR="00A0523E" w:rsidRPr="001C76DC">
        <w:rPr>
          <w:szCs w:val="24"/>
        </w:rPr>
        <w:t>a latent construction defect that manifested itself only after commercial</w:t>
      </w:r>
      <w:r w:rsidR="009250B8" w:rsidRPr="001C76DC">
        <w:rPr>
          <w:szCs w:val="24"/>
        </w:rPr>
        <w:t xml:space="preserve"> </w:t>
      </w:r>
      <w:r w:rsidR="00A0523E" w:rsidRPr="001C76DC">
        <w:rPr>
          <w:szCs w:val="24"/>
        </w:rPr>
        <w:t>operations had commenced</w:t>
      </w:r>
      <w:r w:rsidR="009250B8" w:rsidRPr="001C76DC">
        <w:rPr>
          <w:szCs w:val="24"/>
        </w:rPr>
        <w:t>.</w:t>
      </w:r>
      <w:r w:rsidR="009250B8" w:rsidRPr="00E33CF5">
        <w:rPr>
          <w:rStyle w:val="FootnoteReference"/>
          <w:szCs w:val="24"/>
        </w:rPr>
        <w:footnoteReference w:id="39"/>
      </w:r>
      <w:r w:rsidR="00733566" w:rsidRPr="001C76DC">
        <w:rPr>
          <w:szCs w:val="24"/>
        </w:rPr>
        <w:t xml:space="preserve">  Specifically, according to Idaho Power, a contractor engaged at the utility-owned site failed to install the bolts in the gas turbine</w:t>
      </w:r>
      <w:r w:rsidR="00A20FED" w:rsidRPr="001C76DC">
        <w:rPr>
          <w:szCs w:val="24"/>
        </w:rPr>
        <w:t>’</w:t>
      </w:r>
      <w:r w:rsidR="00733566" w:rsidRPr="001C76DC">
        <w:rPr>
          <w:szCs w:val="24"/>
        </w:rPr>
        <w:t xml:space="preserve">s air inlet </w:t>
      </w:r>
      <w:r w:rsidR="00A23C3D">
        <w:rPr>
          <w:szCs w:val="24"/>
        </w:rPr>
        <w:t>plenum in accordance with</w:t>
      </w:r>
      <w:r w:rsidR="00733566" w:rsidRPr="001C76DC">
        <w:rPr>
          <w:szCs w:val="24"/>
        </w:rPr>
        <w:t xml:space="preserve"> construction specifications.</w:t>
      </w:r>
      <w:r w:rsidR="00AE040F">
        <w:rPr>
          <w:rStyle w:val="FootnoteReference"/>
          <w:szCs w:val="24"/>
        </w:rPr>
        <w:footnoteReference w:id="40"/>
      </w:r>
      <w:r w:rsidR="00733566" w:rsidRPr="001C76DC">
        <w:rPr>
          <w:szCs w:val="24"/>
        </w:rPr>
        <w:t xml:space="preserve">  The </w:t>
      </w:r>
      <w:r w:rsidR="00AE040F" w:rsidRPr="001C76DC">
        <w:rPr>
          <w:szCs w:val="24"/>
        </w:rPr>
        <w:t>developer of the build-own-transfer project</w:t>
      </w:r>
      <w:r w:rsidR="00733566" w:rsidRPr="001C76DC">
        <w:rPr>
          <w:szCs w:val="24"/>
        </w:rPr>
        <w:t xml:space="preserve">, and apparently Idaho Power, failed to detect the improper installation and a bolt ultimately dislodged, was ingested in the turbine, and caused extensive </w:t>
      </w:r>
      <w:r w:rsidR="00483D62" w:rsidRPr="001C76DC">
        <w:rPr>
          <w:szCs w:val="24"/>
        </w:rPr>
        <w:t xml:space="preserve">internal </w:t>
      </w:r>
      <w:r w:rsidR="00733566" w:rsidRPr="001C76DC">
        <w:rPr>
          <w:szCs w:val="24"/>
        </w:rPr>
        <w:t xml:space="preserve">damage </w:t>
      </w:r>
      <w:r w:rsidR="00FA7ACE" w:rsidRPr="001C76DC">
        <w:rPr>
          <w:szCs w:val="24"/>
        </w:rPr>
        <w:t>for a total of $14 million in cost overruns.  These types of events are</w:t>
      </w:r>
      <w:r w:rsidR="00483D62" w:rsidRPr="001C76DC">
        <w:rPr>
          <w:szCs w:val="24"/>
        </w:rPr>
        <w:t xml:space="preserve"> not un</w:t>
      </w:r>
      <w:r w:rsidR="00FA7ACE" w:rsidRPr="001C76DC">
        <w:rPr>
          <w:szCs w:val="24"/>
        </w:rPr>
        <w:t xml:space="preserve">common at power plants, </w:t>
      </w:r>
      <w:r w:rsidR="00FA7ACE" w:rsidRPr="001C76DC">
        <w:rPr>
          <w:szCs w:val="24"/>
        </w:rPr>
        <w:lastRenderedPageBreak/>
        <w:t xml:space="preserve">but only in the case of a </w:t>
      </w:r>
      <w:r w:rsidR="00A20FED" w:rsidRPr="001C76DC">
        <w:rPr>
          <w:szCs w:val="24"/>
        </w:rPr>
        <w:t>utility owned</w:t>
      </w:r>
      <w:r w:rsidR="00FA7ACE" w:rsidRPr="001C76DC">
        <w:rPr>
          <w:szCs w:val="24"/>
        </w:rPr>
        <w:t xml:space="preserve"> </w:t>
      </w:r>
      <w:r w:rsidR="00A23C3D">
        <w:rPr>
          <w:szCs w:val="24"/>
        </w:rPr>
        <w:t>plant are the ratepayers’</w:t>
      </w:r>
      <w:r w:rsidR="00FA7ACE" w:rsidRPr="001C76DC">
        <w:rPr>
          <w:szCs w:val="24"/>
        </w:rPr>
        <w:t xml:space="preserve"> at risk of the cost overruns, increased insurance premiums and other </w:t>
      </w:r>
      <w:r w:rsidR="00483D62" w:rsidRPr="001C76DC">
        <w:rPr>
          <w:szCs w:val="24"/>
        </w:rPr>
        <w:t>consequences of</w:t>
      </w:r>
      <w:r w:rsidR="00FA7ACE" w:rsidRPr="001C76DC">
        <w:rPr>
          <w:szCs w:val="24"/>
        </w:rPr>
        <w:t xml:space="preserve"> such events.</w:t>
      </w:r>
    </w:p>
    <w:p w14:paraId="494565FE" w14:textId="4F819906" w:rsidR="00A50471" w:rsidRPr="001C76DC" w:rsidRDefault="00222B06" w:rsidP="00523449">
      <w:pPr>
        <w:pStyle w:val="ListParagraph"/>
        <w:numPr>
          <w:ilvl w:val="0"/>
          <w:numId w:val="37"/>
        </w:numPr>
        <w:ind w:hanging="720"/>
        <w:rPr>
          <w:rFonts w:eastAsia="MS Mincho"/>
          <w:b/>
          <w:szCs w:val="24"/>
          <w:lang w:eastAsia="ja-JP"/>
        </w:rPr>
      </w:pPr>
      <w:r w:rsidRPr="001C76DC">
        <w:rPr>
          <w:rFonts w:eastAsia="MS Mincho"/>
          <w:b/>
          <w:szCs w:val="24"/>
          <w:lang w:eastAsia="ja-JP"/>
        </w:rPr>
        <w:t>The Commission Must Protect Customers By Eliminating Barriers t</w:t>
      </w:r>
      <w:r w:rsidR="00C04F13" w:rsidRPr="001C76DC">
        <w:rPr>
          <w:rFonts w:eastAsia="MS Mincho"/>
          <w:b/>
          <w:szCs w:val="24"/>
          <w:lang w:eastAsia="ja-JP"/>
        </w:rPr>
        <w:t>o Competitive Markets and Ensuring</w:t>
      </w:r>
      <w:r w:rsidRPr="001C76DC">
        <w:rPr>
          <w:rFonts w:eastAsia="MS Mincho"/>
          <w:b/>
          <w:szCs w:val="24"/>
          <w:lang w:eastAsia="ja-JP"/>
        </w:rPr>
        <w:t xml:space="preserve"> Diverse Ownership of Generation Because Utilities Have an </w:t>
      </w:r>
      <w:r w:rsidR="00A25941" w:rsidRPr="001C76DC">
        <w:rPr>
          <w:rFonts w:eastAsia="MS Mincho"/>
          <w:b/>
          <w:szCs w:val="24"/>
          <w:lang w:eastAsia="ja-JP"/>
        </w:rPr>
        <w:t xml:space="preserve">Inherent </w:t>
      </w:r>
      <w:r w:rsidRPr="001C76DC">
        <w:rPr>
          <w:rFonts w:eastAsia="MS Mincho"/>
          <w:b/>
          <w:szCs w:val="24"/>
          <w:lang w:eastAsia="ja-JP"/>
        </w:rPr>
        <w:t>Ownership Bias</w:t>
      </w:r>
    </w:p>
    <w:p w14:paraId="0666ADD9" w14:textId="77777777" w:rsidR="008A3AF6" w:rsidRPr="00A50471" w:rsidRDefault="008A3AF6" w:rsidP="001C76DC">
      <w:pPr>
        <w:ind w:hanging="540"/>
        <w:rPr>
          <w:rFonts w:eastAsia="MS Mincho"/>
          <w:b/>
          <w:szCs w:val="24"/>
          <w:lang w:eastAsia="ja-JP"/>
        </w:rPr>
      </w:pPr>
    </w:p>
    <w:p w14:paraId="2C2818E1" w14:textId="1E0BEA08" w:rsidR="00137D61" w:rsidRPr="001C76DC" w:rsidRDefault="00523449" w:rsidP="00523449">
      <w:pPr>
        <w:pStyle w:val="ListParagraph"/>
        <w:numPr>
          <w:ilvl w:val="1"/>
          <w:numId w:val="33"/>
        </w:numPr>
        <w:spacing w:line="480" w:lineRule="auto"/>
        <w:ind w:left="0" w:hanging="540"/>
        <w:rPr>
          <w:rFonts w:eastAsia="MS Mincho"/>
          <w:szCs w:val="24"/>
          <w:lang w:eastAsia="ja-JP"/>
        </w:rPr>
      </w:pPr>
      <w:r>
        <w:t xml:space="preserve">            </w:t>
      </w:r>
      <w:r w:rsidR="00137D61" w:rsidRPr="001C76DC">
        <w:rPr>
          <w:rFonts w:eastAsia="MS Mincho"/>
          <w:szCs w:val="24"/>
          <w:lang w:eastAsia="ja-JP"/>
        </w:rPr>
        <w:t xml:space="preserve">Basic </w:t>
      </w:r>
      <w:r w:rsidR="007D3E80" w:rsidRPr="001C76DC">
        <w:rPr>
          <w:rFonts w:eastAsia="MS Mincho"/>
          <w:szCs w:val="24"/>
          <w:lang w:eastAsia="ja-JP"/>
        </w:rPr>
        <w:t>realities of</w:t>
      </w:r>
      <w:r w:rsidR="00137D61" w:rsidRPr="001C76DC">
        <w:rPr>
          <w:rFonts w:eastAsia="MS Mincho"/>
          <w:szCs w:val="24"/>
          <w:lang w:eastAsia="ja-JP"/>
        </w:rPr>
        <w:t xml:space="preserve"> </w:t>
      </w:r>
      <w:r w:rsidR="00140C3F" w:rsidRPr="001C76DC">
        <w:rPr>
          <w:rFonts w:eastAsia="MS Mincho"/>
          <w:szCs w:val="24"/>
          <w:lang w:eastAsia="ja-JP"/>
        </w:rPr>
        <w:t>perverse regulatory incentives</w:t>
      </w:r>
      <w:r w:rsidR="00137D61" w:rsidRPr="001C76DC">
        <w:rPr>
          <w:rFonts w:eastAsia="MS Mincho"/>
          <w:szCs w:val="24"/>
          <w:lang w:eastAsia="ja-JP"/>
        </w:rPr>
        <w:t xml:space="preserve"> and </w:t>
      </w:r>
      <w:r w:rsidR="00140C3F" w:rsidRPr="001C76DC">
        <w:rPr>
          <w:rFonts w:eastAsia="MS Mincho"/>
          <w:szCs w:val="24"/>
          <w:lang w:eastAsia="ja-JP"/>
        </w:rPr>
        <w:t>pursuit of shareholder value</w:t>
      </w:r>
      <w:r w:rsidR="00234325" w:rsidRPr="001C76DC">
        <w:rPr>
          <w:rFonts w:eastAsia="MS Mincho"/>
          <w:szCs w:val="24"/>
          <w:lang w:eastAsia="ja-JP"/>
        </w:rPr>
        <w:t xml:space="preserve"> </w:t>
      </w:r>
      <w:r w:rsidR="00140C3F" w:rsidRPr="001C76DC">
        <w:rPr>
          <w:rFonts w:eastAsia="MS Mincho"/>
          <w:szCs w:val="24"/>
          <w:lang w:eastAsia="ja-JP"/>
        </w:rPr>
        <w:t>motivate</w:t>
      </w:r>
      <w:r w:rsidR="00F24668" w:rsidRPr="001C76DC">
        <w:rPr>
          <w:rFonts w:eastAsia="MS Mincho"/>
          <w:szCs w:val="24"/>
          <w:lang w:eastAsia="ja-JP"/>
        </w:rPr>
        <w:t xml:space="preserve"> utilities </w:t>
      </w:r>
      <w:r w:rsidR="00140C3F" w:rsidRPr="001C76DC">
        <w:rPr>
          <w:rFonts w:eastAsia="MS Mincho"/>
          <w:szCs w:val="24"/>
          <w:lang w:eastAsia="ja-JP"/>
        </w:rPr>
        <w:t xml:space="preserve">to </w:t>
      </w:r>
      <w:r w:rsidR="00F24668" w:rsidRPr="001C76DC">
        <w:rPr>
          <w:rFonts w:eastAsia="MS Mincho"/>
          <w:szCs w:val="24"/>
          <w:lang w:eastAsia="ja-JP"/>
        </w:rPr>
        <w:t>bias the</w:t>
      </w:r>
      <w:r w:rsidR="00137D61" w:rsidRPr="001C76DC">
        <w:rPr>
          <w:rFonts w:eastAsia="MS Mincho"/>
          <w:szCs w:val="24"/>
          <w:lang w:eastAsia="ja-JP"/>
        </w:rPr>
        <w:t xml:space="preserve"> r</w:t>
      </w:r>
      <w:r w:rsidR="00F24668" w:rsidRPr="001C76DC">
        <w:rPr>
          <w:rFonts w:eastAsia="MS Mincho"/>
          <w:szCs w:val="24"/>
          <w:lang w:eastAsia="ja-JP"/>
        </w:rPr>
        <w:t xml:space="preserve">esource procurement process </w:t>
      </w:r>
      <w:r w:rsidR="00140C3F" w:rsidRPr="001C76DC">
        <w:rPr>
          <w:rFonts w:eastAsia="MS Mincho"/>
          <w:szCs w:val="24"/>
          <w:lang w:eastAsia="ja-JP"/>
        </w:rPr>
        <w:t>in</w:t>
      </w:r>
      <w:r w:rsidR="004B74D2" w:rsidRPr="001C76DC">
        <w:rPr>
          <w:rFonts w:eastAsia="MS Mincho"/>
          <w:szCs w:val="24"/>
          <w:lang w:eastAsia="ja-JP"/>
        </w:rPr>
        <w:t xml:space="preserve"> favor</w:t>
      </w:r>
      <w:r w:rsidR="00137D61" w:rsidRPr="001C76DC">
        <w:rPr>
          <w:rFonts w:eastAsia="MS Mincho"/>
          <w:szCs w:val="24"/>
          <w:lang w:eastAsia="ja-JP"/>
        </w:rPr>
        <w:t xml:space="preserve"> </w:t>
      </w:r>
      <w:r w:rsidR="00140C3F" w:rsidRPr="001C76DC">
        <w:rPr>
          <w:rFonts w:eastAsia="MS Mincho"/>
          <w:szCs w:val="24"/>
          <w:lang w:eastAsia="ja-JP"/>
        </w:rPr>
        <w:t xml:space="preserve">of </w:t>
      </w:r>
      <w:r w:rsidR="007D3E80" w:rsidRPr="001C76DC">
        <w:rPr>
          <w:rFonts w:eastAsia="MS Mincho"/>
          <w:szCs w:val="24"/>
          <w:lang w:eastAsia="ja-JP"/>
        </w:rPr>
        <w:t>their</w:t>
      </w:r>
      <w:r w:rsidR="00F24668" w:rsidRPr="001C76DC">
        <w:rPr>
          <w:rFonts w:eastAsia="MS Mincho"/>
          <w:szCs w:val="24"/>
          <w:lang w:eastAsia="ja-JP"/>
        </w:rPr>
        <w:t xml:space="preserve"> own resources over </w:t>
      </w:r>
      <w:r w:rsidR="00C76C48" w:rsidRPr="001C76DC">
        <w:rPr>
          <w:rFonts w:eastAsia="MS Mincho"/>
          <w:szCs w:val="24"/>
          <w:lang w:eastAsia="ja-JP"/>
        </w:rPr>
        <w:t>PPAs</w:t>
      </w:r>
      <w:r w:rsidR="00137D61" w:rsidRPr="001C76DC">
        <w:rPr>
          <w:rFonts w:eastAsia="MS Mincho"/>
          <w:szCs w:val="24"/>
          <w:lang w:eastAsia="ja-JP"/>
        </w:rPr>
        <w:t xml:space="preserve">. </w:t>
      </w:r>
      <w:r w:rsidR="007D3E80" w:rsidRPr="001C76DC">
        <w:rPr>
          <w:rFonts w:eastAsia="MS Mincho"/>
          <w:szCs w:val="24"/>
          <w:lang w:eastAsia="ja-JP"/>
        </w:rPr>
        <w:t xml:space="preserve"> </w:t>
      </w:r>
      <w:r w:rsidR="001E740B" w:rsidRPr="001E740B">
        <w:rPr>
          <w:rFonts w:eastAsia="MS Mincho"/>
          <w:szCs w:val="24"/>
          <w:lang w:eastAsia="ja-JP"/>
        </w:rPr>
        <w:t xml:space="preserve">The simple reason for this bias is that utility owned resources provide the company with an opportunity to grow the company though expanded stockholder equity investment, while PPAs are a pass through cost with no expanded shareholder investment opportunity.  A rational utility exercising its fiduciary obligation to maximize company growth and shareholder profit will choose to own a capital asset rather than purchase power, even when the PPA is less risky and more economic for ratepayers.  </w:t>
      </w:r>
      <w:r w:rsidR="001556AC" w:rsidRPr="001C76DC">
        <w:rPr>
          <w:rFonts w:eastAsia="MS Mincho"/>
          <w:szCs w:val="24"/>
          <w:lang w:eastAsia="ja-JP"/>
        </w:rPr>
        <w:t>The ch</w:t>
      </w:r>
      <w:r w:rsidR="002F66F6" w:rsidRPr="001C76DC">
        <w:rPr>
          <w:rFonts w:eastAsia="MS Mincho"/>
          <w:szCs w:val="24"/>
          <w:lang w:eastAsia="ja-JP"/>
        </w:rPr>
        <w:t>oice is made even easier for utilities</w:t>
      </w:r>
      <w:r w:rsidR="001556AC" w:rsidRPr="001C76DC">
        <w:rPr>
          <w:rFonts w:eastAsia="MS Mincho"/>
          <w:szCs w:val="24"/>
          <w:lang w:eastAsia="ja-JP"/>
        </w:rPr>
        <w:t xml:space="preserve"> because</w:t>
      </w:r>
      <w:r w:rsidR="004B74D2" w:rsidRPr="001C76DC">
        <w:rPr>
          <w:rFonts w:eastAsia="MS Mincho"/>
          <w:szCs w:val="24"/>
          <w:lang w:eastAsia="ja-JP"/>
        </w:rPr>
        <w:t>,</w:t>
      </w:r>
      <w:r w:rsidR="001556AC" w:rsidRPr="001C76DC">
        <w:rPr>
          <w:rFonts w:eastAsia="MS Mincho"/>
          <w:szCs w:val="24"/>
          <w:lang w:eastAsia="ja-JP"/>
        </w:rPr>
        <w:t xml:space="preserve"> absent the rare prudence disallowance, </w:t>
      </w:r>
      <w:r w:rsidR="00A23C3D">
        <w:rPr>
          <w:rFonts w:eastAsia="MS Mincho"/>
          <w:szCs w:val="24"/>
          <w:lang w:eastAsia="ja-JP"/>
        </w:rPr>
        <w:t>utilities make</w:t>
      </w:r>
      <w:r w:rsidR="002F66F6" w:rsidRPr="001C76DC">
        <w:rPr>
          <w:rFonts w:eastAsia="MS Mincho"/>
          <w:szCs w:val="24"/>
          <w:lang w:eastAsia="ja-JP"/>
        </w:rPr>
        <w:t xml:space="preserve"> capital investments</w:t>
      </w:r>
      <w:r w:rsidR="00C04F13" w:rsidRPr="001C76DC">
        <w:rPr>
          <w:rFonts w:eastAsia="MS Mincho"/>
          <w:szCs w:val="24"/>
          <w:lang w:eastAsia="ja-JP"/>
        </w:rPr>
        <w:t xml:space="preserve"> on behalf of shareholders</w:t>
      </w:r>
      <w:r w:rsidR="002F66F6" w:rsidRPr="001C76DC">
        <w:rPr>
          <w:rFonts w:eastAsia="MS Mincho"/>
          <w:szCs w:val="24"/>
          <w:lang w:eastAsia="ja-JP"/>
        </w:rPr>
        <w:t xml:space="preserve"> that are backed by </w:t>
      </w:r>
      <w:r w:rsidR="00273BC0" w:rsidRPr="001C76DC">
        <w:rPr>
          <w:rFonts w:eastAsia="MS Mincho"/>
          <w:szCs w:val="24"/>
          <w:lang w:eastAsia="ja-JP"/>
        </w:rPr>
        <w:t>ratepayer dollars</w:t>
      </w:r>
      <w:r w:rsidR="009134FF" w:rsidRPr="001C76DC">
        <w:rPr>
          <w:rFonts w:eastAsia="MS Mincho"/>
          <w:szCs w:val="24"/>
          <w:lang w:eastAsia="ja-JP"/>
        </w:rPr>
        <w:t>.</w:t>
      </w:r>
      <w:r w:rsidR="002F66F6" w:rsidRPr="001C76DC">
        <w:rPr>
          <w:rFonts w:eastAsia="MS Mincho"/>
          <w:szCs w:val="24"/>
          <w:lang w:eastAsia="ja-JP"/>
        </w:rPr>
        <w:t xml:space="preserve">  </w:t>
      </w:r>
      <w:r w:rsidR="001556AC" w:rsidRPr="001C76DC">
        <w:rPr>
          <w:rFonts w:eastAsia="MS Mincho"/>
          <w:szCs w:val="24"/>
          <w:lang w:eastAsia="ja-JP"/>
        </w:rPr>
        <w:t xml:space="preserve"> </w:t>
      </w:r>
    </w:p>
    <w:p w14:paraId="76882F36" w14:textId="242BF18F" w:rsidR="00AC269C" w:rsidRPr="001C76DC" w:rsidRDefault="00523449" w:rsidP="00523449">
      <w:pPr>
        <w:pStyle w:val="ListParagraph"/>
        <w:numPr>
          <w:ilvl w:val="1"/>
          <w:numId w:val="33"/>
        </w:numPr>
        <w:spacing w:line="480" w:lineRule="auto"/>
        <w:ind w:left="0" w:hanging="540"/>
        <w:rPr>
          <w:rFonts w:eastAsia="MS Mincho"/>
          <w:szCs w:val="24"/>
          <w:lang w:eastAsia="ja-JP"/>
        </w:rPr>
      </w:pPr>
      <w:r>
        <w:t xml:space="preserve">            </w:t>
      </w:r>
      <w:r w:rsidR="00FA447B" w:rsidRPr="001C76DC">
        <w:rPr>
          <w:rFonts w:eastAsia="MS Mincho"/>
          <w:szCs w:val="24"/>
          <w:lang w:eastAsia="ja-JP"/>
        </w:rPr>
        <w:t>T</w:t>
      </w:r>
      <w:r w:rsidR="00896BA6" w:rsidRPr="001C76DC">
        <w:rPr>
          <w:rFonts w:eastAsia="MS Mincho"/>
          <w:szCs w:val="24"/>
          <w:lang w:eastAsia="ja-JP"/>
        </w:rPr>
        <w:t>he Commission has the statutory</w:t>
      </w:r>
      <w:r w:rsidR="000669B8" w:rsidRPr="001C76DC">
        <w:rPr>
          <w:rFonts w:eastAsia="MS Mincho"/>
          <w:szCs w:val="24"/>
          <w:lang w:eastAsia="ja-JP"/>
        </w:rPr>
        <w:t xml:space="preserve"> obligation</w:t>
      </w:r>
      <w:r w:rsidR="00896BA6" w:rsidRPr="001C76DC">
        <w:rPr>
          <w:rFonts w:eastAsia="MS Mincho"/>
          <w:szCs w:val="24"/>
          <w:lang w:eastAsia="ja-JP"/>
        </w:rPr>
        <w:t xml:space="preserve"> to protect customers and to ensure that “[a]ll charges made, demanded or received by any” electric utility “</w:t>
      </w:r>
      <w:r w:rsidR="00262ED0">
        <w:rPr>
          <w:rFonts w:eastAsia="MS Mincho"/>
          <w:szCs w:val="24"/>
          <w:lang w:eastAsia="ja-JP"/>
        </w:rPr>
        <w:t xml:space="preserve">shall be </w:t>
      </w:r>
      <w:r w:rsidR="00896BA6" w:rsidRPr="001C76DC">
        <w:rPr>
          <w:rFonts w:eastAsia="MS Mincho"/>
          <w:szCs w:val="24"/>
          <w:lang w:eastAsia="ja-JP"/>
        </w:rPr>
        <w:t>just, fair, reasonable and sufficient.”</w:t>
      </w:r>
      <w:r w:rsidR="00896BA6" w:rsidRPr="00896BA6">
        <w:rPr>
          <w:rFonts w:eastAsia="MS Mincho"/>
          <w:vertAlign w:val="superscript"/>
          <w:lang w:eastAsia="ja-JP"/>
        </w:rPr>
        <w:footnoteReference w:id="41"/>
      </w:r>
      <w:r w:rsidR="00896BA6" w:rsidRPr="001C76DC">
        <w:rPr>
          <w:rFonts w:eastAsia="MS Mincho"/>
          <w:szCs w:val="24"/>
          <w:lang w:eastAsia="ja-JP"/>
        </w:rPr>
        <w:t xml:space="preserve">  </w:t>
      </w:r>
      <w:r w:rsidR="00AC269C" w:rsidRPr="001C76DC">
        <w:rPr>
          <w:rFonts w:eastAsia="MS Mincho"/>
          <w:szCs w:val="24"/>
          <w:lang w:eastAsia="ja-JP"/>
        </w:rPr>
        <w:t>The Commission has broad authority to decide what is just, fair, reasonable and sufficient, and courts are reluctant to overturn those determinations.</w:t>
      </w:r>
      <w:r w:rsidR="002B2AEE">
        <w:rPr>
          <w:rStyle w:val="FootnoteReference"/>
          <w:rFonts w:eastAsia="MS Mincho"/>
          <w:szCs w:val="24"/>
          <w:lang w:eastAsia="ja-JP"/>
        </w:rPr>
        <w:footnoteReference w:id="42"/>
      </w:r>
      <w:r w:rsidR="00AC269C" w:rsidRPr="001C76DC">
        <w:rPr>
          <w:rFonts w:eastAsia="MS Mincho"/>
          <w:szCs w:val="24"/>
          <w:lang w:eastAsia="ja-JP"/>
        </w:rPr>
        <w:t xml:space="preserve">  This deference makes it all the more important to adopt rigorous rules to encourage competition and protect ratepayers.</w:t>
      </w:r>
    </w:p>
    <w:p w14:paraId="194F2850" w14:textId="7518FF4F" w:rsidR="00A45BD5" w:rsidRPr="007C7901" w:rsidRDefault="00523449" w:rsidP="00DA7BB7">
      <w:pPr>
        <w:pStyle w:val="ListParagraph"/>
        <w:numPr>
          <w:ilvl w:val="1"/>
          <w:numId w:val="33"/>
        </w:numPr>
        <w:spacing w:line="480" w:lineRule="auto"/>
        <w:ind w:left="0" w:hanging="540"/>
        <w:rPr>
          <w:rFonts w:eastAsia="MS Mincho"/>
          <w:szCs w:val="24"/>
          <w:lang w:eastAsia="ja-JP"/>
        </w:rPr>
      </w:pPr>
      <w:r>
        <w:lastRenderedPageBreak/>
        <w:t xml:space="preserve">            </w:t>
      </w:r>
      <w:r w:rsidR="008A0738" w:rsidRPr="001C76DC">
        <w:rPr>
          <w:rFonts w:eastAsia="MS Mincho"/>
          <w:szCs w:val="24"/>
          <w:lang w:eastAsia="ja-JP"/>
        </w:rPr>
        <w:t>The Commission</w:t>
      </w:r>
      <w:r w:rsidR="00AA482E" w:rsidRPr="001C76DC">
        <w:rPr>
          <w:rFonts w:eastAsia="MS Mincho"/>
          <w:szCs w:val="24"/>
          <w:lang w:eastAsia="ja-JP"/>
        </w:rPr>
        <w:t>’s traditional approa</w:t>
      </w:r>
      <w:r w:rsidR="006049AE" w:rsidRPr="001C76DC">
        <w:rPr>
          <w:rFonts w:eastAsia="MS Mincho"/>
          <w:szCs w:val="24"/>
          <w:lang w:eastAsia="ja-JP"/>
        </w:rPr>
        <w:t>ch to protecting ratepayers from utility bias has been t</w:t>
      </w:r>
      <w:r w:rsidR="000E456E" w:rsidRPr="001C76DC">
        <w:rPr>
          <w:rFonts w:eastAsia="MS Mincho"/>
          <w:szCs w:val="24"/>
          <w:lang w:eastAsia="ja-JP"/>
        </w:rPr>
        <w:t>o</w:t>
      </w:r>
      <w:r w:rsidR="001D7B0E">
        <w:rPr>
          <w:rFonts w:eastAsia="MS Mincho"/>
          <w:szCs w:val="24"/>
          <w:lang w:eastAsia="ja-JP"/>
        </w:rPr>
        <w:t xml:space="preserve"> adopt</w:t>
      </w:r>
      <w:r w:rsidR="006049AE" w:rsidRPr="001C76DC">
        <w:rPr>
          <w:rFonts w:eastAsia="MS Mincho"/>
          <w:szCs w:val="24"/>
          <w:lang w:eastAsia="ja-JP"/>
        </w:rPr>
        <w:t xml:space="preserve"> RFP rules</w:t>
      </w:r>
      <w:r w:rsidR="00AC5C18">
        <w:rPr>
          <w:rStyle w:val="FootnoteReference"/>
          <w:rFonts w:eastAsia="MS Mincho"/>
          <w:szCs w:val="24"/>
          <w:lang w:eastAsia="ja-JP"/>
        </w:rPr>
        <w:footnoteReference w:id="43"/>
      </w:r>
      <w:r w:rsidR="006049AE" w:rsidRPr="001C76DC">
        <w:rPr>
          <w:rFonts w:eastAsia="MS Mincho"/>
          <w:szCs w:val="24"/>
          <w:lang w:eastAsia="ja-JP"/>
        </w:rPr>
        <w:t xml:space="preserve"> and </w:t>
      </w:r>
      <w:r w:rsidR="001D7B0E">
        <w:rPr>
          <w:rFonts w:eastAsia="MS Mincho"/>
          <w:szCs w:val="24"/>
          <w:lang w:eastAsia="ja-JP"/>
        </w:rPr>
        <w:t xml:space="preserve">conduct </w:t>
      </w:r>
      <w:r w:rsidR="006049AE" w:rsidRPr="001C76DC">
        <w:rPr>
          <w:rFonts w:eastAsia="MS Mincho"/>
          <w:szCs w:val="24"/>
          <w:lang w:eastAsia="ja-JP"/>
        </w:rPr>
        <w:t>prudence review</w:t>
      </w:r>
      <w:r w:rsidR="001D7B0E">
        <w:rPr>
          <w:rFonts w:eastAsia="MS Mincho"/>
          <w:szCs w:val="24"/>
          <w:lang w:eastAsia="ja-JP"/>
        </w:rPr>
        <w:t>s</w:t>
      </w:r>
      <w:r w:rsidR="006049AE" w:rsidRPr="001C76DC">
        <w:rPr>
          <w:rFonts w:eastAsia="MS Mincho"/>
          <w:szCs w:val="24"/>
          <w:lang w:eastAsia="ja-JP"/>
        </w:rPr>
        <w:t>.</w:t>
      </w:r>
      <w:r w:rsidR="002472AD" w:rsidRPr="002472AD">
        <w:rPr>
          <w:rFonts w:eastAsia="MS Mincho"/>
          <w:vertAlign w:val="superscript"/>
          <w:lang w:eastAsia="ja-JP"/>
        </w:rPr>
        <w:footnoteReference w:id="44"/>
      </w:r>
      <w:r w:rsidR="006049AE" w:rsidRPr="001C76DC">
        <w:rPr>
          <w:rFonts w:eastAsia="MS Mincho"/>
          <w:szCs w:val="24"/>
          <w:lang w:eastAsia="ja-JP"/>
        </w:rPr>
        <w:t xml:space="preserve"> </w:t>
      </w:r>
      <w:r w:rsidR="005F7D07" w:rsidRPr="001C76DC">
        <w:rPr>
          <w:rFonts w:eastAsia="MS Mincho"/>
          <w:szCs w:val="24"/>
          <w:lang w:eastAsia="ja-JP"/>
        </w:rPr>
        <w:t xml:space="preserve"> </w:t>
      </w:r>
      <w:r w:rsidR="00DB4F95" w:rsidRPr="001C76DC">
        <w:rPr>
          <w:rFonts w:eastAsia="MS Mincho"/>
          <w:szCs w:val="24"/>
          <w:lang w:eastAsia="ja-JP"/>
        </w:rPr>
        <w:t xml:space="preserve">Unless </w:t>
      </w:r>
      <w:r w:rsidR="005F7D07" w:rsidRPr="001C76DC">
        <w:rPr>
          <w:rFonts w:eastAsia="MS Mincho"/>
          <w:szCs w:val="24"/>
          <w:lang w:eastAsia="ja-JP"/>
        </w:rPr>
        <w:t>a</w:t>
      </w:r>
      <w:r w:rsidR="00DB4F95" w:rsidRPr="001C76DC">
        <w:rPr>
          <w:rFonts w:eastAsia="MS Mincho"/>
          <w:szCs w:val="24"/>
          <w:lang w:eastAsia="ja-JP"/>
        </w:rPr>
        <w:t xml:space="preserve"> utility is grossly negligent at the time in which the resource decision was made,</w:t>
      </w:r>
      <w:r w:rsidR="00E20E50" w:rsidRPr="001C76DC">
        <w:rPr>
          <w:rFonts w:eastAsia="MS Mincho"/>
          <w:szCs w:val="24"/>
          <w:lang w:eastAsia="ja-JP"/>
        </w:rPr>
        <w:t xml:space="preserve"> most</w:t>
      </w:r>
      <w:r w:rsidR="00DB4F95" w:rsidRPr="001C76DC">
        <w:rPr>
          <w:rFonts w:eastAsia="MS Mincho"/>
          <w:szCs w:val="24"/>
          <w:lang w:eastAsia="ja-JP"/>
        </w:rPr>
        <w:t xml:space="preserve"> utility commissions are reluctant to disallow costs </w:t>
      </w:r>
      <w:r w:rsidR="00B71C61" w:rsidRPr="001C76DC">
        <w:rPr>
          <w:rFonts w:eastAsia="MS Mincho"/>
          <w:szCs w:val="24"/>
          <w:lang w:eastAsia="ja-JP"/>
        </w:rPr>
        <w:t>or</w:t>
      </w:r>
      <w:r w:rsidR="00DB4F95" w:rsidRPr="001C76DC">
        <w:rPr>
          <w:rFonts w:eastAsia="MS Mincho"/>
          <w:szCs w:val="24"/>
          <w:lang w:eastAsia="ja-JP"/>
        </w:rPr>
        <w:t xml:space="preserve"> engage in hindsight review</w:t>
      </w:r>
      <w:r w:rsidR="00140C3F" w:rsidRPr="001C76DC">
        <w:rPr>
          <w:rFonts w:eastAsia="MS Mincho"/>
          <w:szCs w:val="24"/>
          <w:lang w:eastAsia="ja-JP"/>
        </w:rPr>
        <w:t>; the WUTC has been no exception</w:t>
      </w:r>
      <w:r w:rsidR="00DB4F95" w:rsidRPr="001C76DC">
        <w:rPr>
          <w:rFonts w:eastAsia="MS Mincho"/>
          <w:szCs w:val="24"/>
          <w:lang w:eastAsia="ja-JP"/>
        </w:rPr>
        <w:t>.</w:t>
      </w:r>
      <w:r w:rsidR="002E2D0E">
        <w:rPr>
          <w:rFonts w:eastAsia="MS Mincho"/>
          <w:szCs w:val="24"/>
          <w:lang w:eastAsia="ja-JP"/>
        </w:rPr>
        <w:t xml:space="preserve">  The prudence review process does not protect against ratepayers against most cost overruns and risks of utility ownership</w:t>
      </w:r>
      <w:r w:rsidR="001D2FFB">
        <w:rPr>
          <w:rFonts w:eastAsia="MS Mincho"/>
          <w:szCs w:val="24"/>
          <w:lang w:eastAsia="ja-JP"/>
        </w:rPr>
        <w:t>.</w:t>
      </w:r>
      <w:r w:rsidR="00A73257" w:rsidRPr="001C76DC">
        <w:rPr>
          <w:rFonts w:eastAsia="MS Mincho"/>
          <w:szCs w:val="24"/>
          <w:lang w:eastAsia="ja-JP"/>
        </w:rPr>
        <w:t xml:space="preserve">  Aggressively protecting customers from utility mistakes can have other unintended negative consequences to </w:t>
      </w:r>
      <w:r w:rsidR="00273BC0" w:rsidRPr="001C76DC">
        <w:rPr>
          <w:rFonts w:eastAsia="MS Mincho"/>
          <w:szCs w:val="24"/>
          <w:lang w:eastAsia="ja-JP"/>
        </w:rPr>
        <w:t xml:space="preserve">captive </w:t>
      </w:r>
      <w:r w:rsidR="00A73257" w:rsidRPr="001C76DC">
        <w:rPr>
          <w:rFonts w:eastAsia="MS Mincho"/>
          <w:szCs w:val="24"/>
          <w:lang w:eastAsia="ja-JP"/>
        </w:rPr>
        <w:t xml:space="preserve">customers </w:t>
      </w:r>
      <w:r w:rsidR="0007348D" w:rsidRPr="001C76DC">
        <w:rPr>
          <w:rFonts w:eastAsia="MS Mincho"/>
          <w:szCs w:val="24"/>
          <w:lang w:eastAsia="ja-JP"/>
        </w:rPr>
        <w:t xml:space="preserve">because, </w:t>
      </w:r>
      <w:r w:rsidR="00A73257" w:rsidRPr="001C76DC">
        <w:rPr>
          <w:rFonts w:eastAsia="MS Mincho"/>
          <w:szCs w:val="24"/>
          <w:lang w:eastAsia="ja-JP"/>
        </w:rPr>
        <w:t xml:space="preserve">if </w:t>
      </w:r>
      <w:r w:rsidR="0007348D" w:rsidRPr="001C76DC">
        <w:rPr>
          <w:rFonts w:eastAsia="MS Mincho"/>
          <w:szCs w:val="24"/>
          <w:lang w:eastAsia="ja-JP"/>
        </w:rPr>
        <w:t>the prudence disallowance is significant enough to cause financial harm, then ratepayers may ultimately pay for the higher costs of capital.</w:t>
      </w:r>
      <w:r w:rsidR="00567041">
        <w:rPr>
          <w:rStyle w:val="FootnoteReference"/>
          <w:rFonts w:eastAsia="MS Mincho"/>
          <w:szCs w:val="24"/>
          <w:lang w:eastAsia="ja-JP"/>
        </w:rPr>
        <w:footnoteReference w:id="45"/>
      </w:r>
      <w:r w:rsidR="00567041" w:rsidRPr="001C76DC">
        <w:rPr>
          <w:rFonts w:eastAsia="MS Mincho"/>
          <w:szCs w:val="24"/>
          <w:lang w:eastAsia="ja-JP"/>
        </w:rPr>
        <w:t xml:space="preserve"> </w:t>
      </w:r>
      <w:r w:rsidR="00603889" w:rsidRPr="001C76DC">
        <w:rPr>
          <w:rFonts w:eastAsia="MS Mincho"/>
          <w:szCs w:val="24"/>
          <w:lang w:eastAsia="ja-JP"/>
        </w:rPr>
        <w:t>While providing some protections</w:t>
      </w:r>
      <w:r w:rsidR="00B71C61" w:rsidRPr="001C76DC">
        <w:rPr>
          <w:rFonts w:eastAsia="MS Mincho"/>
          <w:szCs w:val="24"/>
          <w:lang w:eastAsia="ja-JP"/>
        </w:rPr>
        <w:t xml:space="preserve"> to ratepayers</w:t>
      </w:r>
      <w:r w:rsidR="00603889" w:rsidRPr="001C76DC">
        <w:rPr>
          <w:rFonts w:eastAsia="MS Mincho"/>
          <w:szCs w:val="24"/>
          <w:lang w:eastAsia="ja-JP"/>
        </w:rPr>
        <w:t xml:space="preserve">, </w:t>
      </w:r>
      <w:r w:rsidR="00C806DE" w:rsidRPr="001C76DC">
        <w:rPr>
          <w:rFonts w:eastAsia="MS Mincho"/>
          <w:szCs w:val="24"/>
          <w:lang w:eastAsia="ja-JP"/>
        </w:rPr>
        <w:t>the current approach has failed to provide</w:t>
      </w:r>
      <w:r w:rsidR="00A45BD5" w:rsidRPr="001C76DC">
        <w:rPr>
          <w:rFonts w:eastAsia="MS Mincho"/>
          <w:szCs w:val="24"/>
          <w:lang w:eastAsia="ja-JP"/>
        </w:rPr>
        <w:t xml:space="preserve"> appropriate incentives to prevent the utilities from taking actions that benefit their </w:t>
      </w:r>
      <w:r w:rsidR="00603889" w:rsidRPr="001C76DC">
        <w:rPr>
          <w:rFonts w:eastAsia="MS Mincho"/>
          <w:szCs w:val="24"/>
          <w:lang w:eastAsia="ja-JP"/>
        </w:rPr>
        <w:t>principal constituency</w:t>
      </w:r>
      <w:r w:rsidR="005A1D71">
        <w:rPr>
          <w:rFonts w:eastAsia="MS Mincho"/>
          <w:szCs w:val="24"/>
          <w:lang w:eastAsia="ja-JP"/>
        </w:rPr>
        <w:t>—</w:t>
      </w:r>
      <w:r w:rsidR="00603889" w:rsidRPr="00DA7BB7">
        <w:rPr>
          <w:rFonts w:eastAsia="MS Mincho"/>
          <w:szCs w:val="24"/>
          <w:lang w:eastAsia="ja-JP"/>
        </w:rPr>
        <w:t>management and shareholders</w:t>
      </w:r>
      <w:r w:rsidR="005A1D71">
        <w:rPr>
          <w:rFonts w:eastAsia="MS Mincho"/>
          <w:szCs w:val="24"/>
          <w:lang w:eastAsia="ja-JP"/>
        </w:rPr>
        <w:t>—</w:t>
      </w:r>
      <w:r w:rsidR="00603889" w:rsidRPr="00DA7BB7">
        <w:rPr>
          <w:rFonts w:eastAsia="MS Mincho"/>
          <w:szCs w:val="24"/>
          <w:lang w:eastAsia="ja-JP"/>
        </w:rPr>
        <w:t>over</w:t>
      </w:r>
      <w:r w:rsidR="00B71C61" w:rsidRPr="00DA7BB7">
        <w:rPr>
          <w:rFonts w:eastAsia="MS Mincho"/>
          <w:szCs w:val="24"/>
          <w:lang w:eastAsia="ja-JP"/>
        </w:rPr>
        <w:t xml:space="preserve"> </w:t>
      </w:r>
      <w:r w:rsidR="00273BC0" w:rsidRPr="00DA7BB7">
        <w:rPr>
          <w:rFonts w:eastAsia="MS Mincho"/>
          <w:szCs w:val="24"/>
          <w:lang w:eastAsia="ja-JP"/>
        </w:rPr>
        <w:t xml:space="preserve">their captive </w:t>
      </w:r>
      <w:r w:rsidR="00B71C61" w:rsidRPr="00DA7BB7">
        <w:rPr>
          <w:rFonts w:eastAsia="MS Mincho"/>
          <w:szCs w:val="24"/>
          <w:lang w:eastAsia="ja-JP"/>
        </w:rPr>
        <w:t>c</w:t>
      </w:r>
      <w:r w:rsidR="00AD10F4" w:rsidRPr="00DA7BB7">
        <w:rPr>
          <w:rFonts w:eastAsia="MS Mincho"/>
          <w:szCs w:val="24"/>
          <w:lang w:eastAsia="ja-JP"/>
        </w:rPr>
        <w:t>ustomers</w:t>
      </w:r>
      <w:r w:rsidR="00C806DE" w:rsidRPr="00DA7BB7">
        <w:rPr>
          <w:rFonts w:eastAsia="MS Mincho"/>
          <w:szCs w:val="24"/>
          <w:lang w:eastAsia="ja-JP"/>
        </w:rPr>
        <w:t xml:space="preserve">. </w:t>
      </w:r>
      <w:r w:rsidR="00150C57" w:rsidRPr="00DA7BB7">
        <w:rPr>
          <w:rFonts w:eastAsia="MS Mincho"/>
          <w:szCs w:val="24"/>
          <w:lang w:eastAsia="ja-JP"/>
        </w:rPr>
        <w:t xml:space="preserve"> The occasional prudence disallowance </w:t>
      </w:r>
      <w:r w:rsidR="00614514" w:rsidRPr="007C7901">
        <w:rPr>
          <w:rFonts w:eastAsia="MS Mincho"/>
          <w:szCs w:val="24"/>
          <w:lang w:eastAsia="ja-JP"/>
        </w:rPr>
        <w:t>should not just be</w:t>
      </w:r>
      <w:r w:rsidR="00150C57" w:rsidRPr="007C7901">
        <w:rPr>
          <w:rFonts w:eastAsia="MS Mincho"/>
          <w:szCs w:val="24"/>
          <w:lang w:eastAsia="ja-JP"/>
        </w:rPr>
        <w:t xml:space="preserve"> considered the </w:t>
      </w:r>
      <w:r w:rsidR="00140C3F" w:rsidRPr="007C7901">
        <w:rPr>
          <w:rFonts w:eastAsia="MS Mincho"/>
          <w:szCs w:val="24"/>
          <w:lang w:eastAsia="ja-JP"/>
        </w:rPr>
        <w:t>“</w:t>
      </w:r>
      <w:r w:rsidR="00150C57" w:rsidRPr="007C7901">
        <w:rPr>
          <w:rFonts w:eastAsia="MS Mincho"/>
          <w:szCs w:val="24"/>
          <w:lang w:eastAsia="ja-JP"/>
        </w:rPr>
        <w:t>cost of doing the business</w:t>
      </w:r>
      <w:r w:rsidR="00140C3F" w:rsidRPr="007C7901">
        <w:rPr>
          <w:rFonts w:eastAsia="MS Mincho"/>
          <w:szCs w:val="24"/>
          <w:lang w:eastAsia="ja-JP"/>
        </w:rPr>
        <w:t>”</w:t>
      </w:r>
      <w:r w:rsidR="00150C57" w:rsidRPr="007C7901">
        <w:rPr>
          <w:rFonts w:eastAsia="MS Mincho"/>
          <w:szCs w:val="24"/>
          <w:lang w:eastAsia="ja-JP"/>
        </w:rPr>
        <w:t xml:space="preserve"> </w:t>
      </w:r>
      <w:r w:rsidR="004E7A95" w:rsidRPr="007C7901">
        <w:rPr>
          <w:rFonts w:eastAsia="MS Mincho"/>
          <w:szCs w:val="24"/>
          <w:lang w:eastAsia="ja-JP"/>
        </w:rPr>
        <w:t>to</w:t>
      </w:r>
      <w:r w:rsidR="00150C57" w:rsidRPr="007C7901">
        <w:rPr>
          <w:rFonts w:eastAsia="MS Mincho"/>
          <w:szCs w:val="24"/>
          <w:lang w:eastAsia="ja-JP"/>
        </w:rPr>
        <w:t xml:space="preserve"> ensur</w:t>
      </w:r>
      <w:r w:rsidR="004E7A95" w:rsidRPr="007C7901">
        <w:rPr>
          <w:rFonts w:eastAsia="MS Mincho"/>
          <w:szCs w:val="24"/>
          <w:lang w:eastAsia="ja-JP"/>
        </w:rPr>
        <w:t>e</w:t>
      </w:r>
      <w:r w:rsidR="00150C57" w:rsidRPr="007C7901">
        <w:rPr>
          <w:rFonts w:eastAsia="MS Mincho"/>
          <w:szCs w:val="24"/>
          <w:lang w:eastAsia="ja-JP"/>
        </w:rPr>
        <w:t xml:space="preserve"> that power </w:t>
      </w:r>
      <w:r w:rsidR="004E7A95" w:rsidRPr="007C7901">
        <w:rPr>
          <w:rFonts w:eastAsia="MS Mincho"/>
          <w:szCs w:val="24"/>
          <w:lang w:eastAsia="ja-JP"/>
        </w:rPr>
        <w:t>assets are</w:t>
      </w:r>
      <w:r w:rsidR="00614514" w:rsidRPr="007C7901">
        <w:rPr>
          <w:rFonts w:eastAsia="MS Mincho"/>
          <w:szCs w:val="24"/>
          <w:lang w:eastAsia="ja-JP"/>
        </w:rPr>
        <w:t xml:space="preserve"> utility owned.</w:t>
      </w:r>
    </w:p>
    <w:p w14:paraId="0CCA3DDD" w14:textId="7BF02E3C" w:rsidR="001E59E3" w:rsidRPr="001C76DC" w:rsidRDefault="00523449" w:rsidP="00523449">
      <w:pPr>
        <w:pStyle w:val="ListParagraph"/>
        <w:numPr>
          <w:ilvl w:val="1"/>
          <w:numId w:val="33"/>
        </w:numPr>
        <w:spacing w:line="480" w:lineRule="auto"/>
        <w:ind w:left="0" w:hanging="540"/>
        <w:rPr>
          <w:rFonts w:eastAsia="MS Mincho"/>
          <w:lang w:eastAsia="ja-JP"/>
        </w:rPr>
      </w:pPr>
      <w:r>
        <w:lastRenderedPageBreak/>
        <w:t xml:space="preserve">            </w:t>
      </w:r>
      <w:r w:rsidR="00F00F5C" w:rsidRPr="001C76DC">
        <w:rPr>
          <w:rFonts w:eastAsia="MS Mincho"/>
          <w:szCs w:val="24"/>
          <w:lang w:eastAsia="ja-JP"/>
        </w:rPr>
        <w:t xml:space="preserve">The Northwest </w:t>
      </w:r>
      <w:r w:rsidR="003B5F91" w:rsidRPr="001C76DC">
        <w:rPr>
          <w:rFonts w:eastAsia="MS Mincho"/>
          <w:szCs w:val="24"/>
          <w:lang w:eastAsia="ja-JP"/>
        </w:rPr>
        <w:t>has</w:t>
      </w:r>
      <w:r w:rsidR="00547CCE" w:rsidRPr="001C76DC">
        <w:rPr>
          <w:rFonts w:eastAsia="MS Mincho"/>
          <w:szCs w:val="24"/>
          <w:lang w:eastAsia="ja-JP"/>
        </w:rPr>
        <w:t xml:space="preserve"> a need for major new</w:t>
      </w:r>
      <w:r w:rsidR="00F00F5C" w:rsidRPr="001C76DC">
        <w:rPr>
          <w:rFonts w:eastAsia="MS Mincho"/>
          <w:szCs w:val="24"/>
          <w:lang w:eastAsia="ja-JP"/>
        </w:rPr>
        <w:t xml:space="preserve"> resources </w:t>
      </w:r>
      <w:r w:rsidR="00547CCE" w:rsidRPr="001C76DC">
        <w:rPr>
          <w:rFonts w:eastAsia="MS Mincho"/>
          <w:szCs w:val="24"/>
          <w:lang w:eastAsia="ja-JP"/>
        </w:rPr>
        <w:t>over the next decade</w:t>
      </w:r>
      <w:r w:rsidR="006E03F9" w:rsidRPr="001C76DC">
        <w:rPr>
          <w:rFonts w:eastAsia="MS Mincho"/>
          <w:szCs w:val="24"/>
          <w:lang w:eastAsia="ja-JP"/>
        </w:rPr>
        <w:t xml:space="preserve">, and the critical question is whether </w:t>
      </w:r>
      <w:r w:rsidR="00614514" w:rsidRPr="001C76DC">
        <w:rPr>
          <w:rFonts w:eastAsia="MS Mincho"/>
          <w:szCs w:val="24"/>
          <w:lang w:eastAsia="ja-JP"/>
        </w:rPr>
        <w:t xml:space="preserve">all </w:t>
      </w:r>
      <w:r w:rsidR="006E03F9" w:rsidRPr="001C76DC">
        <w:rPr>
          <w:rFonts w:eastAsia="MS Mincho"/>
          <w:szCs w:val="24"/>
          <w:lang w:eastAsia="ja-JP"/>
        </w:rPr>
        <w:t xml:space="preserve">these resources will be built and owned by </w:t>
      </w:r>
      <w:r w:rsidR="000F7AAD" w:rsidRPr="001C76DC">
        <w:rPr>
          <w:rFonts w:eastAsia="MS Mincho"/>
          <w:szCs w:val="24"/>
          <w:lang w:eastAsia="ja-JP"/>
        </w:rPr>
        <w:t>utilities</w:t>
      </w:r>
      <w:r w:rsidR="00547CCE" w:rsidRPr="001C76DC">
        <w:rPr>
          <w:rFonts w:eastAsia="MS Mincho"/>
          <w:szCs w:val="24"/>
          <w:lang w:eastAsia="ja-JP"/>
        </w:rPr>
        <w:t xml:space="preserve">. </w:t>
      </w:r>
      <w:r w:rsidR="00614514" w:rsidRPr="001C76DC">
        <w:rPr>
          <w:rFonts w:eastAsia="MS Mincho"/>
          <w:szCs w:val="24"/>
          <w:lang w:eastAsia="ja-JP"/>
        </w:rPr>
        <w:t xml:space="preserve"> </w:t>
      </w:r>
      <w:r w:rsidR="004F7955" w:rsidRPr="001C76DC">
        <w:rPr>
          <w:rFonts w:eastAsia="MS Mincho"/>
          <w:szCs w:val="24"/>
          <w:lang w:eastAsia="ja-JP"/>
        </w:rPr>
        <w:t>PSE</w:t>
      </w:r>
      <w:r w:rsidR="008F4C73" w:rsidRPr="001C76DC">
        <w:rPr>
          <w:rFonts w:eastAsia="MS Mincho"/>
          <w:szCs w:val="24"/>
          <w:lang w:eastAsia="ja-JP"/>
        </w:rPr>
        <w:t xml:space="preserve"> </w:t>
      </w:r>
      <w:r w:rsidR="00547CCE" w:rsidRPr="001C76DC">
        <w:rPr>
          <w:rFonts w:eastAsia="MS Mincho"/>
          <w:szCs w:val="24"/>
          <w:lang w:eastAsia="ja-JP"/>
        </w:rPr>
        <w:t xml:space="preserve">estimates that </w:t>
      </w:r>
      <w:r w:rsidR="001E59E3" w:rsidRPr="001C76DC">
        <w:rPr>
          <w:rFonts w:eastAsia="MS Mincho"/>
          <w:szCs w:val="24"/>
          <w:lang w:eastAsia="ja-JP"/>
        </w:rPr>
        <w:t>the region is transitioning from a winter surplus to a significant winter peak deficit of 3,110 MW in 2025.</w:t>
      </w:r>
      <w:r w:rsidR="001E59E3">
        <w:rPr>
          <w:rStyle w:val="FootnoteReference"/>
          <w:rFonts w:eastAsia="MS Mincho"/>
          <w:szCs w:val="24"/>
          <w:lang w:eastAsia="ja-JP"/>
        </w:rPr>
        <w:footnoteReference w:id="46"/>
      </w:r>
      <w:r w:rsidR="001E59E3" w:rsidRPr="001C76DC">
        <w:rPr>
          <w:rFonts w:eastAsia="MS Mincho"/>
          <w:szCs w:val="24"/>
          <w:lang w:eastAsia="ja-JP"/>
        </w:rPr>
        <w:t xml:space="preserve"> </w:t>
      </w:r>
      <w:r w:rsidR="005904C6" w:rsidRPr="001C76DC">
        <w:rPr>
          <w:rFonts w:eastAsia="MS Mincho"/>
          <w:szCs w:val="24"/>
          <w:lang w:eastAsia="ja-JP"/>
        </w:rPr>
        <w:t xml:space="preserve"> While some </w:t>
      </w:r>
      <w:r w:rsidR="004F7955" w:rsidRPr="001C76DC">
        <w:rPr>
          <w:rFonts w:eastAsia="MS Mincho"/>
          <w:szCs w:val="24"/>
          <w:lang w:eastAsia="ja-JP"/>
        </w:rPr>
        <w:t xml:space="preserve">of </w:t>
      </w:r>
      <w:r w:rsidR="005904C6" w:rsidRPr="001C76DC">
        <w:rPr>
          <w:rFonts w:eastAsia="MS Mincho"/>
          <w:szCs w:val="24"/>
          <w:lang w:eastAsia="ja-JP"/>
        </w:rPr>
        <w:t xml:space="preserve">the shift from a surplus to a deficit is due to modest load growth, the major change </w:t>
      </w:r>
      <w:r w:rsidR="00DF03A1" w:rsidRPr="001C76DC">
        <w:rPr>
          <w:rFonts w:eastAsia="MS Mincho"/>
          <w:szCs w:val="24"/>
          <w:lang w:eastAsia="ja-JP"/>
        </w:rPr>
        <w:t>will be the loss of 2,045 MW of generating capacity and approximately 1,750 aMW of annual energy production as several coal plants are shut down.</w:t>
      </w:r>
      <w:r w:rsidR="00DF03A1">
        <w:rPr>
          <w:rStyle w:val="FootnoteReference"/>
          <w:rFonts w:eastAsia="MS Mincho"/>
          <w:szCs w:val="24"/>
          <w:lang w:eastAsia="ja-JP"/>
        </w:rPr>
        <w:footnoteReference w:id="47"/>
      </w:r>
      <w:r w:rsidR="00E37591" w:rsidRPr="001C76DC">
        <w:rPr>
          <w:rFonts w:eastAsia="MS Mincho"/>
          <w:szCs w:val="24"/>
          <w:lang w:eastAsia="ja-JP"/>
        </w:rPr>
        <w:t xml:space="preserve">  </w:t>
      </w:r>
      <w:r w:rsidR="006E2551" w:rsidRPr="001C76DC">
        <w:rPr>
          <w:rFonts w:eastAsia="MS Mincho"/>
          <w:lang w:eastAsia="ja-JP"/>
        </w:rPr>
        <w:t xml:space="preserve">PSE </w:t>
      </w:r>
      <w:r w:rsidR="00E37591" w:rsidRPr="001C76DC">
        <w:rPr>
          <w:rFonts w:eastAsia="MS Mincho"/>
          <w:lang w:eastAsia="ja-JP"/>
        </w:rPr>
        <w:t xml:space="preserve">itself </w:t>
      </w:r>
      <w:r w:rsidR="006E2551" w:rsidRPr="001C76DC">
        <w:rPr>
          <w:rFonts w:eastAsia="MS Mincho"/>
          <w:lang w:eastAsia="ja-JP"/>
        </w:rPr>
        <w:t xml:space="preserve">forecasts a </w:t>
      </w:r>
      <w:r w:rsidR="003655B9" w:rsidRPr="001C76DC">
        <w:rPr>
          <w:rFonts w:eastAsia="MS Mincho"/>
          <w:lang w:eastAsia="ja-JP"/>
        </w:rPr>
        <w:t>need</w:t>
      </w:r>
      <w:r w:rsidR="006E2551" w:rsidRPr="001C76DC">
        <w:rPr>
          <w:rFonts w:eastAsia="MS Mincho"/>
          <w:lang w:eastAsia="ja-JP"/>
        </w:rPr>
        <w:t xml:space="preserve"> to acquire approximately 275 MW of firm, dispatchable generation in the next 7 years.</w:t>
      </w:r>
      <w:r w:rsidR="00F46439">
        <w:rPr>
          <w:rStyle w:val="FootnoteReference"/>
          <w:rFonts w:eastAsia="MS Mincho"/>
          <w:lang w:eastAsia="ja-JP"/>
        </w:rPr>
        <w:footnoteReference w:id="48"/>
      </w:r>
      <w:r w:rsidR="006E2551" w:rsidRPr="001C76DC">
        <w:rPr>
          <w:rFonts w:eastAsia="MS Mincho"/>
          <w:lang w:eastAsia="ja-JP"/>
        </w:rPr>
        <w:t xml:space="preserve"> </w:t>
      </w:r>
      <w:r w:rsidR="00F46439" w:rsidRPr="001C76DC">
        <w:rPr>
          <w:rFonts w:eastAsia="MS Mincho"/>
          <w:lang w:eastAsia="ja-JP"/>
        </w:rPr>
        <w:t xml:space="preserve"> </w:t>
      </w:r>
      <w:r w:rsidR="000064D0" w:rsidRPr="001C76DC">
        <w:rPr>
          <w:rFonts w:eastAsia="MS Mincho"/>
          <w:lang w:eastAsia="ja-JP"/>
        </w:rPr>
        <w:t xml:space="preserve">PSE is not alone in the need for new </w:t>
      </w:r>
      <w:r w:rsidR="00D2023C" w:rsidRPr="001C76DC">
        <w:rPr>
          <w:rFonts w:eastAsia="MS Mincho"/>
          <w:lang w:eastAsia="ja-JP"/>
        </w:rPr>
        <w:t>resources</w:t>
      </w:r>
      <w:r w:rsidR="000064D0" w:rsidRPr="001C76DC">
        <w:rPr>
          <w:rFonts w:eastAsia="MS Mincho"/>
          <w:lang w:eastAsia="ja-JP"/>
        </w:rPr>
        <w:t>.</w:t>
      </w:r>
      <w:r w:rsidR="007A5D1A">
        <w:rPr>
          <w:rStyle w:val="FootnoteReference"/>
          <w:rFonts w:eastAsia="MS Mincho"/>
          <w:lang w:eastAsia="ja-JP"/>
        </w:rPr>
        <w:footnoteReference w:id="49"/>
      </w:r>
      <w:r w:rsidR="000064D0" w:rsidRPr="001C76DC">
        <w:rPr>
          <w:rFonts w:eastAsia="MS Mincho"/>
          <w:lang w:eastAsia="ja-JP"/>
        </w:rPr>
        <w:t xml:space="preserve"> </w:t>
      </w:r>
      <w:r w:rsidR="00535D45" w:rsidRPr="001C76DC">
        <w:rPr>
          <w:rFonts w:eastAsia="MS Mincho"/>
          <w:lang w:eastAsia="ja-JP"/>
        </w:rPr>
        <w:t xml:space="preserve"> </w:t>
      </w:r>
      <w:r w:rsidR="00547CCE" w:rsidRPr="001C76DC">
        <w:rPr>
          <w:rFonts w:eastAsia="MS Mincho"/>
          <w:szCs w:val="24"/>
          <w:lang w:eastAsia="ja-JP"/>
        </w:rPr>
        <w:t xml:space="preserve">Oregon recently doubled the size of its renewable portfolio standard and </w:t>
      </w:r>
      <w:r w:rsidR="006A5E17" w:rsidRPr="001C76DC">
        <w:rPr>
          <w:rFonts w:eastAsia="MS Mincho"/>
          <w:szCs w:val="24"/>
          <w:lang w:eastAsia="ja-JP"/>
        </w:rPr>
        <w:t xml:space="preserve">committed to a date certain to </w:t>
      </w:r>
      <w:r w:rsidR="00547CCE" w:rsidRPr="001C76DC">
        <w:rPr>
          <w:rFonts w:eastAsia="MS Mincho"/>
          <w:szCs w:val="24"/>
          <w:lang w:eastAsia="ja-JP"/>
        </w:rPr>
        <w:t>remove the costs of coal generation from rates</w:t>
      </w:r>
      <w:r w:rsidR="00BA0584" w:rsidRPr="001C76DC">
        <w:rPr>
          <w:rFonts w:eastAsia="MS Mincho"/>
          <w:szCs w:val="24"/>
          <w:lang w:eastAsia="ja-JP"/>
        </w:rPr>
        <w:t>, which will result in new resource construction.</w:t>
      </w:r>
      <w:r w:rsidR="00BA0584">
        <w:rPr>
          <w:rStyle w:val="FootnoteReference"/>
          <w:rFonts w:eastAsia="MS Mincho"/>
          <w:szCs w:val="24"/>
          <w:lang w:eastAsia="ja-JP"/>
        </w:rPr>
        <w:footnoteReference w:id="50"/>
      </w:r>
      <w:r w:rsidR="00BA0584" w:rsidRPr="001C76DC">
        <w:rPr>
          <w:rFonts w:eastAsia="MS Mincho"/>
          <w:szCs w:val="24"/>
          <w:lang w:eastAsia="ja-JP"/>
        </w:rPr>
        <w:t xml:space="preserve">  </w:t>
      </w:r>
      <w:r w:rsidR="00B8587E" w:rsidRPr="001C76DC">
        <w:rPr>
          <w:rFonts w:eastAsia="MS Mincho"/>
          <w:szCs w:val="24"/>
          <w:lang w:eastAsia="ja-JP"/>
        </w:rPr>
        <w:t xml:space="preserve">Carbon regulation, </w:t>
      </w:r>
      <w:r w:rsidR="006A5E17" w:rsidRPr="001C76DC">
        <w:rPr>
          <w:rFonts w:eastAsia="MS Mincho"/>
          <w:szCs w:val="24"/>
          <w:lang w:eastAsia="ja-JP"/>
        </w:rPr>
        <w:t>up ticks in</w:t>
      </w:r>
      <w:r w:rsidR="00B8587E" w:rsidRPr="001C76DC">
        <w:rPr>
          <w:rFonts w:eastAsia="MS Mincho"/>
          <w:szCs w:val="24"/>
          <w:lang w:eastAsia="ja-JP"/>
        </w:rPr>
        <w:t xml:space="preserve"> Washington</w:t>
      </w:r>
      <w:r w:rsidR="006A5E17" w:rsidRPr="001C76DC">
        <w:rPr>
          <w:rFonts w:eastAsia="MS Mincho"/>
          <w:szCs w:val="24"/>
          <w:lang w:eastAsia="ja-JP"/>
        </w:rPr>
        <w:t>’s</w:t>
      </w:r>
      <w:r w:rsidR="00B8587E" w:rsidRPr="001C76DC">
        <w:rPr>
          <w:rFonts w:eastAsia="MS Mincho"/>
          <w:szCs w:val="24"/>
          <w:lang w:eastAsia="ja-JP"/>
        </w:rPr>
        <w:t xml:space="preserve"> </w:t>
      </w:r>
      <w:r w:rsidR="00B8587E" w:rsidRPr="001C76DC">
        <w:rPr>
          <w:rFonts w:eastAsia="MS Mincho"/>
          <w:szCs w:val="24"/>
          <w:lang w:eastAsia="ja-JP"/>
        </w:rPr>
        <w:lastRenderedPageBreak/>
        <w:t>renewable portfo</w:t>
      </w:r>
      <w:r w:rsidR="00A06109" w:rsidRPr="001C76DC">
        <w:rPr>
          <w:rFonts w:eastAsia="MS Mincho"/>
          <w:szCs w:val="24"/>
          <w:lang w:eastAsia="ja-JP"/>
        </w:rPr>
        <w:t xml:space="preserve">lio standard, and other requirements are only going to speed the transition from coal </w:t>
      </w:r>
      <w:r w:rsidR="006A5E17" w:rsidRPr="001C76DC">
        <w:rPr>
          <w:rFonts w:eastAsia="MS Mincho"/>
          <w:szCs w:val="24"/>
          <w:lang w:eastAsia="ja-JP"/>
        </w:rPr>
        <w:t>generation capacity</w:t>
      </w:r>
      <w:r w:rsidR="00A06109" w:rsidRPr="001C76DC">
        <w:rPr>
          <w:rFonts w:eastAsia="MS Mincho"/>
          <w:szCs w:val="24"/>
          <w:lang w:eastAsia="ja-JP"/>
        </w:rPr>
        <w:t xml:space="preserve"> to</w:t>
      </w:r>
      <w:r w:rsidR="006A5E17" w:rsidRPr="001C76DC">
        <w:rPr>
          <w:rFonts w:eastAsia="MS Mincho"/>
          <w:szCs w:val="24"/>
          <w:lang w:eastAsia="ja-JP"/>
        </w:rPr>
        <w:t xml:space="preserve"> </w:t>
      </w:r>
      <w:r w:rsidR="00A06109" w:rsidRPr="001C76DC">
        <w:rPr>
          <w:rFonts w:eastAsia="MS Mincho"/>
          <w:szCs w:val="24"/>
          <w:lang w:eastAsia="ja-JP"/>
        </w:rPr>
        <w:t xml:space="preserve">gas and renewables, which will </w:t>
      </w:r>
      <w:r w:rsidR="006A5E17" w:rsidRPr="001C76DC">
        <w:rPr>
          <w:rFonts w:eastAsia="MS Mincho"/>
          <w:szCs w:val="24"/>
          <w:lang w:eastAsia="ja-JP"/>
        </w:rPr>
        <w:t xml:space="preserve">trigger </w:t>
      </w:r>
      <w:r w:rsidR="00A06109" w:rsidRPr="001C76DC">
        <w:rPr>
          <w:rFonts w:eastAsia="MS Mincho"/>
          <w:szCs w:val="24"/>
          <w:lang w:eastAsia="ja-JP"/>
        </w:rPr>
        <w:t>new resource construction in the Northwest.</w:t>
      </w:r>
    </w:p>
    <w:p w14:paraId="45B3EE9F" w14:textId="450270F3" w:rsidR="00F33B50" w:rsidRPr="001C76DC" w:rsidRDefault="00523449" w:rsidP="00523449">
      <w:pPr>
        <w:pStyle w:val="ListParagraph"/>
        <w:numPr>
          <w:ilvl w:val="1"/>
          <w:numId w:val="33"/>
        </w:numPr>
        <w:spacing w:line="480" w:lineRule="auto"/>
        <w:ind w:left="0" w:hanging="540"/>
        <w:rPr>
          <w:rFonts w:eastAsia="MS Mincho"/>
          <w:szCs w:val="24"/>
          <w:lang w:eastAsia="ja-JP"/>
        </w:rPr>
      </w:pPr>
      <w:r>
        <w:t xml:space="preserve">            </w:t>
      </w:r>
      <w:r w:rsidR="003B187C" w:rsidRPr="001C76DC">
        <w:rPr>
          <w:rFonts w:eastAsia="MS Mincho"/>
          <w:szCs w:val="24"/>
          <w:lang w:eastAsia="ja-JP"/>
        </w:rPr>
        <w:t>Northwest</w:t>
      </w:r>
      <w:r w:rsidR="00F00F5C" w:rsidRPr="001C76DC">
        <w:rPr>
          <w:rFonts w:eastAsia="MS Mincho"/>
          <w:szCs w:val="24"/>
          <w:lang w:eastAsia="ja-JP"/>
        </w:rPr>
        <w:t xml:space="preserve"> utilities are looking to </w:t>
      </w:r>
      <w:r w:rsidR="00F00F5C" w:rsidRPr="001C76DC">
        <w:rPr>
          <w:rFonts w:eastAsia="MS Mincho"/>
          <w:b/>
          <w:szCs w:val="24"/>
          <w:u w:val="single"/>
          <w:lang w:eastAsia="ja-JP"/>
        </w:rPr>
        <w:t>own</w:t>
      </w:r>
      <w:r w:rsidR="00F00F5C" w:rsidRPr="001C76DC">
        <w:rPr>
          <w:rFonts w:eastAsia="MS Mincho"/>
          <w:szCs w:val="24"/>
          <w:lang w:eastAsia="ja-JP"/>
        </w:rPr>
        <w:t xml:space="preserve"> </w:t>
      </w:r>
      <w:r w:rsidR="006A5E17" w:rsidRPr="001C76DC">
        <w:rPr>
          <w:rFonts w:eastAsia="MS Mincho"/>
          <w:szCs w:val="24"/>
          <w:lang w:eastAsia="ja-JP"/>
        </w:rPr>
        <w:t xml:space="preserve">all </w:t>
      </w:r>
      <w:r w:rsidR="00877ADB" w:rsidRPr="001C76DC">
        <w:rPr>
          <w:rFonts w:eastAsia="MS Mincho"/>
          <w:szCs w:val="24"/>
          <w:lang w:eastAsia="ja-JP"/>
        </w:rPr>
        <w:t xml:space="preserve">this </w:t>
      </w:r>
      <w:r w:rsidR="00F00F5C" w:rsidRPr="001C76DC">
        <w:rPr>
          <w:rFonts w:eastAsia="MS Mincho"/>
          <w:szCs w:val="24"/>
          <w:lang w:eastAsia="ja-JP"/>
        </w:rPr>
        <w:t xml:space="preserve">new generation, rather than purchase the power from </w:t>
      </w:r>
      <w:r w:rsidR="00303038" w:rsidRPr="001C76DC">
        <w:rPr>
          <w:rFonts w:eastAsia="MS Mincho"/>
          <w:szCs w:val="24"/>
          <w:lang w:eastAsia="ja-JP"/>
        </w:rPr>
        <w:t>IPPs</w:t>
      </w:r>
      <w:r w:rsidR="00F00F5C" w:rsidRPr="001C76DC">
        <w:rPr>
          <w:rFonts w:eastAsia="MS Mincho"/>
          <w:szCs w:val="24"/>
          <w:lang w:eastAsia="ja-JP"/>
        </w:rPr>
        <w:t xml:space="preserve">.  </w:t>
      </w:r>
      <w:r w:rsidR="003B5F91" w:rsidRPr="001C76DC">
        <w:rPr>
          <w:rFonts w:eastAsia="MS Mincho"/>
          <w:szCs w:val="24"/>
          <w:lang w:eastAsia="ja-JP"/>
        </w:rPr>
        <w:t xml:space="preserve">For example, while PSE </w:t>
      </w:r>
      <w:r w:rsidR="00547CCE" w:rsidRPr="001C76DC">
        <w:rPr>
          <w:rFonts w:eastAsia="MS Mincho"/>
          <w:szCs w:val="24"/>
          <w:lang w:eastAsia="ja-JP"/>
        </w:rPr>
        <w:t xml:space="preserve">has relied </w:t>
      </w:r>
      <w:r w:rsidR="00443D43" w:rsidRPr="001C76DC">
        <w:rPr>
          <w:rFonts w:eastAsia="MS Mincho"/>
          <w:szCs w:val="24"/>
          <w:lang w:eastAsia="ja-JP"/>
        </w:rPr>
        <w:t xml:space="preserve">for years </w:t>
      </w:r>
      <w:r w:rsidR="00547CCE" w:rsidRPr="001C76DC">
        <w:rPr>
          <w:rFonts w:eastAsia="MS Mincho"/>
          <w:szCs w:val="24"/>
          <w:lang w:eastAsia="ja-JP"/>
        </w:rPr>
        <w:t>upon the wholesale market to cost effectively meet its en</w:t>
      </w:r>
      <w:r w:rsidR="003B5F91" w:rsidRPr="001C76DC">
        <w:rPr>
          <w:rFonts w:eastAsia="MS Mincho"/>
          <w:szCs w:val="24"/>
          <w:lang w:eastAsia="ja-JP"/>
        </w:rPr>
        <w:t xml:space="preserve">ergy and </w:t>
      </w:r>
      <w:r w:rsidR="00443D43" w:rsidRPr="001C76DC">
        <w:rPr>
          <w:rFonts w:eastAsia="MS Mincho"/>
          <w:szCs w:val="24"/>
          <w:lang w:eastAsia="ja-JP"/>
        </w:rPr>
        <w:t>capacity</w:t>
      </w:r>
      <w:r w:rsidR="003B5F91" w:rsidRPr="001C76DC">
        <w:rPr>
          <w:rFonts w:eastAsia="MS Mincho"/>
          <w:szCs w:val="24"/>
          <w:lang w:eastAsia="ja-JP"/>
        </w:rPr>
        <w:t xml:space="preserve"> needs, PSE </w:t>
      </w:r>
      <w:r w:rsidR="004E7A95" w:rsidRPr="001C76DC">
        <w:rPr>
          <w:rFonts w:eastAsia="MS Mincho"/>
          <w:szCs w:val="24"/>
          <w:lang w:eastAsia="ja-JP"/>
        </w:rPr>
        <w:t>asserts</w:t>
      </w:r>
      <w:r w:rsidR="00547CCE" w:rsidRPr="001C76DC">
        <w:rPr>
          <w:rFonts w:eastAsia="MS Mincho"/>
          <w:szCs w:val="24"/>
          <w:lang w:eastAsia="ja-JP"/>
        </w:rPr>
        <w:t xml:space="preserve"> in its</w:t>
      </w:r>
      <w:r w:rsidR="00443D43" w:rsidRPr="001C76DC">
        <w:rPr>
          <w:rFonts w:eastAsia="MS Mincho"/>
          <w:szCs w:val="24"/>
          <w:lang w:eastAsia="ja-JP"/>
        </w:rPr>
        <w:t xml:space="preserve"> latest</w:t>
      </w:r>
      <w:r w:rsidR="00547CCE" w:rsidRPr="001C76DC">
        <w:rPr>
          <w:rFonts w:eastAsia="MS Mincho"/>
          <w:szCs w:val="24"/>
          <w:lang w:eastAsia="ja-JP"/>
        </w:rPr>
        <w:t xml:space="preserve"> </w:t>
      </w:r>
      <w:r w:rsidR="00303038" w:rsidRPr="001C76DC">
        <w:rPr>
          <w:rFonts w:eastAsia="MS Mincho"/>
          <w:szCs w:val="24"/>
          <w:lang w:eastAsia="ja-JP"/>
        </w:rPr>
        <w:t>IRP</w:t>
      </w:r>
      <w:r w:rsidR="00547CCE" w:rsidRPr="001C76DC">
        <w:rPr>
          <w:rFonts w:eastAsia="MS Mincho"/>
          <w:szCs w:val="24"/>
          <w:lang w:eastAsia="ja-JP"/>
        </w:rPr>
        <w:t xml:space="preserve"> that</w:t>
      </w:r>
      <w:r w:rsidR="00877ADB" w:rsidRPr="001C76DC">
        <w:rPr>
          <w:rFonts w:eastAsia="MS Mincho"/>
          <w:szCs w:val="24"/>
          <w:lang w:eastAsia="ja-JP"/>
        </w:rPr>
        <w:t xml:space="preserve"> wholesale market</w:t>
      </w:r>
      <w:r w:rsidR="001D2FFB">
        <w:rPr>
          <w:rFonts w:eastAsia="MS Mincho"/>
          <w:szCs w:val="24"/>
          <w:lang w:eastAsia="ja-JP"/>
        </w:rPr>
        <w:t>s</w:t>
      </w:r>
      <w:r w:rsidR="00877ADB" w:rsidRPr="001C76DC">
        <w:rPr>
          <w:rFonts w:eastAsia="MS Mincho"/>
          <w:szCs w:val="24"/>
          <w:lang w:eastAsia="ja-JP"/>
        </w:rPr>
        <w:t xml:space="preserve"> </w:t>
      </w:r>
      <w:r w:rsidR="004E7A95" w:rsidRPr="001C76DC">
        <w:rPr>
          <w:rFonts w:eastAsia="MS Mincho"/>
          <w:szCs w:val="24"/>
          <w:lang w:eastAsia="ja-JP"/>
        </w:rPr>
        <w:t>are</w:t>
      </w:r>
      <w:r w:rsidR="00877ADB" w:rsidRPr="001C76DC">
        <w:rPr>
          <w:rFonts w:eastAsia="MS Mincho"/>
          <w:szCs w:val="24"/>
          <w:lang w:eastAsia="ja-JP"/>
        </w:rPr>
        <w:t xml:space="preserve"> unreliable and </w:t>
      </w:r>
      <w:r w:rsidR="00092A51" w:rsidRPr="001C76DC">
        <w:rPr>
          <w:rFonts w:eastAsia="MS Mincho"/>
          <w:szCs w:val="24"/>
          <w:lang w:eastAsia="ja-JP"/>
        </w:rPr>
        <w:t xml:space="preserve">continued reliance on </w:t>
      </w:r>
      <w:r w:rsidR="007577D1" w:rsidRPr="001C76DC">
        <w:rPr>
          <w:rFonts w:eastAsia="MS Mincho"/>
          <w:szCs w:val="24"/>
          <w:lang w:eastAsia="ja-JP"/>
        </w:rPr>
        <w:t>purchased power</w:t>
      </w:r>
      <w:r w:rsidR="00092A51" w:rsidRPr="001C76DC">
        <w:rPr>
          <w:rFonts w:eastAsia="MS Mincho"/>
          <w:szCs w:val="24"/>
          <w:lang w:eastAsia="ja-JP"/>
        </w:rPr>
        <w:t xml:space="preserve"> </w:t>
      </w:r>
      <w:r w:rsidR="00877ADB" w:rsidRPr="001C76DC">
        <w:rPr>
          <w:rFonts w:eastAsia="MS Mincho"/>
          <w:szCs w:val="24"/>
          <w:lang w:eastAsia="ja-JP"/>
        </w:rPr>
        <w:t>will lead to increase</w:t>
      </w:r>
      <w:r w:rsidR="004E7A95" w:rsidRPr="001C76DC">
        <w:rPr>
          <w:rFonts w:eastAsia="MS Mincho"/>
          <w:szCs w:val="24"/>
          <w:lang w:eastAsia="ja-JP"/>
        </w:rPr>
        <w:t>d</w:t>
      </w:r>
      <w:r w:rsidR="00877ADB" w:rsidRPr="001C76DC">
        <w:rPr>
          <w:rFonts w:eastAsia="MS Mincho"/>
          <w:szCs w:val="24"/>
          <w:lang w:eastAsia="ja-JP"/>
        </w:rPr>
        <w:t xml:space="preserve"> curtailments.</w:t>
      </w:r>
      <w:r w:rsidR="00877ADB" w:rsidRPr="00877ADB">
        <w:rPr>
          <w:rFonts w:eastAsia="MS Mincho"/>
          <w:vertAlign w:val="superscript"/>
          <w:lang w:eastAsia="ja-JP"/>
        </w:rPr>
        <w:footnoteReference w:id="51"/>
      </w:r>
      <w:r w:rsidR="00877ADB" w:rsidRPr="001C76DC">
        <w:rPr>
          <w:rFonts w:eastAsia="MS Mincho"/>
          <w:szCs w:val="24"/>
          <w:lang w:eastAsia="ja-JP"/>
        </w:rPr>
        <w:t xml:space="preserve">  </w:t>
      </w:r>
      <w:r w:rsidR="007577D1" w:rsidRPr="001C76DC">
        <w:rPr>
          <w:rFonts w:eastAsia="MS Mincho"/>
          <w:szCs w:val="24"/>
          <w:lang w:eastAsia="ja-JP"/>
        </w:rPr>
        <w:t xml:space="preserve">Similarly, both PacifiCorp and PGE recently sought </w:t>
      </w:r>
      <w:r w:rsidR="00C04F13" w:rsidRPr="001C76DC">
        <w:rPr>
          <w:rFonts w:eastAsia="MS Mincho"/>
          <w:szCs w:val="24"/>
          <w:lang w:eastAsia="ja-JP"/>
        </w:rPr>
        <w:t xml:space="preserve">to </w:t>
      </w:r>
      <w:r w:rsidR="00443D43" w:rsidRPr="001C76DC">
        <w:rPr>
          <w:rFonts w:eastAsia="MS Mincho"/>
          <w:szCs w:val="24"/>
          <w:lang w:eastAsia="ja-JP"/>
        </w:rPr>
        <w:t>secure</w:t>
      </w:r>
      <w:r w:rsidR="0023756A" w:rsidRPr="001C76DC">
        <w:rPr>
          <w:rFonts w:eastAsia="MS Mincho"/>
          <w:szCs w:val="24"/>
          <w:lang w:eastAsia="ja-JP"/>
        </w:rPr>
        <w:t xml:space="preserve"> new renewable energy</w:t>
      </w:r>
      <w:r w:rsidR="00B976EE" w:rsidRPr="001C76DC">
        <w:rPr>
          <w:rFonts w:eastAsia="MS Mincho"/>
          <w:szCs w:val="24"/>
          <w:lang w:eastAsia="ja-JP"/>
        </w:rPr>
        <w:t xml:space="preserve"> </w:t>
      </w:r>
      <w:r w:rsidR="00443D43" w:rsidRPr="001C76DC">
        <w:rPr>
          <w:rFonts w:eastAsia="MS Mincho"/>
          <w:szCs w:val="24"/>
          <w:lang w:eastAsia="ja-JP"/>
        </w:rPr>
        <w:t xml:space="preserve">targeted </w:t>
      </w:r>
      <w:r w:rsidR="00B976EE" w:rsidRPr="001C76DC">
        <w:rPr>
          <w:rFonts w:eastAsia="MS Mincho"/>
          <w:szCs w:val="24"/>
          <w:lang w:eastAsia="ja-JP"/>
        </w:rPr>
        <w:t>for utility ownership.</w:t>
      </w:r>
      <w:r w:rsidR="00B6239B">
        <w:rPr>
          <w:rStyle w:val="FootnoteReference"/>
          <w:rFonts w:eastAsia="MS Mincho"/>
          <w:szCs w:val="24"/>
          <w:lang w:eastAsia="ja-JP"/>
        </w:rPr>
        <w:footnoteReference w:id="52"/>
      </w:r>
      <w:r w:rsidR="00B976EE" w:rsidRPr="001C76DC">
        <w:rPr>
          <w:rFonts w:eastAsia="MS Mincho"/>
          <w:szCs w:val="24"/>
          <w:lang w:eastAsia="ja-JP"/>
        </w:rPr>
        <w:t xml:space="preserve">  </w:t>
      </w:r>
      <w:r w:rsidR="009818D7" w:rsidRPr="001C76DC">
        <w:rPr>
          <w:rFonts w:eastAsia="MS Mincho"/>
          <w:szCs w:val="24"/>
          <w:lang w:eastAsia="ja-JP"/>
        </w:rPr>
        <w:t>Wall</w:t>
      </w:r>
      <w:r w:rsidR="00110897" w:rsidRPr="001C76DC">
        <w:rPr>
          <w:rFonts w:eastAsia="MS Mincho"/>
          <w:szCs w:val="24"/>
          <w:lang w:eastAsia="ja-JP"/>
        </w:rPr>
        <w:t xml:space="preserve"> </w:t>
      </w:r>
      <w:r w:rsidR="00535D45" w:rsidRPr="001C76DC">
        <w:rPr>
          <w:rFonts w:eastAsia="MS Mincho"/>
          <w:szCs w:val="24"/>
          <w:lang w:eastAsia="ja-JP"/>
        </w:rPr>
        <w:t>S</w:t>
      </w:r>
      <w:r w:rsidR="00110897" w:rsidRPr="001C76DC">
        <w:rPr>
          <w:rFonts w:eastAsia="MS Mincho"/>
          <w:szCs w:val="24"/>
          <w:lang w:eastAsia="ja-JP"/>
        </w:rPr>
        <w:t>treet understan</w:t>
      </w:r>
      <w:r w:rsidR="009818D7" w:rsidRPr="001C76DC">
        <w:rPr>
          <w:rFonts w:eastAsia="MS Mincho"/>
          <w:szCs w:val="24"/>
          <w:lang w:eastAsia="ja-JP"/>
        </w:rPr>
        <w:t>d</w:t>
      </w:r>
      <w:r w:rsidR="00110897" w:rsidRPr="001C76DC">
        <w:rPr>
          <w:rFonts w:eastAsia="MS Mincho"/>
          <w:szCs w:val="24"/>
          <w:lang w:eastAsia="ja-JP"/>
        </w:rPr>
        <w:t>s</w:t>
      </w:r>
      <w:r w:rsidR="000766FB" w:rsidRPr="001C76DC">
        <w:rPr>
          <w:rFonts w:eastAsia="MS Mincho"/>
          <w:szCs w:val="24"/>
          <w:lang w:eastAsia="ja-JP"/>
        </w:rPr>
        <w:t xml:space="preserve"> the issue of why PGE’s RFP was biased </w:t>
      </w:r>
      <w:r w:rsidR="00751641" w:rsidRPr="001C76DC">
        <w:rPr>
          <w:rFonts w:eastAsia="MS Mincho"/>
          <w:szCs w:val="24"/>
          <w:lang w:eastAsia="ja-JP"/>
        </w:rPr>
        <w:t xml:space="preserve">in favor of utility owned generation, </w:t>
      </w:r>
      <w:r w:rsidR="000766FB" w:rsidRPr="001C76DC">
        <w:rPr>
          <w:rFonts w:eastAsia="MS Mincho"/>
          <w:szCs w:val="24"/>
          <w:lang w:eastAsia="ja-JP"/>
        </w:rPr>
        <w:t xml:space="preserve">explaining that </w:t>
      </w:r>
      <w:r w:rsidR="001C43DD" w:rsidRPr="001C76DC">
        <w:rPr>
          <w:rFonts w:eastAsia="MS Mincho"/>
          <w:szCs w:val="24"/>
          <w:lang w:eastAsia="ja-JP"/>
        </w:rPr>
        <w:t>PGE</w:t>
      </w:r>
      <w:r w:rsidR="00F33B50" w:rsidRPr="001C76DC">
        <w:rPr>
          <w:rFonts w:eastAsia="MS Mincho"/>
          <w:szCs w:val="24"/>
          <w:lang w:eastAsia="ja-JP"/>
        </w:rPr>
        <w:t>:</w:t>
      </w:r>
    </w:p>
    <w:p w14:paraId="22D63177" w14:textId="77777777" w:rsidR="009818D7" w:rsidRPr="001C76DC" w:rsidRDefault="008E5F69" w:rsidP="00523449">
      <w:pPr>
        <w:pStyle w:val="ListParagraph"/>
        <w:ind w:left="2016" w:right="720"/>
        <w:jc w:val="both"/>
        <w:rPr>
          <w:rFonts w:eastAsia="MS Mincho"/>
          <w:szCs w:val="24"/>
          <w:lang w:eastAsia="ja-JP"/>
        </w:rPr>
      </w:pPr>
      <w:r w:rsidRPr="001C76DC">
        <w:rPr>
          <w:rFonts w:eastAsia="MS Mincho"/>
          <w:szCs w:val="24"/>
          <w:lang w:eastAsia="ja-JP"/>
        </w:rPr>
        <w:t>[M]</w:t>
      </w:r>
      <w:r w:rsidR="000766FB" w:rsidRPr="001C76DC">
        <w:rPr>
          <w:rFonts w:eastAsia="MS Mincho"/>
          <w:szCs w:val="24"/>
          <w:lang w:eastAsia="ja-JP"/>
        </w:rPr>
        <w:t xml:space="preserve">aintains </w:t>
      </w:r>
      <w:r w:rsidR="009818D7" w:rsidRPr="001C76DC">
        <w:rPr>
          <w:rFonts w:eastAsia="MS Mincho"/>
          <w:szCs w:val="24"/>
          <w:lang w:eastAsia="ja-JP"/>
        </w:rPr>
        <w:t>a good deal of flexibility in driving RFP design</w:t>
      </w:r>
      <w:r w:rsidR="001C43DD" w:rsidRPr="001C76DC">
        <w:rPr>
          <w:rFonts w:eastAsia="MS Mincho"/>
          <w:szCs w:val="24"/>
          <w:lang w:eastAsia="ja-JP"/>
        </w:rPr>
        <w:t xml:space="preserve"> [and</w:t>
      </w:r>
      <w:r w:rsidR="000766FB" w:rsidRPr="001C76DC">
        <w:rPr>
          <w:rFonts w:eastAsia="MS Mincho"/>
          <w:szCs w:val="24"/>
          <w:lang w:eastAsia="ja-JP"/>
        </w:rPr>
        <w:t xml:space="preserve">] </w:t>
      </w:r>
      <w:r w:rsidR="009818D7" w:rsidRPr="001C76DC">
        <w:rPr>
          <w:rFonts w:eastAsia="MS Mincho"/>
          <w:szCs w:val="24"/>
          <w:lang w:eastAsia="ja-JP"/>
        </w:rPr>
        <w:t>the renewable (</w:t>
      </w:r>
      <w:r w:rsidR="000766FB" w:rsidRPr="001C76DC">
        <w:rPr>
          <w:rFonts w:eastAsia="MS Mincho"/>
          <w:szCs w:val="24"/>
          <w:lang w:eastAsia="ja-JP"/>
        </w:rPr>
        <w:t>likely wind) opportunity appears</w:t>
      </w:r>
      <w:r w:rsidR="009818D7" w:rsidRPr="001C76DC">
        <w:rPr>
          <w:rFonts w:eastAsia="MS Mincho"/>
          <w:szCs w:val="24"/>
          <w:lang w:eastAsia="ja-JP"/>
        </w:rPr>
        <w:t xml:space="preserve"> tilted in the company's favor at this stage. We expect an RFP to be launched in '16 could drive a project by year-end '18 via a build-and-transfer project.</w:t>
      </w:r>
    </w:p>
    <w:p w14:paraId="0E3464B2" w14:textId="77777777" w:rsidR="00110897" w:rsidRPr="00F33B50" w:rsidRDefault="00110897" w:rsidP="00523449">
      <w:pPr>
        <w:ind w:right="720" w:hanging="2556"/>
        <w:jc w:val="both"/>
        <w:rPr>
          <w:rFonts w:eastAsia="MS Mincho"/>
          <w:szCs w:val="24"/>
          <w:lang w:eastAsia="ja-JP"/>
        </w:rPr>
      </w:pPr>
    </w:p>
    <w:p w14:paraId="0B07B890" w14:textId="77777777" w:rsidR="009818D7" w:rsidRPr="001C76DC" w:rsidRDefault="009818D7" w:rsidP="00523449">
      <w:pPr>
        <w:pStyle w:val="ListParagraph"/>
        <w:ind w:left="2016" w:right="720"/>
        <w:jc w:val="both"/>
        <w:rPr>
          <w:rFonts w:eastAsia="MS Mincho"/>
          <w:szCs w:val="24"/>
          <w:lang w:eastAsia="ja-JP"/>
        </w:rPr>
      </w:pPr>
      <w:r w:rsidRPr="001C76DC">
        <w:rPr>
          <w:rFonts w:eastAsia="MS Mincho"/>
          <w:szCs w:val="24"/>
          <w:lang w:eastAsia="ja-JP"/>
        </w:rPr>
        <w:lastRenderedPageBreak/>
        <w:t>The question is whether [PGE] can push forward with an expedited RFP as well as succeed in winning an arrangement under a build and transfer structure to win[] the award</w:t>
      </w:r>
      <w:r w:rsidR="00F33B50" w:rsidRPr="001C76DC">
        <w:rPr>
          <w:rFonts w:eastAsia="MS Mincho"/>
          <w:szCs w:val="24"/>
          <w:lang w:eastAsia="ja-JP"/>
        </w:rPr>
        <w:t>.</w:t>
      </w:r>
      <w:r w:rsidR="00E64089" w:rsidRPr="00E64089">
        <w:rPr>
          <w:rStyle w:val="FootnoteReference"/>
        </w:rPr>
        <w:t xml:space="preserve"> </w:t>
      </w:r>
      <w:r w:rsidR="00E64089">
        <w:rPr>
          <w:rStyle w:val="FootnoteReference"/>
        </w:rPr>
        <w:footnoteReference w:id="53"/>
      </w:r>
    </w:p>
    <w:p w14:paraId="4240331F" w14:textId="77777777" w:rsidR="008E5F69" w:rsidRDefault="008E5F69" w:rsidP="001C76DC">
      <w:pPr>
        <w:ind w:right="720" w:hanging="540"/>
        <w:jc w:val="both"/>
        <w:rPr>
          <w:rFonts w:eastAsia="MS Mincho"/>
          <w:szCs w:val="24"/>
          <w:lang w:eastAsia="ja-JP"/>
        </w:rPr>
      </w:pPr>
    </w:p>
    <w:p w14:paraId="33F5F8B1" w14:textId="2158C514" w:rsidR="00F00F5C" w:rsidRPr="001C76DC" w:rsidRDefault="008E5F69" w:rsidP="00523449">
      <w:pPr>
        <w:pStyle w:val="ListParagraph"/>
        <w:spacing w:line="480" w:lineRule="auto"/>
        <w:ind w:left="0"/>
        <w:rPr>
          <w:rFonts w:eastAsia="MS Mincho"/>
          <w:szCs w:val="24"/>
          <w:lang w:eastAsia="ja-JP"/>
        </w:rPr>
      </w:pPr>
      <w:r w:rsidRPr="001C76DC">
        <w:rPr>
          <w:rFonts w:eastAsia="MS Mincho"/>
          <w:szCs w:val="24"/>
          <w:lang w:eastAsia="ja-JP"/>
        </w:rPr>
        <w:t>Ultimately, n</w:t>
      </w:r>
      <w:r w:rsidR="00751641" w:rsidRPr="001C76DC">
        <w:rPr>
          <w:rFonts w:eastAsia="MS Mincho"/>
          <w:szCs w:val="24"/>
          <w:lang w:eastAsia="ja-JP"/>
        </w:rPr>
        <w:t>either PGE nor PacifiCorp</w:t>
      </w:r>
      <w:r w:rsidR="00B976EE" w:rsidRPr="001C76DC">
        <w:rPr>
          <w:rFonts w:eastAsia="MS Mincho"/>
          <w:szCs w:val="24"/>
          <w:lang w:eastAsia="ja-JP"/>
        </w:rPr>
        <w:t xml:space="preserve"> elected t</w:t>
      </w:r>
      <w:r w:rsidR="0023756A" w:rsidRPr="001C76DC">
        <w:rPr>
          <w:rFonts w:eastAsia="MS Mincho"/>
          <w:szCs w:val="24"/>
          <w:lang w:eastAsia="ja-JP"/>
        </w:rPr>
        <w:t>o proceed with any immediate acquisitions</w:t>
      </w:r>
      <w:r w:rsidR="00FB2E02" w:rsidRPr="001C76DC">
        <w:rPr>
          <w:rFonts w:eastAsia="MS Mincho"/>
          <w:szCs w:val="24"/>
          <w:lang w:eastAsia="ja-JP"/>
        </w:rPr>
        <w:t xml:space="preserve"> because they could not justify utility ownership at this time</w:t>
      </w:r>
      <w:r w:rsidR="007577D1" w:rsidRPr="001C76DC">
        <w:rPr>
          <w:rFonts w:eastAsia="MS Mincho"/>
          <w:szCs w:val="24"/>
          <w:lang w:eastAsia="ja-JP"/>
        </w:rPr>
        <w:t xml:space="preserve">, but </w:t>
      </w:r>
      <w:r w:rsidR="0023756A" w:rsidRPr="001C76DC">
        <w:rPr>
          <w:rFonts w:eastAsia="MS Mincho"/>
          <w:szCs w:val="24"/>
          <w:lang w:eastAsia="ja-JP"/>
        </w:rPr>
        <w:t xml:space="preserve">they are planning </w:t>
      </w:r>
      <w:r w:rsidR="00FB2E02" w:rsidRPr="001C76DC">
        <w:rPr>
          <w:rFonts w:eastAsia="MS Mincho"/>
          <w:szCs w:val="24"/>
          <w:lang w:eastAsia="ja-JP"/>
        </w:rPr>
        <w:t>t</w:t>
      </w:r>
      <w:r w:rsidR="0023756A" w:rsidRPr="001C76DC">
        <w:rPr>
          <w:rFonts w:eastAsia="MS Mincho"/>
          <w:szCs w:val="24"/>
          <w:lang w:eastAsia="ja-JP"/>
        </w:rPr>
        <w:t>o</w:t>
      </w:r>
      <w:r w:rsidR="00FB2E02" w:rsidRPr="001C76DC">
        <w:rPr>
          <w:rFonts w:eastAsia="MS Mincho"/>
          <w:szCs w:val="24"/>
          <w:lang w:eastAsia="ja-JP"/>
        </w:rPr>
        <w:t xml:space="preserve"> acquire new renewables</w:t>
      </w:r>
      <w:r w:rsidR="004E7A95" w:rsidRPr="001C76DC">
        <w:rPr>
          <w:rFonts w:eastAsia="MS Mincho"/>
          <w:szCs w:val="24"/>
          <w:lang w:eastAsia="ja-JP"/>
        </w:rPr>
        <w:t xml:space="preserve"> and build their capex</w:t>
      </w:r>
      <w:r w:rsidR="00FB2E02" w:rsidRPr="001C76DC">
        <w:rPr>
          <w:rFonts w:eastAsia="MS Mincho"/>
          <w:szCs w:val="24"/>
          <w:lang w:eastAsia="ja-JP"/>
        </w:rPr>
        <w:t xml:space="preserve"> in the near future.</w:t>
      </w:r>
      <w:r w:rsidR="00B23359">
        <w:rPr>
          <w:rStyle w:val="FootnoteReference"/>
          <w:rFonts w:eastAsia="MS Mincho"/>
          <w:szCs w:val="24"/>
          <w:lang w:eastAsia="ja-JP"/>
        </w:rPr>
        <w:footnoteReference w:id="54"/>
      </w:r>
      <w:r w:rsidR="0023756A" w:rsidRPr="001C76DC">
        <w:rPr>
          <w:rFonts w:eastAsia="MS Mincho"/>
          <w:szCs w:val="24"/>
          <w:lang w:eastAsia="ja-JP"/>
        </w:rPr>
        <w:t xml:space="preserve"> </w:t>
      </w:r>
      <w:r w:rsidR="00B976EE" w:rsidRPr="001C76DC">
        <w:rPr>
          <w:rFonts w:eastAsia="MS Mincho"/>
          <w:szCs w:val="24"/>
          <w:lang w:eastAsia="ja-JP"/>
        </w:rPr>
        <w:t xml:space="preserve"> </w:t>
      </w:r>
      <w:r w:rsidR="007577D1" w:rsidRPr="001C76DC">
        <w:rPr>
          <w:rFonts w:eastAsia="MS Mincho"/>
          <w:szCs w:val="24"/>
          <w:lang w:eastAsia="ja-JP"/>
        </w:rPr>
        <w:t xml:space="preserve"> </w:t>
      </w:r>
    </w:p>
    <w:p w14:paraId="38AA7EDC" w14:textId="332616A4" w:rsidR="004239E1" w:rsidRDefault="00523449" w:rsidP="00523449">
      <w:pPr>
        <w:pStyle w:val="ListParagraph"/>
        <w:numPr>
          <w:ilvl w:val="1"/>
          <w:numId w:val="33"/>
        </w:numPr>
        <w:spacing w:line="480" w:lineRule="auto"/>
        <w:ind w:left="0" w:hanging="540"/>
        <w:rPr>
          <w:rFonts w:eastAsia="MS Mincho"/>
          <w:szCs w:val="24"/>
          <w:lang w:eastAsia="ja-JP"/>
        </w:rPr>
      </w:pPr>
      <w:r>
        <w:t xml:space="preserve">            </w:t>
      </w:r>
      <w:r w:rsidR="00751641" w:rsidRPr="001C76DC">
        <w:rPr>
          <w:rFonts w:eastAsia="MS Mincho"/>
          <w:szCs w:val="24"/>
          <w:lang w:eastAsia="ja-JP"/>
        </w:rPr>
        <w:t xml:space="preserve">PacifiCorp has proven to be particularly aggressive in </w:t>
      </w:r>
      <w:r w:rsidR="00E55613" w:rsidRPr="001C76DC">
        <w:rPr>
          <w:rFonts w:eastAsia="MS Mincho"/>
          <w:szCs w:val="24"/>
          <w:lang w:eastAsia="ja-JP"/>
        </w:rPr>
        <w:t>ensuring that it owns the majority of the generation that is used to serve load.  An egregious</w:t>
      </w:r>
      <w:r w:rsidR="005273EA" w:rsidRPr="001C76DC">
        <w:rPr>
          <w:rFonts w:eastAsia="MS Mincho"/>
          <w:szCs w:val="24"/>
          <w:lang w:eastAsia="ja-JP"/>
        </w:rPr>
        <w:t xml:space="preserve"> example</w:t>
      </w:r>
      <w:r w:rsidR="00A7433D" w:rsidRPr="001C76DC">
        <w:rPr>
          <w:rFonts w:eastAsia="MS Mincho"/>
          <w:szCs w:val="24"/>
          <w:lang w:eastAsia="ja-JP"/>
        </w:rPr>
        <w:t xml:space="preserve"> </w:t>
      </w:r>
      <w:r w:rsidR="005273EA" w:rsidRPr="001C76DC">
        <w:rPr>
          <w:rFonts w:eastAsia="MS Mincho"/>
          <w:szCs w:val="24"/>
          <w:lang w:eastAsia="ja-JP"/>
        </w:rPr>
        <w:t xml:space="preserve">was the utility’s </w:t>
      </w:r>
      <w:r w:rsidR="005B51FD" w:rsidRPr="001C76DC">
        <w:rPr>
          <w:rFonts w:eastAsia="MS Mincho"/>
          <w:szCs w:val="24"/>
          <w:lang w:eastAsia="ja-JP"/>
        </w:rPr>
        <w:t>theft of trade secrets that it used to build Currant Creek</w:t>
      </w:r>
      <w:r w:rsidR="00C04BF4" w:rsidRPr="001C76DC">
        <w:rPr>
          <w:rFonts w:eastAsia="MS Mincho"/>
          <w:szCs w:val="24"/>
          <w:lang w:eastAsia="ja-JP"/>
        </w:rPr>
        <w:t>.</w:t>
      </w:r>
      <w:r w:rsidR="005B51FD" w:rsidRPr="005B51FD">
        <w:rPr>
          <w:rFonts w:eastAsia="MS Mincho"/>
          <w:vertAlign w:val="superscript"/>
          <w:lang w:eastAsia="ja-JP"/>
        </w:rPr>
        <w:footnoteReference w:id="55"/>
      </w:r>
      <w:r w:rsidR="00C04BF4" w:rsidRPr="001C76DC">
        <w:rPr>
          <w:rFonts w:eastAsia="MS Mincho"/>
          <w:szCs w:val="24"/>
          <w:lang w:eastAsia="ja-JP"/>
        </w:rPr>
        <w:t xml:space="preserve">  </w:t>
      </w:r>
      <w:r w:rsidR="00E55613" w:rsidRPr="001C76DC">
        <w:rPr>
          <w:rFonts w:eastAsia="MS Mincho"/>
          <w:szCs w:val="24"/>
          <w:lang w:eastAsia="ja-JP"/>
        </w:rPr>
        <w:t xml:space="preserve">The Supreme Court of Utah recently affirmed a jury award of more than $133 million to compensate a developer for </w:t>
      </w:r>
      <w:r w:rsidR="00C04BF4" w:rsidRPr="001C76DC">
        <w:rPr>
          <w:rFonts w:eastAsia="MS Mincho"/>
          <w:szCs w:val="24"/>
          <w:lang w:eastAsia="ja-JP"/>
        </w:rPr>
        <w:t>PacifiCorp’s illegal actions mirroring a developer’s bid in PacifiCorp’s unsupervised RFP process, which resulted in PacifiCorp awarding itself the winning bid and building the power plant without the developer that originally proposed the project</w:t>
      </w:r>
      <w:r w:rsidR="00E55613" w:rsidRPr="001C76DC">
        <w:rPr>
          <w:rFonts w:eastAsia="MS Mincho"/>
          <w:szCs w:val="24"/>
          <w:lang w:eastAsia="ja-JP"/>
        </w:rPr>
        <w:t>.</w:t>
      </w:r>
      <w:r w:rsidR="00E55613" w:rsidRPr="00E55613">
        <w:rPr>
          <w:rFonts w:eastAsia="MS Mincho"/>
          <w:vertAlign w:val="superscript"/>
          <w:lang w:eastAsia="ja-JP"/>
        </w:rPr>
        <w:footnoteReference w:id="56"/>
      </w:r>
      <w:r w:rsidR="006B29E0" w:rsidRPr="001C76DC">
        <w:rPr>
          <w:rFonts w:eastAsia="MS Mincho"/>
          <w:szCs w:val="24"/>
          <w:lang w:eastAsia="ja-JP"/>
        </w:rPr>
        <w:t xml:space="preserve">  In May 2012, the </w:t>
      </w:r>
      <w:r w:rsidR="00E55613" w:rsidRPr="001C76DC">
        <w:rPr>
          <w:rFonts w:eastAsia="MS Mincho"/>
          <w:szCs w:val="24"/>
          <w:lang w:eastAsia="ja-JP"/>
        </w:rPr>
        <w:t xml:space="preserve">Utah jury </w:t>
      </w:r>
      <w:r w:rsidR="006B29E0" w:rsidRPr="001C76DC">
        <w:rPr>
          <w:rFonts w:eastAsia="MS Mincho"/>
          <w:szCs w:val="24"/>
          <w:lang w:eastAsia="ja-JP"/>
        </w:rPr>
        <w:t xml:space="preserve">specifically </w:t>
      </w:r>
      <w:r w:rsidR="00E55613" w:rsidRPr="001C76DC">
        <w:rPr>
          <w:rFonts w:eastAsia="MS Mincho"/>
          <w:szCs w:val="24"/>
          <w:lang w:eastAsia="ja-JP"/>
        </w:rPr>
        <w:t>found that PacifiC</w:t>
      </w:r>
      <w:r w:rsidR="00772644" w:rsidRPr="001C76DC">
        <w:rPr>
          <w:rFonts w:eastAsia="MS Mincho"/>
          <w:szCs w:val="24"/>
          <w:lang w:eastAsia="ja-JP"/>
        </w:rPr>
        <w:t xml:space="preserve">orp </w:t>
      </w:r>
      <w:r w:rsidR="00E55613" w:rsidRPr="001C76DC">
        <w:rPr>
          <w:rFonts w:eastAsia="MS Mincho"/>
          <w:szCs w:val="24"/>
          <w:lang w:eastAsia="ja-JP"/>
        </w:rPr>
        <w:t xml:space="preserve">“willfully and maliciously misappropriated a trade secret from USA Power </w:t>
      </w:r>
      <w:r w:rsidR="00CC4A56">
        <w:rPr>
          <w:rFonts w:eastAsia="MS Mincho"/>
          <w:szCs w:val="24"/>
          <w:lang w:eastAsia="ja-JP"/>
        </w:rPr>
        <w:t>. . . .</w:t>
      </w:r>
      <w:r w:rsidR="00E55613" w:rsidRPr="001C76DC">
        <w:rPr>
          <w:rFonts w:eastAsia="MS Mincho"/>
          <w:szCs w:val="24"/>
          <w:lang w:eastAsia="ja-JP"/>
        </w:rPr>
        <w:t>”</w:t>
      </w:r>
      <w:r w:rsidR="00E55613" w:rsidRPr="00E55613">
        <w:rPr>
          <w:rFonts w:eastAsia="MS Mincho"/>
          <w:vertAlign w:val="superscript"/>
          <w:lang w:eastAsia="ja-JP"/>
        </w:rPr>
        <w:footnoteReference w:id="57"/>
      </w:r>
      <w:r w:rsidR="00E55613" w:rsidRPr="001C76DC">
        <w:rPr>
          <w:rFonts w:eastAsia="MS Mincho"/>
          <w:szCs w:val="24"/>
          <w:lang w:eastAsia="ja-JP"/>
        </w:rPr>
        <w:t xml:space="preserve"> </w:t>
      </w:r>
    </w:p>
    <w:p w14:paraId="43872869" w14:textId="69043A16" w:rsidR="00222B06" w:rsidRPr="001C76DC" w:rsidRDefault="004239E1" w:rsidP="004239E1">
      <w:pPr>
        <w:rPr>
          <w:rFonts w:eastAsia="MS Mincho"/>
          <w:szCs w:val="24"/>
          <w:lang w:eastAsia="ja-JP"/>
        </w:rPr>
      </w:pPr>
      <w:r>
        <w:rPr>
          <w:rFonts w:eastAsia="MS Mincho"/>
          <w:szCs w:val="24"/>
          <w:lang w:eastAsia="ja-JP"/>
        </w:rPr>
        <w:br w:type="page"/>
      </w:r>
    </w:p>
    <w:p w14:paraId="7FD195F6" w14:textId="4267DE75" w:rsidR="00A50471" w:rsidRPr="001C76DC" w:rsidRDefault="004B1B71" w:rsidP="00523449">
      <w:pPr>
        <w:pStyle w:val="ListParagraph"/>
        <w:numPr>
          <w:ilvl w:val="0"/>
          <w:numId w:val="37"/>
        </w:numPr>
        <w:ind w:hanging="720"/>
        <w:rPr>
          <w:rFonts w:eastAsia="MS Mincho"/>
          <w:b/>
          <w:szCs w:val="24"/>
          <w:lang w:eastAsia="ja-JP"/>
        </w:rPr>
      </w:pPr>
      <w:r w:rsidRPr="001C76DC">
        <w:rPr>
          <w:rFonts w:eastAsia="MS Mincho"/>
          <w:b/>
          <w:szCs w:val="24"/>
          <w:lang w:eastAsia="ja-JP"/>
        </w:rPr>
        <w:lastRenderedPageBreak/>
        <w:t>The Commission Should Adopt New Rules to Protect Ratepayers from Utility Bias</w:t>
      </w:r>
      <w:r w:rsidR="00A50471" w:rsidRPr="001C76DC">
        <w:rPr>
          <w:rFonts w:eastAsia="MS Mincho"/>
          <w:b/>
          <w:szCs w:val="24"/>
          <w:lang w:eastAsia="ja-JP"/>
        </w:rPr>
        <w:t xml:space="preserve"> </w:t>
      </w:r>
      <w:r w:rsidR="00BE61CB" w:rsidRPr="001C76DC">
        <w:rPr>
          <w:rFonts w:eastAsia="MS Mincho"/>
          <w:b/>
          <w:szCs w:val="24"/>
          <w:lang w:eastAsia="ja-JP"/>
        </w:rPr>
        <w:t>to Select Riskier and More Expensive Utility Owned Generation</w:t>
      </w:r>
    </w:p>
    <w:p w14:paraId="2672E89E" w14:textId="77777777" w:rsidR="00A50471" w:rsidRDefault="00A50471" w:rsidP="001C76DC">
      <w:pPr>
        <w:ind w:hanging="540"/>
        <w:rPr>
          <w:rFonts w:eastAsia="MS Mincho"/>
          <w:szCs w:val="24"/>
          <w:lang w:eastAsia="ja-JP"/>
        </w:rPr>
      </w:pPr>
    </w:p>
    <w:p w14:paraId="144DA274" w14:textId="05C3B351" w:rsidR="00A7433D" w:rsidRPr="001C76DC" w:rsidRDefault="00523449" w:rsidP="00523449">
      <w:pPr>
        <w:pStyle w:val="ListParagraph"/>
        <w:numPr>
          <w:ilvl w:val="1"/>
          <w:numId w:val="33"/>
        </w:numPr>
        <w:spacing w:line="480" w:lineRule="auto"/>
        <w:ind w:left="0" w:hanging="540"/>
        <w:rPr>
          <w:rFonts w:eastAsia="MS Mincho"/>
          <w:szCs w:val="24"/>
          <w:lang w:eastAsia="ja-JP"/>
        </w:rPr>
      </w:pPr>
      <w:r>
        <w:t xml:space="preserve">            </w:t>
      </w:r>
      <w:r w:rsidR="00784EAE" w:rsidRPr="001C76DC">
        <w:rPr>
          <w:rFonts w:eastAsia="MS Mincho"/>
          <w:szCs w:val="24"/>
          <w:lang w:eastAsia="ja-JP"/>
        </w:rPr>
        <w:t>NIPPC recommend</w:t>
      </w:r>
      <w:r w:rsidR="00CF0E0C" w:rsidRPr="001C76DC">
        <w:rPr>
          <w:rFonts w:eastAsia="MS Mincho"/>
          <w:szCs w:val="24"/>
          <w:lang w:eastAsia="ja-JP"/>
        </w:rPr>
        <w:t>s</w:t>
      </w:r>
      <w:r w:rsidR="00784EAE" w:rsidRPr="001C76DC">
        <w:rPr>
          <w:rFonts w:eastAsia="MS Mincho"/>
          <w:szCs w:val="24"/>
          <w:lang w:eastAsia="ja-JP"/>
        </w:rPr>
        <w:t xml:space="preserve"> the Commission significantly overhaul and revise its current competitive bidding rules</w:t>
      </w:r>
      <w:r w:rsidR="004E7A95" w:rsidRPr="001C76DC">
        <w:rPr>
          <w:rFonts w:eastAsia="MS Mincho"/>
          <w:szCs w:val="24"/>
          <w:lang w:eastAsia="ja-JP"/>
        </w:rPr>
        <w:t xml:space="preserve"> which utilities are not required to follow</w:t>
      </w:r>
      <w:r w:rsidR="00784EAE" w:rsidRPr="001C76DC">
        <w:rPr>
          <w:rFonts w:eastAsia="MS Mincho"/>
          <w:szCs w:val="24"/>
          <w:lang w:eastAsia="ja-JP"/>
        </w:rPr>
        <w:t>.</w:t>
      </w:r>
      <w:r w:rsidR="003E5F46" w:rsidRPr="001C76DC">
        <w:rPr>
          <w:rFonts w:eastAsia="MS Mincho"/>
          <w:szCs w:val="24"/>
          <w:lang w:eastAsia="ja-JP"/>
        </w:rPr>
        <w:t xml:space="preserve">  Essentially, Washington’s rules are </w:t>
      </w:r>
      <w:r w:rsidR="00D660BB" w:rsidRPr="001C76DC">
        <w:rPr>
          <w:rFonts w:eastAsia="MS Mincho"/>
          <w:szCs w:val="24"/>
          <w:lang w:eastAsia="ja-JP"/>
        </w:rPr>
        <w:t>ineffective,</w:t>
      </w:r>
      <w:r w:rsidR="001C0359" w:rsidRPr="001C76DC">
        <w:rPr>
          <w:rFonts w:eastAsia="MS Mincho"/>
          <w:szCs w:val="24"/>
          <w:lang w:eastAsia="ja-JP"/>
        </w:rPr>
        <w:t xml:space="preserve"> </w:t>
      </w:r>
      <w:r w:rsidR="003E5F46" w:rsidRPr="001C76DC">
        <w:rPr>
          <w:rFonts w:eastAsia="MS Mincho"/>
          <w:szCs w:val="24"/>
          <w:lang w:eastAsia="ja-JP"/>
        </w:rPr>
        <w:t>mired in the past, an</w:t>
      </w:r>
      <w:r w:rsidR="00D660BB" w:rsidRPr="001C76DC">
        <w:rPr>
          <w:rFonts w:eastAsia="MS Mincho"/>
          <w:szCs w:val="24"/>
          <w:lang w:eastAsia="ja-JP"/>
        </w:rPr>
        <w:t>d</w:t>
      </w:r>
      <w:r w:rsidR="001C0359" w:rsidRPr="001C76DC">
        <w:rPr>
          <w:rFonts w:eastAsia="MS Mincho"/>
          <w:szCs w:val="24"/>
          <w:lang w:eastAsia="ja-JP"/>
        </w:rPr>
        <w:t xml:space="preserve"> inadequate to</w:t>
      </w:r>
      <w:r w:rsidR="003E5F46" w:rsidRPr="001C76DC">
        <w:rPr>
          <w:rFonts w:eastAsia="MS Mincho"/>
          <w:szCs w:val="24"/>
          <w:lang w:eastAsia="ja-JP"/>
        </w:rPr>
        <w:t xml:space="preserve"> ensure that utilities acquire the least cost and least risk generation </w:t>
      </w:r>
      <w:r w:rsidR="00EE0025" w:rsidRPr="001C76DC">
        <w:rPr>
          <w:rFonts w:eastAsia="MS Mincho"/>
          <w:szCs w:val="24"/>
          <w:lang w:eastAsia="ja-JP"/>
        </w:rPr>
        <w:t xml:space="preserve">that is needed to meet customer needs and environmental requirements in the </w:t>
      </w:r>
      <w:r w:rsidR="00430BC9" w:rsidRPr="001C76DC">
        <w:rPr>
          <w:rFonts w:eastAsia="MS Mincho"/>
          <w:szCs w:val="24"/>
          <w:lang w:eastAsia="ja-JP"/>
        </w:rPr>
        <w:t xml:space="preserve">early 21st </w:t>
      </w:r>
      <w:r w:rsidR="004E7A95" w:rsidRPr="001C76DC">
        <w:rPr>
          <w:rFonts w:eastAsia="MS Mincho"/>
          <w:szCs w:val="24"/>
          <w:lang w:eastAsia="ja-JP"/>
        </w:rPr>
        <w:t>C</w:t>
      </w:r>
      <w:r w:rsidR="00430BC9" w:rsidRPr="001C76DC">
        <w:rPr>
          <w:rFonts w:eastAsia="MS Mincho"/>
          <w:szCs w:val="24"/>
          <w:lang w:eastAsia="ja-JP"/>
        </w:rPr>
        <w:t>entury</w:t>
      </w:r>
      <w:r w:rsidR="00EE0025" w:rsidRPr="001C76DC">
        <w:rPr>
          <w:rFonts w:eastAsia="MS Mincho"/>
          <w:szCs w:val="24"/>
          <w:lang w:eastAsia="ja-JP"/>
        </w:rPr>
        <w:t>.</w:t>
      </w:r>
      <w:r w:rsidR="00757969" w:rsidRPr="001C76DC">
        <w:rPr>
          <w:rFonts w:eastAsia="MS Mincho"/>
          <w:szCs w:val="24"/>
          <w:lang w:eastAsia="ja-JP"/>
        </w:rPr>
        <w:t xml:space="preserve">  </w:t>
      </w:r>
    </w:p>
    <w:p w14:paraId="240B21E3" w14:textId="3FC2F0C9" w:rsidR="00FD3DA4" w:rsidRPr="001C76DC" w:rsidRDefault="00523449" w:rsidP="00523449">
      <w:pPr>
        <w:pStyle w:val="ListParagraph"/>
        <w:numPr>
          <w:ilvl w:val="1"/>
          <w:numId w:val="33"/>
        </w:numPr>
        <w:spacing w:line="480" w:lineRule="auto"/>
        <w:ind w:left="0" w:hanging="540"/>
        <w:rPr>
          <w:rFonts w:eastAsia="MS Mincho"/>
          <w:szCs w:val="24"/>
          <w:lang w:eastAsia="ja-JP"/>
        </w:rPr>
      </w:pPr>
      <w:r>
        <w:t xml:space="preserve">            </w:t>
      </w:r>
      <w:r w:rsidR="00D878AD" w:rsidRPr="001C76DC">
        <w:rPr>
          <w:rFonts w:eastAsia="MS Mincho"/>
          <w:szCs w:val="24"/>
          <w:lang w:eastAsia="ja-JP"/>
        </w:rPr>
        <w:t>U</w:t>
      </w:r>
      <w:r w:rsidR="00757969" w:rsidRPr="001C76DC">
        <w:rPr>
          <w:rFonts w:eastAsia="MS Mincho"/>
          <w:szCs w:val="24"/>
          <w:lang w:eastAsia="ja-JP"/>
        </w:rPr>
        <w:t xml:space="preserve">tilities </w:t>
      </w:r>
      <w:r w:rsidR="00D878AD" w:rsidRPr="001C76DC">
        <w:rPr>
          <w:rFonts w:eastAsia="MS Mincho"/>
          <w:szCs w:val="24"/>
          <w:lang w:eastAsia="ja-JP"/>
        </w:rPr>
        <w:t xml:space="preserve">should </w:t>
      </w:r>
      <w:r w:rsidR="00757969" w:rsidRPr="001C76DC">
        <w:rPr>
          <w:rFonts w:eastAsia="MS Mincho"/>
          <w:szCs w:val="24"/>
          <w:lang w:eastAsia="ja-JP"/>
        </w:rPr>
        <w:t>be required to conduct a fair and transparent RFP when they seek to acquire new major resources in which t</w:t>
      </w:r>
      <w:r w:rsidR="00147142" w:rsidRPr="001C76DC">
        <w:rPr>
          <w:rFonts w:eastAsia="MS Mincho"/>
          <w:szCs w:val="24"/>
          <w:lang w:eastAsia="ja-JP"/>
        </w:rPr>
        <w:t>here is a possibility that they could build the generation</w:t>
      </w:r>
      <w:r w:rsidR="00FD3DA4" w:rsidRPr="001C76DC">
        <w:rPr>
          <w:rFonts w:eastAsia="MS Mincho"/>
          <w:szCs w:val="24"/>
          <w:lang w:eastAsia="ja-JP"/>
        </w:rPr>
        <w:t xml:space="preserve"> or later acquire through a build-own-transfer arrangement</w:t>
      </w:r>
      <w:r w:rsidR="00147142" w:rsidRPr="001C76DC">
        <w:rPr>
          <w:rFonts w:eastAsia="MS Mincho"/>
          <w:szCs w:val="24"/>
          <w:lang w:eastAsia="ja-JP"/>
        </w:rPr>
        <w:t xml:space="preserve">.  </w:t>
      </w:r>
    </w:p>
    <w:p w14:paraId="38C2820B" w14:textId="6A5A35B8" w:rsidR="00E829D0" w:rsidRPr="001C76DC" w:rsidRDefault="00523449" w:rsidP="00523449">
      <w:pPr>
        <w:pStyle w:val="ListParagraph"/>
        <w:numPr>
          <w:ilvl w:val="1"/>
          <w:numId w:val="33"/>
        </w:numPr>
        <w:spacing w:line="480" w:lineRule="auto"/>
        <w:ind w:left="0" w:hanging="540"/>
        <w:rPr>
          <w:rFonts w:eastAsia="MS Mincho"/>
          <w:szCs w:val="24"/>
          <w:lang w:eastAsia="ja-JP"/>
        </w:rPr>
      </w:pPr>
      <w:r>
        <w:t xml:space="preserve">            </w:t>
      </w:r>
      <w:r w:rsidR="00147142" w:rsidRPr="001C76DC">
        <w:rPr>
          <w:rFonts w:eastAsia="MS Mincho"/>
          <w:szCs w:val="24"/>
          <w:lang w:eastAsia="ja-JP"/>
        </w:rPr>
        <w:t xml:space="preserve">Key elements to </w:t>
      </w:r>
      <w:r w:rsidR="00BF4CB5" w:rsidRPr="001C76DC">
        <w:rPr>
          <w:rFonts w:eastAsia="MS Mincho"/>
          <w:szCs w:val="24"/>
          <w:lang w:eastAsia="ja-JP"/>
        </w:rPr>
        <w:t>ensuring a fair process</w:t>
      </w:r>
      <w:r w:rsidR="004B3E86" w:rsidRPr="001C76DC">
        <w:rPr>
          <w:rFonts w:eastAsia="MS Mincho"/>
          <w:szCs w:val="24"/>
          <w:lang w:eastAsia="ja-JP"/>
        </w:rPr>
        <w:t xml:space="preserve"> should</w:t>
      </w:r>
      <w:r w:rsidR="00BF4CB5" w:rsidRPr="001C76DC">
        <w:rPr>
          <w:rFonts w:eastAsia="MS Mincho"/>
          <w:szCs w:val="24"/>
          <w:lang w:eastAsia="ja-JP"/>
        </w:rPr>
        <w:t xml:space="preserve"> start with</w:t>
      </w:r>
      <w:r w:rsidR="00147142" w:rsidRPr="001C76DC">
        <w:rPr>
          <w:rFonts w:eastAsia="MS Mincho"/>
          <w:szCs w:val="24"/>
          <w:lang w:eastAsia="ja-JP"/>
        </w:rPr>
        <w:t xml:space="preserve"> requiring the utility to seek Commission approval </w:t>
      </w:r>
      <w:r w:rsidR="00094EA6" w:rsidRPr="001C76DC">
        <w:rPr>
          <w:rFonts w:eastAsia="MS Mincho"/>
          <w:szCs w:val="24"/>
          <w:lang w:eastAsia="ja-JP"/>
        </w:rPr>
        <w:t xml:space="preserve">of the RFP and Commission acknowledgment of the short list of </w:t>
      </w:r>
      <w:r w:rsidR="00772644" w:rsidRPr="001C76DC">
        <w:rPr>
          <w:rFonts w:eastAsia="MS Mincho"/>
          <w:szCs w:val="24"/>
          <w:lang w:eastAsia="ja-JP"/>
        </w:rPr>
        <w:t>projects</w:t>
      </w:r>
      <w:r w:rsidR="00094EA6" w:rsidRPr="001C76DC">
        <w:rPr>
          <w:rFonts w:eastAsia="MS Mincho"/>
          <w:szCs w:val="24"/>
          <w:lang w:eastAsia="ja-JP"/>
        </w:rPr>
        <w:t xml:space="preserve"> that the utility plans to enter into final negotiations </w:t>
      </w:r>
      <w:r w:rsidR="00772644" w:rsidRPr="001C76DC">
        <w:rPr>
          <w:rFonts w:eastAsia="MS Mincho"/>
          <w:szCs w:val="24"/>
          <w:lang w:eastAsia="ja-JP"/>
        </w:rPr>
        <w:t>for</w:t>
      </w:r>
      <w:r w:rsidR="00094EA6" w:rsidRPr="001C76DC">
        <w:rPr>
          <w:rFonts w:eastAsia="MS Mincho"/>
          <w:szCs w:val="24"/>
          <w:lang w:eastAsia="ja-JP"/>
        </w:rPr>
        <w:t xml:space="preserve"> </w:t>
      </w:r>
      <w:r w:rsidR="00147142" w:rsidRPr="001C76DC">
        <w:rPr>
          <w:rFonts w:eastAsia="MS Mincho"/>
          <w:szCs w:val="24"/>
          <w:lang w:eastAsia="ja-JP"/>
        </w:rPr>
        <w:t>and allowing stakeholders an opportunity to comment</w:t>
      </w:r>
      <w:r w:rsidR="00094EA6" w:rsidRPr="001C76DC">
        <w:rPr>
          <w:rFonts w:eastAsia="MS Mincho"/>
          <w:szCs w:val="24"/>
          <w:lang w:eastAsia="ja-JP"/>
        </w:rPr>
        <w:t xml:space="preserve"> on both the RFP and shortlist.</w:t>
      </w:r>
      <w:r w:rsidR="00EE0025" w:rsidRPr="001C76DC">
        <w:rPr>
          <w:rFonts w:eastAsia="MS Mincho"/>
          <w:szCs w:val="24"/>
          <w:lang w:eastAsia="ja-JP"/>
        </w:rPr>
        <w:t xml:space="preserve">  </w:t>
      </w:r>
      <w:r w:rsidR="00261F06" w:rsidRPr="001C76DC">
        <w:rPr>
          <w:rFonts w:eastAsia="MS Mincho"/>
          <w:szCs w:val="24"/>
          <w:lang w:eastAsia="ja-JP"/>
        </w:rPr>
        <w:t xml:space="preserve">Other </w:t>
      </w:r>
      <w:r w:rsidR="00F244AF" w:rsidRPr="001C76DC">
        <w:rPr>
          <w:rFonts w:eastAsia="MS Mincho"/>
          <w:szCs w:val="24"/>
          <w:lang w:eastAsia="ja-JP"/>
        </w:rPr>
        <w:t>important</w:t>
      </w:r>
      <w:r w:rsidR="004B3E86" w:rsidRPr="001C76DC">
        <w:rPr>
          <w:rFonts w:eastAsia="MS Mincho"/>
          <w:szCs w:val="24"/>
          <w:lang w:eastAsia="ja-JP"/>
        </w:rPr>
        <w:t xml:space="preserve"> </w:t>
      </w:r>
      <w:r w:rsidR="00F244AF" w:rsidRPr="001C76DC">
        <w:rPr>
          <w:rFonts w:eastAsia="MS Mincho"/>
          <w:szCs w:val="24"/>
          <w:lang w:eastAsia="ja-JP"/>
        </w:rPr>
        <w:t>requirements include retaining an IE and other independent experts, and ensuring that the utilities are not a</w:t>
      </w:r>
      <w:r w:rsidR="0064279F" w:rsidRPr="001C76DC">
        <w:rPr>
          <w:rFonts w:eastAsia="MS Mincho"/>
          <w:szCs w:val="24"/>
          <w:lang w:eastAsia="ja-JP"/>
        </w:rPr>
        <w:t>ble to use their market power,</w:t>
      </w:r>
      <w:r w:rsidR="00F244AF" w:rsidRPr="001C76DC">
        <w:rPr>
          <w:rFonts w:eastAsia="MS Mincho"/>
          <w:szCs w:val="24"/>
          <w:lang w:eastAsia="ja-JP"/>
        </w:rPr>
        <w:t xml:space="preserve"> informational advantage</w:t>
      </w:r>
      <w:r w:rsidR="0064279F" w:rsidRPr="001C76DC">
        <w:rPr>
          <w:rFonts w:eastAsia="MS Mincho"/>
          <w:szCs w:val="24"/>
          <w:lang w:eastAsia="ja-JP"/>
        </w:rPr>
        <w:t>, self selected scoring methodologies, or other control</w:t>
      </w:r>
      <w:r w:rsidR="00BF4CB5" w:rsidRPr="001C76DC">
        <w:rPr>
          <w:rFonts w:eastAsia="MS Mincho"/>
          <w:szCs w:val="24"/>
          <w:lang w:eastAsia="ja-JP"/>
        </w:rPr>
        <w:t>s</w:t>
      </w:r>
      <w:r w:rsidR="0064279F" w:rsidRPr="001C76DC">
        <w:rPr>
          <w:rFonts w:eastAsia="MS Mincho"/>
          <w:szCs w:val="24"/>
          <w:lang w:eastAsia="ja-JP"/>
        </w:rPr>
        <w:t xml:space="preserve"> over the RFP process to bias the results.  </w:t>
      </w:r>
      <w:r w:rsidR="00680E63" w:rsidRPr="001C76DC">
        <w:rPr>
          <w:rFonts w:eastAsia="MS Mincho"/>
          <w:szCs w:val="24"/>
          <w:lang w:eastAsia="ja-JP"/>
        </w:rPr>
        <w:t xml:space="preserve">Finally, NIPPC recommends that the concept of “conflict of interest” bids used in other industries be incorporated into the Commission’s rules so that there is a two stage bidding process in which all utility owned generation bids are made first, and then PPA bids are </w:t>
      </w:r>
      <w:r w:rsidR="00865741" w:rsidRPr="001C76DC">
        <w:rPr>
          <w:rFonts w:eastAsia="MS Mincho"/>
          <w:szCs w:val="24"/>
          <w:lang w:eastAsia="ja-JP"/>
        </w:rPr>
        <w:t xml:space="preserve">informed </w:t>
      </w:r>
      <w:r w:rsidR="00B356B3">
        <w:rPr>
          <w:rFonts w:eastAsia="MS Mincho"/>
          <w:szCs w:val="24"/>
          <w:lang w:eastAsia="ja-JP"/>
        </w:rPr>
        <w:t xml:space="preserve">of </w:t>
      </w:r>
      <w:r w:rsidR="00865741" w:rsidRPr="001C76DC">
        <w:rPr>
          <w:rFonts w:eastAsia="MS Mincho"/>
          <w:szCs w:val="24"/>
          <w:lang w:eastAsia="ja-JP"/>
        </w:rPr>
        <w:t xml:space="preserve">the target price and </w:t>
      </w:r>
      <w:r w:rsidR="00680E63" w:rsidRPr="001C76DC">
        <w:rPr>
          <w:rFonts w:eastAsia="MS Mincho"/>
          <w:szCs w:val="24"/>
          <w:lang w:eastAsia="ja-JP"/>
        </w:rPr>
        <w:t xml:space="preserve">provided an opportunity to beat </w:t>
      </w:r>
      <w:r w:rsidR="00865741" w:rsidRPr="001C76DC">
        <w:rPr>
          <w:rFonts w:eastAsia="MS Mincho"/>
          <w:szCs w:val="24"/>
          <w:lang w:eastAsia="ja-JP"/>
        </w:rPr>
        <w:t>it.</w:t>
      </w:r>
      <w:r w:rsidR="00680E63" w:rsidRPr="001C76DC">
        <w:rPr>
          <w:rFonts w:eastAsia="MS Mincho"/>
          <w:szCs w:val="24"/>
          <w:lang w:eastAsia="ja-JP"/>
        </w:rPr>
        <w:t xml:space="preserve"> </w:t>
      </w:r>
      <w:r w:rsidR="00E829D0" w:rsidRPr="001C76DC">
        <w:rPr>
          <w:rFonts w:eastAsia="MS Mincho"/>
          <w:szCs w:val="24"/>
          <w:lang w:eastAsia="ja-JP"/>
        </w:rPr>
        <w:tab/>
      </w:r>
    </w:p>
    <w:p w14:paraId="7E6CC548" w14:textId="63518EB1" w:rsidR="00A50471" w:rsidRPr="001C76DC" w:rsidRDefault="00523449" w:rsidP="00523449">
      <w:pPr>
        <w:pStyle w:val="ListParagraph"/>
        <w:numPr>
          <w:ilvl w:val="1"/>
          <w:numId w:val="33"/>
        </w:numPr>
        <w:spacing w:line="480" w:lineRule="auto"/>
        <w:ind w:left="0" w:hanging="540"/>
        <w:rPr>
          <w:rFonts w:eastAsia="MS Mincho"/>
          <w:szCs w:val="24"/>
          <w:lang w:eastAsia="ja-JP"/>
        </w:rPr>
      </w:pPr>
      <w:r>
        <w:t xml:space="preserve">            </w:t>
      </w:r>
      <w:r w:rsidR="00E829D0" w:rsidRPr="001C76DC">
        <w:rPr>
          <w:rFonts w:eastAsia="MS Mincho"/>
          <w:szCs w:val="24"/>
          <w:lang w:eastAsia="ja-JP"/>
        </w:rPr>
        <w:t xml:space="preserve">NIPPC cautions that any process that does not </w:t>
      </w:r>
      <w:r w:rsidR="00F26281" w:rsidRPr="001C76DC">
        <w:rPr>
          <w:rFonts w:eastAsia="MS Mincho"/>
          <w:szCs w:val="24"/>
          <w:lang w:eastAsia="ja-JP"/>
        </w:rPr>
        <w:t xml:space="preserve">provide a </w:t>
      </w:r>
      <w:r w:rsidR="00FD3DA4" w:rsidRPr="001C76DC">
        <w:rPr>
          <w:rFonts w:eastAsia="MS Mincho"/>
          <w:szCs w:val="24"/>
          <w:lang w:eastAsia="ja-JP"/>
        </w:rPr>
        <w:t xml:space="preserve">firm </w:t>
      </w:r>
      <w:r w:rsidR="00F26281" w:rsidRPr="001C76DC">
        <w:rPr>
          <w:rFonts w:eastAsia="MS Mincho"/>
          <w:szCs w:val="24"/>
          <w:lang w:eastAsia="ja-JP"/>
        </w:rPr>
        <w:t xml:space="preserve">cap on utility generation ownership, or </w:t>
      </w:r>
      <w:r w:rsidR="004B3E86" w:rsidRPr="001C76DC">
        <w:rPr>
          <w:rFonts w:eastAsia="MS Mincho"/>
          <w:szCs w:val="24"/>
          <w:lang w:eastAsia="ja-JP"/>
        </w:rPr>
        <w:t xml:space="preserve">that does not </w:t>
      </w:r>
      <w:r w:rsidR="00F26281" w:rsidRPr="001C76DC">
        <w:rPr>
          <w:rFonts w:eastAsia="MS Mincho"/>
          <w:szCs w:val="24"/>
          <w:lang w:eastAsia="ja-JP"/>
        </w:rPr>
        <w:t>seve</w:t>
      </w:r>
      <w:r w:rsidR="00772644" w:rsidRPr="001C76DC">
        <w:rPr>
          <w:rFonts w:eastAsia="MS Mincho"/>
          <w:szCs w:val="24"/>
          <w:lang w:eastAsia="ja-JP"/>
        </w:rPr>
        <w:t>r</w:t>
      </w:r>
      <w:r w:rsidR="00E829D0" w:rsidRPr="001C76DC">
        <w:rPr>
          <w:rFonts w:eastAsia="MS Mincho"/>
          <w:szCs w:val="24"/>
          <w:lang w:eastAsia="ja-JP"/>
        </w:rPr>
        <w:t xml:space="preserve"> the conflict</w:t>
      </w:r>
      <w:r w:rsidR="00B71BF9" w:rsidRPr="001C76DC">
        <w:rPr>
          <w:rFonts w:eastAsia="MS Mincho"/>
          <w:szCs w:val="24"/>
          <w:lang w:eastAsia="ja-JP"/>
        </w:rPr>
        <w:t xml:space="preserve"> in making resource procurement decisions</w:t>
      </w:r>
      <w:r w:rsidR="00E829D0" w:rsidRPr="001C76DC">
        <w:rPr>
          <w:rFonts w:eastAsia="MS Mincho"/>
          <w:szCs w:val="24"/>
          <w:lang w:eastAsia="ja-JP"/>
        </w:rPr>
        <w:t xml:space="preserve"> between utility shareholder profits and </w:t>
      </w:r>
      <w:r w:rsidR="00B71BF9" w:rsidRPr="001C76DC">
        <w:rPr>
          <w:rFonts w:eastAsia="MS Mincho"/>
          <w:szCs w:val="24"/>
          <w:lang w:eastAsia="ja-JP"/>
        </w:rPr>
        <w:t xml:space="preserve">customer interests </w:t>
      </w:r>
      <w:r w:rsidR="00F26281" w:rsidRPr="001C76DC">
        <w:rPr>
          <w:rFonts w:eastAsia="MS Mincho"/>
          <w:szCs w:val="24"/>
          <w:lang w:eastAsia="ja-JP"/>
        </w:rPr>
        <w:t>will be imperfect.</w:t>
      </w:r>
      <w:r w:rsidR="00DA19FC" w:rsidRPr="001C76DC">
        <w:rPr>
          <w:rFonts w:eastAsia="MS Mincho"/>
          <w:szCs w:val="24"/>
          <w:lang w:eastAsia="ja-JP"/>
        </w:rPr>
        <w:t xml:space="preserve">  </w:t>
      </w:r>
      <w:r w:rsidR="00DA19FC" w:rsidRPr="001C76DC">
        <w:rPr>
          <w:rFonts w:eastAsia="MS Mincho"/>
          <w:szCs w:val="24"/>
          <w:lang w:eastAsia="ja-JP"/>
        </w:rPr>
        <w:lastRenderedPageBreak/>
        <w:t xml:space="preserve">The proposed rules below are intended to structurally limit </w:t>
      </w:r>
      <w:r w:rsidR="00C21B61" w:rsidRPr="001C76DC">
        <w:rPr>
          <w:rFonts w:eastAsia="MS Mincho"/>
          <w:szCs w:val="24"/>
          <w:lang w:eastAsia="ja-JP"/>
        </w:rPr>
        <w:t xml:space="preserve">this bias, provide incentives for the utilities to make </w:t>
      </w:r>
      <w:r w:rsidR="00A6614D" w:rsidRPr="001C76DC">
        <w:rPr>
          <w:rFonts w:eastAsia="MS Mincho"/>
          <w:szCs w:val="24"/>
          <w:lang w:eastAsia="ja-JP"/>
        </w:rPr>
        <w:t xml:space="preserve">the best decisions for </w:t>
      </w:r>
      <w:r w:rsidR="00FD3DA4" w:rsidRPr="001C76DC">
        <w:rPr>
          <w:rFonts w:eastAsia="MS Mincho"/>
          <w:szCs w:val="24"/>
          <w:lang w:eastAsia="ja-JP"/>
        </w:rPr>
        <w:t>ratepayers</w:t>
      </w:r>
      <w:r w:rsidR="00C21B61" w:rsidRPr="001C76DC">
        <w:rPr>
          <w:rFonts w:eastAsia="MS Mincho"/>
          <w:szCs w:val="24"/>
          <w:lang w:eastAsia="ja-JP"/>
        </w:rPr>
        <w:t>, and empower the Commis</w:t>
      </w:r>
      <w:r w:rsidR="00A6614D" w:rsidRPr="001C76DC">
        <w:rPr>
          <w:rFonts w:eastAsia="MS Mincho"/>
          <w:szCs w:val="24"/>
          <w:lang w:eastAsia="ja-JP"/>
        </w:rPr>
        <w:t>sion to fulfill its role in ensuring that rates are fair, just, reasonable and sufficient.</w:t>
      </w:r>
      <w:r w:rsidR="004E59F1" w:rsidRPr="004E59F1">
        <w:rPr>
          <w:rFonts w:eastAsia="MS Mincho"/>
          <w:vertAlign w:val="superscript"/>
          <w:lang w:eastAsia="ja-JP"/>
        </w:rPr>
        <w:footnoteReference w:id="58"/>
      </w:r>
      <w:r w:rsidR="00DA19FC" w:rsidRPr="001C76DC">
        <w:rPr>
          <w:rFonts w:eastAsia="MS Mincho"/>
          <w:szCs w:val="24"/>
          <w:lang w:eastAsia="ja-JP"/>
        </w:rPr>
        <w:t xml:space="preserve"> </w:t>
      </w:r>
      <w:r w:rsidR="00EF7BED" w:rsidRPr="001C76DC">
        <w:rPr>
          <w:rFonts w:eastAsia="MS Mincho"/>
          <w:szCs w:val="24"/>
          <w:lang w:eastAsia="ja-JP"/>
        </w:rPr>
        <w:t xml:space="preserve"> In addition, while NIPPC refers to competitive procurement p</w:t>
      </w:r>
      <w:r w:rsidR="004B3E86" w:rsidRPr="001C76DC">
        <w:rPr>
          <w:rFonts w:eastAsia="MS Mincho"/>
          <w:szCs w:val="24"/>
          <w:lang w:eastAsia="ja-JP"/>
        </w:rPr>
        <w:t xml:space="preserve">olicies now </w:t>
      </w:r>
      <w:r w:rsidR="00EF7BED" w:rsidRPr="001C76DC">
        <w:rPr>
          <w:rFonts w:eastAsia="MS Mincho"/>
          <w:szCs w:val="24"/>
          <w:lang w:eastAsia="ja-JP"/>
        </w:rPr>
        <w:t xml:space="preserve">in </w:t>
      </w:r>
      <w:r w:rsidR="004B3E86" w:rsidRPr="001C76DC">
        <w:rPr>
          <w:rFonts w:eastAsia="MS Mincho"/>
          <w:szCs w:val="24"/>
          <w:lang w:eastAsia="ja-JP"/>
        </w:rPr>
        <w:t xml:space="preserve">place in </w:t>
      </w:r>
      <w:r w:rsidR="00EF7BED" w:rsidRPr="001C76DC">
        <w:rPr>
          <w:rFonts w:eastAsia="MS Mincho"/>
          <w:szCs w:val="24"/>
          <w:lang w:eastAsia="ja-JP"/>
        </w:rPr>
        <w:t>Idaho</w:t>
      </w:r>
      <w:r w:rsidR="008743F1" w:rsidRPr="001C76DC">
        <w:rPr>
          <w:rFonts w:eastAsia="MS Mincho"/>
          <w:szCs w:val="24"/>
          <w:lang w:eastAsia="ja-JP"/>
        </w:rPr>
        <w:t>,</w:t>
      </w:r>
      <w:r w:rsidR="00EF7BED" w:rsidRPr="001C76DC">
        <w:rPr>
          <w:rFonts w:eastAsia="MS Mincho"/>
          <w:szCs w:val="24"/>
          <w:lang w:eastAsia="ja-JP"/>
        </w:rPr>
        <w:t xml:space="preserve"> Oregon </w:t>
      </w:r>
      <w:r w:rsidR="008743F1" w:rsidRPr="001C76DC">
        <w:rPr>
          <w:rFonts w:eastAsia="MS Mincho"/>
          <w:szCs w:val="24"/>
          <w:lang w:eastAsia="ja-JP"/>
        </w:rPr>
        <w:t>and Washington</w:t>
      </w:r>
      <w:r w:rsidR="00EF7BED" w:rsidRPr="001C76DC">
        <w:rPr>
          <w:rFonts w:eastAsia="MS Mincho"/>
          <w:szCs w:val="24"/>
          <w:lang w:eastAsia="ja-JP"/>
        </w:rPr>
        <w:t xml:space="preserve">, </w:t>
      </w:r>
      <w:r w:rsidR="00FD3DA4" w:rsidRPr="001C76DC">
        <w:rPr>
          <w:rFonts w:eastAsia="MS Mincho"/>
          <w:szCs w:val="24"/>
          <w:lang w:eastAsia="ja-JP"/>
        </w:rPr>
        <w:t xml:space="preserve">the </w:t>
      </w:r>
      <w:r w:rsidR="00EF7BED" w:rsidRPr="001C76DC">
        <w:rPr>
          <w:rFonts w:eastAsia="MS Mincho"/>
          <w:szCs w:val="24"/>
          <w:lang w:eastAsia="ja-JP"/>
        </w:rPr>
        <w:t>proposed rules</w:t>
      </w:r>
      <w:r w:rsidR="00FD3DA4" w:rsidRPr="001C76DC">
        <w:rPr>
          <w:rFonts w:eastAsia="MS Mincho"/>
          <w:szCs w:val="24"/>
          <w:lang w:eastAsia="ja-JP"/>
        </w:rPr>
        <w:t xml:space="preserve"> NIPPC offers here are</w:t>
      </w:r>
      <w:r w:rsidR="00EF7BED" w:rsidRPr="001C76DC">
        <w:rPr>
          <w:rFonts w:eastAsia="MS Mincho"/>
          <w:szCs w:val="24"/>
          <w:lang w:eastAsia="ja-JP"/>
        </w:rPr>
        <w:t xml:space="preserve"> </w:t>
      </w:r>
      <w:r w:rsidR="00FD3DA4" w:rsidRPr="001C76DC">
        <w:rPr>
          <w:rFonts w:eastAsia="MS Mincho"/>
          <w:szCs w:val="24"/>
          <w:lang w:eastAsia="ja-JP"/>
        </w:rPr>
        <w:t xml:space="preserve">distinctive and </w:t>
      </w:r>
      <w:r w:rsidR="00EF7BED" w:rsidRPr="001C76DC">
        <w:rPr>
          <w:rFonts w:eastAsia="MS Mincho"/>
          <w:szCs w:val="24"/>
          <w:lang w:eastAsia="ja-JP"/>
        </w:rPr>
        <w:t>significant improvements</w:t>
      </w:r>
      <w:r w:rsidR="00FD3DA4" w:rsidRPr="001C76DC">
        <w:rPr>
          <w:rFonts w:eastAsia="MS Mincho"/>
          <w:szCs w:val="24"/>
          <w:lang w:eastAsia="ja-JP"/>
        </w:rPr>
        <w:t xml:space="preserve"> </w:t>
      </w:r>
      <w:r w:rsidR="00EF7BED" w:rsidRPr="001C76DC">
        <w:rPr>
          <w:rFonts w:eastAsia="MS Mincho"/>
          <w:szCs w:val="24"/>
          <w:lang w:eastAsia="ja-JP"/>
        </w:rPr>
        <w:t>from</w:t>
      </w:r>
      <w:r w:rsidR="005F69C1" w:rsidRPr="001C76DC">
        <w:rPr>
          <w:rFonts w:eastAsia="MS Mincho"/>
          <w:szCs w:val="24"/>
          <w:lang w:eastAsia="ja-JP"/>
        </w:rPr>
        <w:t xml:space="preserve"> currently existing </w:t>
      </w:r>
      <w:r w:rsidR="00EF7BED" w:rsidRPr="001C76DC">
        <w:rPr>
          <w:rFonts w:eastAsia="MS Mincho"/>
          <w:szCs w:val="24"/>
          <w:lang w:eastAsia="ja-JP"/>
        </w:rPr>
        <w:t xml:space="preserve">policies.  </w:t>
      </w:r>
      <w:r w:rsidR="005420F0" w:rsidRPr="001C76DC">
        <w:rPr>
          <w:rFonts w:eastAsia="MS Mincho"/>
          <w:szCs w:val="24"/>
          <w:lang w:eastAsia="ja-JP"/>
        </w:rPr>
        <w:t>While Oregon pioneer</w:t>
      </w:r>
      <w:r w:rsidR="00986167" w:rsidRPr="001C76DC">
        <w:rPr>
          <w:rFonts w:eastAsia="MS Mincho"/>
          <w:szCs w:val="24"/>
          <w:lang w:eastAsia="ja-JP"/>
        </w:rPr>
        <w:t>ed</w:t>
      </w:r>
      <w:r w:rsidR="005420F0" w:rsidRPr="001C76DC">
        <w:rPr>
          <w:rFonts w:eastAsia="MS Mincho"/>
          <w:szCs w:val="24"/>
          <w:lang w:eastAsia="ja-JP"/>
        </w:rPr>
        <w:t xml:space="preserve"> in the adoption of competitive bidding policies, </w:t>
      </w:r>
      <w:r w:rsidR="00986167" w:rsidRPr="001C76DC">
        <w:rPr>
          <w:rFonts w:eastAsia="MS Mincho"/>
          <w:szCs w:val="24"/>
          <w:lang w:eastAsia="ja-JP"/>
        </w:rPr>
        <w:t xml:space="preserve">its </w:t>
      </w:r>
      <w:r w:rsidR="004E7A95" w:rsidRPr="001C76DC">
        <w:rPr>
          <w:rFonts w:eastAsia="MS Mincho"/>
          <w:szCs w:val="24"/>
          <w:lang w:eastAsia="ja-JP"/>
        </w:rPr>
        <w:t>current policies</w:t>
      </w:r>
      <w:r w:rsidR="005420F0" w:rsidRPr="001C76DC">
        <w:rPr>
          <w:rFonts w:eastAsia="MS Mincho"/>
          <w:szCs w:val="24"/>
          <w:lang w:eastAsia="ja-JP"/>
        </w:rPr>
        <w:t xml:space="preserve"> have </w:t>
      </w:r>
      <w:r w:rsidR="004E7A95" w:rsidRPr="001C76DC">
        <w:rPr>
          <w:rFonts w:eastAsia="MS Mincho"/>
          <w:szCs w:val="24"/>
          <w:lang w:eastAsia="ja-JP"/>
        </w:rPr>
        <w:t>dramatically</w:t>
      </w:r>
      <w:r w:rsidR="005420F0" w:rsidRPr="001C76DC">
        <w:rPr>
          <w:rFonts w:eastAsia="MS Mincho"/>
          <w:szCs w:val="24"/>
          <w:lang w:eastAsia="ja-JP"/>
        </w:rPr>
        <w:t xml:space="preserve"> failed</w:t>
      </w:r>
      <w:r w:rsidR="004E7A95" w:rsidRPr="001C76DC">
        <w:rPr>
          <w:rFonts w:eastAsia="MS Mincho"/>
          <w:szCs w:val="24"/>
          <w:lang w:eastAsia="ja-JP"/>
        </w:rPr>
        <w:t xml:space="preserve">. </w:t>
      </w:r>
      <w:r w:rsidR="005420F0" w:rsidRPr="001C76DC">
        <w:rPr>
          <w:rFonts w:eastAsia="MS Mincho"/>
          <w:szCs w:val="24"/>
          <w:lang w:eastAsia="ja-JP"/>
        </w:rPr>
        <w:t>Washington should learn from</w:t>
      </w:r>
      <w:r w:rsidR="004E7A95" w:rsidRPr="001C76DC">
        <w:rPr>
          <w:rFonts w:eastAsia="MS Mincho"/>
          <w:szCs w:val="24"/>
          <w:lang w:eastAsia="ja-JP"/>
        </w:rPr>
        <w:t xml:space="preserve"> </w:t>
      </w:r>
      <w:r w:rsidR="005420F0" w:rsidRPr="001C76DC">
        <w:rPr>
          <w:rFonts w:eastAsia="MS Mincho"/>
          <w:szCs w:val="24"/>
          <w:lang w:eastAsia="ja-JP"/>
        </w:rPr>
        <w:t>mistakes made in other jurisdictions.</w:t>
      </w:r>
      <w:r w:rsidR="008743F1">
        <w:rPr>
          <w:rStyle w:val="FootnoteReference"/>
          <w:rFonts w:eastAsia="MS Mincho"/>
          <w:szCs w:val="24"/>
          <w:lang w:eastAsia="ja-JP"/>
        </w:rPr>
        <w:footnoteReference w:id="59"/>
      </w:r>
      <w:r w:rsidR="005420F0" w:rsidRPr="001C76DC">
        <w:rPr>
          <w:rFonts w:eastAsia="MS Mincho"/>
          <w:szCs w:val="24"/>
          <w:lang w:eastAsia="ja-JP"/>
        </w:rPr>
        <w:t xml:space="preserve">  </w:t>
      </w:r>
    </w:p>
    <w:p w14:paraId="04650343" w14:textId="397EA3AA" w:rsidR="00A50471" w:rsidRPr="001C76DC" w:rsidRDefault="00206EEB" w:rsidP="00523449">
      <w:pPr>
        <w:pStyle w:val="ListParagraph"/>
        <w:numPr>
          <w:ilvl w:val="2"/>
          <w:numId w:val="37"/>
        </w:numPr>
        <w:ind w:left="1440" w:hanging="720"/>
        <w:rPr>
          <w:rFonts w:eastAsia="MS Mincho"/>
          <w:b/>
          <w:szCs w:val="24"/>
          <w:lang w:eastAsia="ja-JP"/>
        </w:rPr>
      </w:pPr>
      <w:r w:rsidRPr="001C76DC">
        <w:rPr>
          <w:rFonts w:eastAsia="MS Mincho"/>
          <w:b/>
          <w:szCs w:val="24"/>
          <w:lang w:eastAsia="ja-JP"/>
        </w:rPr>
        <w:t xml:space="preserve">Utilities Should Be Required to Conduct a Commission Approved RFP Prior to Acquiring New Major Resources </w:t>
      </w:r>
    </w:p>
    <w:p w14:paraId="55DFB4AA" w14:textId="77777777" w:rsidR="00A50471" w:rsidRPr="00A50471" w:rsidRDefault="00A50471" w:rsidP="00523449">
      <w:pPr>
        <w:ind w:hanging="540"/>
        <w:rPr>
          <w:rFonts w:eastAsia="MS Mincho"/>
          <w:szCs w:val="24"/>
          <w:lang w:eastAsia="ja-JP"/>
        </w:rPr>
      </w:pPr>
    </w:p>
    <w:p w14:paraId="668C6C73" w14:textId="3270720C" w:rsidR="00432052" w:rsidRPr="001C76DC" w:rsidRDefault="00523449" w:rsidP="00523449">
      <w:pPr>
        <w:pStyle w:val="ListParagraph"/>
        <w:numPr>
          <w:ilvl w:val="1"/>
          <w:numId w:val="33"/>
        </w:numPr>
        <w:spacing w:line="480" w:lineRule="auto"/>
        <w:ind w:left="0" w:hanging="540"/>
        <w:rPr>
          <w:rFonts w:eastAsia="MS Mincho"/>
          <w:szCs w:val="24"/>
          <w:lang w:eastAsia="ja-JP"/>
        </w:rPr>
      </w:pPr>
      <w:r>
        <w:t xml:space="preserve">            </w:t>
      </w:r>
      <w:r w:rsidR="00432052" w:rsidRPr="001C76DC">
        <w:rPr>
          <w:rFonts w:eastAsia="MS Mincho"/>
          <w:szCs w:val="24"/>
          <w:lang w:eastAsia="ja-JP"/>
        </w:rPr>
        <w:t xml:space="preserve">The </w:t>
      </w:r>
      <w:r w:rsidR="001A5A5F" w:rsidRPr="001C76DC">
        <w:rPr>
          <w:rFonts w:eastAsia="MS Mincho"/>
          <w:szCs w:val="24"/>
          <w:lang w:eastAsia="ja-JP"/>
        </w:rPr>
        <w:t xml:space="preserve">Commission’s </w:t>
      </w:r>
      <w:r w:rsidR="00B356B3">
        <w:rPr>
          <w:rFonts w:eastAsia="MS Mincho"/>
          <w:szCs w:val="24"/>
          <w:lang w:eastAsia="ja-JP"/>
        </w:rPr>
        <w:t xml:space="preserve">current rules require an RFP to be issued </w:t>
      </w:r>
      <w:r w:rsidR="00432052" w:rsidRPr="001C76DC">
        <w:rPr>
          <w:rFonts w:eastAsia="MS Mincho"/>
          <w:szCs w:val="24"/>
          <w:lang w:eastAsia="ja-JP"/>
        </w:rPr>
        <w:t>“no later than one hundred thirty-five days after the utility’s integrated resource plan is due to be filed with the commission.”</w:t>
      </w:r>
      <w:r w:rsidR="00432052">
        <w:rPr>
          <w:rStyle w:val="FootnoteReference"/>
          <w:rFonts w:eastAsia="MS Mincho"/>
          <w:szCs w:val="24"/>
          <w:lang w:eastAsia="ja-JP"/>
        </w:rPr>
        <w:footnoteReference w:id="60"/>
      </w:r>
      <w:r w:rsidR="00432052" w:rsidRPr="001C76DC">
        <w:rPr>
          <w:rFonts w:eastAsia="MS Mincho"/>
          <w:szCs w:val="24"/>
          <w:lang w:eastAsia="ja-JP"/>
        </w:rPr>
        <w:t xml:space="preserve">  However, other provisions significantly limit the effectiveness of </w:t>
      </w:r>
      <w:r w:rsidR="00E721CA" w:rsidRPr="001C76DC">
        <w:rPr>
          <w:rFonts w:eastAsia="MS Mincho"/>
          <w:szCs w:val="24"/>
          <w:lang w:eastAsia="ja-JP"/>
        </w:rPr>
        <w:t>any</w:t>
      </w:r>
      <w:r w:rsidR="00432052" w:rsidRPr="001C76DC">
        <w:rPr>
          <w:rFonts w:eastAsia="MS Mincho"/>
          <w:szCs w:val="24"/>
          <w:lang w:eastAsia="ja-JP"/>
        </w:rPr>
        <w:t xml:space="preserve"> </w:t>
      </w:r>
      <w:r w:rsidR="00E721CA" w:rsidRPr="001C76DC">
        <w:rPr>
          <w:rFonts w:eastAsia="MS Mincho"/>
          <w:szCs w:val="24"/>
          <w:lang w:eastAsia="ja-JP"/>
        </w:rPr>
        <w:t>“</w:t>
      </w:r>
      <w:r w:rsidR="00432052" w:rsidRPr="001C76DC">
        <w:rPr>
          <w:rFonts w:eastAsia="MS Mincho"/>
          <w:szCs w:val="24"/>
          <w:lang w:eastAsia="ja-JP"/>
        </w:rPr>
        <w:t>requirement</w:t>
      </w:r>
      <w:r w:rsidR="00E721CA" w:rsidRPr="001C76DC">
        <w:rPr>
          <w:rFonts w:eastAsia="MS Mincho"/>
          <w:szCs w:val="24"/>
          <w:lang w:eastAsia="ja-JP"/>
        </w:rPr>
        <w:t>” to conduct an RFP</w:t>
      </w:r>
      <w:r w:rsidR="00432052" w:rsidRPr="001C76DC">
        <w:rPr>
          <w:rFonts w:eastAsia="MS Mincho"/>
          <w:szCs w:val="24"/>
          <w:lang w:eastAsia="ja-JP"/>
        </w:rPr>
        <w:t xml:space="preserve"> and </w:t>
      </w:r>
      <w:r w:rsidR="001A5A5F" w:rsidRPr="001C76DC">
        <w:rPr>
          <w:rFonts w:eastAsia="MS Mincho"/>
          <w:szCs w:val="24"/>
          <w:lang w:eastAsia="ja-JP"/>
        </w:rPr>
        <w:t xml:space="preserve">even </w:t>
      </w:r>
      <w:r w:rsidR="00432052" w:rsidRPr="001C76DC">
        <w:rPr>
          <w:rFonts w:eastAsia="MS Mincho"/>
          <w:szCs w:val="24"/>
          <w:lang w:eastAsia="ja-JP"/>
        </w:rPr>
        <w:t xml:space="preserve">undermine the </w:t>
      </w:r>
      <w:r w:rsidR="001A5A5F" w:rsidRPr="001C76DC">
        <w:rPr>
          <w:rFonts w:eastAsia="MS Mincho"/>
          <w:szCs w:val="24"/>
          <w:lang w:eastAsia="ja-JP"/>
        </w:rPr>
        <w:t xml:space="preserve">laudatory </w:t>
      </w:r>
      <w:r w:rsidR="00432052" w:rsidRPr="001C76DC">
        <w:rPr>
          <w:rFonts w:eastAsia="MS Mincho"/>
          <w:szCs w:val="24"/>
          <w:lang w:eastAsia="ja-JP"/>
        </w:rPr>
        <w:t>intent of the rules.  Taken as a whole, the</w:t>
      </w:r>
      <w:r w:rsidR="00380AE4" w:rsidRPr="001C76DC">
        <w:rPr>
          <w:rFonts w:eastAsia="MS Mincho"/>
          <w:szCs w:val="24"/>
          <w:lang w:eastAsia="ja-JP"/>
        </w:rPr>
        <w:t xml:space="preserve"> uti</w:t>
      </w:r>
      <w:r w:rsidR="00E721CA" w:rsidRPr="001C76DC">
        <w:rPr>
          <w:rFonts w:eastAsia="MS Mincho"/>
          <w:szCs w:val="24"/>
          <w:lang w:eastAsia="ja-JP"/>
        </w:rPr>
        <w:t xml:space="preserve">lities </w:t>
      </w:r>
      <w:r w:rsidR="00FD3DA4" w:rsidRPr="001C76DC">
        <w:rPr>
          <w:rFonts w:eastAsia="MS Mincho"/>
          <w:szCs w:val="24"/>
          <w:lang w:eastAsia="ja-JP"/>
        </w:rPr>
        <w:t>are not required</w:t>
      </w:r>
      <w:r w:rsidR="00380AE4" w:rsidRPr="001C76DC">
        <w:rPr>
          <w:rFonts w:eastAsia="MS Mincho"/>
          <w:szCs w:val="24"/>
          <w:lang w:eastAsia="ja-JP"/>
        </w:rPr>
        <w:t xml:space="preserve"> to conduct an RFP under</w:t>
      </w:r>
      <w:r w:rsidR="00432052" w:rsidRPr="001C76DC">
        <w:rPr>
          <w:rFonts w:eastAsia="MS Mincho"/>
          <w:szCs w:val="24"/>
          <w:lang w:eastAsia="ja-JP"/>
        </w:rPr>
        <w:t xml:space="preserve"> </w:t>
      </w:r>
      <w:r w:rsidR="00BA7A24" w:rsidRPr="001C76DC">
        <w:rPr>
          <w:rFonts w:eastAsia="MS Mincho"/>
          <w:szCs w:val="24"/>
          <w:lang w:eastAsia="ja-JP"/>
        </w:rPr>
        <w:t xml:space="preserve">the </w:t>
      </w:r>
      <w:r w:rsidR="00432052" w:rsidRPr="001C76DC">
        <w:rPr>
          <w:rFonts w:eastAsia="MS Mincho"/>
          <w:szCs w:val="24"/>
          <w:lang w:eastAsia="ja-JP"/>
        </w:rPr>
        <w:t>competitive bidding rules</w:t>
      </w:r>
      <w:r w:rsidR="00380AE4" w:rsidRPr="001C76DC">
        <w:rPr>
          <w:rFonts w:eastAsia="MS Mincho"/>
          <w:szCs w:val="24"/>
          <w:lang w:eastAsia="ja-JP"/>
        </w:rPr>
        <w:t xml:space="preserve">, which end up doing </w:t>
      </w:r>
      <w:r w:rsidR="00432052" w:rsidRPr="001C76DC">
        <w:rPr>
          <w:rFonts w:eastAsia="MS Mincho"/>
          <w:szCs w:val="24"/>
          <w:lang w:eastAsia="ja-JP"/>
        </w:rPr>
        <w:t xml:space="preserve">little to influence the actual process of resource procurement.  </w:t>
      </w:r>
    </w:p>
    <w:p w14:paraId="3429688C" w14:textId="3F968ABA" w:rsidR="00432052" w:rsidRPr="001C76DC" w:rsidRDefault="00663E64" w:rsidP="00523449">
      <w:pPr>
        <w:pStyle w:val="ListParagraph"/>
        <w:numPr>
          <w:ilvl w:val="1"/>
          <w:numId w:val="33"/>
        </w:numPr>
        <w:spacing w:line="480" w:lineRule="auto"/>
        <w:ind w:left="0" w:hanging="540"/>
        <w:rPr>
          <w:rFonts w:eastAsia="MS Mincho"/>
          <w:szCs w:val="24"/>
          <w:lang w:eastAsia="ja-JP"/>
        </w:rPr>
      </w:pPr>
      <w:r>
        <w:t xml:space="preserve">            </w:t>
      </w:r>
      <w:r w:rsidR="00432052" w:rsidRPr="001C76DC">
        <w:rPr>
          <w:rFonts w:eastAsia="MS Mincho"/>
          <w:szCs w:val="24"/>
          <w:lang w:eastAsia="ja-JP"/>
        </w:rPr>
        <w:t xml:space="preserve">For example, the rules expressly “do not establish the sole procedures utilities must use to acquire new resources. </w:t>
      </w:r>
      <w:r w:rsidR="00792735" w:rsidRPr="001C76DC">
        <w:rPr>
          <w:rFonts w:eastAsia="MS Mincho"/>
          <w:szCs w:val="24"/>
          <w:lang w:eastAsia="ja-JP"/>
        </w:rPr>
        <w:t xml:space="preserve"> </w:t>
      </w:r>
      <w:r w:rsidR="00432052" w:rsidRPr="001C76DC">
        <w:rPr>
          <w:rFonts w:eastAsia="MS Mincho"/>
          <w:szCs w:val="24"/>
          <w:lang w:eastAsia="ja-JP"/>
        </w:rPr>
        <w:t xml:space="preserve">Utilities may construct electric resources, operate </w:t>
      </w:r>
      <w:r w:rsidR="00432052" w:rsidRPr="001C76DC">
        <w:rPr>
          <w:rFonts w:eastAsia="MS Mincho"/>
          <w:szCs w:val="24"/>
          <w:lang w:eastAsia="ja-JP"/>
        </w:rPr>
        <w:lastRenderedPageBreak/>
        <w:t>conservation programs, purchase power through negotiated contracts, or take other action to satisfy their public service obligations.”</w:t>
      </w:r>
      <w:r w:rsidR="00432052">
        <w:rPr>
          <w:rStyle w:val="FootnoteReference"/>
          <w:rFonts w:eastAsia="MS Mincho"/>
          <w:szCs w:val="24"/>
          <w:lang w:eastAsia="ja-JP"/>
        </w:rPr>
        <w:footnoteReference w:id="61"/>
      </w:r>
      <w:r w:rsidR="00432052" w:rsidRPr="001C76DC">
        <w:rPr>
          <w:rFonts w:eastAsia="MS Mincho"/>
          <w:szCs w:val="24"/>
          <w:lang w:eastAsia="ja-JP"/>
        </w:rPr>
        <w:t xml:space="preserve">  Moreover, the rules also explicitly “do not apply when a utility’s integrated resource plan . . . does not need capacity within three years.”</w:t>
      </w:r>
      <w:r w:rsidR="00432052">
        <w:rPr>
          <w:rStyle w:val="FootnoteReference"/>
          <w:rFonts w:eastAsia="MS Mincho"/>
          <w:szCs w:val="24"/>
          <w:lang w:eastAsia="ja-JP"/>
        </w:rPr>
        <w:footnoteReference w:id="62"/>
      </w:r>
      <w:r w:rsidR="00432052" w:rsidRPr="001C76DC">
        <w:rPr>
          <w:rFonts w:eastAsia="MS Mincho"/>
          <w:szCs w:val="24"/>
          <w:lang w:eastAsia="ja-JP"/>
        </w:rPr>
        <w:t xml:space="preserve">  Even when an RFP is required, </w:t>
      </w:r>
      <w:r w:rsidR="00792735" w:rsidRPr="001C76DC">
        <w:rPr>
          <w:rFonts w:eastAsia="MS Mincho"/>
          <w:szCs w:val="24"/>
          <w:lang w:eastAsia="ja-JP"/>
        </w:rPr>
        <w:t xml:space="preserve">which </w:t>
      </w:r>
      <w:r w:rsidR="00432052" w:rsidRPr="001C76DC">
        <w:rPr>
          <w:rFonts w:eastAsia="MS Mincho"/>
          <w:szCs w:val="24"/>
          <w:lang w:eastAsia="ja-JP"/>
        </w:rPr>
        <w:t>mean</w:t>
      </w:r>
      <w:r w:rsidR="00792735" w:rsidRPr="001C76DC">
        <w:rPr>
          <w:rFonts w:eastAsia="MS Mincho"/>
          <w:szCs w:val="24"/>
          <w:lang w:eastAsia="ja-JP"/>
        </w:rPr>
        <w:t>s that</w:t>
      </w:r>
      <w:r w:rsidR="00432052" w:rsidRPr="001C76DC">
        <w:rPr>
          <w:rFonts w:eastAsia="MS Mincho"/>
          <w:szCs w:val="24"/>
          <w:lang w:eastAsia="ja-JP"/>
        </w:rPr>
        <w:t xml:space="preserve"> the utility has stated it has a near-term resource need, the rules provide the Commission broad discretion to waive the RFP requirement.</w:t>
      </w:r>
      <w:r w:rsidR="00432052">
        <w:rPr>
          <w:rStyle w:val="FootnoteReference"/>
          <w:rFonts w:eastAsia="MS Mincho"/>
          <w:szCs w:val="24"/>
          <w:lang w:eastAsia="ja-JP"/>
        </w:rPr>
        <w:footnoteReference w:id="63"/>
      </w:r>
      <w:r w:rsidR="00432052" w:rsidRPr="001C76DC">
        <w:rPr>
          <w:rFonts w:eastAsia="MS Mincho"/>
          <w:szCs w:val="24"/>
          <w:lang w:eastAsia="ja-JP"/>
        </w:rPr>
        <w:t xml:space="preserve">  In practice, routine waivers from the Commission have thwarted the effectiveness of a truly competitive bidding process.</w:t>
      </w:r>
      <w:r w:rsidR="00432052">
        <w:rPr>
          <w:rStyle w:val="FootnoteReference"/>
          <w:rFonts w:eastAsia="MS Mincho"/>
          <w:szCs w:val="24"/>
          <w:lang w:eastAsia="ja-JP"/>
        </w:rPr>
        <w:footnoteReference w:id="64"/>
      </w:r>
      <w:r w:rsidR="00432052" w:rsidRPr="001C76DC">
        <w:rPr>
          <w:rFonts w:eastAsia="MS Mincho"/>
          <w:szCs w:val="24"/>
          <w:lang w:eastAsia="ja-JP"/>
        </w:rPr>
        <w:t xml:space="preserve">    </w:t>
      </w:r>
    </w:p>
    <w:p w14:paraId="339C847F" w14:textId="0D54E2FB" w:rsidR="00432052" w:rsidRPr="001C76DC" w:rsidRDefault="00663E64" w:rsidP="00523449">
      <w:pPr>
        <w:pStyle w:val="ListParagraph"/>
        <w:numPr>
          <w:ilvl w:val="1"/>
          <w:numId w:val="33"/>
        </w:numPr>
        <w:spacing w:line="480" w:lineRule="auto"/>
        <w:ind w:left="0" w:hanging="540"/>
        <w:rPr>
          <w:rFonts w:eastAsia="MS Mincho"/>
          <w:szCs w:val="24"/>
          <w:lang w:eastAsia="ja-JP"/>
        </w:rPr>
      </w:pPr>
      <w:r>
        <w:t xml:space="preserve">            </w:t>
      </w:r>
      <w:r w:rsidR="00432052" w:rsidRPr="001C76DC">
        <w:rPr>
          <w:rFonts w:eastAsia="MS Mincho"/>
          <w:szCs w:val="24"/>
          <w:lang w:eastAsia="ja-JP"/>
        </w:rPr>
        <w:t>The Commission’s bidding rules need a requirement that makes them compulsory when utilities acquire resources rather than merely providing another checkbox at the end of the IRP process.  NIPPC</w:t>
      </w:r>
      <w:r w:rsidR="0054453A" w:rsidRPr="001C76DC">
        <w:rPr>
          <w:rFonts w:eastAsia="MS Mincho"/>
          <w:szCs w:val="24"/>
          <w:lang w:eastAsia="ja-JP"/>
        </w:rPr>
        <w:t xml:space="preserve"> therefore</w:t>
      </w:r>
      <w:r w:rsidR="00432052" w:rsidRPr="001C76DC">
        <w:rPr>
          <w:rFonts w:eastAsia="MS Mincho"/>
          <w:szCs w:val="24"/>
          <w:lang w:eastAsia="ja-JP"/>
        </w:rPr>
        <w:t xml:space="preserve"> proposes the Commission require utilities</w:t>
      </w:r>
      <w:r w:rsidR="000669B8" w:rsidRPr="001C76DC">
        <w:rPr>
          <w:rFonts w:eastAsia="MS Mincho"/>
          <w:szCs w:val="24"/>
          <w:lang w:eastAsia="ja-JP"/>
        </w:rPr>
        <w:t xml:space="preserve"> to follow a Commission-supervised RFP whenever it</w:t>
      </w:r>
      <w:r w:rsidR="00F257E3" w:rsidRPr="001C76DC">
        <w:rPr>
          <w:rFonts w:eastAsia="MS Mincho"/>
          <w:szCs w:val="24"/>
          <w:lang w:eastAsia="ja-JP"/>
        </w:rPr>
        <w:t xml:space="preserve"> seeks to</w:t>
      </w:r>
      <w:r w:rsidR="000669B8" w:rsidRPr="001C76DC">
        <w:rPr>
          <w:rFonts w:eastAsia="MS Mincho"/>
          <w:szCs w:val="24"/>
          <w:lang w:eastAsia="ja-JP"/>
        </w:rPr>
        <w:t xml:space="preserve"> acquire generation resources in excess of 50 MW of nameplate capacity</w:t>
      </w:r>
      <w:r w:rsidR="00084B69">
        <w:rPr>
          <w:rStyle w:val="FootnoteReference"/>
          <w:rFonts w:eastAsia="MS Mincho"/>
          <w:szCs w:val="24"/>
          <w:lang w:eastAsia="ja-JP"/>
        </w:rPr>
        <w:footnoteReference w:id="65"/>
      </w:r>
      <w:r w:rsidR="00432052" w:rsidRPr="001C76DC">
        <w:rPr>
          <w:rFonts w:eastAsia="MS Mincho"/>
          <w:szCs w:val="24"/>
          <w:lang w:eastAsia="ja-JP"/>
        </w:rPr>
        <w:t xml:space="preserve"> and certain energy storage</w:t>
      </w:r>
      <w:r w:rsidR="00AE23BA">
        <w:rPr>
          <w:rStyle w:val="FootnoteReference"/>
          <w:rFonts w:eastAsia="MS Mincho"/>
          <w:szCs w:val="24"/>
          <w:lang w:eastAsia="ja-JP"/>
        </w:rPr>
        <w:footnoteReference w:id="66"/>
      </w:r>
      <w:r w:rsidR="00432052" w:rsidRPr="001C76DC">
        <w:rPr>
          <w:rFonts w:eastAsia="MS Mincho"/>
          <w:szCs w:val="24"/>
          <w:lang w:eastAsia="ja-JP"/>
        </w:rPr>
        <w:t xml:space="preserve"> with a term of five years or more.</w:t>
      </w:r>
      <w:r w:rsidR="002E4678">
        <w:rPr>
          <w:rStyle w:val="FootnoteReference"/>
          <w:rFonts w:eastAsia="MS Mincho"/>
          <w:szCs w:val="24"/>
          <w:lang w:eastAsia="ja-JP"/>
        </w:rPr>
        <w:footnoteReference w:id="67"/>
      </w:r>
      <w:r w:rsidR="00432052" w:rsidRPr="001C76DC">
        <w:rPr>
          <w:rFonts w:eastAsia="MS Mincho"/>
          <w:szCs w:val="24"/>
          <w:lang w:eastAsia="ja-JP"/>
        </w:rPr>
        <w:t xml:space="preserve"> </w:t>
      </w:r>
    </w:p>
    <w:p w14:paraId="37EE22B9" w14:textId="0C946FC2" w:rsidR="007540CC" w:rsidRPr="001C76DC" w:rsidRDefault="00663E64" w:rsidP="00523449">
      <w:pPr>
        <w:pStyle w:val="ListParagraph"/>
        <w:numPr>
          <w:ilvl w:val="1"/>
          <w:numId w:val="33"/>
        </w:numPr>
        <w:spacing w:line="480" w:lineRule="auto"/>
        <w:ind w:left="0" w:hanging="540"/>
        <w:rPr>
          <w:rFonts w:eastAsia="MS Mincho"/>
          <w:szCs w:val="24"/>
          <w:lang w:eastAsia="ja-JP"/>
        </w:rPr>
      </w:pPr>
      <w:r>
        <w:lastRenderedPageBreak/>
        <w:t xml:space="preserve">            </w:t>
      </w:r>
      <w:r w:rsidR="00432052" w:rsidRPr="001C76DC">
        <w:rPr>
          <w:rFonts w:eastAsia="MS Mincho"/>
          <w:szCs w:val="24"/>
          <w:lang w:eastAsia="ja-JP"/>
        </w:rPr>
        <w:t xml:space="preserve">The requirement to issue an RFP must </w:t>
      </w:r>
      <w:r w:rsidR="00FD3DA4" w:rsidRPr="001C76DC">
        <w:rPr>
          <w:rFonts w:eastAsia="MS Mincho"/>
          <w:szCs w:val="24"/>
          <w:lang w:eastAsia="ja-JP"/>
        </w:rPr>
        <w:t xml:space="preserve">also </w:t>
      </w:r>
      <w:r w:rsidR="00432052" w:rsidRPr="001C76DC">
        <w:rPr>
          <w:rFonts w:eastAsia="MS Mincho"/>
          <w:szCs w:val="24"/>
          <w:lang w:eastAsia="ja-JP"/>
        </w:rPr>
        <w:t xml:space="preserve">prevent utilities from disaggregating large projects.  Without specificity on this point </w:t>
      </w:r>
      <w:r w:rsidR="004E59F1" w:rsidRPr="001C76DC">
        <w:rPr>
          <w:rFonts w:eastAsia="MS Mincho"/>
          <w:szCs w:val="24"/>
          <w:lang w:eastAsia="ja-JP"/>
        </w:rPr>
        <w:t>any</w:t>
      </w:r>
      <w:r w:rsidR="00432052" w:rsidRPr="001C76DC">
        <w:rPr>
          <w:rFonts w:eastAsia="MS Mincho"/>
          <w:szCs w:val="24"/>
          <w:lang w:eastAsia="ja-JP"/>
        </w:rPr>
        <w:t xml:space="preserve"> competitive bidding rules </w:t>
      </w:r>
      <w:r w:rsidR="009343F3" w:rsidRPr="001C76DC">
        <w:rPr>
          <w:rFonts w:eastAsia="MS Mincho"/>
          <w:szCs w:val="24"/>
          <w:lang w:eastAsia="ja-JP"/>
        </w:rPr>
        <w:t xml:space="preserve">may </w:t>
      </w:r>
      <w:r w:rsidR="00432052" w:rsidRPr="001C76DC">
        <w:rPr>
          <w:rFonts w:eastAsia="MS Mincho"/>
          <w:szCs w:val="24"/>
          <w:lang w:eastAsia="ja-JP"/>
        </w:rPr>
        <w:t>be easy to avoid.  For example, PacifiCorp concurrently developed three Wyoming wind farms—Seven Mile Hill (</w:t>
      </w:r>
      <w:r w:rsidR="00772644" w:rsidRPr="001C76DC">
        <w:rPr>
          <w:rFonts w:eastAsia="MS Mincho"/>
          <w:szCs w:val="24"/>
          <w:lang w:eastAsia="ja-JP"/>
        </w:rPr>
        <w:t>99</w:t>
      </w:r>
      <w:r w:rsidR="00432052" w:rsidRPr="001C76DC">
        <w:rPr>
          <w:rFonts w:eastAsia="MS Mincho"/>
          <w:szCs w:val="24"/>
          <w:lang w:eastAsia="ja-JP"/>
        </w:rPr>
        <w:t>MW), Glenrock (99MW), and Rolling Hills (99MW</w:t>
      </w:r>
      <w:r w:rsidR="006342D2" w:rsidRPr="001C76DC">
        <w:rPr>
          <w:rFonts w:eastAsia="MS Mincho"/>
          <w:szCs w:val="24"/>
          <w:lang w:eastAsia="ja-JP"/>
        </w:rPr>
        <w:t>)</w:t>
      </w:r>
      <w:r w:rsidR="00C70AE9" w:rsidRPr="001C76DC">
        <w:rPr>
          <w:rFonts w:eastAsia="MS Mincho"/>
          <w:szCs w:val="24"/>
          <w:lang w:eastAsia="ja-JP"/>
        </w:rPr>
        <w:t xml:space="preserve"> to avoid Oregon’s 100 MW </w:t>
      </w:r>
      <w:r w:rsidR="00F57496" w:rsidRPr="001C76DC">
        <w:rPr>
          <w:rFonts w:eastAsia="MS Mincho"/>
          <w:szCs w:val="24"/>
          <w:lang w:eastAsia="ja-JP"/>
        </w:rPr>
        <w:t>threshold</w:t>
      </w:r>
      <w:r w:rsidR="00C70AE9" w:rsidRPr="001C76DC">
        <w:rPr>
          <w:rFonts w:eastAsia="MS Mincho"/>
          <w:szCs w:val="24"/>
          <w:lang w:eastAsia="ja-JP"/>
        </w:rPr>
        <w:t xml:space="preserve"> for issuing an RFP</w:t>
      </w:r>
      <w:r w:rsidR="00432052" w:rsidRPr="001C76DC">
        <w:rPr>
          <w:rFonts w:eastAsia="MS Mincho"/>
          <w:szCs w:val="24"/>
          <w:lang w:eastAsia="ja-JP"/>
        </w:rPr>
        <w:t>.</w:t>
      </w:r>
      <w:r w:rsidR="00432052">
        <w:rPr>
          <w:rStyle w:val="FootnoteReference"/>
          <w:rFonts w:eastAsia="MS Mincho"/>
          <w:szCs w:val="24"/>
          <w:lang w:eastAsia="ja-JP"/>
        </w:rPr>
        <w:footnoteReference w:id="68"/>
      </w:r>
      <w:r w:rsidR="00432052" w:rsidRPr="001C76DC">
        <w:rPr>
          <w:rFonts w:eastAsia="MS Mincho"/>
          <w:szCs w:val="24"/>
          <w:lang w:eastAsia="ja-JP"/>
        </w:rPr>
        <w:t xml:space="preserve"> </w:t>
      </w:r>
      <w:r w:rsidR="00DA260F" w:rsidRPr="001C76DC">
        <w:rPr>
          <w:rFonts w:eastAsia="MS Mincho"/>
          <w:szCs w:val="24"/>
          <w:lang w:eastAsia="ja-JP"/>
        </w:rPr>
        <w:t xml:space="preserve"> </w:t>
      </w:r>
      <w:r w:rsidR="00432052" w:rsidRPr="001C76DC">
        <w:rPr>
          <w:rFonts w:eastAsia="MS Mincho"/>
          <w:szCs w:val="24"/>
          <w:lang w:eastAsia="ja-JP"/>
        </w:rPr>
        <w:t xml:space="preserve">PacifiCorp maintained that the three projects were in fact separate projects rather than one project developed in three phases, and argued that </w:t>
      </w:r>
      <w:r w:rsidR="00C856B7" w:rsidRPr="001C76DC">
        <w:rPr>
          <w:rFonts w:eastAsia="MS Mincho"/>
          <w:szCs w:val="24"/>
          <w:lang w:eastAsia="ja-JP"/>
        </w:rPr>
        <w:t>it did not need to comply with Oregon’s policies</w:t>
      </w:r>
      <w:r w:rsidR="00432052" w:rsidRPr="001C76DC">
        <w:rPr>
          <w:rFonts w:eastAsia="MS Mincho"/>
          <w:szCs w:val="24"/>
          <w:lang w:eastAsia="ja-JP"/>
        </w:rPr>
        <w:t xml:space="preserve">. </w:t>
      </w:r>
      <w:r w:rsidR="00C70AE9">
        <w:t xml:space="preserve"> </w:t>
      </w:r>
      <w:r w:rsidR="00772644">
        <w:t>Oregon</w:t>
      </w:r>
      <w:r w:rsidR="00B4753A">
        <w:t xml:space="preserve"> revise</w:t>
      </w:r>
      <w:r w:rsidR="00C70AE9">
        <w:t>d</w:t>
      </w:r>
      <w:r w:rsidR="00B4753A">
        <w:t xml:space="preserve"> its policies</w:t>
      </w:r>
      <w:r w:rsidR="004E495F">
        <w:t xml:space="preserve"> to prevent a repetition of such gaming</w:t>
      </w:r>
      <w:r w:rsidR="00B4753A">
        <w:t xml:space="preserve">, which </w:t>
      </w:r>
      <w:r w:rsidR="00432052">
        <w:t xml:space="preserve">are instructive with respect to the level of specificity required to avoid </w:t>
      </w:r>
      <w:r w:rsidR="004E495F">
        <w:t xml:space="preserve">strategic </w:t>
      </w:r>
      <w:r w:rsidR="00432052">
        <w:t>disaggregation.</w:t>
      </w:r>
      <w:r w:rsidR="004B17D5">
        <w:rPr>
          <w:rStyle w:val="FootnoteReference"/>
        </w:rPr>
        <w:footnoteReference w:id="69"/>
      </w:r>
      <w:r w:rsidR="00432052">
        <w:t xml:space="preserve"> </w:t>
      </w:r>
    </w:p>
    <w:p w14:paraId="29AB41FA" w14:textId="0E94177C" w:rsidR="007540CC" w:rsidRPr="001C76DC" w:rsidRDefault="007540CC" w:rsidP="00663E64">
      <w:pPr>
        <w:pStyle w:val="ListParagraph"/>
        <w:spacing w:line="480" w:lineRule="auto"/>
        <w:ind w:left="0" w:firstLine="720"/>
        <w:rPr>
          <w:rFonts w:eastAsia="MS Mincho"/>
          <w:b/>
          <w:bCs/>
          <w:szCs w:val="24"/>
          <w:lang w:eastAsia="ja-JP"/>
        </w:rPr>
      </w:pPr>
      <w:r w:rsidRPr="001C76DC">
        <w:rPr>
          <w:rFonts w:eastAsia="MS Mincho"/>
          <w:b/>
          <w:szCs w:val="24"/>
          <w:lang w:eastAsia="ja-JP"/>
        </w:rPr>
        <w:t>B.</w:t>
      </w:r>
      <w:r w:rsidRPr="001C76DC">
        <w:rPr>
          <w:rFonts w:eastAsia="MS Mincho"/>
          <w:b/>
          <w:szCs w:val="24"/>
          <w:lang w:eastAsia="ja-JP"/>
        </w:rPr>
        <w:tab/>
        <w:t>There Should Be a Two Staged RFP to Limit Utility Bias</w:t>
      </w:r>
    </w:p>
    <w:p w14:paraId="2A0ED263" w14:textId="35901E46" w:rsidR="007540CC" w:rsidRPr="001C76DC" w:rsidRDefault="00663E64" w:rsidP="00523449">
      <w:pPr>
        <w:pStyle w:val="ListParagraph"/>
        <w:numPr>
          <w:ilvl w:val="1"/>
          <w:numId w:val="33"/>
        </w:numPr>
        <w:spacing w:line="480" w:lineRule="auto"/>
        <w:ind w:left="0" w:hanging="540"/>
        <w:rPr>
          <w:rFonts w:eastAsia="MS Mincho"/>
          <w:bCs/>
          <w:szCs w:val="24"/>
          <w:lang w:eastAsia="ja-JP"/>
        </w:rPr>
      </w:pPr>
      <w:r>
        <w:t xml:space="preserve">            </w:t>
      </w:r>
      <w:r w:rsidR="007540CC" w:rsidRPr="001C76DC">
        <w:rPr>
          <w:rFonts w:eastAsia="MS Mincho"/>
          <w:bCs/>
          <w:szCs w:val="24"/>
          <w:lang w:eastAsia="ja-JP"/>
        </w:rPr>
        <w:t xml:space="preserve">To address the inherent conflict of interest </w:t>
      </w:r>
      <w:r w:rsidR="00945310" w:rsidRPr="001C76DC">
        <w:rPr>
          <w:rFonts w:eastAsia="MS Mincho"/>
          <w:bCs/>
          <w:szCs w:val="24"/>
          <w:lang w:eastAsia="ja-JP"/>
        </w:rPr>
        <w:t xml:space="preserve">between shareholder and customer interests </w:t>
      </w:r>
      <w:r w:rsidR="007540CC" w:rsidRPr="001C76DC">
        <w:rPr>
          <w:rFonts w:eastAsia="MS Mincho"/>
          <w:bCs/>
          <w:szCs w:val="24"/>
          <w:lang w:eastAsia="ja-JP"/>
        </w:rPr>
        <w:t xml:space="preserve">that utility managers </w:t>
      </w:r>
      <w:r w:rsidR="000669B8" w:rsidRPr="001C76DC">
        <w:rPr>
          <w:rFonts w:eastAsia="MS Mincho"/>
          <w:bCs/>
          <w:szCs w:val="24"/>
          <w:lang w:eastAsia="ja-JP"/>
        </w:rPr>
        <w:t>possess</w:t>
      </w:r>
      <w:r w:rsidR="007540CC" w:rsidRPr="001C76DC">
        <w:rPr>
          <w:rFonts w:eastAsia="MS Mincho"/>
          <w:bCs/>
          <w:szCs w:val="24"/>
          <w:lang w:eastAsia="ja-JP"/>
        </w:rPr>
        <w:t xml:space="preserve">, NIPPC proposes a two step bidding process.  First, all ownership </w:t>
      </w:r>
      <w:r w:rsidR="00091BC4" w:rsidRPr="001C76DC">
        <w:rPr>
          <w:rFonts w:eastAsia="MS Mincho"/>
          <w:bCs/>
          <w:szCs w:val="24"/>
          <w:lang w:eastAsia="ja-JP"/>
        </w:rPr>
        <w:t xml:space="preserve">bids </w:t>
      </w:r>
      <w:r w:rsidR="007540CC" w:rsidRPr="001C76DC">
        <w:rPr>
          <w:rFonts w:eastAsia="MS Mincho"/>
          <w:bCs/>
          <w:szCs w:val="24"/>
          <w:lang w:eastAsia="ja-JP"/>
        </w:rPr>
        <w:t>will be evaluated.  The best ownership score will be a</w:t>
      </w:r>
      <w:r w:rsidR="00BB4610" w:rsidRPr="001C76DC">
        <w:rPr>
          <w:rFonts w:eastAsia="MS Mincho"/>
          <w:bCs/>
          <w:szCs w:val="24"/>
          <w:lang w:eastAsia="ja-JP"/>
        </w:rPr>
        <w:t xml:space="preserve">nnounced to the </w:t>
      </w:r>
      <w:r w:rsidR="00BB4610" w:rsidRPr="001C76DC">
        <w:rPr>
          <w:rFonts w:eastAsia="MS Mincho"/>
          <w:bCs/>
          <w:szCs w:val="24"/>
          <w:lang w:eastAsia="ja-JP"/>
        </w:rPr>
        <w:lastRenderedPageBreak/>
        <w:t>bidders.  Next</w:t>
      </w:r>
      <w:r w:rsidR="00091BC4" w:rsidRPr="001C76DC">
        <w:rPr>
          <w:rFonts w:eastAsia="MS Mincho"/>
          <w:bCs/>
          <w:szCs w:val="24"/>
          <w:lang w:eastAsia="ja-JP"/>
        </w:rPr>
        <w:t xml:space="preserve">, </w:t>
      </w:r>
      <w:r w:rsidR="00997BCE" w:rsidRPr="001C76DC">
        <w:rPr>
          <w:rFonts w:eastAsia="MS Mincho"/>
          <w:bCs/>
          <w:szCs w:val="24"/>
          <w:lang w:eastAsia="ja-JP"/>
        </w:rPr>
        <w:t xml:space="preserve">bids for </w:t>
      </w:r>
      <w:r w:rsidR="00945310" w:rsidRPr="001C76DC">
        <w:rPr>
          <w:rFonts w:eastAsia="MS Mincho"/>
          <w:bCs/>
          <w:szCs w:val="24"/>
          <w:lang w:eastAsia="ja-JP"/>
        </w:rPr>
        <w:t>PPAs</w:t>
      </w:r>
      <w:r w:rsidR="00091BC4" w:rsidRPr="001C76DC">
        <w:rPr>
          <w:rFonts w:eastAsia="MS Mincho"/>
          <w:bCs/>
          <w:szCs w:val="24"/>
          <w:lang w:eastAsia="ja-JP"/>
        </w:rPr>
        <w:t xml:space="preserve"> should</w:t>
      </w:r>
      <w:r w:rsidR="007540CC" w:rsidRPr="001C76DC">
        <w:rPr>
          <w:rFonts w:eastAsia="MS Mincho"/>
          <w:bCs/>
          <w:szCs w:val="24"/>
          <w:lang w:eastAsia="ja-JP"/>
        </w:rPr>
        <w:t xml:space="preserve"> be provided </w:t>
      </w:r>
      <w:r w:rsidR="004E495F" w:rsidRPr="001C76DC">
        <w:rPr>
          <w:rFonts w:eastAsia="MS Mincho"/>
          <w:bCs/>
          <w:szCs w:val="24"/>
          <w:lang w:eastAsia="ja-JP"/>
        </w:rPr>
        <w:t xml:space="preserve">with </w:t>
      </w:r>
      <w:r w:rsidR="007540CC" w:rsidRPr="001C76DC">
        <w:rPr>
          <w:rFonts w:eastAsia="MS Mincho"/>
          <w:bCs/>
          <w:szCs w:val="24"/>
          <w:lang w:eastAsia="ja-JP"/>
        </w:rPr>
        <w:t xml:space="preserve">an opportunity to beat the ownership score. </w:t>
      </w:r>
    </w:p>
    <w:p w14:paraId="15A9ED25" w14:textId="47C659FA" w:rsidR="007540CC" w:rsidRPr="001C76DC" w:rsidRDefault="00663E64" w:rsidP="00523449">
      <w:pPr>
        <w:pStyle w:val="ListParagraph"/>
        <w:numPr>
          <w:ilvl w:val="1"/>
          <w:numId w:val="33"/>
        </w:numPr>
        <w:spacing w:line="480" w:lineRule="auto"/>
        <w:ind w:left="0" w:hanging="540"/>
        <w:rPr>
          <w:rFonts w:eastAsia="MS Mincho"/>
          <w:bCs/>
          <w:szCs w:val="24"/>
          <w:lang w:eastAsia="ja-JP"/>
        </w:rPr>
      </w:pPr>
      <w:r>
        <w:t xml:space="preserve">            </w:t>
      </w:r>
      <w:r w:rsidR="007540CC" w:rsidRPr="001C76DC">
        <w:rPr>
          <w:rFonts w:eastAsia="MS Mincho"/>
          <w:bCs/>
          <w:szCs w:val="24"/>
          <w:lang w:eastAsia="ja-JP"/>
        </w:rPr>
        <w:t>NIPPC derived this proposal from bidding processes that occur in other situations where one of the bidders has an inherent conflict of interest.  In other areas of the law, such as bankruptcy and corporate acquisitions, a “conflict-of-inter</w:t>
      </w:r>
      <w:r w:rsidR="005829C8" w:rsidRPr="001C76DC">
        <w:rPr>
          <w:rFonts w:eastAsia="MS Mincho"/>
          <w:bCs/>
          <w:szCs w:val="24"/>
          <w:lang w:eastAsia="ja-JP"/>
        </w:rPr>
        <w:t>est proposal” like that of a utility owned</w:t>
      </w:r>
      <w:r w:rsidR="007540CC" w:rsidRPr="001C76DC">
        <w:rPr>
          <w:rFonts w:eastAsia="MS Mincho"/>
          <w:bCs/>
          <w:szCs w:val="24"/>
          <w:lang w:eastAsia="ja-JP"/>
        </w:rPr>
        <w:t xml:space="preserve"> bid </w:t>
      </w:r>
      <w:r w:rsidR="00091BC4" w:rsidRPr="001C76DC">
        <w:rPr>
          <w:rFonts w:eastAsia="MS Mincho"/>
          <w:bCs/>
          <w:szCs w:val="24"/>
          <w:lang w:eastAsia="ja-JP"/>
        </w:rPr>
        <w:t xml:space="preserve">here requires special treatment.  </w:t>
      </w:r>
      <w:r w:rsidR="00EC0362" w:rsidRPr="001C76DC">
        <w:rPr>
          <w:rFonts w:eastAsia="MS Mincho"/>
          <w:bCs/>
          <w:szCs w:val="24"/>
          <w:lang w:eastAsia="ja-JP"/>
        </w:rPr>
        <w:t xml:space="preserve">Both bankruptcy and company purchases/mergers include situations in which there is a risk that management or owners may have divided loyalties, which are explicitly recognized and formally protected against.  </w:t>
      </w:r>
      <w:r w:rsidR="00091BC4" w:rsidRPr="001C76DC">
        <w:rPr>
          <w:rFonts w:eastAsia="MS Mincho"/>
          <w:bCs/>
          <w:szCs w:val="24"/>
          <w:lang w:eastAsia="ja-JP"/>
        </w:rPr>
        <w:t xml:space="preserve">This is accomplished </w:t>
      </w:r>
      <w:r w:rsidR="00997BCE" w:rsidRPr="001C76DC">
        <w:rPr>
          <w:rFonts w:eastAsia="MS Mincho"/>
          <w:bCs/>
          <w:szCs w:val="24"/>
          <w:lang w:eastAsia="ja-JP"/>
        </w:rPr>
        <w:t xml:space="preserve">by requiring </w:t>
      </w:r>
      <w:r w:rsidR="007540CC" w:rsidRPr="001C76DC">
        <w:rPr>
          <w:rFonts w:eastAsia="MS Mincho"/>
          <w:bCs/>
          <w:szCs w:val="24"/>
          <w:lang w:eastAsia="ja-JP"/>
        </w:rPr>
        <w:t xml:space="preserve">the </w:t>
      </w:r>
      <w:r w:rsidR="00595F9B" w:rsidRPr="001C76DC">
        <w:rPr>
          <w:rFonts w:eastAsia="MS Mincho"/>
          <w:bCs/>
          <w:szCs w:val="24"/>
          <w:lang w:eastAsia="ja-JP"/>
        </w:rPr>
        <w:t>conflict-of-interest proposal</w:t>
      </w:r>
      <w:r w:rsidR="007540CC" w:rsidRPr="001C76DC">
        <w:rPr>
          <w:rFonts w:eastAsia="MS Mincho"/>
          <w:bCs/>
          <w:szCs w:val="24"/>
          <w:lang w:eastAsia="ja-JP"/>
        </w:rPr>
        <w:t xml:space="preserve"> </w:t>
      </w:r>
      <w:r w:rsidR="00997BCE" w:rsidRPr="001C76DC">
        <w:rPr>
          <w:rFonts w:eastAsia="MS Mincho"/>
          <w:bCs/>
          <w:szCs w:val="24"/>
          <w:lang w:eastAsia="ja-JP"/>
        </w:rPr>
        <w:t xml:space="preserve">be </w:t>
      </w:r>
      <w:r w:rsidR="007540CC" w:rsidRPr="001C76DC">
        <w:rPr>
          <w:rFonts w:eastAsia="MS Mincho"/>
          <w:bCs/>
          <w:szCs w:val="24"/>
          <w:lang w:eastAsia="ja-JP"/>
        </w:rPr>
        <w:t>submitted first and th</w:t>
      </w:r>
      <w:r w:rsidR="00B356B3">
        <w:rPr>
          <w:rFonts w:eastAsia="MS Mincho"/>
          <w:bCs/>
          <w:szCs w:val="24"/>
          <w:lang w:eastAsia="ja-JP"/>
        </w:rPr>
        <w:t xml:space="preserve">en put out to be bid against </w:t>
      </w:r>
      <w:r w:rsidR="007540CC" w:rsidRPr="001C76DC">
        <w:rPr>
          <w:rFonts w:eastAsia="MS Mincho"/>
          <w:bCs/>
          <w:szCs w:val="24"/>
          <w:lang w:eastAsia="ja-JP"/>
        </w:rPr>
        <w:t xml:space="preserve">competitive bids. </w:t>
      </w:r>
    </w:p>
    <w:p w14:paraId="32FB5B5D" w14:textId="3042064B" w:rsidR="007540CC" w:rsidRPr="001C76DC" w:rsidRDefault="00663E64" w:rsidP="00523449">
      <w:pPr>
        <w:pStyle w:val="ListParagraph"/>
        <w:numPr>
          <w:ilvl w:val="1"/>
          <w:numId w:val="33"/>
        </w:numPr>
        <w:spacing w:line="480" w:lineRule="auto"/>
        <w:ind w:left="0" w:hanging="540"/>
        <w:rPr>
          <w:rFonts w:eastAsia="MS Mincho"/>
          <w:bCs/>
          <w:szCs w:val="24"/>
          <w:lang w:eastAsia="ja-JP"/>
        </w:rPr>
      </w:pPr>
      <w:r>
        <w:t xml:space="preserve">            </w:t>
      </w:r>
      <w:r w:rsidR="007540CC" w:rsidRPr="001C76DC">
        <w:rPr>
          <w:rFonts w:eastAsia="MS Mincho"/>
          <w:bCs/>
          <w:szCs w:val="24"/>
          <w:lang w:eastAsia="ja-JP"/>
        </w:rPr>
        <w:t>There are obvious conflicts when an entity with special knowledge (e.g., a majority shareholder or management) wants to purchase or merge with a public corporation.  A way “to sanitize” the transaction from its inherent conflict be</w:t>
      </w:r>
      <w:r w:rsidR="005829C8" w:rsidRPr="001C76DC">
        <w:rPr>
          <w:rFonts w:eastAsia="MS Mincho"/>
          <w:bCs/>
          <w:szCs w:val="24"/>
          <w:lang w:eastAsia="ja-JP"/>
        </w:rPr>
        <w:t>t</w:t>
      </w:r>
      <w:r w:rsidR="007540CC" w:rsidRPr="001C76DC">
        <w:rPr>
          <w:rFonts w:eastAsia="MS Mincho"/>
          <w:bCs/>
          <w:szCs w:val="24"/>
          <w:lang w:eastAsia="ja-JP"/>
        </w:rPr>
        <w:t xml:space="preserve">ween members of management that have had a conflict of interest with shareholders is to include a “go shop” clause.  First, the insider transaction can be fully negotiated to definitive agreements and conditionally approved by the board.  Once the “target” opportunity is made clear, then it is fully disclosed and there is a limited time period in which other offers </w:t>
      </w:r>
      <w:r w:rsidR="00762726">
        <w:rPr>
          <w:rFonts w:eastAsia="MS Mincho"/>
          <w:bCs/>
          <w:szCs w:val="24"/>
          <w:lang w:eastAsia="ja-JP"/>
        </w:rPr>
        <w:t>have the opportunity</w:t>
      </w:r>
      <w:r w:rsidR="007540CC" w:rsidRPr="001C76DC">
        <w:rPr>
          <w:rFonts w:eastAsia="MS Mincho"/>
          <w:bCs/>
          <w:szCs w:val="24"/>
          <w:lang w:eastAsia="ja-JP"/>
        </w:rPr>
        <w:t xml:space="preserve"> to beat the target.  If there are no better deals, then </w:t>
      </w:r>
      <w:r w:rsidR="00FF7FCC" w:rsidRPr="001C76DC">
        <w:rPr>
          <w:rFonts w:eastAsia="MS Mincho"/>
          <w:bCs/>
          <w:szCs w:val="24"/>
          <w:lang w:eastAsia="ja-JP"/>
        </w:rPr>
        <w:t xml:space="preserve">the </w:t>
      </w:r>
      <w:r w:rsidR="007540CC" w:rsidRPr="001C76DC">
        <w:rPr>
          <w:rFonts w:eastAsia="MS Mincho"/>
          <w:bCs/>
          <w:szCs w:val="24"/>
          <w:lang w:eastAsia="ja-JP"/>
        </w:rPr>
        <w:t>insider’s target offer can be accepted.</w:t>
      </w:r>
    </w:p>
    <w:p w14:paraId="6FECDE17" w14:textId="60C296C3" w:rsidR="007540CC" w:rsidRPr="001C76DC" w:rsidRDefault="00663E64" w:rsidP="00523449">
      <w:pPr>
        <w:pStyle w:val="ListParagraph"/>
        <w:numPr>
          <w:ilvl w:val="1"/>
          <w:numId w:val="33"/>
        </w:numPr>
        <w:spacing w:line="480" w:lineRule="auto"/>
        <w:ind w:left="0" w:hanging="540"/>
        <w:rPr>
          <w:rFonts w:eastAsia="MS Mincho"/>
          <w:bCs/>
          <w:szCs w:val="24"/>
          <w:lang w:eastAsia="ja-JP"/>
        </w:rPr>
      </w:pPr>
      <w:r>
        <w:t xml:space="preserve">            </w:t>
      </w:r>
      <w:r w:rsidR="007540CC" w:rsidRPr="001C76DC">
        <w:rPr>
          <w:rFonts w:eastAsia="MS Mincho"/>
          <w:bCs/>
          <w:szCs w:val="24"/>
          <w:lang w:eastAsia="ja-JP"/>
        </w:rPr>
        <w:t xml:space="preserve">Bankruptcy proceedings use the concept of a “stalking horse offer,” which can </w:t>
      </w:r>
      <w:r w:rsidR="009134FF" w:rsidRPr="001C76DC">
        <w:rPr>
          <w:rFonts w:eastAsia="MS Mincho"/>
          <w:bCs/>
          <w:szCs w:val="24"/>
          <w:lang w:eastAsia="ja-JP"/>
        </w:rPr>
        <w:t>militate</w:t>
      </w:r>
      <w:r w:rsidR="007540CC" w:rsidRPr="001C76DC">
        <w:rPr>
          <w:rFonts w:eastAsia="MS Mincho"/>
          <w:bCs/>
          <w:szCs w:val="24"/>
          <w:lang w:eastAsia="ja-JP"/>
        </w:rPr>
        <w:t xml:space="preserve"> against potential conflicts of interest.</w:t>
      </w:r>
      <w:r w:rsidR="00BA49CF" w:rsidRPr="001C76DC">
        <w:rPr>
          <w:rFonts w:eastAsia="MS Mincho"/>
          <w:bCs/>
          <w:szCs w:val="24"/>
          <w:lang w:eastAsia="ja-JP"/>
        </w:rPr>
        <w:t xml:space="preserve"> </w:t>
      </w:r>
      <w:r w:rsidR="007540CC" w:rsidRPr="001C76DC">
        <w:rPr>
          <w:rFonts w:eastAsia="MS Mincho"/>
          <w:bCs/>
          <w:szCs w:val="24"/>
          <w:lang w:eastAsia="ja-JP"/>
        </w:rPr>
        <w:t xml:space="preserve"> When a company is bankrupt, a common approach is to have auction or bid, and sell to the highest bidder.  The stalking horse offer is when a debtor tests the market in advance of an auction.  For various reasons, the </w:t>
      </w:r>
      <w:r w:rsidR="007540CC" w:rsidRPr="001C76DC">
        <w:rPr>
          <w:rFonts w:eastAsia="MS Mincho"/>
          <w:bCs/>
          <w:szCs w:val="24"/>
          <w:lang w:eastAsia="ja-JP"/>
        </w:rPr>
        <w:lastRenderedPageBreak/>
        <w:t>debtor company often thinks it can get a better outcome by</w:t>
      </w:r>
      <w:r w:rsidR="00A14A89" w:rsidRPr="001C76DC">
        <w:rPr>
          <w:rFonts w:eastAsia="MS Mincho"/>
          <w:bCs/>
          <w:szCs w:val="24"/>
          <w:lang w:eastAsia="ja-JP"/>
        </w:rPr>
        <w:t xml:space="preserve"> privately</w:t>
      </w:r>
      <w:r w:rsidR="007540CC" w:rsidRPr="001C76DC">
        <w:rPr>
          <w:rFonts w:eastAsia="MS Mincho"/>
          <w:bCs/>
          <w:szCs w:val="24"/>
          <w:lang w:eastAsia="ja-JP"/>
        </w:rPr>
        <w:t xml:space="preserve"> negotiating a transaction with a strategic or selected bidder, wh</w:t>
      </w:r>
      <w:r w:rsidR="00A14A89" w:rsidRPr="001C76DC">
        <w:rPr>
          <w:rFonts w:eastAsia="MS Mincho"/>
          <w:bCs/>
          <w:szCs w:val="24"/>
          <w:lang w:eastAsia="ja-JP"/>
        </w:rPr>
        <w:t>o</w:t>
      </w:r>
      <w:r w:rsidR="007540CC" w:rsidRPr="001C76DC">
        <w:rPr>
          <w:rFonts w:eastAsia="MS Mincho"/>
          <w:bCs/>
          <w:szCs w:val="24"/>
          <w:lang w:eastAsia="ja-JP"/>
        </w:rPr>
        <w:t xml:space="preserve"> may have a conflict of interest.  </w:t>
      </w:r>
      <w:r w:rsidR="00E54D0D" w:rsidRPr="001C76DC">
        <w:rPr>
          <w:rFonts w:eastAsia="MS Mincho"/>
          <w:bCs/>
          <w:szCs w:val="24"/>
          <w:lang w:eastAsia="ja-JP"/>
        </w:rPr>
        <w:t>If a</w:t>
      </w:r>
      <w:r w:rsidR="007540CC" w:rsidRPr="001C76DC">
        <w:rPr>
          <w:rFonts w:eastAsia="MS Mincho"/>
          <w:bCs/>
          <w:szCs w:val="24"/>
          <w:lang w:eastAsia="ja-JP"/>
        </w:rPr>
        <w:t xml:space="preserve"> stalking horse offer is negotiated</w:t>
      </w:r>
      <w:r w:rsidR="00E54D0D" w:rsidRPr="001C76DC">
        <w:rPr>
          <w:rFonts w:eastAsia="MS Mincho"/>
          <w:bCs/>
          <w:szCs w:val="24"/>
          <w:lang w:eastAsia="ja-JP"/>
        </w:rPr>
        <w:t>,</w:t>
      </w:r>
      <w:r w:rsidR="007540CC" w:rsidRPr="001C76DC">
        <w:rPr>
          <w:rFonts w:eastAsia="MS Mincho"/>
          <w:bCs/>
          <w:szCs w:val="24"/>
          <w:lang w:eastAsia="ja-JP"/>
        </w:rPr>
        <w:t xml:space="preserve"> then other parties are encouraged to submit more favorable bids.  </w:t>
      </w:r>
    </w:p>
    <w:p w14:paraId="6D111A5B" w14:textId="241E951A" w:rsidR="007540CC" w:rsidRPr="001C76DC" w:rsidRDefault="00663E64" w:rsidP="00523449">
      <w:pPr>
        <w:pStyle w:val="ListParagraph"/>
        <w:numPr>
          <w:ilvl w:val="1"/>
          <w:numId w:val="33"/>
        </w:numPr>
        <w:spacing w:line="480" w:lineRule="auto"/>
        <w:ind w:left="0" w:hanging="540"/>
        <w:rPr>
          <w:rFonts w:eastAsia="MS Mincho"/>
          <w:bCs/>
          <w:szCs w:val="24"/>
          <w:lang w:eastAsia="ja-JP"/>
        </w:rPr>
      </w:pPr>
      <w:r>
        <w:t xml:space="preserve">            </w:t>
      </w:r>
      <w:r w:rsidR="007540CC" w:rsidRPr="001C76DC">
        <w:rPr>
          <w:rFonts w:eastAsia="MS Mincho"/>
          <w:bCs/>
          <w:szCs w:val="24"/>
          <w:lang w:eastAsia="ja-JP"/>
        </w:rPr>
        <w:t>Similar measures can be taken in the</w:t>
      </w:r>
      <w:r w:rsidR="00740D6A" w:rsidRPr="001C76DC">
        <w:rPr>
          <w:rFonts w:eastAsia="MS Mincho"/>
          <w:bCs/>
          <w:szCs w:val="24"/>
          <w:lang w:eastAsia="ja-JP"/>
        </w:rPr>
        <w:t xml:space="preserve"> utility</w:t>
      </w:r>
      <w:r w:rsidR="007540CC" w:rsidRPr="001C76DC">
        <w:rPr>
          <w:rFonts w:eastAsia="MS Mincho"/>
          <w:bCs/>
          <w:szCs w:val="24"/>
          <w:lang w:eastAsia="ja-JP"/>
        </w:rPr>
        <w:t xml:space="preserve"> competitive bidding approach, </w:t>
      </w:r>
      <w:r w:rsidR="004D2C39" w:rsidRPr="001C76DC">
        <w:rPr>
          <w:rFonts w:eastAsia="MS Mincho"/>
          <w:bCs/>
          <w:szCs w:val="24"/>
          <w:lang w:eastAsia="ja-JP"/>
        </w:rPr>
        <w:t>in which there could be</w:t>
      </w:r>
      <w:r w:rsidR="007540CC" w:rsidRPr="001C76DC">
        <w:rPr>
          <w:rFonts w:eastAsia="MS Mincho"/>
          <w:bCs/>
          <w:szCs w:val="24"/>
          <w:lang w:eastAsia="ja-JP"/>
        </w:rPr>
        <w:t xml:space="preserve"> a </w:t>
      </w:r>
      <w:r w:rsidR="004D2C39" w:rsidRPr="001C76DC">
        <w:rPr>
          <w:rFonts w:eastAsia="MS Mincho"/>
          <w:bCs/>
          <w:szCs w:val="24"/>
          <w:lang w:eastAsia="ja-JP"/>
        </w:rPr>
        <w:t xml:space="preserve">similar </w:t>
      </w:r>
      <w:r w:rsidR="007540CC" w:rsidRPr="001C76DC">
        <w:rPr>
          <w:rFonts w:eastAsia="MS Mincho"/>
          <w:bCs/>
          <w:szCs w:val="24"/>
          <w:lang w:eastAsia="ja-JP"/>
        </w:rPr>
        <w:t>two stage bidding process in which the utility</w:t>
      </w:r>
      <w:r w:rsidR="004D2C39" w:rsidRPr="001C76DC">
        <w:rPr>
          <w:rFonts w:eastAsia="MS Mincho"/>
          <w:bCs/>
          <w:szCs w:val="24"/>
          <w:lang w:eastAsia="ja-JP"/>
        </w:rPr>
        <w:t xml:space="preserve"> owned generation options </w:t>
      </w:r>
      <w:r w:rsidR="007540CC" w:rsidRPr="001C76DC">
        <w:rPr>
          <w:rFonts w:eastAsia="MS Mincho"/>
          <w:bCs/>
          <w:szCs w:val="24"/>
          <w:lang w:eastAsia="ja-JP"/>
        </w:rPr>
        <w:t xml:space="preserve">provide the price to beat for power purchase agreement bids.  The first stage of the RFP should have only utility owned generation options. </w:t>
      </w:r>
      <w:r w:rsidR="00E54D0D" w:rsidRPr="001C76DC">
        <w:rPr>
          <w:rFonts w:eastAsia="MS Mincho"/>
          <w:bCs/>
          <w:szCs w:val="24"/>
          <w:lang w:eastAsia="ja-JP"/>
        </w:rPr>
        <w:t xml:space="preserve"> </w:t>
      </w:r>
      <w:r w:rsidR="007540CC" w:rsidRPr="001C76DC">
        <w:rPr>
          <w:rFonts w:eastAsia="MS Mincho"/>
          <w:bCs/>
          <w:szCs w:val="24"/>
          <w:lang w:eastAsia="ja-JP"/>
        </w:rPr>
        <w:t>After the determination of the lowest cost utility owned generation bid, the utility w</w:t>
      </w:r>
      <w:r w:rsidR="00E54D0D" w:rsidRPr="001C76DC">
        <w:rPr>
          <w:rFonts w:eastAsia="MS Mincho"/>
          <w:bCs/>
          <w:szCs w:val="24"/>
          <w:lang w:eastAsia="ja-JP"/>
        </w:rPr>
        <w:t>ould then</w:t>
      </w:r>
      <w:r w:rsidR="007540CC" w:rsidRPr="001C76DC">
        <w:rPr>
          <w:rFonts w:eastAsia="MS Mincho"/>
          <w:bCs/>
          <w:szCs w:val="24"/>
          <w:lang w:eastAsia="ja-JP"/>
        </w:rPr>
        <w:t xml:space="preserve"> publish to all bidders the lowest cost price, including both a price score represented as a levelized price per year for different </w:t>
      </w:r>
      <w:r w:rsidR="00BA49CF" w:rsidRPr="001C76DC">
        <w:rPr>
          <w:rFonts w:eastAsia="MS Mincho"/>
          <w:bCs/>
          <w:szCs w:val="24"/>
          <w:lang w:eastAsia="ja-JP"/>
        </w:rPr>
        <w:t>PPA</w:t>
      </w:r>
      <w:r w:rsidR="007540CC" w:rsidRPr="001C76DC">
        <w:rPr>
          <w:rFonts w:eastAsia="MS Mincho"/>
          <w:bCs/>
          <w:szCs w:val="24"/>
          <w:lang w:eastAsia="ja-JP"/>
        </w:rPr>
        <w:t xml:space="preserve"> or tolling agreement terms and </w:t>
      </w:r>
      <w:r w:rsidR="00755590" w:rsidRPr="001C76DC">
        <w:rPr>
          <w:rFonts w:eastAsia="MS Mincho"/>
          <w:bCs/>
          <w:szCs w:val="24"/>
          <w:lang w:eastAsia="ja-JP"/>
        </w:rPr>
        <w:t>any applicable non-price scores.  Th</w:t>
      </w:r>
      <w:r w:rsidR="00E54D0D" w:rsidRPr="001C76DC">
        <w:rPr>
          <w:rFonts w:eastAsia="MS Mincho"/>
          <w:bCs/>
          <w:szCs w:val="24"/>
          <w:lang w:eastAsia="ja-JP"/>
        </w:rPr>
        <w:t xml:space="preserve">at price is the standard </w:t>
      </w:r>
      <w:r w:rsidR="007540CC" w:rsidRPr="001C76DC">
        <w:rPr>
          <w:rFonts w:eastAsia="MS Mincho"/>
          <w:bCs/>
          <w:szCs w:val="24"/>
          <w:lang w:eastAsia="ja-JP"/>
        </w:rPr>
        <w:t>to beat by non-utility owned generation bidders.</w:t>
      </w:r>
      <w:r w:rsidR="00454D89">
        <w:rPr>
          <w:rStyle w:val="FootnoteReference"/>
          <w:rFonts w:eastAsia="MS Mincho"/>
          <w:bCs/>
          <w:szCs w:val="24"/>
          <w:lang w:eastAsia="ja-JP"/>
        </w:rPr>
        <w:footnoteReference w:id="70"/>
      </w:r>
      <w:r w:rsidR="007540CC" w:rsidRPr="001C76DC">
        <w:rPr>
          <w:rFonts w:eastAsia="MS Mincho"/>
          <w:bCs/>
          <w:szCs w:val="24"/>
          <w:lang w:eastAsia="ja-JP"/>
        </w:rPr>
        <w:t xml:space="preserve"> </w:t>
      </w:r>
    </w:p>
    <w:p w14:paraId="14866841" w14:textId="6018AF68" w:rsidR="0032013B" w:rsidRPr="001C76DC" w:rsidRDefault="00663E64" w:rsidP="00523449">
      <w:pPr>
        <w:pStyle w:val="ListParagraph"/>
        <w:numPr>
          <w:ilvl w:val="1"/>
          <w:numId w:val="33"/>
        </w:numPr>
        <w:spacing w:line="480" w:lineRule="auto"/>
        <w:ind w:left="0" w:hanging="540"/>
        <w:rPr>
          <w:rFonts w:eastAsia="MS Mincho"/>
          <w:bCs/>
          <w:szCs w:val="24"/>
          <w:lang w:eastAsia="ja-JP"/>
        </w:rPr>
      </w:pPr>
      <w:r>
        <w:t xml:space="preserve">            </w:t>
      </w:r>
      <w:r w:rsidR="00382FA2" w:rsidRPr="001C76DC">
        <w:rPr>
          <w:rFonts w:eastAsia="MS Mincho"/>
          <w:bCs/>
          <w:szCs w:val="24"/>
          <w:lang w:eastAsia="ja-JP"/>
        </w:rPr>
        <w:t>This</w:t>
      </w:r>
      <w:r w:rsidR="00C52A20" w:rsidRPr="001C76DC">
        <w:rPr>
          <w:rFonts w:eastAsia="MS Mincho"/>
          <w:bCs/>
          <w:szCs w:val="24"/>
          <w:lang w:eastAsia="ja-JP"/>
        </w:rPr>
        <w:t xml:space="preserve"> process </w:t>
      </w:r>
      <w:r w:rsidR="00382FA2" w:rsidRPr="001C76DC">
        <w:rPr>
          <w:rFonts w:eastAsia="MS Mincho"/>
          <w:bCs/>
          <w:szCs w:val="24"/>
          <w:lang w:eastAsia="ja-JP"/>
        </w:rPr>
        <w:t>can</w:t>
      </w:r>
      <w:r w:rsidR="00C52A20" w:rsidRPr="001C76DC">
        <w:rPr>
          <w:rFonts w:eastAsia="MS Mincho"/>
          <w:bCs/>
          <w:szCs w:val="24"/>
          <w:lang w:eastAsia="ja-JP"/>
        </w:rPr>
        <w:t xml:space="preserve"> protect ratepayers and </w:t>
      </w:r>
      <w:r w:rsidR="00382FA2" w:rsidRPr="001C76DC">
        <w:rPr>
          <w:rFonts w:eastAsia="MS Mincho"/>
          <w:bCs/>
          <w:szCs w:val="24"/>
          <w:lang w:eastAsia="ja-JP"/>
        </w:rPr>
        <w:t xml:space="preserve">help </w:t>
      </w:r>
      <w:r w:rsidR="00C52A20" w:rsidRPr="001C76DC">
        <w:rPr>
          <w:rFonts w:eastAsia="MS Mincho"/>
          <w:bCs/>
          <w:szCs w:val="24"/>
          <w:lang w:eastAsia="ja-JP"/>
        </w:rPr>
        <w:t xml:space="preserve">obtain the least cost/risk generation </w:t>
      </w:r>
      <w:r w:rsidR="00382FA2" w:rsidRPr="001C76DC">
        <w:rPr>
          <w:rFonts w:eastAsia="MS Mincho"/>
          <w:bCs/>
          <w:szCs w:val="24"/>
          <w:lang w:eastAsia="ja-JP"/>
        </w:rPr>
        <w:t>because the</w:t>
      </w:r>
      <w:r w:rsidR="007540CC" w:rsidRPr="001C76DC">
        <w:rPr>
          <w:rFonts w:eastAsia="MS Mincho"/>
          <w:bCs/>
          <w:szCs w:val="24"/>
          <w:lang w:eastAsia="ja-JP"/>
        </w:rPr>
        <w:t xml:space="preserve"> utility will not know the </w:t>
      </w:r>
      <w:r w:rsidR="00382FA2" w:rsidRPr="001C76DC">
        <w:rPr>
          <w:rFonts w:eastAsia="MS Mincho"/>
          <w:bCs/>
          <w:szCs w:val="24"/>
          <w:lang w:eastAsia="ja-JP"/>
        </w:rPr>
        <w:t xml:space="preserve">price of the </w:t>
      </w:r>
      <w:r w:rsidR="007540CC" w:rsidRPr="001C76DC">
        <w:rPr>
          <w:rFonts w:eastAsia="MS Mincho"/>
          <w:bCs/>
          <w:szCs w:val="24"/>
          <w:lang w:eastAsia="ja-JP"/>
        </w:rPr>
        <w:t xml:space="preserve">competing </w:t>
      </w:r>
      <w:r w:rsidR="00DE51F6" w:rsidRPr="001C76DC">
        <w:rPr>
          <w:rFonts w:eastAsia="MS Mincho"/>
          <w:bCs/>
          <w:szCs w:val="24"/>
          <w:lang w:eastAsia="ja-JP"/>
        </w:rPr>
        <w:t>PPA</w:t>
      </w:r>
      <w:r w:rsidR="007540CC" w:rsidRPr="001C76DC">
        <w:rPr>
          <w:rFonts w:eastAsia="MS Mincho"/>
          <w:bCs/>
          <w:szCs w:val="24"/>
          <w:lang w:eastAsia="ja-JP"/>
        </w:rPr>
        <w:t xml:space="preserve"> bids at the time the utility owned bids are scored,</w:t>
      </w:r>
      <w:r w:rsidR="006311E1" w:rsidRPr="001C76DC">
        <w:rPr>
          <w:rFonts w:eastAsia="MS Mincho"/>
          <w:bCs/>
          <w:szCs w:val="24"/>
          <w:lang w:eastAsia="ja-JP"/>
        </w:rPr>
        <w:t xml:space="preserve"> thus making </w:t>
      </w:r>
      <w:r w:rsidR="007540CC" w:rsidRPr="001C76DC">
        <w:rPr>
          <w:rFonts w:eastAsia="MS Mincho"/>
          <w:bCs/>
          <w:szCs w:val="24"/>
          <w:lang w:eastAsia="ja-JP"/>
        </w:rPr>
        <w:t xml:space="preserve">the bidding process more fair and transparent.  As there will </w:t>
      </w:r>
      <w:r w:rsidR="006311E1" w:rsidRPr="001C76DC">
        <w:rPr>
          <w:rFonts w:eastAsia="MS Mincho"/>
          <w:bCs/>
          <w:szCs w:val="24"/>
          <w:lang w:eastAsia="ja-JP"/>
        </w:rPr>
        <w:t xml:space="preserve">likely </w:t>
      </w:r>
      <w:r w:rsidR="007540CC" w:rsidRPr="001C76DC">
        <w:rPr>
          <w:rFonts w:eastAsia="MS Mincho"/>
          <w:bCs/>
          <w:szCs w:val="24"/>
          <w:lang w:eastAsia="ja-JP"/>
        </w:rPr>
        <w:t xml:space="preserve">be multiple </w:t>
      </w:r>
      <w:r w:rsidR="00DE51F6" w:rsidRPr="001C76DC">
        <w:rPr>
          <w:rFonts w:eastAsia="MS Mincho"/>
          <w:bCs/>
          <w:szCs w:val="24"/>
          <w:lang w:eastAsia="ja-JP"/>
        </w:rPr>
        <w:t>PPA</w:t>
      </w:r>
      <w:r w:rsidR="007540CC" w:rsidRPr="001C76DC">
        <w:rPr>
          <w:rFonts w:eastAsia="MS Mincho"/>
          <w:bCs/>
          <w:szCs w:val="24"/>
          <w:lang w:eastAsia="ja-JP"/>
        </w:rPr>
        <w:t xml:space="preserve"> bids, non-utility ownership bids will still have an incentive</w:t>
      </w:r>
      <w:r w:rsidR="00F7232B">
        <w:rPr>
          <w:rFonts w:eastAsia="MS Mincho"/>
          <w:bCs/>
          <w:szCs w:val="24"/>
          <w:lang w:eastAsia="ja-JP"/>
        </w:rPr>
        <w:t xml:space="preserve"> to propose the lowest cost.  W</w:t>
      </w:r>
      <w:r w:rsidR="007540CC" w:rsidRPr="001C76DC">
        <w:rPr>
          <w:rFonts w:eastAsia="MS Mincho"/>
          <w:bCs/>
          <w:szCs w:val="24"/>
          <w:lang w:eastAsia="ja-JP"/>
        </w:rPr>
        <w:t>hile non-price factors should be minimized, the total bid score will be based on both price and non-price factors to achieve the lowest cost and risk option.  Finally, the utility will still engage</w:t>
      </w:r>
      <w:r w:rsidR="00DE51F6" w:rsidRPr="001C76DC">
        <w:rPr>
          <w:rFonts w:eastAsia="MS Mincho"/>
          <w:bCs/>
          <w:szCs w:val="24"/>
          <w:lang w:eastAsia="ja-JP"/>
        </w:rPr>
        <w:t xml:space="preserve"> in a negotiation process with</w:t>
      </w:r>
      <w:r w:rsidR="00F7232B">
        <w:rPr>
          <w:rFonts w:eastAsia="MS Mincho"/>
          <w:bCs/>
          <w:szCs w:val="24"/>
          <w:lang w:eastAsia="ja-JP"/>
        </w:rPr>
        <w:t xml:space="preserve"> the</w:t>
      </w:r>
      <w:r w:rsidR="00772644" w:rsidRPr="001C76DC">
        <w:rPr>
          <w:rFonts w:eastAsia="MS Mincho"/>
          <w:bCs/>
          <w:szCs w:val="24"/>
          <w:lang w:eastAsia="ja-JP"/>
        </w:rPr>
        <w:t xml:space="preserve"> bid</w:t>
      </w:r>
      <w:r w:rsidR="006311E1" w:rsidRPr="001C76DC">
        <w:rPr>
          <w:rFonts w:eastAsia="MS Mincho"/>
          <w:bCs/>
          <w:szCs w:val="24"/>
          <w:lang w:eastAsia="ja-JP"/>
        </w:rPr>
        <w:t>ders on the short list</w:t>
      </w:r>
      <w:r w:rsidR="007540CC" w:rsidRPr="001C76DC">
        <w:rPr>
          <w:rFonts w:eastAsia="MS Mincho"/>
          <w:bCs/>
          <w:szCs w:val="24"/>
          <w:lang w:eastAsia="ja-JP"/>
        </w:rPr>
        <w:t xml:space="preserve">, which will </w:t>
      </w:r>
      <w:r w:rsidR="006311E1" w:rsidRPr="001C76DC">
        <w:rPr>
          <w:rFonts w:eastAsia="MS Mincho"/>
          <w:bCs/>
          <w:szCs w:val="24"/>
          <w:lang w:eastAsia="ja-JP"/>
        </w:rPr>
        <w:t>help</w:t>
      </w:r>
      <w:r w:rsidR="007540CC" w:rsidRPr="001C76DC">
        <w:rPr>
          <w:rFonts w:eastAsia="MS Mincho"/>
          <w:bCs/>
          <w:szCs w:val="24"/>
          <w:lang w:eastAsia="ja-JP"/>
        </w:rPr>
        <w:t xml:space="preserve"> ensure the legitimacy of all bids.   </w:t>
      </w:r>
      <w:r w:rsidR="007540CC" w:rsidRPr="001C76DC">
        <w:rPr>
          <w:rFonts w:eastAsia="MS Mincho"/>
          <w:bCs/>
          <w:szCs w:val="24"/>
          <w:lang w:eastAsia="ja-JP"/>
        </w:rPr>
        <w:tab/>
      </w:r>
    </w:p>
    <w:p w14:paraId="0222BF05" w14:textId="46459945" w:rsidR="00A50471" w:rsidRPr="001C76DC" w:rsidRDefault="005829C8" w:rsidP="00663E64">
      <w:pPr>
        <w:pStyle w:val="ListParagraph"/>
        <w:ind w:left="1440" w:hanging="720"/>
        <w:rPr>
          <w:rFonts w:eastAsia="MS Mincho"/>
          <w:b/>
          <w:szCs w:val="24"/>
          <w:lang w:eastAsia="ja-JP"/>
        </w:rPr>
      </w:pPr>
      <w:r w:rsidRPr="001C76DC">
        <w:rPr>
          <w:rFonts w:eastAsia="MS Mincho"/>
          <w:b/>
          <w:szCs w:val="24"/>
          <w:lang w:eastAsia="ja-JP"/>
        </w:rPr>
        <w:lastRenderedPageBreak/>
        <w:t>C</w:t>
      </w:r>
      <w:r w:rsidR="00A50471" w:rsidRPr="001C76DC">
        <w:rPr>
          <w:rFonts w:eastAsia="MS Mincho"/>
          <w:b/>
          <w:szCs w:val="24"/>
          <w:lang w:eastAsia="ja-JP"/>
        </w:rPr>
        <w:t>.</w:t>
      </w:r>
      <w:r w:rsidR="00A50471" w:rsidRPr="001C76DC">
        <w:rPr>
          <w:rFonts w:eastAsia="MS Mincho"/>
          <w:b/>
          <w:szCs w:val="24"/>
          <w:lang w:eastAsia="ja-JP"/>
        </w:rPr>
        <w:tab/>
      </w:r>
      <w:r w:rsidR="00AD6F7A" w:rsidRPr="001C76DC">
        <w:rPr>
          <w:rFonts w:eastAsia="MS Mincho"/>
          <w:b/>
          <w:szCs w:val="24"/>
          <w:lang w:eastAsia="ja-JP"/>
        </w:rPr>
        <w:t>There Should Be a</w:t>
      </w:r>
      <w:r w:rsidR="00A50471" w:rsidRPr="001C76DC">
        <w:rPr>
          <w:rFonts w:eastAsia="MS Mincho"/>
          <w:b/>
          <w:szCs w:val="24"/>
          <w:lang w:eastAsia="ja-JP"/>
        </w:rPr>
        <w:t xml:space="preserve"> Cost Cap on New Utility Generation at the Cost of the Winning Bid in an RFP </w:t>
      </w:r>
    </w:p>
    <w:p w14:paraId="0A06CD74" w14:textId="77777777" w:rsidR="00A50471" w:rsidRPr="00A50471" w:rsidRDefault="00A50471" w:rsidP="00523449">
      <w:pPr>
        <w:ind w:hanging="540"/>
        <w:rPr>
          <w:rFonts w:eastAsia="MS Mincho"/>
          <w:szCs w:val="24"/>
          <w:lang w:eastAsia="ja-JP"/>
        </w:rPr>
      </w:pPr>
    </w:p>
    <w:p w14:paraId="30A198F4" w14:textId="04B1030B" w:rsidR="00A557B4" w:rsidRPr="001C76DC" w:rsidRDefault="00663E64" w:rsidP="00523449">
      <w:pPr>
        <w:pStyle w:val="ListParagraph"/>
        <w:numPr>
          <w:ilvl w:val="1"/>
          <w:numId w:val="33"/>
        </w:numPr>
        <w:spacing w:line="480" w:lineRule="auto"/>
        <w:ind w:left="0" w:hanging="540"/>
        <w:rPr>
          <w:rFonts w:eastAsia="MS Mincho"/>
          <w:szCs w:val="24"/>
          <w:lang w:eastAsia="ja-JP"/>
        </w:rPr>
      </w:pPr>
      <w:r>
        <w:t xml:space="preserve">            </w:t>
      </w:r>
      <w:r w:rsidR="00945696" w:rsidRPr="001C76DC">
        <w:rPr>
          <w:rFonts w:eastAsia="MS Mincho"/>
          <w:szCs w:val="24"/>
          <w:lang w:eastAsia="ja-JP"/>
        </w:rPr>
        <w:t xml:space="preserve">The Commission’s competitive bidding </w:t>
      </w:r>
      <w:r w:rsidR="005B0B02" w:rsidRPr="001C76DC">
        <w:rPr>
          <w:rFonts w:eastAsia="MS Mincho"/>
          <w:szCs w:val="24"/>
          <w:lang w:eastAsia="ja-JP"/>
        </w:rPr>
        <w:t>process</w:t>
      </w:r>
      <w:r w:rsidR="00945696" w:rsidRPr="001C76DC">
        <w:rPr>
          <w:rFonts w:eastAsia="MS Mincho"/>
          <w:szCs w:val="24"/>
          <w:lang w:eastAsia="ja-JP"/>
        </w:rPr>
        <w:t xml:space="preserve"> could reduce ratepayer exposure to cost overruns on utility owned generation</w:t>
      </w:r>
      <w:r w:rsidR="0076569B" w:rsidRPr="001C76DC">
        <w:rPr>
          <w:rFonts w:eastAsia="MS Mincho"/>
          <w:szCs w:val="24"/>
          <w:lang w:eastAsia="ja-JP"/>
        </w:rPr>
        <w:t xml:space="preserve"> with </w:t>
      </w:r>
      <w:r w:rsidR="002E1AB3" w:rsidRPr="001C76DC">
        <w:rPr>
          <w:rFonts w:eastAsia="MS Mincho"/>
          <w:szCs w:val="24"/>
          <w:lang w:eastAsia="ja-JP"/>
        </w:rPr>
        <w:t>the</w:t>
      </w:r>
      <w:r w:rsidR="0076569B" w:rsidRPr="001C76DC">
        <w:rPr>
          <w:rFonts w:eastAsia="MS Mincho"/>
          <w:szCs w:val="24"/>
          <w:lang w:eastAsia="ja-JP"/>
        </w:rPr>
        <w:t xml:space="preserve"> </w:t>
      </w:r>
      <w:r w:rsidR="002E1AB3" w:rsidRPr="001C76DC">
        <w:rPr>
          <w:rFonts w:eastAsia="MS Mincho"/>
          <w:szCs w:val="24"/>
          <w:lang w:eastAsia="ja-JP"/>
        </w:rPr>
        <w:t xml:space="preserve">simple addition of a </w:t>
      </w:r>
      <w:r w:rsidR="0076569B" w:rsidRPr="001C76DC">
        <w:rPr>
          <w:rFonts w:eastAsia="MS Mincho"/>
          <w:szCs w:val="24"/>
          <w:lang w:eastAsia="ja-JP"/>
        </w:rPr>
        <w:t>cost cap.</w:t>
      </w:r>
      <w:r w:rsidR="00B97BC5" w:rsidRPr="001C76DC">
        <w:rPr>
          <w:rFonts w:eastAsia="MS Mincho"/>
          <w:szCs w:val="24"/>
          <w:lang w:eastAsia="ja-JP"/>
        </w:rPr>
        <w:t xml:space="preserve">  </w:t>
      </w:r>
      <w:r w:rsidR="004C0169" w:rsidRPr="001C76DC">
        <w:rPr>
          <w:rFonts w:eastAsia="MS Mincho"/>
          <w:szCs w:val="24"/>
          <w:lang w:eastAsia="ja-JP"/>
        </w:rPr>
        <w:t xml:space="preserve">As mentioned above, PGE’s </w:t>
      </w:r>
      <w:r w:rsidR="00B97BC5" w:rsidRPr="001C76DC">
        <w:rPr>
          <w:rFonts w:eastAsia="MS Mincho"/>
          <w:szCs w:val="24"/>
          <w:lang w:eastAsia="ja-JP"/>
        </w:rPr>
        <w:t xml:space="preserve">estimated cost overruns on its </w:t>
      </w:r>
      <w:r w:rsidR="007D0CEB" w:rsidRPr="001C76DC">
        <w:rPr>
          <w:rFonts w:eastAsia="MS Mincho"/>
          <w:szCs w:val="24"/>
          <w:lang w:eastAsia="ja-JP"/>
        </w:rPr>
        <w:t xml:space="preserve">Carty power plant project </w:t>
      </w:r>
      <w:r w:rsidR="00997BCE" w:rsidRPr="001C76DC">
        <w:rPr>
          <w:rFonts w:eastAsia="MS Mincho"/>
          <w:szCs w:val="24"/>
          <w:lang w:eastAsia="ja-JP"/>
        </w:rPr>
        <w:t xml:space="preserve">equal </w:t>
      </w:r>
      <w:r w:rsidR="004C0169" w:rsidRPr="001C76DC">
        <w:rPr>
          <w:rFonts w:eastAsia="MS Mincho"/>
          <w:szCs w:val="24"/>
          <w:lang w:eastAsia="ja-JP"/>
        </w:rPr>
        <w:t xml:space="preserve">approximately </w:t>
      </w:r>
      <w:r w:rsidR="007D0CEB" w:rsidRPr="001C76DC">
        <w:rPr>
          <w:rFonts w:eastAsia="MS Mincho"/>
          <w:szCs w:val="24"/>
          <w:lang w:eastAsia="ja-JP"/>
        </w:rPr>
        <w:t xml:space="preserve">30 percent above the original </w:t>
      </w:r>
      <w:r w:rsidR="004B63FC" w:rsidRPr="001C76DC">
        <w:rPr>
          <w:rFonts w:eastAsia="MS Mincho"/>
          <w:szCs w:val="24"/>
          <w:lang w:eastAsia="ja-JP"/>
        </w:rPr>
        <w:t>bid</w:t>
      </w:r>
      <w:r w:rsidR="007D0CEB" w:rsidRPr="001C76DC">
        <w:rPr>
          <w:rFonts w:eastAsia="MS Mincho"/>
          <w:szCs w:val="24"/>
          <w:lang w:eastAsia="ja-JP"/>
        </w:rPr>
        <w:t xml:space="preserve"> price.</w:t>
      </w:r>
      <w:r w:rsidR="007D0CEB">
        <w:rPr>
          <w:rStyle w:val="FootnoteReference"/>
          <w:rFonts w:eastAsia="MS Mincho"/>
          <w:szCs w:val="24"/>
          <w:lang w:eastAsia="ja-JP"/>
        </w:rPr>
        <w:footnoteReference w:id="71"/>
      </w:r>
      <w:r w:rsidR="007D0CEB" w:rsidRPr="001C76DC">
        <w:rPr>
          <w:rFonts w:eastAsia="MS Mincho"/>
          <w:szCs w:val="24"/>
          <w:lang w:eastAsia="ja-JP"/>
        </w:rPr>
        <w:t xml:space="preserve"> </w:t>
      </w:r>
      <w:r w:rsidR="004C0169" w:rsidRPr="001C76DC">
        <w:rPr>
          <w:rFonts w:eastAsia="MS Mincho"/>
          <w:szCs w:val="24"/>
          <w:lang w:eastAsia="ja-JP"/>
        </w:rPr>
        <w:t xml:space="preserve"> </w:t>
      </w:r>
      <w:r w:rsidR="004B63FC" w:rsidRPr="001C76DC">
        <w:rPr>
          <w:rFonts w:eastAsia="MS Mincho"/>
          <w:szCs w:val="24"/>
          <w:lang w:eastAsia="ja-JP"/>
        </w:rPr>
        <w:t>These kind</w:t>
      </w:r>
      <w:r w:rsidR="00997BCE" w:rsidRPr="001C76DC">
        <w:rPr>
          <w:rFonts w:eastAsia="MS Mincho"/>
          <w:szCs w:val="24"/>
          <w:lang w:eastAsia="ja-JP"/>
        </w:rPr>
        <w:t>s</w:t>
      </w:r>
      <w:r w:rsidR="004B63FC" w:rsidRPr="001C76DC">
        <w:rPr>
          <w:rFonts w:eastAsia="MS Mincho"/>
          <w:szCs w:val="24"/>
          <w:lang w:eastAsia="ja-JP"/>
        </w:rPr>
        <w:t xml:space="preserve"> of exorbitant cost overruns</w:t>
      </w:r>
      <w:r w:rsidR="00A557B4" w:rsidRPr="001C76DC">
        <w:rPr>
          <w:rFonts w:eastAsia="MS Mincho"/>
          <w:szCs w:val="24"/>
          <w:lang w:eastAsia="ja-JP"/>
        </w:rPr>
        <w:t xml:space="preserve"> reflect the precise problem that </w:t>
      </w:r>
      <w:r w:rsidR="001C02E5" w:rsidRPr="001C76DC">
        <w:rPr>
          <w:rFonts w:eastAsia="MS Mincho"/>
          <w:szCs w:val="24"/>
          <w:lang w:eastAsia="ja-JP"/>
        </w:rPr>
        <w:t xml:space="preserve">effective </w:t>
      </w:r>
      <w:r w:rsidR="00A557B4" w:rsidRPr="001C76DC">
        <w:rPr>
          <w:rFonts w:eastAsia="MS Mincho"/>
          <w:szCs w:val="24"/>
          <w:lang w:eastAsia="ja-JP"/>
        </w:rPr>
        <w:t xml:space="preserve">competitive bidding rules should address. </w:t>
      </w:r>
    </w:p>
    <w:p w14:paraId="7C83AD01" w14:textId="234CCDDE" w:rsidR="00813E25" w:rsidRPr="001C76DC" w:rsidRDefault="00663E64" w:rsidP="00523449">
      <w:pPr>
        <w:pStyle w:val="ListParagraph"/>
        <w:numPr>
          <w:ilvl w:val="1"/>
          <w:numId w:val="33"/>
        </w:numPr>
        <w:spacing w:line="480" w:lineRule="auto"/>
        <w:ind w:left="0" w:hanging="540"/>
        <w:rPr>
          <w:rFonts w:eastAsia="MS Mincho"/>
          <w:szCs w:val="24"/>
          <w:lang w:eastAsia="ja-JP"/>
        </w:rPr>
      </w:pPr>
      <w:r>
        <w:t xml:space="preserve">            </w:t>
      </w:r>
      <w:r w:rsidR="00262AAD" w:rsidRPr="001C76DC">
        <w:rPr>
          <w:rFonts w:eastAsia="MS Mincho"/>
          <w:szCs w:val="24"/>
          <w:lang w:eastAsia="ja-JP"/>
        </w:rPr>
        <w:t>Additionally</w:t>
      </w:r>
      <w:r w:rsidR="00945696" w:rsidRPr="001C76DC">
        <w:rPr>
          <w:rFonts w:eastAsia="MS Mincho"/>
          <w:szCs w:val="24"/>
          <w:lang w:eastAsia="ja-JP"/>
        </w:rPr>
        <w:t>,</w:t>
      </w:r>
      <w:r w:rsidR="0076569B" w:rsidRPr="001C76DC">
        <w:rPr>
          <w:rFonts w:eastAsia="MS Mincho"/>
          <w:szCs w:val="24"/>
          <w:lang w:eastAsia="ja-JP"/>
        </w:rPr>
        <w:t xml:space="preserve"> the risk differential</w:t>
      </w:r>
      <w:r w:rsidR="007364A4" w:rsidRPr="001C76DC">
        <w:rPr>
          <w:rFonts w:eastAsia="MS Mincho"/>
          <w:szCs w:val="24"/>
          <w:lang w:eastAsia="ja-JP"/>
        </w:rPr>
        <w:t>s</w:t>
      </w:r>
      <w:r w:rsidR="0076569B" w:rsidRPr="001C76DC">
        <w:rPr>
          <w:rFonts w:eastAsia="MS Mincho"/>
          <w:szCs w:val="24"/>
          <w:lang w:eastAsia="ja-JP"/>
        </w:rPr>
        <w:t xml:space="preserve"> between utility owned generati</w:t>
      </w:r>
      <w:r w:rsidR="002E1AB3" w:rsidRPr="001C76DC">
        <w:rPr>
          <w:rFonts w:eastAsia="MS Mincho"/>
          <w:szCs w:val="24"/>
          <w:lang w:eastAsia="ja-JP"/>
        </w:rPr>
        <w:t xml:space="preserve">on and PPAs is not accounted for in the Commission’s process, which leads to ranking and selection skewed in favor of utility ownership.  </w:t>
      </w:r>
      <w:r w:rsidR="00262AAD" w:rsidRPr="001C76DC">
        <w:rPr>
          <w:rFonts w:eastAsia="MS Mincho"/>
          <w:szCs w:val="24"/>
          <w:lang w:eastAsia="ja-JP"/>
        </w:rPr>
        <w:t xml:space="preserve">Unlike utilities, generators selling power </w:t>
      </w:r>
      <w:r w:rsidR="007364A4" w:rsidRPr="001C76DC">
        <w:rPr>
          <w:rFonts w:eastAsia="MS Mincho"/>
          <w:szCs w:val="24"/>
          <w:lang w:eastAsia="ja-JP"/>
        </w:rPr>
        <w:t>under</w:t>
      </w:r>
      <w:r w:rsidR="00262AAD" w:rsidRPr="001C76DC">
        <w:rPr>
          <w:rFonts w:eastAsia="MS Mincho"/>
          <w:szCs w:val="24"/>
          <w:lang w:eastAsia="ja-JP"/>
        </w:rPr>
        <w:t xml:space="preserve"> a PPA must manage their own risks throughout the term of </w:t>
      </w:r>
      <w:r w:rsidR="00997BCE" w:rsidRPr="001C76DC">
        <w:rPr>
          <w:rFonts w:eastAsia="MS Mincho"/>
          <w:szCs w:val="24"/>
          <w:lang w:eastAsia="ja-JP"/>
        </w:rPr>
        <w:t xml:space="preserve">the </w:t>
      </w:r>
      <w:r w:rsidR="00262AAD" w:rsidRPr="001C76DC">
        <w:rPr>
          <w:rFonts w:eastAsia="MS Mincho"/>
          <w:szCs w:val="24"/>
          <w:lang w:eastAsia="ja-JP"/>
        </w:rPr>
        <w:t>contract and account for those risks in the initial PPA price.  The fact that risk is not otherwise addressed or accounted for</w:t>
      </w:r>
      <w:r w:rsidR="002E1AB3" w:rsidRPr="001C76DC">
        <w:rPr>
          <w:rFonts w:eastAsia="MS Mincho"/>
          <w:szCs w:val="24"/>
          <w:lang w:eastAsia="ja-JP"/>
        </w:rPr>
        <w:t xml:space="preserve"> </w:t>
      </w:r>
      <w:r w:rsidR="00262AAD" w:rsidRPr="001C76DC">
        <w:rPr>
          <w:rFonts w:eastAsia="MS Mincho"/>
          <w:szCs w:val="24"/>
          <w:lang w:eastAsia="ja-JP"/>
        </w:rPr>
        <w:t xml:space="preserve">in the RFP </w:t>
      </w:r>
      <w:r w:rsidR="00FD6FB3">
        <w:rPr>
          <w:rFonts w:eastAsia="MS Mincho"/>
          <w:szCs w:val="24"/>
          <w:lang w:eastAsia="ja-JP"/>
        </w:rPr>
        <w:t>fails to include all risks of performance or non-performance in the RFP bid price</w:t>
      </w:r>
      <w:r w:rsidR="002E1AB3" w:rsidRPr="001C76DC">
        <w:rPr>
          <w:rFonts w:eastAsia="MS Mincho"/>
          <w:szCs w:val="24"/>
          <w:lang w:eastAsia="ja-JP"/>
        </w:rPr>
        <w:t>.</w:t>
      </w:r>
      <w:r w:rsidR="00B97BC5" w:rsidRPr="001C76DC">
        <w:rPr>
          <w:rFonts w:eastAsia="MS Mincho"/>
          <w:szCs w:val="24"/>
          <w:lang w:eastAsia="ja-JP"/>
        </w:rPr>
        <w:t xml:space="preserve">  </w:t>
      </w:r>
      <w:r w:rsidR="00270CDC" w:rsidRPr="001C76DC">
        <w:rPr>
          <w:rFonts w:eastAsia="MS Mincho"/>
          <w:szCs w:val="24"/>
          <w:lang w:eastAsia="ja-JP"/>
        </w:rPr>
        <w:t xml:space="preserve">By implementing a cost-cap, the Commission can at least mitigate some of this unfair advantage by </w:t>
      </w:r>
      <w:r w:rsidR="009E2911" w:rsidRPr="001C76DC">
        <w:rPr>
          <w:rFonts w:eastAsia="MS Mincho"/>
          <w:szCs w:val="24"/>
          <w:lang w:eastAsia="ja-JP"/>
        </w:rPr>
        <w:t>providing greater</w:t>
      </w:r>
      <w:r w:rsidR="00270CDC" w:rsidRPr="001C76DC">
        <w:rPr>
          <w:rFonts w:eastAsia="MS Mincho"/>
          <w:szCs w:val="24"/>
          <w:lang w:eastAsia="ja-JP"/>
        </w:rPr>
        <w:t xml:space="preserve"> risk to the utility </w:t>
      </w:r>
      <w:r w:rsidR="009E2911" w:rsidRPr="001C76DC">
        <w:rPr>
          <w:rFonts w:eastAsia="MS Mincho"/>
          <w:szCs w:val="24"/>
          <w:lang w:eastAsia="ja-JP"/>
        </w:rPr>
        <w:t xml:space="preserve">that ratepayers will not cover the costs, </w:t>
      </w:r>
      <w:r w:rsidR="000D018F">
        <w:rPr>
          <w:rFonts w:eastAsia="MS Mincho"/>
          <w:szCs w:val="24"/>
          <w:lang w:eastAsia="ja-JP"/>
        </w:rPr>
        <w:t>if the utility</w:t>
      </w:r>
      <w:r w:rsidR="00270CDC" w:rsidRPr="001C76DC">
        <w:rPr>
          <w:rFonts w:eastAsia="MS Mincho"/>
          <w:szCs w:val="24"/>
          <w:lang w:eastAsia="ja-JP"/>
        </w:rPr>
        <w:t xml:space="preserve"> select</w:t>
      </w:r>
      <w:r w:rsidR="000D018F">
        <w:rPr>
          <w:rFonts w:eastAsia="MS Mincho"/>
          <w:szCs w:val="24"/>
          <w:lang w:eastAsia="ja-JP"/>
        </w:rPr>
        <w:t>s</w:t>
      </w:r>
      <w:r w:rsidR="00270CDC" w:rsidRPr="001C76DC">
        <w:rPr>
          <w:rFonts w:eastAsia="MS Mincho"/>
          <w:szCs w:val="24"/>
          <w:lang w:eastAsia="ja-JP"/>
        </w:rPr>
        <w:t xml:space="preserve"> a</w:t>
      </w:r>
      <w:r w:rsidR="001949BC" w:rsidRPr="001C76DC">
        <w:rPr>
          <w:rFonts w:eastAsia="MS Mincho"/>
          <w:szCs w:val="24"/>
          <w:lang w:eastAsia="ja-JP"/>
        </w:rPr>
        <w:t>n</w:t>
      </w:r>
      <w:r w:rsidR="00270CDC" w:rsidRPr="001C76DC">
        <w:rPr>
          <w:rFonts w:eastAsia="MS Mincho"/>
          <w:szCs w:val="24"/>
          <w:lang w:eastAsia="ja-JP"/>
        </w:rPr>
        <w:t xml:space="preserve"> owned asset that ends up being more expensive.  </w:t>
      </w:r>
      <w:r w:rsidR="00262AAD" w:rsidRPr="001C76DC">
        <w:rPr>
          <w:rFonts w:eastAsia="MS Mincho"/>
          <w:szCs w:val="24"/>
          <w:lang w:eastAsia="ja-JP"/>
        </w:rPr>
        <w:t xml:space="preserve">Doing so would </w:t>
      </w:r>
      <w:r w:rsidR="004E2F8B" w:rsidRPr="001C76DC">
        <w:rPr>
          <w:rFonts w:eastAsia="MS Mincho"/>
          <w:szCs w:val="24"/>
          <w:lang w:eastAsia="ja-JP"/>
        </w:rPr>
        <w:t xml:space="preserve">also encourage the utility to more accurately ensure that the costs of utility owned generation bids are not underestimated.  Overall, this would </w:t>
      </w:r>
      <w:r w:rsidR="00262AAD" w:rsidRPr="001C76DC">
        <w:rPr>
          <w:rFonts w:eastAsia="MS Mincho"/>
          <w:szCs w:val="24"/>
          <w:lang w:eastAsia="ja-JP"/>
        </w:rPr>
        <w:t>inc</w:t>
      </w:r>
      <w:r w:rsidR="00997BCE" w:rsidRPr="001C76DC">
        <w:rPr>
          <w:rFonts w:eastAsia="MS Mincho"/>
          <w:szCs w:val="24"/>
          <w:lang w:eastAsia="ja-JP"/>
        </w:rPr>
        <w:t>ent</w:t>
      </w:r>
      <w:r w:rsidR="00262AAD" w:rsidRPr="001C76DC">
        <w:rPr>
          <w:rFonts w:eastAsia="MS Mincho"/>
          <w:szCs w:val="24"/>
          <w:lang w:eastAsia="ja-JP"/>
        </w:rPr>
        <w:t xml:space="preserve"> more robust participation</w:t>
      </w:r>
      <w:r w:rsidR="003F7320" w:rsidRPr="001C76DC">
        <w:rPr>
          <w:rFonts w:eastAsia="MS Mincho"/>
          <w:szCs w:val="24"/>
          <w:lang w:eastAsia="ja-JP"/>
        </w:rPr>
        <w:t>, which inevitably leads to lower priced bids</w:t>
      </w:r>
      <w:r w:rsidR="00262AAD" w:rsidRPr="001C76DC">
        <w:rPr>
          <w:rFonts w:eastAsia="MS Mincho"/>
          <w:szCs w:val="24"/>
          <w:lang w:eastAsia="ja-JP"/>
        </w:rPr>
        <w:t>.</w:t>
      </w:r>
    </w:p>
    <w:p w14:paraId="1D2080D3" w14:textId="2D501186" w:rsidR="00262AAD" w:rsidRPr="001C76DC" w:rsidRDefault="00663E64" w:rsidP="00523449">
      <w:pPr>
        <w:pStyle w:val="ListParagraph"/>
        <w:numPr>
          <w:ilvl w:val="1"/>
          <w:numId w:val="33"/>
        </w:numPr>
        <w:spacing w:line="480" w:lineRule="auto"/>
        <w:ind w:left="0" w:hanging="540"/>
        <w:rPr>
          <w:rFonts w:eastAsia="MS Mincho"/>
          <w:szCs w:val="24"/>
          <w:lang w:eastAsia="ja-JP"/>
        </w:rPr>
      </w:pPr>
      <w:r>
        <w:t xml:space="preserve">            </w:t>
      </w:r>
      <w:r w:rsidR="00813E25" w:rsidRPr="00370CD1">
        <w:t>PacifiCorp’s past IE, Boston Pacific, has stated that the problem w</w:t>
      </w:r>
      <w:r w:rsidR="00813E25">
        <w:t>ith a</w:t>
      </w:r>
      <w:r w:rsidR="00813E25" w:rsidRPr="00370CD1">
        <w:t xml:space="preserve"> </w:t>
      </w:r>
      <w:r w:rsidR="00813E25">
        <w:t xml:space="preserve">utility </w:t>
      </w:r>
      <w:r w:rsidR="00813E25" w:rsidRPr="00370CD1">
        <w:t xml:space="preserve">bid “is that it is offered on a </w:t>
      </w:r>
      <w:r w:rsidR="00813E25" w:rsidRPr="001C76DC">
        <w:rPr>
          <w:i/>
          <w:iCs/>
        </w:rPr>
        <w:t xml:space="preserve">cost-plus </w:t>
      </w:r>
      <w:r w:rsidR="00813E25" w:rsidRPr="00370CD1">
        <w:t xml:space="preserve">basis while third-party bidders are required to </w:t>
      </w:r>
      <w:r w:rsidR="00813E25" w:rsidRPr="00370CD1">
        <w:lastRenderedPageBreak/>
        <w:t>guarantee their price and performance parameters.”</w:t>
      </w:r>
      <w:r w:rsidR="00813E25">
        <w:rPr>
          <w:rStyle w:val="FootnoteReference"/>
        </w:rPr>
        <w:footnoteReference w:id="72"/>
      </w:r>
      <w:r w:rsidR="00813E25" w:rsidRPr="00370CD1">
        <w:t xml:space="preserve"> </w:t>
      </w:r>
      <w:r w:rsidR="00813E25">
        <w:t xml:space="preserve"> </w:t>
      </w:r>
      <w:r w:rsidR="00813E25" w:rsidRPr="00370CD1">
        <w:t xml:space="preserve">Rather than accounting for the identified risk by modifying its evaluation of </w:t>
      </w:r>
      <w:r w:rsidR="00813E25">
        <w:t>utility owned generation</w:t>
      </w:r>
      <w:r w:rsidR="00813E25" w:rsidRPr="00370CD1">
        <w:t xml:space="preserve"> bids, Boston Pacific has “routinely requested that the Company to be held to its cost and performance projections in future rate cases should it be declared a winner.”</w:t>
      </w:r>
      <w:r w:rsidR="00813E25">
        <w:rPr>
          <w:rStyle w:val="FootnoteReference"/>
        </w:rPr>
        <w:footnoteReference w:id="73"/>
      </w:r>
      <w:r w:rsidR="00813E25" w:rsidRPr="00370CD1">
        <w:t xml:space="preserve"> </w:t>
      </w:r>
    </w:p>
    <w:p w14:paraId="17D4E7AB" w14:textId="73BD1991" w:rsidR="00262AAD" w:rsidRPr="001C76DC" w:rsidRDefault="00663E64" w:rsidP="00523449">
      <w:pPr>
        <w:pStyle w:val="ListParagraph"/>
        <w:numPr>
          <w:ilvl w:val="1"/>
          <w:numId w:val="33"/>
        </w:numPr>
        <w:spacing w:line="480" w:lineRule="auto"/>
        <w:ind w:left="0" w:hanging="540"/>
        <w:rPr>
          <w:rFonts w:eastAsia="MS Mincho"/>
          <w:szCs w:val="24"/>
          <w:lang w:eastAsia="ja-JP"/>
        </w:rPr>
      </w:pPr>
      <w:r>
        <w:t xml:space="preserve">            </w:t>
      </w:r>
      <w:r w:rsidR="00262AAD" w:rsidRPr="001C76DC">
        <w:rPr>
          <w:rFonts w:eastAsia="MS Mincho"/>
          <w:szCs w:val="24"/>
          <w:lang w:eastAsia="ja-JP"/>
        </w:rPr>
        <w:t>Accordingly, NIPPC proposes the costs included in rates for utility ownership options, including equipment procurement, construction supervision, internal and external legal, finance and accounting expense, construction bids and all similar items, shall be capped at the cost included in the bid used for comparative analysis in the RFP.</w:t>
      </w:r>
      <w:r w:rsidR="00EC3A8B">
        <w:rPr>
          <w:rStyle w:val="FootnoteReference"/>
          <w:rFonts w:eastAsia="MS Mincho"/>
          <w:szCs w:val="24"/>
          <w:lang w:eastAsia="ja-JP"/>
        </w:rPr>
        <w:footnoteReference w:id="74"/>
      </w:r>
      <w:r w:rsidR="00C6761F" w:rsidRPr="001C76DC">
        <w:rPr>
          <w:rFonts w:eastAsia="MS Mincho"/>
          <w:szCs w:val="24"/>
          <w:lang w:eastAsia="ja-JP"/>
        </w:rPr>
        <w:t xml:space="preserve"> </w:t>
      </w:r>
    </w:p>
    <w:p w14:paraId="212913B9" w14:textId="6BC48BE1" w:rsidR="00145874" w:rsidRPr="001C76DC" w:rsidRDefault="00663E64" w:rsidP="00523449">
      <w:pPr>
        <w:pStyle w:val="ListParagraph"/>
        <w:numPr>
          <w:ilvl w:val="1"/>
          <w:numId w:val="33"/>
        </w:numPr>
        <w:spacing w:line="480" w:lineRule="auto"/>
        <w:ind w:left="0" w:hanging="540"/>
        <w:rPr>
          <w:rFonts w:eastAsia="MS Mincho"/>
          <w:szCs w:val="24"/>
          <w:lang w:eastAsia="ja-JP"/>
        </w:rPr>
      </w:pPr>
      <w:r>
        <w:t xml:space="preserve">            </w:t>
      </w:r>
      <w:r w:rsidR="00262AAD" w:rsidRPr="001C76DC">
        <w:rPr>
          <w:rFonts w:eastAsia="MS Mincho"/>
          <w:szCs w:val="24"/>
          <w:lang w:eastAsia="ja-JP"/>
        </w:rPr>
        <w:t>NIPPC’s proposal is generally consistent with the principles behind the Commission’s</w:t>
      </w:r>
      <w:r w:rsidR="0009077C" w:rsidRPr="001C76DC">
        <w:rPr>
          <w:rFonts w:eastAsia="MS Mincho"/>
          <w:szCs w:val="24"/>
          <w:lang w:eastAsia="ja-JP"/>
        </w:rPr>
        <w:t xml:space="preserve"> existing</w:t>
      </w:r>
      <w:r w:rsidR="00262AAD" w:rsidRPr="001C76DC">
        <w:rPr>
          <w:rFonts w:eastAsia="MS Mincho"/>
          <w:szCs w:val="24"/>
          <w:lang w:eastAsia="ja-JP"/>
        </w:rPr>
        <w:t xml:space="preserve"> competitive bidding rules. </w:t>
      </w:r>
      <w:r w:rsidR="00772644" w:rsidRPr="001C76DC">
        <w:rPr>
          <w:rFonts w:eastAsia="MS Mincho"/>
          <w:szCs w:val="24"/>
          <w:lang w:eastAsia="ja-JP"/>
        </w:rPr>
        <w:t xml:space="preserve"> </w:t>
      </w:r>
      <w:r w:rsidR="00C6761F" w:rsidRPr="001C76DC">
        <w:rPr>
          <w:rFonts w:eastAsia="MS Mincho"/>
          <w:szCs w:val="24"/>
          <w:lang w:eastAsia="ja-JP"/>
        </w:rPr>
        <w:t>The current rules seek to protect against “unfair advantage” through the RFP process, but lack specific</w:t>
      </w:r>
      <w:r w:rsidR="0009077C" w:rsidRPr="001C76DC">
        <w:rPr>
          <w:rFonts w:eastAsia="MS Mincho"/>
          <w:szCs w:val="24"/>
          <w:lang w:eastAsia="ja-JP"/>
        </w:rPr>
        <w:t xml:space="preserve"> </w:t>
      </w:r>
      <w:r w:rsidR="00C6761F" w:rsidRPr="001C76DC">
        <w:rPr>
          <w:rFonts w:eastAsia="MS Mincho"/>
          <w:szCs w:val="24"/>
          <w:lang w:eastAsia="ja-JP"/>
        </w:rPr>
        <w:t xml:space="preserve">requirements or </w:t>
      </w:r>
      <w:r w:rsidR="0009077C" w:rsidRPr="001C76DC">
        <w:rPr>
          <w:rFonts w:eastAsia="MS Mincho"/>
          <w:szCs w:val="24"/>
          <w:lang w:eastAsia="ja-JP"/>
        </w:rPr>
        <w:t>procedural mechanisms</w:t>
      </w:r>
      <w:r w:rsidR="00C6761F" w:rsidRPr="001C76DC">
        <w:rPr>
          <w:rFonts w:eastAsia="MS Mincho"/>
          <w:szCs w:val="24"/>
          <w:lang w:eastAsia="ja-JP"/>
        </w:rPr>
        <w:t xml:space="preserve"> to do so.  </w:t>
      </w:r>
      <w:r w:rsidR="00262AAD" w:rsidRPr="001C76DC">
        <w:rPr>
          <w:rFonts w:eastAsia="MS Mincho"/>
          <w:szCs w:val="24"/>
          <w:lang w:eastAsia="ja-JP"/>
        </w:rPr>
        <w:t>For example, the rules already preclude recovery “if any unfair advantage was given to any bidder.”</w:t>
      </w:r>
      <w:r w:rsidR="00262AAD">
        <w:rPr>
          <w:rStyle w:val="FootnoteReference"/>
          <w:rFonts w:eastAsia="MS Mincho"/>
          <w:szCs w:val="24"/>
          <w:lang w:eastAsia="ja-JP"/>
        </w:rPr>
        <w:footnoteReference w:id="75"/>
      </w:r>
      <w:r w:rsidR="00262AAD" w:rsidRPr="001C76DC">
        <w:rPr>
          <w:rFonts w:eastAsia="MS Mincho"/>
          <w:szCs w:val="24"/>
          <w:lang w:eastAsia="ja-JP"/>
        </w:rPr>
        <w:t xml:space="preserve">  Providing a cost cap would </w:t>
      </w:r>
      <w:r w:rsidR="00772644" w:rsidRPr="001C76DC">
        <w:rPr>
          <w:rFonts w:eastAsia="MS Mincho"/>
          <w:szCs w:val="24"/>
          <w:lang w:eastAsia="ja-JP"/>
        </w:rPr>
        <w:t>create</w:t>
      </w:r>
      <w:r w:rsidR="00262AAD" w:rsidRPr="001C76DC">
        <w:rPr>
          <w:rFonts w:eastAsia="MS Mincho"/>
          <w:szCs w:val="24"/>
          <w:lang w:eastAsia="ja-JP"/>
        </w:rPr>
        <w:t xml:space="preserve"> a procedural mechanism to ferret out </w:t>
      </w:r>
      <w:r w:rsidR="00490C81" w:rsidRPr="001C76DC">
        <w:rPr>
          <w:rFonts w:eastAsia="MS Mincho"/>
          <w:szCs w:val="24"/>
          <w:lang w:eastAsia="ja-JP"/>
        </w:rPr>
        <w:t>“</w:t>
      </w:r>
      <w:r w:rsidR="00262AAD" w:rsidRPr="001C76DC">
        <w:rPr>
          <w:rFonts w:eastAsia="MS Mincho"/>
          <w:szCs w:val="24"/>
          <w:lang w:eastAsia="ja-JP"/>
        </w:rPr>
        <w:t>unfair advantage.</w:t>
      </w:r>
      <w:r w:rsidR="00490C81" w:rsidRPr="001C76DC">
        <w:rPr>
          <w:rFonts w:eastAsia="MS Mincho"/>
          <w:szCs w:val="24"/>
          <w:lang w:eastAsia="ja-JP"/>
        </w:rPr>
        <w:t>”</w:t>
      </w:r>
      <w:r w:rsidR="00262AAD" w:rsidRPr="001C76DC">
        <w:rPr>
          <w:rFonts w:eastAsia="MS Mincho"/>
          <w:szCs w:val="24"/>
          <w:lang w:eastAsia="ja-JP"/>
        </w:rPr>
        <w:t xml:space="preserve"> </w:t>
      </w:r>
      <w:r w:rsidR="00BB394A" w:rsidRPr="001C76DC">
        <w:rPr>
          <w:rFonts w:eastAsia="MS Mincho"/>
          <w:szCs w:val="24"/>
          <w:lang w:eastAsia="ja-JP"/>
        </w:rPr>
        <w:t xml:space="preserve"> Likewise, the rules direct the Commission to </w:t>
      </w:r>
      <w:r w:rsidR="00941C70">
        <w:rPr>
          <w:rFonts w:eastAsia="MS Mincho"/>
          <w:szCs w:val="24"/>
          <w:lang w:eastAsia="ja-JP"/>
        </w:rPr>
        <w:t>“</w:t>
      </w:r>
      <w:r w:rsidR="00BB394A" w:rsidRPr="001C76DC">
        <w:rPr>
          <w:rFonts w:eastAsia="MS Mincho"/>
          <w:szCs w:val="24"/>
          <w:lang w:eastAsia="ja-JP"/>
        </w:rPr>
        <w:t>consider information obtained through these bidding procedures when it evaluates the performance of the utility in rate and other proceedings.”</w:t>
      </w:r>
      <w:r w:rsidR="00642DE8">
        <w:rPr>
          <w:rStyle w:val="FootnoteReference"/>
          <w:rFonts w:eastAsia="MS Mincho"/>
          <w:szCs w:val="24"/>
          <w:lang w:eastAsia="ja-JP"/>
        </w:rPr>
        <w:footnoteReference w:id="76"/>
      </w:r>
      <w:r w:rsidR="00642DE8" w:rsidRPr="001C76DC">
        <w:rPr>
          <w:rFonts w:eastAsia="MS Mincho"/>
          <w:szCs w:val="24"/>
          <w:lang w:eastAsia="ja-JP"/>
        </w:rPr>
        <w:t xml:space="preserve">  A cost cap would </w:t>
      </w:r>
      <w:r w:rsidR="00C6761F" w:rsidRPr="001C76DC">
        <w:rPr>
          <w:rFonts w:eastAsia="MS Mincho"/>
          <w:szCs w:val="24"/>
          <w:lang w:eastAsia="ja-JP"/>
        </w:rPr>
        <w:t>help</w:t>
      </w:r>
      <w:r w:rsidR="00642DE8" w:rsidRPr="001C76DC">
        <w:rPr>
          <w:rFonts w:eastAsia="MS Mincho"/>
          <w:szCs w:val="24"/>
          <w:lang w:eastAsia="ja-JP"/>
        </w:rPr>
        <w:t xml:space="preserve"> the Commission in</w:t>
      </w:r>
      <w:r w:rsidR="00C6761F" w:rsidRPr="001C76DC">
        <w:rPr>
          <w:rFonts w:eastAsia="MS Mincho"/>
          <w:szCs w:val="24"/>
          <w:lang w:eastAsia="ja-JP"/>
        </w:rPr>
        <w:t xml:space="preserve">fluence utility performance to the benefit of both ratepayers and utilities. </w:t>
      </w:r>
      <w:r w:rsidR="00642DE8" w:rsidRPr="001C76DC">
        <w:rPr>
          <w:rFonts w:eastAsia="MS Mincho"/>
          <w:szCs w:val="24"/>
          <w:lang w:eastAsia="ja-JP"/>
        </w:rPr>
        <w:t xml:space="preserve">  </w:t>
      </w:r>
      <w:r w:rsidR="00BB394A" w:rsidRPr="001C76DC">
        <w:rPr>
          <w:rFonts w:eastAsia="MS Mincho"/>
          <w:szCs w:val="24"/>
          <w:lang w:eastAsia="ja-JP"/>
        </w:rPr>
        <w:t xml:space="preserve">  </w:t>
      </w:r>
    </w:p>
    <w:p w14:paraId="0A6CDC17" w14:textId="661C34C4" w:rsidR="00CF18F1" w:rsidRPr="001C76DC" w:rsidRDefault="00CF18F1" w:rsidP="00663E64">
      <w:pPr>
        <w:pStyle w:val="ListParagraph"/>
        <w:ind w:left="1440" w:hanging="720"/>
        <w:rPr>
          <w:rFonts w:eastAsia="MS Mincho"/>
          <w:b/>
          <w:szCs w:val="24"/>
          <w:lang w:eastAsia="ja-JP"/>
        </w:rPr>
      </w:pPr>
      <w:r w:rsidRPr="001C76DC">
        <w:rPr>
          <w:rFonts w:eastAsia="MS Mincho"/>
          <w:b/>
          <w:szCs w:val="24"/>
          <w:lang w:eastAsia="ja-JP"/>
        </w:rPr>
        <w:lastRenderedPageBreak/>
        <w:t>D.</w:t>
      </w:r>
      <w:r w:rsidRPr="001C76DC">
        <w:rPr>
          <w:rFonts w:eastAsia="MS Mincho"/>
          <w:b/>
          <w:szCs w:val="24"/>
          <w:lang w:eastAsia="ja-JP"/>
        </w:rPr>
        <w:tab/>
      </w:r>
      <w:r w:rsidR="006C3258" w:rsidRPr="001C76DC">
        <w:rPr>
          <w:rFonts w:eastAsia="MS Mincho"/>
          <w:b/>
          <w:szCs w:val="24"/>
          <w:lang w:eastAsia="ja-JP"/>
        </w:rPr>
        <w:t>All RFPs that Could Result in</w:t>
      </w:r>
      <w:r w:rsidRPr="001C76DC">
        <w:rPr>
          <w:rFonts w:eastAsia="MS Mincho"/>
          <w:b/>
          <w:szCs w:val="24"/>
          <w:lang w:eastAsia="ja-JP"/>
        </w:rPr>
        <w:t xml:space="preserve"> Utility Owned Generation Should Include an </w:t>
      </w:r>
      <w:r w:rsidR="00E94638" w:rsidRPr="001C76DC">
        <w:rPr>
          <w:rFonts w:eastAsia="MS Mincho"/>
          <w:b/>
          <w:szCs w:val="24"/>
          <w:lang w:eastAsia="ja-JP"/>
        </w:rPr>
        <w:t>IE</w:t>
      </w:r>
      <w:r w:rsidRPr="001C76DC">
        <w:rPr>
          <w:rFonts w:eastAsia="MS Mincho"/>
          <w:b/>
          <w:szCs w:val="24"/>
          <w:lang w:eastAsia="ja-JP"/>
        </w:rPr>
        <w:t xml:space="preserve"> and Financial Due Diligence Investigator </w:t>
      </w:r>
    </w:p>
    <w:p w14:paraId="646EBDDF" w14:textId="11EB5AF0" w:rsidR="009F317F" w:rsidRPr="00A50471" w:rsidRDefault="009F317F" w:rsidP="00523449">
      <w:pPr>
        <w:ind w:hanging="540"/>
        <w:rPr>
          <w:rFonts w:eastAsia="MS Mincho"/>
          <w:b/>
          <w:szCs w:val="24"/>
          <w:lang w:eastAsia="ja-JP"/>
        </w:rPr>
      </w:pPr>
    </w:p>
    <w:p w14:paraId="0776F63F" w14:textId="40B49825" w:rsidR="009F317F" w:rsidRPr="001C76DC" w:rsidRDefault="00663E64" w:rsidP="00523449">
      <w:pPr>
        <w:pStyle w:val="ListParagraph"/>
        <w:numPr>
          <w:ilvl w:val="1"/>
          <w:numId w:val="33"/>
        </w:numPr>
        <w:spacing w:line="480" w:lineRule="auto"/>
        <w:ind w:left="0" w:hanging="540"/>
        <w:rPr>
          <w:rFonts w:eastAsia="MS Mincho"/>
          <w:szCs w:val="24"/>
          <w:lang w:eastAsia="ja-JP"/>
        </w:rPr>
      </w:pPr>
      <w:r>
        <w:t xml:space="preserve">            </w:t>
      </w:r>
      <w:r w:rsidR="009F317F" w:rsidRPr="001C76DC">
        <w:rPr>
          <w:rFonts w:eastAsia="MS Mincho"/>
          <w:szCs w:val="24"/>
          <w:lang w:eastAsia="ja-JP"/>
        </w:rPr>
        <w:t xml:space="preserve">An IE and due diligence expert should be </w:t>
      </w:r>
      <w:r w:rsidR="0009077C" w:rsidRPr="001C76DC">
        <w:rPr>
          <w:rFonts w:eastAsia="MS Mincho"/>
          <w:szCs w:val="24"/>
          <w:lang w:eastAsia="ja-JP"/>
        </w:rPr>
        <w:t>retained in conjunction with all RFPs in which the utility itself plans to bid</w:t>
      </w:r>
      <w:r w:rsidR="009F317F" w:rsidRPr="001C76DC">
        <w:rPr>
          <w:rFonts w:eastAsia="MS Mincho"/>
          <w:szCs w:val="24"/>
          <w:lang w:eastAsia="ja-JP"/>
        </w:rPr>
        <w:t xml:space="preserve">.  The current rules have an optional </w:t>
      </w:r>
      <w:r w:rsidR="00E94638" w:rsidRPr="001C76DC">
        <w:rPr>
          <w:rFonts w:eastAsia="MS Mincho"/>
          <w:szCs w:val="24"/>
          <w:lang w:eastAsia="ja-JP"/>
        </w:rPr>
        <w:t>IE</w:t>
      </w:r>
      <w:r w:rsidR="009F317F" w:rsidRPr="001C76DC">
        <w:rPr>
          <w:rFonts w:eastAsia="MS Mincho"/>
          <w:szCs w:val="24"/>
          <w:lang w:eastAsia="ja-JP"/>
        </w:rPr>
        <w:t xml:space="preserve">, </w:t>
      </w:r>
      <w:r w:rsidR="0079523B" w:rsidRPr="001C76DC">
        <w:rPr>
          <w:rFonts w:eastAsia="MS Mincho"/>
          <w:szCs w:val="24"/>
          <w:lang w:eastAsia="ja-JP"/>
        </w:rPr>
        <w:t>but</w:t>
      </w:r>
      <w:r w:rsidR="009F317F" w:rsidRPr="001C76DC">
        <w:rPr>
          <w:rFonts w:eastAsia="MS Mincho"/>
          <w:szCs w:val="24"/>
          <w:lang w:eastAsia="ja-JP"/>
        </w:rPr>
        <w:t xml:space="preserve"> they require the party who requests it to pay for it if the utility does not choose to use one.  WAC 480-107-035(6) provides: “When the utility, the utility</w:t>
      </w:r>
      <w:r w:rsidR="00F75492" w:rsidRPr="001C76DC">
        <w:rPr>
          <w:rFonts w:eastAsia="MS Mincho"/>
          <w:szCs w:val="24"/>
          <w:lang w:eastAsia="ja-JP"/>
        </w:rPr>
        <w:t>’</w:t>
      </w:r>
      <w:r w:rsidR="009F317F" w:rsidRPr="001C76DC">
        <w:rPr>
          <w:rFonts w:eastAsia="MS Mincho"/>
          <w:szCs w:val="24"/>
          <w:lang w:eastAsia="ja-JP"/>
        </w:rPr>
        <w:t>s subsidiary or an affiliate submits a bid in response to an RFP, one or more competing bidders may request the commission to appoint an independent third party to assist commission staff in its review of the bid. Should the commission grant such a request, the fees charged by the independent third party will be paid by the party or parties requesting the independent review.”</w:t>
      </w:r>
    </w:p>
    <w:p w14:paraId="79D18761" w14:textId="6B3D87EC" w:rsidR="009F317F" w:rsidRPr="001C76DC" w:rsidRDefault="00663E64" w:rsidP="00523449">
      <w:pPr>
        <w:pStyle w:val="ListParagraph"/>
        <w:numPr>
          <w:ilvl w:val="1"/>
          <w:numId w:val="33"/>
        </w:numPr>
        <w:spacing w:line="480" w:lineRule="auto"/>
        <w:ind w:left="0" w:hanging="540"/>
        <w:rPr>
          <w:rFonts w:eastAsia="MS Mincho"/>
          <w:szCs w:val="24"/>
          <w:lang w:eastAsia="ja-JP"/>
        </w:rPr>
      </w:pPr>
      <w:r>
        <w:t xml:space="preserve">            </w:t>
      </w:r>
      <w:r w:rsidR="009F317F" w:rsidRPr="001C76DC">
        <w:rPr>
          <w:rFonts w:eastAsia="MS Mincho"/>
          <w:szCs w:val="24"/>
          <w:lang w:eastAsia="ja-JP"/>
        </w:rPr>
        <w:t xml:space="preserve">The inequity of this rule is staggering because it requires </w:t>
      </w:r>
      <w:r w:rsidR="004B2A3B" w:rsidRPr="001C76DC">
        <w:rPr>
          <w:rFonts w:eastAsia="MS Mincho"/>
          <w:szCs w:val="24"/>
          <w:lang w:eastAsia="ja-JP"/>
        </w:rPr>
        <w:t>a</w:t>
      </w:r>
      <w:r w:rsidR="009F317F" w:rsidRPr="001C76DC">
        <w:rPr>
          <w:rFonts w:eastAsia="MS Mincho"/>
          <w:szCs w:val="24"/>
          <w:lang w:eastAsia="ja-JP"/>
        </w:rPr>
        <w:t xml:space="preserve"> bidder</w:t>
      </w:r>
      <w:r w:rsidR="004B2A3B" w:rsidRPr="001C76DC">
        <w:rPr>
          <w:rFonts w:eastAsia="MS Mincho"/>
          <w:szCs w:val="24"/>
          <w:lang w:eastAsia="ja-JP"/>
        </w:rPr>
        <w:t>(</w:t>
      </w:r>
      <w:r w:rsidR="009F317F" w:rsidRPr="001C76DC">
        <w:rPr>
          <w:rFonts w:eastAsia="MS Mincho"/>
          <w:szCs w:val="24"/>
          <w:lang w:eastAsia="ja-JP"/>
        </w:rPr>
        <w:t>s</w:t>
      </w:r>
      <w:r w:rsidR="004B2A3B" w:rsidRPr="001C76DC">
        <w:rPr>
          <w:rFonts w:eastAsia="MS Mincho"/>
          <w:szCs w:val="24"/>
          <w:lang w:eastAsia="ja-JP"/>
        </w:rPr>
        <w:t>)</w:t>
      </w:r>
      <w:r w:rsidR="009F317F" w:rsidRPr="001C76DC">
        <w:rPr>
          <w:rFonts w:eastAsia="MS Mincho"/>
          <w:szCs w:val="24"/>
          <w:lang w:eastAsia="ja-JP"/>
        </w:rPr>
        <w:t xml:space="preserve"> to pay for procedural fairness.  The Commission should strive to ensure procedural fairness as part of its normal routine rather than relying on parties to request it.  The very existence of WAC 480-107-035(6) acknowledges the utilities’ bias to build projects and effectively concedes the ineffectiveness of the WUTC competitive bidding rules to substantively protect bidders from the utilities’ monopsony power.</w:t>
      </w:r>
      <w:r w:rsidR="009F317F" w:rsidRPr="001C76DC">
        <w:rPr>
          <w:rFonts w:eastAsia="MS Mincho"/>
          <w:szCs w:val="24"/>
          <w:lang w:eastAsia="ja-JP"/>
        </w:rPr>
        <w:tab/>
      </w:r>
    </w:p>
    <w:p w14:paraId="764392CA" w14:textId="6E372BB3" w:rsidR="009F317F" w:rsidRPr="001C76DC" w:rsidRDefault="00663E64" w:rsidP="00523449">
      <w:pPr>
        <w:pStyle w:val="ListParagraph"/>
        <w:numPr>
          <w:ilvl w:val="1"/>
          <w:numId w:val="33"/>
        </w:numPr>
        <w:spacing w:line="480" w:lineRule="auto"/>
        <w:ind w:left="0" w:hanging="540"/>
        <w:rPr>
          <w:rFonts w:eastAsia="MS Mincho"/>
          <w:szCs w:val="24"/>
          <w:lang w:eastAsia="ja-JP"/>
        </w:rPr>
      </w:pPr>
      <w:r>
        <w:t xml:space="preserve">            </w:t>
      </w:r>
      <w:r w:rsidR="009F317F" w:rsidRPr="001C76DC">
        <w:rPr>
          <w:rFonts w:eastAsia="MS Mincho"/>
          <w:szCs w:val="24"/>
          <w:lang w:eastAsia="ja-JP"/>
        </w:rPr>
        <w:t xml:space="preserve">To protect </w:t>
      </w:r>
      <w:r w:rsidR="00772644" w:rsidRPr="001C76DC">
        <w:rPr>
          <w:rFonts w:eastAsia="MS Mincho"/>
          <w:szCs w:val="24"/>
          <w:lang w:eastAsia="ja-JP"/>
        </w:rPr>
        <w:t>ratepayers f</w:t>
      </w:r>
      <w:r w:rsidR="00395ABC" w:rsidRPr="001C76DC">
        <w:rPr>
          <w:rFonts w:eastAsia="MS Mincho"/>
          <w:szCs w:val="24"/>
          <w:lang w:eastAsia="ja-JP"/>
        </w:rPr>
        <w:t>r</w:t>
      </w:r>
      <w:r w:rsidR="00772644" w:rsidRPr="001C76DC">
        <w:rPr>
          <w:rFonts w:eastAsia="MS Mincho"/>
          <w:szCs w:val="24"/>
          <w:lang w:eastAsia="ja-JP"/>
        </w:rPr>
        <w:t>o</w:t>
      </w:r>
      <w:r w:rsidR="00395ABC" w:rsidRPr="001C76DC">
        <w:rPr>
          <w:rFonts w:eastAsia="MS Mincho"/>
          <w:szCs w:val="24"/>
          <w:lang w:eastAsia="ja-JP"/>
        </w:rPr>
        <w:t>m utility bias</w:t>
      </w:r>
      <w:r w:rsidR="009F317F" w:rsidRPr="001C76DC">
        <w:rPr>
          <w:rFonts w:eastAsia="MS Mincho"/>
          <w:szCs w:val="24"/>
          <w:lang w:eastAsia="ja-JP"/>
        </w:rPr>
        <w:t>, an IE</w:t>
      </w:r>
      <w:r w:rsidR="00395ABC" w:rsidRPr="001C76DC">
        <w:rPr>
          <w:rFonts w:eastAsia="MS Mincho"/>
          <w:szCs w:val="24"/>
          <w:lang w:eastAsia="ja-JP"/>
        </w:rPr>
        <w:t xml:space="preserve"> should</w:t>
      </w:r>
      <w:r w:rsidR="009F317F" w:rsidRPr="001C76DC">
        <w:rPr>
          <w:rFonts w:eastAsia="MS Mincho"/>
          <w:szCs w:val="24"/>
          <w:lang w:eastAsia="ja-JP"/>
        </w:rPr>
        <w:t xml:space="preserve"> be used in each RFP that </w:t>
      </w:r>
      <w:r w:rsidR="00997BCE" w:rsidRPr="001C76DC">
        <w:rPr>
          <w:rFonts w:eastAsia="MS Mincho"/>
          <w:szCs w:val="24"/>
          <w:lang w:eastAsia="ja-JP"/>
        </w:rPr>
        <w:t xml:space="preserve">allows any form of </w:t>
      </w:r>
      <w:r w:rsidR="009F317F" w:rsidRPr="001C76DC">
        <w:rPr>
          <w:rFonts w:eastAsia="MS Mincho"/>
          <w:szCs w:val="24"/>
          <w:lang w:eastAsia="ja-JP"/>
        </w:rPr>
        <w:t>utility owned generation</w:t>
      </w:r>
      <w:r w:rsidR="00997BCE" w:rsidRPr="001C76DC">
        <w:rPr>
          <w:rFonts w:eastAsia="MS Mincho"/>
          <w:szCs w:val="24"/>
          <w:lang w:eastAsia="ja-JP"/>
        </w:rPr>
        <w:t xml:space="preserve"> bid</w:t>
      </w:r>
      <w:r w:rsidR="00395ABC" w:rsidRPr="001C76DC">
        <w:rPr>
          <w:rFonts w:eastAsia="MS Mincho"/>
          <w:szCs w:val="24"/>
          <w:lang w:eastAsia="ja-JP"/>
        </w:rPr>
        <w:t>.</w:t>
      </w:r>
      <w:r w:rsidR="00C708F0" w:rsidRPr="001C76DC">
        <w:rPr>
          <w:rFonts w:eastAsia="MS Mincho"/>
          <w:szCs w:val="24"/>
          <w:lang w:eastAsia="ja-JP"/>
        </w:rPr>
        <w:t xml:space="preserve">  The IE </w:t>
      </w:r>
      <w:r w:rsidR="00772644" w:rsidRPr="001C76DC">
        <w:rPr>
          <w:rFonts w:eastAsia="MS Mincho"/>
          <w:szCs w:val="24"/>
          <w:lang w:eastAsia="ja-JP"/>
        </w:rPr>
        <w:t xml:space="preserve">should </w:t>
      </w:r>
      <w:r w:rsidR="00C708F0" w:rsidRPr="001C76DC">
        <w:rPr>
          <w:rFonts w:eastAsia="MS Mincho"/>
          <w:szCs w:val="24"/>
          <w:lang w:eastAsia="ja-JP"/>
        </w:rPr>
        <w:t>ensure that the process is fair and transparent, including determining whether the pre-construction costs, pre-existing investments, transmission,</w:t>
      </w:r>
      <w:r w:rsidR="00774777" w:rsidRPr="00774777">
        <w:rPr>
          <w:rFonts w:eastAsia="MS Mincho"/>
          <w:szCs w:val="24"/>
          <w:lang w:eastAsia="ja-JP"/>
        </w:rPr>
        <w:t xml:space="preserve"> real power losses, fuel supply (if applicable)</w:t>
      </w:r>
      <w:r w:rsidR="00774777">
        <w:rPr>
          <w:rFonts w:eastAsia="MS Mincho"/>
          <w:szCs w:val="24"/>
          <w:lang w:eastAsia="ja-JP"/>
        </w:rPr>
        <w:t xml:space="preserve"> </w:t>
      </w:r>
      <w:r w:rsidR="00774777" w:rsidRPr="00774777">
        <w:rPr>
          <w:rFonts w:eastAsia="MS Mincho"/>
          <w:szCs w:val="24"/>
          <w:lang w:eastAsia="ja-JP"/>
        </w:rPr>
        <w:t>and</w:t>
      </w:r>
      <w:r w:rsidR="00C708F0" w:rsidRPr="001C76DC">
        <w:rPr>
          <w:rFonts w:eastAsia="MS Mincho"/>
          <w:szCs w:val="24"/>
          <w:lang w:eastAsia="ja-JP"/>
        </w:rPr>
        <w:t xml:space="preserve"> and financing provisions are entirely included in the bid cost used for comparative analysis for purposes of developing the initial short list of bids. </w:t>
      </w:r>
      <w:r w:rsidR="00395ABC" w:rsidRPr="001C76DC">
        <w:rPr>
          <w:rFonts w:eastAsia="MS Mincho"/>
          <w:szCs w:val="24"/>
          <w:lang w:eastAsia="ja-JP"/>
        </w:rPr>
        <w:t>The IE</w:t>
      </w:r>
      <w:r w:rsidR="009F317F" w:rsidRPr="001C76DC">
        <w:rPr>
          <w:rFonts w:eastAsia="MS Mincho"/>
          <w:szCs w:val="24"/>
          <w:lang w:eastAsia="ja-JP"/>
        </w:rPr>
        <w:t xml:space="preserve"> should be </w:t>
      </w:r>
      <w:r w:rsidR="006947CE" w:rsidRPr="001C76DC">
        <w:rPr>
          <w:rFonts w:eastAsia="MS Mincho"/>
          <w:szCs w:val="24"/>
          <w:lang w:eastAsia="ja-JP"/>
        </w:rPr>
        <w:t xml:space="preserve">hired and </w:t>
      </w:r>
      <w:r w:rsidR="006947CE" w:rsidRPr="001C76DC">
        <w:rPr>
          <w:rFonts w:eastAsia="MS Mincho"/>
          <w:szCs w:val="24"/>
          <w:lang w:eastAsia="ja-JP"/>
        </w:rPr>
        <w:lastRenderedPageBreak/>
        <w:t xml:space="preserve">directly </w:t>
      </w:r>
      <w:r w:rsidR="009F317F" w:rsidRPr="001C76DC">
        <w:rPr>
          <w:rFonts w:eastAsia="MS Mincho"/>
          <w:szCs w:val="24"/>
          <w:lang w:eastAsia="ja-JP"/>
        </w:rPr>
        <w:t>paid for by the Commission rather than individual (or even collective) bidders.</w:t>
      </w:r>
      <w:r w:rsidR="006F286D">
        <w:rPr>
          <w:rStyle w:val="FootnoteReference"/>
          <w:rFonts w:eastAsia="MS Mincho"/>
          <w:szCs w:val="24"/>
          <w:lang w:eastAsia="ja-JP"/>
        </w:rPr>
        <w:footnoteReference w:id="77"/>
      </w:r>
      <w:r w:rsidR="009F317F" w:rsidRPr="001C76DC">
        <w:rPr>
          <w:rFonts w:eastAsia="MS Mincho"/>
          <w:szCs w:val="24"/>
          <w:lang w:eastAsia="ja-JP"/>
        </w:rPr>
        <w:t xml:space="preserve"> </w:t>
      </w:r>
      <w:r w:rsidR="006947CE" w:rsidRPr="001C76DC">
        <w:rPr>
          <w:rFonts w:eastAsia="MS Mincho"/>
          <w:szCs w:val="24"/>
          <w:lang w:eastAsia="ja-JP"/>
        </w:rPr>
        <w:t xml:space="preserve"> </w:t>
      </w:r>
      <w:r w:rsidR="009F317F" w:rsidRPr="001C76DC">
        <w:rPr>
          <w:rFonts w:eastAsia="MS Mincho"/>
          <w:szCs w:val="24"/>
          <w:lang w:eastAsia="ja-JP"/>
        </w:rPr>
        <w:t xml:space="preserve">This IE should report to WUTC </w:t>
      </w:r>
      <w:r w:rsidR="00941C70">
        <w:rPr>
          <w:rFonts w:eastAsia="MS Mincho"/>
          <w:szCs w:val="24"/>
          <w:lang w:eastAsia="ja-JP"/>
        </w:rPr>
        <w:t>s</w:t>
      </w:r>
      <w:r w:rsidR="009F317F" w:rsidRPr="001C76DC">
        <w:rPr>
          <w:rFonts w:eastAsia="MS Mincho"/>
          <w:szCs w:val="24"/>
          <w:lang w:eastAsia="ja-JP"/>
        </w:rPr>
        <w:t>taff, and should be required to provide notes from all conversations with the utility and the full text of any written communications to ensure good faith and fair dealing with the utilities.</w:t>
      </w:r>
      <w:r w:rsidR="00DF19D3" w:rsidRPr="001C76DC">
        <w:rPr>
          <w:rFonts w:eastAsia="MS Mincho"/>
          <w:szCs w:val="24"/>
          <w:lang w:eastAsia="ja-JP"/>
        </w:rPr>
        <w:t xml:space="preserve">  This requirement would also ensure complete and thorough analysis in the IE report.  </w:t>
      </w:r>
      <w:r w:rsidR="009F317F" w:rsidRPr="001C76DC">
        <w:rPr>
          <w:rFonts w:eastAsia="MS Mincho"/>
          <w:szCs w:val="24"/>
          <w:lang w:eastAsia="ja-JP"/>
        </w:rPr>
        <w:t xml:space="preserve">  </w:t>
      </w:r>
    </w:p>
    <w:p w14:paraId="10C04CF3" w14:textId="2E820489" w:rsidR="009F317F" w:rsidRPr="001C76DC" w:rsidRDefault="00663E64" w:rsidP="00523449">
      <w:pPr>
        <w:pStyle w:val="ListParagraph"/>
        <w:numPr>
          <w:ilvl w:val="1"/>
          <w:numId w:val="33"/>
        </w:numPr>
        <w:spacing w:line="480" w:lineRule="auto"/>
        <w:ind w:left="0" w:hanging="540"/>
        <w:rPr>
          <w:rFonts w:eastAsia="MS Mincho"/>
          <w:szCs w:val="24"/>
          <w:lang w:eastAsia="ja-JP"/>
        </w:rPr>
      </w:pPr>
      <w:r>
        <w:t xml:space="preserve">            </w:t>
      </w:r>
      <w:r w:rsidR="009F317F" w:rsidRPr="001C76DC">
        <w:rPr>
          <w:rFonts w:eastAsia="MS Mincho"/>
          <w:szCs w:val="24"/>
          <w:lang w:eastAsia="ja-JP"/>
        </w:rPr>
        <w:t>Finally, for each utility owned bid</w:t>
      </w:r>
      <w:r w:rsidR="004D3F7C" w:rsidRPr="001C76DC">
        <w:rPr>
          <w:rFonts w:eastAsia="MS Mincho"/>
          <w:szCs w:val="24"/>
          <w:lang w:eastAsia="ja-JP"/>
        </w:rPr>
        <w:t xml:space="preserve"> that makes it onto the final resource short list</w:t>
      </w:r>
      <w:r w:rsidR="009F317F" w:rsidRPr="001C76DC">
        <w:rPr>
          <w:rFonts w:eastAsia="MS Mincho"/>
          <w:szCs w:val="24"/>
          <w:lang w:eastAsia="ja-JP"/>
        </w:rPr>
        <w:t xml:space="preserve">, the Commission should also oversee a financing due diligence by a highly qualified consultant.  </w:t>
      </w:r>
      <w:r w:rsidR="003500F5" w:rsidRPr="003500F5">
        <w:rPr>
          <w:rFonts w:eastAsia="MS Mincho"/>
          <w:szCs w:val="24"/>
          <w:lang w:eastAsia="ja-JP"/>
        </w:rPr>
        <w:t>The intent of this requirement is to subject utility owned bids that may ultimately end up in a utility’s rate base to the same type of deep due diligence to ensure the accuracy and complete inclusion of all costs and critical performance characteristics as well as adequate contingency re</w:t>
      </w:r>
      <w:r w:rsidR="00277F57">
        <w:rPr>
          <w:rFonts w:eastAsia="MS Mincho"/>
          <w:szCs w:val="24"/>
          <w:lang w:eastAsia="ja-JP"/>
        </w:rPr>
        <w:t xml:space="preserve">serves have been accounted for </w:t>
      </w:r>
      <w:r w:rsidR="003500F5" w:rsidRPr="003500F5">
        <w:rPr>
          <w:rFonts w:eastAsia="MS Mincho"/>
          <w:szCs w:val="24"/>
          <w:lang w:eastAsia="ja-JP"/>
        </w:rPr>
        <w:t xml:space="preserve">in fixed-price PPA bids to receive financing from major financial institutions.  </w:t>
      </w:r>
      <w:r w:rsidR="00C1524E" w:rsidRPr="001C76DC">
        <w:rPr>
          <w:rFonts w:eastAsia="MS Mincho"/>
          <w:szCs w:val="24"/>
          <w:lang w:eastAsia="ja-JP"/>
        </w:rPr>
        <w:t xml:space="preserve">Prior to obtaining financing, bankers </w:t>
      </w:r>
      <w:r w:rsidR="0000089C" w:rsidRPr="001C76DC">
        <w:rPr>
          <w:rFonts w:eastAsia="MS Mincho"/>
          <w:szCs w:val="24"/>
          <w:lang w:eastAsia="ja-JP"/>
        </w:rPr>
        <w:t>(which have their own</w:t>
      </w:r>
      <w:r w:rsidR="000D018F">
        <w:rPr>
          <w:rFonts w:eastAsia="MS Mincho"/>
          <w:szCs w:val="24"/>
          <w:lang w:eastAsia="ja-JP"/>
        </w:rPr>
        <w:t>,</w:t>
      </w:r>
      <w:r w:rsidR="00C1524E" w:rsidRPr="001C76DC">
        <w:rPr>
          <w:rFonts w:eastAsia="MS Mincho"/>
          <w:szCs w:val="24"/>
          <w:lang w:eastAsia="ja-JP"/>
        </w:rPr>
        <w:t xml:space="preserve"> </w:t>
      </w:r>
      <w:r w:rsidR="0000089C" w:rsidRPr="001C76DC">
        <w:rPr>
          <w:rFonts w:eastAsia="MS Mincho"/>
          <w:szCs w:val="24"/>
          <w:lang w:eastAsia="ja-JP"/>
        </w:rPr>
        <w:t xml:space="preserve">rather than ratepayer </w:t>
      </w:r>
      <w:r w:rsidR="00C1524E" w:rsidRPr="001C76DC">
        <w:rPr>
          <w:rFonts w:eastAsia="MS Mincho"/>
          <w:szCs w:val="24"/>
          <w:lang w:eastAsia="ja-JP"/>
        </w:rPr>
        <w:t>money</w:t>
      </w:r>
      <w:r w:rsidR="000D018F">
        <w:rPr>
          <w:rFonts w:eastAsia="MS Mincho"/>
          <w:szCs w:val="24"/>
          <w:lang w:eastAsia="ja-JP"/>
        </w:rPr>
        <w:t>,</w:t>
      </w:r>
      <w:r w:rsidR="00C1524E" w:rsidRPr="001C76DC">
        <w:rPr>
          <w:rFonts w:eastAsia="MS Mincho"/>
          <w:szCs w:val="24"/>
          <w:lang w:eastAsia="ja-JP"/>
        </w:rPr>
        <w:t xml:space="preserve"> at stake) require an IPP bid</w:t>
      </w:r>
      <w:r w:rsidR="00507975" w:rsidRPr="001C76DC">
        <w:rPr>
          <w:rFonts w:eastAsia="MS Mincho"/>
          <w:szCs w:val="24"/>
          <w:lang w:eastAsia="ja-JP"/>
        </w:rPr>
        <w:t xml:space="preserve"> to endure a through and exhaustive analysis of all assumptions, costs, and contract terms. </w:t>
      </w:r>
      <w:r w:rsidR="00C1524E" w:rsidRPr="001C76DC">
        <w:rPr>
          <w:rFonts w:eastAsia="MS Mincho"/>
          <w:szCs w:val="24"/>
          <w:lang w:eastAsia="ja-JP"/>
        </w:rPr>
        <w:t xml:space="preserve"> </w:t>
      </w:r>
      <w:r w:rsidR="009F317F" w:rsidRPr="001C76DC">
        <w:rPr>
          <w:rFonts w:eastAsia="MS Mincho"/>
          <w:szCs w:val="24"/>
          <w:lang w:eastAsia="ja-JP"/>
        </w:rPr>
        <w:t>Where there is a utility ow</w:t>
      </w:r>
      <w:r w:rsidR="00997BCE" w:rsidRPr="001C76DC">
        <w:rPr>
          <w:rFonts w:eastAsia="MS Mincho"/>
          <w:szCs w:val="24"/>
          <w:lang w:eastAsia="ja-JP"/>
        </w:rPr>
        <w:t>n</w:t>
      </w:r>
      <w:r w:rsidR="009F317F" w:rsidRPr="001C76DC">
        <w:rPr>
          <w:rFonts w:eastAsia="MS Mincho"/>
          <w:szCs w:val="24"/>
          <w:lang w:eastAsia="ja-JP"/>
        </w:rPr>
        <w:t>ed bid, the Commission</w:t>
      </w:r>
      <w:r w:rsidR="00507975" w:rsidRPr="001C76DC">
        <w:rPr>
          <w:rFonts w:eastAsia="MS Mincho"/>
          <w:szCs w:val="24"/>
          <w:lang w:eastAsia="ja-JP"/>
        </w:rPr>
        <w:t xml:space="preserve"> and ultimately ratepayers are</w:t>
      </w:r>
      <w:r w:rsidR="009F317F" w:rsidRPr="001C76DC">
        <w:rPr>
          <w:rFonts w:eastAsia="MS Mincho"/>
          <w:szCs w:val="24"/>
          <w:lang w:eastAsia="ja-JP"/>
        </w:rPr>
        <w:t xml:space="preserve"> essentially acting as the banker approving the use of the utility’s monopoly service rights and rate recovery rights.  Thus, the utility owned project should be subjected to the same type of due diligence that any major IPP project must survive prior to acknowledging the utility owned bid submittal as reasonable in the RFP.</w:t>
      </w:r>
    </w:p>
    <w:p w14:paraId="325A8DA2" w14:textId="77777777" w:rsidR="004239E1" w:rsidRDefault="004239E1">
      <w:pPr>
        <w:rPr>
          <w:rFonts w:eastAsia="MS Mincho"/>
          <w:b/>
          <w:szCs w:val="24"/>
          <w:lang w:eastAsia="ja-JP"/>
        </w:rPr>
      </w:pPr>
      <w:r>
        <w:rPr>
          <w:rFonts w:eastAsia="MS Mincho"/>
          <w:b/>
          <w:szCs w:val="24"/>
          <w:lang w:eastAsia="ja-JP"/>
        </w:rPr>
        <w:br w:type="page"/>
      </w:r>
    </w:p>
    <w:p w14:paraId="16B9ADC4" w14:textId="62355068" w:rsidR="009A44B4" w:rsidRPr="001C76DC" w:rsidRDefault="006C3258" w:rsidP="00663E64">
      <w:pPr>
        <w:pStyle w:val="ListParagraph"/>
        <w:spacing w:line="480" w:lineRule="auto"/>
        <w:ind w:left="0" w:firstLine="720"/>
        <w:rPr>
          <w:rFonts w:eastAsia="MS Mincho"/>
          <w:b/>
          <w:szCs w:val="24"/>
          <w:lang w:eastAsia="ja-JP"/>
        </w:rPr>
      </w:pPr>
      <w:r w:rsidRPr="001C76DC">
        <w:rPr>
          <w:rFonts w:eastAsia="MS Mincho"/>
          <w:b/>
          <w:szCs w:val="24"/>
          <w:lang w:eastAsia="ja-JP"/>
        </w:rPr>
        <w:lastRenderedPageBreak/>
        <w:t>E.</w:t>
      </w:r>
      <w:r w:rsidRPr="001C76DC">
        <w:rPr>
          <w:rFonts w:eastAsia="MS Mincho"/>
          <w:b/>
          <w:szCs w:val="24"/>
          <w:lang w:eastAsia="ja-JP"/>
        </w:rPr>
        <w:tab/>
        <w:t>RFP Review and Acknowledgment</w:t>
      </w:r>
    </w:p>
    <w:p w14:paraId="21E26EEA" w14:textId="4CF4C712" w:rsidR="00E663EC" w:rsidRPr="001C76DC" w:rsidRDefault="00663E64" w:rsidP="00523449">
      <w:pPr>
        <w:pStyle w:val="ListParagraph"/>
        <w:numPr>
          <w:ilvl w:val="1"/>
          <w:numId w:val="33"/>
        </w:numPr>
        <w:spacing w:line="480" w:lineRule="auto"/>
        <w:ind w:left="0" w:hanging="540"/>
        <w:rPr>
          <w:rFonts w:eastAsia="MS Mincho"/>
          <w:szCs w:val="24"/>
          <w:lang w:eastAsia="ja-JP"/>
        </w:rPr>
      </w:pPr>
      <w:r>
        <w:t xml:space="preserve">            </w:t>
      </w:r>
      <w:r w:rsidR="00324DDD" w:rsidRPr="001C76DC">
        <w:rPr>
          <w:rFonts w:eastAsia="MS Mincho"/>
          <w:szCs w:val="24"/>
          <w:lang w:eastAsia="ja-JP"/>
        </w:rPr>
        <w:t xml:space="preserve">The Commission </w:t>
      </w:r>
      <w:r w:rsidR="00D82900" w:rsidRPr="001C76DC">
        <w:rPr>
          <w:rFonts w:eastAsia="MS Mincho"/>
          <w:szCs w:val="24"/>
          <w:lang w:eastAsia="ja-JP"/>
        </w:rPr>
        <w:t xml:space="preserve">should require the utilities to </w:t>
      </w:r>
      <w:r w:rsidR="00256128" w:rsidRPr="001C76DC">
        <w:rPr>
          <w:rFonts w:eastAsia="MS Mincho"/>
          <w:szCs w:val="24"/>
          <w:lang w:eastAsia="ja-JP"/>
        </w:rPr>
        <w:t xml:space="preserve">obtain approval of their draft RFP before </w:t>
      </w:r>
      <w:r w:rsidR="000D018F">
        <w:rPr>
          <w:rFonts w:eastAsia="MS Mincho"/>
          <w:szCs w:val="24"/>
          <w:lang w:eastAsia="ja-JP"/>
        </w:rPr>
        <w:t xml:space="preserve">it is </w:t>
      </w:r>
      <w:r w:rsidR="00256128" w:rsidRPr="001C76DC">
        <w:rPr>
          <w:rFonts w:eastAsia="MS Mincho"/>
          <w:szCs w:val="24"/>
          <w:lang w:eastAsia="ja-JP"/>
        </w:rPr>
        <w:t>issued to bidders</w:t>
      </w:r>
      <w:r w:rsidR="00F30EB7" w:rsidRPr="001C76DC">
        <w:rPr>
          <w:rFonts w:eastAsia="MS Mincho"/>
          <w:szCs w:val="24"/>
          <w:lang w:eastAsia="ja-JP"/>
        </w:rPr>
        <w:t xml:space="preserve">, and obtain acknowledgement of the final short list of </w:t>
      </w:r>
      <w:r w:rsidR="00997BCE" w:rsidRPr="001C76DC">
        <w:rPr>
          <w:rFonts w:eastAsia="MS Mincho"/>
          <w:szCs w:val="24"/>
          <w:lang w:eastAsia="ja-JP"/>
        </w:rPr>
        <w:t xml:space="preserve">bids for which </w:t>
      </w:r>
      <w:r w:rsidR="00F30EB7" w:rsidRPr="001C76DC">
        <w:rPr>
          <w:rFonts w:eastAsia="MS Mincho"/>
          <w:szCs w:val="24"/>
          <w:lang w:eastAsia="ja-JP"/>
        </w:rPr>
        <w:t xml:space="preserve">the utility intends to negotiate a final resource procurement or PPA.  </w:t>
      </w:r>
      <w:r w:rsidR="001B14B7" w:rsidRPr="001C76DC">
        <w:rPr>
          <w:rFonts w:eastAsia="MS Mincho"/>
          <w:szCs w:val="24"/>
          <w:lang w:eastAsia="ja-JP"/>
        </w:rPr>
        <w:t>This process will provide much needed oversight and supervision of a process that has inadequately protected customer inter</w:t>
      </w:r>
      <w:r w:rsidR="00E663EC" w:rsidRPr="001C76DC">
        <w:rPr>
          <w:rFonts w:eastAsia="MS Mincho"/>
          <w:szCs w:val="24"/>
          <w:lang w:eastAsia="ja-JP"/>
        </w:rPr>
        <w:t>e</w:t>
      </w:r>
      <w:r w:rsidR="001B14B7" w:rsidRPr="001C76DC">
        <w:rPr>
          <w:rFonts w:eastAsia="MS Mincho"/>
          <w:szCs w:val="24"/>
          <w:lang w:eastAsia="ja-JP"/>
        </w:rPr>
        <w:t>sts.</w:t>
      </w:r>
      <w:r w:rsidR="00E663EC" w:rsidRPr="001C76DC">
        <w:rPr>
          <w:rFonts w:eastAsia="MS Mincho"/>
          <w:szCs w:val="24"/>
          <w:lang w:eastAsia="ja-JP"/>
        </w:rPr>
        <w:tab/>
      </w:r>
    </w:p>
    <w:p w14:paraId="011523CF" w14:textId="4F0347EC" w:rsidR="00F11BAB" w:rsidRPr="001C76DC" w:rsidRDefault="00E663EC" w:rsidP="00663E64">
      <w:pPr>
        <w:pStyle w:val="ListParagraph"/>
        <w:numPr>
          <w:ilvl w:val="3"/>
          <w:numId w:val="33"/>
        </w:numPr>
        <w:ind w:left="2070" w:hanging="630"/>
        <w:rPr>
          <w:rFonts w:eastAsia="MS Mincho"/>
          <w:b/>
          <w:szCs w:val="24"/>
          <w:lang w:eastAsia="ja-JP"/>
        </w:rPr>
      </w:pPr>
      <w:r w:rsidRPr="001C76DC">
        <w:rPr>
          <w:rFonts w:eastAsia="MS Mincho"/>
          <w:b/>
          <w:szCs w:val="24"/>
          <w:lang w:eastAsia="ja-JP"/>
        </w:rPr>
        <w:t>The Utilities Should Obtain Approval of Their RFP</w:t>
      </w:r>
    </w:p>
    <w:p w14:paraId="6D77C4D2" w14:textId="77777777" w:rsidR="00A50471" w:rsidRPr="00A50471" w:rsidRDefault="00A50471" w:rsidP="00523449">
      <w:pPr>
        <w:ind w:hanging="540"/>
        <w:rPr>
          <w:rFonts w:eastAsia="MS Mincho"/>
          <w:szCs w:val="24"/>
          <w:lang w:eastAsia="ja-JP"/>
        </w:rPr>
      </w:pPr>
    </w:p>
    <w:p w14:paraId="240DF617" w14:textId="6EB033AF" w:rsidR="00DD07ED" w:rsidRPr="001C76DC" w:rsidRDefault="00663E64" w:rsidP="00523449">
      <w:pPr>
        <w:pStyle w:val="ListParagraph"/>
        <w:numPr>
          <w:ilvl w:val="1"/>
          <w:numId w:val="33"/>
        </w:numPr>
        <w:spacing w:line="480" w:lineRule="auto"/>
        <w:ind w:left="0" w:hanging="540"/>
        <w:rPr>
          <w:rFonts w:eastAsia="MS Mincho"/>
          <w:bCs/>
          <w:szCs w:val="24"/>
          <w:lang w:eastAsia="ja-JP"/>
        </w:rPr>
      </w:pPr>
      <w:r>
        <w:t xml:space="preserve">            </w:t>
      </w:r>
      <w:r w:rsidR="00700F39" w:rsidRPr="001C76DC">
        <w:rPr>
          <w:rFonts w:eastAsia="MS Mincho"/>
          <w:szCs w:val="24"/>
          <w:lang w:eastAsia="ja-JP"/>
        </w:rPr>
        <w:t>The current rules do not provide for meaningful review of the utilities</w:t>
      </w:r>
      <w:r w:rsidR="00997BCE" w:rsidRPr="001C76DC">
        <w:rPr>
          <w:rFonts w:eastAsia="MS Mincho"/>
          <w:szCs w:val="24"/>
          <w:lang w:eastAsia="ja-JP"/>
        </w:rPr>
        <w:t>’</w:t>
      </w:r>
      <w:r w:rsidR="00700F39" w:rsidRPr="001C76DC">
        <w:rPr>
          <w:rFonts w:eastAsia="MS Mincho"/>
          <w:szCs w:val="24"/>
          <w:lang w:eastAsia="ja-JP"/>
        </w:rPr>
        <w:t xml:space="preserve"> RFPs prior to issuance. </w:t>
      </w:r>
      <w:r w:rsidR="003832C2" w:rsidRPr="001C76DC">
        <w:rPr>
          <w:rFonts w:eastAsia="MS Mincho"/>
          <w:szCs w:val="24"/>
          <w:lang w:eastAsia="ja-JP"/>
        </w:rPr>
        <w:t xml:space="preserve"> </w:t>
      </w:r>
      <w:r w:rsidR="00700F39" w:rsidRPr="001C76DC">
        <w:rPr>
          <w:rFonts w:eastAsia="MS Mincho"/>
          <w:szCs w:val="24"/>
          <w:lang w:eastAsia="ja-JP"/>
        </w:rPr>
        <w:t xml:space="preserve">Under the rules, “[u]tilities </w:t>
      </w:r>
      <w:r w:rsidR="00700F39" w:rsidRPr="001C76DC">
        <w:rPr>
          <w:rFonts w:eastAsia="MS Mincho"/>
          <w:bCs/>
          <w:szCs w:val="24"/>
          <w:lang w:eastAsia="ja-JP"/>
        </w:rPr>
        <w:t>are encouraged to consult with commission staff during the development of the RFP”, but are permitted “at their own discretion” to determine whether to “submit draft RFPs for staff review prior to formally submitting an RFP to the commission.”</w:t>
      </w:r>
      <w:r w:rsidR="00700F39">
        <w:rPr>
          <w:rStyle w:val="FootnoteReference"/>
          <w:rFonts w:eastAsia="MS Mincho"/>
          <w:bCs/>
          <w:szCs w:val="24"/>
          <w:lang w:eastAsia="ja-JP"/>
        </w:rPr>
        <w:footnoteReference w:id="78"/>
      </w:r>
      <w:r w:rsidR="00700F39" w:rsidRPr="001C76DC">
        <w:rPr>
          <w:rFonts w:eastAsia="MS Mincho"/>
          <w:bCs/>
          <w:szCs w:val="24"/>
          <w:lang w:eastAsia="ja-JP"/>
        </w:rPr>
        <w:t xml:space="preserve"> </w:t>
      </w:r>
      <w:r w:rsidR="003832C2" w:rsidRPr="001C76DC">
        <w:rPr>
          <w:rFonts w:eastAsia="MS Mincho"/>
          <w:bCs/>
          <w:szCs w:val="24"/>
          <w:lang w:eastAsia="ja-JP"/>
        </w:rPr>
        <w:t xml:space="preserve"> </w:t>
      </w:r>
      <w:r w:rsidR="00700F39" w:rsidRPr="001C76DC">
        <w:rPr>
          <w:rFonts w:eastAsia="MS Mincho"/>
          <w:bCs/>
          <w:szCs w:val="24"/>
          <w:lang w:eastAsia="ja-JP"/>
        </w:rPr>
        <w:t xml:space="preserve">This procedural </w:t>
      </w:r>
      <w:r w:rsidR="00CC15DD" w:rsidRPr="001C76DC">
        <w:rPr>
          <w:rFonts w:eastAsia="MS Mincho"/>
          <w:bCs/>
          <w:szCs w:val="24"/>
          <w:lang w:eastAsia="ja-JP"/>
        </w:rPr>
        <w:t>informality</w:t>
      </w:r>
      <w:r w:rsidR="00700F39" w:rsidRPr="001C76DC">
        <w:rPr>
          <w:rFonts w:eastAsia="MS Mincho"/>
          <w:bCs/>
          <w:szCs w:val="24"/>
          <w:lang w:eastAsia="ja-JP"/>
        </w:rPr>
        <w:t xml:space="preserve"> </w:t>
      </w:r>
      <w:r w:rsidR="00147A2B" w:rsidRPr="001C76DC">
        <w:rPr>
          <w:rFonts w:eastAsia="MS Mincho"/>
          <w:bCs/>
          <w:szCs w:val="24"/>
          <w:lang w:eastAsia="ja-JP"/>
        </w:rPr>
        <w:t>results</w:t>
      </w:r>
      <w:r w:rsidR="00700F39" w:rsidRPr="001C76DC">
        <w:rPr>
          <w:rFonts w:eastAsia="MS Mincho"/>
          <w:bCs/>
          <w:szCs w:val="24"/>
          <w:lang w:eastAsia="ja-JP"/>
        </w:rPr>
        <w:t xml:space="preserve"> </w:t>
      </w:r>
      <w:r w:rsidR="00997BCE" w:rsidRPr="001C76DC">
        <w:rPr>
          <w:rFonts w:eastAsia="MS Mincho"/>
          <w:bCs/>
          <w:szCs w:val="24"/>
          <w:lang w:eastAsia="ja-JP"/>
        </w:rPr>
        <w:t xml:space="preserve">in </w:t>
      </w:r>
      <w:r w:rsidR="00700F39" w:rsidRPr="001C76DC">
        <w:rPr>
          <w:rFonts w:eastAsia="MS Mincho"/>
          <w:bCs/>
          <w:szCs w:val="24"/>
          <w:lang w:eastAsia="ja-JP"/>
        </w:rPr>
        <w:t xml:space="preserve">a general lack of involvement on the part of </w:t>
      </w:r>
      <w:r w:rsidR="00147A2B" w:rsidRPr="001C76DC">
        <w:rPr>
          <w:rFonts w:eastAsia="MS Mincho"/>
          <w:bCs/>
          <w:szCs w:val="24"/>
          <w:lang w:eastAsia="ja-JP"/>
        </w:rPr>
        <w:t xml:space="preserve">stakeholders and </w:t>
      </w:r>
      <w:r w:rsidR="00700F39" w:rsidRPr="001C76DC">
        <w:rPr>
          <w:rFonts w:eastAsia="MS Mincho"/>
          <w:bCs/>
          <w:szCs w:val="24"/>
          <w:lang w:eastAsia="ja-JP"/>
        </w:rPr>
        <w:t xml:space="preserve">the Commission. </w:t>
      </w:r>
      <w:r w:rsidR="00D70157" w:rsidRPr="001C76DC">
        <w:rPr>
          <w:rFonts w:eastAsia="MS Mincho"/>
          <w:bCs/>
          <w:szCs w:val="24"/>
          <w:lang w:eastAsia="ja-JP"/>
        </w:rPr>
        <w:t xml:space="preserve"> Customers, bidders and other interested s</w:t>
      </w:r>
      <w:r w:rsidR="00700F39" w:rsidRPr="001C76DC">
        <w:rPr>
          <w:rFonts w:eastAsia="MS Mincho"/>
          <w:bCs/>
          <w:szCs w:val="24"/>
          <w:lang w:eastAsia="ja-JP"/>
        </w:rPr>
        <w:t xml:space="preserve">takeholders </w:t>
      </w:r>
      <w:r w:rsidR="00D70157" w:rsidRPr="001C76DC">
        <w:rPr>
          <w:rFonts w:eastAsia="MS Mincho"/>
          <w:bCs/>
          <w:szCs w:val="24"/>
          <w:lang w:eastAsia="ja-JP"/>
        </w:rPr>
        <w:t xml:space="preserve">should have </w:t>
      </w:r>
      <w:r w:rsidR="00700F39" w:rsidRPr="001C76DC">
        <w:rPr>
          <w:rFonts w:eastAsia="MS Mincho"/>
          <w:bCs/>
          <w:szCs w:val="24"/>
          <w:lang w:eastAsia="ja-JP"/>
        </w:rPr>
        <w:t xml:space="preserve">the opportunity to comment on both the draft and the final RFPs prior to Commission approval. </w:t>
      </w:r>
    </w:p>
    <w:p w14:paraId="070A00BB" w14:textId="78BBA4D3" w:rsidR="00F0539A" w:rsidRPr="001C76DC" w:rsidRDefault="00663E64" w:rsidP="00523449">
      <w:pPr>
        <w:pStyle w:val="ListParagraph"/>
        <w:numPr>
          <w:ilvl w:val="1"/>
          <w:numId w:val="33"/>
        </w:numPr>
        <w:spacing w:line="480" w:lineRule="auto"/>
        <w:ind w:left="0" w:hanging="540"/>
        <w:rPr>
          <w:rFonts w:eastAsia="MS Mincho"/>
          <w:bCs/>
          <w:szCs w:val="24"/>
          <w:lang w:eastAsia="ja-JP"/>
        </w:rPr>
      </w:pPr>
      <w:r>
        <w:t xml:space="preserve">            </w:t>
      </w:r>
      <w:r w:rsidR="00FA7F29" w:rsidRPr="001C76DC">
        <w:rPr>
          <w:rFonts w:eastAsia="MS Mincho"/>
          <w:bCs/>
          <w:szCs w:val="24"/>
          <w:lang w:eastAsia="ja-JP"/>
        </w:rPr>
        <w:t>Currently, the Commission relies upon utilities to provide notice that it intends to submit a bid, or allow its subsidiaries or affiliates to do so, and to indicate in the RFP how it “will not gain an unfair advantage over potential nonaffiliated competitors.”</w:t>
      </w:r>
      <w:r w:rsidR="00FA7F29">
        <w:rPr>
          <w:rStyle w:val="FootnoteReference"/>
          <w:rFonts w:eastAsia="MS Mincho"/>
          <w:bCs/>
          <w:szCs w:val="24"/>
          <w:lang w:eastAsia="ja-JP"/>
        </w:rPr>
        <w:footnoteReference w:id="79"/>
      </w:r>
      <w:r w:rsidR="00F0539A" w:rsidRPr="001C76DC">
        <w:rPr>
          <w:rFonts w:eastAsia="MS Mincho"/>
          <w:bCs/>
          <w:szCs w:val="24"/>
          <w:lang w:eastAsia="ja-JP"/>
        </w:rPr>
        <w:t xml:space="preserve">  By </w:t>
      </w:r>
      <w:r w:rsidR="00997BCE" w:rsidRPr="001C76DC">
        <w:rPr>
          <w:rFonts w:eastAsia="MS Mincho"/>
          <w:bCs/>
          <w:szCs w:val="24"/>
          <w:lang w:eastAsia="ja-JP"/>
        </w:rPr>
        <w:t>allowing</w:t>
      </w:r>
      <w:r w:rsidR="00F0539A" w:rsidRPr="001C76DC">
        <w:rPr>
          <w:rFonts w:eastAsia="MS Mincho"/>
          <w:bCs/>
          <w:szCs w:val="24"/>
          <w:lang w:eastAsia="ja-JP"/>
        </w:rPr>
        <w:t xml:space="preserve"> the utility to </w:t>
      </w:r>
      <w:r w:rsidR="00997BCE" w:rsidRPr="001C76DC">
        <w:rPr>
          <w:rFonts w:eastAsia="MS Mincho"/>
          <w:bCs/>
          <w:szCs w:val="24"/>
          <w:lang w:eastAsia="ja-JP"/>
        </w:rPr>
        <w:t>“</w:t>
      </w:r>
      <w:r w:rsidR="00F0539A" w:rsidRPr="001C76DC">
        <w:rPr>
          <w:rFonts w:eastAsia="MS Mincho"/>
          <w:bCs/>
          <w:szCs w:val="24"/>
          <w:lang w:eastAsia="ja-JP"/>
        </w:rPr>
        <w:t>ensure</w:t>
      </w:r>
      <w:r w:rsidR="00997BCE" w:rsidRPr="001C76DC">
        <w:rPr>
          <w:rFonts w:eastAsia="MS Mincho"/>
          <w:bCs/>
          <w:szCs w:val="24"/>
          <w:lang w:eastAsia="ja-JP"/>
        </w:rPr>
        <w:t>”</w:t>
      </w:r>
      <w:r w:rsidR="00F0539A" w:rsidRPr="001C76DC">
        <w:rPr>
          <w:rFonts w:eastAsia="MS Mincho"/>
          <w:bCs/>
          <w:szCs w:val="24"/>
          <w:lang w:eastAsia="ja-JP"/>
        </w:rPr>
        <w:t xml:space="preserve"> that the RFP process is equitable, the Commission effectively </w:t>
      </w:r>
      <w:r w:rsidR="00997BCE" w:rsidRPr="001C76DC">
        <w:rPr>
          <w:rFonts w:eastAsia="MS Mincho"/>
          <w:bCs/>
          <w:szCs w:val="24"/>
          <w:lang w:eastAsia="ja-JP"/>
        </w:rPr>
        <w:t xml:space="preserve">delegates </w:t>
      </w:r>
      <w:r w:rsidR="00F0539A" w:rsidRPr="001C76DC">
        <w:rPr>
          <w:rFonts w:eastAsia="MS Mincho"/>
          <w:bCs/>
          <w:szCs w:val="24"/>
          <w:lang w:eastAsia="ja-JP"/>
        </w:rPr>
        <w:t>it</w:t>
      </w:r>
      <w:r w:rsidR="00997BCE" w:rsidRPr="001C76DC">
        <w:rPr>
          <w:rFonts w:eastAsia="MS Mincho"/>
          <w:bCs/>
          <w:szCs w:val="24"/>
          <w:lang w:eastAsia="ja-JP"/>
        </w:rPr>
        <w:t>s</w:t>
      </w:r>
      <w:r w:rsidR="00F0539A" w:rsidRPr="001C76DC">
        <w:rPr>
          <w:rFonts w:eastAsia="MS Mincho"/>
          <w:bCs/>
          <w:szCs w:val="24"/>
          <w:lang w:eastAsia="ja-JP"/>
        </w:rPr>
        <w:t xml:space="preserve"> authority to the very entities that are </w:t>
      </w:r>
      <w:r w:rsidR="0009077C" w:rsidRPr="001C76DC">
        <w:rPr>
          <w:rFonts w:eastAsia="MS Mincho"/>
          <w:bCs/>
          <w:szCs w:val="24"/>
          <w:lang w:eastAsia="ja-JP"/>
        </w:rPr>
        <w:t>incentivized</w:t>
      </w:r>
      <w:r w:rsidR="00F0539A" w:rsidRPr="001C76DC">
        <w:rPr>
          <w:rFonts w:eastAsia="MS Mincho"/>
          <w:bCs/>
          <w:szCs w:val="24"/>
          <w:lang w:eastAsia="ja-JP"/>
        </w:rPr>
        <w:t xml:space="preserve"> to abuse it. Bidders face unequal bargaining power and rely on the Commission for both procedural and substantive protection of the competitive market</w:t>
      </w:r>
      <w:r w:rsidR="00AA0EDE" w:rsidRPr="001C76DC">
        <w:rPr>
          <w:rFonts w:eastAsia="MS Mincho"/>
          <w:bCs/>
          <w:szCs w:val="24"/>
          <w:lang w:eastAsia="ja-JP"/>
        </w:rPr>
        <w:t xml:space="preserve"> and ratepayers</w:t>
      </w:r>
      <w:r w:rsidR="00F0539A" w:rsidRPr="001C76DC">
        <w:rPr>
          <w:rFonts w:eastAsia="MS Mincho"/>
          <w:bCs/>
          <w:szCs w:val="24"/>
          <w:lang w:eastAsia="ja-JP"/>
        </w:rPr>
        <w:t xml:space="preserve">. </w:t>
      </w:r>
    </w:p>
    <w:p w14:paraId="3CAA9496" w14:textId="51AF3434" w:rsidR="00FA7F29" w:rsidRPr="001C76DC" w:rsidRDefault="00663E64" w:rsidP="00523449">
      <w:pPr>
        <w:pStyle w:val="ListParagraph"/>
        <w:numPr>
          <w:ilvl w:val="1"/>
          <w:numId w:val="33"/>
        </w:numPr>
        <w:spacing w:line="480" w:lineRule="auto"/>
        <w:ind w:left="0" w:hanging="540"/>
        <w:rPr>
          <w:rFonts w:eastAsia="MS Mincho"/>
          <w:szCs w:val="24"/>
          <w:lang w:eastAsia="ja-JP"/>
        </w:rPr>
      </w:pPr>
      <w:r>
        <w:lastRenderedPageBreak/>
        <w:t xml:space="preserve">            </w:t>
      </w:r>
      <w:r w:rsidR="00405428" w:rsidRPr="001C76DC">
        <w:rPr>
          <w:rFonts w:eastAsia="MS Mincho"/>
          <w:bCs/>
          <w:szCs w:val="24"/>
          <w:lang w:eastAsia="ja-JP"/>
        </w:rPr>
        <w:t>WAC 480-107-015(3)(b) permits interested parties sixty days to submit written comments to the Commission on draft RFPs.</w:t>
      </w:r>
      <w:r w:rsidR="000D515D" w:rsidRPr="001C76DC">
        <w:rPr>
          <w:rFonts w:eastAsia="MS Mincho"/>
          <w:bCs/>
          <w:szCs w:val="24"/>
          <w:lang w:eastAsia="ja-JP"/>
        </w:rPr>
        <w:t xml:space="preserve">  Although the current </w:t>
      </w:r>
      <w:r w:rsidR="00A2520B" w:rsidRPr="001C76DC">
        <w:rPr>
          <w:rFonts w:eastAsia="MS Mincho"/>
          <w:bCs/>
          <w:szCs w:val="24"/>
          <w:lang w:eastAsia="ja-JP"/>
        </w:rPr>
        <w:t xml:space="preserve">RFP </w:t>
      </w:r>
      <w:r w:rsidR="000D515D" w:rsidRPr="001C76DC">
        <w:rPr>
          <w:rFonts w:eastAsia="MS Mincho"/>
          <w:bCs/>
          <w:szCs w:val="24"/>
          <w:lang w:eastAsia="ja-JP"/>
        </w:rPr>
        <w:t xml:space="preserve">process is mainly directed by utilities, NIPPC proposes </w:t>
      </w:r>
      <w:r w:rsidR="003832C2" w:rsidRPr="001C76DC">
        <w:rPr>
          <w:rFonts w:eastAsia="MS Mincho"/>
          <w:bCs/>
          <w:szCs w:val="24"/>
          <w:lang w:eastAsia="ja-JP"/>
        </w:rPr>
        <w:t>expanding</w:t>
      </w:r>
      <w:r w:rsidR="000D515D" w:rsidRPr="001C76DC">
        <w:rPr>
          <w:rFonts w:eastAsia="MS Mincho"/>
          <w:bCs/>
          <w:szCs w:val="24"/>
          <w:lang w:eastAsia="ja-JP"/>
        </w:rPr>
        <w:t xml:space="preserve"> the</w:t>
      </w:r>
      <w:r w:rsidR="00A2520B" w:rsidRPr="001C76DC">
        <w:rPr>
          <w:rFonts w:eastAsia="MS Mincho"/>
          <w:bCs/>
          <w:szCs w:val="24"/>
          <w:lang w:eastAsia="ja-JP"/>
        </w:rPr>
        <w:t xml:space="preserve"> </w:t>
      </w:r>
      <w:r w:rsidR="003832C2" w:rsidRPr="001C76DC">
        <w:rPr>
          <w:rFonts w:eastAsia="MS Mincho"/>
          <w:bCs/>
          <w:szCs w:val="24"/>
          <w:lang w:eastAsia="ja-JP"/>
        </w:rPr>
        <w:t>pre-</w:t>
      </w:r>
      <w:r w:rsidR="00A2520B" w:rsidRPr="001C76DC">
        <w:rPr>
          <w:rFonts w:eastAsia="MS Mincho"/>
          <w:bCs/>
          <w:szCs w:val="24"/>
          <w:lang w:eastAsia="ja-JP"/>
        </w:rPr>
        <w:t>RFP</w:t>
      </w:r>
      <w:r w:rsidR="000D515D" w:rsidRPr="001C76DC">
        <w:rPr>
          <w:rFonts w:eastAsia="MS Mincho"/>
          <w:bCs/>
          <w:szCs w:val="24"/>
          <w:lang w:eastAsia="ja-JP"/>
        </w:rPr>
        <w:t xml:space="preserve"> process to </w:t>
      </w:r>
      <w:r w:rsidR="00A2520B" w:rsidRPr="001C76DC">
        <w:rPr>
          <w:rFonts w:eastAsia="MS Mincho"/>
          <w:bCs/>
          <w:szCs w:val="24"/>
          <w:lang w:eastAsia="ja-JP"/>
        </w:rPr>
        <w:t>include</w:t>
      </w:r>
      <w:r w:rsidR="000D515D" w:rsidRPr="001C76DC">
        <w:rPr>
          <w:rFonts w:eastAsia="MS Mincho"/>
          <w:bCs/>
          <w:szCs w:val="24"/>
          <w:lang w:eastAsia="ja-JP"/>
        </w:rPr>
        <w:t xml:space="preserve"> m</w:t>
      </w:r>
      <w:r w:rsidR="0009077C" w:rsidRPr="001C76DC">
        <w:rPr>
          <w:rFonts w:eastAsia="MS Mincho"/>
          <w:bCs/>
          <w:szCs w:val="24"/>
          <w:lang w:eastAsia="ja-JP"/>
        </w:rPr>
        <w:t>eaningful</w:t>
      </w:r>
      <w:r w:rsidR="000D515D" w:rsidRPr="001C76DC">
        <w:rPr>
          <w:rFonts w:eastAsia="MS Mincho"/>
          <w:bCs/>
          <w:szCs w:val="24"/>
          <w:lang w:eastAsia="ja-JP"/>
        </w:rPr>
        <w:t xml:space="preserve"> Commission and stakeholder involvement.  To that end, stakeholders </w:t>
      </w:r>
      <w:r w:rsidR="0009077C" w:rsidRPr="001C76DC">
        <w:rPr>
          <w:rFonts w:eastAsia="MS Mincho"/>
          <w:bCs/>
          <w:szCs w:val="24"/>
          <w:lang w:eastAsia="ja-JP"/>
        </w:rPr>
        <w:t>and Commission staff would have</w:t>
      </w:r>
      <w:r w:rsidR="000D515D" w:rsidRPr="001C76DC">
        <w:rPr>
          <w:rFonts w:eastAsia="MS Mincho"/>
          <w:bCs/>
          <w:szCs w:val="24"/>
          <w:lang w:eastAsia="ja-JP"/>
        </w:rPr>
        <w:t xml:space="preserve"> the opportunity to make suggestions and then vet any responsive changes made by the utility befor</w:t>
      </w:r>
      <w:r w:rsidR="00A2520B" w:rsidRPr="001C76DC">
        <w:rPr>
          <w:rFonts w:eastAsia="MS Mincho"/>
          <w:bCs/>
          <w:szCs w:val="24"/>
          <w:lang w:eastAsia="ja-JP"/>
        </w:rPr>
        <w:t>e the Commission authorizes a proposed RFP</w:t>
      </w:r>
      <w:r w:rsidR="000D515D" w:rsidRPr="001C76DC">
        <w:rPr>
          <w:rFonts w:eastAsia="MS Mincho"/>
          <w:bCs/>
          <w:szCs w:val="24"/>
          <w:lang w:eastAsia="ja-JP"/>
        </w:rPr>
        <w:t>.</w:t>
      </w:r>
      <w:r w:rsidR="00A2520B" w:rsidRPr="001C76DC">
        <w:rPr>
          <w:rFonts w:eastAsia="MS Mincho"/>
          <w:bCs/>
          <w:szCs w:val="24"/>
          <w:lang w:eastAsia="ja-JP"/>
        </w:rPr>
        <w:t xml:space="preserve"> </w:t>
      </w:r>
      <w:r w:rsidR="000D515D" w:rsidRPr="001C76DC">
        <w:rPr>
          <w:rFonts w:eastAsia="MS Mincho"/>
          <w:bCs/>
          <w:szCs w:val="24"/>
          <w:lang w:eastAsia="ja-JP"/>
        </w:rPr>
        <w:t xml:space="preserve"> </w:t>
      </w:r>
      <w:r w:rsidR="00E05DDE" w:rsidRPr="001C76DC">
        <w:rPr>
          <w:rFonts w:eastAsia="MS Mincho"/>
          <w:bCs/>
          <w:szCs w:val="24"/>
          <w:lang w:eastAsia="ja-JP"/>
        </w:rPr>
        <w:t xml:space="preserve">This will </w:t>
      </w:r>
      <w:r w:rsidR="00A2520B" w:rsidRPr="001C76DC">
        <w:rPr>
          <w:rFonts w:eastAsia="MS Mincho"/>
          <w:bCs/>
          <w:szCs w:val="24"/>
          <w:lang w:eastAsia="ja-JP"/>
        </w:rPr>
        <w:t xml:space="preserve">allow stakeholders the opportunity to identify any additional problems arising from clarification or changes the utilities make during the RFP process. </w:t>
      </w:r>
    </w:p>
    <w:p w14:paraId="22843445" w14:textId="47032780" w:rsidR="00DD07ED" w:rsidRPr="001C76DC" w:rsidRDefault="00663E64" w:rsidP="00523449">
      <w:pPr>
        <w:pStyle w:val="ListParagraph"/>
        <w:numPr>
          <w:ilvl w:val="1"/>
          <w:numId w:val="33"/>
        </w:numPr>
        <w:spacing w:line="480" w:lineRule="auto"/>
        <w:ind w:left="0" w:hanging="540"/>
        <w:rPr>
          <w:rFonts w:eastAsia="MS Mincho"/>
          <w:szCs w:val="24"/>
          <w:lang w:eastAsia="ja-JP"/>
        </w:rPr>
      </w:pPr>
      <w:r>
        <w:t xml:space="preserve">            </w:t>
      </w:r>
      <w:r w:rsidR="00A2520B" w:rsidRPr="001C76DC">
        <w:rPr>
          <w:rFonts w:eastAsia="MS Mincho"/>
          <w:szCs w:val="24"/>
          <w:lang w:eastAsia="ja-JP"/>
        </w:rPr>
        <w:t xml:space="preserve">NIPPC recommends that the </w:t>
      </w:r>
      <w:r w:rsidR="002765C2" w:rsidRPr="001C76DC">
        <w:rPr>
          <w:rFonts w:eastAsia="MS Mincho"/>
          <w:szCs w:val="24"/>
          <w:lang w:eastAsia="ja-JP"/>
        </w:rPr>
        <w:t xml:space="preserve">two rounds of </w:t>
      </w:r>
      <w:r w:rsidR="00A2520B" w:rsidRPr="001C76DC">
        <w:rPr>
          <w:rFonts w:eastAsia="MS Mincho"/>
          <w:szCs w:val="24"/>
          <w:lang w:eastAsia="ja-JP"/>
        </w:rPr>
        <w:t>p</w:t>
      </w:r>
      <w:r w:rsidR="000D515D" w:rsidRPr="001C76DC">
        <w:rPr>
          <w:rFonts w:eastAsia="MS Mincho"/>
          <w:szCs w:val="24"/>
          <w:lang w:eastAsia="ja-JP"/>
        </w:rPr>
        <w:t>ublic comment focus on</w:t>
      </w:r>
      <w:r w:rsidR="00855DCB">
        <w:rPr>
          <w:rFonts w:eastAsia="MS Mincho"/>
          <w:szCs w:val="24"/>
          <w:lang w:eastAsia="ja-JP"/>
        </w:rPr>
        <w:t xml:space="preserve"> </w:t>
      </w:r>
      <w:r w:rsidR="000D515D" w:rsidRPr="001C76DC">
        <w:rPr>
          <w:rFonts w:eastAsia="MS Mincho"/>
          <w:szCs w:val="24"/>
          <w:lang w:eastAsia="ja-JP"/>
        </w:rPr>
        <w:t>whether the RFP</w:t>
      </w:r>
      <w:r w:rsidR="00855DCB">
        <w:rPr>
          <w:rFonts w:eastAsia="MS Mincho"/>
          <w:szCs w:val="24"/>
          <w:lang w:eastAsia="ja-JP"/>
        </w:rPr>
        <w:t>: 1)</w:t>
      </w:r>
      <w:r w:rsidR="000D515D" w:rsidRPr="001C76DC">
        <w:rPr>
          <w:rFonts w:eastAsia="MS Mincho"/>
          <w:szCs w:val="24"/>
          <w:lang w:eastAsia="ja-JP"/>
        </w:rPr>
        <w:t xml:space="preserve"> meets the criteria set forth in the rules</w:t>
      </w:r>
      <w:r w:rsidR="009A508F" w:rsidRPr="001C76DC">
        <w:rPr>
          <w:rFonts w:eastAsia="MS Mincho"/>
          <w:szCs w:val="24"/>
          <w:lang w:eastAsia="ja-JP"/>
        </w:rPr>
        <w:t>; 2)</w:t>
      </w:r>
      <w:r w:rsidR="000D515D" w:rsidRPr="001C76DC">
        <w:rPr>
          <w:rFonts w:eastAsia="MS Mincho"/>
          <w:szCs w:val="24"/>
          <w:lang w:eastAsia="ja-JP"/>
        </w:rPr>
        <w:t xml:space="preserve"> is consistent with the utilities’ resource planning process</w:t>
      </w:r>
      <w:r w:rsidR="009A508F" w:rsidRPr="001C76DC">
        <w:rPr>
          <w:rFonts w:eastAsia="MS Mincho"/>
          <w:szCs w:val="24"/>
          <w:lang w:eastAsia="ja-JP"/>
        </w:rPr>
        <w:t>;</w:t>
      </w:r>
      <w:r w:rsidR="000D515D" w:rsidRPr="001C76DC">
        <w:rPr>
          <w:rFonts w:eastAsia="MS Mincho"/>
          <w:szCs w:val="24"/>
          <w:lang w:eastAsia="ja-JP"/>
        </w:rPr>
        <w:t xml:space="preserve"> </w:t>
      </w:r>
      <w:r w:rsidR="00A2520B" w:rsidRPr="001C76DC">
        <w:rPr>
          <w:rFonts w:eastAsia="MS Mincho"/>
          <w:szCs w:val="24"/>
          <w:lang w:eastAsia="ja-JP"/>
        </w:rPr>
        <w:t>and</w:t>
      </w:r>
      <w:r w:rsidR="000D515D" w:rsidRPr="001C76DC">
        <w:rPr>
          <w:rFonts w:eastAsia="MS Mincho"/>
          <w:szCs w:val="24"/>
          <w:lang w:eastAsia="ja-JP"/>
        </w:rPr>
        <w:t xml:space="preserve"> </w:t>
      </w:r>
      <w:r w:rsidR="009A508F" w:rsidRPr="001C76DC">
        <w:rPr>
          <w:rFonts w:eastAsia="MS Mincho"/>
          <w:szCs w:val="24"/>
          <w:lang w:eastAsia="ja-JP"/>
        </w:rPr>
        <w:t>3) will be fair</w:t>
      </w:r>
      <w:r w:rsidR="00A2520B" w:rsidRPr="001C76DC">
        <w:rPr>
          <w:rFonts w:eastAsia="MS Mincho"/>
          <w:szCs w:val="24"/>
          <w:lang w:eastAsia="ja-JP"/>
        </w:rPr>
        <w:t xml:space="preserve">. </w:t>
      </w:r>
      <w:r w:rsidR="001F7DC9" w:rsidRPr="001C76DC">
        <w:rPr>
          <w:rFonts w:eastAsia="MS Mincho"/>
          <w:szCs w:val="24"/>
          <w:lang w:eastAsia="ja-JP"/>
        </w:rPr>
        <w:t xml:space="preserve"> Bidders</w:t>
      </w:r>
      <w:r w:rsidR="00A2520B" w:rsidRPr="001C76DC">
        <w:rPr>
          <w:rFonts w:eastAsia="MS Mincho"/>
          <w:szCs w:val="24"/>
          <w:lang w:eastAsia="ja-JP"/>
        </w:rPr>
        <w:t xml:space="preserve"> </w:t>
      </w:r>
      <w:r w:rsidR="0068165B" w:rsidRPr="001C76DC">
        <w:rPr>
          <w:rFonts w:eastAsia="MS Mincho"/>
          <w:szCs w:val="24"/>
          <w:lang w:eastAsia="ja-JP"/>
        </w:rPr>
        <w:t>vying</w:t>
      </w:r>
      <w:r w:rsidR="00A2520B" w:rsidRPr="001C76DC">
        <w:rPr>
          <w:rFonts w:eastAsia="MS Mincho"/>
          <w:szCs w:val="24"/>
          <w:lang w:eastAsia="ja-JP"/>
        </w:rPr>
        <w:t xml:space="preserve"> for utility contracts are attuned to current market conditions and </w:t>
      </w:r>
      <w:r w:rsidR="0068165B" w:rsidRPr="001C76DC">
        <w:rPr>
          <w:rFonts w:eastAsia="MS Mincho"/>
          <w:szCs w:val="24"/>
          <w:lang w:eastAsia="ja-JP"/>
        </w:rPr>
        <w:t xml:space="preserve">are </w:t>
      </w:r>
      <w:r w:rsidR="00A2520B" w:rsidRPr="001C76DC">
        <w:rPr>
          <w:rFonts w:eastAsia="MS Mincho"/>
          <w:szCs w:val="24"/>
          <w:lang w:eastAsia="ja-JP"/>
        </w:rPr>
        <w:t xml:space="preserve">uniquely positioned to identify anti-competitive behavior.  </w:t>
      </w:r>
      <w:r w:rsidR="00912EDA" w:rsidRPr="001C76DC">
        <w:rPr>
          <w:rFonts w:eastAsia="MS Mincho"/>
          <w:szCs w:val="24"/>
          <w:lang w:eastAsia="ja-JP"/>
        </w:rPr>
        <w:t xml:space="preserve">The </w:t>
      </w:r>
      <w:r w:rsidR="00A2520B" w:rsidRPr="001C76DC">
        <w:rPr>
          <w:rFonts w:eastAsia="MS Mincho"/>
          <w:szCs w:val="24"/>
          <w:lang w:eastAsia="ja-JP"/>
        </w:rPr>
        <w:t xml:space="preserve">Commission </w:t>
      </w:r>
      <w:r w:rsidR="00912EDA" w:rsidRPr="001C76DC">
        <w:rPr>
          <w:rFonts w:eastAsia="MS Mincho"/>
          <w:szCs w:val="24"/>
          <w:lang w:eastAsia="ja-JP"/>
        </w:rPr>
        <w:t>could then</w:t>
      </w:r>
      <w:r w:rsidR="00A2520B" w:rsidRPr="001C76DC">
        <w:rPr>
          <w:rFonts w:eastAsia="MS Mincho"/>
          <w:szCs w:val="24"/>
          <w:lang w:eastAsia="ja-JP"/>
        </w:rPr>
        <w:t xml:space="preserve"> modify</w:t>
      </w:r>
      <w:r w:rsidR="002765C2" w:rsidRPr="001C76DC">
        <w:rPr>
          <w:rFonts w:eastAsia="MS Mincho"/>
          <w:szCs w:val="24"/>
          <w:lang w:eastAsia="ja-JP"/>
        </w:rPr>
        <w:t xml:space="preserve"> the RFP</w:t>
      </w:r>
      <w:r w:rsidR="00A2520B" w:rsidRPr="001C76DC">
        <w:rPr>
          <w:rFonts w:eastAsia="MS Mincho"/>
          <w:szCs w:val="24"/>
          <w:lang w:eastAsia="ja-JP"/>
        </w:rPr>
        <w:t>, condition approval upon changes the Commission deem</w:t>
      </w:r>
      <w:r w:rsidR="00385BB2" w:rsidRPr="001C76DC">
        <w:rPr>
          <w:rFonts w:eastAsia="MS Mincho"/>
          <w:szCs w:val="24"/>
          <w:lang w:eastAsia="ja-JP"/>
        </w:rPr>
        <w:t>s</w:t>
      </w:r>
      <w:r w:rsidR="00855DCB">
        <w:rPr>
          <w:rFonts w:eastAsia="MS Mincho"/>
          <w:szCs w:val="24"/>
          <w:lang w:eastAsia="ja-JP"/>
        </w:rPr>
        <w:t xml:space="preserve"> necessary, or </w:t>
      </w:r>
      <w:r w:rsidR="00A2520B" w:rsidRPr="001C76DC">
        <w:rPr>
          <w:rFonts w:eastAsia="MS Mincho"/>
          <w:szCs w:val="24"/>
          <w:lang w:eastAsia="ja-JP"/>
        </w:rPr>
        <w:t>ex</w:t>
      </w:r>
      <w:r w:rsidR="00855DCB">
        <w:rPr>
          <w:rFonts w:eastAsia="MS Mincho"/>
          <w:szCs w:val="24"/>
          <w:lang w:eastAsia="ja-JP"/>
        </w:rPr>
        <w:t>tend the RFP review process, as</w:t>
      </w:r>
      <w:r w:rsidR="00A2520B" w:rsidRPr="001C76DC">
        <w:rPr>
          <w:rFonts w:eastAsia="MS Mincho"/>
          <w:szCs w:val="24"/>
          <w:lang w:eastAsia="ja-JP"/>
        </w:rPr>
        <w:t xml:space="preserve"> necessary. </w:t>
      </w:r>
    </w:p>
    <w:p w14:paraId="53024564" w14:textId="0AB7914E" w:rsidR="009B5615" w:rsidRPr="001C76DC" w:rsidRDefault="00663E64" w:rsidP="00523449">
      <w:pPr>
        <w:pStyle w:val="ListParagraph"/>
        <w:numPr>
          <w:ilvl w:val="1"/>
          <w:numId w:val="33"/>
        </w:numPr>
        <w:spacing w:line="480" w:lineRule="auto"/>
        <w:ind w:left="0" w:hanging="540"/>
        <w:rPr>
          <w:rFonts w:eastAsia="MS Mincho"/>
          <w:szCs w:val="24"/>
          <w:lang w:eastAsia="ja-JP"/>
        </w:rPr>
      </w:pPr>
      <w:r>
        <w:t xml:space="preserve">            </w:t>
      </w:r>
      <w:r w:rsidR="009B5615" w:rsidRPr="001C76DC">
        <w:rPr>
          <w:rFonts w:eastAsia="MS Mincho"/>
          <w:szCs w:val="24"/>
          <w:lang w:eastAsia="ja-JP"/>
        </w:rPr>
        <w:t xml:space="preserve">The requirement to obtain Commission approval prior to issuing an RFP </w:t>
      </w:r>
      <w:r w:rsidR="00685E1D" w:rsidRPr="001C76DC">
        <w:rPr>
          <w:rFonts w:eastAsia="MS Mincho"/>
          <w:szCs w:val="24"/>
          <w:lang w:eastAsia="ja-JP"/>
        </w:rPr>
        <w:t>can better ensure that the RFP limits u</w:t>
      </w:r>
      <w:r w:rsidR="00855DCB">
        <w:rPr>
          <w:rFonts w:eastAsia="MS Mincho"/>
          <w:szCs w:val="24"/>
          <w:lang w:eastAsia="ja-JP"/>
        </w:rPr>
        <w:t>tility bias, as well as provide</w:t>
      </w:r>
      <w:r w:rsidR="00685E1D" w:rsidRPr="001C76DC">
        <w:rPr>
          <w:rFonts w:eastAsia="MS Mincho"/>
          <w:szCs w:val="24"/>
          <w:lang w:eastAsia="ja-JP"/>
        </w:rPr>
        <w:t xml:space="preserve"> the Commission and stakeholders an opportunity to prevent a utility from making </w:t>
      </w:r>
      <w:r w:rsidR="008C47D5" w:rsidRPr="001C76DC">
        <w:rPr>
          <w:rFonts w:eastAsia="MS Mincho"/>
          <w:szCs w:val="24"/>
          <w:lang w:eastAsia="ja-JP"/>
        </w:rPr>
        <w:t xml:space="preserve">poor resource decisions.  For example, </w:t>
      </w:r>
      <w:r w:rsidR="00BE6EE2" w:rsidRPr="001C76DC">
        <w:rPr>
          <w:rFonts w:eastAsia="MS Mincho"/>
          <w:szCs w:val="24"/>
          <w:lang w:eastAsia="ja-JP"/>
        </w:rPr>
        <w:t xml:space="preserve">the </w:t>
      </w:r>
      <w:r w:rsidR="00D0724F" w:rsidRPr="001C76DC">
        <w:rPr>
          <w:rFonts w:eastAsia="MS Mincho"/>
          <w:szCs w:val="24"/>
          <w:lang w:eastAsia="ja-JP"/>
        </w:rPr>
        <w:t>OPUC</w:t>
      </w:r>
      <w:r w:rsidR="00BE6EE2" w:rsidRPr="001C76DC">
        <w:rPr>
          <w:rFonts w:eastAsia="MS Mincho"/>
          <w:szCs w:val="24"/>
          <w:lang w:eastAsia="ja-JP"/>
        </w:rPr>
        <w:t xml:space="preserve"> requires that any approved RFP must be consistent with the utility’s </w:t>
      </w:r>
      <w:r w:rsidR="0084272C" w:rsidRPr="001C76DC">
        <w:rPr>
          <w:rFonts w:eastAsia="MS Mincho"/>
          <w:szCs w:val="24"/>
          <w:lang w:eastAsia="ja-JP"/>
        </w:rPr>
        <w:t>IRP</w:t>
      </w:r>
      <w:r w:rsidR="00BE6EE2" w:rsidRPr="001C76DC">
        <w:rPr>
          <w:rFonts w:eastAsia="MS Mincho"/>
          <w:szCs w:val="24"/>
          <w:lang w:eastAsia="ja-JP"/>
        </w:rPr>
        <w:t>.</w:t>
      </w:r>
      <w:r w:rsidR="009743F1" w:rsidRPr="001C76DC">
        <w:rPr>
          <w:rFonts w:eastAsia="MS Mincho"/>
          <w:szCs w:val="24"/>
          <w:lang w:eastAsia="ja-JP"/>
        </w:rPr>
        <w:t xml:space="preserve">  While it seems d</w:t>
      </w:r>
      <w:r w:rsidR="00D0724F" w:rsidRPr="001C76DC">
        <w:rPr>
          <w:rFonts w:eastAsia="MS Mincho"/>
          <w:szCs w:val="24"/>
          <w:lang w:eastAsia="ja-JP"/>
        </w:rPr>
        <w:t>ifficult to believe now, in 2006 PacifiCorp sought OPUC approval for an RFP to acquire up to 1,9</w:t>
      </w:r>
      <w:r w:rsidR="0083222A" w:rsidRPr="001C76DC">
        <w:rPr>
          <w:rFonts w:eastAsia="MS Mincho"/>
          <w:szCs w:val="24"/>
          <w:lang w:eastAsia="ja-JP"/>
        </w:rPr>
        <w:t>17 MW of new coal fired generation</w:t>
      </w:r>
      <w:r w:rsidR="002A17D0" w:rsidRPr="001C76DC">
        <w:rPr>
          <w:rFonts w:eastAsia="MS Mincho"/>
          <w:szCs w:val="24"/>
          <w:lang w:eastAsia="ja-JP"/>
        </w:rPr>
        <w:t xml:space="preserve">, including 840 MW to 915 MW of </w:t>
      </w:r>
      <w:r w:rsidR="00941C70" w:rsidRPr="001C76DC">
        <w:rPr>
          <w:rFonts w:eastAsia="MS Mincho"/>
          <w:szCs w:val="24"/>
          <w:lang w:eastAsia="ja-JP"/>
        </w:rPr>
        <w:t>self</w:t>
      </w:r>
      <w:r w:rsidR="00941C70">
        <w:rPr>
          <w:rFonts w:eastAsia="MS Mincho"/>
          <w:szCs w:val="24"/>
          <w:lang w:eastAsia="ja-JP"/>
        </w:rPr>
        <w:t>-</w:t>
      </w:r>
      <w:r w:rsidR="002A17D0" w:rsidRPr="001C76DC">
        <w:rPr>
          <w:rFonts w:eastAsia="MS Mincho"/>
          <w:szCs w:val="24"/>
          <w:lang w:eastAsia="ja-JP"/>
        </w:rPr>
        <w:t>built generation</w:t>
      </w:r>
      <w:r w:rsidR="0083222A" w:rsidRPr="001C76DC">
        <w:rPr>
          <w:rFonts w:eastAsia="MS Mincho"/>
          <w:szCs w:val="24"/>
          <w:lang w:eastAsia="ja-JP"/>
        </w:rPr>
        <w:t>.</w:t>
      </w:r>
      <w:r w:rsidR="0083222A">
        <w:rPr>
          <w:rStyle w:val="FootnoteReference"/>
          <w:rFonts w:eastAsia="MS Mincho"/>
          <w:szCs w:val="24"/>
          <w:lang w:eastAsia="ja-JP"/>
        </w:rPr>
        <w:footnoteReference w:id="80"/>
      </w:r>
      <w:r w:rsidR="008C47D5" w:rsidRPr="001C76DC">
        <w:rPr>
          <w:rFonts w:eastAsia="MS Mincho"/>
          <w:szCs w:val="24"/>
          <w:lang w:eastAsia="ja-JP"/>
        </w:rPr>
        <w:t xml:space="preserve"> </w:t>
      </w:r>
      <w:r w:rsidR="00281FA7" w:rsidRPr="001C76DC">
        <w:rPr>
          <w:rFonts w:eastAsia="MS Mincho"/>
          <w:szCs w:val="24"/>
          <w:lang w:eastAsia="ja-JP"/>
        </w:rPr>
        <w:t xml:space="preserve"> </w:t>
      </w:r>
      <w:r w:rsidR="001A0455" w:rsidRPr="001C76DC">
        <w:rPr>
          <w:rFonts w:eastAsia="MS Mincho"/>
          <w:szCs w:val="24"/>
          <w:lang w:eastAsia="ja-JP"/>
        </w:rPr>
        <w:t xml:space="preserve">The </w:t>
      </w:r>
      <w:r w:rsidR="00281FA7" w:rsidRPr="001C76DC">
        <w:rPr>
          <w:rFonts w:eastAsia="MS Mincho"/>
          <w:szCs w:val="24"/>
          <w:lang w:eastAsia="ja-JP"/>
        </w:rPr>
        <w:t xml:space="preserve">OPUC </w:t>
      </w:r>
      <w:r w:rsidR="001A0455" w:rsidRPr="001C76DC">
        <w:rPr>
          <w:rFonts w:eastAsia="MS Mincho"/>
          <w:szCs w:val="24"/>
          <w:lang w:eastAsia="ja-JP"/>
        </w:rPr>
        <w:t xml:space="preserve">agreed with </w:t>
      </w:r>
      <w:r w:rsidR="00AF5F4F" w:rsidRPr="001C76DC">
        <w:rPr>
          <w:rFonts w:eastAsia="MS Mincho"/>
          <w:szCs w:val="24"/>
          <w:lang w:eastAsia="ja-JP"/>
        </w:rPr>
        <w:t>the arguments of</w:t>
      </w:r>
      <w:r w:rsidR="00941C70">
        <w:rPr>
          <w:rFonts w:eastAsia="MS Mincho"/>
          <w:szCs w:val="24"/>
          <w:lang w:eastAsia="ja-JP"/>
        </w:rPr>
        <w:t xml:space="preserve"> its</w:t>
      </w:r>
      <w:r w:rsidR="00AF5F4F" w:rsidRPr="001C76DC">
        <w:rPr>
          <w:rFonts w:eastAsia="MS Mincho"/>
          <w:szCs w:val="24"/>
          <w:lang w:eastAsia="ja-JP"/>
        </w:rPr>
        <w:t xml:space="preserve"> </w:t>
      </w:r>
      <w:r w:rsidR="00941C70">
        <w:rPr>
          <w:rFonts w:eastAsia="MS Mincho"/>
          <w:szCs w:val="24"/>
          <w:lang w:eastAsia="ja-JP"/>
        </w:rPr>
        <w:t>s</w:t>
      </w:r>
      <w:r w:rsidR="001A0455" w:rsidRPr="001C76DC">
        <w:rPr>
          <w:rFonts w:eastAsia="MS Mincho"/>
          <w:szCs w:val="24"/>
          <w:lang w:eastAsia="ja-JP"/>
        </w:rPr>
        <w:t xml:space="preserve">taff and customers and did not approve the RFP because it was inconsistent with the </w:t>
      </w:r>
      <w:r w:rsidR="001A0455" w:rsidRPr="001C76DC">
        <w:rPr>
          <w:rFonts w:eastAsia="MS Mincho"/>
          <w:szCs w:val="24"/>
          <w:lang w:eastAsia="ja-JP"/>
        </w:rPr>
        <w:lastRenderedPageBreak/>
        <w:t>Company’s acknowledged IRP.</w:t>
      </w:r>
      <w:r w:rsidR="00AF5F4F">
        <w:rPr>
          <w:rStyle w:val="FootnoteReference"/>
          <w:rFonts w:eastAsia="MS Mincho"/>
          <w:szCs w:val="24"/>
          <w:lang w:eastAsia="ja-JP"/>
        </w:rPr>
        <w:footnoteReference w:id="81"/>
      </w:r>
      <w:r w:rsidR="00AF5F4F" w:rsidRPr="001C76DC">
        <w:rPr>
          <w:rFonts w:eastAsia="MS Mincho"/>
          <w:szCs w:val="24"/>
          <w:lang w:eastAsia="ja-JP"/>
        </w:rPr>
        <w:t xml:space="preserve"> </w:t>
      </w:r>
      <w:r w:rsidR="00BF45F8" w:rsidRPr="001C76DC">
        <w:rPr>
          <w:rFonts w:eastAsia="MS Mincho"/>
          <w:szCs w:val="24"/>
          <w:lang w:eastAsia="ja-JP"/>
        </w:rPr>
        <w:t xml:space="preserve"> PacifiCorp went forward with the RFP, but ultimately concluded that it was not a good decision </w:t>
      </w:r>
      <w:r w:rsidR="00A30125" w:rsidRPr="001C76DC">
        <w:rPr>
          <w:rFonts w:eastAsia="MS Mincho"/>
          <w:szCs w:val="24"/>
          <w:lang w:eastAsia="ja-JP"/>
        </w:rPr>
        <w:t xml:space="preserve">to build any new coal plants, </w:t>
      </w:r>
      <w:r w:rsidR="0009077C" w:rsidRPr="001C76DC">
        <w:rPr>
          <w:rFonts w:eastAsia="MS Mincho"/>
          <w:szCs w:val="24"/>
          <w:lang w:eastAsia="ja-JP"/>
        </w:rPr>
        <w:t>thereby</w:t>
      </w:r>
      <w:r w:rsidR="00A30125" w:rsidRPr="001C76DC">
        <w:rPr>
          <w:rFonts w:eastAsia="MS Mincho"/>
          <w:szCs w:val="24"/>
          <w:lang w:eastAsia="ja-JP"/>
        </w:rPr>
        <w:t xml:space="preserve"> sav</w:t>
      </w:r>
      <w:r w:rsidR="0009077C" w:rsidRPr="001C76DC">
        <w:rPr>
          <w:rFonts w:eastAsia="MS Mincho"/>
          <w:szCs w:val="24"/>
          <w:lang w:eastAsia="ja-JP"/>
        </w:rPr>
        <w:t>ing</w:t>
      </w:r>
      <w:r w:rsidR="00A30125" w:rsidRPr="001C76DC">
        <w:rPr>
          <w:rFonts w:eastAsia="MS Mincho"/>
          <w:szCs w:val="24"/>
          <w:lang w:eastAsia="ja-JP"/>
        </w:rPr>
        <w:t xml:space="preserve"> ratepayers hundreds of millions of dollars.  </w:t>
      </w:r>
    </w:p>
    <w:p w14:paraId="4B1BAD15" w14:textId="60AFD724" w:rsidR="00E05DDE" w:rsidRPr="001C76DC" w:rsidRDefault="005800EF" w:rsidP="00663E64">
      <w:pPr>
        <w:pStyle w:val="ListParagraph"/>
        <w:numPr>
          <w:ilvl w:val="3"/>
          <w:numId w:val="37"/>
        </w:numPr>
        <w:ind w:left="2070" w:hanging="630"/>
        <w:rPr>
          <w:rFonts w:eastAsia="MS Mincho"/>
          <w:b/>
          <w:szCs w:val="24"/>
          <w:lang w:eastAsia="ja-JP"/>
        </w:rPr>
      </w:pPr>
      <w:r w:rsidRPr="001C76DC">
        <w:rPr>
          <w:rFonts w:eastAsia="MS Mincho"/>
          <w:b/>
          <w:szCs w:val="24"/>
          <w:lang w:eastAsia="ja-JP"/>
        </w:rPr>
        <w:t>The Commission Should Expand the Requirements for a Fair RFP</w:t>
      </w:r>
    </w:p>
    <w:p w14:paraId="1C9FD8BC" w14:textId="77777777" w:rsidR="000067DE" w:rsidRPr="00083ADD" w:rsidRDefault="000067DE" w:rsidP="00523449">
      <w:pPr>
        <w:ind w:hanging="540"/>
        <w:rPr>
          <w:rFonts w:eastAsia="MS Mincho"/>
          <w:szCs w:val="24"/>
          <w:lang w:eastAsia="ja-JP"/>
        </w:rPr>
      </w:pPr>
    </w:p>
    <w:p w14:paraId="73C852A0" w14:textId="67E42320" w:rsidR="00F144EF" w:rsidRPr="001C76DC" w:rsidRDefault="00663E64" w:rsidP="00523449">
      <w:pPr>
        <w:pStyle w:val="ListParagraph"/>
        <w:numPr>
          <w:ilvl w:val="1"/>
          <w:numId w:val="33"/>
        </w:numPr>
        <w:spacing w:line="480" w:lineRule="auto"/>
        <w:ind w:left="0" w:hanging="540"/>
        <w:rPr>
          <w:rFonts w:eastAsia="MS Mincho"/>
          <w:szCs w:val="24"/>
          <w:lang w:eastAsia="ja-JP"/>
        </w:rPr>
      </w:pPr>
      <w:r>
        <w:t xml:space="preserve">            </w:t>
      </w:r>
      <w:r w:rsidR="00083ADD" w:rsidRPr="001C76DC">
        <w:rPr>
          <w:rFonts w:eastAsia="MS Mincho"/>
          <w:szCs w:val="24"/>
          <w:lang w:eastAsia="ja-JP"/>
        </w:rPr>
        <w:t xml:space="preserve">The Commission’s </w:t>
      </w:r>
      <w:r w:rsidR="00AA43FA" w:rsidRPr="001C76DC">
        <w:rPr>
          <w:rFonts w:eastAsia="MS Mincho"/>
          <w:szCs w:val="24"/>
          <w:lang w:eastAsia="ja-JP"/>
        </w:rPr>
        <w:t>competitive bidding</w:t>
      </w:r>
      <w:r w:rsidR="00083ADD" w:rsidRPr="001C76DC">
        <w:rPr>
          <w:rFonts w:eastAsia="MS Mincho"/>
          <w:szCs w:val="24"/>
          <w:lang w:eastAsia="ja-JP"/>
        </w:rPr>
        <w:t xml:space="preserve"> rules </w:t>
      </w:r>
      <w:r w:rsidR="00AA43FA" w:rsidRPr="001C76DC">
        <w:rPr>
          <w:rFonts w:eastAsia="MS Mincho"/>
          <w:szCs w:val="24"/>
          <w:lang w:eastAsia="ja-JP"/>
        </w:rPr>
        <w:t xml:space="preserve">have only minimal requirements to identify the resource need identified in the IRP.  Currently the solicitation must, </w:t>
      </w:r>
      <w:r w:rsidR="00AA43FA" w:rsidRPr="001C76DC">
        <w:rPr>
          <w:rFonts w:eastAsia="MS Mincho"/>
          <w:bCs/>
          <w:szCs w:val="24"/>
          <w:lang w:eastAsia="ja-JP"/>
        </w:rPr>
        <w:t>“explain general evaluation and ranking procedures the utility will use” and “specify any minimum criteria that bidders must satisfy”</w:t>
      </w:r>
      <w:r w:rsidR="00BA75BA" w:rsidRPr="001C76DC">
        <w:rPr>
          <w:rFonts w:eastAsia="MS Mincho"/>
          <w:bCs/>
          <w:szCs w:val="24"/>
          <w:lang w:eastAsia="ja-JP"/>
        </w:rPr>
        <w:t xml:space="preserve"> as well as</w:t>
      </w:r>
      <w:r w:rsidR="00AA43FA" w:rsidRPr="001C76DC">
        <w:rPr>
          <w:rFonts w:eastAsia="MS Mincho"/>
          <w:bCs/>
          <w:szCs w:val="24"/>
          <w:lang w:eastAsia="ja-JP"/>
        </w:rPr>
        <w:t xml:space="preserve"> “identify all security requirements and the rationale for them.”</w:t>
      </w:r>
      <w:r w:rsidR="00BA75BA">
        <w:rPr>
          <w:rStyle w:val="FootnoteReference"/>
          <w:rFonts w:eastAsia="MS Mincho"/>
          <w:bCs/>
          <w:szCs w:val="24"/>
          <w:lang w:eastAsia="ja-JP"/>
        </w:rPr>
        <w:footnoteReference w:id="82"/>
      </w:r>
      <w:r w:rsidR="00BA75BA" w:rsidRPr="001C76DC">
        <w:rPr>
          <w:rFonts w:eastAsia="MS Mincho"/>
          <w:bCs/>
          <w:szCs w:val="24"/>
          <w:lang w:eastAsia="ja-JP"/>
        </w:rPr>
        <w:t xml:space="preserve"> </w:t>
      </w:r>
      <w:r w:rsidR="00AA7567" w:rsidRPr="001C76DC">
        <w:rPr>
          <w:rFonts w:eastAsia="MS Mincho"/>
          <w:bCs/>
          <w:szCs w:val="24"/>
          <w:lang w:eastAsia="ja-JP"/>
        </w:rPr>
        <w:t xml:space="preserve"> U</w:t>
      </w:r>
      <w:r w:rsidR="00BA75BA" w:rsidRPr="001C76DC">
        <w:rPr>
          <w:rFonts w:eastAsia="MS Mincho"/>
          <w:bCs/>
          <w:szCs w:val="24"/>
          <w:lang w:eastAsia="ja-JP"/>
        </w:rPr>
        <w:t>nlike the wholesale energy markets, these requirements have not substantively changed since adopted in 1989.</w:t>
      </w:r>
      <w:r w:rsidR="00BA75BA">
        <w:rPr>
          <w:rStyle w:val="FootnoteReference"/>
          <w:rFonts w:eastAsia="MS Mincho"/>
          <w:bCs/>
          <w:szCs w:val="24"/>
          <w:lang w:eastAsia="ja-JP"/>
        </w:rPr>
        <w:footnoteReference w:id="83"/>
      </w:r>
      <w:r w:rsidR="00F144EF" w:rsidRPr="001C76DC">
        <w:rPr>
          <w:rFonts w:eastAsia="MS Mincho"/>
          <w:bCs/>
          <w:szCs w:val="24"/>
          <w:lang w:eastAsia="ja-JP"/>
        </w:rPr>
        <w:t xml:space="preserve">  The current rules include a </w:t>
      </w:r>
      <w:r w:rsidR="00B37D7C" w:rsidRPr="001C76DC">
        <w:rPr>
          <w:rFonts w:eastAsia="MS Mincho"/>
          <w:bCs/>
          <w:szCs w:val="24"/>
          <w:lang w:eastAsia="ja-JP"/>
        </w:rPr>
        <w:t>reasonable</w:t>
      </w:r>
      <w:r w:rsidR="00F144EF" w:rsidRPr="001C76DC">
        <w:rPr>
          <w:rFonts w:eastAsia="MS Mincho"/>
          <w:bCs/>
          <w:szCs w:val="24"/>
          <w:lang w:eastAsia="ja-JP"/>
        </w:rPr>
        <w:t xml:space="preserve"> list of project ranking criteria, which should be expanded </w:t>
      </w:r>
      <w:r w:rsidR="004E4074" w:rsidRPr="001C76DC">
        <w:rPr>
          <w:rFonts w:eastAsia="MS Mincho"/>
          <w:bCs/>
          <w:szCs w:val="24"/>
          <w:lang w:eastAsia="ja-JP"/>
        </w:rPr>
        <w:t>to address the needs of a modern RFP</w:t>
      </w:r>
      <w:r w:rsidR="00F144EF" w:rsidRPr="001C76DC">
        <w:rPr>
          <w:rFonts w:eastAsia="MS Mincho"/>
          <w:bCs/>
          <w:szCs w:val="24"/>
          <w:lang w:eastAsia="ja-JP"/>
        </w:rPr>
        <w:t>.</w:t>
      </w:r>
      <w:r w:rsidR="004E4074">
        <w:rPr>
          <w:rStyle w:val="FootnoteReference"/>
          <w:rFonts w:eastAsia="MS Mincho"/>
          <w:bCs/>
          <w:szCs w:val="24"/>
          <w:lang w:eastAsia="ja-JP"/>
        </w:rPr>
        <w:footnoteReference w:id="84"/>
      </w:r>
      <w:r w:rsidR="00F144EF" w:rsidRPr="001C76DC">
        <w:rPr>
          <w:rFonts w:eastAsia="MS Mincho"/>
          <w:bCs/>
          <w:szCs w:val="24"/>
          <w:lang w:eastAsia="ja-JP"/>
        </w:rPr>
        <w:t xml:space="preserve"> </w:t>
      </w:r>
    </w:p>
    <w:p w14:paraId="74CA5FB7" w14:textId="6BF3BB62" w:rsidR="00386565" w:rsidRPr="001C76DC" w:rsidRDefault="00663E64" w:rsidP="00523449">
      <w:pPr>
        <w:pStyle w:val="ListParagraph"/>
        <w:numPr>
          <w:ilvl w:val="1"/>
          <w:numId w:val="33"/>
        </w:numPr>
        <w:spacing w:line="480" w:lineRule="auto"/>
        <w:ind w:left="0" w:hanging="540"/>
        <w:rPr>
          <w:rFonts w:eastAsia="MS Mincho"/>
          <w:bCs/>
          <w:szCs w:val="24"/>
          <w:lang w:eastAsia="ja-JP"/>
        </w:rPr>
      </w:pPr>
      <w:r>
        <w:t xml:space="preserve">            </w:t>
      </w:r>
      <w:r w:rsidR="00F144EF" w:rsidRPr="001C76DC">
        <w:rPr>
          <w:rFonts w:eastAsia="MS Mincho"/>
          <w:szCs w:val="24"/>
          <w:lang w:eastAsia="ja-JP"/>
        </w:rPr>
        <w:t>NIPPC therefore recommends that Commission provide structure and specificity that connects the specific n</w:t>
      </w:r>
      <w:r w:rsidR="00FB2220">
        <w:rPr>
          <w:rFonts w:eastAsia="MS Mincho"/>
          <w:szCs w:val="24"/>
          <w:lang w:eastAsia="ja-JP"/>
        </w:rPr>
        <w:t>eed identified in a utility’s I</w:t>
      </w:r>
      <w:r w:rsidR="00F144EF" w:rsidRPr="001C76DC">
        <w:rPr>
          <w:rFonts w:eastAsia="MS Mincho"/>
          <w:szCs w:val="24"/>
          <w:lang w:eastAsia="ja-JP"/>
        </w:rPr>
        <w:t>R</w:t>
      </w:r>
      <w:r w:rsidR="00FB2220">
        <w:rPr>
          <w:rFonts w:eastAsia="MS Mincho"/>
          <w:szCs w:val="24"/>
          <w:lang w:eastAsia="ja-JP"/>
        </w:rPr>
        <w:t>P</w:t>
      </w:r>
      <w:r w:rsidR="00F144EF" w:rsidRPr="001C76DC">
        <w:rPr>
          <w:rFonts w:eastAsia="MS Mincho"/>
          <w:szCs w:val="24"/>
          <w:lang w:eastAsia="ja-JP"/>
        </w:rPr>
        <w:t xml:space="preserve"> with that utility’s </w:t>
      </w:r>
      <w:r w:rsidR="00F144EF" w:rsidRPr="001C76DC">
        <w:rPr>
          <w:rFonts w:eastAsia="MS Mincho"/>
          <w:szCs w:val="24"/>
          <w:lang w:eastAsia="ja-JP"/>
        </w:rPr>
        <w:lastRenderedPageBreak/>
        <w:t>corresponding RFP.</w:t>
      </w:r>
      <w:r w:rsidR="00AF713C" w:rsidRPr="001C76DC">
        <w:rPr>
          <w:rFonts w:eastAsia="MS Mincho"/>
          <w:szCs w:val="24"/>
          <w:lang w:eastAsia="ja-JP"/>
        </w:rPr>
        <w:t xml:space="preserve">  A non-exhaustive list of some of the key information that should be reviewed to determine if the RFP is fair</w:t>
      </w:r>
      <w:r w:rsidR="00E204D5" w:rsidRPr="001C76DC">
        <w:rPr>
          <w:rFonts w:eastAsia="MS Mincho"/>
          <w:szCs w:val="24"/>
          <w:lang w:eastAsia="ja-JP"/>
        </w:rPr>
        <w:t xml:space="preserve"> includes:</w:t>
      </w:r>
    </w:p>
    <w:p w14:paraId="48AD3513" w14:textId="648FED9D" w:rsidR="00F144EF" w:rsidRPr="001C76DC" w:rsidRDefault="00D467EC" w:rsidP="00663E64">
      <w:pPr>
        <w:pStyle w:val="ListParagraph"/>
        <w:numPr>
          <w:ilvl w:val="3"/>
          <w:numId w:val="37"/>
        </w:numPr>
        <w:ind w:left="2070" w:hanging="630"/>
        <w:rPr>
          <w:rFonts w:eastAsia="MS Mincho"/>
          <w:b/>
          <w:szCs w:val="24"/>
          <w:lang w:eastAsia="ja-JP"/>
        </w:rPr>
      </w:pPr>
      <w:r w:rsidRPr="001C76DC">
        <w:rPr>
          <w:rFonts w:eastAsia="MS Mincho"/>
          <w:b/>
          <w:bCs/>
          <w:szCs w:val="24"/>
          <w:lang w:eastAsia="ja-JP"/>
        </w:rPr>
        <w:t xml:space="preserve">Bidders Should Be Provided </w:t>
      </w:r>
      <w:r w:rsidR="00BA75BA" w:rsidRPr="001C76DC">
        <w:rPr>
          <w:rFonts w:eastAsia="MS Mincho"/>
          <w:b/>
          <w:bCs/>
          <w:szCs w:val="24"/>
          <w:lang w:eastAsia="ja-JP"/>
        </w:rPr>
        <w:t xml:space="preserve">Details on Bid Scoring </w:t>
      </w:r>
    </w:p>
    <w:p w14:paraId="050D01C7" w14:textId="77777777" w:rsidR="00F144EF" w:rsidRDefault="00F144EF" w:rsidP="00523449">
      <w:pPr>
        <w:ind w:hanging="540"/>
        <w:rPr>
          <w:rFonts w:eastAsia="MS Mincho"/>
          <w:b/>
          <w:bCs/>
          <w:szCs w:val="24"/>
          <w:lang w:eastAsia="ja-JP"/>
        </w:rPr>
      </w:pPr>
    </w:p>
    <w:p w14:paraId="292ED04C" w14:textId="6BBC9909" w:rsidR="00783BD1" w:rsidRPr="001C76DC" w:rsidRDefault="00663E64" w:rsidP="00523449">
      <w:pPr>
        <w:pStyle w:val="ListParagraph"/>
        <w:numPr>
          <w:ilvl w:val="1"/>
          <w:numId w:val="33"/>
        </w:numPr>
        <w:spacing w:line="480" w:lineRule="auto"/>
        <w:ind w:left="0" w:hanging="540"/>
        <w:rPr>
          <w:rFonts w:eastAsia="MS Mincho"/>
          <w:lang w:eastAsia="ja-JP"/>
        </w:rPr>
      </w:pPr>
      <w:r>
        <w:t xml:space="preserve">            </w:t>
      </w:r>
      <w:r w:rsidR="00D467EC" w:rsidRPr="001C76DC">
        <w:rPr>
          <w:rFonts w:eastAsia="MS Mincho"/>
          <w:szCs w:val="24"/>
          <w:lang w:eastAsia="ja-JP"/>
        </w:rPr>
        <w:t xml:space="preserve">The </w:t>
      </w:r>
      <w:r w:rsidR="006743F3" w:rsidRPr="001C76DC">
        <w:rPr>
          <w:rFonts w:eastAsia="MS Mincho"/>
          <w:szCs w:val="24"/>
          <w:lang w:eastAsia="ja-JP"/>
        </w:rPr>
        <w:t xml:space="preserve">RFP should be designed </w:t>
      </w:r>
      <w:r w:rsidR="00FB2220">
        <w:rPr>
          <w:rFonts w:eastAsia="MS Mincho"/>
          <w:szCs w:val="24"/>
          <w:lang w:eastAsia="ja-JP"/>
        </w:rPr>
        <w:t xml:space="preserve">so that bidders </w:t>
      </w:r>
      <w:r w:rsidR="006743F3" w:rsidRPr="001C76DC">
        <w:rPr>
          <w:rFonts w:eastAsia="MS Mincho"/>
          <w:szCs w:val="24"/>
          <w:lang w:eastAsia="ja-JP"/>
        </w:rPr>
        <w:t>understand what sort of resource the utility wants</w:t>
      </w:r>
      <w:r w:rsidR="00FB2220">
        <w:rPr>
          <w:rFonts w:eastAsia="MS Mincho"/>
          <w:szCs w:val="24"/>
          <w:lang w:eastAsia="ja-JP"/>
        </w:rPr>
        <w:t xml:space="preserve"> in order to submit</w:t>
      </w:r>
      <w:r w:rsidR="00AE6EF4" w:rsidRPr="001C76DC">
        <w:rPr>
          <w:rFonts w:eastAsia="MS Mincho"/>
          <w:szCs w:val="24"/>
          <w:lang w:eastAsia="ja-JP"/>
        </w:rPr>
        <w:t xml:space="preserve"> bids</w:t>
      </w:r>
      <w:r w:rsidR="00F20581" w:rsidRPr="001C76DC">
        <w:rPr>
          <w:rFonts w:eastAsia="MS Mincho"/>
          <w:szCs w:val="24"/>
          <w:lang w:eastAsia="ja-JP"/>
        </w:rPr>
        <w:t xml:space="preserve"> that meet these needs.  </w:t>
      </w:r>
      <w:r w:rsidR="00ED4E03" w:rsidRPr="001C76DC">
        <w:rPr>
          <w:rFonts w:eastAsia="MS Mincho"/>
          <w:szCs w:val="24"/>
          <w:lang w:eastAsia="ja-JP"/>
        </w:rPr>
        <w:t xml:space="preserve">Utilities do not always provide detailed scoring, but can provide vague scoring categories </w:t>
      </w:r>
      <w:r w:rsidR="009032D7" w:rsidRPr="001C76DC">
        <w:rPr>
          <w:rFonts w:eastAsia="MS Mincho"/>
          <w:szCs w:val="24"/>
          <w:lang w:eastAsia="ja-JP"/>
        </w:rPr>
        <w:t>that make</w:t>
      </w:r>
      <w:r w:rsidR="00ED4E03" w:rsidRPr="001C76DC">
        <w:rPr>
          <w:rFonts w:eastAsia="MS Mincho"/>
          <w:szCs w:val="24"/>
          <w:lang w:eastAsia="ja-JP"/>
        </w:rPr>
        <w:t xml:space="preserve"> </w:t>
      </w:r>
      <w:r w:rsidR="009032D7" w:rsidRPr="001C76DC">
        <w:rPr>
          <w:rFonts w:eastAsia="MS Mincho"/>
          <w:szCs w:val="24"/>
          <w:lang w:eastAsia="ja-JP"/>
        </w:rPr>
        <w:t>i</w:t>
      </w:r>
      <w:r w:rsidR="00234CD4" w:rsidRPr="001C76DC">
        <w:rPr>
          <w:rFonts w:eastAsia="MS Mincho"/>
          <w:szCs w:val="24"/>
          <w:lang w:eastAsia="ja-JP"/>
        </w:rPr>
        <w:t>t hard for bidders</w:t>
      </w:r>
      <w:r w:rsidR="009A475D" w:rsidRPr="001C76DC">
        <w:rPr>
          <w:rFonts w:eastAsia="MS Mincho"/>
          <w:szCs w:val="24"/>
          <w:lang w:eastAsia="ja-JP"/>
        </w:rPr>
        <w:t xml:space="preserve"> </w:t>
      </w:r>
      <w:r w:rsidR="00234CD4" w:rsidRPr="001C76DC">
        <w:rPr>
          <w:rFonts w:eastAsia="MS Mincho"/>
          <w:szCs w:val="24"/>
          <w:lang w:eastAsia="ja-JP"/>
        </w:rPr>
        <w:t xml:space="preserve">to submit bids that </w:t>
      </w:r>
      <w:r w:rsidR="00446F52">
        <w:rPr>
          <w:rFonts w:eastAsia="MS Mincho"/>
          <w:szCs w:val="24"/>
          <w:lang w:eastAsia="ja-JP"/>
        </w:rPr>
        <w:t>meet their needs,</w:t>
      </w:r>
      <w:r w:rsidR="00234CD4" w:rsidRPr="001C76DC">
        <w:rPr>
          <w:rFonts w:eastAsia="MS Mincho"/>
          <w:szCs w:val="24"/>
          <w:lang w:eastAsia="ja-JP"/>
        </w:rPr>
        <w:t xml:space="preserve"> unless they are provided </w:t>
      </w:r>
      <w:r w:rsidR="006A2607" w:rsidRPr="001C76DC">
        <w:rPr>
          <w:rFonts w:eastAsia="MS Mincho"/>
          <w:szCs w:val="24"/>
          <w:lang w:eastAsia="ja-JP"/>
        </w:rPr>
        <w:t xml:space="preserve">sufficiently detailed </w:t>
      </w:r>
      <w:r w:rsidR="00234CD4" w:rsidRPr="001C76DC">
        <w:rPr>
          <w:rFonts w:eastAsia="MS Mincho"/>
          <w:szCs w:val="24"/>
          <w:lang w:eastAsia="ja-JP"/>
        </w:rPr>
        <w:t xml:space="preserve">scoring </w:t>
      </w:r>
      <w:r w:rsidR="006A2607" w:rsidRPr="001C76DC">
        <w:rPr>
          <w:rFonts w:eastAsia="MS Mincho"/>
          <w:szCs w:val="24"/>
          <w:lang w:eastAsia="ja-JP"/>
        </w:rPr>
        <w:t>criteria and weigh</w:t>
      </w:r>
      <w:r w:rsidR="00997BCE" w:rsidRPr="001C76DC">
        <w:rPr>
          <w:rFonts w:eastAsia="MS Mincho"/>
          <w:szCs w:val="24"/>
          <w:lang w:eastAsia="ja-JP"/>
        </w:rPr>
        <w:t>t</w:t>
      </w:r>
      <w:r w:rsidR="006A2607" w:rsidRPr="001C76DC">
        <w:rPr>
          <w:rFonts w:eastAsia="MS Mincho"/>
          <w:szCs w:val="24"/>
          <w:lang w:eastAsia="ja-JP"/>
        </w:rPr>
        <w:t xml:space="preserve">ing. </w:t>
      </w:r>
      <w:r w:rsidR="00783BD1" w:rsidRPr="001C76DC">
        <w:rPr>
          <w:rFonts w:eastAsia="MS Mincho"/>
          <w:szCs w:val="24"/>
          <w:lang w:eastAsia="ja-JP"/>
        </w:rPr>
        <w:t xml:space="preserve"> Instead, </w:t>
      </w:r>
      <w:r w:rsidR="00783BD1" w:rsidRPr="001C76DC">
        <w:rPr>
          <w:rFonts w:eastAsia="MS Mincho"/>
          <w:lang w:eastAsia="ja-JP"/>
        </w:rPr>
        <w:t xml:space="preserve">there should be a transparent bidding process that </w:t>
      </w:r>
      <w:r w:rsidR="00E514B4" w:rsidRPr="001C76DC">
        <w:rPr>
          <w:rFonts w:eastAsia="MS Mincho"/>
          <w:lang w:eastAsia="ja-JP"/>
        </w:rPr>
        <w:t xml:space="preserve">provides sufficient detailed </w:t>
      </w:r>
      <w:r w:rsidR="004655D5" w:rsidRPr="001C76DC">
        <w:rPr>
          <w:rFonts w:eastAsia="MS Mincho"/>
          <w:lang w:eastAsia="ja-JP"/>
        </w:rPr>
        <w:t>s</w:t>
      </w:r>
      <w:r w:rsidR="00E514B4" w:rsidRPr="001C76DC">
        <w:rPr>
          <w:rFonts w:eastAsia="MS Mincho"/>
          <w:lang w:eastAsia="ja-JP"/>
        </w:rPr>
        <w:t>coring that</w:t>
      </w:r>
      <w:r w:rsidR="00783BD1" w:rsidRPr="001C76DC">
        <w:rPr>
          <w:rFonts w:eastAsia="MS Mincho"/>
          <w:lang w:eastAsia="ja-JP"/>
        </w:rPr>
        <w:t xml:space="preserve"> will </w:t>
      </w:r>
      <w:r w:rsidR="00E514B4" w:rsidRPr="001C76DC">
        <w:rPr>
          <w:rFonts w:eastAsia="MS Mincho"/>
          <w:lang w:eastAsia="ja-JP"/>
        </w:rPr>
        <w:t>allow</w:t>
      </w:r>
      <w:r w:rsidR="00783BD1" w:rsidRPr="001C76DC">
        <w:rPr>
          <w:rFonts w:eastAsia="MS Mincho"/>
          <w:lang w:eastAsia="ja-JP"/>
        </w:rPr>
        <w:t xml:space="preserve"> bid</w:t>
      </w:r>
      <w:r w:rsidR="00E514B4" w:rsidRPr="001C76DC">
        <w:rPr>
          <w:rFonts w:eastAsia="MS Mincho"/>
          <w:lang w:eastAsia="ja-JP"/>
        </w:rPr>
        <w:t>der</w:t>
      </w:r>
      <w:r w:rsidR="00D22826">
        <w:rPr>
          <w:rFonts w:eastAsia="MS Mincho"/>
          <w:lang w:eastAsia="ja-JP"/>
        </w:rPr>
        <w:t>s</w:t>
      </w:r>
      <w:r w:rsidR="00E514B4" w:rsidRPr="001C76DC">
        <w:rPr>
          <w:rFonts w:eastAsia="MS Mincho"/>
          <w:lang w:eastAsia="ja-JP"/>
        </w:rPr>
        <w:t xml:space="preserve"> to provide focused bids.</w:t>
      </w:r>
      <w:r w:rsidR="00E514B4">
        <w:rPr>
          <w:rStyle w:val="FootnoteReference"/>
          <w:rFonts w:eastAsia="MS Mincho"/>
          <w:lang w:eastAsia="ja-JP"/>
        </w:rPr>
        <w:footnoteReference w:id="85"/>
      </w:r>
      <w:r w:rsidR="00E514B4" w:rsidRPr="001C76DC">
        <w:rPr>
          <w:rFonts w:eastAsia="MS Mincho"/>
          <w:lang w:eastAsia="ja-JP"/>
        </w:rPr>
        <w:t xml:space="preserve"> </w:t>
      </w:r>
    </w:p>
    <w:p w14:paraId="132D09CD" w14:textId="6A17BB98" w:rsidR="00F144EF" w:rsidRPr="001C76DC" w:rsidRDefault="00663E64" w:rsidP="00523449">
      <w:pPr>
        <w:pStyle w:val="ListParagraph"/>
        <w:numPr>
          <w:ilvl w:val="1"/>
          <w:numId w:val="33"/>
        </w:numPr>
        <w:spacing w:line="480" w:lineRule="auto"/>
        <w:ind w:left="0" w:hanging="540"/>
        <w:rPr>
          <w:rFonts w:eastAsia="MS Mincho"/>
          <w:b/>
          <w:bCs/>
          <w:szCs w:val="24"/>
          <w:lang w:eastAsia="ja-JP"/>
        </w:rPr>
      </w:pPr>
      <w:r>
        <w:t xml:space="preserve">            </w:t>
      </w:r>
      <w:r w:rsidR="0032028A" w:rsidRPr="001C76DC">
        <w:rPr>
          <w:rFonts w:eastAsia="MS Mincho"/>
          <w:lang w:eastAsia="ja-JP"/>
        </w:rPr>
        <w:t xml:space="preserve">In addition, </w:t>
      </w:r>
      <w:r w:rsidR="004070D6" w:rsidRPr="001C76DC">
        <w:rPr>
          <w:rFonts w:eastAsia="MS Mincho"/>
          <w:lang w:eastAsia="ja-JP"/>
        </w:rPr>
        <w:t>b</w:t>
      </w:r>
      <w:r w:rsidR="0032028A" w:rsidRPr="001C76DC">
        <w:rPr>
          <w:rFonts w:eastAsia="MS Mincho"/>
          <w:lang w:eastAsia="ja-JP"/>
        </w:rPr>
        <w:t xml:space="preserve">idders should be provided their scoring information for each bid at the end of the RFP. </w:t>
      </w:r>
      <w:r w:rsidR="009F0395" w:rsidRPr="001C76DC">
        <w:rPr>
          <w:rFonts w:eastAsia="MS Mincho"/>
          <w:lang w:eastAsia="ja-JP"/>
        </w:rPr>
        <w:t xml:space="preserve"> </w:t>
      </w:r>
      <w:r w:rsidR="0032028A" w:rsidRPr="001C76DC">
        <w:rPr>
          <w:rFonts w:eastAsia="MS Mincho"/>
          <w:lang w:eastAsia="ja-JP"/>
        </w:rPr>
        <w:t xml:space="preserve">This will allow them an opportunity to verify the accuracy of how their bids were scored and understand how to </w:t>
      </w:r>
      <w:r w:rsidR="006F3F6B" w:rsidRPr="001C76DC">
        <w:rPr>
          <w:rFonts w:eastAsia="MS Mincho"/>
          <w:lang w:eastAsia="ja-JP"/>
        </w:rPr>
        <w:t>prepare for</w:t>
      </w:r>
      <w:r w:rsidR="0032028A" w:rsidRPr="001C76DC">
        <w:rPr>
          <w:rFonts w:eastAsia="MS Mincho"/>
          <w:lang w:eastAsia="ja-JP"/>
        </w:rPr>
        <w:t xml:space="preserve"> future RFPs.  Bidders should not, </w:t>
      </w:r>
      <w:r w:rsidR="006F3F6B" w:rsidRPr="001C76DC">
        <w:rPr>
          <w:rFonts w:eastAsia="MS Mincho"/>
          <w:lang w:eastAsia="ja-JP"/>
        </w:rPr>
        <w:t>obviously</w:t>
      </w:r>
      <w:r w:rsidR="0032028A" w:rsidRPr="001C76DC">
        <w:rPr>
          <w:rFonts w:eastAsia="MS Mincho"/>
          <w:lang w:eastAsia="ja-JP"/>
        </w:rPr>
        <w:t xml:space="preserve">, be provided the scoring of </w:t>
      </w:r>
      <w:r w:rsidR="006F3F6B" w:rsidRPr="001C76DC">
        <w:rPr>
          <w:rFonts w:eastAsia="MS Mincho"/>
          <w:lang w:eastAsia="ja-JP"/>
        </w:rPr>
        <w:t>competitors</w:t>
      </w:r>
      <w:r w:rsidR="0032028A" w:rsidRPr="001C76DC">
        <w:rPr>
          <w:rFonts w:eastAsia="MS Mincho"/>
          <w:lang w:eastAsia="ja-JP"/>
        </w:rPr>
        <w:t xml:space="preserve">. </w:t>
      </w:r>
    </w:p>
    <w:p w14:paraId="1780886A" w14:textId="1DD90020" w:rsidR="00BA75BA" w:rsidRPr="001C76DC" w:rsidRDefault="00446D85" w:rsidP="00663E64">
      <w:pPr>
        <w:pStyle w:val="ListParagraph"/>
        <w:numPr>
          <w:ilvl w:val="3"/>
          <w:numId w:val="37"/>
        </w:numPr>
        <w:ind w:left="2070" w:hanging="630"/>
        <w:rPr>
          <w:rFonts w:eastAsia="MS Mincho"/>
          <w:b/>
          <w:szCs w:val="24"/>
          <w:lang w:eastAsia="ja-JP"/>
        </w:rPr>
      </w:pPr>
      <w:r w:rsidRPr="001C76DC">
        <w:rPr>
          <w:rFonts w:eastAsia="MS Mincho"/>
          <w:b/>
          <w:bCs/>
          <w:szCs w:val="24"/>
          <w:lang w:eastAsia="ja-JP"/>
        </w:rPr>
        <w:t xml:space="preserve">The RFP Approval Process Should Endeavor to </w:t>
      </w:r>
      <w:r w:rsidR="00BA75BA" w:rsidRPr="001C76DC">
        <w:rPr>
          <w:rFonts w:eastAsia="MS Mincho"/>
          <w:b/>
          <w:bCs/>
          <w:szCs w:val="24"/>
          <w:lang w:eastAsia="ja-JP"/>
        </w:rPr>
        <w:t>Minimiz</w:t>
      </w:r>
      <w:r w:rsidRPr="001C76DC">
        <w:rPr>
          <w:rFonts w:eastAsia="MS Mincho"/>
          <w:b/>
          <w:bCs/>
          <w:szCs w:val="24"/>
          <w:lang w:eastAsia="ja-JP"/>
        </w:rPr>
        <w:t>e</w:t>
      </w:r>
      <w:r w:rsidR="00BA75BA" w:rsidRPr="001C76DC">
        <w:rPr>
          <w:rFonts w:eastAsia="MS Mincho"/>
          <w:b/>
          <w:bCs/>
          <w:szCs w:val="24"/>
          <w:lang w:eastAsia="ja-JP"/>
        </w:rPr>
        <w:t xml:space="preserve"> or Eliminat</w:t>
      </w:r>
      <w:r w:rsidRPr="001C76DC">
        <w:rPr>
          <w:rFonts w:eastAsia="MS Mincho"/>
          <w:b/>
          <w:bCs/>
          <w:szCs w:val="24"/>
          <w:lang w:eastAsia="ja-JP"/>
        </w:rPr>
        <w:t>e</w:t>
      </w:r>
      <w:r w:rsidR="00BA75BA" w:rsidRPr="001C76DC">
        <w:rPr>
          <w:rFonts w:eastAsia="MS Mincho"/>
          <w:b/>
          <w:bCs/>
          <w:szCs w:val="24"/>
          <w:lang w:eastAsia="ja-JP"/>
        </w:rPr>
        <w:t xml:space="preserve"> Non-Price Factors</w:t>
      </w:r>
    </w:p>
    <w:p w14:paraId="4C62697D" w14:textId="77777777" w:rsidR="00F144EF" w:rsidRDefault="00F144EF" w:rsidP="00523449">
      <w:pPr>
        <w:ind w:hanging="540"/>
        <w:rPr>
          <w:rFonts w:eastAsia="MS Mincho"/>
          <w:b/>
          <w:bCs/>
          <w:szCs w:val="24"/>
          <w:lang w:eastAsia="ja-JP"/>
        </w:rPr>
      </w:pPr>
    </w:p>
    <w:p w14:paraId="616949C5" w14:textId="128B019E" w:rsidR="00F144EF" w:rsidRDefault="00663E64" w:rsidP="00523449">
      <w:pPr>
        <w:pStyle w:val="ListParagraph"/>
        <w:numPr>
          <w:ilvl w:val="1"/>
          <w:numId w:val="33"/>
        </w:numPr>
        <w:spacing w:line="480" w:lineRule="auto"/>
        <w:ind w:left="0" w:hanging="540"/>
      </w:pPr>
      <w:r>
        <w:t xml:space="preserve">            </w:t>
      </w:r>
      <w:r w:rsidR="0041102A">
        <w:t xml:space="preserve">Non-price factors should be </w:t>
      </w:r>
      <w:r w:rsidR="006F3F6B">
        <w:t>reduced</w:t>
      </w:r>
      <w:r w:rsidR="0041102A">
        <w:t xml:space="preserve"> to the maximum extent possible, and provided significantly less weight than price factors.  </w:t>
      </w:r>
      <w:r w:rsidR="00632B02">
        <w:t xml:space="preserve">Many non-price factors that utilities include in their bids can simply be eliminated and turned </w:t>
      </w:r>
      <w:r w:rsidR="00277F57">
        <w:t>into minimum bid qualifications, and most</w:t>
      </w:r>
      <w:r w:rsidR="00277F57" w:rsidRPr="00277F57">
        <w:t xml:space="preserve"> others can be translated into adjustments to </w:t>
      </w:r>
      <w:r w:rsidR="007B02B3">
        <w:t xml:space="preserve">the </w:t>
      </w:r>
      <w:r w:rsidR="00277F57" w:rsidRPr="00277F57">
        <w:t>bid price</w:t>
      </w:r>
      <w:r w:rsidR="007B02B3">
        <w:t>.</w:t>
      </w:r>
      <w:r w:rsidR="00632B02">
        <w:t xml:space="preserve">  Non-price factors are inherently subjective and provide </w:t>
      </w:r>
      <w:r w:rsidR="00DE36F3">
        <w:t>a utility</w:t>
      </w:r>
      <w:r w:rsidR="0041102A">
        <w:t xml:space="preserve"> with far too much discretion to reject lower cost resources in favor of utility owned options that offer greater shareholder </w:t>
      </w:r>
      <w:r w:rsidR="0041102A">
        <w:lastRenderedPageBreak/>
        <w:t xml:space="preserve">value. </w:t>
      </w:r>
      <w:r w:rsidR="00DE36F3">
        <w:t xml:space="preserve"> </w:t>
      </w:r>
      <w:r w:rsidR="00463242">
        <w:t>In NIPPC’s experience, u</w:t>
      </w:r>
      <w:r w:rsidR="00DE36F3">
        <w:t xml:space="preserve">ndue reliance </w:t>
      </w:r>
      <w:r w:rsidR="0090143B">
        <w:t>on non-price factors can create</w:t>
      </w:r>
      <w:r w:rsidR="00DE36F3">
        <w:t xml:space="preserve"> a </w:t>
      </w:r>
      <w:r w:rsidR="00463242">
        <w:t>stilted weighting that also</w:t>
      </w:r>
      <w:r w:rsidR="0041102A">
        <w:t xml:space="preserve"> handicap</w:t>
      </w:r>
      <w:r w:rsidR="00463242">
        <w:t>s</w:t>
      </w:r>
      <w:r w:rsidR="0041102A">
        <w:t xml:space="preserve"> the IE from applying its largely quantitative analysis.</w:t>
      </w:r>
      <w:r w:rsidR="00D22826">
        <w:rPr>
          <w:rStyle w:val="FootnoteReference"/>
        </w:rPr>
        <w:footnoteReference w:id="86"/>
      </w:r>
    </w:p>
    <w:p w14:paraId="7354D06B" w14:textId="440F4998" w:rsidR="00F144EF" w:rsidRPr="001C76DC" w:rsidRDefault="00EF0DAF" w:rsidP="00663E64">
      <w:pPr>
        <w:pStyle w:val="ListParagraph"/>
        <w:numPr>
          <w:ilvl w:val="3"/>
          <w:numId w:val="37"/>
        </w:numPr>
        <w:ind w:left="2070" w:hanging="630"/>
        <w:rPr>
          <w:rFonts w:eastAsia="MS Mincho"/>
          <w:b/>
          <w:szCs w:val="24"/>
          <w:lang w:eastAsia="ja-JP"/>
        </w:rPr>
      </w:pPr>
      <w:r w:rsidRPr="001C76DC">
        <w:rPr>
          <w:rFonts w:eastAsia="MS Mincho"/>
          <w:b/>
          <w:bCs/>
          <w:szCs w:val="24"/>
          <w:lang w:eastAsia="ja-JP"/>
        </w:rPr>
        <w:t xml:space="preserve">The RFP Approval Process Should </w:t>
      </w:r>
      <w:r w:rsidR="009B0028" w:rsidRPr="001C76DC">
        <w:rPr>
          <w:rFonts w:eastAsia="MS Mincho"/>
          <w:b/>
          <w:bCs/>
          <w:szCs w:val="24"/>
          <w:lang w:eastAsia="ja-JP"/>
        </w:rPr>
        <w:t>Ensure that All “Soft Costs” Are Included in the Price of the Utility Owned Resource</w:t>
      </w:r>
    </w:p>
    <w:p w14:paraId="46DFCCDD" w14:textId="77777777" w:rsidR="00F144EF" w:rsidRDefault="00F144EF" w:rsidP="00523449">
      <w:pPr>
        <w:ind w:hanging="540"/>
        <w:rPr>
          <w:rFonts w:eastAsia="MS Mincho"/>
          <w:b/>
          <w:bCs/>
          <w:szCs w:val="24"/>
          <w:lang w:eastAsia="ja-JP"/>
        </w:rPr>
      </w:pPr>
    </w:p>
    <w:p w14:paraId="1908CA83" w14:textId="61E1F6E7" w:rsidR="004B1565" w:rsidRPr="001C76DC" w:rsidRDefault="00663E64" w:rsidP="00663E64">
      <w:pPr>
        <w:pStyle w:val="ListParagraph"/>
        <w:numPr>
          <w:ilvl w:val="1"/>
          <w:numId w:val="33"/>
        </w:numPr>
        <w:spacing w:line="480" w:lineRule="auto"/>
        <w:ind w:left="0" w:hanging="540"/>
        <w:rPr>
          <w:rFonts w:eastAsia="MS Mincho"/>
          <w:szCs w:val="24"/>
          <w:lang w:eastAsia="ja-JP"/>
        </w:rPr>
      </w:pPr>
      <w:r>
        <w:t xml:space="preserve">            </w:t>
      </w:r>
      <w:r w:rsidR="004B1565" w:rsidRPr="001C76DC">
        <w:rPr>
          <w:rFonts w:eastAsia="MS Mincho"/>
          <w:szCs w:val="24"/>
          <w:lang w:eastAsia="ja-JP"/>
        </w:rPr>
        <w:t xml:space="preserve">If construction overruns are akin to ratepayers handing the utility a blank check, then soft costs </w:t>
      </w:r>
      <w:r w:rsidR="00E27131" w:rsidRPr="001C76DC">
        <w:rPr>
          <w:rFonts w:eastAsia="MS Mincho"/>
          <w:szCs w:val="24"/>
          <w:lang w:eastAsia="ja-JP"/>
        </w:rPr>
        <w:t>are</w:t>
      </w:r>
      <w:r w:rsidR="004B1565" w:rsidRPr="001C76DC">
        <w:rPr>
          <w:rFonts w:eastAsia="MS Mincho"/>
          <w:szCs w:val="24"/>
          <w:lang w:eastAsia="ja-JP"/>
        </w:rPr>
        <w:t xml:space="preserve"> handing over the ratepayers’ debit card.  </w:t>
      </w:r>
      <w:r w:rsidR="00635014" w:rsidRPr="001C76DC">
        <w:rPr>
          <w:rFonts w:eastAsia="MS Mincho"/>
          <w:szCs w:val="24"/>
          <w:lang w:eastAsia="ja-JP"/>
        </w:rPr>
        <w:t>Soft</w:t>
      </w:r>
      <w:r w:rsidR="004B1565" w:rsidRPr="001C76DC">
        <w:rPr>
          <w:rFonts w:eastAsia="MS Mincho"/>
          <w:szCs w:val="24"/>
          <w:lang w:eastAsia="ja-JP"/>
        </w:rPr>
        <w:t xml:space="preserve"> costs come from a variety of contexts and are anticipated, </w:t>
      </w:r>
      <w:r w:rsidR="00E27131" w:rsidRPr="001C76DC">
        <w:rPr>
          <w:rFonts w:eastAsia="MS Mincho"/>
          <w:szCs w:val="24"/>
          <w:lang w:eastAsia="ja-JP"/>
        </w:rPr>
        <w:t xml:space="preserve">but not always </w:t>
      </w:r>
      <w:r w:rsidR="004B1565" w:rsidRPr="001C76DC">
        <w:rPr>
          <w:rFonts w:eastAsia="MS Mincho"/>
          <w:szCs w:val="24"/>
          <w:lang w:eastAsia="ja-JP"/>
        </w:rPr>
        <w:t>accounted for in a utility’s bid price</w:t>
      </w:r>
      <w:r w:rsidR="00635014" w:rsidRPr="001C76DC">
        <w:rPr>
          <w:rFonts w:eastAsia="MS Mincho"/>
          <w:szCs w:val="24"/>
          <w:lang w:eastAsia="ja-JP"/>
        </w:rPr>
        <w:t xml:space="preserve"> and the true cost of the utility owned generation is hidden from ratepayers and the Commission</w:t>
      </w:r>
      <w:r w:rsidR="004B1565" w:rsidRPr="001C76DC">
        <w:rPr>
          <w:rFonts w:eastAsia="MS Mincho"/>
          <w:szCs w:val="24"/>
          <w:lang w:eastAsia="ja-JP"/>
        </w:rPr>
        <w:t xml:space="preserve">.  The non-technical </w:t>
      </w:r>
      <w:r w:rsidR="002D2E8D" w:rsidRPr="001C76DC">
        <w:rPr>
          <w:rFonts w:eastAsia="MS Mincho"/>
          <w:szCs w:val="24"/>
          <w:lang w:eastAsia="ja-JP"/>
        </w:rPr>
        <w:t xml:space="preserve">soft </w:t>
      </w:r>
      <w:r w:rsidR="004B1565" w:rsidRPr="001C76DC">
        <w:rPr>
          <w:rFonts w:eastAsia="MS Mincho"/>
          <w:szCs w:val="24"/>
          <w:lang w:eastAsia="ja-JP"/>
        </w:rPr>
        <w:t>costs associated with developing generation projects</w:t>
      </w:r>
      <w:r w:rsidR="00D64BE9">
        <w:rPr>
          <w:rFonts w:eastAsia="MS Mincho"/>
          <w:szCs w:val="24"/>
          <w:lang w:eastAsia="ja-JP"/>
        </w:rPr>
        <w:t xml:space="preserve"> can be substantial and</w:t>
      </w:r>
      <w:r w:rsidR="004B1565" w:rsidRPr="001C76DC">
        <w:rPr>
          <w:rFonts w:eastAsia="MS Mincho"/>
          <w:szCs w:val="24"/>
          <w:lang w:eastAsia="ja-JP"/>
        </w:rPr>
        <w:t xml:space="preserve"> includ</w:t>
      </w:r>
      <w:r w:rsidR="002D2E8D" w:rsidRPr="001C76DC">
        <w:rPr>
          <w:rFonts w:eastAsia="MS Mincho"/>
          <w:szCs w:val="24"/>
          <w:lang w:eastAsia="ja-JP"/>
        </w:rPr>
        <w:t>e</w:t>
      </w:r>
      <w:r w:rsidR="004B1565" w:rsidRPr="001C76DC">
        <w:rPr>
          <w:rFonts w:eastAsia="MS Mincho"/>
          <w:szCs w:val="24"/>
          <w:lang w:eastAsia="ja-JP"/>
        </w:rPr>
        <w:t xml:space="preserve">: professional fees, transactional costs, permitting and other indirect corporate costs, inspection and interconnection labor, etc.  And like other performance and regulatory risk, soft costs are managed by IPPs without passing on any risk to ratepayers. </w:t>
      </w:r>
      <w:r w:rsidR="002D2E8D" w:rsidRPr="001C76DC">
        <w:rPr>
          <w:rFonts w:eastAsia="MS Mincho"/>
          <w:szCs w:val="24"/>
          <w:lang w:eastAsia="ja-JP"/>
        </w:rPr>
        <w:t xml:space="preserve"> </w:t>
      </w:r>
      <w:r w:rsidR="004B1565" w:rsidRPr="001C76DC">
        <w:rPr>
          <w:rFonts w:eastAsia="MS Mincho"/>
          <w:szCs w:val="24"/>
          <w:lang w:eastAsia="ja-JP"/>
        </w:rPr>
        <w:t xml:space="preserve">Because soft costs are inevitable, can potentially be sizeable, and are necessarily included in PPAs, they should be accounted for in utility bids as well.  </w:t>
      </w:r>
    </w:p>
    <w:p w14:paraId="014DD38B" w14:textId="09AF2609" w:rsidR="004B1565" w:rsidRPr="001C76DC" w:rsidRDefault="00663E64" w:rsidP="00663E64">
      <w:pPr>
        <w:pStyle w:val="ListParagraph"/>
        <w:numPr>
          <w:ilvl w:val="1"/>
          <w:numId w:val="33"/>
        </w:numPr>
        <w:spacing w:line="480" w:lineRule="auto"/>
        <w:ind w:left="0" w:hanging="540"/>
        <w:rPr>
          <w:rFonts w:eastAsia="MS Mincho"/>
          <w:szCs w:val="24"/>
          <w:lang w:eastAsia="ja-JP"/>
        </w:rPr>
      </w:pPr>
      <w:r>
        <w:t xml:space="preserve">            </w:t>
      </w:r>
      <w:r w:rsidR="004B1565" w:rsidRPr="001C76DC">
        <w:rPr>
          <w:rFonts w:eastAsia="MS Mincho"/>
          <w:szCs w:val="24"/>
          <w:lang w:eastAsia="ja-JP"/>
        </w:rPr>
        <w:t xml:space="preserve">Soft costs also add a perverse incentive for utilities to run up the bill when building projects. </w:t>
      </w:r>
      <w:r w:rsidR="00D35F5B" w:rsidRPr="001C76DC">
        <w:rPr>
          <w:rFonts w:eastAsia="MS Mincho"/>
          <w:szCs w:val="24"/>
          <w:lang w:eastAsia="ja-JP"/>
        </w:rPr>
        <w:t xml:space="preserve"> </w:t>
      </w:r>
      <w:r w:rsidR="004B1565" w:rsidRPr="001C76DC">
        <w:rPr>
          <w:rFonts w:eastAsia="MS Mincho"/>
          <w:szCs w:val="24"/>
          <w:lang w:eastAsia="ja-JP"/>
        </w:rPr>
        <w:t>For example, a utility may prefer to slightly oversize projects under construction rather than build to meet its precise current need</w:t>
      </w:r>
      <w:r w:rsidR="00D35F5B" w:rsidRPr="001C76DC">
        <w:rPr>
          <w:rFonts w:eastAsia="MS Mincho"/>
          <w:szCs w:val="24"/>
          <w:lang w:eastAsia="ja-JP"/>
        </w:rPr>
        <w:t>, which</w:t>
      </w:r>
      <w:r w:rsidR="004B1565" w:rsidRPr="001C76DC">
        <w:rPr>
          <w:rFonts w:eastAsia="MS Mincho"/>
          <w:szCs w:val="24"/>
          <w:lang w:eastAsia="ja-JP"/>
        </w:rPr>
        <w:t xml:space="preserve"> means that ratepayers are paying too much and effectively pre-paying for the utility’s potential future </w:t>
      </w:r>
      <w:r w:rsidR="006F3F6B" w:rsidRPr="001C76DC">
        <w:rPr>
          <w:rFonts w:eastAsia="MS Mincho"/>
          <w:szCs w:val="24"/>
          <w:lang w:eastAsia="ja-JP"/>
        </w:rPr>
        <w:t>plans</w:t>
      </w:r>
      <w:r w:rsidR="004B1565" w:rsidRPr="001C76DC">
        <w:rPr>
          <w:rFonts w:eastAsia="MS Mincho"/>
          <w:szCs w:val="24"/>
          <w:lang w:eastAsia="ja-JP"/>
        </w:rPr>
        <w:t xml:space="preserve">.  Worse yet, the utility can then use the benefits of its previous oversizing to outbid competition in its next RFP.  The Commission must provide clarity and transparency around soft costs to establish equal footing between utility bids and PPAs.  </w:t>
      </w:r>
    </w:p>
    <w:p w14:paraId="6469AD9B" w14:textId="13EEB8E4" w:rsidR="00F144EF" w:rsidRPr="001C76DC" w:rsidRDefault="00663E64" w:rsidP="00663E64">
      <w:pPr>
        <w:pStyle w:val="ListParagraph"/>
        <w:numPr>
          <w:ilvl w:val="1"/>
          <w:numId w:val="33"/>
        </w:numPr>
        <w:spacing w:line="480" w:lineRule="auto"/>
        <w:ind w:left="0" w:hanging="540"/>
        <w:rPr>
          <w:rFonts w:eastAsia="MS Mincho"/>
          <w:szCs w:val="24"/>
          <w:lang w:eastAsia="ja-JP"/>
        </w:rPr>
      </w:pPr>
      <w:r>
        <w:lastRenderedPageBreak/>
        <w:t xml:space="preserve">            </w:t>
      </w:r>
      <w:r w:rsidR="004B1565" w:rsidRPr="001C76DC">
        <w:rPr>
          <w:rFonts w:eastAsia="MS Mincho"/>
          <w:szCs w:val="24"/>
          <w:lang w:eastAsia="ja-JP"/>
        </w:rPr>
        <w:t>Finally, like non-price factors, soft costs could provide the opportunity for utilities to manipulate RFP ranking.  For example, PacifiCorp’s IE, Boston Pacific, has noted that even when PacifiCorp provided no self-build option, “the ‘soft costs’ or ‘owners costs’</w:t>
      </w:r>
      <w:r w:rsidR="00F001F7">
        <w:rPr>
          <w:rFonts w:eastAsia="MS Mincho"/>
          <w:szCs w:val="24"/>
          <w:lang w:eastAsia="ja-JP"/>
        </w:rPr>
        <w:t>,</w:t>
      </w:r>
      <w:r w:rsidR="004B1565" w:rsidRPr="001C76DC">
        <w:rPr>
          <w:rFonts w:eastAsia="MS Mincho"/>
          <w:szCs w:val="24"/>
          <w:lang w:eastAsia="ja-JP"/>
        </w:rPr>
        <w:t xml:space="preserve"> which are added to the [engineering, procurement and construction</w:t>
      </w:r>
      <w:r w:rsidR="00F001F7">
        <w:rPr>
          <w:rFonts w:eastAsia="MS Mincho"/>
          <w:szCs w:val="24"/>
          <w:lang w:eastAsia="ja-JP"/>
        </w:rPr>
        <w:t xml:space="preserve">] </w:t>
      </w:r>
      <w:r w:rsidR="004B1565" w:rsidRPr="001C76DC">
        <w:rPr>
          <w:rFonts w:eastAsia="MS Mincho"/>
          <w:szCs w:val="24"/>
          <w:lang w:eastAsia="ja-JP"/>
        </w:rPr>
        <w:t>EPC costs to get the full cost of the project, are still not definite.”</w:t>
      </w:r>
      <w:r w:rsidR="004B1565" w:rsidRPr="0063203E">
        <w:rPr>
          <w:rFonts w:eastAsia="MS Mincho"/>
          <w:vertAlign w:val="superscript"/>
          <w:lang w:eastAsia="ja-JP"/>
        </w:rPr>
        <w:footnoteReference w:id="87"/>
      </w:r>
      <w:r w:rsidR="004B1565" w:rsidRPr="001C76DC">
        <w:rPr>
          <w:rFonts w:eastAsia="MS Mincho"/>
          <w:szCs w:val="24"/>
          <w:lang w:eastAsia="ja-JP"/>
        </w:rPr>
        <w:t xml:space="preserve">  Thus, the Commission must address soft costs to ensure any hope of establishing truly competitive bidding.  Soft costs should be rigorously reviewed by the IE and accounted for equitably between utility and non-utility bids. </w:t>
      </w:r>
    </w:p>
    <w:p w14:paraId="6386D23A" w14:textId="7FA77E62" w:rsidR="00F144EF" w:rsidRPr="001C76DC" w:rsidRDefault="00F144EF" w:rsidP="00663E64">
      <w:pPr>
        <w:pStyle w:val="ListParagraph"/>
        <w:numPr>
          <w:ilvl w:val="3"/>
          <w:numId w:val="37"/>
        </w:numPr>
        <w:ind w:left="2070" w:hanging="630"/>
        <w:rPr>
          <w:rFonts w:eastAsia="MS Mincho"/>
          <w:b/>
          <w:szCs w:val="24"/>
          <w:lang w:eastAsia="ja-JP"/>
        </w:rPr>
      </w:pPr>
      <w:r w:rsidRPr="001C76DC">
        <w:rPr>
          <w:rFonts w:eastAsia="MS Mincho"/>
          <w:b/>
          <w:bCs/>
          <w:szCs w:val="24"/>
          <w:lang w:eastAsia="ja-JP"/>
        </w:rPr>
        <w:t>Additional Information Regarding Transmission</w:t>
      </w:r>
    </w:p>
    <w:p w14:paraId="631653D2" w14:textId="77777777" w:rsidR="00F144EF" w:rsidRDefault="00F144EF" w:rsidP="00663E64">
      <w:pPr>
        <w:ind w:hanging="540"/>
        <w:rPr>
          <w:rFonts w:eastAsia="MS Mincho"/>
          <w:b/>
          <w:bCs/>
          <w:szCs w:val="24"/>
          <w:lang w:eastAsia="ja-JP"/>
        </w:rPr>
      </w:pPr>
    </w:p>
    <w:p w14:paraId="0E352B54" w14:textId="449B9E87" w:rsidR="00F93449" w:rsidRPr="00663E64" w:rsidRDefault="00663E64" w:rsidP="00663E64">
      <w:pPr>
        <w:pStyle w:val="ListParagraph"/>
        <w:numPr>
          <w:ilvl w:val="1"/>
          <w:numId w:val="33"/>
        </w:numPr>
        <w:spacing w:line="480" w:lineRule="auto"/>
        <w:ind w:left="0" w:hanging="720"/>
        <w:rPr>
          <w:rFonts w:eastAsia="MS Mincho"/>
          <w:szCs w:val="24"/>
          <w:lang w:eastAsia="ja-JP"/>
        </w:rPr>
      </w:pPr>
      <w:r>
        <w:t xml:space="preserve">            </w:t>
      </w:r>
      <w:r w:rsidR="00BC4CEF" w:rsidRPr="00663E64">
        <w:rPr>
          <w:rFonts w:eastAsia="MS Mincho"/>
          <w:szCs w:val="24"/>
          <w:lang w:eastAsia="ja-JP"/>
        </w:rPr>
        <w:t>The treatment of</w:t>
      </w:r>
      <w:r w:rsidR="00096699" w:rsidRPr="00663E64">
        <w:rPr>
          <w:rFonts w:eastAsia="MS Mincho"/>
          <w:szCs w:val="24"/>
          <w:lang w:eastAsia="ja-JP"/>
        </w:rPr>
        <w:t xml:space="preserve"> transmission and </w:t>
      </w:r>
      <w:r w:rsidR="00F1695B" w:rsidRPr="00663E64">
        <w:rPr>
          <w:rFonts w:eastAsia="MS Mincho"/>
          <w:szCs w:val="24"/>
          <w:lang w:eastAsia="ja-JP"/>
        </w:rPr>
        <w:t xml:space="preserve">integration costs </w:t>
      </w:r>
      <w:r w:rsidR="00BC4CEF" w:rsidRPr="00663E64">
        <w:rPr>
          <w:rFonts w:eastAsia="MS Mincho"/>
          <w:szCs w:val="24"/>
          <w:lang w:eastAsia="ja-JP"/>
        </w:rPr>
        <w:t xml:space="preserve">in an RFP can be </w:t>
      </w:r>
      <w:r w:rsidR="00F1695B" w:rsidRPr="00663E64">
        <w:rPr>
          <w:rFonts w:eastAsia="MS Mincho"/>
          <w:szCs w:val="24"/>
          <w:lang w:eastAsia="ja-JP"/>
        </w:rPr>
        <w:t>a significant barrier t</w:t>
      </w:r>
      <w:r w:rsidR="00EE5E0C" w:rsidRPr="00663E64">
        <w:rPr>
          <w:rFonts w:eastAsia="MS Mincho"/>
          <w:szCs w:val="24"/>
          <w:lang w:eastAsia="ja-JP"/>
        </w:rPr>
        <w:t>o fair treatment of PPA options and</w:t>
      </w:r>
      <w:r w:rsidR="00F1695B" w:rsidRPr="00663E64">
        <w:rPr>
          <w:rFonts w:eastAsia="MS Mincho"/>
          <w:szCs w:val="24"/>
          <w:lang w:eastAsia="ja-JP"/>
        </w:rPr>
        <w:t xml:space="preserve"> </w:t>
      </w:r>
      <w:r w:rsidR="00C94119">
        <w:rPr>
          <w:rFonts w:eastAsia="MS Mincho"/>
          <w:szCs w:val="24"/>
          <w:lang w:eastAsia="ja-JP"/>
        </w:rPr>
        <w:t>can be used to improperly</w:t>
      </w:r>
      <w:r w:rsidR="00F1695B" w:rsidRPr="00663E64">
        <w:rPr>
          <w:rFonts w:eastAsia="MS Mincho"/>
          <w:szCs w:val="24"/>
          <w:lang w:eastAsia="ja-JP"/>
        </w:rPr>
        <w:t xml:space="preserve"> justify utility ownership</w:t>
      </w:r>
      <w:r w:rsidR="008B2F6A" w:rsidRPr="00663E64">
        <w:rPr>
          <w:rFonts w:eastAsia="MS Mincho"/>
          <w:szCs w:val="24"/>
          <w:lang w:eastAsia="ja-JP"/>
        </w:rPr>
        <w:t xml:space="preserve"> if PPAs are not treated equitably</w:t>
      </w:r>
      <w:r w:rsidR="00F1695B" w:rsidRPr="00663E64">
        <w:rPr>
          <w:rFonts w:eastAsia="MS Mincho"/>
          <w:szCs w:val="24"/>
          <w:lang w:eastAsia="ja-JP"/>
        </w:rPr>
        <w:t xml:space="preserve">. </w:t>
      </w:r>
      <w:r w:rsidR="00982D92" w:rsidRPr="00663E64">
        <w:rPr>
          <w:rFonts w:eastAsia="MS Mincho"/>
          <w:szCs w:val="24"/>
          <w:lang w:eastAsia="ja-JP"/>
        </w:rPr>
        <w:t xml:space="preserve"> </w:t>
      </w:r>
      <w:r w:rsidR="00BF0EA3" w:rsidRPr="00663E64">
        <w:rPr>
          <w:rFonts w:eastAsia="MS Mincho"/>
          <w:szCs w:val="24"/>
          <w:lang w:eastAsia="ja-JP"/>
        </w:rPr>
        <w:t>An</w:t>
      </w:r>
      <w:r w:rsidR="009B3B35" w:rsidRPr="00663E64">
        <w:rPr>
          <w:rFonts w:eastAsia="MS Mincho"/>
          <w:szCs w:val="24"/>
          <w:lang w:eastAsia="ja-JP"/>
        </w:rPr>
        <w:t xml:space="preserve"> IE familiar with Northwest transmission markets should be retained, and the RFP approval and acknowledgement process should review the reasonableness of any transmission and integration requirements.</w:t>
      </w:r>
    </w:p>
    <w:p w14:paraId="3BD851E5" w14:textId="55A4F16E" w:rsidR="00620EC9" w:rsidRPr="001C76DC" w:rsidRDefault="00663E64" w:rsidP="00663E64">
      <w:pPr>
        <w:pStyle w:val="ListParagraph"/>
        <w:numPr>
          <w:ilvl w:val="1"/>
          <w:numId w:val="33"/>
        </w:numPr>
        <w:spacing w:line="480" w:lineRule="auto"/>
        <w:ind w:left="0" w:hanging="540"/>
        <w:rPr>
          <w:rFonts w:eastAsia="MS Mincho"/>
          <w:szCs w:val="24"/>
          <w:lang w:eastAsia="ja-JP"/>
        </w:rPr>
      </w:pPr>
      <w:r>
        <w:t xml:space="preserve">            </w:t>
      </w:r>
      <w:r w:rsidR="006E24AF" w:rsidRPr="001C76DC">
        <w:rPr>
          <w:rFonts w:eastAsia="MS Mincho"/>
          <w:szCs w:val="24"/>
          <w:lang w:eastAsia="ja-JP"/>
        </w:rPr>
        <w:t>Transmiss</w:t>
      </w:r>
      <w:r w:rsidR="00C94119">
        <w:rPr>
          <w:rFonts w:eastAsia="MS Mincho"/>
          <w:szCs w:val="24"/>
          <w:lang w:eastAsia="ja-JP"/>
        </w:rPr>
        <w:t xml:space="preserve">ion constraints and access are </w:t>
      </w:r>
      <w:r w:rsidR="006E24AF" w:rsidRPr="001C76DC">
        <w:rPr>
          <w:rFonts w:eastAsia="MS Mincho"/>
          <w:szCs w:val="24"/>
          <w:lang w:eastAsia="ja-JP"/>
        </w:rPr>
        <w:t>key consideration</w:t>
      </w:r>
      <w:r w:rsidR="00C94119">
        <w:rPr>
          <w:rFonts w:eastAsia="MS Mincho"/>
          <w:szCs w:val="24"/>
          <w:lang w:eastAsia="ja-JP"/>
        </w:rPr>
        <w:t>s</w:t>
      </w:r>
      <w:r w:rsidR="006E24AF" w:rsidRPr="001C76DC">
        <w:rPr>
          <w:rFonts w:eastAsia="MS Mincho"/>
          <w:szCs w:val="24"/>
          <w:lang w:eastAsia="ja-JP"/>
        </w:rPr>
        <w:t xml:space="preserve"> in utility resource planning.</w:t>
      </w:r>
      <w:r w:rsidR="009B3B35" w:rsidRPr="001C76DC">
        <w:rPr>
          <w:rFonts w:eastAsia="MS Mincho"/>
          <w:szCs w:val="24"/>
          <w:lang w:eastAsia="ja-JP"/>
        </w:rPr>
        <w:t xml:space="preserve">  For example, b</w:t>
      </w:r>
      <w:r w:rsidR="00265986">
        <w:rPr>
          <w:rFonts w:eastAsia="MS Mincho"/>
          <w:szCs w:val="24"/>
          <w:lang w:eastAsia="ja-JP"/>
        </w:rPr>
        <w:t>oth PSE and PacifiCorp allege</w:t>
      </w:r>
      <w:r w:rsidR="009B3B35" w:rsidRPr="001C76DC">
        <w:rPr>
          <w:rFonts w:eastAsia="MS Mincho"/>
          <w:szCs w:val="24"/>
          <w:lang w:eastAsia="ja-JP"/>
        </w:rPr>
        <w:t xml:space="preserve"> significant transmission related issues </w:t>
      </w:r>
      <w:r w:rsidR="00F648D7" w:rsidRPr="001C76DC">
        <w:rPr>
          <w:rFonts w:eastAsia="MS Mincho"/>
          <w:szCs w:val="24"/>
          <w:lang w:eastAsia="ja-JP"/>
        </w:rPr>
        <w:t>that can limit what new generation is available.</w:t>
      </w:r>
      <w:r w:rsidR="006E24AF">
        <w:rPr>
          <w:rStyle w:val="FootnoteReference"/>
          <w:rFonts w:eastAsia="MS Mincho"/>
          <w:szCs w:val="24"/>
          <w:lang w:eastAsia="ja-JP"/>
        </w:rPr>
        <w:footnoteReference w:id="88"/>
      </w:r>
      <w:r w:rsidR="00F648D7" w:rsidRPr="001C76DC">
        <w:rPr>
          <w:rFonts w:eastAsia="MS Mincho"/>
          <w:szCs w:val="24"/>
          <w:lang w:eastAsia="ja-JP"/>
        </w:rPr>
        <w:t xml:space="preserve">  PacifiCorp’s last RFP to acquire resources to m</w:t>
      </w:r>
      <w:r w:rsidR="00997BCE" w:rsidRPr="001C76DC">
        <w:rPr>
          <w:rFonts w:eastAsia="MS Mincho"/>
          <w:szCs w:val="24"/>
          <w:lang w:eastAsia="ja-JP"/>
        </w:rPr>
        <w:t>e</w:t>
      </w:r>
      <w:r w:rsidR="00F648D7" w:rsidRPr="001C76DC">
        <w:rPr>
          <w:rFonts w:eastAsia="MS Mincho"/>
          <w:szCs w:val="24"/>
          <w:lang w:eastAsia="ja-JP"/>
        </w:rPr>
        <w:t>et its Oregon and Washington renewable portfolio standard requirements</w:t>
      </w:r>
      <w:r w:rsidR="006E24AF" w:rsidRPr="001C76DC">
        <w:rPr>
          <w:rFonts w:eastAsia="MS Mincho"/>
          <w:szCs w:val="24"/>
          <w:lang w:eastAsia="ja-JP"/>
        </w:rPr>
        <w:t xml:space="preserve"> </w:t>
      </w:r>
      <w:r w:rsidR="00EA79A5" w:rsidRPr="001C76DC">
        <w:rPr>
          <w:rFonts w:eastAsia="MS Mincho"/>
          <w:szCs w:val="24"/>
          <w:lang w:eastAsia="ja-JP"/>
        </w:rPr>
        <w:t>explicitly required that “[b]id evaluations include transmission deliverability cost and third- party transmission wheeling costs, as applicable”</w:t>
      </w:r>
      <w:r w:rsidR="000647B0" w:rsidRPr="001C76DC">
        <w:rPr>
          <w:rFonts w:eastAsia="MS Mincho"/>
          <w:szCs w:val="24"/>
          <w:lang w:eastAsia="ja-JP"/>
        </w:rPr>
        <w:t xml:space="preserve"> and used a “transmission </w:t>
      </w:r>
      <w:r w:rsidR="000647B0" w:rsidRPr="001C76DC">
        <w:rPr>
          <w:rFonts w:eastAsia="MS Mincho"/>
          <w:szCs w:val="24"/>
          <w:lang w:eastAsia="ja-JP"/>
        </w:rPr>
        <w:lastRenderedPageBreak/>
        <w:t>deliverability analysis</w:t>
      </w:r>
      <w:r w:rsidR="00EA79A5" w:rsidRPr="001C76DC">
        <w:rPr>
          <w:rFonts w:eastAsia="MS Mincho"/>
          <w:szCs w:val="24"/>
          <w:lang w:eastAsia="ja-JP"/>
        </w:rPr>
        <w:t>.</w:t>
      </w:r>
      <w:r w:rsidR="000647B0" w:rsidRPr="001C76DC">
        <w:rPr>
          <w:rFonts w:eastAsia="MS Mincho"/>
          <w:szCs w:val="24"/>
          <w:lang w:eastAsia="ja-JP"/>
        </w:rPr>
        <w:t>”</w:t>
      </w:r>
      <w:r w:rsidR="000647B0" w:rsidRPr="000647B0">
        <w:rPr>
          <w:rFonts w:eastAsia="MS Mincho"/>
          <w:vertAlign w:val="superscript"/>
          <w:lang w:eastAsia="ja-JP"/>
        </w:rPr>
        <w:footnoteReference w:id="89"/>
      </w:r>
      <w:r w:rsidR="00EA79A5" w:rsidRPr="001C76DC">
        <w:rPr>
          <w:rFonts w:eastAsia="MS Mincho"/>
          <w:szCs w:val="24"/>
          <w:lang w:eastAsia="ja-JP"/>
        </w:rPr>
        <w:t xml:space="preserve">  </w:t>
      </w:r>
      <w:r w:rsidR="005E3F7E" w:rsidRPr="001C76DC">
        <w:rPr>
          <w:rFonts w:eastAsia="MS Mincho"/>
          <w:szCs w:val="24"/>
          <w:lang w:eastAsia="ja-JP"/>
        </w:rPr>
        <w:t xml:space="preserve">Available firm transmission could be withheld, requiring only flat market sales or otherwise withholding flexible transmission products, like dynamic scheduling.  </w:t>
      </w:r>
    </w:p>
    <w:p w14:paraId="111AC165" w14:textId="24AB8F74" w:rsidR="00F144EF" w:rsidRPr="001C76DC" w:rsidRDefault="00663E64" w:rsidP="00663E64">
      <w:pPr>
        <w:pStyle w:val="ListParagraph"/>
        <w:numPr>
          <w:ilvl w:val="1"/>
          <w:numId w:val="33"/>
        </w:numPr>
        <w:spacing w:line="480" w:lineRule="auto"/>
        <w:ind w:left="0" w:hanging="540"/>
        <w:rPr>
          <w:rFonts w:eastAsia="MS Mincho"/>
          <w:szCs w:val="24"/>
          <w:lang w:eastAsia="ja-JP"/>
        </w:rPr>
      </w:pPr>
      <w:r>
        <w:t xml:space="preserve">            </w:t>
      </w:r>
      <w:r w:rsidR="003A3194" w:rsidRPr="001C76DC">
        <w:rPr>
          <w:rFonts w:eastAsia="MS Mincho"/>
          <w:szCs w:val="24"/>
          <w:lang w:eastAsia="ja-JP"/>
        </w:rPr>
        <w:t xml:space="preserve">NIPPC agrees that transmission and integration issues should be factors to consider when selecting new generation resources; however, the criteria and requirements </w:t>
      </w:r>
      <w:r w:rsidR="00C94119">
        <w:rPr>
          <w:rFonts w:eastAsia="MS Mincho"/>
          <w:szCs w:val="24"/>
          <w:lang w:eastAsia="ja-JP"/>
        </w:rPr>
        <w:t>can</w:t>
      </w:r>
      <w:r w:rsidR="003A3194" w:rsidRPr="001C76DC">
        <w:rPr>
          <w:rFonts w:eastAsia="MS Mincho"/>
          <w:szCs w:val="24"/>
          <w:lang w:eastAsia="ja-JP"/>
        </w:rPr>
        <w:t xml:space="preserve"> to bias </w:t>
      </w:r>
      <w:r w:rsidR="002E3926" w:rsidRPr="001C76DC">
        <w:rPr>
          <w:rFonts w:eastAsia="MS Mincho"/>
          <w:szCs w:val="24"/>
          <w:lang w:eastAsia="ja-JP"/>
        </w:rPr>
        <w:t>the process in favor of utility owned generation.</w:t>
      </w:r>
      <w:r w:rsidR="007E7C2E">
        <w:rPr>
          <w:rStyle w:val="FootnoteReference"/>
          <w:rFonts w:eastAsia="MS Mincho"/>
          <w:szCs w:val="24"/>
          <w:lang w:eastAsia="ja-JP"/>
        </w:rPr>
        <w:footnoteReference w:id="90"/>
      </w:r>
      <w:r w:rsidR="00E15BA4" w:rsidRPr="001C76DC">
        <w:rPr>
          <w:rFonts w:eastAsia="MS Mincho"/>
          <w:szCs w:val="24"/>
          <w:lang w:eastAsia="ja-JP"/>
        </w:rPr>
        <w:t xml:space="preserve">  For example, one way in which a utility can bias the results of an RFP </w:t>
      </w:r>
      <w:r w:rsidR="00463B03" w:rsidRPr="001C76DC">
        <w:rPr>
          <w:rFonts w:eastAsia="MS Mincho"/>
          <w:szCs w:val="24"/>
          <w:lang w:eastAsia="ja-JP"/>
        </w:rPr>
        <w:t>is</w:t>
      </w:r>
      <w:r w:rsidR="00E15BA4" w:rsidRPr="001C76DC">
        <w:rPr>
          <w:rFonts w:eastAsia="MS Mincho"/>
          <w:szCs w:val="24"/>
          <w:lang w:eastAsia="ja-JP"/>
        </w:rPr>
        <w:t xml:space="preserve"> to allow its own generation special access to transmission resources, or impose </w:t>
      </w:r>
      <w:r w:rsidR="002E6A68" w:rsidRPr="001C76DC">
        <w:rPr>
          <w:rFonts w:eastAsia="MS Mincho"/>
          <w:szCs w:val="24"/>
          <w:lang w:eastAsia="ja-JP"/>
        </w:rPr>
        <w:t>unnecessarily burdensome requirements on PPAs.</w:t>
      </w:r>
      <w:r w:rsidR="002E6A68">
        <w:rPr>
          <w:rStyle w:val="FootnoteReference"/>
          <w:rFonts w:eastAsia="MS Mincho"/>
          <w:szCs w:val="24"/>
          <w:lang w:eastAsia="ja-JP"/>
        </w:rPr>
        <w:footnoteReference w:id="91"/>
      </w:r>
      <w:r w:rsidR="004A26B2" w:rsidRPr="001C76DC">
        <w:rPr>
          <w:rFonts w:eastAsia="MS Mincho"/>
          <w:szCs w:val="24"/>
          <w:lang w:eastAsia="ja-JP"/>
        </w:rPr>
        <w:t xml:space="preserve">  Commission </w:t>
      </w:r>
      <w:r w:rsidR="00C76A9D" w:rsidRPr="001C76DC">
        <w:rPr>
          <w:rFonts w:eastAsia="MS Mincho"/>
          <w:szCs w:val="24"/>
          <w:lang w:eastAsia="ja-JP"/>
        </w:rPr>
        <w:t>s</w:t>
      </w:r>
      <w:r w:rsidR="004A26B2" w:rsidRPr="001C76DC">
        <w:rPr>
          <w:rFonts w:eastAsia="MS Mincho"/>
          <w:szCs w:val="24"/>
          <w:lang w:eastAsia="ja-JP"/>
        </w:rPr>
        <w:t xml:space="preserve">taff, customers, and impacted bidders should have the opportunity to review, comment, and request that the Commission remove any </w:t>
      </w:r>
      <w:r w:rsidR="00D407DA" w:rsidRPr="001C76DC">
        <w:rPr>
          <w:rFonts w:eastAsia="MS Mincho"/>
          <w:szCs w:val="24"/>
          <w:lang w:eastAsia="ja-JP"/>
        </w:rPr>
        <w:t xml:space="preserve">unfair transmission constraints.  </w:t>
      </w:r>
    </w:p>
    <w:p w14:paraId="3EA070E0" w14:textId="56C852E2" w:rsidR="00E83393" w:rsidRPr="001C76DC" w:rsidRDefault="00E83393" w:rsidP="00663E64">
      <w:pPr>
        <w:pStyle w:val="ListParagraph"/>
        <w:numPr>
          <w:ilvl w:val="3"/>
          <w:numId w:val="37"/>
        </w:numPr>
        <w:ind w:left="2070" w:hanging="630"/>
        <w:rPr>
          <w:rFonts w:eastAsia="MS Mincho"/>
          <w:b/>
          <w:szCs w:val="24"/>
          <w:lang w:eastAsia="ja-JP"/>
        </w:rPr>
      </w:pPr>
      <w:r w:rsidRPr="001C76DC">
        <w:rPr>
          <w:rFonts w:eastAsia="MS Mincho"/>
          <w:b/>
          <w:bCs/>
          <w:szCs w:val="24"/>
          <w:lang w:eastAsia="ja-JP"/>
        </w:rPr>
        <w:t>Additional Information Regarding Credit and Performance</w:t>
      </w:r>
    </w:p>
    <w:p w14:paraId="2C170E7A" w14:textId="77777777" w:rsidR="00E83393" w:rsidRDefault="00E83393" w:rsidP="00663E64">
      <w:pPr>
        <w:ind w:hanging="540"/>
        <w:rPr>
          <w:rFonts w:eastAsia="MS Mincho"/>
          <w:b/>
          <w:bCs/>
          <w:szCs w:val="24"/>
          <w:lang w:eastAsia="ja-JP"/>
        </w:rPr>
      </w:pPr>
    </w:p>
    <w:p w14:paraId="0B9334A4" w14:textId="409C48AC" w:rsidR="00E83393" w:rsidRPr="00663E64" w:rsidRDefault="008D6874" w:rsidP="00663E64">
      <w:pPr>
        <w:pStyle w:val="ListParagraph"/>
        <w:numPr>
          <w:ilvl w:val="1"/>
          <w:numId w:val="33"/>
        </w:numPr>
        <w:spacing w:line="480" w:lineRule="auto"/>
        <w:ind w:left="0" w:hanging="540"/>
        <w:rPr>
          <w:rFonts w:eastAsia="MS Mincho"/>
          <w:szCs w:val="24"/>
          <w:lang w:eastAsia="ja-JP"/>
        </w:rPr>
      </w:pPr>
      <w:r>
        <w:t xml:space="preserve">            </w:t>
      </w:r>
      <w:r w:rsidR="00E83393" w:rsidRPr="00663E64">
        <w:rPr>
          <w:rFonts w:eastAsia="MS Mincho"/>
          <w:szCs w:val="24"/>
          <w:lang w:eastAsia="ja-JP"/>
        </w:rPr>
        <w:t xml:space="preserve">NIPPC agrees that PPA bids should be required to meet minimum credit and performance guarantees, but </w:t>
      </w:r>
      <w:r w:rsidR="00C51731">
        <w:rPr>
          <w:rFonts w:eastAsia="MS Mincho"/>
          <w:szCs w:val="24"/>
          <w:lang w:eastAsia="ja-JP"/>
        </w:rPr>
        <w:t xml:space="preserve">onerous provisions can skew </w:t>
      </w:r>
      <w:r w:rsidR="00E83393" w:rsidRPr="00663E64">
        <w:rPr>
          <w:rFonts w:eastAsia="MS Mincho"/>
          <w:szCs w:val="24"/>
          <w:lang w:eastAsia="ja-JP"/>
        </w:rPr>
        <w:t xml:space="preserve">the results </w:t>
      </w:r>
      <w:r w:rsidR="00C51731">
        <w:rPr>
          <w:rFonts w:eastAsia="MS Mincho"/>
          <w:szCs w:val="24"/>
          <w:lang w:eastAsia="ja-JP"/>
        </w:rPr>
        <w:t>in</w:t>
      </w:r>
      <w:r w:rsidR="00AA1510">
        <w:rPr>
          <w:rFonts w:eastAsia="MS Mincho"/>
          <w:szCs w:val="24"/>
          <w:lang w:eastAsia="ja-JP"/>
        </w:rPr>
        <w:t xml:space="preserve"> favor </w:t>
      </w:r>
      <w:r w:rsidR="00C51731">
        <w:rPr>
          <w:rFonts w:eastAsia="MS Mincho"/>
          <w:szCs w:val="24"/>
          <w:lang w:eastAsia="ja-JP"/>
        </w:rPr>
        <w:t xml:space="preserve">of </w:t>
      </w:r>
      <w:r w:rsidR="00E83393" w:rsidRPr="00663E64">
        <w:rPr>
          <w:rFonts w:eastAsia="MS Mincho"/>
          <w:szCs w:val="24"/>
          <w:lang w:eastAsia="ja-JP"/>
        </w:rPr>
        <w:t xml:space="preserve">utility </w:t>
      </w:r>
      <w:r w:rsidR="00E83393" w:rsidRPr="00663E64">
        <w:rPr>
          <w:rFonts w:eastAsia="MS Mincho"/>
          <w:szCs w:val="24"/>
          <w:lang w:eastAsia="ja-JP"/>
        </w:rPr>
        <w:lastRenderedPageBreak/>
        <w:t>ownership projects.  Ratepayers do not benefit from overly onerous requirements, especially if they are one-sided and provide an undue disadvantage against IPPs.</w:t>
      </w:r>
    </w:p>
    <w:p w14:paraId="295734A5" w14:textId="0E05551E" w:rsidR="00E83393" w:rsidRPr="001C76DC" w:rsidRDefault="008D6874" w:rsidP="00663E64">
      <w:pPr>
        <w:pStyle w:val="ListParagraph"/>
        <w:numPr>
          <w:ilvl w:val="1"/>
          <w:numId w:val="33"/>
        </w:numPr>
        <w:spacing w:line="480" w:lineRule="auto"/>
        <w:ind w:left="0" w:hanging="540"/>
        <w:rPr>
          <w:rFonts w:eastAsia="MS Mincho"/>
          <w:szCs w:val="24"/>
          <w:lang w:eastAsia="ja-JP"/>
        </w:rPr>
      </w:pPr>
      <w:r>
        <w:t xml:space="preserve">            </w:t>
      </w:r>
      <w:r w:rsidR="00E83393" w:rsidRPr="001C76DC">
        <w:rPr>
          <w:rFonts w:eastAsia="MS Mincho"/>
          <w:szCs w:val="24"/>
          <w:lang w:eastAsia="ja-JP"/>
        </w:rPr>
        <w:t>PGE’s most recent RFP is illustrative of how</w:t>
      </w:r>
      <w:r w:rsidR="00997BCE" w:rsidRPr="001C76DC">
        <w:rPr>
          <w:rFonts w:eastAsia="MS Mincho"/>
          <w:szCs w:val="24"/>
          <w:lang w:eastAsia="ja-JP"/>
        </w:rPr>
        <w:t>, given the opportunity,</w:t>
      </w:r>
      <w:r w:rsidR="00E83393" w:rsidRPr="001C76DC">
        <w:rPr>
          <w:rFonts w:eastAsia="MS Mincho"/>
          <w:szCs w:val="24"/>
          <w:lang w:eastAsia="ja-JP"/>
        </w:rPr>
        <w:t xml:space="preserve"> a utility </w:t>
      </w:r>
      <w:r w:rsidR="00997BCE" w:rsidRPr="001C76DC">
        <w:rPr>
          <w:rFonts w:eastAsia="MS Mincho"/>
          <w:szCs w:val="24"/>
          <w:lang w:eastAsia="ja-JP"/>
        </w:rPr>
        <w:t>will</w:t>
      </w:r>
      <w:r w:rsidR="00E83393" w:rsidRPr="001C76DC">
        <w:rPr>
          <w:rFonts w:eastAsia="MS Mincho"/>
          <w:szCs w:val="24"/>
          <w:lang w:eastAsia="ja-JP"/>
        </w:rPr>
        <w:t xml:space="preserve"> inappropriately influence the results of </w:t>
      </w:r>
      <w:r w:rsidR="00997BCE" w:rsidRPr="001C76DC">
        <w:rPr>
          <w:rFonts w:eastAsia="MS Mincho"/>
          <w:szCs w:val="24"/>
          <w:lang w:eastAsia="ja-JP"/>
        </w:rPr>
        <w:t xml:space="preserve">an </w:t>
      </w:r>
      <w:r w:rsidR="00E83393" w:rsidRPr="001C76DC">
        <w:rPr>
          <w:rFonts w:eastAsia="MS Mincho"/>
          <w:szCs w:val="24"/>
          <w:lang w:eastAsia="ja-JP"/>
        </w:rPr>
        <w:t xml:space="preserve">RFP based upon what appears to be credit worthiness.  PGE’s 2016 RPF included a pre-contractual bid bond requirement </w:t>
      </w:r>
      <w:r w:rsidR="00256E1A" w:rsidRPr="001C76DC">
        <w:rPr>
          <w:rFonts w:eastAsia="MS Mincho"/>
          <w:szCs w:val="24"/>
          <w:lang w:eastAsia="ja-JP"/>
        </w:rPr>
        <w:t xml:space="preserve">for </w:t>
      </w:r>
      <w:r w:rsidR="00E83393" w:rsidRPr="001C76DC">
        <w:rPr>
          <w:rFonts w:eastAsia="MS Mincho"/>
          <w:szCs w:val="24"/>
          <w:lang w:eastAsia="ja-JP"/>
        </w:rPr>
        <w:t>10 percent of the project</w:t>
      </w:r>
      <w:r w:rsidR="00256E1A" w:rsidRPr="001C76DC">
        <w:rPr>
          <w:rFonts w:eastAsia="MS Mincho"/>
          <w:szCs w:val="24"/>
          <w:lang w:eastAsia="ja-JP"/>
        </w:rPr>
        <w:t xml:space="preserve"> price</w:t>
      </w:r>
      <w:r w:rsidR="00E83393" w:rsidRPr="001C76DC">
        <w:rPr>
          <w:rFonts w:eastAsia="MS Mincho"/>
          <w:szCs w:val="24"/>
          <w:lang w:eastAsia="ja-JP"/>
        </w:rPr>
        <w:t>.</w:t>
      </w:r>
      <w:r w:rsidR="00E83393">
        <w:rPr>
          <w:rStyle w:val="FootnoteReference"/>
          <w:rFonts w:eastAsia="MS Mincho"/>
          <w:szCs w:val="24"/>
          <w:lang w:eastAsia="ja-JP"/>
        </w:rPr>
        <w:footnoteReference w:id="92"/>
      </w:r>
      <w:r w:rsidR="00E83393" w:rsidRPr="001C76DC">
        <w:rPr>
          <w:rFonts w:eastAsia="MS Mincho"/>
          <w:szCs w:val="24"/>
          <w:lang w:eastAsia="ja-JP"/>
        </w:rPr>
        <w:t xml:space="preserve">  Several bidders submitted comments suggesting that the pre-contractual bid bond requirement imposed significant cost and risk to bidders, discriminates against small developers, and should be removed.</w:t>
      </w:r>
      <w:r w:rsidR="00E83393">
        <w:rPr>
          <w:rStyle w:val="FootnoteReference"/>
          <w:rFonts w:eastAsia="MS Mincho"/>
          <w:szCs w:val="24"/>
          <w:lang w:eastAsia="ja-JP"/>
        </w:rPr>
        <w:footnoteReference w:id="93"/>
      </w:r>
      <w:r w:rsidR="00E83393" w:rsidRPr="001C76DC">
        <w:rPr>
          <w:rFonts w:eastAsia="MS Mincho"/>
          <w:szCs w:val="24"/>
          <w:lang w:eastAsia="ja-JP"/>
        </w:rPr>
        <w:t xml:space="preserve">  PGE initially agreed to adopt an unnamed bidder’s recommendation and lowered the amount to $25/kW of the project’s nameplate capacity rather than remove bid bond requirement.  But, PGE never clarified when a developer might lose their bid bond.  Thus, in the second round of comments NIPPC brought to light that without such clarification, PGE’s bid bond could be used as leverage to obtain additional concessions during the final stages of negotiation.  Ultimately, PGE dropped the requirement and stated it would rely on credit and collateral requirements to vet the creditworthiness of bidders.</w:t>
      </w:r>
      <w:r w:rsidR="00E83393">
        <w:rPr>
          <w:rStyle w:val="FootnoteReference"/>
          <w:rFonts w:eastAsia="MS Mincho"/>
          <w:szCs w:val="24"/>
          <w:lang w:eastAsia="ja-JP"/>
        </w:rPr>
        <w:footnoteReference w:id="94"/>
      </w:r>
      <w:r w:rsidR="00E83393" w:rsidRPr="001C76DC">
        <w:rPr>
          <w:rFonts w:eastAsia="MS Mincho"/>
          <w:szCs w:val="24"/>
          <w:lang w:eastAsia="ja-JP"/>
        </w:rPr>
        <w:t xml:space="preserve">  </w:t>
      </w:r>
    </w:p>
    <w:p w14:paraId="1495B9F0" w14:textId="7D9F1279" w:rsidR="00F144EF" w:rsidRPr="001C76DC" w:rsidRDefault="008D6874" w:rsidP="00663E64">
      <w:pPr>
        <w:pStyle w:val="ListParagraph"/>
        <w:numPr>
          <w:ilvl w:val="1"/>
          <w:numId w:val="33"/>
        </w:numPr>
        <w:spacing w:line="480" w:lineRule="auto"/>
        <w:ind w:left="0" w:hanging="540"/>
        <w:rPr>
          <w:rFonts w:eastAsia="MS Mincho"/>
          <w:szCs w:val="24"/>
          <w:lang w:eastAsia="ja-JP"/>
        </w:rPr>
      </w:pPr>
      <w:r>
        <w:t xml:space="preserve">            </w:t>
      </w:r>
      <w:r w:rsidR="00E83393" w:rsidRPr="001C76DC">
        <w:rPr>
          <w:rFonts w:eastAsia="MS Mincho"/>
          <w:szCs w:val="24"/>
          <w:lang w:eastAsia="ja-JP"/>
        </w:rPr>
        <w:t>PGE’s bid bond requirement bring</w:t>
      </w:r>
      <w:r w:rsidR="00C76A9D" w:rsidRPr="001C76DC">
        <w:rPr>
          <w:rFonts w:eastAsia="MS Mincho"/>
          <w:szCs w:val="24"/>
          <w:lang w:eastAsia="ja-JP"/>
        </w:rPr>
        <w:t>s</w:t>
      </w:r>
      <w:r w:rsidR="00E83393" w:rsidRPr="001C76DC">
        <w:rPr>
          <w:rFonts w:eastAsia="MS Mincho"/>
          <w:szCs w:val="24"/>
          <w:lang w:eastAsia="ja-JP"/>
        </w:rPr>
        <w:t xml:space="preserve"> to light an important issue:</w:t>
      </w:r>
      <w:r w:rsidR="00493C20" w:rsidRPr="001C76DC">
        <w:rPr>
          <w:rFonts w:eastAsia="MS Mincho"/>
          <w:szCs w:val="24"/>
          <w:lang w:eastAsia="ja-JP"/>
        </w:rPr>
        <w:t xml:space="preserve"> </w:t>
      </w:r>
      <w:r w:rsidR="00E83393" w:rsidRPr="001C76DC">
        <w:rPr>
          <w:rFonts w:eastAsia="MS Mincho"/>
          <w:szCs w:val="24"/>
          <w:lang w:eastAsia="ja-JP"/>
        </w:rPr>
        <w:t xml:space="preserve"> the IE should establish creditworthiness as a requirement to participating in the RF</w:t>
      </w:r>
      <w:r w:rsidR="008F370A" w:rsidRPr="001C76DC">
        <w:rPr>
          <w:rFonts w:eastAsia="MS Mincho"/>
          <w:szCs w:val="24"/>
          <w:lang w:eastAsia="ja-JP"/>
        </w:rPr>
        <w:t>P</w:t>
      </w:r>
      <w:r w:rsidR="00E83393" w:rsidRPr="001C76DC">
        <w:rPr>
          <w:rFonts w:eastAsia="MS Mincho"/>
          <w:szCs w:val="24"/>
          <w:lang w:eastAsia="ja-JP"/>
        </w:rPr>
        <w:t xml:space="preserve"> rather than allowing utilities to make this determination as part of the bidding process.  The </w:t>
      </w:r>
      <w:r w:rsidR="00E83393" w:rsidRPr="001C76DC">
        <w:rPr>
          <w:rFonts w:eastAsia="MS Mincho"/>
          <w:szCs w:val="24"/>
          <w:lang w:eastAsia="ja-JP"/>
        </w:rPr>
        <w:lastRenderedPageBreak/>
        <w:t xml:space="preserve">Commission should not permit utilities to weed out smaller developers.  Instead, IEs should rigorously review the reasonableness of all bids, including those submitted by the utility or its affiliates. </w:t>
      </w:r>
      <w:r w:rsidR="00493C20" w:rsidRPr="001C76DC">
        <w:rPr>
          <w:rFonts w:eastAsia="MS Mincho"/>
          <w:szCs w:val="24"/>
          <w:lang w:eastAsia="ja-JP"/>
        </w:rPr>
        <w:t xml:space="preserve"> </w:t>
      </w:r>
      <w:r w:rsidR="00E83393" w:rsidRPr="001C76DC">
        <w:rPr>
          <w:rFonts w:eastAsia="MS Mincho"/>
          <w:szCs w:val="24"/>
          <w:lang w:eastAsia="ja-JP"/>
        </w:rPr>
        <w:t xml:space="preserve">PGE’s RFP example also demonstrates how important the opportunity for two rounds of comment and review are to bidders.  </w:t>
      </w:r>
    </w:p>
    <w:p w14:paraId="12C6F501" w14:textId="071E34DA" w:rsidR="00386565" w:rsidRPr="001C76DC" w:rsidRDefault="00386565" w:rsidP="008D6874">
      <w:pPr>
        <w:pStyle w:val="ListParagraph"/>
        <w:numPr>
          <w:ilvl w:val="3"/>
          <w:numId w:val="37"/>
        </w:numPr>
        <w:ind w:left="2070" w:hanging="630"/>
        <w:rPr>
          <w:rFonts w:eastAsia="MS Mincho"/>
          <w:b/>
          <w:szCs w:val="24"/>
          <w:lang w:eastAsia="ja-JP"/>
        </w:rPr>
      </w:pPr>
      <w:r w:rsidRPr="001C76DC">
        <w:rPr>
          <w:rFonts w:eastAsia="MS Mincho"/>
          <w:b/>
          <w:bCs/>
          <w:szCs w:val="24"/>
          <w:lang w:eastAsia="ja-JP"/>
        </w:rPr>
        <w:t>Proper Accounting for Resource Life Span</w:t>
      </w:r>
    </w:p>
    <w:p w14:paraId="75B1F536" w14:textId="1CE4F05F" w:rsidR="00386565" w:rsidRPr="00CC141E" w:rsidRDefault="00386565" w:rsidP="00663E64">
      <w:pPr>
        <w:tabs>
          <w:tab w:val="left" w:pos="3585"/>
        </w:tabs>
        <w:ind w:hanging="540"/>
        <w:rPr>
          <w:rFonts w:eastAsia="MS Mincho"/>
          <w:bCs/>
          <w:szCs w:val="24"/>
          <w:lang w:eastAsia="ja-JP"/>
        </w:rPr>
      </w:pPr>
    </w:p>
    <w:p w14:paraId="47190E41" w14:textId="63B2F198" w:rsidR="00386565" w:rsidRDefault="008D6874" w:rsidP="008D6874">
      <w:pPr>
        <w:pStyle w:val="ListParagraph"/>
        <w:numPr>
          <w:ilvl w:val="1"/>
          <w:numId w:val="33"/>
        </w:numPr>
        <w:spacing w:line="480" w:lineRule="auto"/>
        <w:ind w:left="0" w:hanging="720"/>
      </w:pPr>
      <w:r>
        <w:t xml:space="preserve">            </w:t>
      </w:r>
      <w:r w:rsidR="00386565" w:rsidRPr="008D6874">
        <w:rPr>
          <w:rFonts w:eastAsia="MS Mincho"/>
          <w:bCs/>
          <w:szCs w:val="24"/>
          <w:lang w:eastAsia="ja-JP"/>
        </w:rPr>
        <w:t xml:space="preserve">The RFP Rules should ensure that the entity that scores the </w:t>
      </w:r>
      <w:r w:rsidR="00F160D2" w:rsidRPr="008D6874">
        <w:rPr>
          <w:rFonts w:eastAsia="MS Mincho"/>
          <w:bCs/>
          <w:szCs w:val="24"/>
          <w:lang w:eastAsia="ja-JP"/>
        </w:rPr>
        <w:t>utility ownership</w:t>
      </w:r>
      <w:r w:rsidR="00386565" w:rsidRPr="008D6874">
        <w:rPr>
          <w:rFonts w:eastAsia="MS Mincho"/>
          <w:bCs/>
          <w:szCs w:val="24"/>
          <w:lang w:eastAsia="ja-JP"/>
        </w:rPr>
        <w:t xml:space="preserve"> bids against the </w:t>
      </w:r>
      <w:r w:rsidR="004F0E37" w:rsidRPr="008D6874">
        <w:rPr>
          <w:rFonts w:eastAsia="MS Mincho"/>
          <w:bCs/>
          <w:szCs w:val="24"/>
          <w:lang w:eastAsia="ja-JP"/>
        </w:rPr>
        <w:t>IPP</w:t>
      </w:r>
      <w:r w:rsidR="00386565" w:rsidRPr="008D6874">
        <w:rPr>
          <w:rFonts w:eastAsia="MS Mincho"/>
          <w:bCs/>
          <w:szCs w:val="24"/>
          <w:lang w:eastAsia="ja-JP"/>
        </w:rPr>
        <w:t xml:space="preserve"> bids accurately, or at least transparently, compares resources with varying life spans.  This issue arises because </w:t>
      </w:r>
      <w:r w:rsidR="00386565">
        <w:t xml:space="preserve">a </w:t>
      </w:r>
      <w:r w:rsidR="00F160D2">
        <w:t>utility owned</w:t>
      </w:r>
      <w:r w:rsidR="00386565">
        <w:t xml:space="preserve"> project is a longer-term obligation placed in rate base for 30-plus years, and the shorter-term PPA is typically for a shorter duration of 15-25 years.  </w:t>
      </w:r>
      <w:r w:rsidR="00222B28">
        <w:t>In addition</w:t>
      </w:r>
      <w:r w:rsidR="003138D7" w:rsidRPr="003138D7">
        <w:t xml:space="preserve">, the significant costs of required capital replacements over a 30-year resource life </w:t>
      </w:r>
      <w:r w:rsidR="00222B28">
        <w:t xml:space="preserve">may not be </w:t>
      </w:r>
      <w:r w:rsidR="004C1B92">
        <w:t xml:space="preserve">fully </w:t>
      </w:r>
      <w:r w:rsidR="00222B28">
        <w:t xml:space="preserve">accounted for the utility owned </w:t>
      </w:r>
      <w:r w:rsidR="004C1B92">
        <w:t>bid</w:t>
      </w:r>
      <w:r w:rsidR="003138D7" w:rsidRPr="003138D7">
        <w:t>, while the IPP will need to account for the</w:t>
      </w:r>
      <w:r w:rsidR="004C1B92">
        <w:t>se</w:t>
      </w:r>
      <w:r w:rsidR="003138D7" w:rsidRPr="003138D7">
        <w:t xml:space="preserve"> cost</w:t>
      </w:r>
      <w:r w:rsidR="004C1B92">
        <w:t>s</w:t>
      </w:r>
      <w:r w:rsidR="003138D7" w:rsidRPr="003138D7">
        <w:t xml:space="preserve"> in their fixed price bid.  </w:t>
      </w:r>
      <w:r w:rsidR="00530F6E" w:rsidRPr="00530F6E">
        <w:t xml:space="preserve">Generally speaking, the PPA option will typically be far less expensive to the ratepayer in the early years and the utility owned resource may decline in costs in its later years (if the utility owned generation costs and performs as advertised in those future years and rate-base depreciation exceeds the additions to rate-base due to capital replacements and repairs).  </w:t>
      </w:r>
      <w:r w:rsidR="00386565">
        <w:t>This dichotomy raises two different issues relevant to an RFP evaluation.</w:t>
      </w:r>
    </w:p>
    <w:p w14:paraId="2744B459" w14:textId="3B37D644" w:rsidR="004F0E37" w:rsidRDefault="008D6874" w:rsidP="008D6874">
      <w:pPr>
        <w:pStyle w:val="ListParagraph"/>
        <w:numPr>
          <w:ilvl w:val="1"/>
          <w:numId w:val="33"/>
        </w:numPr>
        <w:spacing w:line="480" w:lineRule="auto"/>
        <w:ind w:left="0" w:hanging="540"/>
      </w:pPr>
      <w:r>
        <w:t xml:space="preserve">            </w:t>
      </w:r>
      <w:r w:rsidR="00386565">
        <w:t xml:space="preserve">First, because </w:t>
      </w:r>
      <w:r w:rsidR="00410057">
        <w:t>a utility owned</w:t>
      </w:r>
      <w:r w:rsidR="00386565">
        <w:t xml:space="preserve"> resource is placed in rates for a period that is typically far in excess of the term of the PPA bids, the RFP that compares these two different resource types must conduct present value and/or levelization analysis in an attempt to compare </w:t>
      </w:r>
      <w:r w:rsidR="004F0E37">
        <w:t xml:space="preserve">bid </w:t>
      </w:r>
      <w:r w:rsidR="00386565">
        <w:t>prices</w:t>
      </w:r>
      <w:r w:rsidR="00BB4CB6">
        <w:t xml:space="preserve"> between the two bid types</w:t>
      </w:r>
      <w:r w:rsidR="00386565">
        <w:t xml:space="preserve">.  </w:t>
      </w:r>
      <w:r w:rsidR="00BB4CB6">
        <w:t>T</w:t>
      </w:r>
      <w:r w:rsidR="00386565">
        <w:t xml:space="preserve">his analysis is inherently flawed since one type of bid (PPA) provides a known price </w:t>
      </w:r>
      <w:r w:rsidR="00BB4CB6">
        <w:t xml:space="preserve">for a known period of time, </w:t>
      </w:r>
      <w:r w:rsidR="00386565">
        <w:t xml:space="preserve">while the other </w:t>
      </w:r>
      <w:r w:rsidR="00BB4CB6">
        <w:t>(</w:t>
      </w:r>
      <w:r w:rsidR="00410057">
        <w:t>utility owned project</w:t>
      </w:r>
      <w:r w:rsidR="00BB4CB6">
        <w:t xml:space="preserve">) </w:t>
      </w:r>
      <w:r w:rsidR="00386565">
        <w:t xml:space="preserve">requires extensive assumptions to develop an </w:t>
      </w:r>
      <w:r w:rsidR="00386565">
        <w:lastRenderedPageBreak/>
        <w:t>assumed price</w:t>
      </w:r>
      <w:r w:rsidR="00BB4CB6">
        <w:t>, including, at a minimum, escalation of future operations and maintenance charges prior to applying a discount factor to achieve a present value</w:t>
      </w:r>
      <w:r w:rsidR="00386565">
        <w:t xml:space="preserve">. </w:t>
      </w:r>
      <w:r w:rsidR="00410057">
        <w:t xml:space="preserve"> </w:t>
      </w:r>
      <w:r w:rsidR="00386565">
        <w:t xml:space="preserve">Obviously, this is an area where major errors </w:t>
      </w:r>
      <w:r w:rsidR="004F0E37">
        <w:t>will</w:t>
      </w:r>
      <w:r w:rsidR="00386565">
        <w:t xml:space="preserve"> be made in order to discount the unknown future costs of the </w:t>
      </w:r>
      <w:r w:rsidR="00410057">
        <w:t>utility owned</w:t>
      </w:r>
      <w:r w:rsidR="00386565">
        <w:t xml:space="preserve"> plant </w:t>
      </w:r>
      <w:r w:rsidR="004F0E37">
        <w:t xml:space="preserve">in an attempt to </w:t>
      </w:r>
      <w:r w:rsidR="00386565">
        <w:t>compare</w:t>
      </w:r>
      <w:r w:rsidR="004F0E37">
        <w:t xml:space="preserve"> its unknown cost </w:t>
      </w:r>
      <w:r w:rsidR="00386565">
        <w:t>to a fixed</w:t>
      </w:r>
      <w:r w:rsidR="004F0E37">
        <w:t>-price</w:t>
      </w:r>
      <w:r w:rsidR="00386565">
        <w:t xml:space="preserve"> PPA bid.  NIPPC submits that it is not really possible to a</w:t>
      </w:r>
      <w:r w:rsidR="004F0E37">
        <w:t>ccurately conduct this analysis.</w:t>
      </w:r>
    </w:p>
    <w:p w14:paraId="11C780EB" w14:textId="6823C624" w:rsidR="004F0E37" w:rsidRDefault="008D6874" w:rsidP="008D6874">
      <w:pPr>
        <w:pStyle w:val="ListParagraph"/>
        <w:numPr>
          <w:ilvl w:val="1"/>
          <w:numId w:val="33"/>
        </w:numPr>
        <w:spacing w:line="480" w:lineRule="auto"/>
        <w:ind w:left="0" w:hanging="540"/>
      </w:pPr>
      <w:r>
        <w:t xml:space="preserve">            </w:t>
      </w:r>
      <w:r w:rsidR="001949F8">
        <w:t xml:space="preserve">Second, this issue highlights the even more important question of whether it is appropriate for utilities to be committing to generation commitments of 30-plus years at a time when the electric industry is undergoing major structural changes.  </w:t>
      </w:r>
      <w:r w:rsidR="00BD6C0C">
        <w:t xml:space="preserve">As noted above, the IPP bid will typically be far less expensive in the early years of the resource life compared to the </w:t>
      </w:r>
      <w:r w:rsidR="00410057">
        <w:t>utility owned</w:t>
      </w:r>
      <w:r w:rsidR="00BD6C0C">
        <w:t xml:space="preserve"> bid that will be placed in rate base, and the </w:t>
      </w:r>
      <w:r w:rsidR="00410057">
        <w:t xml:space="preserve">utility owned </w:t>
      </w:r>
      <w:r w:rsidR="00BD6C0C">
        <w:t>bid will become more valuable only if it performs as projected for the 30-plus year</w:t>
      </w:r>
      <w:r w:rsidR="004F0E37">
        <w:t>s of the assumed</w:t>
      </w:r>
      <w:r w:rsidR="00BD6C0C">
        <w:t xml:space="preserve"> rate-base period</w:t>
      </w:r>
      <w:r w:rsidR="00386565">
        <w:t>.</w:t>
      </w:r>
      <w:r w:rsidR="00BD6C0C">
        <w:t xml:space="preserve">  However, at a time </w:t>
      </w:r>
      <w:r w:rsidR="004F0E37">
        <w:t>of</w:t>
      </w:r>
      <w:r w:rsidR="00BD6C0C">
        <w:t xml:space="preserve"> impending carbon regulations at the state and federal levels and rapid changes in generation </w:t>
      </w:r>
      <w:r w:rsidR="004F0E37">
        <w:t xml:space="preserve">and storage </w:t>
      </w:r>
      <w:r w:rsidR="00BD6C0C">
        <w:t>technologies, the Commission should not allow the utilities to rely on projected benefits of a new generation resource that reach over 30 years into the future; ratepayers are better served by shorter commitments in the range of a 15</w:t>
      </w:r>
      <w:r w:rsidR="004F0E37">
        <w:t>-year</w:t>
      </w:r>
      <w:r w:rsidR="00BE1C80">
        <w:t xml:space="preserve"> to 25</w:t>
      </w:r>
      <w:r w:rsidR="00BD6C0C">
        <w:t xml:space="preserve">-year PPA.  </w:t>
      </w:r>
    </w:p>
    <w:p w14:paraId="2DA96EE5" w14:textId="3F75524F" w:rsidR="00386565" w:rsidRPr="001C76DC" w:rsidRDefault="008D6874" w:rsidP="008D6874">
      <w:pPr>
        <w:pStyle w:val="ListParagraph"/>
        <w:numPr>
          <w:ilvl w:val="1"/>
          <w:numId w:val="33"/>
        </w:numPr>
        <w:spacing w:line="480" w:lineRule="auto"/>
        <w:ind w:left="0" w:hanging="540"/>
        <w:rPr>
          <w:rFonts w:eastAsia="MS Mincho"/>
          <w:szCs w:val="24"/>
          <w:lang w:eastAsia="ja-JP"/>
        </w:rPr>
      </w:pPr>
      <w:r>
        <w:t xml:space="preserve">            </w:t>
      </w:r>
      <w:r w:rsidR="009134FF">
        <w:t xml:space="preserve">At a minimum, if utility owned generation bids will continue to be scored against IPP bids, then NIPPC recommends that the impact of the assumed resource lifespan of the utility owned generation bids be transparently presented in the RFP evaluation. </w:t>
      </w:r>
      <w:r w:rsidR="00BD6C0C" w:rsidRPr="001C76DC">
        <w:rPr>
          <w:rFonts w:eastAsia="MS Mincho"/>
          <w:szCs w:val="24"/>
          <w:lang w:eastAsia="ja-JP"/>
        </w:rPr>
        <w:t xml:space="preserve">For each </w:t>
      </w:r>
      <w:r w:rsidR="00410057" w:rsidRPr="001C76DC">
        <w:rPr>
          <w:rFonts w:eastAsia="MS Mincho"/>
          <w:szCs w:val="24"/>
          <w:lang w:eastAsia="ja-JP"/>
        </w:rPr>
        <w:t>utility owned generation</w:t>
      </w:r>
      <w:r w:rsidR="00BD6C0C" w:rsidRPr="001C76DC">
        <w:rPr>
          <w:rFonts w:eastAsia="MS Mincho"/>
          <w:szCs w:val="24"/>
          <w:lang w:eastAsia="ja-JP"/>
        </w:rPr>
        <w:t xml:space="preserve"> bid, the price score should be presented in a way that transparently demonstrates the impact of the present value analysis that is used to compare the present value or levelized costs of the </w:t>
      </w:r>
      <w:r w:rsidR="00667051" w:rsidRPr="001C76DC">
        <w:rPr>
          <w:rFonts w:eastAsia="MS Mincho"/>
          <w:szCs w:val="24"/>
          <w:lang w:eastAsia="ja-JP"/>
        </w:rPr>
        <w:t>utility owned</w:t>
      </w:r>
      <w:r w:rsidR="00BD6C0C" w:rsidRPr="001C76DC">
        <w:rPr>
          <w:rFonts w:eastAsia="MS Mincho"/>
          <w:szCs w:val="24"/>
          <w:lang w:eastAsia="ja-JP"/>
        </w:rPr>
        <w:t xml:space="preserve"> bid </w:t>
      </w:r>
      <w:r w:rsidR="00007990" w:rsidRPr="001C76DC">
        <w:rPr>
          <w:rFonts w:eastAsia="MS Mincho"/>
          <w:szCs w:val="24"/>
          <w:lang w:eastAsia="ja-JP"/>
        </w:rPr>
        <w:t>to</w:t>
      </w:r>
      <w:r w:rsidR="00BD6C0C" w:rsidRPr="001C76DC">
        <w:rPr>
          <w:rFonts w:eastAsia="MS Mincho"/>
          <w:szCs w:val="24"/>
          <w:lang w:eastAsia="ja-JP"/>
        </w:rPr>
        <w:t xml:space="preserve"> fixed price </w:t>
      </w:r>
      <w:r w:rsidR="00667051" w:rsidRPr="001C76DC">
        <w:rPr>
          <w:rFonts w:eastAsia="MS Mincho"/>
          <w:szCs w:val="24"/>
          <w:lang w:eastAsia="ja-JP"/>
        </w:rPr>
        <w:t>IPP</w:t>
      </w:r>
      <w:r w:rsidR="00BD6C0C" w:rsidRPr="001C76DC">
        <w:rPr>
          <w:rFonts w:eastAsia="MS Mincho"/>
          <w:szCs w:val="24"/>
          <w:lang w:eastAsia="ja-JP"/>
        </w:rPr>
        <w:t xml:space="preserve"> bids.  Such analysis must include, at a minimum, calculation of the annual levelized price </w:t>
      </w:r>
      <w:r w:rsidR="00BD6C0C" w:rsidRPr="001C76DC">
        <w:rPr>
          <w:rFonts w:eastAsia="MS Mincho"/>
          <w:szCs w:val="24"/>
          <w:lang w:eastAsia="ja-JP"/>
        </w:rPr>
        <w:lastRenderedPageBreak/>
        <w:t xml:space="preserve">of the </w:t>
      </w:r>
      <w:r w:rsidR="00667051" w:rsidRPr="001C76DC">
        <w:rPr>
          <w:rFonts w:eastAsia="MS Mincho"/>
          <w:szCs w:val="24"/>
          <w:lang w:eastAsia="ja-JP"/>
        </w:rPr>
        <w:t>utility owned generation</w:t>
      </w:r>
      <w:r w:rsidR="00BD6C0C" w:rsidRPr="001C76DC">
        <w:rPr>
          <w:rFonts w:eastAsia="MS Mincho"/>
          <w:szCs w:val="24"/>
          <w:lang w:eastAsia="ja-JP"/>
        </w:rPr>
        <w:t xml:space="preserve"> bid assuming different resource lifetimes for the bid for each five year interval extending from the shortest PPA term allowed to bid into the RFP to the proposed maximum period of evaluation of the </w:t>
      </w:r>
      <w:r w:rsidR="00667051" w:rsidRPr="001C76DC">
        <w:rPr>
          <w:rFonts w:eastAsia="MS Mincho"/>
          <w:szCs w:val="24"/>
          <w:lang w:eastAsia="ja-JP"/>
        </w:rPr>
        <w:t>utility owned generation</w:t>
      </w:r>
      <w:r w:rsidR="00BD6C0C" w:rsidRPr="001C76DC">
        <w:rPr>
          <w:rFonts w:eastAsia="MS Mincho"/>
          <w:szCs w:val="24"/>
          <w:lang w:eastAsia="ja-JP"/>
        </w:rPr>
        <w:t xml:space="preserve"> bid.</w:t>
      </w:r>
      <w:r w:rsidR="00667051" w:rsidRPr="001C76DC">
        <w:rPr>
          <w:rFonts w:eastAsia="MS Mincho"/>
          <w:szCs w:val="24"/>
          <w:lang w:eastAsia="ja-JP"/>
        </w:rPr>
        <w:t xml:space="preserve"> </w:t>
      </w:r>
      <w:r w:rsidR="00BD6C0C" w:rsidRPr="001C76DC">
        <w:rPr>
          <w:rFonts w:eastAsia="MS Mincho"/>
          <w:szCs w:val="24"/>
          <w:lang w:eastAsia="ja-JP"/>
        </w:rPr>
        <w:t xml:space="preserve"> For example, with a 15-year minimum PPA bid and an assumption the </w:t>
      </w:r>
      <w:r w:rsidR="00667051" w:rsidRPr="001C76DC">
        <w:rPr>
          <w:rFonts w:eastAsia="MS Mincho"/>
          <w:szCs w:val="24"/>
          <w:lang w:eastAsia="ja-JP"/>
        </w:rPr>
        <w:t>utility owned generation</w:t>
      </w:r>
      <w:r w:rsidR="00BD6C0C" w:rsidRPr="001C76DC">
        <w:rPr>
          <w:rFonts w:eastAsia="MS Mincho"/>
          <w:szCs w:val="24"/>
          <w:lang w:eastAsia="ja-JP"/>
        </w:rPr>
        <w:t xml:space="preserve"> bid will impose costs and benefits for 35 years, the analysis must present </w:t>
      </w:r>
      <w:r w:rsidR="00667051" w:rsidRPr="001C76DC">
        <w:rPr>
          <w:rFonts w:eastAsia="MS Mincho"/>
          <w:szCs w:val="24"/>
          <w:lang w:eastAsia="ja-JP"/>
        </w:rPr>
        <w:t>utility owned generation</w:t>
      </w:r>
      <w:r w:rsidR="00BD6C0C" w:rsidRPr="001C76DC">
        <w:rPr>
          <w:rFonts w:eastAsia="MS Mincho"/>
          <w:szCs w:val="24"/>
          <w:lang w:eastAsia="ja-JP"/>
        </w:rPr>
        <w:t xml:space="preserve"> bid price scores with the assumption of resource lives of 15 </w:t>
      </w:r>
      <w:r w:rsidR="001F516F" w:rsidRPr="001C76DC">
        <w:rPr>
          <w:rFonts w:eastAsia="MS Mincho"/>
          <w:szCs w:val="24"/>
          <w:lang w:eastAsia="ja-JP"/>
        </w:rPr>
        <w:t>to</w:t>
      </w:r>
      <w:r w:rsidR="00BD6C0C" w:rsidRPr="001C76DC">
        <w:rPr>
          <w:rFonts w:eastAsia="MS Mincho"/>
          <w:szCs w:val="24"/>
          <w:lang w:eastAsia="ja-JP"/>
        </w:rPr>
        <w:t xml:space="preserve"> 35 years.  This analysis, and the supporting data, will allow the parties to the RFP process to accurately understand the impact of lengthier life span of the </w:t>
      </w:r>
      <w:r w:rsidR="00667051" w:rsidRPr="001C76DC">
        <w:rPr>
          <w:rFonts w:eastAsia="MS Mincho"/>
          <w:szCs w:val="24"/>
          <w:lang w:eastAsia="ja-JP"/>
        </w:rPr>
        <w:t>utility owned generation</w:t>
      </w:r>
      <w:r w:rsidR="00BD6C0C" w:rsidRPr="001C76DC">
        <w:rPr>
          <w:rFonts w:eastAsia="MS Mincho"/>
          <w:szCs w:val="24"/>
          <w:lang w:eastAsia="ja-JP"/>
        </w:rPr>
        <w:t xml:space="preserve"> bid, and will allow the Commission to determine if </w:t>
      </w:r>
      <w:r w:rsidR="004F0E37" w:rsidRPr="001C76DC">
        <w:rPr>
          <w:rFonts w:eastAsia="MS Mincho"/>
          <w:szCs w:val="24"/>
          <w:lang w:eastAsia="ja-JP"/>
        </w:rPr>
        <w:t xml:space="preserve">it is reasonable to assume that longer lifespan </w:t>
      </w:r>
      <w:r w:rsidR="00BE1C80" w:rsidRPr="001C76DC">
        <w:rPr>
          <w:rFonts w:eastAsia="MS Mincho"/>
          <w:szCs w:val="24"/>
          <w:lang w:eastAsia="ja-JP"/>
        </w:rPr>
        <w:t xml:space="preserve">will </w:t>
      </w:r>
      <w:r w:rsidR="008F05D0" w:rsidRPr="001C76DC">
        <w:rPr>
          <w:rFonts w:eastAsia="MS Mincho"/>
          <w:szCs w:val="24"/>
          <w:lang w:eastAsia="ja-JP"/>
        </w:rPr>
        <w:t xml:space="preserve">both </w:t>
      </w:r>
      <w:r w:rsidR="00BE1C80" w:rsidRPr="001C76DC">
        <w:rPr>
          <w:rFonts w:eastAsia="MS Mincho"/>
          <w:szCs w:val="24"/>
          <w:lang w:eastAsia="ja-JP"/>
        </w:rPr>
        <w:t xml:space="preserve">come to fruition at the projected costs </w:t>
      </w:r>
      <w:r w:rsidR="008F05D0" w:rsidRPr="001C76DC">
        <w:rPr>
          <w:rFonts w:eastAsia="MS Mincho"/>
          <w:szCs w:val="24"/>
          <w:lang w:eastAsia="ja-JP"/>
        </w:rPr>
        <w:t xml:space="preserve">and remain the best resource selection over that lengthy time frame, </w:t>
      </w:r>
      <w:r w:rsidR="00BE1C80" w:rsidRPr="001C76DC">
        <w:rPr>
          <w:rFonts w:eastAsia="MS Mincho"/>
          <w:szCs w:val="24"/>
          <w:lang w:eastAsia="ja-JP"/>
        </w:rPr>
        <w:t>prior to</w:t>
      </w:r>
      <w:r w:rsidR="004F0E37" w:rsidRPr="001C76DC">
        <w:rPr>
          <w:rFonts w:eastAsia="MS Mincho"/>
          <w:szCs w:val="24"/>
          <w:lang w:eastAsia="ja-JP"/>
        </w:rPr>
        <w:t xml:space="preserve"> </w:t>
      </w:r>
      <w:r w:rsidR="00BE1C80" w:rsidRPr="001C76DC">
        <w:rPr>
          <w:rFonts w:eastAsia="MS Mincho"/>
          <w:szCs w:val="24"/>
          <w:lang w:eastAsia="ja-JP"/>
        </w:rPr>
        <w:t>committing rate</w:t>
      </w:r>
      <w:r w:rsidR="004F0E37" w:rsidRPr="001C76DC">
        <w:rPr>
          <w:rFonts w:eastAsia="MS Mincho"/>
          <w:szCs w:val="24"/>
          <w:lang w:eastAsia="ja-JP"/>
        </w:rPr>
        <w:t>payers</w:t>
      </w:r>
      <w:r w:rsidR="004F1916" w:rsidRPr="001C76DC">
        <w:rPr>
          <w:rFonts w:eastAsia="MS Mincho"/>
          <w:szCs w:val="24"/>
          <w:lang w:eastAsia="ja-JP"/>
        </w:rPr>
        <w:t xml:space="preserve"> to the cradle</w:t>
      </w:r>
      <w:r w:rsidR="00997BCE" w:rsidRPr="001C76DC">
        <w:rPr>
          <w:rFonts w:eastAsia="MS Mincho"/>
          <w:szCs w:val="24"/>
          <w:lang w:eastAsia="ja-JP"/>
        </w:rPr>
        <w:t>-</w:t>
      </w:r>
      <w:r w:rsidR="004F1916" w:rsidRPr="001C76DC">
        <w:rPr>
          <w:rFonts w:eastAsia="MS Mincho"/>
          <w:szCs w:val="24"/>
          <w:lang w:eastAsia="ja-JP"/>
        </w:rPr>
        <w:t>to</w:t>
      </w:r>
      <w:r w:rsidR="00997BCE" w:rsidRPr="001C76DC">
        <w:rPr>
          <w:rFonts w:eastAsia="MS Mincho"/>
          <w:szCs w:val="24"/>
          <w:lang w:eastAsia="ja-JP"/>
        </w:rPr>
        <w:t>-</w:t>
      </w:r>
      <w:r w:rsidR="004F1916" w:rsidRPr="001C76DC">
        <w:rPr>
          <w:rFonts w:eastAsia="MS Mincho"/>
          <w:szCs w:val="24"/>
          <w:lang w:eastAsia="ja-JP"/>
        </w:rPr>
        <w:t>grave costs of that</w:t>
      </w:r>
      <w:r w:rsidR="00BE1C80" w:rsidRPr="001C76DC">
        <w:rPr>
          <w:rFonts w:eastAsia="MS Mincho"/>
          <w:szCs w:val="24"/>
          <w:lang w:eastAsia="ja-JP"/>
        </w:rPr>
        <w:t xml:space="preserve"> </w:t>
      </w:r>
      <w:r w:rsidR="00811FA4" w:rsidRPr="001C76DC">
        <w:rPr>
          <w:rFonts w:eastAsia="MS Mincho"/>
          <w:szCs w:val="24"/>
          <w:lang w:eastAsia="ja-JP"/>
        </w:rPr>
        <w:t>utility owned</w:t>
      </w:r>
      <w:r w:rsidR="00BE1C80" w:rsidRPr="001C76DC">
        <w:rPr>
          <w:rFonts w:eastAsia="MS Mincho"/>
          <w:szCs w:val="24"/>
          <w:lang w:eastAsia="ja-JP"/>
        </w:rPr>
        <w:t xml:space="preserve"> resource</w:t>
      </w:r>
      <w:r w:rsidR="004F0E37" w:rsidRPr="001C76DC">
        <w:rPr>
          <w:rFonts w:eastAsia="MS Mincho"/>
          <w:szCs w:val="24"/>
          <w:lang w:eastAsia="ja-JP"/>
        </w:rPr>
        <w:t>.</w:t>
      </w:r>
    </w:p>
    <w:p w14:paraId="78AD074A" w14:textId="7BE188E0" w:rsidR="00E83393" w:rsidRPr="001C76DC" w:rsidRDefault="00E83393" w:rsidP="008D6874">
      <w:pPr>
        <w:pStyle w:val="ListParagraph"/>
        <w:numPr>
          <w:ilvl w:val="3"/>
          <w:numId w:val="37"/>
        </w:numPr>
        <w:ind w:left="2070" w:hanging="630"/>
        <w:rPr>
          <w:rFonts w:eastAsia="MS Mincho"/>
          <w:b/>
          <w:szCs w:val="24"/>
          <w:lang w:eastAsia="ja-JP"/>
        </w:rPr>
      </w:pPr>
      <w:r w:rsidRPr="001C76DC">
        <w:rPr>
          <w:rFonts w:eastAsia="MS Mincho"/>
          <w:b/>
          <w:bCs/>
          <w:szCs w:val="24"/>
          <w:lang w:eastAsia="ja-JP"/>
        </w:rPr>
        <w:t>Scoring Criteria Should Value the Unique Benefits of Portfolio Diversity and Protect Against the Risk of Cost Overruns, and Pre-construction Costs</w:t>
      </w:r>
    </w:p>
    <w:p w14:paraId="20FD98CC" w14:textId="77777777" w:rsidR="00E83393" w:rsidRDefault="00E83393" w:rsidP="008D6874">
      <w:pPr>
        <w:ind w:hanging="1800"/>
        <w:rPr>
          <w:rFonts w:eastAsia="MS Mincho"/>
          <w:b/>
          <w:bCs/>
          <w:szCs w:val="24"/>
          <w:lang w:eastAsia="ja-JP"/>
        </w:rPr>
      </w:pPr>
    </w:p>
    <w:p w14:paraId="3BDB87C7" w14:textId="2E2BC171" w:rsidR="00E83393" w:rsidRPr="008D6874" w:rsidRDefault="008D6874" w:rsidP="008D6874">
      <w:pPr>
        <w:pStyle w:val="ListParagraph"/>
        <w:numPr>
          <w:ilvl w:val="1"/>
          <w:numId w:val="33"/>
        </w:numPr>
        <w:spacing w:line="480" w:lineRule="auto"/>
        <w:ind w:left="0" w:hanging="540"/>
        <w:rPr>
          <w:rFonts w:eastAsia="MS Mincho"/>
          <w:lang w:eastAsia="ja-JP"/>
        </w:rPr>
      </w:pPr>
      <w:r>
        <w:t xml:space="preserve">            </w:t>
      </w:r>
      <w:r w:rsidR="00E83393" w:rsidRPr="008D6874">
        <w:rPr>
          <w:rFonts w:eastAsia="MS Mincho"/>
          <w:szCs w:val="24"/>
          <w:lang w:eastAsia="ja-JP"/>
        </w:rPr>
        <w:t xml:space="preserve">The current energy market offers a barrage of challenges that require a balanced approach taking into consideration the impacts of different types of generation as well as between utility owned generation and market purchases.  </w:t>
      </w:r>
      <w:r w:rsidR="00E83393" w:rsidRPr="008D6874">
        <w:rPr>
          <w:rFonts w:eastAsia="MS Mincho"/>
          <w:lang w:eastAsia="ja-JP"/>
        </w:rPr>
        <w:t xml:space="preserve">A healthy utility resource portfolio is one that displays a significant level of diversity.  Just as diverse portfolio of different types of resources and resource technologies, so can diversity of types and duration of resource </w:t>
      </w:r>
      <w:r w:rsidR="00E83393" w:rsidRPr="008D6874">
        <w:rPr>
          <w:rFonts w:eastAsia="MS Mincho"/>
          <w:iCs/>
          <w:lang w:eastAsia="ja-JP"/>
        </w:rPr>
        <w:t>ownership</w:t>
      </w:r>
      <w:r w:rsidR="00E83393" w:rsidRPr="008D6874">
        <w:rPr>
          <w:rFonts w:eastAsia="MS Mincho"/>
          <w:lang w:eastAsia="ja-JP"/>
        </w:rPr>
        <w:t xml:space="preserve">.  Customers benefit when resource ownership is diversified because it gives utilities and customers access to different types and durations of resources without committing excessively to any single resource or technology, as utility ownership requires. </w:t>
      </w:r>
    </w:p>
    <w:p w14:paraId="6FF4A393" w14:textId="03F3A6A4" w:rsidR="00E83393" w:rsidRPr="001C76DC" w:rsidRDefault="008D6874" w:rsidP="008D6874">
      <w:pPr>
        <w:pStyle w:val="ListParagraph"/>
        <w:numPr>
          <w:ilvl w:val="1"/>
          <w:numId w:val="33"/>
        </w:numPr>
        <w:spacing w:line="480" w:lineRule="auto"/>
        <w:ind w:left="0" w:hanging="540"/>
        <w:rPr>
          <w:rFonts w:eastAsia="MS Mincho"/>
          <w:lang w:eastAsia="ja-JP"/>
        </w:rPr>
      </w:pPr>
      <w:r>
        <w:lastRenderedPageBreak/>
        <w:t xml:space="preserve">            </w:t>
      </w:r>
      <w:r w:rsidR="00E83393" w:rsidRPr="001C76DC">
        <w:rPr>
          <w:rFonts w:eastAsia="MS Mincho"/>
          <w:szCs w:val="24"/>
          <w:lang w:eastAsia="ja-JP"/>
        </w:rPr>
        <w:t xml:space="preserve">Because traditional ratemaking naturally favors utility ownership, the Commission should explicitly encourage diverse ownership through its competitive bidding rules.  </w:t>
      </w:r>
      <w:r w:rsidR="0082325A" w:rsidRPr="001C76DC">
        <w:rPr>
          <w:rFonts w:eastAsia="MS Mincho"/>
          <w:szCs w:val="24"/>
          <w:lang w:eastAsia="ja-JP"/>
        </w:rPr>
        <w:t>W</w:t>
      </w:r>
      <w:r w:rsidR="00E83393" w:rsidRPr="001C76DC">
        <w:rPr>
          <w:rFonts w:eastAsia="MS Mincho"/>
          <w:szCs w:val="24"/>
          <w:lang w:eastAsia="ja-JP"/>
        </w:rPr>
        <w:t>i</w:t>
      </w:r>
      <w:r w:rsidR="00530F6E">
        <w:rPr>
          <w:rFonts w:eastAsia="MS Mincho"/>
          <w:szCs w:val="24"/>
          <w:lang w:eastAsia="ja-JP"/>
        </w:rPr>
        <w:t>thout explicit recognition, the</w:t>
      </w:r>
      <w:r w:rsidR="00E83393" w:rsidRPr="001C76DC">
        <w:rPr>
          <w:rFonts w:eastAsia="MS Mincho"/>
          <w:szCs w:val="24"/>
          <w:lang w:eastAsia="ja-JP"/>
        </w:rPr>
        <w:t xml:space="preserve"> </w:t>
      </w:r>
      <w:r w:rsidR="00E83393" w:rsidRPr="001C76DC">
        <w:rPr>
          <w:rFonts w:eastAsia="MS Mincho"/>
          <w:lang w:eastAsia="ja-JP"/>
        </w:rPr>
        <w:t>state’s electric consumers will not have access to the full range of resource alternatives and providers, but be forced to purchase all their power from a monoculture of utility owned generation</w:t>
      </w:r>
      <w:r w:rsidR="0082325A" w:rsidRPr="001C76DC">
        <w:rPr>
          <w:rFonts w:eastAsia="MS Mincho"/>
          <w:lang w:eastAsia="ja-JP"/>
        </w:rPr>
        <w:t xml:space="preserve"> for an excessive and costly amount of time</w:t>
      </w:r>
      <w:r w:rsidR="00E83393" w:rsidRPr="001C76DC">
        <w:rPr>
          <w:rFonts w:eastAsia="MS Mincho"/>
          <w:lang w:eastAsia="ja-JP"/>
        </w:rPr>
        <w:t xml:space="preserve">.  </w:t>
      </w:r>
    </w:p>
    <w:p w14:paraId="173426C8" w14:textId="037A4FE5" w:rsidR="00E83393" w:rsidRPr="001C76DC" w:rsidRDefault="008D6874" w:rsidP="008D6874">
      <w:pPr>
        <w:pStyle w:val="ListParagraph"/>
        <w:numPr>
          <w:ilvl w:val="1"/>
          <w:numId w:val="33"/>
        </w:numPr>
        <w:spacing w:line="480" w:lineRule="auto"/>
        <w:ind w:left="0" w:hanging="540"/>
        <w:rPr>
          <w:rFonts w:eastAsia="MS Mincho"/>
          <w:b/>
          <w:bCs/>
          <w:szCs w:val="24"/>
          <w:lang w:eastAsia="ja-JP"/>
        </w:rPr>
      </w:pPr>
      <w:r>
        <w:t xml:space="preserve">            </w:t>
      </w:r>
      <w:r w:rsidR="00E83393" w:rsidRPr="001C76DC">
        <w:rPr>
          <w:rFonts w:eastAsia="MS Mincho"/>
          <w:szCs w:val="24"/>
          <w:lang w:eastAsia="ja-JP"/>
        </w:rPr>
        <w:t>As detailed above, utility ownership has unique risks and costs which simply do not occur with PPAs.  For example, PPAs provide benefits to consumers by absorbing certain costs and risks that would otherwise be borne by customers if the utility were to own the resource for forty years.  Risk and cost shifting onto a PPA sponsor occurs at bid and contract time, and is usually apparent on the face of the bid or contract.  The specific advantages related to cost and risk mitigation should be a positive bidding factor for consideration when making resource decisions.</w:t>
      </w:r>
      <w:r w:rsidR="002D5FDE">
        <w:rPr>
          <w:rStyle w:val="FootnoteReference"/>
          <w:rFonts w:eastAsia="MS Mincho"/>
          <w:szCs w:val="24"/>
          <w:lang w:eastAsia="ja-JP"/>
        </w:rPr>
        <w:footnoteReference w:id="95"/>
      </w:r>
    </w:p>
    <w:p w14:paraId="46C07B2E" w14:textId="0657A7A3" w:rsidR="00E83393" w:rsidRPr="001C76DC" w:rsidRDefault="008D6874" w:rsidP="008D6874">
      <w:pPr>
        <w:pStyle w:val="ListParagraph"/>
        <w:numPr>
          <w:ilvl w:val="1"/>
          <w:numId w:val="33"/>
        </w:numPr>
        <w:spacing w:line="480" w:lineRule="auto"/>
        <w:ind w:left="0" w:hanging="540"/>
        <w:rPr>
          <w:rFonts w:eastAsia="MS Mincho"/>
          <w:szCs w:val="24"/>
          <w:lang w:eastAsia="ja-JP"/>
        </w:rPr>
      </w:pPr>
      <w:r>
        <w:t xml:space="preserve">            </w:t>
      </w:r>
      <w:r w:rsidR="004662D9" w:rsidRPr="001C76DC">
        <w:rPr>
          <w:rFonts w:eastAsia="MS Mincho"/>
          <w:szCs w:val="24"/>
          <w:lang w:eastAsia="ja-JP"/>
        </w:rPr>
        <w:t>While the</w:t>
      </w:r>
      <w:r w:rsidR="00E83393" w:rsidRPr="001C76DC">
        <w:rPr>
          <w:rFonts w:eastAsia="MS Mincho"/>
          <w:szCs w:val="24"/>
          <w:lang w:eastAsia="ja-JP"/>
        </w:rPr>
        <w:t xml:space="preserve"> Carty </w:t>
      </w:r>
      <w:r w:rsidR="004662D9" w:rsidRPr="001C76DC">
        <w:rPr>
          <w:rFonts w:eastAsia="MS Mincho"/>
          <w:szCs w:val="24"/>
          <w:lang w:eastAsia="ja-JP"/>
        </w:rPr>
        <w:t xml:space="preserve">example </w:t>
      </w:r>
      <w:r w:rsidR="00E83393" w:rsidRPr="001C76DC">
        <w:rPr>
          <w:rFonts w:eastAsia="MS Mincho"/>
          <w:szCs w:val="24"/>
          <w:lang w:eastAsia="ja-JP"/>
        </w:rPr>
        <w:t>provides a cautionary tale of cost overruns that could lead to PGE seek</w:t>
      </w:r>
      <w:r w:rsidR="00F6456F" w:rsidRPr="001C76DC">
        <w:rPr>
          <w:rFonts w:eastAsia="MS Mincho"/>
          <w:szCs w:val="24"/>
          <w:lang w:eastAsia="ja-JP"/>
        </w:rPr>
        <w:t>ing</w:t>
      </w:r>
      <w:r w:rsidR="00E83393" w:rsidRPr="001C76DC">
        <w:rPr>
          <w:rFonts w:eastAsia="MS Mincho"/>
          <w:szCs w:val="24"/>
          <w:lang w:eastAsia="ja-JP"/>
        </w:rPr>
        <w:t xml:space="preserve"> to recover upwards of $150 million in additional c</w:t>
      </w:r>
      <w:r w:rsidR="004662D9" w:rsidRPr="001C76DC">
        <w:rPr>
          <w:rFonts w:eastAsia="MS Mincho"/>
          <w:szCs w:val="24"/>
          <w:lang w:eastAsia="ja-JP"/>
        </w:rPr>
        <w:t>osts, c</w:t>
      </w:r>
      <w:r w:rsidR="00E83393" w:rsidRPr="001C76DC">
        <w:rPr>
          <w:rFonts w:eastAsia="MS Mincho"/>
          <w:szCs w:val="24"/>
          <w:lang w:eastAsia="ja-JP"/>
        </w:rPr>
        <w:t>onstruction costs</w:t>
      </w:r>
      <w:r w:rsidR="004662D9" w:rsidRPr="001C76DC">
        <w:rPr>
          <w:rFonts w:eastAsia="MS Mincho"/>
          <w:szCs w:val="24"/>
          <w:lang w:eastAsia="ja-JP"/>
        </w:rPr>
        <w:t xml:space="preserve"> </w:t>
      </w:r>
      <w:r w:rsidR="00E83393" w:rsidRPr="001C76DC">
        <w:rPr>
          <w:rFonts w:eastAsia="MS Mincho"/>
          <w:szCs w:val="24"/>
          <w:lang w:eastAsia="ja-JP"/>
        </w:rPr>
        <w:t xml:space="preserve">are only part of the problem.  Ratepayers are also exposed to risk for pre-construction, engineering and installation costs.  As project sizes increase with the economies of scale, so do these risks.  Decades ago the cancellation of major projects and safety concerns associated with both nuclear and coal development exposed vulnerabilities to traditional prudence review.  Cost of service regulation unnecessarily exposes ratepayers to risks that strong completive bidding rules can offset. </w:t>
      </w:r>
    </w:p>
    <w:p w14:paraId="61427A36" w14:textId="6BC6C877" w:rsidR="00E83393" w:rsidRPr="001C76DC" w:rsidRDefault="008D6874" w:rsidP="008D6874">
      <w:pPr>
        <w:pStyle w:val="ListParagraph"/>
        <w:numPr>
          <w:ilvl w:val="1"/>
          <w:numId w:val="33"/>
        </w:numPr>
        <w:spacing w:line="480" w:lineRule="auto"/>
        <w:ind w:left="0" w:hanging="540"/>
        <w:rPr>
          <w:rFonts w:eastAsia="MS Mincho"/>
          <w:szCs w:val="24"/>
          <w:lang w:eastAsia="ja-JP"/>
        </w:rPr>
      </w:pPr>
      <w:r>
        <w:lastRenderedPageBreak/>
        <w:t xml:space="preserve">            </w:t>
      </w:r>
      <w:r w:rsidR="00E83393" w:rsidRPr="001C76DC">
        <w:rPr>
          <w:rFonts w:eastAsia="MS Mincho"/>
          <w:szCs w:val="24"/>
          <w:lang w:eastAsia="ja-JP"/>
        </w:rPr>
        <w:t xml:space="preserve">Moreover, PPAs offer a variety of unique benefits.  Locking in long-term contracts allows utilities to capture the best energy price available on the market and hedges against fluctuating fuel prices.  PPAs manage performance risk by guaranteeing utilities a certain amount of generation at a locked-in rate.  But, as not all PPAs are long-term contracts, PPAs also offer tremendous flexibility in resource procurement.  PPA present a very efficient way to add renewable energy and achieve sustainability compliance, which helps utilities avoid regulatory risk without acquiring land or dealing with siting issues. Finally, developers may be better positioned to take advantage of federal tax credits than entities with no taxable income.  Thus, the Commission should encourage diversity of ownership to protect ratepayers from well-established performance and regulatory risk. </w:t>
      </w:r>
    </w:p>
    <w:p w14:paraId="4E57560A" w14:textId="44057C89" w:rsidR="00E83393" w:rsidRPr="001C76DC" w:rsidRDefault="008D6874" w:rsidP="008D6874">
      <w:pPr>
        <w:pStyle w:val="ListParagraph"/>
        <w:numPr>
          <w:ilvl w:val="1"/>
          <w:numId w:val="33"/>
        </w:numPr>
        <w:spacing w:line="480" w:lineRule="auto"/>
        <w:ind w:left="0" w:hanging="540"/>
        <w:rPr>
          <w:rFonts w:eastAsia="MS Mincho"/>
          <w:szCs w:val="24"/>
          <w:lang w:eastAsia="ja-JP"/>
        </w:rPr>
      </w:pPr>
      <w:r>
        <w:t xml:space="preserve">            </w:t>
      </w:r>
      <w:r w:rsidR="00E83393" w:rsidRPr="001C76DC">
        <w:rPr>
          <w:rFonts w:eastAsia="MS Mincho"/>
          <w:szCs w:val="24"/>
          <w:lang w:eastAsia="ja-JP"/>
        </w:rPr>
        <w:t xml:space="preserve">Recognizing diversity as positive criteria and the risks associated with utility owned generation in the bidding evaluation implicitly acknowledges that it is difficult if not impossible to quantify the </w:t>
      </w:r>
      <w:r w:rsidR="00E83393" w:rsidRPr="001C76DC">
        <w:rPr>
          <w:rFonts w:eastAsia="MS Mincho"/>
          <w:iCs/>
          <w:szCs w:val="24"/>
          <w:lang w:eastAsia="ja-JP"/>
        </w:rPr>
        <w:t>relative</w:t>
      </w:r>
      <w:r w:rsidR="00E83393" w:rsidRPr="001C76DC">
        <w:rPr>
          <w:rFonts w:eastAsia="MS Mincho"/>
          <w:i/>
          <w:iCs/>
          <w:szCs w:val="24"/>
          <w:lang w:eastAsia="ja-JP"/>
        </w:rPr>
        <w:t xml:space="preserve"> </w:t>
      </w:r>
      <w:r w:rsidR="00E83393" w:rsidRPr="001C76DC">
        <w:rPr>
          <w:rFonts w:eastAsia="MS Mincho"/>
          <w:szCs w:val="24"/>
          <w:lang w:eastAsia="ja-JP"/>
        </w:rPr>
        <w:t>value of risks and costs absorbed by a PPA when contrasted with utility resources. This is because the Commission cannot know precisely what future risks and costs might be imposed on utility customers from long-lived utility resources.</w:t>
      </w:r>
      <w:r w:rsidR="004367D2" w:rsidRPr="001C76DC">
        <w:rPr>
          <w:rFonts w:eastAsia="MS Mincho"/>
          <w:szCs w:val="24"/>
          <w:lang w:eastAsia="ja-JP"/>
        </w:rPr>
        <w:t xml:space="preserve"> For example, Duke Energy’s Wyoming wind facilities had </w:t>
      </w:r>
      <w:r w:rsidR="007C6BFE" w:rsidRPr="001C76DC">
        <w:rPr>
          <w:rFonts w:eastAsia="MS Mincho"/>
          <w:szCs w:val="24"/>
          <w:lang w:eastAsia="ja-JP"/>
        </w:rPr>
        <w:t>make changes and</w:t>
      </w:r>
      <w:r w:rsidR="004367D2" w:rsidRPr="001C76DC">
        <w:rPr>
          <w:rFonts w:eastAsia="MS Mincho"/>
          <w:szCs w:val="24"/>
          <w:lang w:eastAsia="ja-JP"/>
        </w:rPr>
        <w:t xml:space="preserve"> pay over $1 million in fines related to killing eagles under the Migratory Bird Treaty Act, costs that could not be passed on to ratepayers because </w:t>
      </w:r>
      <w:r w:rsidR="009560A7" w:rsidRPr="001C76DC">
        <w:rPr>
          <w:rFonts w:eastAsia="MS Mincho"/>
          <w:szCs w:val="24"/>
          <w:lang w:eastAsia="ja-JP"/>
        </w:rPr>
        <w:t>the power sold through a PPA.</w:t>
      </w:r>
      <w:r w:rsidR="009560A7">
        <w:rPr>
          <w:rStyle w:val="FootnoteReference"/>
          <w:rFonts w:eastAsia="MS Mincho"/>
          <w:szCs w:val="24"/>
          <w:lang w:eastAsia="ja-JP"/>
        </w:rPr>
        <w:footnoteReference w:id="96"/>
      </w:r>
      <w:r w:rsidR="004367D2" w:rsidRPr="001C76DC">
        <w:rPr>
          <w:rFonts w:eastAsia="MS Mincho"/>
          <w:szCs w:val="24"/>
          <w:lang w:eastAsia="ja-JP"/>
        </w:rPr>
        <w:t xml:space="preserve"> </w:t>
      </w:r>
      <w:r w:rsidR="009560A7" w:rsidRPr="001C76DC">
        <w:rPr>
          <w:rFonts w:eastAsia="MS Mincho"/>
          <w:szCs w:val="24"/>
          <w:lang w:eastAsia="ja-JP"/>
        </w:rPr>
        <w:t xml:space="preserve"> </w:t>
      </w:r>
      <w:r w:rsidR="00E83393" w:rsidRPr="001C76DC">
        <w:rPr>
          <w:rFonts w:eastAsia="MS Mincho"/>
          <w:szCs w:val="24"/>
          <w:lang w:eastAsia="ja-JP"/>
        </w:rPr>
        <w:lastRenderedPageBreak/>
        <w:t>This makes it extremely difficult to fairly evaluate the true benefit of PPAs to customers at bid evaluation time without taking diversity explicitly into account.</w:t>
      </w:r>
    </w:p>
    <w:p w14:paraId="6AEF83B1" w14:textId="21875EA0" w:rsidR="008E464B" w:rsidRPr="001C76DC" w:rsidRDefault="008D6874" w:rsidP="008D6874">
      <w:pPr>
        <w:pStyle w:val="ListParagraph"/>
        <w:numPr>
          <w:ilvl w:val="1"/>
          <w:numId w:val="33"/>
        </w:numPr>
        <w:spacing w:line="480" w:lineRule="auto"/>
        <w:ind w:left="0" w:hanging="540"/>
        <w:rPr>
          <w:rFonts w:eastAsia="MS Mincho"/>
          <w:szCs w:val="24"/>
          <w:lang w:eastAsia="ja-JP"/>
        </w:rPr>
      </w:pPr>
      <w:r>
        <w:t xml:space="preserve">            </w:t>
      </w:r>
      <w:r w:rsidR="00E83393" w:rsidRPr="001C76DC">
        <w:rPr>
          <w:rFonts w:eastAsia="MS Mincho"/>
          <w:szCs w:val="24"/>
          <w:lang w:eastAsia="ja-JP"/>
        </w:rPr>
        <w:t xml:space="preserve">Currently these risks and benefits are completely unaccounted for in the Commission’s RFP process.  The Commission should acknowledge the different advantages between utility owned projects and market purchases, and address these risks in the RFP scoring.  </w:t>
      </w:r>
    </w:p>
    <w:p w14:paraId="3D85001E" w14:textId="5124CD42" w:rsidR="00A50471" w:rsidRPr="001C76DC" w:rsidRDefault="00855735" w:rsidP="00535375">
      <w:pPr>
        <w:pStyle w:val="ListParagraph"/>
        <w:numPr>
          <w:ilvl w:val="3"/>
          <w:numId w:val="37"/>
        </w:numPr>
        <w:ind w:left="2070" w:hanging="630"/>
        <w:rPr>
          <w:rFonts w:eastAsia="MS Mincho"/>
          <w:b/>
          <w:szCs w:val="24"/>
          <w:lang w:eastAsia="ja-JP"/>
        </w:rPr>
      </w:pPr>
      <w:r w:rsidRPr="001C76DC">
        <w:rPr>
          <w:rFonts w:eastAsia="MS Mincho"/>
          <w:b/>
          <w:bCs/>
          <w:szCs w:val="24"/>
          <w:lang w:eastAsia="ja-JP"/>
        </w:rPr>
        <w:t xml:space="preserve">Utilities Should Be Requires to Obtain </w:t>
      </w:r>
      <w:r w:rsidR="00A50471" w:rsidRPr="001C76DC">
        <w:rPr>
          <w:rFonts w:eastAsia="MS Mincho"/>
          <w:b/>
          <w:bCs/>
          <w:szCs w:val="24"/>
          <w:lang w:eastAsia="ja-JP"/>
        </w:rPr>
        <w:t xml:space="preserve">RFP Acknowledgement </w:t>
      </w:r>
    </w:p>
    <w:p w14:paraId="590426D6" w14:textId="77777777" w:rsidR="00A50471" w:rsidRPr="00A50471" w:rsidRDefault="00A50471" w:rsidP="00663E64">
      <w:pPr>
        <w:ind w:hanging="540"/>
        <w:rPr>
          <w:rFonts w:eastAsia="MS Mincho"/>
          <w:szCs w:val="24"/>
          <w:lang w:eastAsia="ja-JP"/>
        </w:rPr>
      </w:pPr>
    </w:p>
    <w:p w14:paraId="0F52CC3E" w14:textId="7642979C" w:rsidR="00D6687E" w:rsidRPr="00535375" w:rsidRDefault="00535375" w:rsidP="00535375">
      <w:pPr>
        <w:pStyle w:val="ListParagraph"/>
        <w:numPr>
          <w:ilvl w:val="1"/>
          <w:numId w:val="33"/>
        </w:numPr>
        <w:spacing w:line="480" w:lineRule="auto"/>
        <w:ind w:left="0" w:hanging="540"/>
        <w:rPr>
          <w:rFonts w:eastAsia="MS Mincho"/>
          <w:szCs w:val="24"/>
          <w:lang w:eastAsia="ja-JP"/>
        </w:rPr>
      </w:pPr>
      <w:r>
        <w:t xml:space="preserve">            </w:t>
      </w:r>
      <w:r w:rsidR="00D6687E" w:rsidRPr="00535375">
        <w:rPr>
          <w:rFonts w:eastAsia="MS Mincho"/>
          <w:szCs w:val="24"/>
          <w:lang w:eastAsia="ja-JP"/>
        </w:rPr>
        <w:t xml:space="preserve">The Commission’s current rules provide far too little oversight </w:t>
      </w:r>
      <w:r w:rsidR="004F1916" w:rsidRPr="00535375">
        <w:rPr>
          <w:rFonts w:eastAsia="MS Mincho"/>
          <w:szCs w:val="24"/>
          <w:lang w:eastAsia="ja-JP"/>
        </w:rPr>
        <w:t>of</w:t>
      </w:r>
      <w:r w:rsidR="00D6687E" w:rsidRPr="00535375">
        <w:rPr>
          <w:rFonts w:eastAsia="MS Mincho"/>
          <w:szCs w:val="24"/>
          <w:lang w:eastAsia="ja-JP"/>
        </w:rPr>
        <w:t xml:space="preserve"> the selection of the bids, and NIPPC recommends that the Commission amend its rules to require the utility to seek the Commission’s a</w:t>
      </w:r>
      <w:r w:rsidR="004F1916" w:rsidRPr="00535375">
        <w:rPr>
          <w:rFonts w:eastAsia="MS Mincho"/>
          <w:szCs w:val="24"/>
          <w:lang w:eastAsia="ja-JP"/>
        </w:rPr>
        <w:t>cknowledgement</w:t>
      </w:r>
      <w:r w:rsidR="00D6687E" w:rsidRPr="00535375">
        <w:rPr>
          <w:rFonts w:eastAsia="MS Mincho"/>
          <w:szCs w:val="24"/>
          <w:lang w:eastAsia="ja-JP"/>
        </w:rPr>
        <w:t xml:space="preserve"> o</w:t>
      </w:r>
      <w:r w:rsidR="004F1916" w:rsidRPr="00535375">
        <w:rPr>
          <w:rFonts w:eastAsia="MS Mincho"/>
          <w:szCs w:val="24"/>
          <w:lang w:eastAsia="ja-JP"/>
        </w:rPr>
        <w:t>f its final short list of bid</w:t>
      </w:r>
      <w:r w:rsidR="00D6687E" w:rsidRPr="00535375">
        <w:rPr>
          <w:rFonts w:eastAsia="MS Mincho"/>
          <w:szCs w:val="24"/>
          <w:lang w:eastAsia="ja-JP"/>
        </w:rPr>
        <w:t xml:space="preserve">s.  </w:t>
      </w:r>
      <w:r w:rsidR="007803F1" w:rsidRPr="00535375">
        <w:rPr>
          <w:rFonts w:eastAsia="MS Mincho"/>
          <w:szCs w:val="24"/>
          <w:lang w:eastAsia="ja-JP"/>
        </w:rPr>
        <w:t>Essentially, t</w:t>
      </w:r>
      <w:r w:rsidR="009E6A1D" w:rsidRPr="00535375">
        <w:rPr>
          <w:rFonts w:eastAsia="MS Mincho"/>
          <w:szCs w:val="24"/>
          <w:lang w:eastAsia="ja-JP"/>
        </w:rPr>
        <w:t>he current process is inadequate because it provides no meaningful Commission involvement in a utility’s resource procurement decisions between the IRP and prudence review process.</w:t>
      </w:r>
      <w:r w:rsidR="00873ED5" w:rsidRPr="00535375">
        <w:rPr>
          <w:rFonts w:eastAsia="MS Mincho"/>
          <w:szCs w:val="24"/>
          <w:lang w:eastAsia="ja-JP"/>
        </w:rPr>
        <w:t xml:space="preserve"> </w:t>
      </w:r>
    </w:p>
    <w:p w14:paraId="76721A98" w14:textId="73BF1FFF" w:rsidR="00A50471" w:rsidRPr="001C76DC" w:rsidRDefault="00535375" w:rsidP="00535375">
      <w:pPr>
        <w:pStyle w:val="ListParagraph"/>
        <w:numPr>
          <w:ilvl w:val="1"/>
          <w:numId w:val="33"/>
        </w:numPr>
        <w:spacing w:line="480" w:lineRule="auto"/>
        <w:ind w:left="0" w:hanging="540"/>
        <w:rPr>
          <w:rFonts w:eastAsia="MS Mincho"/>
          <w:szCs w:val="24"/>
          <w:lang w:eastAsia="ja-JP"/>
        </w:rPr>
      </w:pPr>
      <w:r>
        <w:t xml:space="preserve">            </w:t>
      </w:r>
      <w:r w:rsidR="00D6687E" w:rsidRPr="001C76DC">
        <w:rPr>
          <w:rFonts w:eastAsia="MS Mincho"/>
          <w:szCs w:val="24"/>
          <w:lang w:eastAsia="ja-JP"/>
        </w:rPr>
        <w:t xml:space="preserve">Under the current rules, there is no express requirement for </w:t>
      </w:r>
      <w:r w:rsidR="00997BCE" w:rsidRPr="001C76DC">
        <w:rPr>
          <w:rFonts w:eastAsia="MS Mincho"/>
          <w:szCs w:val="24"/>
          <w:lang w:eastAsia="ja-JP"/>
        </w:rPr>
        <w:t xml:space="preserve">the </w:t>
      </w:r>
      <w:r w:rsidR="00D6687E" w:rsidRPr="001C76DC">
        <w:rPr>
          <w:rFonts w:eastAsia="MS Mincho"/>
          <w:szCs w:val="24"/>
          <w:lang w:eastAsia="ja-JP"/>
        </w:rPr>
        <w:t xml:space="preserve">Commission </w:t>
      </w:r>
      <w:r w:rsidR="00E65B92" w:rsidRPr="001C76DC">
        <w:rPr>
          <w:rFonts w:eastAsia="MS Mincho"/>
          <w:szCs w:val="24"/>
          <w:lang w:eastAsia="ja-JP"/>
        </w:rPr>
        <w:t xml:space="preserve">to actually review the utility’s selection of bids until it is far too late to </w:t>
      </w:r>
      <w:r w:rsidR="00A67990" w:rsidRPr="001C76DC">
        <w:rPr>
          <w:rFonts w:eastAsia="MS Mincho"/>
          <w:szCs w:val="24"/>
          <w:lang w:eastAsia="ja-JP"/>
        </w:rPr>
        <w:t>influence what resource the utility actually acquires</w:t>
      </w:r>
      <w:r w:rsidR="00D6687E" w:rsidRPr="001C76DC">
        <w:rPr>
          <w:rFonts w:eastAsia="MS Mincho"/>
          <w:szCs w:val="24"/>
          <w:lang w:eastAsia="ja-JP"/>
        </w:rPr>
        <w:t>.  The current rules state that the “procedures and criteria the utility will use in its RFP to evaluate and rank proposal are subject to commission approval</w:t>
      </w:r>
      <w:r w:rsidR="004F1916" w:rsidRPr="001C76DC">
        <w:rPr>
          <w:rFonts w:eastAsia="MS Mincho"/>
          <w:szCs w:val="24"/>
          <w:lang w:eastAsia="ja-JP"/>
        </w:rPr>
        <w:t>.”</w:t>
      </w:r>
      <w:r w:rsidR="004F1916">
        <w:rPr>
          <w:rStyle w:val="FootnoteReference"/>
          <w:rFonts w:eastAsia="MS Mincho"/>
          <w:szCs w:val="24"/>
          <w:lang w:eastAsia="ja-JP"/>
        </w:rPr>
        <w:footnoteReference w:id="97"/>
      </w:r>
      <w:r w:rsidR="00D6687E" w:rsidRPr="001C76DC">
        <w:rPr>
          <w:rFonts w:eastAsia="MS Mincho"/>
          <w:szCs w:val="24"/>
          <w:lang w:eastAsia="ja-JP"/>
        </w:rPr>
        <w:t xml:space="preserve">  But the</w:t>
      </w:r>
      <w:r w:rsidR="00E65B92" w:rsidRPr="001C76DC">
        <w:rPr>
          <w:rFonts w:eastAsia="MS Mincho"/>
          <w:szCs w:val="24"/>
          <w:lang w:eastAsia="ja-JP"/>
        </w:rPr>
        <w:t xml:space="preserve"> rules provide no mechanism for the Commission to review the utility’s </w:t>
      </w:r>
      <w:r w:rsidR="00D6687E" w:rsidRPr="001C76DC">
        <w:rPr>
          <w:rFonts w:eastAsia="MS Mincho"/>
          <w:szCs w:val="24"/>
          <w:lang w:eastAsia="ja-JP"/>
        </w:rPr>
        <w:t>rank</w:t>
      </w:r>
      <w:r w:rsidR="00E65B92" w:rsidRPr="001C76DC">
        <w:rPr>
          <w:rFonts w:eastAsia="MS Mincho"/>
          <w:szCs w:val="24"/>
          <w:lang w:eastAsia="ja-JP"/>
        </w:rPr>
        <w:t>ing of</w:t>
      </w:r>
      <w:r w:rsidR="00D6687E" w:rsidRPr="001C76DC">
        <w:rPr>
          <w:rFonts w:eastAsia="MS Mincho"/>
          <w:szCs w:val="24"/>
          <w:lang w:eastAsia="ja-JP"/>
        </w:rPr>
        <w:t xml:space="preserve"> the bids </w:t>
      </w:r>
      <w:r w:rsidR="00E65B92" w:rsidRPr="001C76DC">
        <w:rPr>
          <w:rFonts w:eastAsia="MS Mincho"/>
          <w:szCs w:val="24"/>
          <w:lang w:eastAsia="ja-JP"/>
        </w:rPr>
        <w:t>until several months or years after the RFP when the utility seeks rate recovery for the winning bid.</w:t>
      </w:r>
      <w:r w:rsidR="004F1916">
        <w:rPr>
          <w:rStyle w:val="FootnoteReference"/>
          <w:rFonts w:eastAsia="MS Mincho"/>
          <w:szCs w:val="24"/>
          <w:lang w:eastAsia="ja-JP"/>
        </w:rPr>
        <w:footnoteReference w:id="98"/>
      </w:r>
      <w:r w:rsidR="00E65B92" w:rsidRPr="001C76DC">
        <w:rPr>
          <w:rFonts w:eastAsia="MS Mincho"/>
          <w:szCs w:val="24"/>
          <w:lang w:eastAsia="ja-JP"/>
        </w:rPr>
        <w:t xml:space="preserve">  </w:t>
      </w:r>
    </w:p>
    <w:p w14:paraId="127342A4" w14:textId="063B823C" w:rsidR="00B813AD" w:rsidRPr="001C76DC" w:rsidRDefault="00535375" w:rsidP="00535375">
      <w:pPr>
        <w:pStyle w:val="ListParagraph"/>
        <w:numPr>
          <w:ilvl w:val="1"/>
          <w:numId w:val="33"/>
        </w:numPr>
        <w:spacing w:line="480" w:lineRule="auto"/>
        <w:ind w:left="0" w:hanging="540"/>
        <w:rPr>
          <w:rFonts w:eastAsia="MS Mincho"/>
          <w:szCs w:val="24"/>
          <w:lang w:eastAsia="ja-JP"/>
        </w:rPr>
      </w:pPr>
      <w:r>
        <w:lastRenderedPageBreak/>
        <w:t xml:space="preserve">            </w:t>
      </w:r>
      <w:r w:rsidR="00E47E25" w:rsidRPr="001C76DC">
        <w:rPr>
          <w:rFonts w:eastAsia="MS Mincho"/>
          <w:szCs w:val="24"/>
          <w:lang w:eastAsia="ja-JP"/>
        </w:rPr>
        <w:t>The RFP process must be revised to require the utility to obtain Commission acknowledgement of the final short list that is selected for final negotiations.  Without requir</w:t>
      </w:r>
      <w:r w:rsidR="004F1916" w:rsidRPr="001C76DC">
        <w:rPr>
          <w:rFonts w:eastAsia="MS Mincho"/>
          <w:szCs w:val="24"/>
          <w:lang w:eastAsia="ja-JP"/>
        </w:rPr>
        <w:t>ing the utility to obtain short-</w:t>
      </w:r>
      <w:r w:rsidR="00E47E25" w:rsidRPr="001C76DC">
        <w:rPr>
          <w:rFonts w:eastAsia="MS Mincho"/>
          <w:szCs w:val="24"/>
          <w:lang w:eastAsia="ja-JP"/>
        </w:rPr>
        <w:t xml:space="preserve">list acknowledgement, there is no assurance whatsoever that the utility will actually conduct the RFP in the manner required by the Commission’s acknowledgement of the RFP itself.  </w:t>
      </w:r>
    </w:p>
    <w:p w14:paraId="6AD04626" w14:textId="05C83319" w:rsidR="00B813AD" w:rsidRPr="001C76DC" w:rsidRDefault="00535375" w:rsidP="00535375">
      <w:pPr>
        <w:pStyle w:val="ListParagraph"/>
        <w:numPr>
          <w:ilvl w:val="1"/>
          <w:numId w:val="33"/>
        </w:numPr>
        <w:spacing w:line="480" w:lineRule="auto"/>
        <w:ind w:left="0" w:hanging="540"/>
        <w:rPr>
          <w:szCs w:val="24"/>
        </w:rPr>
      </w:pPr>
      <w:r>
        <w:t xml:space="preserve">            </w:t>
      </w:r>
      <w:r w:rsidR="00B813AD" w:rsidRPr="001C76DC">
        <w:rPr>
          <w:rFonts w:eastAsia="MS Mincho"/>
          <w:szCs w:val="24"/>
          <w:lang w:eastAsia="ja-JP"/>
        </w:rPr>
        <w:t xml:space="preserve">The </w:t>
      </w:r>
      <w:r w:rsidR="000A409C" w:rsidRPr="001C76DC">
        <w:rPr>
          <w:rFonts w:eastAsia="MS Mincho"/>
          <w:szCs w:val="24"/>
          <w:lang w:eastAsia="ja-JP"/>
        </w:rPr>
        <w:t xml:space="preserve">flaws in the </w:t>
      </w:r>
      <w:r w:rsidR="00B813AD" w:rsidRPr="001C76DC">
        <w:rPr>
          <w:rFonts w:eastAsia="MS Mincho"/>
          <w:szCs w:val="24"/>
          <w:lang w:eastAsia="ja-JP"/>
        </w:rPr>
        <w:t>OPUC</w:t>
      </w:r>
      <w:r w:rsidR="00E44910" w:rsidRPr="001C76DC">
        <w:rPr>
          <w:rFonts w:eastAsia="MS Mincho"/>
          <w:szCs w:val="24"/>
          <w:lang w:eastAsia="ja-JP"/>
        </w:rPr>
        <w:t>’s original competitive bidding guidelines are</w:t>
      </w:r>
      <w:r w:rsidR="00B813AD" w:rsidRPr="001C76DC">
        <w:rPr>
          <w:rFonts w:eastAsia="MS Mincho"/>
          <w:szCs w:val="24"/>
          <w:lang w:eastAsia="ja-JP"/>
        </w:rPr>
        <w:t xml:space="preserve"> instructive on the need to require the utility to file an application for approval of its final short list.  In Oregon, a 2006 order provided comprehensive procedures for the RFP process, but the procedures provided the utilities with discretion as to whether they would file their short list of bidders for the OPUC’s acknowledgment. Most recently and notably, </w:t>
      </w:r>
      <w:r w:rsidR="00E44910" w:rsidRPr="001C76DC">
        <w:rPr>
          <w:rFonts w:eastAsia="MS Mincho"/>
          <w:szCs w:val="24"/>
          <w:lang w:eastAsia="ja-JP"/>
        </w:rPr>
        <w:t>PGE</w:t>
      </w:r>
      <w:r w:rsidR="00B813AD" w:rsidRPr="001C76DC">
        <w:rPr>
          <w:rFonts w:eastAsia="MS Mincho"/>
          <w:szCs w:val="24"/>
          <w:lang w:eastAsia="ja-JP"/>
        </w:rPr>
        <w:t xml:space="preserve"> </w:t>
      </w:r>
      <w:r w:rsidR="0090770C" w:rsidRPr="001C76DC">
        <w:rPr>
          <w:rFonts w:eastAsia="MS Mincho"/>
          <w:szCs w:val="24"/>
          <w:lang w:eastAsia="ja-JP"/>
        </w:rPr>
        <w:t>avoided</w:t>
      </w:r>
      <w:r w:rsidR="00B813AD" w:rsidRPr="001C76DC">
        <w:rPr>
          <w:rFonts w:eastAsia="MS Mincho"/>
          <w:szCs w:val="24"/>
          <w:lang w:eastAsia="ja-JP"/>
        </w:rPr>
        <w:t xml:space="preserve"> the short-list acknowledgement process for its acquisition of the </w:t>
      </w:r>
      <w:r w:rsidR="00890719" w:rsidRPr="001C76DC">
        <w:rPr>
          <w:rFonts w:eastAsia="MS Mincho"/>
          <w:szCs w:val="24"/>
          <w:lang w:eastAsia="ja-JP"/>
        </w:rPr>
        <w:t>ill</w:t>
      </w:r>
      <w:r w:rsidR="00CB4004" w:rsidRPr="001C76DC">
        <w:rPr>
          <w:rFonts w:eastAsia="MS Mincho"/>
          <w:szCs w:val="24"/>
          <w:lang w:eastAsia="ja-JP"/>
        </w:rPr>
        <w:t>-</w:t>
      </w:r>
      <w:r w:rsidR="00890719" w:rsidRPr="001C76DC">
        <w:rPr>
          <w:rFonts w:eastAsia="MS Mincho"/>
          <w:szCs w:val="24"/>
          <w:lang w:eastAsia="ja-JP"/>
        </w:rPr>
        <w:t>fated</w:t>
      </w:r>
      <w:r w:rsidR="00B813AD" w:rsidRPr="001C76DC">
        <w:rPr>
          <w:rFonts w:eastAsia="MS Mincho"/>
          <w:szCs w:val="24"/>
          <w:lang w:eastAsia="ja-JP"/>
        </w:rPr>
        <w:t xml:space="preserve"> Carty </w:t>
      </w:r>
      <w:r w:rsidR="00CB4004" w:rsidRPr="001C76DC">
        <w:rPr>
          <w:rFonts w:eastAsia="MS Mincho"/>
          <w:szCs w:val="24"/>
          <w:lang w:eastAsia="ja-JP"/>
        </w:rPr>
        <w:t>Generating Station</w:t>
      </w:r>
      <w:r w:rsidR="00A70FC1" w:rsidRPr="001C76DC">
        <w:rPr>
          <w:rFonts w:eastAsia="MS Mincho"/>
          <w:szCs w:val="24"/>
          <w:lang w:eastAsia="ja-JP"/>
        </w:rPr>
        <w:t>.</w:t>
      </w:r>
      <w:r w:rsidR="00A70FC1" w:rsidRPr="004B3DF5">
        <w:rPr>
          <w:rStyle w:val="FootnoteReference"/>
          <w:rFonts w:eastAsia="MS Mincho"/>
          <w:szCs w:val="24"/>
          <w:lang w:eastAsia="ja-JP"/>
        </w:rPr>
        <w:footnoteReference w:id="99"/>
      </w:r>
      <w:r w:rsidR="00B813AD" w:rsidRPr="001C76DC">
        <w:rPr>
          <w:rFonts w:eastAsia="MS Mincho"/>
          <w:szCs w:val="24"/>
          <w:lang w:eastAsia="ja-JP"/>
        </w:rPr>
        <w:t xml:space="preserve">  After </w:t>
      </w:r>
      <w:r w:rsidR="00A70FC1" w:rsidRPr="001C76DC">
        <w:rPr>
          <w:rFonts w:eastAsia="MS Mincho"/>
          <w:szCs w:val="24"/>
          <w:lang w:eastAsia="ja-JP"/>
        </w:rPr>
        <w:t>this and other</w:t>
      </w:r>
      <w:r w:rsidR="00B813AD" w:rsidRPr="001C76DC">
        <w:rPr>
          <w:rFonts w:eastAsia="MS Mincho"/>
          <w:szCs w:val="24"/>
          <w:lang w:eastAsia="ja-JP"/>
        </w:rPr>
        <w:t xml:space="preserve"> abuses by </w:t>
      </w:r>
      <w:r w:rsidR="00A70FC1" w:rsidRPr="001C76DC">
        <w:rPr>
          <w:rFonts w:eastAsia="MS Mincho"/>
          <w:szCs w:val="24"/>
          <w:lang w:eastAsia="ja-JP"/>
        </w:rPr>
        <w:t xml:space="preserve">Oregon </w:t>
      </w:r>
      <w:r w:rsidR="00B813AD" w:rsidRPr="001C76DC">
        <w:rPr>
          <w:rFonts w:eastAsia="MS Mincho"/>
          <w:szCs w:val="24"/>
          <w:lang w:eastAsia="ja-JP"/>
        </w:rPr>
        <w:t>utilities, the OPUC determined in 2014 to make acknowledgement of the short list of bidders a mandatory requirement</w:t>
      </w:r>
      <w:r w:rsidR="004B3DF5" w:rsidRPr="001C76DC">
        <w:rPr>
          <w:rFonts w:eastAsia="MS Mincho"/>
          <w:szCs w:val="24"/>
          <w:lang w:eastAsia="ja-JP"/>
        </w:rPr>
        <w:t>.</w:t>
      </w:r>
      <w:r w:rsidR="004B3DF5" w:rsidRPr="004B3DF5">
        <w:rPr>
          <w:rStyle w:val="FootnoteReference"/>
          <w:rFonts w:eastAsia="MS Mincho"/>
          <w:szCs w:val="24"/>
          <w:lang w:eastAsia="ja-JP"/>
        </w:rPr>
        <w:footnoteReference w:id="100"/>
      </w:r>
      <w:r w:rsidR="00B813AD" w:rsidRPr="001C76DC">
        <w:rPr>
          <w:rFonts w:eastAsia="MS Mincho"/>
          <w:szCs w:val="24"/>
          <w:lang w:eastAsia="ja-JP"/>
        </w:rPr>
        <w:t xml:space="preserve">  The OPUC explained, “</w:t>
      </w:r>
      <w:r w:rsidR="00B813AD" w:rsidRPr="001C76DC">
        <w:rPr>
          <w:szCs w:val="24"/>
        </w:rPr>
        <w:t xml:space="preserve">requiring utilities to file a shortlist acknowledgment application will promote transparency in the utility procurement process by providing an established, upfront opportunity for parties and bidders to voice concerns with the bidding process[,]” and </w:t>
      </w:r>
      <w:r w:rsidR="0046749C">
        <w:rPr>
          <w:szCs w:val="24"/>
        </w:rPr>
        <w:t xml:space="preserve">will </w:t>
      </w:r>
      <w:r w:rsidR="00B813AD" w:rsidRPr="001C76DC">
        <w:rPr>
          <w:szCs w:val="24"/>
        </w:rPr>
        <w:t>allow the OPUC  “to timely review the IE</w:t>
      </w:r>
      <w:r w:rsidR="00F9699D" w:rsidRPr="001C76DC">
        <w:rPr>
          <w:szCs w:val="24"/>
        </w:rPr>
        <w:t>’</w:t>
      </w:r>
      <w:r w:rsidR="00B813AD" w:rsidRPr="001C76DC">
        <w:rPr>
          <w:szCs w:val="24"/>
        </w:rPr>
        <w:t xml:space="preserve">s closing </w:t>
      </w:r>
      <w:r w:rsidR="00B813AD" w:rsidRPr="001C76DC">
        <w:rPr>
          <w:szCs w:val="24"/>
        </w:rPr>
        <w:lastRenderedPageBreak/>
        <w:t>report and address any issues the IE raises with the bidding process or the shortlist.”</w:t>
      </w:r>
      <w:r w:rsidR="00A36CEE">
        <w:rPr>
          <w:rStyle w:val="FootnoteReference"/>
          <w:szCs w:val="24"/>
        </w:rPr>
        <w:footnoteReference w:id="101"/>
      </w:r>
      <w:r w:rsidR="00B813AD" w:rsidRPr="001C76DC">
        <w:rPr>
          <w:szCs w:val="24"/>
        </w:rPr>
        <w:t xml:space="preserve">  The </w:t>
      </w:r>
      <w:r w:rsidR="004B3DF5" w:rsidRPr="001C76DC">
        <w:rPr>
          <w:szCs w:val="24"/>
        </w:rPr>
        <w:t>OPUC concluded short-list review would “benefit[] ratepayers by helping ensure the utility selects the most competitive bids.”</w:t>
      </w:r>
      <w:r w:rsidR="00A36CEE">
        <w:rPr>
          <w:rStyle w:val="FootnoteReference"/>
          <w:szCs w:val="24"/>
        </w:rPr>
        <w:footnoteReference w:id="102"/>
      </w:r>
      <w:r w:rsidR="004B3DF5" w:rsidRPr="001C76DC">
        <w:rPr>
          <w:szCs w:val="24"/>
        </w:rPr>
        <w:t xml:space="preserve">  </w:t>
      </w:r>
    </w:p>
    <w:p w14:paraId="531FFEF6" w14:textId="7CB5254E" w:rsidR="00C83295" w:rsidRPr="001C76DC" w:rsidRDefault="00535375" w:rsidP="00535375">
      <w:pPr>
        <w:pStyle w:val="ListParagraph"/>
        <w:numPr>
          <w:ilvl w:val="1"/>
          <w:numId w:val="33"/>
        </w:numPr>
        <w:spacing w:line="480" w:lineRule="auto"/>
        <w:ind w:left="0" w:hanging="540"/>
        <w:rPr>
          <w:rFonts w:eastAsia="MS Mincho"/>
          <w:szCs w:val="24"/>
          <w:lang w:eastAsia="ja-JP"/>
        </w:rPr>
      </w:pPr>
      <w:r>
        <w:t xml:space="preserve">            </w:t>
      </w:r>
      <w:r w:rsidR="004B3DF5" w:rsidRPr="001C76DC">
        <w:rPr>
          <w:szCs w:val="24"/>
        </w:rPr>
        <w:t>Accordingly, NIPPC pro</w:t>
      </w:r>
      <w:r w:rsidR="00A36CEE" w:rsidRPr="001C76DC">
        <w:rPr>
          <w:szCs w:val="24"/>
        </w:rPr>
        <w:t xml:space="preserve">poses an express requirement that the utility request Commission acknowledgement of the final short list.  </w:t>
      </w:r>
      <w:r w:rsidR="00C83295" w:rsidRPr="001C76DC">
        <w:rPr>
          <w:szCs w:val="24"/>
        </w:rPr>
        <w:t>Acknowledgment of the RFP’s final short list would have the same meaning as assigned to that term in and effect as IRP acknowledgment</w:t>
      </w:r>
      <w:r w:rsidR="00E87893" w:rsidRPr="001C76DC">
        <w:rPr>
          <w:szCs w:val="24"/>
        </w:rPr>
        <w:t>, which does not guarantee or prevent cost recovery</w:t>
      </w:r>
      <w:r w:rsidR="00C83295" w:rsidRPr="001C76DC">
        <w:rPr>
          <w:szCs w:val="24"/>
        </w:rPr>
        <w:t>.</w:t>
      </w:r>
      <w:r w:rsidR="000E6A31" w:rsidRPr="000E6A31">
        <w:rPr>
          <w:rStyle w:val="CommentReference"/>
        </w:rPr>
        <w:t xml:space="preserve"> </w:t>
      </w:r>
      <w:r w:rsidR="00FC0E70" w:rsidRPr="001C76DC">
        <w:rPr>
          <w:szCs w:val="24"/>
        </w:rPr>
        <w:t xml:space="preserve"> </w:t>
      </w:r>
      <w:r w:rsidR="00A36CEE" w:rsidRPr="001C76DC">
        <w:rPr>
          <w:rFonts w:eastAsia="MS Mincho"/>
          <w:szCs w:val="24"/>
          <w:lang w:eastAsia="ja-JP"/>
        </w:rPr>
        <w:t xml:space="preserve">If the RFP allows affiliate bidding or allows </w:t>
      </w:r>
      <w:r w:rsidR="0090770C" w:rsidRPr="001C76DC">
        <w:rPr>
          <w:rFonts w:eastAsia="MS Mincho"/>
          <w:szCs w:val="24"/>
          <w:lang w:eastAsia="ja-JP"/>
        </w:rPr>
        <w:t>utility owned generation</w:t>
      </w:r>
      <w:r w:rsidR="00A36CEE" w:rsidRPr="001C76DC">
        <w:rPr>
          <w:rFonts w:eastAsia="MS Mincho"/>
          <w:szCs w:val="24"/>
          <w:lang w:eastAsia="ja-JP"/>
        </w:rPr>
        <w:t xml:space="preserve"> bids, </w:t>
      </w:r>
      <w:r w:rsidR="00C83295" w:rsidRPr="001C76DC">
        <w:rPr>
          <w:szCs w:val="24"/>
        </w:rPr>
        <w:t>the IE would participate in the RFP acknowledgment proceeding,</w:t>
      </w:r>
      <w:r w:rsidR="00A36CEE" w:rsidRPr="001C76DC">
        <w:rPr>
          <w:rFonts w:eastAsia="MS Mincho"/>
          <w:szCs w:val="24"/>
          <w:lang w:eastAsia="ja-JP"/>
        </w:rPr>
        <w:t xml:space="preserve"> independently score all bids and select the initial and final shortlists</w:t>
      </w:r>
      <w:r w:rsidR="00C83295" w:rsidRPr="001C76DC">
        <w:rPr>
          <w:rFonts w:eastAsia="MS Mincho"/>
          <w:szCs w:val="24"/>
          <w:lang w:eastAsia="ja-JP"/>
        </w:rPr>
        <w:t xml:space="preserve"> to be included in a report for use in the acknowledgement proceeding.  </w:t>
      </w:r>
    </w:p>
    <w:p w14:paraId="368C1600" w14:textId="3177EE95" w:rsidR="009C3CF3" w:rsidRPr="001C76DC" w:rsidRDefault="00535375" w:rsidP="00535375">
      <w:pPr>
        <w:pStyle w:val="ListParagraph"/>
        <w:numPr>
          <w:ilvl w:val="1"/>
          <w:numId w:val="33"/>
        </w:numPr>
        <w:spacing w:line="480" w:lineRule="auto"/>
        <w:ind w:left="0" w:hanging="540"/>
        <w:rPr>
          <w:szCs w:val="24"/>
          <w:u w:val="single"/>
        </w:rPr>
      </w:pPr>
      <w:r>
        <w:t xml:space="preserve">            </w:t>
      </w:r>
      <w:r w:rsidR="009C3CF3" w:rsidRPr="001C76DC">
        <w:rPr>
          <w:szCs w:val="24"/>
        </w:rPr>
        <w:t xml:space="preserve">If the final short list submitted to the Commission includes any </w:t>
      </w:r>
      <w:r w:rsidR="00952EEA" w:rsidRPr="001C76DC">
        <w:rPr>
          <w:szCs w:val="24"/>
        </w:rPr>
        <w:t>utility owned</w:t>
      </w:r>
      <w:r w:rsidR="009C3CF3" w:rsidRPr="001C76DC">
        <w:rPr>
          <w:szCs w:val="24"/>
        </w:rPr>
        <w:t xml:space="preserve"> bids, </w:t>
      </w:r>
      <w:r w:rsidR="00CB1BEF" w:rsidRPr="001C76DC">
        <w:rPr>
          <w:szCs w:val="24"/>
        </w:rPr>
        <w:t>the hi</w:t>
      </w:r>
      <w:r w:rsidR="000A2800" w:rsidRPr="001C76DC">
        <w:rPr>
          <w:szCs w:val="24"/>
        </w:rPr>
        <w:t>ghly qualified consulting firm sh</w:t>
      </w:r>
      <w:r w:rsidR="00CB1BEF" w:rsidRPr="001C76DC">
        <w:rPr>
          <w:szCs w:val="24"/>
        </w:rPr>
        <w:t xml:space="preserve">ould produce a comprehensive report on the cost and performance assumptions of the utility </w:t>
      </w:r>
      <w:r w:rsidR="00333E63" w:rsidRPr="001C76DC">
        <w:rPr>
          <w:szCs w:val="24"/>
        </w:rPr>
        <w:t>owned generation</w:t>
      </w:r>
      <w:r w:rsidR="00CB1BEF" w:rsidRPr="001C76DC">
        <w:rPr>
          <w:szCs w:val="24"/>
        </w:rPr>
        <w:t xml:space="preserve"> project and propose any necessary adjustments to the bid scoring.  </w:t>
      </w:r>
      <w:r w:rsidR="00997BCE" w:rsidRPr="001C76DC">
        <w:rPr>
          <w:szCs w:val="24"/>
        </w:rPr>
        <w:t>The utility shareholders should pay for the financing due diligence because the need for this added step is caused by the shareholder’s choice to place a utility-owned resource on the final shortlist.  As explained above, this due diligence step is imperative in order to ensure that the alleged costs supporting the bid upon which the utility would profit are indeed “bankable” assumptions.  The requirement is merely an attempt to require similar treatment to PPA bids because the owners of the IP</w:t>
      </w:r>
      <w:r w:rsidR="00684E24">
        <w:rPr>
          <w:szCs w:val="24"/>
        </w:rPr>
        <w:t>P projects would need to pay for</w:t>
      </w:r>
      <w:r w:rsidR="00997BCE" w:rsidRPr="001C76DC">
        <w:rPr>
          <w:szCs w:val="24"/>
        </w:rPr>
        <w:t xml:space="preserve"> the extensive due diligence review required for their own non-ratepayer financing.  </w:t>
      </w:r>
      <w:r w:rsidR="00CB1BEF" w:rsidRPr="001C76DC">
        <w:rPr>
          <w:szCs w:val="24"/>
        </w:rPr>
        <w:t xml:space="preserve">The highly qualified consultant will provide the final report of its analysis to the Commission, and will </w:t>
      </w:r>
      <w:r w:rsidR="00CB1BEF" w:rsidRPr="001C76DC">
        <w:rPr>
          <w:szCs w:val="24"/>
        </w:rPr>
        <w:lastRenderedPageBreak/>
        <w:t>provide a copy to the utility and interested stakeholders in RFP process.  T</w:t>
      </w:r>
      <w:r w:rsidR="009C3CF3" w:rsidRPr="001C76DC">
        <w:rPr>
          <w:szCs w:val="24"/>
        </w:rPr>
        <w:t xml:space="preserve">he utility must explain in detail how the </w:t>
      </w:r>
      <w:r w:rsidR="009C3CF3" w:rsidRPr="001C76DC">
        <w:rPr>
          <w:rFonts w:eastAsia="MS Mincho"/>
          <w:szCs w:val="24"/>
          <w:lang w:eastAsia="ja-JP"/>
        </w:rPr>
        <w:t xml:space="preserve">financing due diligence by </w:t>
      </w:r>
      <w:r w:rsidR="00C83295" w:rsidRPr="001C76DC">
        <w:rPr>
          <w:rFonts w:eastAsia="MS Mincho"/>
          <w:szCs w:val="24"/>
          <w:lang w:eastAsia="ja-JP"/>
        </w:rPr>
        <w:t>the highly qualified consultant</w:t>
      </w:r>
      <w:r w:rsidR="009C3CF3" w:rsidRPr="001C76DC">
        <w:rPr>
          <w:rFonts w:eastAsia="MS Mincho"/>
          <w:szCs w:val="24"/>
          <w:lang w:eastAsia="ja-JP"/>
        </w:rPr>
        <w:t xml:space="preserve"> </w:t>
      </w:r>
      <w:r w:rsidR="009C3CF3" w:rsidRPr="001C76DC">
        <w:rPr>
          <w:szCs w:val="24"/>
        </w:rPr>
        <w:t xml:space="preserve">supports the utility’s position that the project should remain on the final short list, particularly if the </w:t>
      </w:r>
      <w:r w:rsidR="009C3CF3" w:rsidRPr="001C76DC">
        <w:rPr>
          <w:rFonts w:eastAsia="MS Mincho"/>
          <w:szCs w:val="24"/>
          <w:lang w:eastAsia="ja-JP"/>
        </w:rPr>
        <w:t>financing due diligence by the highly qualified consultant</w:t>
      </w:r>
      <w:r w:rsidR="00FE0C3D" w:rsidRPr="001C76DC">
        <w:rPr>
          <w:rFonts w:eastAsia="MS Mincho"/>
          <w:szCs w:val="24"/>
          <w:lang w:eastAsia="ja-JP"/>
        </w:rPr>
        <w:t xml:space="preserve"> </w:t>
      </w:r>
      <w:r w:rsidR="009C3CF3" w:rsidRPr="001C76DC">
        <w:rPr>
          <w:szCs w:val="24"/>
        </w:rPr>
        <w:t xml:space="preserve">identified any flaws in the initial analysis of the </w:t>
      </w:r>
      <w:r w:rsidR="00EE4EF6" w:rsidRPr="001C76DC">
        <w:rPr>
          <w:szCs w:val="24"/>
        </w:rPr>
        <w:t>utility owned generation</w:t>
      </w:r>
      <w:r w:rsidR="009C3CF3" w:rsidRPr="001C76DC">
        <w:rPr>
          <w:szCs w:val="24"/>
        </w:rPr>
        <w:t xml:space="preserve"> bid that resulted in placement on the initial short list. </w:t>
      </w:r>
      <w:r w:rsidR="00CB1BEF" w:rsidRPr="001C76DC">
        <w:rPr>
          <w:szCs w:val="24"/>
        </w:rPr>
        <w:t xml:space="preserve"> </w:t>
      </w:r>
    </w:p>
    <w:p w14:paraId="3734DD03" w14:textId="766AA342" w:rsidR="00BB108E" w:rsidRPr="001C76DC" w:rsidRDefault="00535375" w:rsidP="00535375">
      <w:pPr>
        <w:pStyle w:val="ListParagraph"/>
        <w:numPr>
          <w:ilvl w:val="1"/>
          <w:numId w:val="33"/>
        </w:numPr>
        <w:spacing w:line="480" w:lineRule="auto"/>
        <w:ind w:left="0" w:hanging="540"/>
        <w:rPr>
          <w:szCs w:val="24"/>
        </w:rPr>
      </w:pPr>
      <w:r>
        <w:t xml:space="preserve">            </w:t>
      </w:r>
      <w:r w:rsidR="00BB108E" w:rsidRPr="001C76DC">
        <w:rPr>
          <w:szCs w:val="24"/>
        </w:rPr>
        <w:t xml:space="preserve">Additionally, acknowledgement of the final short list should be contingent upon </w:t>
      </w:r>
      <w:r w:rsidR="00AE640B" w:rsidRPr="001C76DC">
        <w:rPr>
          <w:szCs w:val="24"/>
        </w:rPr>
        <w:t xml:space="preserve">the utility meeting a requirement of </w:t>
      </w:r>
      <w:r w:rsidR="00BB108E" w:rsidRPr="001C76DC">
        <w:rPr>
          <w:szCs w:val="24"/>
        </w:rPr>
        <w:t>resource ownership diversity</w:t>
      </w:r>
      <w:r w:rsidR="00AE640B" w:rsidRPr="001C76DC">
        <w:rPr>
          <w:szCs w:val="24"/>
        </w:rPr>
        <w:t xml:space="preserve"> across its generation portfolio</w:t>
      </w:r>
      <w:r w:rsidR="00BB108E" w:rsidRPr="001C76DC">
        <w:rPr>
          <w:szCs w:val="24"/>
        </w:rPr>
        <w:t>.</w:t>
      </w:r>
      <w:r w:rsidR="009C3CF3" w:rsidRPr="001C76DC">
        <w:rPr>
          <w:szCs w:val="24"/>
        </w:rPr>
        <w:t xml:space="preserve">  </w:t>
      </w:r>
      <w:r w:rsidR="00894670" w:rsidRPr="001C76DC">
        <w:rPr>
          <w:szCs w:val="24"/>
        </w:rPr>
        <w:t>Even the most well designed competitive bidding rules may fail to effectively mitigate against utility bias.  To rect</w:t>
      </w:r>
      <w:r w:rsidR="00605635" w:rsidRPr="001C76DC">
        <w:rPr>
          <w:szCs w:val="24"/>
        </w:rPr>
        <w:t xml:space="preserve">ify this problem, the Commission should ensure that the RFP process is not systematically biased against </w:t>
      </w:r>
      <w:r w:rsidR="00605635">
        <w:t>d</w:t>
      </w:r>
      <w:r w:rsidR="00AE640B" w:rsidRPr="00497526">
        <w:t>iversity of ownership</w:t>
      </w:r>
      <w:r w:rsidR="00150E56">
        <w:t xml:space="preserve">, including </w:t>
      </w:r>
      <w:r w:rsidR="00EE4EF6">
        <w:t>PPAs</w:t>
      </w:r>
      <w:r w:rsidR="00AE640B" w:rsidRPr="00497526">
        <w:t xml:space="preserve">, </w:t>
      </w:r>
      <w:r w:rsidR="00AE640B">
        <w:t xml:space="preserve">tolling agreements, </w:t>
      </w:r>
      <w:r w:rsidR="00AE640B" w:rsidRPr="00497526">
        <w:t xml:space="preserve">and </w:t>
      </w:r>
      <w:r w:rsidR="00EE4EF6">
        <w:t>PPAs</w:t>
      </w:r>
      <w:r w:rsidR="00AE640B" w:rsidRPr="00497526">
        <w:t xml:space="preserve"> </w:t>
      </w:r>
      <w:r w:rsidR="00AE640B">
        <w:t xml:space="preserve">or tolling agreements </w:t>
      </w:r>
      <w:r w:rsidR="00AE640B" w:rsidRPr="00497526">
        <w:t>with the option for utility ownership</w:t>
      </w:r>
      <w:r w:rsidR="00AE640B">
        <w:t xml:space="preserve"> after a specified term</w:t>
      </w:r>
      <w:r w:rsidR="00AE640B" w:rsidRPr="00497526">
        <w:t xml:space="preserve">.  </w:t>
      </w:r>
      <w:r w:rsidR="009C3CF3" w:rsidRPr="001C76DC">
        <w:rPr>
          <w:szCs w:val="24"/>
        </w:rPr>
        <w:t xml:space="preserve">For RFPs that result in the acquisition of multiple generation facilities or more than 100 MW of renewable energy, the utility </w:t>
      </w:r>
      <w:r w:rsidR="00894670" w:rsidRPr="001C76DC">
        <w:rPr>
          <w:szCs w:val="24"/>
        </w:rPr>
        <w:t>should not be allowed to</w:t>
      </w:r>
      <w:r w:rsidR="009C3CF3" w:rsidRPr="001C76DC">
        <w:rPr>
          <w:szCs w:val="24"/>
        </w:rPr>
        <w:t xml:space="preserve"> obtain acknowledgement if the RFP </w:t>
      </w:r>
      <w:r w:rsidR="000721F7">
        <w:rPr>
          <w:szCs w:val="24"/>
        </w:rPr>
        <w:t xml:space="preserve">short list </w:t>
      </w:r>
      <w:r w:rsidR="009C3CF3" w:rsidRPr="001C76DC">
        <w:rPr>
          <w:szCs w:val="24"/>
        </w:rPr>
        <w:t xml:space="preserve">does not result in </w:t>
      </w:r>
      <w:r w:rsidR="00150E56" w:rsidRPr="001C76DC">
        <w:rPr>
          <w:szCs w:val="24"/>
        </w:rPr>
        <w:t xml:space="preserve">at least some level of </w:t>
      </w:r>
      <w:r w:rsidR="009C3CF3" w:rsidRPr="001C76DC">
        <w:rPr>
          <w:szCs w:val="24"/>
        </w:rPr>
        <w:t xml:space="preserve">ownership diversity.  </w:t>
      </w:r>
      <w:r w:rsidR="00894670" w:rsidRPr="001C76DC">
        <w:rPr>
          <w:szCs w:val="24"/>
        </w:rPr>
        <w:t>In addition, there should be a separate requirement that</w:t>
      </w:r>
      <w:r w:rsidR="00BB108E" w:rsidRPr="001C76DC">
        <w:rPr>
          <w:szCs w:val="24"/>
        </w:rPr>
        <w:t xml:space="preserve"> the </w:t>
      </w:r>
      <w:r w:rsidR="009C3CF3" w:rsidRPr="001C76DC">
        <w:rPr>
          <w:szCs w:val="24"/>
        </w:rPr>
        <w:t xml:space="preserve">Commission </w:t>
      </w:r>
      <w:r w:rsidR="00BB108E" w:rsidRPr="001C76DC">
        <w:rPr>
          <w:szCs w:val="24"/>
        </w:rPr>
        <w:t>wi</w:t>
      </w:r>
      <w:r w:rsidR="009C3CF3" w:rsidRPr="001C76DC">
        <w:rPr>
          <w:szCs w:val="24"/>
        </w:rPr>
        <w:t xml:space="preserve">ll not acknowledge an RFP </w:t>
      </w:r>
      <w:r w:rsidR="000721F7">
        <w:rPr>
          <w:szCs w:val="24"/>
        </w:rPr>
        <w:t xml:space="preserve">short list </w:t>
      </w:r>
      <w:r w:rsidR="009C3CF3" w:rsidRPr="001C76DC">
        <w:rPr>
          <w:szCs w:val="24"/>
        </w:rPr>
        <w:t>that does not result in ownership diversity if th</w:t>
      </w:r>
      <w:r w:rsidR="000E6A31" w:rsidRPr="001C76DC">
        <w:rPr>
          <w:szCs w:val="24"/>
        </w:rPr>
        <w:t>e utility’s RFPs over the last 10</w:t>
      </w:r>
      <w:r w:rsidR="009C3CF3" w:rsidRPr="001C76DC">
        <w:rPr>
          <w:szCs w:val="24"/>
        </w:rPr>
        <w:t xml:space="preserve"> years have not resulted in ownership diversity.</w:t>
      </w:r>
    </w:p>
    <w:p w14:paraId="020F7BDC" w14:textId="6A68A1CE" w:rsidR="00BB108E" w:rsidRPr="001C76DC" w:rsidRDefault="00535375" w:rsidP="00535375">
      <w:pPr>
        <w:pStyle w:val="ListParagraph"/>
        <w:numPr>
          <w:ilvl w:val="1"/>
          <w:numId w:val="33"/>
        </w:numPr>
        <w:spacing w:line="480" w:lineRule="auto"/>
        <w:ind w:left="0" w:hanging="540"/>
        <w:rPr>
          <w:rFonts w:eastAsia="MS Mincho"/>
          <w:szCs w:val="24"/>
          <w:lang w:eastAsia="ja-JP"/>
        </w:rPr>
      </w:pPr>
      <w:r>
        <w:t xml:space="preserve">            </w:t>
      </w:r>
      <w:r w:rsidR="00BB108E" w:rsidRPr="001C76DC">
        <w:rPr>
          <w:szCs w:val="24"/>
        </w:rPr>
        <w:t xml:space="preserve">Finally, there may be circumstances where the IE’s continued involvement in the final negotiations is necessary to ensure fairness of the process. </w:t>
      </w:r>
      <w:r w:rsidR="00620716" w:rsidRPr="001C76DC">
        <w:rPr>
          <w:szCs w:val="24"/>
        </w:rPr>
        <w:t xml:space="preserve"> </w:t>
      </w:r>
      <w:r w:rsidR="00BB108E" w:rsidRPr="001C76DC">
        <w:rPr>
          <w:szCs w:val="24"/>
        </w:rPr>
        <w:t xml:space="preserve">For example, if the utility has exhibited a strong preference for utility ownership through its statements or conduct, bidders may need the assurance of an independent outside party to protect </w:t>
      </w:r>
      <w:r w:rsidR="00BB108E" w:rsidRPr="001C76DC">
        <w:rPr>
          <w:szCs w:val="24"/>
        </w:rPr>
        <w:lastRenderedPageBreak/>
        <w:t>against, or at least document for future rate recovery proceedings, any unfair self-dealing by the utility.  The rules should provide that Commission Staff will make a recommendation about whether the Commission should require IE involvement through final resource selection at the time of acknowledgement of the utility’s final shortlist of resources.  Other parties, including bidders, should be allowed to request expanded IE involvement at that time.</w:t>
      </w:r>
    </w:p>
    <w:p w14:paraId="12421B1C" w14:textId="6CED1CDE" w:rsidR="00370CD1" w:rsidRDefault="008D7E50" w:rsidP="00535375">
      <w:pPr>
        <w:pStyle w:val="ListParagraph"/>
        <w:spacing w:line="480" w:lineRule="auto"/>
        <w:ind w:left="0"/>
        <w:jc w:val="center"/>
      </w:pPr>
      <w:r w:rsidRPr="001C76DC">
        <w:rPr>
          <w:rFonts w:eastAsia="MS Mincho"/>
          <w:b/>
          <w:szCs w:val="24"/>
          <w:lang w:eastAsia="ja-JP"/>
        </w:rPr>
        <w:t>III.</w:t>
      </w:r>
      <w:r w:rsidRPr="001C76DC">
        <w:rPr>
          <w:rFonts w:eastAsia="MS Mincho"/>
          <w:b/>
          <w:szCs w:val="24"/>
          <w:lang w:eastAsia="ja-JP"/>
        </w:rPr>
        <w:tab/>
        <w:t>CONCLUSION</w:t>
      </w:r>
    </w:p>
    <w:p w14:paraId="711160C2" w14:textId="4B145C56" w:rsidR="004D6190" w:rsidRPr="00074C30" w:rsidRDefault="00535375" w:rsidP="00535375">
      <w:pPr>
        <w:pStyle w:val="ListParagraph"/>
        <w:numPr>
          <w:ilvl w:val="1"/>
          <w:numId w:val="33"/>
        </w:numPr>
        <w:spacing w:line="480" w:lineRule="auto"/>
        <w:ind w:left="0" w:hanging="540"/>
      </w:pPr>
      <w:r>
        <w:t xml:space="preserve">            </w:t>
      </w:r>
      <w:r w:rsidR="008D7E50">
        <w:t>NIPPC recognizes that it is asking for a significant expansion and revision of the Commission’s competitive bidding rules.</w:t>
      </w:r>
      <w:r w:rsidR="00352B09">
        <w:t xml:space="preserve">  Washington utilities, however, are planning to make billions</w:t>
      </w:r>
      <w:r w:rsidR="00476B44">
        <w:t xml:space="preserve"> </w:t>
      </w:r>
      <w:r w:rsidR="00352B09">
        <w:t>of dollars of new investment in utility owned generation</w:t>
      </w:r>
      <w:r w:rsidR="00620716">
        <w:t xml:space="preserve"> in the near future</w:t>
      </w:r>
      <w:r w:rsidR="00352B09">
        <w:t>.  Ratepayers deserve to know that any utility owned generation is acquired at the least cost and risk</w:t>
      </w:r>
      <w:r w:rsidR="00476B44">
        <w:t xml:space="preserve">. They also need to see the utilities’ plans tested against IPPs who are prepared to compete to build and operate power resources at their own risk. </w:t>
      </w:r>
      <w:r w:rsidR="00352B09">
        <w:t xml:space="preserve"> </w:t>
      </w:r>
      <w:r w:rsidR="00476B44">
        <w:t xml:space="preserve">It need be understood that sophisticated, credit worthy IPPs </w:t>
      </w:r>
      <w:r w:rsidR="00181829">
        <w:t xml:space="preserve">will </w:t>
      </w:r>
      <w:r w:rsidR="00476B44">
        <w:t>only</w:t>
      </w:r>
      <w:r w:rsidR="00181829">
        <w:t xml:space="preserve"> participate in RFPs th</w:t>
      </w:r>
      <w:r w:rsidR="00476B44">
        <w:t>ey</w:t>
      </w:r>
      <w:r w:rsidR="00181829">
        <w:t xml:space="preserve"> view</w:t>
      </w:r>
      <w:r w:rsidR="00476B44">
        <w:t xml:space="preserve"> as </w:t>
      </w:r>
      <w:r w:rsidR="00181829">
        <w:t>fair.  I</w:t>
      </w:r>
      <w:r w:rsidR="00C65CCE">
        <w:t>t is simply</w:t>
      </w:r>
      <w:r w:rsidR="00181829">
        <w:t xml:space="preserve"> impossible to achieve the least cost and risk resources</w:t>
      </w:r>
      <w:r w:rsidR="00C65CCE">
        <w:t xml:space="preserve"> if there is not a fair procurement process and if the utilities end up owning most or all of the new generation that is built to serve load </w:t>
      </w:r>
      <w:r w:rsidR="00377D59">
        <w:t xml:space="preserve">and comply with environmental requirements. </w:t>
      </w:r>
    </w:p>
    <w:p w14:paraId="42B9DF7F" w14:textId="77777777" w:rsidR="00B43A04" w:rsidRDefault="00B43A04" w:rsidP="004D6190">
      <w:pPr>
        <w:keepNext/>
        <w:spacing w:line="480" w:lineRule="auto"/>
        <w:ind w:left="1980"/>
      </w:pPr>
      <w:r>
        <w:lastRenderedPageBreak/>
        <w:t xml:space="preserve">Dated this </w:t>
      </w:r>
      <w:r w:rsidR="00574053">
        <w:t>2nd</w:t>
      </w:r>
      <w:r>
        <w:t xml:space="preserve"> day of </w:t>
      </w:r>
      <w:r w:rsidR="006A1BC6">
        <w:t>November</w:t>
      </w:r>
      <w:r w:rsidR="00460A79">
        <w:t xml:space="preserve"> 2016</w:t>
      </w:r>
      <w:r w:rsidR="00833F04">
        <w:t>.</w:t>
      </w:r>
    </w:p>
    <w:p w14:paraId="6FBFF010" w14:textId="77777777" w:rsidR="0000482B" w:rsidRDefault="00B43A04" w:rsidP="00B17330">
      <w:pPr>
        <w:keepNext/>
        <w:spacing w:line="480" w:lineRule="auto"/>
        <w:ind w:left="2880" w:firstLine="720"/>
      </w:pPr>
      <w:r>
        <w:t>Respectfully submitted,</w:t>
      </w:r>
      <w:bookmarkStart w:id="1" w:name="_GoBack"/>
      <w:bookmarkEnd w:id="1"/>
    </w:p>
    <w:p w14:paraId="3169895A" w14:textId="77777777" w:rsidR="00CD1028" w:rsidRDefault="00362720" w:rsidP="00B17330">
      <w:pPr>
        <w:keepNext/>
        <w:ind w:left="2880" w:firstLine="720"/>
      </w:pPr>
      <w:r>
        <w:rPr>
          <w:noProof/>
        </w:rPr>
        <w:drawing>
          <wp:inline distT="0" distB="0" distL="0" distR="0" wp14:anchorId="2E61A862" wp14:editId="73857929">
            <wp:extent cx="1809750" cy="6939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 Irion 2.png"/>
                    <pic:cNvPicPr/>
                  </pic:nvPicPr>
                  <pic:blipFill>
                    <a:blip r:embed="rId9">
                      <a:extLst>
                        <a:ext uri="{28A0092B-C50C-407E-A947-70E740481C1C}">
                          <a14:useLocalDpi xmlns:a14="http://schemas.microsoft.com/office/drawing/2010/main" val="0"/>
                        </a:ext>
                      </a:extLst>
                    </a:blip>
                    <a:stretch>
                      <a:fillRect/>
                    </a:stretch>
                  </pic:blipFill>
                  <pic:spPr>
                    <a:xfrm>
                      <a:off x="0" y="0"/>
                      <a:ext cx="1810393" cy="694182"/>
                    </a:xfrm>
                    <a:prstGeom prst="rect">
                      <a:avLst/>
                    </a:prstGeom>
                  </pic:spPr>
                </pic:pic>
              </a:graphicData>
            </a:graphic>
          </wp:inline>
        </w:drawing>
      </w:r>
    </w:p>
    <w:p w14:paraId="38C71F22" w14:textId="77777777" w:rsidR="00362720" w:rsidRPr="001C76DC" w:rsidRDefault="001705B7" w:rsidP="00362720">
      <w:pPr>
        <w:keepNext/>
        <w:ind w:left="2880" w:firstLine="810"/>
        <w:rPr>
          <w:lang w:val="da-DK"/>
        </w:rPr>
      </w:pPr>
      <w:r w:rsidRPr="001C76DC">
        <w:rPr>
          <w:lang w:val="da-DK"/>
        </w:rPr>
        <w:t>___________________</w:t>
      </w:r>
    </w:p>
    <w:p w14:paraId="4A02223C" w14:textId="77777777" w:rsidR="00362720" w:rsidRPr="001C76DC" w:rsidRDefault="008B6BDD" w:rsidP="00362720">
      <w:pPr>
        <w:keepNext/>
        <w:ind w:left="2880" w:firstLine="810"/>
        <w:rPr>
          <w:lang w:val="da-DK"/>
        </w:rPr>
      </w:pPr>
      <w:r w:rsidRPr="001C76DC">
        <w:rPr>
          <w:lang w:val="da-DK"/>
        </w:rPr>
        <w:t>Irion Sanger</w:t>
      </w:r>
    </w:p>
    <w:p w14:paraId="4EE82B31" w14:textId="77777777" w:rsidR="00074C30" w:rsidRPr="001C76DC" w:rsidRDefault="00074C30" w:rsidP="00362720">
      <w:pPr>
        <w:keepNext/>
        <w:ind w:left="2880" w:firstLine="810"/>
        <w:rPr>
          <w:lang w:val="da-DK"/>
        </w:rPr>
      </w:pPr>
      <w:r w:rsidRPr="001C76DC">
        <w:rPr>
          <w:lang w:val="da-DK"/>
        </w:rPr>
        <w:t>Sidney Villanueva</w:t>
      </w:r>
    </w:p>
    <w:p w14:paraId="3BCDD702" w14:textId="77777777" w:rsidR="00CD1028" w:rsidRPr="001C76DC" w:rsidRDefault="00CD1028" w:rsidP="00362720">
      <w:pPr>
        <w:keepNext/>
        <w:ind w:left="2880" w:firstLine="810"/>
        <w:rPr>
          <w:lang w:val="da-DK"/>
        </w:rPr>
      </w:pPr>
      <w:r w:rsidRPr="001C76DC">
        <w:rPr>
          <w:lang w:val="da-DK"/>
        </w:rPr>
        <w:t>Sanger Law, PC</w:t>
      </w:r>
    </w:p>
    <w:p w14:paraId="62BE4A41" w14:textId="77777777" w:rsidR="00CD1028" w:rsidRDefault="00CD1028" w:rsidP="00362720">
      <w:pPr>
        <w:keepNext/>
        <w:ind w:left="2880" w:firstLine="810"/>
      </w:pPr>
      <w:r w:rsidRPr="00CD1028">
        <w:t>1117 SE 53rd Avenue</w:t>
      </w:r>
    </w:p>
    <w:p w14:paraId="39339A59" w14:textId="77777777" w:rsidR="00CD1028" w:rsidRDefault="00CD1028" w:rsidP="00362720">
      <w:pPr>
        <w:keepNext/>
        <w:ind w:left="2880" w:firstLine="810"/>
      </w:pPr>
      <w:r w:rsidRPr="00CD1028">
        <w:t>Portland, OR 97215</w:t>
      </w:r>
    </w:p>
    <w:p w14:paraId="0BB5100B" w14:textId="77777777" w:rsidR="00CD1028" w:rsidRDefault="00CD1028" w:rsidP="00362720">
      <w:pPr>
        <w:keepNext/>
        <w:ind w:left="2880" w:firstLine="810"/>
      </w:pPr>
      <w:r w:rsidRPr="00CD1028">
        <w:t>Telephone: 503-756-7533</w:t>
      </w:r>
    </w:p>
    <w:p w14:paraId="3C3522F4" w14:textId="77777777" w:rsidR="00CD1028" w:rsidRDefault="00CD1028" w:rsidP="00362720">
      <w:pPr>
        <w:keepNext/>
        <w:ind w:left="2880" w:firstLine="810"/>
      </w:pPr>
      <w:r w:rsidRPr="00CD1028">
        <w:t>Fax: 503-334-2235</w:t>
      </w:r>
    </w:p>
    <w:p w14:paraId="5D8AC3E1" w14:textId="77777777" w:rsidR="00CD1028" w:rsidRDefault="00CD1028" w:rsidP="00362720">
      <w:pPr>
        <w:keepNext/>
        <w:ind w:left="2880" w:firstLine="810"/>
      </w:pPr>
      <w:r w:rsidRPr="00CD1028">
        <w:t>irion@sanger-law.com</w:t>
      </w:r>
    </w:p>
    <w:p w14:paraId="2F897564" w14:textId="77777777" w:rsidR="00B17330" w:rsidRDefault="00B17330" w:rsidP="00362720">
      <w:pPr>
        <w:keepNext/>
        <w:ind w:left="2880" w:firstLine="810"/>
      </w:pPr>
    </w:p>
    <w:p w14:paraId="47695153" w14:textId="77777777" w:rsidR="0000482B" w:rsidRDefault="00F81F53" w:rsidP="001705B7">
      <w:pPr>
        <w:keepNext/>
        <w:ind w:left="3960" w:hanging="270"/>
      </w:pPr>
      <w:r>
        <w:t>Of A</w:t>
      </w:r>
      <w:r w:rsidR="00B17330">
        <w:t>ttorneys fo</w:t>
      </w:r>
      <w:r>
        <w:t>r</w:t>
      </w:r>
      <w:r w:rsidR="00074C30">
        <w:t xml:space="preserve"> </w:t>
      </w:r>
      <w:r w:rsidR="006A1BC6">
        <w:t>the Northwest and Intermountain Power Producers Coalition</w:t>
      </w:r>
    </w:p>
    <w:sectPr w:rsidR="0000482B" w:rsidSect="00CD18CE">
      <w:footerReference w:type="default" r:id="rId10"/>
      <w:type w:val="continuous"/>
      <w:pgSz w:w="12240" w:h="15840"/>
      <w:pgMar w:top="1440" w:right="1800" w:bottom="1440" w:left="1800" w:header="720" w:footer="720" w:gutter="0"/>
      <w:cols w:space="720"/>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508AAC5" w15:done="0"/>
  <w15:commentEx w15:paraId="5ECED698" w15:done="0"/>
  <w15:commentEx w15:paraId="3032F39F" w15:done="0"/>
  <w15:commentEx w15:paraId="66E1FC1B" w15:done="0"/>
  <w15:commentEx w15:paraId="30D9E9A6"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71203B" w14:textId="77777777" w:rsidR="00AA1510" w:rsidRDefault="00AA1510">
      <w:r>
        <w:separator/>
      </w:r>
    </w:p>
  </w:endnote>
  <w:endnote w:type="continuationSeparator" w:id="0">
    <w:p w14:paraId="3AFB78BD" w14:textId="77777777" w:rsidR="00AA1510" w:rsidRDefault="00AA1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w:panose1 w:val="02000500000000000000"/>
    <w:charset w:val="00"/>
    <w:family w:val="auto"/>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F44CBE" w14:textId="77777777" w:rsidR="00AA1510" w:rsidRDefault="00AA1510" w:rsidP="00074C30">
    <w:pPr>
      <w:pStyle w:val="Footer"/>
      <w:rPr>
        <w:szCs w:val="24"/>
      </w:rPr>
    </w:pPr>
    <w:r>
      <w:rPr>
        <w:szCs w:val="24"/>
      </w:rPr>
      <w:t xml:space="preserve">NORTHWEST AND INTERMOUNTAIN POWER PRODUCERS </w:t>
    </w:r>
  </w:p>
  <w:p w14:paraId="2830CAC0" w14:textId="77777777" w:rsidR="00AA1510" w:rsidRPr="00074C30" w:rsidRDefault="00AA1510" w:rsidP="00074C30">
    <w:pPr>
      <w:pStyle w:val="Footer"/>
    </w:pPr>
    <w:r>
      <w:rPr>
        <w:szCs w:val="24"/>
      </w:rPr>
      <w:t>COALITION COMMENTS</w:t>
    </w:r>
    <w:r>
      <w:rPr>
        <w:szCs w:val="24"/>
      </w:rPr>
      <w:tab/>
    </w:r>
    <w:r>
      <w:rPr>
        <w:szCs w:val="24"/>
      </w:rPr>
      <w:tab/>
      <w:t xml:space="preserve">Page </w:t>
    </w:r>
    <w:r>
      <w:rPr>
        <w:rStyle w:val="PageNumber"/>
      </w:rPr>
      <w:fldChar w:fldCharType="begin"/>
    </w:r>
    <w:r>
      <w:rPr>
        <w:rStyle w:val="PageNumber"/>
      </w:rPr>
      <w:instrText xml:space="preserve"> PAGE </w:instrText>
    </w:r>
    <w:r>
      <w:rPr>
        <w:rStyle w:val="PageNumber"/>
      </w:rPr>
      <w:fldChar w:fldCharType="separate"/>
    </w:r>
    <w:r w:rsidR="004239E1">
      <w:rPr>
        <w:rStyle w:val="PageNumber"/>
        <w:noProof/>
      </w:rPr>
      <w:t>48</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8BE612" w14:textId="77777777" w:rsidR="00AA1510" w:rsidRDefault="00AA1510">
      <w:r>
        <w:separator/>
      </w:r>
    </w:p>
  </w:footnote>
  <w:footnote w:type="continuationSeparator" w:id="0">
    <w:p w14:paraId="517A8E9B" w14:textId="77777777" w:rsidR="00AA1510" w:rsidRDefault="00AA1510">
      <w:r>
        <w:continuationSeparator/>
      </w:r>
    </w:p>
  </w:footnote>
  <w:footnote w:id="1">
    <w:p w14:paraId="2A0FFCD8" w14:textId="1938AB45" w:rsidR="00AA1510" w:rsidRDefault="00AA1510" w:rsidP="00E53514">
      <w:pPr>
        <w:pStyle w:val="FootnoteText"/>
        <w:ind w:left="720" w:hanging="720"/>
      </w:pPr>
      <w:r>
        <w:rPr>
          <w:rStyle w:val="FootnoteReference"/>
        </w:rPr>
        <w:footnoteRef/>
      </w:r>
      <w:r>
        <w:t xml:space="preserve"> </w:t>
      </w:r>
      <w:r>
        <w:tab/>
        <w:t xml:space="preserve">For the purposes of these comments, the term PPA can include both traditional PPAs and tolling agreements with an IPP. </w:t>
      </w:r>
    </w:p>
  </w:footnote>
  <w:footnote w:id="2">
    <w:p w14:paraId="60368C42" w14:textId="53048C0C" w:rsidR="00AA1510" w:rsidRDefault="00AA1510" w:rsidP="0084272C">
      <w:pPr>
        <w:pStyle w:val="FootnoteText"/>
        <w:ind w:left="720" w:hanging="720"/>
      </w:pPr>
      <w:r>
        <w:rPr>
          <w:rStyle w:val="FootnoteReference"/>
        </w:rPr>
        <w:footnoteRef/>
      </w:r>
      <w:r>
        <w:t xml:space="preserve"> </w:t>
      </w:r>
      <w:r>
        <w:tab/>
      </w:r>
      <w:r w:rsidRPr="003D2ED0">
        <w:rPr>
          <w:u w:val="single"/>
        </w:rPr>
        <w:t>Re Notice of Inquiry: Examining Regulation of Electric Utilities in the Face of Changes in the Electric Industry</w:t>
      </w:r>
      <w:r>
        <w:t>, Docket No. UE-940932, Notice of Termination of Notice of Inquiry (Apr. 22, 1998).</w:t>
      </w:r>
    </w:p>
  </w:footnote>
  <w:footnote w:id="3">
    <w:p w14:paraId="27AF9C37" w14:textId="77777777" w:rsidR="00AA1510" w:rsidRDefault="00AA1510" w:rsidP="0084272C">
      <w:pPr>
        <w:pStyle w:val="FootnoteText"/>
        <w:ind w:left="720" w:hanging="720"/>
      </w:pPr>
      <w:r>
        <w:rPr>
          <w:rStyle w:val="FootnoteReference"/>
        </w:rPr>
        <w:footnoteRef/>
      </w:r>
      <w:r>
        <w:t xml:space="preserve"> </w:t>
      </w:r>
      <w:r>
        <w:tab/>
      </w:r>
      <w:r w:rsidRPr="00C31B35">
        <w:rPr>
          <w:u w:val="single"/>
        </w:rPr>
        <w:t>Id.</w:t>
      </w:r>
    </w:p>
  </w:footnote>
  <w:footnote w:id="4">
    <w:p w14:paraId="797356FA" w14:textId="6ADE5DE7" w:rsidR="00AA1510" w:rsidRDefault="00AA1510" w:rsidP="0084272C">
      <w:pPr>
        <w:pStyle w:val="FootnoteText"/>
        <w:ind w:left="720" w:hanging="720"/>
      </w:pPr>
      <w:r>
        <w:rPr>
          <w:rStyle w:val="FootnoteReference"/>
        </w:rPr>
        <w:footnoteRef/>
      </w:r>
      <w:r>
        <w:t xml:space="preserve"> </w:t>
      </w:r>
      <w:r>
        <w:tab/>
        <w:t xml:space="preserve">Compared to other Northwest states that have modest amounts of small scale renewable energy projects, Washington also has not created conditions that would at least allow IPPs to sell their generation through PURPA.  Despite similarities to Oregon, </w:t>
      </w:r>
      <w:r w:rsidRPr="009F3753">
        <w:t>PacifiCorp’s Washington</w:t>
      </w:r>
      <w:r>
        <w:t xml:space="preserve"> territory</w:t>
      </w:r>
      <w:r w:rsidRPr="009F3753">
        <w:t xml:space="preserve"> has resulted in almost zero QF development and demonstrates that severe rules will drastically limit the opportunity for new QF development</w:t>
      </w:r>
      <w:r>
        <w:t xml:space="preserve">.  </w:t>
      </w:r>
      <w:r w:rsidRPr="00D2355B">
        <w:rPr>
          <w:u w:val="single"/>
        </w:rPr>
        <w:t>See</w:t>
      </w:r>
      <w:r w:rsidRPr="00D2355B">
        <w:t xml:space="preserve"> </w:t>
      </w:r>
      <w:r>
        <w:rPr>
          <w:u w:val="single"/>
        </w:rPr>
        <w:t>WUTC v. Pacific Power</w:t>
      </w:r>
      <w:r>
        <w:t xml:space="preserve">, Docket No. UE-144160, </w:t>
      </w:r>
      <w:r w:rsidRPr="001E5741">
        <w:t>Exhibit 1, List of QFs REDACTED</w:t>
      </w:r>
      <w:r>
        <w:t xml:space="preserve"> (only three Washington QFs with about 4 MW)</w:t>
      </w:r>
      <w:r w:rsidRPr="001E5741">
        <w:t xml:space="preserve">. </w:t>
      </w:r>
      <w:r>
        <w:t xml:space="preserve"> </w:t>
      </w:r>
      <w:r w:rsidRPr="00D2355B">
        <w:t>Washington has a number of significant untapped renewable energy resources that could be developed to benefit utility customers and the local economy if the Commission were to adopt PURPA rules</w:t>
      </w:r>
      <w:r>
        <w:t xml:space="preserve"> more consistent with other Northwest and Intermountain states</w:t>
      </w:r>
      <w:r w:rsidRPr="00D2355B">
        <w:t>.</w:t>
      </w:r>
    </w:p>
  </w:footnote>
  <w:footnote w:id="5">
    <w:p w14:paraId="1708B476" w14:textId="1D99266E" w:rsidR="00AA1510" w:rsidRDefault="00AA1510" w:rsidP="0084272C">
      <w:pPr>
        <w:pStyle w:val="FootnoteText"/>
        <w:ind w:left="720" w:hanging="720"/>
      </w:pPr>
      <w:r>
        <w:rPr>
          <w:rStyle w:val="FootnoteReference"/>
        </w:rPr>
        <w:footnoteRef/>
      </w:r>
      <w:r>
        <w:t xml:space="preserve"> </w:t>
      </w:r>
      <w:r>
        <w:tab/>
      </w:r>
      <w:r w:rsidRPr="00D8172D">
        <w:rPr>
          <w:u w:val="single"/>
        </w:rPr>
        <w:t>Re Repealing, Amending and Adopting Rules in Chapter 480-107 WAC</w:t>
      </w:r>
      <w:r>
        <w:t xml:space="preserve">, Docket No. UE-030423, Notice of Opportunity to File Written Comments and Notice of Workshop, (Apr. 18, 2003).  WUTC contemporaneously considered revising its least cost planning rules in a separate proceeding under Docket No. UE-030311. </w:t>
      </w:r>
    </w:p>
  </w:footnote>
  <w:footnote w:id="6">
    <w:p w14:paraId="43FFDB79" w14:textId="77777777" w:rsidR="00AA1510" w:rsidRDefault="00AA1510" w:rsidP="0084272C">
      <w:pPr>
        <w:pStyle w:val="FootnoteText"/>
        <w:ind w:left="720" w:hanging="720"/>
      </w:pPr>
      <w:r>
        <w:rPr>
          <w:rStyle w:val="FootnoteReference"/>
        </w:rPr>
        <w:footnoteRef/>
      </w:r>
      <w:r>
        <w:tab/>
      </w:r>
      <w:r w:rsidRPr="002D13E4">
        <w:rPr>
          <w:u w:val="single"/>
        </w:rPr>
        <w:t>E.g.</w:t>
      </w:r>
      <w:r>
        <w:t xml:space="preserve">, Cogeneration Coalition of Washington and NIPPC requested the UTC review how utilities impute additional costs on long term PPAs due to debt equivalence and the Commission opted to consider the issue on a “case-by-case” basis instead.   </w:t>
      </w:r>
    </w:p>
  </w:footnote>
  <w:footnote w:id="7">
    <w:p w14:paraId="706CB35D" w14:textId="176408AE" w:rsidR="00AA1510" w:rsidRDefault="00AA1510" w:rsidP="0084272C">
      <w:pPr>
        <w:pStyle w:val="FootnoteText"/>
        <w:ind w:left="720" w:hanging="720"/>
      </w:pPr>
      <w:r>
        <w:rPr>
          <w:rStyle w:val="FootnoteReference"/>
        </w:rPr>
        <w:footnoteRef/>
      </w:r>
      <w:r>
        <w:t xml:space="preserve"> </w:t>
      </w:r>
      <w:r>
        <w:tab/>
      </w:r>
      <w:r w:rsidRPr="00D8172D">
        <w:rPr>
          <w:u w:val="single"/>
        </w:rPr>
        <w:t>Re Repealing, Amending and Adopting Rules in Chapter 480-107 WAC</w:t>
      </w:r>
      <w:r>
        <w:t>, Docket No. UE-030423, Adoption Memorandum at 2 (Feb. 22, 2006).</w:t>
      </w:r>
    </w:p>
  </w:footnote>
  <w:footnote w:id="8">
    <w:p w14:paraId="49938B2C" w14:textId="73ADAFF5" w:rsidR="00AA1510" w:rsidRPr="002F0C57" w:rsidRDefault="00AA1510" w:rsidP="0084272C">
      <w:pPr>
        <w:pStyle w:val="FootnoteText"/>
        <w:ind w:left="720" w:hanging="720"/>
        <w:rPr>
          <w:rStyle w:val="FootnoteReference"/>
        </w:rPr>
      </w:pPr>
      <w:r w:rsidRPr="00CA5A91">
        <w:rPr>
          <w:rStyle w:val="FootnoteReference"/>
        </w:rPr>
        <w:footnoteRef/>
      </w:r>
      <w:r w:rsidRPr="00CA5A91">
        <w:t xml:space="preserve"> </w:t>
      </w:r>
      <w:r>
        <w:tab/>
      </w:r>
      <w:r>
        <w:rPr>
          <w:u w:val="single"/>
        </w:rPr>
        <w:t>Re</w:t>
      </w:r>
      <w:r w:rsidRPr="00C17CB8">
        <w:rPr>
          <w:u w:val="single"/>
        </w:rPr>
        <w:t xml:space="preserve"> the Commission</w:t>
      </w:r>
      <w:r>
        <w:rPr>
          <w:u w:val="single"/>
        </w:rPr>
        <w:t>’s</w:t>
      </w:r>
      <w:r w:rsidRPr="00C17CB8">
        <w:rPr>
          <w:u w:val="single"/>
        </w:rPr>
        <w:t xml:space="preserve"> Notice of Inquiry: Examining Regulation of Elec. Utils. in the Face of Competition in the Elec. Indus</w:t>
      </w:r>
      <w:r>
        <w:rPr>
          <w:u w:val="single"/>
        </w:rPr>
        <w:t>.</w:t>
      </w:r>
      <w:r>
        <w:t>, Docket No. UE-940932, Policy Statement- Guiding Principles for Regulation in an Evolving Elec. Indus. at 1 (Dec. 13, 1995).</w:t>
      </w:r>
    </w:p>
  </w:footnote>
  <w:footnote w:id="9">
    <w:p w14:paraId="3C4EE523" w14:textId="14432783" w:rsidR="00AA1510" w:rsidRDefault="00AA1510" w:rsidP="0084272C">
      <w:pPr>
        <w:pStyle w:val="FootnoteText"/>
        <w:ind w:left="720" w:hanging="720"/>
      </w:pPr>
      <w:r>
        <w:rPr>
          <w:rStyle w:val="FootnoteReference"/>
        </w:rPr>
        <w:footnoteRef/>
      </w:r>
      <w:r>
        <w:t xml:space="preserve"> </w:t>
      </w:r>
      <w:r>
        <w:tab/>
      </w:r>
      <w:r w:rsidRPr="00716AAC">
        <w:rPr>
          <w:smallCaps/>
        </w:rPr>
        <w:t>Wash. Const</w:t>
      </w:r>
      <w:r>
        <w:t xml:space="preserve">. art I § 12; </w:t>
      </w:r>
      <w:r w:rsidRPr="00716AAC">
        <w:rPr>
          <w:u w:val="single"/>
        </w:rPr>
        <w:t>id.</w:t>
      </w:r>
      <w:r>
        <w:t xml:space="preserve"> art XII § 22.</w:t>
      </w:r>
    </w:p>
  </w:footnote>
  <w:footnote w:id="10">
    <w:p w14:paraId="111FE29A" w14:textId="26EBBC7E" w:rsidR="00AA1510" w:rsidRDefault="00AA1510" w:rsidP="0084272C">
      <w:pPr>
        <w:pStyle w:val="FootnoteText"/>
        <w:ind w:left="720" w:hanging="720"/>
      </w:pPr>
      <w:r>
        <w:rPr>
          <w:rStyle w:val="FootnoteReference"/>
        </w:rPr>
        <w:footnoteRef/>
      </w:r>
      <w:r>
        <w:t xml:space="preserve"> </w:t>
      </w:r>
      <w:r>
        <w:tab/>
      </w:r>
      <w:r w:rsidRPr="00A866E6">
        <w:rPr>
          <w:u w:val="single"/>
        </w:rPr>
        <w:t>E.g.</w:t>
      </w:r>
      <w:r>
        <w:t xml:space="preserve">, </w:t>
      </w:r>
      <w:r w:rsidRPr="00DC1DA9">
        <w:rPr>
          <w:u w:val="single"/>
        </w:rPr>
        <w:t>Ventenbergs v. City of Seattle</w:t>
      </w:r>
      <w:r>
        <w:t xml:space="preserve">, </w:t>
      </w:r>
      <w:r w:rsidRPr="00CA1E9C">
        <w:rPr>
          <w:bCs/>
        </w:rPr>
        <w:t>178 P.3d 960, 163 Wash.2d 92 (Wash. 2008).</w:t>
      </w:r>
    </w:p>
  </w:footnote>
  <w:footnote w:id="11">
    <w:p w14:paraId="0F44E818" w14:textId="627103C2" w:rsidR="00AA1510" w:rsidRDefault="00AA1510" w:rsidP="0084272C">
      <w:pPr>
        <w:pStyle w:val="FootnoteText"/>
        <w:ind w:left="720" w:hanging="720"/>
      </w:pPr>
      <w:r>
        <w:rPr>
          <w:rStyle w:val="FootnoteReference"/>
        </w:rPr>
        <w:footnoteRef/>
      </w:r>
      <w:r>
        <w:t xml:space="preserve"> </w:t>
      </w:r>
      <w:r>
        <w:tab/>
        <w:t>RCW 54.48.020.</w:t>
      </w:r>
    </w:p>
  </w:footnote>
  <w:footnote w:id="12">
    <w:p w14:paraId="61889265" w14:textId="7F5D73B2" w:rsidR="00AA1510" w:rsidRPr="005B2E5E" w:rsidRDefault="00AA1510" w:rsidP="0084272C">
      <w:pPr>
        <w:pStyle w:val="FootnoteText"/>
        <w:ind w:left="720" w:hanging="720"/>
        <w:rPr>
          <w:bCs/>
          <w:i/>
        </w:rPr>
      </w:pPr>
      <w:r w:rsidRPr="003A273B">
        <w:rPr>
          <w:rStyle w:val="FootnoteReference"/>
        </w:rPr>
        <w:footnoteRef/>
      </w:r>
      <w:r w:rsidRPr="003A273B">
        <w:t xml:space="preserve"> </w:t>
      </w:r>
      <w:r w:rsidRPr="003A273B">
        <w:tab/>
      </w:r>
      <w:r w:rsidRPr="005B2E5E">
        <w:rPr>
          <w:u w:val="single"/>
        </w:rPr>
        <w:t>E.g.</w:t>
      </w:r>
      <w:r>
        <w:t>,</w:t>
      </w:r>
      <w:r>
        <w:rPr>
          <w:i/>
        </w:rPr>
        <w:t xml:space="preserve"> </w:t>
      </w:r>
      <w:r w:rsidRPr="005B2E5E">
        <w:rPr>
          <w:u w:val="single"/>
        </w:rPr>
        <w:t>Tanner Elec</w:t>
      </w:r>
      <w:r>
        <w:rPr>
          <w:u w:val="single"/>
        </w:rPr>
        <w:t>.</w:t>
      </w:r>
      <w:r w:rsidRPr="005B2E5E">
        <w:rPr>
          <w:u w:val="single"/>
        </w:rPr>
        <w:t xml:space="preserve"> Coop. v. Puget Sound Power &amp; Light Co</w:t>
      </w:r>
      <w:r w:rsidRPr="005038FC">
        <w:rPr>
          <w:i/>
        </w:rPr>
        <w:t xml:space="preserve">., </w:t>
      </w:r>
      <w:r>
        <w:t xml:space="preserve">128 Wash.2d 656, 659-664 (1995); </w:t>
      </w:r>
      <w:r w:rsidRPr="005B2E5E">
        <w:rPr>
          <w:u w:val="single"/>
        </w:rPr>
        <w:t>Walla Walla Country Club v</w:t>
      </w:r>
      <w:r>
        <w:rPr>
          <w:u w:val="single"/>
        </w:rPr>
        <w:t>.</w:t>
      </w:r>
      <w:r w:rsidRPr="005B2E5E">
        <w:rPr>
          <w:u w:val="single"/>
        </w:rPr>
        <w:t xml:space="preserve"> Pacific Power &amp; Light Co</w:t>
      </w:r>
      <w:r>
        <w:rPr>
          <w:u w:val="single"/>
        </w:rPr>
        <w:t>.</w:t>
      </w:r>
      <w:r>
        <w:t>, Docket No. UE-</w:t>
      </w:r>
      <w:r w:rsidRPr="007C5155">
        <w:t>143932</w:t>
      </w:r>
      <w:r>
        <w:t xml:space="preserve">, Order No. 03 at ¶¶ 7-8, 25, 34 (Jan. 15, 2016) </w:t>
      </w:r>
      <w:r w:rsidRPr="00B62A2A">
        <w:rPr>
          <w:u w:val="single"/>
        </w:rPr>
        <w:t>affirmed</w:t>
      </w:r>
      <w:r>
        <w:t xml:space="preserve"> </w:t>
      </w:r>
      <w:r w:rsidRPr="00B62A2A">
        <w:rPr>
          <w:u w:val="single"/>
        </w:rPr>
        <w:t>Walla Walla Country Club v</w:t>
      </w:r>
      <w:r>
        <w:rPr>
          <w:u w:val="single"/>
        </w:rPr>
        <w:t>.</w:t>
      </w:r>
      <w:r w:rsidRPr="00B62A2A">
        <w:rPr>
          <w:u w:val="single"/>
        </w:rPr>
        <w:t xml:space="preserve"> Pacific Power &amp; Light Co.</w:t>
      </w:r>
      <w:r w:rsidRPr="00B62A2A">
        <w:t xml:space="preserve">, </w:t>
      </w:r>
      <w:r>
        <w:t>Docket No. UE</w:t>
      </w:r>
      <w:r w:rsidRPr="00B62A2A">
        <w:t>-143932</w:t>
      </w:r>
      <w:r>
        <w:t xml:space="preserve">, Order No. 05 (May 5, 2016) (The Commission rejected PacifiCorp’s attempt to impose </w:t>
      </w:r>
      <w:r w:rsidRPr="008352B2">
        <w:t>unlawful charges</w:t>
      </w:r>
      <w:r>
        <w:t xml:space="preserve"> to prevent a customer from switching electric service to Columbia Rural Electric Association).</w:t>
      </w:r>
      <w:r w:rsidRPr="005B2E5E">
        <w:rPr>
          <w:bCs/>
          <w:i/>
        </w:rPr>
        <w:t xml:space="preserve"> </w:t>
      </w:r>
      <w:r w:rsidRPr="003A273B">
        <w:t xml:space="preserve"> </w:t>
      </w:r>
    </w:p>
  </w:footnote>
  <w:footnote w:id="13">
    <w:p w14:paraId="4F6516F0" w14:textId="6FC55210" w:rsidR="00AA1510" w:rsidRPr="003A273B" w:rsidRDefault="00AA1510" w:rsidP="0084272C">
      <w:pPr>
        <w:pStyle w:val="FootnoteText"/>
        <w:ind w:left="720" w:hanging="720"/>
      </w:pPr>
      <w:r w:rsidRPr="003A273B">
        <w:rPr>
          <w:rStyle w:val="FootnoteReference"/>
        </w:rPr>
        <w:footnoteRef/>
      </w:r>
      <w:r w:rsidRPr="003A273B">
        <w:t xml:space="preserve"> </w:t>
      </w:r>
      <w:r w:rsidRPr="003A273B">
        <w:tab/>
        <w:t>Showalter, M</w:t>
      </w:r>
      <w:r>
        <w:t>.</w:t>
      </w:r>
      <w:r w:rsidRPr="003A273B">
        <w:t>, Buying and Selling Electric Power in the Northwest, 1, 4 (2000).</w:t>
      </w:r>
    </w:p>
  </w:footnote>
  <w:footnote w:id="14">
    <w:p w14:paraId="742DE4C1" w14:textId="30120751" w:rsidR="00AA1510" w:rsidRDefault="00AA1510" w:rsidP="0084272C">
      <w:pPr>
        <w:pStyle w:val="FootnoteText"/>
        <w:ind w:left="720" w:hanging="720"/>
      </w:pPr>
      <w:r>
        <w:rPr>
          <w:rStyle w:val="FootnoteReference"/>
        </w:rPr>
        <w:footnoteRef/>
      </w:r>
      <w:r>
        <w:t xml:space="preserve"> </w:t>
      </w:r>
      <w:r>
        <w:tab/>
      </w:r>
      <w:r w:rsidRPr="004E5704">
        <w:rPr>
          <w:u w:val="single"/>
        </w:rPr>
        <w:t>See</w:t>
      </w:r>
      <w:r>
        <w:t xml:space="preserve"> </w:t>
      </w:r>
      <w:r w:rsidRPr="0003706E">
        <w:rPr>
          <w:u w:val="single"/>
        </w:rPr>
        <w:t>Fed</w:t>
      </w:r>
      <w:r>
        <w:rPr>
          <w:u w:val="single"/>
        </w:rPr>
        <w:t>.</w:t>
      </w:r>
      <w:r w:rsidRPr="0003706E">
        <w:rPr>
          <w:u w:val="single"/>
        </w:rPr>
        <w:t xml:space="preserve"> Energy Regulatory Comm’n v. Am</w:t>
      </w:r>
      <w:r>
        <w:rPr>
          <w:u w:val="single"/>
        </w:rPr>
        <w:t>.</w:t>
      </w:r>
      <w:r w:rsidRPr="0003706E">
        <w:rPr>
          <w:u w:val="single"/>
        </w:rPr>
        <w:t xml:space="preserve"> Elec. Power Serv. Ass’n</w:t>
      </w:r>
      <w:r w:rsidRPr="0003706E">
        <w:t xml:space="preserve">, 461 U.S. 402, 404 (1983).  </w:t>
      </w:r>
    </w:p>
  </w:footnote>
  <w:footnote w:id="15">
    <w:p w14:paraId="1FADABB6" w14:textId="3EAF881E" w:rsidR="00AA1510" w:rsidRDefault="00AA1510" w:rsidP="0084272C">
      <w:pPr>
        <w:pStyle w:val="FootnoteText"/>
        <w:ind w:left="720" w:hanging="720"/>
      </w:pPr>
      <w:r>
        <w:rPr>
          <w:rStyle w:val="FootnoteReference"/>
        </w:rPr>
        <w:footnoteRef/>
      </w:r>
      <w:r>
        <w:t xml:space="preserve"> </w:t>
      </w:r>
      <w:r>
        <w:tab/>
      </w:r>
      <w:r w:rsidRPr="00266B59">
        <w:rPr>
          <w:u w:val="single"/>
        </w:rPr>
        <w:t>See</w:t>
      </w:r>
      <w:r>
        <w:t xml:space="preserve"> </w:t>
      </w:r>
      <w:r w:rsidRPr="0003706E">
        <w:rPr>
          <w:u w:val="single"/>
        </w:rPr>
        <w:t>Fed</w:t>
      </w:r>
      <w:r>
        <w:rPr>
          <w:u w:val="single"/>
        </w:rPr>
        <w:t>.</w:t>
      </w:r>
      <w:r w:rsidRPr="0003706E">
        <w:rPr>
          <w:u w:val="single"/>
        </w:rPr>
        <w:t xml:space="preserve"> Energy Regulatory Comm’n v. Mississippi</w:t>
      </w:r>
      <w:r w:rsidRPr="0003706E">
        <w:t xml:space="preserve">, 456 U.S. 742, 750-51 (1982).  </w:t>
      </w:r>
    </w:p>
  </w:footnote>
  <w:footnote w:id="16">
    <w:p w14:paraId="64A138A9" w14:textId="188E29A5" w:rsidR="00AA1510" w:rsidRDefault="00AA1510" w:rsidP="0084272C">
      <w:pPr>
        <w:pStyle w:val="FootnoteText"/>
        <w:ind w:left="720" w:hanging="720"/>
      </w:pPr>
      <w:r>
        <w:rPr>
          <w:rStyle w:val="FootnoteReference"/>
        </w:rPr>
        <w:footnoteRef/>
      </w:r>
      <w:r>
        <w:t xml:space="preserve"> </w:t>
      </w:r>
      <w:r>
        <w:tab/>
        <w:t xml:space="preserve">Jim Lazar, </w:t>
      </w:r>
      <w:r w:rsidRPr="00EB13AA">
        <w:t>The Regulatory Assistance Project</w:t>
      </w:r>
      <w:r>
        <w:t xml:space="preserve">, </w:t>
      </w:r>
      <w:r w:rsidRPr="00EB13AA">
        <w:rPr>
          <w:u w:val="single"/>
        </w:rPr>
        <w:t>Electricit</w:t>
      </w:r>
      <w:r>
        <w:rPr>
          <w:u w:val="single"/>
        </w:rPr>
        <w:t>y Regulation in the US: A Guide</w:t>
      </w:r>
      <w:r w:rsidRPr="004E5704">
        <w:t xml:space="preserve"> </w:t>
      </w:r>
      <w:r>
        <w:t>at 3.5 (</w:t>
      </w:r>
      <w:r w:rsidRPr="004E5704">
        <w:t xml:space="preserve">2nd </w:t>
      </w:r>
      <w:r>
        <w:t>e</w:t>
      </w:r>
      <w:r w:rsidRPr="00241FE4">
        <w:t>d.</w:t>
      </w:r>
      <w:r>
        <w:t xml:space="preserve"> </w:t>
      </w:r>
      <w:r w:rsidRPr="00762961">
        <w:t>2016)</w:t>
      </w:r>
      <w:r w:rsidRPr="00EB13AA">
        <w:t>.</w:t>
      </w:r>
    </w:p>
  </w:footnote>
  <w:footnote w:id="17">
    <w:p w14:paraId="1807998B" w14:textId="7F9744C1" w:rsidR="00AA1510" w:rsidRDefault="00AA1510" w:rsidP="0084272C">
      <w:pPr>
        <w:pStyle w:val="FootnoteText"/>
        <w:ind w:left="720" w:hanging="720"/>
      </w:pPr>
      <w:r>
        <w:rPr>
          <w:rStyle w:val="FootnoteReference"/>
        </w:rPr>
        <w:footnoteRef/>
      </w:r>
      <w:r>
        <w:t xml:space="preserve"> </w:t>
      </w:r>
      <w:r>
        <w:tab/>
      </w:r>
      <w:r w:rsidRPr="004E1C3B">
        <w:rPr>
          <w:szCs w:val="20"/>
          <w:u w:val="single"/>
        </w:rPr>
        <w:t>See</w:t>
      </w:r>
      <w:r w:rsidRPr="00CC141E">
        <w:t xml:space="preserve"> </w:t>
      </w:r>
      <w:r>
        <w:rPr>
          <w:u w:val="single"/>
        </w:rPr>
        <w:t>e.g.</w:t>
      </w:r>
      <w:r w:rsidRPr="00241FE4">
        <w:t>,</w:t>
      </w:r>
      <w:r>
        <w:t xml:space="preserve"> Northwest Power and Conservation Council, Seventh Northwest Power Plan, at 2-4 (May 2016) (“</w:t>
      </w:r>
      <w:r w:rsidRPr="00393BF4">
        <w:t>Spot market prices for wholesale power continue to be quite low, due to increasing penetration of renewable resources with low variable operating costs and low natural gas prices, and do not provide an accurate representation of the</w:t>
      </w:r>
      <w:r>
        <w:t xml:space="preserve"> avoided cost of new resources.”); </w:t>
      </w:r>
      <w:r w:rsidRPr="00CC141E">
        <w:rPr>
          <w:u w:val="single"/>
        </w:rPr>
        <w:t>id.</w:t>
      </w:r>
      <w:r>
        <w:t xml:space="preserve"> at 2-7 (“Increasingly, because of its low prices and apparent adequate supplies, natural gas-fired generation is displacing coal-fired generation.”).</w:t>
      </w:r>
    </w:p>
  </w:footnote>
  <w:footnote w:id="18">
    <w:p w14:paraId="6710F209" w14:textId="77777777" w:rsidR="00AA1510" w:rsidRPr="001C76DC" w:rsidRDefault="00AA1510" w:rsidP="0084272C">
      <w:pPr>
        <w:pStyle w:val="FootnoteText"/>
        <w:ind w:left="720" w:hanging="720"/>
        <w:rPr>
          <w:lang w:val="da-DK"/>
        </w:rPr>
      </w:pPr>
      <w:r>
        <w:rPr>
          <w:rStyle w:val="FootnoteReference"/>
        </w:rPr>
        <w:footnoteRef/>
      </w:r>
      <w:r w:rsidRPr="001C76DC">
        <w:rPr>
          <w:lang w:val="da-DK"/>
        </w:rPr>
        <w:t xml:space="preserve"> </w:t>
      </w:r>
      <w:r w:rsidRPr="001C76DC">
        <w:rPr>
          <w:lang w:val="da-DK"/>
        </w:rPr>
        <w:tab/>
        <w:t xml:space="preserve">PSE 2015 IRP at G-4; </w:t>
      </w:r>
    </w:p>
  </w:footnote>
  <w:footnote w:id="19">
    <w:p w14:paraId="7C81234D" w14:textId="65C9D3BD" w:rsidR="00AA1510" w:rsidRPr="001C76DC" w:rsidRDefault="00AA1510" w:rsidP="0084272C">
      <w:pPr>
        <w:pStyle w:val="FootnoteText"/>
        <w:ind w:left="720" w:hanging="720"/>
        <w:rPr>
          <w:lang w:val="da-DK"/>
        </w:rPr>
      </w:pPr>
      <w:r>
        <w:rPr>
          <w:rStyle w:val="FootnoteReference"/>
        </w:rPr>
        <w:footnoteRef/>
      </w:r>
      <w:r w:rsidRPr="001C76DC">
        <w:rPr>
          <w:lang w:val="da-DK"/>
        </w:rPr>
        <w:t xml:space="preserve"> </w:t>
      </w:r>
      <w:r w:rsidRPr="001C76DC">
        <w:rPr>
          <w:lang w:val="da-DK"/>
        </w:rPr>
        <w:tab/>
      </w:r>
      <w:r w:rsidRPr="001C76DC">
        <w:rPr>
          <w:u w:val="single"/>
          <w:lang w:val="da-DK"/>
        </w:rPr>
        <w:t>Id.</w:t>
      </w:r>
      <w:r w:rsidRPr="001C76DC">
        <w:rPr>
          <w:lang w:val="da-DK"/>
        </w:rPr>
        <w:t xml:space="preserve"> at G-1.</w:t>
      </w:r>
    </w:p>
  </w:footnote>
  <w:footnote w:id="20">
    <w:p w14:paraId="5DB1B1DA" w14:textId="6935AD47" w:rsidR="00AA1510" w:rsidRDefault="00AA1510" w:rsidP="0084272C">
      <w:pPr>
        <w:pStyle w:val="FootnoteText"/>
        <w:ind w:left="720" w:hanging="720"/>
      </w:pPr>
      <w:r>
        <w:rPr>
          <w:rStyle w:val="FootnoteReference"/>
        </w:rPr>
        <w:footnoteRef/>
      </w:r>
      <w:r>
        <w:t xml:space="preserve"> </w:t>
      </w:r>
      <w:r>
        <w:tab/>
      </w:r>
      <w:r w:rsidRPr="00CC141E">
        <w:rPr>
          <w:u w:val="single"/>
        </w:rPr>
        <w:t>Id.</w:t>
      </w:r>
      <w:r>
        <w:t xml:space="preserve">; </w:t>
      </w:r>
      <w:r w:rsidRPr="00CC141E">
        <w:rPr>
          <w:u w:val="single"/>
        </w:rPr>
        <w:t>see</w:t>
      </w:r>
      <w:r>
        <w:t xml:space="preserve"> PacifiCorp 2015 IRP at 2 (PacifiCorp claims that the least cost and risk plan is to continue to meet its near term resource needs with market purchases). T</w:t>
      </w:r>
      <w:r w:rsidRPr="009A288D">
        <w:t>his ends up being a squeeze play on IPPs, as they are not perm</w:t>
      </w:r>
      <w:r>
        <w:t>itted to “play” in the CAISO energy imbalance market</w:t>
      </w:r>
      <w:r w:rsidRPr="009A288D">
        <w:t xml:space="preserve"> (not being BAs), an</w:t>
      </w:r>
      <w:r>
        <w:t>d yet, are cost-effective to PacifiCorp</w:t>
      </w:r>
      <w:r w:rsidRPr="009A288D">
        <w:t>, when deeply discounted in one of the markets they can play in, i.e., spot market</w:t>
      </w:r>
      <w:r>
        <w:t>.</w:t>
      </w:r>
    </w:p>
  </w:footnote>
  <w:footnote w:id="21">
    <w:p w14:paraId="4860D618" w14:textId="3F4FC88E" w:rsidR="00AA1510" w:rsidRDefault="00AA1510" w:rsidP="0084272C">
      <w:pPr>
        <w:pStyle w:val="FootnoteText"/>
        <w:ind w:left="720" w:hanging="720"/>
      </w:pPr>
      <w:r>
        <w:rPr>
          <w:rStyle w:val="FootnoteReference"/>
        </w:rPr>
        <w:footnoteRef/>
      </w:r>
      <w:r>
        <w:t xml:space="preserve"> </w:t>
      </w:r>
      <w:r>
        <w:tab/>
        <w:t>These comments refer to Pacific Power &amp; Light Co. as PacifiCorp for the sake of convenience, because the comments refer to both Washington operations (which are under the name Pacific Power &amp; Light Co.) and the company’s other operations (which are under the name PacifiCorp, or sometimes Rocky Mountain Power).</w:t>
      </w:r>
    </w:p>
  </w:footnote>
  <w:footnote w:id="22">
    <w:p w14:paraId="01B13D2B" w14:textId="076C5AE1" w:rsidR="00AA1510" w:rsidRPr="005B22E9" w:rsidRDefault="00AA1510" w:rsidP="0084272C">
      <w:pPr>
        <w:pStyle w:val="FootnoteText"/>
        <w:ind w:left="720" w:hanging="720"/>
      </w:pPr>
      <w:r>
        <w:rPr>
          <w:rStyle w:val="FootnoteReference"/>
        </w:rPr>
        <w:footnoteRef/>
      </w:r>
      <w:r>
        <w:t xml:space="preserve"> </w:t>
      </w:r>
      <w:r>
        <w:tab/>
      </w:r>
      <w:r w:rsidRPr="00FC0E70">
        <w:rPr>
          <w:u w:val="single"/>
        </w:rPr>
        <w:t>E.g.</w:t>
      </w:r>
      <w:r w:rsidRPr="00D760B7">
        <w:t xml:space="preserve">, </w:t>
      </w:r>
      <w:r w:rsidRPr="00FC0E70">
        <w:rPr>
          <w:u w:val="single"/>
        </w:rPr>
        <w:t>People’s Org</w:t>
      </w:r>
      <w:r>
        <w:rPr>
          <w:u w:val="single"/>
        </w:rPr>
        <w:t>.</w:t>
      </w:r>
      <w:r w:rsidRPr="00FC0E70">
        <w:rPr>
          <w:u w:val="single"/>
        </w:rPr>
        <w:t xml:space="preserve"> for Wash</w:t>
      </w:r>
      <w:r>
        <w:rPr>
          <w:u w:val="single"/>
        </w:rPr>
        <w:t>.</w:t>
      </w:r>
      <w:r w:rsidRPr="00FC0E70">
        <w:rPr>
          <w:u w:val="single"/>
        </w:rPr>
        <w:t xml:space="preserve"> Energy Res</w:t>
      </w:r>
      <w:r>
        <w:rPr>
          <w:u w:val="single"/>
        </w:rPr>
        <w:t>.</w:t>
      </w:r>
      <w:r w:rsidRPr="00FC0E70">
        <w:rPr>
          <w:u w:val="single"/>
        </w:rPr>
        <w:t xml:space="preserve"> v. WUTC</w:t>
      </w:r>
      <w:r>
        <w:t xml:space="preserve">, </w:t>
      </w:r>
      <w:r w:rsidRPr="00FC0E70">
        <w:t>104 W</w:t>
      </w:r>
      <w:r>
        <w:t>ash</w:t>
      </w:r>
      <w:r w:rsidRPr="00FC0E70">
        <w:t>.2d 798</w:t>
      </w:r>
      <w:r>
        <w:t>, 804 (Wash.</w:t>
      </w:r>
      <w:r w:rsidRPr="00FC0E70">
        <w:t xml:space="preserve"> 1985)</w:t>
      </w:r>
      <w:r>
        <w:rPr>
          <w:b/>
        </w:rPr>
        <w:t xml:space="preserve"> </w:t>
      </w:r>
      <w:r>
        <w:t>(“</w:t>
      </w:r>
      <w:r w:rsidRPr="00B86F83">
        <w:t>the WUTC allowed Puget Power to ultimately recover, through rates, $47.5 million rather than Puget Power's full $53.5 million net investment</w:t>
      </w:r>
      <w:r>
        <w:t xml:space="preserve"> [in Pebble Springs]</w:t>
      </w:r>
      <w:r w:rsidRPr="00B86F83">
        <w:t>. The part of the rate increase attributable to Pebble Springs increased the average residential customer</w:t>
      </w:r>
      <w:r>
        <w:t>’</w:t>
      </w:r>
      <w:r w:rsidRPr="00B86F83">
        <w:t>s monthly billing by $1.12.</w:t>
      </w:r>
      <w:r>
        <w:t xml:space="preserve">”); </w:t>
      </w:r>
      <w:r>
        <w:rPr>
          <w:u w:val="single"/>
        </w:rPr>
        <w:t>Gearhart v. Pub. Util. Comm’</w:t>
      </w:r>
      <w:r w:rsidRPr="00FC0E70">
        <w:rPr>
          <w:u w:val="single"/>
        </w:rPr>
        <w:t>n of Or.</w:t>
      </w:r>
      <w:r>
        <w:t xml:space="preserve">, 339 P.3d 904, 356 Or., 216 (Or. </w:t>
      </w:r>
      <w:r w:rsidRPr="00E25ACD">
        <w:t>2014)</w:t>
      </w:r>
      <w:r>
        <w:t xml:space="preserve"> (the OPUC allowed a return of, but not a return on Trojan’s costs and PGE’s capital investment).</w:t>
      </w:r>
    </w:p>
  </w:footnote>
  <w:footnote w:id="23">
    <w:p w14:paraId="769A1D6B" w14:textId="7F9A151E" w:rsidR="00AA1510" w:rsidRDefault="00AA1510" w:rsidP="0084272C">
      <w:pPr>
        <w:pStyle w:val="FootnoteText"/>
        <w:ind w:left="720" w:hanging="720"/>
      </w:pPr>
      <w:r>
        <w:rPr>
          <w:rStyle w:val="FootnoteReference"/>
        </w:rPr>
        <w:footnoteRef/>
      </w:r>
      <w:r w:rsidRPr="007D4A8D">
        <w:rPr>
          <w:color w:val="FFFFFF" w:themeColor="background1"/>
          <w:sz w:val="22"/>
          <w:szCs w:val="22"/>
        </w:rPr>
        <w:t>…….</w:t>
      </w:r>
      <w:r>
        <w:t xml:space="preserve">Ted Sickinger, </w:t>
      </w:r>
      <w:r w:rsidRPr="00241FE4">
        <w:rPr>
          <w:u w:val="single"/>
        </w:rPr>
        <w:t>Despite acrimony and accusations, PGE’s bid process doesn’t need investigating, regulators decide</w:t>
      </w:r>
      <w:r>
        <w:rPr>
          <w:i/>
        </w:rPr>
        <w:t xml:space="preserve">, </w:t>
      </w:r>
      <w:r>
        <w:rPr>
          <w:smallCaps/>
        </w:rPr>
        <w:t>The Oregonian</w:t>
      </w:r>
      <w:r>
        <w:t xml:space="preserve"> (Sep. 20, 2013), </w:t>
      </w:r>
      <w:r w:rsidRPr="00D411AA">
        <w:t>http://www.oregonlive.com/business/index.ssf/2013/09/explanation_of_portland_genera.html</w:t>
      </w:r>
      <w:r>
        <w:t xml:space="preserve">; Ted Sickinger, </w:t>
      </w:r>
      <w:r w:rsidRPr="00241FE4">
        <w:rPr>
          <w:u w:val="single"/>
        </w:rPr>
        <w:t>Construction halts at PGE’s new gas plant in Boardman</w:t>
      </w:r>
      <w:r>
        <w:rPr>
          <w:i/>
        </w:rPr>
        <w:t xml:space="preserve">, </w:t>
      </w:r>
      <w:r>
        <w:rPr>
          <w:smallCaps/>
        </w:rPr>
        <w:t xml:space="preserve">The Oregonian </w:t>
      </w:r>
      <w:r>
        <w:t xml:space="preserve">(Dec. 17, 2015), </w:t>
      </w:r>
      <w:r w:rsidRPr="00D411AA">
        <w:t>http://www.oregonlive.com/business/index.ssf/2015/12/construction_halts_at_pges_new.html</w:t>
      </w:r>
      <w:r>
        <w:t>.</w:t>
      </w:r>
    </w:p>
  </w:footnote>
  <w:footnote w:id="24">
    <w:p w14:paraId="4CA69CB9" w14:textId="3E0405D1" w:rsidR="00AA1510" w:rsidRDefault="00AA1510" w:rsidP="0084272C">
      <w:pPr>
        <w:pStyle w:val="FootnoteText"/>
        <w:ind w:left="720" w:hanging="720"/>
      </w:pPr>
      <w:r>
        <w:rPr>
          <w:rStyle w:val="FootnoteReference"/>
        </w:rPr>
        <w:footnoteRef/>
      </w:r>
      <w:r>
        <w:t xml:space="preserve"> </w:t>
      </w:r>
      <w:r>
        <w:tab/>
      </w:r>
      <w:r w:rsidRPr="006E6DCD">
        <w:rPr>
          <w:u w:val="single"/>
        </w:rPr>
        <w:t>Re P</w:t>
      </w:r>
      <w:r>
        <w:rPr>
          <w:u w:val="single"/>
        </w:rPr>
        <w:t>GE Application for</w:t>
      </w:r>
      <w:r w:rsidRPr="006E6DCD">
        <w:rPr>
          <w:u w:val="single"/>
        </w:rPr>
        <w:t xml:space="preserve"> Deferral of Incremental Revenue Requirement Associated with the Carty Generating Station</w:t>
      </w:r>
      <w:r>
        <w:t>, OPUC Docket No. UM 1791, PGE Application at 2 (July 29, 2016).</w:t>
      </w:r>
      <w:r w:rsidRPr="00B31B20">
        <w:t xml:space="preserve"> </w:t>
      </w:r>
    </w:p>
  </w:footnote>
  <w:footnote w:id="25">
    <w:p w14:paraId="2ED735AE" w14:textId="1E080A94" w:rsidR="00AA1510" w:rsidRPr="0045205D" w:rsidRDefault="00AA1510" w:rsidP="0084272C">
      <w:pPr>
        <w:pStyle w:val="FootnoteText"/>
        <w:ind w:left="720" w:hanging="720"/>
      </w:pPr>
      <w:r>
        <w:rPr>
          <w:rStyle w:val="FootnoteReference"/>
        </w:rPr>
        <w:footnoteRef/>
      </w:r>
      <w:r>
        <w:t xml:space="preserve"> </w:t>
      </w:r>
      <w:r>
        <w:tab/>
      </w:r>
      <w:r>
        <w:rPr>
          <w:u w:val="single"/>
        </w:rPr>
        <w:t>WUTC v. PSE</w:t>
      </w:r>
      <w:r>
        <w:t>, Docket Nos. UE-111048 and UG-111049 (consolidated), Order No. 08 at ¶ 378 (May 7, 2012).</w:t>
      </w:r>
    </w:p>
  </w:footnote>
  <w:footnote w:id="26">
    <w:p w14:paraId="11333133" w14:textId="26A83B44" w:rsidR="00AA1510" w:rsidRDefault="00AA1510" w:rsidP="0084272C">
      <w:pPr>
        <w:pStyle w:val="FootnoteText"/>
        <w:ind w:left="720" w:hanging="720"/>
      </w:pPr>
      <w:r>
        <w:rPr>
          <w:rStyle w:val="FootnoteReference"/>
        </w:rPr>
        <w:footnoteRef/>
      </w:r>
      <w:r w:rsidRPr="001C76DC">
        <w:rPr>
          <w:lang w:val="sv-SE"/>
        </w:rPr>
        <w:t xml:space="preserve"> </w:t>
      </w:r>
      <w:r w:rsidRPr="001C76DC">
        <w:rPr>
          <w:lang w:val="sv-SE"/>
        </w:rPr>
        <w:tab/>
      </w:r>
      <w:r>
        <w:rPr>
          <w:u w:val="single"/>
          <w:lang w:val="sv-SE"/>
        </w:rPr>
        <w:t>Id.</w:t>
      </w:r>
      <w:r w:rsidRPr="00A7547D">
        <w:t xml:space="preserve"> at ¶</w:t>
      </w:r>
      <w:r>
        <w:t>¶ 379, 385-87</w:t>
      </w:r>
      <w:r w:rsidRPr="00A7547D">
        <w:t>.</w:t>
      </w:r>
    </w:p>
  </w:footnote>
  <w:footnote w:id="27">
    <w:p w14:paraId="2162FBDD" w14:textId="26FE0AE0" w:rsidR="00AA1510" w:rsidRDefault="00AA1510" w:rsidP="0084272C">
      <w:pPr>
        <w:pStyle w:val="FootnoteText"/>
        <w:ind w:left="720" w:hanging="720"/>
      </w:pPr>
      <w:r>
        <w:rPr>
          <w:rStyle w:val="FootnoteReference"/>
        </w:rPr>
        <w:footnoteRef/>
      </w:r>
      <w:r>
        <w:t xml:space="preserve"> </w:t>
      </w:r>
      <w:r>
        <w:tab/>
      </w:r>
      <w:r>
        <w:rPr>
          <w:u w:val="single"/>
        </w:rPr>
        <w:t>Id.</w:t>
      </w:r>
      <w:r>
        <w:t xml:space="preserve"> at </w:t>
      </w:r>
      <w:r w:rsidRPr="00A7547D">
        <w:t>¶</w:t>
      </w:r>
      <w:r>
        <w:t>¶ 300-329.  The Commission received 778 public comments on PSE’s rate increase proposal—733 opposed, three in favor, and 42 undecided.</w:t>
      </w:r>
    </w:p>
  </w:footnote>
  <w:footnote w:id="28">
    <w:p w14:paraId="73F334F6" w14:textId="61B73A9B" w:rsidR="00AA1510" w:rsidRDefault="00AA1510" w:rsidP="0084272C">
      <w:pPr>
        <w:pStyle w:val="FootnoteText"/>
        <w:ind w:left="720" w:hanging="720"/>
      </w:pPr>
      <w:r>
        <w:rPr>
          <w:rStyle w:val="FootnoteReference"/>
        </w:rPr>
        <w:footnoteRef/>
      </w:r>
      <w:r w:rsidRPr="001C76DC">
        <w:rPr>
          <w:lang w:val="sv-SE"/>
        </w:rPr>
        <w:t xml:space="preserve"> </w:t>
      </w:r>
      <w:r w:rsidRPr="001C76DC">
        <w:rPr>
          <w:lang w:val="sv-SE"/>
        </w:rPr>
        <w:tab/>
      </w:r>
      <w:r>
        <w:rPr>
          <w:u w:val="single"/>
        </w:rPr>
        <w:t>WUTC v. PSE</w:t>
      </w:r>
      <w:r>
        <w:t xml:space="preserve">, Docket Nos. UE-111048 and UG-111049 (consolidated), Order No. 08 </w:t>
      </w:r>
      <w:r w:rsidRPr="00373533">
        <w:t xml:space="preserve">at ¶¶ </w:t>
      </w:r>
      <w:r>
        <w:t>411, 418</w:t>
      </w:r>
      <w:r w:rsidRPr="00373533">
        <w:t xml:space="preserve"> (May 7, 2012).</w:t>
      </w:r>
    </w:p>
  </w:footnote>
  <w:footnote w:id="29">
    <w:p w14:paraId="43637272" w14:textId="779BD6B4" w:rsidR="00AA1510" w:rsidRDefault="00AA1510" w:rsidP="0084272C">
      <w:pPr>
        <w:pStyle w:val="FootnoteText"/>
        <w:ind w:left="720" w:hanging="720"/>
      </w:pPr>
      <w:r>
        <w:rPr>
          <w:rStyle w:val="FootnoteReference"/>
        </w:rPr>
        <w:footnoteRef/>
      </w:r>
      <w:r>
        <w:t xml:space="preserve"> </w:t>
      </w:r>
      <w:r>
        <w:tab/>
      </w:r>
      <w:r w:rsidRPr="00CC141E">
        <w:rPr>
          <w:u w:val="single"/>
        </w:rPr>
        <w:t>Re CUP 012609 Lower Snake River Wind Energy Project</w:t>
      </w:r>
      <w:r>
        <w:t xml:space="preserve">, Hearing Examiner Decision (Nov. 25, 2009) available at: </w:t>
      </w:r>
      <w:r w:rsidRPr="00F55A58">
        <w:t>http://www.co.garfield.wa.us/planning/lower-snake-river-project</w:t>
      </w:r>
      <w:r>
        <w:t>.</w:t>
      </w:r>
    </w:p>
  </w:footnote>
  <w:footnote w:id="30">
    <w:p w14:paraId="592A57AE" w14:textId="3C38E836" w:rsidR="00AA1510" w:rsidRDefault="00AA1510" w:rsidP="0084272C">
      <w:pPr>
        <w:pStyle w:val="FootnoteText"/>
        <w:ind w:left="720" w:hanging="720"/>
      </w:pPr>
      <w:r>
        <w:rPr>
          <w:rStyle w:val="FootnoteReference"/>
        </w:rPr>
        <w:footnoteRef/>
      </w:r>
      <w:r>
        <w:t xml:space="preserve"> </w:t>
      </w:r>
      <w:r>
        <w:tab/>
      </w:r>
      <w:r w:rsidRPr="00CC141E">
        <w:rPr>
          <w:u w:val="single"/>
        </w:rPr>
        <w:t>Re P</w:t>
      </w:r>
      <w:r>
        <w:rPr>
          <w:u w:val="single"/>
        </w:rPr>
        <w:t>GE</w:t>
      </w:r>
      <w:r w:rsidRPr="00CC141E">
        <w:rPr>
          <w:u w:val="single"/>
        </w:rPr>
        <w:t xml:space="preserve"> Request for General Rate Revision</w:t>
      </w:r>
      <w:r>
        <w:t xml:space="preserve">, OPUC Docket No. UE 283, Order No. 14-422 at 8 (Dec. 4, 2014); </w:t>
      </w:r>
      <w:r w:rsidRPr="00CC141E">
        <w:rPr>
          <w:u w:val="single"/>
        </w:rPr>
        <w:t>Re P</w:t>
      </w:r>
      <w:r>
        <w:rPr>
          <w:u w:val="single"/>
        </w:rPr>
        <w:t>GE</w:t>
      </w:r>
      <w:r w:rsidRPr="00CC141E">
        <w:rPr>
          <w:u w:val="single"/>
        </w:rPr>
        <w:t xml:space="preserve"> </w:t>
      </w:r>
      <w:r>
        <w:rPr>
          <w:u w:val="single"/>
        </w:rPr>
        <w:t>Renewable Resources Automatic Adjustment Clause</w:t>
      </w:r>
      <w:r>
        <w:t>, OPUC Docket No. UE 288, Order No. 15-129 at 3 (Apr. 15, 2015).</w:t>
      </w:r>
    </w:p>
  </w:footnote>
  <w:footnote w:id="31">
    <w:p w14:paraId="30569972" w14:textId="1F66E0A4" w:rsidR="00AA1510" w:rsidRDefault="00AA1510" w:rsidP="0084272C">
      <w:pPr>
        <w:pStyle w:val="FootnoteText"/>
        <w:ind w:left="720" w:hanging="720"/>
      </w:pPr>
      <w:r>
        <w:rPr>
          <w:rStyle w:val="FootnoteReference"/>
        </w:rPr>
        <w:footnoteRef/>
      </w:r>
      <w:r>
        <w:t xml:space="preserve"> </w:t>
      </w:r>
      <w:r>
        <w:tab/>
      </w:r>
      <w:r w:rsidRPr="00AF4B7D">
        <w:rPr>
          <w:u w:val="single"/>
        </w:rPr>
        <w:t>Compare</w:t>
      </w:r>
      <w:r>
        <w:t xml:space="preserve"> PSE 2017 </w:t>
      </w:r>
      <w:r w:rsidRPr="00FD3AE5">
        <w:t>IRP</w:t>
      </w:r>
      <w:r>
        <w:t xml:space="preserve"> Advisory Group</w:t>
      </w:r>
      <w:r w:rsidRPr="00FD3AE5">
        <w:t xml:space="preserve"> </w:t>
      </w:r>
      <w:r>
        <w:t xml:space="preserve">Presentation at </w:t>
      </w:r>
      <w:r w:rsidRPr="00FD3AE5">
        <w:t xml:space="preserve">17 </w:t>
      </w:r>
      <w:r>
        <w:t xml:space="preserve">(Sept. 26, 2016) </w:t>
      </w:r>
      <w:r w:rsidRPr="00AF4B7D">
        <w:rPr>
          <w:u w:val="single"/>
        </w:rPr>
        <w:t>with</w:t>
      </w:r>
      <w:r>
        <w:t xml:space="preserve"> PGE 2016 IRP Public Meeting Presentation at 123 (July 16, 2015).</w:t>
      </w:r>
    </w:p>
  </w:footnote>
  <w:footnote w:id="32">
    <w:p w14:paraId="48728700" w14:textId="08E469CE" w:rsidR="00AA1510" w:rsidRDefault="00AA1510" w:rsidP="0084272C">
      <w:pPr>
        <w:pStyle w:val="FootnoteText"/>
        <w:ind w:left="720" w:hanging="720"/>
      </w:pPr>
      <w:r>
        <w:rPr>
          <w:rStyle w:val="FootnoteReference"/>
        </w:rPr>
        <w:footnoteRef/>
      </w:r>
      <w:r>
        <w:t xml:space="preserve"> </w:t>
      </w:r>
      <w:r>
        <w:tab/>
      </w:r>
      <w:r w:rsidRPr="00DA7F5B">
        <w:rPr>
          <w:u w:val="single"/>
        </w:rPr>
        <w:t>WUTC v. Avista</w:t>
      </w:r>
      <w:r w:rsidRPr="00AF4B7D">
        <w:t>, Dockets</w:t>
      </w:r>
      <w:r>
        <w:t xml:space="preserve"> Nos. UE-120436</w:t>
      </w:r>
      <w:r w:rsidRPr="00CC141E">
        <w:t xml:space="preserve"> </w:t>
      </w:r>
      <w:r>
        <w:t>and UG-120437</w:t>
      </w:r>
      <w:r w:rsidRPr="00CC141E">
        <w:t xml:space="preserve"> </w:t>
      </w:r>
      <w:r>
        <w:t xml:space="preserve">(consolidated), Order No. 09 at </w:t>
      </w:r>
      <w:r w:rsidRPr="00A7547D">
        <w:t>¶</w:t>
      </w:r>
      <w:r>
        <w:t>¶ 87-329 (Dec. 26, 2012).</w:t>
      </w:r>
    </w:p>
  </w:footnote>
  <w:footnote w:id="33">
    <w:p w14:paraId="6CB1EE34" w14:textId="2E9654F7" w:rsidR="00AA1510" w:rsidRDefault="00AA1510" w:rsidP="0084272C">
      <w:pPr>
        <w:pStyle w:val="FootnoteText"/>
        <w:ind w:left="720" w:hanging="720"/>
      </w:pPr>
      <w:r>
        <w:rPr>
          <w:rStyle w:val="FootnoteReference"/>
        </w:rPr>
        <w:footnoteRef/>
      </w:r>
      <w:r>
        <w:t xml:space="preserve"> </w:t>
      </w:r>
      <w:r>
        <w:tab/>
      </w:r>
      <w:r w:rsidRPr="00AF4B7D">
        <w:rPr>
          <w:u w:val="single"/>
        </w:rPr>
        <w:t xml:space="preserve">Avista 2013 </w:t>
      </w:r>
      <w:r>
        <w:rPr>
          <w:u w:val="single"/>
        </w:rPr>
        <w:t>IRP</w:t>
      </w:r>
      <w:r>
        <w:t xml:space="preserve"> at 2-30, </w:t>
      </w:r>
      <w:r>
        <w:rPr>
          <w:lang w:val="da-DK"/>
        </w:rPr>
        <w:t>A</w:t>
      </w:r>
      <w:r w:rsidRPr="001C76DC">
        <w:rPr>
          <w:lang w:val="da-DK"/>
        </w:rPr>
        <w:t>-</w:t>
      </w:r>
      <w:r>
        <w:t xml:space="preserve">24; </w:t>
      </w:r>
      <w:r w:rsidRPr="008A2046">
        <w:rPr>
          <w:smallCaps/>
        </w:rPr>
        <w:t>Business Wire</w:t>
      </w:r>
      <w:r w:rsidRPr="00766B9C">
        <w:t>, First Wind Secures $210 Million Financing for Palouse Wind Project (Dec. 19, 2011) available at: http://www.businesswire.com/news/home/20111219005194/en/Wind-Secures-210-Million-Financing-Palouse-Wind</w:t>
      </w:r>
      <w:r>
        <w:t>.</w:t>
      </w:r>
    </w:p>
  </w:footnote>
  <w:footnote w:id="34">
    <w:p w14:paraId="5F3E6C6F" w14:textId="3F2C6F4C" w:rsidR="00AA1510" w:rsidRDefault="00AA1510" w:rsidP="0084272C">
      <w:pPr>
        <w:pStyle w:val="FootnoteText"/>
        <w:ind w:left="720" w:hanging="720"/>
      </w:pPr>
      <w:r>
        <w:rPr>
          <w:rStyle w:val="FootnoteReference"/>
        </w:rPr>
        <w:footnoteRef/>
      </w:r>
      <w:r>
        <w:t xml:space="preserve"> </w:t>
      </w:r>
      <w:r>
        <w:tab/>
      </w:r>
      <w:r w:rsidRPr="00CC141E">
        <w:rPr>
          <w:u w:val="single"/>
        </w:rPr>
        <w:t xml:space="preserve">Re Petition of Avista </w:t>
      </w:r>
      <w:r>
        <w:rPr>
          <w:u w:val="single"/>
        </w:rPr>
        <w:t>F</w:t>
      </w:r>
      <w:r w:rsidRPr="00CC141E">
        <w:rPr>
          <w:u w:val="single"/>
        </w:rPr>
        <w:t>or an Accounting Order Authorizing Accounting Treatment</w:t>
      </w:r>
      <w:r w:rsidRPr="00A047EB">
        <w:t xml:space="preserve">, Docket </w:t>
      </w:r>
      <w:r>
        <w:t xml:space="preserve">No. </w:t>
      </w:r>
      <w:r w:rsidRPr="00A047EB">
        <w:t>UE-130536, Order 01 at 2 (May 17, 2013).</w:t>
      </w:r>
    </w:p>
  </w:footnote>
  <w:footnote w:id="35">
    <w:p w14:paraId="4B3EA917" w14:textId="0FF9D86F" w:rsidR="00AA1510" w:rsidRPr="00714745" w:rsidRDefault="00AA1510" w:rsidP="0084272C">
      <w:pPr>
        <w:pStyle w:val="FootnoteText"/>
        <w:ind w:left="720" w:hanging="720"/>
      </w:pPr>
      <w:r>
        <w:rPr>
          <w:rStyle w:val="FootnoteReference"/>
        </w:rPr>
        <w:footnoteRef/>
      </w:r>
      <w:r>
        <w:t xml:space="preserve"> </w:t>
      </w:r>
      <w:r>
        <w:tab/>
      </w:r>
      <w:r>
        <w:rPr>
          <w:u w:val="single"/>
        </w:rPr>
        <w:t xml:space="preserve">Re NIPPC </w:t>
      </w:r>
      <w:r w:rsidRPr="005B56DD">
        <w:rPr>
          <w:u w:val="single"/>
        </w:rPr>
        <w:t>Petition for an Investigation Regarding Competitive Bidding</w:t>
      </w:r>
      <w:r>
        <w:t xml:space="preserve">, OPUC Docket No. UM 1182, </w:t>
      </w:r>
      <w:r w:rsidRPr="00E12839">
        <w:t>NIPPC's Direct Testimony and Exhibits of William A. Monsen</w:t>
      </w:r>
      <w:r>
        <w:t xml:space="preserve">, NIPPC/100, </w:t>
      </w:r>
      <w:r w:rsidRPr="00714745">
        <w:t>Monsen/30</w:t>
      </w:r>
      <w:r>
        <w:t xml:space="preserve">-33 (Nov. 16, 2012) available at:  </w:t>
      </w:r>
      <w:r w:rsidRPr="00970190">
        <w:t>http://apps.puc.state.or.us/edockets/docket.asp?DocketID=12222</w:t>
      </w:r>
      <w:r>
        <w:t>.</w:t>
      </w:r>
    </w:p>
  </w:footnote>
  <w:footnote w:id="36">
    <w:p w14:paraId="3DE9B504" w14:textId="42A404CD" w:rsidR="00AA1510" w:rsidRPr="00822ED4" w:rsidRDefault="00AA1510" w:rsidP="0084272C">
      <w:pPr>
        <w:pStyle w:val="FootnoteText"/>
        <w:ind w:left="720" w:hanging="720"/>
      </w:pPr>
      <w:r>
        <w:rPr>
          <w:rStyle w:val="FootnoteReference"/>
        </w:rPr>
        <w:footnoteRef/>
      </w:r>
      <w:r>
        <w:t xml:space="preserve"> </w:t>
      </w:r>
      <w:r>
        <w:tab/>
      </w:r>
      <w:r>
        <w:rPr>
          <w:u w:val="single"/>
        </w:rPr>
        <w:t xml:space="preserve">Re PacifiCorp, dba Pacific Power, </w:t>
      </w:r>
      <w:r w:rsidRPr="0041480F">
        <w:rPr>
          <w:u w:val="single"/>
        </w:rPr>
        <w:t>200</w:t>
      </w:r>
      <w:r>
        <w:rPr>
          <w:u w:val="single"/>
        </w:rPr>
        <w:t>9 Renewable Adjustment Clause Schedule 202</w:t>
      </w:r>
      <w:r>
        <w:t xml:space="preserve">, Docket No. UE 200, Order No. 08-548 at 19-20 (Nov. 14, 2008).  </w:t>
      </w:r>
    </w:p>
  </w:footnote>
  <w:footnote w:id="37">
    <w:p w14:paraId="49D241B4" w14:textId="26B6855C" w:rsidR="00AA1510" w:rsidRPr="007A0F48" w:rsidRDefault="00AA1510" w:rsidP="0084272C">
      <w:pPr>
        <w:pStyle w:val="FootnoteText"/>
        <w:ind w:left="720" w:hanging="720"/>
      </w:pPr>
      <w:r>
        <w:rPr>
          <w:rStyle w:val="FootnoteReference"/>
        </w:rPr>
        <w:footnoteRef/>
      </w:r>
      <w:r>
        <w:t xml:space="preserve"> </w:t>
      </w:r>
      <w:r>
        <w:tab/>
      </w:r>
      <w:r>
        <w:rPr>
          <w:u w:val="single"/>
        </w:rPr>
        <w:t>WUTC v. Pacific Power &amp; Light Co., a division of PacifiCorp</w:t>
      </w:r>
      <w:r>
        <w:t>, Docket No. UE-152253, Order No. 08 at ¶ 116 (PacifiCorp “</w:t>
      </w:r>
      <w:r w:rsidRPr="0055027E">
        <w:t>failed to meet its burden to demonstrate the prudence of its decision to install the SCR sy</w:t>
      </w:r>
      <w:r>
        <w:t xml:space="preserve">stems on Bridger Units 3 and 4.”); </w:t>
      </w:r>
      <w:r>
        <w:rPr>
          <w:u w:val="single"/>
        </w:rPr>
        <w:t>Re PacifiCorp dba Pacific Power, Request for a General Rate Revision</w:t>
      </w:r>
      <w:r>
        <w:t xml:space="preserve">, OPUC Docket No. UE 246, Order No. 12-493 at 27-32 (Dec. 30, 2012).  </w:t>
      </w:r>
    </w:p>
  </w:footnote>
  <w:footnote w:id="38">
    <w:p w14:paraId="1D0EA42F" w14:textId="29DBA16F" w:rsidR="00AA1510" w:rsidRPr="00544890" w:rsidRDefault="00AA1510" w:rsidP="0084272C">
      <w:pPr>
        <w:pStyle w:val="FootnoteText"/>
        <w:ind w:left="720" w:hanging="720"/>
      </w:pPr>
      <w:r>
        <w:rPr>
          <w:rStyle w:val="FootnoteReference"/>
        </w:rPr>
        <w:footnoteRef/>
      </w:r>
      <w:r>
        <w:t xml:space="preserve"> </w:t>
      </w:r>
      <w:r>
        <w:tab/>
      </w:r>
      <w:r>
        <w:rPr>
          <w:u w:val="single"/>
        </w:rPr>
        <w:t>Indus. Customers of N.W. Utils. v. Pub. Util. Comm’</w:t>
      </w:r>
      <w:r w:rsidRPr="00FC0E70">
        <w:rPr>
          <w:u w:val="single"/>
        </w:rPr>
        <w:t>n of Or</w:t>
      </w:r>
      <w:r>
        <w:rPr>
          <w:u w:val="single"/>
        </w:rPr>
        <w:t>.</w:t>
      </w:r>
      <w:r>
        <w:t xml:space="preserve">, </w:t>
      </w:r>
      <w:r w:rsidRPr="00AF4B7D">
        <w:rPr>
          <w:bCs/>
        </w:rPr>
        <w:t>196 Or. App. 46 (</w:t>
      </w:r>
      <w:r>
        <w:rPr>
          <w:bCs/>
        </w:rPr>
        <w:t xml:space="preserve">Or. App. </w:t>
      </w:r>
      <w:r w:rsidRPr="00AF4B7D">
        <w:rPr>
          <w:bCs/>
        </w:rPr>
        <w:t>2004).</w:t>
      </w:r>
    </w:p>
  </w:footnote>
  <w:footnote w:id="39">
    <w:p w14:paraId="222F7BC5" w14:textId="12F4B07D" w:rsidR="00AA1510" w:rsidRPr="009250B8" w:rsidRDefault="00AA1510" w:rsidP="0084272C">
      <w:pPr>
        <w:pStyle w:val="FootnoteText"/>
        <w:ind w:left="720" w:hanging="720"/>
      </w:pPr>
      <w:r>
        <w:rPr>
          <w:rStyle w:val="FootnoteReference"/>
        </w:rPr>
        <w:footnoteRef/>
      </w:r>
      <w:r>
        <w:t xml:space="preserve"> </w:t>
      </w:r>
      <w:r>
        <w:tab/>
      </w:r>
      <w:r>
        <w:rPr>
          <w:u w:val="single"/>
        </w:rPr>
        <w:t xml:space="preserve">Re NIPPC </w:t>
      </w:r>
      <w:r w:rsidRPr="005B56DD">
        <w:rPr>
          <w:u w:val="single"/>
        </w:rPr>
        <w:t>Petition for an Investigation Regarding Competitive Bidding</w:t>
      </w:r>
      <w:r>
        <w:t xml:space="preserve">, OPUC Docket No. UM 1182, </w:t>
      </w:r>
      <w:r w:rsidRPr="00E12839">
        <w:t>NIPPC's Direct Testimony and Exhibits of William A. Monsen</w:t>
      </w:r>
      <w:r>
        <w:t>, NIPPC/100, Monsen/19-20 (Nov. 16, 2012) (discussing the same latent defect among a host of other cost overruns at utility-owned plants).</w:t>
      </w:r>
    </w:p>
  </w:footnote>
  <w:footnote w:id="40">
    <w:p w14:paraId="12AC0531" w14:textId="52DAB735" w:rsidR="00AA1510" w:rsidRDefault="00AA1510" w:rsidP="0084272C">
      <w:pPr>
        <w:pStyle w:val="FootnoteText"/>
        <w:ind w:left="720" w:hanging="720"/>
        <w:contextualSpacing/>
      </w:pPr>
      <w:r>
        <w:rPr>
          <w:rStyle w:val="FootnoteReference"/>
        </w:rPr>
        <w:footnoteRef/>
      </w:r>
      <w:r>
        <w:t xml:space="preserve"> </w:t>
      </w:r>
      <w:r>
        <w:tab/>
      </w:r>
      <w:r>
        <w:rPr>
          <w:u w:val="single"/>
        </w:rPr>
        <w:t xml:space="preserve">Re Idaho Power Co.’s Application for a Certificate of Public Convenience and Necessity for the Langley Gulch Power </w:t>
      </w:r>
      <w:r w:rsidRPr="00CC141E">
        <w:rPr>
          <w:u w:val="single"/>
        </w:rPr>
        <w:t>Plant</w:t>
      </w:r>
      <w:r>
        <w:t>, Idaho PUC Case No. IPC-E-09-03, Rebuttal Testimony of Vernon Porter at 4 (July 14, 2009), a</w:t>
      </w:r>
      <w:r w:rsidRPr="00733566">
        <w:t>vailable</w:t>
      </w:r>
      <w:r>
        <w:t xml:space="preserve"> at: </w:t>
      </w:r>
      <w:r w:rsidRPr="00E83393">
        <w:t>http://www.puc.idaho.gov/fileroom/cases/elec/IPC/IPCE0903/company/20090702PORTER%20REBUTTAL.PDF</w:t>
      </w:r>
      <w:r>
        <w:t>.</w:t>
      </w:r>
    </w:p>
  </w:footnote>
  <w:footnote w:id="41">
    <w:p w14:paraId="6C4FED5C" w14:textId="4B2D8CA2" w:rsidR="00AA1510" w:rsidRDefault="00AA1510" w:rsidP="0084272C">
      <w:pPr>
        <w:pStyle w:val="FootnoteText"/>
        <w:ind w:left="720" w:hanging="720"/>
      </w:pPr>
      <w:r>
        <w:rPr>
          <w:rStyle w:val="FootnoteReference"/>
        </w:rPr>
        <w:footnoteRef/>
      </w:r>
      <w:r>
        <w:t xml:space="preserve"> </w:t>
      </w:r>
      <w:r>
        <w:tab/>
        <w:t xml:space="preserve">RCW </w:t>
      </w:r>
      <w:r>
        <w:rPr>
          <w:bCs/>
        </w:rPr>
        <w:t xml:space="preserve">80.28.010(1); </w:t>
      </w:r>
      <w:r w:rsidRPr="00513B4B">
        <w:rPr>
          <w:bCs/>
        </w:rPr>
        <w:t>80.28.020.</w:t>
      </w:r>
    </w:p>
  </w:footnote>
  <w:footnote w:id="42">
    <w:p w14:paraId="1F4F1ACF" w14:textId="73C25CFE" w:rsidR="00AA1510" w:rsidRPr="008910FA" w:rsidRDefault="00AA1510" w:rsidP="0084272C">
      <w:pPr>
        <w:pStyle w:val="FootnoteText"/>
        <w:ind w:left="720" w:hanging="720"/>
      </w:pPr>
      <w:r>
        <w:rPr>
          <w:rStyle w:val="FootnoteReference"/>
        </w:rPr>
        <w:footnoteRef/>
      </w:r>
      <w:r>
        <w:t xml:space="preserve"> </w:t>
      </w:r>
      <w:r>
        <w:tab/>
      </w:r>
      <w:r>
        <w:rPr>
          <w:u w:val="single"/>
        </w:rPr>
        <w:t>PacifiCorp v. WUTC</w:t>
      </w:r>
      <w:r>
        <w:t>, 376 P.3d 389, 398, 194 Wash. App. 571, 588 (2016).</w:t>
      </w:r>
    </w:p>
  </w:footnote>
  <w:footnote w:id="43">
    <w:p w14:paraId="6CF38B34" w14:textId="4C81FBD7" w:rsidR="00AA1510" w:rsidRDefault="00AA1510" w:rsidP="0084272C">
      <w:pPr>
        <w:pStyle w:val="FootnoteText"/>
        <w:ind w:left="720" w:hanging="720"/>
      </w:pPr>
      <w:r>
        <w:rPr>
          <w:rStyle w:val="FootnoteReference"/>
        </w:rPr>
        <w:footnoteRef/>
      </w:r>
      <w:r>
        <w:t xml:space="preserve"> </w:t>
      </w:r>
      <w:r>
        <w:tab/>
      </w:r>
      <w:r w:rsidRPr="00AC5C18">
        <w:t xml:space="preserve">The Commission’s rules on purchases of electricity from IPPs (or from utility-owned generation), WAC 480-107, are based on its statutory authority under RCW 80.01.040 and 80.04.160.  </w:t>
      </w:r>
    </w:p>
  </w:footnote>
  <w:footnote w:id="44">
    <w:p w14:paraId="5151C3FA" w14:textId="4326F097" w:rsidR="00AA1510" w:rsidRPr="007B7A9C" w:rsidRDefault="00AA1510" w:rsidP="0084272C">
      <w:pPr>
        <w:ind w:left="720" w:hanging="720"/>
      </w:pPr>
      <w:r>
        <w:rPr>
          <w:rStyle w:val="FootnoteReference"/>
        </w:rPr>
        <w:footnoteRef/>
      </w:r>
      <w:r>
        <w:t xml:space="preserve"> </w:t>
      </w:r>
      <w:r>
        <w:tab/>
      </w:r>
      <w:r w:rsidRPr="00A6487D">
        <w:rPr>
          <w:szCs w:val="24"/>
          <w:u w:val="single"/>
        </w:rPr>
        <w:t>WUTC v. Puget Sound Power &amp; Light</w:t>
      </w:r>
      <w:r w:rsidRPr="00A6487D">
        <w:rPr>
          <w:i/>
          <w:szCs w:val="24"/>
        </w:rPr>
        <w:t xml:space="preserve">, </w:t>
      </w:r>
      <w:r w:rsidRPr="00A6487D">
        <w:rPr>
          <w:szCs w:val="24"/>
        </w:rPr>
        <w:t>Docket</w:t>
      </w:r>
      <w:r>
        <w:rPr>
          <w:szCs w:val="24"/>
        </w:rPr>
        <w:t xml:space="preserve">s Nos. </w:t>
      </w:r>
      <w:r w:rsidRPr="00A6487D">
        <w:rPr>
          <w:szCs w:val="24"/>
        </w:rPr>
        <w:t>UE-920433, UE-9204</w:t>
      </w:r>
      <w:r>
        <w:rPr>
          <w:szCs w:val="24"/>
        </w:rPr>
        <w:t xml:space="preserve">99, UE-921262, </w:t>
      </w:r>
      <w:r w:rsidRPr="00A6487D">
        <w:rPr>
          <w:szCs w:val="24"/>
        </w:rPr>
        <w:t>19</w:t>
      </w:r>
      <w:r>
        <w:rPr>
          <w:szCs w:val="24"/>
        </w:rPr>
        <w:t xml:space="preserve">th Supplemental Order at 11, 37, 46-48 (Sept. 27, 1993); </w:t>
      </w:r>
      <w:r w:rsidRPr="007B7A9C">
        <w:rPr>
          <w:u w:val="single"/>
        </w:rPr>
        <w:t xml:space="preserve">WUTC v. </w:t>
      </w:r>
      <w:r>
        <w:rPr>
          <w:u w:val="single"/>
        </w:rPr>
        <w:t>PSE</w:t>
      </w:r>
      <w:r>
        <w:t xml:space="preserve">, </w:t>
      </w:r>
      <w:r w:rsidRPr="007B7A9C">
        <w:t>Dockets UE-090704 and UG-090705</w:t>
      </w:r>
      <w:r>
        <w:t xml:space="preserve"> (consolidated)</w:t>
      </w:r>
      <w:r w:rsidRPr="007B7A9C">
        <w:t>, O</w:t>
      </w:r>
      <w:r>
        <w:t>rder 11 at ¶ 320 (Apr. 2, 2010);</w:t>
      </w:r>
      <w:r>
        <w:rPr>
          <w:szCs w:val="24"/>
        </w:rPr>
        <w:t xml:space="preserve"> </w:t>
      </w:r>
      <w:r>
        <w:rPr>
          <w:szCs w:val="24"/>
          <w:u w:val="single"/>
        </w:rPr>
        <w:t xml:space="preserve">Re </w:t>
      </w:r>
      <w:r w:rsidRPr="002A0658">
        <w:rPr>
          <w:szCs w:val="24"/>
          <w:u w:val="single"/>
        </w:rPr>
        <w:t xml:space="preserve">the </w:t>
      </w:r>
      <w:r>
        <w:rPr>
          <w:szCs w:val="24"/>
          <w:u w:val="single"/>
        </w:rPr>
        <w:t>WUTC</w:t>
      </w:r>
      <w:r w:rsidRPr="002A0658">
        <w:rPr>
          <w:szCs w:val="24"/>
          <w:u w:val="single"/>
        </w:rPr>
        <w:t xml:space="preserve"> Inquiry on Regulatory Treatment for Renewable Energy Resources</w:t>
      </w:r>
      <w:r w:rsidRPr="00CC141E">
        <w:rPr>
          <w:szCs w:val="24"/>
        </w:rPr>
        <w:t xml:space="preserve">, </w:t>
      </w:r>
      <w:r>
        <w:rPr>
          <w:szCs w:val="24"/>
        </w:rPr>
        <w:t>Docket No. UE</w:t>
      </w:r>
      <w:r w:rsidRPr="00E85885">
        <w:rPr>
          <w:szCs w:val="24"/>
        </w:rPr>
        <w:t>-100849</w:t>
      </w:r>
      <w:r>
        <w:rPr>
          <w:szCs w:val="24"/>
        </w:rPr>
        <w:t>,</w:t>
      </w:r>
      <w:r w:rsidRPr="00E85885">
        <w:rPr>
          <w:szCs w:val="24"/>
        </w:rPr>
        <w:t xml:space="preserve"> </w:t>
      </w:r>
      <w:r w:rsidRPr="002A0658">
        <w:rPr>
          <w:szCs w:val="24"/>
        </w:rPr>
        <w:t>Report and Policy Statement Concerning Acquisition of Renewable Resources by Investor Owned Utilities (Jan</w:t>
      </w:r>
      <w:r>
        <w:rPr>
          <w:szCs w:val="24"/>
        </w:rPr>
        <w:t>.</w:t>
      </w:r>
      <w:r w:rsidRPr="002A0658">
        <w:rPr>
          <w:szCs w:val="24"/>
        </w:rPr>
        <w:t xml:space="preserve"> 3, 2011)</w:t>
      </w:r>
      <w:r w:rsidRPr="002A0658">
        <w:rPr>
          <w:szCs w:val="24"/>
        </w:rPr>
        <w:fldChar w:fldCharType="begin"/>
      </w:r>
      <w:r w:rsidRPr="002A0658">
        <w:rPr>
          <w:szCs w:val="24"/>
        </w:rPr>
        <w:instrText xml:space="preserve"> TA \l "</w:instrText>
      </w:r>
      <w:r w:rsidRPr="002A0658">
        <w:rPr>
          <w:i/>
          <w:szCs w:val="24"/>
        </w:rPr>
        <w:instrText xml:space="preserve">In the Matter of the Washington Utilities and Transportation Commission Inquiry on Regulatory Treatment for Renewable Energy Resources, </w:instrText>
      </w:r>
      <w:r w:rsidRPr="002A0658">
        <w:rPr>
          <w:szCs w:val="24"/>
        </w:rPr>
        <w:instrText xml:space="preserve">Report and Policy Statement Concerning Acquisition of Renewable Resources by Investor Owned Utilities, </w:instrText>
      </w:r>
      <w:r w:rsidRPr="002A0658">
        <w:rPr>
          <w:szCs w:val="24"/>
        </w:rPr>
        <w:br/>
        <w:instrText xml:space="preserve">Docket No. UE-100849 (January 3, 2011)" \s "In the Matter of the Washington Utilities and Transportation Commission Inquiry on Regulatory Treatment for Renewable Energy Resources, Report and Policy Statement Concerning Acquisition of Renewable Resources by Investor Owned Utilities, Docket No. UE-10" \c 6 </w:instrText>
      </w:r>
      <w:r w:rsidRPr="002A0658">
        <w:rPr>
          <w:szCs w:val="24"/>
        </w:rPr>
        <w:fldChar w:fldCharType="end"/>
      </w:r>
      <w:r w:rsidRPr="002A0658">
        <w:rPr>
          <w:i/>
          <w:szCs w:val="24"/>
        </w:rPr>
        <w:t>.</w:t>
      </w:r>
      <w:r w:rsidRPr="00A6487D">
        <w:rPr>
          <w:szCs w:val="24"/>
        </w:rPr>
        <w:fldChar w:fldCharType="begin"/>
      </w:r>
      <w:r w:rsidRPr="00A6487D">
        <w:rPr>
          <w:szCs w:val="24"/>
        </w:rPr>
        <w:instrText xml:space="preserve"> TA \l "</w:instrText>
      </w:r>
      <w:r w:rsidRPr="00A6487D">
        <w:rPr>
          <w:i/>
          <w:szCs w:val="24"/>
        </w:rPr>
        <w:instrText xml:space="preserve">WUTC v. Puget Sound Power &amp; Light, </w:instrText>
      </w:r>
      <w:r w:rsidRPr="00A6487D">
        <w:rPr>
          <w:szCs w:val="24"/>
        </w:rPr>
        <w:instrText xml:space="preserve">Docket Nos. UE-920433, UE-920499, </w:instrText>
      </w:r>
      <w:r w:rsidRPr="00A6487D">
        <w:rPr>
          <w:szCs w:val="24"/>
        </w:rPr>
        <w:br/>
        <w:instrText xml:space="preserve">UE-921262 (consolidated), </w:instrText>
      </w:r>
      <w:r w:rsidRPr="00A6487D">
        <w:rPr>
          <w:szCs w:val="24"/>
        </w:rPr>
        <w:br/>
        <w:instrText>11</w:instrText>
      </w:r>
      <w:r w:rsidRPr="00A6487D">
        <w:rPr>
          <w:szCs w:val="24"/>
          <w:vertAlign w:val="superscript"/>
        </w:rPr>
        <w:instrText>th</w:instrText>
      </w:r>
      <w:r w:rsidRPr="00A6487D">
        <w:rPr>
          <w:szCs w:val="24"/>
        </w:rPr>
        <w:instrText xml:space="preserve"> and 19</w:instrText>
      </w:r>
      <w:r w:rsidRPr="00A6487D">
        <w:rPr>
          <w:szCs w:val="24"/>
          <w:vertAlign w:val="superscript"/>
        </w:rPr>
        <w:instrText>th</w:instrText>
      </w:r>
      <w:r w:rsidRPr="00A6487D">
        <w:rPr>
          <w:szCs w:val="24"/>
        </w:rPr>
        <w:instrText xml:space="preserve"> Supplemental Orders" \s "WUTC v. Puget Sound Power &amp; Light, Docket Nos. UE-920433, UE-920499, UE-921262 (consolidated), 11th and 19th Supplemental Orders" \c 6 </w:instrText>
      </w:r>
      <w:r w:rsidRPr="00A6487D">
        <w:rPr>
          <w:szCs w:val="24"/>
        </w:rPr>
        <w:fldChar w:fldCharType="end"/>
      </w:r>
    </w:p>
  </w:footnote>
  <w:footnote w:id="45">
    <w:p w14:paraId="4AE92F2F" w14:textId="63762B69" w:rsidR="00AA1510" w:rsidRDefault="00AA1510" w:rsidP="0084272C">
      <w:pPr>
        <w:pStyle w:val="FootnoteText"/>
        <w:ind w:left="720" w:hanging="720"/>
      </w:pPr>
      <w:r>
        <w:rPr>
          <w:rStyle w:val="FootnoteReference"/>
        </w:rPr>
        <w:footnoteRef/>
      </w:r>
      <w:r>
        <w:t xml:space="preserve"> </w:t>
      </w:r>
      <w:r>
        <w:tab/>
        <w:t xml:space="preserve">For example, the nuclear power plant disasters of the 1980s may have been an example of “too big to fail” or “too big to regulate.”  PSE, PGE, PacifiCorp and Avista were all placed on credit watch due to the abandoned nuclear power plants.  </w:t>
      </w:r>
      <w:r w:rsidRPr="00FC0E70">
        <w:rPr>
          <w:u w:val="single"/>
        </w:rPr>
        <w:t>Se</w:t>
      </w:r>
      <w:r>
        <w:rPr>
          <w:u w:val="single"/>
        </w:rPr>
        <w:t>e</w:t>
      </w:r>
      <w:r>
        <w:t xml:space="preserve"> </w:t>
      </w:r>
      <w:r w:rsidRPr="008A2046">
        <w:rPr>
          <w:u w:val="single"/>
        </w:rPr>
        <w:t>Puget Power Will Seek End to Nuclear Project</w:t>
      </w:r>
      <w:r>
        <w:t xml:space="preserve">, </w:t>
      </w:r>
      <w:r w:rsidRPr="008A2046">
        <w:rPr>
          <w:smallCaps/>
        </w:rPr>
        <w:t>The New York Times</w:t>
      </w:r>
      <w:r>
        <w:t xml:space="preserve"> (Aug. 31, 1983), </w:t>
      </w:r>
      <w:r w:rsidRPr="003119B9">
        <w:t>http://www.nytimes.com/1983/08/31/business/puget-power-will-seek-end-to-nuclear-project.html</w:t>
      </w:r>
      <w:r>
        <w:t>.  This may have been a reason that the Washington and Oregon commissions ultimately allowed the utilities to recover the majority of their costs.</w:t>
      </w:r>
    </w:p>
  </w:footnote>
  <w:footnote w:id="46">
    <w:p w14:paraId="48D83AD7" w14:textId="476C3A27" w:rsidR="00AA1510" w:rsidRDefault="00AA1510" w:rsidP="0084272C">
      <w:pPr>
        <w:pStyle w:val="FootnoteText"/>
        <w:ind w:left="720" w:hanging="720"/>
      </w:pPr>
      <w:r>
        <w:rPr>
          <w:rStyle w:val="FootnoteReference"/>
        </w:rPr>
        <w:footnoteRef/>
      </w:r>
      <w:r>
        <w:t xml:space="preserve"> </w:t>
      </w:r>
      <w:r>
        <w:tab/>
        <w:t>PSE 2015 IRP at G-2.</w:t>
      </w:r>
    </w:p>
  </w:footnote>
  <w:footnote w:id="47">
    <w:p w14:paraId="2A562EF6" w14:textId="1DFFD04C" w:rsidR="00AA1510" w:rsidRDefault="00AA1510" w:rsidP="0084272C">
      <w:pPr>
        <w:pStyle w:val="FootnoteText"/>
        <w:ind w:left="720" w:hanging="720"/>
      </w:pPr>
      <w:r>
        <w:rPr>
          <w:rStyle w:val="FootnoteReference"/>
        </w:rPr>
        <w:footnoteRef/>
      </w:r>
      <w:r>
        <w:t xml:space="preserve"> </w:t>
      </w:r>
      <w:r>
        <w:tab/>
      </w:r>
      <w:r w:rsidRPr="00B84803">
        <w:rPr>
          <w:u w:val="single"/>
        </w:rPr>
        <w:t>Id.</w:t>
      </w:r>
      <w:r>
        <w:t xml:space="preserve"> at G-4  (</w:t>
      </w:r>
      <w:r w:rsidRPr="00DF03A1">
        <w:t>Boardman (585 MW capacity) and Centralia Unit 1 (730 MW capacity) in 2020, and Centralia Unit 2 in 2025 (730 MW capacity)</w:t>
      </w:r>
      <w:r>
        <w:t>)  This does not include the significant PacifiCorp coal plant retirements in Wyoming that could further reduce the energy and capacity situation in the Northwest.</w:t>
      </w:r>
    </w:p>
  </w:footnote>
  <w:footnote w:id="48">
    <w:p w14:paraId="47545993" w14:textId="77777777" w:rsidR="00AA1510" w:rsidRDefault="00AA1510" w:rsidP="0084272C">
      <w:pPr>
        <w:pStyle w:val="FootnoteText"/>
        <w:ind w:left="720" w:hanging="720"/>
      </w:pPr>
      <w:r>
        <w:rPr>
          <w:rStyle w:val="FootnoteReference"/>
        </w:rPr>
        <w:footnoteRef/>
      </w:r>
      <w:r>
        <w:t xml:space="preserve"> </w:t>
      </w:r>
      <w:r>
        <w:tab/>
        <w:t>PSE 2015 IRP at 1-2</w:t>
      </w:r>
      <w:r w:rsidRPr="00F46439">
        <w:t>.</w:t>
      </w:r>
    </w:p>
  </w:footnote>
  <w:footnote w:id="49">
    <w:p w14:paraId="09FD3DD0" w14:textId="764CFAB7" w:rsidR="00AA1510" w:rsidRDefault="00AA1510" w:rsidP="0084272C">
      <w:pPr>
        <w:pStyle w:val="FootnoteText"/>
        <w:ind w:left="720" w:hanging="720"/>
      </w:pPr>
      <w:r>
        <w:rPr>
          <w:rStyle w:val="FootnoteReference"/>
        </w:rPr>
        <w:footnoteRef/>
      </w:r>
      <w:r>
        <w:t xml:space="preserve"> </w:t>
      </w:r>
      <w:r>
        <w:tab/>
        <w:t xml:space="preserve">“PGE </w:t>
      </w:r>
      <w:r w:rsidRPr="007A5D1A">
        <w:t>forecasts</w:t>
      </w:r>
      <w:r>
        <w:t xml:space="preserve"> </w:t>
      </w:r>
      <w:r w:rsidRPr="007A5D1A">
        <w:t>a need for sig</w:t>
      </w:r>
      <w:r>
        <w:t>nificant new resource additions.”  PGE 2016 Draft IRP at 4.1.  While PGE has not yet released its final action plan, PGE states that it will procure</w:t>
      </w:r>
      <w:r w:rsidRPr="00983161">
        <w:t xml:space="preserve"> </w:t>
      </w:r>
      <w:r>
        <w:t>“</w:t>
      </w:r>
      <w:r w:rsidRPr="00983161">
        <w:t>renewables to meet RPS</w:t>
      </w:r>
      <w:r>
        <w:t xml:space="preserve"> </w:t>
      </w:r>
      <w:r w:rsidRPr="00983161">
        <w:t xml:space="preserve">targets, an efficient </w:t>
      </w:r>
      <w:r>
        <w:t>[</w:t>
      </w:r>
      <w:r w:rsidRPr="00983161">
        <w:t>combined cycle combustion turbine</w:t>
      </w:r>
      <w:r>
        <w:t>]</w:t>
      </w:r>
      <w:r w:rsidRPr="00983161">
        <w:t xml:space="preserve"> CCCT in 2021, and fills the</w:t>
      </w:r>
      <w:r>
        <w:t xml:space="preserve"> </w:t>
      </w:r>
      <w:r w:rsidRPr="00983161">
        <w:t>remaining capacity need with generic capacity resources.</w:t>
      </w:r>
      <w:r>
        <w:t xml:space="preserve">”  </w:t>
      </w:r>
      <w:r w:rsidRPr="003B187C">
        <w:rPr>
          <w:u w:val="single"/>
        </w:rPr>
        <w:t>Id.</w:t>
      </w:r>
      <w:r>
        <w:t xml:space="preserve"> at 12.5.3  Avista forecasts a capacity deficit starting in 2020, and the acquisition of natural gas peakers in 2020 and 2027, and a combined cycle gas plant in 2026.  Avista 2015 IRP at 1-2, 11-8.</w:t>
      </w:r>
    </w:p>
  </w:footnote>
  <w:footnote w:id="50">
    <w:p w14:paraId="53390D22" w14:textId="1CCEF945" w:rsidR="00AA1510" w:rsidRDefault="00AA1510" w:rsidP="0084272C">
      <w:pPr>
        <w:pStyle w:val="FootnoteText"/>
        <w:ind w:left="720" w:hanging="720"/>
      </w:pPr>
      <w:r>
        <w:rPr>
          <w:rStyle w:val="FootnoteReference"/>
        </w:rPr>
        <w:footnoteRef/>
      </w:r>
      <w:r>
        <w:t xml:space="preserve"> </w:t>
      </w:r>
      <w:r>
        <w:tab/>
        <w:t xml:space="preserve">SB 1547 §§ 1, 2; PacifiCorp testified to the Oregon Legislature in support of HB 4036 (subsequently reintroduced as SB 1547) that </w:t>
      </w:r>
      <w:r w:rsidRPr="00035899">
        <w:rPr>
          <w:iCs/>
        </w:rPr>
        <w:t xml:space="preserve">the Oregon </w:t>
      </w:r>
      <w:r>
        <w:rPr>
          <w:iCs/>
        </w:rPr>
        <w:t xml:space="preserve">RPS revisions </w:t>
      </w:r>
      <w:r w:rsidRPr="00035899">
        <w:rPr>
          <w:iCs/>
        </w:rPr>
        <w:t xml:space="preserve">“incents early action through its REC banking provision, which allows utilities and customers to benefit from recently extended federal tax credits.  </w:t>
      </w:r>
      <w:r>
        <w:rPr>
          <w:iCs/>
        </w:rPr>
        <w:t>HB 4036</w:t>
      </w:r>
      <w:r w:rsidRPr="00E5652D">
        <w:rPr>
          <w:iCs/>
        </w:rPr>
        <w:t xml:space="preserve"> enables at least </w:t>
      </w:r>
      <w:r w:rsidRPr="00035899">
        <w:rPr>
          <w:iCs/>
        </w:rPr>
        <w:t>225 MW of</w:t>
      </w:r>
      <w:r w:rsidRPr="00E5652D">
        <w:rPr>
          <w:iCs/>
        </w:rPr>
        <w:t xml:space="preserve"> additional low-cost renewable procurement </w:t>
      </w:r>
      <w:r w:rsidRPr="00035899">
        <w:rPr>
          <w:iCs/>
        </w:rPr>
        <w:t>over the near-term</w:t>
      </w:r>
      <w:r w:rsidRPr="00E5652D">
        <w:rPr>
          <w:iCs/>
        </w:rPr>
        <w:t>.”</w:t>
      </w:r>
      <w:r>
        <w:rPr>
          <w:iCs/>
        </w:rPr>
        <w:t xml:space="preserve">  Hearing on HB 4036 Before</w:t>
      </w:r>
      <w:r w:rsidRPr="00EA101E">
        <w:rPr>
          <w:iCs/>
        </w:rPr>
        <w:t xml:space="preserve"> the House Committee </w:t>
      </w:r>
      <w:r>
        <w:rPr>
          <w:iCs/>
        </w:rPr>
        <w:t xml:space="preserve">on </w:t>
      </w:r>
      <w:r w:rsidRPr="00EA101E">
        <w:rPr>
          <w:iCs/>
        </w:rPr>
        <w:t>Energy and Environment</w:t>
      </w:r>
      <w:r>
        <w:rPr>
          <w:iCs/>
        </w:rPr>
        <w:t>,</w:t>
      </w:r>
      <w:r w:rsidRPr="00EA101E">
        <w:rPr>
          <w:iCs/>
        </w:rPr>
        <w:t xml:space="preserve"> </w:t>
      </w:r>
      <w:r>
        <w:rPr>
          <w:iCs/>
        </w:rPr>
        <w:t>Presentation</w:t>
      </w:r>
      <w:r w:rsidRPr="00EA101E">
        <w:rPr>
          <w:iCs/>
        </w:rPr>
        <w:t xml:space="preserve"> </w:t>
      </w:r>
      <w:r>
        <w:rPr>
          <w:iCs/>
        </w:rPr>
        <w:t>of PacifiCorp</w:t>
      </w:r>
      <w:r w:rsidRPr="00EA101E">
        <w:rPr>
          <w:iCs/>
        </w:rPr>
        <w:t xml:space="preserve"> </w:t>
      </w:r>
      <w:r>
        <w:rPr>
          <w:iCs/>
        </w:rPr>
        <w:t xml:space="preserve">VP </w:t>
      </w:r>
      <w:r w:rsidRPr="00EA101E">
        <w:rPr>
          <w:iCs/>
        </w:rPr>
        <w:t>Scott Bolton</w:t>
      </w:r>
      <w:r>
        <w:rPr>
          <w:iCs/>
        </w:rPr>
        <w:t xml:space="preserve"> (Feb. 4, 2016)</w:t>
      </w:r>
      <w:r w:rsidRPr="00EA101E">
        <w:rPr>
          <w:iCs/>
        </w:rPr>
        <w:t xml:space="preserve">. </w:t>
      </w:r>
      <w:r>
        <w:rPr>
          <w:iCs/>
        </w:rPr>
        <w:t xml:space="preserve"> </w:t>
      </w:r>
      <w:r w:rsidRPr="00E5652D">
        <w:rPr>
          <w:iCs/>
        </w:rPr>
        <w:t xml:space="preserve">PacifiCorp </w:t>
      </w:r>
      <w:r>
        <w:rPr>
          <w:iCs/>
        </w:rPr>
        <w:t>also testified to</w:t>
      </w:r>
      <w:r w:rsidRPr="00E5652D">
        <w:rPr>
          <w:iCs/>
        </w:rPr>
        <w:t xml:space="preserve"> the</w:t>
      </w:r>
      <w:r>
        <w:rPr>
          <w:iCs/>
        </w:rPr>
        <w:t xml:space="preserve"> Oregon </w:t>
      </w:r>
      <w:r w:rsidRPr="00E5652D">
        <w:rPr>
          <w:iCs/>
        </w:rPr>
        <w:t xml:space="preserve">Commission </w:t>
      </w:r>
      <w:r>
        <w:rPr>
          <w:iCs/>
        </w:rPr>
        <w:t xml:space="preserve">that </w:t>
      </w:r>
      <w:r w:rsidRPr="00E5652D">
        <w:rPr>
          <w:iCs/>
        </w:rPr>
        <w:t>the bill would provide PacifiCorp “an opp</w:t>
      </w:r>
      <w:r w:rsidRPr="00EA101E">
        <w:rPr>
          <w:iCs/>
        </w:rPr>
        <w:t xml:space="preserve">ortunity to procure over 600 MW of low-cost renewable resources over the near-term.” </w:t>
      </w:r>
      <w:r>
        <w:rPr>
          <w:iCs/>
        </w:rPr>
        <w:t>OPUC Special Public Meeting, HB 4036 Preliminary Information Gathering (Jan.</w:t>
      </w:r>
      <w:r w:rsidRPr="00E5652D">
        <w:rPr>
          <w:iCs/>
        </w:rPr>
        <w:t xml:space="preserve"> 29, 2016</w:t>
      </w:r>
      <w:r>
        <w:rPr>
          <w:iCs/>
        </w:rPr>
        <w:t>)</w:t>
      </w:r>
      <w:r w:rsidRPr="00E5652D">
        <w:rPr>
          <w:iCs/>
        </w:rPr>
        <w:t xml:space="preserve"> </w:t>
      </w:r>
    </w:p>
  </w:footnote>
  <w:footnote w:id="51">
    <w:p w14:paraId="4EB9B083" w14:textId="2EFC8CB4" w:rsidR="00AA1510" w:rsidRDefault="00AA1510" w:rsidP="0084272C">
      <w:pPr>
        <w:pStyle w:val="FootnoteText"/>
        <w:ind w:left="720" w:hanging="720"/>
      </w:pPr>
      <w:r>
        <w:rPr>
          <w:rStyle w:val="FootnoteReference"/>
        </w:rPr>
        <w:footnoteRef/>
      </w:r>
      <w:r>
        <w:t xml:space="preserve"> </w:t>
      </w:r>
      <w:r>
        <w:tab/>
        <w:t>PSE 2015 IRP at G-1, G-2.</w:t>
      </w:r>
    </w:p>
  </w:footnote>
  <w:footnote w:id="52">
    <w:p w14:paraId="44B55F4A" w14:textId="64CBBB04" w:rsidR="00AA1510" w:rsidRDefault="00AA1510" w:rsidP="0084272C">
      <w:pPr>
        <w:pStyle w:val="FootnoteText"/>
        <w:ind w:left="720" w:hanging="720"/>
      </w:pPr>
      <w:r>
        <w:rPr>
          <w:rStyle w:val="FootnoteReference"/>
        </w:rPr>
        <w:footnoteRef/>
      </w:r>
      <w:r>
        <w:t xml:space="preserve"> </w:t>
      </w:r>
      <w:r>
        <w:tab/>
      </w:r>
      <w:r>
        <w:rPr>
          <w:u w:val="single"/>
        </w:rPr>
        <w:t>Re</w:t>
      </w:r>
      <w:r w:rsidRPr="00015589">
        <w:rPr>
          <w:u w:val="single"/>
        </w:rPr>
        <w:t xml:space="preserve"> </w:t>
      </w:r>
      <w:r>
        <w:rPr>
          <w:u w:val="single"/>
        </w:rPr>
        <w:t>NIPPC</w:t>
      </w:r>
      <w:r w:rsidRPr="00015589">
        <w:rPr>
          <w:u w:val="single"/>
        </w:rPr>
        <w:t xml:space="preserve"> Petition for Temporary Rulemaking and Investigation into PacifiCorp’s 2016 R</w:t>
      </w:r>
      <w:r>
        <w:rPr>
          <w:u w:val="single"/>
        </w:rPr>
        <w:t>FP</w:t>
      </w:r>
      <w:r>
        <w:t xml:space="preserve">, OPUC Docket Nos. </w:t>
      </w:r>
      <w:r w:rsidRPr="0075336A">
        <w:t>AR 598, UM 1771</w:t>
      </w:r>
      <w:r>
        <w:t xml:space="preserve">, NIPPC Petition at 1-2, 8-10 (Apr. 25, 2106); </w:t>
      </w:r>
      <w:r w:rsidRPr="00AB5D8E">
        <w:rPr>
          <w:u w:val="single"/>
        </w:rPr>
        <w:t xml:space="preserve">Re </w:t>
      </w:r>
      <w:r>
        <w:rPr>
          <w:u w:val="single"/>
        </w:rPr>
        <w:t xml:space="preserve">NIPPC </w:t>
      </w:r>
      <w:r w:rsidRPr="00AB5D8E">
        <w:rPr>
          <w:u w:val="single"/>
        </w:rPr>
        <w:t xml:space="preserve">Petition for Temporary Rulemaking and Investigation into PacifiCorp’s 2016 </w:t>
      </w:r>
      <w:r>
        <w:rPr>
          <w:u w:val="single"/>
        </w:rPr>
        <w:t>RFP</w:t>
      </w:r>
      <w:r w:rsidRPr="00AB5D8E">
        <w:t>,</w:t>
      </w:r>
      <w:r>
        <w:t xml:space="preserve"> OPUC Docket Nos. </w:t>
      </w:r>
      <w:r w:rsidRPr="0075336A">
        <w:t>AR 598, UM 1771</w:t>
      </w:r>
      <w:r>
        <w:t xml:space="preserve">, Order No. 16-188 at 1-2 (May 19, 2016); </w:t>
      </w:r>
      <w:r w:rsidRPr="00D85D66">
        <w:rPr>
          <w:u w:val="single"/>
        </w:rPr>
        <w:t>Re PGE Petition for Partial Waiver of Competitive Bidding Guidelines and Approval of RFP Schedule</w:t>
      </w:r>
      <w:r>
        <w:t xml:space="preserve">, OPUC Docket No. UM 1773, NIPPC Comments at 1-4 (June 6, 2016); </w:t>
      </w:r>
      <w:r w:rsidRPr="00800365">
        <w:rPr>
          <w:u w:val="single"/>
        </w:rPr>
        <w:t>Re PGE Petition for Partial Waiver of Competitive Bidding Guidelines and Approval of RFP Schedule</w:t>
      </w:r>
      <w:r w:rsidRPr="00800365">
        <w:t xml:space="preserve">, </w:t>
      </w:r>
      <w:r>
        <w:t xml:space="preserve">OPUC </w:t>
      </w:r>
      <w:r w:rsidRPr="00800365">
        <w:t xml:space="preserve">Docket No. UM 1773, NIPPC </w:t>
      </w:r>
      <w:r>
        <w:t>Final Comments (July 27</w:t>
      </w:r>
      <w:r w:rsidRPr="00800365">
        <w:t>, 2016</w:t>
      </w:r>
      <w:r>
        <w:t xml:space="preserve">); </w:t>
      </w:r>
      <w:r w:rsidRPr="005620A5">
        <w:rPr>
          <w:u w:val="single"/>
        </w:rPr>
        <w:t>Re PGE Petition for Partial Waiver of Competitive Bidding Guidelines and Approval of RFP Schedule</w:t>
      </w:r>
      <w:r w:rsidRPr="005620A5">
        <w:t xml:space="preserve">, </w:t>
      </w:r>
      <w:r>
        <w:t xml:space="preserve">OPUC </w:t>
      </w:r>
      <w:r w:rsidRPr="005620A5">
        <w:t xml:space="preserve">Docket No. UM 1773, </w:t>
      </w:r>
      <w:r>
        <w:t>Order No. 16-280 (July 29, 2016)</w:t>
      </w:r>
      <w:r w:rsidRPr="003F3C58">
        <w:t>.</w:t>
      </w:r>
      <w:r>
        <w:t xml:space="preserve">   </w:t>
      </w:r>
    </w:p>
  </w:footnote>
  <w:footnote w:id="53">
    <w:p w14:paraId="7D158195" w14:textId="533F6A58" w:rsidR="00AA1510" w:rsidRDefault="00AA1510" w:rsidP="0084272C">
      <w:pPr>
        <w:ind w:left="720" w:hanging="720"/>
      </w:pPr>
      <w:r>
        <w:rPr>
          <w:rStyle w:val="FootnoteReference"/>
        </w:rPr>
        <w:footnoteRef/>
      </w:r>
      <w:r>
        <w:t xml:space="preserve"> </w:t>
      </w:r>
      <w:r>
        <w:tab/>
      </w:r>
      <w:r w:rsidRPr="008A2046">
        <w:rPr>
          <w:u w:val="single"/>
        </w:rPr>
        <w:t>See</w:t>
      </w:r>
      <w:r>
        <w:t xml:space="preserve"> Portland General Electric Company Racing to the Finish Line, </w:t>
      </w:r>
      <w:r w:rsidRPr="008A2046">
        <w:rPr>
          <w:smallCaps/>
          <w:szCs w:val="24"/>
        </w:rPr>
        <w:t xml:space="preserve">UBS Investment Bank </w:t>
      </w:r>
      <w:r>
        <w:t>(July 12, 2016).</w:t>
      </w:r>
    </w:p>
  </w:footnote>
  <w:footnote w:id="54">
    <w:p w14:paraId="3D1919F4" w14:textId="65F73056" w:rsidR="00AA1510" w:rsidRDefault="00AA1510" w:rsidP="0084272C">
      <w:pPr>
        <w:pStyle w:val="FootnoteText"/>
        <w:ind w:left="720" w:hanging="720"/>
      </w:pPr>
      <w:r>
        <w:rPr>
          <w:rStyle w:val="FootnoteReference"/>
        </w:rPr>
        <w:footnoteRef/>
      </w:r>
      <w:r>
        <w:t xml:space="preserve"> </w:t>
      </w:r>
      <w:r>
        <w:tab/>
        <w:t>OPUC</w:t>
      </w:r>
      <w:r w:rsidRPr="00AA7848">
        <w:t xml:space="preserve"> </w:t>
      </w:r>
      <w:r>
        <w:t>Public Meeting, PacifiCorp Presentation Re</w:t>
      </w:r>
      <w:r w:rsidRPr="00AA7848">
        <w:t xml:space="preserve"> </w:t>
      </w:r>
      <w:r>
        <w:t>O</w:t>
      </w:r>
      <w:r w:rsidRPr="00AA7848">
        <w:t xml:space="preserve">ngoing </w:t>
      </w:r>
      <w:r>
        <w:t>R</w:t>
      </w:r>
      <w:r w:rsidRPr="00AA7848">
        <w:t>enewable and REC RFP</w:t>
      </w:r>
      <w:r>
        <w:t xml:space="preserve"> at 32-33 (July 26, 2016) (</w:t>
      </w:r>
      <w:r w:rsidRPr="00DF5377">
        <w:t>PacifiCorp will assess renewable resource procurement opportunities in future RFPs and pursue bi-lateral renewable resource opportunities</w:t>
      </w:r>
      <w:r>
        <w:t xml:space="preserve">.) available at: </w:t>
      </w:r>
      <w:r w:rsidRPr="00701B28">
        <w:t>http://oregonpuc.granicus.com/GeneratedAgendaViewer.php?view_id=1&amp;clip_id=110</w:t>
      </w:r>
      <w:r>
        <w:t>; PGE 2016 Draft IRP at 4.1. and 12.1.</w:t>
      </w:r>
    </w:p>
  </w:footnote>
  <w:footnote w:id="55">
    <w:p w14:paraId="070583FB" w14:textId="77777777" w:rsidR="00AA1510" w:rsidRDefault="00AA1510" w:rsidP="0084272C">
      <w:pPr>
        <w:pStyle w:val="FootnoteText"/>
        <w:ind w:left="720" w:hanging="720"/>
      </w:pPr>
      <w:r>
        <w:rPr>
          <w:rStyle w:val="FootnoteReference"/>
        </w:rPr>
        <w:footnoteRef/>
      </w:r>
      <w:r>
        <w:t xml:space="preserve"> </w:t>
      </w:r>
      <w:r>
        <w:tab/>
        <w:t xml:space="preserve">Steven Oberbeck, </w:t>
      </w:r>
      <w:r w:rsidRPr="008A2046">
        <w:rPr>
          <w:u w:val="single"/>
        </w:rPr>
        <w:t>Texas Company wins $134M from utility owner PacifiCorp,</w:t>
      </w:r>
      <w:r>
        <w:rPr>
          <w:i/>
        </w:rPr>
        <w:t xml:space="preserve"> </w:t>
      </w:r>
      <w:r w:rsidRPr="00252C2D">
        <w:rPr>
          <w:smallCaps/>
        </w:rPr>
        <w:t>The Salt Lake Tribune</w:t>
      </w:r>
      <w:r>
        <w:t xml:space="preserve"> (May 23, 2012), </w:t>
      </w:r>
      <w:r w:rsidRPr="0095035C">
        <w:t>http://archive.sltrib.com/story.php?ref=/sltrib/money/54163321-79/pacificorp-usa-power-jury.html.csp</w:t>
      </w:r>
      <w:r>
        <w:t>.</w:t>
      </w:r>
    </w:p>
  </w:footnote>
  <w:footnote w:id="56">
    <w:p w14:paraId="79A4DB98" w14:textId="58300A6C" w:rsidR="00AA1510" w:rsidRPr="001C76DC" w:rsidRDefault="00AA1510" w:rsidP="0084272C">
      <w:pPr>
        <w:pStyle w:val="FootnoteText"/>
        <w:ind w:left="720" w:hanging="720"/>
        <w:rPr>
          <w:lang w:val="it-IT"/>
        </w:rPr>
      </w:pPr>
      <w:r w:rsidRPr="00BC02B7">
        <w:rPr>
          <w:rStyle w:val="FootnoteReference"/>
        </w:rPr>
        <w:footnoteRef/>
      </w:r>
      <w:r w:rsidRPr="001C76DC">
        <w:rPr>
          <w:lang w:val="it-IT"/>
        </w:rPr>
        <w:t xml:space="preserve"> </w:t>
      </w:r>
      <w:r w:rsidRPr="001C76DC">
        <w:rPr>
          <w:lang w:val="it-IT"/>
        </w:rPr>
        <w:tab/>
      </w:r>
      <w:r w:rsidRPr="001C76DC">
        <w:rPr>
          <w:u w:val="single"/>
          <w:lang w:val="it-IT"/>
        </w:rPr>
        <w:t>USA Power, LLC v. PacifiCorp</w:t>
      </w:r>
      <w:r w:rsidRPr="001C76DC">
        <w:rPr>
          <w:lang w:val="it-IT"/>
        </w:rPr>
        <w:t>, 372 P.3d 629 (Utah 2016).</w:t>
      </w:r>
    </w:p>
  </w:footnote>
  <w:footnote w:id="57">
    <w:p w14:paraId="448944E3" w14:textId="2E93728B" w:rsidR="00AA1510" w:rsidRDefault="00AA1510" w:rsidP="0084272C">
      <w:pPr>
        <w:pStyle w:val="FootnoteText"/>
        <w:ind w:left="720" w:hanging="720"/>
      </w:pPr>
      <w:r>
        <w:rPr>
          <w:rStyle w:val="FootnoteReference"/>
        </w:rPr>
        <w:footnoteRef/>
      </w:r>
      <w:r>
        <w:t xml:space="preserve"> </w:t>
      </w:r>
      <w:r>
        <w:tab/>
      </w:r>
      <w:r w:rsidRPr="002565C8">
        <w:rPr>
          <w:u w:val="single"/>
        </w:rPr>
        <w:t>Id.</w:t>
      </w:r>
      <w:r>
        <w:t xml:space="preserve"> at 643.</w:t>
      </w:r>
    </w:p>
  </w:footnote>
  <w:footnote w:id="58">
    <w:p w14:paraId="1F44C0F8" w14:textId="320C76A3" w:rsidR="00AA1510" w:rsidRDefault="00AA1510" w:rsidP="0084272C">
      <w:pPr>
        <w:pStyle w:val="FootnoteText"/>
        <w:ind w:left="720" w:hanging="720"/>
      </w:pPr>
      <w:r>
        <w:rPr>
          <w:rStyle w:val="FootnoteReference"/>
        </w:rPr>
        <w:footnoteRef/>
      </w:r>
      <w:r>
        <w:t xml:space="preserve"> </w:t>
      </w:r>
      <w:r>
        <w:tab/>
      </w:r>
      <w:r w:rsidRPr="00CC141E">
        <w:rPr>
          <w:u w:val="single"/>
        </w:rPr>
        <w:t>See</w:t>
      </w:r>
      <w:r>
        <w:t xml:space="preserve"> RCW 80.28.024 and 80.28.020.</w:t>
      </w:r>
    </w:p>
  </w:footnote>
  <w:footnote w:id="59">
    <w:p w14:paraId="32787187" w14:textId="3323F91B" w:rsidR="00AA1510" w:rsidRDefault="00AA1510" w:rsidP="0084272C">
      <w:pPr>
        <w:pStyle w:val="FootnoteText"/>
        <w:ind w:left="720" w:hanging="720"/>
      </w:pPr>
      <w:r>
        <w:rPr>
          <w:rStyle w:val="FootnoteReference"/>
        </w:rPr>
        <w:footnoteRef/>
      </w:r>
      <w:r>
        <w:t xml:space="preserve"> </w:t>
      </w:r>
      <w:r>
        <w:tab/>
        <w:t xml:space="preserve">While Oregon’s guidelines have driven down the costs of new generation, only about 5% of the capacity acquired through Oregon’s competitive bidding guidelines have been PPAs, and some of the resources acquired have been controversial and unnecessarily expensive.  Without Oregon’s guidelines, ratepayers would be paying for more expensive power, but considerable more savings could easily have been achieved with more rigorous rules.  </w:t>
      </w:r>
    </w:p>
  </w:footnote>
  <w:footnote w:id="60">
    <w:p w14:paraId="212C85A7" w14:textId="77777777" w:rsidR="00AA1510" w:rsidRDefault="00AA1510" w:rsidP="0084272C">
      <w:pPr>
        <w:pStyle w:val="FootnoteText"/>
        <w:ind w:left="720" w:hanging="720"/>
      </w:pPr>
      <w:r>
        <w:rPr>
          <w:rStyle w:val="FootnoteReference"/>
        </w:rPr>
        <w:footnoteRef/>
      </w:r>
      <w:r>
        <w:t xml:space="preserve"> </w:t>
      </w:r>
      <w:r>
        <w:tab/>
      </w:r>
      <w:r w:rsidRPr="00A50471">
        <w:rPr>
          <w:rFonts w:eastAsia="MS Mincho"/>
          <w:lang w:eastAsia="ja-JP"/>
        </w:rPr>
        <w:t xml:space="preserve">WAC </w:t>
      </w:r>
      <w:r w:rsidRPr="00A50471">
        <w:rPr>
          <w:rFonts w:eastAsia="MS Mincho"/>
          <w:bCs/>
          <w:lang w:eastAsia="ja-JP"/>
        </w:rPr>
        <w:t>480-107-015</w:t>
      </w:r>
      <w:r>
        <w:rPr>
          <w:rFonts w:eastAsia="MS Mincho"/>
          <w:bCs/>
          <w:lang w:eastAsia="ja-JP"/>
        </w:rPr>
        <w:t>.</w:t>
      </w:r>
    </w:p>
  </w:footnote>
  <w:footnote w:id="61">
    <w:p w14:paraId="44100FF0" w14:textId="77777777" w:rsidR="00AA1510" w:rsidRDefault="00AA1510" w:rsidP="0084272C">
      <w:pPr>
        <w:pStyle w:val="FootnoteText"/>
        <w:ind w:left="720" w:hanging="720"/>
      </w:pPr>
      <w:r>
        <w:rPr>
          <w:rStyle w:val="FootnoteReference"/>
        </w:rPr>
        <w:footnoteRef/>
      </w:r>
      <w:r>
        <w:t xml:space="preserve"> </w:t>
      </w:r>
      <w:r>
        <w:tab/>
      </w:r>
      <w:r w:rsidRPr="006D4091">
        <w:rPr>
          <w:u w:val="single"/>
        </w:rPr>
        <w:t>Id.</w:t>
      </w:r>
      <w:r>
        <w:rPr>
          <w:u w:val="single"/>
        </w:rPr>
        <w:t xml:space="preserve"> </w:t>
      </w:r>
    </w:p>
  </w:footnote>
  <w:footnote w:id="62">
    <w:p w14:paraId="374053D6" w14:textId="77777777" w:rsidR="00AA1510" w:rsidRDefault="00AA1510" w:rsidP="0084272C">
      <w:pPr>
        <w:pStyle w:val="FootnoteText"/>
        <w:ind w:left="720" w:hanging="720"/>
      </w:pPr>
      <w:r>
        <w:rPr>
          <w:rStyle w:val="FootnoteReference"/>
        </w:rPr>
        <w:footnoteRef/>
      </w:r>
      <w:r>
        <w:t xml:space="preserve"> </w:t>
      </w:r>
      <w:r>
        <w:tab/>
      </w:r>
      <w:r w:rsidRPr="00AB5B7B">
        <w:rPr>
          <w:u w:val="single"/>
        </w:rPr>
        <w:t>Id.</w:t>
      </w:r>
    </w:p>
  </w:footnote>
  <w:footnote w:id="63">
    <w:p w14:paraId="39DD16EE" w14:textId="77777777" w:rsidR="00AA1510" w:rsidRPr="004C2943" w:rsidRDefault="00AA1510" w:rsidP="0084272C">
      <w:pPr>
        <w:ind w:left="720" w:hanging="720"/>
        <w:rPr>
          <w:szCs w:val="24"/>
        </w:rPr>
      </w:pPr>
      <w:r>
        <w:rPr>
          <w:rStyle w:val="FootnoteReference"/>
        </w:rPr>
        <w:footnoteRef/>
      </w:r>
      <w:r>
        <w:t xml:space="preserve"> </w:t>
      </w:r>
      <w:r>
        <w:tab/>
      </w:r>
      <w:r w:rsidRPr="00C67D3D">
        <w:rPr>
          <w:szCs w:val="24"/>
        </w:rPr>
        <w:t>WAC 480-107-002(3)</w:t>
      </w:r>
      <w:r>
        <w:rPr>
          <w:szCs w:val="24"/>
        </w:rPr>
        <w:t xml:space="preserve"> (“exceptions may be granted only if consistent with the public interest, the purposes underlying regulation, and applicable statutes.).</w:t>
      </w:r>
    </w:p>
  </w:footnote>
  <w:footnote w:id="64">
    <w:p w14:paraId="71C5684C" w14:textId="434287D6" w:rsidR="00AA1510" w:rsidRDefault="00AA1510" w:rsidP="0084272C">
      <w:pPr>
        <w:pStyle w:val="FootnoteText"/>
        <w:ind w:left="720" w:hanging="720"/>
      </w:pPr>
      <w:r>
        <w:rPr>
          <w:rStyle w:val="FootnoteReference"/>
        </w:rPr>
        <w:footnoteRef/>
      </w:r>
      <w:r>
        <w:t xml:space="preserve"> </w:t>
      </w:r>
      <w:r>
        <w:tab/>
      </w:r>
      <w:r w:rsidRPr="004C2943">
        <w:rPr>
          <w:u w:val="single"/>
        </w:rPr>
        <w:t>See</w:t>
      </w:r>
      <w:r w:rsidRPr="004C2943">
        <w:t xml:space="preserve"> </w:t>
      </w:r>
      <w:r w:rsidRPr="004C2943">
        <w:rPr>
          <w:u w:val="single"/>
        </w:rPr>
        <w:t>e.g.</w:t>
      </w:r>
      <w:r>
        <w:t xml:space="preserve">, </w:t>
      </w:r>
      <w:r w:rsidRPr="00CC141E">
        <w:rPr>
          <w:u w:val="single"/>
        </w:rPr>
        <w:t>Rulemaking for Integrated Resource Planning, WAC 480-100-238, WAC 480-90-238, and WAC 480-107</w:t>
      </w:r>
      <w:r>
        <w:t>,</w:t>
      </w:r>
      <w:r w:rsidRPr="00FD680C">
        <w:t xml:space="preserve"> Docket </w:t>
      </w:r>
      <w:r>
        <w:t xml:space="preserve">No. </w:t>
      </w:r>
      <w:r w:rsidRPr="00FD680C">
        <w:t>UE-161024</w:t>
      </w:r>
      <w:r>
        <w:t>, Notice of Workshop and Opportunity to Comment at C.1 (</w:t>
      </w:r>
      <w:r w:rsidRPr="00045AEC">
        <w:t>Sept</w:t>
      </w:r>
      <w:r>
        <w:t>.</w:t>
      </w:r>
      <w:r w:rsidRPr="00045AEC">
        <w:t xml:space="preserve"> 6, 2016</w:t>
      </w:r>
      <w:r>
        <w:t xml:space="preserve">); </w:t>
      </w:r>
      <w:r w:rsidRPr="004C2943">
        <w:rPr>
          <w:u w:val="single"/>
        </w:rPr>
        <w:t xml:space="preserve">Re </w:t>
      </w:r>
      <w:r>
        <w:rPr>
          <w:u w:val="single"/>
        </w:rPr>
        <w:t>PSE</w:t>
      </w:r>
      <w:r w:rsidRPr="004C2943">
        <w:rPr>
          <w:u w:val="single"/>
        </w:rPr>
        <w:t xml:space="preserve"> Petition for Exemption from Filing Certain RFP Requirements under WAC 480-</w:t>
      </w:r>
      <w:r>
        <w:rPr>
          <w:u w:val="single"/>
        </w:rPr>
        <w:t>107</w:t>
      </w:r>
      <w:r w:rsidRPr="004C2943">
        <w:rPr>
          <w:u w:val="single"/>
        </w:rPr>
        <w:t>-015(3)(b),</w:t>
      </w:r>
      <w:r>
        <w:t xml:space="preserve"> Docket No. UE-160387, Order 01 (May 27, 2016) (waiving three RFP requirements for resource needs described in PSE’s 2015 IRP)</w:t>
      </w:r>
      <w:r w:rsidRPr="00FC0E70">
        <w:t>.</w:t>
      </w:r>
      <w:r w:rsidRPr="004C2943">
        <w:rPr>
          <w:highlight w:val="yellow"/>
        </w:rPr>
        <w:t xml:space="preserve"> </w:t>
      </w:r>
    </w:p>
  </w:footnote>
  <w:footnote w:id="65">
    <w:p w14:paraId="7F517A55" w14:textId="6B39D4CA" w:rsidR="00AA1510" w:rsidRPr="001C76DC" w:rsidRDefault="00AA1510" w:rsidP="0084272C">
      <w:pPr>
        <w:pStyle w:val="FootnoteText"/>
        <w:ind w:left="720" w:hanging="720"/>
        <w:rPr>
          <w:lang w:val="nn-NO"/>
        </w:rPr>
      </w:pPr>
      <w:r>
        <w:rPr>
          <w:rStyle w:val="FootnoteReference"/>
        </w:rPr>
        <w:footnoteRef/>
      </w:r>
      <w:r>
        <w:t xml:space="preserve"> </w:t>
      </w:r>
      <w:r>
        <w:tab/>
        <w:t xml:space="preserve">NIPPC proposes 50 MW because it will capture some utility scale solar projects as well as smaller peaker plants. For example, Avista’s IRP includes three planned peakers between 50 and 83 MW, and PGE is planning on a 50 MW new solar plant.  </w:t>
      </w:r>
      <w:r w:rsidRPr="001C76DC">
        <w:rPr>
          <w:lang w:val="nn-NO"/>
        </w:rPr>
        <w:t xml:space="preserve">Avista 2013 IRP at 8-8; </w:t>
      </w:r>
      <w:r>
        <w:rPr>
          <w:lang w:val="nn-NO"/>
        </w:rPr>
        <w:t xml:space="preserve">James Cronin, PGE looks at utility-scale solar, additional natural gas capacity at Carty, </w:t>
      </w:r>
      <w:r w:rsidRPr="008A2046">
        <w:rPr>
          <w:smallCaps/>
          <w:lang w:val="nn-NO"/>
        </w:rPr>
        <w:t>Portland Business Journal</w:t>
      </w:r>
      <w:r>
        <w:rPr>
          <w:lang w:val="nn-NO"/>
        </w:rPr>
        <w:t xml:space="preserve"> (Sept. 1, 2016),  </w:t>
      </w:r>
      <w:r w:rsidRPr="001C76DC">
        <w:rPr>
          <w:lang w:val="nn-NO"/>
        </w:rPr>
        <w:t xml:space="preserve">http://www.bizjournals.com/portland/blog/sbo/2016/09/pge-looks-at-utility-scale-solar-additional.html?ana=RSS%26s=article_search.  </w:t>
      </w:r>
    </w:p>
  </w:footnote>
  <w:footnote w:id="66">
    <w:p w14:paraId="3E2B50B5" w14:textId="773ED322" w:rsidR="00AA1510" w:rsidRDefault="00AA1510" w:rsidP="0084272C">
      <w:pPr>
        <w:pStyle w:val="FootnoteText"/>
        <w:ind w:left="720" w:hanging="720"/>
      </w:pPr>
      <w:r>
        <w:rPr>
          <w:rStyle w:val="FootnoteReference"/>
        </w:rPr>
        <w:footnoteRef/>
      </w:r>
      <w:r>
        <w:t xml:space="preserve"> </w:t>
      </w:r>
      <w:r>
        <w:tab/>
        <w:t xml:space="preserve">NIPPC recommends that an RFP be conducted for energy storage amounts of 20 MW or greater.  Given that storage is so new, NIPPC welcomes further discussions about the appropriate size threshold for storage. </w:t>
      </w:r>
    </w:p>
  </w:footnote>
  <w:footnote w:id="67">
    <w:p w14:paraId="60F780E0" w14:textId="4AD4D352" w:rsidR="00AA1510" w:rsidRDefault="00AA1510" w:rsidP="0084272C">
      <w:pPr>
        <w:pStyle w:val="FootnoteText"/>
        <w:ind w:left="720" w:hanging="720"/>
      </w:pPr>
      <w:r>
        <w:rPr>
          <w:rStyle w:val="FootnoteReference"/>
        </w:rPr>
        <w:footnoteRef/>
      </w:r>
      <w:r>
        <w:t xml:space="preserve"> </w:t>
      </w:r>
      <w:r>
        <w:tab/>
      </w:r>
      <w:r w:rsidRPr="00E33CF4">
        <w:t>Potential exceptions could include an emergency or where there is a time­ limited resource opportunity of unique value to customers, if an acknowledged IRP provides for an alternative acquisition, and acquisitions under the Public Utility Regulatory Policies Act.</w:t>
      </w:r>
    </w:p>
  </w:footnote>
  <w:footnote w:id="68">
    <w:p w14:paraId="3A1C2C59" w14:textId="60C26178" w:rsidR="00AA1510" w:rsidRDefault="00AA1510" w:rsidP="0084272C">
      <w:pPr>
        <w:pStyle w:val="FootnoteText"/>
        <w:ind w:left="720" w:hanging="720"/>
      </w:pPr>
      <w:r>
        <w:rPr>
          <w:rStyle w:val="FootnoteReference"/>
        </w:rPr>
        <w:footnoteRef/>
      </w:r>
      <w:r>
        <w:t xml:space="preserve"> </w:t>
      </w:r>
      <w:r>
        <w:tab/>
      </w:r>
      <w:r w:rsidRPr="00432052">
        <w:rPr>
          <w:u w:val="single"/>
        </w:rPr>
        <w:t>Re PacifiCorp, dba Pacific Power, 2009 Renewable Adjustment Clause Schedule 202</w:t>
      </w:r>
      <w:r>
        <w:t>, OPUC Docket No. UE 200, Order No. 08-548 at 2, 19 (Nov. 14, 2008) (acknowledging “Pacific Power’s strategy of avoiding the Commission’s Major Resource acquisition Guidelines by developing 99 MW projects”).</w:t>
      </w:r>
    </w:p>
  </w:footnote>
  <w:footnote w:id="69">
    <w:p w14:paraId="49F4ADDF" w14:textId="669C4AC8" w:rsidR="00AA1510" w:rsidRDefault="00AA1510" w:rsidP="0084272C">
      <w:pPr>
        <w:pStyle w:val="FootnoteText"/>
        <w:ind w:left="720" w:hanging="720"/>
      </w:pPr>
      <w:r>
        <w:rPr>
          <w:rStyle w:val="FootnoteReference"/>
        </w:rPr>
        <w:footnoteRef/>
      </w:r>
      <w:r>
        <w:t xml:space="preserve"> </w:t>
      </w:r>
      <w:r>
        <w:tab/>
      </w:r>
      <w:r w:rsidRPr="004B17D5">
        <w:t>The OPUC considers small resources located on one parcel of land or on two or more adjacent parcels of land, or the generation equipment of any small resource within five miles of the generation equipment of any other small resource where construction has been performed by the same contractor, contract, or under multiple contracts entered into within two years of each other to be one major resource.</w:t>
      </w:r>
      <w:r>
        <w:t xml:space="preserve">  </w:t>
      </w:r>
      <w:r>
        <w:rPr>
          <w:u w:val="single"/>
        </w:rPr>
        <w:t xml:space="preserve">Re NIPPC </w:t>
      </w:r>
      <w:r w:rsidRPr="005B56DD">
        <w:rPr>
          <w:u w:val="single"/>
        </w:rPr>
        <w:t>Petition for an Investigation Regarding Competitive Bidding</w:t>
      </w:r>
      <w:r w:rsidRPr="004B17D5">
        <w:t>, OPUC Docket No. UM 1182, Order No. 14-149 at Appendix A (Apr. 30, 2014).</w:t>
      </w:r>
    </w:p>
  </w:footnote>
  <w:footnote w:id="70">
    <w:p w14:paraId="1F8E4D5B" w14:textId="4651395B" w:rsidR="00AA1510" w:rsidRDefault="00AA1510" w:rsidP="0084272C">
      <w:pPr>
        <w:pStyle w:val="FootnoteText"/>
        <w:ind w:left="720" w:hanging="720"/>
      </w:pPr>
      <w:r>
        <w:rPr>
          <w:rStyle w:val="FootnoteReference"/>
        </w:rPr>
        <w:footnoteRef/>
      </w:r>
      <w:r>
        <w:t xml:space="preserve"> </w:t>
      </w:r>
      <w:r>
        <w:tab/>
        <w:t xml:space="preserve">To allow for a quick schedule to ensure that utility owned option bids do not become stale, </w:t>
      </w:r>
      <w:r>
        <w:rPr>
          <w:bCs/>
        </w:rPr>
        <w:t>PPA bidders will need to</w:t>
      </w:r>
      <w:r w:rsidRPr="00454D89">
        <w:rPr>
          <w:bCs/>
        </w:rPr>
        <w:t xml:space="preserve"> have completed most aspects of their bids, and then have a short period of time (about two weeks) to submit their bids.</w:t>
      </w:r>
    </w:p>
  </w:footnote>
  <w:footnote w:id="71">
    <w:p w14:paraId="3CDBBB3D" w14:textId="59FF4B6F" w:rsidR="00AA1510" w:rsidRDefault="00AA1510" w:rsidP="0084272C">
      <w:pPr>
        <w:pStyle w:val="FootnoteText"/>
        <w:ind w:left="720" w:hanging="720"/>
      </w:pPr>
      <w:r>
        <w:rPr>
          <w:rStyle w:val="FootnoteReference"/>
        </w:rPr>
        <w:footnoteRef/>
      </w:r>
      <w:r>
        <w:t xml:space="preserve"> </w:t>
      </w:r>
      <w:r>
        <w:tab/>
      </w:r>
      <w:r w:rsidRPr="00CC141E">
        <w:rPr>
          <w:u w:val="single"/>
        </w:rPr>
        <w:t>See</w:t>
      </w:r>
      <w:r>
        <w:t xml:space="preserve"> </w:t>
      </w:r>
      <w:r w:rsidRPr="008A2046">
        <w:rPr>
          <w:smallCaps/>
        </w:rPr>
        <w:t>U.S. Sec</w:t>
      </w:r>
      <w:r>
        <w:rPr>
          <w:smallCaps/>
        </w:rPr>
        <w:t>.</w:t>
      </w:r>
      <w:r w:rsidRPr="008A2046">
        <w:rPr>
          <w:smallCaps/>
        </w:rPr>
        <w:t xml:space="preserve"> and Exch</w:t>
      </w:r>
      <w:r>
        <w:rPr>
          <w:smallCaps/>
        </w:rPr>
        <w:t>.</w:t>
      </w:r>
      <w:r w:rsidRPr="008A2046">
        <w:rPr>
          <w:smallCaps/>
        </w:rPr>
        <w:t xml:space="preserve"> Comm.</w:t>
      </w:r>
      <w:r>
        <w:t>, PGE Form 8-K Filing at 5 (Mar. 23, 2016).  The difference between the PPA bid price and the actual Carty price is confidential.</w:t>
      </w:r>
    </w:p>
  </w:footnote>
  <w:footnote w:id="72">
    <w:p w14:paraId="15A49BA7" w14:textId="3EAC2F56" w:rsidR="00AA1510" w:rsidRDefault="00AA1510" w:rsidP="0084272C">
      <w:pPr>
        <w:pStyle w:val="FootnoteText"/>
        <w:ind w:left="720" w:hanging="720"/>
      </w:pPr>
      <w:r>
        <w:rPr>
          <w:rStyle w:val="FootnoteReference"/>
        </w:rPr>
        <w:footnoteRef/>
      </w:r>
      <w:r>
        <w:t xml:space="preserve"> </w:t>
      </w:r>
      <w:r>
        <w:tab/>
      </w:r>
      <w:r w:rsidRPr="004E1C3B">
        <w:rPr>
          <w:iCs/>
          <w:u w:val="single"/>
        </w:rPr>
        <w:t xml:space="preserve">Re PacifiCorp Request for Approval of Final Draft 2011 All Source </w:t>
      </w:r>
      <w:r>
        <w:rPr>
          <w:iCs/>
          <w:u w:val="single"/>
        </w:rPr>
        <w:t>RFP</w:t>
      </w:r>
      <w:r w:rsidRPr="00AF4B7D">
        <w:t>,</w:t>
      </w:r>
      <w:r w:rsidRPr="00370CD1">
        <w:t xml:space="preserve"> OPUC Docket No. UM 1540, Order No. 12-111, Appendix A at 15 (</w:t>
      </w:r>
      <w:r>
        <w:t>Mar. 27, 2012</w:t>
      </w:r>
      <w:r w:rsidRPr="00370CD1">
        <w:t>) (emphasis added).</w:t>
      </w:r>
    </w:p>
  </w:footnote>
  <w:footnote w:id="73">
    <w:p w14:paraId="66F40BD7" w14:textId="77777777" w:rsidR="00AA1510" w:rsidRDefault="00AA1510" w:rsidP="0084272C">
      <w:pPr>
        <w:pStyle w:val="FootnoteText"/>
        <w:ind w:left="720" w:hanging="720"/>
      </w:pPr>
      <w:r>
        <w:rPr>
          <w:rStyle w:val="FootnoteReference"/>
        </w:rPr>
        <w:footnoteRef/>
      </w:r>
      <w:r>
        <w:t xml:space="preserve"> </w:t>
      </w:r>
      <w:r>
        <w:tab/>
      </w:r>
      <w:r w:rsidRPr="004E1C3B">
        <w:rPr>
          <w:iCs/>
          <w:u w:val="single"/>
        </w:rPr>
        <w:t>Id.</w:t>
      </w:r>
    </w:p>
  </w:footnote>
  <w:footnote w:id="74">
    <w:p w14:paraId="65D3A81A" w14:textId="6584EAE0" w:rsidR="00AA1510" w:rsidRDefault="00AA1510" w:rsidP="0084272C">
      <w:pPr>
        <w:pStyle w:val="FootnoteText"/>
        <w:ind w:left="720" w:hanging="720"/>
      </w:pPr>
      <w:r>
        <w:rPr>
          <w:rStyle w:val="FootnoteReference"/>
        </w:rPr>
        <w:footnoteRef/>
      </w:r>
      <w:r>
        <w:t xml:space="preserve"> </w:t>
      </w:r>
      <w:r>
        <w:tab/>
        <w:t>NIPPC does</w:t>
      </w:r>
      <w:r w:rsidRPr="00EC3A8B">
        <w:t xml:space="preserve"> not support a disallowance that would harm the financial integrity of the utility.  That being said, NIPPC believes a cost cap that limits recovery to a utility’s RFP bid price rather than its actual build price would provide adequate </w:t>
      </w:r>
      <w:r>
        <w:t xml:space="preserve">incentive </w:t>
      </w:r>
      <w:r w:rsidRPr="00EC3A8B">
        <w:t>to manage construction costs.</w:t>
      </w:r>
    </w:p>
  </w:footnote>
  <w:footnote w:id="75">
    <w:p w14:paraId="341D39F5" w14:textId="45DCB270" w:rsidR="00AA1510" w:rsidRDefault="00AA1510" w:rsidP="0084272C">
      <w:pPr>
        <w:pStyle w:val="FootnoteText"/>
        <w:ind w:left="720" w:hanging="720"/>
      </w:pPr>
      <w:r>
        <w:rPr>
          <w:rStyle w:val="FootnoteReference"/>
        </w:rPr>
        <w:footnoteRef/>
      </w:r>
      <w:r>
        <w:t xml:space="preserve"> </w:t>
      </w:r>
      <w:r>
        <w:tab/>
        <w:t xml:space="preserve">WAC </w:t>
      </w:r>
      <w:r w:rsidRPr="00A50471">
        <w:rPr>
          <w:rFonts w:eastAsia="MS Mincho"/>
          <w:bCs/>
          <w:lang w:eastAsia="ja-JP"/>
        </w:rPr>
        <w:t>480-107-135(3)</w:t>
      </w:r>
      <w:r>
        <w:rPr>
          <w:rFonts w:eastAsia="MS Mincho"/>
          <w:bCs/>
          <w:lang w:eastAsia="ja-JP"/>
        </w:rPr>
        <w:t>.</w:t>
      </w:r>
    </w:p>
  </w:footnote>
  <w:footnote w:id="76">
    <w:p w14:paraId="0396D04D" w14:textId="2933749F" w:rsidR="00AA1510" w:rsidRDefault="00AA1510" w:rsidP="0084272C">
      <w:pPr>
        <w:pStyle w:val="FootnoteText"/>
        <w:ind w:left="720" w:hanging="720"/>
      </w:pPr>
      <w:r>
        <w:rPr>
          <w:rStyle w:val="FootnoteReference"/>
        </w:rPr>
        <w:footnoteRef/>
      </w:r>
      <w:r>
        <w:t xml:space="preserve"> </w:t>
      </w:r>
      <w:r>
        <w:tab/>
      </w:r>
      <w:r w:rsidRPr="00A50471">
        <w:rPr>
          <w:rFonts w:eastAsia="MS Mincho"/>
          <w:bCs/>
          <w:lang w:eastAsia="ja-JP"/>
        </w:rPr>
        <w:t>WAC 480-107-</w:t>
      </w:r>
      <w:r>
        <w:rPr>
          <w:rFonts w:eastAsia="MS Mincho"/>
          <w:bCs/>
          <w:lang w:eastAsia="ja-JP"/>
        </w:rPr>
        <w:t>001</w:t>
      </w:r>
      <w:r w:rsidRPr="00A50471">
        <w:rPr>
          <w:rFonts w:eastAsia="MS Mincho"/>
          <w:bCs/>
          <w:lang w:eastAsia="ja-JP"/>
        </w:rPr>
        <w:t>(</w:t>
      </w:r>
      <w:r>
        <w:rPr>
          <w:rFonts w:eastAsia="MS Mincho"/>
          <w:bCs/>
          <w:lang w:eastAsia="ja-JP"/>
        </w:rPr>
        <w:t>2</w:t>
      </w:r>
      <w:r w:rsidRPr="00A50471">
        <w:rPr>
          <w:rFonts w:eastAsia="MS Mincho"/>
          <w:bCs/>
          <w:lang w:eastAsia="ja-JP"/>
        </w:rPr>
        <w:t>)</w:t>
      </w:r>
      <w:r>
        <w:rPr>
          <w:rFonts w:eastAsia="MS Mincho"/>
          <w:lang w:eastAsia="ja-JP"/>
        </w:rPr>
        <w:t>.</w:t>
      </w:r>
    </w:p>
  </w:footnote>
  <w:footnote w:id="77">
    <w:p w14:paraId="420DD8CD" w14:textId="2195198B" w:rsidR="00AA1510" w:rsidRDefault="00AA1510" w:rsidP="0084272C">
      <w:pPr>
        <w:pStyle w:val="FootnoteText"/>
        <w:ind w:left="720" w:hanging="720"/>
      </w:pPr>
      <w:r>
        <w:rPr>
          <w:rStyle w:val="FootnoteReference"/>
        </w:rPr>
        <w:footnoteRef/>
      </w:r>
      <w:r>
        <w:t xml:space="preserve"> </w:t>
      </w:r>
      <w:r>
        <w:tab/>
        <w:t xml:space="preserve">The IE and financing due diligence expert should be hired and paid for by the Commission because IEs hired and/or paid for by the utilities often see the utilities as their “clients.”  The costs, however, should be paid for by ratepayers (the ultimate beneficiaries) and/or the utilities (the reason we need the protections). </w:t>
      </w:r>
    </w:p>
  </w:footnote>
  <w:footnote w:id="78">
    <w:p w14:paraId="613E318B" w14:textId="78DBA92A" w:rsidR="00AA1510" w:rsidRDefault="00AA1510" w:rsidP="0084272C">
      <w:pPr>
        <w:pStyle w:val="FootnoteText"/>
        <w:ind w:left="720" w:hanging="720"/>
      </w:pPr>
      <w:r>
        <w:rPr>
          <w:rStyle w:val="FootnoteReference"/>
        </w:rPr>
        <w:footnoteRef/>
      </w:r>
      <w:r>
        <w:t xml:space="preserve"> </w:t>
      </w:r>
      <w:r>
        <w:tab/>
        <w:t xml:space="preserve">WAC </w:t>
      </w:r>
      <w:r w:rsidRPr="00A50471">
        <w:rPr>
          <w:rFonts w:eastAsia="MS Mincho"/>
          <w:bCs/>
          <w:lang w:eastAsia="ja-JP"/>
        </w:rPr>
        <w:t>480-107-025</w:t>
      </w:r>
      <w:r>
        <w:rPr>
          <w:rFonts w:eastAsia="MS Mincho"/>
          <w:bCs/>
          <w:lang w:eastAsia="ja-JP"/>
        </w:rPr>
        <w:t xml:space="preserve">. </w:t>
      </w:r>
    </w:p>
  </w:footnote>
  <w:footnote w:id="79">
    <w:p w14:paraId="376B2020" w14:textId="2754DFF5" w:rsidR="00AA1510" w:rsidRDefault="00AA1510" w:rsidP="0084272C">
      <w:pPr>
        <w:pStyle w:val="FootnoteText"/>
        <w:ind w:left="720" w:hanging="720"/>
      </w:pPr>
      <w:r>
        <w:rPr>
          <w:rStyle w:val="FootnoteReference"/>
        </w:rPr>
        <w:footnoteRef/>
      </w:r>
      <w:r>
        <w:t xml:space="preserve"> </w:t>
      </w:r>
      <w:r>
        <w:tab/>
      </w:r>
      <w:r w:rsidRPr="00A50471">
        <w:rPr>
          <w:rFonts w:eastAsia="MS Mincho"/>
          <w:bCs/>
          <w:lang w:eastAsia="ja-JP"/>
        </w:rPr>
        <w:t>WAC 480-107-135(2)</w:t>
      </w:r>
      <w:r>
        <w:rPr>
          <w:rFonts w:eastAsia="MS Mincho"/>
          <w:bCs/>
          <w:lang w:eastAsia="ja-JP"/>
        </w:rPr>
        <w:t>.</w:t>
      </w:r>
    </w:p>
  </w:footnote>
  <w:footnote w:id="80">
    <w:p w14:paraId="760A3444" w14:textId="75E9AA69" w:rsidR="00AA1510" w:rsidRPr="00AF4B7D" w:rsidRDefault="00AA1510" w:rsidP="0084272C">
      <w:pPr>
        <w:pStyle w:val="FootnoteText"/>
        <w:ind w:left="720" w:hanging="720"/>
        <w:rPr>
          <w:u w:val="single"/>
        </w:rPr>
      </w:pPr>
      <w:r>
        <w:rPr>
          <w:rStyle w:val="FootnoteReference"/>
        </w:rPr>
        <w:footnoteRef/>
      </w:r>
      <w:r>
        <w:t xml:space="preserve"> </w:t>
      </w:r>
      <w:r>
        <w:tab/>
      </w:r>
      <w:r>
        <w:rPr>
          <w:u w:val="single"/>
        </w:rPr>
        <w:t xml:space="preserve">Re PacifiCorp, dba Pacific Power &amp; Light Co., </w:t>
      </w:r>
      <w:r w:rsidRPr="0083222A">
        <w:rPr>
          <w:u w:val="single"/>
        </w:rPr>
        <w:t>Draft 2012 Request for Proposals</w:t>
      </w:r>
      <w:r>
        <w:t xml:space="preserve">, OPUC Docket No. UM 1208, Order No. 07-018 at 2-3 (Jan. 16, 2007). </w:t>
      </w:r>
    </w:p>
  </w:footnote>
  <w:footnote w:id="81">
    <w:p w14:paraId="4CED90FE" w14:textId="452BC0DB" w:rsidR="00AA1510" w:rsidRDefault="00AA1510" w:rsidP="0084272C">
      <w:pPr>
        <w:pStyle w:val="FootnoteText"/>
        <w:ind w:left="720" w:hanging="720"/>
      </w:pPr>
      <w:r>
        <w:rPr>
          <w:rStyle w:val="FootnoteReference"/>
        </w:rPr>
        <w:footnoteRef/>
      </w:r>
      <w:r>
        <w:t xml:space="preserve"> </w:t>
      </w:r>
      <w:r>
        <w:tab/>
      </w:r>
      <w:r w:rsidRPr="00AF4B7D">
        <w:rPr>
          <w:u w:val="single"/>
        </w:rPr>
        <w:t>Id.</w:t>
      </w:r>
      <w:r>
        <w:t xml:space="preserve"> at 3, 7.  </w:t>
      </w:r>
    </w:p>
  </w:footnote>
  <w:footnote w:id="82">
    <w:p w14:paraId="0779FD60" w14:textId="77777777" w:rsidR="00AA1510" w:rsidRDefault="00AA1510" w:rsidP="0084272C">
      <w:pPr>
        <w:pStyle w:val="FootnoteText"/>
        <w:ind w:left="720" w:hanging="720"/>
      </w:pPr>
      <w:r>
        <w:rPr>
          <w:rStyle w:val="FootnoteReference"/>
        </w:rPr>
        <w:footnoteRef/>
      </w:r>
      <w:r>
        <w:t xml:space="preserve"> </w:t>
      </w:r>
      <w:r>
        <w:tab/>
      </w:r>
      <w:r w:rsidRPr="00A50471">
        <w:rPr>
          <w:rFonts w:eastAsia="MS Mincho"/>
          <w:bCs/>
          <w:lang w:eastAsia="ja-JP"/>
        </w:rPr>
        <w:t>WAC 480-107-025</w:t>
      </w:r>
      <w:r>
        <w:rPr>
          <w:rFonts w:eastAsia="MS Mincho"/>
          <w:bCs/>
          <w:lang w:eastAsia="ja-JP"/>
        </w:rPr>
        <w:t>.</w:t>
      </w:r>
    </w:p>
  </w:footnote>
  <w:footnote w:id="83">
    <w:p w14:paraId="6DFA0E55" w14:textId="7AC8F1C1" w:rsidR="00AA1510" w:rsidRDefault="00AA1510" w:rsidP="0084272C">
      <w:pPr>
        <w:pStyle w:val="FootnoteText"/>
        <w:ind w:left="720" w:hanging="720"/>
      </w:pPr>
      <w:r>
        <w:rPr>
          <w:rStyle w:val="FootnoteReference"/>
        </w:rPr>
        <w:footnoteRef/>
      </w:r>
      <w:r>
        <w:t xml:space="preserve"> </w:t>
      </w:r>
      <w:r>
        <w:tab/>
      </w:r>
      <w:r w:rsidRPr="00BA75BA">
        <w:rPr>
          <w:u w:val="single"/>
        </w:rPr>
        <w:t>Re Adopting Chapter 480-107 WAC Relating to Electric Companies</w:t>
      </w:r>
      <w:r>
        <w:rPr>
          <w:u w:val="single"/>
        </w:rPr>
        <w:t xml:space="preserve"> -- </w:t>
      </w:r>
      <w:r w:rsidRPr="00BA75BA">
        <w:rPr>
          <w:u w:val="single"/>
        </w:rPr>
        <w:t>Purchases of Electricity from QF</w:t>
      </w:r>
      <w:r>
        <w:rPr>
          <w:u w:val="single"/>
        </w:rPr>
        <w:t>s</w:t>
      </w:r>
      <w:r w:rsidRPr="00BA75BA">
        <w:rPr>
          <w:u w:val="single"/>
        </w:rPr>
        <w:t xml:space="preserve"> and IPP</w:t>
      </w:r>
      <w:r>
        <w:rPr>
          <w:u w:val="single"/>
        </w:rPr>
        <w:t>s</w:t>
      </w:r>
      <w:r w:rsidRPr="00BA75BA">
        <w:rPr>
          <w:u w:val="single"/>
        </w:rPr>
        <w:t xml:space="preserve"> and Purchases of Electrical Savings from Conservation Suppliers</w:t>
      </w:r>
      <w:r>
        <w:t xml:space="preserve">, Docket U-89-2814-R, General Order No. R-304, </w:t>
      </w:r>
      <w:r>
        <w:rPr>
          <w:rFonts w:eastAsia="MS Mincho"/>
          <w:bCs/>
          <w:lang w:eastAsia="ja-JP"/>
        </w:rPr>
        <w:t xml:space="preserve">Appendix A at 5 (July 20, 1989). </w:t>
      </w:r>
    </w:p>
  </w:footnote>
  <w:footnote w:id="84">
    <w:p w14:paraId="3BE06B50" w14:textId="258CAADD" w:rsidR="00AA1510" w:rsidRDefault="00AA1510" w:rsidP="0084272C">
      <w:pPr>
        <w:pStyle w:val="FootnoteText"/>
        <w:ind w:left="720" w:hanging="720"/>
      </w:pPr>
      <w:r>
        <w:rPr>
          <w:rStyle w:val="FootnoteReference"/>
        </w:rPr>
        <w:footnoteRef/>
      </w:r>
      <w:r>
        <w:t xml:space="preserve"> </w:t>
      </w:r>
      <w:r>
        <w:tab/>
      </w:r>
      <w:r w:rsidRPr="004E4074">
        <w:rPr>
          <w:bCs/>
        </w:rPr>
        <w:t>WAC 480-107-035(2): “At a minimum, the ranking criteria must recognize resource cost, market-volatility risks, demand-side resource uncertainties, resource dispatchability, resource effect on system operation, credit and financial risks to the utility, the risks imposed on ratepayers, public policies regarding resource preference adopted by Washington state or the federal government and environmental effects including those associated with resources that emit carbon dioxide. The ranking criteria must recognize differences in relative amounts of risk inherent among different technologies, fuel sources, financing arrangements, and contract provisions. The ranking process must complement power acquisition goals identified in the util</w:t>
      </w:r>
      <w:r>
        <w:rPr>
          <w:bCs/>
        </w:rPr>
        <w:t>ity's integrated resource plan.”</w:t>
      </w:r>
      <w:r w:rsidRPr="004E4074">
        <w:rPr>
          <w:bCs/>
        </w:rPr>
        <w:t xml:space="preserve"> </w:t>
      </w:r>
      <w:r w:rsidRPr="004E4074">
        <w:t xml:space="preserve"> </w:t>
      </w:r>
    </w:p>
  </w:footnote>
  <w:footnote w:id="85">
    <w:p w14:paraId="0F3027A2" w14:textId="09EF69F5" w:rsidR="00AA1510" w:rsidRDefault="00AA1510" w:rsidP="0084272C">
      <w:pPr>
        <w:pStyle w:val="FootnoteText"/>
        <w:ind w:left="720" w:hanging="720"/>
      </w:pPr>
      <w:r>
        <w:rPr>
          <w:rStyle w:val="FootnoteReference"/>
        </w:rPr>
        <w:footnoteRef/>
      </w:r>
      <w:r>
        <w:t xml:space="preserve"> </w:t>
      </w:r>
      <w:r>
        <w:tab/>
      </w:r>
      <w:r w:rsidRPr="00CC141E">
        <w:rPr>
          <w:u w:val="single"/>
        </w:rPr>
        <w:t>See</w:t>
      </w:r>
      <w:r>
        <w:t xml:space="preserve"> </w:t>
      </w:r>
      <w:r>
        <w:rPr>
          <w:u w:val="single"/>
        </w:rPr>
        <w:t>Re PGE</w:t>
      </w:r>
      <w:r w:rsidRPr="00A40276">
        <w:rPr>
          <w:u w:val="single"/>
        </w:rPr>
        <w:t xml:space="preserve"> Request for Proposals for Capacity</w:t>
      </w:r>
      <w:r>
        <w:rPr>
          <w:u w:val="single"/>
        </w:rPr>
        <w:t xml:space="preserve"> and Baseload Energy</w:t>
      </w:r>
      <w:r w:rsidRPr="00A40276">
        <w:rPr>
          <w:u w:val="single"/>
        </w:rPr>
        <w:t xml:space="preserve"> Resources</w:t>
      </w:r>
      <w:r w:rsidRPr="00A40276">
        <w:t>, OPUC Docket No. UM 1535</w:t>
      </w:r>
      <w:r>
        <w:t>, Order No. 12-215 at 3 (June 7, 2012).</w:t>
      </w:r>
    </w:p>
  </w:footnote>
  <w:footnote w:id="86">
    <w:p w14:paraId="79C9D459" w14:textId="777F75CF" w:rsidR="00AA1510" w:rsidRDefault="00AA1510" w:rsidP="00404E44">
      <w:pPr>
        <w:pStyle w:val="FootnoteText"/>
        <w:ind w:left="720" w:hanging="720"/>
      </w:pPr>
      <w:r>
        <w:rPr>
          <w:rStyle w:val="FootnoteReference"/>
        </w:rPr>
        <w:footnoteRef/>
      </w:r>
      <w:r>
        <w:t xml:space="preserve"> </w:t>
      </w:r>
      <w:r>
        <w:tab/>
      </w:r>
      <w:r w:rsidRPr="00880676">
        <w:rPr>
          <w:u w:val="single"/>
        </w:rPr>
        <w:t>Re PGE Petition for Partial Waiver of Competitive Bidding Guidelines and Approval of Request for Proposals (RFP) Schedule</w:t>
      </w:r>
      <w:r>
        <w:t>; NIPPC Final Comments at 5-11 (July 27</w:t>
      </w:r>
      <w:r w:rsidRPr="00880676">
        <w:t xml:space="preserve">, 2016).  </w:t>
      </w:r>
    </w:p>
  </w:footnote>
  <w:footnote w:id="87">
    <w:p w14:paraId="573504AC" w14:textId="397D8EA1" w:rsidR="00AA1510" w:rsidRDefault="00AA1510" w:rsidP="0084272C">
      <w:pPr>
        <w:pStyle w:val="FootnoteText"/>
        <w:ind w:left="720" w:hanging="720"/>
      </w:pPr>
      <w:r w:rsidRPr="00FC0E70">
        <w:rPr>
          <w:rStyle w:val="FootnoteReference"/>
        </w:rPr>
        <w:footnoteRef/>
      </w:r>
      <w:r>
        <w:t xml:space="preserve"> </w:t>
      </w:r>
      <w:r>
        <w:tab/>
      </w:r>
      <w:r w:rsidRPr="0063203E">
        <w:rPr>
          <w:iCs/>
          <w:u w:val="single"/>
        </w:rPr>
        <w:t>Re PacifiCorp Request for Approval of Final Draft 2011 All Source Request for Proposals,</w:t>
      </w:r>
      <w:r w:rsidRPr="0063203E">
        <w:rPr>
          <w:iCs/>
        </w:rPr>
        <w:t xml:space="preserve"> OPUC Docket No. UM 1540, Order No. 12-111, Appendix A at 15 (Mar. 27, 2012).</w:t>
      </w:r>
    </w:p>
  </w:footnote>
  <w:footnote w:id="88">
    <w:p w14:paraId="7FE7EBEF" w14:textId="20D57C66" w:rsidR="00AA1510" w:rsidRDefault="00AA1510" w:rsidP="0084272C">
      <w:pPr>
        <w:pStyle w:val="FootnoteText"/>
        <w:ind w:left="720" w:hanging="720"/>
      </w:pPr>
      <w:r>
        <w:rPr>
          <w:rStyle w:val="FootnoteReference"/>
        </w:rPr>
        <w:footnoteRef/>
      </w:r>
      <w:r>
        <w:t xml:space="preserve"> </w:t>
      </w:r>
      <w:r>
        <w:tab/>
      </w:r>
      <w:r>
        <w:rPr>
          <w:u w:val="single"/>
        </w:rPr>
        <w:t>E.g.</w:t>
      </w:r>
      <w:r>
        <w:t>, PSE 2015 IRP, I-3; PacifiCorp 2015 IRP at 47-61, 133-34.</w:t>
      </w:r>
    </w:p>
  </w:footnote>
  <w:footnote w:id="89">
    <w:p w14:paraId="7C8B2F25" w14:textId="0D212720" w:rsidR="00AA1510" w:rsidRDefault="00AA1510" w:rsidP="0084272C">
      <w:pPr>
        <w:pStyle w:val="FootnoteText"/>
        <w:ind w:left="720" w:hanging="720"/>
      </w:pPr>
      <w:r>
        <w:rPr>
          <w:rStyle w:val="FootnoteReference"/>
        </w:rPr>
        <w:footnoteRef/>
      </w:r>
      <w:r>
        <w:t xml:space="preserve"> </w:t>
      </w:r>
      <w:r>
        <w:tab/>
        <w:t>OPUC</w:t>
      </w:r>
      <w:r w:rsidRPr="00AA7848">
        <w:t xml:space="preserve"> </w:t>
      </w:r>
      <w:r>
        <w:t>Public Meeting, PacifiCorp Presentation Re</w:t>
      </w:r>
      <w:r w:rsidRPr="00AA7848">
        <w:t xml:space="preserve"> </w:t>
      </w:r>
      <w:r>
        <w:t>O</w:t>
      </w:r>
      <w:r w:rsidRPr="00AA7848">
        <w:t xml:space="preserve">ngoing </w:t>
      </w:r>
      <w:r>
        <w:t>R</w:t>
      </w:r>
      <w:r w:rsidRPr="00AA7848">
        <w:t>enewable and REC RFP</w:t>
      </w:r>
      <w:r>
        <w:t xml:space="preserve"> at 21-22 (July 26, 2016) </w:t>
      </w:r>
    </w:p>
  </w:footnote>
  <w:footnote w:id="90">
    <w:p w14:paraId="2132F84A" w14:textId="149ED607" w:rsidR="00AA1510" w:rsidRDefault="00AA1510" w:rsidP="0084272C">
      <w:pPr>
        <w:pStyle w:val="FootnoteText"/>
        <w:ind w:left="720" w:hanging="720"/>
      </w:pPr>
      <w:r>
        <w:rPr>
          <w:rStyle w:val="FootnoteReference"/>
        </w:rPr>
        <w:footnoteRef/>
      </w:r>
      <w:r>
        <w:t xml:space="preserve"> </w:t>
      </w:r>
      <w:r>
        <w:tab/>
      </w:r>
      <w:r w:rsidRPr="00CC141E">
        <w:rPr>
          <w:u w:val="single"/>
        </w:rPr>
        <w:t>See</w:t>
      </w:r>
      <w:r>
        <w:t xml:space="preserve"> </w:t>
      </w:r>
      <w:r w:rsidRPr="00CC141E">
        <w:rPr>
          <w:u w:val="single"/>
        </w:rPr>
        <w:t>e.g.</w:t>
      </w:r>
      <w:r>
        <w:t xml:space="preserve">, </w:t>
      </w:r>
      <w:r w:rsidRPr="00B84190">
        <w:rPr>
          <w:u w:val="single"/>
        </w:rPr>
        <w:t xml:space="preserve">Re </w:t>
      </w:r>
      <w:r>
        <w:rPr>
          <w:u w:val="single"/>
        </w:rPr>
        <w:t>PGE</w:t>
      </w:r>
      <w:r w:rsidRPr="00A40276">
        <w:rPr>
          <w:u w:val="single"/>
        </w:rPr>
        <w:t xml:space="preserve"> Request for Proposals for Capacity</w:t>
      </w:r>
      <w:r>
        <w:rPr>
          <w:u w:val="single"/>
        </w:rPr>
        <w:t xml:space="preserve"> and Baseload Energy</w:t>
      </w:r>
      <w:r w:rsidRPr="00A40276">
        <w:rPr>
          <w:u w:val="single"/>
        </w:rPr>
        <w:t xml:space="preserve"> Resources</w:t>
      </w:r>
      <w:r w:rsidRPr="00B84190">
        <w:t xml:space="preserve">, </w:t>
      </w:r>
      <w:r>
        <w:t xml:space="preserve">OPUC </w:t>
      </w:r>
      <w:r w:rsidRPr="00B84190">
        <w:t xml:space="preserve">Docket No. UM 1535, Order No. 11-371 at 4-6 (Sept. 27, 2011); </w:t>
      </w:r>
      <w:r w:rsidRPr="00B84190">
        <w:rPr>
          <w:u w:val="single"/>
        </w:rPr>
        <w:t xml:space="preserve">Re </w:t>
      </w:r>
      <w:r>
        <w:rPr>
          <w:u w:val="single"/>
        </w:rPr>
        <w:t>PGE</w:t>
      </w:r>
      <w:r w:rsidRPr="00A40276">
        <w:rPr>
          <w:u w:val="single"/>
        </w:rPr>
        <w:t xml:space="preserve"> Request for Proposals for Capacity</w:t>
      </w:r>
      <w:r>
        <w:rPr>
          <w:u w:val="single"/>
        </w:rPr>
        <w:t xml:space="preserve"> and Baseload Energy</w:t>
      </w:r>
      <w:r w:rsidRPr="00A40276">
        <w:rPr>
          <w:u w:val="single"/>
        </w:rPr>
        <w:t xml:space="preserve"> Resources</w:t>
      </w:r>
      <w:r w:rsidRPr="00B84190">
        <w:t>,</w:t>
      </w:r>
      <w:r>
        <w:t xml:space="preserve"> OPUC</w:t>
      </w:r>
      <w:r w:rsidRPr="00B84190">
        <w:t xml:space="preserve"> Docket No. UM 1535, Order No. 12-215 at 2-4 (June 7, 2012); </w:t>
      </w:r>
      <w:r w:rsidRPr="00CC141E">
        <w:rPr>
          <w:u w:val="single"/>
        </w:rPr>
        <w:t>Re PGE Petition for Partial Waiver of Competitive Bidding Guidelines and Approval of Request for Proposals (RFP) Schedule</w:t>
      </w:r>
      <w:r>
        <w:t xml:space="preserve">; NIPPC Comments at 6-10 (June 6, 2016). </w:t>
      </w:r>
      <w:r w:rsidRPr="00033E82">
        <w:t xml:space="preserve"> </w:t>
      </w:r>
    </w:p>
  </w:footnote>
  <w:footnote w:id="91">
    <w:p w14:paraId="089607D9" w14:textId="35AB5690" w:rsidR="00AA1510" w:rsidRDefault="00AA1510" w:rsidP="0084272C">
      <w:pPr>
        <w:pStyle w:val="FootnoteText"/>
        <w:ind w:left="720" w:hanging="720"/>
      </w:pPr>
      <w:r>
        <w:rPr>
          <w:rStyle w:val="FootnoteReference"/>
        </w:rPr>
        <w:footnoteRef/>
      </w:r>
      <w:r>
        <w:t xml:space="preserve"> </w:t>
      </w:r>
      <w:r>
        <w:tab/>
      </w:r>
      <w:r w:rsidRPr="002E6A68">
        <w:rPr>
          <w:u w:val="single"/>
        </w:rPr>
        <w:t>See</w:t>
      </w:r>
      <w:r>
        <w:t xml:space="preserve">, </w:t>
      </w:r>
      <w:r w:rsidRPr="00CC141E">
        <w:rPr>
          <w:u w:val="single"/>
        </w:rPr>
        <w:t>e.g</w:t>
      </w:r>
      <w:r>
        <w:rPr>
          <w:u w:val="single"/>
        </w:rPr>
        <w:t>.</w:t>
      </w:r>
      <w:r>
        <w:t xml:space="preserve">, </w:t>
      </w:r>
      <w:r w:rsidRPr="00851A1A">
        <w:rPr>
          <w:u w:val="single"/>
        </w:rPr>
        <w:t>Re</w:t>
      </w:r>
      <w:r w:rsidRPr="002E6A68">
        <w:rPr>
          <w:u w:val="single"/>
        </w:rPr>
        <w:t xml:space="preserve"> PGE Petition for Partial Waiver of Competitive Bidding Guidelines and Approval of RFP Schedule</w:t>
      </w:r>
      <w:r w:rsidRPr="002E6A68">
        <w:t xml:space="preserve">, </w:t>
      </w:r>
      <w:r>
        <w:t xml:space="preserve">OPUC </w:t>
      </w:r>
      <w:r w:rsidRPr="002E6A68">
        <w:t>Docket No. UM 1773, Order No. 16-280, Appendix A at 5-6 (July 29, 2016)</w:t>
      </w:r>
      <w:r>
        <w:t xml:space="preserve">; </w:t>
      </w:r>
      <w:r w:rsidRPr="00D62188">
        <w:rPr>
          <w:u w:val="single"/>
        </w:rPr>
        <w:t>PáTu v. PGE</w:t>
      </w:r>
      <w:r>
        <w:t>, 151 FERC ¶ 61,223,</w:t>
      </w:r>
      <w:r w:rsidRPr="00D62188">
        <w:t xml:space="preserve"> (2015)</w:t>
      </w:r>
      <w:r>
        <w:t xml:space="preserve"> </w:t>
      </w:r>
      <w:r w:rsidRPr="00CC141E">
        <w:rPr>
          <w:u w:val="single"/>
        </w:rPr>
        <w:t>rehearing</w:t>
      </w:r>
      <w:r>
        <w:t xml:space="preserve"> </w:t>
      </w:r>
      <w:r w:rsidRPr="00CC141E">
        <w:rPr>
          <w:u w:val="single"/>
        </w:rPr>
        <w:t>denied</w:t>
      </w:r>
      <w:r>
        <w:t xml:space="preserve"> 154 FERC ¶ 61,167 </w:t>
      </w:r>
      <w:r w:rsidRPr="00D62188">
        <w:t>(2016)</w:t>
      </w:r>
      <w:r>
        <w:t xml:space="preserve"> (utility imposed unjust and unreasonable scheduling requirements on a QF while using less burdensome requirements for its own generation)</w:t>
      </w:r>
      <w:r w:rsidRPr="00D62188">
        <w:t>.</w:t>
      </w:r>
    </w:p>
  </w:footnote>
  <w:footnote w:id="92">
    <w:p w14:paraId="09361CD5" w14:textId="1B7FE945" w:rsidR="00AA1510" w:rsidRDefault="00AA1510" w:rsidP="0084272C">
      <w:pPr>
        <w:pStyle w:val="FootnoteText"/>
        <w:ind w:left="720" w:hanging="720"/>
      </w:pPr>
      <w:r>
        <w:rPr>
          <w:rStyle w:val="FootnoteReference"/>
        </w:rPr>
        <w:footnoteRef/>
      </w:r>
      <w:r>
        <w:t xml:space="preserve"> </w:t>
      </w:r>
      <w:r>
        <w:tab/>
      </w:r>
      <w:r w:rsidRPr="00AF4B7D">
        <w:rPr>
          <w:u w:val="single"/>
        </w:rPr>
        <w:t>Re PGE Partial Waiver of Competitive Bidding Guidelines</w:t>
      </w:r>
      <w:r>
        <w:rPr>
          <w:u w:val="single"/>
        </w:rPr>
        <w:t xml:space="preserve"> </w:t>
      </w:r>
      <w:r w:rsidRPr="002E6A68">
        <w:rPr>
          <w:u w:val="single"/>
        </w:rPr>
        <w:t>and Approval of RFP Schedule</w:t>
      </w:r>
      <w:r>
        <w:t>, OPUC Docket No. UM 1773, PGE RFP for Renewable Energy Resources at 17 (May 9, 2016).</w:t>
      </w:r>
    </w:p>
  </w:footnote>
  <w:footnote w:id="93">
    <w:p w14:paraId="7BFCC65B" w14:textId="77777777" w:rsidR="00AA1510" w:rsidRDefault="00AA1510" w:rsidP="0084272C">
      <w:pPr>
        <w:pStyle w:val="FootnoteText"/>
        <w:ind w:left="720" w:hanging="720"/>
      </w:pPr>
      <w:r>
        <w:rPr>
          <w:rStyle w:val="FootnoteReference"/>
        </w:rPr>
        <w:footnoteRef/>
      </w:r>
      <w:r>
        <w:t xml:space="preserve"> </w:t>
      </w:r>
      <w:r>
        <w:tab/>
        <w:t xml:space="preserve">Notably, one bidder insisted on remaining anonymous, calling itself an “Unnamed Bidder.”  This demonstrates the reluctance of bidders to push back against onerous and biased RFP requirements because of a fear of utility retaliation. </w:t>
      </w:r>
    </w:p>
  </w:footnote>
  <w:footnote w:id="94">
    <w:p w14:paraId="2B528CFE" w14:textId="005E9730" w:rsidR="00AA1510" w:rsidRDefault="00AA1510" w:rsidP="0084272C">
      <w:pPr>
        <w:pStyle w:val="FootnoteText"/>
        <w:ind w:left="720" w:hanging="720"/>
      </w:pPr>
      <w:r>
        <w:rPr>
          <w:rStyle w:val="FootnoteReference"/>
        </w:rPr>
        <w:footnoteRef/>
      </w:r>
      <w:r>
        <w:t xml:space="preserve"> </w:t>
      </w:r>
      <w:r>
        <w:tab/>
      </w:r>
      <w:r w:rsidRPr="00AF4B7D">
        <w:rPr>
          <w:u w:val="single"/>
        </w:rPr>
        <w:t>Re PGE Partial Waiver of Competitive Bidding Guidelines</w:t>
      </w:r>
      <w:r>
        <w:rPr>
          <w:u w:val="single"/>
        </w:rPr>
        <w:t xml:space="preserve"> </w:t>
      </w:r>
      <w:r w:rsidRPr="002E6A68">
        <w:rPr>
          <w:u w:val="single"/>
        </w:rPr>
        <w:t>and Approval of RFP Schedule</w:t>
      </w:r>
      <w:r>
        <w:t>, OPUC Docket No. UM 1773, PGE RFP for Renewable Energy Resources at 9, Attachment A at 18 (July 13, 2016).</w:t>
      </w:r>
    </w:p>
  </w:footnote>
  <w:footnote w:id="95">
    <w:p w14:paraId="3D107D30" w14:textId="49495091" w:rsidR="00AA1510" w:rsidRDefault="00AA1510" w:rsidP="00F01574">
      <w:pPr>
        <w:pStyle w:val="FootnoteText"/>
        <w:ind w:left="720" w:hanging="720"/>
      </w:pPr>
      <w:r>
        <w:rPr>
          <w:rStyle w:val="FootnoteReference"/>
        </w:rPr>
        <w:footnoteRef/>
      </w:r>
      <w:r>
        <w:t xml:space="preserve"> </w:t>
      </w:r>
      <w:r>
        <w:tab/>
        <w:t xml:space="preserve">The OPUC considered, but rejected the use of bid adders to address utility ownership bias and risks in the RFP process.  </w:t>
      </w:r>
      <w:r w:rsidRPr="00306589">
        <w:rPr>
          <w:u w:val="single"/>
        </w:rPr>
        <w:t>Re NIPPC Petition for an Investigation Regarding Competitive Bidding</w:t>
      </w:r>
      <w:r w:rsidRPr="00306589">
        <w:t>, OPUC Docket No. UM 1182,</w:t>
      </w:r>
      <w:r>
        <w:t xml:space="preserve"> Order No. 13-204 (June 10, 2013).</w:t>
      </w:r>
    </w:p>
  </w:footnote>
  <w:footnote w:id="96">
    <w:p w14:paraId="4D008A69" w14:textId="63618320" w:rsidR="00AA1510" w:rsidRDefault="00AA1510" w:rsidP="008F68F6">
      <w:pPr>
        <w:pStyle w:val="FootnoteText"/>
        <w:ind w:left="720" w:hanging="720"/>
      </w:pPr>
      <w:r>
        <w:rPr>
          <w:rStyle w:val="FootnoteReference"/>
        </w:rPr>
        <w:footnoteRef/>
      </w:r>
      <w:r>
        <w:t xml:space="preserve"> </w:t>
      </w:r>
      <w:r>
        <w:tab/>
      </w:r>
      <w:r w:rsidRPr="009560A7">
        <w:rPr>
          <w:u w:val="single"/>
        </w:rPr>
        <w:t>See</w:t>
      </w:r>
      <w:r>
        <w:t xml:space="preserve"> Alisa Opar, Duke Energy: Looking for Payback, </w:t>
      </w:r>
      <w:r w:rsidRPr="00851A1A">
        <w:rPr>
          <w:smallCaps/>
        </w:rPr>
        <w:t>Audubon</w:t>
      </w:r>
      <w:r>
        <w:t xml:space="preserve"> (June 26, 2015), </w:t>
      </w:r>
      <w:r w:rsidRPr="009560A7">
        <w:t>http://www.audubon.org/news/duke-energy-looking-payback</w:t>
      </w:r>
      <w:r>
        <w:t xml:space="preserve">.  (indicating PacifiCorp was required to pay $2.5 million in fines for similar violations); </w:t>
      </w:r>
      <w:r w:rsidRPr="004B3DF5">
        <w:rPr>
          <w:rFonts w:eastAsia="MS Mincho"/>
          <w:u w:val="single"/>
          <w:lang w:eastAsia="ja-JP"/>
        </w:rPr>
        <w:t>see</w:t>
      </w:r>
      <w:r w:rsidRPr="00CC141E">
        <w:rPr>
          <w:rFonts w:eastAsia="MS Mincho"/>
          <w:lang w:eastAsia="ja-JP"/>
        </w:rPr>
        <w:t xml:space="preserve"> </w:t>
      </w:r>
      <w:r w:rsidRPr="004B3DF5">
        <w:rPr>
          <w:rFonts w:eastAsia="MS Mincho"/>
          <w:u w:val="single"/>
          <w:lang w:eastAsia="ja-JP"/>
        </w:rPr>
        <w:t>also</w:t>
      </w:r>
      <w:r>
        <w:t xml:space="preserve"> </w:t>
      </w:r>
      <w:r w:rsidRPr="00851A1A">
        <w:rPr>
          <w:smallCaps/>
        </w:rPr>
        <w:t>Indian Countr</w:t>
      </w:r>
      <w:r w:rsidRPr="007C7901">
        <w:rPr>
          <w:smallCaps/>
        </w:rPr>
        <w:t>y</w:t>
      </w:r>
      <w:r>
        <w:t xml:space="preserve">, Wind Power Co. to Pay $2.5 Million for Killing Golden Eagles, Other Protected Birds (Jan. 9, 2015), </w:t>
      </w:r>
      <w:r w:rsidRPr="00502DFF">
        <w:t>http://indiancountrytodaymedianetwork.com/2015/01/09/wind-power-co-pay-25-million-killing-golden-eagles-other-protected-birds-158633</w:t>
      </w:r>
      <w:r>
        <w:t xml:space="preserve">.  </w:t>
      </w:r>
    </w:p>
  </w:footnote>
  <w:footnote w:id="97">
    <w:p w14:paraId="61249D3E" w14:textId="77777777" w:rsidR="00AA1510" w:rsidRDefault="00AA1510" w:rsidP="0084272C">
      <w:pPr>
        <w:pStyle w:val="FootnoteText"/>
        <w:ind w:left="720" w:hanging="720"/>
      </w:pPr>
      <w:r>
        <w:rPr>
          <w:rStyle w:val="FootnoteReference"/>
        </w:rPr>
        <w:footnoteRef/>
      </w:r>
      <w:r>
        <w:t xml:space="preserve"> </w:t>
      </w:r>
      <w:r>
        <w:tab/>
      </w:r>
      <w:r>
        <w:rPr>
          <w:rFonts w:eastAsia="MS Mincho"/>
          <w:lang w:eastAsia="ja-JP"/>
        </w:rPr>
        <w:t>WAC</w:t>
      </w:r>
      <w:r w:rsidRPr="004B3DF5">
        <w:rPr>
          <w:rFonts w:eastAsia="MS Mincho"/>
          <w:lang w:eastAsia="ja-JP"/>
        </w:rPr>
        <w:t xml:space="preserve"> 480-107-035(1).</w:t>
      </w:r>
    </w:p>
  </w:footnote>
  <w:footnote w:id="98">
    <w:p w14:paraId="54B13920" w14:textId="77777777" w:rsidR="00AA1510" w:rsidRDefault="00AA1510" w:rsidP="0084272C">
      <w:pPr>
        <w:pStyle w:val="FootnoteText"/>
        <w:ind w:left="720" w:hanging="720"/>
      </w:pPr>
      <w:r>
        <w:rPr>
          <w:rStyle w:val="FootnoteReference"/>
        </w:rPr>
        <w:footnoteRef/>
      </w:r>
      <w:r>
        <w:t xml:space="preserve"> </w:t>
      </w:r>
      <w:r>
        <w:tab/>
      </w:r>
      <w:r w:rsidRPr="004B3DF5">
        <w:rPr>
          <w:rFonts w:eastAsia="MS Mincho"/>
          <w:lang w:eastAsia="ja-JP"/>
        </w:rPr>
        <w:t xml:space="preserve">WAC 480-107-035(5); </w:t>
      </w:r>
      <w:r w:rsidRPr="004B3DF5">
        <w:rPr>
          <w:rFonts w:eastAsia="MS Mincho"/>
          <w:u w:val="single"/>
          <w:lang w:eastAsia="ja-JP"/>
        </w:rPr>
        <w:t>see</w:t>
      </w:r>
      <w:r w:rsidRPr="00CC141E">
        <w:rPr>
          <w:rFonts w:eastAsia="MS Mincho"/>
          <w:lang w:eastAsia="ja-JP"/>
        </w:rPr>
        <w:t xml:space="preserve"> </w:t>
      </w:r>
      <w:r w:rsidRPr="004B3DF5">
        <w:rPr>
          <w:rFonts w:eastAsia="MS Mincho"/>
          <w:u w:val="single"/>
          <w:lang w:eastAsia="ja-JP"/>
        </w:rPr>
        <w:t>also</w:t>
      </w:r>
      <w:r w:rsidRPr="004B3DF5">
        <w:rPr>
          <w:rFonts w:eastAsia="MS Mincho"/>
          <w:lang w:eastAsia="ja-JP"/>
        </w:rPr>
        <w:t xml:space="preserve"> WAC 480-107-045(1) (stating </w:t>
      </w:r>
      <w:r w:rsidRPr="00083ADD">
        <w:rPr>
          <w:rFonts w:eastAsia="MS Mincho"/>
          <w:i/>
          <w:lang w:eastAsia="ja-JP"/>
        </w:rPr>
        <w:t>utility</w:t>
      </w:r>
      <w:r w:rsidRPr="004B3DF5">
        <w:rPr>
          <w:rFonts w:eastAsia="MS Mincho"/>
          <w:lang w:eastAsia="ja-JP"/>
        </w:rPr>
        <w:t xml:space="preserve"> must identify bidders that best meeting the selection criteria).</w:t>
      </w:r>
    </w:p>
  </w:footnote>
  <w:footnote w:id="99">
    <w:p w14:paraId="2DE96627" w14:textId="57313197" w:rsidR="00AA1510" w:rsidRPr="00083ADD" w:rsidRDefault="00AA1510" w:rsidP="0084272C">
      <w:pPr>
        <w:autoSpaceDE w:val="0"/>
        <w:autoSpaceDN w:val="0"/>
        <w:adjustRightInd w:val="0"/>
        <w:ind w:left="720" w:hanging="720"/>
        <w:rPr>
          <w:u w:val="single"/>
        </w:rPr>
      </w:pPr>
      <w:r>
        <w:rPr>
          <w:rStyle w:val="FootnoteReference"/>
        </w:rPr>
        <w:footnoteRef/>
      </w:r>
      <w:r>
        <w:t xml:space="preserve"> </w:t>
      </w:r>
      <w:r>
        <w:tab/>
      </w:r>
      <w:r w:rsidRPr="00A70FC1">
        <w:rPr>
          <w:rFonts w:eastAsia="MS Mincho"/>
          <w:szCs w:val="24"/>
          <w:u w:val="single"/>
          <w:lang w:eastAsia="ja-JP"/>
        </w:rPr>
        <w:t>See</w:t>
      </w:r>
      <w:r w:rsidRPr="00A70FC1">
        <w:rPr>
          <w:rFonts w:eastAsia="MS Mincho"/>
          <w:szCs w:val="24"/>
          <w:lang w:eastAsia="ja-JP"/>
        </w:rPr>
        <w:t xml:space="preserve"> </w:t>
      </w:r>
      <w:r w:rsidRPr="006E6DCD">
        <w:rPr>
          <w:u w:val="single"/>
        </w:rPr>
        <w:t>Re P</w:t>
      </w:r>
      <w:r>
        <w:rPr>
          <w:u w:val="single"/>
        </w:rPr>
        <w:t>GE Application for</w:t>
      </w:r>
      <w:r w:rsidRPr="006E6DCD">
        <w:rPr>
          <w:u w:val="single"/>
        </w:rPr>
        <w:t xml:space="preserve"> Deferral of Incremental Revenue Requirement Associated with the Carty Generating Station</w:t>
      </w:r>
      <w:r w:rsidRPr="00A70FC1">
        <w:rPr>
          <w:rFonts w:eastAsia="MS Mincho"/>
          <w:szCs w:val="24"/>
          <w:lang w:eastAsia="ja-JP"/>
        </w:rPr>
        <w:t xml:space="preserve">, </w:t>
      </w:r>
      <w:r>
        <w:rPr>
          <w:rFonts w:eastAsia="MS Mincho"/>
          <w:szCs w:val="24"/>
          <w:lang w:eastAsia="ja-JP"/>
        </w:rPr>
        <w:t xml:space="preserve">OPUC </w:t>
      </w:r>
      <w:r w:rsidRPr="00A70FC1">
        <w:rPr>
          <w:rFonts w:eastAsia="MS Mincho"/>
          <w:szCs w:val="24"/>
          <w:lang w:eastAsia="ja-JP"/>
        </w:rPr>
        <w:t>Docket No. UM 1791</w:t>
      </w:r>
      <w:r>
        <w:rPr>
          <w:rFonts w:eastAsia="MS Mincho"/>
          <w:szCs w:val="24"/>
          <w:lang w:eastAsia="ja-JP"/>
        </w:rPr>
        <w:t>, PGE Application</w:t>
      </w:r>
      <w:r w:rsidRPr="00A70FC1">
        <w:rPr>
          <w:rFonts w:eastAsia="MS Mincho"/>
          <w:szCs w:val="24"/>
          <w:lang w:eastAsia="ja-JP"/>
        </w:rPr>
        <w:t xml:space="preserve"> (July 29, 2016); </w:t>
      </w:r>
      <w:r>
        <w:rPr>
          <w:szCs w:val="24"/>
          <w:u w:val="single"/>
        </w:rPr>
        <w:t>Re</w:t>
      </w:r>
      <w:r w:rsidRPr="00083ADD">
        <w:rPr>
          <w:szCs w:val="24"/>
          <w:u w:val="single"/>
        </w:rPr>
        <w:t xml:space="preserve"> </w:t>
      </w:r>
      <w:r>
        <w:rPr>
          <w:u w:val="single"/>
        </w:rPr>
        <w:t>PGE</w:t>
      </w:r>
      <w:r w:rsidRPr="00A40276">
        <w:rPr>
          <w:u w:val="single"/>
        </w:rPr>
        <w:t xml:space="preserve"> Request for Proposals for Capacity</w:t>
      </w:r>
      <w:r>
        <w:rPr>
          <w:u w:val="single"/>
        </w:rPr>
        <w:t xml:space="preserve"> and Baseload Energy</w:t>
      </w:r>
      <w:r w:rsidRPr="00A40276">
        <w:rPr>
          <w:u w:val="single"/>
        </w:rPr>
        <w:t xml:space="preserve"> Resources</w:t>
      </w:r>
      <w:r w:rsidRPr="00083ADD">
        <w:rPr>
          <w:szCs w:val="24"/>
        </w:rPr>
        <w:t>, OPUC Docket No. UM 1535</w:t>
      </w:r>
      <w:r>
        <w:rPr>
          <w:szCs w:val="24"/>
        </w:rPr>
        <w:t>, Order No. 13-345 (Sept. 20, 2003)</w:t>
      </w:r>
      <w:r w:rsidRPr="00083ADD">
        <w:rPr>
          <w:szCs w:val="24"/>
        </w:rPr>
        <w:t xml:space="preserve">; </w:t>
      </w:r>
      <w:r>
        <w:rPr>
          <w:szCs w:val="24"/>
          <w:u w:val="single"/>
        </w:rPr>
        <w:t>Re T</w:t>
      </w:r>
      <w:r w:rsidRPr="00083ADD">
        <w:rPr>
          <w:szCs w:val="24"/>
          <w:u w:val="single"/>
        </w:rPr>
        <w:t xml:space="preserve">routdale Energy </w:t>
      </w:r>
      <w:r>
        <w:rPr>
          <w:szCs w:val="24"/>
          <w:u w:val="single"/>
        </w:rPr>
        <w:t xml:space="preserve">Center, LLC, Petition for </w:t>
      </w:r>
      <w:r w:rsidRPr="00083ADD">
        <w:rPr>
          <w:szCs w:val="24"/>
          <w:u w:val="single"/>
        </w:rPr>
        <w:t>Declaratory Ruling</w:t>
      </w:r>
      <w:r w:rsidRPr="00083ADD">
        <w:rPr>
          <w:szCs w:val="24"/>
        </w:rPr>
        <w:t>, OPUC Docket No. DR 46</w:t>
      </w:r>
      <w:r>
        <w:rPr>
          <w:szCs w:val="24"/>
        </w:rPr>
        <w:t>, Order No. 13-346</w:t>
      </w:r>
      <w:r w:rsidRPr="00083ADD">
        <w:rPr>
          <w:szCs w:val="24"/>
        </w:rPr>
        <w:t xml:space="preserve"> </w:t>
      </w:r>
      <w:r>
        <w:rPr>
          <w:szCs w:val="24"/>
        </w:rPr>
        <w:t xml:space="preserve">(Sept. 20, 2013) </w:t>
      </w:r>
      <w:r w:rsidRPr="00083ADD">
        <w:rPr>
          <w:szCs w:val="24"/>
        </w:rPr>
        <w:t>(</w:t>
      </w:r>
      <w:r>
        <w:rPr>
          <w:szCs w:val="24"/>
        </w:rPr>
        <w:t xml:space="preserve">representing </w:t>
      </w:r>
      <w:r w:rsidRPr="00083ADD">
        <w:rPr>
          <w:szCs w:val="24"/>
        </w:rPr>
        <w:t xml:space="preserve">two related requests for </w:t>
      </w:r>
      <w:r>
        <w:rPr>
          <w:szCs w:val="24"/>
        </w:rPr>
        <w:t>the OPUC to take preventive action prior to acquisition of Carty in the RFP</w:t>
      </w:r>
      <w:r w:rsidRPr="00083ADD">
        <w:rPr>
          <w:szCs w:val="24"/>
        </w:rPr>
        <w:t>).</w:t>
      </w:r>
    </w:p>
  </w:footnote>
  <w:footnote w:id="100">
    <w:p w14:paraId="6E00C4BA" w14:textId="0B40E101" w:rsidR="00AA1510" w:rsidRDefault="00AA1510" w:rsidP="0084272C">
      <w:pPr>
        <w:pStyle w:val="FootnoteText"/>
        <w:ind w:left="720" w:hanging="720"/>
      </w:pPr>
      <w:r>
        <w:rPr>
          <w:rStyle w:val="FootnoteReference"/>
        </w:rPr>
        <w:footnoteRef/>
      </w:r>
      <w:r>
        <w:t xml:space="preserve"> </w:t>
      </w:r>
      <w:r>
        <w:tab/>
      </w:r>
      <w:r>
        <w:rPr>
          <w:u w:val="single"/>
        </w:rPr>
        <w:t xml:space="preserve">Re NIPPC </w:t>
      </w:r>
      <w:r w:rsidRPr="005B56DD">
        <w:rPr>
          <w:u w:val="single"/>
        </w:rPr>
        <w:t>Petition for an Investigation Regarding Competitive Bidding</w:t>
      </w:r>
      <w:r>
        <w:rPr>
          <w:rFonts w:eastAsia="MS Mincho"/>
          <w:lang w:eastAsia="ja-JP"/>
        </w:rPr>
        <w:t>, OPUC Docket No. UM 1182,</w:t>
      </w:r>
      <w:r w:rsidRPr="00CC141E">
        <w:rPr>
          <w:rFonts w:eastAsia="MS Mincho"/>
          <w:lang w:eastAsia="ja-JP"/>
        </w:rPr>
        <w:t xml:space="preserve"> </w:t>
      </w:r>
      <w:r>
        <w:rPr>
          <w:rFonts w:eastAsia="MS Mincho"/>
          <w:lang w:eastAsia="ja-JP"/>
        </w:rPr>
        <w:t>Order No. 14-149 at 14 (Apr. 30, 2014).</w:t>
      </w:r>
    </w:p>
  </w:footnote>
  <w:footnote w:id="101">
    <w:p w14:paraId="2E87F641" w14:textId="77777777" w:rsidR="00AA1510" w:rsidRPr="00083ADD" w:rsidRDefault="00AA1510" w:rsidP="0084272C">
      <w:pPr>
        <w:pStyle w:val="FootnoteText"/>
        <w:ind w:left="720" w:hanging="720"/>
        <w:rPr>
          <w:u w:val="single"/>
        </w:rPr>
      </w:pPr>
      <w:r>
        <w:rPr>
          <w:rStyle w:val="FootnoteReference"/>
        </w:rPr>
        <w:footnoteRef/>
      </w:r>
      <w:r>
        <w:t xml:space="preserve"> </w:t>
      </w:r>
      <w:r>
        <w:tab/>
      </w:r>
      <w:r>
        <w:rPr>
          <w:u w:val="single"/>
        </w:rPr>
        <w:t>Id.</w:t>
      </w:r>
    </w:p>
  </w:footnote>
  <w:footnote w:id="102">
    <w:p w14:paraId="30FED7A2" w14:textId="77777777" w:rsidR="00AA1510" w:rsidRPr="00083ADD" w:rsidRDefault="00AA1510" w:rsidP="0084272C">
      <w:pPr>
        <w:pStyle w:val="FootnoteText"/>
        <w:ind w:left="720" w:hanging="720"/>
        <w:rPr>
          <w:u w:val="single"/>
        </w:rPr>
      </w:pPr>
      <w:r>
        <w:rPr>
          <w:rStyle w:val="FootnoteReference"/>
        </w:rPr>
        <w:footnoteRef/>
      </w:r>
      <w:r>
        <w:t xml:space="preserve"> </w:t>
      </w:r>
      <w:r>
        <w:tab/>
      </w:r>
      <w:r>
        <w:rPr>
          <w:u w:val="single"/>
        </w:rPr>
        <w:t>Id.</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224D"/>
    <w:multiLevelType w:val="hybridMultilevel"/>
    <w:tmpl w:val="3DB48B48"/>
    <w:lvl w:ilvl="0" w:tplc="2DDC9F0E">
      <w:start w:val="1"/>
      <w:numFmt w:val="decimal"/>
      <w:lvlText w:val="%1."/>
      <w:lvlJc w:val="right"/>
      <w:pPr>
        <w:ind w:left="1440" w:hanging="360"/>
      </w:pPr>
      <w:rPr>
        <w:rFonts w:ascii="Times New Roman" w:hAnsi="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98C62A7"/>
    <w:multiLevelType w:val="hybridMultilevel"/>
    <w:tmpl w:val="B9F6B736"/>
    <w:lvl w:ilvl="0" w:tplc="04090001">
      <w:start w:val="1"/>
      <w:numFmt w:val="bullet"/>
      <w:lvlText w:val=""/>
      <w:lvlJc w:val="left"/>
      <w:pPr>
        <w:ind w:left="720" w:hanging="360"/>
      </w:pPr>
      <w:rPr>
        <w:rFonts w:ascii="Symbol" w:hAnsi="Symbol" w:hint="default"/>
      </w:rPr>
    </w:lvl>
    <w:lvl w:ilvl="1" w:tplc="DC4028BE">
      <w:start w:val="1"/>
      <w:numFmt w:val="decimal"/>
      <w:lvlText w:val="%2."/>
      <w:lvlJc w:val="left"/>
      <w:pPr>
        <w:ind w:left="2016" w:hanging="936"/>
      </w:pPr>
      <w:rPr>
        <w:rFonts w:ascii="Times New Roman" w:eastAsia="Times New Roman" w:hAnsi="Times New Roman" w:cs="Times New Roman" w:hint="default"/>
      </w:rPr>
    </w:lvl>
    <w:lvl w:ilvl="2" w:tplc="DF6A6700">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C07FF6"/>
    <w:multiLevelType w:val="hybridMultilevel"/>
    <w:tmpl w:val="012C2C4C"/>
    <w:lvl w:ilvl="0" w:tplc="6C600760">
      <w:start w:val="1"/>
      <w:numFmt w:val="decimal"/>
      <w:lvlText w:val="%1."/>
      <w:lvlJc w:val="left"/>
      <w:pPr>
        <w:ind w:left="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0130E1"/>
    <w:multiLevelType w:val="multilevel"/>
    <w:tmpl w:val="66DA40B2"/>
    <w:lvl w:ilvl="0">
      <w:start w:val="1"/>
      <w:numFmt w:val="none"/>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15D4999"/>
    <w:multiLevelType w:val="hybridMultilevel"/>
    <w:tmpl w:val="B36E1A76"/>
    <w:lvl w:ilvl="0" w:tplc="6C600760">
      <w:start w:val="1"/>
      <w:numFmt w:val="decimal"/>
      <w:lvlText w:val="%1."/>
      <w:lvlJc w:val="left"/>
      <w:pPr>
        <w:ind w:left="0" w:hanging="360"/>
      </w:pPr>
      <w:rPr>
        <w:rFonts w:hint="default"/>
      </w:rPr>
    </w:lvl>
    <w:lvl w:ilvl="1" w:tplc="6C600760">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F7713B"/>
    <w:multiLevelType w:val="hybridMultilevel"/>
    <w:tmpl w:val="2B8AAE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0E3AE8"/>
    <w:multiLevelType w:val="multilevel"/>
    <w:tmpl w:val="83E6A54C"/>
    <w:lvl w:ilvl="0">
      <w:start w:val="1"/>
      <w:numFmt w:val="decimal"/>
      <w:lvlText w:val="%1."/>
      <w:lvlJc w:val="left"/>
      <w:pPr>
        <w:ind w:left="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126673C"/>
    <w:multiLevelType w:val="hybridMultilevel"/>
    <w:tmpl w:val="849A9B6C"/>
    <w:lvl w:ilvl="0" w:tplc="00528236">
      <w:start w:val="1"/>
      <w:numFmt w:val="decimal"/>
      <w:lvlText w:val="%1."/>
      <w:lvlJc w:val="left"/>
      <w:pPr>
        <w:ind w:left="1440" w:hanging="180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9AE42DB"/>
    <w:multiLevelType w:val="multilevel"/>
    <w:tmpl w:val="EB768D30"/>
    <w:lvl w:ilvl="0">
      <w:start w:val="1"/>
      <w:numFmt w:val="decimal"/>
      <w:lvlText w:val="%1."/>
      <w:lvlJc w:val="righ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D6E07AD"/>
    <w:multiLevelType w:val="hybridMultilevel"/>
    <w:tmpl w:val="AEF68E1A"/>
    <w:lvl w:ilvl="0" w:tplc="0409000F">
      <w:start w:val="1"/>
      <w:numFmt w:val="decimal"/>
      <w:lvlText w:val="%1."/>
      <w:lvlJc w:val="left"/>
      <w:pPr>
        <w:ind w:left="720" w:hanging="360"/>
      </w:pPr>
      <w:rPr>
        <w:rFonts w:hint="default"/>
      </w:rPr>
    </w:lvl>
    <w:lvl w:ilvl="1" w:tplc="2816233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9A5C57"/>
    <w:multiLevelType w:val="hybridMultilevel"/>
    <w:tmpl w:val="66DA40B2"/>
    <w:lvl w:ilvl="0" w:tplc="D74AED86">
      <w:start w:val="1"/>
      <w:numFmt w:val="none"/>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E53170"/>
    <w:multiLevelType w:val="hybridMultilevel"/>
    <w:tmpl w:val="A1E69D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EE7A10"/>
    <w:multiLevelType w:val="hybridMultilevel"/>
    <w:tmpl w:val="2F183434"/>
    <w:lvl w:ilvl="0" w:tplc="6C600760">
      <w:start w:val="1"/>
      <w:numFmt w:val="decimal"/>
      <w:lvlText w:val="%1."/>
      <w:lvlJc w:val="left"/>
      <w:pPr>
        <w:ind w:left="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F013C2"/>
    <w:multiLevelType w:val="multilevel"/>
    <w:tmpl w:val="849A9B6C"/>
    <w:lvl w:ilvl="0">
      <w:start w:val="1"/>
      <w:numFmt w:val="decimal"/>
      <w:lvlText w:val="%1."/>
      <w:lvlJc w:val="left"/>
      <w:pPr>
        <w:ind w:left="1440" w:hanging="180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nsid w:val="351F167A"/>
    <w:multiLevelType w:val="multilevel"/>
    <w:tmpl w:val="0186CD60"/>
    <w:lvl w:ilvl="0">
      <w:start w:val="1"/>
      <w:numFmt w:val="decimal"/>
      <w:lvlText w:val="%1."/>
      <w:lvlJc w:val="left"/>
      <w:pPr>
        <w:ind w:left="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75B7001"/>
    <w:multiLevelType w:val="hybridMultilevel"/>
    <w:tmpl w:val="2B8AAE9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CFA108E"/>
    <w:multiLevelType w:val="hybridMultilevel"/>
    <w:tmpl w:val="97368E60"/>
    <w:lvl w:ilvl="0" w:tplc="6C600760">
      <w:start w:val="1"/>
      <w:numFmt w:val="decimal"/>
      <w:lvlText w:val="%1."/>
      <w:lvlJc w:val="left"/>
      <w:pPr>
        <w:ind w:left="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0827790"/>
    <w:multiLevelType w:val="hybridMultilevel"/>
    <w:tmpl w:val="A9B896AA"/>
    <w:lvl w:ilvl="0" w:tplc="0409000F">
      <w:start w:val="1"/>
      <w:numFmt w:val="decimal"/>
      <w:lvlText w:val="%1."/>
      <w:lvlJc w:val="left"/>
      <w:pPr>
        <w:ind w:left="720" w:hanging="360"/>
      </w:pPr>
    </w:lvl>
    <w:lvl w:ilvl="1" w:tplc="DC4028BE">
      <w:start w:val="1"/>
      <w:numFmt w:val="decimal"/>
      <w:lvlText w:val="%2."/>
      <w:lvlJc w:val="left"/>
      <w:pPr>
        <w:ind w:left="2016" w:hanging="936"/>
      </w:pPr>
      <w:rPr>
        <w:rFonts w:ascii="Times New Roman" w:eastAsia="Times New Roman" w:hAnsi="Times New Roman" w:cs="Times New Roman" w:hint="default"/>
      </w:rPr>
    </w:lvl>
    <w:lvl w:ilvl="2" w:tplc="DF6A6700">
      <w:start w:val="1"/>
      <w:numFmt w:val="upperLetter"/>
      <w:lvlText w:val="%3."/>
      <w:lvlJc w:val="left"/>
      <w:pPr>
        <w:ind w:left="2340" w:hanging="360"/>
      </w:pPr>
      <w:rPr>
        <w:rFonts w:hint="default"/>
      </w:rPr>
    </w:lvl>
    <w:lvl w:ilvl="3" w:tplc="9E8850E4">
      <w:start w:val="2"/>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3F2A6B"/>
    <w:multiLevelType w:val="multilevel"/>
    <w:tmpl w:val="83E6A54C"/>
    <w:lvl w:ilvl="0">
      <w:start w:val="1"/>
      <w:numFmt w:val="decimal"/>
      <w:lvlText w:val="%1."/>
      <w:lvlJc w:val="left"/>
      <w:pPr>
        <w:ind w:left="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3F30150"/>
    <w:multiLevelType w:val="hybridMultilevel"/>
    <w:tmpl w:val="0186CD60"/>
    <w:lvl w:ilvl="0" w:tplc="6C600760">
      <w:start w:val="1"/>
      <w:numFmt w:val="decimal"/>
      <w:lvlText w:val="%1."/>
      <w:lvlJc w:val="left"/>
      <w:pPr>
        <w:ind w:left="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9116DD"/>
    <w:multiLevelType w:val="hybridMultilevel"/>
    <w:tmpl w:val="ADC637F2"/>
    <w:lvl w:ilvl="0" w:tplc="6C600760">
      <w:start w:val="1"/>
      <w:numFmt w:val="decimal"/>
      <w:lvlText w:val="%1."/>
      <w:lvlJc w:val="left"/>
      <w:pPr>
        <w:ind w:left="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9D3624"/>
    <w:multiLevelType w:val="multilevel"/>
    <w:tmpl w:val="3DB48B48"/>
    <w:lvl w:ilvl="0">
      <w:start w:val="1"/>
      <w:numFmt w:val="decimal"/>
      <w:lvlText w:val="%1."/>
      <w:lvlJc w:val="right"/>
      <w:pPr>
        <w:ind w:left="1440" w:hanging="360"/>
      </w:pPr>
      <w:rPr>
        <w:rFonts w:ascii="Times New Roman" w:hAnsi="Times New Roman"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nsid w:val="4F6A57F2"/>
    <w:multiLevelType w:val="hybridMultilevel"/>
    <w:tmpl w:val="3D6A5E4C"/>
    <w:lvl w:ilvl="0" w:tplc="565EB126">
      <w:start w:val="1"/>
      <w:numFmt w:val="decimal"/>
      <w:lvlText w:val="%1."/>
      <w:lvlJc w:val="right"/>
      <w:pPr>
        <w:ind w:left="1440" w:hanging="1440"/>
      </w:pPr>
      <w:rPr>
        <w:rFonts w:ascii="Times New Roman" w:hAnsi="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FB767B2"/>
    <w:multiLevelType w:val="hybridMultilevel"/>
    <w:tmpl w:val="D92057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36B0535"/>
    <w:multiLevelType w:val="hybridMultilevel"/>
    <w:tmpl w:val="DB12D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3C273E0"/>
    <w:multiLevelType w:val="multilevel"/>
    <w:tmpl w:val="5F862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5BD0845"/>
    <w:multiLevelType w:val="hybridMultilevel"/>
    <w:tmpl w:val="EB768D30"/>
    <w:lvl w:ilvl="0" w:tplc="2DDC9F0E">
      <w:start w:val="1"/>
      <w:numFmt w:val="decimal"/>
      <w:lvlText w:val="%1."/>
      <w:lvlJc w:val="right"/>
      <w:pPr>
        <w:ind w:left="720" w:hanging="360"/>
      </w:pPr>
      <w:rPr>
        <w:rFonts w:ascii="Times New Roman" w:hAnsi="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2314193"/>
    <w:multiLevelType w:val="multilevel"/>
    <w:tmpl w:val="3D6A5E4C"/>
    <w:lvl w:ilvl="0">
      <w:start w:val="1"/>
      <w:numFmt w:val="decimal"/>
      <w:lvlText w:val="%1."/>
      <w:lvlJc w:val="right"/>
      <w:pPr>
        <w:ind w:left="1440" w:hanging="1440"/>
      </w:pPr>
      <w:rPr>
        <w:rFonts w:ascii="Times New Roman" w:hAnsi="Times New Roman"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8">
    <w:nsid w:val="68240538"/>
    <w:multiLevelType w:val="hybridMultilevel"/>
    <w:tmpl w:val="ED1CC8A0"/>
    <w:lvl w:ilvl="0" w:tplc="2DDC9F0E">
      <w:start w:val="1"/>
      <w:numFmt w:val="decimal"/>
      <w:lvlText w:val="%1."/>
      <w:lvlJc w:val="right"/>
      <w:pPr>
        <w:ind w:left="720" w:hanging="360"/>
      </w:pPr>
      <w:rPr>
        <w:rFonts w:ascii="Times New Roman" w:hAnsi="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C50CA2"/>
    <w:multiLevelType w:val="multilevel"/>
    <w:tmpl w:val="ADD2C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D510EFE"/>
    <w:multiLevelType w:val="hybridMultilevel"/>
    <w:tmpl w:val="0A2224B8"/>
    <w:lvl w:ilvl="0" w:tplc="A3AEDB70">
      <w:start w:val="4"/>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nsid w:val="70257E51"/>
    <w:multiLevelType w:val="hybridMultilevel"/>
    <w:tmpl w:val="923A47B6"/>
    <w:lvl w:ilvl="0" w:tplc="A552C492">
      <w:start w:val="1"/>
      <w:numFmt w:val="decimal"/>
      <w:lvlText w:val="%1."/>
      <w:lvlJc w:val="right"/>
      <w:pPr>
        <w:ind w:left="0" w:firstLine="0"/>
      </w:pPr>
      <w:rPr>
        <w:rFonts w:ascii="Times New Roman" w:hAnsi="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2707FB4"/>
    <w:multiLevelType w:val="hybridMultilevel"/>
    <w:tmpl w:val="E3CE190C"/>
    <w:lvl w:ilvl="0" w:tplc="6C600760">
      <w:start w:val="1"/>
      <w:numFmt w:val="decimal"/>
      <w:lvlText w:val="%1."/>
      <w:lvlJc w:val="left"/>
      <w:pPr>
        <w:ind w:left="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6C71166"/>
    <w:multiLevelType w:val="multilevel"/>
    <w:tmpl w:val="D920576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4">
    <w:nsid w:val="7C593ACF"/>
    <w:multiLevelType w:val="hybridMultilevel"/>
    <w:tmpl w:val="9E1AB4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D7D072B"/>
    <w:multiLevelType w:val="hybridMultilevel"/>
    <w:tmpl w:val="D5547DB8"/>
    <w:lvl w:ilvl="0" w:tplc="0409000F">
      <w:start w:val="1"/>
      <w:numFmt w:val="decimal"/>
      <w:lvlText w:val="%1."/>
      <w:lvlJc w:val="left"/>
      <w:pPr>
        <w:ind w:left="720" w:hanging="360"/>
      </w:pPr>
    </w:lvl>
    <w:lvl w:ilvl="1" w:tplc="5D2CF7C6">
      <w:start w:val="1"/>
      <w:numFmt w:val="decimal"/>
      <w:lvlText w:val="%2."/>
      <w:lvlJc w:val="left"/>
      <w:pPr>
        <w:ind w:left="2016" w:hanging="936"/>
      </w:pPr>
      <w:rPr>
        <w:rFonts w:ascii="Times New Roman" w:eastAsia="Times New Roman" w:hAnsi="Times New Roman" w:cs="Times New Roman" w:hint="default"/>
        <w:b w:val="0"/>
        <w:bCs w:val="0"/>
      </w:rPr>
    </w:lvl>
    <w:lvl w:ilvl="2" w:tplc="DF6A6700">
      <w:start w:val="1"/>
      <w:numFmt w:val="upperLetter"/>
      <w:lvlText w:val="%3."/>
      <w:lvlJc w:val="left"/>
      <w:pPr>
        <w:ind w:left="2340" w:hanging="360"/>
      </w:pPr>
      <w:rPr>
        <w:rFonts w:hint="default"/>
      </w:rPr>
    </w:lvl>
    <w:lvl w:ilvl="3" w:tplc="65DAED90">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F1A4D82"/>
    <w:multiLevelType w:val="multilevel"/>
    <w:tmpl w:val="97368E60"/>
    <w:lvl w:ilvl="0">
      <w:start w:val="1"/>
      <w:numFmt w:val="decimal"/>
      <w:lvlText w:val="%1."/>
      <w:lvlJc w:val="left"/>
      <w:pPr>
        <w:ind w:left="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30"/>
  </w:num>
  <w:num w:numId="2">
    <w:abstractNumId w:val="23"/>
  </w:num>
  <w:num w:numId="3">
    <w:abstractNumId w:val="33"/>
  </w:num>
  <w:num w:numId="4">
    <w:abstractNumId w:val="7"/>
  </w:num>
  <w:num w:numId="5">
    <w:abstractNumId w:val="13"/>
  </w:num>
  <w:num w:numId="6">
    <w:abstractNumId w:val="16"/>
  </w:num>
  <w:num w:numId="7">
    <w:abstractNumId w:val="36"/>
  </w:num>
  <w:num w:numId="8">
    <w:abstractNumId w:val="2"/>
  </w:num>
  <w:num w:numId="9">
    <w:abstractNumId w:val="6"/>
  </w:num>
  <w:num w:numId="10">
    <w:abstractNumId w:val="18"/>
  </w:num>
  <w:num w:numId="11">
    <w:abstractNumId w:val="4"/>
  </w:num>
  <w:num w:numId="12">
    <w:abstractNumId w:val="12"/>
  </w:num>
  <w:num w:numId="13">
    <w:abstractNumId w:val="20"/>
  </w:num>
  <w:num w:numId="14">
    <w:abstractNumId w:val="19"/>
  </w:num>
  <w:num w:numId="15">
    <w:abstractNumId w:val="14"/>
  </w:num>
  <w:num w:numId="16">
    <w:abstractNumId w:val="32"/>
  </w:num>
  <w:num w:numId="17">
    <w:abstractNumId w:val="11"/>
  </w:num>
  <w:num w:numId="18">
    <w:abstractNumId w:val="28"/>
  </w:num>
  <w:num w:numId="19">
    <w:abstractNumId w:val="10"/>
  </w:num>
  <w:num w:numId="20">
    <w:abstractNumId w:val="3"/>
  </w:num>
  <w:num w:numId="21">
    <w:abstractNumId w:val="26"/>
  </w:num>
  <w:num w:numId="22">
    <w:abstractNumId w:val="8"/>
  </w:num>
  <w:num w:numId="23">
    <w:abstractNumId w:val="0"/>
  </w:num>
  <w:num w:numId="24">
    <w:abstractNumId w:val="21"/>
  </w:num>
  <w:num w:numId="25">
    <w:abstractNumId w:val="22"/>
  </w:num>
  <w:num w:numId="26">
    <w:abstractNumId w:val="27"/>
  </w:num>
  <w:num w:numId="27">
    <w:abstractNumId w:val="31"/>
  </w:num>
  <w:num w:numId="28">
    <w:abstractNumId w:val="24"/>
  </w:num>
  <w:num w:numId="29">
    <w:abstractNumId w:val="29"/>
  </w:num>
  <w:num w:numId="30">
    <w:abstractNumId w:val="15"/>
  </w:num>
  <w:num w:numId="31">
    <w:abstractNumId w:val="5"/>
  </w:num>
  <w:num w:numId="32">
    <w:abstractNumId w:val="25"/>
  </w:num>
  <w:num w:numId="33">
    <w:abstractNumId w:val="35"/>
  </w:num>
  <w:num w:numId="34">
    <w:abstractNumId w:val="9"/>
  </w:num>
  <w:num w:numId="35">
    <w:abstractNumId w:val="1"/>
  </w:num>
  <w:num w:numId="36">
    <w:abstractNumId w:val="34"/>
  </w:num>
  <w:num w:numId="37">
    <w:abstractNumId w:val="17"/>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dney villanueva">
    <w15:presenceInfo w15:providerId="Windows Live" w15:userId="ee4f1ed307ebe0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5"/>
  <w:drawingGridVerticalSpacing w:val="102"/>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202"/>
    <w:rsid w:val="0000089C"/>
    <w:rsid w:val="00000A52"/>
    <w:rsid w:val="0000482B"/>
    <w:rsid w:val="00004ABB"/>
    <w:rsid w:val="000052D2"/>
    <w:rsid w:val="00005770"/>
    <w:rsid w:val="000064D0"/>
    <w:rsid w:val="000067DE"/>
    <w:rsid w:val="00006E49"/>
    <w:rsid w:val="00007990"/>
    <w:rsid w:val="00011194"/>
    <w:rsid w:val="00011931"/>
    <w:rsid w:val="000151E1"/>
    <w:rsid w:val="00015589"/>
    <w:rsid w:val="0001694D"/>
    <w:rsid w:val="00017835"/>
    <w:rsid w:val="00017A51"/>
    <w:rsid w:val="00017A94"/>
    <w:rsid w:val="00021AF5"/>
    <w:rsid w:val="00023324"/>
    <w:rsid w:val="0002356E"/>
    <w:rsid w:val="00023766"/>
    <w:rsid w:val="00024A8B"/>
    <w:rsid w:val="00025E8B"/>
    <w:rsid w:val="00031D0A"/>
    <w:rsid w:val="000331CB"/>
    <w:rsid w:val="000335CB"/>
    <w:rsid w:val="00033C5C"/>
    <w:rsid w:val="00033E82"/>
    <w:rsid w:val="00034BCE"/>
    <w:rsid w:val="00034D54"/>
    <w:rsid w:val="00035899"/>
    <w:rsid w:val="0003624D"/>
    <w:rsid w:val="00036DBB"/>
    <w:rsid w:val="0003706E"/>
    <w:rsid w:val="000418FA"/>
    <w:rsid w:val="000457F0"/>
    <w:rsid w:val="00045AE4"/>
    <w:rsid w:val="00045AEC"/>
    <w:rsid w:val="00050975"/>
    <w:rsid w:val="00052728"/>
    <w:rsid w:val="00055A72"/>
    <w:rsid w:val="000564BD"/>
    <w:rsid w:val="0006277C"/>
    <w:rsid w:val="000632C4"/>
    <w:rsid w:val="000647B0"/>
    <w:rsid w:val="000669B8"/>
    <w:rsid w:val="00066C89"/>
    <w:rsid w:val="000678A4"/>
    <w:rsid w:val="000700F1"/>
    <w:rsid w:val="00070848"/>
    <w:rsid w:val="00070BAE"/>
    <w:rsid w:val="00071502"/>
    <w:rsid w:val="000719FA"/>
    <w:rsid w:val="000721F7"/>
    <w:rsid w:val="0007348D"/>
    <w:rsid w:val="0007349E"/>
    <w:rsid w:val="00074C30"/>
    <w:rsid w:val="000765F6"/>
    <w:rsid w:val="000766FB"/>
    <w:rsid w:val="00076CAD"/>
    <w:rsid w:val="00083ADD"/>
    <w:rsid w:val="00084B69"/>
    <w:rsid w:val="00084FF6"/>
    <w:rsid w:val="00087256"/>
    <w:rsid w:val="0009077C"/>
    <w:rsid w:val="00090934"/>
    <w:rsid w:val="000909C6"/>
    <w:rsid w:val="00091A40"/>
    <w:rsid w:val="00091BC4"/>
    <w:rsid w:val="00092003"/>
    <w:rsid w:val="00092640"/>
    <w:rsid w:val="00092A51"/>
    <w:rsid w:val="000947EF"/>
    <w:rsid w:val="00094EA6"/>
    <w:rsid w:val="00096699"/>
    <w:rsid w:val="000A0419"/>
    <w:rsid w:val="000A119D"/>
    <w:rsid w:val="000A2800"/>
    <w:rsid w:val="000A2E13"/>
    <w:rsid w:val="000A32D1"/>
    <w:rsid w:val="000A409C"/>
    <w:rsid w:val="000A4BD2"/>
    <w:rsid w:val="000A5192"/>
    <w:rsid w:val="000A5C55"/>
    <w:rsid w:val="000A7B05"/>
    <w:rsid w:val="000B10C5"/>
    <w:rsid w:val="000B69BE"/>
    <w:rsid w:val="000B7DEC"/>
    <w:rsid w:val="000C0C2C"/>
    <w:rsid w:val="000C1A41"/>
    <w:rsid w:val="000C1C5E"/>
    <w:rsid w:val="000C1D0C"/>
    <w:rsid w:val="000C3516"/>
    <w:rsid w:val="000C3C3C"/>
    <w:rsid w:val="000C4BB9"/>
    <w:rsid w:val="000C5EBC"/>
    <w:rsid w:val="000C63A8"/>
    <w:rsid w:val="000C737E"/>
    <w:rsid w:val="000D018F"/>
    <w:rsid w:val="000D0B5A"/>
    <w:rsid w:val="000D1562"/>
    <w:rsid w:val="000D29B1"/>
    <w:rsid w:val="000D39EE"/>
    <w:rsid w:val="000D515D"/>
    <w:rsid w:val="000D5202"/>
    <w:rsid w:val="000D56FF"/>
    <w:rsid w:val="000D5E19"/>
    <w:rsid w:val="000D5F94"/>
    <w:rsid w:val="000D7A28"/>
    <w:rsid w:val="000E187F"/>
    <w:rsid w:val="000E18A6"/>
    <w:rsid w:val="000E3FF3"/>
    <w:rsid w:val="000E4263"/>
    <w:rsid w:val="000E456E"/>
    <w:rsid w:val="000E5B4F"/>
    <w:rsid w:val="000E6412"/>
    <w:rsid w:val="000E6A31"/>
    <w:rsid w:val="000E79AA"/>
    <w:rsid w:val="000F2D3B"/>
    <w:rsid w:val="000F3A12"/>
    <w:rsid w:val="000F3D40"/>
    <w:rsid w:val="000F7427"/>
    <w:rsid w:val="000F766B"/>
    <w:rsid w:val="000F7AAD"/>
    <w:rsid w:val="0010141C"/>
    <w:rsid w:val="00101FD6"/>
    <w:rsid w:val="00103F08"/>
    <w:rsid w:val="001047F1"/>
    <w:rsid w:val="00104A16"/>
    <w:rsid w:val="00104FA7"/>
    <w:rsid w:val="001059EF"/>
    <w:rsid w:val="00106E58"/>
    <w:rsid w:val="001076C8"/>
    <w:rsid w:val="00110897"/>
    <w:rsid w:val="0011248C"/>
    <w:rsid w:val="001138CA"/>
    <w:rsid w:val="001147FF"/>
    <w:rsid w:val="00114EE3"/>
    <w:rsid w:val="001152BE"/>
    <w:rsid w:val="001167C4"/>
    <w:rsid w:val="00116F86"/>
    <w:rsid w:val="00117A58"/>
    <w:rsid w:val="00117E20"/>
    <w:rsid w:val="00121783"/>
    <w:rsid w:val="00121817"/>
    <w:rsid w:val="00121ACC"/>
    <w:rsid w:val="0012614B"/>
    <w:rsid w:val="001274A8"/>
    <w:rsid w:val="00130904"/>
    <w:rsid w:val="00133F34"/>
    <w:rsid w:val="00134961"/>
    <w:rsid w:val="00135EE8"/>
    <w:rsid w:val="00137D61"/>
    <w:rsid w:val="0014076F"/>
    <w:rsid w:val="00140C3F"/>
    <w:rsid w:val="00141E33"/>
    <w:rsid w:val="00143E88"/>
    <w:rsid w:val="001442F5"/>
    <w:rsid w:val="0014562A"/>
    <w:rsid w:val="00145654"/>
    <w:rsid w:val="001457D5"/>
    <w:rsid w:val="00145874"/>
    <w:rsid w:val="00147142"/>
    <w:rsid w:val="0014714A"/>
    <w:rsid w:val="00147A2B"/>
    <w:rsid w:val="00147FB3"/>
    <w:rsid w:val="00150698"/>
    <w:rsid w:val="00150C57"/>
    <w:rsid w:val="00150E56"/>
    <w:rsid w:val="00152037"/>
    <w:rsid w:val="001556AC"/>
    <w:rsid w:val="00156ECA"/>
    <w:rsid w:val="00157C5B"/>
    <w:rsid w:val="001658E6"/>
    <w:rsid w:val="00165EA2"/>
    <w:rsid w:val="001664D2"/>
    <w:rsid w:val="00167792"/>
    <w:rsid w:val="00170032"/>
    <w:rsid w:val="001705B7"/>
    <w:rsid w:val="00171052"/>
    <w:rsid w:val="001728B6"/>
    <w:rsid w:val="0017309F"/>
    <w:rsid w:val="00176555"/>
    <w:rsid w:val="00181829"/>
    <w:rsid w:val="0018400B"/>
    <w:rsid w:val="001856EA"/>
    <w:rsid w:val="001920C5"/>
    <w:rsid w:val="001949BC"/>
    <w:rsid w:val="001949F8"/>
    <w:rsid w:val="0019573A"/>
    <w:rsid w:val="0019698A"/>
    <w:rsid w:val="00197344"/>
    <w:rsid w:val="001A03E0"/>
    <w:rsid w:val="001A0455"/>
    <w:rsid w:val="001A1681"/>
    <w:rsid w:val="001A398B"/>
    <w:rsid w:val="001A5A5F"/>
    <w:rsid w:val="001A65E1"/>
    <w:rsid w:val="001A7B66"/>
    <w:rsid w:val="001B1372"/>
    <w:rsid w:val="001B14B7"/>
    <w:rsid w:val="001B47DB"/>
    <w:rsid w:val="001B59EB"/>
    <w:rsid w:val="001B68FB"/>
    <w:rsid w:val="001C02E5"/>
    <w:rsid w:val="001C0359"/>
    <w:rsid w:val="001C1649"/>
    <w:rsid w:val="001C190E"/>
    <w:rsid w:val="001C2725"/>
    <w:rsid w:val="001C43DD"/>
    <w:rsid w:val="001C76DC"/>
    <w:rsid w:val="001D0AB3"/>
    <w:rsid w:val="001D13A1"/>
    <w:rsid w:val="001D2FFB"/>
    <w:rsid w:val="001D30AE"/>
    <w:rsid w:val="001D3D3E"/>
    <w:rsid w:val="001D3DBD"/>
    <w:rsid w:val="001D437F"/>
    <w:rsid w:val="001D7560"/>
    <w:rsid w:val="001D7B0E"/>
    <w:rsid w:val="001E0DFA"/>
    <w:rsid w:val="001E0F19"/>
    <w:rsid w:val="001E0FFC"/>
    <w:rsid w:val="001E16BD"/>
    <w:rsid w:val="001E29EE"/>
    <w:rsid w:val="001E2CFE"/>
    <w:rsid w:val="001E333D"/>
    <w:rsid w:val="001E5741"/>
    <w:rsid w:val="001E59E3"/>
    <w:rsid w:val="001E5D05"/>
    <w:rsid w:val="001E620C"/>
    <w:rsid w:val="001E6371"/>
    <w:rsid w:val="001E7298"/>
    <w:rsid w:val="001E740B"/>
    <w:rsid w:val="001E7A6B"/>
    <w:rsid w:val="001F2267"/>
    <w:rsid w:val="001F33A8"/>
    <w:rsid w:val="001F3B53"/>
    <w:rsid w:val="001F516F"/>
    <w:rsid w:val="001F7BDD"/>
    <w:rsid w:val="001F7DC9"/>
    <w:rsid w:val="002023C3"/>
    <w:rsid w:val="0020696B"/>
    <w:rsid w:val="00206EEB"/>
    <w:rsid w:val="00207AB6"/>
    <w:rsid w:val="00210F2F"/>
    <w:rsid w:val="00210F8A"/>
    <w:rsid w:val="002130AA"/>
    <w:rsid w:val="002152CF"/>
    <w:rsid w:val="00221413"/>
    <w:rsid w:val="00221E6E"/>
    <w:rsid w:val="00222B06"/>
    <w:rsid w:val="00222B28"/>
    <w:rsid w:val="00222C62"/>
    <w:rsid w:val="00223E30"/>
    <w:rsid w:val="002243F9"/>
    <w:rsid w:val="00226264"/>
    <w:rsid w:val="00227EB9"/>
    <w:rsid w:val="002308AC"/>
    <w:rsid w:val="002323EE"/>
    <w:rsid w:val="00232BC6"/>
    <w:rsid w:val="002333C0"/>
    <w:rsid w:val="002333FC"/>
    <w:rsid w:val="00234325"/>
    <w:rsid w:val="00234BFA"/>
    <w:rsid w:val="00234CD4"/>
    <w:rsid w:val="00235A12"/>
    <w:rsid w:val="0023756A"/>
    <w:rsid w:val="00241FE4"/>
    <w:rsid w:val="002423C2"/>
    <w:rsid w:val="00242CBA"/>
    <w:rsid w:val="00243F6C"/>
    <w:rsid w:val="00244BD3"/>
    <w:rsid w:val="00244FB2"/>
    <w:rsid w:val="0024500C"/>
    <w:rsid w:val="00245175"/>
    <w:rsid w:val="002472AD"/>
    <w:rsid w:val="00250AB3"/>
    <w:rsid w:val="0025103F"/>
    <w:rsid w:val="00251431"/>
    <w:rsid w:val="00253C9E"/>
    <w:rsid w:val="00254BFA"/>
    <w:rsid w:val="00255F15"/>
    <w:rsid w:val="00256128"/>
    <w:rsid w:val="00256E1A"/>
    <w:rsid w:val="00261F06"/>
    <w:rsid w:val="00261F0E"/>
    <w:rsid w:val="00262AAD"/>
    <w:rsid w:val="00262C05"/>
    <w:rsid w:val="00262D96"/>
    <w:rsid w:val="00262ED0"/>
    <w:rsid w:val="0026320C"/>
    <w:rsid w:val="00263237"/>
    <w:rsid w:val="00263C2E"/>
    <w:rsid w:val="002651DC"/>
    <w:rsid w:val="002654DE"/>
    <w:rsid w:val="00265986"/>
    <w:rsid w:val="00265EEB"/>
    <w:rsid w:val="00266D00"/>
    <w:rsid w:val="00267A25"/>
    <w:rsid w:val="002705D8"/>
    <w:rsid w:val="00270CDC"/>
    <w:rsid w:val="00272226"/>
    <w:rsid w:val="002734D7"/>
    <w:rsid w:val="00273BC0"/>
    <w:rsid w:val="002765C2"/>
    <w:rsid w:val="00277F57"/>
    <w:rsid w:val="00281FA7"/>
    <w:rsid w:val="002822DD"/>
    <w:rsid w:val="00283B30"/>
    <w:rsid w:val="00283EF2"/>
    <w:rsid w:val="00284C22"/>
    <w:rsid w:val="00286B90"/>
    <w:rsid w:val="00290525"/>
    <w:rsid w:val="002930D0"/>
    <w:rsid w:val="002934E0"/>
    <w:rsid w:val="002957E4"/>
    <w:rsid w:val="002A0658"/>
    <w:rsid w:val="002A079F"/>
    <w:rsid w:val="002A0852"/>
    <w:rsid w:val="002A1718"/>
    <w:rsid w:val="002A17D0"/>
    <w:rsid w:val="002A469B"/>
    <w:rsid w:val="002A4778"/>
    <w:rsid w:val="002A5C6E"/>
    <w:rsid w:val="002B133B"/>
    <w:rsid w:val="002B2175"/>
    <w:rsid w:val="002B2926"/>
    <w:rsid w:val="002B2AEE"/>
    <w:rsid w:val="002B30A3"/>
    <w:rsid w:val="002B3278"/>
    <w:rsid w:val="002B333A"/>
    <w:rsid w:val="002B4DB5"/>
    <w:rsid w:val="002B53E6"/>
    <w:rsid w:val="002B6410"/>
    <w:rsid w:val="002B7606"/>
    <w:rsid w:val="002B7984"/>
    <w:rsid w:val="002C79B9"/>
    <w:rsid w:val="002C79DE"/>
    <w:rsid w:val="002D0B8C"/>
    <w:rsid w:val="002D2873"/>
    <w:rsid w:val="002D2DA7"/>
    <w:rsid w:val="002D2E8D"/>
    <w:rsid w:val="002D3711"/>
    <w:rsid w:val="002D3D77"/>
    <w:rsid w:val="002D4C01"/>
    <w:rsid w:val="002D5FDE"/>
    <w:rsid w:val="002D698D"/>
    <w:rsid w:val="002D718B"/>
    <w:rsid w:val="002D7ADB"/>
    <w:rsid w:val="002E0B02"/>
    <w:rsid w:val="002E1AB3"/>
    <w:rsid w:val="002E2D0E"/>
    <w:rsid w:val="002E2F1B"/>
    <w:rsid w:val="002E3926"/>
    <w:rsid w:val="002E4678"/>
    <w:rsid w:val="002E6011"/>
    <w:rsid w:val="002E6A68"/>
    <w:rsid w:val="002E6BD9"/>
    <w:rsid w:val="002E6C5E"/>
    <w:rsid w:val="002F0B88"/>
    <w:rsid w:val="002F4C3E"/>
    <w:rsid w:val="002F4E81"/>
    <w:rsid w:val="002F519C"/>
    <w:rsid w:val="002F6048"/>
    <w:rsid w:val="002F66F6"/>
    <w:rsid w:val="00301C91"/>
    <w:rsid w:val="00303038"/>
    <w:rsid w:val="00303EE7"/>
    <w:rsid w:val="00304FF9"/>
    <w:rsid w:val="00306589"/>
    <w:rsid w:val="00306E7A"/>
    <w:rsid w:val="00307BBB"/>
    <w:rsid w:val="0031147F"/>
    <w:rsid w:val="003119B9"/>
    <w:rsid w:val="00312782"/>
    <w:rsid w:val="0031383B"/>
    <w:rsid w:val="003138D7"/>
    <w:rsid w:val="00313936"/>
    <w:rsid w:val="003139F2"/>
    <w:rsid w:val="0031411C"/>
    <w:rsid w:val="0031421B"/>
    <w:rsid w:val="00316C68"/>
    <w:rsid w:val="00316F6E"/>
    <w:rsid w:val="00317203"/>
    <w:rsid w:val="00317405"/>
    <w:rsid w:val="0032006F"/>
    <w:rsid w:val="0032013B"/>
    <w:rsid w:val="0032028A"/>
    <w:rsid w:val="003207E7"/>
    <w:rsid w:val="0032110B"/>
    <w:rsid w:val="003216A0"/>
    <w:rsid w:val="00322150"/>
    <w:rsid w:val="0032291B"/>
    <w:rsid w:val="00324DDD"/>
    <w:rsid w:val="00326BFC"/>
    <w:rsid w:val="00330080"/>
    <w:rsid w:val="00330180"/>
    <w:rsid w:val="00332390"/>
    <w:rsid w:val="0033356E"/>
    <w:rsid w:val="00333E63"/>
    <w:rsid w:val="00333FB9"/>
    <w:rsid w:val="0033643C"/>
    <w:rsid w:val="00337F02"/>
    <w:rsid w:val="00341C54"/>
    <w:rsid w:val="00350049"/>
    <w:rsid w:val="003500F5"/>
    <w:rsid w:val="00352390"/>
    <w:rsid w:val="00352B09"/>
    <w:rsid w:val="00354F2A"/>
    <w:rsid w:val="003557B8"/>
    <w:rsid w:val="003567FF"/>
    <w:rsid w:val="00360703"/>
    <w:rsid w:val="00360CFC"/>
    <w:rsid w:val="003617A1"/>
    <w:rsid w:val="00362720"/>
    <w:rsid w:val="00362F78"/>
    <w:rsid w:val="00364522"/>
    <w:rsid w:val="003655B9"/>
    <w:rsid w:val="0037039B"/>
    <w:rsid w:val="00370CD1"/>
    <w:rsid w:val="00371117"/>
    <w:rsid w:val="00371361"/>
    <w:rsid w:val="00373533"/>
    <w:rsid w:val="0037612A"/>
    <w:rsid w:val="00377D59"/>
    <w:rsid w:val="0038072E"/>
    <w:rsid w:val="00380930"/>
    <w:rsid w:val="00380AE4"/>
    <w:rsid w:val="00381CAE"/>
    <w:rsid w:val="00382583"/>
    <w:rsid w:val="003825FB"/>
    <w:rsid w:val="00382FA2"/>
    <w:rsid w:val="003831C1"/>
    <w:rsid w:val="003832C2"/>
    <w:rsid w:val="00385BB2"/>
    <w:rsid w:val="00385FF6"/>
    <w:rsid w:val="00386565"/>
    <w:rsid w:val="0038696D"/>
    <w:rsid w:val="00386A9C"/>
    <w:rsid w:val="00390FE8"/>
    <w:rsid w:val="003923FD"/>
    <w:rsid w:val="003927C0"/>
    <w:rsid w:val="00393AFE"/>
    <w:rsid w:val="00394B6C"/>
    <w:rsid w:val="00395ABC"/>
    <w:rsid w:val="003A0C16"/>
    <w:rsid w:val="003A3194"/>
    <w:rsid w:val="003A3F7A"/>
    <w:rsid w:val="003A68D1"/>
    <w:rsid w:val="003A7DDC"/>
    <w:rsid w:val="003B09C5"/>
    <w:rsid w:val="003B13BA"/>
    <w:rsid w:val="003B187C"/>
    <w:rsid w:val="003B1EF9"/>
    <w:rsid w:val="003B40EF"/>
    <w:rsid w:val="003B58E0"/>
    <w:rsid w:val="003B5F91"/>
    <w:rsid w:val="003C4048"/>
    <w:rsid w:val="003C4F42"/>
    <w:rsid w:val="003C5ACA"/>
    <w:rsid w:val="003C62E0"/>
    <w:rsid w:val="003C7C8A"/>
    <w:rsid w:val="003D0DC4"/>
    <w:rsid w:val="003D14F4"/>
    <w:rsid w:val="003D369D"/>
    <w:rsid w:val="003E28B0"/>
    <w:rsid w:val="003E3634"/>
    <w:rsid w:val="003E5F46"/>
    <w:rsid w:val="003E647D"/>
    <w:rsid w:val="003E6A46"/>
    <w:rsid w:val="003E71A3"/>
    <w:rsid w:val="003E76C0"/>
    <w:rsid w:val="003E7A08"/>
    <w:rsid w:val="003F0C6D"/>
    <w:rsid w:val="003F1AA7"/>
    <w:rsid w:val="003F3C58"/>
    <w:rsid w:val="003F7320"/>
    <w:rsid w:val="00400B4A"/>
    <w:rsid w:val="00400F3C"/>
    <w:rsid w:val="00401268"/>
    <w:rsid w:val="00404E44"/>
    <w:rsid w:val="00405428"/>
    <w:rsid w:val="00406BC4"/>
    <w:rsid w:val="004070D6"/>
    <w:rsid w:val="00410057"/>
    <w:rsid w:val="004101A3"/>
    <w:rsid w:val="004106EA"/>
    <w:rsid w:val="0041102A"/>
    <w:rsid w:val="0041480F"/>
    <w:rsid w:val="004151FF"/>
    <w:rsid w:val="004169C9"/>
    <w:rsid w:val="004172A6"/>
    <w:rsid w:val="00420B22"/>
    <w:rsid w:val="004239E1"/>
    <w:rsid w:val="00423F1F"/>
    <w:rsid w:val="004274FB"/>
    <w:rsid w:val="00427A85"/>
    <w:rsid w:val="00430BC9"/>
    <w:rsid w:val="00432052"/>
    <w:rsid w:val="004334C4"/>
    <w:rsid w:val="004336A7"/>
    <w:rsid w:val="00433962"/>
    <w:rsid w:val="00434DDF"/>
    <w:rsid w:val="00435D34"/>
    <w:rsid w:val="004367D2"/>
    <w:rsid w:val="00442119"/>
    <w:rsid w:val="00442290"/>
    <w:rsid w:val="00442EE0"/>
    <w:rsid w:val="00443B3D"/>
    <w:rsid w:val="00443D43"/>
    <w:rsid w:val="00443E7B"/>
    <w:rsid w:val="00443EC1"/>
    <w:rsid w:val="00445166"/>
    <w:rsid w:val="004453A7"/>
    <w:rsid w:val="004453B9"/>
    <w:rsid w:val="00446232"/>
    <w:rsid w:val="00446D85"/>
    <w:rsid w:val="00446F52"/>
    <w:rsid w:val="0045205D"/>
    <w:rsid w:val="00454391"/>
    <w:rsid w:val="00454D89"/>
    <w:rsid w:val="004556D8"/>
    <w:rsid w:val="004563C8"/>
    <w:rsid w:val="0045654E"/>
    <w:rsid w:val="0046085E"/>
    <w:rsid w:val="00460A79"/>
    <w:rsid w:val="00463242"/>
    <w:rsid w:val="00463B03"/>
    <w:rsid w:val="004655D5"/>
    <w:rsid w:val="00465707"/>
    <w:rsid w:val="004662D9"/>
    <w:rsid w:val="004666B5"/>
    <w:rsid w:val="004667C1"/>
    <w:rsid w:val="0046749C"/>
    <w:rsid w:val="00470815"/>
    <w:rsid w:val="00472CBD"/>
    <w:rsid w:val="00473347"/>
    <w:rsid w:val="00474A45"/>
    <w:rsid w:val="00474BB0"/>
    <w:rsid w:val="00475F8B"/>
    <w:rsid w:val="00476194"/>
    <w:rsid w:val="00476B44"/>
    <w:rsid w:val="0047795D"/>
    <w:rsid w:val="00480AC4"/>
    <w:rsid w:val="0048270B"/>
    <w:rsid w:val="00482D6D"/>
    <w:rsid w:val="004836C5"/>
    <w:rsid w:val="00483D62"/>
    <w:rsid w:val="00483EEB"/>
    <w:rsid w:val="0049005F"/>
    <w:rsid w:val="004906F8"/>
    <w:rsid w:val="00490C81"/>
    <w:rsid w:val="004923BD"/>
    <w:rsid w:val="00493C20"/>
    <w:rsid w:val="004956FB"/>
    <w:rsid w:val="0049586C"/>
    <w:rsid w:val="00496282"/>
    <w:rsid w:val="004A0395"/>
    <w:rsid w:val="004A18E5"/>
    <w:rsid w:val="004A26B2"/>
    <w:rsid w:val="004A28B4"/>
    <w:rsid w:val="004A49B4"/>
    <w:rsid w:val="004A7DFC"/>
    <w:rsid w:val="004B02F9"/>
    <w:rsid w:val="004B1565"/>
    <w:rsid w:val="004B17D5"/>
    <w:rsid w:val="004B1B71"/>
    <w:rsid w:val="004B1C7C"/>
    <w:rsid w:val="004B2A3B"/>
    <w:rsid w:val="004B3DF5"/>
    <w:rsid w:val="004B3E86"/>
    <w:rsid w:val="004B49A4"/>
    <w:rsid w:val="004B539F"/>
    <w:rsid w:val="004B63FC"/>
    <w:rsid w:val="004B648C"/>
    <w:rsid w:val="004B74D2"/>
    <w:rsid w:val="004C0169"/>
    <w:rsid w:val="004C0276"/>
    <w:rsid w:val="004C1B92"/>
    <w:rsid w:val="004C2943"/>
    <w:rsid w:val="004C4C79"/>
    <w:rsid w:val="004C6803"/>
    <w:rsid w:val="004C7953"/>
    <w:rsid w:val="004C7B71"/>
    <w:rsid w:val="004D00DE"/>
    <w:rsid w:val="004D0549"/>
    <w:rsid w:val="004D0CD2"/>
    <w:rsid w:val="004D2C39"/>
    <w:rsid w:val="004D2E58"/>
    <w:rsid w:val="004D3F7C"/>
    <w:rsid w:val="004D4EC3"/>
    <w:rsid w:val="004D5477"/>
    <w:rsid w:val="004D6190"/>
    <w:rsid w:val="004E0500"/>
    <w:rsid w:val="004E07FC"/>
    <w:rsid w:val="004E1924"/>
    <w:rsid w:val="004E2F8B"/>
    <w:rsid w:val="004E4074"/>
    <w:rsid w:val="004E427D"/>
    <w:rsid w:val="004E495F"/>
    <w:rsid w:val="004E5704"/>
    <w:rsid w:val="004E5719"/>
    <w:rsid w:val="004E59F1"/>
    <w:rsid w:val="004E6470"/>
    <w:rsid w:val="004E6721"/>
    <w:rsid w:val="004E68E7"/>
    <w:rsid w:val="004E791C"/>
    <w:rsid w:val="004E7A95"/>
    <w:rsid w:val="004E7B2B"/>
    <w:rsid w:val="004E7FF5"/>
    <w:rsid w:val="004F0151"/>
    <w:rsid w:val="004F0E37"/>
    <w:rsid w:val="004F1916"/>
    <w:rsid w:val="004F4431"/>
    <w:rsid w:val="004F7955"/>
    <w:rsid w:val="0050087A"/>
    <w:rsid w:val="00500EF1"/>
    <w:rsid w:val="005014CD"/>
    <w:rsid w:val="00501FAA"/>
    <w:rsid w:val="005024C3"/>
    <w:rsid w:val="00502C26"/>
    <w:rsid w:val="00502DFF"/>
    <w:rsid w:val="00503F3B"/>
    <w:rsid w:val="005057E8"/>
    <w:rsid w:val="00505C91"/>
    <w:rsid w:val="00506F0D"/>
    <w:rsid w:val="00507975"/>
    <w:rsid w:val="00510E37"/>
    <w:rsid w:val="00511131"/>
    <w:rsid w:val="00513B4B"/>
    <w:rsid w:val="00515203"/>
    <w:rsid w:val="0051556C"/>
    <w:rsid w:val="00517D16"/>
    <w:rsid w:val="005225D4"/>
    <w:rsid w:val="00523449"/>
    <w:rsid w:val="00523A4D"/>
    <w:rsid w:val="00523DFF"/>
    <w:rsid w:val="00523F20"/>
    <w:rsid w:val="00525829"/>
    <w:rsid w:val="00525CE3"/>
    <w:rsid w:val="005261BB"/>
    <w:rsid w:val="0052690B"/>
    <w:rsid w:val="005273EA"/>
    <w:rsid w:val="00530769"/>
    <w:rsid w:val="005307A4"/>
    <w:rsid w:val="00530F6E"/>
    <w:rsid w:val="00531335"/>
    <w:rsid w:val="005336A1"/>
    <w:rsid w:val="00535375"/>
    <w:rsid w:val="00535D45"/>
    <w:rsid w:val="005361EF"/>
    <w:rsid w:val="005373A7"/>
    <w:rsid w:val="005379FD"/>
    <w:rsid w:val="0054054C"/>
    <w:rsid w:val="00540FC0"/>
    <w:rsid w:val="005420F0"/>
    <w:rsid w:val="0054265D"/>
    <w:rsid w:val="0054453A"/>
    <w:rsid w:val="0054485C"/>
    <w:rsid w:val="00544890"/>
    <w:rsid w:val="00545585"/>
    <w:rsid w:val="00545EA0"/>
    <w:rsid w:val="00547CCE"/>
    <w:rsid w:val="0055027E"/>
    <w:rsid w:val="00552B7B"/>
    <w:rsid w:val="00553DC2"/>
    <w:rsid w:val="005540BF"/>
    <w:rsid w:val="00557E0D"/>
    <w:rsid w:val="005608BE"/>
    <w:rsid w:val="00560FF2"/>
    <w:rsid w:val="005620A5"/>
    <w:rsid w:val="00565626"/>
    <w:rsid w:val="00566CC6"/>
    <w:rsid w:val="00567041"/>
    <w:rsid w:val="005707AD"/>
    <w:rsid w:val="00571FC8"/>
    <w:rsid w:val="00574053"/>
    <w:rsid w:val="00575A99"/>
    <w:rsid w:val="005800EF"/>
    <w:rsid w:val="0058065F"/>
    <w:rsid w:val="005829C8"/>
    <w:rsid w:val="00583375"/>
    <w:rsid w:val="00584087"/>
    <w:rsid w:val="00585056"/>
    <w:rsid w:val="00585A55"/>
    <w:rsid w:val="00585BB1"/>
    <w:rsid w:val="005904C6"/>
    <w:rsid w:val="005939A0"/>
    <w:rsid w:val="005944A1"/>
    <w:rsid w:val="00595784"/>
    <w:rsid w:val="00595AE1"/>
    <w:rsid w:val="00595F9B"/>
    <w:rsid w:val="00597E43"/>
    <w:rsid w:val="005A1D71"/>
    <w:rsid w:val="005A1DD5"/>
    <w:rsid w:val="005A1E81"/>
    <w:rsid w:val="005A250B"/>
    <w:rsid w:val="005A2987"/>
    <w:rsid w:val="005A36AA"/>
    <w:rsid w:val="005A3897"/>
    <w:rsid w:val="005A55B1"/>
    <w:rsid w:val="005A66D9"/>
    <w:rsid w:val="005A6AB1"/>
    <w:rsid w:val="005B0B02"/>
    <w:rsid w:val="005B22E9"/>
    <w:rsid w:val="005B2E5E"/>
    <w:rsid w:val="005B51FD"/>
    <w:rsid w:val="005B56DD"/>
    <w:rsid w:val="005C388D"/>
    <w:rsid w:val="005C3C17"/>
    <w:rsid w:val="005C4B6E"/>
    <w:rsid w:val="005C5FCC"/>
    <w:rsid w:val="005C6137"/>
    <w:rsid w:val="005C6560"/>
    <w:rsid w:val="005C69DD"/>
    <w:rsid w:val="005C6C0C"/>
    <w:rsid w:val="005D05A3"/>
    <w:rsid w:val="005D0F34"/>
    <w:rsid w:val="005D1430"/>
    <w:rsid w:val="005D1E67"/>
    <w:rsid w:val="005D2A32"/>
    <w:rsid w:val="005D3D1E"/>
    <w:rsid w:val="005D5020"/>
    <w:rsid w:val="005D51D1"/>
    <w:rsid w:val="005D6F5E"/>
    <w:rsid w:val="005D70A1"/>
    <w:rsid w:val="005E1109"/>
    <w:rsid w:val="005E12C4"/>
    <w:rsid w:val="005E1540"/>
    <w:rsid w:val="005E2765"/>
    <w:rsid w:val="005E3183"/>
    <w:rsid w:val="005E37C8"/>
    <w:rsid w:val="005E3898"/>
    <w:rsid w:val="005E3F7E"/>
    <w:rsid w:val="005E5ED1"/>
    <w:rsid w:val="005E64EB"/>
    <w:rsid w:val="005E6D07"/>
    <w:rsid w:val="005F1FDB"/>
    <w:rsid w:val="005F2930"/>
    <w:rsid w:val="005F2E1B"/>
    <w:rsid w:val="005F33E9"/>
    <w:rsid w:val="005F536C"/>
    <w:rsid w:val="005F69C1"/>
    <w:rsid w:val="005F7320"/>
    <w:rsid w:val="005F7D07"/>
    <w:rsid w:val="0060017D"/>
    <w:rsid w:val="00600BD8"/>
    <w:rsid w:val="006014FD"/>
    <w:rsid w:val="00601940"/>
    <w:rsid w:val="006019CF"/>
    <w:rsid w:val="00603575"/>
    <w:rsid w:val="00603889"/>
    <w:rsid w:val="006043C2"/>
    <w:rsid w:val="006049AE"/>
    <w:rsid w:val="00605635"/>
    <w:rsid w:val="00605D23"/>
    <w:rsid w:val="00613818"/>
    <w:rsid w:val="00614514"/>
    <w:rsid w:val="006145E1"/>
    <w:rsid w:val="006157BB"/>
    <w:rsid w:val="00616469"/>
    <w:rsid w:val="00620716"/>
    <w:rsid w:val="00620EC9"/>
    <w:rsid w:val="00621D1E"/>
    <w:rsid w:val="00623809"/>
    <w:rsid w:val="0062546E"/>
    <w:rsid w:val="00625777"/>
    <w:rsid w:val="006304E1"/>
    <w:rsid w:val="006311E1"/>
    <w:rsid w:val="0063203E"/>
    <w:rsid w:val="00632B02"/>
    <w:rsid w:val="006336EC"/>
    <w:rsid w:val="006342D2"/>
    <w:rsid w:val="00635014"/>
    <w:rsid w:val="0063625C"/>
    <w:rsid w:val="00636D9A"/>
    <w:rsid w:val="00641784"/>
    <w:rsid w:val="0064279F"/>
    <w:rsid w:val="00642DE8"/>
    <w:rsid w:val="00643752"/>
    <w:rsid w:val="00645CE9"/>
    <w:rsid w:val="00653D19"/>
    <w:rsid w:val="00656B7E"/>
    <w:rsid w:val="00657FEB"/>
    <w:rsid w:val="00660A4F"/>
    <w:rsid w:val="00663E64"/>
    <w:rsid w:val="00664495"/>
    <w:rsid w:val="0066536E"/>
    <w:rsid w:val="00667051"/>
    <w:rsid w:val="00670A8C"/>
    <w:rsid w:val="006712A3"/>
    <w:rsid w:val="00671D7F"/>
    <w:rsid w:val="006743F3"/>
    <w:rsid w:val="006761D3"/>
    <w:rsid w:val="00676949"/>
    <w:rsid w:val="0068029E"/>
    <w:rsid w:val="00680E63"/>
    <w:rsid w:val="006815F2"/>
    <w:rsid w:val="0068165B"/>
    <w:rsid w:val="00682C44"/>
    <w:rsid w:val="00684E24"/>
    <w:rsid w:val="00685E1D"/>
    <w:rsid w:val="006866C4"/>
    <w:rsid w:val="006871D4"/>
    <w:rsid w:val="0068767D"/>
    <w:rsid w:val="00687FAE"/>
    <w:rsid w:val="006911DC"/>
    <w:rsid w:val="00692CA8"/>
    <w:rsid w:val="00692D16"/>
    <w:rsid w:val="0069324F"/>
    <w:rsid w:val="006947CE"/>
    <w:rsid w:val="00694968"/>
    <w:rsid w:val="00695175"/>
    <w:rsid w:val="00695875"/>
    <w:rsid w:val="00697175"/>
    <w:rsid w:val="006A0140"/>
    <w:rsid w:val="006A0867"/>
    <w:rsid w:val="006A0E97"/>
    <w:rsid w:val="006A13A3"/>
    <w:rsid w:val="006A1BC6"/>
    <w:rsid w:val="006A2607"/>
    <w:rsid w:val="006A3AAB"/>
    <w:rsid w:val="006A452B"/>
    <w:rsid w:val="006A47D7"/>
    <w:rsid w:val="006A5E17"/>
    <w:rsid w:val="006A5F4A"/>
    <w:rsid w:val="006A61B4"/>
    <w:rsid w:val="006B19A1"/>
    <w:rsid w:val="006B29E0"/>
    <w:rsid w:val="006B31F5"/>
    <w:rsid w:val="006B3B5D"/>
    <w:rsid w:val="006B448A"/>
    <w:rsid w:val="006B567A"/>
    <w:rsid w:val="006B572A"/>
    <w:rsid w:val="006B59A5"/>
    <w:rsid w:val="006B63F0"/>
    <w:rsid w:val="006B683F"/>
    <w:rsid w:val="006B783F"/>
    <w:rsid w:val="006C0261"/>
    <w:rsid w:val="006C3258"/>
    <w:rsid w:val="006C3849"/>
    <w:rsid w:val="006C5A20"/>
    <w:rsid w:val="006C5D37"/>
    <w:rsid w:val="006D4091"/>
    <w:rsid w:val="006D55A0"/>
    <w:rsid w:val="006D61BC"/>
    <w:rsid w:val="006E03F9"/>
    <w:rsid w:val="006E08FC"/>
    <w:rsid w:val="006E1AC6"/>
    <w:rsid w:val="006E1F59"/>
    <w:rsid w:val="006E24AF"/>
    <w:rsid w:val="006E2551"/>
    <w:rsid w:val="006E3A75"/>
    <w:rsid w:val="006E420C"/>
    <w:rsid w:val="006E468B"/>
    <w:rsid w:val="006E6222"/>
    <w:rsid w:val="006E6DCD"/>
    <w:rsid w:val="006F064F"/>
    <w:rsid w:val="006F0A73"/>
    <w:rsid w:val="006F1A54"/>
    <w:rsid w:val="006F286D"/>
    <w:rsid w:val="006F3E98"/>
    <w:rsid w:val="006F3F6B"/>
    <w:rsid w:val="006F456D"/>
    <w:rsid w:val="006F5716"/>
    <w:rsid w:val="006F5891"/>
    <w:rsid w:val="006F63D8"/>
    <w:rsid w:val="006F6EAB"/>
    <w:rsid w:val="006F7DF7"/>
    <w:rsid w:val="00700075"/>
    <w:rsid w:val="00700427"/>
    <w:rsid w:val="007006E2"/>
    <w:rsid w:val="00700F39"/>
    <w:rsid w:val="00701B28"/>
    <w:rsid w:val="0070321D"/>
    <w:rsid w:val="007108DA"/>
    <w:rsid w:val="00710A78"/>
    <w:rsid w:val="00711197"/>
    <w:rsid w:val="007115BB"/>
    <w:rsid w:val="00711A6F"/>
    <w:rsid w:val="0071243F"/>
    <w:rsid w:val="00714745"/>
    <w:rsid w:val="00715DB7"/>
    <w:rsid w:val="00716AAC"/>
    <w:rsid w:val="00717488"/>
    <w:rsid w:val="007176CC"/>
    <w:rsid w:val="0072035D"/>
    <w:rsid w:val="00721A4F"/>
    <w:rsid w:val="0072300E"/>
    <w:rsid w:val="007237A1"/>
    <w:rsid w:val="007258F0"/>
    <w:rsid w:val="007261D1"/>
    <w:rsid w:val="00726DA4"/>
    <w:rsid w:val="007312F7"/>
    <w:rsid w:val="00731509"/>
    <w:rsid w:val="00731969"/>
    <w:rsid w:val="00733566"/>
    <w:rsid w:val="00734ABC"/>
    <w:rsid w:val="00734BED"/>
    <w:rsid w:val="007364A4"/>
    <w:rsid w:val="0073659E"/>
    <w:rsid w:val="00740D6A"/>
    <w:rsid w:val="0074140B"/>
    <w:rsid w:val="007417CD"/>
    <w:rsid w:val="00743A75"/>
    <w:rsid w:val="00743D91"/>
    <w:rsid w:val="0074581F"/>
    <w:rsid w:val="00745F07"/>
    <w:rsid w:val="00747507"/>
    <w:rsid w:val="00747904"/>
    <w:rsid w:val="00747B75"/>
    <w:rsid w:val="00751641"/>
    <w:rsid w:val="00752B6A"/>
    <w:rsid w:val="0075336A"/>
    <w:rsid w:val="0075375F"/>
    <w:rsid w:val="007540CC"/>
    <w:rsid w:val="00755590"/>
    <w:rsid w:val="00755E16"/>
    <w:rsid w:val="007560BE"/>
    <w:rsid w:val="007577D1"/>
    <w:rsid w:val="00757969"/>
    <w:rsid w:val="00757D0C"/>
    <w:rsid w:val="00762726"/>
    <w:rsid w:val="00762961"/>
    <w:rsid w:val="00762C6A"/>
    <w:rsid w:val="00764EF8"/>
    <w:rsid w:val="0076569B"/>
    <w:rsid w:val="0076675C"/>
    <w:rsid w:val="00766B9C"/>
    <w:rsid w:val="007675CE"/>
    <w:rsid w:val="00772644"/>
    <w:rsid w:val="00772EEF"/>
    <w:rsid w:val="00774777"/>
    <w:rsid w:val="0077652B"/>
    <w:rsid w:val="00776C7B"/>
    <w:rsid w:val="0078035F"/>
    <w:rsid w:val="007803F1"/>
    <w:rsid w:val="00780837"/>
    <w:rsid w:val="007810CA"/>
    <w:rsid w:val="00781541"/>
    <w:rsid w:val="00782955"/>
    <w:rsid w:val="00783359"/>
    <w:rsid w:val="00783BD1"/>
    <w:rsid w:val="00784601"/>
    <w:rsid w:val="00784EAE"/>
    <w:rsid w:val="00787163"/>
    <w:rsid w:val="00787654"/>
    <w:rsid w:val="00790546"/>
    <w:rsid w:val="00791088"/>
    <w:rsid w:val="00792735"/>
    <w:rsid w:val="00792C00"/>
    <w:rsid w:val="007932B6"/>
    <w:rsid w:val="00794AA9"/>
    <w:rsid w:val="0079523B"/>
    <w:rsid w:val="00797371"/>
    <w:rsid w:val="007976BD"/>
    <w:rsid w:val="007A0F48"/>
    <w:rsid w:val="007A1D64"/>
    <w:rsid w:val="007A5D1A"/>
    <w:rsid w:val="007B02B3"/>
    <w:rsid w:val="007B03E9"/>
    <w:rsid w:val="007B24C4"/>
    <w:rsid w:val="007B2687"/>
    <w:rsid w:val="007B2B37"/>
    <w:rsid w:val="007B4F68"/>
    <w:rsid w:val="007B7A9C"/>
    <w:rsid w:val="007C0379"/>
    <w:rsid w:val="007C2E78"/>
    <w:rsid w:val="007C38B8"/>
    <w:rsid w:val="007C42D2"/>
    <w:rsid w:val="007C47B4"/>
    <w:rsid w:val="007C5155"/>
    <w:rsid w:val="007C53C0"/>
    <w:rsid w:val="007C6BFE"/>
    <w:rsid w:val="007C6CAD"/>
    <w:rsid w:val="007C7901"/>
    <w:rsid w:val="007D04B0"/>
    <w:rsid w:val="007D0CEB"/>
    <w:rsid w:val="007D1AB9"/>
    <w:rsid w:val="007D3E80"/>
    <w:rsid w:val="007D48FC"/>
    <w:rsid w:val="007D4A0A"/>
    <w:rsid w:val="007D5E29"/>
    <w:rsid w:val="007D6456"/>
    <w:rsid w:val="007E0C97"/>
    <w:rsid w:val="007E1B72"/>
    <w:rsid w:val="007E7C2E"/>
    <w:rsid w:val="007F2612"/>
    <w:rsid w:val="007F41CC"/>
    <w:rsid w:val="007F464A"/>
    <w:rsid w:val="007F58E9"/>
    <w:rsid w:val="007F6C6C"/>
    <w:rsid w:val="007F7558"/>
    <w:rsid w:val="007F7F9F"/>
    <w:rsid w:val="00800365"/>
    <w:rsid w:val="008036D9"/>
    <w:rsid w:val="00803B54"/>
    <w:rsid w:val="00806854"/>
    <w:rsid w:val="00806FF7"/>
    <w:rsid w:val="00807325"/>
    <w:rsid w:val="00811FA4"/>
    <w:rsid w:val="00813E25"/>
    <w:rsid w:val="00817937"/>
    <w:rsid w:val="00817B03"/>
    <w:rsid w:val="00820FD6"/>
    <w:rsid w:val="00822515"/>
    <w:rsid w:val="00822ED4"/>
    <w:rsid w:val="0082325A"/>
    <w:rsid w:val="008236EF"/>
    <w:rsid w:val="008249F9"/>
    <w:rsid w:val="00827BFB"/>
    <w:rsid w:val="008305BF"/>
    <w:rsid w:val="008309BA"/>
    <w:rsid w:val="00830AE0"/>
    <w:rsid w:val="0083106E"/>
    <w:rsid w:val="00831810"/>
    <w:rsid w:val="00831F36"/>
    <w:rsid w:val="0083222A"/>
    <w:rsid w:val="008323AE"/>
    <w:rsid w:val="00833F04"/>
    <w:rsid w:val="008341C9"/>
    <w:rsid w:val="008346BA"/>
    <w:rsid w:val="008352B2"/>
    <w:rsid w:val="0083627B"/>
    <w:rsid w:val="00837EB0"/>
    <w:rsid w:val="0084272C"/>
    <w:rsid w:val="008429ED"/>
    <w:rsid w:val="0084406E"/>
    <w:rsid w:val="0084654D"/>
    <w:rsid w:val="00850FB1"/>
    <w:rsid w:val="00851A1A"/>
    <w:rsid w:val="00851CDB"/>
    <w:rsid w:val="0085317F"/>
    <w:rsid w:val="008539F7"/>
    <w:rsid w:val="00854292"/>
    <w:rsid w:val="00855735"/>
    <w:rsid w:val="00855DCB"/>
    <w:rsid w:val="00861C01"/>
    <w:rsid w:val="00863E59"/>
    <w:rsid w:val="00864EE8"/>
    <w:rsid w:val="00865741"/>
    <w:rsid w:val="00866F16"/>
    <w:rsid w:val="00867028"/>
    <w:rsid w:val="008676AB"/>
    <w:rsid w:val="00867906"/>
    <w:rsid w:val="008726E2"/>
    <w:rsid w:val="008732C9"/>
    <w:rsid w:val="00873ED5"/>
    <w:rsid w:val="008743F1"/>
    <w:rsid w:val="00877ADB"/>
    <w:rsid w:val="00880676"/>
    <w:rsid w:val="00880E34"/>
    <w:rsid w:val="00882725"/>
    <w:rsid w:val="0088674B"/>
    <w:rsid w:val="0089049A"/>
    <w:rsid w:val="00890719"/>
    <w:rsid w:val="008910FA"/>
    <w:rsid w:val="0089141F"/>
    <w:rsid w:val="00891D41"/>
    <w:rsid w:val="008943C8"/>
    <w:rsid w:val="008945FE"/>
    <w:rsid w:val="00894670"/>
    <w:rsid w:val="00896BA6"/>
    <w:rsid w:val="00897715"/>
    <w:rsid w:val="008A047A"/>
    <w:rsid w:val="008A0738"/>
    <w:rsid w:val="008A0870"/>
    <w:rsid w:val="008A2046"/>
    <w:rsid w:val="008A21A4"/>
    <w:rsid w:val="008A253B"/>
    <w:rsid w:val="008A29C8"/>
    <w:rsid w:val="008A3AF6"/>
    <w:rsid w:val="008A49E4"/>
    <w:rsid w:val="008A54BC"/>
    <w:rsid w:val="008B0C14"/>
    <w:rsid w:val="008B179D"/>
    <w:rsid w:val="008B1EF6"/>
    <w:rsid w:val="008B2F6A"/>
    <w:rsid w:val="008B3B94"/>
    <w:rsid w:val="008B4113"/>
    <w:rsid w:val="008B5B83"/>
    <w:rsid w:val="008B6BDD"/>
    <w:rsid w:val="008C09F5"/>
    <w:rsid w:val="008C1416"/>
    <w:rsid w:val="008C29E9"/>
    <w:rsid w:val="008C47D5"/>
    <w:rsid w:val="008C52C1"/>
    <w:rsid w:val="008C6375"/>
    <w:rsid w:val="008C73AB"/>
    <w:rsid w:val="008C7FB0"/>
    <w:rsid w:val="008D07F4"/>
    <w:rsid w:val="008D0887"/>
    <w:rsid w:val="008D110F"/>
    <w:rsid w:val="008D15F8"/>
    <w:rsid w:val="008D2D5B"/>
    <w:rsid w:val="008D3345"/>
    <w:rsid w:val="008D3868"/>
    <w:rsid w:val="008D6874"/>
    <w:rsid w:val="008D73E0"/>
    <w:rsid w:val="008D7E50"/>
    <w:rsid w:val="008E0988"/>
    <w:rsid w:val="008E0A65"/>
    <w:rsid w:val="008E1631"/>
    <w:rsid w:val="008E1823"/>
    <w:rsid w:val="008E28E1"/>
    <w:rsid w:val="008E464B"/>
    <w:rsid w:val="008E466F"/>
    <w:rsid w:val="008E5F69"/>
    <w:rsid w:val="008F05D0"/>
    <w:rsid w:val="008F0F6B"/>
    <w:rsid w:val="008F11DE"/>
    <w:rsid w:val="008F3243"/>
    <w:rsid w:val="008F370A"/>
    <w:rsid w:val="008F4C73"/>
    <w:rsid w:val="008F512F"/>
    <w:rsid w:val="008F68D2"/>
    <w:rsid w:val="008F68F6"/>
    <w:rsid w:val="008F7F63"/>
    <w:rsid w:val="0090143B"/>
    <w:rsid w:val="009032D7"/>
    <w:rsid w:val="00904175"/>
    <w:rsid w:val="0090770C"/>
    <w:rsid w:val="009107E7"/>
    <w:rsid w:val="00912EDA"/>
    <w:rsid w:val="00913145"/>
    <w:rsid w:val="00913202"/>
    <w:rsid w:val="009134FF"/>
    <w:rsid w:val="009147EB"/>
    <w:rsid w:val="00914806"/>
    <w:rsid w:val="00915826"/>
    <w:rsid w:val="00916B71"/>
    <w:rsid w:val="009213A6"/>
    <w:rsid w:val="00924736"/>
    <w:rsid w:val="009250B8"/>
    <w:rsid w:val="00926C46"/>
    <w:rsid w:val="00927276"/>
    <w:rsid w:val="009304C7"/>
    <w:rsid w:val="0093102F"/>
    <w:rsid w:val="00934279"/>
    <w:rsid w:val="009343F3"/>
    <w:rsid w:val="0093666F"/>
    <w:rsid w:val="0093705C"/>
    <w:rsid w:val="0093751B"/>
    <w:rsid w:val="00937FAD"/>
    <w:rsid w:val="00940871"/>
    <w:rsid w:val="00941C70"/>
    <w:rsid w:val="00942500"/>
    <w:rsid w:val="00945310"/>
    <w:rsid w:val="00945696"/>
    <w:rsid w:val="00945ECE"/>
    <w:rsid w:val="0095099F"/>
    <w:rsid w:val="00950BDD"/>
    <w:rsid w:val="00951E17"/>
    <w:rsid w:val="00952EEA"/>
    <w:rsid w:val="00954851"/>
    <w:rsid w:val="00954ABA"/>
    <w:rsid w:val="00954EA7"/>
    <w:rsid w:val="009560A7"/>
    <w:rsid w:val="0095713B"/>
    <w:rsid w:val="00957C7C"/>
    <w:rsid w:val="00960D62"/>
    <w:rsid w:val="00960E5D"/>
    <w:rsid w:val="00961BF3"/>
    <w:rsid w:val="0096507E"/>
    <w:rsid w:val="0096593A"/>
    <w:rsid w:val="00965949"/>
    <w:rsid w:val="00966E20"/>
    <w:rsid w:val="0096748A"/>
    <w:rsid w:val="00970190"/>
    <w:rsid w:val="0097098F"/>
    <w:rsid w:val="00973AA8"/>
    <w:rsid w:val="00973BBF"/>
    <w:rsid w:val="009740B6"/>
    <w:rsid w:val="009743F1"/>
    <w:rsid w:val="009749D0"/>
    <w:rsid w:val="00974C9F"/>
    <w:rsid w:val="00976856"/>
    <w:rsid w:val="00976DA1"/>
    <w:rsid w:val="009818D7"/>
    <w:rsid w:val="00982724"/>
    <w:rsid w:val="00982D92"/>
    <w:rsid w:val="0098302F"/>
    <w:rsid w:val="00983161"/>
    <w:rsid w:val="00983904"/>
    <w:rsid w:val="00983A6F"/>
    <w:rsid w:val="00983B79"/>
    <w:rsid w:val="009848F1"/>
    <w:rsid w:val="00985FC7"/>
    <w:rsid w:val="00985FF5"/>
    <w:rsid w:val="00986167"/>
    <w:rsid w:val="00986487"/>
    <w:rsid w:val="0098756E"/>
    <w:rsid w:val="00987A32"/>
    <w:rsid w:val="00992A16"/>
    <w:rsid w:val="00994EFE"/>
    <w:rsid w:val="009964CA"/>
    <w:rsid w:val="009968F0"/>
    <w:rsid w:val="0099752C"/>
    <w:rsid w:val="0099764D"/>
    <w:rsid w:val="00997BCE"/>
    <w:rsid w:val="009A03CC"/>
    <w:rsid w:val="009A0DF0"/>
    <w:rsid w:val="009A1CC1"/>
    <w:rsid w:val="009A288D"/>
    <w:rsid w:val="009A2C65"/>
    <w:rsid w:val="009A44B4"/>
    <w:rsid w:val="009A475D"/>
    <w:rsid w:val="009A508F"/>
    <w:rsid w:val="009A6CF7"/>
    <w:rsid w:val="009A77B9"/>
    <w:rsid w:val="009B0028"/>
    <w:rsid w:val="009B3B35"/>
    <w:rsid w:val="009B5615"/>
    <w:rsid w:val="009B5702"/>
    <w:rsid w:val="009C1620"/>
    <w:rsid w:val="009C214B"/>
    <w:rsid w:val="009C2D94"/>
    <w:rsid w:val="009C2F70"/>
    <w:rsid w:val="009C3CF3"/>
    <w:rsid w:val="009C6D1D"/>
    <w:rsid w:val="009D2455"/>
    <w:rsid w:val="009D34A1"/>
    <w:rsid w:val="009D4722"/>
    <w:rsid w:val="009D5633"/>
    <w:rsid w:val="009D56DF"/>
    <w:rsid w:val="009D59C2"/>
    <w:rsid w:val="009D74B0"/>
    <w:rsid w:val="009D7B3A"/>
    <w:rsid w:val="009E260E"/>
    <w:rsid w:val="009E2911"/>
    <w:rsid w:val="009E46AF"/>
    <w:rsid w:val="009E483A"/>
    <w:rsid w:val="009E6A1D"/>
    <w:rsid w:val="009E7B11"/>
    <w:rsid w:val="009F0395"/>
    <w:rsid w:val="009F07A0"/>
    <w:rsid w:val="009F18C0"/>
    <w:rsid w:val="009F1B65"/>
    <w:rsid w:val="009F2191"/>
    <w:rsid w:val="009F317F"/>
    <w:rsid w:val="009F3753"/>
    <w:rsid w:val="009F3C52"/>
    <w:rsid w:val="009F4D57"/>
    <w:rsid w:val="009F63BF"/>
    <w:rsid w:val="00A01FAB"/>
    <w:rsid w:val="00A0244F"/>
    <w:rsid w:val="00A0249A"/>
    <w:rsid w:val="00A047EB"/>
    <w:rsid w:val="00A0523E"/>
    <w:rsid w:val="00A05575"/>
    <w:rsid w:val="00A05C58"/>
    <w:rsid w:val="00A06109"/>
    <w:rsid w:val="00A10352"/>
    <w:rsid w:val="00A13EE6"/>
    <w:rsid w:val="00A14A89"/>
    <w:rsid w:val="00A15373"/>
    <w:rsid w:val="00A16049"/>
    <w:rsid w:val="00A20FED"/>
    <w:rsid w:val="00A23C3D"/>
    <w:rsid w:val="00A2520B"/>
    <w:rsid w:val="00A25941"/>
    <w:rsid w:val="00A30125"/>
    <w:rsid w:val="00A30F0E"/>
    <w:rsid w:val="00A326C1"/>
    <w:rsid w:val="00A33251"/>
    <w:rsid w:val="00A3427B"/>
    <w:rsid w:val="00A3442C"/>
    <w:rsid w:val="00A34A88"/>
    <w:rsid w:val="00A350CE"/>
    <w:rsid w:val="00A3680F"/>
    <w:rsid w:val="00A36CEE"/>
    <w:rsid w:val="00A37066"/>
    <w:rsid w:val="00A40276"/>
    <w:rsid w:val="00A402D9"/>
    <w:rsid w:val="00A40AD0"/>
    <w:rsid w:val="00A40BAE"/>
    <w:rsid w:val="00A43479"/>
    <w:rsid w:val="00A45098"/>
    <w:rsid w:val="00A45BD5"/>
    <w:rsid w:val="00A50471"/>
    <w:rsid w:val="00A504C6"/>
    <w:rsid w:val="00A52B34"/>
    <w:rsid w:val="00A55146"/>
    <w:rsid w:val="00A557B4"/>
    <w:rsid w:val="00A6487D"/>
    <w:rsid w:val="00A649DC"/>
    <w:rsid w:val="00A6614D"/>
    <w:rsid w:val="00A663E0"/>
    <w:rsid w:val="00A66D2E"/>
    <w:rsid w:val="00A67990"/>
    <w:rsid w:val="00A70FC1"/>
    <w:rsid w:val="00A72521"/>
    <w:rsid w:val="00A72EB5"/>
    <w:rsid w:val="00A73257"/>
    <w:rsid w:val="00A7433D"/>
    <w:rsid w:val="00A7547D"/>
    <w:rsid w:val="00A7682D"/>
    <w:rsid w:val="00A76FFC"/>
    <w:rsid w:val="00A815B2"/>
    <w:rsid w:val="00A82A9B"/>
    <w:rsid w:val="00A842F3"/>
    <w:rsid w:val="00A848E2"/>
    <w:rsid w:val="00A84D42"/>
    <w:rsid w:val="00A85E59"/>
    <w:rsid w:val="00A866E6"/>
    <w:rsid w:val="00A9143A"/>
    <w:rsid w:val="00A91456"/>
    <w:rsid w:val="00A93A00"/>
    <w:rsid w:val="00A93C85"/>
    <w:rsid w:val="00AA0E85"/>
    <w:rsid w:val="00AA0EDE"/>
    <w:rsid w:val="00AA10B5"/>
    <w:rsid w:val="00AA1510"/>
    <w:rsid w:val="00AA270A"/>
    <w:rsid w:val="00AA41DA"/>
    <w:rsid w:val="00AA43FA"/>
    <w:rsid w:val="00AA482E"/>
    <w:rsid w:val="00AA568A"/>
    <w:rsid w:val="00AA5CDB"/>
    <w:rsid w:val="00AA7567"/>
    <w:rsid w:val="00AA7848"/>
    <w:rsid w:val="00AB02D0"/>
    <w:rsid w:val="00AB02D1"/>
    <w:rsid w:val="00AB0908"/>
    <w:rsid w:val="00AB0FF9"/>
    <w:rsid w:val="00AB3D04"/>
    <w:rsid w:val="00AB5093"/>
    <w:rsid w:val="00AB5B7B"/>
    <w:rsid w:val="00AB5D8E"/>
    <w:rsid w:val="00AB6179"/>
    <w:rsid w:val="00AB6BE4"/>
    <w:rsid w:val="00AC269C"/>
    <w:rsid w:val="00AC497D"/>
    <w:rsid w:val="00AC5C18"/>
    <w:rsid w:val="00AC6AE7"/>
    <w:rsid w:val="00AC707B"/>
    <w:rsid w:val="00AC7436"/>
    <w:rsid w:val="00AC7A96"/>
    <w:rsid w:val="00AC7EB2"/>
    <w:rsid w:val="00AC7EFA"/>
    <w:rsid w:val="00AD10F4"/>
    <w:rsid w:val="00AD2538"/>
    <w:rsid w:val="00AD2687"/>
    <w:rsid w:val="00AD62ED"/>
    <w:rsid w:val="00AD6F7A"/>
    <w:rsid w:val="00AE002E"/>
    <w:rsid w:val="00AE01C1"/>
    <w:rsid w:val="00AE040F"/>
    <w:rsid w:val="00AE0D73"/>
    <w:rsid w:val="00AE23BA"/>
    <w:rsid w:val="00AE36CF"/>
    <w:rsid w:val="00AE5485"/>
    <w:rsid w:val="00AE55C3"/>
    <w:rsid w:val="00AE5A1B"/>
    <w:rsid w:val="00AE5D01"/>
    <w:rsid w:val="00AE5FE3"/>
    <w:rsid w:val="00AE640B"/>
    <w:rsid w:val="00AE648F"/>
    <w:rsid w:val="00AE6EF4"/>
    <w:rsid w:val="00AE7356"/>
    <w:rsid w:val="00AF0C49"/>
    <w:rsid w:val="00AF14F3"/>
    <w:rsid w:val="00AF1736"/>
    <w:rsid w:val="00AF4B7D"/>
    <w:rsid w:val="00AF5780"/>
    <w:rsid w:val="00AF5F4F"/>
    <w:rsid w:val="00AF6668"/>
    <w:rsid w:val="00AF7065"/>
    <w:rsid w:val="00AF713C"/>
    <w:rsid w:val="00AF7C16"/>
    <w:rsid w:val="00B00AA2"/>
    <w:rsid w:val="00B02F07"/>
    <w:rsid w:val="00B02F35"/>
    <w:rsid w:val="00B0472A"/>
    <w:rsid w:val="00B04CBB"/>
    <w:rsid w:val="00B0545E"/>
    <w:rsid w:val="00B1067A"/>
    <w:rsid w:val="00B10DF7"/>
    <w:rsid w:val="00B10F84"/>
    <w:rsid w:val="00B11B0A"/>
    <w:rsid w:val="00B11CD9"/>
    <w:rsid w:val="00B12E91"/>
    <w:rsid w:val="00B131AA"/>
    <w:rsid w:val="00B1350F"/>
    <w:rsid w:val="00B138CF"/>
    <w:rsid w:val="00B149EA"/>
    <w:rsid w:val="00B17330"/>
    <w:rsid w:val="00B17981"/>
    <w:rsid w:val="00B17CD3"/>
    <w:rsid w:val="00B209FE"/>
    <w:rsid w:val="00B20ADE"/>
    <w:rsid w:val="00B20B58"/>
    <w:rsid w:val="00B21931"/>
    <w:rsid w:val="00B23291"/>
    <w:rsid w:val="00B23359"/>
    <w:rsid w:val="00B244F9"/>
    <w:rsid w:val="00B246C7"/>
    <w:rsid w:val="00B25746"/>
    <w:rsid w:val="00B2599D"/>
    <w:rsid w:val="00B26283"/>
    <w:rsid w:val="00B303F5"/>
    <w:rsid w:val="00B31B20"/>
    <w:rsid w:val="00B3334F"/>
    <w:rsid w:val="00B33746"/>
    <w:rsid w:val="00B34ABA"/>
    <w:rsid w:val="00B356B3"/>
    <w:rsid w:val="00B35B98"/>
    <w:rsid w:val="00B365D9"/>
    <w:rsid w:val="00B37D7C"/>
    <w:rsid w:val="00B37DC0"/>
    <w:rsid w:val="00B41895"/>
    <w:rsid w:val="00B4213C"/>
    <w:rsid w:val="00B43A04"/>
    <w:rsid w:val="00B43FA2"/>
    <w:rsid w:val="00B45624"/>
    <w:rsid w:val="00B45C16"/>
    <w:rsid w:val="00B45D43"/>
    <w:rsid w:val="00B4753A"/>
    <w:rsid w:val="00B50741"/>
    <w:rsid w:val="00B51CA6"/>
    <w:rsid w:val="00B60B8A"/>
    <w:rsid w:val="00B6203F"/>
    <w:rsid w:val="00B6239B"/>
    <w:rsid w:val="00B62A2A"/>
    <w:rsid w:val="00B63713"/>
    <w:rsid w:val="00B64352"/>
    <w:rsid w:val="00B658AF"/>
    <w:rsid w:val="00B67A6F"/>
    <w:rsid w:val="00B70741"/>
    <w:rsid w:val="00B71BF9"/>
    <w:rsid w:val="00B71C61"/>
    <w:rsid w:val="00B7227D"/>
    <w:rsid w:val="00B74D73"/>
    <w:rsid w:val="00B77509"/>
    <w:rsid w:val="00B80219"/>
    <w:rsid w:val="00B813AD"/>
    <w:rsid w:val="00B83DE5"/>
    <w:rsid w:val="00B84190"/>
    <w:rsid w:val="00B84803"/>
    <w:rsid w:val="00B84807"/>
    <w:rsid w:val="00B8587E"/>
    <w:rsid w:val="00B86F83"/>
    <w:rsid w:val="00B91B43"/>
    <w:rsid w:val="00B92554"/>
    <w:rsid w:val="00B9279C"/>
    <w:rsid w:val="00B93AB2"/>
    <w:rsid w:val="00B93CDB"/>
    <w:rsid w:val="00B9465C"/>
    <w:rsid w:val="00B955B0"/>
    <w:rsid w:val="00B965BD"/>
    <w:rsid w:val="00B976EE"/>
    <w:rsid w:val="00B97BC5"/>
    <w:rsid w:val="00BA0584"/>
    <w:rsid w:val="00BA1593"/>
    <w:rsid w:val="00BA15CA"/>
    <w:rsid w:val="00BA2185"/>
    <w:rsid w:val="00BA2976"/>
    <w:rsid w:val="00BA49CF"/>
    <w:rsid w:val="00BA6872"/>
    <w:rsid w:val="00BA75BA"/>
    <w:rsid w:val="00BA7A24"/>
    <w:rsid w:val="00BB108E"/>
    <w:rsid w:val="00BB14E0"/>
    <w:rsid w:val="00BB24CF"/>
    <w:rsid w:val="00BB394A"/>
    <w:rsid w:val="00BB4610"/>
    <w:rsid w:val="00BB4CB6"/>
    <w:rsid w:val="00BB5B1B"/>
    <w:rsid w:val="00BC10D5"/>
    <w:rsid w:val="00BC1DB3"/>
    <w:rsid w:val="00BC2D42"/>
    <w:rsid w:val="00BC35C9"/>
    <w:rsid w:val="00BC42A5"/>
    <w:rsid w:val="00BC4CEF"/>
    <w:rsid w:val="00BC71FB"/>
    <w:rsid w:val="00BC7277"/>
    <w:rsid w:val="00BD0ADB"/>
    <w:rsid w:val="00BD109F"/>
    <w:rsid w:val="00BD196F"/>
    <w:rsid w:val="00BD28BA"/>
    <w:rsid w:val="00BD3560"/>
    <w:rsid w:val="00BD371E"/>
    <w:rsid w:val="00BD42A0"/>
    <w:rsid w:val="00BD6856"/>
    <w:rsid w:val="00BD6C0C"/>
    <w:rsid w:val="00BD6FFD"/>
    <w:rsid w:val="00BE045A"/>
    <w:rsid w:val="00BE1C80"/>
    <w:rsid w:val="00BE1E2D"/>
    <w:rsid w:val="00BE27D3"/>
    <w:rsid w:val="00BE4F56"/>
    <w:rsid w:val="00BE516B"/>
    <w:rsid w:val="00BE598D"/>
    <w:rsid w:val="00BE5FCF"/>
    <w:rsid w:val="00BE61CB"/>
    <w:rsid w:val="00BE6EE2"/>
    <w:rsid w:val="00BE733F"/>
    <w:rsid w:val="00BF0622"/>
    <w:rsid w:val="00BF0EA3"/>
    <w:rsid w:val="00BF1562"/>
    <w:rsid w:val="00BF2A64"/>
    <w:rsid w:val="00BF3813"/>
    <w:rsid w:val="00BF45F8"/>
    <w:rsid w:val="00BF4CB5"/>
    <w:rsid w:val="00BF5642"/>
    <w:rsid w:val="00BF6316"/>
    <w:rsid w:val="00C013EA"/>
    <w:rsid w:val="00C02820"/>
    <w:rsid w:val="00C03A64"/>
    <w:rsid w:val="00C04BF4"/>
    <w:rsid w:val="00C04F13"/>
    <w:rsid w:val="00C05C10"/>
    <w:rsid w:val="00C07888"/>
    <w:rsid w:val="00C1078A"/>
    <w:rsid w:val="00C10DB9"/>
    <w:rsid w:val="00C12203"/>
    <w:rsid w:val="00C14A38"/>
    <w:rsid w:val="00C1524E"/>
    <w:rsid w:val="00C17CB8"/>
    <w:rsid w:val="00C207E7"/>
    <w:rsid w:val="00C2150F"/>
    <w:rsid w:val="00C21AB1"/>
    <w:rsid w:val="00C21B61"/>
    <w:rsid w:val="00C21D65"/>
    <w:rsid w:val="00C23451"/>
    <w:rsid w:val="00C23639"/>
    <w:rsid w:val="00C24232"/>
    <w:rsid w:val="00C30E31"/>
    <w:rsid w:val="00C31CED"/>
    <w:rsid w:val="00C32D0C"/>
    <w:rsid w:val="00C373BF"/>
    <w:rsid w:val="00C408FE"/>
    <w:rsid w:val="00C40A85"/>
    <w:rsid w:val="00C40CA1"/>
    <w:rsid w:val="00C41EC4"/>
    <w:rsid w:val="00C4252F"/>
    <w:rsid w:val="00C45C8E"/>
    <w:rsid w:val="00C51731"/>
    <w:rsid w:val="00C52482"/>
    <w:rsid w:val="00C52A20"/>
    <w:rsid w:val="00C5591B"/>
    <w:rsid w:val="00C5615B"/>
    <w:rsid w:val="00C57A3C"/>
    <w:rsid w:val="00C57CB2"/>
    <w:rsid w:val="00C600CF"/>
    <w:rsid w:val="00C60B5E"/>
    <w:rsid w:val="00C62428"/>
    <w:rsid w:val="00C62628"/>
    <w:rsid w:val="00C629AA"/>
    <w:rsid w:val="00C63204"/>
    <w:rsid w:val="00C635C5"/>
    <w:rsid w:val="00C641E9"/>
    <w:rsid w:val="00C65CCE"/>
    <w:rsid w:val="00C66F23"/>
    <w:rsid w:val="00C675F0"/>
    <w:rsid w:val="00C6761F"/>
    <w:rsid w:val="00C6793D"/>
    <w:rsid w:val="00C67C52"/>
    <w:rsid w:val="00C67D3D"/>
    <w:rsid w:val="00C708F0"/>
    <w:rsid w:val="00C70AE9"/>
    <w:rsid w:val="00C71446"/>
    <w:rsid w:val="00C73086"/>
    <w:rsid w:val="00C730C0"/>
    <w:rsid w:val="00C74193"/>
    <w:rsid w:val="00C76410"/>
    <w:rsid w:val="00C76A9D"/>
    <w:rsid w:val="00C76C48"/>
    <w:rsid w:val="00C8000F"/>
    <w:rsid w:val="00C806DE"/>
    <w:rsid w:val="00C80F24"/>
    <w:rsid w:val="00C83295"/>
    <w:rsid w:val="00C833A4"/>
    <w:rsid w:val="00C856B7"/>
    <w:rsid w:val="00C860D0"/>
    <w:rsid w:val="00C94119"/>
    <w:rsid w:val="00C941FE"/>
    <w:rsid w:val="00C9427D"/>
    <w:rsid w:val="00C9535E"/>
    <w:rsid w:val="00C9595F"/>
    <w:rsid w:val="00C96E9A"/>
    <w:rsid w:val="00C97C7D"/>
    <w:rsid w:val="00CA1367"/>
    <w:rsid w:val="00CA1D92"/>
    <w:rsid w:val="00CA1E04"/>
    <w:rsid w:val="00CA1EFF"/>
    <w:rsid w:val="00CA3214"/>
    <w:rsid w:val="00CA405C"/>
    <w:rsid w:val="00CA442F"/>
    <w:rsid w:val="00CA4454"/>
    <w:rsid w:val="00CA5158"/>
    <w:rsid w:val="00CA6225"/>
    <w:rsid w:val="00CA6E48"/>
    <w:rsid w:val="00CB02E9"/>
    <w:rsid w:val="00CB1BEF"/>
    <w:rsid w:val="00CB3907"/>
    <w:rsid w:val="00CB4004"/>
    <w:rsid w:val="00CB4AB2"/>
    <w:rsid w:val="00CB6525"/>
    <w:rsid w:val="00CC141E"/>
    <w:rsid w:val="00CC15DD"/>
    <w:rsid w:val="00CC1B4B"/>
    <w:rsid w:val="00CC2460"/>
    <w:rsid w:val="00CC4194"/>
    <w:rsid w:val="00CC46E2"/>
    <w:rsid w:val="00CC4A56"/>
    <w:rsid w:val="00CC4BF0"/>
    <w:rsid w:val="00CC6EED"/>
    <w:rsid w:val="00CC7440"/>
    <w:rsid w:val="00CD0366"/>
    <w:rsid w:val="00CD0B9D"/>
    <w:rsid w:val="00CD1028"/>
    <w:rsid w:val="00CD18CE"/>
    <w:rsid w:val="00CD1CF2"/>
    <w:rsid w:val="00CD1EF1"/>
    <w:rsid w:val="00CD48C8"/>
    <w:rsid w:val="00CD55BB"/>
    <w:rsid w:val="00CD6F7B"/>
    <w:rsid w:val="00CE09BB"/>
    <w:rsid w:val="00CE468E"/>
    <w:rsid w:val="00CE6455"/>
    <w:rsid w:val="00CE702F"/>
    <w:rsid w:val="00CF0E0C"/>
    <w:rsid w:val="00CF18F1"/>
    <w:rsid w:val="00CF4DB2"/>
    <w:rsid w:val="00CF61E0"/>
    <w:rsid w:val="00CF6F91"/>
    <w:rsid w:val="00CF708A"/>
    <w:rsid w:val="00CF77E0"/>
    <w:rsid w:val="00CF7FD5"/>
    <w:rsid w:val="00D019E4"/>
    <w:rsid w:val="00D03BD7"/>
    <w:rsid w:val="00D04098"/>
    <w:rsid w:val="00D04109"/>
    <w:rsid w:val="00D04330"/>
    <w:rsid w:val="00D05042"/>
    <w:rsid w:val="00D0724F"/>
    <w:rsid w:val="00D10481"/>
    <w:rsid w:val="00D11915"/>
    <w:rsid w:val="00D1552B"/>
    <w:rsid w:val="00D16639"/>
    <w:rsid w:val="00D2023C"/>
    <w:rsid w:val="00D20786"/>
    <w:rsid w:val="00D2241D"/>
    <w:rsid w:val="00D22804"/>
    <w:rsid w:val="00D22826"/>
    <w:rsid w:val="00D2355B"/>
    <w:rsid w:val="00D25B48"/>
    <w:rsid w:val="00D261A3"/>
    <w:rsid w:val="00D264AA"/>
    <w:rsid w:val="00D27986"/>
    <w:rsid w:val="00D27DD5"/>
    <w:rsid w:val="00D301DA"/>
    <w:rsid w:val="00D30768"/>
    <w:rsid w:val="00D3163A"/>
    <w:rsid w:val="00D33B37"/>
    <w:rsid w:val="00D35F5B"/>
    <w:rsid w:val="00D3609A"/>
    <w:rsid w:val="00D37164"/>
    <w:rsid w:val="00D407DA"/>
    <w:rsid w:val="00D40FE1"/>
    <w:rsid w:val="00D41FC5"/>
    <w:rsid w:val="00D43E01"/>
    <w:rsid w:val="00D44F6B"/>
    <w:rsid w:val="00D45C17"/>
    <w:rsid w:val="00D467EC"/>
    <w:rsid w:val="00D4698E"/>
    <w:rsid w:val="00D50E34"/>
    <w:rsid w:val="00D530C8"/>
    <w:rsid w:val="00D554C4"/>
    <w:rsid w:val="00D56E90"/>
    <w:rsid w:val="00D57302"/>
    <w:rsid w:val="00D57785"/>
    <w:rsid w:val="00D62188"/>
    <w:rsid w:val="00D64BE9"/>
    <w:rsid w:val="00D652EA"/>
    <w:rsid w:val="00D660BB"/>
    <w:rsid w:val="00D6687E"/>
    <w:rsid w:val="00D66A67"/>
    <w:rsid w:val="00D70157"/>
    <w:rsid w:val="00D72DF9"/>
    <w:rsid w:val="00D73238"/>
    <w:rsid w:val="00D75BAE"/>
    <w:rsid w:val="00D760B7"/>
    <w:rsid w:val="00D7761E"/>
    <w:rsid w:val="00D82900"/>
    <w:rsid w:val="00D85D66"/>
    <w:rsid w:val="00D85DF3"/>
    <w:rsid w:val="00D878AD"/>
    <w:rsid w:val="00D87C72"/>
    <w:rsid w:val="00D9206A"/>
    <w:rsid w:val="00D923E0"/>
    <w:rsid w:val="00D9572A"/>
    <w:rsid w:val="00D96E52"/>
    <w:rsid w:val="00D97358"/>
    <w:rsid w:val="00DA19FC"/>
    <w:rsid w:val="00DA210D"/>
    <w:rsid w:val="00DA22B8"/>
    <w:rsid w:val="00DA260F"/>
    <w:rsid w:val="00DA42F5"/>
    <w:rsid w:val="00DA46A2"/>
    <w:rsid w:val="00DA6CC3"/>
    <w:rsid w:val="00DA7243"/>
    <w:rsid w:val="00DA7BB7"/>
    <w:rsid w:val="00DA7F5B"/>
    <w:rsid w:val="00DB0CDE"/>
    <w:rsid w:val="00DB1BE2"/>
    <w:rsid w:val="00DB4199"/>
    <w:rsid w:val="00DB4F95"/>
    <w:rsid w:val="00DB65A1"/>
    <w:rsid w:val="00DB6704"/>
    <w:rsid w:val="00DB6ABF"/>
    <w:rsid w:val="00DC1DA9"/>
    <w:rsid w:val="00DC3B6E"/>
    <w:rsid w:val="00DC48DA"/>
    <w:rsid w:val="00DC4C90"/>
    <w:rsid w:val="00DC500D"/>
    <w:rsid w:val="00DC583D"/>
    <w:rsid w:val="00DC5C4F"/>
    <w:rsid w:val="00DC7141"/>
    <w:rsid w:val="00DC7379"/>
    <w:rsid w:val="00DD07ED"/>
    <w:rsid w:val="00DD1237"/>
    <w:rsid w:val="00DD1411"/>
    <w:rsid w:val="00DD51C2"/>
    <w:rsid w:val="00DE36F3"/>
    <w:rsid w:val="00DE429D"/>
    <w:rsid w:val="00DE51F6"/>
    <w:rsid w:val="00DF03A1"/>
    <w:rsid w:val="00DF06C2"/>
    <w:rsid w:val="00DF0919"/>
    <w:rsid w:val="00DF135D"/>
    <w:rsid w:val="00DF137B"/>
    <w:rsid w:val="00DF14C2"/>
    <w:rsid w:val="00DF19D3"/>
    <w:rsid w:val="00DF2C01"/>
    <w:rsid w:val="00DF30F6"/>
    <w:rsid w:val="00DF3617"/>
    <w:rsid w:val="00DF3D69"/>
    <w:rsid w:val="00DF5377"/>
    <w:rsid w:val="00DF66D4"/>
    <w:rsid w:val="00DF7386"/>
    <w:rsid w:val="00E01684"/>
    <w:rsid w:val="00E028EE"/>
    <w:rsid w:val="00E046C8"/>
    <w:rsid w:val="00E056E8"/>
    <w:rsid w:val="00E05DDE"/>
    <w:rsid w:val="00E069AE"/>
    <w:rsid w:val="00E11EC2"/>
    <w:rsid w:val="00E12839"/>
    <w:rsid w:val="00E14336"/>
    <w:rsid w:val="00E15BA4"/>
    <w:rsid w:val="00E204D5"/>
    <w:rsid w:val="00E20837"/>
    <w:rsid w:val="00E20BA8"/>
    <w:rsid w:val="00E20E50"/>
    <w:rsid w:val="00E22927"/>
    <w:rsid w:val="00E242C6"/>
    <w:rsid w:val="00E25ACD"/>
    <w:rsid w:val="00E26723"/>
    <w:rsid w:val="00E26F01"/>
    <w:rsid w:val="00E27131"/>
    <w:rsid w:val="00E3075A"/>
    <w:rsid w:val="00E30A6C"/>
    <w:rsid w:val="00E31F52"/>
    <w:rsid w:val="00E321B2"/>
    <w:rsid w:val="00E32D46"/>
    <w:rsid w:val="00E33CF4"/>
    <w:rsid w:val="00E33CF5"/>
    <w:rsid w:val="00E34B0B"/>
    <w:rsid w:val="00E34C41"/>
    <w:rsid w:val="00E351D4"/>
    <w:rsid w:val="00E37591"/>
    <w:rsid w:val="00E379D0"/>
    <w:rsid w:val="00E4048A"/>
    <w:rsid w:val="00E40EC6"/>
    <w:rsid w:val="00E41B79"/>
    <w:rsid w:val="00E42000"/>
    <w:rsid w:val="00E42046"/>
    <w:rsid w:val="00E421D1"/>
    <w:rsid w:val="00E427AD"/>
    <w:rsid w:val="00E44910"/>
    <w:rsid w:val="00E44973"/>
    <w:rsid w:val="00E44BBA"/>
    <w:rsid w:val="00E451BC"/>
    <w:rsid w:val="00E46961"/>
    <w:rsid w:val="00E47E25"/>
    <w:rsid w:val="00E514B4"/>
    <w:rsid w:val="00E53514"/>
    <w:rsid w:val="00E54AB8"/>
    <w:rsid w:val="00E54D0D"/>
    <w:rsid w:val="00E55613"/>
    <w:rsid w:val="00E5652D"/>
    <w:rsid w:val="00E63FA4"/>
    <w:rsid w:val="00E64089"/>
    <w:rsid w:val="00E6492E"/>
    <w:rsid w:val="00E650AD"/>
    <w:rsid w:val="00E65A8B"/>
    <w:rsid w:val="00E65B92"/>
    <w:rsid w:val="00E663EC"/>
    <w:rsid w:val="00E70133"/>
    <w:rsid w:val="00E70B48"/>
    <w:rsid w:val="00E721CA"/>
    <w:rsid w:val="00E73175"/>
    <w:rsid w:val="00E73D14"/>
    <w:rsid w:val="00E73EDE"/>
    <w:rsid w:val="00E740FD"/>
    <w:rsid w:val="00E744EF"/>
    <w:rsid w:val="00E74B34"/>
    <w:rsid w:val="00E75C50"/>
    <w:rsid w:val="00E80106"/>
    <w:rsid w:val="00E80F79"/>
    <w:rsid w:val="00E80FAD"/>
    <w:rsid w:val="00E81917"/>
    <w:rsid w:val="00E829D0"/>
    <w:rsid w:val="00E8305F"/>
    <w:rsid w:val="00E83393"/>
    <w:rsid w:val="00E83C12"/>
    <w:rsid w:val="00E83F06"/>
    <w:rsid w:val="00E853B8"/>
    <w:rsid w:val="00E85885"/>
    <w:rsid w:val="00E8727C"/>
    <w:rsid w:val="00E87893"/>
    <w:rsid w:val="00E87DF9"/>
    <w:rsid w:val="00E9007A"/>
    <w:rsid w:val="00E90AAB"/>
    <w:rsid w:val="00E91245"/>
    <w:rsid w:val="00E94638"/>
    <w:rsid w:val="00EA0C11"/>
    <w:rsid w:val="00EA101E"/>
    <w:rsid w:val="00EA113F"/>
    <w:rsid w:val="00EA17EA"/>
    <w:rsid w:val="00EA4369"/>
    <w:rsid w:val="00EA47A3"/>
    <w:rsid w:val="00EA5E6F"/>
    <w:rsid w:val="00EA79A5"/>
    <w:rsid w:val="00EA7B21"/>
    <w:rsid w:val="00EB1371"/>
    <w:rsid w:val="00EB13AA"/>
    <w:rsid w:val="00EB2DED"/>
    <w:rsid w:val="00EB364E"/>
    <w:rsid w:val="00EB3E8D"/>
    <w:rsid w:val="00EB7A44"/>
    <w:rsid w:val="00EC0362"/>
    <w:rsid w:val="00EC04EE"/>
    <w:rsid w:val="00EC0955"/>
    <w:rsid w:val="00EC1AF8"/>
    <w:rsid w:val="00EC1EC9"/>
    <w:rsid w:val="00EC2318"/>
    <w:rsid w:val="00EC23CB"/>
    <w:rsid w:val="00EC24FB"/>
    <w:rsid w:val="00EC3684"/>
    <w:rsid w:val="00EC3A18"/>
    <w:rsid w:val="00EC3A8B"/>
    <w:rsid w:val="00EC6EFD"/>
    <w:rsid w:val="00EC7C92"/>
    <w:rsid w:val="00EC7E57"/>
    <w:rsid w:val="00ED153A"/>
    <w:rsid w:val="00ED2AE4"/>
    <w:rsid w:val="00ED3F76"/>
    <w:rsid w:val="00ED47AA"/>
    <w:rsid w:val="00ED4E03"/>
    <w:rsid w:val="00ED6168"/>
    <w:rsid w:val="00EE0025"/>
    <w:rsid w:val="00EE1BE3"/>
    <w:rsid w:val="00EE3435"/>
    <w:rsid w:val="00EE411D"/>
    <w:rsid w:val="00EE455B"/>
    <w:rsid w:val="00EE4EF6"/>
    <w:rsid w:val="00EE5AC2"/>
    <w:rsid w:val="00EE5D09"/>
    <w:rsid w:val="00EE5E0C"/>
    <w:rsid w:val="00EE67BC"/>
    <w:rsid w:val="00EE6905"/>
    <w:rsid w:val="00EF0327"/>
    <w:rsid w:val="00EF0DAF"/>
    <w:rsid w:val="00EF31C1"/>
    <w:rsid w:val="00EF7BED"/>
    <w:rsid w:val="00F001F7"/>
    <w:rsid w:val="00F00F5C"/>
    <w:rsid w:val="00F00F7B"/>
    <w:rsid w:val="00F01574"/>
    <w:rsid w:val="00F02E54"/>
    <w:rsid w:val="00F03A47"/>
    <w:rsid w:val="00F03A5B"/>
    <w:rsid w:val="00F0402F"/>
    <w:rsid w:val="00F04F2C"/>
    <w:rsid w:val="00F0539A"/>
    <w:rsid w:val="00F10B94"/>
    <w:rsid w:val="00F11BAB"/>
    <w:rsid w:val="00F13C02"/>
    <w:rsid w:val="00F144EF"/>
    <w:rsid w:val="00F1482F"/>
    <w:rsid w:val="00F160D2"/>
    <w:rsid w:val="00F1695B"/>
    <w:rsid w:val="00F20581"/>
    <w:rsid w:val="00F205F7"/>
    <w:rsid w:val="00F22F4F"/>
    <w:rsid w:val="00F2383E"/>
    <w:rsid w:val="00F244AF"/>
    <w:rsid w:val="00F24668"/>
    <w:rsid w:val="00F257E3"/>
    <w:rsid w:val="00F2609D"/>
    <w:rsid w:val="00F26281"/>
    <w:rsid w:val="00F2636B"/>
    <w:rsid w:val="00F275CA"/>
    <w:rsid w:val="00F27E03"/>
    <w:rsid w:val="00F30908"/>
    <w:rsid w:val="00F30BE1"/>
    <w:rsid w:val="00F30EB7"/>
    <w:rsid w:val="00F3156B"/>
    <w:rsid w:val="00F31EA6"/>
    <w:rsid w:val="00F32BFB"/>
    <w:rsid w:val="00F32DFD"/>
    <w:rsid w:val="00F33B50"/>
    <w:rsid w:val="00F35510"/>
    <w:rsid w:val="00F36092"/>
    <w:rsid w:val="00F4446C"/>
    <w:rsid w:val="00F44905"/>
    <w:rsid w:val="00F46439"/>
    <w:rsid w:val="00F478BF"/>
    <w:rsid w:val="00F50009"/>
    <w:rsid w:val="00F51C22"/>
    <w:rsid w:val="00F521D2"/>
    <w:rsid w:val="00F53039"/>
    <w:rsid w:val="00F54925"/>
    <w:rsid w:val="00F55892"/>
    <w:rsid w:val="00F55A58"/>
    <w:rsid w:val="00F55DEB"/>
    <w:rsid w:val="00F55E26"/>
    <w:rsid w:val="00F56CA7"/>
    <w:rsid w:val="00F57496"/>
    <w:rsid w:val="00F577BD"/>
    <w:rsid w:val="00F60A27"/>
    <w:rsid w:val="00F636E7"/>
    <w:rsid w:val="00F6380D"/>
    <w:rsid w:val="00F6456F"/>
    <w:rsid w:val="00F648D7"/>
    <w:rsid w:val="00F66E29"/>
    <w:rsid w:val="00F70F20"/>
    <w:rsid w:val="00F71723"/>
    <w:rsid w:val="00F71970"/>
    <w:rsid w:val="00F7232B"/>
    <w:rsid w:val="00F726CB"/>
    <w:rsid w:val="00F75492"/>
    <w:rsid w:val="00F81F53"/>
    <w:rsid w:val="00F86060"/>
    <w:rsid w:val="00F86854"/>
    <w:rsid w:val="00F90B77"/>
    <w:rsid w:val="00F92018"/>
    <w:rsid w:val="00F920E8"/>
    <w:rsid w:val="00F9342F"/>
    <w:rsid w:val="00F93449"/>
    <w:rsid w:val="00F9547E"/>
    <w:rsid w:val="00F95E8C"/>
    <w:rsid w:val="00F962A6"/>
    <w:rsid w:val="00F9699D"/>
    <w:rsid w:val="00F97CC7"/>
    <w:rsid w:val="00F97DBB"/>
    <w:rsid w:val="00FA0EBA"/>
    <w:rsid w:val="00FA1257"/>
    <w:rsid w:val="00FA3ACA"/>
    <w:rsid w:val="00FA447B"/>
    <w:rsid w:val="00FA5C06"/>
    <w:rsid w:val="00FA6BD6"/>
    <w:rsid w:val="00FA7ACE"/>
    <w:rsid w:val="00FA7F29"/>
    <w:rsid w:val="00FB087C"/>
    <w:rsid w:val="00FB18AF"/>
    <w:rsid w:val="00FB19D2"/>
    <w:rsid w:val="00FB2220"/>
    <w:rsid w:val="00FB2E02"/>
    <w:rsid w:val="00FB2FA4"/>
    <w:rsid w:val="00FB3348"/>
    <w:rsid w:val="00FB3466"/>
    <w:rsid w:val="00FB4C09"/>
    <w:rsid w:val="00FB6BC2"/>
    <w:rsid w:val="00FC0E70"/>
    <w:rsid w:val="00FC1DDF"/>
    <w:rsid w:val="00FC3A9E"/>
    <w:rsid w:val="00FC70B5"/>
    <w:rsid w:val="00FD025A"/>
    <w:rsid w:val="00FD21A2"/>
    <w:rsid w:val="00FD28A7"/>
    <w:rsid w:val="00FD3AE5"/>
    <w:rsid w:val="00FD3C63"/>
    <w:rsid w:val="00FD3DA4"/>
    <w:rsid w:val="00FD3F89"/>
    <w:rsid w:val="00FD6051"/>
    <w:rsid w:val="00FD680C"/>
    <w:rsid w:val="00FD6FB3"/>
    <w:rsid w:val="00FD73C7"/>
    <w:rsid w:val="00FD788C"/>
    <w:rsid w:val="00FE07C8"/>
    <w:rsid w:val="00FE0C3D"/>
    <w:rsid w:val="00FE1BF0"/>
    <w:rsid w:val="00FE56DF"/>
    <w:rsid w:val="00FF0B04"/>
    <w:rsid w:val="00FF2B30"/>
    <w:rsid w:val="00FF2F3D"/>
    <w:rsid w:val="00FF498C"/>
    <w:rsid w:val="00FF7528"/>
    <w:rsid w:val="00FF7F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8772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rPr>
  </w:style>
  <w:style w:type="paragraph" w:styleId="Subtitle">
    <w:name w:val="Subtitle"/>
    <w:basedOn w:val="Normal"/>
    <w:link w:val="SubtitleChar"/>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ingleSpacing">
    <w:name w:val="Single Spacing"/>
    <w:basedOn w:val="Normal"/>
    <w:pPr>
      <w:spacing w:line="254" w:lineRule="exact"/>
    </w:pPr>
  </w:style>
  <w:style w:type="character" w:styleId="PageNumber">
    <w:name w:val="page number"/>
    <w:basedOn w:val="DefaultParagraphFont"/>
  </w:style>
  <w:style w:type="character" w:styleId="Hyperlink">
    <w:name w:val="Hyperlink"/>
    <w:basedOn w:val="DefaultParagraphFont"/>
    <w:rPr>
      <w:color w:val="0000FF"/>
      <w:u w:val="single"/>
    </w:rPr>
  </w:style>
  <w:style w:type="paragraph" w:styleId="BodyTextIndent">
    <w:name w:val="Body Text Indent"/>
    <w:basedOn w:val="Normal"/>
    <w:pPr>
      <w:spacing w:line="480" w:lineRule="auto"/>
      <w:ind w:firstLine="1440"/>
    </w:pPr>
  </w:style>
  <w:style w:type="paragraph" w:styleId="BodyText2">
    <w:name w:val="Body Text 2"/>
    <w:basedOn w:val="Normal"/>
    <w:rPr>
      <w:b/>
      <w:bCs/>
    </w:rPr>
  </w:style>
  <w:style w:type="paragraph" w:styleId="EndnoteText">
    <w:name w:val="endnote text"/>
    <w:basedOn w:val="Normal"/>
    <w:semiHidden/>
    <w:pPr>
      <w:widowControl w:val="0"/>
      <w:overflowPunct w:val="0"/>
      <w:autoSpaceDE w:val="0"/>
      <w:autoSpaceDN w:val="0"/>
      <w:adjustRightInd w:val="0"/>
      <w:textAlignment w:val="baseline"/>
    </w:pPr>
    <w:rPr>
      <w:rFonts w:ascii="Courier" w:hAnsi="Courier"/>
    </w:rPr>
  </w:style>
  <w:style w:type="paragraph" w:customStyle="1" w:styleId="wfxRecipient">
    <w:name w:val="wfxRecipient"/>
    <w:basedOn w:val="Normal"/>
    <w:rsid w:val="003A68D1"/>
    <w:pPr>
      <w:overflowPunct w:val="0"/>
      <w:autoSpaceDE w:val="0"/>
      <w:autoSpaceDN w:val="0"/>
      <w:adjustRightInd w:val="0"/>
      <w:textAlignment w:val="baseline"/>
    </w:pPr>
    <w:rPr>
      <w:rFonts w:ascii="Univers" w:hAnsi="Univers" w:cs="Univers"/>
      <w:szCs w:val="24"/>
    </w:rPr>
  </w:style>
  <w:style w:type="character" w:styleId="FollowedHyperlink">
    <w:name w:val="FollowedHyperlink"/>
    <w:basedOn w:val="DefaultParagraphFont"/>
    <w:rsid w:val="008A0870"/>
    <w:rPr>
      <w:color w:val="800080"/>
      <w:u w:val="single"/>
    </w:rPr>
  </w:style>
  <w:style w:type="paragraph" w:customStyle="1" w:styleId="StyleBottomSinglesolidlineAuto15ptLinewidthFromte">
    <w:name w:val="Style Bottom: (Single solid line Auto  1.5 pt Line width From te..."/>
    <w:basedOn w:val="Normal"/>
    <w:next w:val="Normal"/>
    <w:rsid w:val="00E242C6"/>
    <w:pPr>
      <w:pBdr>
        <w:bottom w:val="single" w:sz="12" w:space="14" w:color="auto"/>
      </w:pBdr>
      <w:spacing w:line="480" w:lineRule="auto"/>
    </w:pPr>
  </w:style>
  <w:style w:type="table" w:styleId="TableGrid">
    <w:name w:val="Table Grid"/>
    <w:basedOn w:val="TableNormal"/>
    <w:rsid w:val="00F558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5F33E9"/>
    <w:rPr>
      <w:rFonts w:ascii="Tahoma" w:hAnsi="Tahoma" w:cs="Tahoma"/>
      <w:sz w:val="16"/>
      <w:szCs w:val="16"/>
    </w:rPr>
  </w:style>
  <w:style w:type="paragraph" w:styleId="ListParagraph">
    <w:name w:val="List Paragraph"/>
    <w:basedOn w:val="Normal"/>
    <w:uiPriority w:val="34"/>
    <w:qFormat/>
    <w:rsid w:val="00AF1736"/>
    <w:pPr>
      <w:ind w:left="720"/>
      <w:contextualSpacing/>
    </w:pPr>
  </w:style>
  <w:style w:type="character" w:customStyle="1" w:styleId="TitleChar">
    <w:name w:val="Title Char"/>
    <w:basedOn w:val="DefaultParagraphFont"/>
    <w:link w:val="Title"/>
    <w:rsid w:val="00A05C58"/>
    <w:rPr>
      <w:b/>
      <w:bCs/>
      <w:sz w:val="24"/>
    </w:rPr>
  </w:style>
  <w:style w:type="character" w:customStyle="1" w:styleId="SubtitleChar">
    <w:name w:val="Subtitle Char"/>
    <w:basedOn w:val="DefaultParagraphFont"/>
    <w:link w:val="Subtitle"/>
    <w:rsid w:val="00A05C58"/>
    <w:rPr>
      <w:b/>
      <w:bCs/>
      <w:sz w:val="24"/>
    </w:rPr>
  </w:style>
  <w:style w:type="paragraph" w:styleId="NormalWeb">
    <w:name w:val="Normal (Web)"/>
    <w:basedOn w:val="Normal"/>
    <w:uiPriority w:val="99"/>
    <w:semiHidden/>
    <w:unhideWhenUsed/>
    <w:rsid w:val="00103F08"/>
    <w:rPr>
      <w:szCs w:val="24"/>
    </w:rPr>
  </w:style>
  <w:style w:type="paragraph" w:styleId="FootnoteText">
    <w:name w:val="footnote text"/>
    <w:basedOn w:val="Normal"/>
    <w:link w:val="FootnoteTextChar"/>
    <w:uiPriority w:val="99"/>
    <w:unhideWhenUsed/>
    <w:rsid w:val="00B84807"/>
    <w:rPr>
      <w:szCs w:val="24"/>
    </w:rPr>
  </w:style>
  <w:style w:type="character" w:customStyle="1" w:styleId="FootnoteTextChar">
    <w:name w:val="Footnote Text Char"/>
    <w:basedOn w:val="DefaultParagraphFont"/>
    <w:link w:val="FootnoteText"/>
    <w:uiPriority w:val="99"/>
    <w:rsid w:val="00B84807"/>
    <w:rPr>
      <w:sz w:val="24"/>
      <w:szCs w:val="24"/>
    </w:rPr>
  </w:style>
  <w:style w:type="character" w:styleId="FootnoteReference">
    <w:name w:val="footnote reference"/>
    <w:basedOn w:val="DefaultParagraphFont"/>
    <w:unhideWhenUsed/>
    <w:rsid w:val="00B84807"/>
    <w:rPr>
      <w:vertAlign w:val="superscript"/>
    </w:rPr>
  </w:style>
  <w:style w:type="paragraph" w:styleId="CommentText">
    <w:name w:val="annotation text"/>
    <w:basedOn w:val="Normal"/>
    <w:link w:val="CommentTextChar"/>
    <w:uiPriority w:val="99"/>
    <w:semiHidden/>
    <w:unhideWhenUsed/>
    <w:rsid w:val="0026320C"/>
    <w:rPr>
      <w:szCs w:val="24"/>
    </w:rPr>
  </w:style>
  <w:style w:type="character" w:customStyle="1" w:styleId="CommentTextChar">
    <w:name w:val="Comment Text Char"/>
    <w:basedOn w:val="DefaultParagraphFont"/>
    <w:link w:val="CommentText"/>
    <w:uiPriority w:val="99"/>
    <w:semiHidden/>
    <w:rsid w:val="0026320C"/>
    <w:rPr>
      <w:sz w:val="24"/>
      <w:szCs w:val="24"/>
    </w:rPr>
  </w:style>
  <w:style w:type="paragraph" w:styleId="CommentSubject">
    <w:name w:val="annotation subject"/>
    <w:basedOn w:val="CommentText"/>
    <w:next w:val="CommentText"/>
    <w:link w:val="CommentSubjectChar"/>
    <w:uiPriority w:val="99"/>
    <w:semiHidden/>
    <w:unhideWhenUsed/>
    <w:rsid w:val="0026320C"/>
    <w:pPr>
      <w:widowControl w:val="0"/>
    </w:pPr>
    <w:rPr>
      <w:b/>
      <w:bCs/>
      <w:sz w:val="20"/>
      <w:szCs w:val="20"/>
    </w:rPr>
  </w:style>
  <w:style w:type="character" w:customStyle="1" w:styleId="CommentSubjectChar">
    <w:name w:val="Comment Subject Char"/>
    <w:basedOn w:val="CommentTextChar"/>
    <w:link w:val="CommentSubject"/>
    <w:uiPriority w:val="99"/>
    <w:semiHidden/>
    <w:rsid w:val="0026320C"/>
    <w:rPr>
      <w:b/>
      <w:bCs/>
      <w:sz w:val="24"/>
      <w:szCs w:val="24"/>
    </w:rPr>
  </w:style>
  <w:style w:type="character" w:styleId="CommentReference">
    <w:name w:val="annotation reference"/>
    <w:basedOn w:val="DefaultParagraphFont"/>
    <w:uiPriority w:val="99"/>
    <w:semiHidden/>
    <w:unhideWhenUsed/>
    <w:rsid w:val="004E0500"/>
    <w:rPr>
      <w:sz w:val="18"/>
      <w:szCs w:val="18"/>
    </w:rPr>
  </w:style>
  <w:style w:type="paragraph" w:styleId="DocumentMap">
    <w:name w:val="Document Map"/>
    <w:basedOn w:val="Normal"/>
    <w:link w:val="DocumentMapChar"/>
    <w:uiPriority w:val="99"/>
    <w:semiHidden/>
    <w:unhideWhenUsed/>
    <w:rsid w:val="000C4BB9"/>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0C4BB9"/>
    <w:rPr>
      <w:rFonts w:ascii="Lucida Grande" w:hAnsi="Lucida Grande" w:cs="Lucida Grande"/>
      <w:sz w:val="24"/>
      <w:szCs w:val="24"/>
    </w:rPr>
  </w:style>
  <w:style w:type="paragraph" w:styleId="Revision">
    <w:name w:val="Revision"/>
    <w:hidden/>
    <w:uiPriority w:val="99"/>
    <w:semiHidden/>
    <w:rsid w:val="00FA7ACE"/>
    <w:rPr>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rPr>
  </w:style>
  <w:style w:type="paragraph" w:styleId="Subtitle">
    <w:name w:val="Subtitle"/>
    <w:basedOn w:val="Normal"/>
    <w:link w:val="SubtitleChar"/>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ingleSpacing">
    <w:name w:val="Single Spacing"/>
    <w:basedOn w:val="Normal"/>
    <w:pPr>
      <w:spacing w:line="254" w:lineRule="exact"/>
    </w:pPr>
  </w:style>
  <w:style w:type="character" w:styleId="PageNumber">
    <w:name w:val="page number"/>
    <w:basedOn w:val="DefaultParagraphFont"/>
  </w:style>
  <w:style w:type="character" w:styleId="Hyperlink">
    <w:name w:val="Hyperlink"/>
    <w:basedOn w:val="DefaultParagraphFont"/>
    <w:rPr>
      <w:color w:val="0000FF"/>
      <w:u w:val="single"/>
    </w:rPr>
  </w:style>
  <w:style w:type="paragraph" w:styleId="BodyTextIndent">
    <w:name w:val="Body Text Indent"/>
    <w:basedOn w:val="Normal"/>
    <w:pPr>
      <w:spacing w:line="480" w:lineRule="auto"/>
      <w:ind w:firstLine="1440"/>
    </w:pPr>
  </w:style>
  <w:style w:type="paragraph" w:styleId="BodyText2">
    <w:name w:val="Body Text 2"/>
    <w:basedOn w:val="Normal"/>
    <w:rPr>
      <w:b/>
      <w:bCs/>
    </w:rPr>
  </w:style>
  <w:style w:type="paragraph" w:styleId="EndnoteText">
    <w:name w:val="endnote text"/>
    <w:basedOn w:val="Normal"/>
    <w:semiHidden/>
    <w:pPr>
      <w:widowControl w:val="0"/>
      <w:overflowPunct w:val="0"/>
      <w:autoSpaceDE w:val="0"/>
      <w:autoSpaceDN w:val="0"/>
      <w:adjustRightInd w:val="0"/>
      <w:textAlignment w:val="baseline"/>
    </w:pPr>
    <w:rPr>
      <w:rFonts w:ascii="Courier" w:hAnsi="Courier"/>
    </w:rPr>
  </w:style>
  <w:style w:type="paragraph" w:customStyle="1" w:styleId="wfxRecipient">
    <w:name w:val="wfxRecipient"/>
    <w:basedOn w:val="Normal"/>
    <w:rsid w:val="003A68D1"/>
    <w:pPr>
      <w:overflowPunct w:val="0"/>
      <w:autoSpaceDE w:val="0"/>
      <w:autoSpaceDN w:val="0"/>
      <w:adjustRightInd w:val="0"/>
      <w:textAlignment w:val="baseline"/>
    </w:pPr>
    <w:rPr>
      <w:rFonts w:ascii="Univers" w:hAnsi="Univers" w:cs="Univers"/>
      <w:szCs w:val="24"/>
    </w:rPr>
  </w:style>
  <w:style w:type="character" w:styleId="FollowedHyperlink">
    <w:name w:val="FollowedHyperlink"/>
    <w:basedOn w:val="DefaultParagraphFont"/>
    <w:rsid w:val="008A0870"/>
    <w:rPr>
      <w:color w:val="800080"/>
      <w:u w:val="single"/>
    </w:rPr>
  </w:style>
  <w:style w:type="paragraph" w:customStyle="1" w:styleId="StyleBottomSinglesolidlineAuto15ptLinewidthFromte">
    <w:name w:val="Style Bottom: (Single solid line Auto  1.5 pt Line width From te..."/>
    <w:basedOn w:val="Normal"/>
    <w:next w:val="Normal"/>
    <w:rsid w:val="00E242C6"/>
    <w:pPr>
      <w:pBdr>
        <w:bottom w:val="single" w:sz="12" w:space="14" w:color="auto"/>
      </w:pBdr>
      <w:spacing w:line="480" w:lineRule="auto"/>
    </w:pPr>
  </w:style>
  <w:style w:type="table" w:styleId="TableGrid">
    <w:name w:val="Table Grid"/>
    <w:basedOn w:val="TableNormal"/>
    <w:rsid w:val="00F558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5F33E9"/>
    <w:rPr>
      <w:rFonts w:ascii="Tahoma" w:hAnsi="Tahoma" w:cs="Tahoma"/>
      <w:sz w:val="16"/>
      <w:szCs w:val="16"/>
    </w:rPr>
  </w:style>
  <w:style w:type="paragraph" w:styleId="ListParagraph">
    <w:name w:val="List Paragraph"/>
    <w:basedOn w:val="Normal"/>
    <w:uiPriority w:val="34"/>
    <w:qFormat/>
    <w:rsid w:val="00AF1736"/>
    <w:pPr>
      <w:ind w:left="720"/>
      <w:contextualSpacing/>
    </w:pPr>
  </w:style>
  <w:style w:type="character" w:customStyle="1" w:styleId="TitleChar">
    <w:name w:val="Title Char"/>
    <w:basedOn w:val="DefaultParagraphFont"/>
    <w:link w:val="Title"/>
    <w:rsid w:val="00A05C58"/>
    <w:rPr>
      <w:b/>
      <w:bCs/>
      <w:sz w:val="24"/>
    </w:rPr>
  </w:style>
  <w:style w:type="character" w:customStyle="1" w:styleId="SubtitleChar">
    <w:name w:val="Subtitle Char"/>
    <w:basedOn w:val="DefaultParagraphFont"/>
    <w:link w:val="Subtitle"/>
    <w:rsid w:val="00A05C58"/>
    <w:rPr>
      <w:b/>
      <w:bCs/>
      <w:sz w:val="24"/>
    </w:rPr>
  </w:style>
  <w:style w:type="paragraph" w:styleId="NormalWeb">
    <w:name w:val="Normal (Web)"/>
    <w:basedOn w:val="Normal"/>
    <w:uiPriority w:val="99"/>
    <w:semiHidden/>
    <w:unhideWhenUsed/>
    <w:rsid w:val="00103F08"/>
    <w:rPr>
      <w:szCs w:val="24"/>
    </w:rPr>
  </w:style>
  <w:style w:type="paragraph" w:styleId="FootnoteText">
    <w:name w:val="footnote text"/>
    <w:basedOn w:val="Normal"/>
    <w:link w:val="FootnoteTextChar"/>
    <w:uiPriority w:val="99"/>
    <w:unhideWhenUsed/>
    <w:rsid w:val="00B84807"/>
    <w:rPr>
      <w:szCs w:val="24"/>
    </w:rPr>
  </w:style>
  <w:style w:type="character" w:customStyle="1" w:styleId="FootnoteTextChar">
    <w:name w:val="Footnote Text Char"/>
    <w:basedOn w:val="DefaultParagraphFont"/>
    <w:link w:val="FootnoteText"/>
    <w:uiPriority w:val="99"/>
    <w:rsid w:val="00B84807"/>
    <w:rPr>
      <w:sz w:val="24"/>
      <w:szCs w:val="24"/>
    </w:rPr>
  </w:style>
  <w:style w:type="character" w:styleId="FootnoteReference">
    <w:name w:val="footnote reference"/>
    <w:basedOn w:val="DefaultParagraphFont"/>
    <w:unhideWhenUsed/>
    <w:rsid w:val="00B84807"/>
    <w:rPr>
      <w:vertAlign w:val="superscript"/>
    </w:rPr>
  </w:style>
  <w:style w:type="paragraph" w:styleId="CommentText">
    <w:name w:val="annotation text"/>
    <w:basedOn w:val="Normal"/>
    <w:link w:val="CommentTextChar"/>
    <w:uiPriority w:val="99"/>
    <w:semiHidden/>
    <w:unhideWhenUsed/>
    <w:rsid w:val="0026320C"/>
    <w:rPr>
      <w:szCs w:val="24"/>
    </w:rPr>
  </w:style>
  <w:style w:type="character" w:customStyle="1" w:styleId="CommentTextChar">
    <w:name w:val="Comment Text Char"/>
    <w:basedOn w:val="DefaultParagraphFont"/>
    <w:link w:val="CommentText"/>
    <w:uiPriority w:val="99"/>
    <w:semiHidden/>
    <w:rsid w:val="0026320C"/>
    <w:rPr>
      <w:sz w:val="24"/>
      <w:szCs w:val="24"/>
    </w:rPr>
  </w:style>
  <w:style w:type="paragraph" w:styleId="CommentSubject">
    <w:name w:val="annotation subject"/>
    <w:basedOn w:val="CommentText"/>
    <w:next w:val="CommentText"/>
    <w:link w:val="CommentSubjectChar"/>
    <w:uiPriority w:val="99"/>
    <w:semiHidden/>
    <w:unhideWhenUsed/>
    <w:rsid w:val="0026320C"/>
    <w:pPr>
      <w:widowControl w:val="0"/>
    </w:pPr>
    <w:rPr>
      <w:b/>
      <w:bCs/>
      <w:sz w:val="20"/>
      <w:szCs w:val="20"/>
    </w:rPr>
  </w:style>
  <w:style w:type="character" w:customStyle="1" w:styleId="CommentSubjectChar">
    <w:name w:val="Comment Subject Char"/>
    <w:basedOn w:val="CommentTextChar"/>
    <w:link w:val="CommentSubject"/>
    <w:uiPriority w:val="99"/>
    <w:semiHidden/>
    <w:rsid w:val="0026320C"/>
    <w:rPr>
      <w:b/>
      <w:bCs/>
      <w:sz w:val="24"/>
      <w:szCs w:val="24"/>
    </w:rPr>
  </w:style>
  <w:style w:type="character" w:styleId="CommentReference">
    <w:name w:val="annotation reference"/>
    <w:basedOn w:val="DefaultParagraphFont"/>
    <w:uiPriority w:val="99"/>
    <w:semiHidden/>
    <w:unhideWhenUsed/>
    <w:rsid w:val="004E0500"/>
    <w:rPr>
      <w:sz w:val="18"/>
      <w:szCs w:val="18"/>
    </w:rPr>
  </w:style>
  <w:style w:type="paragraph" w:styleId="DocumentMap">
    <w:name w:val="Document Map"/>
    <w:basedOn w:val="Normal"/>
    <w:link w:val="DocumentMapChar"/>
    <w:uiPriority w:val="99"/>
    <w:semiHidden/>
    <w:unhideWhenUsed/>
    <w:rsid w:val="000C4BB9"/>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0C4BB9"/>
    <w:rPr>
      <w:rFonts w:ascii="Lucida Grande" w:hAnsi="Lucida Grande" w:cs="Lucida Grande"/>
      <w:sz w:val="24"/>
      <w:szCs w:val="24"/>
    </w:rPr>
  </w:style>
  <w:style w:type="paragraph" w:styleId="Revision">
    <w:name w:val="Revision"/>
    <w:hidden/>
    <w:uiPriority w:val="99"/>
    <w:semiHidden/>
    <w:rsid w:val="00FA7AC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47089">
      <w:bodyDiv w:val="1"/>
      <w:marLeft w:val="0"/>
      <w:marRight w:val="0"/>
      <w:marTop w:val="0"/>
      <w:marBottom w:val="0"/>
      <w:divBdr>
        <w:top w:val="none" w:sz="0" w:space="0" w:color="auto"/>
        <w:left w:val="none" w:sz="0" w:space="0" w:color="auto"/>
        <w:bottom w:val="none" w:sz="0" w:space="0" w:color="auto"/>
        <w:right w:val="none" w:sz="0" w:space="0" w:color="auto"/>
      </w:divBdr>
      <w:divsChild>
        <w:div w:id="1787503085">
          <w:marLeft w:val="0"/>
          <w:marRight w:val="0"/>
          <w:marTop w:val="0"/>
          <w:marBottom w:val="0"/>
          <w:divBdr>
            <w:top w:val="none" w:sz="0" w:space="0" w:color="auto"/>
            <w:left w:val="none" w:sz="0" w:space="0" w:color="auto"/>
            <w:bottom w:val="none" w:sz="0" w:space="0" w:color="auto"/>
            <w:right w:val="none" w:sz="0" w:space="0" w:color="auto"/>
          </w:divBdr>
          <w:divsChild>
            <w:div w:id="246303827">
              <w:marLeft w:val="0"/>
              <w:marRight w:val="0"/>
              <w:marTop w:val="0"/>
              <w:marBottom w:val="0"/>
              <w:divBdr>
                <w:top w:val="none" w:sz="0" w:space="0" w:color="auto"/>
                <w:left w:val="none" w:sz="0" w:space="0" w:color="auto"/>
                <w:bottom w:val="none" w:sz="0" w:space="0" w:color="auto"/>
                <w:right w:val="none" w:sz="0" w:space="0" w:color="auto"/>
              </w:divBdr>
              <w:divsChild>
                <w:div w:id="154690968">
                  <w:marLeft w:val="0"/>
                  <w:marRight w:val="0"/>
                  <w:marTop w:val="0"/>
                  <w:marBottom w:val="0"/>
                  <w:divBdr>
                    <w:top w:val="none" w:sz="0" w:space="0" w:color="auto"/>
                    <w:left w:val="none" w:sz="0" w:space="0" w:color="auto"/>
                    <w:bottom w:val="none" w:sz="0" w:space="0" w:color="auto"/>
                    <w:right w:val="none" w:sz="0" w:space="0" w:color="auto"/>
                  </w:divBdr>
                </w:div>
              </w:divsChild>
            </w:div>
            <w:div w:id="437795214">
              <w:marLeft w:val="0"/>
              <w:marRight w:val="0"/>
              <w:marTop w:val="0"/>
              <w:marBottom w:val="0"/>
              <w:divBdr>
                <w:top w:val="none" w:sz="0" w:space="0" w:color="auto"/>
                <w:left w:val="none" w:sz="0" w:space="0" w:color="auto"/>
                <w:bottom w:val="none" w:sz="0" w:space="0" w:color="auto"/>
                <w:right w:val="none" w:sz="0" w:space="0" w:color="auto"/>
              </w:divBdr>
              <w:divsChild>
                <w:div w:id="686441874">
                  <w:marLeft w:val="0"/>
                  <w:marRight w:val="0"/>
                  <w:marTop w:val="0"/>
                  <w:marBottom w:val="0"/>
                  <w:divBdr>
                    <w:top w:val="none" w:sz="0" w:space="0" w:color="auto"/>
                    <w:left w:val="none" w:sz="0" w:space="0" w:color="auto"/>
                    <w:bottom w:val="none" w:sz="0" w:space="0" w:color="auto"/>
                    <w:right w:val="none" w:sz="0" w:space="0" w:color="auto"/>
                  </w:divBdr>
                </w:div>
              </w:divsChild>
            </w:div>
            <w:div w:id="1087192842">
              <w:marLeft w:val="0"/>
              <w:marRight w:val="0"/>
              <w:marTop w:val="0"/>
              <w:marBottom w:val="0"/>
              <w:divBdr>
                <w:top w:val="none" w:sz="0" w:space="0" w:color="auto"/>
                <w:left w:val="none" w:sz="0" w:space="0" w:color="auto"/>
                <w:bottom w:val="none" w:sz="0" w:space="0" w:color="auto"/>
                <w:right w:val="none" w:sz="0" w:space="0" w:color="auto"/>
              </w:divBdr>
              <w:divsChild>
                <w:div w:id="48293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11747">
      <w:bodyDiv w:val="1"/>
      <w:marLeft w:val="0"/>
      <w:marRight w:val="0"/>
      <w:marTop w:val="0"/>
      <w:marBottom w:val="0"/>
      <w:divBdr>
        <w:top w:val="none" w:sz="0" w:space="0" w:color="auto"/>
        <w:left w:val="none" w:sz="0" w:space="0" w:color="auto"/>
        <w:bottom w:val="none" w:sz="0" w:space="0" w:color="auto"/>
        <w:right w:val="none" w:sz="0" w:space="0" w:color="auto"/>
      </w:divBdr>
      <w:divsChild>
        <w:div w:id="751271811">
          <w:marLeft w:val="0"/>
          <w:marRight w:val="0"/>
          <w:marTop w:val="0"/>
          <w:marBottom w:val="0"/>
          <w:divBdr>
            <w:top w:val="none" w:sz="0" w:space="0" w:color="auto"/>
            <w:left w:val="none" w:sz="0" w:space="0" w:color="auto"/>
            <w:bottom w:val="none" w:sz="0" w:space="0" w:color="auto"/>
            <w:right w:val="none" w:sz="0" w:space="0" w:color="auto"/>
          </w:divBdr>
          <w:divsChild>
            <w:div w:id="1220478264">
              <w:marLeft w:val="0"/>
              <w:marRight w:val="0"/>
              <w:marTop w:val="0"/>
              <w:marBottom w:val="0"/>
              <w:divBdr>
                <w:top w:val="none" w:sz="0" w:space="0" w:color="auto"/>
                <w:left w:val="none" w:sz="0" w:space="0" w:color="auto"/>
                <w:bottom w:val="none" w:sz="0" w:space="0" w:color="auto"/>
                <w:right w:val="none" w:sz="0" w:space="0" w:color="auto"/>
              </w:divBdr>
              <w:divsChild>
                <w:div w:id="201765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93155">
      <w:bodyDiv w:val="1"/>
      <w:marLeft w:val="0"/>
      <w:marRight w:val="0"/>
      <w:marTop w:val="0"/>
      <w:marBottom w:val="0"/>
      <w:divBdr>
        <w:top w:val="none" w:sz="0" w:space="0" w:color="auto"/>
        <w:left w:val="none" w:sz="0" w:space="0" w:color="auto"/>
        <w:bottom w:val="none" w:sz="0" w:space="0" w:color="auto"/>
        <w:right w:val="none" w:sz="0" w:space="0" w:color="auto"/>
      </w:divBdr>
      <w:divsChild>
        <w:div w:id="1301417083">
          <w:marLeft w:val="0"/>
          <w:marRight w:val="0"/>
          <w:marTop w:val="0"/>
          <w:marBottom w:val="0"/>
          <w:divBdr>
            <w:top w:val="none" w:sz="0" w:space="0" w:color="auto"/>
            <w:left w:val="none" w:sz="0" w:space="0" w:color="auto"/>
            <w:bottom w:val="none" w:sz="0" w:space="0" w:color="auto"/>
            <w:right w:val="none" w:sz="0" w:space="0" w:color="auto"/>
          </w:divBdr>
        </w:div>
        <w:div w:id="1152872159">
          <w:marLeft w:val="0"/>
          <w:marRight w:val="0"/>
          <w:marTop w:val="0"/>
          <w:marBottom w:val="0"/>
          <w:divBdr>
            <w:top w:val="none" w:sz="0" w:space="0" w:color="auto"/>
            <w:left w:val="none" w:sz="0" w:space="0" w:color="auto"/>
            <w:bottom w:val="none" w:sz="0" w:space="0" w:color="auto"/>
            <w:right w:val="none" w:sz="0" w:space="0" w:color="auto"/>
          </w:divBdr>
        </w:div>
      </w:divsChild>
    </w:div>
    <w:div w:id="262346070">
      <w:bodyDiv w:val="1"/>
      <w:marLeft w:val="0"/>
      <w:marRight w:val="0"/>
      <w:marTop w:val="0"/>
      <w:marBottom w:val="0"/>
      <w:divBdr>
        <w:top w:val="none" w:sz="0" w:space="0" w:color="auto"/>
        <w:left w:val="none" w:sz="0" w:space="0" w:color="auto"/>
        <w:bottom w:val="none" w:sz="0" w:space="0" w:color="auto"/>
        <w:right w:val="none" w:sz="0" w:space="0" w:color="auto"/>
      </w:divBdr>
      <w:divsChild>
        <w:div w:id="518277896">
          <w:marLeft w:val="0"/>
          <w:marRight w:val="0"/>
          <w:marTop w:val="0"/>
          <w:marBottom w:val="0"/>
          <w:divBdr>
            <w:top w:val="none" w:sz="0" w:space="0" w:color="auto"/>
            <w:left w:val="none" w:sz="0" w:space="0" w:color="auto"/>
            <w:bottom w:val="none" w:sz="0" w:space="0" w:color="auto"/>
            <w:right w:val="none" w:sz="0" w:space="0" w:color="auto"/>
          </w:divBdr>
          <w:divsChild>
            <w:div w:id="824660942">
              <w:marLeft w:val="0"/>
              <w:marRight w:val="0"/>
              <w:marTop w:val="0"/>
              <w:marBottom w:val="0"/>
              <w:divBdr>
                <w:top w:val="none" w:sz="0" w:space="0" w:color="auto"/>
                <w:left w:val="none" w:sz="0" w:space="0" w:color="auto"/>
                <w:bottom w:val="none" w:sz="0" w:space="0" w:color="auto"/>
                <w:right w:val="none" w:sz="0" w:space="0" w:color="auto"/>
              </w:divBdr>
              <w:divsChild>
                <w:div w:id="151980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629647">
      <w:bodyDiv w:val="1"/>
      <w:marLeft w:val="0"/>
      <w:marRight w:val="0"/>
      <w:marTop w:val="0"/>
      <w:marBottom w:val="0"/>
      <w:divBdr>
        <w:top w:val="none" w:sz="0" w:space="0" w:color="auto"/>
        <w:left w:val="none" w:sz="0" w:space="0" w:color="auto"/>
        <w:bottom w:val="none" w:sz="0" w:space="0" w:color="auto"/>
        <w:right w:val="none" w:sz="0" w:space="0" w:color="auto"/>
      </w:divBdr>
      <w:divsChild>
        <w:div w:id="1667854925">
          <w:marLeft w:val="0"/>
          <w:marRight w:val="0"/>
          <w:marTop w:val="0"/>
          <w:marBottom w:val="0"/>
          <w:divBdr>
            <w:top w:val="none" w:sz="0" w:space="0" w:color="auto"/>
            <w:left w:val="none" w:sz="0" w:space="0" w:color="auto"/>
            <w:bottom w:val="none" w:sz="0" w:space="0" w:color="auto"/>
            <w:right w:val="none" w:sz="0" w:space="0" w:color="auto"/>
          </w:divBdr>
        </w:div>
        <w:div w:id="263731611">
          <w:marLeft w:val="0"/>
          <w:marRight w:val="0"/>
          <w:marTop w:val="0"/>
          <w:marBottom w:val="0"/>
          <w:divBdr>
            <w:top w:val="none" w:sz="0" w:space="0" w:color="auto"/>
            <w:left w:val="none" w:sz="0" w:space="0" w:color="auto"/>
            <w:bottom w:val="none" w:sz="0" w:space="0" w:color="auto"/>
            <w:right w:val="none" w:sz="0" w:space="0" w:color="auto"/>
          </w:divBdr>
        </w:div>
      </w:divsChild>
    </w:div>
    <w:div w:id="272832866">
      <w:bodyDiv w:val="1"/>
      <w:marLeft w:val="0"/>
      <w:marRight w:val="0"/>
      <w:marTop w:val="0"/>
      <w:marBottom w:val="0"/>
      <w:divBdr>
        <w:top w:val="none" w:sz="0" w:space="0" w:color="auto"/>
        <w:left w:val="none" w:sz="0" w:space="0" w:color="auto"/>
        <w:bottom w:val="none" w:sz="0" w:space="0" w:color="auto"/>
        <w:right w:val="none" w:sz="0" w:space="0" w:color="auto"/>
      </w:divBdr>
      <w:divsChild>
        <w:div w:id="1171599901">
          <w:marLeft w:val="0"/>
          <w:marRight w:val="0"/>
          <w:marTop w:val="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81205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559105">
      <w:bodyDiv w:val="1"/>
      <w:marLeft w:val="0"/>
      <w:marRight w:val="0"/>
      <w:marTop w:val="0"/>
      <w:marBottom w:val="0"/>
      <w:divBdr>
        <w:top w:val="none" w:sz="0" w:space="0" w:color="auto"/>
        <w:left w:val="none" w:sz="0" w:space="0" w:color="auto"/>
        <w:bottom w:val="none" w:sz="0" w:space="0" w:color="auto"/>
        <w:right w:val="none" w:sz="0" w:space="0" w:color="auto"/>
      </w:divBdr>
      <w:divsChild>
        <w:div w:id="894583762">
          <w:marLeft w:val="0"/>
          <w:marRight w:val="0"/>
          <w:marTop w:val="0"/>
          <w:marBottom w:val="0"/>
          <w:divBdr>
            <w:top w:val="none" w:sz="0" w:space="0" w:color="auto"/>
            <w:left w:val="none" w:sz="0" w:space="0" w:color="auto"/>
            <w:bottom w:val="none" w:sz="0" w:space="0" w:color="auto"/>
            <w:right w:val="none" w:sz="0" w:space="0" w:color="auto"/>
          </w:divBdr>
        </w:div>
        <w:div w:id="1754624702">
          <w:marLeft w:val="0"/>
          <w:marRight w:val="0"/>
          <w:marTop w:val="0"/>
          <w:marBottom w:val="0"/>
          <w:divBdr>
            <w:top w:val="none" w:sz="0" w:space="0" w:color="auto"/>
            <w:left w:val="none" w:sz="0" w:space="0" w:color="auto"/>
            <w:bottom w:val="none" w:sz="0" w:space="0" w:color="auto"/>
            <w:right w:val="none" w:sz="0" w:space="0" w:color="auto"/>
          </w:divBdr>
        </w:div>
        <w:div w:id="373703541">
          <w:marLeft w:val="0"/>
          <w:marRight w:val="0"/>
          <w:marTop w:val="0"/>
          <w:marBottom w:val="0"/>
          <w:divBdr>
            <w:top w:val="none" w:sz="0" w:space="0" w:color="auto"/>
            <w:left w:val="none" w:sz="0" w:space="0" w:color="auto"/>
            <w:bottom w:val="none" w:sz="0" w:space="0" w:color="auto"/>
            <w:right w:val="none" w:sz="0" w:space="0" w:color="auto"/>
          </w:divBdr>
        </w:div>
        <w:div w:id="1926526022">
          <w:marLeft w:val="0"/>
          <w:marRight w:val="0"/>
          <w:marTop w:val="0"/>
          <w:marBottom w:val="0"/>
          <w:divBdr>
            <w:top w:val="none" w:sz="0" w:space="0" w:color="auto"/>
            <w:left w:val="none" w:sz="0" w:space="0" w:color="auto"/>
            <w:bottom w:val="none" w:sz="0" w:space="0" w:color="auto"/>
            <w:right w:val="none" w:sz="0" w:space="0" w:color="auto"/>
          </w:divBdr>
        </w:div>
        <w:div w:id="1405685385">
          <w:marLeft w:val="0"/>
          <w:marRight w:val="0"/>
          <w:marTop w:val="0"/>
          <w:marBottom w:val="0"/>
          <w:divBdr>
            <w:top w:val="none" w:sz="0" w:space="0" w:color="auto"/>
            <w:left w:val="none" w:sz="0" w:space="0" w:color="auto"/>
            <w:bottom w:val="none" w:sz="0" w:space="0" w:color="auto"/>
            <w:right w:val="none" w:sz="0" w:space="0" w:color="auto"/>
          </w:divBdr>
        </w:div>
        <w:div w:id="811411028">
          <w:marLeft w:val="0"/>
          <w:marRight w:val="0"/>
          <w:marTop w:val="0"/>
          <w:marBottom w:val="0"/>
          <w:divBdr>
            <w:top w:val="none" w:sz="0" w:space="0" w:color="auto"/>
            <w:left w:val="none" w:sz="0" w:space="0" w:color="auto"/>
            <w:bottom w:val="none" w:sz="0" w:space="0" w:color="auto"/>
            <w:right w:val="none" w:sz="0" w:space="0" w:color="auto"/>
          </w:divBdr>
        </w:div>
        <w:div w:id="31997266">
          <w:marLeft w:val="0"/>
          <w:marRight w:val="0"/>
          <w:marTop w:val="0"/>
          <w:marBottom w:val="0"/>
          <w:divBdr>
            <w:top w:val="none" w:sz="0" w:space="0" w:color="auto"/>
            <w:left w:val="none" w:sz="0" w:space="0" w:color="auto"/>
            <w:bottom w:val="none" w:sz="0" w:space="0" w:color="auto"/>
            <w:right w:val="none" w:sz="0" w:space="0" w:color="auto"/>
          </w:divBdr>
        </w:div>
        <w:div w:id="278681515">
          <w:marLeft w:val="0"/>
          <w:marRight w:val="0"/>
          <w:marTop w:val="0"/>
          <w:marBottom w:val="0"/>
          <w:divBdr>
            <w:top w:val="none" w:sz="0" w:space="0" w:color="auto"/>
            <w:left w:val="none" w:sz="0" w:space="0" w:color="auto"/>
            <w:bottom w:val="none" w:sz="0" w:space="0" w:color="auto"/>
            <w:right w:val="none" w:sz="0" w:space="0" w:color="auto"/>
          </w:divBdr>
        </w:div>
        <w:div w:id="1805809587">
          <w:marLeft w:val="0"/>
          <w:marRight w:val="0"/>
          <w:marTop w:val="0"/>
          <w:marBottom w:val="0"/>
          <w:divBdr>
            <w:top w:val="none" w:sz="0" w:space="0" w:color="auto"/>
            <w:left w:val="none" w:sz="0" w:space="0" w:color="auto"/>
            <w:bottom w:val="none" w:sz="0" w:space="0" w:color="auto"/>
            <w:right w:val="none" w:sz="0" w:space="0" w:color="auto"/>
          </w:divBdr>
        </w:div>
        <w:div w:id="1029722035">
          <w:marLeft w:val="0"/>
          <w:marRight w:val="0"/>
          <w:marTop w:val="0"/>
          <w:marBottom w:val="0"/>
          <w:divBdr>
            <w:top w:val="none" w:sz="0" w:space="0" w:color="auto"/>
            <w:left w:val="none" w:sz="0" w:space="0" w:color="auto"/>
            <w:bottom w:val="none" w:sz="0" w:space="0" w:color="auto"/>
            <w:right w:val="none" w:sz="0" w:space="0" w:color="auto"/>
          </w:divBdr>
        </w:div>
        <w:div w:id="559482819">
          <w:marLeft w:val="0"/>
          <w:marRight w:val="0"/>
          <w:marTop w:val="0"/>
          <w:marBottom w:val="0"/>
          <w:divBdr>
            <w:top w:val="none" w:sz="0" w:space="0" w:color="auto"/>
            <w:left w:val="none" w:sz="0" w:space="0" w:color="auto"/>
            <w:bottom w:val="none" w:sz="0" w:space="0" w:color="auto"/>
            <w:right w:val="none" w:sz="0" w:space="0" w:color="auto"/>
          </w:divBdr>
        </w:div>
        <w:div w:id="1593471998">
          <w:marLeft w:val="0"/>
          <w:marRight w:val="0"/>
          <w:marTop w:val="0"/>
          <w:marBottom w:val="0"/>
          <w:divBdr>
            <w:top w:val="none" w:sz="0" w:space="0" w:color="auto"/>
            <w:left w:val="none" w:sz="0" w:space="0" w:color="auto"/>
            <w:bottom w:val="none" w:sz="0" w:space="0" w:color="auto"/>
            <w:right w:val="none" w:sz="0" w:space="0" w:color="auto"/>
          </w:divBdr>
        </w:div>
        <w:div w:id="2118139051">
          <w:marLeft w:val="0"/>
          <w:marRight w:val="0"/>
          <w:marTop w:val="0"/>
          <w:marBottom w:val="0"/>
          <w:divBdr>
            <w:top w:val="none" w:sz="0" w:space="0" w:color="auto"/>
            <w:left w:val="none" w:sz="0" w:space="0" w:color="auto"/>
            <w:bottom w:val="none" w:sz="0" w:space="0" w:color="auto"/>
            <w:right w:val="none" w:sz="0" w:space="0" w:color="auto"/>
          </w:divBdr>
        </w:div>
        <w:div w:id="248276399">
          <w:marLeft w:val="0"/>
          <w:marRight w:val="0"/>
          <w:marTop w:val="0"/>
          <w:marBottom w:val="0"/>
          <w:divBdr>
            <w:top w:val="none" w:sz="0" w:space="0" w:color="auto"/>
            <w:left w:val="none" w:sz="0" w:space="0" w:color="auto"/>
            <w:bottom w:val="none" w:sz="0" w:space="0" w:color="auto"/>
            <w:right w:val="none" w:sz="0" w:space="0" w:color="auto"/>
          </w:divBdr>
        </w:div>
      </w:divsChild>
    </w:div>
    <w:div w:id="366221062">
      <w:bodyDiv w:val="1"/>
      <w:marLeft w:val="0"/>
      <w:marRight w:val="0"/>
      <w:marTop w:val="0"/>
      <w:marBottom w:val="0"/>
      <w:divBdr>
        <w:top w:val="none" w:sz="0" w:space="0" w:color="auto"/>
        <w:left w:val="none" w:sz="0" w:space="0" w:color="auto"/>
        <w:bottom w:val="none" w:sz="0" w:space="0" w:color="auto"/>
        <w:right w:val="none" w:sz="0" w:space="0" w:color="auto"/>
      </w:divBdr>
      <w:divsChild>
        <w:div w:id="1493527740">
          <w:marLeft w:val="0"/>
          <w:marRight w:val="0"/>
          <w:marTop w:val="0"/>
          <w:marBottom w:val="0"/>
          <w:divBdr>
            <w:top w:val="none" w:sz="0" w:space="0" w:color="auto"/>
            <w:left w:val="none" w:sz="0" w:space="0" w:color="auto"/>
            <w:bottom w:val="none" w:sz="0" w:space="0" w:color="auto"/>
            <w:right w:val="none" w:sz="0" w:space="0" w:color="auto"/>
          </w:divBdr>
          <w:divsChild>
            <w:div w:id="1364015414">
              <w:marLeft w:val="0"/>
              <w:marRight w:val="0"/>
              <w:marTop w:val="0"/>
              <w:marBottom w:val="0"/>
              <w:divBdr>
                <w:top w:val="none" w:sz="0" w:space="0" w:color="auto"/>
                <w:left w:val="none" w:sz="0" w:space="0" w:color="auto"/>
                <w:bottom w:val="none" w:sz="0" w:space="0" w:color="auto"/>
                <w:right w:val="none" w:sz="0" w:space="0" w:color="auto"/>
              </w:divBdr>
              <w:divsChild>
                <w:div w:id="184801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362599">
      <w:bodyDiv w:val="1"/>
      <w:marLeft w:val="0"/>
      <w:marRight w:val="0"/>
      <w:marTop w:val="0"/>
      <w:marBottom w:val="0"/>
      <w:divBdr>
        <w:top w:val="none" w:sz="0" w:space="0" w:color="auto"/>
        <w:left w:val="none" w:sz="0" w:space="0" w:color="auto"/>
        <w:bottom w:val="none" w:sz="0" w:space="0" w:color="auto"/>
        <w:right w:val="none" w:sz="0" w:space="0" w:color="auto"/>
      </w:divBdr>
      <w:divsChild>
        <w:div w:id="1030766387">
          <w:marLeft w:val="0"/>
          <w:marRight w:val="0"/>
          <w:marTop w:val="0"/>
          <w:marBottom w:val="0"/>
          <w:divBdr>
            <w:top w:val="none" w:sz="0" w:space="0" w:color="auto"/>
            <w:left w:val="none" w:sz="0" w:space="0" w:color="auto"/>
            <w:bottom w:val="none" w:sz="0" w:space="0" w:color="auto"/>
            <w:right w:val="none" w:sz="0" w:space="0" w:color="auto"/>
          </w:divBdr>
          <w:divsChild>
            <w:div w:id="81150482">
              <w:marLeft w:val="0"/>
              <w:marRight w:val="0"/>
              <w:marTop w:val="0"/>
              <w:marBottom w:val="0"/>
              <w:divBdr>
                <w:top w:val="none" w:sz="0" w:space="0" w:color="auto"/>
                <w:left w:val="none" w:sz="0" w:space="0" w:color="auto"/>
                <w:bottom w:val="none" w:sz="0" w:space="0" w:color="auto"/>
                <w:right w:val="none" w:sz="0" w:space="0" w:color="auto"/>
              </w:divBdr>
              <w:divsChild>
                <w:div w:id="39311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399752">
      <w:bodyDiv w:val="1"/>
      <w:marLeft w:val="0"/>
      <w:marRight w:val="0"/>
      <w:marTop w:val="0"/>
      <w:marBottom w:val="0"/>
      <w:divBdr>
        <w:top w:val="none" w:sz="0" w:space="0" w:color="auto"/>
        <w:left w:val="none" w:sz="0" w:space="0" w:color="auto"/>
        <w:bottom w:val="none" w:sz="0" w:space="0" w:color="auto"/>
        <w:right w:val="none" w:sz="0" w:space="0" w:color="auto"/>
      </w:divBdr>
      <w:divsChild>
        <w:div w:id="856580627">
          <w:marLeft w:val="0"/>
          <w:marRight w:val="0"/>
          <w:marTop w:val="0"/>
          <w:marBottom w:val="0"/>
          <w:divBdr>
            <w:top w:val="none" w:sz="0" w:space="0" w:color="auto"/>
            <w:left w:val="none" w:sz="0" w:space="0" w:color="auto"/>
            <w:bottom w:val="none" w:sz="0" w:space="0" w:color="auto"/>
            <w:right w:val="none" w:sz="0" w:space="0" w:color="auto"/>
          </w:divBdr>
          <w:divsChild>
            <w:div w:id="1625161789">
              <w:marLeft w:val="0"/>
              <w:marRight w:val="0"/>
              <w:marTop w:val="0"/>
              <w:marBottom w:val="0"/>
              <w:divBdr>
                <w:top w:val="none" w:sz="0" w:space="0" w:color="auto"/>
                <w:left w:val="none" w:sz="0" w:space="0" w:color="auto"/>
                <w:bottom w:val="none" w:sz="0" w:space="0" w:color="auto"/>
                <w:right w:val="none" w:sz="0" w:space="0" w:color="auto"/>
              </w:divBdr>
              <w:divsChild>
                <w:div w:id="635186021">
                  <w:marLeft w:val="0"/>
                  <w:marRight w:val="0"/>
                  <w:marTop w:val="0"/>
                  <w:marBottom w:val="0"/>
                  <w:divBdr>
                    <w:top w:val="none" w:sz="0" w:space="0" w:color="auto"/>
                    <w:left w:val="none" w:sz="0" w:space="0" w:color="auto"/>
                    <w:bottom w:val="none" w:sz="0" w:space="0" w:color="auto"/>
                    <w:right w:val="none" w:sz="0" w:space="0" w:color="auto"/>
                  </w:divBdr>
                  <w:divsChild>
                    <w:div w:id="183536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127319">
      <w:bodyDiv w:val="1"/>
      <w:marLeft w:val="0"/>
      <w:marRight w:val="0"/>
      <w:marTop w:val="0"/>
      <w:marBottom w:val="0"/>
      <w:divBdr>
        <w:top w:val="none" w:sz="0" w:space="0" w:color="auto"/>
        <w:left w:val="none" w:sz="0" w:space="0" w:color="auto"/>
        <w:bottom w:val="none" w:sz="0" w:space="0" w:color="auto"/>
        <w:right w:val="none" w:sz="0" w:space="0" w:color="auto"/>
      </w:divBdr>
    </w:div>
    <w:div w:id="695351930">
      <w:bodyDiv w:val="1"/>
      <w:marLeft w:val="0"/>
      <w:marRight w:val="0"/>
      <w:marTop w:val="0"/>
      <w:marBottom w:val="0"/>
      <w:divBdr>
        <w:top w:val="none" w:sz="0" w:space="0" w:color="auto"/>
        <w:left w:val="none" w:sz="0" w:space="0" w:color="auto"/>
        <w:bottom w:val="none" w:sz="0" w:space="0" w:color="auto"/>
        <w:right w:val="none" w:sz="0" w:space="0" w:color="auto"/>
      </w:divBdr>
      <w:divsChild>
        <w:div w:id="1592356449">
          <w:marLeft w:val="0"/>
          <w:marRight w:val="0"/>
          <w:marTop w:val="0"/>
          <w:marBottom w:val="0"/>
          <w:divBdr>
            <w:top w:val="none" w:sz="0" w:space="0" w:color="auto"/>
            <w:left w:val="none" w:sz="0" w:space="0" w:color="auto"/>
            <w:bottom w:val="none" w:sz="0" w:space="0" w:color="auto"/>
            <w:right w:val="none" w:sz="0" w:space="0" w:color="auto"/>
          </w:divBdr>
          <w:divsChild>
            <w:div w:id="224462457">
              <w:marLeft w:val="0"/>
              <w:marRight w:val="0"/>
              <w:marTop w:val="0"/>
              <w:marBottom w:val="0"/>
              <w:divBdr>
                <w:top w:val="none" w:sz="0" w:space="0" w:color="auto"/>
                <w:left w:val="none" w:sz="0" w:space="0" w:color="auto"/>
                <w:bottom w:val="none" w:sz="0" w:space="0" w:color="auto"/>
                <w:right w:val="none" w:sz="0" w:space="0" w:color="auto"/>
              </w:divBdr>
              <w:divsChild>
                <w:div w:id="1034766398">
                  <w:marLeft w:val="0"/>
                  <w:marRight w:val="0"/>
                  <w:marTop w:val="0"/>
                  <w:marBottom w:val="0"/>
                  <w:divBdr>
                    <w:top w:val="none" w:sz="0" w:space="0" w:color="auto"/>
                    <w:left w:val="none" w:sz="0" w:space="0" w:color="auto"/>
                    <w:bottom w:val="none" w:sz="0" w:space="0" w:color="auto"/>
                    <w:right w:val="none" w:sz="0" w:space="0" w:color="auto"/>
                  </w:divBdr>
                  <w:divsChild>
                    <w:div w:id="44847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370225">
      <w:bodyDiv w:val="1"/>
      <w:marLeft w:val="0"/>
      <w:marRight w:val="0"/>
      <w:marTop w:val="0"/>
      <w:marBottom w:val="0"/>
      <w:divBdr>
        <w:top w:val="none" w:sz="0" w:space="0" w:color="auto"/>
        <w:left w:val="none" w:sz="0" w:space="0" w:color="auto"/>
        <w:bottom w:val="none" w:sz="0" w:space="0" w:color="auto"/>
        <w:right w:val="none" w:sz="0" w:space="0" w:color="auto"/>
      </w:divBdr>
      <w:divsChild>
        <w:div w:id="937955609">
          <w:marLeft w:val="0"/>
          <w:marRight w:val="0"/>
          <w:marTop w:val="0"/>
          <w:marBottom w:val="0"/>
          <w:divBdr>
            <w:top w:val="none" w:sz="0" w:space="0" w:color="auto"/>
            <w:left w:val="none" w:sz="0" w:space="0" w:color="auto"/>
            <w:bottom w:val="none" w:sz="0" w:space="0" w:color="auto"/>
            <w:right w:val="none" w:sz="0" w:space="0" w:color="auto"/>
          </w:divBdr>
        </w:div>
        <w:div w:id="1861241664">
          <w:marLeft w:val="0"/>
          <w:marRight w:val="0"/>
          <w:marTop w:val="0"/>
          <w:marBottom w:val="0"/>
          <w:divBdr>
            <w:top w:val="none" w:sz="0" w:space="0" w:color="auto"/>
            <w:left w:val="none" w:sz="0" w:space="0" w:color="auto"/>
            <w:bottom w:val="none" w:sz="0" w:space="0" w:color="auto"/>
            <w:right w:val="none" w:sz="0" w:space="0" w:color="auto"/>
          </w:divBdr>
        </w:div>
        <w:div w:id="99569533">
          <w:marLeft w:val="0"/>
          <w:marRight w:val="0"/>
          <w:marTop w:val="0"/>
          <w:marBottom w:val="0"/>
          <w:divBdr>
            <w:top w:val="none" w:sz="0" w:space="0" w:color="auto"/>
            <w:left w:val="none" w:sz="0" w:space="0" w:color="auto"/>
            <w:bottom w:val="none" w:sz="0" w:space="0" w:color="auto"/>
            <w:right w:val="none" w:sz="0" w:space="0" w:color="auto"/>
          </w:divBdr>
        </w:div>
        <w:div w:id="41684462">
          <w:marLeft w:val="0"/>
          <w:marRight w:val="0"/>
          <w:marTop w:val="0"/>
          <w:marBottom w:val="0"/>
          <w:divBdr>
            <w:top w:val="none" w:sz="0" w:space="0" w:color="auto"/>
            <w:left w:val="none" w:sz="0" w:space="0" w:color="auto"/>
            <w:bottom w:val="none" w:sz="0" w:space="0" w:color="auto"/>
            <w:right w:val="none" w:sz="0" w:space="0" w:color="auto"/>
          </w:divBdr>
        </w:div>
        <w:div w:id="1561558443">
          <w:marLeft w:val="0"/>
          <w:marRight w:val="0"/>
          <w:marTop w:val="0"/>
          <w:marBottom w:val="0"/>
          <w:divBdr>
            <w:top w:val="none" w:sz="0" w:space="0" w:color="auto"/>
            <w:left w:val="none" w:sz="0" w:space="0" w:color="auto"/>
            <w:bottom w:val="none" w:sz="0" w:space="0" w:color="auto"/>
            <w:right w:val="none" w:sz="0" w:space="0" w:color="auto"/>
          </w:divBdr>
        </w:div>
        <w:div w:id="967928988">
          <w:marLeft w:val="0"/>
          <w:marRight w:val="0"/>
          <w:marTop w:val="0"/>
          <w:marBottom w:val="0"/>
          <w:divBdr>
            <w:top w:val="none" w:sz="0" w:space="0" w:color="auto"/>
            <w:left w:val="none" w:sz="0" w:space="0" w:color="auto"/>
            <w:bottom w:val="none" w:sz="0" w:space="0" w:color="auto"/>
            <w:right w:val="none" w:sz="0" w:space="0" w:color="auto"/>
          </w:divBdr>
        </w:div>
        <w:div w:id="1082072218">
          <w:marLeft w:val="0"/>
          <w:marRight w:val="0"/>
          <w:marTop w:val="0"/>
          <w:marBottom w:val="0"/>
          <w:divBdr>
            <w:top w:val="none" w:sz="0" w:space="0" w:color="auto"/>
            <w:left w:val="none" w:sz="0" w:space="0" w:color="auto"/>
            <w:bottom w:val="none" w:sz="0" w:space="0" w:color="auto"/>
            <w:right w:val="none" w:sz="0" w:space="0" w:color="auto"/>
          </w:divBdr>
        </w:div>
        <w:div w:id="1571577065">
          <w:marLeft w:val="0"/>
          <w:marRight w:val="0"/>
          <w:marTop w:val="0"/>
          <w:marBottom w:val="0"/>
          <w:divBdr>
            <w:top w:val="none" w:sz="0" w:space="0" w:color="auto"/>
            <w:left w:val="none" w:sz="0" w:space="0" w:color="auto"/>
            <w:bottom w:val="none" w:sz="0" w:space="0" w:color="auto"/>
            <w:right w:val="none" w:sz="0" w:space="0" w:color="auto"/>
          </w:divBdr>
        </w:div>
        <w:div w:id="2013408161">
          <w:marLeft w:val="0"/>
          <w:marRight w:val="0"/>
          <w:marTop w:val="0"/>
          <w:marBottom w:val="0"/>
          <w:divBdr>
            <w:top w:val="none" w:sz="0" w:space="0" w:color="auto"/>
            <w:left w:val="none" w:sz="0" w:space="0" w:color="auto"/>
            <w:bottom w:val="none" w:sz="0" w:space="0" w:color="auto"/>
            <w:right w:val="none" w:sz="0" w:space="0" w:color="auto"/>
          </w:divBdr>
        </w:div>
        <w:div w:id="1716195070">
          <w:marLeft w:val="0"/>
          <w:marRight w:val="0"/>
          <w:marTop w:val="0"/>
          <w:marBottom w:val="0"/>
          <w:divBdr>
            <w:top w:val="none" w:sz="0" w:space="0" w:color="auto"/>
            <w:left w:val="none" w:sz="0" w:space="0" w:color="auto"/>
            <w:bottom w:val="none" w:sz="0" w:space="0" w:color="auto"/>
            <w:right w:val="none" w:sz="0" w:space="0" w:color="auto"/>
          </w:divBdr>
        </w:div>
        <w:div w:id="942804274">
          <w:marLeft w:val="0"/>
          <w:marRight w:val="0"/>
          <w:marTop w:val="0"/>
          <w:marBottom w:val="0"/>
          <w:divBdr>
            <w:top w:val="none" w:sz="0" w:space="0" w:color="auto"/>
            <w:left w:val="none" w:sz="0" w:space="0" w:color="auto"/>
            <w:bottom w:val="none" w:sz="0" w:space="0" w:color="auto"/>
            <w:right w:val="none" w:sz="0" w:space="0" w:color="auto"/>
          </w:divBdr>
        </w:div>
        <w:div w:id="899940767">
          <w:marLeft w:val="0"/>
          <w:marRight w:val="0"/>
          <w:marTop w:val="0"/>
          <w:marBottom w:val="0"/>
          <w:divBdr>
            <w:top w:val="none" w:sz="0" w:space="0" w:color="auto"/>
            <w:left w:val="none" w:sz="0" w:space="0" w:color="auto"/>
            <w:bottom w:val="none" w:sz="0" w:space="0" w:color="auto"/>
            <w:right w:val="none" w:sz="0" w:space="0" w:color="auto"/>
          </w:divBdr>
        </w:div>
        <w:div w:id="923806544">
          <w:marLeft w:val="0"/>
          <w:marRight w:val="0"/>
          <w:marTop w:val="0"/>
          <w:marBottom w:val="0"/>
          <w:divBdr>
            <w:top w:val="none" w:sz="0" w:space="0" w:color="auto"/>
            <w:left w:val="none" w:sz="0" w:space="0" w:color="auto"/>
            <w:bottom w:val="none" w:sz="0" w:space="0" w:color="auto"/>
            <w:right w:val="none" w:sz="0" w:space="0" w:color="auto"/>
          </w:divBdr>
        </w:div>
      </w:divsChild>
    </w:div>
    <w:div w:id="781219048">
      <w:bodyDiv w:val="1"/>
      <w:marLeft w:val="0"/>
      <w:marRight w:val="0"/>
      <w:marTop w:val="0"/>
      <w:marBottom w:val="0"/>
      <w:divBdr>
        <w:top w:val="none" w:sz="0" w:space="0" w:color="auto"/>
        <w:left w:val="none" w:sz="0" w:space="0" w:color="auto"/>
        <w:bottom w:val="none" w:sz="0" w:space="0" w:color="auto"/>
        <w:right w:val="none" w:sz="0" w:space="0" w:color="auto"/>
      </w:divBdr>
    </w:div>
    <w:div w:id="836072807">
      <w:bodyDiv w:val="1"/>
      <w:marLeft w:val="0"/>
      <w:marRight w:val="0"/>
      <w:marTop w:val="0"/>
      <w:marBottom w:val="0"/>
      <w:divBdr>
        <w:top w:val="none" w:sz="0" w:space="0" w:color="auto"/>
        <w:left w:val="none" w:sz="0" w:space="0" w:color="auto"/>
        <w:bottom w:val="none" w:sz="0" w:space="0" w:color="auto"/>
        <w:right w:val="none" w:sz="0" w:space="0" w:color="auto"/>
      </w:divBdr>
      <w:divsChild>
        <w:div w:id="1010258194">
          <w:marLeft w:val="0"/>
          <w:marRight w:val="0"/>
          <w:marTop w:val="0"/>
          <w:marBottom w:val="0"/>
          <w:divBdr>
            <w:top w:val="none" w:sz="0" w:space="0" w:color="auto"/>
            <w:left w:val="none" w:sz="0" w:space="0" w:color="auto"/>
            <w:bottom w:val="none" w:sz="0" w:space="0" w:color="auto"/>
            <w:right w:val="none" w:sz="0" w:space="0" w:color="auto"/>
          </w:divBdr>
          <w:divsChild>
            <w:div w:id="1056201566">
              <w:marLeft w:val="0"/>
              <w:marRight w:val="0"/>
              <w:marTop w:val="0"/>
              <w:marBottom w:val="0"/>
              <w:divBdr>
                <w:top w:val="none" w:sz="0" w:space="0" w:color="auto"/>
                <w:left w:val="none" w:sz="0" w:space="0" w:color="auto"/>
                <w:bottom w:val="none" w:sz="0" w:space="0" w:color="auto"/>
                <w:right w:val="none" w:sz="0" w:space="0" w:color="auto"/>
              </w:divBdr>
              <w:divsChild>
                <w:div w:id="15919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693339">
      <w:bodyDiv w:val="1"/>
      <w:marLeft w:val="0"/>
      <w:marRight w:val="0"/>
      <w:marTop w:val="0"/>
      <w:marBottom w:val="0"/>
      <w:divBdr>
        <w:top w:val="none" w:sz="0" w:space="0" w:color="auto"/>
        <w:left w:val="none" w:sz="0" w:space="0" w:color="auto"/>
        <w:bottom w:val="none" w:sz="0" w:space="0" w:color="auto"/>
        <w:right w:val="none" w:sz="0" w:space="0" w:color="auto"/>
      </w:divBdr>
    </w:div>
    <w:div w:id="929587397">
      <w:bodyDiv w:val="1"/>
      <w:marLeft w:val="0"/>
      <w:marRight w:val="0"/>
      <w:marTop w:val="0"/>
      <w:marBottom w:val="0"/>
      <w:divBdr>
        <w:top w:val="none" w:sz="0" w:space="0" w:color="auto"/>
        <w:left w:val="none" w:sz="0" w:space="0" w:color="auto"/>
        <w:bottom w:val="none" w:sz="0" w:space="0" w:color="auto"/>
        <w:right w:val="none" w:sz="0" w:space="0" w:color="auto"/>
      </w:divBdr>
    </w:div>
    <w:div w:id="930356666">
      <w:bodyDiv w:val="1"/>
      <w:marLeft w:val="0"/>
      <w:marRight w:val="0"/>
      <w:marTop w:val="0"/>
      <w:marBottom w:val="0"/>
      <w:divBdr>
        <w:top w:val="none" w:sz="0" w:space="0" w:color="auto"/>
        <w:left w:val="none" w:sz="0" w:space="0" w:color="auto"/>
        <w:bottom w:val="none" w:sz="0" w:space="0" w:color="auto"/>
        <w:right w:val="none" w:sz="0" w:space="0" w:color="auto"/>
      </w:divBdr>
      <w:divsChild>
        <w:div w:id="332955435">
          <w:marLeft w:val="0"/>
          <w:marRight w:val="0"/>
          <w:marTop w:val="0"/>
          <w:marBottom w:val="0"/>
          <w:divBdr>
            <w:top w:val="none" w:sz="0" w:space="0" w:color="auto"/>
            <w:left w:val="none" w:sz="0" w:space="0" w:color="auto"/>
            <w:bottom w:val="none" w:sz="0" w:space="0" w:color="auto"/>
            <w:right w:val="none" w:sz="0" w:space="0" w:color="auto"/>
          </w:divBdr>
          <w:divsChild>
            <w:div w:id="786244341">
              <w:marLeft w:val="0"/>
              <w:marRight w:val="0"/>
              <w:marTop w:val="0"/>
              <w:marBottom w:val="0"/>
              <w:divBdr>
                <w:top w:val="none" w:sz="0" w:space="0" w:color="auto"/>
                <w:left w:val="none" w:sz="0" w:space="0" w:color="auto"/>
                <w:bottom w:val="none" w:sz="0" w:space="0" w:color="auto"/>
                <w:right w:val="none" w:sz="0" w:space="0" w:color="auto"/>
              </w:divBdr>
              <w:divsChild>
                <w:div w:id="207928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145813">
      <w:bodyDiv w:val="1"/>
      <w:marLeft w:val="0"/>
      <w:marRight w:val="0"/>
      <w:marTop w:val="0"/>
      <w:marBottom w:val="0"/>
      <w:divBdr>
        <w:top w:val="none" w:sz="0" w:space="0" w:color="auto"/>
        <w:left w:val="none" w:sz="0" w:space="0" w:color="auto"/>
        <w:bottom w:val="none" w:sz="0" w:space="0" w:color="auto"/>
        <w:right w:val="none" w:sz="0" w:space="0" w:color="auto"/>
      </w:divBdr>
      <w:divsChild>
        <w:div w:id="1215116907">
          <w:marLeft w:val="0"/>
          <w:marRight w:val="0"/>
          <w:marTop w:val="0"/>
          <w:marBottom w:val="0"/>
          <w:divBdr>
            <w:top w:val="none" w:sz="0" w:space="0" w:color="auto"/>
            <w:left w:val="none" w:sz="0" w:space="0" w:color="auto"/>
            <w:bottom w:val="none" w:sz="0" w:space="0" w:color="auto"/>
            <w:right w:val="none" w:sz="0" w:space="0" w:color="auto"/>
          </w:divBdr>
          <w:divsChild>
            <w:div w:id="748386334">
              <w:marLeft w:val="0"/>
              <w:marRight w:val="0"/>
              <w:marTop w:val="0"/>
              <w:marBottom w:val="0"/>
              <w:divBdr>
                <w:top w:val="none" w:sz="0" w:space="0" w:color="auto"/>
                <w:left w:val="none" w:sz="0" w:space="0" w:color="auto"/>
                <w:bottom w:val="none" w:sz="0" w:space="0" w:color="auto"/>
                <w:right w:val="none" w:sz="0" w:space="0" w:color="auto"/>
              </w:divBdr>
              <w:divsChild>
                <w:div w:id="41952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955442">
      <w:bodyDiv w:val="1"/>
      <w:marLeft w:val="0"/>
      <w:marRight w:val="0"/>
      <w:marTop w:val="0"/>
      <w:marBottom w:val="0"/>
      <w:divBdr>
        <w:top w:val="none" w:sz="0" w:space="0" w:color="auto"/>
        <w:left w:val="none" w:sz="0" w:space="0" w:color="auto"/>
        <w:bottom w:val="none" w:sz="0" w:space="0" w:color="auto"/>
        <w:right w:val="none" w:sz="0" w:space="0" w:color="auto"/>
      </w:divBdr>
      <w:divsChild>
        <w:div w:id="568273017">
          <w:marLeft w:val="0"/>
          <w:marRight w:val="0"/>
          <w:marTop w:val="0"/>
          <w:marBottom w:val="0"/>
          <w:divBdr>
            <w:top w:val="none" w:sz="0" w:space="0" w:color="auto"/>
            <w:left w:val="none" w:sz="0" w:space="0" w:color="auto"/>
            <w:bottom w:val="none" w:sz="0" w:space="0" w:color="auto"/>
            <w:right w:val="none" w:sz="0" w:space="0" w:color="auto"/>
          </w:divBdr>
          <w:divsChild>
            <w:div w:id="1793477585">
              <w:marLeft w:val="0"/>
              <w:marRight w:val="0"/>
              <w:marTop w:val="0"/>
              <w:marBottom w:val="0"/>
              <w:divBdr>
                <w:top w:val="none" w:sz="0" w:space="0" w:color="auto"/>
                <w:left w:val="none" w:sz="0" w:space="0" w:color="auto"/>
                <w:bottom w:val="none" w:sz="0" w:space="0" w:color="auto"/>
                <w:right w:val="none" w:sz="0" w:space="0" w:color="auto"/>
              </w:divBdr>
              <w:divsChild>
                <w:div w:id="180022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942617">
      <w:bodyDiv w:val="1"/>
      <w:marLeft w:val="0"/>
      <w:marRight w:val="0"/>
      <w:marTop w:val="0"/>
      <w:marBottom w:val="0"/>
      <w:divBdr>
        <w:top w:val="none" w:sz="0" w:space="0" w:color="auto"/>
        <w:left w:val="none" w:sz="0" w:space="0" w:color="auto"/>
        <w:bottom w:val="none" w:sz="0" w:space="0" w:color="auto"/>
        <w:right w:val="none" w:sz="0" w:space="0" w:color="auto"/>
      </w:divBdr>
      <w:divsChild>
        <w:div w:id="1184171851">
          <w:marLeft w:val="0"/>
          <w:marRight w:val="0"/>
          <w:marTop w:val="0"/>
          <w:marBottom w:val="0"/>
          <w:divBdr>
            <w:top w:val="none" w:sz="0" w:space="0" w:color="auto"/>
            <w:left w:val="none" w:sz="0" w:space="0" w:color="auto"/>
            <w:bottom w:val="none" w:sz="0" w:space="0" w:color="auto"/>
            <w:right w:val="none" w:sz="0" w:space="0" w:color="auto"/>
          </w:divBdr>
          <w:divsChild>
            <w:div w:id="502360540">
              <w:marLeft w:val="0"/>
              <w:marRight w:val="0"/>
              <w:marTop w:val="0"/>
              <w:marBottom w:val="0"/>
              <w:divBdr>
                <w:top w:val="none" w:sz="0" w:space="0" w:color="auto"/>
                <w:left w:val="none" w:sz="0" w:space="0" w:color="auto"/>
                <w:bottom w:val="none" w:sz="0" w:space="0" w:color="auto"/>
                <w:right w:val="none" w:sz="0" w:space="0" w:color="auto"/>
              </w:divBdr>
              <w:divsChild>
                <w:div w:id="787508135">
                  <w:marLeft w:val="0"/>
                  <w:marRight w:val="0"/>
                  <w:marTop w:val="0"/>
                  <w:marBottom w:val="0"/>
                  <w:divBdr>
                    <w:top w:val="none" w:sz="0" w:space="0" w:color="auto"/>
                    <w:left w:val="none" w:sz="0" w:space="0" w:color="auto"/>
                    <w:bottom w:val="none" w:sz="0" w:space="0" w:color="auto"/>
                    <w:right w:val="none" w:sz="0" w:space="0" w:color="auto"/>
                  </w:divBdr>
                  <w:divsChild>
                    <w:div w:id="212214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367527">
      <w:bodyDiv w:val="1"/>
      <w:marLeft w:val="0"/>
      <w:marRight w:val="0"/>
      <w:marTop w:val="0"/>
      <w:marBottom w:val="0"/>
      <w:divBdr>
        <w:top w:val="none" w:sz="0" w:space="0" w:color="auto"/>
        <w:left w:val="none" w:sz="0" w:space="0" w:color="auto"/>
        <w:bottom w:val="none" w:sz="0" w:space="0" w:color="auto"/>
        <w:right w:val="none" w:sz="0" w:space="0" w:color="auto"/>
      </w:divBdr>
      <w:divsChild>
        <w:div w:id="1230767076">
          <w:marLeft w:val="0"/>
          <w:marRight w:val="0"/>
          <w:marTop w:val="0"/>
          <w:marBottom w:val="0"/>
          <w:divBdr>
            <w:top w:val="none" w:sz="0" w:space="0" w:color="auto"/>
            <w:left w:val="none" w:sz="0" w:space="0" w:color="auto"/>
            <w:bottom w:val="none" w:sz="0" w:space="0" w:color="auto"/>
            <w:right w:val="none" w:sz="0" w:space="0" w:color="auto"/>
          </w:divBdr>
          <w:divsChild>
            <w:div w:id="1351101674">
              <w:marLeft w:val="0"/>
              <w:marRight w:val="0"/>
              <w:marTop w:val="0"/>
              <w:marBottom w:val="0"/>
              <w:divBdr>
                <w:top w:val="none" w:sz="0" w:space="0" w:color="auto"/>
                <w:left w:val="none" w:sz="0" w:space="0" w:color="auto"/>
                <w:bottom w:val="none" w:sz="0" w:space="0" w:color="auto"/>
                <w:right w:val="none" w:sz="0" w:space="0" w:color="auto"/>
              </w:divBdr>
              <w:divsChild>
                <w:div w:id="417599324">
                  <w:marLeft w:val="0"/>
                  <w:marRight w:val="0"/>
                  <w:marTop w:val="0"/>
                  <w:marBottom w:val="0"/>
                  <w:divBdr>
                    <w:top w:val="none" w:sz="0" w:space="0" w:color="auto"/>
                    <w:left w:val="none" w:sz="0" w:space="0" w:color="auto"/>
                    <w:bottom w:val="none" w:sz="0" w:space="0" w:color="auto"/>
                    <w:right w:val="none" w:sz="0" w:space="0" w:color="auto"/>
                  </w:divBdr>
                </w:div>
              </w:divsChild>
            </w:div>
            <w:div w:id="2086757902">
              <w:marLeft w:val="0"/>
              <w:marRight w:val="0"/>
              <w:marTop w:val="0"/>
              <w:marBottom w:val="0"/>
              <w:divBdr>
                <w:top w:val="none" w:sz="0" w:space="0" w:color="auto"/>
                <w:left w:val="none" w:sz="0" w:space="0" w:color="auto"/>
                <w:bottom w:val="none" w:sz="0" w:space="0" w:color="auto"/>
                <w:right w:val="none" w:sz="0" w:space="0" w:color="auto"/>
              </w:divBdr>
              <w:divsChild>
                <w:div w:id="42835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5012">
      <w:bodyDiv w:val="1"/>
      <w:marLeft w:val="0"/>
      <w:marRight w:val="0"/>
      <w:marTop w:val="0"/>
      <w:marBottom w:val="0"/>
      <w:divBdr>
        <w:top w:val="none" w:sz="0" w:space="0" w:color="auto"/>
        <w:left w:val="none" w:sz="0" w:space="0" w:color="auto"/>
        <w:bottom w:val="none" w:sz="0" w:space="0" w:color="auto"/>
        <w:right w:val="none" w:sz="0" w:space="0" w:color="auto"/>
      </w:divBdr>
      <w:divsChild>
        <w:div w:id="2000186678">
          <w:marLeft w:val="0"/>
          <w:marRight w:val="0"/>
          <w:marTop w:val="0"/>
          <w:marBottom w:val="0"/>
          <w:divBdr>
            <w:top w:val="none" w:sz="0" w:space="0" w:color="auto"/>
            <w:left w:val="none" w:sz="0" w:space="0" w:color="auto"/>
            <w:bottom w:val="none" w:sz="0" w:space="0" w:color="auto"/>
            <w:right w:val="none" w:sz="0" w:space="0" w:color="auto"/>
          </w:divBdr>
          <w:divsChild>
            <w:div w:id="1679311642">
              <w:marLeft w:val="0"/>
              <w:marRight w:val="0"/>
              <w:marTop w:val="0"/>
              <w:marBottom w:val="0"/>
              <w:divBdr>
                <w:top w:val="none" w:sz="0" w:space="0" w:color="auto"/>
                <w:left w:val="none" w:sz="0" w:space="0" w:color="auto"/>
                <w:bottom w:val="none" w:sz="0" w:space="0" w:color="auto"/>
                <w:right w:val="none" w:sz="0" w:space="0" w:color="auto"/>
              </w:divBdr>
              <w:divsChild>
                <w:div w:id="238288982">
                  <w:marLeft w:val="0"/>
                  <w:marRight w:val="0"/>
                  <w:marTop w:val="0"/>
                  <w:marBottom w:val="0"/>
                  <w:divBdr>
                    <w:top w:val="none" w:sz="0" w:space="0" w:color="auto"/>
                    <w:left w:val="none" w:sz="0" w:space="0" w:color="auto"/>
                    <w:bottom w:val="none" w:sz="0" w:space="0" w:color="auto"/>
                    <w:right w:val="none" w:sz="0" w:space="0" w:color="auto"/>
                  </w:divBdr>
                </w:div>
              </w:divsChild>
            </w:div>
            <w:div w:id="2069378673">
              <w:marLeft w:val="0"/>
              <w:marRight w:val="0"/>
              <w:marTop w:val="0"/>
              <w:marBottom w:val="0"/>
              <w:divBdr>
                <w:top w:val="none" w:sz="0" w:space="0" w:color="auto"/>
                <w:left w:val="none" w:sz="0" w:space="0" w:color="auto"/>
                <w:bottom w:val="none" w:sz="0" w:space="0" w:color="auto"/>
                <w:right w:val="none" w:sz="0" w:space="0" w:color="auto"/>
              </w:divBdr>
              <w:divsChild>
                <w:div w:id="1673217793">
                  <w:marLeft w:val="0"/>
                  <w:marRight w:val="0"/>
                  <w:marTop w:val="0"/>
                  <w:marBottom w:val="0"/>
                  <w:divBdr>
                    <w:top w:val="none" w:sz="0" w:space="0" w:color="auto"/>
                    <w:left w:val="none" w:sz="0" w:space="0" w:color="auto"/>
                    <w:bottom w:val="none" w:sz="0" w:space="0" w:color="auto"/>
                    <w:right w:val="none" w:sz="0" w:space="0" w:color="auto"/>
                  </w:divBdr>
                </w:div>
              </w:divsChild>
            </w:div>
            <w:div w:id="1299802005">
              <w:marLeft w:val="0"/>
              <w:marRight w:val="0"/>
              <w:marTop w:val="0"/>
              <w:marBottom w:val="0"/>
              <w:divBdr>
                <w:top w:val="none" w:sz="0" w:space="0" w:color="auto"/>
                <w:left w:val="none" w:sz="0" w:space="0" w:color="auto"/>
                <w:bottom w:val="none" w:sz="0" w:space="0" w:color="auto"/>
                <w:right w:val="none" w:sz="0" w:space="0" w:color="auto"/>
              </w:divBdr>
              <w:divsChild>
                <w:div w:id="74934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180806">
      <w:bodyDiv w:val="1"/>
      <w:marLeft w:val="0"/>
      <w:marRight w:val="0"/>
      <w:marTop w:val="0"/>
      <w:marBottom w:val="0"/>
      <w:divBdr>
        <w:top w:val="none" w:sz="0" w:space="0" w:color="auto"/>
        <w:left w:val="none" w:sz="0" w:space="0" w:color="auto"/>
        <w:bottom w:val="none" w:sz="0" w:space="0" w:color="auto"/>
        <w:right w:val="none" w:sz="0" w:space="0" w:color="auto"/>
      </w:divBdr>
      <w:divsChild>
        <w:div w:id="666252957">
          <w:marLeft w:val="0"/>
          <w:marRight w:val="0"/>
          <w:marTop w:val="0"/>
          <w:marBottom w:val="0"/>
          <w:divBdr>
            <w:top w:val="none" w:sz="0" w:space="0" w:color="auto"/>
            <w:left w:val="none" w:sz="0" w:space="0" w:color="auto"/>
            <w:bottom w:val="none" w:sz="0" w:space="0" w:color="auto"/>
            <w:right w:val="none" w:sz="0" w:space="0" w:color="auto"/>
          </w:divBdr>
          <w:divsChild>
            <w:div w:id="1414277170">
              <w:marLeft w:val="0"/>
              <w:marRight w:val="0"/>
              <w:marTop w:val="0"/>
              <w:marBottom w:val="0"/>
              <w:divBdr>
                <w:top w:val="none" w:sz="0" w:space="0" w:color="auto"/>
                <w:left w:val="none" w:sz="0" w:space="0" w:color="auto"/>
                <w:bottom w:val="none" w:sz="0" w:space="0" w:color="auto"/>
                <w:right w:val="none" w:sz="0" w:space="0" w:color="auto"/>
              </w:divBdr>
              <w:divsChild>
                <w:div w:id="51133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611161">
      <w:bodyDiv w:val="1"/>
      <w:marLeft w:val="0"/>
      <w:marRight w:val="0"/>
      <w:marTop w:val="0"/>
      <w:marBottom w:val="0"/>
      <w:divBdr>
        <w:top w:val="none" w:sz="0" w:space="0" w:color="auto"/>
        <w:left w:val="none" w:sz="0" w:space="0" w:color="auto"/>
        <w:bottom w:val="none" w:sz="0" w:space="0" w:color="auto"/>
        <w:right w:val="none" w:sz="0" w:space="0" w:color="auto"/>
      </w:divBdr>
      <w:divsChild>
        <w:div w:id="1461076355">
          <w:marLeft w:val="0"/>
          <w:marRight w:val="0"/>
          <w:marTop w:val="0"/>
          <w:marBottom w:val="0"/>
          <w:divBdr>
            <w:top w:val="none" w:sz="0" w:space="0" w:color="auto"/>
            <w:left w:val="none" w:sz="0" w:space="0" w:color="auto"/>
            <w:bottom w:val="none" w:sz="0" w:space="0" w:color="auto"/>
            <w:right w:val="none" w:sz="0" w:space="0" w:color="auto"/>
          </w:divBdr>
          <w:divsChild>
            <w:div w:id="1277256226">
              <w:marLeft w:val="0"/>
              <w:marRight w:val="0"/>
              <w:marTop w:val="0"/>
              <w:marBottom w:val="0"/>
              <w:divBdr>
                <w:top w:val="none" w:sz="0" w:space="0" w:color="auto"/>
                <w:left w:val="none" w:sz="0" w:space="0" w:color="auto"/>
                <w:bottom w:val="none" w:sz="0" w:space="0" w:color="auto"/>
                <w:right w:val="none" w:sz="0" w:space="0" w:color="auto"/>
              </w:divBdr>
              <w:divsChild>
                <w:div w:id="14177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646768">
      <w:bodyDiv w:val="1"/>
      <w:marLeft w:val="0"/>
      <w:marRight w:val="0"/>
      <w:marTop w:val="0"/>
      <w:marBottom w:val="0"/>
      <w:divBdr>
        <w:top w:val="none" w:sz="0" w:space="0" w:color="auto"/>
        <w:left w:val="none" w:sz="0" w:space="0" w:color="auto"/>
        <w:bottom w:val="none" w:sz="0" w:space="0" w:color="auto"/>
        <w:right w:val="none" w:sz="0" w:space="0" w:color="auto"/>
      </w:divBdr>
      <w:divsChild>
        <w:div w:id="221870891">
          <w:marLeft w:val="0"/>
          <w:marRight w:val="0"/>
          <w:marTop w:val="0"/>
          <w:marBottom w:val="0"/>
          <w:divBdr>
            <w:top w:val="none" w:sz="0" w:space="0" w:color="auto"/>
            <w:left w:val="none" w:sz="0" w:space="0" w:color="auto"/>
            <w:bottom w:val="none" w:sz="0" w:space="0" w:color="auto"/>
            <w:right w:val="none" w:sz="0" w:space="0" w:color="auto"/>
          </w:divBdr>
          <w:divsChild>
            <w:div w:id="2033074024">
              <w:marLeft w:val="0"/>
              <w:marRight w:val="0"/>
              <w:marTop w:val="0"/>
              <w:marBottom w:val="0"/>
              <w:divBdr>
                <w:top w:val="none" w:sz="0" w:space="0" w:color="auto"/>
                <w:left w:val="none" w:sz="0" w:space="0" w:color="auto"/>
                <w:bottom w:val="none" w:sz="0" w:space="0" w:color="auto"/>
                <w:right w:val="none" w:sz="0" w:space="0" w:color="auto"/>
              </w:divBdr>
              <w:divsChild>
                <w:div w:id="13245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963968">
      <w:bodyDiv w:val="1"/>
      <w:marLeft w:val="0"/>
      <w:marRight w:val="0"/>
      <w:marTop w:val="0"/>
      <w:marBottom w:val="0"/>
      <w:divBdr>
        <w:top w:val="none" w:sz="0" w:space="0" w:color="auto"/>
        <w:left w:val="none" w:sz="0" w:space="0" w:color="auto"/>
        <w:bottom w:val="none" w:sz="0" w:space="0" w:color="auto"/>
        <w:right w:val="none" w:sz="0" w:space="0" w:color="auto"/>
      </w:divBdr>
      <w:divsChild>
        <w:div w:id="1936357967">
          <w:marLeft w:val="0"/>
          <w:marRight w:val="0"/>
          <w:marTop w:val="0"/>
          <w:marBottom w:val="0"/>
          <w:divBdr>
            <w:top w:val="none" w:sz="0" w:space="0" w:color="auto"/>
            <w:left w:val="none" w:sz="0" w:space="0" w:color="auto"/>
            <w:bottom w:val="none" w:sz="0" w:space="0" w:color="auto"/>
            <w:right w:val="none" w:sz="0" w:space="0" w:color="auto"/>
          </w:divBdr>
          <w:divsChild>
            <w:div w:id="151651281">
              <w:marLeft w:val="0"/>
              <w:marRight w:val="0"/>
              <w:marTop w:val="0"/>
              <w:marBottom w:val="0"/>
              <w:divBdr>
                <w:top w:val="none" w:sz="0" w:space="0" w:color="auto"/>
                <w:left w:val="none" w:sz="0" w:space="0" w:color="auto"/>
                <w:bottom w:val="none" w:sz="0" w:space="0" w:color="auto"/>
                <w:right w:val="none" w:sz="0" w:space="0" w:color="auto"/>
              </w:divBdr>
              <w:divsChild>
                <w:div w:id="175473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978623">
      <w:bodyDiv w:val="1"/>
      <w:marLeft w:val="0"/>
      <w:marRight w:val="0"/>
      <w:marTop w:val="0"/>
      <w:marBottom w:val="0"/>
      <w:divBdr>
        <w:top w:val="none" w:sz="0" w:space="0" w:color="auto"/>
        <w:left w:val="none" w:sz="0" w:space="0" w:color="auto"/>
        <w:bottom w:val="none" w:sz="0" w:space="0" w:color="auto"/>
        <w:right w:val="none" w:sz="0" w:space="0" w:color="auto"/>
      </w:divBdr>
      <w:divsChild>
        <w:div w:id="707880870">
          <w:marLeft w:val="0"/>
          <w:marRight w:val="0"/>
          <w:marTop w:val="0"/>
          <w:marBottom w:val="0"/>
          <w:divBdr>
            <w:top w:val="none" w:sz="0" w:space="0" w:color="auto"/>
            <w:left w:val="none" w:sz="0" w:space="0" w:color="auto"/>
            <w:bottom w:val="none" w:sz="0" w:space="0" w:color="auto"/>
            <w:right w:val="none" w:sz="0" w:space="0" w:color="auto"/>
          </w:divBdr>
          <w:divsChild>
            <w:div w:id="1550536931">
              <w:marLeft w:val="0"/>
              <w:marRight w:val="0"/>
              <w:marTop w:val="0"/>
              <w:marBottom w:val="0"/>
              <w:divBdr>
                <w:top w:val="none" w:sz="0" w:space="0" w:color="auto"/>
                <w:left w:val="none" w:sz="0" w:space="0" w:color="auto"/>
                <w:bottom w:val="none" w:sz="0" w:space="0" w:color="auto"/>
                <w:right w:val="none" w:sz="0" w:space="0" w:color="auto"/>
              </w:divBdr>
              <w:divsChild>
                <w:div w:id="43177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340034">
      <w:bodyDiv w:val="1"/>
      <w:marLeft w:val="0"/>
      <w:marRight w:val="0"/>
      <w:marTop w:val="0"/>
      <w:marBottom w:val="0"/>
      <w:divBdr>
        <w:top w:val="none" w:sz="0" w:space="0" w:color="auto"/>
        <w:left w:val="none" w:sz="0" w:space="0" w:color="auto"/>
        <w:bottom w:val="none" w:sz="0" w:space="0" w:color="auto"/>
        <w:right w:val="none" w:sz="0" w:space="0" w:color="auto"/>
      </w:divBdr>
      <w:divsChild>
        <w:div w:id="1112944913">
          <w:marLeft w:val="0"/>
          <w:marRight w:val="0"/>
          <w:marTop w:val="0"/>
          <w:marBottom w:val="0"/>
          <w:divBdr>
            <w:top w:val="none" w:sz="0" w:space="0" w:color="auto"/>
            <w:left w:val="none" w:sz="0" w:space="0" w:color="auto"/>
            <w:bottom w:val="none" w:sz="0" w:space="0" w:color="auto"/>
            <w:right w:val="none" w:sz="0" w:space="0" w:color="auto"/>
          </w:divBdr>
          <w:divsChild>
            <w:div w:id="926423490">
              <w:marLeft w:val="0"/>
              <w:marRight w:val="0"/>
              <w:marTop w:val="0"/>
              <w:marBottom w:val="0"/>
              <w:divBdr>
                <w:top w:val="none" w:sz="0" w:space="0" w:color="auto"/>
                <w:left w:val="none" w:sz="0" w:space="0" w:color="auto"/>
                <w:bottom w:val="none" w:sz="0" w:space="0" w:color="auto"/>
                <w:right w:val="none" w:sz="0" w:space="0" w:color="auto"/>
              </w:divBdr>
              <w:divsChild>
                <w:div w:id="196006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287926">
      <w:bodyDiv w:val="1"/>
      <w:marLeft w:val="0"/>
      <w:marRight w:val="0"/>
      <w:marTop w:val="0"/>
      <w:marBottom w:val="0"/>
      <w:divBdr>
        <w:top w:val="none" w:sz="0" w:space="0" w:color="auto"/>
        <w:left w:val="none" w:sz="0" w:space="0" w:color="auto"/>
        <w:bottom w:val="none" w:sz="0" w:space="0" w:color="auto"/>
        <w:right w:val="none" w:sz="0" w:space="0" w:color="auto"/>
      </w:divBdr>
      <w:divsChild>
        <w:div w:id="1974673666">
          <w:marLeft w:val="0"/>
          <w:marRight w:val="0"/>
          <w:marTop w:val="0"/>
          <w:marBottom w:val="0"/>
          <w:divBdr>
            <w:top w:val="none" w:sz="0" w:space="0" w:color="auto"/>
            <w:left w:val="none" w:sz="0" w:space="0" w:color="auto"/>
            <w:bottom w:val="none" w:sz="0" w:space="0" w:color="auto"/>
            <w:right w:val="none" w:sz="0" w:space="0" w:color="auto"/>
          </w:divBdr>
          <w:divsChild>
            <w:div w:id="1603106027">
              <w:marLeft w:val="0"/>
              <w:marRight w:val="0"/>
              <w:marTop w:val="0"/>
              <w:marBottom w:val="0"/>
              <w:divBdr>
                <w:top w:val="none" w:sz="0" w:space="0" w:color="auto"/>
                <w:left w:val="none" w:sz="0" w:space="0" w:color="auto"/>
                <w:bottom w:val="none" w:sz="0" w:space="0" w:color="auto"/>
                <w:right w:val="none" w:sz="0" w:space="0" w:color="auto"/>
              </w:divBdr>
              <w:divsChild>
                <w:div w:id="5153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826333">
      <w:bodyDiv w:val="1"/>
      <w:marLeft w:val="0"/>
      <w:marRight w:val="0"/>
      <w:marTop w:val="0"/>
      <w:marBottom w:val="0"/>
      <w:divBdr>
        <w:top w:val="none" w:sz="0" w:space="0" w:color="auto"/>
        <w:left w:val="none" w:sz="0" w:space="0" w:color="auto"/>
        <w:bottom w:val="none" w:sz="0" w:space="0" w:color="auto"/>
        <w:right w:val="none" w:sz="0" w:space="0" w:color="auto"/>
      </w:divBdr>
      <w:divsChild>
        <w:div w:id="163398053">
          <w:marLeft w:val="0"/>
          <w:marRight w:val="0"/>
          <w:marTop w:val="0"/>
          <w:marBottom w:val="0"/>
          <w:divBdr>
            <w:top w:val="none" w:sz="0" w:space="0" w:color="auto"/>
            <w:left w:val="none" w:sz="0" w:space="0" w:color="auto"/>
            <w:bottom w:val="none" w:sz="0" w:space="0" w:color="auto"/>
            <w:right w:val="none" w:sz="0" w:space="0" w:color="auto"/>
          </w:divBdr>
          <w:divsChild>
            <w:div w:id="1204833065">
              <w:marLeft w:val="0"/>
              <w:marRight w:val="0"/>
              <w:marTop w:val="0"/>
              <w:marBottom w:val="0"/>
              <w:divBdr>
                <w:top w:val="none" w:sz="0" w:space="0" w:color="auto"/>
                <w:left w:val="none" w:sz="0" w:space="0" w:color="auto"/>
                <w:bottom w:val="none" w:sz="0" w:space="0" w:color="auto"/>
                <w:right w:val="none" w:sz="0" w:space="0" w:color="auto"/>
              </w:divBdr>
              <w:divsChild>
                <w:div w:id="2082411356">
                  <w:marLeft w:val="0"/>
                  <w:marRight w:val="0"/>
                  <w:marTop w:val="0"/>
                  <w:marBottom w:val="0"/>
                  <w:divBdr>
                    <w:top w:val="none" w:sz="0" w:space="0" w:color="auto"/>
                    <w:left w:val="none" w:sz="0" w:space="0" w:color="auto"/>
                    <w:bottom w:val="none" w:sz="0" w:space="0" w:color="auto"/>
                    <w:right w:val="none" w:sz="0" w:space="0" w:color="auto"/>
                  </w:divBdr>
                  <w:divsChild>
                    <w:div w:id="149745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181526">
      <w:bodyDiv w:val="1"/>
      <w:marLeft w:val="0"/>
      <w:marRight w:val="0"/>
      <w:marTop w:val="0"/>
      <w:marBottom w:val="0"/>
      <w:divBdr>
        <w:top w:val="none" w:sz="0" w:space="0" w:color="auto"/>
        <w:left w:val="none" w:sz="0" w:space="0" w:color="auto"/>
        <w:bottom w:val="none" w:sz="0" w:space="0" w:color="auto"/>
        <w:right w:val="none" w:sz="0" w:space="0" w:color="auto"/>
      </w:divBdr>
      <w:divsChild>
        <w:div w:id="803078984">
          <w:marLeft w:val="0"/>
          <w:marRight w:val="0"/>
          <w:marTop w:val="0"/>
          <w:marBottom w:val="0"/>
          <w:divBdr>
            <w:top w:val="none" w:sz="0" w:space="0" w:color="auto"/>
            <w:left w:val="none" w:sz="0" w:space="0" w:color="auto"/>
            <w:bottom w:val="none" w:sz="0" w:space="0" w:color="auto"/>
            <w:right w:val="none" w:sz="0" w:space="0" w:color="auto"/>
          </w:divBdr>
          <w:divsChild>
            <w:div w:id="803036578">
              <w:marLeft w:val="0"/>
              <w:marRight w:val="0"/>
              <w:marTop w:val="0"/>
              <w:marBottom w:val="0"/>
              <w:divBdr>
                <w:top w:val="none" w:sz="0" w:space="0" w:color="auto"/>
                <w:left w:val="none" w:sz="0" w:space="0" w:color="auto"/>
                <w:bottom w:val="none" w:sz="0" w:space="0" w:color="auto"/>
                <w:right w:val="none" w:sz="0" w:space="0" w:color="auto"/>
              </w:divBdr>
              <w:divsChild>
                <w:div w:id="150990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089384">
      <w:bodyDiv w:val="1"/>
      <w:marLeft w:val="0"/>
      <w:marRight w:val="0"/>
      <w:marTop w:val="0"/>
      <w:marBottom w:val="0"/>
      <w:divBdr>
        <w:top w:val="none" w:sz="0" w:space="0" w:color="auto"/>
        <w:left w:val="none" w:sz="0" w:space="0" w:color="auto"/>
        <w:bottom w:val="none" w:sz="0" w:space="0" w:color="auto"/>
        <w:right w:val="none" w:sz="0" w:space="0" w:color="auto"/>
      </w:divBdr>
      <w:divsChild>
        <w:div w:id="345712632">
          <w:marLeft w:val="0"/>
          <w:marRight w:val="0"/>
          <w:marTop w:val="0"/>
          <w:marBottom w:val="0"/>
          <w:divBdr>
            <w:top w:val="none" w:sz="0" w:space="0" w:color="auto"/>
            <w:left w:val="none" w:sz="0" w:space="0" w:color="auto"/>
            <w:bottom w:val="none" w:sz="0" w:space="0" w:color="auto"/>
            <w:right w:val="none" w:sz="0" w:space="0" w:color="auto"/>
          </w:divBdr>
          <w:divsChild>
            <w:div w:id="1193543164">
              <w:marLeft w:val="0"/>
              <w:marRight w:val="0"/>
              <w:marTop w:val="0"/>
              <w:marBottom w:val="0"/>
              <w:divBdr>
                <w:top w:val="none" w:sz="0" w:space="0" w:color="auto"/>
                <w:left w:val="none" w:sz="0" w:space="0" w:color="auto"/>
                <w:bottom w:val="none" w:sz="0" w:space="0" w:color="auto"/>
                <w:right w:val="none" w:sz="0" w:space="0" w:color="auto"/>
              </w:divBdr>
              <w:divsChild>
                <w:div w:id="17381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937799">
      <w:bodyDiv w:val="1"/>
      <w:marLeft w:val="0"/>
      <w:marRight w:val="0"/>
      <w:marTop w:val="0"/>
      <w:marBottom w:val="0"/>
      <w:divBdr>
        <w:top w:val="none" w:sz="0" w:space="0" w:color="auto"/>
        <w:left w:val="none" w:sz="0" w:space="0" w:color="auto"/>
        <w:bottom w:val="none" w:sz="0" w:space="0" w:color="auto"/>
        <w:right w:val="none" w:sz="0" w:space="0" w:color="auto"/>
      </w:divBdr>
      <w:divsChild>
        <w:div w:id="1513183845">
          <w:marLeft w:val="0"/>
          <w:marRight w:val="0"/>
          <w:marTop w:val="0"/>
          <w:marBottom w:val="0"/>
          <w:divBdr>
            <w:top w:val="none" w:sz="0" w:space="0" w:color="auto"/>
            <w:left w:val="none" w:sz="0" w:space="0" w:color="auto"/>
            <w:bottom w:val="none" w:sz="0" w:space="0" w:color="auto"/>
            <w:right w:val="none" w:sz="0" w:space="0" w:color="auto"/>
          </w:divBdr>
          <w:divsChild>
            <w:div w:id="744836270">
              <w:marLeft w:val="0"/>
              <w:marRight w:val="0"/>
              <w:marTop w:val="0"/>
              <w:marBottom w:val="0"/>
              <w:divBdr>
                <w:top w:val="none" w:sz="0" w:space="0" w:color="auto"/>
                <w:left w:val="none" w:sz="0" w:space="0" w:color="auto"/>
                <w:bottom w:val="none" w:sz="0" w:space="0" w:color="auto"/>
                <w:right w:val="none" w:sz="0" w:space="0" w:color="auto"/>
              </w:divBdr>
              <w:divsChild>
                <w:div w:id="193050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177926">
      <w:bodyDiv w:val="1"/>
      <w:marLeft w:val="0"/>
      <w:marRight w:val="0"/>
      <w:marTop w:val="0"/>
      <w:marBottom w:val="0"/>
      <w:divBdr>
        <w:top w:val="none" w:sz="0" w:space="0" w:color="auto"/>
        <w:left w:val="none" w:sz="0" w:space="0" w:color="auto"/>
        <w:bottom w:val="none" w:sz="0" w:space="0" w:color="auto"/>
        <w:right w:val="none" w:sz="0" w:space="0" w:color="auto"/>
      </w:divBdr>
      <w:divsChild>
        <w:div w:id="1786461258">
          <w:marLeft w:val="0"/>
          <w:marRight w:val="0"/>
          <w:marTop w:val="0"/>
          <w:marBottom w:val="0"/>
          <w:divBdr>
            <w:top w:val="none" w:sz="0" w:space="0" w:color="auto"/>
            <w:left w:val="none" w:sz="0" w:space="0" w:color="auto"/>
            <w:bottom w:val="none" w:sz="0" w:space="0" w:color="auto"/>
            <w:right w:val="none" w:sz="0" w:space="0" w:color="auto"/>
          </w:divBdr>
          <w:divsChild>
            <w:div w:id="361781427">
              <w:marLeft w:val="0"/>
              <w:marRight w:val="0"/>
              <w:marTop w:val="0"/>
              <w:marBottom w:val="0"/>
              <w:divBdr>
                <w:top w:val="none" w:sz="0" w:space="0" w:color="auto"/>
                <w:left w:val="none" w:sz="0" w:space="0" w:color="auto"/>
                <w:bottom w:val="none" w:sz="0" w:space="0" w:color="auto"/>
                <w:right w:val="none" w:sz="0" w:space="0" w:color="auto"/>
              </w:divBdr>
              <w:divsChild>
                <w:div w:id="100729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344415">
      <w:bodyDiv w:val="1"/>
      <w:marLeft w:val="0"/>
      <w:marRight w:val="0"/>
      <w:marTop w:val="0"/>
      <w:marBottom w:val="0"/>
      <w:divBdr>
        <w:top w:val="none" w:sz="0" w:space="0" w:color="auto"/>
        <w:left w:val="none" w:sz="0" w:space="0" w:color="auto"/>
        <w:bottom w:val="none" w:sz="0" w:space="0" w:color="auto"/>
        <w:right w:val="none" w:sz="0" w:space="0" w:color="auto"/>
      </w:divBdr>
      <w:divsChild>
        <w:div w:id="1801653823">
          <w:marLeft w:val="0"/>
          <w:marRight w:val="0"/>
          <w:marTop w:val="0"/>
          <w:marBottom w:val="0"/>
          <w:divBdr>
            <w:top w:val="none" w:sz="0" w:space="0" w:color="auto"/>
            <w:left w:val="none" w:sz="0" w:space="0" w:color="auto"/>
            <w:bottom w:val="none" w:sz="0" w:space="0" w:color="auto"/>
            <w:right w:val="none" w:sz="0" w:space="0" w:color="auto"/>
          </w:divBdr>
        </w:div>
        <w:div w:id="525944951">
          <w:marLeft w:val="0"/>
          <w:marRight w:val="0"/>
          <w:marTop w:val="0"/>
          <w:marBottom w:val="0"/>
          <w:divBdr>
            <w:top w:val="none" w:sz="0" w:space="0" w:color="auto"/>
            <w:left w:val="none" w:sz="0" w:space="0" w:color="auto"/>
            <w:bottom w:val="none" w:sz="0" w:space="0" w:color="auto"/>
            <w:right w:val="none" w:sz="0" w:space="0" w:color="auto"/>
          </w:divBdr>
        </w:div>
        <w:div w:id="757597211">
          <w:marLeft w:val="0"/>
          <w:marRight w:val="0"/>
          <w:marTop w:val="0"/>
          <w:marBottom w:val="0"/>
          <w:divBdr>
            <w:top w:val="none" w:sz="0" w:space="0" w:color="auto"/>
            <w:left w:val="none" w:sz="0" w:space="0" w:color="auto"/>
            <w:bottom w:val="none" w:sz="0" w:space="0" w:color="auto"/>
            <w:right w:val="none" w:sz="0" w:space="0" w:color="auto"/>
          </w:divBdr>
        </w:div>
        <w:div w:id="35860962">
          <w:marLeft w:val="0"/>
          <w:marRight w:val="0"/>
          <w:marTop w:val="0"/>
          <w:marBottom w:val="0"/>
          <w:divBdr>
            <w:top w:val="none" w:sz="0" w:space="0" w:color="auto"/>
            <w:left w:val="none" w:sz="0" w:space="0" w:color="auto"/>
            <w:bottom w:val="none" w:sz="0" w:space="0" w:color="auto"/>
            <w:right w:val="none" w:sz="0" w:space="0" w:color="auto"/>
          </w:divBdr>
        </w:div>
        <w:div w:id="1229875755">
          <w:marLeft w:val="0"/>
          <w:marRight w:val="0"/>
          <w:marTop w:val="0"/>
          <w:marBottom w:val="0"/>
          <w:divBdr>
            <w:top w:val="none" w:sz="0" w:space="0" w:color="auto"/>
            <w:left w:val="none" w:sz="0" w:space="0" w:color="auto"/>
            <w:bottom w:val="none" w:sz="0" w:space="0" w:color="auto"/>
            <w:right w:val="none" w:sz="0" w:space="0" w:color="auto"/>
          </w:divBdr>
        </w:div>
        <w:div w:id="512955660">
          <w:marLeft w:val="0"/>
          <w:marRight w:val="0"/>
          <w:marTop w:val="0"/>
          <w:marBottom w:val="0"/>
          <w:divBdr>
            <w:top w:val="none" w:sz="0" w:space="0" w:color="auto"/>
            <w:left w:val="none" w:sz="0" w:space="0" w:color="auto"/>
            <w:bottom w:val="none" w:sz="0" w:space="0" w:color="auto"/>
            <w:right w:val="none" w:sz="0" w:space="0" w:color="auto"/>
          </w:divBdr>
        </w:div>
        <w:div w:id="233974614">
          <w:marLeft w:val="0"/>
          <w:marRight w:val="0"/>
          <w:marTop w:val="0"/>
          <w:marBottom w:val="0"/>
          <w:divBdr>
            <w:top w:val="none" w:sz="0" w:space="0" w:color="auto"/>
            <w:left w:val="none" w:sz="0" w:space="0" w:color="auto"/>
            <w:bottom w:val="none" w:sz="0" w:space="0" w:color="auto"/>
            <w:right w:val="none" w:sz="0" w:space="0" w:color="auto"/>
          </w:divBdr>
        </w:div>
        <w:div w:id="93064227">
          <w:marLeft w:val="0"/>
          <w:marRight w:val="0"/>
          <w:marTop w:val="0"/>
          <w:marBottom w:val="0"/>
          <w:divBdr>
            <w:top w:val="none" w:sz="0" w:space="0" w:color="auto"/>
            <w:left w:val="none" w:sz="0" w:space="0" w:color="auto"/>
            <w:bottom w:val="none" w:sz="0" w:space="0" w:color="auto"/>
            <w:right w:val="none" w:sz="0" w:space="0" w:color="auto"/>
          </w:divBdr>
        </w:div>
        <w:div w:id="508495136">
          <w:marLeft w:val="0"/>
          <w:marRight w:val="0"/>
          <w:marTop w:val="0"/>
          <w:marBottom w:val="0"/>
          <w:divBdr>
            <w:top w:val="none" w:sz="0" w:space="0" w:color="auto"/>
            <w:left w:val="none" w:sz="0" w:space="0" w:color="auto"/>
            <w:bottom w:val="none" w:sz="0" w:space="0" w:color="auto"/>
            <w:right w:val="none" w:sz="0" w:space="0" w:color="auto"/>
          </w:divBdr>
        </w:div>
        <w:div w:id="321592737">
          <w:marLeft w:val="0"/>
          <w:marRight w:val="0"/>
          <w:marTop w:val="0"/>
          <w:marBottom w:val="0"/>
          <w:divBdr>
            <w:top w:val="none" w:sz="0" w:space="0" w:color="auto"/>
            <w:left w:val="none" w:sz="0" w:space="0" w:color="auto"/>
            <w:bottom w:val="none" w:sz="0" w:space="0" w:color="auto"/>
            <w:right w:val="none" w:sz="0" w:space="0" w:color="auto"/>
          </w:divBdr>
        </w:div>
        <w:div w:id="829642221">
          <w:marLeft w:val="0"/>
          <w:marRight w:val="0"/>
          <w:marTop w:val="0"/>
          <w:marBottom w:val="0"/>
          <w:divBdr>
            <w:top w:val="none" w:sz="0" w:space="0" w:color="auto"/>
            <w:left w:val="none" w:sz="0" w:space="0" w:color="auto"/>
            <w:bottom w:val="none" w:sz="0" w:space="0" w:color="auto"/>
            <w:right w:val="none" w:sz="0" w:space="0" w:color="auto"/>
          </w:divBdr>
        </w:div>
        <w:div w:id="1939487375">
          <w:marLeft w:val="0"/>
          <w:marRight w:val="0"/>
          <w:marTop w:val="0"/>
          <w:marBottom w:val="0"/>
          <w:divBdr>
            <w:top w:val="none" w:sz="0" w:space="0" w:color="auto"/>
            <w:left w:val="none" w:sz="0" w:space="0" w:color="auto"/>
            <w:bottom w:val="none" w:sz="0" w:space="0" w:color="auto"/>
            <w:right w:val="none" w:sz="0" w:space="0" w:color="auto"/>
          </w:divBdr>
        </w:div>
        <w:div w:id="163479110">
          <w:marLeft w:val="0"/>
          <w:marRight w:val="0"/>
          <w:marTop w:val="0"/>
          <w:marBottom w:val="0"/>
          <w:divBdr>
            <w:top w:val="none" w:sz="0" w:space="0" w:color="auto"/>
            <w:left w:val="none" w:sz="0" w:space="0" w:color="auto"/>
            <w:bottom w:val="none" w:sz="0" w:space="0" w:color="auto"/>
            <w:right w:val="none" w:sz="0" w:space="0" w:color="auto"/>
          </w:divBdr>
        </w:div>
        <w:div w:id="1672947888">
          <w:marLeft w:val="0"/>
          <w:marRight w:val="0"/>
          <w:marTop w:val="0"/>
          <w:marBottom w:val="0"/>
          <w:divBdr>
            <w:top w:val="none" w:sz="0" w:space="0" w:color="auto"/>
            <w:left w:val="none" w:sz="0" w:space="0" w:color="auto"/>
            <w:bottom w:val="none" w:sz="0" w:space="0" w:color="auto"/>
            <w:right w:val="none" w:sz="0" w:space="0" w:color="auto"/>
          </w:divBdr>
        </w:div>
      </w:divsChild>
    </w:div>
    <w:div w:id="1909655875">
      <w:bodyDiv w:val="1"/>
      <w:marLeft w:val="0"/>
      <w:marRight w:val="0"/>
      <w:marTop w:val="0"/>
      <w:marBottom w:val="0"/>
      <w:divBdr>
        <w:top w:val="none" w:sz="0" w:space="0" w:color="auto"/>
        <w:left w:val="none" w:sz="0" w:space="0" w:color="auto"/>
        <w:bottom w:val="none" w:sz="0" w:space="0" w:color="auto"/>
        <w:right w:val="none" w:sz="0" w:space="0" w:color="auto"/>
      </w:divBdr>
    </w:div>
    <w:div w:id="1927424450">
      <w:bodyDiv w:val="1"/>
      <w:marLeft w:val="0"/>
      <w:marRight w:val="0"/>
      <w:marTop w:val="0"/>
      <w:marBottom w:val="0"/>
      <w:divBdr>
        <w:top w:val="none" w:sz="0" w:space="0" w:color="auto"/>
        <w:left w:val="none" w:sz="0" w:space="0" w:color="auto"/>
        <w:bottom w:val="none" w:sz="0" w:space="0" w:color="auto"/>
        <w:right w:val="none" w:sz="0" w:space="0" w:color="auto"/>
      </w:divBdr>
      <w:divsChild>
        <w:div w:id="95759936">
          <w:marLeft w:val="0"/>
          <w:marRight w:val="0"/>
          <w:marTop w:val="0"/>
          <w:marBottom w:val="0"/>
          <w:divBdr>
            <w:top w:val="none" w:sz="0" w:space="0" w:color="auto"/>
            <w:left w:val="none" w:sz="0" w:space="0" w:color="auto"/>
            <w:bottom w:val="none" w:sz="0" w:space="0" w:color="auto"/>
            <w:right w:val="none" w:sz="0" w:space="0" w:color="auto"/>
          </w:divBdr>
        </w:div>
        <w:div w:id="1896155688">
          <w:marLeft w:val="0"/>
          <w:marRight w:val="0"/>
          <w:marTop w:val="0"/>
          <w:marBottom w:val="0"/>
          <w:divBdr>
            <w:top w:val="none" w:sz="0" w:space="0" w:color="auto"/>
            <w:left w:val="none" w:sz="0" w:space="0" w:color="auto"/>
            <w:bottom w:val="none" w:sz="0" w:space="0" w:color="auto"/>
            <w:right w:val="none" w:sz="0" w:space="0" w:color="auto"/>
          </w:divBdr>
        </w:div>
        <w:div w:id="853954180">
          <w:marLeft w:val="0"/>
          <w:marRight w:val="0"/>
          <w:marTop w:val="0"/>
          <w:marBottom w:val="0"/>
          <w:divBdr>
            <w:top w:val="none" w:sz="0" w:space="0" w:color="auto"/>
            <w:left w:val="none" w:sz="0" w:space="0" w:color="auto"/>
            <w:bottom w:val="none" w:sz="0" w:space="0" w:color="auto"/>
            <w:right w:val="none" w:sz="0" w:space="0" w:color="auto"/>
          </w:divBdr>
        </w:div>
        <w:div w:id="1242452200">
          <w:marLeft w:val="0"/>
          <w:marRight w:val="0"/>
          <w:marTop w:val="0"/>
          <w:marBottom w:val="0"/>
          <w:divBdr>
            <w:top w:val="none" w:sz="0" w:space="0" w:color="auto"/>
            <w:left w:val="none" w:sz="0" w:space="0" w:color="auto"/>
            <w:bottom w:val="none" w:sz="0" w:space="0" w:color="auto"/>
            <w:right w:val="none" w:sz="0" w:space="0" w:color="auto"/>
          </w:divBdr>
        </w:div>
        <w:div w:id="41635418">
          <w:marLeft w:val="0"/>
          <w:marRight w:val="0"/>
          <w:marTop w:val="0"/>
          <w:marBottom w:val="0"/>
          <w:divBdr>
            <w:top w:val="none" w:sz="0" w:space="0" w:color="auto"/>
            <w:left w:val="none" w:sz="0" w:space="0" w:color="auto"/>
            <w:bottom w:val="none" w:sz="0" w:space="0" w:color="auto"/>
            <w:right w:val="none" w:sz="0" w:space="0" w:color="auto"/>
          </w:divBdr>
        </w:div>
        <w:div w:id="51657673">
          <w:marLeft w:val="0"/>
          <w:marRight w:val="0"/>
          <w:marTop w:val="0"/>
          <w:marBottom w:val="0"/>
          <w:divBdr>
            <w:top w:val="none" w:sz="0" w:space="0" w:color="auto"/>
            <w:left w:val="none" w:sz="0" w:space="0" w:color="auto"/>
            <w:bottom w:val="none" w:sz="0" w:space="0" w:color="auto"/>
            <w:right w:val="none" w:sz="0" w:space="0" w:color="auto"/>
          </w:divBdr>
        </w:div>
        <w:div w:id="413167885">
          <w:marLeft w:val="0"/>
          <w:marRight w:val="0"/>
          <w:marTop w:val="0"/>
          <w:marBottom w:val="0"/>
          <w:divBdr>
            <w:top w:val="none" w:sz="0" w:space="0" w:color="auto"/>
            <w:left w:val="none" w:sz="0" w:space="0" w:color="auto"/>
            <w:bottom w:val="none" w:sz="0" w:space="0" w:color="auto"/>
            <w:right w:val="none" w:sz="0" w:space="0" w:color="auto"/>
          </w:divBdr>
        </w:div>
        <w:div w:id="709112859">
          <w:marLeft w:val="0"/>
          <w:marRight w:val="0"/>
          <w:marTop w:val="0"/>
          <w:marBottom w:val="0"/>
          <w:divBdr>
            <w:top w:val="none" w:sz="0" w:space="0" w:color="auto"/>
            <w:left w:val="none" w:sz="0" w:space="0" w:color="auto"/>
            <w:bottom w:val="none" w:sz="0" w:space="0" w:color="auto"/>
            <w:right w:val="none" w:sz="0" w:space="0" w:color="auto"/>
          </w:divBdr>
        </w:div>
        <w:div w:id="401175065">
          <w:marLeft w:val="0"/>
          <w:marRight w:val="0"/>
          <w:marTop w:val="0"/>
          <w:marBottom w:val="0"/>
          <w:divBdr>
            <w:top w:val="none" w:sz="0" w:space="0" w:color="auto"/>
            <w:left w:val="none" w:sz="0" w:space="0" w:color="auto"/>
            <w:bottom w:val="none" w:sz="0" w:space="0" w:color="auto"/>
            <w:right w:val="none" w:sz="0" w:space="0" w:color="auto"/>
          </w:divBdr>
        </w:div>
        <w:div w:id="1242522696">
          <w:marLeft w:val="0"/>
          <w:marRight w:val="0"/>
          <w:marTop w:val="0"/>
          <w:marBottom w:val="0"/>
          <w:divBdr>
            <w:top w:val="none" w:sz="0" w:space="0" w:color="auto"/>
            <w:left w:val="none" w:sz="0" w:space="0" w:color="auto"/>
            <w:bottom w:val="none" w:sz="0" w:space="0" w:color="auto"/>
            <w:right w:val="none" w:sz="0" w:space="0" w:color="auto"/>
          </w:divBdr>
        </w:div>
        <w:div w:id="1032926125">
          <w:marLeft w:val="0"/>
          <w:marRight w:val="0"/>
          <w:marTop w:val="0"/>
          <w:marBottom w:val="0"/>
          <w:divBdr>
            <w:top w:val="none" w:sz="0" w:space="0" w:color="auto"/>
            <w:left w:val="none" w:sz="0" w:space="0" w:color="auto"/>
            <w:bottom w:val="none" w:sz="0" w:space="0" w:color="auto"/>
            <w:right w:val="none" w:sz="0" w:space="0" w:color="auto"/>
          </w:divBdr>
        </w:div>
        <w:div w:id="343170515">
          <w:marLeft w:val="0"/>
          <w:marRight w:val="0"/>
          <w:marTop w:val="0"/>
          <w:marBottom w:val="0"/>
          <w:divBdr>
            <w:top w:val="none" w:sz="0" w:space="0" w:color="auto"/>
            <w:left w:val="none" w:sz="0" w:space="0" w:color="auto"/>
            <w:bottom w:val="none" w:sz="0" w:space="0" w:color="auto"/>
            <w:right w:val="none" w:sz="0" w:space="0" w:color="auto"/>
          </w:divBdr>
        </w:div>
        <w:div w:id="2086144750">
          <w:marLeft w:val="0"/>
          <w:marRight w:val="0"/>
          <w:marTop w:val="0"/>
          <w:marBottom w:val="0"/>
          <w:divBdr>
            <w:top w:val="none" w:sz="0" w:space="0" w:color="auto"/>
            <w:left w:val="none" w:sz="0" w:space="0" w:color="auto"/>
            <w:bottom w:val="none" w:sz="0" w:space="0" w:color="auto"/>
            <w:right w:val="none" w:sz="0" w:space="0" w:color="auto"/>
          </w:divBdr>
        </w:div>
        <w:div w:id="1622565979">
          <w:marLeft w:val="0"/>
          <w:marRight w:val="0"/>
          <w:marTop w:val="0"/>
          <w:marBottom w:val="0"/>
          <w:divBdr>
            <w:top w:val="none" w:sz="0" w:space="0" w:color="auto"/>
            <w:left w:val="none" w:sz="0" w:space="0" w:color="auto"/>
            <w:bottom w:val="none" w:sz="0" w:space="0" w:color="auto"/>
            <w:right w:val="none" w:sz="0" w:space="0" w:color="auto"/>
          </w:divBdr>
        </w:div>
        <w:div w:id="456720571">
          <w:marLeft w:val="0"/>
          <w:marRight w:val="0"/>
          <w:marTop w:val="0"/>
          <w:marBottom w:val="0"/>
          <w:divBdr>
            <w:top w:val="none" w:sz="0" w:space="0" w:color="auto"/>
            <w:left w:val="none" w:sz="0" w:space="0" w:color="auto"/>
            <w:bottom w:val="none" w:sz="0" w:space="0" w:color="auto"/>
            <w:right w:val="none" w:sz="0" w:space="0" w:color="auto"/>
          </w:divBdr>
        </w:div>
        <w:div w:id="120417527">
          <w:marLeft w:val="0"/>
          <w:marRight w:val="0"/>
          <w:marTop w:val="0"/>
          <w:marBottom w:val="0"/>
          <w:divBdr>
            <w:top w:val="none" w:sz="0" w:space="0" w:color="auto"/>
            <w:left w:val="none" w:sz="0" w:space="0" w:color="auto"/>
            <w:bottom w:val="none" w:sz="0" w:space="0" w:color="auto"/>
            <w:right w:val="none" w:sz="0" w:space="0" w:color="auto"/>
          </w:divBdr>
        </w:div>
      </w:divsChild>
    </w:div>
    <w:div w:id="1944222735">
      <w:bodyDiv w:val="1"/>
      <w:marLeft w:val="0"/>
      <w:marRight w:val="0"/>
      <w:marTop w:val="0"/>
      <w:marBottom w:val="0"/>
      <w:divBdr>
        <w:top w:val="none" w:sz="0" w:space="0" w:color="auto"/>
        <w:left w:val="none" w:sz="0" w:space="0" w:color="auto"/>
        <w:bottom w:val="none" w:sz="0" w:space="0" w:color="auto"/>
        <w:right w:val="none" w:sz="0" w:space="0" w:color="auto"/>
      </w:divBdr>
      <w:divsChild>
        <w:div w:id="1656493674">
          <w:marLeft w:val="0"/>
          <w:marRight w:val="0"/>
          <w:marTop w:val="0"/>
          <w:marBottom w:val="0"/>
          <w:divBdr>
            <w:top w:val="none" w:sz="0" w:space="0" w:color="auto"/>
            <w:left w:val="none" w:sz="0" w:space="0" w:color="auto"/>
            <w:bottom w:val="none" w:sz="0" w:space="0" w:color="auto"/>
            <w:right w:val="none" w:sz="0" w:space="0" w:color="auto"/>
          </w:divBdr>
          <w:divsChild>
            <w:div w:id="678315252">
              <w:marLeft w:val="0"/>
              <w:marRight w:val="0"/>
              <w:marTop w:val="0"/>
              <w:marBottom w:val="0"/>
              <w:divBdr>
                <w:top w:val="none" w:sz="0" w:space="0" w:color="auto"/>
                <w:left w:val="none" w:sz="0" w:space="0" w:color="auto"/>
                <w:bottom w:val="none" w:sz="0" w:space="0" w:color="auto"/>
                <w:right w:val="none" w:sz="0" w:space="0" w:color="auto"/>
              </w:divBdr>
              <w:divsChild>
                <w:div w:id="770324131">
                  <w:marLeft w:val="0"/>
                  <w:marRight w:val="0"/>
                  <w:marTop w:val="0"/>
                  <w:marBottom w:val="0"/>
                  <w:divBdr>
                    <w:top w:val="none" w:sz="0" w:space="0" w:color="auto"/>
                    <w:left w:val="none" w:sz="0" w:space="0" w:color="auto"/>
                    <w:bottom w:val="none" w:sz="0" w:space="0" w:color="auto"/>
                    <w:right w:val="none" w:sz="0" w:space="0" w:color="auto"/>
                  </w:divBdr>
                  <w:divsChild>
                    <w:div w:id="16758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330181">
      <w:bodyDiv w:val="1"/>
      <w:marLeft w:val="0"/>
      <w:marRight w:val="0"/>
      <w:marTop w:val="0"/>
      <w:marBottom w:val="0"/>
      <w:divBdr>
        <w:top w:val="none" w:sz="0" w:space="0" w:color="auto"/>
        <w:left w:val="none" w:sz="0" w:space="0" w:color="auto"/>
        <w:bottom w:val="none" w:sz="0" w:space="0" w:color="auto"/>
        <w:right w:val="none" w:sz="0" w:space="0" w:color="auto"/>
      </w:divBdr>
      <w:divsChild>
        <w:div w:id="431978647">
          <w:marLeft w:val="0"/>
          <w:marRight w:val="0"/>
          <w:marTop w:val="0"/>
          <w:marBottom w:val="0"/>
          <w:divBdr>
            <w:top w:val="none" w:sz="0" w:space="0" w:color="auto"/>
            <w:left w:val="none" w:sz="0" w:space="0" w:color="auto"/>
            <w:bottom w:val="none" w:sz="0" w:space="0" w:color="auto"/>
            <w:right w:val="none" w:sz="0" w:space="0" w:color="auto"/>
          </w:divBdr>
          <w:divsChild>
            <w:div w:id="1518081710">
              <w:marLeft w:val="0"/>
              <w:marRight w:val="0"/>
              <w:marTop w:val="0"/>
              <w:marBottom w:val="0"/>
              <w:divBdr>
                <w:top w:val="none" w:sz="0" w:space="0" w:color="auto"/>
                <w:left w:val="none" w:sz="0" w:space="0" w:color="auto"/>
                <w:bottom w:val="none" w:sz="0" w:space="0" w:color="auto"/>
                <w:right w:val="none" w:sz="0" w:space="0" w:color="auto"/>
              </w:divBdr>
              <w:divsChild>
                <w:div w:id="99911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551045">
      <w:bodyDiv w:val="1"/>
      <w:marLeft w:val="0"/>
      <w:marRight w:val="0"/>
      <w:marTop w:val="0"/>
      <w:marBottom w:val="0"/>
      <w:divBdr>
        <w:top w:val="none" w:sz="0" w:space="0" w:color="auto"/>
        <w:left w:val="none" w:sz="0" w:space="0" w:color="auto"/>
        <w:bottom w:val="none" w:sz="0" w:space="0" w:color="auto"/>
        <w:right w:val="none" w:sz="0" w:space="0" w:color="auto"/>
      </w:divBdr>
    </w:div>
    <w:div w:id="2013875503">
      <w:bodyDiv w:val="1"/>
      <w:marLeft w:val="0"/>
      <w:marRight w:val="0"/>
      <w:marTop w:val="0"/>
      <w:marBottom w:val="0"/>
      <w:divBdr>
        <w:top w:val="none" w:sz="0" w:space="0" w:color="auto"/>
        <w:left w:val="none" w:sz="0" w:space="0" w:color="auto"/>
        <w:bottom w:val="none" w:sz="0" w:space="0" w:color="auto"/>
        <w:right w:val="none" w:sz="0" w:space="0" w:color="auto"/>
      </w:divBdr>
      <w:divsChild>
        <w:div w:id="369107279">
          <w:marLeft w:val="0"/>
          <w:marRight w:val="0"/>
          <w:marTop w:val="0"/>
          <w:marBottom w:val="0"/>
          <w:divBdr>
            <w:top w:val="none" w:sz="0" w:space="0" w:color="auto"/>
            <w:left w:val="none" w:sz="0" w:space="0" w:color="auto"/>
            <w:bottom w:val="none" w:sz="0" w:space="0" w:color="auto"/>
            <w:right w:val="none" w:sz="0" w:space="0" w:color="auto"/>
          </w:divBdr>
          <w:divsChild>
            <w:div w:id="895510062">
              <w:marLeft w:val="0"/>
              <w:marRight w:val="0"/>
              <w:marTop w:val="0"/>
              <w:marBottom w:val="0"/>
              <w:divBdr>
                <w:top w:val="none" w:sz="0" w:space="0" w:color="auto"/>
                <w:left w:val="none" w:sz="0" w:space="0" w:color="auto"/>
                <w:bottom w:val="none" w:sz="0" w:space="0" w:color="auto"/>
                <w:right w:val="none" w:sz="0" w:space="0" w:color="auto"/>
              </w:divBdr>
              <w:divsChild>
                <w:div w:id="156378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51838">
      <w:bodyDiv w:val="1"/>
      <w:marLeft w:val="0"/>
      <w:marRight w:val="0"/>
      <w:marTop w:val="0"/>
      <w:marBottom w:val="0"/>
      <w:divBdr>
        <w:top w:val="none" w:sz="0" w:space="0" w:color="auto"/>
        <w:left w:val="none" w:sz="0" w:space="0" w:color="auto"/>
        <w:bottom w:val="none" w:sz="0" w:space="0" w:color="auto"/>
        <w:right w:val="none" w:sz="0" w:space="0" w:color="auto"/>
      </w:divBdr>
      <w:divsChild>
        <w:div w:id="1412701606">
          <w:marLeft w:val="0"/>
          <w:marRight w:val="0"/>
          <w:marTop w:val="0"/>
          <w:marBottom w:val="0"/>
          <w:divBdr>
            <w:top w:val="none" w:sz="0" w:space="0" w:color="auto"/>
            <w:left w:val="none" w:sz="0" w:space="0" w:color="auto"/>
            <w:bottom w:val="none" w:sz="0" w:space="0" w:color="auto"/>
            <w:right w:val="none" w:sz="0" w:space="0" w:color="auto"/>
          </w:divBdr>
          <w:divsChild>
            <w:div w:id="1360820331">
              <w:marLeft w:val="0"/>
              <w:marRight w:val="0"/>
              <w:marTop w:val="0"/>
              <w:marBottom w:val="0"/>
              <w:divBdr>
                <w:top w:val="none" w:sz="0" w:space="0" w:color="auto"/>
                <w:left w:val="none" w:sz="0" w:space="0" w:color="auto"/>
                <w:bottom w:val="none" w:sz="0" w:space="0" w:color="auto"/>
                <w:right w:val="none" w:sz="0" w:space="0" w:color="auto"/>
              </w:divBdr>
              <w:divsChild>
                <w:div w:id="4707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975291">
      <w:bodyDiv w:val="1"/>
      <w:marLeft w:val="0"/>
      <w:marRight w:val="0"/>
      <w:marTop w:val="0"/>
      <w:marBottom w:val="0"/>
      <w:divBdr>
        <w:top w:val="none" w:sz="0" w:space="0" w:color="auto"/>
        <w:left w:val="none" w:sz="0" w:space="0" w:color="auto"/>
        <w:bottom w:val="none" w:sz="0" w:space="0" w:color="auto"/>
        <w:right w:val="none" w:sz="0" w:space="0" w:color="auto"/>
      </w:divBdr>
      <w:divsChild>
        <w:div w:id="350685047">
          <w:marLeft w:val="0"/>
          <w:marRight w:val="0"/>
          <w:marTop w:val="0"/>
          <w:marBottom w:val="0"/>
          <w:divBdr>
            <w:top w:val="none" w:sz="0" w:space="0" w:color="auto"/>
            <w:left w:val="none" w:sz="0" w:space="0" w:color="auto"/>
            <w:bottom w:val="none" w:sz="0" w:space="0" w:color="auto"/>
            <w:right w:val="none" w:sz="0" w:space="0" w:color="auto"/>
          </w:divBdr>
          <w:divsChild>
            <w:div w:id="448671948">
              <w:marLeft w:val="0"/>
              <w:marRight w:val="0"/>
              <w:marTop w:val="0"/>
              <w:marBottom w:val="0"/>
              <w:divBdr>
                <w:top w:val="none" w:sz="0" w:space="0" w:color="auto"/>
                <w:left w:val="none" w:sz="0" w:space="0" w:color="auto"/>
                <w:bottom w:val="none" w:sz="0" w:space="0" w:color="auto"/>
                <w:right w:val="none" w:sz="0" w:space="0" w:color="auto"/>
              </w:divBdr>
              <w:divsChild>
                <w:div w:id="145682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297995">
      <w:bodyDiv w:val="1"/>
      <w:marLeft w:val="0"/>
      <w:marRight w:val="0"/>
      <w:marTop w:val="0"/>
      <w:marBottom w:val="0"/>
      <w:divBdr>
        <w:top w:val="none" w:sz="0" w:space="0" w:color="auto"/>
        <w:left w:val="none" w:sz="0" w:space="0" w:color="auto"/>
        <w:bottom w:val="none" w:sz="0" w:space="0" w:color="auto"/>
        <w:right w:val="none" w:sz="0" w:space="0" w:color="auto"/>
      </w:divBdr>
      <w:divsChild>
        <w:div w:id="729883794">
          <w:marLeft w:val="0"/>
          <w:marRight w:val="0"/>
          <w:marTop w:val="0"/>
          <w:marBottom w:val="0"/>
          <w:divBdr>
            <w:top w:val="none" w:sz="0" w:space="0" w:color="auto"/>
            <w:left w:val="none" w:sz="0" w:space="0" w:color="auto"/>
            <w:bottom w:val="none" w:sz="0" w:space="0" w:color="auto"/>
            <w:right w:val="none" w:sz="0" w:space="0" w:color="auto"/>
          </w:divBdr>
          <w:divsChild>
            <w:div w:id="1056900780">
              <w:marLeft w:val="0"/>
              <w:marRight w:val="0"/>
              <w:marTop w:val="0"/>
              <w:marBottom w:val="0"/>
              <w:divBdr>
                <w:top w:val="none" w:sz="0" w:space="0" w:color="auto"/>
                <w:left w:val="none" w:sz="0" w:space="0" w:color="auto"/>
                <w:bottom w:val="none" w:sz="0" w:space="0" w:color="auto"/>
                <w:right w:val="none" w:sz="0" w:space="0" w:color="auto"/>
              </w:divBdr>
              <w:divsChild>
                <w:div w:id="701441548">
                  <w:marLeft w:val="0"/>
                  <w:marRight w:val="0"/>
                  <w:marTop w:val="0"/>
                  <w:marBottom w:val="0"/>
                  <w:divBdr>
                    <w:top w:val="none" w:sz="0" w:space="0" w:color="auto"/>
                    <w:left w:val="none" w:sz="0" w:space="0" w:color="auto"/>
                    <w:bottom w:val="none" w:sz="0" w:space="0" w:color="auto"/>
                    <w:right w:val="none" w:sz="0" w:space="0" w:color="auto"/>
                  </w:divBdr>
                </w:div>
              </w:divsChild>
            </w:div>
            <w:div w:id="1542589321">
              <w:marLeft w:val="0"/>
              <w:marRight w:val="0"/>
              <w:marTop w:val="0"/>
              <w:marBottom w:val="0"/>
              <w:divBdr>
                <w:top w:val="none" w:sz="0" w:space="0" w:color="auto"/>
                <w:left w:val="none" w:sz="0" w:space="0" w:color="auto"/>
                <w:bottom w:val="none" w:sz="0" w:space="0" w:color="auto"/>
                <w:right w:val="none" w:sz="0" w:space="0" w:color="auto"/>
              </w:divBdr>
              <w:divsChild>
                <w:div w:id="280918187">
                  <w:marLeft w:val="0"/>
                  <w:marRight w:val="0"/>
                  <w:marTop w:val="0"/>
                  <w:marBottom w:val="0"/>
                  <w:divBdr>
                    <w:top w:val="none" w:sz="0" w:space="0" w:color="auto"/>
                    <w:left w:val="none" w:sz="0" w:space="0" w:color="auto"/>
                    <w:bottom w:val="none" w:sz="0" w:space="0" w:color="auto"/>
                    <w:right w:val="none" w:sz="0" w:space="0" w:color="auto"/>
                  </w:divBdr>
                </w:div>
              </w:divsChild>
            </w:div>
            <w:div w:id="1874733680">
              <w:marLeft w:val="0"/>
              <w:marRight w:val="0"/>
              <w:marTop w:val="0"/>
              <w:marBottom w:val="0"/>
              <w:divBdr>
                <w:top w:val="none" w:sz="0" w:space="0" w:color="auto"/>
                <w:left w:val="none" w:sz="0" w:space="0" w:color="auto"/>
                <w:bottom w:val="none" w:sz="0" w:space="0" w:color="auto"/>
                <w:right w:val="none" w:sz="0" w:space="0" w:color="auto"/>
              </w:divBdr>
              <w:divsChild>
                <w:div w:id="13148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066700">
      <w:bodyDiv w:val="1"/>
      <w:marLeft w:val="0"/>
      <w:marRight w:val="0"/>
      <w:marTop w:val="0"/>
      <w:marBottom w:val="0"/>
      <w:divBdr>
        <w:top w:val="none" w:sz="0" w:space="0" w:color="auto"/>
        <w:left w:val="none" w:sz="0" w:space="0" w:color="auto"/>
        <w:bottom w:val="none" w:sz="0" w:space="0" w:color="auto"/>
        <w:right w:val="none" w:sz="0" w:space="0" w:color="auto"/>
      </w:divBdr>
      <w:divsChild>
        <w:div w:id="1209998253">
          <w:marLeft w:val="0"/>
          <w:marRight w:val="0"/>
          <w:marTop w:val="0"/>
          <w:marBottom w:val="0"/>
          <w:divBdr>
            <w:top w:val="none" w:sz="0" w:space="0" w:color="auto"/>
            <w:left w:val="none" w:sz="0" w:space="0" w:color="auto"/>
            <w:bottom w:val="none" w:sz="0" w:space="0" w:color="auto"/>
            <w:right w:val="none" w:sz="0" w:space="0" w:color="auto"/>
          </w:divBdr>
        </w:div>
        <w:div w:id="1049189496">
          <w:marLeft w:val="0"/>
          <w:marRight w:val="0"/>
          <w:marTop w:val="0"/>
          <w:marBottom w:val="0"/>
          <w:divBdr>
            <w:top w:val="none" w:sz="0" w:space="0" w:color="auto"/>
            <w:left w:val="none" w:sz="0" w:space="0" w:color="auto"/>
            <w:bottom w:val="none" w:sz="0" w:space="0" w:color="auto"/>
            <w:right w:val="none" w:sz="0" w:space="0" w:color="auto"/>
          </w:divBdr>
        </w:div>
        <w:div w:id="492840351">
          <w:marLeft w:val="0"/>
          <w:marRight w:val="0"/>
          <w:marTop w:val="0"/>
          <w:marBottom w:val="0"/>
          <w:divBdr>
            <w:top w:val="none" w:sz="0" w:space="0" w:color="auto"/>
            <w:left w:val="none" w:sz="0" w:space="0" w:color="auto"/>
            <w:bottom w:val="none" w:sz="0" w:space="0" w:color="auto"/>
            <w:right w:val="none" w:sz="0" w:space="0" w:color="auto"/>
          </w:divBdr>
        </w:div>
        <w:div w:id="1202594455">
          <w:marLeft w:val="0"/>
          <w:marRight w:val="0"/>
          <w:marTop w:val="0"/>
          <w:marBottom w:val="0"/>
          <w:divBdr>
            <w:top w:val="none" w:sz="0" w:space="0" w:color="auto"/>
            <w:left w:val="none" w:sz="0" w:space="0" w:color="auto"/>
            <w:bottom w:val="none" w:sz="0" w:space="0" w:color="auto"/>
            <w:right w:val="none" w:sz="0" w:space="0" w:color="auto"/>
          </w:divBdr>
        </w:div>
        <w:div w:id="256526002">
          <w:marLeft w:val="0"/>
          <w:marRight w:val="0"/>
          <w:marTop w:val="0"/>
          <w:marBottom w:val="0"/>
          <w:divBdr>
            <w:top w:val="none" w:sz="0" w:space="0" w:color="auto"/>
            <w:left w:val="none" w:sz="0" w:space="0" w:color="auto"/>
            <w:bottom w:val="none" w:sz="0" w:space="0" w:color="auto"/>
            <w:right w:val="none" w:sz="0" w:space="0" w:color="auto"/>
          </w:divBdr>
        </w:div>
        <w:div w:id="614823564">
          <w:marLeft w:val="0"/>
          <w:marRight w:val="0"/>
          <w:marTop w:val="0"/>
          <w:marBottom w:val="0"/>
          <w:divBdr>
            <w:top w:val="none" w:sz="0" w:space="0" w:color="auto"/>
            <w:left w:val="none" w:sz="0" w:space="0" w:color="auto"/>
            <w:bottom w:val="none" w:sz="0" w:space="0" w:color="auto"/>
            <w:right w:val="none" w:sz="0" w:space="0" w:color="auto"/>
          </w:divBdr>
        </w:div>
        <w:div w:id="1930187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openxmlformats.org/officeDocument/2006/relationships/customXml" Target="../customXml/item4.xml"/><Relationship Id="rId3" Type="http://schemas.openxmlformats.org/officeDocument/2006/relationships/styles" Target="styles.xml"/><Relationship Id="rId12" Type="http://schemas.openxmlformats.org/officeDocument/2006/relationships/theme" Target="theme/theme1.xml"/><Relationship Id="rId7" Type="http://schemas.openxmlformats.org/officeDocument/2006/relationships/footnotes" Target="footnotes.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microsoft.com/office/2011/relationships/commentsExtended" Target="commentsExtended.xml"/><Relationship Id="rId5" Type="http://schemas.openxmlformats.org/officeDocument/2006/relationships/settings" Target="settings.xml"/><Relationship Id="rId10" Type="http://schemas.openxmlformats.org/officeDocument/2006/relationships/footer" Target="footer1.xml"/><Relationship Id="rId19" Type="http://schemas.openxmlformats.org/officeDocument/2006/relationships/customXml" Target="../customXml/item5.xml"/><Relationship Id="rId14"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385494873D7724999268C978D4EEA56" ma:contentTypeVersion="104" ma:contentTypeDescription="" ma:contentTypeScope="" ma:versionID="bc16ed271db9f9cfd2184be8ba8092f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501</IndustryCode>
    <CaseStatus xmlns="dc463f71-b30c-4ab2-9473-d307f9d35888">Closed</CaseStatus>
    <OpenedDate xmlns="dc463f71-b30c-4ab2-9473-d307f9d35888">2016-08-23T07:00:00+00:00</OpenedDate>
    <Date1 xmlns="dc463f71-b30c-4ab2-9473-d307f9d35888">2016-11-02T07:00:00+00:00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161024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077D7CF-0121-E94C-A42C-D7BD55C748B2}">
  <ds:schemaRefs>
    <ds:schemaRef ds:uri="http://schemas.openxmlformats.org/officeDocument/2006/bibliography"/>
  </ds:schemaRefs>
</ds:datastoreItem>
</file>

<file path=customXml/itemProps2.xml><?xml version="1.0" encoding="utf-8"?>
<ds:datastoreItem xmlns:ds="http://schemas.openxmlformats.org/officeDocument/2006/customXml" ds:itemID="{B8BBFE5D-3636-4E74-9A56-09C55B010C62}"/>
</file>

<file path=customXml/itemProps3.xml><?xml version="1.0" encoding="utf-8"?>
<ds:datastoreItem xmlns:ds="http://schemas.openxmlformats.org/officeDocument/2006/customXml" ds:itemID="{236D601D-B791-4715-99C4-B3605EB559AD}"/>
</file>

<file path=customXml/itemProps4.xml><?xml version="1.0" encoding="utf-8"?>
<ds:datastoreItem xmlns:ds="http://schemas.openxmlformats.org/officeDocument/2006/customXml" ds:itemID="{697E5AA6-01E9-4035-B8B2-4BD990010591}"/>
</file>

<file path=customXml/itemProps5.xml><?xml version="1.0" encoding="utf-8"?>
<ds:datastoreItem xmlns:ds="http://schemas.openxmlformats.org/officeDocument/2006/customXml" ds:itemID="{9000C3C8-3A87-4072-925D-F74BBBDFA575}"/>
</file>

<file path=docProps/app.xml><?xml version="1.0" encoding="utf-8"?>
<Properties xmlns="http://schemas.openxmlformats.org/officeDocument/2006/extended-properties" xmlns:vt="http://schemas.openxmlformats.org/officeDocument/2006/docPropsVTypes">
  <Template>Normal.dotm</Template>
  <TotalTime>125</TotalTime>
  <Pages>48</Pages>
  <Words>10738</Words>
  <Characters>61211</Characters>
  <Application>Microsoft Macintosh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BEFORE THE PUBLIC UTILITY COMMISSION</vt:lpstr>
    </vt:vector>
  </TitlesOfParts>
  <Company>Davison Van Cleve</Company>
  <LinksUpToDate>false</LinksUpToDate>
  <CharactersWithSpaces>71806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PUBLIC UTILITY COMMISSION</dc:title>
  <dc:creator>Linda Vitale</dc:creator>
  <cp:lastModifiedBy>Sidney Villanueva</cp:lastModifiedBy>
  <cp:revision>16</cp:revision>
  <cp:lastPrinted>2016-10-25T22:08:00Z</cp:lastPrinted>
  <dcterms:created xsi:type="dcterms:W3CDTF">2016-11-02T05:54:00Z</dcterms:created>
  <dcterms:modified xsi:type="dcterms:W3CDTF">2016-11-02T22:53:00Z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0x0101006E56B4D1795A2E4DB2F0B01679ED314A004385494873D7724999268C978D4EEA56</vt:lpwstr>
  </property>
  <property fmtid="{D5CDD505-2E9C-101B-9397-08002B2CF9AE}" pid="3" name="_docset_NoMedatataSyncRequired">
    <vt:lpwstr>False</vt:lpwstr>
  </property>
</Properties>
</file>