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3FD71" w14:textId="10A6D949" w:rsidR="006E3B58" w:rsidRDefault="00154718" w:rsidP="00BE5610">
      <w:bookmarkStart w:id="0" w:name="_GoBack"/>
      <w:bookmarkEnd w:id="0"/>
      <w:r w:rsidRPr="00EB4CE3">
        <w:t xml:space="preserve">Agenda Date: </w:t>
      </w:r>
      <w:r w:rsidRPr="00EB4CE3">
        <w:tab/>
      </w:r>
      <w:r w:rsidRPr="00EB4CE3">
        <w:tab/>
      </w:r>
      <w:r w:rsidR="0090228D">
        <w:t>Dec</w:t>
      </w:r>
      <w:r w:rsidR="003202A6">
        <w:t>ember</w:t>
      </w:r>
      <w:r w:rsidR="004B4548">
        <w:t xml:space="preserve"> </w:t>
      </w:r>
      <w:r w:rsidR="009F20B6">
        <w:t>30</w:t>
      </w:r>
      <w:r w:rsidRPr="00EB4CE3">
        <w:t xml:space="preserve">, </w:t>
      </w:r>
      <w:r w:rsidR="00103755">
        <w:t>201</w:t>
      </w:r>
      <w:r w:rsidR="007A59D5">
        <w:t>4</w:t>
      </w:r>
      <w:r w:rsidR="004456FB">
        <w:tab/>
      </w:r>
      <w:r w:rsidR="004456FB">
        <w:tab/>
      </w:r>
    </w:p>
    <w:p w14:paraId="1F03FD72" w14:textId="3FA82FD1" w:rsidR="00154718" w:rsidRDefault="00154718" w:rsidP="00BE5610">
      <w:r w:rsidRPr="00EB4CE3">
        <w:t>Item Number:</w:t>
      </w:r>
      <w:r w:rsidRPr="00EB4CE3">
        <w:tab/>
      </w:r>
      <w:r w:rsidR="000536A2">
        <w:tab/>
      </w:r>
      <w:r w:rsidR="00C04B51" w:rsidRPr="00C04B51">
        <w:t>A</w:t>
      </w:r>
      <w:r w:rsidR="00056752">
        <w:t>1</w:t>
      </w:r>
    </w:p>
    <w:p w14:paraId="1F03FD73" w14:textId="77777777" w:rsidR="006E3B58" w:rsidRPr="00EB4CE3" w:rsidRDefault="006E3B58" w:rsidP="00BE5610"/>
    <w:p w14:paraId="1F03FD74" w14:textId="43C7FE9B" w:rsidR="00154718" w:rsidRPr="00EB4CE3" w:rsidRDefault="00154718" w:rsidP="00BE5610">
      <w:r w:rsidRPr="00EB4CE3">
        <w:t xml:space="preserve">Docket: </w:t>
      </w:r>
      <w:r w:rsidRPr="00EB4CE3">
        <w:tab/>
      </w:r>
      <w:r w:rsidRPr="00EB4CE3">
        <w:tab/>
        <w:t>UW-</w:t>
      </w:r>
      <w:r w:rsidR="00705164">
        <w:t>1</w:t>
      </w:r>
      <w:r w:rsidR="005C440D">
        <w:t>4</w:t>
      </w:r>
      <w:r w:rsidR="00894BC9">
        <w:t>1</w:t>
      </w:r>
      <w:r w:rsidR="00353F90">
        <w:t>363</w:t>
      </w:r>
    </w:p>
    <w:p w14:paraId="1F03FD75" w14:textId="381AC799" w:rsidR="00154718" w:rsidRPr="00EB4CE3" w:rsidRDefault="00A41C23" w:rsidP="00BE5610">
      <w:r w:rsidRPr="00EB4CE3">
        <w:t>Company Name:</w:t>
      </w:r>
      <w:r w:rsidRPr="00EB4CE3">
        <w:tab/>
      </w:r>
      <w:r w:rsidR="00353F90">
        <w:t>Rainier View Water Company, Inc.</w:t>
      </w:r>
    </w:p>
    <w:p w14:paraId="1F03FD76" w14:textId="77777777" w:rsidR="00154718" w:rsidRPr="00EB4CE3" w:rsidRDefault="00154718" w:rsidP="00BE5610"/>
    <w:p w14:paraId="1F03FD77" w14:textId="77777777" w:rsidR="00154718" w:rsidRDefault="00595023" w:rsidP="00BE5610">
      <w:r w:rsidRPr="00EB4CE3">
        <w:t xml:space="preserve">Staff: </w:t>
      </w:r>
      <w:r w:rsidRPr="00EB4CE3">
        <w:tab/>
      </w:r>
      <w:r w:rsidRPr="00EB4CE3">
        <w:tab/>
      </w:r>
      <w:r w:rsidRPr="00EB4CE3">
        <w:tab/>
        <w:t>Jim Ward</w:t>
      </w:r>
      <w:r w:rsidR="00154718" w:rsidRPr="00EB4CE3">
        <w:t>, Regulatory Analyst</w:t>
      </w:r>
    </w:p>
    <w:p w14:paraId="1F03FD78" w14:textId="77777777" w:rsidR="00154718" w:rsidRPr="00EB4CE3" w:rsidRDefault="00103755" w:rsidP="00705164">
      <w:pPr>
        <w:ind w:left="1440" w:firstLine="720"/>
      </w:pPr>
      <w:r>
        <w:t>John Cupp</w:t>
      </w:r>
      <w:r w:rsidR="00154718" w:rsidRPr="00EB4CE3">
        <w:t>, Consumer Protection Staff</w:t>
      </w:r>
    </w:p>
    <w:p w14:paraId="1F03FD79" w14:textId="77777777" w:rsidR="00154718" w:rsidRPr="00EB4CE3" w:rsidRDefault="00154718" w:rsidP="00BE5610"/>
    <w:p w14:paraId="1F03FD7A" w14:textId="702CB083" w:rsidR="00154718" w:rsidRPr="00935AF2" w:rsidRDefault="00154718" w:rsidP="00BE5610">
      <w:pPr>
        <w:rPr>
          <w:b/>
          <w:u w:val="single"/>
        </w:rPr>
      </w:pPr>
      <w:r w:rsidRPr="00935AF2">
        <w:rPr>
          <w:b/>
          <w:u w:val="single"/>
        </w:rPr>
        <w:t>Recommendation</w:t>
      </w:r>
      <w:r w:rsidR="003A5256">
        <w:rPr>
          <w:b/>
          <w:u w:val="single"/>
        </w:rPr>
        <w:t>s</w:t>
      </w:r>
    </w:p>
    <w:p w14:paraId="3E33493B" w14:textId="77777777" w:rsidR="00C1691C" w:rsidRDefault="00C1691C" w:rsidP="00C1691C">
      <w:pPr>
        <w:widowControl w:val="0"/>
        <w:autoSpaceDE w:val="0"/>
        <w:autoSpaceDN w:val="0"/>
        <w:adjustRightInd w:val="0"/>
        <w:rPr>
          <w:rFonts w:eastAsia="Times New Roman"/>
          <w:color w:val="000000"/>
          <w:lang w:bidi="ar-SA"/>
        </w:rPr>
      </w:pPr>
    </w:p>
    <w:p w14:paraId="508D2F3B" w14:textId="67B30088" w:rsidR="00C1691C" w:rsidRDefault="00C1691C" w:rsidP="00C1691C">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t xml:space="preserve">Dismiss the </w:t>
      </w:r>
      <w:r w:rsidRPr="006073C4">
        <w:t>Complaint and Order Suspending the Tariff Revision</w:t>
      </w:r>
      <w:r w:rsidR="009D716A">
        <w:t>s</w:t>
      </w:r>
      <w:r w:rsidRPr="006073C4">
        <w:t xml:space="preserve"> filed </w:t>
      </w:r>
      <w:r w:rsidR="00277380">
        <w:t xml:space="preserve">by </w:t>
      </w:r>
      <w:r w:rsidR="007B716E">
        <w:t>Rainier View Water Company, Inc.,</w:t>
      </w:r>
      <w:r w:rsidR="007B716E" w:rsidRPr="006D62FC">
        <w:t xml:space="preserve"> </w:t>
      </w:r>
      <w:r w:rsidR="007B716E">
        <w:t>in Docket UW-141363</w:t>
      </w:r>
      <w:r w:rsidR="00294B74">
        <w:t>,</w:t>
      </w:r>
      <w:r w:rsidR="007B716E">
        <w:t xml:space="preserve"> dated </w:t>
      </w:r>
      <w:r w:rsidR="002A7813" w:rsidRPr="004A719D">
        <w:t>August 14</w:t>
      </w:r>
      <w:r w:rsidRPr="004A719D">
        <w:t>,</w:t>
      </w:r>
      <w:r w:rsidRPr="006D62FC">
        <w:t xml:space="preserve"> 2014</w:t>
      </w:r>
      <w:r w:rsidR="0068197A">
        <w:t>, and;</w:t>
      </w:r>
      <w:r w:rsidRPr="004C73F1">
        <w:t xml:space="preserve"> </w:t>
      </w:r>
    </w:p>
    <w:p w14:paraId="5359B942" w14:textId="77777777" w:rsidR="00C1691C" w:rsidRDefault="00C1691C" w:rsidP="00C169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ind w:left="720"/>
      </w:pPr>
    </w:p>
    <w:p w14:paraId="3424F61D" w14:textId="2EDCBE07" w:rsidR="00C1691C" w:rsidRDefault="00C1691C" w:rsidP="00C1691C">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t xml:space="preserve">Allow the </w:t>
      </w:r>
      <w:r w:rsidR="0068197A">
        <w:t xml:space="preserve">revised </w:t>
      </w:r>
      <w:r w:rsidRPr="00AA4488">
        <w:t>rates and tariff revision</w:t>
      </w:r>
      <w:r w:rsidR="007A75F8">
        <w:t>s</w:t>
      </w:r>
      <w:r w:rsidRPr="00AA4488">
        <w:t xml:space="preserve"> filed by </w:t>
      </w:r>
      <w:r w:rsidR="007B716E">
        <w:t>Rainier View Water Company, Inc.,</w:t>
      </w:r>
      <w:r w:rsidR="0068197A">
        <w:t xml:space="preserve"> on</w:t>
      </w:r>
      <w:r w:rsidR="001F3323">
        <w:t xml:space="preserve"> </w:t>
      </w:r>
      <w:r w:rsidR="007B716E">
        <w:t>June 30, 2014</w:t>
      </w:r>
      <w:r>
        <w:t xml:space="preserve">, </w:t>
      </w:r>
      <w:r w:rsidR="00294B74">
        <w:t xml:space="preserve">as </w:t>
      </w:r>
      <w:r w:rsidR="003202A6">
        <w:t xml:space="preserve">revised </w:t>
      </w:r>
      <w:r w:rsidR="00005EB3">
        <w:t xml:space="preserve">August 18, 2014, </w:t>
      </w:r>
      <w:r w:rsidR="003202A6">
        <w:t>November</w:t>
      </w:r>
      <w:r w:rsidR="00C05DD3">
        <w:t xml:space="preserve"> </w:t>
      </w:r>
      <w:r w:rsidR="00C05DD3" w:rsidRPr="005B6F3C">
        <w:t>1</w:t>
      </w:r>
      <w:r w:rsidR="002633A1" w:rsidRPr="005B6F3C">
        <w:t>0</w:t>
      </w:r>
      <w:r w:rsidR="00C05DD3" w:rsidRPr="005B6F3C">
        <w:t>,</w:t>
      </w:r>
      <w:r w:rsidR="00C05DD3">
        <w:t xml:space="preserve"> 2014, </w:t>
      </w:r>
      <w:r w:rsidR="004A719D">
        <w:t xml:space="preserve">and December </w:t>
      </w:r>
      <w:r w:rsidR="00343D06">
        <w:t>23,</w:t>
      </w:r>
      <w:r w:rsidR="004A719D">
        <w:t xml:space="preserve"> 2014, </w:t>
      </w:r>
      <w:r w:rsidRPr="00AA4488">
        <w:t xml:space="preserve">to become effective </w:t>
      </w:r>
      <w:r w:rsidR="004A719D">
        <w:t>January 1</w:t>
      </w:r>
      <w:r w:rsidRPr="00AA4488">
        <w:t>, 201</w:t>
      </w:r>
      <w:r w:rsidR="004A719D">
        <w:t>5</w:t>
      </w:r>
      <w:r w:rsidRPr="00AA4488">
        <w:t>.</w:t>
      </w:r>
    </w:p>
    <w:p w14:paraId="090287E9" w14:textId="77777777" w:rsidR="00C1691C" w:rsidRPr="00B1586B" w:rsidRDefault="00C1691C" w:rsidP="00C1691C">
      <w:pPr>
        <w:widowControl w:val="0"/>
        <w:autoSpaceDE w:val="0"/>
        <w:autoSpaceDN w:val="0"/>
        <w:adjustRightInd w:val="0"/>
      </w:pPr>
    </w:p>
    <w:p w14:paraId="1F03FD80" w14:textId="77777777" w:rsidR="00154718" w:rsidRPr="00935AF2" w:rsidRDefault="00154718" w:rsidP="00BE5610">
      <w:pPr>
        <w:rPr>
          <w:b/>
          <w:u w:val="single"/>
        </w:rPr>
      </w:pPr>
      <w:r w:rsidRPr="00935AF2">
        <w:rPr>
          <w:b/>
          <w:u w:val="single"/>
        </w:rPr>
        <w:t>Discussion</w:t>
      </w:r>
    </w:p>
    <w:p w14:paraId="1F03FD81" w14:textId="77777777" w:rsidR="00154718" w:rsidRPr="00EB4CE3" w:rsidRDefault="00154718" w:rsidP="00BE5610"/>
    <w:p w14:paraId="1F03FD84" w14:textId="50441B38" w:rsidR="00AE0092" w:rsidRDefault="00DD65A6" w:rsidP="007A59D5">
      <w:pPr>
        <w:rPr>
          <w:color w:val="000000"/>
        </w:rPr>
      </w:pPr>
      <w:r w:rsidRPr="007A59D5">
        <w:rPr>
          <w:szCs w:val="32"/>
        </w:rPr>
        <w:t xml:space="preserve">On </w:t>
      </w:r>
      <w:r w:rsidR="00353F90">
        <w:rPr>
          <w:szCs w:val="32"/>
        </w:rPr>
        <w:t>June 30</w:t>
      </w:r>
      <w:r w:rsidRPr="007A59D5">
        <w:rPr>
          <w:szCs w:val="32"/>
        </w:rPr>
        <w:t xml:space="preserve">, </w:t>
      </w:r>
      <w:r w:rsidR="00705164" w:rsidRPr="007A59D5">
        <w:rPr>
          <w:szCs w:val="32"/>
        </w:rPr>
        <w:t>201</w:t>
      </w:r>
      <w:r w:rsidR="007A59D5">
        <w:rPr>
          <w:szCs w:val="32"/>
        </w:rPr>
        <w:t>4</w:t>
      </w:r>
      <w:r w:rsidRPr="007A59D5">
        <w:rPr>
          <w:szCs w:val="32"/>
        </w:rPr>
        <w:t xml:space="preserve">, </w:t>
      </w:r>
      <w:r w:rsidR="00353F90">
        <w:rPr>
          <w:szCs w:val="32"/>
        </w:rPr>
        <w:t>Rainier View Water Company, Inc.</w:t>
      </w:r>
      <w:r w:rsidR="006F6487" w:rsidRPr="007A59D5">
        <w:rPr>
          <w:szCs w:val="32"/>
        </w:rPr>
        <w:t xml:space="preserve"> </w:t>
      </w:r>
      <w:r w:rsidRPr="007A59D5">
        <w:rPr>
          <w:szCs w:val="32"/>
        </w:rPr>
        <w:t>(</w:t>
      </w:r>
      <w:r w:rsidR="00353F90">
        <w:rPr>
          <w:szCs w:val="32"/>
        </w:rPr>
        <w:t>Rainier View</w:t>
      </w:r>
      <w:r w:rsidR="00187E0D" w:rsidRPr="007A59D5">
        <w:rPr>
          <w:szCs w:val="32"/>
        </w:rPr>
        <w:t xml:space="preserve"> </w:t>
      </w:r>
      <w:r w:rsidRPr="007A59D5">
        <w:rPr>
          <w:szCs w:val="32"/>
        </w:rPr>
        <w:t>or company</w:t>
      </w:r>
      <w:r w:rsidR="00A201C0" w:rsidRPr="007A59D5">
        <w:rPr>
          <w:szCs w:val="32"/>
        </w:rPr>
        <w:t>)</w:t>
      </w:r>
      <w:r w:rsidR="00BD138F" w:rsidRPr="007A59D5">
        <w:rPr>
          <w:szCs w:val="32"/>
        </w:rPr>
        <w:t>,</w:t>
      </w:r>
      <w:r w:rsidR="00A201C0" w:rsidRPr="007A59D5">
        <w:rPr>
          <w:szCs w:val="32"/>
        </w:rPr>
        <w:t xml:space="preserve"> filed</w:t>
      </w:r>
      <w:r w:rsidRPr="007A59D5">
        <w:rPr>
          <w:szCs w:val="32"/>
        </w:rPr>
        <w:t xml:space="preserve"> </w:t>
      </w:r>
      <w:r w:rsidR="00CB1B63" w:rsidRPr="007A59D5">
        <w:rPr>
          <w:szCs w:val="32"/>
        </w:rPr>
        <w:t xml:space="preserve">a </w:t>
      </w:r>
      <w:r w:rsidR="009A01B8">
        <w:rPr>
          <w:szCs w:val="32"/>
        </w:rPr>
        <w:t>p</w:t>
      </w:r>
      <w:r w:rsidR="007A59D5" w:rsidRPr="007A59D5">
        <w:rPr>
          <w:szCs w:val="32"/>
        </w:rPr>
        <w:t xml:space="preserve">roposed rate increase that would generate </w:t>
      </w:r>
      <w:r w:rsidR="00353F90" w:rsidRPr="00106C06">
        <w:rPr>
          <w:color w:val="000000"/>
        </w:rPr>
        <w:t xml:space="preserve">$166,083 (2.9 percent) additional annual revenue. </w:t>
      </w:r>
      <w:r w:rsidR="00353F90" w:rsidRPr="00106C06">
        <w:t xml:space="preserve">The purpose of this tariff filing is </w:t>
      </w:r>
      <w:r w:rsidR="00353F90" w:rsidRPr="00106C06">
        <w:lastRenderedPageBreak/>
        <w:t xml:space="preserve">to address a revenue shortfall </w:t>
      </w:r>
      <w:r w:rsidR="006F6D87">
        <w:t>d</w:t>
      </w:r>
      <w:r w:rsidR="00353F90" w:rsidRPr="00106C06">
        <w:t>ue to employment related costs (salaries and benefits)</w:t>
      </w:r>
      <w:r w:rsidR="00277380">
        <w:t>,</w:t>
      </w:r>
      <w:r w:rsidR="00353F90" w:rsidRPr="00106C06">
        <w:t xml:space="preserve"> Department of Health permitting fees</w:t>
      </w:r>
      <w:r w:rsidR="00277380">
        <w:t>,</w:t>
      </w:r>
      <w:r w:rsidR="00353F90" w:rsidRPr="00106C06">
        <w:t xml:space="preserve"> and water qua</w:t>
      </w:r>
      <w:r w:rsidR="00353F90">
        <w:t>lity testing requirements</w:t>
      </w:r>
      <w:r w:rsidR="006F6D87">
        <w:t>.</w:t>
      </w:r>
      <w:r w:rsidR="00353F90">
        <w:t xml:space="preserve"> </w:t>
      </w:r>
      <w:r w:rsidR="00325AE5" w:rsidRPr="00B43FA6">
        <w:rPr>
          <w:color w:val="000000"/>
        </w:rPr>
        <w:t xml:space="preserve">The proposed effective date </w:t>
      </w:r>
      <w:r w:rsidR="00325AE5">
        <w:rPr>
          <w:color w:val="000000"/>
        </w:rPr>
        <w:t>wa</w:t>
      </w:r>
      <w:r w:rsidR="00325AE5" w:rsidRPr="00B43FA6">
        <w:rPr>
          <w:color w:val="000000"/>
        </w:rPr>
        <w:t xml:space="preserve">s </w:t>
      </w:r>
      <w:r w:rsidR="00325AE5">
        <w:rPr>
          <w:color w:val="000000"/>
        </w:rPr>
        <w:t>August 15</w:t>
      </w:r>
      <w:r w:rsidR="00325AE5" w:rsidRPr="00B43FA6">
        <w:rPr>
          <w:color w:val="000000"/>
        </w:rPr>
        <w:t>, 2014</w:t>
      </w:r>
      <w:r w:rsidR="00325AE5">
        <w:rPr>
          <w:color w:val="000000"/>
        </w:rPr>
        <w:t xml:space="preserve">. </w:t>
      </w:r>
      <w:r w:rsidR="002551C3">
        <w:rPr>
          <w:color w:val="000000"/>
        </w:rPr>
        <w:t xml:space="preserve">After review of the company’s books and records, staff and the company agreed to a revised revenue need of </w:t>
      </w:r>
      <w:r w:rsidR="002551C3" w:rsidRPr="002551C3">
        <w:rPr>
          <w:color w:val="000000"/>
        </w:rPr>
        <w:t>$183,439 (3.3 percent) additional annual revenue.</w:t>
      </w:r>
      <w:r w:rsidR="002551C3">
        <w:rPr>
          <w:color w:val="000000"/>
        </w:rPr>
        <w:t xml:space="preserve"> </w:t>
      </w:r>
      <w:r w:rsidR="00353F90" w:rsidRPr="00106C06">
        <w:rPr>
          <w:color w:val="000000"/>
        </w:rPr>
        <w:t>The company provides water service to approximately 17,</w:t>
      </w:r>
      <w:r w:rsidR="00353F90">
        <w:rPr>
          <w:color w:val="000000"/>
        </w:rPr>
        <w:t>35</w:t>
      </w:r>
      <w:r w:rsidR="00353F90" w:rsidRPr="00106C06">
        <w:rPr>
          <w:color w:val="000000"/>
        </w:rPr>
        <w:t>0 customers served on 26 water systems located in Pierce County and two water systems located in Kitsap County.</w:t>
      </w:r>
      <w:r w:rsidR="00EC62E6">
        <w:rPr>
          <w:color w:val="000000"/>
        </w:rPr>
        <w:t xml:space="preserve"> The company’s last </w:t>
      </w:r>
      <w:r w:rsidR="00E03508">
        <w:rPr>
          <w:color w:val="000000"/>
        </w:rPr>
        <w:t xml:space="preserve">general </w:t>
      </w:r>
      <w:r w:rsidR="00EC62E6">
        <w:rPr>
          <w:color w:val="000000"/>
        </w:rPr>
        <w:t xml:space="preserve">rate increase was effective June 1, 2013. </w:t>
      </w:r>
      <w:r w:rsidR="00E03508">
        <w:rPr>
          <w:color w:val="000000"/>
        </w:rPr>
        <w:t xml:space="preserve">The commission allowed </w:t>
      </w:r>
      <w:r w:rsidR="00EC62E6">
        <w:rPr>
          <w:color w:val="000000"/>
        </w:rPr>
        <w:t xml:space="preserve">a </w:t>
      </w:r>
      <w:r w:rsidR="00E03508">
        <w:rPr>
          <w:color w:val="000000"/>
        </w:rPr>
        <w:t xml:space="preserve">$.75 </w:t>
      </w:r>
      <w:r w:rsidR="00EC62E6">
        <w:rPr>
          <w:color w:val="000000"/>
        </w:rPr>
        <w:t xml:space="preserve">Capital </w:t>
      </w:r>
      <w:r w:rsidR="00615539">
        <w:rPr>
          <w:color w:val="000000"/>
        </w:rPr>
        <w:t xml:space="preserve">Plant </w:t>
      </w:r>
      <w:r w:rsidR="00EC62E6">
        <w:rPr>
          <w:color w:val="000000"/>
        </w:rPr>
        <w:t>Treatment surcharge to be</w:t>
      </w:r>
      <w:r w:rsidR="00E03508">
        <w:rPr>
          <w:color w:val="000000"/>
        </w:rPr>
        <w:t>come</w:t>
      </w:r>
      <w:r w:rsidR="00EC62E6">
        <w:rPr>
          <w:color w:val="000000"/>
        </w:rPr>
        <w:t xml:space="preserve"> effective August 1, 2014.</w:t>
      </w:r>
    </w:p>
    <w:p w14:paraId="2E386E96" w14:textId="77777777" w:rsidR="007B716E" w:rsidRDefault="007B716E" w:rsidP="00C1691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rPr>
          <w:rFonts w:eastAsia="Times New Roman"/>
        </w:rPr>
      </w:pPr>
    </w:p>
    <w:p w14:paraId="11D94A82" w14:textId="293A040B" w:rsidR="006F6D87" w:rsidRDefault="00C1691C" w:rsidP="006F6D8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pPr>
      <w:r w:rsidRPr="00E04176">
        <w:rPr>
          <w:rFonts w:eastAsia="Times New Roman"/>
        </w:rPr>
        <w:t xml:space="preserve">On </w:t>
      </w:r>
      <w:r w:rsidR="00656F93">
        <w:rPr>
          <w:rFonts w:eastAsia="Times New Roman"/>
        </w:rPr>
        <w:t>August 14</w:t>
      </w:r>
      <w:r w:rsidRPr="00E04176">
        <w:rPr>
          <w:rFonts w:eastAsia="Times New Roman"/>
        </w:rPr>
        <w:t>, 201</w:t>
      </w:r>
      <w:r>
        <w:rPr>
          <w:rFonts w:eastAsia="Times New Roman"/>
        </w:rPr>
        <w:t>4</w:t>
      </w:r>
      <w:r w:rsidRPr="00E04176">
        <w:rPr>
          <w:rFonts w:eastAsia="Times New Roman"/>
        </w:rPr>
        <w:t xml:space="preserve">, the commission </w:t>
      </w:r>
      <w:r w:rsidR="003A5256">
        <w:rPr>
          <w:rFonts w:eastAsia="Times New Roman"/>
        </w:rPr>
        <w:t xml:space="preserve">issued an order </w:t>
      </w:r>
      <w:r w:rsidRPr="00E04176">
        <w:rPr>
          <w:rFonts w:eastAsia="Times New Roman"/>
        </w:rPr>
        <w:t>suspend</w:t>
      </w:r>
      <w:r w:rsidR="003A5256">
        <w:rPr>
          <w:rFonts w:eastAsia="Times New Roman"/>
        </w:rPr>
        <w:t>ing</w:t>
      </w:r>
      <w:r w:rsidRPr="00E04176">
        <w:rPr>
          <w:rFonts w:eastAsia="Times New Roman"/>
        </w:rPr>
        <w:t xml:space="preserve"> this filing for further review.</w:t>
      </w:r>
      <w:r>
        <w:rPr>
          <w:rFonts w:eastAsia="Times New Roman"/>
        </w:rPr>
        <w:t xml:space="preserve"> </w:t>
      </w:r>
      <w:r w:rsidR="00294B74">
        <w:rPr>
          <w:rFonts w:eastAsia="Times New Roman"/>
        </w:rPr>
        <w:t>T</w:t>
      </w:r>
      <w:r w:rsidR="006F6D87">
        <w:rPr>
          <w:rFonts w:eastAsia="Times New Roman"/>
        </w:rPr>
        <w:t xml:space="preserve">he company proposed to </w:t>
      </w:r>
      <w:r w:rsidR="00294B74">
        <w:rPr>
          <w:rFonts w:eastAsia="Times New Roman"/>
        </w:rPr>
        <w:t>increase revenue</w:t>
      </w:r>
      <w:r w:rsidR="006F6D87">
        <w:rPr>
          <w:rFonts w:eastAsia="Times New Roman"/>
        </w:rPr>
        <w:t xml:space="preserve"> by raising </w:t>
      </w:r>
      <w:r w:rsidR="00D27B1C">
        <w:rPr>
          <w:rFonts w:eastAsia="Times New Roman"/>
        </w:rPr>
        <w:t xml:space="preserve">only </w:t>
      </w:r>
      <w:r w:rsidR="006F6D87">
        <w:rPr>
          <w:rFonts w:eastAsia="Times New Roman"/>
        </w:rPr>
        <w:t>the third block usage rate. Additionally</w:t>
      </w:r>
      <w:r w:rsidR="00811645">
        <w:rPr>
          <w:rFonts w:eastAsia="Times New Roman"/>
        </w:rPr>
        <w:t>,</w:t>
      </w:r>
      <w:r w:rsidR="006F6D87">
        <w:rPr>
          <w:rFonts w:eastAsia="Times New Roman"/>
        </w:rPr>
        <w:t xml:space="preserve"> the company wanted to </w:t>
      </w:r>
      <w:r w:rsidR="006F6D87" w:rsidRPr="00106C06">
        <w:t xml:space="preserve">modify </w:t>
      </w:r>
      <w:r w:rsidR="00811645">
        <w:t>it</w:t>
      </w:r>
      <w:r w:rsidR="00811645" w:rsidRPr="00106C06">
        <w:t>s</w:t>
      </w:r>
      <w:r w:rsidR="006F6D87" w:rsidRPr="00106C06">
        <w:t xml:space="preserve"> rate design</w:t>
      </w:r>
      <w:r w:rsidR="006F6D87">
        <w:t xml:space="preserve"> to promote conservation in the third usage block</w:t>
      </w:r>
      <w:r w:rsidR="00811645">
        <w:t xml:space="preserve"> on a year round basis</w:t>
      </w:r>
      <w:r w:rsidR="006F6D87" w:rsidRPr="00106C06">
        <w:t>.</w:t>
      </w:r>
    </w:p>
    <w:p w14:paraId="4BBA9086" w14:textId="77777777" w:rsidR="006F6D87" w:rsidRDefault="006F6D87" w:rsidP="00C1691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pPr>
    </w:p>
    <w:p w14:paraId="324A5265" w14:textId="21811874" w:rsidR="00B46C5C" w:rsidRDefault="007B716E" w:rsidP="003A3419">
      <w:r>
        <w:t xml:space="preserve">At the </w:t>
      </w:r>
      <w:r w:rsidR="0090228D">
        <w:t>November</w:t>
      </w:r>
      <w:r>
        <w:t xml:space="preserve"> </w:t>
      </w:r>
      <w:r w:rsidR="00AF6993">
        <w:t>14</w:t>
      </w:r>
      <w:r>
        <w:t>, 2014, open meeting</w:t>
      </w:r>
      <w:r w:rsidR="00FA4D40">
        <w:t>,</w:t>
      </w:r>
      <w:r>
        <w:t xml:space="preserve"> </w:t>
      </w:r>
      <w:r w:rsidR="003A3419">
        <w:t xml:space="preserve">Bethel School District (Bethel), a non-residential </w:t>
      </w:r>
      <w:r w:rsidR="005B04F4">
        <w:t>customer</w:t>
      </w:r>
      <w:r w:rsidR="003A3419">
        <w:t xml:space="preserve">, </w:t>
      </w:r>
      <w:r>
        <w:t>raised</w:t>
      </w:r>
      <w:r w:rsidR="003A3419">
        <w:t xml:space="preserve"> the following issues:</w:t>
      </w:r>
    </w:p>
    <w:p w14:paraId="46E6CD21" w14:textId="77777777" w:rsidR="009C79E8" w:rsidRDefault="009C79E8" w:rsidP="003A3419"/>
    <w:p w14:paraId="44F83A5C" w14:textId="58FD1B9F" w:rsidR="009F20B6" w:rsidRDefault="009F20B6" w:rsidP="009F20B6">
      <w:pPr>
        <w:pStyle w:val="ListParagraph"/>
        <w:numPr>
          <w:ilvl w:val="0"/>
          <w:numId w:val="39"/>
        </w:numPr>
      </w:pPr>
      <w:r>
        <w:t xml:space="preserve">Contract agreement filed in 2003 for </w:t>
      </w:r>
      <w:r w:rsidR="00B1560C">
        <w:t xml:space="preserve">sale and </w:t>
      </w:r>
      <w:r>
        <w:t>purchase of water rights and associated wells and equipment. This was filed at the commis</w:t>
      </w:r>
      <w:r w:rsidR="00AE0FE1">
        <w:t>sion under docket UW-030047. Bethel</w:t>
      </w:r>
      <w:r>
        <w:t xml:space="preserve"> believed this contract allowed for a credit for un-used water right</w:t>
      </w:r>
      <w:r w:rsidR="00B1560C">
        <w:t>s</w:t>
      </w:r>
      <w:r>
        <w:t xml:space="preserve"> to be translated to reduced water service billings.</w:t>
      </w:r>
    </w:p>
    <w:p w14:paraId="1F584B20" w14:textId="77777777" w:rsidR="009C79E8" w:rsidRDefault="009C79E8" w:rsidP="009C79E8">
      <w:pPr>
        <w:pStyle w:val="ListParagraph"/>
      </w:pPr>
    </w:p>
    <w:p w14:paraId="18711438" w14:textId="4E5FDCFB" w:rsidR="009F20B6" w:rsidRDefault="009F20B6" w:rsidP="009F20B6">
      <w:pPr>
        <w:pStyle w:val="ListParagraph"/>
        <w:numPr>
          <w:ilvl w:val="0"/>
          <w:numId w:val="39"/>
        </w:numPr>
      </w:pPr>
      <w:r>
        <w:t xml:space="preserve">Re-arrangement of meters and piping at </w:t>
      </w:r>
      <w:r w:rsidR="00D27B1C">
        <w:t>the s</w:t>
      </w:r>
      <w:r>
        <w:t xml:space="preserve">chool </w:t>
      </w:r>
      <w:r w:rsidR="00D27B1C">
        <w:t>d</w:t>
      </w:r>
      <w:r>
        <w:t>istrict</w:t>
      </w:r>
      <w:r w:rsidR="00D27B1C">
        <w:t xml:space="preserve"> property</w:t>
      </w:r>
      <w:r>
        <w:t>, cost, and timing.</w:t>
      </w:r>
    </w:p>
    <w:p w14:paraId="1946BFD4" w14:textId="77777777" w:rsidR="009C79E8" w:rsidRDefault="009C79E8" w:rsidP="009C79E8">
      <w:pPr>
        <w:pStyle w:val="ListParagraph"/>
      </w:pPr>
    </w:p>
    <w:p w14:paraId="4521760C" w14:textId="77777777" w:rsidR="009F20B6" w:rsidRDefault="009F20B6" w:rsidP="009F20B6">
      <w:pPr>
        <w:pStyle w:val="ListParagraph"/>
        <w:numPr>
          <w:ilvl w:val="0"/>
          <w:numId w:val="39"/>
        </w:numPr>
      </w:pPr>
      <w:r>
        <w:t>The process of ensuring all parties have adequate time for review.</w:t>
      </w:r>
    </w:p>
    <w:p w14:paraId="6AF2E9D6" w14:textId="77777777" w:rsidR="00B1560C" w:rsidRDefault="00B1560C" w:rsidP="00B1560C">
      <w:pPr>
        <w:pStyle w:val="ListParagraph"/>
      </w:pPr>
    </w:p>
    <w:p w14:paraId="6C1E8C22" w14:textId="390A3E19" w:rsidR="00B1560C" w:rsidRDefault="00B1560C" w:rsidP="00B1560C">
      <w:pPr>
        <w:pStyle w:val="ListParagraph"/>
        <w:numPr>
          <w:ilvl w:val="0"/>
          <w:numId w:val="39"/>
        </w:numPr>
      </w:pPr>
      <w:r>
        <w:t>An alternative rate design that raised all rates across the board and conservation rates to be applied to all customers to recover costs.</w:t>
      </w:r>
    </w:p>
    <w:p w14:paraId="21AEC70A" w14:textId="77777777" w:rsidR="00E67082" w:rsidRDefault="00E67082" w:rsidP="00184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eastAsia="Times New Roman"/>
        </w:rPr>
      </w:pPr>
    </w:p>
    <w:p w14:paraId="540B6DE9" w14:textId="53C669B3" w:rsidR="00E67082" w:rsidRPr="0018457D" w:rsidRDefault="00E67082" w:rsidP="00184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eastAsia="Times New Roman"/>
        </w:rPr>
      </w:pPr>
      <w:r w:rsidRPr="0018457D">
        <w:rPr>
          <w:rFonts w:eastAsia="Times New Roman"/>
        </w:rPr>
        <w:t xml:space="preserve">On November 14, 2014, the commission approved </w:t>
      </w:r>
      <w:r>
        <w:rPr>
          <w:rFonts w:eastAsia="Times New Roman"/>
        </w:rPr>
        <w:t xml:space="preserve">temporary </w:t>
      </w:r>
      <w:r w:rsidRPr="0018457D">
        <w:rPr>
          <w:rFonts w:eastAsia="Times New Roman"/>
        </w:rPr>
        <w:t xml:space="preserve">rates </w:t>
      </w:r>
      <w:r>
        <w:rPr>
          <w:rFonts w:eastAsia="Times New Roman"/>
        </w:rPr>
        <w:t xml:space="preserve">(see table </w:t>
      </w:r>
      <w:r w:rsidRPr="0018457D">
        <w:rPr>
          <w:rFonts w:eastAsia="Times New Roman"/>
        </w:rPr>
        <w:t>below</w:t>
      </w:r>
      <w:r>
        <w:rPr>
          <w:rFonts w:eastAsia="Times New Roman"/>
        </w:rPr>
        <w:t xml:space="preserve">) and directed the parties to </w:t>
      </w:r>
      <w:r w:rsidR="00DC1F19">
        <w:rPr>
          <w:rFonts w:eastAsia="Times New Roman"/>
        </w:rPr>
        <w:t>work to resolve the issues</w:t>
      </w:r>
      <w:r w:rsidRPr="0018457D">
        <w:rPr>
          <w:rFonts w:eastAsia="Times New Roman"/>
        </w:rPr>
        <w:t>.</w:t>
      </w:r>
    </w:p>
    <w:p w14:paraId="3C649544" w14:textId="77777777" w:rsidR="00D27B1C" w:rsidRDefault="00D27B1C" w:rsidP="00C1691C"/>
    <w:p w14:paraId="005C9D29" w14:textId="7E0AB2AF" w:rsidR="009F20B6" w:rsidRDefault="00DC1F19" w:rsidP="00C1691C">
      <w:pPr>
        <w:rPr>
          <w:b/>
        </w:rPr>
      </w:pPr>
      <w:r>
        <w:rPr>
          <w:b/>
        </w:rPr>
        <w:t>After further discussions, the following are staff’s response to each of the issues</w:t>
      </w:r>
      <w:r w:rsidR="009F20B6">
        <w:rPr>
          <w:b/>
        </w:rPr>
        <w:t>:</w:t>
      </w:r>
    </w:p>
    <w:p w14:paraId="31B9F017" w14:textId="77777777" w:rsidR="00D27B1C" w:rsidRDefault="00D27B1C" w:rsidP="00F735B6"/>
    <w:p w14:paraId="49C954B1" w14:textId="440575D3" w:rsidR="00F735B6" w:rsidRDefault="009C79E8" w:rsidP="00D27B1C">
      <w:pPr>
        <w:pStyle w:val="ListParagraph"/>
        <w:numPr>
          <w:ilvl w:val="0"/>
          <w:numId w:val="41"/>
        </w:numPr>
      </w:pPr>
      <w:r>
        <w:t xml:space="preserve">The agreement filed </w:t>
      </w:r>
      <w:r w:rsidR="00D12576">
        <w:t xml:space="preserve">with the commission </w:t>
      </w:r>
      <w:r>
        <w:t xml:space="preserve">in </w:t>
      </w:r>
      <w:r w:rsidR="00D12576">
        <w:t xml:space="preserve">docket UW-030047 </w:t>
      </w:r>
      <w:r>
        <w:t xml:space="preserve">was for the </w:t>
      </w:r>
      <w:r w:rsidR="00F735B6">
        <w:t xml:space="preserve">sale </w:t>
      </w:r>
      <w:r>
        <w:t xml:space="preserve">and purchase </w:t>
      </w:r>
      <w:r w:rsidR="00F735B6">
        <w:t>of water rights and a</w:t>
      </w:r>
      <w:r w:rsidR="00052A2D">
        <w:t>ssociated wells and equipment.</w:t>
      </w:r>
    </w:p>
    <w:p w14:paraId="383B84CA" w14:textId="77777777" w:rsidR="00EB497B" w:rsidRDefault="00EB497B" w:rsidP="00EB497B">
      <w:pPr>
        <w:pStyle w:val="ListParagraph"/>
      </w:pPr>
    </w:p>
    <w:p w14:paraId="4BC2E244" w14:textId="7796C799" w:rsidR="00F735B6" w:rsidRDefault="00F735B6" w:rsidP="00F735B6">
      <w:r>
        <w:t>Staff</w:t>
      </w:r>
      <w:r w:rsidR="00D12576">
        <w:t xml:space="preserve"> reviewed the documents, consulted with the assigned AG, and concluded that </w:t>
      </w:r>
      <w:r>
        <w:t>this prior agreement has no impact on this rate filing.</w:t>
      </w:r>
      <w:r w:rsidR="00EB497B">
        <w:t xml:space="preserve"> Th</w:t>
      </w:r>
      <w:r w:rsidR="00D12576">
        <w:t>e</w:t>
      </w:r>
      <w:r w:rsidR="00EB497B">
        <w:t xml:space="preserve"> contract </w:t>
      </w:r>
      <w:r w:rsidR="0018457D">
        <w:t xml:space="preserve">requires </w:t>
      </w:r>
      <w:r w:rsidR="00EB497B">
        <w:t>a credit to Bethel for system development charges for capacity to serve the district against the water right capacities of the wells transferred to Rainier View.</w:t>
      </w:r>
      <w:r w:rsidR="00C3215E">
        <w:t xml:space="preserve"> Rainier View agrees. Bethel disagrees.</w:t>
      </w:r>
    </w:p>
    <w:p w14:paraId="0E6F2DFD" w14:textId="77777777" w:rsidR="00F735B6" w:rsidRDefault="00F735B6" w:rsidP="00F735B6"/>
    <w:p w14:paraId="5A43E9DF" w14:textId="00371DCE" w:rsidR="00F735B6" w:rsidRDefault="00F735B6" w:rsidP="00D27B1C">
      <w:pPr>
        <w:pStyle w:val="ListParagraph"/>
        <w:numPr>
          <w:ilvl w:val="0"/>
          <w:numId w:val="41"/>
        </w:numPr>
      </w:pPr>
      <w:r>
        <w:t xml:space="preserve">Re-arrangement of meters and piping at </w:t>
      </w:r>
      <w:r w:rsidR="00D27B1C">
        <w:t>school district</w:t>
      </w:r>
      <w:r w:rsidR="00B1560C">
        <w:t xml:space="preserve"> properties</w:t>
      </w:r>
      <w:r>
        <w:t>, cost, and timing</w:t>
      </w:r>
      <w:r w:rsidR="00B1560C">
        <w:t xml:space="preserve"> to be determined between Bethel and Rainier View</w:t>
      </w:r>
      <w:r>
        <w:t>.</w:t>
      </w:r>
    </w:p>
    <w:p w14:paraId="6F613221" w14:textId="77777777" w:rsidR="00EB497B" w:rsidRDefault="00EB497B" w:rsidP="00EB497B">
      <w:pPr>
        <w:ind w:left="360"/>
      </w:pPr>
    </w:p>
    <w:p w14:paraId="7A6FFB3B" w14:textId="3071BFD6" w:rsidR="00F735B6" w:rsidRDefault="00F735B6" w:rsidP="00F735B6">
      <w:r>
        <w:lastRenderedPageBreak/>
        <w:t xml:space="preserve">Staff </w:t>
      </w:r>
      <w:r w:rsidR="00D12576">
        <w:t>concludes</w:t>
      </w:r>
      <w:r>
        <w:t xml:space="preserve"> this </w:t>
      </w:r>
      <w:r w:rsidR="00D12576">
        <w:t xml:space="preserve">matter </w:t>
      </w:r>
      <w:r>
        <w:t xml:space="preserve">is </w:t>
      </w:r>
      <w:r w:rsidR="00D12576">
        <w:t xml:space="preserve">strictly </w:t>
      </w:r>
      <w:r>
        <w:t>between the company and the district and has no impact on this rate filing.</w:t>
      </w:r>
      <w:r w:rsidR="00EB497B">
        <w:t xml:space="preserve"> Rainier View has offered to provide meter rearrangement at no cost to Bethel</w:t>
      </w:r>
      <w:r w:rsidR="00C3215E">
        <w:t xml:space="preserve">. </w:t>
      </w:r>
      <w:r w:rsidR="00EB497B">
        <w:t xml:space="preserve">Bethel is reviewing the engineering requirements for </w:t>
      </w:r>
      <w:r w:rsidR="00D12576">
        <w:t xml:space="preserve">the proposed </w:t>
      </w:r>
      <w:r w:rsidR="00EB497B">
        <w:t xml:space="preserve">meter </w:t>
      </w:r>
      <w:r w:rsidR="00B1560C">
        <w:t>change</w:t>
      </w:r>
      <w:r w:rsidR="00D12576">
        <w:t>s</w:t>
      </w:r>
      <w:r w:rsidR="00EB497B">
        <w:t>.</w:t>
      </w:r>
    </w:p>
    <w:p w14:paraId="350603DD" w14:textId="77777777" w:rsidR="00F735B6" w:rsidRDefault="00F735B6" w:rsidP="00F735B6"/>
    <w:p w14:paraId="42CF11D2" w14:textId="77777777" w:rsidR="00F735B6" w:rsidRDefault="00F735B6" w:rsidP="00D27B1C">
      <w:pPr>
        <w:pStyle w:val="ListParagraph"/>
        <w:numPr>
          <w:ilvl w:val="0"/>
          <w:numId w:val="41"/>
        </w:numPr>
      </w:pPr>
      <w:r>
        <w:t>The process of ensuring all parties have adequate time for review.</w:t>
      </w:r>
    </w:p>
    <w:p w14:paraId="1CEB8BA5" w14:textId="3C05C199" w:rsidR="00F735B6" w:rsidRDefault="00D12576" w:rsidP="00D27B1C">
      <w:pPr>
        <w:pStyle w:val="ListParagraph"/>
        <w:numPr>
          <w:ilvl w:val="1"/>
          <w:numId w:val="41"/>
        </w:numPr>
      </w:pPr>
      <w:r>
        <w:t>The parties met o</w:t>
      </w:r>
      <w:r w:rsidR="00B1560C">
        <w:t xml:space="preserve">n </w:t>
      </w:r>
      <w:r w:rsidR="00F735B6">
        <w:t xml:space="preserve">December 9, 2014, </w:t>
      </w:r>
      <w:r>
        <w:t>and resolved all issues except rate design.</w:t>
      </w:r>
    </w:p>
    <w:p w14:paraId="1358F111" w14:textId="39D9CB2B" w:rsidR="00F735B6" w:rsidRDefault="00D12576" w:rsidP="00D27B1C">
      <w:pPr>
        <w:pStyle w:val="ListParagraph"/>
        <w:numPr>
          <w:ilvl w:val="1"/>
          <w:numId w:val="41"/>
        </w:numPr>
      </w:pPr>
      <w:r>
        <w:t xml:space="preserve">The parties met again on </w:t>
      </w:r>
      <w:r w:rsidR="00F735B6">
        <w:t xml:space="preserve">December 16, 2014, </w:t>
      </w:r>
      <w:r>
        <w:t xml:space="preserve">and resolved the </w:t>
      </w:r>
      <w:r w:rsidR="00F735B6">
        <w:t>rate design.</w:t>
      </w:r>
    </w:p>
    <w:p w14:paraId="5624CE86" w14:textId="316D5E91" w:rsidR="00F735B6" w:rsidRDefault="00B1560C" w:rsidP="00D27B1C">
      <w:pPr>
        <w:pStyle w:val="ListParagraph"/>
        <w:numPr>
          <w:ilvl w:val="1"/>
          <w:numId w:val="41"/>
        </w:numPr>
      </w:pPr>
      <w:r>
        <w:t xml:space="preserve">Staff </w:t>
      </w:r>
      <w:r w:rsidR="00D12576">
        <w:t xml:space="preserve">agreed to </w:t>
      </w:r>
      <w:r>
        <w:t xml:space="preserve">provide </w:t>
      </w:r>
      <w:r w:rsidR="00D12576">
        <w:t>parties with our draft memo for review</w:t>
      </w:r>
      <w:r w:rsidR="00DC1F19">
        <w:t>, prior to the regular release date</w:t>
      </w:r>
      <w:r w:rsidR="00D12576">
        <w:t>.</w:t>
      </w:r>
    </w:p>
    <w:p w14:paraId="4E426118" w14:textId="77777777" w:rsidR="00EB497B" w:rsidRDefault="00EB497B" w:rsidP="00EB497B"/>
    <w:p w14:paraId="5D13D11B" w14:textId="488AB159" w:rsidR="00F735B6" w:rsidRDefault="00F735B6" w:rsidP="00F735B6">
      <w:r>
        <w:t>Staff</w:t>
      </w:r>
      <w:r w:rsidR="00D12576">
        <w:t xml:space="preserve"> </w:t>
      </w:r>
      <w:r w:rsidR="000F459D">
        <w:t xml:space="preserve">believes that all parties have received </w:t>
      </w:r>
      <w:r>
        <w:t xml:space="preserve">adequate opportunity </w:t>
      </w:r>
      <w:r w:rsidR="000F459D">
        <w:t xml:space="preserve">to </w:t>
      </w:r>
      <w:r>
        <w:t xml:space="preserve">review </w:t>
      </w:r>
      <w:r w:rsidR="00B1560C">
        <w:t xml:space="preserve">and discuss </w:t>
      </w:r>
      <w:r w:rsidR="000F459D">
        <w:t>the issues.</w:t>
      </w:r>
      <w:r w:rsidR="00B1560C">
        <w:t xml:space="preserve"> </w:t>
      </w:r>
    </w:p>
    <w:p w14:paraId="5C49DE43" w14:textId="77777777" w:rsidR="00F735B6" w:rsidRDefault="00F735B6" w:rsidP="00F735B6"/>
    <w:p w14:paraId="18E087EF" w14:textId="56C9D758" w:rsidR="00F735B6" w:rsidRDefault="00B1560C" w:rsidP="00D27B1C">
      <w:pPr>
        <w:pStyle w:val="ListParagraph"/>
        <w:numPr>
          <w:ilvl w:val="0"/>
          <w:numId w:val="41"/>
        </w:numPr>
      </w:pPr>
      <w:r>
        <w:t>An</w:t>
      </w:r>
      <w:r w:rsidR="00F735B6">
        <w:t xml:space="preserve"> alternative rate design (</w:t>
      </w:r>
      <w:r w:rsidR="00EB497B">
        <w:t xml:space="preserve">including </w:t>
      </w:r>
      <w:r w:rsidR="00F735B6">
        <w:t>conservation rate) and how to recover costs.</w:t>
      </w:r>
    </w:p>
    <w:p w14:paraId="3D99E708" w14:textId="77777777" w:rsidR="00F735B6" w:rsidRDefault="00F735B6" w:rsidP="00F735B6">
      <w:pPr>
        <w:ind w:left="360"/>
      </w:pPr>
    </w:p>
    <w:p w14:paraId="6FFD21CA" w14:textId="601ABCE9" w:rsidR="00EA1079" w:rsidRDefault="00C3215E" w:rsidP="008A0B0B">
      <w:pPr>
        <w:rPr>
          <w:color w:val="000000"/>
        </w:rPr>
      </w:pPr>
      <w:r>
        <w:t xml:space="preserve">Staff reviewed Bethel’s and Rainier View’s requests for rate design and revenue recovery and proposes the following </w:t>
      </w:r>
      <w:r w:rsidR="00E50801">
        <w:rPr>
          <w:color w:val="000000"/>
        </w:rPr>
        <w:t>revi</w:t>
      </w:r>
      <w:r w:rsidR="00E03508">
        <w:rPr>
          <w:color w:val="000000"/>
        </w:rPr>
        <w:t xml:space="preserve">sed </w:t>
      </w:r>
      <w:r w:rsidR="00566AD5">
        <w:rPr>
          <w:color w:val="000000"/>
        </w:rPr>
        <w:t xml:space="preserve">rate design </w:t>
      </w:r>
      <w:r>
        <w:rPr>
          <w:color w:val="000000"/>
        </w:rPr>
        <w:t xml:space="preserve">(see </w:t>
      </w:r>
      <w:r>
        <w:t>attached table Revised Rates December 2014)</w:t>
      </w:r>
      <w:r w:rsidR="00EA1079">
        <w:rPr>
          <w:color w:val="000000"/>
        </w:rPr>
        <w:t>:</w:t>
      </w:r>
    </w:p>
    <w:p w14:paraId="67A11F24" w14:textId="77777777" w:rsidR="00C3215E" w:rsidRDefault="00C3215E" w:rsidP="0018457D">
      <w:pPr>
        <w:ind w:left="360"/>
        <w:rPr>
          <w:color w:val="000000"/>
        </w:rPr>
      </w:pPr>
    </w:p>
    <w:p w14:paraId="68029C32" w14:textId="42A59C48" w:rsidR="00436288" w:rsidRDefault="00436288" w:rsidP="00B06ED2">
      <w:pPr>
        <w:pStyle w:val="ListParagraph"/>
        <w:numPr>
          <w:ilvl w:val="0"/>
          <w:numId w:val="38"/>
        </w:numPr>
        <w:rPr>
          <w:color w:val="000000"/>
        </w:rPr>
      </w:pPr>
      <w:r>
        <w:rPr>
          <w:color w:val="000000"/>
        </w:rPr>
        <w:t>R</w:t>
      </w:r>
      <w:r w:rsidR="0046340E">
        <w:rPr>
          <w:color w:val="000000"/>
        </w:rPr>
        <w:t xml:space="preserve">educe </w:t>
      </w:r>
      <w:r>
        <w:rPr>
          <w:color w:val="000000"/>
        </w:rPr>
        <w:t xml:space="preserve">the </w:t>
      </w:r>
      <w:r w:rsidR="0046340E">
        <w:rPr>
          <w:color w:val="000000"/>
        </w:rPr>
        <w:t xml:space="preserve">temporary </w:t>
      </w:r>
      <w:r w:rsidRPr="00B06ED2">
        <w:rPr>
          <w:color w:val="000000"/>
        </w:rPr>
        <w:t xml:space="preserve">base charge for a 3/4 inch meter </w:t>
      </w:r>
      <w:r>
        <w:rPr>
          <w:color w:val="000000"/>
        </w:rPr>
        <w:t xml:space="preserve">from </w:t>
      </w:r>
      <w:r w:rsidR="0046340E" w:rsidRPr="00B06ED2">
        <w:rPr>
          <w:color w:val="000000"/>
        </w:rPr>
        <w:t>$14.21</w:t>
      </w:r>
      <w:r w:rsidR="0046340E" w:rsidRPr="00436288">
        <w:rPr>
          <w:color w:val="000000"/>
        </w:rPr>
        <w:t xml:space="preserve"> </w:t>
      </w:r>
      <w:r>
        <w:rPr>
          <w:color w:val="000000"/>
        </w:rPr>
        <w:t xml:space="preserve">to </w:t>
      </w:r>
      <w:r w:rsidR="0046340E">
        <w:rPr>
          <w:color w:val="000000"/>
        </w:rPr>
        <w:t xml:space="preserve">the original </w:t>
      </w:r>
      <w:r w:rsidRPr="00B06ED2">
        <w:rPr>
          <w:color w:val="000000"/>
        </w:rPr>
        <w:t>$13.90</w:t>
      </w:r>
      <w:r w:rsidR="0046340E">
        <w:rPr>
          <w:color w:val="000000"/>
        </w:rPr>
        <w:t xml:space="preserve"> (-</w:t>
      </w:r>
      <w:r w:rsidRPr="00B06ED2">
        <w:rPr>
          <w:color w:val="000000"/>
        </w:rPr>
        <w:t>2.</w:t>
      </w:r>
      <w:r w:rsidR="00955B44">
        <w:rPr>
          <w:color w:val="000000"/>
        </w:rPr>
        <w:t>18</w:t>
      </w:r>
      <w:r w:rsidRPr="00B06ED2">
        <w:rPr>
          <w:color w:val="000000"/>
        </w:rPr>
        <w:t xml:space="preserve"> percent</w:t>
      </w:r>
      <w:r w:rsidR="0046340E">
        <w:rPr>
          <w:color w:val="000000"/>
        </w:rPr>
        <w:t>)</w:t>
      </w:r>
      <w:r>
        <w:rPr>
          <w:color w:val="000000"/>
        </w:rPr>
        <w:t>.</w:t>
      </w:r>
      <w:r w:rsidR="00CE7DEB">
        <w:rPr>
          <w:color w:val="000000"/>
        </w:rPr>
        <w:t xml:space="preserve"> </w:t>
      </w:r>
    </w:p>
    <w:p w14:paraId="1F4476C5" w14:textId="20860901" w:rsidR="00EA1079" w:rsidRDefault="00386049" w:rsidP="00374832">
      <w:pPr>
        <w:pStyle w:val="ListParagraph"/>
        <w:numPr>
          <w:ilvl w:val="0"/>
          <w:numId w:val="38"/>
        </w:numPr>
        <w:rPr>
          <w:color w:val="000000"/>
        </w:rPr>
      </w:pPr>
      <w:r w:rsidRPr="0018457D">
        <w:rPr>
          <w:color w:val="000000"/>
        </w:rPr>
        <w:lastRenderedPageBreak/>
        <w:t>In</w:t>
      </w:r>
      <w:r w:rsidR="00BE7775" w:rsidRPr="0018457D">
        <w:rPr>
          <w:color w:val="000000"/>
        </w:rPr>
        <w:t xml:space="preserve">crease </w:t>
      </w:r>
      <w:r w:rsidR="0042193D" w:rsidRPr="0018457D">
        <w:rPr>
          <w:color w:val="000000"/>
        </w:rPr>
        <w:t xml:space="preserve">the </w:t>
      </w:r>
      <w:r w:rsidRPr="0018457D">
        <w:rPr>
          <w:color w:val="000000"/>
        </w:rPr>
        <w:t>second block (600 - 3,000 cubic feet per month</w:t>
      </w:r>
      <w:r>
        <w:rPr>
          <w:rStyle w:val="FootnoteReference"/>
          <w:color w:val="000000"/>
        </w:rPr>
        <w:footnoteReference w:id="2"/>
      </w:r>
      <w:r w:rsidRPr="0018457D">
        <w:rPr>
          <w:color w:val="000000"/>
        </w:rPr>
        <w:t>)</w:t>
      </w:r>
      <w:r w:rsidR="00436288" w:rsidRPr="0018457D">
        <w:rPr>
          <w:color w:val="000000"/>
        </w:rPr>
        <w:t xml:space="preserve"> usage rate from $1.00 per 100 cubic feet to $1.15 per 100 cubic feet</w:t>
      </w:r>
      <w:r w:rsidR="002678F8">
        <w:rPr>
          <w:color w:val="000000"/>
        </w:rPr>
        <w:t xml:space="preserve"> (15 percent)</w:t>
      </w:r>
      <w:r w:rsidR="00436288" w:rsidRPr="0018457D">
        <w:rPr>
          <w:color w:val="000000"/>
        </w:rPr>
        <w:t>.</w:t>
      </w:r>
      <w:r w:rsidR="004B4548" w:rsidRPr="0018457D">
        <w:rPr>
          <w:color w:val="000000"/>
        </w:rPr>
        <w:t xml:space="preserve"> This </w:t>
      </w:r>
      <w:r w:rsidR="0042193D" w:rsidRPr="0018457D">
        <w:rPr>
          <w:color w:val="000000"/>
        </w:rPr>
        <w:t>increases the</w:t>
      </w:r>
      <w:r w:rsidR="004B4548" w:rsidRPr="0018457D">
        <w:rPr>
          <w:color w:val="000000"/>
        </w:rPr>
        <w:t xml:space="preserve"> </w:t>
      </w:r>
      <w:r w:rsidR="0046340E" w:rsidRPr="0018457D">
        <w:rPr>
          <w:color w:val="000000"/>
        </w:rPr>
        <w:t xml:space="preserve">spread </w:t>
      </w:r>
      <w:r w:rsidR="004B4548" w:rsidRPr="0018457D">
        <w:rPr>
          <w:color w:val="000000"/>
        </w:rPr>
        <w:t>between block</w:t>
      </w:r>
      <w:r w:rsidR="0046340E" w:rsidRPr="0018457D">
        <w:rPr>
          <w:color w:val="000000"/>
        </w:rPr>
        <w:t xml:space="preserve"> </w:t>
      </w:r>
      <w:r w:rsidR="0042193D" w:rsidRPr="0018457D">
        <w:rPr>
          <w:color w:val="000000"/>
        </w:rPr>
        <w:t>one</w:t>
      </w:r>
      <w:r w:rsidR="0046340E" w:rsidRPr="0018457D">
        <w:rPr>
          <w:color w:val="000000"/>
        </w:rPr>
        <w:t xml:space="preserve"> and block </w:t>
      </w:r>
      <w:r w:rsidR="0042193D" w:rsidRPr="0018457D">
        <w:rPr>
          <w:color w:val="000000"/>
        </w:rPr>
        <w:t>two</w:t>
      </w:r>
      <w:r w:rsidR="00052A2D">
        <w:rPr>
          <w:color w:val="000000"/>
        </w:rPr>
        <w:t xml:space="preserve"> usage rates</w:t>
      </w:r>
      <w:r w:rsidR="004B4548" w:rsidRPr="0018457D">
        <w:rPr>
          <w:color w:val="000000"/>
        </w:rPr>
        <w:t>.</w:t>
      </w:r>
    </w:p>
    <w:p w14:paraId="7C7B1688" w14:textId="77777777" w:rsidR="00BF0C3B" w:rsidRPr="0018457D" w:rsidRDefault="00BF0C3B" w:rsidP="0018457D">
      <w:pPr>
        <w:pStyle w:val="ListParagraph"/>
        <w:rPr>
          <w:color w:val="000000"/>
        </w:rPr>
      </w:pPr>
    </w:p>
    <w:p w14:paraId="185AE827" w14:textId="51142DAD" w:rsidR="00EA1079" w:rsidRDefault="00D27B1C" w:rsidP="00B06ED2">
      <w:pPr>
        <w:pStyle w:val="ListParagraph"/>
        <w:numPr>
          <w:ilvl w:val="0"/>
          <w:numId w:val="38"/>
        </w:numPr>
        <w:rPr>
          <w:color w:val="000000"/>
        </w:rPr>
      </w:pPr>
      <w:r>
        <w:rPr>
          <w:color w:val="000000"/>
        </w:rPr>
        <w:t>De</w:t>
      </w:r>
      <w:r w:rsidR="00EA1079" w:rsidRPr="00B717CC">
        <w:rPr>
          <w:color w:val="000000"/>
        </w:rPr>
        <w:t>crease</w:t>
      </w:r>
      <w:r w:rsidR="00EA1079" w:rsidRPr="00EA1079">
        <w:rPr>
          <w:color w:val="000000"/>
        </w:rPr>
        <w:t xml:space="preserve"> </w:t>
      </w:r>
      <w:r w:rsidR="0042193D">
        <w:rPr>
          <w:color w:val="000000"/>
        </w:rPr>
        <w:t xml:space="preserve">the </w:t>
      </w:r>
      <w:r w:rsidR="00EA1079">
        <w:rPr>
          <w:color w:val="000000"/>
        </w:rPr>
        <w:t xml:space="preserve">third block (more than </w:t>
      </w:r>
      <w:r w:rsidR="00EA1079" w:rsidRPr="00FC21F6">
        <w:rPr>
          <w:color w:val="000000"/>
        </w:rPr>
        <w:t>3,000 cubic feet per month</w:t>
      </w:r>
      <w:r w:rsidR="00386049">
        <w:rPr>
          <w:rStyle w:val="FootnoteReference"/>
          <w:color w:val="000000"/>
        </w:rPr>
        <w:t>1</w:t>
      </w:r>
      <w:r w:rsidR="00EA1079">
        <w:rPr>
          <w:color w:val="000000"/>
        </w:rPr>
        <w:t xml:space="preserve">) </w:t>
      </w:r>
      <w:r w:rsidR="0046340E">
        <w:rPr>
          <w:color w:val="000000"/>
        </w:rPr>
        <w:t xml:space="preserve">temporary </w:t>
      </w:r>
      <w:r w:rsidR="00EA1079">
        <w:rPr>
          <w:color w:val="000000"/>
        </w:rPr>
        <w:t xml:space="preserve">usage rate from </w:t>
      </w:r>
      <w:r w:rsidR="00EA1079" w:rsidRPr="00783599">
        <w:rPr>
          <w:color w:val="000000"/>
        </w:rPr>
        <w:t>$2.</w:t>
      </w:r>
      <w:r w:rsidR="00436288">
        <w:rPr>
          <w:color w:val="000000"/>
        </w:rPr>
        <w:t>71</w:t>
      </w:r>
      <w:r w:rsidR="00EA1079" w:rsidRPr="00783599">
        <w:rPr>
          <w:color w:val="000000"/>
        </w:rPr>
        <w:t xml:space="preserve"> per 100 cubic feet</w:t>
      </w:r>
      <w:r w:rsidR="00EA1079" w:rsidRPr="00C97860" w:rsidDel="00EA1079">
        <w:rPr>
          <w:color w:val="000000"/>
        </w:rPr>
        <w:t xml:space="preserve"> </w:t>
      </w:r>
      <w:r w:rsidR="00EA1079" w:rsidRPr="00783599">
        <w:rPr>
          <w:color w:val="000000"/>
        </w:rPr>
        <w:t>to $2.</w:t>
      </w:r>
      <w:r w:rsidR="00436288">
        <w:rPr>
          <w:color w:val="000000"/>
        </w:rPr>
        <w:t>42</w:t>
      </w:r>
      <w:r w:rsidR="00EA1079" w:rsidRPr="00783599">
        <w:rPr>
          <w:color w:val="000000"/>
        </w:rPr>
        <w:t xml:space="preserve"> </w:t>
      </w:r>
      <w:r w:rsidR="00EA1079" w:rsidRPr="00EA1079">
        <w:rPr>
          <w:color w:val="000000"/>
        </w:rPr>
        <w:t>per 100 cubic feet</w:t>
      </w:r>
      <w:r w:rsidR="0046340E">
        <w:rPr>
          <w:color w:val="000000"/>
        </w:rPr>
        <w:t xml:space="preserve"> (</w:t>
      </w:r>
      <w:r w:rsidR="00AC695A">
        <w:rPr>
          <w:color w:val="000000"/>
        </w:rPr>
        <w:t>-10.</w:t>
      </w:r>
      <w:r w:rsidR="00374832">
        <w:rPr>
          <w:color w:val="000000"/>
        </w:rPr>
        <w:t>7</w:t>
      </w:r>
      <w:r w:rsidR="0046340E">
        <w:rPr>
          <w:color w:val="000000"/>
        </w:rPr>
        <w:t xml:space="preserve"> percent)</w:t>
      </w:r>
      <w:r w:rsidR="00EA1079" w:rsidRPr="004D21DD">
        <w:rPr>
          <w:color w:val="000000"/>
        </w:rPr>
        <w:t>.</w:t>
      </w:r>
      <w:r w:rsidR="004B4548">
        <w:rPr>
          <w:color w:val="000000"/>
        </w:rPr>
        <w:t xml:space="preserve"> This </w:t>
      </w:r>
      <w:r w:rsidR="0042193D">
        <w:rPr>
          <w:color w:val="000000"/>
        </w:rPr>
        <w:t xml:space="preserve">decreases </w:t>
      </w:r>
      <w:r w:rsidR="004B4548">
        <w:rPr>
          <w:color w:val="000000"/>
        </w:rPr>
        <w:t xml:space="preserve">the </w:t>
      </w:r>
      <w:r w:rsidR="0042193D">
        <w:rPr>
          <w:color w:val="000000"/>
        </w:rPr>
        <w:t xml:space="preserve">spread </w:t>
      </w:r>
      <w:r w:rsidR="004B4548">
        <w:rPr>
          <w:color w:val="000000"/>
        </w:rPr>
        <w:t xml:space="preserve">between block two and </w:t>
      </w:r>
      <w:r w:rsidR="0042193D">
        <w:rPr>
          <w:color w:val="000000"/>
        </w:rPr>
        <w:t>block t</w:t>
      </w:r>
      <w:r w:rsidR="004B4548">
        <w:rPr>
          <w:color w:val="000000"/>
        </w:rPr>
        <w:t>hree</w:t>
      </w:r>
      <w:r w:rsidR="00052A2D">
        <w:rPr>
          <w:color w:val="000000"/>
        </w:rPr>
        <w:t xml:space="preserve"> usage rates</w:t>
      </w:r>
      <w:r w:rsidR="004B4548">
        <w:rPr>
          <w:color w:val="000000"/>
        </w:rPr>
        <w:t>.</w:t>
      </w:r>
    </w:p>
    <w:p w14:paraId="4AFAE237" w14:textId="77777777" w:rsidR="002D357E" w:rsidRDefault="002D357E" w:rsidP="00436288">
      <w:pPr>
        <w:rPr>
          <w:color w:val="000000"/>
        </w:rPr>
      </w:pPr>
    </w:p>
    <w:p w14:paraId="201349AC" w14:textId="1212F26A" w:rsidR="00386049" w:rsidRDefault="00BF0C3B" w:rsidP="00436288">
      <w:pPr>
        <w:rPr>
          <w:color w:val="000000"/>
        </w:rPr>
      </w:pPr>
      <w:r>
        <w:rPr>
          <w:color w:val="000000"/>
        </w:rPr>
        <w:t>The revised rate design provides a more equal distribution of the revenue requirement from a b</w:t>
      </w:r>
      <w:r w:rsidR="00BA5FEB">
        <w:rPr>
          <w:color w:val="000000"/>
        </w:rPr>
        <w:t>r</w:t>
      </w:r>
      <w:r>
        <w:rPr>
          <w:color w:val="000000"/>
        </w:rPr>
        <w:t>oader customer base, would generate the additional revenue requirement, and promote</w:t>
      </w:r>
      <w:r w:rsidR="0018457D">
        <w:rPr>
          <w:color w:val="000000"/>
        </w:rPr>
        <w:t>s</w:t>
      </w:r>
      <w:r>
        <w:rPr>
          <w:color w:val="000000"/>
        </w:rPr>
        <w:t xml:space="preserve"> conservation in the second and third </w:t>
      </w:r>
      <w:r w:rsidR="00E63C59">
        <w:rPr>
          <w:color w:val="000000"/>
        </w:rPr>
        <w:t xml:space="preserve">usage </w:t>
      </w:r>
      <w:r>
        <w:rPr>
          <w:color w:val="000000"/>
        </w:rPr>
        <w:t xml:space="preserve">blocks. </w:t>
      </w:r>
      <w:r w:rsidR="0018457D">
        <w:rPr>
          <w:color w:val="000000"/>
        </w:rPr>
        <w:t xml:space="preserve">Staff thinks the revised rate design </w:t>
      </w:r>
      <w:r w:rsidR="00374832">
        <w:rPr>
          <w:color w:val="000000"/>
        </w:rPr>
        <w:t>would</w:t>
      </w:r>
      <w:r w:rsidR="0018457D">
        <w:rPr>
          <w:color w:val="000000"/>
        </w:rPr>
        <w:t xml:space="preserve"> reduce peaking water usage in the summer months and reduce the amount of water Rainier View must purchase </w:t>
      </w:r>
      <w:r w:rsidR="00E63C59">
        <w:rPr>
          <w:color w:val="000000"/>
        </w:rPr>
        <w:t xml:space="preserve">at increased costs </w:t>
      </w:r>
      <w:r w:rsidR="0018457D">
        <w:rPr>
          <w:color w:val="000000"/>
        </w:rPr>
        <w:t>from Tacoma Water.</w:t>
      </w:r>
    </w:p>
    <w:p w14:paraId="28B0B663" w14:textId="77777777" w:rsidR="00DC1F19" w:rsidRDefault="00DC1F19" w:rsidP="00436288"/>
    <w:p w14:paraId="01393770" w14:textId="6092BD00" w:rsidR="00A6370F" w:rsidRPr="00436288" w:rsidRDefault="00DC1F19" w:rsidP="00436288">
      <w:pPr>
        <w:rPr>
          <w:color w:val="000000"/>
        </w:rPr>
      </w:pPr>
      <w:r>
        <w:t xml:space="preserve">Although the parties </w:t>
      </w:r>
      <w:r w:rsidR="007E6BA7">
        <w:t xml:space="preserve">still </w:t>
      </w:r>
      <w:r>
        <w:t>disagree on some issues (e.g. the effect of the 2003 Agreement), no party opposes the proposed revised rate design to resolve this docket.</w:t>
      </w:r>
    </w:p>
    <w:p w14:paraId="100DE8F4" w14:textId="77777777" w:rsidR="00DC1F19" w:rsidRDefault="00DC1F19">
      <w:pPr>
        <w:rPr>
          <w:b/>
          <w:u w:val="single"/>
        </w:rPr>
      </w:pPr>
    </w:p>
    <w:p w14:paraId="208A893F" w14:textId="6969E1DD" w:rsidR="00A6370F" w:rsidRDefault="00A6370F">
      <w:pPr>
        <w:rPr>
          <w:b/>
          <w:u w:val="single"/>
        </w:rPr>
      </w:pPr>
      <w:r>
        <w:rPr>
          <w:b/>
          <w:u w:val="single"/>
        </w:rPr>
        <w:t>Customer Comments</w:t>
      </w:r>
    </w:p>
    <w:p w14:paraId="0B10804F" w14:textId="77777777" w:rsidR="00A6370F" w:rsidRDefault="00A6370F" w:rsidP="00A6370F">
      <w:pPr>
        <w:rPr>
          <w:color w:val="000000"/>
        </w:rPr>
      </w:pPr>
    </w:p>
    <w:p w14:paraId="71E75B29" w14:textId="77777777" w:rsidR="00A6370F" w:rsidRDefault="00A6370F" w:rsidP="00A6370F">
      <w:pPr>
        <w:rPr>
          <w:sz w:val="20"/>
          <w:szCs w:val="20"/>
          <w:lang w:bidi="ar-SA"/>
        </w:rPr>
      </w:pPr>
      <w:r>
        <w:rPr>
          <w:color w:val="000000"/>
        </w:rPr>
        <w:lastRenderedPageBreak/>
        <w:t>On June 30, 2014, the company notified its customers by mail of the proposed rate increase. Customers were notified they may access relevant documents about this rate increase on the commission’s website, and that they may contact John Cupp at 1-888-333-9882 or jcupp@utc.wa.gov with questions or concerns. Staff received three consumer comments opposed to the rate increase.</w:t>
      </w:r>
    </w:p>
    <w:p w14:paraId="53A13585" w14:textId="77777777" w:rsidR="00A6370F" w:rsidRDefault="00A6370F" w:rsidP="00A6370F"/>
    <w:p w14:paraId="6A8F1272" w14:textId="77777777" w:rsidR="00A6370F" w:rsidRDefault="00A6370F" w:rsidP="00A6370F">
      <w:r>
        <w:rPr>
          <w:b/>
          <w:color w:val="000000"/>
        </w:rPr>
        <w:t>General Comments</w:t>
      </w:r>
    </w:p>
    <w:p w14:paraId="6366729B" w14:textId="77777777" w:rsidR="00A6370F" w:rsidRDefault="00A6370F" w:rsidP="00A6370F">
      <w:pPr>
        <w:rPr>
          <w:color w:val="000000"/>
        </w:rPr>
      </w:pPr>
    </w:p>
    <w:p w14:paraId="2F0E8287" w14:textId="5F83E5B2" w:rsidR="00A6370F" w:rsidRPr="00A6370F" w:rsidRDefault="00A6370F" w:rsidP="00A6370F">
      <w:pPr>
        <w:rPr>
          <w:color w:val="000000"/>
        </w:rPr>
      </w:pPr>
      <w:r w:rsidRPr="00A6370F">
        <w:rPr>
          <w:color w:val="000000"/>
        </w:rPr>
        <w:t>Through its attorney, Bethel School District commented on several issues and opposed the initial rate design. Another customer believes that the increase targets those who use more water and it is unfair to target these customers. One customer believes the proposed increase amount is excessive.</w:t>
      </w:r>
      <w:r>
        <w:rPr>
          <w:color w:val="000000"/>
        </w:rPr>
        <w:t xml:space="preserve"> No additional comments have been received except the discussions noted with Bethel.</w:t>
      </w:r>
    </w:p>
    <w:p w14:paraId="5AB2321C" w14:textId="1C9B30CE" w:rsidR="004B4548" w:rsidRDefault="004B4548">
      <w:pPr>
        <w:rPr>
          <w:color w:val="000000"/>
        </w:rPr>
      </w:pPr>
      <w:r>
        <w:rPr>
          <w:color w:val="000000"/>
        </w:rPr>
        <w:br w:type="page"/>
      </w:r>
    </w:p>
    <w:p w14:paraId="7C143837" w14:textId="3709FD4A" w:rsidR="00FA19D0" w:rsidRDefault="00FA19D0" w:rsidP="0067486D">
      <w:pPr>
        <w:jc w:val="center"/>
        <w:rPr>
          <w:b/>
          <w:u w:val="single"/>
        </w:rPr>
      </w:pPr>
      <w:r w:rsidRPr="00ED617B">
        <w:rPr>
          <w:b/>
          <w:u w:val="single"/>
        </w:rPr>
        <w:lastRenderedPageBreak/>
        <w:t>Rate Comparison</w:t>
      </w:r>
    </w:p>
    <w:p w14:paraId="41120C15" w14:textId="76594763" w:rsidR="00D30C52" w:rsidRDefault="00705BBD" w:rsidP="00FA19D0">
      <w:pPr>
        <w:jc w:val="center"/>
        <w:rPr>
          <w:b/>
          <w:u w:val="single"/>
        </w:rPr>
      </w:pPr>
      <w:r>
        <w:rPr>
          <w:b/>
          <w:u w:val="single"/>
        </w:rPr>
        <w:t xml:space="preserve">(Both Residential </w:t>
      </w:r>
      <w:r w:rsidR="00972EE7">
        <w:rPr>
          <w:b/>
          <w:u w:val="single"/>
        </w:rPr>
        <w:t>and</w:t>
      </w:r>
      <w:r>
        <w:rPr>
          <w:b/>
          <w:u w:val="single"/>
        </w:rPr>
        <w:t xml:space="preserve"> Non-Residential)</w:t>
      </w:r>
    </w:p>
    <w:p w14:paraId="2EBD8A92" w14:textId="77777777" w:rsidR="00FA19D0" w:rsidRDefault="00FA19D0" w:rsidP="00FA19D0">
      <w:pPr>
        <w:jc w:val="center"/>
        <w:rPr>
          <w:b/>
          <w:u w:val="single"/>
        </w:rPr>
      </w:pPr>
    </w:p>
    <w:tbl>
      <w:tblPr>
        <w:tblStyle w:val="TableGrid"/>
        <w:tblW w:w="0" w:type="auto"/>
        <w:tblInd w:w="-5" w:type="dxa"/>
        <w:tblLook w:val="04A0" w:firstRow="1" w:lastRow="0" w:firstColumn="1" w:lastColumn="0" w:noHBand="0" w:noVBand="1"/>
      </w:tblPr>
      <w:tblGrid>
        <w:gridCol w:w="3870"/>
        <w:gridCol w:w="1710"/>
        <w:gridCol w:w="1980"/>
        <w:gridCol w:w="1795"/>
      </w:tblGrid>
      <w:tr w:rsidR="002D013F" w:rsidRPr="006B166F" w14:paraId="52866DE0" w14:textId="77777777" w:rsidTr="00B1560C">
        <w:tc>
          <w:tcPr>
            <w:tcW w:w="3870" w:type="dxa"/>
            <w:tcBorders>
              <w:bottom w:val="single" w:sz="4" w:space="0" w:color="auto"/>
            </w:tcBorders>
            <w:vAlign w:val="center"/>
          </w:tcPr>
          <w:p w14:paraId="3879CECB" w14:textId="77777777" w:rsidR="002D013F" w:rsidRPr="006B166F" w:rsidRDefault="002D013F" w:rsidP="00E03508">
            <w:pPr>
              <w:jc w:val="center"/>
              <w:rPr>
                <w:b/>
              </w:rPr>
            </w:pPr>
            <w:r w:rsidRPr="006B166F">
              <w:rPr>
                <w:b/>
              </w:rPr>
              <w:t>Monthly Rate</w:t>
            </w:r>
          </w:p>
        </w:tc>
        <w:tc>
          <w:tcPr>
            <w:tcW w:w="1710" w:type="dxa"/>
            <w:shd w:val="pct10" w:color="auto" w:fill="auto"/>
            <w:vAlign w:val="center"/>
          </w:tcPr>
          <w:p w14:paraId="33FF0DB9" w14:textId="66ACCB30" w:rsidR="002D013F" w:rsidRPr="006B166F" w:rsidRDefault="00386049" w:rsidP="00E03508">
            <w:pPr>
              <w:jc w:val="center"/>
              <w:rPr>
                <w:b/>
              </w:rPr>
            </w:pPr>
            <w:r>
              <w:rPr>
                <w:b/>
              </w:rPr>
              <w:t>Previous</w:t>
            </w:r>
            <w:r w:rsidR="002D013F" w:rsidRPr="006B166F">
              <w:rPr>
                <w:b/>
              </w:rPr>
              <w:t xml:space="preserve"> Rate</w:t>
            </w:r>
          </w:p>
        </w:tc>
        <w:tc>
          <w:tcPr>
            <w:tcW w:w="1980" w:type="dxa"/>
            <w:shd w:val="pct10" w:color="auto" w:fill="auto"/>
          </w:tcPr>
          <w:p w14:paraId="79734A18" w14:textId="0F2B7296" w:rsidR="002D013F" w:rsidRPr="006B166F" w:rsidRDefault="00386049" w:rsidP="00E03508">
            <w:pPr>
              <w:jc w:val="center"/>
              <w:rPr>
                <w:b/>
              </w:rPr>
            </w:pPr>
            <w:r>
              <w:rPr>
                <w:b/>
              </w:rPr>
              <w:t>Temporary</w:t>
            </w:r>
            <w:r w:rsidR="002D013F">
              <w:rPr>
                <w:b/>
              </w:rPr>
              <w:t xml:space="preserve"> Rate</w:t>
            </w:r>
          </w:p>
        </w:tc>
        <w:tc>
          <w:tcPr>
            <w:tcW w:w="1795" w:type="dxa"/>
            <w:shd w:val="pct10" w:color="auto" w:fill="auto"/>
          </w:tcPr>
          <w:p w14:paraId="5ABE5317" w14:textId="4BF6E126" w:rsidR="002D013F" w:rsidRPr="006B166F" w:rsidRDefault="00E50801" w:rsidP="00E03508">
            <w:pPr>
              <w:jc w:val="center"/>
              <w:rPr>
                <w:b/>
              </w:rPr>
            </w:pPr>
            <w:r>
              <w:rPr>
                <w:b/>
              </w:rPr>
              <w:t>Revi</w:t>
            </w:r>
            <w:r w:rsidR="002D013F" w:rsidRPr="006B166F">
              <w:rPr>
                <w:b/>
              </w:rPr>
              <w:t>sed</w:t>
            </w:r>
            <w:r w:rsidR="002D013F">
              <w:rPr>
                <w:b/>
              </w:rPr>
              <w:t xml:space="preserve"> Rate</w:t>
            </w:r>
          </w:p>
        </w:tc>
      </w:tr>
      <w:tr w:rsidR="002D013F" w:rsidRPr="006B166F" w14:paraId="7115BD51" w14:textId="77777777" w:rsidTr="00B1560C">
        <w:tc>
          <w:tcPr>
            <w:tcW w:w="3870" w:type="dxa"/>
            <w:shd w:val="clear" w:color="auto" w:fill="auto"/>
          </w:tcPr>
          <w:p w14:paraId="0A320006" w14:textId="7F0EF527" w:rsidR="002D013F" w:rsidRPr="006B166F" w:rsidRDefault="002D013F" w:rsidP="00E03508">
            <w:r>
              <w:t>Base Rate, 3/4–Inch Meter</w:t>
            </w:r>
            <w:r w:rsidRPr="00570F2C">
              <w:rPr>
                <w:vertAlign w:val="superscript"/>
              </w:rPr>
              <w:t>1</w:t>
            </w:r>
          </w:p>
        </w:tc>
        <w:tc>
          <w:tcPr>
            <w:tcW w:w="1710" w:type="dxa"/>
          </w:tcPr>
          <w:p w14:paraId="3B378AE5" w14:textId="3497FAF2" w:rsidR="002D013F" w:rsidRPr="006B166F" w:rsidRDefault="002D013F" w:rsidP="00E55F48">
            <w:pPr>
              <w:jc w:val="center"/>
            </w:pPr>
            <w:r>
              <w:t>$13.90</w:t>
            </w:r>
          </w:p>
        </w:tc>
        <w:tc>
          <w:tcPr>
            <w:tcW w:w="1980" w:type="dxa"/>
          </w:tcPr>
          <w:p w14:paraId="140017BA" w14:textId="5CD8B3F4" w:rsidR="002D013F" w:rsidRPr="00362D86" w:rsidRDefault="0090228D" w:rsidP="00386049">
            <w:pPr>
              <w:jc w:val="center"/>
            </w:pPr>
            <w:r>
              <w:t>$1</w:t>
            </w:r>
            <w:r w:rsidR="00386049">
              <w:t>4.21</w:t>
            </w:r>
          </w:p>
        </w:tc>
        <w:tc>
          <w:tcPr>
            <w:tcW w:w="1795" w:type="dxa"/>
          </w:tcPr>
          <w:p w14:paraId="5CD84D2E" w14:textId="5E12ACED" w:rsidR="002D013F" w:rsidRPr="006B166F" w:rsidRDefault="002D013F" w:rsidP="00386049">
            <w:pPr>
              <w:jc w:val="center"/>
            </w:pPr>
            <w:r w:rsidRPr="00362D86">
              <w:t>$</w:t>
            </w:r>
            <w:r w:rsidR="0067486D">
              <w:t>1</w:t>
            </w:r>
            <w:r w:rsidR="00386049">
              <w:t>3.90</w:t>
            </w:r>
          </w:p>
        </w:tc>
      </w:tr>
      <w:tr w:rsidR="002D013F" w:rsidRPr="006B166F" w14:paraId="0CB0151E" w14:textId="77777777" w:rsidTr="00B1560C">
        <w:tc>
          <w:tcPr>
            <w:tcW w:w="3870" w:type="dxa"/>
          </w:tcPr>
          <w:p w14:paraId="6A0CC3EF" w14:textId="162F4A8C" w:rsidR="002D013F" w:rsidRPr="006B166F" w:rsidRDefault="002D013F" w:rsidP="001925EF">
            <w:r>
              <w:t>0 – 600 CF</w:t>
            </w:r>
            <w:r w:rsidRPr="00F04C34">
              <w:rPr>
                <w:vertAlign w:val="superscript"/>
              </w:rPr>
              <w:t>2</w:t>
            </w:r>
            <w:r>
              <w:t>, Per CCF</w:t>
            </w:r>
            <w:r w:rsidRPr="00F04C34">
              <w:rPr>
                <w:vertAlign w:val="superscript"/>
              </w:rPr>
              <w:t>3</w:t>
            </w:r>
          </w:p>
        </w:tc>
        <w:tc>
          <w:tcPr>
            <w:tcW w:w="1710" w:type="dxa"/>
          </w:tcPr>
          <w:p w14:paraId="06C59D3E" w14:textId="1F43D9A0" w:rsidR="002D013F" w:rsidRPr="006B166F" w:rsidRDefault="002D013F" w:rsidP="001925EF">
            <w:pPr>
              <w:jc w:val="center"/>
            </w:pPr>
            <w:r>
              <w:t>$.94</w:t>
            </w:r>
          </w:p>
        </w:tc>
        <w:tc>
          <w:tcPr>
            <w:tcW w:w="1980" w:type="dxa"/>
          </w:tcPr>
          <w:p w14:paraId="70628939" w14:textId="3A6A9445" w:rsidR="002D013F" w:rsidRDefault="002D013F" w:rsidP="001925EF">
            <w:pPr>
              <w:jc w:val="center"/>
            </w:pPr>
            <w:r>
              <w:t>$.94</w:t>
            </w:r>
          </w:p>
        </w:tc>
        <w:tc>
          <w:tcPr>
            <w:tcW w:w="1795" w:type="dxa"/>
          </w:tcPr>
          <w:p w14:paraId="662DF8D6" w14:textId="629B06D8" w:rsidR="002D013F" w:rsidRPr="006B166F" w:rsidRDefault="002D013F" w:rsidP="001925EF">
            <w:pPr>
              <w:jc w:val="center"/>
            </w:pPr>
            <w:r>
              <w:t>$.94</w:t>
            </w:r>
          </w:p>
        </w:tc>
      </w:tr>
      <w:tr w:rsidR="002D013F" w:rsidRPr="006B166F" w14:paraId="119D0AB1" w14:textId="77777777" w:rsidTr="00B1560C">
        <w:tc>
          <w:tcPr>
            <w:tcW w:w="3870" w:type="dxa"/>
          </w:tcPr>
          <w:p w14:paraId="5A26DE8A" w14:textId="0FD103B8" w:rsidR="002D013F" w:rsidRPr="006B166F" w:rsidRDefault="002D013F" w:rsidP="001925EF">
            <w:r>
              <w:t>601</w:t>
            </w:r>
            <w:r w:rsidRPr="006B166F">
              <w:t xml:space="preserve"> </w:t>
            </w:r>
            <w:r>
              <w:t>–</w:t>
            </w:r>
            <w:r w:rsidRPr="006B166F">
              <w:t xml:space="preserve"> </w:t>
            </w:r>
            <w:r>
              <w:t>3,000</w:t>
            </w:r>
            <w:r w:rsidRPr="006B166F">
              <w:t xml:space="preserve"> CF, Per CCF</w:t>
            </w:r>
          </w:p>
        </w:tc>
        <w:tc>
          <w:tcPr>
            <w:tcW w:w="1710" w:type="dxa"/>
          </w:tcPr>
          <w:p w14:paraId="20342848" w14:textId="23E8FF3B" w:rsidR="002D013F" w:rsidRPr="006B166F" w:rsidRDefault="002D013F" w:rsidP="001925EF">
            <w:pPr>
              <w:jc w:val="center"/>
            </w:pPr>
            <w:r>
              <w:t>$1.00</w:t>
            </w:r>
          </w:p>
        </w:tc>
        <w:tc>
          <w:tcPr>
            <w:tcW w:w="1980" w:type="dxa"/>
          </w:tcPr>
          <w:p w14:paraId="54BCF4F3" w14:textId="25C6DE6E" w:rsidR="002D013F" w:rsidRPr="006B166F" w:rsidRDefault="002D013F" w:rsidP="001925EF">
            <w:pPr>
              <w:jc w:val="center"/>
            </w:pPr>
            <w:r>
              <w:t>$1.00</w:t>
            </w:r>
          </w:p>
        </w:tc>
        <w:tc>
          <w:tcPr>
            <w:tcW w:w="1795" w:type="dxa"/>
          </w:tcPr>
          <w:p w14:paraId="0BFA04F6" w14:textId="4EB2B62E" w:rsidR="002D013F" w:rsidRPr="006B166F" w:rsidRDefault="002D013F" w:rsidP="00386049">
            <w:pPr>
              <w:jc w:val="center"/>
            </w:pPr>
            <w:r w:rsidRPr="006B166F">
              <w:t>$</w:t>
            </w:r>
            <w:r>
              <w:t>1.</w:t>
            </w:r>
            <w:r w:rsidR="00386049">
              <w:t>15</w:t>
            </w:r>
          </w:p>
        </w:tc>
      </w:tr>
      <w:tr w:rsidR="002D013F" w:rsidRPr="006B166F" w14:paraId="7A79C9D2" w14:textId="77777777" w:rsidTr="00B1560C">
        <w:tc>
          <w:tcPr>
            <w:tcW w:w="3870" w:type="dxa"/>
          </w:tcPr>
          <w:p w14:paraId="50AFDA0D" w14:textId="219759D1" w:rsidR="002D013F" w:rsidRPr="006B166F" w:rsidRDefault="002D013F" w:rsidP="001925EF">
            <w:r>
              <w:t>Over 3,000</w:t>
            </w:r>
            <w:r w:rsidRPr="006B166F">
              <w:t xml:space="preserve"> CF</w:t>
            </w:r>
            <w:r>
              <w:t>,</w:t>
            </w:r>
            <w:r w:rsidRPr="006B166F">
              <w:t xml:space="preserve"> Per CCF </w:t>
            </w:r>
          </w:p>
        </w:tc>
        <w:tc>
          <w:tcPr>
            <w:tcW w:w="1710" w:type="dxa"/>
          </w:tcPr>
          <w:p w14:paraId="054D15F1" w14:textId="7BFFB608" w:rsidR="002D013F" w:rsidRPr="006B166F" w:rsidRDefault="002D013F" w:rsidP="001925EF">
            <w:pPr>
              <w:jc w:val="center"/>
            </w:pPr>
            <w:r w:rsidRPr="006B166F">
              <w:t>$</w:t>
            </w:r>
            <w:r>
              <w:t>2.05</w:t>
            </w:r>
          </w:p>
        </w:tc>
        <w:tc>
          <w:tcPr>
            <w:tcW w:w="1980" w:type="dxa"/>
          </w:tcPr>
          <w:p w14:paraId="61FBA825" w14:textId="7B662644" w:rsidR="002D013F" w:rsidRDefault="002D013F" w:rsidP="00386049">
            <w:pPr>
              <w:jc w:val="center"/>
            </w:pPr>
            <w:r>
              <w:t>$2.</w:t>
            </w:r>
            <w:r w:rsidR="00386049">
              <w:t>71</w:t>
            </w:r>
          </w:p>
        </w:tc>
        <w:tc>
          <w:tcPr>
            <w:tcW w:w="1795" w:type="dxa"/>
          </w:tcPr>
          <w:p w14:paraId="794F83A2" w14:textId="769A3588" w:rsidR="002D013F" w:rsidRPr="006B166F" w:rsidRDefault="00B23AFE" w:rsidP="00386049">
            <w:pPr>
              <w:jc w:val="center"/>
            </w:pPr>
            <w:r>
              <w:t>$</w:t>
            </w:r>
            <w:r w:rsidR="00386049">
              <w:t>2.4</w:t>
            </w:r>
            <w:r w:rsidR="00436288">
              <w:t>2</w:t>
            </w:r>
          </w:p>
        </w:tc>
      </w:tr>
    </w:tbl>
    <w:p w14:paraId="16299A8D" w14:textId="3A66EF35" w:rsidR="00570F2C" w:rsidRPr="00570F2C" w:rsidRDefault="00570F2C"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sidRPr="00570F2C">
        <w:rPr>
          <w:rFonts w:eastAsia="Times New Roman"/>
          <w:sz w:val="18"/>
          <w:szCs w:val="18"/>
        </w:rPr>
        <w:t>1 – Based on 3/4-inch meter classification, see company’s tariff for upsize meter classification</w:t>
      </w:r>
      <w:r w:rsidR="00F04C34">
        <w:rPr>
          <w:rFonts w:eastAsia="Times New Roman"/>
          <w:sz w:val="18"/>
          <w:szCs w:val="18"/>
        </w:rPr>
        <w:t>s</w:t>
      </w:r>
      <w:r w:rsidRPr="00570F2C">
        <w:rPr>
          <w:rFonts w:eastAsia="Times New Roman"/>
          <w:sz w:val="18"/>
          <w:szCs w:val="18"/>
        </w:rPr>
        <w:t>, usage blocks and rates.</w:t>
      </w:r>
    </w:p>
    <w:p w14:paraId="7E7E4D05" w14:textId="38D07626" w:rsidR="0042193D" w:rsidRDefault="00F04C34"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Pr>
          <w:rFonts w:eastAsia="Times New Roman"/>
          <w:sz w:val="18"/>
          <w:szCs w:val="18"/>
        </w:rPr>
        <w:t>2</w:t>
      </w:r>
      <w:r w:rsidR="00FA19D0" w:rsidRPr="00570F2C">
        <w:rPr>
          <w:rFonts w:eastAsia="Times New Roman"/>
          <w:sz w:val="18"/>
          <w:szCs w:val="18"/>
        </w:rPr>
        <w:t xml:space="preserve"> </w:t>
      </w:r>
      <w:r>
        <w:rPr>
          <w:rFonts w:eastAsia="Times New Roman"/>
          <w:sz w:val="18"/>
          <w:szCs w:val="18"/>
        </w:rPr>
        <w:t xml:space="preserve">- </w:t>
      </w:r>
      <w:r w:rsidR="00FA19D0" w:rsidRPr="00570F2C">
        <w:rPr>
          <w:rFonts w:eastAsia="Times New Roman"/>
          <w:sz w:val="18"/>
          <w:szCs w:val="18"/>
        </w:rPr>
        <w:t>CF – Cubic Feet</w:t>
      </w:r>
    </w:p>
    <w:p w14:paraId="04C77B33" w14:textId="30517209" w:rsidR="00FA19D0" w:rsidRPr="00570F2C" w:rsidRDefault="00F04C34"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Pr>
          <w:rFonts w:eastAsia="Times New Roman"/>
          <w:sz w:val="18"/>
          <w:szCs w:val="18"/>
        </w:rPr>
        <w:t xml:space="preserve">3 - </w:t>
      </w:r>
      <w:r w:rsidRPr="00570F2C">
        <w:rPr>
          <w:rFonts w:eastAsia="Times New Roman"/>
          <w:sz w:val="18"/>
          <w:szCs w:val="18"/>
        </w:rPr>
        <w:t>CCF</w:t>
      </w:r>
      <w:r w:rsidR="00353F90">
        <w:rPr>
          <w:rFonts w:eastAsia="Times New Roman"/>
          <w:sz w:val="18"/>
          <w:szCs w:val="18"/>
        </w:rPr>
        <w:t xml:space="preserve"> - 100 Cubic Feet.</w:t>
      </w:r>
    </w:p>
    <w:p w14:paraId="6CA03B9E" w14:textId="77777777" w:rsidR="000B42B1" w:rsidRDefault="000B42B1" w:rsidP="000B42B1"/>
    <w:p w14:paraId="09D8CB20" w14:textId="77777777" w:rsidR="000B42B1" w:rsidRPr="00F13BA9" w:rsidRDefault="000B42B1" w:rsidP="000B42B1">
      <w:pPr>
        <w:jc w:val="center"/>
      </w:pPr>
      <w:r>
        <w:rPr>
          <w:b/>
          <w:u w:val="single"/>
        </w:rPr>
        <w:t>Monthly</w:t>
      </w:r>
      <w:r w:rsidRPr="00F13BA9">
        <w:rPr>
          <w:b/>
          <w:u w:val="single"/>
        </w:rPr>
        <w:t xml:space="preserve"> </w:t>
      </w:r>
      <w:r>
        <w:rPr>
          <w:b/>
          <w:u w:val="single"/>
        </w:rPr>
        <w:t xml:space="preserve">Residential </w:t>
      </w:r>
      <w:r w:rsidRPr="00F13BA9">
        <w:rPr>
          <w:b/>
          <w:u w:val="single"/>
        </w:rPr>
        <w:t>Bill Comparison</w:t>
      </w:r>
    </w:p>
    <w:p w14:paraId="5CF52EBD" w14:textId="77777777" w:rsidR="000B42B1" w:rsidRPr="00F13BA9" w:rsidRDefault="000B42B1" w:rsidP="000B42B1">
      <w:pPr>
        <w:jc w:val="center"/>
      </w:pPr>
    </w:p>
    <w:tbl>
      <w:tblPr>
        <w:tblStyle w:val="TableGrid"/>
        <w:tblW w:w="0" w:type="auto"/>
        <w:jc w:val="center"/>
        <w:tblLook w:val="04A0" w:firstRow="1" w:lastRow="0" w:firstColumn="1" w:lastColumn="0" w:noHBand="0" w:noVBand="1"/>
      </w:tblPr>
      <w:tblGrid>
        <w:gridCol w:w="3865"/>
        <w:gridCol w:w="1717"/>
        <w:gridCol w:w="1973"/>
        <w:gridCol w:w="1795"/>
      </w:tblGrid>
      <w:tr w:rsidR="000B42B1" w:rsidRPr="00F13BA9" w14:paraId="5BC9F741" w14:textId="77777777" w:rsidTr="000B42B1">
        <w:trPr>
          <w:jc w:val="center"/>
        </w:trPr>
        <w:tc>
          <w:tcPr>
            <w:tcW w:w="3865" w:type="dxa"/>
            <w:tcBorders>
              <w:bottom w:val="single" w:sz="4" w:space="0" w:color="auto"/>
            </w:tcBorders>
            <w:shd w:val="clear" w:color="auto" w:fill="auto"/>
          </w:tcPr>
          <w:p w14:paraId="450EF7A1" w14:textId="77777777" w:rsidR="000B42B1" w:rsidRPr="00F13BA9" w:rsidRDefault="000B42B1" w:rsidP="00273E3E">
            <w:pPr>
              <w:rPr>
                <w:b/>
              </w:rPr>
            </w:pPr>
            <w:r w:rsidRPr="00F13BA9">
              <w:rPr>
                <w:b/>
              </w:rPr>
              <w:t xml:space="preserve">Monthly </w:t>
            </w:r>
            <w:r>
              <w:rPr>
                <w:b/>
              </w:rPr>
              <w:t>Average 877 Cubic Feet</w:t>
            </w:r>
          </w:p>
        </w:tc>
        <w:tc>
          <w:tcPr>
            <w:tcW w:w="1717" w:type="dxa"/>
            <w:shd w:val="pct10" w:color="auto" w:fill="auto"/>
          </w:tcPr>
          <w:p w14:paraId="6A3EB5B3" w14:textId="3AFBD8C0" w:rsidR="000B42B1" w:rsidRPr="00F13BA9" w:rsidRDefault="000B42B1" w:rsidP="000B42B1">
            <w:pPr>
              <w:jc w:val="center"/>
              <w:rPr>
                <w:b/>
              </w:rPr>
            </w:pPr>
            <w:r>
              <w:rPr>
                <w:b/>
              </w:rPr>
              <w:t>Previous</w:t>
            </w:r>
            <w:r w:rsidRPr="00F13BA9">
              <w:rPr>
                <w:b/>
              </w:rPr>
              <w:t xml:space="preserve"> Rate</w:t>
            </w:r>
          </w:p>
        </w:tc>
        <w:tc>
          <w:tcPr>
            <w:tcW w:w="1973" w:type="dxa"/>
            <w:shd w:val="pct10" w:color="auto" w:fill="auto"/>
          </w:tcPr>
          <w:p w14:paraId="02CD888B" w14:textId="28D96178" w:rsidR="000B42B1" w:rsidRPr="00F13BA9" w:rsidRDefault="000B42B1" w:rsidP="00273E3E">
            <w:pPr>
              <w:jc w:val="center"/>
              <w:rPr>
                <w:b/>
              </w:rPr>
            </w:pPr>
            <w:r>
              <w:rPr>
                <w:b/>
              </w:rPr>
              <w:t>Temporary Rate</w:t>
            </w:r>
          </w:p>
        </w:tc>
        <w:tc>
          <w:tcPr>
            <w:tcW w:w="1795" w:type="dxa"/>
            <w:shd w:val="pct10" w:color="auto" w:fill="auto"/>
          </w:tcPr>
          <w:p w14:paraId="21FC0148" w14:textId="77777777" w:rsidR="000B42B1" w:rsidRPr="00F13BA9" w:rsidRDefault="000B42B1" w:rsidP="00273E3E">
            <w:pPr>
              <w:jc w:val="center"/>
              <w:rPr>
                <w:b/>
              </w:rPr>
            </w:pPr>
            <w:r>
              <w:rPr>
                <w:b/>
              </w:rPr>
              <w:t>Revi</w:t>
            </w:r>
            <w:r w:rsidRPr="00F13BA9">
              <w:rPr>
                <w:b/>
              </w:rPr>
              <w:t>sed</w:t>
            </w:r>
            <w:r>
              <w:rPr>
                <w:b/>
              </w:rPr>
              <w:t xml:space="preserve"> Rate</w:t>
            </w:r>
          </w:p>
        </w:tc>
      </w:tr>
      <w:tr w:rsidR="000B42B1" w:rsidRPr="00F13BA9" w14:paraId="27ED454E" w14:textId="77777777" w:rsidTr="000B42B1">
        <w:trPr>
          <w:jc w:val="center"/>
        </w:trPr>
        <w:tc>
          <w:tcPr>
            <w:tcW w:w="3865" w:type="dxa"/>
          </w:tcPr>
          <w:p w14:paraId="6E1F701F" w14:textId="77777777" w:rsidR="000B42B1" w:rsidRPr="00F13BA9" w:rsidRDefault="000B42B1" w:rsidP="00273E3E">
            <w:r>
              <w:t xml:space="preserve">3/4-Inch Metered Base </w:t>
            </w:r>
          </w:p>
        </w:tc>
        <w:tc>
          <w:tcPr>
            <w:tcW w:w="1717" w:type="dxa"/>
          </w:tcPr>
          <w:p w14:paraId="471D4A99" w14:textId="77777777" w:rsidR="000B42B1" w:rsidRPr="00F13BA9" w:rsidRDefault="000B42B1" w:rsidP="00273E3E">
            <w:pPr>
              <w:jc w:val="center"/>
            </w:pPr>
            <w:r w:rsidRPr="00F13BA9">
              <w:t>$</w:t>
            </w:r>
            <w:r>
              <w:t>13.90</w:t>
            </w:r>
          </w:p>
        </w:tc>
        <w:tc>
          <w:tcPr>
            <w:tcW w:w="1973" w:type="dxa"/>
          </w:tcPr>
          <w:p w14:paraId="49C3BACE" w14:textId="6F3E1578" w:rsidR="000B42B1" w:rsidRPr="00362D86" w:rsidRDefault="000B42B1" w:rsidP="000B42B1">
            <w:pPr>
              <w:jc w:val="center"/>
            </w:pPr>
            <w:r>
              <w:t>$14.21</w:t>
            </w:r>
          </w:p>
        </w:tc>
        <w:tc>
          <w:tcPr>
            <w:tcW w:w="1795" w:type="dxa"/>
          </w:tcPr>
          <w:p w14:paraId="74E247E6" w14:textId="694CF3E3" w:rsidR="000B42B1" w:rsidRPr="00F13BA9" w:rsidRDefault="000B42B1" w:rsidP="00273E3E">
            <w:pPr>
              <w:jc w:val="center"/>
            </w:pPr>
            <w:r w:rsidRPr="00362D86">
              <w:t>$</w:t>
            </w:r>
            <w:r w:rsidR="004F6CEF">
              <w:t>13.90</w:t>
            </w:r>
          </w:p>
        </w:tc>
      </w:tr>
      <w:tr w:rsidR="000B42B1" w:rsidRPr="00F13BA9" w14:paraId="571AF4F1" w14:textId="77777777" w:rsidTr="000B42B1">
        <w:trPr>
          <w:jc w:val="center"/>
        </w:trPr>
        <w:tc>
          <w:tcPr>
            <w:tcW w:w="3865" w:type="dxa"/>
          </w:tcPr>
          <w:p w14:paraId="548899D3" w14:textId="77777777" w:rsidR="000B42B1" w:rsidRDefault="000B42B1" w:rsidP="00273E3E">
            <w:r>
              <w:t>600 Cubic Feet</w:t>
            </w:r>
          </w:p>
        </w:tc>
        <w:tc>
          <w:tcPr>
            <w:tcW w:w="1717" w:type="dxa"/>
          </w:tcPr>
          <w:p w14:paraId="1782215A" w14:textId="77777777" w:rsidR="000B42B1" w:rsidRDefault="000B42B1" w:rsidP="00273E3E">
            <w:pPr>
              <w:jc w:val="center"/>
            </w:pPr>
            <w:r>
              <w:t>$5.64</w:t>
            </w:r>
          </w:p>
        </w:tc>
        <w:tc>
          <w:tcPr>
            <w:tcW w:w="1973" w:type="dxa"/>
          </w:tcPr>
          <w:p w14:paraId="76462A2C" w14:textId="77777777" w:rsidR="000B42B1" w:rsidRDefault="000B42B1" w:rsidP="00273E3E">
            <w:pPr>
              <w:jc w:val="center"/>
            </w:pPr>
            <w:r>
              <w:t>$5.64</w:t>
            </w:r>
          </w:p>
        </w:tc>
        <w:tc>
          <w:tcPr>
            <w:tcW w:w="1795" w:type="dxa"/>
          </w:tcPr>
          <w:p w14:paraId="7CCCC7D3" w14:textId="77777777" w:rsidR="000B42B1" w:rsidRDefault="000B42B1" w:rsidP="00273E3E">
            <w:pPr>
              <w:jc w:val="center"/>
            </w:pPr>
            <w:r>
              <w:t>$5.64</w:t>
            </w:r>
          </w:p>
        </w:tc>
      </w:tr>
      <w:tr w:rsidR="000B42B1" w:rsidRPr="00F13BA9" w14:paraId="349CCE46" w14:textId="77777777" w:rsidTr="000B42B1">
        <w:trPr>
          <w:jc w:val="center"/>
        </w:trPr>
        <w:tc>
          <w:tcPr>
            <w:tcW w:w="3865" w:type="dxa"/>
          </w:tcPr>
          <w:p w14:paraId="4033B52A" w14:textId="77777777" w:rsidR="000B42B1" w:rsidRDefault="000B42B1" w:rsidP="00273E3E">
            <w:r>
              <w:t>277 Cubic Feet</w:t>
            </w:r>
          </w:p>
        </w:tc>
        <w:tc>
          <w:tcPr>
            <w:tcW w:w="1717" w:type="dxa"/>
          </w:tcPr>
          <w:p w14:paraId="1AB9F084" w14:textId="77777777" w:rsidR="000B42B1" w:rsidRDefault="000B42B1" w:rsidP="00273E3E">
            <w:pPr>
              <w:jc w:val="center"/>
            </w:pPr>
            <w:r>
              <w:t>$2.77</w:t>
            </w:r>
          </w:p>
        </w:tc>
        <w:tc>
          <w:tcPr>
            <w:tcW w:w="1973" w:type="dxa"/>
          </w:tcPr>
          <w:p w14:paraId="6A4CACC6" w14:textId="77777777" w:rsidR="000B42B1" w:rsidRDefault="000B42B1" w:rsidP="00273E3E">
            <w:pPr>
              <w:jc w:val="center"/>
            </w:pPr>
            <w:r>
              <w:t>$2.77</w:t>
            </w:r>
          </w:p>
        </w:tc>
        <w:tc>
          <w:tcPr>
            <w:tcW w:w="1795" w:type="dxa"/>
          </w:tcPr>
          <w:p w14:paraId="1A8D2A4F" w14:textId="345FE90D" w:rsidR="000B42B1" w:rsidRDefault="000B42B1" w:rsidP="004F6CEF">
            <w:pPr>
              <w:jc w:val="center"/>
            </w:pPr>
            <w:r>
              <w:t>$</w:t>
            </w:r>
            <w:r w:rsidR="004F6CEF">
              <w:t>3.19</w:t>
            </w:r>
          </w:p>
        </w:tc>
      </w:tr>
      <w:tr w:rsidR="000B42B1" w:rsidRPr="00F13BA9" w14:paraId="4581C1F0" w14:textId="77777777" w:rsidTr="000B42B1">
        <w:trPr>
          <w:jc w:val="center"/>
        </w:trPr>
        <w:tc>
          <w:tcPr>
            <w:tcW w:w="3865" w:type="dxa"/>
          </w:tcPr>
          <w:p w14:paraId="7EA22865" w14:textId="77777777" w:rsidR="000B42B1" w:rsidRPr="00F13BA9" w:rsidRDefault="000B42B1" w:rsidP="00273E3E">
            <w:r w:rsidRPr="00F13BA9">
              <w:t xml:space="preserve"> </w:t>
            </w:r>
          </w:p>
        </w:tc>
        <w:tc>
          <w:tcPr>
            <w:tcW w:w="1717" w:type="dxa"/>
          </w:tcPr>
          <w:p w14:paraId="2DF4AA25" w14:textId="77777777" w:rsidR="000B42B1" w:rsidRPr="00F13BA9" w:rsidRDefault="000B42B1" w:rsidP="00273E3E">
            <w:pPr>
              <w:jc w:val="center"/>
            </w:pPr>
          </w:p>
        </w:tc>
        <w:tc>
          <w:tcPr>
            <w:tcW w:w="1973" w:type="dxa"/>
          </w:tcPr>
          <w:p w14:paraId="1E30263C" w14:textId="77777777" w:rsidR="000B42B1" w:rsidRPr="00F13BA9" w:rsidRDefault="000B42B1" w:rsidP="00273E3E">
            <w:pPr>
              <w:jc w:val="center"/>
            </w:pPr>
          </w:p>
        </w:tc>
        <w:tc>
          <w:tcPr>
            <w:tcW w:w="1795" w:type="dxa"/>
          </w:tcPr>
          <w:p w14:paraId="383788A4" w14:textId="77777777" w:rsidR="000B42B1" w:rsidRPr="00F13BA9" w:rsidRDefault="000B42B1" w:rsidP="00273E3E">
            <w:pPr>
              <w:jc w:val="center"/>
            </w:pPr>
          </w:p>
        </w:tc>
      </w:tr>
      <w:tr w:rsidR="000B42B1" w:rsidRPr="00F13BA9" w14:paraId="41272964" w14:textId="77777777" w:rsidTr="000B42B1">
        <w:trPr>
          <w:jc w:val="center"/>
        </w:trPr>
        <w:tc>
          <w:tcPr>
            <w:tcW w:w="3865" w:type="dxa"/>
          </w:tcPr>
          <w:p w14:paraId="1DF9DD2C" w14:textId="77777777" w:rsidR="000B42B1" w:rsidRPr="00F13BA9" w:rsidRDefault="000B42B1" w:rsidP="00273E3E">
            <w:r w:rsidRPr="00F13BA9">
              <w:t xml:space="preserve">Water Bill Total </w:t>
            </w:r>
          </w:p>
        </w:tc>
        <w:tc>
          <w:tcPr>
            <w:tcW w:w="1717" w:type="dxa"/>
            <w:tcBorders>
              <w:bottom w:val="single" w:sz="18" w:space="0" w:color="auto"/>
            </w:tcBorders>
          </w:tcPr>
          <w:p w14:paraId="15A69151" w14:textId="77777777" w:rsidR="000B42B1" w:rsidRPr="00F13BA9" w:rsidRDefault="000B42B1" w:rsidP="00273E3E">
            <w:pPr>
              <w:jc w:val="center"/>
            </w:pPr>
            <w:r>
              <w:t>$22.31</w:t>
            </w:r>
          </w:p>
        </w:tc>
        <w:tc>
          <w:tcPr>
            <w:tcW w:w="1973" w:type="dxa"/>
            <w:tcBorders>
              <w:bottom w:val="single" w:sz="18" w:space="0" w:color="auto"/>
            </w:tcBorders>
          </w:tcPr>
          <w:p w14:paraId="322189F9" w14:textId="774659F5" w:rsidR="000B42B1" w:rsidRDefault="00A6370F" w:rsidP="000B42B1">
            <w:pPr>
              <w:jc w:val="center"/>
            </w:pPr>
            <w:r>
              <w:t>$22.62</w:t>
            </w:r>
          </w:p>
        </w:tc>
        <w:tc>
          <w:tcPr>
            <w:tcW w:w="1795" w:type="dxa"/>
            <w:tcBorders>
              <w:bottom w:val="single" w:sz="18" w:space="0" w:color="auto"/>
            </w:tcBorders>
          </w:tcPr>
          <w:p w14:paraId="4BB6DC1D" w14:textId="62BC656B" w:rsidR="000B42B1" w:rsidRPr="00B23AFE" w:rsidRDefault="000B42B1" w:rsidP="00273E3E">
            <w:pPr>
              <w:jc w:val="center"/>
            </w:pPr>
            <w:r w:rsidRPr="00B23AFE">
              <w:t>$</w:t>
            </w:r>
            <w:r w:rsidR="004F6CEF">
              <w:t>22.73</w:t>
            </w:r>
          </w:p>
        </w:tc>
      </w:tr>
      <w:tr w:rsidR="000B42B1" w:rsidRPr="00F13BA9" w14:paraId="00D9FF21" w14:textId="77777777" w:rsidTr="000B42B1">
        <w:trPr>
          <w:jc w:val="center"/>
        </w:trPr>
        <w:tc>
          <w:tcPr>
            <w:tcW w:w="3865" w:type="dxa"/>
          </w:tcPr>
          <w:p w14:paraId="166BA78A" w14:textId="6ACB2872" w:rsidR="000B42B1" w:rsidRPr="00F13BA9" w:rsidRDefault="000B42B1" w:rsidP="000B42B1">
            <w:r>
              <w:t>Increase From Previous Rates</w:t>
            </w:r>
            <w:r w:rsidRPr="00F13BA9">
              <w:t xml:space="preserve"> </w:t>
            </w:r>
          </w:p>
        </w:tc>
        <w:tc>
          <w:tcPr>
            <w:tcW w:w="1717" w:type="dxa"/>
            <w:tcBorders>
              <w:top w:val="single" w:sz="18" w:space="0" w:color="auto"/>
              <w:bottom w:val="single" w:sz="4" w:space="0" w:color="auto"/>
            </w:tcBorders>
          </w:tcPr>
          <w:p w14:paraId="3B07142D" w14:textId="77777777" w:rsidR="000B42B1" w:rsidRPr="00F13BA9" w:rsidRDefault="000B42B1" w:rsidP="00273E3E">
            <w:pPr>
              <w:jc w:val="center"/>
            </w:pPr>
          </w:p>
        </w:tc>
        <w:tc>
          <w:tcPr>
            <w:tcW w:w="1973" w:type="dxa"/>
            <w:tcBorders>
              <w:top w:val="single" w:sz="18" w:space="0" w:color="auto"/>
              <w:bottom w:val="single" w:sz="4" w:space="0" w:color="auto"/>
            </w:tcBorders>
          </w:tcPr>
          <w:p w14:paraId="199DE149" w14:textId="2091AF44" w:rsidR="000B42B1" w:rsidRDefault="000B42B1" w:rsidP="000B42B1">
            <w:pPr>
              <w:jc w:val="center"/>
            </w:pPr>
            <w:r>
              <w:t>$0.31     1.4%</w:t>
            </w:r>
          </w:p>
        </w:tc>
        <w:tc>
          <w:tcPr>
            <w:tcW w:w="1795" w:type="dxa"/>
            <w:tcBorders>
              <w:top w:val="single" w:sz="18" w:space="0" w:color="auto"/>
              <w:bottom w:val="single" w:sz="4" w:space="0" w:color="auto"/>
            </w:tcBorders>
          </w:tcPr>
          <w:p w14:paraId="58D86650" w14:textId="388B94DC" w:rsidR="000B42B1" w:rsidRPr="00F13BA9" w:rsidRDefault="000B42B1" w:rsidP="004F6CEF">
            <w:pPr>
              <w:jc w:val="center"/>
            </w:pPr>
            <w:r>
              <w:t>$0.</w:t>
            </w:r>
            <w:r w:rsidR="004F6CEF">
              <w:t>42</w:t>
            </w:r>
            <w:r>
              <w:t xml:space="preserve">     1.</w:t>
            </w:r>
            <w:r w:rsidR="004F6CEF">
              <w:t>9</w:t>
            </w:r>
            <w:r w:rsidRPr="00F13BA9">
              <w:t xml:space="preserve">% </w:t>
            </w:r>
          </w:p>
        </w:tc>
      </w:tr>
    </w:tbl>
    <w:p w14:paraId="03F6338F" w14:textId="77777777" w:rsidR="00436288" w:rsidRDefault="00436288" w:rsidP="000B42B1">
      <w:pPr>
        <w:jc w:val="center"/>
        <w:rPr>
          <w:b/>
          <w:u w:val="single"/>
        </w:rPr>
      </w:pPr>
    </w:p>
    <w:p w14:paraId="461D5653" w14:textId="58E976D0" w:rsidR="000B42B1" w:rsidRPr="00F13BA9" w:rsidRDefault="000B42B1" w:rsidP="000B42B1">
      <w:pPr>
        <w:jc w:val="center"/>
      </w:pPr>
      <w:r>
        <w:rPr>
          <w:b/>
          <w:u w:val="single"/>
        </w:rPr>
        <w:t>Monthly</w:t>
      </w:r>
      <w:r w:rsidRPr="00F13BA9">
        <w:rPr>
          <w:b/>
          <w:u w:val="single"/>
        </w:rPr>
        <w:t xml:space="preserve"> </w:t>
      </w:r>
      <w:r>
        <w:rPr>
          <w:b/>
          <w:u w:val="single"/>
        </w:rPr>
        <w:t xml:space="preserve">Non-Residential </w:t>
      </w:r>
      <w:r w:rsidRPr="00F13BA9">
        <w:rPr>
          <w:b/>
          <w:u w:val="single"/>
        </w:rPr>
        <w:t>Bill Comparison</w:t>
      </w:r>
    </w:p>
    <w:p w14:paraId="6E8596FA" w14:textId="77777777" w:rsidR="000B42B1" w:rsidRPr="00F13BA9" w:rsidRDefault="000B42B1" w:rsidP="000B42B1">
      <w:pPr>
        <w:jc w:val="center"/>
      </w:pPr>
    </w:p>
    <w:tbl>
      <w:tblPr>
        <w:tblStyle w:val="TableGrid"/>
        <w:tblW w:w="0" w:type="auto"/>
        <w:jc w:val="center"/>
        <w:tblLook w:val="04A0" w:firstRow="1" w:lastRow="0" w:firstColumn="1" w:lastColumn="0" w:noHBand="0" w:noVBand="1"/>
      </w:tblPr>
      <w:tblGrid>
        <w:gridCol w:w="3865"/>
        <w:gridCol w:w="1717"/>
        <w:gridCol w:w="2063"/>
        <w:gridCol w:w="1705"/>
      </w:tblGrid>
      <w:tr w:rsidR="000B42B1" w:rsidRPr="00F13BA9" w14:paraId="34CEB01A" w14:textId="77777777" w:rsidTr="000B42B1">
        <w:trPr>
          <w:jc w:val="center"/>
        </w:trPr>
        <w:tc>
          <w:tcPr>
            <w:tcW w:w="3865" w:type="dxa"/>
            <w:tcBorders>
              <w:bottom w:val="single" w:sz="4" w:space="0" w:color="auto"/>
            </w:tcBorders>
            <w:shd w:val="clear" w:color="auto" w:fill="auto"/>
          </w:tcPr>
          <w:p w14:paraId="15FDDE8C" w14:textId="70EC76F8" w:rsidR="000B42B1" w:rsidRPr="00F13BA9" w:rsidRDefault="000B42B1" w:rsidP="000B42B1">
            <w:pPr>
              <w:rPr>
                <w:b/>
              </w:rPr>
            </w:pPr>
            <w:r w:rsidRPr="00F13BA9">
              <w:rPr>
                <w:b/>
              </w:rPr>
              <w:t xml:space="preserve">Monthly </w:t>
            </w:r>
            <w:r>
              <w:rPr>
                <w:b/>
              </w:rPr>
              <w:t>Average 3,661 Cubic Feet</w:t>
            </w:r>
          </w:p>
        </w:tc>
        <w:tc>
          <w:tcPr>
            <w:tcW w:w="1717" w:type="dxa"/>
            <w:shd w:val="pct10" w:color="auto" w:fill="auto"/>
          </w:tcPr>
          <w:p w14:paraId="474F5FB9" w14:textId="053CB213" w:rsidR="000B42B1" w:rsidRPr="00F13BA9" w:rsidRDefault="000B42B1" w:rsidP="00273E3E">
            <w:pPr>
              <w:jc w:val="center"/>
              <w:rPr>
                <w:b/>
              </w:rPr>
            </w:pPr>
            <w:r>
              <w:rPr>
                <w:b/>
              </w:rPr>
              <w:t>Previous</w:t>
            </w:r>
            <w:r w:rsidRPr="00F13BA9">
              <w:rPr>
                <w:b/>
              </w:rPr>
              <w:t xml:space="preserve"> Rate</w:t>
            </w:r>
          </w:p>
        </w:tc>
        <w:tc>
          <w:tcPr>
            <w:tcW w:w="2063" w:type="dxa"/>
            <w:shd w:val="pct10" w:color="auto" w:fill="auto"/>
          </w:tcPr>
          <w:p w14:paraId="4B182542" w14:textId="47210795" w:rsidR="000B42B1" w:rsidRPr="00F13BA9" w:rsidRDefault="000B42B1" w:rsidP="00273E3E">
            <w:pPr>
              <w:jc w:val="center"/>
              <w:rPr>
                <w:b/>
              </w:rPr>
            </w:pPr>
            <w:r>
              <w:rPr>
                <w:b/>
              </w:rPr>
              <w:t>Temporary Rate</w:t>
            </w:r>
          </w:p>
        </w:tc>
        <w:tc>
          <w:tcPr>
            <w:tcW w:w="1705" w:type="dxa"/>
            <w:shd w:val="pct10" w:color="auto" w:fill="auto"/>
          </w:tcPr>
          <w:p w14:paraId="785A21C6" w14:textId="77777777" w:rsidR="000B42B1" w:rsidRPr="00F13BA9" w:rsidRDefault="000B42B1" w:rsidP="00273E3E">
            <w:pPr>
              <w:jc w:val="center"/>
              <w:rPr>
                <w:b/>
              </w:rPr>
            </w:pPr>
            <w:r>
              <w:rPr>
                <w:b/>
              </w:rPr>
              <w:t>Revis</w:t>
            </w:r>
            <w:r w:rsidRPr="00F13BA9">
              <w:rPr>
                <w:b/>
              </w:rPr>
              <w:t>ed</w:t>
            </w:r>
            <w:r>
              <w:rPr>
                <w:b/>
              </w:rPr>
              <w:t xml:space="preserve"> Rate</w:t>
            </w:r>
          </w:p>
        </w:tc>
      </w:tr>
      <w:tr w:rsidR="000B42B1" w:rsidRPr="00F13BA9" w14:paraId="45B2A390" w14:textId="77777777" w:rsidTr="000B42B1">
        <w:trPr>
          <w:jc w:val="center"/>
        </w:trPr>
        <w:tc>
          <w:tcPr>
            <w:tcW w:w="3865" w:type="dxa"/>
          </w:tcPr>
          <w:p w14:paraId="7846A2FE" w14:textId="77777777" w:rsidR="000B42B1" w:rsidRPr="00F13BA9" w:rsidRDefault="000B42B1" w:rsidP="00273E3E">
            <w:r>
              <w:t xml:space="preserve">3/4-Inch Metered Base </w:t>
            </w:r>
          </w:p>
        </w:tc>
        <w:tc>
          <w:tcPr>
            <w:tcW w:w="1717" w:type="dxa"/>
          </w:tcPr>
          <w:p w14:paraId="48E7EA67" w14:textId="77777777" w:rsidR="000B42B1" w:rsidRPr="00F13BA9" w:rsidRDefault="000B42B1" w:rsidP="00273E3E">
            <w:pPr>
              <w:jc w:val="center"/>
            </w:pPr>
            <w:r w:rsidRPr="00F13BA9">
              <w:t>$</w:t>
            </w:r>
            <w:r>
              <w:t>13.90</w:t>
            </w:r>
          </w:p>
        </w:tc>
        <w:tc>
          <w:tcPr>
            <w:tcW w:w="2063" w:type="dxa"/>
          </w:tcPr>
          <w:p w14:paraId="04183C46" w14:textId="78A2E99F" w:rsidR="000B42B1" w:rsidRPr="00362D86" w:rsidRDefault="000B42B1" w:rsidP="00436288">
            <w:pPr>
              <w:jc w:val="center"/>
            </w:pPr>
            <w:r>
              <w:t>$1</w:t>
            </w:r>
            <w:r w:rsidR="00436288">
              <w:t>4.21</w:t>
            </w:r>
          </w:p>
        </w:tc>
        <w:tc>
          <w:tcPr>
            <w:tcW w:w="1705" w:type="dxa"/>
          </w:tcPr>
          <w:p w14:paraId="30CD0E84" w14:textId="6331DA43" w:rsidR="000B42B1" w:rsidRPr="00F13BA9" w:rsidRDefault="000B42B1" w:rsidP="00436288">
            <w:pPr>
              <w:jc w:val="center"/>
            </w:pPr>
            <w:r w:rsidRPr="00362D86">
              <w:t>$</w:t>
            </w:r>
            <w:r>
              <w:t>1</w:t>
            </w:r>
            <w:r w:rsidR="00436288">
              <w:t>3.90</w:t>
            </w:r>
          </w:p>
        </w:tc>
      </w:tr>
      <w:tr w:rsidR="000B42B1" w:rsidRPr="00F13BA9" w14:paraId="2C2F0917" w14:textId="77777777" w:rsidTr="000B42B1">
        <w:trPr>
          <w:jc w:val="center"/>
        </w:trPr>
        <w:tc>
          <w:tcPr>
            <w:tcW w:w="3865" w:type="dxa"/>
          </w:tcPr>
          <w:p w14:paraId="71399B55" w14:textId="77777777" w:rsidR="000B42B1" w:rsidRDefault="000B42B1" w:rsidP="00273E3E">
            <w:r>
              <w:t>600 Cubic Feet</w:t>
            </w:r>
          </w:p>
        </w:tc>
        <w:tc>
          <w:tcPr>
            <w:tcW w:w="1717" w:type="dxa"/>
          </w:tcPr>
          <w:p w14:paraId="4A090BC8" w14:textId="77777777" w:rsidR="000B42B1" w:rsidRDefault="000B42B1" w:rsidP="00273E3E">
            <w:pPr>
              <w:jc w:val="center"/>
            </w:pPr>
            <w:r>
              <w:t>$5.64</w:t>
            </w:r>
          </w:p>
        </w:tc>
        <w:tc>
          <w:tcPr>
            <w:tcW w:w="2063" w:type="dxa"/>
          </w:tcPr>
          <w:p w14:paraId="5815D3E4" w14:textId="77777777" w:rsidR="000B42B1" w:rsidRDefault="000B42B1" w:rsidP="00273E3E">
            <w:pPr>
              <w:jc w:val="center"/>
            </w:pPr>
            <w:r>
              <w:t>$5.64</w:t>
            </w:r>
          </w:p>
        </w:tc>
        <w:tc>
          <w:tcPr>
            <w:tcW w:w="1705" w:type="dxa"/>
          </w:tcPr>
          <w:p w14:paraId="586EC2AB" w14:textId="77777777" w:rsidR="000B42B1" w:rsidRDefault="000B42B1" w:rsidP="00273E3E">
            <w:pPr>
              <w:jc w:val="center"/>
            </w:pPr>
            <w:r>
              <w:t>$5.64</w:t>
            </w:r>
          </w:p>
        </w:tc>
      </w:tr>
      <w:tr w:rsidR="000B42B1" w:rsidRPr="00F13BA9" w14:paraId="47DBEB1B" w14:textId="77777777" w:rsidTr="000B42B1">
        <w:trPr>
          <w:jc w:val="center"/>
        </w:trPr>
        <w:tc>
          <w:tcPr>
            <w:tcW w:w="3865" w:type="dxa"/>
          </w:tcPr>
          <w:p w14:paraId="237C9192" w14:textId="77777777" w:rsidR="000B42B1" w:rsidRDefault="000B42B1" w:rsidP="00273E3E">
            <w:r>
              <w:t>2,400 Cubic Feet</w:t>
            </w:r>
          </w:p>
        </w:tc>
        <w:tc>
          <w:tcPr>
            <w:tcW w:w="1717" w:type="dxa"/>
          </w:tcPr>
          <w:p w14:paraId="7CE95C30" w14:textId="77777777" w:rsidR="000B42B1" w:rsidRDefault="000B42B1" w:rsidP="00273E3E">
            <w:pPr>
              <w:jc w:val="center"/>
            </w:pPr>
            <w:r>
              <w:t>$24.00</w:t>
            </w:r>
          </w:p>
        </w:tc>
        <w:tc>
          <w:tcPr>
            <w:tcW w:w="2063" w:type="dxa"/>
          </w:tcPr>
          <w:p w14:paraId="1F828896" w14:textId="77777777" w:rsidR="000B42B1" w:rsidRDefault="000B42B1" w:rsidP="00273E3E">
            <w:pPr>
              <w:jc w:val="center"/>
            </w:pPr>
            <w:r>
              <w:t>$24.00</w:t>
            </w:r>
          </w:p>
        </w:tc>
        <w:tc>
          <w:tcPr>
            <w:tcW w:w="1705" w:type="dxa"/>
          </w:tcPr>
          <w:p w14:paraId="6DBEB2BD" w14:textId="2EE54DCA" w:rsidR="000B42B1" w:rsidRDefault="00436288" w:rsidP="00273E3E">
            <w:pPr>
              <w:jc w:val="center"/>
            </w:pPr>
            <w:r>
              <w:t>$27.60</w:t>
            </w:r>
          </w:p>
        </w:tc>
      </w:tr>
      <w:tr w:rsidR="000B42B1" w:rsidRPr="00F13BA9" w14:paraId="73831783" w14:textId="77777777" w:rsidTr="000B42B1">
        <w:trPr>
          <w:jc w:val="center"/>
        </w:trPr>
        <w:tc>
          <w:tcPr>
            <w:tcW w:w="3865" w:type="dxa"/>
          </w:tcPr>
          <w:p w14:paraId="5AD73AC1" w14:textId="77777777" w:rsidR="000B42B1" w:rsidRPr="00F13BA9" w:rsidRDefault="000B42B1" w:rsidP="00273E3E">
            <w:r>
              <w:lastRenderedPageBreak/>
              <w:t>661 Cubic Feet</w:t>
            </w:r>
          </w:p>
        </w:tc>
        <w:tc>
          <w:tcPr>
            <w:tcW w:w="1717" w:type="dxa"/>
          </w:tcPr>
          <w:p w14:paraId="0DF5F70D" w14:textId="77777777" w:rsidR="000B42B1" w:rsidRPr="00F13BA9" w:rsidRDefault="000B42B1" w:rsidP="00273E3E">
            <w:pPr>
              <w:jc w:val="center"/>
            </w:pPr>
            <w:r>
              <w:t>$13.55</w:t>
            </w:r>
          </w:p>
        </w:tc>
        <w:tc>
          <w:tcPr>
            <w:tcW w:w="2063" w:type="dxa"/>
          </w:tcPr>
          <w:p w14:paraId="301367A5" w14:textId="0709ED26" w:rsidR="000B42B1" w:rsidRDefault="000B42B1" w:rsidP="00436288">
            <w:pPr>
              <w:jc w:val="center"/>
            </w:pPr>
            <w:r>
              <w:t>$1</w:t>
            </w:r>
            <w:r w:rsidR="00436288">
              <w:t>7.9</w:t>
            </w:r>
            <w:r>
              <w:t>1</w:t>
            </w:r>
          </w:p>
        </w:tc>
        <w:tc>
          <w:tcPr>
            <w:tcW w:w="1705" w:type="dxa"/>
          </w:tcPr>
          <w:p w14:paraId="737BE813" w14:textId="6C6A94D6" w:rsidR="000B42B1" w:rsidRPr="00B23AFE" w:rsidRDefault="000B42B1" w:rsidP="00273E3E">
            <w:pPr>
              <w:jc w:val="center"/>
            </w:pPr>
            <w:r w:rsidRPr="00B23AFE">
              <w:t>$</w:t>
            </w:r>
            <w:r>
              <w:t>1</w:t>
            </w:r>
            <w:r w:rsidR="00436288">
              <w:t>6.0</w:t>
            </w:r>
            <w:r>
              <w:t>1</w:t>
            </w:r>
          </w:p>
        </w:tc>
      </w:tr>
      <w:tr w:rsidR="000B42B1" w:rsidRPr="00F13BA9" w14:paraId="4C3CE24A" w14:textId="77777777" w:rsidTr="000B42B1">
        <w:trPr>
          <w:jc w:val="center"/>
        </w:trPr>
        <w:tc>
          <w:tcPr>
            <w:tcW w:w="3865" w:type="dxa"/>
          </w:tcPr>
          <w:p w14:paraId="0729EB1D" w14:textId="77777777" w:rsidR="000B42B1" w:rsidRPr="00F13BA9" w:rsidRDefault="000B42B1" w:rsidP="00273E3E">
            <w:r w:rsidRPr="00F13BA9">
              <w:t xml:space="preserve">Water Bill Total </w:t>
            </w:r>
          </w:p>
        </w:tc>
        <w:tc>
          <w:tcPr>
            <w:tcW w:w="1717" w:type="dxa"/>
            <w:tcBorders>
              <w:bottom w:val="single" w:sz="18" w:space="0" w:color="auto"/>
            </w:tcBorders>
          </w:tcPr>
          <w:p w14:paraId="6E2D6803" w14:textId="77777777" w:rsidR="000B42B1" w:rsidRPr="00F13BA9" w:rsidRDefault="000B42B1" w:rsidP="00273E3E">
            <w:pPr>
              <w:jc w:val="center"/>
            </w:pPr>
            <w:r>
              <w:t>$57.09</w:t>
            </w:r>
          </w:p>
        </w:tc>
        <w:tc>
          <w:tcPr>
            <w:tcW w:w="2063" w:type="dxa"/>
            <w:tcBorders>
              <w:bottom w:val="single" w:sz="18" w:space="0" w:color="auto"/>
            </w:tcBorders>
          </w:tcPr>
          <w:p w14:paraId="5EFC28EF" w14:textId="14BFDA51" w:rsidR="000B42B1" w:rsidRDefault="000B42B1" w:rsidP="00436288">
            <w:pPr>
              <w:jc w:val="center"/>
            </w:pPr>
            <w:r>
              <w:t>$6</w:t>
            </w:r>
            <w:r w:rsidR="00436288">
              <w:t>1.76</w:t>
            </w:r>
          </w:p>
        </w:tc>
        <w:tc>
          <w:tcPr>
            <w:tcW w:w="1705" w:type="dxa"/>
            <w:tcBorders>
              <w:bottom w:val="single" w:sz="18" w:space="0" w:color="auto"/>
            </w:tcBorders>
          </w:tcPr>
          <w:p w14:paraId="0ABB3DC2" w14:textId="75D6EF72" w:rsidR="000B42B1" w:rsidRPr="00F13BA9" w:rsidRDefault="000B42B1" w:rsidP="00436288">
            <w:pPr>
              <w:jc w:val="center"/>
            </w:pPr>
            <w:r>
              <w:t>$</w:t>
            </w:r>
            <w:r w:rsidRPr="00B23AFE">
              <w:t>6</w:t>
            </w:r>
            <w:r w:rsidR="00436288">
              <w:t>3</w:t>
            </w:r>
            <w:r>
              <w:t>.</w:t>
            </w:r>
            <w:r w:rsidR="00436288">
              <w:t>15</w:t>
            </w:r>
          </w:p>
        </w:tc>
      </w:tr>
      <w:tr w:rsidR="000B42B1" w:rsidRPr="00F13BA9" w14:paraId="43991194" w14:textId="77777777" w:rsidTr="000B42B1">
        <w:trPr>
          <w:jc w:val="center"/>
        </w:trPr>
        <w:tc>
          <w:tcPr>
            <w:tcW w:w="3865" w:type="dxa"/>
          </w:tcPr>
          <w:p w14:paraId="56C20E2B" w14:textId="26CAF5AC" w:rsidR="000B42B1" w:rsidRPr="00F13BA9" w:rsidRDefault="000B42B1" w:rsidP="00273E3E">
            <w:r>
              <w:t>Increase From Previous Rates</w:t>
            </w:r>
            <w:r w:rsidRPr="00F13BA9">
              <w:t xml:space="preserve"> </w:t>
            </w:r>
          </w:p>
        </w:tc>
        <w:tc>
          <w:tcPr>
            <w:tcW w:w="1717" w:type="dxa"/>
            <w:tcBorders>
              <w:top w:val="single" w:sz="18" w:space="0" w:color="auto"/>
              <w:bottom w:val="single" w:sz="4" w:space="0" w:color="auto"/>
            </w:tcBorders>
          </w:tcPr>
          <w:p w14:paraId="6DA666ED" w14:textId="77777777" w:rsidR="000B42B1" w:rsidRPr="00F13BA9" w:rsidRDefault="000B42B1" w:rsidP="00273E3E">
            <w:pPr>
              <w:jc w:val="center"/>
            </w:pPr>
          </w:p>
        </w:tc>
        <w:tc>
          <w:tcPr>
            <w:tcW w:w="2063" w:type="dxa"/>
            <w:tcBorders>
              <w:top w:val="single" w:sz="18" w:space="0" w:color="auto"/>
              <w:bottom w:val="single" w:sz="4" w:space="0" w:color="auto"/>
            </w:tcBorders>
          </w:tcPr>
          <w:p w14:paraId="23C7941A" w14:textId="5864D46A" w:rsidR="000B42B1" w:rsidRDefault="000B42B1" w:rsidP="00A6370F">
            <w:pPr>
              <w:jc w:val="center"/>
            </w:pPr>
            <w:r>
              <w:t>$4.</w:t>
            </w:r>
            <w:r w:rsidR="00436288">
              <w:t>67</w:t>
            </w:r>
            <w:r>
              <w:t xml:space="preserve">     8.</w:t>
            </w:r>
            <w:r w:rsidR="00A6370F">
              <w:t>2</w:t>
            </w:r>
            <w:r>
              <w:t>%</w:t>
            </w:r>
          </w:p>
        </w:tc>
        <w:tc>
          <w:tcPr>
            <w:tcW w:w="1705" w:type="dxa"/>
            <w:tcBorders>
              <w:top w:val="single" w:sz="18" w:space="0" w:color="auto"/>
              <w:bottom w:val="single" w:sz="4" w:space="0" w:color="auto"/>
            </w:tcBorders>
          </w:tcPr>
          <w:p w14:paraId="3A89629E" w14:textId="5712B6A8" w:rsidR="000B42B1" w:rsidRPr="00F13BA9" w:rsidRDefault="000B42B1" w:rsidP="00436288">
            <w:pPr>
              <w:jc w:val="center"/>
            </w:pPr>
            <w:r>
              <w:t>$</w:t>
            </w:r>
            <w:r w:rsidR="00436288">
              <w:t>6.06</w:t>
            </w:r>
            <w:r>
              <w:t xml:space="preserve">     </w:t>
            </w:r>
            <w:r w:rsidR="00436288">
              <w:t>10</w:t>
            </w:r>
            <w:r>
              <w:t>.</w:t>
            </w:r>
            <w:r w:rsidR="00436288">
              <w:t>6</w:t>
            </w:r>
            <w:r w:rsidRPr="00F13BA9">
              <w:t xml:space="preserve">% </w:t>
            </w:r>
          </w:p>
        </w:tc>
      </w:tr>
    </w:tbl>
    <w:p w14:paraId="70970C26" w14:textId="77777777" w:rsidR="00386049" w:rsidRPr="00386049" w:rsidRDefault="00386049" w:rsidP="00B402B4"/>
    <w:p w14:paraId="3B03968A" w14:textId="32E07247" w:rsidR="00EA2626" w:rsidRDefault="00EA2626" w:rsidP="00B402B4">
      <w:pPr>
        <w:rPr>
          <w:b/>
          <w:u w:val="single"/>
        </w:rPr>
      </w:pPr>
      <w:r>
        <w:rPr>
          <w:b/>
          <w:u w:val="single"/>
        </w:rPr>
        <w:t>Conclusion</w:t>
      </w:r>
    </w:p>
    <w:p w14:paraId="5768E293" w14:textId="77777777" w:rsidR="00EA2626" w:rsidRPr="00EA2626" w:rsidRDefault="00EA2626" w:rsidP="00B402B4"/>
    <w:p w14:paraId="7EB48A7E" w14:textId="21A42711" w:rsidR="00576269" w:rsidRDefault="00576269">
      <w:r w:rsidRPr="00AA4488">
        <w:t>Commission staff has completed its review of the company’s supporting financia</w:t>
      </w:r>
      <w:r>
        <w:t>l documents, books and records</w:t>
      </w:r>
      <w:r w:rsidR="00A60D96">
        <w:t>.</w:t>
      </w:r>
      <w:r>
        <w:t xml:space="preserve"> </w:t>
      </w:r>
      <w:r w:rsidR="00A60D96" w:rsidRPr="00AA4488">
        <w:t>Staff’s review shows that the expenses are reasonable and required as part of the company’s operation</w:t>
      </w:r>
      <w:r w:rsidR="002551C3">
        <w:t xml:space="preserve">, and demonstrate </w:t>
      </w:r>
      <w:r w:rsidR="00005EB3">
        <w:t>a need for $183,439 (3.3</w:t>
      </w:r>
      <w:r w:rsidR="00A60D96">
        <w:t xml:space="preserve"> percent) additional annual revenue.</w:t>
      </w:r>
    </w:p>
    <w:p w14:paraId="6F320D90" w14:textId="77777777" w:rsidR="00576269" w:rsidRDefault="00576269" w:rsidP="00576269"/>
    <w:p w14:paraId="13B30F91" w14:textId="41333660" w:rsidR="00EA2626" w:rsidRDefault="00EA2626" w:rsidP="00B402B4">
      <w:r w:rsidRPr="00EA2626">
        <w:t>R</w:t>
      </w:r>
      <w:r>
        <w:t xml:space="preserve">ainer View </w:t>
      </w:r>
      <w:r w:rsidR="00972EE7">
        <w:t>initially</w:t>
      </w:r>
      <w:r>
        <w:t xml:space="preserve"> filed to increase </w:t>
      </w:r>
      <w:r w:rsidR="00A60D96">
        <w:t xml:space="preserve">only </w:t>
      </w:r>
      <w:r>
        <w:t xml:space="preserve">its third block usage </w:t>
      </w:r>
      <w:r w:rsidR="00B06ED2">
        <w:t>rate. The</w:t>
      </w:r>
      <w:r w:rsidR="000D73B1">
        <w:t xml:space="preserve"> </w:t>
      </w:r>
      <w:r w:rsidR="00B06ED2">
        <w:t>revised</w:t>
      </w:r>
      <w:r w:rsidR="000D73B1">
        <w:t xml:space="preserve"> rates increase the </w:t>
      </w:r>
      <w:r w:rsidR="00A6370F">
        <w:t xml:space="preserve">second and </w:t>
      </w:r>
      <w:r w:rsidR="000D73B1">
        <w:t>third block usage rate</w:t>
      </w:r>
      <w:r w:rsidR="007E6BA7">
        <w:t>s</w:t>
      </w:r>
      <w:r w:rsidR="000D73B1">
        <w:t xml:space="preserve"> </w:t>
      </w:r>
      <w:r w:rsidR="00A6370F">
        <w:t>from the pre-filing level and spreads</w:t>
      </w:r>
      <w:r w:rsidR="000D73B1">
        <w:t xml:space="preserve"> the revenue requirement across </w:t>
      </w:r>
      <w:r w:rsidR="00A6370F">
        <w:t>more</w:t>
      </w:r>
      <w:r w:rsidR="000D73B1">
        <w:t xml:space="preserve"> customers.</w:t>
      </w:r>
      <w:r w:rsidR="00A60D96">
        <w:t xml:space="preserve"> </w:t>
      </w:r>
      <w:r w:rsidR="006A0C2F">
        <w:t xml:space="preserve">Staff concludes the revised </w:t>
      </w:r>
      <w:r w:rsidR="006A0C2F" w:rsidRPr="006A0C2F">
        <w:t>rates and charges are fair, just, reasonable, and sufficient.</w:t>
      </w:r>
    </w:p>
    <w:p w14:paraId="6603DB8A" w14:textId="7B81D3C7" w:rsidR="000D73B1" w:rsidRDefault="006A0C2F" w:rsidP="00B402B4">
      <w:r>
        <w:t xml:space="preserve"> </w:t>
      </w:r>
    </w:p>
    <w:p w14:paraId="5495475D" w14:textId="77777777" w:rsidR="006A0C2F" w:rsidRDefault="006A0C2F" w:rsidP="00B402B4"/>
    <w:p w14:paraId="662965B4" w14:textId="744841C0" w:rsidR="00A60D96" w:rsidRDefault="00A60D96" w:rsidP="00A60D96">
      <w:r w:rsidRPr="00AA4488">
        <w:t>The customers</w:t>
      </w:r>
      <w:r>
        <w:t>’</w:t>
      </w:r>
      <w:r w:rsidRPr="00AA4488">
        <w:t xml:space="preserve"> comment</w:t>
      </w:r>
      <w:r>
        <w:t>s</w:t>
      </w:r>
      <w:r w:rsidRPr="00AA4488">
        <w:t xml:space="preserve"> do not change staff’s opinion that the company’s financial information supports the </w:t>
      </w:r>
      <w:r>
        <w:t xml:space="preserve">revised </w:t>
      </w:r>
      <w:r w:rsidRPr="00AA4488">
        <w:t xml:space="preserve">revenue requirement and </w:t>
      </w:r>
      <w:r>
        <w:t xml:space="preserve">the </w:t>
      </w:r>
      <w:r w:rsidRPr="00AA4488">
        <w:t>revised rates and charges are fair, just, reasonable, and sufficient.</w:t>
      </w:r>
    </w:p>
    <w:p w14:paraId="615F9007" w14:textId="2A5747AF" w:rsidR="00EA2626" w:rsidRPr="00EA2626" w:rsidRDefault="00EA2626" w:rsidP="00B402B4"/>
    <w:p w14:paraId="1F03FDB7" w14:textId="7D7C7C96" w:rsidR="00B402B4" w:rsidRDefault="00B402B4" w:rsidP="00B402B4">
      <w:pPr>
        <w:rPr>
          <w:b/>
          <w:u w:val="single"/>
        </w:rPr>
      </w:pPr>
      <w:r>
        <w:rPr>
          <w:b/>
          <w:u w:val="single"/>
        </w:rPr>
        <w:t>Recommendat</w:t>
      </w:r>
      <w:r w:rsidRPr="00935AF2">
        <w:rPr>
          <w:b/>
          <w:u w:val="single"/>
        </w:rPr>
        <w:t>ion</w:t>
      </w:r>
      <w:r w:rsidR="003A5256">
        <w:rPr>
          <w:b/>
          <w:u w:val="single"/>
        </w:rPr>
        <w:t>s</w:t>
      </w:r>
      <w:r w:rsidRPr="00935AF2">
        <w:rPr>
          <w:b/>
          <w:u w:val="single"/>
        </w:rPr>
        <w:t xml:space="preserve"> </w:t>
      </w:r>
    </w:p>
    <w:p w14:paraId="19202659" w14:textId="77777777" w:rsidR="002A7813" w:rsidRDefault="002A7813" w:rsidP="002A7813">
      <w:pPr>
        <w:widowControl w:val="0"/>
        <w:autoSpaceDE w:val="0"/>
        <w:autoSpaceDN w:val="0"/>
        <w:adjustRightInd w:val="0"/>
        <w:rPr>
          <w:rFonts w:eastAsia="Times New Roman"/>
          <w:color w:val="000000"/>
          <w:lang w:bidi="ar-SA"/>
        </w:rPr>
      </w:pPr>
    </w:p>
    <w:p w14:paraId="016BDDCE" w14:textId="41357727" w:rsidR="002A7813" w:rsidRDefault="002A7813" w:rsidP="002A7813">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t xml:space="preserve">Dismiss the </w:t>
      </w:r>
      <w:r w:rsidRPr="006073C4">
        <w:t xml:space="preserve">Complaint and Order Suspending the Tariff </w:t>
      </w:r>
      <w:r w:rsidR="009D716A">
        <w:t>Revisions</w:t>
      </w:r>
      <w:r w:rsidRPr="006073C4">
        <w:t xml:space="preserve"> filed </w:t>
      </w:r>
      <w:r>
        <w:t>Rainier View Water Company, Inc.,</w:t>
      </w:r>
      <w:r w:rsidRPr="006D62FC">
        <w:t xml:space="preserve"> </w:t>
      </w:r>
      <w:r>
        <w:t xml:space="preserve">in Docket UW-141363 </w:t>
      </w:r>
      <w:r w:rsidR="0068197A">
        <w:t>on</w:t>
      </w:r>
      <w:r>
        <w:t xml:space="preserve"> August 14</w:t>
      </w:r>
      <w:r w:rsidRPr="006D62FC">
        <w:t>, 2014</w:t>
      </w:r>
      <w:r w:rsidR="0068197A">
        <w:t>, and;</w:t>
      </w:r>
      <w:r w:rsidRPr="004C73F1">
        <w:t xml:space="preserve"> </w:t>
      </w:r>
    </w:p>
    <w:p w14:paraId="2228E787" w14:textId="06EDD22E" w:rsidR="002A7813" w:rsidRDefault="001F3323" w:rsidP="002A7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ind w:left="720"/>
      </w:pPr>
      <w:r>
        <w:t xml:space="preserve"> </w:t>
      </w:r>
    </w:p>
    <w:p w14:paraId="1C5DB7E6" w14:textId="03F787E2" w:rsidR="004A719D" w:rsidRDefault="002A7813" w:rsidP="004A719D">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lastRenderedPageBreak/>
        <w:t xml:space="preserve">Allow the </w:t>
      </w:r>
      <w:r w:rsidR="0068197A">
        <w:t xml:space="preserve">revised </w:t>
      </w:r>
      <w:r w:rsidRPr="00AA4488">
        <w:t>rates and tariff revision</w:t>
      </w:r>
      <w:r w:rsidR="007A75F8">
        <w:t>s</w:t>
      </w:r>
      <w:r w:rsidRPr="00AA4488">
        <w:t xml:space="preserve"> filed by </w:t>
      </w:r>
      <w:r>
        <w:t>Rainier View Water Company, Inc.,</w:t>
      </w:r>
      <w:r w:rsidRPr="006D62FC">
        <w:t xml:space="preserve"> on</w:t>
      </w:r>
      <w:r w:rsidR="001F3323">
        <w:t xml:space="preserve"> </w:t>
      </w:r>
      <w:r>
        <w:t>June 30, 2014</w:t>
      </w:r>
      <w:r w:rsidR="003202A6">
        <w:t xml:space="preserve">, </w:t>
      </w:r>
      <w:r w:rsidR="0068197A">
        <w:t xml:space="preserve">as </w:t>
      </w:r>
      <w:r w:rsidR="003202A6">
        <w:t xml:space="preserve">revised </w:t>
      </w:r>
      <w:r w:rsidR="00005EB3">
        <w:t xml:space="preserve">August 18, 2014, </w:t>
      </w:r>
      <w:r w:rsidR="004A719D">
        <w:t xml:space="preserve">November </w:t>
      </w:r>
      <w:r w:rsidR="004A719D" w:rsidRPr="005B6F3C">
        <w:t>10,</w:t>
      </w:r>
      <w:r w:rsidR="004A719D">
        <w:t xml:space="preserve"> 2014, and December </w:t>
      </w:r>
      <w:r w:rsidR="00343D06">
        <w:t>23,</w:t>
      </w:r>
      <w:r w:rsidR="004A719D">
        <w:t xml:space="preserve"> 2014, </w:t>
      </w:r>
      <w:r w:rsidR="004A719D" w:rsidRPr="00AA4488">
        <w:t xml:space="preserve">to become effective </w:t>
      </w:r>
      <w:r w:rsidR="004A719D">
        <w:t>January 1</w:t>
      </w:r>
      <w:r w:rsidR="004A719D" w:rsidRPr="00AA4488">
        <w:t>, 201</w:t>
      </w:r>
      <w:r w:rsidR="004A719D">
        <w:t>5</w:t>
      </w:r>
      <w:r w:rsidR="004A719D" w:rsidRPr="00AA4488">
        <w:t>.</w:t>
      </w:r>
    </w:p>
    <w:p w14:paraId="3E5AC242" w14:textId="77777777" w:rsidR="00056752" w:rsidRDefault="00056752" w:rsidP="00056752">
      <w:pPr>
        <w:pStyle w:val="ListParagraph"/>
      </w:pPr>
    </w:p>
    <w:p w14:paraId="323F382C" w14:textId="77777777" w:rsidR="00056752" w:rsidRDefault="00056752" w:rsidP="00056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p>
    <w:p w14:paraId="3ADB2263" w14:textId="03C30397" w:rsidR="00056752" w:rsidRDefault="00056752" w:rsidP="00056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t>Attachment</w:t>
      </w:r>
    </w:p>
    <w:p w14:paraId="1CEAE4B7" w14:textId="681C2FAC" w:rsidR="00BB491B" w:rsidRPr="004A719D" w:rsidRDefault="00BB491B" w:rsidP="004A71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ind w:left="720"/>
        <w:rPr>
          <w:rFonts w:eastAsia="Times New Roman"/>
          <w:color w:val="000000"/>
          <w:lang w:bidi="ar-SA"/>
        </w:rPr>
      </w:pPr>
    </w:p>
    <w:sectPr w:rsidR="00BB491B" w:rsidRPr="004A719D" w:rsidSect="00F148C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3D72E" w14:textId="77777777" w:rsidR="006A0C2F" w:rsidRDefault="006A0C2F" w:rsidP="00BE5610">
      <w:r>
        <w:separator/>
      </w:r>
    </w:p>
  </w:endnote>
  <w:endnote w:type="continuationSeparator" w:id="0">
    <w:p w14:paraId="7C23CF05" w14:textId="77777777" w:rsidR="006A0C2F" w:rsidRDefault="006A0C2F" w:rsidP="00BE5610">
      <w:r>
        <w:continuationSeparator/>
      </w:r>
    </w:p>
  </w:endnote>
  <w:endnote w:type="continuationNotice" w:id="1">
    <w:p w14:paraId="52E453E8" w14:textId="77777777" w:rsidR="006A0C2F" w:rsidRDefault="006A0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843D5" w14:textId="77777777" w:rsidR="006A0C2F" w:rsidRDefault="006A0C2F" w:rsidP="00BE5610">
      <w:r>
        <w:separator/>
      </w:r>
    </w:p>
  </w:footnote>
  <w:footnote w:type="continuationSeparator" w:id="0">
    <w:p w14:paraId="56C9123D" w14:textId="77777777" w:rsidR="006A0C2F" w:rsidRDefault="006A0C2F" w:rsidP="00BE5610">
      <w:r>
        <w:continuationSeparator/>
      </w:r>
    </w:p>
  </w:footnote>
  <w:footnote w:type="continuationNotice" w:id="1">
    <w:p w14:paraId="393AC16F" w14:textId="77777777" w:rsidR="006A0C2F" w:rsidRDefault="006A0C2F"/>
  </w:footnote>
  <w:footnote w:id="2">
    <w:p w14:paraId="7780DAB6" w14:textId="77777777" w:rsidR="00386049" w:rsidRDefault="00386049" w:rsidP="00386049">
      <w:pPr>
        <w:pStyle w:val="FootnoteText"/>
      </w:pPr>
      <w:r>
        <w:rPr>
          <w:rStyle w:val="FootnoteReference"/>
        </w:rPr>
        <w:footnoteRef/>
      </w:r>
      <w:r>
        <w:t xml:space="preserve"> 3,000 cubic feet third block applies to 3/4-inch or smaller meter size. Other third block usage amounts are based on meter size factors established by the American Water Works Association and available in the proposed tariff.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3FDC2" w14:textId="3521F96A" w:rsidR="006A0C2F" w:rsidRPr="00296F3B" w:rsidRDefault="006A0C2F" w:rsidP="00BE5610">
    <w:pPr>
      <w:pStyle w:val="Header"/>
      <w:rPr>
        <w:sz w:val="20"/>
        <w:szCs w:val="20"/>
      </w:rPr>
    </w:pPr>
    <w:r w:rsidRPr="00296F3B">
      <w:rPr>
        <w:sz w:val="20"/>
        <w:szCs w:val="20"/>
      </w:rPr>
      <w:t>Docket</w:t>
    </w:r>
    <w:r>
      <w:rPr>
        <w:sz w:val="20"/>
        <w:szCs w:val="20"/>
      </w:rPr>
      <w:t xml:space="preserve"> UW-141363</w:t>
    </w:r>
  </w:p>
  <w:p w14:paraId="1F03FDC3" w14:textId="70E3B2EE" w:rsidR="006A0C2F" w:rsidRPr="00296F3B" w:rsidRDefault="00AB2812" w:rsidP="00BE5610">
    <w:pPr>
      <w:pStyle w:val="Header"/>
      <w:rPr>
        <w:sz w:val="20"/>
        <w:szCs w:val="20"/>
      </w:rPr>
    </w:pPr>
    <w:r>
      <w:rPr>
        <w:sz w:val="20"/>
        <w:szCs w:val="20"/>
      </w:rPr>
      <w:t>Dec</w:t>
    </w:r>
    <w:r w:rsidR="009F20B6">
      <w:rPr>
        <w:sz w:val="20"/>
        <w:szCs w:val="20"/>
      </w:rPr>
      <w:t>ember 30</w:t>
    </w:r>
    <w:r w:rsidR="006A0C2F" w:rsidRPr="00296F3B">
      <w:rPr>
        <w:sz w:val="20"/>
        <w:szCs w:val="20"/>
      </w:rPr>
      <w:t>, 201</w:t>
    </w:r>
    <w:r w:rsidR="006A0C2F">
      <w:rPr>
        <w:sz w:val="20"/>
        <w:szCs w:val="20"/>
      </w:rPr>
      <w:t>4</w:t>
    </w:r>
  </w:p>
  <w:p w14:paraId="1F03FDC4" w14:textId="77777777" w:rsidR="006A0C2F" w:rsidRDefault="006A0C2F"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F83615">
      <w:rPr>
        <w:noProof/>
        <w:sz w:val="20"/>
        <w:szCs w:val="20"/>
      </w:rPr>
      <w:t>2</w:t>
    </w:r>
    <w:r w:rsidRPr="00296F3B">
      <w:rPr>
        <w:sz w:val="20"/>
        <w:szCs w:val="20"/>
      </w:rPr>
      <w:fldChar w:fldCharType="end"/>
    </w:r>
  </w:p>
  <w:p w14:paraId="1F03FDC5" w14:textId="77777777" w:rsidR="006A0C2F" w:rsidRPr="00296F3B" w:rsidRDefault="006A0C2F" w:rsidP="00BE5610">
    <w:pPr>
      <w:pStyle w:val="Header"/>
      <w:rPr>
        <w:sz w:val="20"/>
        <w:szCs w:val="20"/>
      </w:rPr>
    </w:pPr>
  </w:p>
  <w:p w14:paraId="1F03FDC6" w14:textId="77777777" w:rsidR="006A0C2F" w:rsidRDefault="006A0C2F"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00B257AB"/>
    <w:multiLevelType w:val="hybridMultilevel"/>
    <w:tmpl w:val="C296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F0E50D0"/>
    <w:multiLevelType w:val="hybridMultilevel"/>
    <w:tmpl w:val="B2980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43A1837"/>
    <w:multiLevelType w:val="hybridMultilevel"/>
    <w:tmpl w:val="6DD8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AF1132E"/>
    <w:multiLevelType w:val="hybridMultilevel"/>
    <w:tmpl w:val="ED18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FD735B"/>
    <w:multiLevelType w:val="hybridMultilevel"/>
    <w:tmpl w:val="E4FC1BCA"/>
    <w:lvl w:ilvl="0" w:tplc="4B2C460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6571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6160C2"/>
    <w:multiLevelType w:val="hybridMultilevel"/>
    <w:tmpl w:val="8D882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A7F2DC7"/>
    <w:multiLevelType w:val="hybridMultilevel"/>
    <w:tmpl w:val="AE100EE2"/>
    <w:lvl w:ilvl="0" w:tplc="19425B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F2327D"/>
    <w:multiLevelType w:val="hybridMultilevel"/>
    <w:tmpl w:val="5230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D6088C"/>
    <w:multiLevelType w:val="hybridMultilevel"/>
    <w:tmpl w:val="15C6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46968FC"/>
    <w:multiLevelType w:val="hybridMultilevel"/>
    <w:tmpl w:val="5EDA4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95B1138"/>
    <w:multiLevelType w:val="hybridMultilevel"/>
    <w:tmpl w:val="A5B6AA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4">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1AF17EB"/>
    <w:multiLevelType w:val="hybridMultilevel"/>
    <w:tmpl w:val="4DA2B6F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7">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27"/>
  </w:num>
  <w:num w:numId="4">
    <w:abstractNumId w:val="30"/>
  </w:num>
  <w:num w:numId="5">
    <w:abstractNumId w:val="2"/>
  </w:num>
  <w:num w:numId="6">
    <w:abstractNumId w:val="4"/>
  </w:num>
  <w:num w:numId="7">
    <w:abstractNumId w:val="17"/>
  </w:num>
  <w:num w:numId="8">
    <w:abstractNumId w:val="31"/>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23"/>
  </w:num>
  <w:num w:numId="15">
    <w:abstractNumId w:val="11"/>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0"/>
  </w:num>
  <w:num w:numId="19">
    <w:abstractNumId w:val="22"/>
  </w:num>
  <w:num w:numId="20">
    <w:abstractNumId w:val="10"/>
  </w:num>
  <w:num w:numId="21">
    <w:abstractNumId w:val="37"/>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9"/>
  </w:num>
  <w:num w:numId="25">
    <w:abstractNumId w:val="16"/>
  </w:num>
  <w:num w:numId="26">
    <w:abstractNumId w:val="13"/>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18"/>
  </w:num>
  <w:num w:numId="30">
    <w:abstractNumId w:val="14"/>
  </w:num>
  <w:num w:numId="31">
    <w:abstractNumId w:val="29"/>
  </w:num>
  <w:num w:numId="32">
    <w:abstractNumId w:val="35"/>
  </w:num>
  <w:num w:numId="33">
    <w:abstractNumId w:val="26"/>
  </w:num>
  <w:num w:numId="34">
    <w:abstractNumId w:val="19"/>
  </w:num>
  <w:num w:numId="35">
    <w:abstractNumId w:val="7"/>
  </w:num>
  <w:num w:numId="36">
    <w:abstractNumId w:val="1"/>
  </w:num>
  <w:num w:numId="37">
    <w:abstractNumId w:val="12"/>
  </w:num>
  <w:num w:numId="38">
    <w:abstractNumId w:val="25"/>
  </w:num>
  <w:num w:numId="39">
    <w:abstractNumId w:val="32"/>
  </w:num>
  <w:num w:numId="40">
    <w:abstractNumId w:val="5"/>
  </w:num>
  <w:num w:numId="41">
    <w:abstractNumId w:val="21"/>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hideGrammaticalErrors/>
  <w:defaultTabStop w:val="720"/>
  <w:drawingGridHorizontalSpacing w:val="120"/>
  <w:displayHorizontalDrawingGridEvery w:val="2"/>
  <w:characterSpacingControl w:val="doNotCompress"/>
  <w:hdrShapeDefaults>
    <o:shapedefaults v:ext="edit" spidmax="1054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5828"/>
    <w:rsid w:val="00005B41"/>
    <w:rsid w:val="00005EB3"/>
    <w:rsid w:val="00006192"/>
    <w:rsid w:val="0000789A"/>
    <w:rsid w:val="00015DD8"/>
    <w:rsid w:val="0002544E"/>
    <w:rsid w:val="0002774D"/>
    <w:rsid w:val="00030B4E"/>
    <w:rsid w:val="0003714D"/>
    <w:rsid w:val="00043899"/>
    <w:rsid w:val="000458AC"/>
    <w:rsid w:val="0005270D"/>
    <w:rsid w:val="00052A2D"/>
    <w:rsid w:val="00053628"/>
    <w:rsid w:val="000536A2"/>
    <w:rsid w:val="00054CC9"/>
    <w:rsid w:val="00055945"/>
    <w:rsid w:val="00056752"/>
    <w:rsid w:val="00061746"/>
    <w:rsid w:val="000625B1"/>
    <w:rsid w:val="0006481C"/>
    <w:rsid w:val="00066C40"/>
    <w:rsid w:val="0006708E"/>
    <w:rsid w:val="00070C76"/>
    <w:rsid w:val="00070E98"/>
    <w:rsid w:val="0007123D"/>
    <w:rsid w:val="00072280"/>
    <w:rsid w:val="0008268C"/>
    <w:rsid w:val="00082892"/>
    <w:rsid w:val="00083B1B"/>
    <w:rsid w:val="00083D7B"/>
    <w:rsid w:val="00085451"/>
    <w:rsid w:val="00087D28"/>
    <w:rsid w:val="000908F4"/>
    <w:rsid w:val="000909CD"/>
    <w:rsid w:val="00090B62"/>
    <w:rsid w:val="00091DE4"/>
    <w:rsid w:val="00094B8B"/>
    <w:rsid w:val="00095127"/>
    <w:rsid w:val="00097E35"/>
    <w:rsid w:val="000B0C16"/>
    <w:rsid w:val="000B42B1"/>
    <w:rsid w:val="000B47FC"/>
    <w:rsid w:val="000B78DD"/>
    <w:rsid w:val="000C1B0B"/>
    <w:rsid w:val="000C2481"/>
    <w:rsid w:val="000C3CFE"/>
    <w:rsid w:val="000C3D4F"/>
    <w:rsid w:val="000D01D2"/>
    <w:rsid w:val="000D2D58"/>
    <w:rsid w:val="000D3B16"/>
    <w:rsid w:val="000D3CE0"/>
    <w:rsid w:val="000D6199"/>
    <w:rsid w:val="000D6DAF"/>
    <w:rsid w:val="000D706D"/>
    <w:rsid w:val="000D73B1"/>
    <w:rsid w:val="000E1DFC"/>
    <w:rsid w:val="000E3081"/>
    <w:rsid w:val="000E50DD"/>
    <w:rsid w:val="000E640C"/>
    <w:rsid w:val="000E714E"/>
    <w:rsid w:val="000F29ED"/>
    <w:rsid w:val="000F459D"/>
    <w:rsid w:val="000F6251"/>
    <w:rsid w:val="00103755"/>
    <w:rsid w:val="001047F2"/>
    <w:rsid w:val="0010556E"/>
    <w:rsid w:val="00106D72"/>
    <w:rsid w:val="00111EF9"/>
    <w:rsid w:val="0011233C"/>
    <w:rsid w:val="00112670"/>
    <w:rsid w:val="0011477E"/>
    <w:rsid w:val="00114B3D"/>
    <w:rsid w:val="00116BC6"/>
    <w:rsid w:val="00116FB7"/>
    <w:rsid w:val="0012342E"/>
    <w:rsid w:val="00124C0B"/>
    <w:rsid w:val="00125753"/>
    <w:rsid w:val="00126930"/>
    <w:rsid w:val="0013089B"/>
    <w:rsid w:val="00130B3D"/>
    <w:rsid w:val="0013149D"/>
    <w:rsid w:val="0013280A"/>
    <w:rsid w:val="0013423A"/>
    <w:rsid w:val="00135480"/>
    <w:rsid w:val="00136DD9"/>
    <w:rsid w:val="001375A5"/>
    <w:rsid w:val="00140589"/>
    <w:rsid w:val="00141434"/>
    <w:rsid w:val="001423FE"/>
    <w:rsid w:val="00142B36"/>
    <w:rsid w:val="00143CDB"/>
    <w:rsid w:val="0014659D"/>
    <w:rsid w:val="00154718"/>
    <w:rsid w:val="001603B0"/>
    <w:rsid w:val="0016055D"/>
    <w:rsid w:val="0016348F"/>
    <w:rsid w:val="001648E7"/>
    <w:rsid w:val="001649E3"/>
    <w:rsid w:val="0016545B"/>
    <w:rsid w:val="001677A6"/>
    <w:rsid w:val="00170B1B"/>
    <w:rsid w:val="00171102"/>
    <w:rsid w:val="00173A9E"/>
    <w:rsid w:val="00173F60"/>
    <w:rsid w:val="00175369"/>
    <w:rsid w:val="00177491"/>
    <w:rsid w:val="001824D0"/>
    <w:rsid w:val="00184151"/>
    <w:rsid w:val="0018457D"/>
    <w:rsid w:val="00186DB5"/>
    <w:rsid w:val="00187393"/>
    <w:rsid w:val="00187E0D"/>
    <w:rsid w:val="00190825"/>
    <w:rsid w:val="00191627"/>
    <w:rsid w:val="0019202D"/>
    <w:rsid w:val="001925EF"/>
    <w:rsid w:val="001A0A16"/>
    <w:rsid w:val="001A1500"/>
    <w:rsid w:val="001C15EF"/>
    <w:rsid w:val="001C30BF"/>
    <w:rsid w:val="001C438A"/>
    <w:rsid w:val="001C5AB1"/>
    <w:rsid w:val="001C7DFD"/>
    <w:rsid w:val="001D2A48"/>
    <w:rsid w:val="001D2F7A"/>
    <w:rsid w:val="001D4BFC"/>
    <w:rsid w:val="001E0047"/>
    <w:rsid w:val="001E0702"/>
    <w:rsid w:val="001E11F9"/>
    <w:rsid w:val="001E1BE5"/>
    <w:rsid w:val="001F30F9"/>
    <w:rsid w:val="001F3323"/>
    <w:rsid w:val="001F3D7A"/>
    <w:rsid w:val="001F465E"/>
    <w:rsid w:val="002027E0"/>
    <w:rsid w:val="00204D11"/>
    <w:rsid w:val="00207F8D"/>
    <w:rsid w:val="00212D43"/>
    <w:rsid w:val="0021363E"/>
    <w:rsid w:val="0022116C"/>
    <w:rsid w:val="002218EF"/>
    <w:rsid w:val="002257DF"/>
    <w:rsid w:val="00226657"/>
    <w:rsid w:val="002277F9"/>
    <w:rsid w:val="00227DC0"/>
    <w:rsid w:val="00241B80"/>
    <w:rsid w:val="00244A84"/>
    <w:rsid w:val="00246192"/>
    <w:rsid w:val="002551C3"/>
    <w:rsid w:val="00260D57"/>
    <w:rsid w:val="002622A8"/>
    <w:rsid w:val="002632B7"/>
    <w:rsid w:val="002633A1"/>
    <w:rsid w:val="00266104"/>
    <w:rsid w:val="002678F8"/>
    <w:rsid w:val="002747EF"/>
    <w:rsid w:val="002763F6"/>
    <w:rsid w:val="00277380"/>
    <w:rsid w:val="00280915"/>
    <w:rsid w:val="00283AD9"/>
    <w:rsid w:val="00285152"/>
    <w:rsid w:val="002863C0"/>
    <w:rsid w:val="00291958"/>
    <w:rsid w:val="00292F9A"/>
    <w:rsid w:val="00294AE3"/>
    <w:rsid w:val="00294B74"/>
    <w:rsid w:val="00295745"/>
    <w:rsid w:val="00296F3B"/>
    <w:rsid w:val="00297CF8"/>
    <w:rsid w:val="002A17FD"/>
    <w:rsid w:val="002A4E8A"/>
    <w:rsid w:val="002A70D7"/>
    <w:rsid w:val="002A7813"/>
    <w:rsid w:val="002B5724"/>
    <w:rsid w:val="002B5EB2"/>
    <w:rsid w:val="002C039A"/>
    <w:rsid w:val="002C20B0"/>
    <w:rsid w:val="002C23B9"/>
    <w:rsid w:val="002C6110"/>
    <w:rsid w:val="002C786B"/>
    <w:rsid w:val="002D013F"/>
    <w:rsid w:val="002D0666"/>
    <w:rsid w:val="002D1B3F"/>
    <w:rsid w:val="002D33FC"/>
    <w:rsid w:val="002D357E"/>
    <w:rsid w:val="002E14D4"/>
    <w:rsid w:val="002E50C7"/>
    <w:rsid w:val="002F0BC8"/>
    <w:rsid w:val="002F3890"/>
    <w:rsid w:val="002F70BE"/>
    <w:rsid w:val="00300789"/>
    <w:rsid w:val="00300D92"/>
    <w:rsid w:val="00301106"/>
    <w:rsid w:val="00305DB3"/>
    <w:rsid w:val="00311C54"/>
    <w:rsid w:val="003202A6"/>
    <w:rsid w:val="003219B9"/>
    <w:rsid w:val="00323034"/>
    <w:rsid w:val="00324289"/>
    <w:rsid w:val="00325AE5"/>
    <w:rsid w:val="00330C32"/>
    <w:rsid w:val="00333221"/>
    <w:rsid w:val="00334A7C"/>
    <w:rsid w:val="0033585C"/>
    <w:rsid w:val="00336E17"/>
    <w:rsid w:val="00337C05"/>
    <w:rsid w:val="00337E6C"/>
    <w:rsid w:val="00340C02"/>
    <w:rsid w:val="00343D06"/>
    <w:rsid w:val="00353F90"/>
    <w:rsid w:val="00354852"/>
    <w:rsid w:val="003555E4"/>
    <w:rsid w:val="00355F2E"/>
    <w:rsid w:val="0036038B"/>
    <w:rsid w:val="00364890"/>
    <w:rsid w:val="00367ED5"/>
    <w:rsid w:val="00374832"/>
    <w:rsid w:val="00382420"/>
    <w:rsid w:val="003835E6"/>
    <w:rsid w:val="00384A19"/>
    <w:rsid w:val="00385F54"/>
    <w:rsid w:val="00386049"/>
    <w:rsid w:val="00392579"/>
    <w:rsid w:val="0039291C"/>
    <w:rsid w:val="00396F67"/>
    <w:rsid w:val="003A3419"/>
    <w:rsid w:val="003A5256"/>
    <w:rsid w:val="003A5258"/>
    <w:rsid w:val="003B4D1C"/>
    <w:rsid w:val="003B5083"/>
    <w:rsid w:val="003B700C"/>
    <w:rsid w:val="003C166B"/>
    <w:rsid w:val="003C16E8"/>
    <w:rsid w:val="003C3EC8"/>
    <w:rsid w:val="003C4EB8"/>
    <w:rsid w:val="003C73AC"/>
    <w:rsid w:val="003D0238"/>
    <w:rsid w:val="003D1E26"/>
    <w:rsid w:val="003D2276"/>
    <w:rsid w:val="003D25A3"/>
    <w:rsid w:val="003D3146"/>
    <w:rsid w:val="003D717F"/>
    <w:rsid w:val="003D79BC"/>
    <w:rsid w:val="003E0403"/>
    <w:rsid w:val="003E6D45"/>
    <w:rsid w:val="003F0972"/>
    <w:rsid w:val="004054A0"/>
    <w:rsid w:val="00405F3D"/>
    <w:rsid w:val="00411F64"/>
    <w:rsid w:val="00412BB9"/>
    <w:rsid w:val="004130B4"/>
    <w:rsid w:val="0042193D"/>
    <w:rsid w:val="00424794"/>
    <w:rsid w:val="00426C82"/>
    <w:rsid w:val="00430880"/>
    <w:rsid w:val="00433FDC"/>
    <w:rsid w:val="00436288"/>
    <w:rsid w:val="00441C74"/>
    <w:rsid w:val="004456FB"/>
    <w:rsid w:val="00450175"/>
    <w:rsid w:val="00450267"/>
    <w:rsid w:val="00451AF9"/>
    <w:rsid w:val="0045370F"/>
    <w:rsid w:val="0045498E"/>
    <w:rsid w:val="00454D15"/>
    <w:rsid w:val="00455301"/>
    <w:rsid w:val="00456888"/>
    <w:rsid w:val="00456EC7"/>
    <w:rsid w:val="0046340E"/>
    <w:rsid w:val="004653F7"/>
    <w:rsid w:val="00466174"/>
    <w:rsid w:val="0046632D"/>
    <w:rsid w:val="0046783B"/>
    <w:rsid w:val="00470AE0"/>
    <w:rsid w:val="00470DFC"/>
    <w:rsid w:val="00470F19"/>
    <w:rsid w:val="00472DF2"/>
    <w:rsid w:val="00473F57"/>
    <w:rsid w:val="00481178"/>
    <w:rsid w:val="00482338"/>
    <w:rsid w:val="004838E1"/>
    <w:rsid w:val="00487BA4"/>
    <w:rsid w:val="00491963"/>
    <w:rsid w:val="004944F2"/>
    <w:rsid w:val="00495B71"/>
    <w:rsid w:val="00496744"/>
    <w:rsid w:val="00496D3A"/>
    <w:rsid w:val="00497530"/>
    <w:rsid w:val="004A4C9C"/>
    <w:rsid w:val="004A5C6A"/>
    <w:rsid w:val="004A691E"/>
    <w:rsid w:val="004A719D"/>
    <w:rsid w:val="004B1AA8"/>
    <w:rsid w:val="004B4548"/>
    <w:rsid w:val="004B7D5F"/>
    <w:rsid w:val="004C0811"/>
    <w:rsid w:val="004C36DF"/>
    <w:rsid w:val="004C5605"/>
    <w:rsid w:val="004C7A3E"/>
    <w:rsid w:val="004D4EF6"/>
    <w:rsid w:val="004D5E19"/>
    <w:rsid w:val="004D62C2"/>
    <w:rsid w:val="004D736E"/>
    <w:rsid w:val="004D7E01"/>
    <w:rsid w:val="004E0141"/>
    <w:rsid w:val="004F009E"/>
    <w:rsid w:val="004F127E"/>
    <w:rsid w:val="004F25D5"/>
    <w:rsid w:val="004F6CEF"/>
    <w:rsid w:val="00500DE6"/>
    <w:rsid w:val="00504DB9"/>
    <w:rsid w:val="00507302"/>
    <w:rsid w:val="005123FF"/>
    <w:rsid w:val="005131DE"/>
    <w:rsid w:val="005153B7"/>
    <w:rsid w:val="00515B98"/>
    <w:rsid w:val="00527CF8"/>
    <w:rsid w:val="00533DBE"/>
    <w:rsid w:val="005370FF"/>
    <w:rsid w:val="00543E8C"/>
    <w:rsid w:val="00544DDE"/>
    <w:rsid w:val="005512A7"/>
    <w:rsid w:val="00552600"/>
    <w:rsid w:val="00552E11"/>
    <w:rsid w:val="005561C1"/>
    <w:rsid w:val="00557E18"/>
    <w:rsid w:val="00562B0E"/>
    <w:rsid w:val="0056400F"/>
    <w:rsid w:val="005642D2"/>
    <w:rsid w:val="005663D1"/>
    <w:rsid w:val="00566AD5"/>
    <w:rsid w:val="0056751B"/>
    <w:rsid w:val="00567B46"/>
    <w:rsid w:val="0057047C"/>
    <w:rsid w:val="00570F2C"/>
    <w:rsid w:val="005710F7"/>
    <w:rsid w:val="00576269"/>
    <w:rsid w:val="0058025E"/>
    <w:rsid w:val="00587079"/>
    <w:rsid w:val="0059122B"/>
    <w:rsid w:val="005912C3"/>
    <w:rsid w:val="00591A12"/>
    <w:rsid w:val="00591D1D"/>
    <w:rsid w:val="00593B58"/>
    <w:rsid w:val="00595023"/>
    <w:rsid w:val="0059540A"/>
    <w:rsid w:val="00595B75"/>
    <w:rsid w:val="00596D05"/>
    <w:rsid w:val="00597882"/>
    <w:rsid w:val="005A6C74"/>
    <w:rsid w:val="005A71C6"/>
    <w:rsid w:val="005B04F4"/>
    <w:rsid w:val="005B4C72"/>
    <w:rsid w:val="005B6246"/>
    <w:rsid w:val="005B6F3C"/>
    <w:rsid w:val="005C0568"/>
    <w:rsid w:val="005C15D1"/>
    <w:rsid w:val="005C1C4B"/>
    <w:rsid w:val="005C440D"/>
    <w:rsid w:val="005C4415"/>
    <w:rsid w:val="005D4CA4"/>
    <w:rsid w:val="005D7925"/>
    <w:rsid w:val="005E3FC7"/>
    <w:rsid w:val="005F059A"/>
    <w:rsid w:val="005F136C"/>
    <w:rsid w:val="005F222C"/>
    <w:rsid w:val="005F2C6B"/>
    <w:rsid w:val="005F51F2"/>
    <w:rsid w:val="00603AE2"/>
    <w:rsid w:val="00603AF9"/>
    <w:rsid w:val="006070AC"/>
    <w:rsid w:val="006073FE"/>
    <w:rsid w:val="00615539"/>
    <w:rsid w:val="00616813"/>
    <w:rsid w:val="00617F14"/>
    <w:rsid w:val="0062191D"/>
    <w:rsid w:val="0062474A"/>
    <w:rsid w:val="00626264"/>
    <w:rsid w:val="006308C7"/>
    <w:rsid w:val="00631C8E"/>
    <w:rsid w:val="00641A44"/>
    <w:rsid w:val="00642AC3"/>
    <w:rsid w:val="0064326E"/>
    <w:rsid w:val="006434BB"/>
    <w:rsid w:val="006449EA"/>
    <w:rsid w:val="00645A0C"/>
    <w:rsid w:val="00647ECD"/>
    <w:rsid w:val="00653050"/>
    <w:rsid w:val="00653A10"/>
    <w:rsid w:val="00654D5A"/>
    <w:rsid w:val="00656E56"/>
    <w:rsid w:val="00656F93"/>
    <w:rsid w:val="006618F0"/>
    <w:rsid w:val="00661F4F"/>
    <w:rsid w:val="00666EDE"/>
    <w:rsid w:val="006700B0"/>
    <w:rsid w:val="00671E46"/>
    <w:rsid w:val="00672F7B"/>
    <w:rsid w:val="00673B06"/>
    <w:rsid w:val="0067486D"/>
    <w:rsid w:val="0068197A"/>
    <w:rsid w:val="00682BE7"/>
    <w:rsid w:val="00683780"/>
    <w:rsid w:val="0068432F"/>
    <w:rsid w:val="00684C49"/>
    <w:rsid w:val="0069302C"/>
    <w:rsid w:val="00693188"/>
    <w:rsid w:val="00695625"/>
    <w:rsid w:val="006A021F"/>
    <w:rsid w:val="006A0C2F"/>
    <w:rsid w:val="006A41EE"/>
    <w:rsid w:val="006A4887"/>
    <w:rsid w:val="006A4895"/>
    <w:rsid w:val="006A4CB0"/>
    <w:rsid w:val="006B4513"/>
    <w:rsid w:val="006B495A"/>
    <w:rsid w:val="006B51B8"/>
    <w:rsid w:val="006B6D42"/>
    <w:rsid w:val="006B795B"/>
    <w:rsid w:val="006C013C"/>
    <w:rsid w:val="006C3712"/>
    <w:rsid w:val="006C714F"/>
    <w:rsid w:val="006D0B53"/>
    <w:rsid w:val="006D15C2"/>
    <w:rsid w:val="006D22CE"/>
    <w:rsid w:val="006D3CEA"/>
    <w:rsid w:val="006D52E1"/>
    <w:rsid w:val="006E0F8C"/>
    <w:rsid w:val="006E0FA9"/>
    <w:rsid w:val="006E1B69"/>
    <w:rsid w:val="006E3B58"/>
    <w:rsid w:val="006E60BA"/>
    <w:rsid w:val="006E610A"/>
    <w:rsid w:val="006F0C2F"/>
    <w:rsid w:val="006F0FB6"/>
    <w:rsid w:val="006F113F"/>
    <w:rsid w:val="006F6487"/>
    <w:rsid w:val="006F6D87"/>
    <w:rsid w:val="006F6EE1"/>
    <w:rsid w:val="00704124"/>
    <w:rsid w:val="00704631"/>
    <w:rsid w:val="00705164"/>
    <w:rsid w:val="00705BBD"/>
    <w:rsid w:val="0071402F"/>
    <w:rsid w:val="00715204"/>
    <w:rsid w:val="007152C4"/>
    <w:rsid w:val="00716E8B"/>
    <w:rsid w:val="007207CD"/>
    <w:rsid w:val="007210FE"/>
    <w:rsid w:val="007228E4"/>
    <w:rsid w:val="00723388"/>
    <w:rsid w:val="00724BB0"/>
    <w:rsid w:val="007261E5"/>
    <w:rsid w:val="00727399"/>
    <w:rsid w:val="007335C6"/>
    <w:rsid w:val="00734BC8"/>
    <w:rsid w:val="00736FD7"/>
    <w:rsid w:val="00743A51"/>
    <w:rsid w:val="00746397"/>
    <w:rsid w:val="00751B5E"/>
    <w:rsid w:val="00751E73"/>
    <w:rsid w:val="00754ED6"/>
    <w:rsid w:val="00760472"/>
    <w:rsid w:val="007611CF"/>
    <w:rsid w:val="0076382B"/>
    <w:rsid w:val="0076679B"/>
    <w:rsid w:val="00767BDD"/>
    <w:rsid w:val="00767DEC"/>
    <w:rsid w:val="00772F17"/>
    <w:rsid w:val="00773CAD"/>
    <w:rsid w:val="00774275"/>
    <w:rsid w:val="00774540"/>
    <w:rsid w:val="00776D6C"/>
    <w:rsid w:val="00776E58"/>
    <w:rsid w:val="00784726"/>
    <w:rsid w:val="007878B5"/>
    <w:rsid w:val="00790302"/>
    <w:rsid w:val="007913E9"/>
    <w:rsid w:val="0079365D"/>
    <w:rsid w:val="00795178"/>
    <w:rsid w:val="0079709F"/>
    <w:rsid w:val="007A0BDB"/>
    <w:rsid w:val="007A1DFE"/>
    <w:rsid w:val="007A59D5"/>
    <w:rsid w:val="007A75F8"/>
    <w:rsid w:val="007B0BE0"/>
    <w:rsid w:val="007B29CE"/>
    <w:rsid w:val="007B435C"/>
    <w:rsid w:val="007B716E"/>
    <w:rsid w:val="007C75D8"/>
    <w:rsid w:val="007D3777"/>
    <w:rsid w:val="007D55AE"/>
    <w:rsid w:val="007E489C"/>
    <w:rsid w:val="007E5B2C"/>
    <w:rsid w:val="007E6BA7"/>
    <w:rsid w:val="007E71A3"/>
    <w:rsid w:val="007F13D3"/>
    <w:rsid w:val="007F26EF"/>
    <w:rsid w:val="007F30B1"/>
    <w:rsid w:val="007F60C5"/>
    <w:rsid w:val="008001DC"/>
    <w:rsid w:val="0080117F"/>
    <w:rsid w:val="008020A5"/>
    <w:rsid w:val="008111DE"/>
    <w:rsid w:val="00811645"/>
    <w:rsid w:val="008116D0"/>
    <w:rsid w:val="008138E1"/>
    <w:rsid w:val="00815B53"/>
    <w:rsid w:val="008165AD"/>
    <w:rsid w:val="00816612"/>
    <w:rsid w:val="00816F41"/>
    <w:rsid w:val="00823690"/>
    <w:rsid w:val="00825773"/>
    <w:rsid w:val="00826C0C"/>
    <w:rsid w:val="00826F11"/>
    <w:rsid w:val="00827BE3"/>
    <w:rsid w:val="00832CE0"/>
    <w:rsid w:val="00853B63"/>
    <w:rsid w:val="00854110"/>
    <w:rsid w:val="0085598E"/>
    <w:rsid w:val="008630EA"/>
    <w:rsid w:val="00863543"/>
    <w:rsid w:val="00864F6E"/>
    <w:rsid w:val="0087483A"/>
    <w:rsid w:val="00877282"/>
    <w:rsid w:val="008801B8"/>
    <w:rsid w:val="008871CF"/>
    <w:rsid w:val="00894BC9"/>
    <w:rsid w:val="0089542B"/>
    <w:rsid w:val="008A0B0B"/>
    <w:rsid w:val="008A20BF"/>
    <w:rsid w:val="008A350E"/>
    <w:rsid w:val="008A6E88"/>
    <w:rsid w:val="008B0C20"/>
    <w:rsid w:val="008B479D"/>
    <w:rsid w:val="008B4AA0"/>
    <w:rsid w:val="008B52CF"/>
    <w:rsid w:val="008B762F"/>
    <w:rsid w:val="008C168F"/>
    <w:rsid w:val="008C1A57"/>
    <w:rsid w:val="008C1E17"/>
    <w:rsid w:val="008C26CE"/>
    <w:rsid w:val="008C5A41"/>
    <w:rsid w:val="008C6A5A"/>
    <w:rsid w:val="008C7E6D"/>
    <w:rsid w:val="008D0AAC"/>
    <w:rsid w:val="008E2364"/>
    <w:rsid w:val="008E5A4E"/>
    <w:rsid w:val="008E5CD6"/>
    <w:rsid w:val="00901675"/>
    <w:rsid w:val="00901E60"/>
    <w:rsid w:val="0090228D"/>
    <w:rsid w:val="0090640F"/>
    <w:rsid w:val="009116F3"/>
    <w:rsid w:val="0091589C"/>
    <w:rsid w:val="00915BD4"/>
    <w:rsid w:val="009206A2"/>
    <w:rsid w:val="009247A3"/>
    <w:rsid w:val="00924E13"/>
    <w:rsid w:val="0092593B"/>
    <w:rsid w:val="00926924"/>
    <w:rsid w:val="009270B9"/>
    <w:rsid w:val="0093048B"/>
    <w:rsid w:val="00935AF2"/>
    <w:rsid w:val="0094358B"/>
    <w:rsid w:val="009506B9"/>
    <w:rsid w:val="00951306"/>
    <w:rsid w:val="00952AA0"/>
    <w:rsid w:val="00955792"/>
    <w:rsid w:val="00955B44"/>
    <w:rsid w:val="009603D1"/>
    <w:rsid w:val="00960675"/>
    <w:rsid w:val="00962F41"/>
    <w:rsid w:val="00967F91"/>
    <w:rsid w:val="00970C51"/>
    <w:rsid w:val="00972C39"/>
    <w:rsid w:val="00972EE7"/>
    <w:rsid w:val="009768A1"/>
    <w:rsid w:val="00983416"/>
    <w:rsid w:val="00983543"/>
    <w:rsid w:val="00984AEE"/>
    <w:rsid w:val="00987DB6"/>
    <w:rsid w:val="00991C5B"/>
    <w:rsid w:val="00992790"/>
    <w:rsid w:val="00992914"/>
    <w:rsid w:val="009A01B8"/>
    <w:rsid w:val="009B2F83"/>
    <w:rsid w:val="009B5DCE"/>
    <w:rsid w:val="009B696D"/>
    <w:rsid w:val="009C1F16"/>
    <w:rsid w:val="009C79E8"/>
    <w:rsid w:val="009D109C"/>
    <w:rsid w:val="009D2A93"/>
    <w:rsid w:val="009D6766"/>
    <w:rsid w:val="009D716A"/>
    <w:rsid w:val="009E0D5C"/>
    <w:rsid w:val="009E4F48"/>
    <w:rsid w:val="009F20B6"/>
    <w:rsid w:val="009F2F5A"/>
    <w:rsid w:val="00A01C65"/>
    <w:rsid w:val="00A0210E"/>
    <w:rsid w:val="00A04699"/>
    <w:rsid w:val="00A06A46"/>
    <w:rsid w:val="00A10E54"/>
    <w:rsid w:val="00A11045"/>
    <w:rsid w:val="00A201C0"/>
    <w:rsid w:val="00A26FD3"/>
    <w:rsid w:val="00A271A6"/>
    <w:rsid w:val="00A274A1"/>
    <w:rsid w:val="00A2758F"/>
    <w:rsid w:val="00A32222"/>
    <w:rsid w:val="00A33CC3"/>
    <w:rsid w:val="00A33CED"/>
    <w:rsid w:val="00A34715"/>
    <w:rsid w:val="00A41C23"/>
    <w:rsid w:val="00A427EC"/>
    <w:rsid w:val="00A42E8D"/>
    <w:rsid w:val="00A5145E"/>
    <w:rsid w:val="00A52858"/>
    <w:rsid w:val="00A54FAB"/>
    <w:rsid w:val="00A6009F"/>
    <w:rsid w:val="00A60613"/>
    <w:rsid w:val="00A60D96"/>
    <w:rsid w:val="00A631C7"/>
    <w:rsid w:val="00A6370F"/>
    <w:rsid w:val="00A64CC7"/>
    <w:rsid w:val="00A67402"/>
    <w:rsid w:val="00A7048A"/>
    <w:rsid w:val="00A70E29"/>
    <w:rsid w:val="00A726C4"/>
    <w:rsid w:val="00A73C46"/>
    <w:rsid w:val="00A77152"/>
    <w:rsid w:val="00A8090E"/>
    <w:rsid w:val="00A813D0"/>
    <w:rsid w:val="00A822CA"/>
    <w:rsid w:val="00A82CAE"/>
    <w:rsid w:val="00A84C2A"/>
    <w:rsid w:val="00A85688"/>
    <w:rsid w:val="00A86F90"/>
    <w:rsid w:val="00A8749C"/>
    <w:rsid w:val="00A902E8"/>
    <w:rsid w:val="00A92B72"/>
    <w:rsid w:val="00A9538D"/>
    <w:rsid w:val="00AA2503"/>
    <w:rsid w:val="00AB2812"/>
    <w:rsid w:val="00AC0C97"/>
    <w:rsid w:val="00AC695A"/>
    <w:rsid w:val="00AC6F3A"/>
    <w:rsid w:val="00AD0599"/>
    <w:rsid w:val="00AD059D"/>
    <w:rsid w:val="00AD0897"/>
    <w:rsid w:val="00AD1824"/>
    <w:rsid w:val="00AD2297"/>
    <w:rsid w:val="00AD3312"/>
    <w:rsid w:val="00AD3DD8"/>
    <w:rsid w:val="00AD4B87"/>
    <w:rsid w:val="00AE0092"/>
    <w:rsid w:val="00AE0900"/>
    <w:rsid w:val="00AE0FE1"/>
    <w:rsid w:val="00AF0B54"/>
    <w:rsid w:val="00AF1904"/>
    <w:rsid w:val="00AF1D42"/>
    <w:rsid w:val="00AF5800"/>
    <w:rsid w:val="00AF6993"/>
    <w:rsid w:val="00AF6B3F"/>
    <w:rsid w:val="00B00171"/>
    <w:rsid w:val="00B03361"/>
    <w:rsid w:val="00B06ED2"/>
    <w:rsid w:val="00B07BCB"/>
    <w:rsid w:val="00B13041"/>
    <w:rsid w:val="00B131E1"/>
    <w:rsid w:val="00B14362"/>
    <w:rsid w:val="00B14973"/>
    <w:rsid w:val="00B1560C"/>
    <w:rsid w:val="00B1586B"/>
    <w:rsid w:val="00B23AFE"/>
    <w:rsid w:val="00B26620"/>
    <w:rsid w:val="00B33485"/>
    <w:rsid w:val="00B34845"/>
    <w:rsid w:val="00B35380"/>
    <w:rsid w:val="00B360DD"/>
    <w:rsid w:val="00B3778D"/>
    <w:rsid w:val="00B402B4"/>
    <w:rsid w:val="00B425D9"/>
    <w:rsid w:val="00B42AD0"/>
    <w:rsid w:val="00B451F0"/>
    <w:rsid w:val="00B45CF2"/>
    <w:rsid w:val="00B46C5C"/>
    <w:rsid w:val="00B47288"/>
    <w:rsid w:val="00B51910"/>
    <w:rsid w:val="00B5220D"/>
    <w:rsid w:val="00B5241C"/>
    <w:rsid w:val="00B55CD3"/>
    <w:rsid w:val="00B56E98"/>
    <w:rsid w:val="00B603AA"/>
    <w:rsid w:val="00B639FC"/>
    <w:rsid w:val="00B71DC1"/>
    <w:rsid w:val="00B726EF"/>
    <w:rsid w:val="00B7757B"/>
    <w:rsid w:val="00B84E56"/>
    <w:rsid w:val="00B93044"/>
    <w:rsid w:val="00B96622"/>
    <w:rsid w:val="00B97113"/>
    <w:rsid w:val="00BA0EB0"/>
    <w:rsid w:val="00BA3D1B"/>
    <w:rsid w:val="00BA5FEB"/>
    <w:rsid w:val="00BB2331"/>
    <w:rsid w:val="00BB491B"/>
    <w:rsid w:val="00BB5FB8"/>
    <w:rsid w:val="00BC03F3"/>
    <w:rsid w:val="00BD138F"/>
    <w:rsid w:val="00BD39EF"/>
    <w:rsid w:val="00BD3C85"/>
    <w:rsid w:val="00BD7D8F"/>
    <w:rsid w:val="00BE1CB5"/>
    <w:rsid w:val="00BE5610"/>
    <w:rsid w:val="00BE7775"/>
    <w:rsid w:val="00BF0C3B"/>
    <w:rsid w:val="00BF2510"/>
    <w:rsid w:val="00BF6BCD"/>
    <w:rsid w:val="00C011D5"/>
    <w:rsid w:val="00C015E1"/>
    <w:rsid w:val="00C02F07"/>
    <w:rsid w:val="00C03AA9"/>
    <w:rsid w:val="00C04668"/>
    <w:rsid w:val="00C04B51"/>
    <w:rsid w:val="00C04FF5"/>
    <w:rsid w:val="00C05DD3"/>
    <w:rsid w:val="00C0624C"/>
    <w:rsid w:val="00C062C0"/>
    <w:rsid w:val="00C07C24"/>
    <w:rsid w:val="00C1289B"/>
    <w:rsid w:val="00C1691C"/>
    <w:rsid w:val="00C250F7"/>
    <w:rsid w:val="00C30070"/>
    <w:rsid w:val="00C3215E"/>
    <w:rsid w:val="00C34261"/>
    <w:rsid w:val="00C36001"/>
    <w:rsid w:val="00C36CE0"/>
    <w:rsid w:val="00C36D30"/>
    <w:rsid w:val="00C41982"/>
    <w:rsid w:val="00C41B31"/>
    <w:rsid w:val="00C4224C"/>
    <w:rsid w:val="00C42A41"/>
    <w:rsid w:val="00C45EB9"/>
    <w:rsid w:val="00C62DC4"/>
    <w:rsid w:val="00C647EB"/>
    <w:rsid w:val="00C664C2"/>
    <w:rsid w:val="00C71EF8"/>
    <w:rsid w:val="00C9197F"/>
    <w:rsid w:val="00C92705"/>
    <w:rsid w:val="00C9274A"/>
    <w:rsid w:val="00CA04A7"/>
    <w:rsid w:val="00CA22AF"/>
    <w:rsid w:val="00CA3026"/>
    <w:rsid w:val="00CA50F7"/>
    <w:rsid w:val="00CA6007"/>
    <w:rsid w:val="00CA6D70"/>
    <w:rsid w:val="00CB0525"/>
    <w:rsid w:val="00CB1B63"/>
    <w:rsid w:val="00CC3EE4"/>
    <w:rsid w:val="00CC4FE2"/>
    <w:rsid w:val="00CD43F1"/>
    <w:rsid w:val="00CD758B"/>
    <w:rsid w:val="00CE1DDD"/>
    <w:rsid w:val="00CE7267"/>
    <w:rsid w:val="00CE7D56"/>
    <w:rsid w:val="00CE7DEB"/>
    <w:rsid w:val="00CF014F"/>
    <w:rsid w:val="00CF0CB9"/>
    <w:rsid w:val="00CF1AA4"/>
    <w:rsid w:val="00CF4EB3"/>
    <w:rsid w:val="00CF66D8"/>
    <w:rsid w:val="00D00B3A"/>
    <w:rsid w:val="00D0403B"/>
    <w:rsid w:val="00D04D37"/>
    <w:rsid w:val="00D108C7"/>
    <w:rsid w:val="00D10C98"/>
    <w:rsid w:val="00D12576"/>
    <w:rsid w:val="00D12988"/>
    <w:rsid w:val="00D12B32"/>
    <w:rsid w:val="00D27B1C"/>
    <w:rsid w:val="00D30196"/>
    <w:rsid w:val="00D304AE"/>
    <w:rsid w:val="00D30C52"/>
    <w:rsid w:val="00D31072"/>
    <w:rsid w:val="00D31B70"/>
    <w:rsid w:val="00D327D0"/>
    <w:rsid w:val="00D33FD2"/>
    <w:rsid w:val="00D37B53"/>
    <w:rsid w:val="00D4160B"/>
    <w:rsid w:val="00D4166C"/>
    <w:rsid w:val="00D44D58"/>
    <w:rsid w:val="00D47789"/>
    <w:rsid w:val="00D53F2F"/>
    <w:rsid w:val="00D56595"/>
    <w:rsid w:val="00D57ADC"/>
    <w:rsid w:val="00D6298E"/>
    <w:rsid w:val="00D62F0D"/>
    <w:rsid w:val="00D63193"/>
    <w:rsid w:val="00D65C0A"/>
    <w:rsid w:val="00D662D4"/>
    <w:rsid w:val="00D70105"/>
    <w:rsid w:val="00D7092F"/>
    <w:rsid w:val="00D7596F"/>
    <w:rsid w:val="00D764C7"/>
    <w:rsid w:val="00D7659F"/>
    <w:rsid w:val="00D7684A"/>
    <w:rsid w:val="00D77A03"/>
    <w:rsid w:val="00D80776"/>
    <w:rsid w:val="00D84E69"/>
    <w:rsid w:val="00D93349"/>
    <w:rsid w:val="00D96246"/>
    <w:rsid w:val="00D96F9A"/>
    <w:rsid w:val="00DA0C11"/>
    <w:rsid w:val="00DA1B86"/>
    <w:rsid w:val="00DA64A1"/>
    <w:rsid w:val="00DB145D"/>
    <w:rsid w:val="00DB187D"/>
    <w:rsid w:val="00DB3767"/>
    <w:rsid w:val="00DB46DB"/>
    <w:rsid w:val="00DC12EE"/>
    <w:rsid w:val="00DC1F19"/>
    <w:rsid w:val="00DD27FE"/>
    <w:rsid w:val="00DD2A47"/>
    <w:rsid w:val="00DD5876"/>
    <w:rsid w:val="00DD65A6"/>
    <w:rsid w:val="00DD6714"/>
    <w:rsid w:val="00DE29E0"/>
    <w:rsid w:val="00DF2E8D"/>
    <w:rsid w:val="00E001DD"/>
    <w:rsid w:val="00E01425"/>
    <w:rsid w:val="00E02017"/>
    <w:rsid w:val="00E03508"/>
    <w:rsid w:val="00E06470"/>
    <w:rsid w:val="00E070E1"/>
    <w:rsid w:val="00E16AEF"/>
    <w:rsid w:val="00E21E65"/>
    <w:rsid w:val="00E2394B"/>
    <w:rsid w:val="00E24838"/>
    <w:rsid w:val="00E256DF"/>
    <w:rsid w:val="00E26DE6"/>
    <w:rsid w:val="00E273D7"/>
    <w:rsid w:val="00E3025E"/>
    <w:rsid w:val="00E3132D"/>
    <w:rsid w:val="00E35D9D"/>
    <w:rsid w:val="00E37996"/>
    <w:rsid w:val="00E4351B"/>
    <w:rsid w:val="00E47492"/>
    <w:rsid w:val="00E47FD4"/>
    <w:rsid w:val="00E50801"/>
    <w:rsid w:val="00E50A27"/>
    <w:rsid w:val="00E50D5F"/>
    <w:rsid w:val="00E53B48"/>
    <w:rsid w:val="00E55F48"/>
    <w:rsid w:val="00E60353"/>
    <w:rsid w:val="00E62E77"/>
    <w:rsid w:val="00E63C59"/>
    <w:rsid w:val="00E6401F"/>
    <w:rsid w:val="00E67082"/>
    <w:rsid w:val="00E7669C"/>
    <w:rsid w:val="00E76CBF"/>
    <w:rsid w:val="00E80A28"/>
    <w:rsid w:val="00E8562C"/>
    <w:rsid w:val="00E864B6"/>
    <w:rsid w:val="00E941B2"/>
    <w:rsid w:val="00E96BCC"/>
    <w:rsid w:val="00EA1079"/>
    <w:rsid w:val="00EA2626"/>
    <w:rsid w:val="00EA52A5"/>
    <w:rsid w:val="00EB024F"/>
    <w:rsid w:val="00EB1092"/>
    <w:rsid w:val="00EB3A93"/>
    <w:rsid w:val="00EB41E4"/>
    <w:rsid w:val="00EB497B"/>
    <w:rsid w:val="00EB4CE3"/>
    <w:rsid w:val="00EB6042"/>
    <w:rsid w:val="00EC31F5"/>
    <w:rsid w:val="00EC3B3F"/>
    <w:rsid w:val="00EC4359"/>
    <w:rsid w:val="00EC4599"/>
    <w:rsid w:val="00EC5118"/>
    <w:rsid w:val="00EC62E6"/>
    <w:rsid w:val="00EC6C2D"/>
    <w:rsid w:val="00ED229D"/>
    <w:rsid w:val="00ED332D"/>
    <w:rsid w:val="00ED3FED"/>
    <w:rsid w:val="00ED4CC8"/>
    <w:rsid w:val="00EE074C"/>
    <w:rsid w:val="00EE6798"/>
    <w:rsid w:val="00EE7659"/>
    <w:rsid w:val="00EF0944"/>
    <w:rsid w:val="00EF436B"/>
    <w:rsid w:val="00F000B4"/>
    <w:rsid w:val="00F00111"/>
    <w:rsid w:val="00F00561"/>
    <w:rsid w:val="00F007DA"/>
    <w:rsid w:val="00F00B7C"/>
    <w:rsid w:val="00F04C34"/>
    <w:rsid w:val="00F06CFA"/>
    <w:rsid w:val="00F121C0"/>
    <w:rsid w:val="00F12D5F"/>
    <w:rsid w:val="00F148CB"/>
    <w:rsid w:val="00F14E94"/>
    <w:rsid w:val="00F167E4"/>
    <w:rsid w:val="00F21B68"/>
    <w:rsid w:val="00F23F28"/>
    <w:rsid w:val="00F242BD"/>
    <w:rsid w:val="00F27C98"/>
    <w:rsid w:val="00F3018E"/>
    <w:rsid w:val="00F330AF"/>
    <w:rsid w:val="00F35DB6"/>
    <w:rsid w:val="00F40EE9"/>
    <w:rsid w:val="00F435A5"/>
    <w:rsid w:val="00F469E5"/>
    <w:rsid w:val="00F52BF2"/>
    <w:rsid w:val="00F541D0"/>
    <w:rsid w:val="00F56052"/>
    <w:rsid w:val="00F56219"/>
    <w:rsid w:val="00F57BC4"/>
    <w:rsid w:val="00F700D9"/>
    <w:rsid w:val="00F713A4"/>
    <w:rsid w:val="00F72E59"/>
    <w:rsid w:val="00F735B6"/>
    <w:rsid w:val="00F759F9"/>
    <w:rsid w:val="00F7764C"/>
    <w:rsid w:val="00F80513"/>
    <w:rsid w:val="00F81FF0"/>
    <w:rsid w:val="00F82E46"/>
    <w:rsid w:val="00F8306C"/>
    <w:rsid w:val="00F83084"/>
    <w:rsid w:val="00F83144"/>
    <w:rsid w:val="00F83615"/>
    <w:rsid w:val="00F83EF1"/>
    <w:rsid w:val="00F87B48"/>
    <w:rsid w:val="00F90612"/>
    <w:rsid w:val="00F92193"/>
    <w:rsid w:val="00F93D9C"/>
    <w:rsid w:val="00F96ED4"/>
    <w:rsid w:val="00FA015B"/>
    <w:rsid w:val="00FA19D0"/>
    <w:rsid w:val="00FA4D40"/>
    <w:rsid w:val="00FA58E0"/>
    <w:rsid w:val="00FB11ED"/>
    <w:rsid w:val="00FB699B"/>
    <w:rsid w:val="00FB741F"/>
    <w:rsid w:val="00FC239F"/>
    <w:rsid w:val="00FC797F"/>
    <w:rsid w:val="00FE2453"/>
    <w:rsid w:val="00FE5608"/>
    <w:rsid w:val="00FF1670"/>
    <w:rsid w:val="00FF2762"/>
    <w:rsid w:val="00FF42B0"/>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1F03FD71"/>
  <w15:docId w15:val="{43C491BE-E40C-4BEC-8315-CCEF17D6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430880"/>
    <w:rPr>
      <w:sz w:val="20"/>
      <w:szCs w:val="20"/>
    </w:rPr>
  </w:style>
  <w:style w:type="character" w:customStyle="1" w:styleId="FootnoteTextChar">
    <w:name w:val="Footnote Text Char"/>
    <w:basedOn w:val="DefaultParagraphFont"/>
    <w:link w:val="FootnoteText"/>
    <w:uiPriority w:val="99"/>
    <w:semiHidden/>
    <w:rsid w:val="00430880"/>
    <w:rPr>
      <w:rFonts w:ascii="Times New Roman" w:hAnsi="Times New Roman"/>
      <w:lang w:bidi="en-US"/>
    </w:rPr>
  </w:style>
  <w:style w:type="character" w:styleId="FootnoteReference">
    <w:name w:val="footnote reference"/>
    <w:basedOn w:val="DefaultParagraphFont"/>
    <w:uiPriority w:val="99"/>
    <w:semiHidden/>
    <w:unhideWhenUsed/>
    <w:rsid w:val="00430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529878574">
      <w:bodyDiv w:val="1"/>
      <w:marLeft w:val="0"/>
      <w:marRight w:val="0"/>
      <w:marTop w:val="0"/>
      <w:marBottom w:val="0"/>
      <w:divBdr>
        <w:top w:val="none" w:sz="0" w:space="0" w:color="auto"/>
        <w:left w:val="none" w:sz="0" w:space="0" w:color="auto"/>
        <w:bottom w:val="none" w:sz="0" w:space="0" w:color="auto"/>
        <w:right w:val="none" w:sz="0" w:space="0" w:color="auto"/>
      </w:divBdr>
    </w:div>
    <w:div w:id="561871546">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829638511">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28084172">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2014-06-30T07:00:00+00:00</OpenedDate>
    <Date1 xmlns="dc463f71-b30c-4ab2-9473-d307f9d35888">2014-12-30T08:00:00+00:00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141363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3C187504547D46B7D1751E5E22CDA5" ma:contentTypeVersion="175" ma:contentTypeDescription="" ma:contentTypeScope="" ma:versionID="2a7e4aeb8b34f215053a0e632ba978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6A128-4C87-4FD4-ACB9-43EA697DD9C6}"/>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45227816-F000-4174-9D2D-0767F5EBBD00}"/>
</file>

<file path=customXml/itemProps4.xml><?xml version="1.0" encoding="utf-8"?>
<ds:datastoreItem xmlns:ds="http://schemas.openxmlformats.org/officeDocument/2006/customXml" ds:itemID="{1F48F6EF-CDB1-4326-BA12-C0055AA430F2}"/>
</file>

<file path=customXml/itemProps5.xml><?xml version="1.0" encoding="utf-8"?>
<ds:datastoreItem xmlns:ds="http://schemas.openxmlformats.org/officeDocument/2006/customXml" ds:itemID="{55B89C35-4DB2-4B11-863A-E32F1BC314F6}"/>
</file>

<file path=customXml/itemProps6.xml><?xml version="1.0" encoding="utf-8"?>
<ds:datastoreItem xmlns:ds="http://schemas.openxmlformats.org/officeDocument/2006/customXml" ds:itemID="{E2738D96-0364-4E40-A9E9-5EE4DD13BCE9}"/>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UW-141363 Rainier View Memo to Allow</vt:lpstr>
    </vt:vector>
  </TitlesOfParts>
  <Company>Washington Utilities and Transportation Commission</Company>
  <LinksUpToDate>false</LinksUpToDate>
  <CharactersWithSpaces>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UW-141363 Rainier View Memo to Allow</dc:title>
  <dc:subject/>
  <dc:creator>JWard</dc:creator>
  <cp:keywords/>
  <dc:description/>
  <cp:lastModifiedBy>Wyse, Lisa (UTC)</cp:lastModifiedBy>
  <cp:revision>2</cp:revision>
  <cp:lastPrinted>2014-12-23T16:53:00Z</cp:lastPrinted>
  <dcterms:created xsi:type="dcterms:W3CDTF">2014-12-24T00:39:00Z</dcterms:created>
  <dcterms:modified xsi:type="dcterms:W3CDTF">2014-12-24T00:39:00Z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0x0101006E56B4D1795A2E4DB2F0B01679ED314A001C3C187504547D46B7D1751E5E22CDA5</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