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30"/>
        <w:tblW w:w="0" w:type="auto"/>
        <w:tblBorders>
          <w:insideH w:val="single" w:sz="4" w:space="0" w:color="auto"/>
        </w:tblBorders>
        <w:tblLayout w:type="fixed"/>
        <w:tblLook w:val="0000"/>
      </w:tblPr>
      <w:tblGrid>
        <w:gridCol w:w="4788"/>
        <w:gridCol w:w="4788"/>
      </w:tblGrid>
      <w:tr w:rsidR="000F736D" w:rsidTr="00B70FCF">
        <w:tc>
          <w:tcPr>
            <w:tcW w:w="4788" w:type="dxa"/>
            <w:tcBorders>
              <w:top w:val="nil"/>
              <w:left w:val="nil"/>
              <w:bottom w:val="nil"/>
              <w:right w:val="nil"/>
            </w:tcBorders>
          </w:tcPr>
          <w:p w:rsidR="000F736D" w:rsidRPr="00C4686F" w:rsidRDefault="000F736D" w:rsidP="00B70FCF">
            <w:pPr>
              <w:pStyle w:val="NoSpacing"/>
              <w:rPr>
                <w:rFonts w:ascii="Times New Roman" w:hAnsi="Times New Roman"/>
                <w:sz w:val="24"/>
                <w:szCs w:val="24"/>
              </w:rPr>
            </w:pPr>
            <w:r>
              <w:rPr>
                <w:rFonts w:ascii="Times New Roman" w:hAnsi="Times New Roman"/>
                <w:sz w:val="24"/>
                <w:szCs w:val="24"/>
              </w:rPr>
              <w:t xml:space="preserve">                                                                                                                                                                                                                                                                                                                                                                                                                                                                                                                                                                                                                                                                                                                                                                                                                                                                                                                                                                                                                                                                                                                                                                                                                                                                                                                                                                                                                  </w:t>
            </w:r>
            <w:r w:rsidRPr="00C4686F">
              <w:rPr>
                <w:rFonts w:ascii="Times New Roman" w:hAnsi="Times New Roman"/>
                <w:sz w:val="24"/>
                <w:szCs w:val="24"/>
              </w:rPr>
              <w:t>Avista Corp.</w:t>
            </w:r>
          </w:p>
          <w:p w:rsidR="000F736D" w:rsidRPr="00C4686F" w:rsidRDefault="000F736D" w:rsidP="00B70FCF">
            <w:pPr>
              <w:pStyle w:val="NoSpacing"/>
              <w:rPr>
                <w:rFonts w:ascii="Times New Roman" w:hAnsi="Times New Roman"/>
                <w:sz w:val="24"/>
                <w:szCs w:val="24"/>
              </w:rPr>
            </w:pPr>
            <w:r w:rsidRPr="00C4686F">
              <w:rPr>
                <w:rFonts w:ascii="Times New Roman" w:hAnsi="Times New Roman"/>
                <w:sz w:val="24"/>
                <w:szCs w:val="24"/>
              </w:rPr>
              <w:t>1411 East Mission   P.O. Box 3727</w:t>
            </w:r>
          </w:p>
          <w:p w:rsidR="000F736D" w:rsidRPr="00C4686F" w:rsidRDefault="000F736D" w:rsidP="00B70FCF">
            <w:pPr>
              <w:pStyle w:val="NoSpacing"/>
              <w:rPr>
                <w:rFonts w:ascii="Times New Roman" w:hAnsi="Times New Roman"/>
                <w:sz w:val="24"/>
                <w:szCs w:val="24"/>
              </w:rPr>
            </w:pPr>
            <w:r w:rsidRPr="00C4686F">
              <w:rPr>
                <w:rFonts w:ascii="Times New Roman" w:hAnsi="Times New Roman"/>
                <w:sz w:val="24"/>
                <w:szCs w:val="24"/>
              </w:rPr>
              <w:t>Spokane</w:t>
            </w:r>
            <w:r w:rsidR="00F758B7">
              <w:rPr>
                <w:rFonts w:ascii="Times New Roman" w:hAnsi="Times New Roman"/>
                <w:sz w:val="24"/>
                <w:szCs w:val="24"/>
              </w:rPr>
              <w:t>,</w:t>
            </w:r>
            <w:r w:rsidRPr="00C4686F">
              <w:rPr>
                <w:rFonts w:ascii="Times New Roman" w:hAnsi="Times New Roman"/>
                <w:sz w:val="24"/>
                <w:szCs w:val="24"/>
              </w:rPr>
              <w:t xml:space="preserve"> Washington  99220-0500</w:t>
            </w:r>
          </w:p>
          <w:p w:rsidR="000F736D" w:rsidRPr="00C4686F" w:rsidRDefault="000F736D" w:rsidP="00B70FCF">
            <w:pPr>
              <w:pStyle w:val="NoSpacing"/>
              <w:rPr>
                <w:rFonts w:ascii="Times New Roman" w:hAnsi="Times New Roman"/>
                <w:sz w:val="24"/>
                <w:szCs w:val="24"/>
              </w:rPr>
            </w:pPr>
            <w:r w:rsidRPr="00C4686F">
              <w:rPr>
                <w:rFonts w:ascii="Times New Roman" w:hAnsi="Times New Roman"/>
                <w:sz w:val="24"/>
                <w:szCs w:val="24"/>
              </w:rPr>
              <w:t>Telephone 509-489-0500</w:t>
            </w:r>
          </w:p>
          <w:p w:rsidR="000F736D" w:rsidRPr="00C4686F" w:rsidRDefault="000F736D" w:rsidP="00B70FCF">
            <w:pPr>
              <w:pStyle w:val="NoSpacing"/>
              <w:rPr>
                <w:rFonts w:ascii="Times New Roman" w:hAnsi="Times New Roman"/>
                <w:sz w:val="24"/>
                <w:szCs w:val="24"/>
              </w:rPr>
            </w:pPr>
            <w:r w:rsidRPr="00C4686F">
              <w:rPr>
                <w:rFonts w:ascii="Times New Roman" w:hAnsi="Times New Roman"/>
                <w:sz w:val="24"/>
                <w:szCs w:val="24"/>
              </w:rPr>
              <w:t>Toll Free   800-727-9170</w:t>
            </w:r>
          </w:p>
          <w:p w:rsidR="000F736D" w:rsidRDefault="000F736D" w:rsidP="00B70FCF">
            <w:pPr>
              <w:pStyle w:val="Header"/>
              <w:rPr>
                <w:rFonts w:ascii="Arial" w:hAnsi="Arial" w:cs="Arial"/>
                <w:b/>
                <w:bCs/>
                <w:sz w:val="18"/>
                <w:szCs w:val="18"/>
              </w:rPr>
            </w:pPr>
          </w:p>
        </w:tc>
        <w:tc>
          <w:tcPr>
            <w:tcW w:w="4788" w:type="dxa"/>
            <w:tcBorders>
              <w:top w:val="nil"/>
              <w:left w:val="nil"/>
              <w:bottom w:val="nil"/>
              <w:right w:val="nil"/>
            </w:tcBorders>
          </w:tcPr>
          <w:p w:rsidR="000F736D" w:rsidRDefault="000F736D" w:rsidP="00B70FCF">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sz w:val="20"/>
                <w:szCs w:val="20"/>
              </w:rPr>
              <w:drawing>
                <wp:inline distT="0" distB="0" distL="0" distR="0">
                  <wp:extent cx="1304925" cy="5334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304925" cy="533400"/>
                          </a:xfrm>
                          <a:prstGeom prst="rect">
                            <a:avLst/>
                          </a:prstGeom>
                          <a:noFill/>
                          <a:ln w="9525">
                            <a:noFill/>
                            <a:miter lim="800000"/>
                            <a:headEnd/>
                            <a:tailEnd/>
                          </a:ln>
                        </pic:spPr>
                      </pic:pic>
                    </a:graphicData>
                  </a:graphic>
                </wp:inline>
              </w:drawing>
            </w:r>
          </w:p>
        </w:tc>
      </w:tr>
    </w:tbl>
    <w:p w:rsidR="000F736D" w:rsidRPr="00C4686F" w:rsidRDefault="000F736D" w:rsidP="000F736D">
      <w:pPr>
        <w:pStyle w:val="NoSpacing"/>
        <w:jc w:val="both"/>
        <w:rPr>
          <w:rFonts w:ascii="Times New Roman" w:hAnsi="Times New Roman"/>
          <w:sz w:val="24"/>
          <w:szCs w:val="24"/>
        </w:rPr>
      </w:pPr>
      <w:r>
        <w:rPr>
          <w:rFonts w:ascii="Times New Roman" w:hAnsi="Times New Roman"/>
          <w:sz w:val="24"/>
          <w:szCs w:val="24"/>
        </w:rPr>
        <w:t xml:space="preserve">March </w:t>
      </w:r>
      <w:r w:rsidR="00C11BA2">
        <w:rPr>
          <w:rFonts w:ascii="Times New Roman" w:hAnsi="Times New Roman"/>
          <w:sz w:val="24"/>
          <w:szCs w:val="24"/>
        </w:rPr>
        <w:t>1</w:t>
      </w:r>
      <w:r w:rsidR="00AA5C5D">
        <w:rPr>
          <w:rFonts w:ascii="Times New Roman" w:hAnsi="Times New Roman"/>
          <w:sz w:val="24"/>
          <w:szCs w:val="24"/>
        </w:rPr>
        <w:t>9</w:t>
      </w:r>
      <w:r>
        <w:rPr>
          <w:rFonts w:ascii="Times New Roman" w:hAnsi="Times New Roman"/>
          <w:sz w:val="24"/>
          <w:szCs w:val="24"/>
        </w:rPr>
        <w:t>, 2013</w:t>
      </w:r>
    </w:p>
    <w:p w:rsidR="000F736D" w:rsidRDefault="000F736D" w:rsidP="000F736D">
      <w:pPr>
        <w:pStyle w:val="NoSpacing"/>
        <w:jc w:val="both"/>
        <w:rPr>
          <w:rFonts w:ascii="Times New Roman" w:hAnsi="Times New Roman"/>
          <w:b/>
          <w:i/>
          <w:sz w:val="24"/>
          <w:szCs w:val="24"/>
        </w:rPr>
      </w:pPr>
    </w:p>
    <w:p w:rsidR="000F736D" w:rsidRDefault="000F736D" w:rsidP="000F736D">
      <w:pPr>
        <w:pStyle w:val="NoSpacing"/>
        <w:jc w:val="both"/>
        <w:rPr>
          <w:rFonts w:ascii="Times New Roman" w:hAnsi="Times New Roman"/>
          <w:b/>
          <w:i/>
          <w:sz w:val="24"/>
          <w:szCs w:val="24"/>
        </w:rPr>
      </w:pPr>
      <w:r w:rsidRPr="00C4686F">
        <w:rPr>
          <w:rFonts w:ascii="Times New Roman" w:hAnsi="Times New Roman"/>
          <w:b/>
          <w:i/>
          <w:sz w:val="24"/>
          <w:szCs w:val="24"/>
        </w:rPr>
        <w:t>VIA: Electronic Mail</w:t>
      </w:r>
    </w:p>
    <w:p w:rsidR="000F736D" w:rsidRPr="00C4686F" w:rsidRDefault="000F736D" w:rsidP="000F736D">
      <w:pPr>
        <w:pStyle w:val="NoSpacing"/>
        <w:jc w:val="both"/>
        <w:rPr>
          <w:rFonts w:ascii="Times New Roman" w:hAnsi="Times New Roman"/>
          <w:b/>
          <w:sz w:val="24"/>
          <w:szCs w:val="24"/>
          <w:u w:val="single"/>
        </w:rPr>
      </w:pPr>
    </w:p>
    <w:p w:rsidR="000F736D" w:rsidRPr="00C4686F" w:rsidRDefault="000F736D" w:rsidP="000F736D">
      <w:pPr>
        <w:spacing w:after="0" w:line="240" w:lineRule="auto"/>
        <w:jc w:val="both"/>
        <w:rPr>
          <w:rFonts w:ascii="Times New Roman" w:hAnsi="Times New Roman"/>
          <w:sz w:val="24"/>
          <w:szCs w:val="24"/>
        </w:rPr>
      </w:pPr>
      <w:r>
        <w:rPr>
          <w:rFonts w:ascii="Times New Roman" w:hAnsi="Times New Roman"/>
          <w:sz w:val="24"/>
          <w:szCs w:val="24"/>
        </w:rPr>
        <w:t>Steven V. King</w:t>
      </w:r>
    </w:p>
    <w:p w:rsidR="000F736D" w:rsidRPr="00C4686F" w:rsidRDefault="000F736D" w:rsidP="000F736D">
      <w:pPr>
        <w:spacing w:after="0" w:line="240" w:lineRule="auto"/>
        <w:jc w:val="both"/>
        <w:rPr>
          <w:rFonts w:ascii="Times New Roman" w:hAnsi="Times New Roman"/>
          <w:sz w:val="24"/>
          <w:szCs w:val="24"/>
        </w:rPr>
      </w:pPr>
      <w:r>
        <w:rPr>
          <w:rFonts w:ascii="Times New Roman" w:hAnsi="Times New Roman"/>
          <w:sz w:val="24"/>
          <w:szCs w:val="24"/>
        </w:rPr>
        <w:t xml:space="preserve">Acting </w:t>
      </w:r>
      <w:r w:rsidRPr="00C4686F">
        <w:rPr>
          <w:rFonts w:ascii="Times New Roman" w:hAnsi="Times New Roman"/>
          <w:sz w:val="24"/>
          <w:szCs w:val="24"/>
        </w:rPr>
        <w:t>Executive Director and Secretary</w:t>
      </w:r>
    </w:p>
    <w:p w:rsidR="000F736D" w:rsidRPr="00C4686F" w:rsidRDefault="000F736D" w:rsidP="000F736D">
      <w:pPr>
        <w:spacing w:after="0" w:line="240" w:lineRule="auto"/>
        <w:jc w:val="both"/>
        <w:rPr>
          <w:rFonts w:ascii="Times New Roman" w:hAnsi="Times New Roman"/>
          <w:sz w:val="24"/>
          <w:szCs w:val="24"/>
        </w:rPr>
      </w:pPr>
      <w:r w:rsidRPr="00C4686F">
        <w:rPr>
          <w:rFonts w:ascii="Times New Roman" w:hAnsi="Times New Roman"/>
          <w:sz w:val="24"/>
          <w:szCs w:val="24"/>
        </w:rPr>
        <w:t>Washington Utilities &amp; Transportation Commission</w:t>
      </w:r>
    </w:p>
    <w:p w:rsidR="000F736D" w:rsidRPr="00C4686F" w:rsidRDefault="000F736D" w:rsidP="000F736D">
      <w:pPr>
        <w:spacing w:after="0" w:line="240" w:lineRule="auto"/>
        <w:jc w:val="both"/>
        <w:rPr>
          <w:rFonts w:ascii="Times New Roman" w:hAnsi="Times New Roman"/>
          <w:sz w:val="24"/>
          <w:szCs w:val="24"/>
        </w:rPr>
      </w:pPr>
      <w:r w:rsidRPr="00C4686F">
        <w:rPr>
          <w:rFonts w:ascii="Times New Roman" w:hAnsi="Times New Roman"/>
          <w:sz w:val="24"/>
          <w:szCs w:val="24"/>
        </w:rPr>
        <w:t>1300 S. Evergreen Park Drive S. W.</w:t>
      </w:r>
    </w:p>
    <w:p w:rsidR="000F736D" w:rsidRPr="00C4686F" w:rsidRDefault="000F736D" w:rsidP="000F736D">
      <w:pPr>
        <w:spacing w:after="0" w:line="240" w:lineRule="auto"/>
        <w:jc w:val="both"/>
        <w:rPr>
          <w:rFonts w:ascii="Times New Roman" w:hAnsi="Times New Roman"/>
          <w:sz w:val="24"/>
          <w:szCs w:val="24"/>
        </w:rPr>
      </w:pPr>
      <w:r w:rsidRPr="00C4686F">
        <w:rPr>
          <w:rFonts w:ascii="Times New Roman" w:hAnsi="Times New Roman"/>
          <w:sz w:val="24"/>
          <w:szCs w:val="24"/>
        </w:rPr>
        <w:t>P.O. Box 47250</w:t>
      </w:r>
    </w:p>
    <w:p w:rsidR="000F736D" w:rsidRPr="00C4686F" w:rsidRDefault="000F736D" w:rsidP="000F736D">
      <w:pPr>
        <w:spacing w:after="0" w:line="240" w:lineRule="auto"/>
        <w:jc w:val="both"/>
        <w:rPr>
          <w:rFonts w:ascii="Times New Roman" w:hAnsi="Times New Roman"/>
          <w:sz w:val="24"/>
          <w:szCs w:val="24"/>
        </w:rPr>
      </w:pPr>
      <w:r w:rsidRPr="00C4686F">
        <w:rPr>
          <w:rFonts w:ascii="Times New Roman" w:hAnsi="Times New Roman"/>
          <w:sz w:val="24"/>
          <w:szCs w:val="24"/>
        </w:rPr>
        <w:t>Olympia, Washington  98504-7250</w:t>
      </w:r>
    </w:p>
    <w:p w:rsidR="000F736D" w:rsidRPr="00C4686F" w:rsidRDefault="000F736D" w:rsidP="000F736D">
      <w:pPr>
        <w:pStyle w:val="NoSpacing"/>
        <w:jc w:val="both"/>
        <w:rPr>
          <w:rFonts w:ascii="Times New Roman" w:hAnsi="Times New Roman"/>
          <w:b/>
          <w:sz w:val="24"/>
          <w:szCs w:val="24"/>
          <w:u w:val="single"/>
        </w:rPr>
      </w:pPr>
    </w:p>
    <w:p w:rsidR="00552B39" w:rsidRDefault="000F736D">
      <w:pPr>
        <w:pStyle w:val="NoSpacing"/>
        <w:spacing w:line="480" w:lineRule="auto"/>
        <w:jc w:val="both"/>
        <w:rPr>
          <w:rFonts w:ascii="Times New Roman" w:hAnsi="Times New Roman"/>
          <w:sz w:val="24"/>
          <w:szCs w:val="24"/>
        </w:rPr>
      </w:pPr>
      <w:r w:rsidRPr="00C4686F">
        <w:rPr>
          <w:rFonts w:ascii="Times New Roman" w:hAnsi="Times New Roman"/>
          <w:sz w:val="24"/>
          <w:szCs w:val="24"/>
        </w:rPr>
        <w:t>Re:</w:t>
      </w:r>
      <w:r w:rsidRPr="00C4686F">
        <w:rPr>
          <w:rFonts w:ascii="Times New Roman" w:hAnsi="Times New Roman"/>
          <w:sz w:val="24"/>
          <w:szCs w:val="24"/>
        </w:rPr>
        <w:tab/>
        <w:t xml:space="preserve">Docket No. </w:t>
      </w:r>
      <w:r>
        <w:rPr>
          <w:rFonts w:ascii="Times New Roman" w:hAnsi="Times New Roman"/>
          <w:sz w:val="24"/>
          <w:szCs w:val="24"/>
        </w:rPr>
        <w:t>UG-121501 – Supplemental Comments of Avista Corporation</w:t>
      </w:r>
    </w:p>
    <w:p w:rsidR="000F736D" w:rsidRPr="00C4686F" w:rsidRDefault="000F736D" w:rsidP="00396F1C">
      <w:pPr>
        <w:pStyle w:val="NoSpacing"/>
        <w:spacing w:line="480" w:lineRule="auto"/>
        <w:jc w:val="both"/>
        <w:rPr>
          <w:rFonts w:ascii="Times New Roman" w:hAnsi="Times New Roman"/>
          <w:sz w:val="24"/>
          <w:szCs w:val="24"/>
        </w:rPr>
      </w:pPr>
      <w:r>
        <w:rPr>
          <w:rFonts w:ascii="Times New Roman" w:hAnsi="Times New Roman"/>
          <w:sz w:val="24"/>
          <w:szCs w:val="24"/>
        </w:rPr>
        <w:t>Dear Mr. King:</w:t>
      </w:r>
    </w:p>
    <w:p w:rsidR="000F736D" w:rsidRDefault="000F736D" w:rsidP="000F736D">
      <w:pPr>
        <w:spacing w:after="0" w:line="480" w:lineRule="auto"/>
        <w:ind w:firstLine="720"/>
        <w:jc w:val="both"/>
        <w:rPr>
          <w:rFonts w:ascii="Times New Roman" w:hAnsi="Times New Roman"/>
          <w:sz w:val="24"/>
          <w:szCs w:val="24"/>
        </w:rPr>
      </w:pPr>
      <w:r w:rsidRPr="00F022B6">
        <w:rPr>
          <w:rFonts w:ascii="Times New Roman" w:hAnsi="Times New Roman"/>
          <w:sz w:val="24"/>
          <w:szCs w:val="24"/>
        </w:rPr>
        <w:t xml:space="preserve">On </w:t>
      </w:r>
      <w:r>
        <w:rPr>
          <w:rFonts w:ascii="Times New Roman" w:hAnsi="Times New Roman"/>
          <w:sz w:val="24"/>
          <w:szCs w:val="24"/>
        </w:rPr>
        <w:t>March 8, 2013</w:t>
      </w:r>
      <w:r w:rsidRPr="00F022B6">
        <w:rPr>
          <w:rFonts w:ascii="Times New Roman" w:hAnsi="Times New Roman"/>
          <w:sz w:val="24"/>
          <w:szCs w:val="24"/>
        </w:rPr>
        <w:t xml:space="preserve">, </w:t>
      </w:r>
      <w:r>
        <w:rPr>
          <w:rFonts w:ascii="Times New Roman" w:hAnsi="Times New Roman"/>
          <w:sz w:val="24"/>
          <w:szCs w:val="24"/>
        </w:rPr>
        <w:t>Avista Corporation (“Avista”) filed comments in response to Staff’s report with the Commission</w:t>
      </w:r>
      <w:r w:rsidR="00392573">
        <w:rPr>
          <w:rFonts w:ascii="Times New Roman" w:hAnsi="Times New Roman"/>
          <w:sz w:val="24"/>
          <w:szCs w:val="24"/>
        </w:rPr>
        <w:t xml:space="preserve"> in this docket</w:t>
      </w:r>
      <w:r>
        <w:rPr>
          <w:rFonts w:ascii="Times New Roman" w:hAnsi="Times New Roman"/>
          <w:sz w:val="24"/>
          <w:szCs w:val="24"/>
        </w:rPr>
        <w:t xml:space="preserve">.  On March 8, 2013, Public Counsel also submitted comments along with a report titled “Natural Gas Procurement Practices of Avista Corporation”.  </w:t>
      </w:r>
      <w:r w:rsidR="00AA5C5D">
        <w:rPr>
          <w:rFonts w:ascii="Times New Roman" w:hAnsi="Times New Roman"/>
          <w:sz w:val="24"/>
          <w:szCs w:val="24"/>
        </w:rPr>
        <w:t>These comments are in reply to Public Counsel.</w:t>
      </w:r>
    </w:p>
    <w:p w:rsidR="00AA5C5D" w:rsidRPr="003D123A" w:rsidRDefault="00AA5C5D" w:rsidP="00AA5C5D">
      <w:pPr>
        <w:spacing w:after="0" w:line="480" w:lineRule="auto"/>
        <w:ind w:firstLine="720"/>
        <w:jc w:val="center"/>
        <w:rPr>
          <w:rFonts w:ascii="Times New Roman" w:hAnsi="Times New Roman"/>
          <w:b/>
          <w:sz w:val="24"/>
          <w:szCs w:val="24"/>
          <w:u w:val="single"/>
        </w:rPr>
      </w:pPr>
      <w:r w:rsidRPr="00F33A73">
        <w:rPr>
          <w:rFonts w:ascii="Times New Roman" w:hAnsi="Times New Roman"/>
          <w:b/>
          <w:sz w:val="24"/>
          <w:szCs w:val="24"/>
          <w:u w:val="single"/>
        </w:rPr>
        <w:t>PGA Process</w:t>
      </w:r>
    </w:p>
    <w:p w:rsidR="00AA5C5D" w:rsidRDefault="0005140F" w:rsidP="00AA5C5D">
      <w:pPr>
        <w:spacing w:after="0" w:line="480" w:lineRule="auto"/>
        <w:ind w:firstLine="720"/>
        <w:jc w:val="both"/>
        <w:rPr>
          <w:rFonts w:ascii="Times New Roman" w:hAnsi="Times New Roman"/>
          <w:sz w:val="24"/>
          <w:szCs w:val="24"/>
        </w:rPr>
      </w:pPr>
      <w:r>
        <w:rPr>
          <w:rFonts w:ascii="Times New Roman" w:hAnsi="Times New Roman"/>
          <w:sz w:val="24"/>
          <w:szCs w:val="24"/>
        </w:rPr>
        <w:t xml:space="preserve">At the outset, </w:t>
      </w:r>
      <w:r w:rsidR="00AA5C5D">
        <w:rPr>
          <w:rFonts w:ascii="Times New Roman" w:hAnsi="Times New Roman"/>
          <w:sz w:val="24"/>
          <w:szCs w:val="24"/>
        </w:rPr>
        <w:t xml:space="preserve">Avista </w:t>
      </w:r>
      <w:r>
        <w:rPr>
          <w:rFonts w:ascii="Times New Roman" w:hAnsi="Times New Roman"/>
          <w:sz w:val="24"/>
          <w:szCs w:val="24"/>
        </w:rPr>
        <w:t>wishes to voice continuing support for</w:t>
      </w:r>
      <w:r w:rsidR="00AA5C5D">
        <w:rPr>
          <w:rFonts w:ascii="Times New Roman" w:hAnsi="Times New Roman"/>
          <w:sz w:val="24"/>
          <w:szCs w:val="24"/>
        </w:rPr>
        <w:t xml:space="preserve"> the current PGA process which provides for Staff and Commission </w:t>
      </w:r>
      <w:r>
        <w:rPr>
          <w:rFonts w:ascii="Times New Roman" w:hAnsi="Times New Roman"/>
          <w:sz w:val="24"/>
          <w:szCs w:val="24"/>
        </w:rPr>
        <w:t xml:space="preserve">full </w:t>
      </w:r>
      <w:r w:rsidR="00AA5C5D">
        <w:rPr>
          <w:rFonts w:ascii="Times New Roman" w:hAnsi="Times New Roman"/>
          <w:sz w:val="24"/>
          <w:szCs w:val="24"/>
        </w:rPr>
        <w:t xml:space="preserve">review and approval of the current year’s natural gas costs (deferral account) and the subsequent year’s projected gas costs (PGA).  Per </w:t>
      </w:r>
      <w:r w:rsidR="00AA5C5D">
        <w:rPr>
          <w:rFonts w:ascii="Times New Roman" w:hAnsi="Times New Roman"/>
          <w:color w:val="000000"/>
          <w:sz w:val="24"/>
          <w:szCs w:val="24"/>
        </w:rPr>
        <w:t xml:space="preserve">WAC 480-90-233, a </w:t>
      </w:r>
      <w:r w:rsidR="00AA5C5D">
        <w:rPr>
          <w:rFonts w:ascii="Times New Roman" w:hAnsi="Times New Roman"/>
          <w:sz w:val="24"/>
          <w:szCs w:val="24"/>
        </w:rPr>
        <w:t>Deferral Report is sent to Staff monthly</w:t>
      </w:r>
      <w:r>
        <w:rPr>
          <w:rFonts w:ascii="Times New Roman" w:hAnsi="Times New Roman"/>
          <w:sz w:val="24"/>
          <w:szCs w:val="24"/>
        </w:rPr>
        <w:t>,</w:t>
      </w:r>
      <w:r w:rsidR="00AA5C5D">
        <w:rPr>
          <w:rFonts w:ascii="Times New Roman" w:hAnsi="Times New Roman"/>
          <w:sz w:val="24"/>
          <w:szCs w:val="24"/>
        </w:rPr>
        <w:t xml:space="preserve"> </w:t>
      </w:r>
      <w:r w:rsidR="00F758B7">
        <w:rPr>
          <w:rFonts w:ascii="Times New Roman" w:hAnsi="Times New Roman"/>
          <w:sz w:val="24"/>
          <w:szCs w:val="24"/>
        </w:rPr>
        <w:t>and is available for</w:t>
      </w:r>
      <w:r w:rsidR="00AA5C5D">
        <w:rPr>
          <w:rFonts w:ascii="Times New Roman" w:hAnsi="Times New Roman"/>
          <w:sz w:val="24"/>
          <w:szCs w:val="24"/>
        </w:rPr>
        <w:t xml:space="preserve"> all parties </w:t>
      </w:r>
      <w:r w:rsidR="00F758B7">
        <w:rPr>
          <w:rFonts w:ascii="Times New Roman" w:hAnsi="Times New Roman"/>
          <w:sz w:val="24"/>
          <w:szCs w:val="24"/>
        </w:rPr>
        <w:t>to</w:t>
      </w:r>
      <w:r w:rsidR="00AA5C5D">
        <w:rPr>
          <w:rFonts w:ascii="Times New Roman" w:hAnsi="Times New Roman"/>
          <w:sz w:val="24"/>
          <w:szCs w:val="24"/>
        </w:rPr>
        <w:t xml:space="preserve"> review current year status prior to the filing of the annual PGA.   </w:t>
      </w:r>
      <w:r>
        <w:rPr>
          <w:rFonts w:ascii="Times New Roman" w:hAnsi="Times New Roman"/>
          <w:sz w:val="24"/>
          <w:szCs w:val="24"/>
        </w:rPr>
        <w:t xml:space="preserve">When the annual PGA filing is made, it consists of the support and documentation for the Company’s </w:t>
      </w:r>
      <w:r w:rsidR="00DA09A7">
        <w:rPr>
          <w:rFonts w:ascii="Times New Roman" w:hAnsi="Times New Roman"/>
          <w:sz w:val="24"/>
          <w:szCs w:val="24"/>
        </w:rPr>
        <w:t xml:space="preserve">existing supply obligations and </w:t>
      </w:r>
      <w:r>
        <w:rPr>
          <w:rFonts w:ascii="Times New Roman" w:hAnsi="Times New Roman"/>
          <w:sz w:val="24"/>
          <w:szCs w:val="24"/>
        </w:rPr>
        <w:t xml:space="preserve">proposed forward looking commodity and transportation costs, as well as </w:t>
      </w:r>
      <w:r w:rsidR="00850FC4">
        <w:rPr>
          <w:rFonts w:ascii="Times New Roman" w:hAnsi="Times New Roman"/>
          <w:sz w:val="24"/>
          <w:szCs w:val="24"/>
        </w:rPr>
        <w:t xml:space="preserve">for the </w:t>
      </w:r>
      <w:r>
        <w:rPr>
          <w:rFonts w:ascii="Times New Roman" w:hAnsi="Times New Roman"/>
          <w:sz w:val="24"/>
          <w:szCs w:val="24"/>
        </w:rPr>
        <w:t xml:space="preserve">prior period </w:t>
      </w:r>
      <w:r>
        <w:rPr>
          <w:rFonts w:ascii="Times New Roman" w:hAnsi="Times New Roman"/>
          <w:sz w:val="24"/>
          <w:szCs w:val="24"/>
        </w:rPr>
        <w:lastRenderedPageBreak/>
        <w:t xml:space="preserve">amortization of </w:t>
      </w:r>
      <w:r w:rsidR="00850FC4">
        <w:rPr>
          <w:rFonts w:ascii="Times New Roman" w:hAnsi="Times New Roman"/>
          <w:sz w:val="24"/>
          <w:szCs w:val="24"/>
        </w:rPr>
        <w:t>those same PGA components</w:t>
      </w:r>
      <w:r>
        <w:rPr>
          <w:rFonts w:ascii="Times New Roman" w:hAnsi="Times New Roman"/>
          <w:sz w:val="24"/>
          <w:szCs w:val="24"/>
        </w:rPr>
        <w:t>, all of which is available for review by Staff, Public Counsel, and other interested parties.</w:t>
      </w:r>
    </w:p>
    <w:p w:rsidR="00AA5C5D" w:rsidRDefault="00AA5C5D" w:rsidP="00AA5C5D">
      <w:pPr>
        <w:spacing w:after="0" w:line="480" w:lineRule="auto"/>
        <w:ind w:firstLine="720"/>
        <w:jc w:val="both"/>
        <w:rPr>
          <w:rFonts w:ascii="Times New Roman" w:hAnsi="Times New Roman"/>
          <w:sz w:val="24"/>
          <w:szCs w:val="24"/>
        </w:rPr>
      </w:pPr>
      <w:r>
        <w:rPr>
          <w:rFonts w:ascii="Times New Roman" w:hAnsi="Times New Roman"/>
          <w:sz w:val="24"/>
          <w:szCs w:val="24"/>
        </w:rPr>
        <w:t>Public Counsel</w:t>
      </w:r>
      <w:r w:rsidR="00850FC4">
        <w:rPr>
          <w:rFonts w:ascii="Times New Roman" w:hAnsi="Times New Roman"/>
          <w:sz w:val="24"/>
          <w:szCs w:val="24"/>
        </w:rPr>
        <w:t>, however, suggests</w:t>
      </w:r>
      <w:r>
        <w:rPr>
          <w:rFonts w:ascii="Times New Roman" w:hAnsi="Times New Roman"/>
          <w:sz w:val="24"/>
          <w:szCs w:val="24"/>
        </w:rPr>
        <w:t xml:space="preserve"> a list of criteria that it states </w:t>
      </w:r>
      <w:r w:rsidR="00850FC4">
        <w:rPr>
          <w:rFonts w:ascii="Times New Roman" w:hAnsi="Times New Roman"/>
          <w:sz w:val="24"/>
          <w:szCs w:val="24"/>
        </w:rPr>
        <w:t>are</w:t>
      </w:r>
      <w:r>
        <w:rPr>
          <w:rFonts w:ascii="Times New Roman" w:hAnsi="Times New Roman"/>
          <w:sz w:val="24"/>
          <w:szCs w:val="24"/>
        </w:rPr>
        <w:t xml:space="preserve"> “clearly lacking” in the PGA process. </w:t>
      </w:r>
      <w:r w:rsidR="00850FC4">
        <w:rPr>
          <w:rFonts w:ascii="Times New Roman" w:hAnsi="Times New Roman"/>
          <w:sz w:val="24"/>
          <w:szCs w:val="24"/>
        </w:rPr>
        <w:t xml:space="preserve">(p. 14) </w:t>
      </w:r>
      <w:r>
        <w:rPr>
          <w:rFonts w:ascii="Times New Roman" w:hAnsi="Times New Roman"/>
          <w:sz w:val="24"/>
          <w:szCs w:val="24"/>
        </w:rPr>
        <w:t>Avista</w:t>
      </w:r>
      <w:r w:rsidR="00850FC4">
        <w:rPr>
          <w:rFonts w:ascii="Times New Roman" w:hAnsi="Times New Roman"/>
          <w:sz w:val="24"/>
          <w:szCs w:val="24"/>
        </w:rPr>
        <w:t>, in fact,</w:t>
      </w:r>
      <w:r>
        <w:rPr>
          <w:rFonts w:ascii="Times New Roman" w:hAnsi="Times New Roman"/>
          <w:sz w:val="24"/>
          <w:szCs w:val="24"/>
        </w:rPr>
        <w:t xml:space="preserve"> provides </w:t>
      </w:r>
      <w:bookmarkStart w:id="0" w:name="_GoBack"/>
      <w:bookmarkEnd w:id="0"/>
      <w:r>
        <w:rPr>
          <w:rFonts w:ascii="Times New Roman" w:hAnsi="Times New Roman"/>
          <w:sz w:val="24"/>
          <w:szCs w:val="24"/>
        </w:rPr>
        <w:t>the information that Public Counsel believes is “lacking” through the annual PGA filing, the monthly Deferral Reports and any subsequent informal data requests</w:t>
      </w:r>
      <w:r w:rsidR="00850FC4">
        <w:rPr>
          <w:rFonts w:ascii="Times New Roman" w:hAnsi="Times New Roman"/>
          <w:sz w:val="24"/>
          <w:szCs w:val="24"/>
        </w:rPr>
        <w:t>.  It is also provided</w:t>
      </w:r>
      <w:r>
        <w:rPr>
          <w:rFonts w:ascii="Times New Roman" w:hAnsi="Times New Roman"/>
          <w:sz w:val="24"/>
          <w:szCs w:val="24"/>
        </w:rPr>
        <w:t xml:space="preserve"> in its semi-annual presentation of the Company’s Procurement Plan and results to Commission Staff</w:t>
      </w:r>
      <w:r>
        <w:rPr>
          <w:rStyle w:val="FootnoteReference"/>
          <w:rFonts w:ascii="Times New Roman" w:hAnsi="Times New Roman"/>
          <w:sz w:val="24"/>
          <w:szCs w:val="24"/>
        </w:rPr>
        <w:t xml:space="preserve"> </w:t>
      </w:r>
      <w:r>
        <w:rPr>
          <w:rFonts w:ascii="Times New Roman" w:hAnsi="Times New Roman"/>
          <w:sz w:val="24"/>
          <w:szCs w:val="24"/>
        </w:rPr>
        <w:t xml:space="preserve"> (the most recent being held on October 15, 2012).  Substantive current year Procurement Plan modifications are communicated immediately to Staff to keep</w:t>
      </w:r>
      <w:r w:rsidRPr="00B13B2B">
        <w:rPr>
          <w:rFonts w:ascii="Times New Roman" w:hAnsi="Times New Roman"/>
          <w:sz w:val="24"/>
          <w:szCs w:val="24"/>
        </w:rPr>
        <w:t xml:space="preserve"> </w:t>
      </w:r>
      <w:r>
        <w:rPr>
          <w:rFonts w:ascii="Times New Roman" w:hAnsi="Times New Roman"/>
          <w:sz w:val="24"/>
          <w:szCs w:val="24"/>
        </w:rPr>
        <w:t xml:space="preserve">them apprised of any changing market conditions and how those changes relate or affect natural gas Procurement Plan strategies.  Further, the Company has also hosted Commission Staff in several on-site meetings to actively discuss natural gas procurement, pipeline transportation, segmentation, hedging, </w:t>
      </w:r>
      <w:r w:rsidR="00DA09A7">
        <w:rPr>
          <w:rFonts w:ascii="Times New Roman" w:hAnsi="Times New Roman"/>
          <w:sz w:val="24"/>
          <w:szCs w:val="24"/>
        </w:rPr>
        <w:t xml:space="preserve">optimization </w:t>
      </w:r>
      <w:r>
        <w:rPr>
          <w:rFonts w:ascii="Times New Roman" w:hAnsi="Times New Roman"/>
          <w:sz w:val="24"/>
          <w:szCs w:val="24"/>
        </w:rPr>
        <w:t>and general market dynamics and fundamentals.  In fact</w:t>
      </w:r>
      <w:r w:rsidR="00DA09A7">
        <w:rPr>
          <w:rFonts w:ascii="Times New Roman" w:hAnsi="Times New Roman"/>
          <w:sz w:val="24"/>
          <w:szCs w:val="24"/>
        </w:rPr>
        <w:t>,</w:t>
      </w:r>
      <w:r>
        <w:rPr>
          <w:rFonts w:ascii="Times New Roman" w:hAnsi="Times New Roman"/>
          <w:sz w:val="24"/>
          <w:szCs w:val="24"/>
        </w:rPr>
        <w:t xml:space="preserve"> members of</w:t>
      </w:r>
      <w:r w:rsidR="00850FC4">
        <w:rPr>
          <w:rFonts w:ascii="Times New Roman" w:hAnsi="Times New Roman"/>
          <w:sz w:val="24"/>
          <w:szCs w:val="24"/>
        </w:rPr>
        <w:t xml:space="preserve"> the</w:t>
      </w:r>
      <w:r>
        <w:rPr>
          <w:rFonts w:ascii="Times New Roman" w:hAnsi="Times New Roman"/>
          <w:sz w:val="24"/>
          <w:szCs w:val="24"/>
        </w:rPr>
        <w:t xml:space="preserve"> Commission Staff have even sat</w:t>
      </w:r>
      <w:r w:rsidR="00850FC4">
        <w:rPr>
          <w:rFonts w:ascii="Times New Roman" w:hAnsi="Times New Roman"/>
          <w:sz w:val="24"/>
          <w:szCs w:val="24"/>
        </w:rPr>
        <w:t xml:space="preserve"> </w:t>
      </w:r>
      <w:r>
        <w:rPr>
          <w:rFonts w:ascii="Times New Roman" w:hAnsi="Times New Roman"/>
          <w:sz w:val="24"/>
          <w:szCs w:val="24"/>
        </w:rPr>
        <w:t xml:space="preserve">with our natural gas </w:t>
      </w:r>
      <w:r w:rsidR="00DA09A7">
        <w:rPr>
          <w:rFonts w:ascii="Times New Roman" w:hAnsi="Times New Roman"/>
          <w:sz w:val="24"/>
          <w:szCs w:val="24"/>
        </w:rPr>
        <w:t xml:space="preserve">group </w:t>
      </w:r>
      <w:r>
        <w:rPr>
          <w:rFonts w:ascii="Times New Roman" w:hAnsi="Times New Roman"/>
          <w:sz w:val="24"/>
          <w:szCs w:val="24"/>
        </w:rPr>
        <w:t xml:space="preserve">and </w:t>
      </w:r>
      <w:r w:rsidR="00850FC4">
        <w:rPr>
          <w:rFonts w:ascii="Times New Roman" w:hAnsi="Times New Roman"/>
          <w:sz w:val="24"/>
          <w:szCs w:val="24"/>
        </w:rPr>
        <w:t>witnessed</w:t>
      </w:r>
      <w:r>
        <w:rPr>
          <w:rFonts w:ascii="Times New Roman" w:hAnsi="Times New Roman"/>
          <w:sz w:val="24"/>
          <w:szCs w:val="24"/>
        </w:rPr>
        <w:t xml:space="preserve"> how Avista procures its natural gas </w:t>
      </w:r>
      <w:r w:rsidR="00DA09A7">
        <w:rPr>
          <w:rFonts w:ascii="Times New Roman" w:hAnsi="Times New Roman"/>
          <w:sz w:val="24"/>
          <w:szCs w:val="24"/>
        </w:rPr>
        <w:t xml:space="preserve">supply </w:t>
      </w:r>
      <w:r>
        <w:rPr>
          <w:rFonts w:ascii="Times New Roman" w:hAnsi="Times New Roman"/>
          <w:sz w:val="24"/>
          <w:szCs w:val="24"/>
        </w:rPr>
        <w:t>and optimizes its system</w:t>
      </w:r>
      <w:r w:rsidR="00DA09A7">
        <w:rPr>
          <w:rFonts w:ascii="Times New Roman" w:hAnsi="Times New Roman"/>
          <w:sz w:val="24"/>
          <w:szCs w:val="24"/>
        </w:rPr>
        <w:t xml:space="preserve"> resources</w:t>
      </w:r>
      <w:r>
        <w:rPr>
          <w:rFonts w:ascii="Times New Roman" w:hAnsi="Times New Roman"/>
          <w:sz w:val="24"/>
          <w:szCs w:val="24"/>
        </w:rPr>
        <w:t xml:space="preserve">.  Avista appreciates the </w:t>
      </w:r>
      <w:r w:rsidR="00850FC4">
        <w:rPr>
          <w:rFonts w:ascii="Times New Roman" w:hAnsi="Times New Roman"/>
          <w:sz w:val="24"/>
          <w:szCs w:val="24"/>
        </w:rPr>
        <w:t xml:space="preserve">interest and involvement of Staff and </w:t>
      </w:r>
      <w:r w:rsidR="00F758B7">
        <w:rPr>
          <w:rFonts w:ascii="Times New Roman" w:hAnsi="Times New Roman"/>
          <w:sz w:val="24"/>
          <w:szCs w:val="24"/>
        </w:rPr>
        <w:t>hopes to</w:t>
      </w:r>
      <w:r w:rsidR="00850FC4">
        <w:rPr>
          <w:rFonts w:ascii="Times New Roman" w:hAnsi="Times New Roman"/>
          <w:sz w:val="24"/>
          <w:szCs w:val="24"/>
        </w:rPr>
        <w:t xml:space="preserve"> continue these discussions </w:t>
      </w:r>
      <w:r>
        <w:rPr>
          <w:rFonts w:ascii="Times New Roman" w:hAnsi="Times New Roman"/>
          <w:sz w:val="24"/>
          <w:szCs w:val="24"/>
        </w:rPr>
        <w:t>in the future.</w:t>
      </w:r>
    </w:p>
    <w:p w:rsidR="00AA5C5D" w:rsidRDefault="00AA5C5D" w:rsidP="00AA5C5D">
      <w:pPr>
        <w:spacing w:after="0" w:line="480" w:lineRule="auto"/>
        <w:ind w:firstLine="720"/>
        <w:jc w:val="both"/>
        <w:rPr>
          <w:rFonts w:ascii="Times New Roman" w:hAnsi="Times New Roman"/>
          <w:sz w:val="24"/>
          <w:szCs w:val="24"/>
        </w:rPr>
      </w:pPr>
      <w:r>
        <w:rPr>
          <w:rFonts w:ascii="Times New Roman" w:hAnsi="Times New Roman"/>
          <w:sz w:val="24"/>
          <w:szCs w:val="24"/>
        </w:rPr>
        <w:t xml:space="preserve">Longer term forecasts and other data that Public Counsel would like to have included in the PGA process are fully disclosed and discussed with the Technical Advisory Committee as part of the Company’s Integrated Resource Plan (acknowledged by the Commission in </w:t>
      </w:r>
      <w:r w:rsidRPr="00F33A73">
        <w:rPr>
          <w:rFonts w:ascii="Times New Roman" w:hAnsi="Times New Roman"/>
          <w:sz w:val="24"/>
          <w:szCs w:val="24"/>
        </w:rPr>
        <w:t>Docket UG-111588</w:t>
      </w:r>
      <w:r>
        <w:rPr>
          <w:rFonts w:ascii="Times New Roman" w:hAnsi="Times New Roman"/>
          <w:sz w:val="24"/>
          <w:szCs w:val="24"/>
        </w:rPr>
        <w:t xml:space="preserve">) where the Company evaluates longer term supply side resources to meet future demand requirements.  </w:t>
      </w:r>
      <w:r w:rsidRPr="00F33A73">
        <w:rPr>
          <w:rFonts w:ascii="Times New Roman" w:hAnsi="Times New Roman"/>
          <w:sz w:val="24"/>
          <w:szCs w:val="24"/>
        </w:rPr>
        <w:t xml:space="preserve"> Public Counsel </w:t>
      </w:r>
      <w:r>
        <w:rPr>
          <w:rFonts w:ascii="Times New Roman" w:hAnsi="Times New Roman"/>
          <w:sz w:val="24"/>
          <w:szCs w:val="24"/>
        </w:rPr>
        <w:t xml:space="preserve">is </w:t>
      </w:r>
      <w:r w:rsidRPr="00F33A73">
        <w:rPr>
          <w:rFonts w:ascii="Times New Roman" w:hAnsi="Times New Roman"/>
          <w:sz w:val="24"/>
          <w:szCs w:val="24"/>
        </w:rPr>
        <w:t>invited to participate</w:t>
      </w:r>
      <w:r>
        <w:rPr>
          <w:rFonts w:ascii="Times New Roman" w:hAnsi="Times New Roman"/>
          <w:sz w:val="24"/>
          <w:szCs w:val="24"/>
        </w:rPr>
        <w:t xml:space="preserve"> in these TAC meetings</w:t>
      </w:r>
      <w:r w:rsidR="00DA09A7">
        <w:rPr>
          <w:rFonts w:ascii="Times New Roman" w:hAnsi="Times New Roman"/>
          <w:sz w:val="24"/>
          <w:szCs w:val="24"/>
        </w:rPr>
        <w:t>;</w:t>
      </w:r>
      <w:r w:rsidRPr="00F33A73">
        <w:rPr>
          <w:rFonts w:ascii="Times New Roman" w:hAnsi="Times New Roman"/>
          <w:sz w:val="24"/>
          <w:szCs w:val="24"/>
        </w:rPr>
        <w:t xml:space="preserve"> </w:t>
      </w:r>
      <w:r>
        <w:rPr>
          <w:rFonts w:ascii="Times New Roman" w:hAnsi="Times New Roman"/>
          <w:sz w:val="24"/>
          <w:szCs w:val="24"/>
        </w:rPr>
        <w:t>however</w:t>
      </w:r>
      <w:r w:rsidR="00C5451E">
        <w:rPr>
          <w:rFonts w:ascii="Times New Roman" w:hAnsi="Times New Roman"/>
          <w:sz w:val="24"/>
          <w:szCs w:val="24"/>
        </w:rPr>
        <w:t>,</w:t>
      </w:r>
      <w:r>
        <w:rPr>
          <w:rFonts w:ascii="Times New Roman" w:hAnsi="Times New Roman"/>
          <w:sz w:val="24"/>
          <w:szCs w:val="24"/>
        </w:rPr>
        <w:t xml:space="preserve"> they did not attend a single meeting for the</w:t>
      </w:r>
      <w:r w:rsidRPr="00F33A73">
        <w:rPr>
          <w:rFonts w:ascii="Times New Roman" w:hAnsi="Times New Roman"/>
          <w:sz w:val="24"/>
          <w:szCs w:val="24"/>
        </w:rPr>
        <w:t xml:space="preserve"> Company’s </w:t>
      </w:r>
      <w:r w:rsidRPr="00392573">
        <w:rPr>
          <w:rFonts w:ascii="Times New Roman" w:hAnsi="Times New Roman"/>
          <w:sz w:val="24"/>
          <w:szCs w:val="24"/>
        </w:rPr>
        <w:t>2012 Integrate</w:t>
      </w:r>
      <w:r>
        <w:rPr>
          <w:rFonts w:ascii="Times New Roman" w:hAnsi="Times New Roman"/>
          <w:sz w:val="24"/>
          <w:szCs w:val="24"/>
        </w:rPr>
        <w:t xml:space="preserve"> Resource Plan</w:t>
      </w:r>
      <w:r w:rsidRPr="00F33A73">
        <w:rPr>
          <w:rFonts w:ascii="Times New Roman" w:hAnsi="Times New Roman"/>
          <w:sz w:val="24"/>
          <w:szCs w:val="24"/>
        </w:rPr>
        <w:t>.</w:t>
      </w:r>
    </w:p>
    <w:p w:rsidR="00AA5C5D" w:rsidRDefault="00AA5C5D" w:rsidP="00AA5C5D">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Avista is supportive of the current PGA process as it provides the Staff and Commission with the information needed to make decisions relating to the previous year’s deferral account and the upcoming PGA filing.  The review of the annual Procurement Plan is </w:t>
      </w:r>
      <w:r w:rsidR="00850FC4">
        <w:rPr>
          <w:rFonts w:ascii="Times New Roman" w:hAnsi="Times New Roman"/>
          <w:sz w:val="24"/>
          <w:szCs w:val="24"/>
        </w:rPr>
        <w:t xml:space="preserve">yet </w:t>
      </w:r>
      <w:r>
        <w:rPr>
          <w:rFonts w:ascii="Times New Roman" w:hAnsi="Times New Roman"/>
          <w:sz w:val="24"/>
          <w:szCs w:val="24"/>
        </w:rPr>
        <w:t xml:space="preserve">another avenue for procurement discussions </w:t>
      </w:r>
      <w:r w:rsidR="00850FC4">
        <w:rPr>
          <w:rFonts w:ascii="Times New Roman" w:hAnsi="Times New Roman"/>
          <w:sz w:val="24"/>
          <w:szCs w:val="24"/>
        </w:rPr>
        <w:t>in which interested parties are invited to participate</w:t>
      </w:r>
      <w:r>
        <w:rPr>
          <w:rFonts w:ascii="Times New Roman" w:hAnsi="Times New Roman"/>
          <w:sz w:val="24"/>
          <w:szCs w:val="24"/>
        </w:rPr>
        <w:t>.</w:t>
      </w:r>
    </w:p>
    <w:p w:rsidR="00AA5C5D" w:rsidRDefault="00850FC4" w:rsidP="00AA5C5D">
      <w:pPr>
        <w:spacing w:after="0" w:line="480" w:lineRule="auto"/>
        <w:ind w:firstLine="720"/>
        <w:jc w:val="both"/>
        <w:rPr>
          <w:rFonts w:ascii="Times New Roman" w:hAnsi="Times New Roman"/>
          <w:b/>
          <w:sz w:val="24"/>
          <w:szCs w:val="24"/>
          <w:u w:val="single"/>
        </w:rPr>
      </w:pPr>
      <w:r>
        <w:rPr>
          <w:rFonts w:ascii="Times New Roman" w:hAnsi="Times New Roman"/>
          <w:sz w:val="24"/>
          <w:szCs w:val="24"/>
        </w:rPr>
        <w:t>Even though Avista believes the existing process for review is sufficient, Avista would not object to further workshops or technical conferences to explore the various topics, questions and procedural processes presented.</w:t>
      </w:r>
      <w:r w:rsidR="00AA5C5D">
        <w:rPr>
          <w:rFonts w:ascii="Times New Roman" w:hAnsi="Times New Roman"/>
          <w:sz w:val="24"/>
          <w:szCs w:val="24"/>
        </w:rPr>
        <w:t xml:space="preserve">  </w:t>
      </w:r>
      <w:r w:rsidR="00AA5C5D" w:rsidRPr="00776797">
        <w:rPr>
          <w:rFonts w:ascii="Times New Roman" w:hAnsi="Times New Roman"/>
          <w:sz w:val="24"/>
          <w:szCs w:val="24"/>
        </w:rPr>
        <w:t>The</w:t>
      </w:r>
      <w:r w:rsidR="00AA5C5D">
        <w:rPr>
          <w:rFonts w:ascii="Times New Roman" w:hAnsi="Times New Roman"/>
          <w:sz w:val="24"/>
          <w:szCs w:val="24"/>
        </w:rPr>
        <w:t xml:space="preserve"> Company</w:t>
      </w:r>
      <w:r>
        <w:rPr>
          <w:rFonts w:ascii="Times New Roman" w:hAnsi="Times New Roman"/>
          <w:sz w:val="24"/>
          <w:szCs w:val="24"/>
        </w:rPr>
        <w:t>, however, strongly urges</w:t>
      </w:r>
      <w:r w:rsidR="00AA5C5D">
        <w:rPr>
          <w:rFonts w:ascii="Times New Roman" w:hAnsi="Times New Roman"/>
          <w:sz w:val="24"/>
          <w:szCs w:val="24"/>
        </w:rPr>
        <w:t xml:space="preserve"> that any findings or recommended changes that may ultimately result from the CR 101 process be implemented on a </w:t>
      </w:r>
      <w:r w:rsidR="00AA5C5D" w:rsidRPr="002A025A">
        <w:rPr>
          <w:rFonts w:ascii="Times New Roman" w:hAnsi="Times New Roman"/>
          <w:sz w:val="24"/>
          <w:szCs w:val="24"/>
          <w:u w:val="single"/>
        </w:rPr>
        <w:t>prospective basis</w:t>
      </w:r>
      <w:r w:rsidR="00AA5C5D">
        <w:rPr>
          <w:rFonts w:ascii="Times New Roman" w:hAnsi="Times New Roman"/>
          <w:sz w:val="24"/>
          <w:szCs w:val="24"/>
        </w:rPr>
        <w:t xml:space="preserve"> and not be applied retroactively.</w:t>
      </w:r>
      <w:r>
        <w:rPr>
          <w:rFonts w:ascii="Times New Roman" w:hAnsi="Times New Roman"/>
          <w:sz w:val="24"/>
          <w:szCs w:val="24"/>
        </w:rPr>
        <w:t xml:space="preserve">  We understand this to be Staff’s position as well.</w:t>
      </w:r>
    </w:p>
    <w:p w:rsidR="000F736D" w:rsidRPr="003D123A" w:rsidRDefault="00F33A73" w:rsidP="002C38E3">
      <w:pPr>
        <w:spacing w:after="0" w:line="480" w:lineRule="auto"/>
        <w:ind w:firstLine="720"/>
        <w:jc w:val="center"/>
        <w:rPr>
          <w:rFonts w:ascii="Times New Roman" w:hAnsi="Times New Roman"/>
          <w:b/>
          <w:sz w:val="24"/>
          <w:szCs w:val="24"/>
          <w:u w:val="single"/>
        </w:rPr>
      </w:pPr>
      <w:r w:rsidRPr="00F33A73">
        <w:rPr>
          <w:rFonts w:ascii="Times New Roman" w:hAnsi="Times New Roman"/>
          <w:b/>
          <w:sz w:val="24"/>
          <w:szCs w:val="24"/>
          <w:u w:val="single"/>
        </w:rPr>
        <w:t>Suspension of Hedging Transactions</w:t>
      </w:r>
    </w:p>
    <w:p w:rsidR="00552B39" w:rsidRDefault="002C38E3">
      <w:pPr>
        <w:spacing w:after="0" w:line="480" w:lineRule="auto"/>
        <w:ind w:firstLine="720"/>
        <w:jc w:val="both"/>
        <w:rPr>
          <w:rFonts w:ascii="Times New Roman" w:hAnsi="Times New Roman"/>
          <w:sz w:val="24"/>
          <w:szCs w:val="24"/>
        </w:rPr>
      </w:pPr>
      <w:r>
        <w:rPr>
          <w:rFonts w:ascii="Times New Roman" w:hAnsi="Times New Roman"/>
          <w:sz w:val="24"/>
          <w:szCs w:val="24"/>
        </w:rPr>
        <w:t xml:space="preserve">Avista </w:t>
      </w:r>
      <w:r w:rsidR="00396F1C">
        <w:rPr>
          <w:rFonts w:ascii="Times New Roman" w:hAnsi="Times New Roman"/>
          <w:sz w:val="24"/>
          <w:szCs w:val="24"/>
        </w:rPr>
        <w:t xml:space="preserve">does not </w:t>
      </w:r>
      <w:r>
        <w:rPr>
          <w:rFonts w:ascii="Times New Roman" w:hAnsi="Times New Roman"/>
          <w:sz w:val="24"/>
          <w:szCs w:val="24"/>
        </w:rPr>
        <w:t xml:space="preserve">support Public Counsel’s recommendation </w:t>
      </w:r>
      <w:r w:rsidR="00AA5C5D">
        <w:rPr>
          <w:rFonts w:ascii="Times New Roman" w:hAnsi="Times New Roman"/>
          <w:sz w:val="24"/>
          <w:szCs w:val="24"/>
        </w:rPr>
        <w:t xml:space="preserve">on page 4 of their Report </w:t>
      </w:r>
      <w:r>
        <w:rPr>
          <w:rFonts w:ascii="Times New Roman" w:hAnsi="Times New Roman"/>
          <w:sz w:val="24"/>
          <w:szCs w:val="24"/>
        </w:rPr>
        <w:t xml:space="preserve">to suspend all hedging activity until an “appropriate hedging program” can be established.  </w:t>
      </w:r>
      <w:r w:rsidR="00D10500">
        <w:rPr>
          <w:rFonts w:ascii="Times New Roman" w:hAnsi="Times New Roman"/>
          <w:sz w:val="24"/>
          <w:szCs w:val="24"/>
        </w:rPr>
        <w:t>Avista</w:t>
      </w:r>
      <w:r>
        <w:rPr>
          <w:rFonts w:ascii="Times New Roman" w:hAnsi="Times New Roman"/>
          <w:sz w:val="24"/>
          <w:szCs w:val="24"/>
        </w:rPr>
        <w:t xml:space="preserve"> </w:t>
      </w:r>
      <w:r w:rsidR="00F33A73" w:rsidRPr="00F33A73">
        <w:rPr>
          <w:rFonts w:ascii="Times New Roman" w:hAnsi="Times New Roman"/>
          <w:sz w:val="24"/>
          <w:szCs w:val="24"/>
        </w:rPr>
        <w:t>has</w:t>
      </w:r>
      <w:r w:rsidRPr="00396F1C">
        <w:rPr>
          <w:rFonts w:ascii="Times New Roman" w:hAnsi="Times New Roman"/>
          <w:sz w:val="24"/>
          <w:szCs w:val="24"/>
        </w:rPr>
        <w:t xml:space="preserve"> </w:t>
      </w:r>
      <w:r>
        <w:rPr>
          <w:rFonts w:ascii="Times New Roman" w:hAnsi="Times New Roman"/>
          <w:sz w:val="24"/>
          <w:szCs w:val="24"/>
        </w:rPr>
        <w:t>an appropriate hedging program in place</w:t>
      </w:r>
      <w:r w:rsidR="00AA5C5D">
        <w:rPr>
          <w:rFonts w:ascii="Times New Roman" w:hAnsi="Times New Roman"/>
          <w:sz w:val="24"/>
          <w:szCs w:val="24"/>
        </w:rPr>
        <w:t xml:space="preserve"> – one that has evolved over time and is working well</w:t>
      </w:r>
      <w:r>
        <w:rPr>
          <w:rFonts w:ascii="Times New Roman" w:hAnsi="Times New Roman"/>
          <w:sz w:val="24"/>
          <w:szCs w:val="24"/>
        </w:rPr>
        <w:t xml:space="preserve">.  </w:t>
      </w:r>
      <w:r w:rsidR="00AA5C5D">
        <w:rPr>
          <w:rFonts w:ascii="Times New Roman" w:hAnsi="Times New Roman"/>
          <w:sz w:val="24"/>
          <w:szCs w:val="24"/>
        </w:rPr>
        <w:t>In fact, even the report prepared by Schneider Electric for Commission Staff</w:t>
      </w:r>
      <w:r w:rsidR="0005140F">
        <w:rPr>
          <w:rFonts w:ascii="Times New Roman" w:hAnsi="Times New Roman"/>
          <w:sz w:val="24"/>
          <w:szCs w:val="24"/>
        </w:rPr>
        <w:t xml:space="preserve">, at page 19, states that “Avista achieved a realized result nearly 20 cents </w:t>
      </w:r>
      <w:r w:rsidR="0005140F" w:rsidRPr="0005140F">
        <w:rPr>
          <w:rFonts w:ascii="Times New Roman" w:hAnsi="Times New Roman"/>
          <w:sz w:val="24"/>
          <w:szCs w:val="24"/>
          <w:u w:val="single"/>
        </w:rPr>
        <w:t>better</w:t>
      </w:r>
      <w:r w:rsidR="0005140F">
        <w:rPr>
          <w:rFonts w:ascii="Times New Roman" w:hAnsi="Times New Roman"/>
          <w:sz w:val="24"/>
          <w:szCs w:val="24"/>
        </w:rPr>
        <w:t xml:space="preserve"> than our ‘</w:t>
      </w:r>
      <w:r w:rsidR="0005140F" w:rsidRPr="0005140F">
        <w:rPr>
          <w:rFonts w:ascii="Times New Roman" w:hAnsi="Times New Roman"/>
          <w:sz w:val="24"/>
          <w:szCs w:val="24"/>
          <w:u w:val="single"/>
        </w:rPr>
        <w:t>best case</w:t>
      </w:r>
      <w:r w:rsidR="0005140F">
        <w:rPr>
          <w:rFonts w:ascii="Times New Roman" w:hAnsi="Times New Roman"/>
          <w:sz w:val="24"/>
          <w:szCs w:val="24"/>
        </w:rPr>
        <w:t>’ scenario.” (emphasis added)</w:t>
      </w:r>
      <w:r w:rsidR="00AA5C5D">
        <w:rPr>
          <w:rFonts w:ascii="Times New Roman" w:hAnsi="Times New Roman"/>
          <w:sz w:val="24"/>
          <w:szCs w:val="24"/>
        </w:rPr>
        <w:t xml:space="preserve">  </w:t>
      </w:r>
      <w:r w:rsidR="006A669A">
        <w:rPr>
          <w:rFonts w:ascii="Times New Roman" w:hAnsi="Times New Roman"/>
          <w:sz w:val="24"/>
          <w:szCs w:val="24"/>
        </w:rPr>
        <w:t xml:space="preserve">The structure and </w:t>
      </w:r>
      <w:r w:rsidR="00991187">
        <w:rPr>
          <w:rFonts w:ascii="Times New Roman" w:hAnsi="Times New Roman"/>
          <w:sz w:val="24"/>
          <w:szCs w:val="24"/>
        </w:rPr>
        <w:t>performance</w:t>
      </w:r>
      <w:r w:rsidR="006A669A">
        <w:rPr>
          <w:rFonts w:ascii="Times New Roman" w:hAnsi="Times New Roman"/>
          <w:sz w:val="24"/>
          <w:szCs w:val="24"/>
        </w:rPr>
        <w:t xml:space="preserve"> of our Procurement Plan</w:t>
      </w:r>
      <w:r w:rsidR="00E005E0">
        <w:rPr>
          <w:rFonts w:ascii="Times New Roman" w:hAnsi="Times New Roman"/>
          <w:sz w:val="24"/>
          <w:szCs w:val="24"/>
        </w:rPr>
        <w:t>, which includes a certain level of hedging in addition to index purchases and storage,</w:t>
      </w:r>
      <w:r w:rsidR="006A669A">
        <w:rPr>
          <w:rFonts w:ascii="Times New Roman" w:hAnsi="Times New Roman"/>
          <w:sz w:val="24"/>
          <w:szCs w:val="24"/>
        </w:rPr>
        <w:t xml:space="preserve"> </w:t>
      </w:r>
      <w:r w:rsidR="00A41CA4">
        <w:rPr>
          <w:rFonts w:ascii="Times New Roman" w:hAnsi="Times New Roman"/>
          <w:sz w:val="24"/>
          <w:szCs w:val="24"/>
        </w:rPr>
        <w:t>has led to</w:t>
      </w:r>
      <w:r w:rsidR="006A669A">
        <w:rPr>
          <w:rFonts w:ascii="Times New Roman" w:hAnsi="Times New Roman"/>
          <w:sz w:val="24"/>
          <w:szCs w:val="24"/>
        </w:rPr>
        <w:t xml:space="preserve"> these results. </w:t>
      </w:r>
    </w:p>
    <w:p w:rsidR="006A669A" w:rsidRDefault="006A669A" w:rsidP="006A669A">
      <w:pPr>
        <w:spacing w:after="0" w:line="480" w:lineRule="auto"/>
        <w:ind w:firstLine="720"/>
        <w:jc w:val="both"/>
        <w:rPr>
          <w:rFonts w:ascii="Times New Roman" w:hAnsi="Times New Roman"/>
          <w:sz w:val="24"/>
          <w:szCs w:val="24"/>
        </w:rPr>
      </w:pPr>
      <w:r>
        <w:rPr>
          <w:rFonts w:ascii="Times New Roman" w:hAnsi="Times New Roman"/>
          <w:sz w:val="24"/>
          <w:szCs w:val="24"/>
        </w:rPr>
        <w:t xml:space="preserve">Public Counsel indicated </w:t>
      </w:r>
      <w:r w:rsidR="0005140F">
        <w:rPr>
          <w:rFonts w:ascii="Times New Roman" w:hAnsi="Times New Roman"/>
          <w:sz w:val="24"/>
          <w:szCs w:val="24"/>
        </w:rPr>
        <w:t xml:space="preserve">at page 12 of their Report that </w:t>
      </w:r>
      <w:r>
        <w:rPr>
          <w:rFonts w:ascii="Times New Roman" w:hAnsi="Times New Roman"/>
          <w:sz w:val="24"/>
          <w:szCs w:val="24"/>
        </w:rPr>
        <w:t xml:space="preserve">they were perplexed as to why </w:t>
      </w:r>
      <w:r w:rsidR="0005140F">
        <w:rPr>
          <w:rFonts w:ascii="Times New Roman" w:hAnsi="Times New Roman"/>
          <w:sz w:val="24"/>
          <w:szCs w:val="24"/>
        </w:rPr>
        <w:t>Avista</w:t>
      </w:r>
      <w:r>
        <w:rPr>
          <w:rFonts w:ascii="Times New Roman" w:hAnsi="Times New Roman"/>
          <w:sz w:val="24"/>
          <w:szCs w:val="24"/>
        </w:rPr>
        <w:t xml:space="preserve"> would employ the same strategies </w:t>
      </w:r>
      <w:r w:rsidR="00991187">
        <w:rPr>
          <w:rFonts w:ascii="Times New Roman" w:hAnsi="Times New Roman"/>
          <w:sz w:val="24"/>
          <w:szCs w:val="24"/>
        </w:rPr>
        <w:t xml:space="preserve">year over year.  </w:t>
      </w:r>
      <w:r w:rsidR="00E005E0">
        <w:rPr>
          <w:rFonts w:ascii="Times New Roman" w:hAnsi="Times New Roman"/>
          <w:sz w:val="24"/>
          <w:szCs w:val="24"/>
        </w:rPr>
        <w:t xml:space="preserve">Quite simply, we </w:t>
      </w:r>
      <w:r w:rsidR="00991187">
        <w:rPr>
          <w:rFonts w:ascii="Times New Roman" w:hAnsi="Times New Roman"/>
          <w:sz w:val="24"/>
          <w:szCs w:val="24"/>
        </w:rPr>
        <w:t>do not</w:t>
      </w:r>
      <w:r w:rsidR="00E005E0">
        <w:rPr>
          <w:rFonts w:ascii="Times New Roman" w:hAnsi="Times New Roman"/>
          <w:sz w:val="24"/>
          <w:szCs w:val="24"/>
        </w:rPr>
        <w:t xml:space="preserve">.  </w:t>
      </w:r>
      <w:r w:rsidR="001779E2">
        <w:rPr>
          <w:rFonts w:ascii="Times New Roman" w:hAnsi="Times New Roman"/>
          <w:sz w:val="24"/>
          <w:szCs w:val="24"/>
        </w:rPr>
        <w:t>Avista’s Procurement Plan is dynamic</w:t>
      </w:r>
      <w:r w:rsidR="0005140F">
        <w:rPr>
          <w:rFonts w:ascii="Times New Roman" w:hAnsi="Times New Roman"/>
          <w:sz w:val="24"/>
          <w:szCs w:val="24"/>
        </w:rPr>
        <w:t>,</w:t>
      </w:r>
      <w:r w:rsidR="001779E2">
        <w:rPr>
          <w:rFonts w:ascii="Times New Roman" w:hAnsi="Times New Roman"/>
          <w:sz w:val="24"/>
          <w:szCs w:val="24"/>
        </w:rPr>
        <w:t xml:space="preserve"> </w:t>
      </w:r>
      <w:r w:rsidR="00E005E0">
        <w:rPr>
          <w:rFonts w:ascii="Times New Roman" w:hAnsi="Times New Roman"/>
          <w:sz w:val="24"/>
          <w:szCs w:val="24"/>
        </w:rPr>
        <w:t xml:space="preserve">in </w:t>
      </w:r>
      <w:r w:rsidR="001779E2">
        <w:rPr>
          <w:rFonts w:ascii="Times New Roman" w:hAnsi="Times New Roman"/>
          <w:sz w:val="24"/>
          <w:szCs w:val="24"/>
        </w:rPr>
        <w:t xml:space="preserve">that </w:t>
      </w:r>
      <w:r w:rsidR="00E005E0">
        <w:rPr>
          <w:rFonts w:ascii="Times New Roman" w:hAnsi="Times New Roman"/>
          <w:sz w:val="24"/>
          <w:szCs w:val="24"/>
        </w:rPr>
        <w:t xml:space="preserve">it </w:t>
      </w:r>
      <w:r w:rsidR="001779E2">
        <w:rPr>
          <w:rFonts w:ascii="Times New Roman" w:hAnsi="Times New Roman"/>
          <w:sz w:val="24"/>
          <w:szCs w:val="24"/>
        </w:rPr>
        <w:t xml:space="preserve">evolves not only </w:t>
      </w:r>
      <w:r w:rsidR="00E005E0">
        <w:rPr>
          <w:rFonts w:ascii="Times New Roman" w:hAnsi="Times New Roman"/>
          <w:sz w:val="24"/>
          <w:szCs w:val="24"/>
        </w:rPr>
        <w:t xml:space="preserve">between PGA </w:t>
      </w:r>
      <w:r w:rsidR="001779E2">
        <w:rPr>
          <w:rFonts w:ascii="Times New Roman" w:hAnsi="Times New Roman"/>
          <w:sz w:val="24"/>
          <w:szCs w:val="24"/>
        </w:rPr>
        <w:t>year</w:t>
      </w:r>
      <w:r w:rsidR="00316174">
        <w:rPr>
          <w:rFonts w:ascii="Times New Roman" w:hAnsi="Times New Roman"/>
          <w:sz w:val="24"/>
          <w:szCs w:val="24"/>
        </w:rPr>
        <w:t>s</w:t>
      </w:r>
      <w:r w:rsidR="00E005E0">
        <w:rPr>
          <w:rFonts w:ascii="Times New Roman" w:hAnsi="Times New Roman"/>
          <w:sz w:val="24"/>
          <w:szCs w:val="24"/>
        </w:rPr>
        <w:t xml:space="preserve">, </w:t>
      </w:r>
      <w:r w:rsidR="001779E2">
        <w:rPr>
          <w:rFonts w:ascii="Times New Roman" w:hAnsi="Times New Roman"/>
          <w:sz w:val="24"/>
          <w:szCs w:val="24"/>
        </w:rPr>
        <w:t xml:space="preserve">but also within the </w:t>
      </w:r>
      <w:r w:rsidR="00E005E0">
        <w:rPr>
          <w:rFonts w:ascii="Times New Roman" w:hAnsi="Times New Roman"/>
          <w:sz w:val="24"/>
          <w:szCs w:val="24"/>
        </w:rPr>
        <w:lastRenderedPageBreak/>
        <w:t xml:space="preserve">PGA </w:t>
      </w:r>
      <w:r w:rsidR="001779E2">
        <w:rPr>
          <w:rFonts w:ascii="Times New Roman" w:hAnsi="Times New Roman"/>
          <w:sz w:val="24"/>
          <w:szCs w:val="24"/>
        </w:rPr>
        <w:t xml:space="preserve">year. </w:t>
      </w:r>
      <w:r>
        <w:rPr>
          <w:rFonts w:ascii="Times New Roman" w:hAnsi="Times New Roman"/>
          <w:sz w:val="24"/>
          <w:szCs w:val="24"/>
        </w:rPr>
        <w:t>Avista utilizes a blend of fixed price (both short</w:t>
      </w:r>
      <w:r w:rsidR="00CC1548">
        <w:rPr>
          <w:rFonts w:ascii="Times New Roman" w:hAnsi="Times New Roman"/>
          <w:sz w:val="24"/>
          <w:szCs w:val="24"/>
        </w:rPr>
        <w:t>-</w:t>
      </w:r>
      <w:r>
        <w:rPr>
          <w:rFonts w:ascii="Times New Roman" w:hAnsi="Times New Roman"/>
          <w:sz w:val="24"/>
          <w:szCs w:val="24"/>
        </w:rPr>
        <w:t>term and long</w:t>
      </w:r>
      <w:r w:rsidR="00CC1548">
        <w:rPr>
          <w:rFonts w:ascii="Times New Roman" w:hAnsi="Times New Roman"/>
          <w:sz w:val="24"/>
          <w:szCs w:val="24"/>
        </w:rPr>
        <w:t>-</w:t>
      </w:r>
      <w:r>
        <w:rPr>
          <w:rFonts w:ascii="Times New Roman" w:hAnsi="Times New Roman"/>
          <w:sz w:val="24"/>
          <w:szCs w:val="24"/>
        </w:rPr>
        <w:t>term), index</w:t>
      </w:r>
      <w:r>
        <w:rPr>
          <w:rStyle w:val="FootnoteReference"/>
          <w:rFonts w:ascii="Times New Roman" w:hAnsi="Times New Roman"/>
          <w:sz w:val="24"/>
          <w:szCs w:val="24"/>
        </w:rPr>
        <w:footnoteReference w:id="1"/>
      </w:r>
      <w:r>
        <w:rPr>
          <w:rFonts w:ascii="Times New Roman" w:hAnsi="Times New Roman"/>
          <w:sz w:val="24"/>
          <w:szCs w:val="24"/>
        </w:rPr>
        <w:t xml:space="preserve"> and storage in the design of its Procurement Plan.  Utilization of these three components creates a more </w:t>
      </w:r>
      <w:r w:rsidR="00F33A73" w:rsidRPr="00F33A73">
        <w:rPr>
          <w:rFonts w:ascii="Times New Roman" w:hAnsi="Times New Roman"/>
          <w:sz w:val="24"/>
          <w:szCs w:val="24"/>
          <w:u w:val="single"/>
        </w:rPr>
        <w:t>balanced</w:t>
      </w:r>
      <w:r>
        <w:rPr>
          <w:rFonts w:ascii="Times New Roman" w:hAnsi="Times New Roman"/>
          <w:sz w:val="24"/>
          <w:szCs w:val="24"/>
        </w:rPr>
        <w:t xml:space="preserve"> and </w:t>
      </w:r>
      <w:r w:rsidR="00F33A73" w:rsidRPr="00F33A73">
        <w:rPr>
          <w:rFonts w:ascii="Times New Roman" w:hAnsi="Times New Roman"/>
          <w:sz w:val="24"/>
          <w:szCs w:val="24"/>
          <w:u w:val="single"/>
        </w:rPr>
        <w:t>diversified</w:t>
      </w:r>
      <w:r>
        <w:rPr>
          <w:rFonts w:ascii="Times New Roman" w:hAnsi="Times New Roman"/>
          <w:sz w:val="24"/>
          <w:szCs w:val="24"/>
        </w:rPr>
        <w:t xml:space="preserve"> portfolio and provides a level of price certainty for our customers.</w:t>
      </w:r>
      <w:r w:rsidR="00957C4D" w:rsidRPr="00957C4D">
        <w:rPr>
          <w:rFonts w:ascii="Times New Roman" w:hAnsi="Times New Roman"/>
          <w:sz w:val="24"/>
          <w:szCs w:val="24"/>
        </w:rPr>
        <w:t xml:space="preserve"> </w:t>
      </w:r>
      <w:r w:rsidR="00957C4D">
        <w:rPr>
          <w:rFonts w:ascii="Times New Roman" w:hAnsi="Times New Roman"/>
          <w:sz w:val="24"/>
          <w:szCs w:val="24"/>
        </w:rPr>
        <w:t>In a down</w:t>
      </w:r>
      <w:r w:rsidR="0005140F">
        <w:rPr>
          <w:rFonts w:ascii="Times New Roman" w:hAnsi="Times New Roman"/>
          <w:sz w:val="24"/>
          <w:szCs w:val="24"/>
        </w:rPr>
        <w:t>ward-</w:t>
      </w:r>
      <w:r w:rsidR="00957C4D">
        <w:rPr>
          <w:rFonts w:ascii="Times New Roman" w:hAnsi="Times New Roman"/>
          <w:sz w:val="24"/>
          <w:szCs w:val="24"/>
        </w:rPr>
        <w:t xml:space="preserve">trending market, index will </w:t>
      </w:r>
      <w:r w:rsidR="0005140F">
        <w:rPr>
          <w:rFonts w:ascii="Times New Roman" w:hAnsi="Times New Roman"/>
          <w:sz w:val="24"/>
          <w:szCs w:val="24"/>
        </w:rPr>
        <w:t>reflect</w:t>
      </w:r>
      <w:r w:rsidR="00957C4D">
        <w:rPr>
          <w:rFonts w:ascii="Times New Roman" w:hAnsi="Times New Roman"/>
          <w:sz w:val="24"/>
          <w:szCs w:val="24"/>
        </w:rPr>
        <w:t xml:space="preserve"> a lower </w:t>
      </w:r>
      <w:r w:rsidR="00767C0B">
        <w:rPr>
          <w:rFonts w:ascii="Times New Roman" w:hAnsi="Times New Roman"/>
          <w:sz w:val="24"/>
          <w:szCs w:val="24"/>
        </w:rPr>
        <w:t xml:space="preserve">market </w:t>
      </w:r>
      <w:r w:rsidR="00957C4D">
        <w:rPr>
          <w:rFonts w:ascii="Times New Roman" w:hAnsi="Times New Roman"/>
          <w:sz w:val="24"/>
          <w:szCs w:val="24"/>
        </w:rPr>
        <w:t>price</w:t>
      </w:r>
      <w:r w:rsidR="0005140F">
        <w:rPr>
          <w:rFonts w:ascii="Times New Roman" w:hAnsi="Times New Roman"/>
          <w:sz w:val="24"/>
          <w:szCs w:val="24"/>
        </w:rPr>
        <w:t>,</w:t>
      </w:r>
      <w:r w:rsidR="00957C4D">
        <w:rPr>
          <w:rFonts w:ascii="Times New Roman" w:hAnsi="Times New Roman"/>
          <w:sz w:val="24"/>
          <w:szCs w:val="24"/>
        </w:rPr>
        <w:t xml:space="preserve"> </w:t>
      </w:r>
      <w:r w:rsidR="00E005E0">
        <w:rPr>
          <w:rFonts w:ascii="Times New Roman" w:hAnsi="Times New Roman"/>
          <w:sz w:val="24"/>
          <w:szCs w:val="24"/>
        </w:rPr>
        <w:t>which can</w:t>
      </w:r>
      <w:r w:rsidR="00957C4D">
        <w:rPr>
          <w:rFonts w:ascii="Times New Roman" w:hAnsi="Times New Roman"/>
          <w:sz w:val="24"/>
          <w:szCs w:val="24"/>
        </w:rPr>
        <w:t xml:space="preserve"> help offset previous fixed price</w:t>
      </w:r>
      <w:r w:rsidR="00E005E0">
        <w:rPr>
          <w:rFonts w:ascii="Times New Roman" w:hAnsi="Times New Roman"/>
          <w:sz w:val="24"/>
          <w:szCs w:val="24"/>
        </w:rPr>
        <w:t>d hedges</w:t>
      </w:r>
      <w:r w:rsidR="00957C4D">
        <w:rPr>
          <w:rFonts w:ascii="Times New Roman" w:hAnsi="Times New Roman"/>
          <w:sz w:val="24"/>
          <w:szCs w:val="24"/>
        </w:rPr>
        <w:t>, and in an upward</w:t>
      </w:r>
      <w:r w:rsidR="0005140F">
        <w:rPr>
          <w:rFonts w:ascii="Times New Roman" w:hAnsi="Times New Roman"/>
          <w:sz w:val="24"/>
          <w:szCs w:val="24"/>
        </w:rPr>
        <w:t>-</w:t>
      </w:r>
      <w:r w:rsidR="00957C4D">
        <w:rPr>
          <w:rFonts w:ascii="Times New Roman" w:hAnsi="Times New Roman"/>
          <w:sz w:val="24"/>
          <w:szCs w:val="24"/>
        </w:rPr>
        <w:t>trending market</w:t>
      </w:r>
      <w:r w:rsidR="00E005E0">
        <w:rPr>
          <w:rFonts w:ascii="Times New Roman" w:hAnsi="Times New Roman"/>
          <w:sz w:val="24"/>
          <w:szCs w:val="24"/>
        </w:rPr>
        <w:t>,</w:t>
      </w:r>
      <w:r w:rsidR="00957C4D">
        <w:rPr>
          <w:rFonts w:ascii="Times New Roman" w:hAnsi="Times New Roman"/>
          <w:sz w:val="24"/>
          <w:szCs w:val="24"/>
        </w:rPr>
        <w:t xml:space="preserve"> th</w:t>
      </w:r>
      <w:r w:rsidR="00E005E0">
        <w:rPr>
          <w:rFonts w:ascii="Times New Roman" w:hAnsi="Times New Roman"/>
          <w:sz w:val="24"/>
          <w:szCs w:val="24"/>
        </w:rPr>
        <w:t xml:space="preserve">ose </w:t>
      </w:r>
      <w:r w:rsidR="00957C4D">
        <w:rPr>
          <w:rFonts w:ascii="Times New Roman" w:hAnsi="Times New Roman"/>
          <w:sz w:val="24"/>
          <w:szCs w:val="24"/>
        </w:rPr>
        <w:t xml:space="preserve">fixed priced </w:t>
      </w:r>
      <w:r w:rsidR="00E005E0">
        <w:rPr>
          <w:rFonts w:ascii="Times New Roman" w:hAnsi="Times New Roman"/>
          <w:sz w:val="24"/>
          <w:szCs w:val="24"/>
        </w:rPr>
        <w:t xml:space="preserve">hedges </w:t>
      </w:r>
      <w:r w:rsidR="00957C4D">
        <w:rPr>
          <w:rFonts w:ascii="Times New Roman" w:hAnsi="Times New Roman"/>
          <w:sz w:val="24"/>
          <w:szCs w:val="24"/>
        </w:rPr>
        <w:t xml:space="preserve">will help </w:t>
      </w:r>
      <w:r w:rsidR="00E005E0">
        <w:rPr>
          <w:rFonts w:ascii="Times New Roman" w:hAnsi="Times New Roman"/>
          <w:sz w:val="24"/>
          <w:szCs w:val="24"/>
        </w:rPr>
        <w:t>to mitigate</w:t>
      </w:r>
      <w:r w:rsidR="00957C4D">
        <w:rPr>
          <w:rFonts w:ascii="Times New Roman" w:hAnsi="Times New Roman"/>
          <w:sz w:val="24"/>
          <w:szCs w:val="24"/>
        </w:rPr>
        <w:t xml:space="preserve"> a rising index price</w:t>
      </w:r>
      <w:r w:rsidR="00767C0B">
        <w:rPr>
          <w:rFonts w:ascii="Times New Roman" w:hAnsi="Times New Roman"/>
          <w:sz w:val="24"/>
          <w:szCs w:val="24"/>
        </w:rPr>
        <w:t>.</w:t>
      </w:r>
      <w:r w:rsidR="00E005E0">
        <w:rPr>
          <w:rFonts w:ascii="Times New Roman" w:hAnsi="Times New Roman"/>
          <w:sz w:val="24"/>
          <w:szCs w:val="24"/>
        </w:rPr>
        <w:t xml:space="preserve">  </w:t>
      </w:r>
    </w:p>
    <w:p w:rsidR="006A669A" w:rsidRDefault="006A669A" w:rsidP="006A669A">
      <w:pPr>
        <w:spacing w:after="0" w:line="480" w:lineRule="auto"/>
        <w:ind w:firstLine="720"/>
        <w:jc w:val="both"/>
        <w:rPr>
          <w:rFonts w:ascii="Times New Roman" w:hAnsi="Times New Roman"/>
          <w:sz w:val="24"/>
          <w:szCs w:val="24"/>
        </w:rPr>
      </w:pPr>
      <w:r>
        <w:rPr>
          <w:rFonts w:ascii="Times New Roman" w:hAnsi="Times New Roman"/>
          <w:sz w:val="24"/>
          <w:szCs w:val="24"/>
        </w:rPr>
        <w:t xml:space="preserve">  As the fundamentals in the </w:t>
      </w:r>
      <w:r w:rsidR="00E005E0">
        <w:rPr>
          <w:rFonts w:ascii="Times New Roman" w:hAnsi="Times New Roman"/>
          <w:sz w:val="24"/>
          <w:szCs w:val="24"/>
        </w:rPr>
        <w:t xml:space="preserve">natural </w:t>
      </w:r>
      <w:r>
        <w:rPr>
          <w:rFonts w:ascii="Times New Roman" w:hAnsi="Times New Roman"/>
          <w:sz w:val="24"/>
          <w:szCs w:val="24"/>
        </w:rPr>
        <w:t>gas market shift, Avista make</w:t>
      </w:r>
      <w:r w:rsidR="00E005E0">
        <w:rPr>
          <w:rFonts w:ascii="Times New Roman" w:hAnsi="Times New Roman"/>
          <w:sz w:val="24"/>
          <w:szCs w:val="24"/>
        </w:rPr>
        <w:t>s</w:t>
      </w:r>
      <w:r>
        <w:rPr>
          <w:rFonts w:ascii="Times New Roman" w:hAnsi="Times New Roman"/>
          <w:sz w:val="24"/>
          <w:szCs w:val="24"/>
        </w:rPr>
        <w:t xml:space="preserve"> adjustments </w:t>
      </w:r>
      <w:r w:rsidR="00E005E0">
        <w:rPr>
          <w:rFonts w:ascii="Times New Roman" w:hAnsi="Times New Roman"/>
          <w:sz w:val="24"/>
          <w:szCs w:val="24"/>
        </w:rPr>
        <w:t xml:space="preserve">to its </w:t>
      </w:r>
      <w:r w:rsidR="00E005E0" w:rsidRPr="00445449">
        <w:rPr>
          <w:rFonts w:ascii="Times New Roman" w:hAnsi="Times New Roman"/>
          <w:sz w:val="24"/>
          <w:szCs w:val="24"/>
        </w:rPr>
        <w:t>Procurement Plan</w:t>
      </w:r>
      <w:r w:rsidRPr="00445449">
        <w:rPr>
          <w:rFonts w:ascii="Times New Roman" w:hAnsi="Times New Roman"/>
          <w:sz w:val="24"/>
          <w:szCs w:val="24"/>
        </w:rPr>
        <w:t>.  For example, due to rapidly declining market</w:t>
      </w:r>
      <w:r w:rsidR="00957C4D" w:rsidRPr="00445449">
        <w:rPr>
          <w:rFonts w:ascii="Times New Roman" w:hAnsi="Times New Roman"/>
          <w:sz w:val="24"/>
          <w:szCs w:val="24"/>
        </w:rPr>
        <w:t xml:space="preserve"> </w:t>
      </w:r>
      <w:r w:rsidR="003E7DE1" w:rsidRPr="00445449">
        <w:rPr>
          <w:rFonts w:ascii="Times New Roman" w:hAnsi="Times New Roman"/>
          <w:sz w:val="24"/>
          <w:szCs w:val="24"/>
        </w:rPr>
        <w:t>price</w:t>
      </w:r>
      <w:r w:rsidR="00CC1548">
        <w:rPr>
          <w:rFonts w:ascii="Times New Roman" w:hAnsi="Times New Roman"/>
          <w:sz w:val="24"/>
          <w:szCs w:val="24"/>
        </w:rPr>
        <w:t>s</w:t>
      </w:r>
      <w:r w:rsidR="003E7DE1" w:rsidRPr="00445449">
        <w:rPr>
          <w:rFonts w:ascii="Times New Roman" w:hAnsi="Times New Roman"/>
          <w:sz w:val="24"/>
          <w:szCs w:val="24"/>
        </w:rPr>
        <w:t xml:space="preserve"> brought on </w:t>
      </w:r>
      <w:r w:rsidR="00957C4D" w:rsidRPr="00445449">
        <w:rPr>
          <w:rFonts w:ascii="Times New Roman" w:hAnsi="Times New Roman"/>
          <w:sz w:val="24"/>
          <w:szCs w:val="24"/>
        </w:rPr>
        <w:t xml:space="preserve">from </w:t>
      </w:r>
      <w:r w:rsidR="003E7DE1" w:rsidRPr="00445449">
        <w:rPr>
          <w:rFonts w:ascii="Times New Roman" w:hAnsi="Times New Roman"/>
          <w:sz w:val="24"/>
          <w:szCs w:val="24"/>
        </w:rPr>
        <w:t>improved horizontal drilling technology</w:t>
      </w:r>
      <w:r w:rsidRPr="00445449">
        <w:rPr>
          <w:rFonts w:ascii="Times New Roman" w:hAnsi="Times New Roman"/>
          <w:sz w:val="24"/>
          <w:szCs w:val="24"/>
        </w:rPr>
        <w:t xml:space="preserve">, the </w:t>
      </w:r>
      <w:r w:rsidR="00767C0B" w:rsidRPr="00445449">
        <w:rPr>
          <w:rFonts w:ascii="Times New Roman" w:hAnsi="Times New Roman"/>
          <w:sz w:val="24"/>
          <w:szCs w:val="24"/>
        </w:rPr>
        <w:t xml:space="preserve">Plan’s </w:t>
      </w:r>
      <w:r w:rsidRPr="00445449">
        <w:rPr>
          <w:rFonts w:ascii="Times New Roman" w:hAnsi="Times New Roman"/>
          <w:sz w:val="24"/>
          <w:szCs w:val="24"/>
        </w:rPr>
        <w:t>long</w:t>
      </w:r>
      <w:r w:rsidR="00CC1548">
        <w:rPr>
          <w:rFonts w:ascii="Times New Roman" w:hAnsi="Times New Roman"/>
          <w:sz w:val="24"/>
          <w:szCs w:val="24"/>
        </w:rPr>
        <w:t>-</w:t>
      </w:r>
      <w:r w:rsidRPr="00445449">
        <w:rPr>
          <w:rFonts w:ascii="Times New Roman" w:hAnsi="Times New Roman"/>
          <w:sz w:val="24"/>
          <w:szCs w:val="24"/>
        </w:rPr>
        <w:t xml:space="preserve">term </w:t>
      </w:r>
      <w:r w:rsidR="00E005E0" w:rsidRPr="00445449">
        <w:rPr>
          <w:rFonts w:ascii="Times New Roman" w:hAnsi="Times New Roman"/>
          <w:sz w:val="24"/>
          <w:szCs w:val="24"/>
        </w:rPr>
        <w:t xml:space="preserve">hedging price </w:t>
      </w:r>
      <w:r w:rsidRPr="00445449">
        <w:rPr>
          <w:rFonts w:ascii="Times New Roman" w:hAnsi="Times New Roman"/>
          <w:sz w:val="24"/>
          <w:szCs w:val="24"/>
        </w:rPr>
        <w:t>targets were adjusted down</w:t>
      </w:r>
      <w:r w:rsidR="00E005E0" w:rsidRPr="00445449">
        <w:rPr>
          <w:rFonts w:ascii="Times New Roman" w:hAnsi="Times New Roman"/>
          <w:sz w:val="24"/>
          <w:szCs w:val="24"/>
        </w:rPr>
        <w:t xml:space="preserve"> (</w:t>
      </w:r>
      <w:r w:rsidR="00F33A73" w:rsidRPr="00445449">
        <w:rPr>
          <w:rFonts w:ascii="Times New Roman" w:hAnsi="Times New Roman"/>
          <w:sz w:val="24"/>
          <w:szCs w:val="24"/>
        </w:rPr>
        <w:t xml:space="preserve">thereby </w:t>
      </w:r>
      <w:r w:rsidR="00587A89" w:rsidRPr="00445449">
        <w:rPr>
          <w:rFonts w:ascii="Times New Roman" w:hAnsi="Times New Roman"/>
          <w:sz w:val="24"/>
          <w:szCs w:val="24"/>
        </w:rPr>
        <w:t>establishing lower</w:t>
      </w:r>
      <w:r w:rsidR="00445449" w:rsidRPr="00445449">
        <w:rPr>
          <w:rFonts w:ascii="Times New Roman" w:hAnsi="Times New Roman"/>
          <w:sz w:val="24"/>
          <w:szCs w:val="24"/>
        </w:rPr>
        <w:t>,</w:t>
      </w:r>
      <w:r w:rsidR="00587A89" w:rsidRPr="00445449">
        <w:rPr>
          <w:rFonts w:ascii="Times New Roman" w:hAnsi="Times New Roman"/>
          <w:sz w:val="24"/>
          <w:szCs w:val="24"/>
        </w:rPr>
        <w:t xml:space="preserve"> more aggressive target levels</w:t>
      </w:r>
      <w:r w:rsidR="00F33A73" w:rsidRPr="00445449">
        <w:rPr>
          <w:rFonts w:ascii="Times New Roman" w:hAnsi="Times New Roman"/>
          <w:sz w:val="24"/>
          <w:szCs w:val="24"/>
        </w:rPr>
        <w:t>)</w:t>
      </w:r>
      <w:r w:rsidRPr="00445449">
        <w:rPr>
          <w:rFonts w:ascii="Times New Roman" w:hAnsi="Times New Roman"/>
          <w:sz w:val="24"/>
          <w:szCs w:val="24"/>
        </w:rPr>
        <w:t xml:space="preserve"> and the </w:t>
      </w:r>
      <w:r w:rsidR="00767C0B" w:rsidRPr="00445449">
        <w:rPr>
          <w:rFonts w:ascii="Times New Roman" w:hAnsi="Times New Roman"/>
          <w:sz w:val="24"/>
          <w:szCs w:val="24"/>
        </w:rPr>
        <w:t xml:space="preserve">corresponding </w:t>
      </w:r>
      <w:r w:rsidRPr="00445449">
        <w:rPr>
          <w:rFonts w:ascii="Times New Roman" w:hAnsi="Times New Roman"/>
          <w:sz w:val="24"/>
          <w:szCs w:val="24"/>
        </w:rPr>
        <w:t xml:space="preserve">volumes to be transacted </w:t>
      </w:r>
      <w:r w:rsidR="00F758B7">
        <w:rPr>
          <w:rFonts w:ascii="Times New Roman" w:hAnsi="Times New Roman"/>
          <w:sz w:val="24"/>
          <w:szCs w:val="24"/>
        </w:rPr>
        <w:t xml:space="preserve">at fixed prices </w:t>
      </w:r>
      <w:r w:rsidRPr="00445449">
        <w:rPr>
          <w:rFonts w:ascii="Times New Roman" w:hAnsi="Times New Roman"/>
          <w:sz w:val="24"/>
          <w:szCs w:val="24"/>
        </w:rPr>
        <w:t xml:space="preserve">were </w:t>
      </w:r>
      <w:r w:rsidR="00E005E0" w:rsidRPr="00445449">
        <w:rPr>
          <w:rFonts w:ascii="Times New Roman" w:hAnsi="Times New Roman"/>
          <w:sz w:val="24"/>
          <w:szCs w:val="24"/>
        </w:rPr>
        <w:t xml:space="preserve">also </w:t>
      </w:r>
      <w:r w:rsidRPr="00445449">
        <w:rPr>
          <w:rFonts w:ascii="Times New Roman" w:hAnsi="Times New Roman"/>
          <w:sz w:val="24"/>
          <w:szCs w:val="24"/>
        </w:rPr>
        <w:t>reduced.</w:t>
      </w:r>
      <w:r>
        <w:rPr>
          <w:rFonts w:ascii="Times New Roman" w:hAnsi="Times New Roman"/>
          <w:sz w:val="24"/>
          <w:szCs w:val="24"/>
        </w:rPr>
        <w:t xml:space="preserve">  Regarding </w:t>
      </w:r>
      <w:r w:rsidR="00E005E0">
        <w:rPr>
          <w:rFonts w:ascii="Times New Roman" w:hAnsi="Times New Roman"/>
          <w:sz w:val="24"/>
          <w:szCs w:val="24"/>
        </w:rPr>
        <w:t xml:space="preserve">the </w:t>
      </w:r>
      <w:r>
        <w:rPr>
          <w:rFonts w:ascii="Times New Roman" w:hAnsi="Times New Roman"/>
          <w:sz w:val="24"/>
          <w:szCs w:val="24"/>
        </w:rPr>
        <w:t>prompt</w:t>
      </w:r>
      <w:r w:rsidR="00CC1548">
        <w:rPr>
          <w:rFonts w:ascii="Times New Roman" w:hAnsi="Times New Roman"/>
          <w:sz w:val="24"/>
          <w:szCs w:val="24"/>
        </w:rPr>
        <w:t>-</w:t>
      </w:r>
      <w:r>
        <w:rPr>
          <w:rFonts w:ascii="Times New Roman" w:hAnsi="Times New Roman"/>
          <w:sz w:val="24"/>
          <w:szCs w:val="24"/>
        </w:rPr>
        <w:t>year hedging</w:t>
      </w:r>
      <w:r w:rsidR="00767C0B">
        <w:rPr>
          <w:rFonts w:ascii="Times New Roman" w:hAnsi="Times New Roman"/>
          <w:sz w:val="24"/>
          <w:szCs w:val="24"/>
        </w:rPr>
        <w:t xml:space="preserve"> component</w:t>
      </w:r>
      <w:r>
        <w:rPr>
          <w:rFonts w:ascii="Times New Roman" w:hAnsi="Times New Roman"/>
          <w:sz w:val="24"/>
          <w:szCs w:val="24"/>
        </w:rPr>
        <w:t xml:space="preserve">, </w:t>
      </w:r>
      <w:r w:rsidR="00E005E0">
        <w:rPr>
          <w:rFonts w:ascii="Times New Roman" w:hAnsi="Times New Roman"/>
          <w:sz w:val="24"/>
          <w:szCs w:val="24"/>
        </w:rPr>
        <w:t>in the last two Procurement Plans, Avista reduced</w:t>
      </w:r>
      <w:r w:rsidR="00316174">
        <w:rPr>
          <w:rFonts w:ascii="Times New Roman" w:hAnsi="Times New Roman"/>
          <w:sz w:val="24"/>
          <w:szCs w:val="24"/>
        </w:rPr>
        <w:t xml:space="preserve"> the</w:t>
      </w:r>
      <w:r w:rsidR="00E005E0">
        <w:rPr>
          <w:rFonts w:ascii="Times New Roman" w:hAnsi="Times New Roman"/>
          <w:sz w:val="24"/>
          <w:szCs w:val="24"/>
        </w:rPr>
        <w:t xml:space="preserve"> </w:t>
      </w:r>
      <w:r w:rsidR="00CC1548">
        <w:rPr>
          <w:rFonts w:ascii="Times New Roman" w:hAnsi="Times New Roman"/>
          <w:sz w:val="24"/>
          <w:szCs w:val="24"/>
        </w:rPr>
        <w:t xml:space="preserve">overall </w:t>
      </w:r>
      <w:r w:rsidR="00E005E0">
        <w:rPr>
          <w:rFonts w:ascii="Times New Roman" w:hAnsi="Times New Roman"/>
          <w:sz w:val="24"/>
          <w:szCs w:val="24"/>
        </w:rPr>
        <w:t xml:space="preserve">level of </w:t>
      </w:r>
      <w:r w:rsidR="00CC1548">
        <w:rPr>
          <w:rFonts w:ascii="Times New Roman" w:hAnsi="Times New Roman"/>
          <w:sz w:val="24"/>
          <w:szCs w:val="24"/>
        </w:rPr>
        <w:t xml:space="preserve">prompt-year </w:t>
      </w:r>
      <w:r w:rsidR="00E005E0">
        <w:rPr>
          <w:rFonts w:ascii="Times New Roman" w:hAnsi="Times New Roman"/>
          <w:sz w:val="24"/>
          <w:szCs w:val="24"/>
        </w:rPr>
        <w:t>hedging</w:t>
      </w:r>
      <w:r>
        <w:rPr>
          <w:rFonts w:ascii="Times New Roman" w:hAnsi="Times New Roman"/>
          <w:sz w:val="24"/>
          <w:szCs w:val="24"/>
        </w:rPr>
        <w:t xml:space="preserve">.  In 2010, the </w:t>
      </w:r>
      <w:r w:rsidR="00E005E0">
        <w:rPr>
          <w:rFonts w:ascii="Times New Roman" w:hAnsi="Times New Roman"/>
          <w:sz w:val="24"/>
          <w:szCs w:val="24"/>
        </w:rPr>
        <w:t xml:space="preserve">Procurement Plan </w:t>
      </w:r>
      <w:r>
        <w:rPr>
          <w:rFonts w:ascii="Times New Roman" w:hAnsi="Times New Roman"/>
          <w:sz w:val="24"/>
          <w:szCs w:val="24"/>
        </w:rPr>
        <w:t xml:space="preserve">was designed to provide 30% of </w:t>
      </w:r>
      <w:r w:rsidR="00E005E0">
        <w:rPr>
          <w:rFonts w:ascii="Times New Roman" w:hAnsi="Times New Roman"/>
          <w:sz w:val="24"/>
          <w:szCs w:val="24"/>
        </w:rPr>
        <w:t xml:space="preserve">natural gas </w:t>
      </w:r>
      <w:r>
        <w:rPr>
          <w:rFonts w:ascii="Times New Roman" w:hAnsi="Times New Roman"/>
          <w:sz w:val="24"/>
          <w:szCs w:val="24"/>
        </w:rPr>
        <w:t xml:space="preserve">supply mix at </w:t>
      </w:r>
      <w:r w:rsidR="00E005E0">
        <w:rPr>
          <w:rFonts w:ascii="Times New Roman" w:hAnsi="Times New Roman"/>
          <w:sz w:val="24"/>
          <w:szCs w:val="24"/>
        </w:rPr>
        <w:t>a</w:t>
      </w:r>
      <w:r w:rsidR="00587A89">
        <w:rPr>
          <w:rFonts w:ascii="Times New Roman" w:hAnsi="Times New Roman"/>
          <w:sz w:val="24"/>
          <w:szCs w:val="24"/>
        </w:rPr>
        <w:t xml:space="preserve"> market</w:t>
      </w:r>
      <w:r w:rsidR="00E005E0">
        <w:rPr>
          <w:rFonts w:ascii="Times New Roman" w:hAnsi="Times New Roman"/>
          <w:sz w:val="24"/>
          <w:szCs w:val="24"/>
        </w:rPr>
        <w:t xml:space="preserve"> </w:t>
      </w:r>
      <w:r>
        <w:rPr>
          <w:rFonts w:ascii="Times New Roman" w:hAnsi="Times New Roman"/>
          <w:sz w:val="24"/>
          <w:szCs w:val="24"/>
        </w:rPr>
        <w:t>index</w:t>
      </w:r>
      <w:r w:rsidR="00E005E0">
        <w:rPr>
          <w:rFonts w:ascii="Times New Roman" w:hAnsi="Times New Roman"/>
          <w:sz w:val="24"/>
          <w:szCs w:val="24"/>
        </w:rPr>
        <w:t xml:space="preserve"> price</w:t>
      </w:r>
      <w:r>
        <w:rPr>
          <w:rFonts w:ascii="Times New Roman" w:hAnsi="Times New Roman"/>
          <w:sz w:val="24"/>
          <w:szCs w:val="24"/>
        </w:rPr>
        <w:t>.  In 2012</w:t>
      </w:r>
      <w:r w:rsidR="00E005E0">
        <w:rPr>
          <w:rFonts w:ascii="Times New Roman" w:hAnsi="Times New Roman"/>
          <w:sz w:val="24"/>
          <w:szCs w:val="24"/>
        </w:rPr>
        <w:t>,</w:t>
      </w:r>
      <w:r>
        <w:rPr>
          <w:rFonts w:ascii="Times New Roman" w:hAnsi="Times New Roman"/>
          <w:sz w:val="24"/>
          <w:szCs w:val="24"/>
        </w:rPr>
        <w:t xml:space="preserve"> the index portion </w:t>
      </w:r>
      <w:r w:rsidR="00B70FCF">
        <w:rPr>
          <w:rFonts w:ascii="Times New Roman" w:hAnsi="Times New Roman"/>
          <w:sz w:val="24"/>
          <w:szCs w:val="24"/>
        </w:rPr>
        <w:t xml:space="preserve">was </w:t>
      </w:r>
      <w:r w:rsidR="00767C0B">
        <w:rPr>
          <w:rFonts w:ascii="Times New Roman" w:hAnsi="Times New Roman"/>
          <w:sz w:val="24"/>
          <w:szCs w:val="24"/>
        </w:rPr>
        <w:t>increased</w:t>
      </w:r>
      <w:r w:rsidR="00991187">
        <w:rPr>
          <w:rFonts w:ascii="Times New Roman" w:hAnsi="Times New Roman"/>
          <w:sz w:val="24"/>
          <w:szCs w:val="24"/>
        </w:rPr>
        <w:t xml:space="preserve"> to </w:t>
      </w:r>
      <w:r>
        <w:rPr>
          <w:rFonts w:ascii="Times New Roman" w:hAnsi="Times New Roman"/>
          <w:sz w:val="24"/>
          <w:szCs w:val="24"/>
        </w:rPr>
        <w:t xml:space="preserve">40%.  </w:t>
      </w:r>
      <w:r w:rsidR="00E005E0">
        <w:rPr>
          <w:rFonts w:ascii="Times New Roman" w:hAnsi="Times New Roman"/>
          <w:sz w:val="24"/>
          <w:szCs w:val="24"/>
        </w:rPr>
        <w:t xml:space="preserve">Further, in May 2011 the capacity at Jackson Prairie available for customers increased by </w:t>
      </w:r>
      <w:r>
        <w:rPr>
          <w:rFonts w:ascii="Times New Roman" w:hAnsi="Times New Roman"/>
          <w:sz w:val="24"/>
          <w:szCs w:val="24"/>
        </w:rPr>
        <w:t>approximately 3,000,000 Dth of storage</w:t>
      </w:r>
      <w:r w:rsidR="00E005E0">
        <w:rPr>
          <w:rFonts w:ascii="Times New Roman" w:hAnsi="Times New Roman"/>
          <w:sz w:val="24"/>
          <w:szCs w:val="24"/>
        </w:rPr>
        <w:t>, increasing the percentage of natural gas from storage from 12% to 2</w:t>
      </w:r>
      <w:r w:rsidR="00587A89">
        <w:rPr>
          <w:rFonts w:ascii="Times New Roman" w:hAnsi="Times New Roman"/>
          <w:sz w:val="24"/>
          <w:szCs w:val="24"/>
        </w:rPr>
        <w:t>1</w:t>
      </w:r>
      <w:r w:rsidR="00E005E0">
        <w:rPr>
          <w:rFonts w:ascii="Times New Roman" w:hAnsi="Times New Roman"/>
          <w:sz w:val="24"/>
          <w:szCs w:val="24"/>
        </w:rPr>
        <w:t>%</w:t>
      </w:r>
      <w:r>
        <w:rPr>
          <w:rFonts w:ascii="Times New Roman" w:hAnsi="Times New Roman"/>
          <w:sz w:val="24"/>
          <w:szCs w:val="24"/>
        </w:rPr>
        <w:t>.</w:t>
      </w:r>
      <w:r w:rsidR="00991187">
        <w:rPr>
          <w:rFonts w:ascii="Times New Roman" w:hAnsi="Times New Roman"/>
          <w:sz w:val="24"/>
          <w:szCs w:val="24"/>
        </w:rPr>
        <w:t xml:space="preserve">  </w:t>
      </w:r>
      <w:r w:rsidR="001404F3">
        <w:rPr>
          <w:rFonts w:ascii="Times New Roman" w:hAnsi="Times New Roman"/>
          <w:sz w:val="24"/>
          <w:szCs w:val="24"/>
        </w:rPr>
        <w:t xml:space="preserve">This increased capacity </w:t>
      </w:r>
      <w:r w:rsidR="00991187">
        <w:rPr>
          <w:rFonts w:ascii="Times New Roman" w:hAnsi="Times New Roman"/>
          <w:sz w:val="24"/>
          <w:szCs w:val="24"/>
        </w:rPr>
        <w:t xml:space="preserve">provides </w:t>
      </w:r>
      <w:r w:rsidR="00DA09A7">
        <w:rPr>
          <w:rFonts w:ascii="Times New Roman" w:hAnsi="Times New Roman"/>
          <w:sz w:val="24"/>
          <w:szCs w:val="24"/>
        </w:rPr>
        <w:t xml:space="preserve">an </w:t>
      </w:r>
      <w:r w:rsidR="001404F3">
        <w:rPr>
          <w:rFonts w:ascii="Times New Roman" w:hAnsi="Times New Roman"/>
          <w:sz w:val="24"/>
          <w:szCs w:val="24"/>
        </w:rPr>
        <w:t>even more</w:t>
      </w:r>
      <w:r w:rsidR="003E7DE1">
        <w:rPr>
          <w:rFonts w:ascii="Times New Roman" w:hAnsi="Times New Roman"/>
          <w:sz w:val="24"/>
          <w:szCs w:val="24"/>
        </w:rPr>
        <w:t xml:space="preserve"> flexible </w:t>
      </w:r>
      <w:r w:rsidR="00767C0B">
        <w:rPr>
          <w:rFonts w:ascii="Times New Roman" w:hAnsi="Times New Roman"/>
          <w:sz w:val="24"/>
          <w:szCs w:val="24"/>
        </w:rPr>
        <w:t xml:space="preserve">winter </w:t>
      </w:r>
      <w:r w:rsidR="001404F3">
        <w:rPr>
          <w:rFonts w:ascii="Times New Roman" w:hAnsi="Times New Roman"/>
          <w:sz w:val="24"/>
          <w:szCs w:val="24"/>
        </w:rPr>
        <w:t xml:space="preserve">natural </w:t>
      </w:r>
      <w:r w:rsidR="00767C0B">
        <w:rPr>
          <w:rFonts w:ascii="Times New Roman" w:hAnsi="Times New Roman"/>
          <w:sz w:val="24"/>
          <w:szCs w:val="24"/>
        </w:rPr>
        <w:t>gas</w:t>
      </w:r>
      <w:r w:rsidR="00991187">
        <w:rPr>
          <w:rFonts w:ascii="Times New Roman" w:hAnsi="Times New Roman"/>
          <w:sz w:val="24"/>
          <w:szCs w:val="24"/>
        </w:rPr>
        <w:t xml:space="preserve"> </w:t>
      </w:r>
      <w:r w:rsidR="002D0081">
        <w:rPr>
          <w:rFonts w:ascii="Times New Roman" w:hAnsi="Times New Roman"/>
          <w:sz w:val="24"/>
          <w:szCs w:val="24"/>
        </w:rPr>
        <w:t xml:space="preserve">supply </w:t>
      </w:r>
      <w:r w:rsidR="00991187">
        <w:rPr>
          <w:rFonts w:ascii="Times New Roman" w:hAnsi="Times New Roman"/>
          <w:sz w:val="24"/>
          <w:szCs w:val="24"/>
        </w:rPr>
        <w:t>at summer prices.</w:t>
      </w:r>
    </w:p>
    <w:p w:rsidR="00AA5C5D" w:rsidRDefault="00CC1548" w:rsidP="0005140F">
      <w:pPr>
        <w:spacing w:after="0" w:line="480" w:lineRule="auto"/>
        <w:jc w:val="both"/>
        <w:rPr>
          <w:rFonts w:ascii="Times New Roman" w:hAnsi="Times New Roman"/>
          <w:sz w:val="24"/>
          <w:szCs w:val="24"/>
        </w:rPr>
      </w:pPr>
      <w:r>
        <w:rPr>
          <w:rFonts w:ascii="Times New Roman" w:hAnsi="Times New Roman"/>
          <w:sz w:val="24"/>
          <w:szCs w:val="24"/>
        </w:rPr>
        <w:tab/>
      </w:r>
      <w:r w:rsidR="001404F3">
        <w:rPr>
          <w:rFonts w:ascii="Times New Roman" w:hAnsi="Times New Roman"/>
          <w:sz w:val="24"/>
          <w:szCs w:val="24"/>
        </w:rPr>
        <w:t xml:space="preserve">Finally, </w:t>
      </w:r>
      <w:r w:rsidR="001779E2">
        <w:rPr>
          <w:rFonts w:ascii="Times New Roman" w:hAnsi="Times New Roman"/>
          <w:sz w:val="24"/>
          <w:szCs w:val="24"/>
        </w:rPr>
        <w:t>Public Counsel</w:t>
      </w:r>
      <w:r w:rsidR="0005140F">
        <w:rPr>
          <w:rFonts w:ascii="Times New Roman" w:hAnsi="Times New Roman"/>
          <w:sz w:val="24"/>
          <w:szCs w:val="24"/>
        </w:rPr>
        <w:t>’s own comments even</w:t>
      </w:r>
      <w:r w:rsidR="001779E2">
        <w:rPr>
          <w:rFonts w:ascii="Times New Roman" w:hAnsi="Times New Roman"/>
          <w:sz w:val="24"/>
          <w:szCs w:val="24"/>
        </w:rPr>
        <w:t xml:space="preserve"> highlighted </w:t>
      </w:r>
      <w:r w:rsidR="00587A89">
        <w:rPr>
          <w:rFonts w:ascii="Times New Roman" w:hAnsi="Times New Roman"/>
          <w:sz w:val="24"/>
          <w:szCs w:val="24"/>
        </w:rPr>
        <w:t>evidence of the dynamic nature of the Procurement Plan</w:t>
      </w:r>
      <w:r w:rsidR="00CB7A13">
        <w:rPr>
          <w:rFonts w:ascii="Times New Roman" w:hAnsi="Times New Roman"/>
          <w:sz w:val="24"/>
          <w:szCs w:val="24"/>
        </w:rPr>
        <w:t>,</w:t>
      </w:r>
      <w:r w:rsidR="001779E2">
        <w:rPr>
          <w:rFonts w:ascii="Times New Roman" w:hAnsi="Times New Roman"/>
          <w:sz w:val="24"/>
          <w:szCs w:val="24"/>
        </w:rPr>
        <w:t xml:space="preserve"> by </w:t>
      </w:r>
      <w:r w:rsidR="0005140F">
        <w:rPr>
          <w:rFonts w:ascii="Times New Roman" w:hAnsi="Times New Roman"/>
          <w:sz w:val="24"/>
          <w:szCs w:val="24"/>
        </w:rPr>
        <w:t>observing at Page 7 of their Report</w:t>
      </w:r>
      <w:r w:rsidR="001779E2">
        <w:rPr>
          <w:rFonts w:ascii="Times New Roman" w:hAnsi="Times New Roman"/>
          <w:sz w:val="24"/>
          <w:szCs w:val="24"/>
        </w:rPr>
        <w:t xml:space="preserve"> that Avista had shifted </w:t>
      </w:r>
      <w:r w:rsidR="001404F3">
        <w:rPr>
          <w:rFonts w:ascii="Times New Roman" w:hAnsi="Times New Roman"/>
          <w:sz w:val="24"/>
          <w:szCs w:val="24"/>
        </w:rPr>
        <w:t>where i</w:t>
      </w:r>
      <w:r w:rsidR="00CB7A13">
        <w:rPr>
          <w:rFonts w:ascii="Times New Roman" w:hAnsi="Times New Roman"/>
          <w:sz w:val="24"/>
          <w:szCs w:val="24"/>
        </w:rPr>
        <w:t>t</w:t>
      </w:r>
      <w:r w:rsidR="001404F3">
        <w:rPr>
          <w:rFonts w:ascii="Times New Roman" w:hAnsi="Times New Roman"/>
          <w:sz w:val="24"/>
          <w:szCs w:val="24"/>
        </w:rPr>
        <w:t xml:space="preserve"> obtains natural gas supply, noting that in 2011-2012, </w:t>
      </w:r>
      <w:r w:rsidR="001779E2">
        <w:rPr>
          <w:rFonts w:ascii="Times New Roman" w:hAnsi="Times New Roman"/>
          <w:sz w:val="24"/>
          <w:szCs w:val="24"/>
        </w:rPr>
        <w:t xml:space="preserve">the supply resources </w:t>
      </w:r>
      <w:r w:rsidR="001404F3">
        <w:rPr>
          <w:rFonts w:ascii="Times New Roman" w:hAnsi="Times New Roman"/>
          <w:sz w:val="24"/>
          <w:szCs w:val="24"/>
        </w:rPr>
        <w:t>were</w:t>
      </w:r>
      <w:r w:rsidR="001779E2">
        <w:rPr>
          <w:rFonts w:ascii="Times New Roman" w:hAnsi="Times New Roman"/>
          <w:sz w:val="24"/>
          <w:szCs w:val="24"/>
        </w:rPr>
        <w:t xml:space="preserve"> more heavily weighted </w:t>
      </w:r>
      <w:r w:rsidR="001779E2" w:rsidRPr="00392573">
        <w:rPr>
          <w:rFonts w:ascii="Times New Roman" w:hAnsi="Times New Roman"/>
          <w:sz w:val="24"/>
          <w:szCs w:val="24"/>
        </w:rPr>
        <w:t>toward</w:t>
      </w:r>
      <w:r w:rsidR="001404F3" w:rsidRPr="00392573">
        <w:rPr>
          <w:rFonts w:ascii="Times New Roman" w:hAnsi="Times New Roman"/>
          <w:sz w:val="24"/>
          <w:szCs w:val="24"/>
        </w:rPr>
        <w:t>s</w:t>
      </w:r>
      <w:r w:rsidR="001779E2" w:rsidRPr="00392573">
        <w:rPr>
          <w:rFonts w:ascii="Times New Roman" w:hAnsi="Times New Roman"/>
          <w:sz w:val="24"/>
          <w:szCs w:val="24"/>
        </w:rPr>
        <w:t xml:space="preserve"> AECO </w:t>
      </w:r>
      <w:r w:rsidR="00F33A73" w:rsidRPr="00392573">
        <w:rPr>
          <w:rFonts w:ascii="Times New Roman" w:hAnsi="Times New Roman"/>
          <w:sz w:val="24"/>
          <w:szCs w:val="24"/>
        </w:rPr>
        <w:t>than the</w:t>
      </w:r>
      <w:r w:rsidR="001779E2" w:rsidRPr="00392573">
        <w:rPr>
          <w:rFonts w:ascii="Times New Roman" w:hAnsi="Times New Roman"/>
          <w:sz w:val="24"/>
          <w:szCs w:val="24"/>
        </w:rPr>
        <w:t xml:space="preserve"> Rockies</w:t>
      </w:r>
      <w:r w:rsidR="001779E2">
        <w:rPr>
          <w:rFonts w:ascii="Times New Roman" w:hAnsi="Times New Roman"/>
          <w:sz w:val="24"/>
          <w:szCs w:val="24"/>
        </w:rPr>
        <w:t xml:space="preserve">. This shift was deliberate and based on the </w:t>
      </w:r>
      <w:r w:rsidR="001779E2">
        <w:rPr>
          <w:rFonts w:ascii="Times New Roman" w:hAnsi="Times New Roman"/>
          <w:sz w:val="24"/>
          <w:szCs w:val="24"/>
        </w:rPr>
        <w:lastRenderedPageBreak/>
        <w:t xml:space="preserve">fundamental change in Rockies pricing caused by </w:t>
      </w:r>
      <w:r w:rsidR="009C1EE1">
        <w:rPr>
          <w:rFonts w:ascii="Times New Roman" w:hAnsi="Times New Roman"/>
          <w:sz w:val="24"/>
          <w:szCs w:val="24"/>
        </w:rPr>
        <w:t xml:space="preserve">the startup of </w:t>
      </w:r>
      <w:r w:rsidR="00D10500">
        <w:rPr>
          <w:rFonts w:ascii="Times New Roman" w:hAnsi="Times New Roman"/>
          <w:sz w:val="24"/>
          <w:szCs w:val="24"/>
        </w:rPr>
        <w:t xml:space="preserve">the </w:t>
      </w:r>
      <w:r w:rsidR="001779E2">
        <w:rPr>
          <w:rFonts w:ascii="Times New Roman" w:hAnsi="Times New Roman"/>
          <w:sz w:val="24"/>
          <w:szCs w:val="24"/>
        </w:rPr>
        <w:t>Ruby Pipeline</w:t>
      </w:r>
      <w:r w:rsidR="001779E2">
        <w:rPr>
          <w:rStyle w:val="FootnoteReference"/>
          <w:rFonts w:ascii="Times New Roman" w:hAnsi="Times New Roman"/>
          <w:sz w:val="24"/>
          <w:szCs w:val="24"/>
        </w:rPr>
        <w:footnoteReference w:id="2"/>
      </w:r>
      <w:r w:rsidR="001779E2">
        <w:rPr>
          <w:rFonts w:ascii="Times New Roman" w:hAnsi="Times New Roman"/>
          <w:sz w:val="24"/>
          <w:szCs w:val="24"/>
        </w:rPr>
        <w:t>.</w:t>
      </w:r>
      <w:r w:rsidR="009C1EE1">
        <w:rPr>
          <w:rFonts w:ascii="Times New Roman" w:hAnsi="Times New Roman"/>
          <w:sz w:val="24"/>
          <w:szCs w:val="24"/>
        </w:rPr>
        <w:t xml:space="preserve">  </w:t>
      </w:r>
      <w:r w:rsidR="001404F3">
        <w:rPr>
          <w:rFonts w:ascii="Times New Roman" w:hAnsi="Times New Roman"/>
          <w:sz w:val="24"/>
          <w:szCs w:val="24"/>
        </w:rPr>
        <w:t xml:space="preserve">As prices in the </w:t>
      </w:r>
      <w:r w:rsidR="009C1EE1">
        <w:rPr>
          <w:rFonts w:ascii="Times New Roman" w:hAnsi="Times New Roman"/>
          <w:sz w:val="24"/>
          <w:szCs w:val="24"/>
        </w:rPr>
        <w:t>Rockies increased</w:t>
      </w:r>
      <w:r w:rsidR="001404F3">
        <w:rPr>
          <w:rFonts w:ascii="Times New Roman" w:hAnsi="Times New Roman"/>
          <w:sz w:val="24"/>
          <w:szCs w:val="24"/>
        </w:rPr>
        <w:t xml:space="preserve">, </w:t>
      </w:r>
      <w:r w:rsidR="009C1EE1">
        <w:rPr>
          <w:rFonts w:ascii="Times New Roman" w:hAnsi="Times New Roman"/>
          <w:sz w:val="24"/>
          <w:szCs w:val="24"/>
        </w:rPr>
        <w:t xml:space="preserve">Avista shifted </w:t>
      </w:r>
      <w:r w:rsidR="00D10500">
        <w:rPr>
          <w:rFonts w:ascii="Times New Roman" w:hAnsi="Times New Roman"/>
          <w:sz w:val="24"/>
          <w:szCs w:val="24"/>
        </w:rPr>
        <w:t xml:space="preserve">more of </w:t>
      </w:r>
      <w:r w:rsidR="009C1EE1">
        <w:rPr>
          <w:rFonts w:ascii="Times New Roman" w:hAnsi="Times New Roman"/>
          <w:sz w:val="24"/>
          <w:szCs w:val="24"/>
        </w:rPr>
        <w:t xml:space="preserve">our supply to </w:t>
      </w:r>
      <w:r w:rsidR="001404F3">
        <w:rPr>
          <w:rFonts w:ascii="Times New Roman" w:hAnsi="Times New Roman"/>
          <w:sz w:val="24"/>
          <w:szCs w:val="24"/>
        </w:rPr>
        <w:t xml:space="preserve">the </w:t>
      </w:r>
      <w:r w:rsidR="009C1EE1">
        <w:rPr>
          <w:rFonts w:ascii="Times New Roman" w:hAnsi="Times New Roman"/>
          <w:sz w:val="24"/>
          <w:szCs w:val="24"/>
        </w:rPr>
        <w:t>lower priced basin – AECO.</w:t>
      </w:r>
      <w:r w:rsidR="002D0081">
        <w:rPr>
          <w:rFonts w:ascii="Times New Roman" w:hAnsi="Times New Roman"/>
          <w:sz w:val="24"/>
          <w:szCs w:val="24"/>
        </w:rPr>
        <w:t xml:space="preserve">  Avista is committed to procuring </w:t>
      </w:r>
      <w:r w:rsidR="003E7DE1">
        <w:rPr>
          <w:rFonts w:ascii="Times New Roman" w:hAnsi="Times New Roman"/>
          <w:sz w:val="24"/>
          <w:szCs w:val="24"/>
        </w:rPr>
        <w:t xml:space="preserve">reliable </w:t>
      </w:r>
      <w:r w:rsidR="002D0081">
        <w:rPr>
          <w:rFonts w:ascii="Times New Roman" w:hAnsi="Times New Roman"/>
          <w:sz w:val="24"/>
          <w:szCs w:val="24"/>
        </w:rPr>
        <w:t xml:space="preserve">supply from the lowest cost supply basin </w:t>
      </w:r>
      <w:r w:rsidR="002D0081" w:rsidRPr="00445449">
        <w:rPr>
          <w:rFonts w:ascii="Times New Roman" w:hAnsi="Times New Roman"/>
          <w:sz w:val="24"/>
          <w:szCs w:val="24"/>
        </w:rPr>
        <w:t>available</w:t>
      </w:r>
      <w:r w:rsidR="00445449" w:rsidRPr="00445449">
        <w:rPr>
          <w:rFonts w:ascii="Times New Roman" w:hAnsi="Times New Roman"/>
          <w:sz w:val="24"/>
          <w:szCs w:val="24"/>
        </w:rPr>
        <w:t xml:space="preserve">.  </w:t>
      </w:r>
      <w:r w:rsidR="009C1EE1" w:rsidRPr="00445449">
        <w:rPr>
          <w:rFonts w:ascii="Times New Roman" w:hAnsi="Times New Roman"/>
          <w:sz w:val="24"/>
          <w:szCs w:val="24"/>
        </w:rPr>
        <w:t xml:space="preserve">Avista does have a </w:t>
      </w:r>
      <w:r w:rsidR="00B13B2B" w:rsidRPr="00445449">
        <w:rPr>
          <w:rFonts w:ascii="Times New Roman" w:hAnsi="Times New Roman"/>
          <w:sz w:val="24"/>
          <w:szCs w:val="24"/>
        </w:rPr>
        <w:t>dynamic</w:t>
      </w:r>
      <w:r w:rsidR="009C1EE1" w:rsidRPr="00445449">
        <w:rPr>
          <w:rFonts w:ascii="Times New Roman" w:hAnsi="Times New Roman"/>
          <w:sz w:val="24"/>
          <w:szCs w:val="24"/>
        </w:rPr>
        <w:t xml:space="preserve"> and </w:t>
      </w:r>
      <w:r w:rsidR="00B13B2B" w:rsidRPr="00445449">
        <w:rPr>
          <w:rFonts w:ascii="Times New Roman" w:hAnsi="Times New Roman"/>
          <w:sz w:val="24"/>
          <w:szCs w:val="24"/>
        </w:rPr>
        <w:t xml:space="preserve">responsive </w:t>
      </w:r>
      <w:r w:rsidR="00D10500" w:rsidRPr="00445449">
        <w:rPr>
          <w:rFonts w:ascii="Times New Roman" w:hAnsi="Times New Roman"/>
          <w:sz w:val="24"/>
          <w:szCs w:val="24"/>
        </w:rPr>
        <w:t xml:space="preserve">Procurement Plan that includes an </w:t>
      </w:r>
      <w:r w:rsidR="009C1EE1" w:rsidRPr="00445449">
        <w:rPr>
          <w:rFonts w:ascii="Times New Roman" w:hAnsi="Times New Roman"/>
          <w:sz w:val="24"/>
          <w:szCs w:val="24"/>
        </w:rPr>
        <w:t xml:space="preserve">appropriate hedging </w:t>
      </w:r>
      <w:r w:rsidR="00F33A73" w:rsidRPr="00445449">
        <w:rPr>
          <w:rFonts w:ascii="Times New Roman" w:hAnsi="Times New Roman"/>
          <w:sz w:val="24"/>
          <w:szCs w:val="24"/>
        </w:rPr>
        <w:t xml:space="preserve">program that should </w:t>
      </w:r>
      <w:r w:rsidR="00CB7A13" w:rsidRPr="00445449">
        <w:rPr>
          <w:rFonts w:ascii="Times New Roman" w:hAnsi="Times New Roman"/>
          <w:sz w:val="24"/>
          <w:szCs w:val="24"/>
        </w:rPr>
        <w:t xml:space="preserve">not </w:t>
      </w:r>
      <w:r w:rsidR="00F33A73" w:rsidRPr="00445449">
        <w:rPr>
          <w:rFonts w:ascii="Times New Roman" w:hAnsi="Times New Roman"/>
          <w:sz w:val="24"/>
          <w:szCs w:val="24"/>
        </w:rPr>
        <w:t>be suspended</w:t>
      </w:r>
      <w:r w:rsidR="00445449" w:rsidRPr="00445449">
        <w:rPr>
          <w:rFonts w:ascii="Times New Roman" w:hAnsi="Times New Roman"/>
          <w:sz w:val="24"/>
          <w:szCs w:val="24"/>
        </w:rPr>
        <w:t>.</w:t>
      </w:r>
      <w:r w:rsidR="0005140F">
        <w:rPr>
          <w:rFonts w:ascii="Times New Roman" w:hAnsi="Times New Roman"/>
          <w:sz w:val="24"/>
          <w:szCs w:val="24"/>
        </w:rPr>
        <w:t xml:space="preserve">  Indeed, if it were suspended, Avista’s customers would lose the ongoing benefits of a </w:t>
      </w:r>
      <w:r w:rsidR="00103E11">
        <w:rPr>
          <w:rFonts w:ascii="Times New Roman" w:hAnsi="Times New Roman"/>
          <w:sz w:val="24"/>
          <w:szCs w:val="24"/>
        </w:rPr>
        <w:t xml:space="preserve">mature </w:t>
      </w:r>
      <w:r w:rsidR="0005140F">
        <w:rPr>
          <w:rFonts w:ascii="Times New Roman" w:hAnsi="Times New Roman"/>
          <w:sz w:val="24"/>
          <w:szCs w:val="24"/>
        </w:rPr>
        <w:t xml:space="preserve">hedging strategy that addresses pricing volatility. </w:t>
      </w:r>
      <w:r w:rsidR="00EC2BC3">
        <w:rPr>
          <w:rFonts w:ascii="Times New Roman" w:hAnsi="Times New Roman"/>
          <w:sz w:val="24"/>
          <w:szCs w:val="24"/>
        </w:rPr>
        <w:t xml:space="preserve">  </w:t>
      </w:r>
    </w:p>
    <w:p w:rsidR="00AA5C5D" w:rsidRPr="003D123A" w:rsidRDefault="00AA5C5D" w:rsidP="00AA5C5D">
      <w:pPr>
        <w:spacing w:after="0" w:line="480" w:lineRule="auto"/>
        <w:ind w:firstLine="720"/>
        <w:jc w:val="center"/>
        <w:rPr>
          <w:rFonts w:ascii="Times New Roman" w:hAnsi="Times New Roman"/>
          <w:b/>
          <w:sz w:val="24"/>
          <w:szCs w:val="24"/>
          <w:u w:val="single"/>
        </w:rPr>
      </w:pPr>
      <w:r>
        <w:rPr>
          <w:rFonts w:ascii="Times New Roman" w:hAnsi="Times New Roman"/>
          <w:b/>
          <w:sz w:val="24"/>
          <w:szCs w:val="24"/>
          <w:u w:val="single"/>
        </w:rPr>
        <w:t xml:space="preserve">There Should Be No </w:t>
      </w:r>
      <w:r w:rsidRPr="00F33A73">
        <w:rPr>
          <w:rFonts w:ascii="Times New Roman" w:hAnsi="Times New Roman"/>
          <w:b/>
          <w:sz w:val="24"/>
          <w:szCs w:val="24"/>
          <w:u w:val="single"/>
        </w:rPr>
        <w:t>Disallowance</w:t>
      </w:r>
    </w:p>
    <w:p w:rsidR="00AA5C5D" w:rsidRDefault="00AA5C5D" w:rsidP="00AA5C5D">
      <w:pPr>
        <w:spacing w:after="0" w:line="480" w:lineRule="auto"/>
        <w:ind w:firstLine="720"/>
        <w:jc w:val="both"/>
        <w:rPr>
          <w:rFonts w:ascii="Times New Roman" w:hAnsi="Times New Roman"/>
          <w:color w:val="000000"/>
          <w:sz w:val="24"/>
          <w:szCs w:val="24"/>
        </w:rPr>
      </w:pPr>
      <w:r>
        <w:rPr>
          <w:rFonts w:ascii="Times New Roman" w:hAnsi="Times New Roman"/>
          <w:sz w:val="24"/>
          <w:szCs w:val="24"/>
        </w:rPr>
        <w:t>Public Counsel is recommending that the Commission disallow a portion of Avista’s natural gas costs based on the conclusion that Avista “</w:t>
      </w:r>
      <w:r w:rsidRPr="002A7B9F">
        <w:rPr>
          <w:rFonts w:ascii="Times New Roman" w:hAnsi="Times New Roman"/>
          <w:color w:val="000000"/>
          <w:sz w:val="24"/>
          <w:szCs w:val="24"/>
        </w:rPr>
        <w:t>entered into fixed price financial hedges within</w:t>
      </w:r>
      <w:r>
        <w:rPr>
          <w:rFonts w:ascii="Times New Roman" w:hAnsi="Times New Roman"/>
          <w:color w:val="000000"/>
          <w:sz w:val="24"/>
          <w:szCs w:val="24"/>
        </w:rPr>
        <w:t xml:space="preserve"> three months from the start of the 2011-2012 PGA year, when clear evidence existed from prior months that cash spot market prices were more advantages than forward hedge prices.”  (Public Counsel’s Report at page 4)   Public Counsel uses Table 4 in its report, at page 13, as the basis for their proposed disallowance, arguing that “(m)ost of the evidence pointed to a significant differential between the cash spot market and the future prices that the Company eventually locked in.”  (p. 13)</w:t>
      </w:r>
    </w:p>
    <w:p w:rsidR="00AE4E9A" w:rsidRDefault="00AA5C5D" w:rsidP="00BF4FE6">
      <w:pPr>
        <w:spacing w:after="0" w:line="480" w:lineRule="auto"/>
        <w:ind w:firstLine="720"/>
        <w:jc w:val="both"/>
        <w:rPr>
          <w:rFonts w:ascii="Times New Roman" w:hAnsi="Times New Roman"/>
          <w:b/>
          <w:color w:val="000000"/>
          <w:sz w:val="24"/>
          <w:szCs w:val="24"/>
          <w:u w:val="single"/>
        </w:rPr>
      </w:pPr>
      <w:r w:rsidRPr="00F33A73">
        <w:rPr>
          <w:rFonts w:ascii="Times New Roman" w:hAnsi="Times New Roman"/>
          <w:color w:val="000000"/>
          <w:sz w:val="24"/>
          <w:szCs w:val="24"/>
        </w:rPr>
        <w:t xml:space="preserve">Public Counsel’s </w:t>
      </w:r>
      <w:r>
        <w:rPr>
          <w:rFonts w:ascii="Times New Roman" w:hAnsi="Times New Roman"/>
          <w:color w:val="000000"/>
          <w:sz w:val="24"/>
          <w:szCs w:val="24"/>
        </w:rPr>
        <w:t xml:space="preserve">argument </w:t>
      </w:r>
      <w:r w:rsidR="005708D7">
        <w:rPr>
          <w:rFonts w:ascii="Times New Roman" w:hAnsi="Times New Roman"/>
          <w:color w:val="000000"/>
          <w:sz w:val="24"/>
          <w:szCs w:val="24"/>
        </w:rPr>
        <w:t>of</w:t>
      </w:r>
      <w:r w:rsidR="005708D7" w:rsidRPr="00F33A73">
        <w:rPr>
          <w:rFonts w:ascii="Times New Roman" w:hAnsi="Times New Roman"/>
          <w:color w:val="000000"/>
          <w:sz w:val="24"/>
          <w:szCs w:val="24"/>
        </w:rPr>
        <w:t xml:space="preserve"> </w:t>
      </w:r>
      <w:r>
        <w:rPr>
          <w:rFonts w:ascii="Times New Roman" w:hAnsi="Times New Roman"/>
          <w:color w:val="000000"/>
          <w:sz w:val="24"/>
          <w:szCs w:val="24"/>
        </w:rPr>
        <w:t>a significant price differential has no basis in fact</w:t>
      </w:r>
      <w:r w:rsidRPr="00F33A73">
        <w:rPr>
          <w:rFonts w:ascii="Times New Roman" w:hAnsi="Times New Roman"/>
          <w:color w:val="000000"/>
          <w:sz w:val="24"/>
          <w:szCs w:val="24"/>
        </w:rPr>
        <w:t xml:space="preserve">.  Table 4 </w:t>
      </w:r>
      <w:r>
        <w:rPr>
          <w:rFonts w:ascii="Times New Roman" w:hAnsi="Times New Roman"/>
          <w:color w:val="000000"/>
          <w:sz w:val="24"/>
          <w:szCs w:val="24"/>
        </w:rPr>
        <w:t xml:space="preserve">on page 13 </w:t>
      </w:r>
      <w:r w:rsidRPr="00F33A73">
        <w:rPr>
          <w:rFonts w:ascii="Times New Roman" w:hAnsi="Times New Roman"/>
          <w:color w:val="000000"/>
          <w:sz w:val="24"/>
          <w:szCs w:val="24"/>
        </w:rPr>
        <w:t>of Public Counsel’s report shows the “Cash Spot Market” in comparison to the time periods of “Nov’13-Mar’14”, Nov’14-Mar’15, and “Nov’15-Mar’16”</w:t>
      </w:r>
      <w:r>
        <w:rPr>
          <w:rFonts w:ascii="Times New Roman" w:hAnsi="Times New Roman"/>
          <w:color w:val="000000"/>
          <w:sz w:val="24"/>
          <w:szCs w:val="24"/>
        </w:rPr>
        <w:t xml:space="preserve">, </w:t>
      </w:r>
      <w:r w:rsidRPr="00D62C0C">
        <w:rPr>
          <w:rFonts w:ascii="Times New Roman" w:hAnsi="Times New Roman"/>
          <w:color w:val="000000"/>
          <w:sz w:val="24"/>
          <w:szCs w:val="24"/>
          <w:u w:val="single"/>
        </w:rPr>
        <w:t>not to the period being hedged</w:t>
      </w:r>
      <w:r w:rsidR="00103E11">
        <w:rPr>
          <w:rFonts w:ascii="Times New Roman" w:hAnsi="Times New Roman"/>
          <w:color w:val="000000"/>
          <w:sz w:val="24"/>
          <w:szCs w:val="24"/>
          <w:u w:val="single"/>
        </w:rPr>
        <w:t xml:space="preserve"> as part of the defined Procurement Plan</w:t>
      </w:r>
      <w:r w:rsidRPr="00F33A73">
        <w:rPr>
          <w:rFonts w:ascii="Times New Roman" w:hAnsi="Times New Roman"/>
          <w:color w:val="000000"/>
          <w:sz w:val="24"/>
          <w:szCs w:val="24"/>
        </w:rPr>
        <w:t xml:space="preserve">.  </w:t>
      </w:r>
      <w:r w:rsidR="0003350A">
        <w:rPr>
          <w:rFonts w:ascii="Times New Roman" w:hAnsi="Times New Roman"/>
          <w:color w:val="000000"/>
          <w:sz w:val="24"/>
          <w:szCs w:val="24"/>
        </w:rPr>
        <w:t xml:space="preserve">Their comparison </w:t>
      </w:r>
      <w:r w:rsidRPr="00F33A73">
        <w:rPr>
          <w:rFonts w:ascii="Times New Roman" w:hAnsi="Times New Roman"/>
          <w:color w:val="000000"/>
          <w:sz w:val="24"/>
          <w:szCs w:val="24"/>
        </w:rPr>
        <w:t xml:space="preserve">should have been made to the 2011/12 </w:t>
      </w:r>
      <w:r w:rsidRPr="00445449">
        <w:rPr>
          <w:rFonts w:ascii="Times New Roman" w:hAnsi="Times New Roman"/>
          <w:color w:val="000000"/>
          <w:sz w:val="24"/>
          <w:szCs w:val="24"/>
        </w:rPr>
        <w:t>hedging period</w:t>
      </w:r>
      <w:r>
        <w:rPr>
          <w:rFonts w:ascii="Times New Roman" w:hAnsi="Times New Roman"/>
          <w:color w:val="000000"/>
          <w:sz w:val="24"/>
          <w:szCs w:val="24"/>
        </w:rPr>
        <w:t xml:space="preserve"> -</w:t>
      </w:r>
      <w:r w:rsidRPr="00445449">
        <w:rPr>
          <w:rFonts w:ascii="Times New Roman" w:hAnsi="Times New Roman"/>
          <w:color w:val="000000"/>
          <w:sz w:val="24"/>
          <w:szCs w:val="24"/>
        </w:rPr>
        <w:t xml:space="preserve"> the actual period in the Procurement Plan (the prompt year)</w:t>
      </w:r>
      <w:r w:rsidR="00103E11">
        <w:rPr>
          <w:rFonts w:ascii="Times New Roman" w:hAnsi="Times New Roman"/>
          <w:color w:val="000000"/>
          <w:sz w:val="24"/>
          <w:szCs w:val="24"/>
        </w:rPr>
        <w:t xml:space="preserve"> </w:t>
      </w:r>
      <w:r w:rsidR="0003350A">
        <w:rPr>
          <w:rFonts w:ascii="Times New Roman" w:hAnsi="Times New Roman"/>
          <w:color w:val="000000"/>
          <w:sz w:val="24"/>
          <w:szCs w:val="24"/>
        </w:rPr>
        <w:t xml:space="preserve">that was </w:t>
      </w:r>
      <w:r w:rsidR="00103E11">
        <w:rPr>
          <w:rFonts w:ascii="Times New Roman" w:hAnsi="Times New Roman"/>
          <w:color w:val="000000"/>
          <w:sz w:val="24"/>
          <w:szCs w:val="24"/>
        </w:rPr>
        <w:t>hedged</w:t>
      </w:r>
      <w:r w:rsidRPr="00445449">
        <w:rPr>
          <w:rFonts w:ascii="Times New Roman" w:hAnsi="Times New Roman"/>
          <w:color w:val="000000"/>
          <w:sz w:val="24"/>
          <w:szCs w:val="24"/>
        </w:rPr>
        <w:t>.</w:t>
      </w:r>
      <w:r>
        <w:rPr>
          <w:rFonts w:ascii="Times New Roman" w:hAnsi="Times New Roman"/>
          <w:color w:val="000000"/>
          <w:sz w:val="24"/>
          <w:szCs w:val="24"/>
        </w:rPr>
        <w:t xml:space="preserve"> </w:t>
      </w:r>
      <w:r w:rsidRPr="00445449">
        <w:rPr>
          <w:rFonts w:ascii="Times New Roman" w:hAnsi="Times New Roman"/>
          <w:color w:val="000000"/>
          <w:sz w:val="24"/>
          <w:szCs w:val="24"/>
        </w:rPr>
        <w:t>Using</w:t>
      </w:r>
      <w:r>
        <w:rPr>
          <w:rFonts w:ascii="Times New Roman" w:hAnsi="Times New Roman"/>
          <w:color w:val="000000"/>
          <w:sz w:val="24"/>
          <w:szCs w:val="24"/>
        </w:rPr>
        <w:t xml:space="preserve"> the correct time period (as seen in Illustration 1</w:t>
      </w:r>
      <w:r w:rsidR="0025438B">
        <w:rPr>
          <w:rFonts w:ascii="Times New Roman" w:hAnsi="Times New Roman"/>
          <w:color w:val="000000"/>
          <w:sz w:val="24"/>
          <w:szCs w:val="24"/>
        </w:rPr>
        <w:t xml:space="preserve">(winter) and </w:t>
      </w:r>
      <w:r w:rsidR="00F758B7">
        <w:rPr>
          <w:rFonts w:ascii="Times New Roman" w:hAnsi="Times New Roman"/>
          <w:color w:val="000000"/>
          <w:sz w:val="24"/>
          <w:szCs w:val="24"/>
        </w:rPr>
        <w:t xml:space="preserve">Illustration </w:t>
      </w:r>
      <w:r w:rsidR="0025438B">
        <w:rPr>
          <w:rFonts w:ascii="Times New Roman" w:hAnsi="Times New Roman"/>
          <w:color w:val="000000"/>
          <w:sz w:val="24"/>
          <w:szCs w:val="24"/>
        </w:rPr>
        <w:t xml:space="preserve">2 </w:t>
      </w:r>
      <w:r w:rsidR="0025438B">
        <w:rPr>
          <w:rFonts w:ascii="Times New Roman" w:hAnsi="Times New Roman"/>
          <w:color w:val="000000"/>
          <w:sz w:val="24"/>
          <w:szCs w:val="24"/>
        </w:rPr>
        <w:lastRenderedPageBreak/>
        <w:t>(summer)</w:t>
      </w:r>
      <w:r>
        <w:rPr>
          <w:rFonts w:ascii="Times New Roman" w:hAnsi="Times New Roman"/>
          <w:color w:val="000000"/>
          <w:sz w:val="24"/>
          <w:szCs w:val="24"/>
        </w:rPr>
        <w:t xml:space="preserve"> below), during the three months prior to the 2011/12 hedging period, the AECO cash spot market price </w:t>
      </w:r>
      <w:r w:rsidRPr="00F33A73">
        <w:rPr>
          <w:rFonts w:ascii="Times New Roman" w:hAnsi="Times New Roman"/>
          <w:color w:val="000000"/>
          <w:sz w:val="24"/>
          <w:szCs w:val="24"/>
          <w:u w:val="single"/>
        </w:rPr>
        <w:t>was in fact very similar</w:t>
      </w:r>
      <w:r>
        <w:rPr>
          <w:rFonts w:ascii="Times New Roman" w:hAnsi="Times New Roman"/>
          <w:color w:val="000000"/>
          <w:sz w:val="24"/>
          <w:szCs w:val="24"/>
        </w:rPr>
        <w:t xml:space="preserve"> in price to the future 2011/12 prices that the Company hedged.  </w:t>
      </w:r>
    </w:p>
    <w:p w:rsidR="00AA5C5D" w:rsidRPr="00D62C0C" w:rsidRDefault="00AA5C5D" w:rsidP="00AA5C5D">
      <w:pPr>
        <w:spacing w:after="0" w:line="480" w:lineRule="auto"/>
        <w:jc w:val="both"/>
        <w:rPr>
          <w:rFonts w:ascii="Times New Roman" w:hAnsi="Times New Roman"/>
          <w:b/>
          <w:color w:val="000000"/>
          <w:sz w:val="24"/>
          <w:szCs w:val="24"/>
          <w:u w:val="single"/>
        </w:rPr>
      </w:pPr>
      <w:r w:rsidRPr="00D62C0C">
        <w:rPr>
          <w:rFonts w:ascii="Times New Roman" w:hAnsi="Times New Roman"/>
          <w:b/>
          <w:color w:val="000000"/>
          <w:sz w:val="24"/>
          <w:szCs w:val="24"/>
          <w:u w:val="single"/>
        </w:rPr>
        <w:t xml:space="preserve">Illustration 1 – 2011/2012 </w:t>
      </w:r>
      <w:r w:rsidR="00C5451E">
        <w:rPr>
          <w:rFonts w:ascii="Times New Roman" w:hAnsi="Times New Roman"/>
          <w:b/>
          <w:color w:val="000000"/>
          <w:sz w:val="24"/>
          <w:szCs w:val="24"/>
          <w:u w:val="single"/>
        </w:rPr>
        <w:t xml:space="preserve">Winter </w:t>
      </w:r>
      <w:r w:rsidRPr="00D62C0C">
        <w:rPr>
          <w:rFonts w:ascii="Times New Roman" w:hAnsi="Times New Roman"/>
          <w:b/>
          <w:color w:val="000000"/>
          <w:sz w:val="24"/>
          <w:szCs w:val="24"/>
          <w:u w:val="single"/>
        </w:rPr>
        <w:t>Forward Price vs. Cash Prices (AECO)</w:t>
      </w:r>
    </w:p>
    <w:p w:rsidR="00D23FB6" w:rsidRDefault="00D23FB6" w:rsidP="00AA5C5D">
      <w:pPr>
        <w:spacing w:after="0" w:line="480" w:lineRule="auto"/>
        <w:ind w:firstLine="720"/>
        <w:jc w:val="both"/>
        <w:rPr>
          <w:rFonts w:ascii="Times New Roman" w:hAnsi="Times New Roman"/>
          <w:color w:val="000000"/>
          <w:sz w:val="24"/>
          <w:szCs w:val="24"/>
        </w:rPr>
      </w:pPr>
    </w:p>
    <w:p w:rsidR="00D23FB6" w:rsidRDefault="00C5451E" w:rsidP="00AA5C5D">
      <w:pPr>
        <w:spacing w:after="0" w:line="480" w:lineRule="auto"/>
        <w:ind w:firstLine="720"/>
        <w:jc w:val="both"/>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60288" behindDoc="1" locked="0" layoutInCell="1" allowOverlap="1">
            <wp:simplePos x="0" y="0"/>
            <wp:positionH relativeFrom="column">
              <wp:posOffset>243205</wp:posOffset>
            </wp:positionH>
            <wp:positionV relativeFrom="paragraph">
              <wp:posOffset>-267970</wp:posOffset>
            </wp:positionV>
            <wp:extent cx="5303520" cy="2915285"/>
            <wp:effectExtent l="19050" t="0" r="0" b="0"/>
            <wp:wrapNone/>
            <wp:docPr id="3" name="Picture 3" descr="cid:image001.png@01CE23AD.89F08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E23AD.89F08A00"/>
                    <pic:cNvPicPr>
                      <a:picLocks noChangeAspect="1" noChangeArrowheads="1"/>
                    </pic:cNvPicPr>
                  </pic:nvPicPr>
                  <pic:blipFill>
                    <a:blip r:embed="rId8" r:link="rId9" cstate="print"/>
                    <a:srcRect/>
                    <a:stretch>
                      <a:fillRect/>
                    </a:stretch>
                  </pic:blipFill>
                  <pic:spPr bwMode="auto">
                    <a:xfrm>
                      <a:off x="0" y="0"/>
                      <a:ext cx="5303520" cy="2915285"/>
                    </a:xfrm>
                    <a:prstGeom prst="rect">
                      <a:avLst/>
                    </a:prstGeom>
                    <a:noFill/>
                    <a:ln w="9525">
                      <a:noFill/>
                      <a:miter lim="800000"/>
                      <a:headEnd/>
                      <a:tailEnd/>
                    </a:ln>
                  </pic:spPr>
                </pic:pic>
              </a:graphicData>
            </a:graphic>
          </wp:anchor>
        </w:drawing>
      </w:r>
    </w:p>
    <w:p w:rsidR="00D23FB6" w:rsidRDefault="00C52677" w:rsidP="00AA5C5D">
      <w:pPr>
        <w:spacing w:after="0" w:line="480" w:lineRule="auto"/>
        <w:ind w:firstLine="720"/>
        <w:jc w:val="both"/>
        <w:rPr>
          <w:rFonts w:ascii="Times New Roman" w:hAnsi="Times New Roman"/>
          <w:color w:val="000000"/>
          <w:sz w:val="24"/>
          <w:szCs w:val="24"/>
        </w:rPr>
      </w:pPr>
      <w:r w:rsidRPr="00C52677">
        <w:rPr>
          <w:noProof/>
        </w:rPr>
        <w:pict>
          <v:rect id="_x0000_s1026" style="position:absolute;left:0;text-align:left;margin-left:390.55pt;margin-top:17.45pt;width:43.5pt;height:108.65pt;z-index:251658240" strokeweight="1pt">
            <v:fill opacity="0"/>
            <v:stroke dashstyle="dash"/>
          </v:rect>
        </w:pict>
      </w:r>
    </w:p>
    <w:p w:rsidR="00C5451E" w:rsidRDefault="00C5451E" w:rsidP="00AA5C5D">
      <w:pPr>
        <w:spacing w:after="0" w:line="480" w:lineRule="auto"/>
        <w:ind w:firstLine="720"/>
        <w:jc w:val="both"/>
        <w:rPr>
          <w:rFonts w:ascii="Times New Roman" w:hAnsi="Times New Roman"/>
          <w:color w:val="000000"/>
          <w:sz w:val="24"/>
          <w:szCs w:val="24"/>
        </w:rPr>
      </w:pPr>
    </w:p>
    <w:p w:rsidR="00D23FB6" w:rsidRDefault="00D23FB6" w:rsidP="00AA5C5D">
      <w:pPr>
        <w:spacing w:after="0" w:line="480" w:lineRule="auto"/>
        <w:ind w:firstLine="720"/>
        <w:jc w:val="both"/>
        <w:rPr>
          <w:rFonts w:ascii="Times New Roman" w:hAnsi="Times New Roman"/>
          <w:color w:val="000000"/>
          <w:sz w:val="24"/>
          <w:szCs w:val="24"/>
        </w:rPr>
      </w:pPr>
    </w:p>
    <w:p w:rsidR="00D23FB6" w:rsidRDefault="00D23FB6" w:rsidP="00AA5C5D">
      <w:pPr>
        <w:spacing w:after="0" w:line="480" w:lineRule="auto"/>
        <w:ind w:firstLine="720"/>
        <w:jc w:val="both"/>
        <w:rPr>
          <w:rFonts w:ascii="Times New Roman" w:hAnsi="Times New Roman"/>
          <w:color w:val="000000"/>
          <w:sz w:val="24"/>
          <w:szCs w:val="24"/>
        </w:rPr>
      </w:pPr>
    </w:p>
    <w:p w:rsidR="00C5451E" w:rsidRDefault="00C5451E" w:rsidP="00AA5C5D">
      <w:pPr>
        <w:spacing w:after="0" w:line="480" w:lineRule="auto"/>
        <w:ind w:firstLine="720"/>
        <w:jc w:val="both"/>
        <w:rPr>
          <w:rFonts w:ascii="Times New Roman" w:hAnsi="Times New Roman"/>
          <w:color w:val="000000"/>
          <w:sz w:val="24"/>
          <w:szCs w:val="24"/>
        </w:rPr>
      </w:pPr>
    </w:p>
    <w:p w:rsidR="00C5451E" w:rsidRDefault="00C5451E" w:rsidP="00AA5C5D">
      <w:pPr>
        <w:spacing w:after="0" w:line="480" w:lineRule="auto"/>
        <w:ind w:firstLine="720"/>
        <w:jc w:val="both"/>
        <w:rPr>
          <w:rFonts w:ascii="Times New Roman" w:hAnsi="Times New Roman"/>
          <w:color w:val="000000"/>
          <w:sz w:val="24"/>
          <w:szCs w:val="24"/>
        </w:rPr>
      </w:pPr>
    </w:p>
    <w:p w:rsidR="00C5451E" w:rsidRDefault="00C5451E" w:rsidP="00AA5C5D">
      <w:pPr>
        <w:spacing w:after="0" w:line="480" w:lineRule="auto"/>
        <w:ind w:firstLine="720"/>
        <w:jc w:val="both"/>
        <w:rPr>
          <w:rFonts w:ascii="Times New Roman" w:hAnsi="Times New Roman"/>
          <w:color w:val="000000"/>
          <w:sz w:val="24"/>
          <w:szCs w:val="24"/>
        </w:rPr>
      </w:pPr>
    </w:p>
    <w:p w:rsidR="00C5451E" w:rsidRPr="00D62C0C" w:rsidRDefault="00C5451E" w:rsidP="00C5451E">
      <w:pPr>
        <w:spacing w:after="0" w:line="480" w:lineRule="auto"/>
        <w:jc w:val="both"/>
        <w:rPr>
          <w:rFonts w:ascii="Times New Roman" w:hAnsi="Times New Roman"/>
          <w:b/>
          <w:color w:val="000000"/>
          <w:sz w:val="24"/>
          <w:szCs w:val="24"/>
          <w:u w:val="single"/>
        </w:rPr>
      </w:pPr>
      <w:r w:rsidRPr="00D62C0C">
        <w:rPr>
          <w:rFonts w:ascii="Times New Roman" w:hAnsi="Times New Roman"/>
          <w:b/>
          <w:color w:val="000000"/>
          <w:sz w:val="24"/>
          <w:szCs w:val="24"/>
          <w:u w:val="single"/>
        </w:rPr>
        <w:t xml:space="preserve">Illustration </w:t>
      </w:r>
      <w:r>
        <w:rPr>
          <w:rFonts w:ascii="Times New Roman" w:hAnsi="Times New Roman"/>
          <w:b/>
          <w:color w:val="000000"/>
          <w:sz w:val="24"/>
          <w:szCs w:val="24"/>
          <w:u w:val="single"/>
        </w:rPr>
        <w:t>2</w:t>
      </w:r>
      <w:r w:rsidRPr="00D62C0C">
        <w:rPr>
          <w:rFonts w:ascii="Times New Roman" w:hAnsi="Times New Roman"/>
          <w:b/>
          <w:color w:val="000000"/>
          <w:sz w:val="24"/>
          <w:szCs w:val="24"/>
          <w:u w:val="single"/>
        </w:rPr>
        <w:t xml:space="preserve"> –</w:t>
      </w:r>
      <w:r>
        <w:rPr>
          <w:rFonts w:ascii="Times New Roman" w:hAnsi="Times New Roman"/>
          <w:b/>
          <w:color w:val="000000"/>
          <w:sz w:val="24"/>
          <w:szCs w:val="24"/>
          <w:u w:val="single"/>
        </w:rPr>
        <w:t xml:space="preserve"> </w:t>
      </w:r>
      <w:r w:rsidRPr="00D62C0C">
        <w:rPr>
          <w:rFonts w:ascii="Times New Roman" w:hAnsi="Times New Roman"/>
          <w:b/>
          <w:color w:val="000000"/>
          <w:sz w:val="24"/>
          <w:szCs w:val="24"/>
          <w:u w:val="single"/>
        </w:rPr>
        <w:t xml:space="preserve">2012 </w:t>
      </w:r>
      <w:r>
        <w:rPr>
          <w:rFonts w:ascii="Times New Roman" w:hAnsi="Times New Roman"/>
          <w:b/>
          <w:color w:val="000000"/>
          <w:sz w:val="24"/>
          <w:szCs w:val="24"/>
          <w:u w:val="single"/>
        </w:rPr>
        <w:t xml:space="preserve">Summer </w:t>
      </w:r>
      <w:r w:rsidRPr="00D62C0C">
        <w:rPr>
          <w:rFonts w:ascii="Times New Roman" w:hAnsi="Times New Roman"/>
          <w:b/>
          <w:color w:val="000000"/>
          <w:sz w:val="24"/>
          <w:szCs w:val="24"/>
          <w:u w:val="single"/>
        </w:rPr>
        <w:t>Forward Price vs. Cash Prices (AECO)</w:t>
      </w:r>
    </w:p>
    <w:p w:rsidR="00C5451E" w:rsidRDefault="00C5451E" w:rsidP="00AA5C5D">
      <w:pPr>
        <w:spacing w:after="0" w:line="480" w:lineRule="auto"/>
        <w:ind w:firstLine="720"/>
        <w:jc w:val="both"/>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61312" behindDoc="1" locked="0" layoutInCell="1" allowOverlap="1">
            <wp:simplePos x="0" y="0"/>
            <wp:positionH relativeFrom="column">
              <wp:posOffset>363855</wp:posOffset>
            </wp:positionH>
            <wp:positionV relativeFrom="paragraph">
              <wp:posOffset>60960</wp:posOffset>
            </wp:positionV>
            <wp:extent cx="5285740" cy="2958465"/>
            <wp:effectExtent l="19050" t="0" r="0" b="0"/>
            <wp:wrapNone/>
            <wp:docPr id="2" name="Picture 3" descr="cid:image001.png@01CE23AD.A661E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E23AD.A661E170"/>
                    <pic:cNvPicPr>
                      <a:picLocks noChangeAspect="1" noChangeArrowheads="1"/>
                    </pic:cNvPicPr>
                  </pic:nvPicPr>
                  <pic:blipFill>
                    <a:blip r:embed="rId10" r:link="rId11" cstate="print"/>
                    <a:srcRect/>
                    <a:stretch>
                      <a:fillRect/>
                    </a:stretch>
                  </pic:blipFill>
                  <pic:spPr bwMode="auto">
                    <a:xfrm>
                      <a:off x="0" y="0"/>
                      <a:ext cx="5285740" cy="2958465"/>
                    </a:xfrm>
                    <a:prstGeom prst="rect">
                      <a:avLst/>
                    </a:prstGeom>
                    <a:noFill/>
                    <a:ln w="9525">
                      <a:noFill/>
                      <a:miter lim="800000"/>
                      <a:headEnd/>
                      <a:tailEnd/>
                    </a:ln>
                  </pic:spPr>
                </pic:pic>
              </a:graphicData>
            </a:graphic>
          </wp:anchor>
        </w:drawing>
      </w:r>
    </w:p>
    <w:p w:rsidR="00C5451E" w:rsidRDefault="00C5451E" w:rsidP="00AA5C5D">
      <w:pPr>
        <w:spacing w:after="0" w:line="480" w:lineRule="auto"/>
        <w:ind w:firstLine="720"/>
        <w:jc w:val="both"/>
        <w:rPr>
          <w:rFonts w:ascii="Times New Roman" w:hAnsi="Times New Roman"/>
          <w:color w:val="000000"/>
          <w:sz w:val="24"/>
          <w:szCs w:val="24"/>
        </w:rPr>
      </w:pPr>
    </w:p>
    <w:p w:rsidR="00C5451E" w:rsidRDefault="00C52677" w:rsidP="00AA5C5D">
      <w:pPr>
        <w:spacing w:after="0" w:line="480" w:lineRule="auto"/>
        <w:ind w:firstLine="720"/>
        <w:jc w:val="both"/>
        <w:rPr>
          <w:rFonts w:ascii="Times New Roman" w:hAnsi="Times New Roman"/>
          <w:color w:val="000000"/>
          <w:sz w:val="24"/>
          <w:szCs w:val="24"/>
        </w:rPr>
      </w:pPr>
      <w:r w:rsidRPr="00C52677">
        <w:rPr>
          <w:noProof/>
        </w:rPr>
        <w:pict>
          <v:rect id="_x0000_s1027" style="position:absolute;left:0;text-align:left;margin-left:394.65pt;margin-top:21.65pt;width:42.8pt;height:108.65pt;z-index:251659264" strokeweight="1pt">
            <v:fill opacity="0"/>
            <v:stroke dashstyle="dash"/>
          </v:rect>
        </w:pict>
      </w:r>
    </w:p>
    <w:p w:rsidR="00C5451E" w:rsidRDefault="00C5451E" w:rsidP="00AA5C5D">
      <w:pPr>
        <w:spacing w:after="0" w:line="480" w:lineRule="auto"/>
        <w:ind w:firstLine="720"/>
        <w:jc w:val="both"/>
        <w:rPr>
          <w:rFonts w:ascii="Times New Roman" w:hAnsi="Times New Roman"/>
          <w:color w:val="000000"/>
          <w:sz w:val="24"/>
          <w:szCs w:val="24"/>
        </w:rPr>
      </w:pPr>
    </w:p>
    <w:p w:rsidR="00C5451E" w:rsidRDefault="00C5451E" w:rsidP="00AA5C5D">
      <w:pPr>
        <w:spacing w:after="0" w:line="480" w:lineRule="auto"/>
        <w:ind w:firstLine="720"/>
        <w:jc w:val="both"/>
        <w:rPr>
          <w:rFonts w:ascii="Times New Roman" w:hAnsi="Times New Roman"/>
          <w:color w:val="000000"/>
          <w:sz w:val="24"/>
          <w:szCs w:val="24"/>
        </w:rPr>
      </w:pPr>
    </w:p>
    <w:p w:rsidR="00C5451E" w:rsidRDefault="00C5451E" w:rsidP="00AA5C5D">
      <w:pPr>
        <w:spacing w:after="0" w:line="480" w:lineRule="auto"/>
        <w:ind w:firstLine="720"/>
        <w:jc w:val="both"/>
        <w:rPr>
          <w:rFonts w:ascii="Times New Roman" w:hAnsi="Times New Roman"/>
          <w:color w:val="000000"/>
          <w:sz w:val="24"/>
          <w:szCs w:val="24"/>
        </w:rPr>
      </w:pPr>
    </w:p>
    <w:p w:rsidR="00C5451E" w:rsidRDefault="00C5451E" w:rsidP="00AA5C5D">
      <w:pPr>
        <w:spacing w:after="0" w:line="480" w:lineRule="auto"/>
        <w:ind w:firstLine="720"/>
        <w:jc w:val="both"/>
        <w:rPr>
          <w:rFonts w:ascii="Times New Roman" w:hAnsi="Times New Roman"/>
          <w:color w:val="000000"/>
          <w:sz w:val="24"/>
          <w:szCs w:val="24"/>
        </w:rPr>
      </w:pPr>
    </w:p>
    <w:p w:rsidR="00C5451E" w:rsidRDefault="00C5451E" w:rsidP="00AA5C5D">
      <w:pPr>
        <w:spacing w:after="0" w:line="480" w:lineRule="auto"/>
        <w:ind w:firstLine="720"/>
        <w:jc w:val="both"/>
        <w:rPr>
          <w:rFonts w:ascii="Times New Roman" w:hAnsi="Times New Roman"/>
          <w:color w:val="000000"/>
          <w:sz w:val="24"/>
          <w:szCs w:val="24"/>
        </w:rPr>
      </w:pPr>
    </w:p>
    <w:p w:rsidR="00C5451E" w:rsidRDefault="00C5451E" w:rsidP="00AA5C5D">
      <w:pPr>
        <w:spacing w:after="0" w:line="480" w:lineRule="auto"/>
        <w:ind w:firstLine="720"/>
        <w:jc w:val="both"/>
        <w:rPr>
          <w:rFonts w:ascii="Times New Roman" w:hAnsi="Times New Roman"/>
          <w:color w:val="000000"/>
          <w:sz w:val="24"/>
          <w:szCs w:val="24"/>
        </w:rPr>
      </w:pPr>
    </w:p>
    <w:p w:rsidR="00AA5C5D" w:rsidRDefault="00AA5C5D" w:rsidP="00AA5C5D">
      <w:pPr>
        <w:spacing w:after="0" w:line="480" w:lineRule="auto"/>
        <w:ind w:firstLine="720"/>
        <w:jc w:val="both"/>
        <w:rPr>
          <w:rFonts w:ascii="Times New Roman" w:hAnsi="Times New Roman"/>
          <w:sz w:val="24"/>
          <w:szCs w:val="24"/>
        </w:rPr>
      </w:pPr>
      <w:r>
        <w:rPr>
          <w:rFonts w:ascii="Times New Roman" w:hAnsi="Times New Roman"/>
          <w:color w:val="000000"/>
          <w:sz w:val="24"/>
          <w:szCs w:val="24"/>
        </w:rPr>
        <w:lastRenderedPageBreak/>
        <w:t xml:space="preserve">In fact, there were times when the forward future price was </w:t>
      </w:r>
      <w:r w:rsidRPr="00F33A73">
        <w:rPr>
          <w:rFonts w:ascii="Times New Roman" w:hAnsi="Times New Roman"/>
          <w:color w:val="000000"/>
          <w:sz w:val="24"/>
          <w:szCs w:val="24"/>
          <w:u w:val="single"/>
        </w:rPr>
        <w:t>lower</w:t>
      </w:r>
      <w:r>
        <w:rPr>
          <w:rFonts w:ascii="Times New Roman" w:hAnsi="Times New Roman"/>
          <w:color w:val="000000"/>
          <w:sz w:val="24"/>
          <w:szCs w:val="24"/>
        </w:rPr>
        <w:t xml:space="preserve"> than the cash spot market price.  Contrary to Public Counsel’s assertion</w:t>
      </w:r>
      <w:r w:rsidR="00AE4E9A">
        <w:rPr>
          <w:rFonts w:ascii="Times New Roman" w:hAnsi="Times New Roman"/>
          <w:color w:val="000000"/>
          <w:sz w:val="24"/>
          <w:szCs w:val="24"/>
        </w:rPr>
        <w:t xml:space="preserve">, </w:t>
      </w:r>
      <w:r w:rsidR="0003350A">
        <w:rPr>
          <w:rFonts w:ascii="Times New Roman" w:hAnsi="Times New Roman"/>
          <w:color w:val="000000"/>
          <w:sz w:val="24"/>
          <w:szCs w:val="24"/>
        </w:rPr>
        <w:t>and</w:t>
      </w:r>
      <w:r w:rsidR="00AE4E9A">
        <w:rPr>
          <w:rFonts w:ascii="Times New Roman" w:hAnsi="Times New Roman"/>
          <w:color w:val="000000"/>
          <w:sz w:val="24"/>
          <w:szCs w:val="24"/>
        </w:rPr>
        <w:t xml:space="preserve"> as can be seen</w:t>
      </w:r>
      <w:r w:rsidR="0003350A">
        <w:rPr>
          <w:rFonts w:ascii="Times New Roman" w:hAnsi="Times New Roman"/>
          <w:color w:val="000000"/>
          <w:sz w:val="24"/>
          <w:szCs w:val="24"/>
        </w:rPr>
        <w:t xml:space="preserve"> in </w:t>
      </w:r>
      <w:r w:rsidR="00AE4E9A">
        <w:rPr>
          <w:rFonts w:ascii="Times New Roman" w:hAnsi="Times New Roman"/>
          <w:color w:val="000000"/>
          <w:sz w:val="24"/>
          <w:szCs w:val="24"/>
        </w:rPr>
        <w:t>I</w:t>
      </w:r>
      <w:r w:rsidR="0003350A">
        <w:rPr>
          <w:rFonts w:ascii="Times New Roman" w:hAnsi="Times New Roman"/>
          <w:color w:val="000000"/>
          <w:sz w:val="24"/>
          <w:szCs w:val="24"/>
        </w:rPr>
        <w:t>llustration</w:t>
      </w:r>
      <w:r w:rsidR="00AE4E9A">
        <w:rPr>
          <w:rFonts w:ascii="Times New Roman" w:hAnsi="Times New Roman"/>
          <w:color w:val="000000"/>
          <w:sz w:val="24"/>
          <w:szCs w:val="24"/>
        </w:rPr>
        <w:t>s</w:t>
      </w:r>
      <w:r w:rsidR="0003350A">
        <w:rPr>
          <w:rFonts w:ascii="Times New Roman" w:hAnsi="Times New Roman"/>
          <w:color w:val="000000"/>
          <w:sz w:val="24"/>
          <w:szCs w:val="24"/>
        </w:rPr>
        <w:t xml:space="preserve"> 1</w:t>
      </w:r>
      <w:r w:rsidR="0025438B">
        <w:rPr>
          <w:rFonts w:ascii="Times New Roman" w:hAnsi="Times New Roman"/>
          <w:color w:val="000000"/>
          <w:sz w:val="24"/>
          <w:szCs w:val="24"/>
        </w:rPr>
        <w:t xml:space="preserve"> and 2</w:t>
      </w:r>
      <w:r>
        <w:rPr>
          <w:rFonts w:ascii="Times New Roman" w:hAnsi="Times New Roman"/>
          <w:color w:val="000000"/>
          <w:sz w:val="24"/>
          <w:szCs w:val="24"/>
        </w:rPr>
        <w:t xml:space="preserve">, the price differential was actually the narrowest it had been in years. During the three months before the start of the 2011/12 PGA year, there was </w:t>
      </w:r>
      <w:r w:rsidRPr="00F33A73">
        <w:rPr>
          <w:rFonts w:ascii="Times New Roman" w:hAnsi="Times New Roman"/>
          <w:color w:val="000000"/>
          <w:sz w:val="24"/>
          <w:szCs w:val="24"/>
          <w:u w:val="single"/>
        </w:rPr>
        <w:t>not</w:t>
      </w:r>
      <w:r w:rsidRPr="00396F1C">
        <w:rPr>
          <w:rFonts w:ascii="Times New Roman" w:hAnsi="Times New Roman"/>
          <w:color w:val="000000"/>
          <w:sz w:val="24"/>
          <w:szCs w:val="24"/>
        </w:rPr>
        <w:t xml:space="preserve"> </w:t>
      </w:r>
      <w:r>
        <w:rPr>
          <w:rFonts w:ascii="Times New Roman" w:hAnsi="Times New Roman"/>
          <w:color w:val="000000"/>
          <w:sz w:val="24"/>
          <w:szCs w:val="24"/>
        </w:rPr>
        <w:t xml:space="preserve">a “significant differential” as </w:t>
      </w:r>
      <w:r w:rsidR="00103E11">
        <w:rPr>
          <w:rFonts w:ascii="Times New Roman" w:hAnsi="Times New Roman"/>
          <w:color w:val="000000"/>
          <w:sz w:val="24"/>
          <w:szCs w:val="24"/>
        </w:rPr>
        <w:t xml:space="preserve">Public Counsel </w:t>
      </w:r>
      <w:r>
        <w:rPr>
          <w:rFonts w:ascii="Times New Roman" w:hAnsi="Times New Roman"/>
          <w:color w:val="000000"/>
          <w:sz w:val="24"/>
          <w:szCs w:val="24"/>
        </w:rPr>
        <w:t xml:space="preserve">contends; indeed, and at times there was </w:t>
      </w:r>
      <w:r w:rsidRPr="00F33A73">
        <w:rPr>
          <w:rFonts w:ascii="Times New Roman" w:hAnsi="Times New Roman"/>
          <w:color w:val="000000"/>
          <w:sz w:val="24"/>
          <w:szCs w:val="24"/>
        </w:rPr>
        <w:t>no</w:t>
      </w:r>
      <w:r>
        <w:rPr>
          <w:rFonts w:ascii="Times New Roman" w:hAnsi="Times New Roman"/>
          <w:color w:val="000000"/>
          <w:sz w:val="24"/>
          <w:szCs w:val="24"/>
        </w:rPr>
        <w:t xml:space="preserve"> price differential at all.  In short, there is no basis for Public Counsel’s recommended disallowance.  The broader point, however, is this:  the purpose of any hedging program is not to precisely predict the market</w:t>
      </w:r>
      <w:r w:rsidR="00AE4E9A">
        <w:rPr>
          <w:rFonts w:ascii="Times New Roman" w:hAnsi="Times New Roman"/>
          <w:color w:val="000000"/>
          <w:sz w:val="24"/>
          <w:szCs w:val="24"/>
        </w:rPr>
        <w:t xml:space="preserve"> or </w:t>
      </w:r>
      <w:r w:rsidR="00204FE0">
        <w:rPr>
          <w:rFonts w:ascii="Times New Roman" w:hAnsi="Times New Roman"/>
          <w:color w:val="000000"/>
          <w:sz w:val="24"/>
          <w:szCs w:val="24"/>
        </w:rPr>
        <w:t>take a market position</w:t>
      </w:r>
      <w:r>
        <w:rPr>
          <w:rFonts w:ascii="Times New Roman" w:hAnsi="Times New Roman"/>
          <w:color w:val="000000"/>
          <w:sz w:val="24"/>
          <w:szCs w:val="24"/>
        </w:rPr>
        <w:t>; rather it is to mitigate the risk of unanticipated pricing fluctuations</w:t>
      </w:r>
      <w:r w:rsidR="00204FE0">
        <w:rPr>
          <w:rFonts w:ascii="Times New Roman" w:hAnsi="Times New Roman"/>
          <w:color w:val="000000"/>
          <w:sz w:val="24"/>
          <w:szCs w:val="24"/>
        </w:rPr>
        <w:t xml:space="preserve"> by providing a level of price certainty</w:t>
      </w:r>
      <w:r>
        <w:rPr>
          <w:rFonts w:ascii="Times New Roman" w:hAnsi="Times New Roman"/>
          <w:color w:val="000000"/>
          <w:sz w:val="24"/>
          <w:szCs w:val="24"/>
        </w:rPr>
        <w:t>.  In this regard, Avista’s program has worked well.</w:t>
      </w:r>
      <w:r w:rsidR="00050E0E">
        <w:rPr>
          <w:rStyle w:val="FootnoteReference"/>
          <w:rFonts w:ascii="Times New Roman" w:hAnsi="Times New Roman"/>
          <w:color w:val="000000"/>
          <w:sz w:val="24"/>
          <w:szCs w:val="24"/>
        </w:rPr>
        <w:footnoteReference w:id="3"/>
      </w:r>
      <w:r>
        <w:rPr>
          <w:rFonts w:ascii="Times New Roman" w:hAnsi="Times New Roman"/>
          <w:color w:val="000000"/>
          <w:sz w:val="24"/>
          <w:szCs w:val="24"/>
        </w:rPr>
        <w:t xml:space="preserve">  </w:t>
      </w:r>
    </w:p>
    <w:p w:rsidR="00EC2BC3" w:rsidRPr="00C4686F" w:rsidRDefault="00EC2BC3" w:rsidP="00EC2BC3">
      <w:pPr>
        <w:pStyle w:val="NoSpacing"/>
        <w:spacing w:line="480" w:lineRule="auto"/>
        <w:ind w:firstLine="720"/>
        <w:jc w:val="both"/>
        <w:rPr>
          <w:rFonts w:ascii="Times New Roman" w:hAnsi="Times New Roman"/>
          <w:sz w:val="24"/>
          <w:szCs w:val="24"/>
        </w:rPr>
      </w:pPr>
      <w:r w:rsidRPr="00C4686F">
        <w:rPr>
          <w:rFonts w:ascii="Times New Roman" w:hAnsi="Times New Roman"/>
          <w:sz w:val="24"/>
          <w:szCs w:val="24"/>
        </w:rPr>
        <w:t xml:space="preserve">If you have any questions regarding these </w:t>
      </w:r>
      <w:r>
        <w:rPr>
          <w:rFonts w:ascii="Times New Roman" w:hAnsi="Times New Roman"/>
          <w:sz w:val="24"/>
          <w:szCs w:val="24"/>
        </w:rPr>
        <w:t>comments</w:t>
      </w:r>
      <w:r w:rsidRPr="00C4686F">
        <w:rPr>
          <w:rFonts w:ascii="Times New Roman" w:hAnsi="Times New Roman"/>
          <w:sz w:val="24"/>
          <w:szCs w:val="24"/>
        </w:rPr>
        <w:t xml:space="preserve">, please contact </w:t>
      </w:r>
      <w:r>
        <w:rPr>
          <w:rFonts w:ascii="Times New Roman" w:hAnsi="Times New Roman"/>
          <w:sz w:val="24"/>
          <w:szCs w:val="24"/>
        </w:rPr>
        <w:t xml:space="preserve">Steve Harper, Director of Natural Gas Supply at 509-495-2076 or myself </w:t>
      </w:r>
      <w:r w:rsidRPr="00C4686F">
        <w:rPr>
          <w:rFonts w:ascii="Times New Roman" w:hAnsi="Times New Roman"/>
          <w:sz w:val="24"/>
          <w:szCs w:val="24"/>
        </w:rPr>
        <w:t>at 509-495-</w:t>
      </w:r>
      <w:r>
        <w:rPr>
          <w:rFonts w:ascii="Times New Roman" w:hAnsi="Times New Roman"/>
          <w:sz w:val="24"/>
          <w:szCs w:val="24"/>
        </w:rPr>
        <w:t>8620</w:t>
      </w:r>
      <w:r w:rsidRPr="00C4686F">
        <w:rPr>
          <w:rFonts w:ascii="Times New Roman" w:hAnsi="Times New Roman"/>
          <w:sz w:val="24"/>
          <w:szCs w:val="24"/>
        </w:rPr>
        <w:t>.</w:t>
      </w:r>
    </w:p>
    <w:p w:rsidR="00EC2BC3" w:rsidRPr="00C4686F" w:rsidRDefault="00EC2BC3" w:rsidP="00EC2BC3">
      <w:pPr>
        <w:pStyle w:val="NoSpacing"/>
        <w:jc w:val="both"/>
        <w:rPr>
          <w:rFonts w:ascii="Times New Roman" w:hAnsi="Times New Roman"/>
          <w:sz w:val="24"/>
          <w:szCs w:val="24"/>
        </w:rPr>
      </w:pPr>
      <w:r w:rsidRPr="00C4686F">
        <w:rPr>
          <w:rFonts w:ascii="Times New Roman" w:hAnsi="Times New Roman"/>
          <w:sz w:val="24"/>
          <w:szCs w:val="24"/>
        </w:rPr>
        <w:t>Sincerely,</w:t>
      </w:r>
    </w:p>
    <w:p w:rsidR="00EC2BC3" w:rsidRPr="00C4686F" w:rsidRDefault="00EC2BC3" w:rsidP="00EC2BC3">
      <w:pPr>
        <w:pStyle w:val="NoSpacing"/>
        <w:jc w:val="both"/>
        <w:rPr>
          <w:rFonts w:ascii="Times New Roman" w:hAnsi="Times New Roman"/>
          <w:sz w:val="24"/>
          <w:szCs w:val="24"/>
        </w:rPr>
      </w:pPr>
    </w:p>
    <w:p w:rsidR="00EC2BC3" w:rsidRDefault="00EC2BC3" w:rsidP="00EC2BC3">
      <w:pPr>
        <w:pStyle w:val="NoSpacing"/>
        <w:jc w:val="both"/>
        <w:rPr>
          <w:rFonts w:ascii="Lucida Handwriting" w:hAnsi="Lucida Handwriting"/>
          <w:sz w:val="24"/>
          <w:szCs w:val="24"/>
        </w:rPr>
      </w:pPr>
    </w:p>
    <w:p w:rsidR="00EC2BC3" w:rsidRPr="00C4686F" w:rsidRDefault="00EC2BC3" w:rsidP="00EC2BC3">
      <w:pPr>
        <w:pStyle w:val="NoSpacing"/>
        <w:jc w:val="both"/>
        <w:rPr>
          <w:rFonts w:ascii="Times New Roman" w:hAnsi="Times New Roman"/>
          <w:sz w:val="24"/>
          <w:szCs w:val="24"/>
        </w:rPr>
      </w:pPr>
    </w:p>
    <w:p w:rsidR="00EC2BC3" w:rsidRPr="00C4686F" w:rsidRDefault="00EC2BC3" w:rsidP="00EC2BC3">
      <w:pPr>
        <w:pStyle w:val="NoSpacing"/>
        <w:jc w:val="both"/>
        <w:rPr>
          <w:rFonts w:ascii="Times New Roman" w:hAnsi="Times New Roman"/>
          <w:sz w:val="24"/>
          <w:szCs w:val="24"/>
        </w:rPr>
      </w:pPr>
      <w:r>
        <w:rPr>
          <w:rFonts w:ascii="Times New Roman" w:hAnsi="Times New Roman"/>
          <w:sz w:val="24"/>
          <w:szCs w:val="24"/>
        </w:rPr>
        <w:t>Patrick Ehrbar</w:t>
      </w:r>
    </w:p>
    <w:p w:rsidR="00EC2BC3" w:rsidRPr="002C38E3" w:rsidRDefault="00EC2BC3" w:rsidP="00050E0E">
      <w:pPr>
        <w:pStyle w:val="NoSpacing"/>
        <w:jc w:val="both"/>
        <w:rPr>
          <w:rFonts w:ascii="Times New Roman" w:hAnsi="Times New Roman"/>
          <w:b/>
          <w:sz w:val="24"/>
          <w:szCs w:val="24"/>
        </w:rPr>
      </w:pPr>
      <w:r w:rsidRPr="00C4686F">
        <w:rPr>
          <w:rFonts w:ascii="Times New Roman" w:hAnsi="Times New Roman"/>
          <w:sz w:val="24"/>
          <w:szCs w:val="24"/>
        </w:rPr>
        <w:t xml:space="preserve">Manager, </w:t>
      </w:r>
      <w:r>
        <w:rPr>
          <w:rFonts w:ascii="Times New Roman" w:hAnsi="Times New Roman"/>
          <w:sz w:val="24"/>
          <w:szCs w:val="24"/>
        </w:rPr>
        <w:t>Rates and Tariffs</w:t>
      </w:r>
    </w:p>
    <w:p w:rsidR="00B70FCF" w:rsidRDefault="00B70FCF"/>
    <w:sectPr w:rsidR="00B70FCF" w:rsidSect="00BF4FE6">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E9A" w:rsidRDefault="00AE4E9A" w:rsidP="006A669A">
      <w:pPr>
        <w:spacing w:after="0" w:line="240" w:lineRule="auto"/>
      </w:pPr>
      <w:r>
        <w:separator/>
      </w:r>
    </w:p>
  </w:endnote>
  <w:endnote w:type="continuationSeparator" w:id="0">
    <w:p w:rsidR="00AE4E9A" w:rsidRDefault="00AE4E9A" w:rsidP="006A6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Cs w:val="24"/>
      </w:rPr>
      <w:id w:val="1967168"/>
      <w:docPartObj>
        <w:docPartGallery w:val="Page Numbers (Bottom of Page)"/>
        <w:docPartUnique/>
      </w:docPartObj>
    </w:sdtPr>
    <w:sdtContent>
      <w:sdt>
        <w:sdtPr>
          <w:rPr>
            <w:rFonts w:ascii="Times New Roman" w:hAnsi="Times New Roman"/>
            <w:szCs w:val="24"/>
          </w:rPr>
          <w:id w:val="1967169"/>
          <w:docPartObj>
            <w:docPartGallery w:val="Page Numbers (Top of Page)"/>
            <w:docPartUnique/>
          </w:docPartObj>
        </w:sdtPr>
        <w:sdtContent>
          <w:p w:rsidR="00AE4E9A" w:rsidRPr="00BF4FE6" w:rsidRDefault="00AE4E9A" w:rsidP="004643B6">
            <w:pPr>
              <w:pStyle w:val="Footer"/>
              <w:jc w:val="center"/>
              <w:rPr>
                <w:rFonts w:ascii="Times New Roman" w:hAnsi="Times New Roman"/>
                <w:szCs w:val="24"/>
              </w:rPr>
            </w:pPr>
            <w:r w:rsidRPr="00BF4FE6">
              <w:rPr>
                <w:rFonts w:ascii="Times New Roman" w:hAnsi="Times New Roman"/>
                <w:szCs w:val="24"/>
              </w:rPr>
              <w:t xml:space="preserve">Page </w:t>
            </w:r>
            <w:r w:rsidR="00C52677" w:rsidRPr="00BF4FE6">
              <w:rPr>
                <w:rFonts w:ascii="Times New Roman" w:hAnsi="Times New Roman"/>
                <w:szCs w:val="24"/>
              </w:rPr>
              <w:fldChar w:fldCharType="begin"/>
            </w:r>
            <w:r w:rsidRPr="00BF4FE6">
              <w:rPr>
                <w:rFonts w:ascii="Times New Roman" w:hAnsi="Times New Roman"/>
                <w:szCs w:val="24"/>
              </w:rPr>
              <w:instrText xml:space="preserve"> PAGE </w:instrText>
            </w:r>
            <w:r w:rsidR="00C52677" w:rsidRPr="00BF4FE6">
              <w:rPr>
                <w:rFonts w:ascii="Times New Roman" w:hAnsi="Times New Roman"/>
                <w:szCs w:val="24"/>
              </w:rPr>
              <w:fldChar w:fldCharType="separate"/>
            </w:r>
            <w:r w:rsidR="00BF4FE6">
              <w:rPr>
                <w:rFonts w:ascii="Times New Roman" w:hAnsi="Times New Roman"/>
                <w:noProof/>
                <w:szCs w:val="24"/>
              </w:rPr>
              <w:t>6</w:t>
            </w:r>
            <w:r w:rsidR="00C52677" w:rsidRPr="00BF4FE6">
              <w:rPr>
                <w:rFonts w:ascii="Times New Roman" w:hAnsi="Times New Roman"/>
                <w:szCs w:val="24"/>
              </w:rPr>
              <w:fldChar w:fldCharType="end"/>
            </w:r>
            <w:r w:rsidRPr="00BF4FE6">
              <w:rPr>
                <w:rFonts w:ascii="Times New Roman" w:hAnsi="Times New Roman"/>
                <w:szCs w:val="24"/>
              </w:rPr>
              <w:t xml:space="preserve"> of </w:t>
            </w:r>
            <w:r w:rsidR="00C52677" w:rsidRPr="00BF4FE6">
              <w:rPr>
                <w:rFonts w:ascii="Times New Roman" w:hAnsi="Times New Roman"/>
                <w:szCs w:val="24"/>
              </w:rPr>
              <w:fldChar w:fldCharType="begin"/>
            </w:r>
            <w:r w:rsidRPr="00BF4FE6">
              <w:rPr>
                <w:rFonts w:ascii="Times New Roman" w:hAnsi="Times New Roman"/>
                <w:szCs w:val="24"/>
              </w:rPr>
              <w:instrText xml:space="preserve"> NUMPAGES  </w:instrText>
            </w:r>
            <w:r w:rsidR="00C52677" w:rsidRPr="00BF4FE6">
              <w:rPr>
                <w:rFonts w:ascii="Times New Roman" w:hAnsi="Times New Roman"/>
                <w:szCs w:val="24"/>
              </w:rPr>
              <w:fldChar w:fldCharType="separate"/>
            </w:r>
            <w:r w:rsidR="00BF4FE6">
              <w:rPr>
                <w:rFonts w:ascii="Times New Roman" w:hAnsi="Times New Roman"/>
                <w:noProof/>
                <w:szCs w:val="24"/>
              </w:rPr>
              <w:t>7</w:t>
            </w:r>
            <w:r w:rsidR="00C52677" w:rsidRPr="00BF4FE6">
              <w:rPr>
                <w:rFonts w:ascii="Times New Roman" w:hAnsi="Times New Roman"/>
                <w:szCs w:val="24"/>
              </w:rPr>
              <w:fldChar w:fldCharType="end"/>
            </w:r>
          </w:p>
        </w:sdtContent>
      </w:sdt>
    </w:sdtContent>
  </w:sdt>
  <w:p w:rsidR="00AE4E9A" w:rsidRDefault="00AE4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E9A" w:rsidRDefault="00AE4E9A" w:rsidP="006A669A">
      <w:pPr>
        <w:spacing w:after="0" w:line="240" w:lineRule="auto"/>
      </w:pPr>
      <w:r>
        <w:separator/>
      </w:r>
    </w:p>
  </w:footnote>
  <w:footnote w:type="continuationSeparator" w:id="0">
    <w:p w:rsidR="00AE4E9A" w:rsidRDefault="00AE4E9A" w:rsidP="006A669A">
      <w:pPr>
        <w:spacing w:after="0" w:line="240" w:lineRule="auto"/>
      </w:pPr>
      <w:r>
        <w:continuationSeparator/>
      </w:r>
    </w:p>
  </w:footnote>
  <w:footnote w:id="1">
    <w:p w:rsidR="00AE4E9A" w:rsidRPr="00E005E0" w:rsidRDefault="00AE4E9A" w:rsidP="0005140F">
      <w:pPr>
        <w:pStyle w:val="FootnoteText"/>
        <w:jc w:val="both"/>
        <w:rPr>
          <w:rFonts w:ascii="Times New Roman" w:hAnsi="Times New Roman" w:cs="Times New Roman"/>
        </w:rPr>
      </w:pPr>
      <w:r w:rsidRPr="00F33A73">
        <w:rPr>
          <w:rStyle w:val="FootnoteReference"/>
          <w:rFonts w:ascii="Times New Roman" w:hAnsi="Times New Roman" w:cs="Times New Roman"/>
        </w:rPr>
        <w:footnoteRef/>
      </w:r>
      <w:r w:rsidRPr="00F33A73">
        <w:rPr>
          <w:rFonts w:ascii="Times New Roman" w:hAnsi="Times New Roman" w:cs="Times New Roman"/>
        </w:rPr>
        <w:t xml:space="preserve"> Index used in this document will reference Gas Daily, pricing at the respective receipt point – a daily market clearing price.</w:t>
      </w:r>
    </w:p>
  </w:footnote>
  <w:footnote w:id="2">
    <w:p w:rsidR="00AE4E9A" w:rsidRDefault="00AE4E9A">
      <w:pPr>
        <w:pStyle w:val="FootnoteText"/>
        <w:jc w:val="both"/>
        <w:rPr>
          <w:rFonts w:ascii="Times New Roman" w:hAnsi="Times New Roman" w:cs="Times New Roman"/>
        </w:rPr>
      </w:pPr>
      <w:r w:rsidRPr="00F33A73">
        <w:rPr>
          <w:rStyle w:val="FootnoteReference"/>
          <w:rFonts w:ascii="Times New Roman" w:hAnsi="Times New Roman" w:cs="Times New Roman"/>
        </w:rPr>
        <w:footnoteRef/>
      </w:r>
      <w:r w:rsidRPr="00F33A73">
        <w:rPr>
          <w:rFonts w:ascii="Times New Roman" w:hAnsi="Times New Roman" w:cs="Times New Roman"/>
        </w:rPr>
        <w:t xml:space="preserve"> Ruby Pipeline began operations in 2011 and can transport up to 1.5 billion cubic feet per day from the Rockies supply basins to Northern California.</w:t>
      </w:r>
      <w:r>
        <w:rPr>
          <w:rFonts w:ascii="Times New Roman" w:hAnsi="Times New Roman" w:cs="Times New Roman"/>
        </w:rPr>
        <w:t xml:space="preserve">  With an increase in demand came a commensurate increase in price, making other basins less costly by comparison.</w:t>
      </w:r>
    </w:p>
  </w:footnote>
  <w:footnote w:id="3">
    <w:p w:rsidR="00AE4E9A" w:rsidRDefault="00AE4E9A" w:rsidP="00050E0E">
      <w:pPr>
        <w:spacing w:after="0" w:line="240" w:lineRule="auto"/>
        <w:jc w:val="both"/>
      </w:pPr>
      <w:r w:rsidRPr="00050E0E">
        <w:rPr>
          <w:rStyle w:val="FootnoteReference"/>
          <w:rFonts w:ascii="Times New Roman" w:hAnsi="Times New Roman"/>
          <w:sz w:val="20"/>
          <w:szCs w:val="20"/>
        </w:rPr>
        <w:footnoteRef/>
      </w:r>
      <w:r w:rsidRPr="00050E0E">
        <w:rPr>
          <w:rFonts w:ascii="Times New Roman" w:hAnsi="Times New Roman"/>
          <w:sz w:val="20"/>
          <w:szCs w:val="20"/>
        </w:rPr>
        <w:t xml:space="preserve"> While Avista</w:t>
      </w:r>
      <w:r>
        <w:rPr>
          <w:rFonts w:ascii="Times New Roman" w:hAnsi="Times New Roman"/>
          <w:sz w:val="20"/>
          <w:szCs w:val="20"/>
        </w:rPr>
        <w:t>,</w:t>
      </w:r>
      <w:r w:rsidRPr="00050E0E">
        <w:rPr>
          <w:rFonts w:ascii="Times New Roman" w:hAnsi="Times New Roman"/>
          <w:sz w:val="20"/>
          <w:szCs w:val="20"/>
        </w:rPr>
        <w:t xml:space="preserve"> in this letter</w:t>
      </w:r>
      <w:r>
        <w:rPr>
          <w:rFonts w:ascii="Times New Roman" w:hAnsi="Times New Roman"/>
          <w:sz w:val="20"/>
          <w:szCs w:val="20"/>
        </w:rPr>
        <w:t>,</w:t>
      </w:r>
      <w:r w:rsidRPr="00050E0E">
        <w:rPr>
          <w:rFonts w:ascii="Times New Roman" w:hAnsi="Times New Roman"/>
          <w:sz w:val="20"/>
          <w:szCs w:val="20"/>
        </w:rPr>
        <w:t xml:space="preserve"> is addressing Public Counsel’s specific recommendations it has made </w:t>
      </w:r>
      <w:r>
        <w:rPr>
          <w:rFonts w:ascii="Times New Roman" w:hAnsi="Times New Roman"/>
          <w:sz w:val="20"/>
          <w:szCs w:val="20"/>
        </w:rPr>
        <w:t xml:space="preserve">to the </w:t>
      </w:r>
      <w:r w:rsidRPr="00050E0E">
        <w:rPr>
          <w:rFonts w:ascii="Times New Roman" w:hAnsi="Times New Roman"/>
          <w:sz w:val="20"/>
          <w:szCs w:val="20"/>
        </w:rPr>
        <w:t xml:space="preserve">Commission, </w:t>
      </w:r>
      <w:r w:rsidR="00F758B7">
        <w:rPr>
          <w:rFonts w:ascii="Times New Roman" w:hAnsi="Times New Roman"/>
          <w:sz w:val="20"/>
          <w:szCs w:val="20"/>
        </w:rPr>
        <w:t>Public Counsel</w:t>
      </w:r>
      <w:r w:rsidRPr="00050E0E">
        <w:rPr>
          <w:rFonts w:ascii="Times New Roman" w:hAnsi="Times New Roman"/>
          <w:sz w:val="20"/>
          <w:szCs w:val="20"/>
        </w:rPr>
        <w:t xml:space="preserve"> also made certain assertions in their Report that </w:t>
      </w:r>
      <w:r w:rsidR="004805F8">
        <w:rPr>
          <w:rFonts w:ascii="Times New Roman" w:hAnsi="Times New Roman"/>
          <w:sz w:val="20"/>
          <w:szCs w:val="20"/>
        </w:rPr>
        <w:t>need to be responded to</w:t>
      </w:r>
      <w:r w:rsidRPr="00050E0E">
        <w:rPr>
          <w:rFonts w:ascii="Times New Roman" w:hAnsi="Times New Roman"/>
          <w:sz w:val="20"/>
          <w:szCs w:val="20"/>
        </w:rPr>
        <w:t xml:space="preserve">.  First, Public Counsel’s Report stated that off-system sales may have resulted in fixed price purchases being sold at a loss because of excess supplies during the year.  </w:t>
      </w:r>
      <w:r>
        <w:rPr>
          <w:rFonts w:ascii="Times New Roman" w:hAnsi="Times New Roman"/>
          <w:sz w:val="20"/>
          <w:szCs w:val="20"/>
        </w:rPr>
        <w:t xml:space="preserve">Avista </w:t>
      </w:r>
      <w:r w:rsidRPr="00050E0E">
        <w:rPr>
          <w:rFonts w:ascii="Times New Roman" w:hAnsi="Times New Roman"/>
          <w:sz w:val="20"/>
          <w:szCs w:val="20"/>
        </w:rPr>
        <w:t>do</w:t>
      </w:r>
      <w:r>
        <w:rPr>
          <w:rFonts w:ascii="Times New Roman" w:hAnsi="Times New Roman"/>
          <w:sz w:val="20"/>
          <w:szCs w:val="20"/>
        </w:rPr>
        <w:t>es</w:t>
      </w:r>
      <w:r w:rsidRPr="00050E0E">
        <w:rPr>
          <w:rFonts w:ascii="Times New Roman" w:hAnsi="Times New Roman"/>
          <w:sz w:val="20"/>
          <w:szCs w:val="20"/>
        </w:rPr>
        <w:t xml:space="preserve"> not hedge volumes above load requirements.  The losses implied in their Report did not occur.  Most off-system sales Avista enters into are not for load management but are for transport optimization.  </w:t>
      </w:r>
      <w:r>
        <w:rPr>
          <w:rFonts w:ascii="Times New Roman" w:hAnsi="Times New Roman"/>
          <w:sz w:val="20"/>
          <w:szCs w:val="20"/>
        </w:rPr>
        <w:t>These transactions offset fixed costs and are a benefit to customers</w:t>
      </w:r>
      <w:r w:rsidR="004805F8">
        <w:rPr>
          <w:rFonts w:ascii="Times New Roman" w:hAnsi="Times New Roman"/>
          <w:sz w:val="20"/>
          <w:szCs w:val="20"/>
        </w:rPr>
        <w:t xml:space="preserve">. </w:t>
      </w:r>
      <w:r w:rsidRPr="00050E0E">
        <w:rPr>
          <w:rFonts w:ascii="Times New Roman" w:hAnsi="Times New Roman"/>
          <w:sz w:val="20"/>
          <w:szCs w:val="20"/>
        </w:rPr>
        <w:t xml:space="preserve"> Second, as it relates to capacity releases, most of the long-term capacity held by Avista was acquired through the mandated open access process of FERC Order 436.  Long term transportation agreements that are not required now but will be required to meet future demand can then be monetized through the capacity release market until needed. </w:t>
      </w:r>
      <w:r>
        <w:rPr>
          <w:rFonts w:ascii="Times New Roman" w:hAnsi="Times New Roman"/>
          <w:sz w:val="20"/>
          <w:szCs w:val="20"/>
        </w:rPr>
        <w:t>The vast majority of Avista’s transportation releases are at the highest allowable rate through FERC order 636.  Additionally,</w:t>
      </w:r>
      <w:r w:rsidR="004805F8">
        <w:rPr>
          <w:rFonts w:ascii="Times New Roman" w:hAnsi="Times New Roman"/>
          <w:sz w:val="20"/>
          <w:szCs w:val="20"/>
        </w:rPr>
        <w:t xml:space="preserve"> </w:t>
      </w:r>
      <w:r w:rsidRPr="00050E0E">
        <w:rPr>
          <w:rFonts w:ascii="Times New Roman" w:hAnsi="Times New Roman"/>
          <w:sz w:val="20"/>
          <w:szCs w:val="20"/>
        </w:rPr>
        <w:t>Avista is able to maintain certain long-term releases at full pipeline tariff rates due to segmentation of pipeline capacity which results in no-cost transport demand charges for Avista’s customers.  Short-term capacity releases are at or above market value and seek to recover demand charges on unutilized capacity.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E6" w:rsidRPr="00A57458" w:rsidRDefault="00BF4FE6" w:rsidP="00BF4FE6">
    <w:pPr>
      <w:pStyle w:val="Header"/>
      <w:spacing w:after="0" w:line="240" w:lineRule="auto"/>
      <w:jc w:val="right"/>
      <w:rPr>
        <w:rFonts w:ascii="Times New Roman" w:hAnsi="Times New Roman"/>
      </w:rPr>
    </w:pPr>
    <w:r w:rsidRPr="00A57458">
      <w:rPr>
        <w:rFonts w:ascii="Times New Roman" w:hAnsi="Times New Roman"/>
      </w:rPr>
      <w:t>Comments of Avista Corporation</w:t>
    </w:r>
  </w:p>
  <w:p w:rsidR="00BF4FE6" w:rsidRDefault="00BF4FE6" w:rsidP="00BF4FE6">
    <w:pPr>
      <w:pStyle w:val="Header"/>
      <w:spacing w:after="0" w:line="240" w:lineRule="auto"/>
      <w:jc w:val="right"/>
      <w:rPr>
        <w:rFonts w:ascii="Times New Roman" w:hAnsi="Times New Roman"/>
      </w:rPr>
    </w:pPr>
    <w:r w:rsidRPr="00A57458">
      <w:rPr>
        <w:rFonts w:ascii="Times New Roman" w:hAnsi="Times New Roman"/>
      </w:rPr>
      <w:t>Docket UG-121501</w:t>
    </w:r>
  </w:p>
  <w:p w:rsidR="00AE4E9A" w:rsidRDefault="00BF4FE6" w:rsidP="00BF4FE6">
    <w:pPr>
      <w:pStyle w:val="Header"/>
    </w:pPr>
    <w:r>
      <w:rPr>
        <w:rFonts w:ascii="Times New Roman" w:hAnsi="Times New Roman"/>
      </w:rPr>
      <w:tab/>
    </w:r>
    <w:r>
      <w:rPr>
        <w:rFonts w:ascii="Times New Roman" w:hAnsi="Times New Roman"/>
      </w:rPr>
      <w:tab/>
      <w:t>March 19,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F736D"/>
    <w:rsid w:val="0001517F"/>
    <w:rsid w:val="0003350A"/>
    <w:rsid w:val="00050E0E"/>
    <w:rsid w:val="0005140F"/>
    <w:rsid w:val="000707FB"/>
    <w:rsid w:val="00080602"/>
    <w:rsid w:val="000A39D6"/>
    <w:rsid w:val="000C7C65"/>
    <w:rsid w:val="000D75A3"/>
    <w:rsid w:val="000F736D"/>
    <w:rsid w:val="00103E11"/>
    <w:rsid w:val="00117C8A"/>
    <w:rsid w:val="00123F3F"/>
    <w:rsid w:val="001404F3"/>
    <w:rsid w:val="00150F8F"/>
    <w:rsid w:val="001747CA"/>
    <w:rsid w:val="001779E2"/>
    <w:rsid w:val="001C1E9B"/>
    <w:rsid w:val="00204FE0"/>
    <w:rsid w:val="002053F5"/>
    <w:rsid w:val="00214997"/>
    <w:rsid w:val="0022538F"/>
    <w:rsid w:val="0025438B"/>
    <w:rsid w:val="00282791"/>
    <w:rsid w:val="00287681"/>
    <w:rsid w:val="002A025A"/>
    <w:rsid w:val="002A1DAA"/>
    <w:rsid w:val="002C38E3"/>
    <w:rsid w:val="002D0081"/>
    <w:rsid w:val="00304AF6"/>
    <w:rsid w:val="00316174"/>
    <w:rsid w:val="00325167"/>
    <w:rsid w:val="00326FFA"/>
    <w:rsid w:val="003556B5"/>
    <w:rsid w:val="003618AA"/>
    <w:rsid w:val="003761AB"/>
    <w:rsid w:val="00392573"/>
    <w:rsid w:val="00396F1C"/>
    <w:rsid w:val="003D123A"/>
    <w:rsid w:val="003E7DE1"/>
    <w:rsid w:val="00407363"/>
    <w:rsid w:val="00445449"/>
    <w:rsid w:val="0044581A"/>
    <w:rsid w:val="004643B6"/>
    <w:rsid w:val="004805F8"/>
    <w:rsid w:val="005039FC"/>
    <w:rsid w:val="00511854"/>
    <w:rsid w:val="00516920"/>
    <w:rsid w:val="00552B39"/>
    <w:rsid w:val="005545FD"/>
    <w:rsid w:val="005708D7"/>
    <w:rsid w:val="00587A89"/>
    <w:rsid w:val="0065386D"/>
    <w:rsid w:val="006A669A"/>
    <w:rsid w:val="006F3DF5"/>
    <w:rsid w:val="00767C0B"/>
    <w:rsid w:val="00781F78"/>
    <w:rsid w:val="00850FC4"/>
    <w:rsid w:val="009128FF"/>
    <w:rsid w:val="00917C38"/>
    <w:rsid w:val="00957C4D"/>
    <w:rsid w:val="00983A4E"/>
    <w:rsid w:val="00991187"/>
    <w:rsid w:val="009C0430"/>
    <w:rsid w:val="009C1EE1"/>
    <w:rsid w:val="009C488E"/>
    <w:rsid w:val="00A06171"/>
    <w:rsid w:val="00A06802"/>
    <w:rsid w:val="00A23A22"/>
    <w:rsid w:val="00A41CA4"/>
    <w:rsid w:val="00A95996"/>
    <w:rsid w:val="00AA1813"/>
    <w:rsid w:val="00AA5C5D"/>
    <w:rsid w:val="00AE4E9A"/>
    <w:rsid w:val="00B1145A"/>
    <w:rsid w:val="00B13B2B"/>
    <w:rsid w:val="00B42661"/>
    <w:rsid w:val="00B47CC1"/>
    <w:rsid w:val="00B70FCF"/>
    <w:rsid w:val="00BD230F"/>
    <w:rsid w:val="00BF4FE6"/>
    <w:rsid w:val="00C11BA2"/>
    <w:rsid w:val="00C227D5"/>
    <w:rsid w:val="00C52677"/>
    <w:rsid w:val="00C5451E"/>
    <w:rsid w:val="00CB7A13"/>
    <w:rsid w:val="00CC1548"/>
    <w:rsid w:val="00CD360A"/>
    <w:rsid w:val="00CE606C"/>
    <w:rsid w:val="00D10500"/>
    <w:rsid w:val="00D15203"/>
    <w:rsid w:val="00D23FB6"/>
    <w:rsid w:val="00D43690"/>
    <w:rsid w:val="00D62C0C"/>
    <w:rsid w:val="00DA09A7"/>
    <w:rsid w:val="00DF5EA5"/>
    <w:rsid w:val="00E005E0"/>
    <w:rsid w:val="00E42601"/>
    <w:rsid w:val="00E92426"/>
    <w:rsid w:val="00EC2BC3"/>
    <w:rsid w:val="00EE6E63"/>
    <w:rsid w:val="00F014FF"/>
    <w:rsid w:val="00F07377"/>
    <w:rsid w:val="00F33A73"/>
    <w:rsid w:val="00F5252C"/>
    <w:rsid w:val="00F758B7"/>
    <w:rsid w:val="00F80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36D"/>
    <w:pPr>
      <w:spacing w:after="0" w:line="240" w:lineRule="auto"/>
    </w:pPr>
    <w:rPr>
      <w:rFonts w:ascii="Calibri" w:eastAsia="Calibri" w:hAnsi="Calibri" w:cs="Times New Roman"/>
    </w:rPr>
  </w:style>
  <w:style w:type="paragraph" w:styleId="Header">
    <w:name w:val="header"/>
    <w:basedOn w:val="Normal"/>
    <w:link w:val="HeaderChar"/>
    <w:unhideWhenUsed/>
    <w:rsid w:val="000F736D"/>
    <w:pPr>
      <w:tabs>
        <w:tab w:val="center" w:pos="4680"/>
        <w:tab w:val="right" w:pos="9360"/>
      </w:tabs>
    </w:pPr>
  </w:style>
  <w:style w:type="character" w:customStyle="1" w:styleId="HeaderChar">
    <w:name w:val="Header Char"/>
    <w:basedOn w:val="DefaultParagraphFont"/>
    <w:link w:val="Header"/>
    <w:uiPriority w:val="99"/>
    <w:rsid w:val="000F736D"/>
    <w:rPr>
      <w:rFonts w:ascii="Calibri" w:eastAsia="Calibri" w:hAnsi="Calibri" w:cs="Times New Roman"/>
    </w:rPr>
  </w:style>
  <w:style w:type="paragraph" w:styleId="BalloonText">
    <w:name w:val="Balloon Text"/>
    <w:basedOn w:val="Normal"/>
    <w:link w:val="BalloonTextChar"/>
    <w:uiPriority w:val="99"/>
    <w:semiHidden/>
    <w:unhideWhenUsed/>
    <w:rsid w:val="000F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6D"/>
    <w:rPr>
      <w:rFonts w:ascii="Tahoma" w:eastAsia="Calibri" w:hAnsi="Tahoma" w:cs="Tahoma"/>
      <w:sz w:val="16"/>
      <w:szCs w:val="16"/>
    </w:rPr>
  </w:style>
  <w:style w:type="paragraph" w:styleId="FootnoteText">
    <w:name w:val="footnote text"/>
    <w:basedOn w:val="Normal"/>
    <w:link w:val="FootnoteTextChar"/>
    <w:uiPriority w:val="99"/>
    <w:semiHidden/>
    <w:unhideWhenUsed/>
    <w:rsid w:val="006A66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A669A"/>
    <w:rPr>
      <w:sz w:val="20"/>
      <w:szCs w:val="20"/>
    </w:rPr>
  </w:style>
  <w:style w:type="character" w:styleId="FootnoteReference">
    <w:name w:val="footnote reference"/>
    <w:basedOn w:val="DefaultParagraphFont"/>
    <w:uiPriority w:val="99"/>
    <w:semiHidden/>
    <w:unhideWhenUsed/>
    <w:rsid w:val="006A669A"/>
    <w:rPr>
      <w:vertAlign w:val="superscript"/>
    </w:rPr>
  </w:style>
  <w:style w:type="character" w:styleId="CommentReference">
    <w:name w:val="annotation reference"/>
    <w:basedOn w:val="DefaultParagraphFont"/>
    <w:uiPriority w:val="99"/>
    <w:semiHidden/>
    <w:unhideWhenUsed/>
    <w:rsid w:val="009C0430"/>
    <w:rPr>
      <w:sz w:val="16"/>
      <w:szCs w:val="16"/>
    </w:rPr>
  </w:style>
  <w:style w:type="paragraph" w:styleId="CommentText">
    <w:name w:val="annotation text"/>
    <w:basedOn w:val="Normal"/>
    <w:link w:val="CommentTextChar"/>
    <w:uiPriority w:val="99"/>
    <w:semiHidden/>
    <w:unhideWhenUsed/>
    <w:rsid w:val="009C0430"/>
    <w:pPr>
      <w:spacing w:line="240" w:lineRule="auto"/>
    </w:pPr>
    <w:rPr>
      <w:sz w:val="20"/>
      <w:szCs w:val="20"/>
    </w:rPr>
  </w:style>
  <w:style w:type="character" w:customStyle="1" w:styleId="CommentTextChar">
    <w:name w:val="Comment Text Char"/>
    <w:basedOn w:val="DefaultParagraphFont"/>
    <w:link w:val="CommentText"/>
    <w:uiPriority w:val="99"/>
    <w:semiHidden/>
    <w:rsid w:val="009C04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C0430"/>
    <w:rPr>
      <w:b/>
      <w:bCs/>
    </w:rPr>
  </w:style>
  <w:style w:type="character" w:customStyle="1" w:styleId="CommentSubjectChar">
    <w:name w:val="Comment Subject Char"/>
    <w:basedOn w:val="CommentTextChar"/>
    <w:link w:val="CommentSubject"/>
    <w:uiPriority w:val="99"/>
    <w:semiHidden/>
    <w:rsid w:val="009C0430"/>
    <w:rPr>
      <w:b/>
      <w:bCs/>
    </w:rPr>
  </w:style>
  <w:style w:type="paragraph" w:styleId="Footer">
    <w:name w:val="footer"/>
    <w:basedOn w:val="Normal"/>
    <w:link w:val="FooterChar"/>
    <w:uiPriority w:val="99"/>
    <w:unhideWhenUsed/>
    <w:rsid w:val="00464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3B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1.png@01CE23AD.A661E17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image" Target="cid:image001.png@01CE23AD.89F08A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2012-09-13T07:00:00+00:00</OpenedDate>
    <Date1 xmlns="dc463f71-b30c-4ab2-9473-d307f9d35888">2013-03-19T07:00:00+00:00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BCA7B17C444C469533CD24CC300470" ma:contentTypeVersion="139" ma:contentTypeDescription="" ma:contentTypeScope="" ma:versionID="3e155935aa9c99883dca277a3a3143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C58C0B4-DF7A-4665-8F9A-22B83830B172}"/>
</file>

<file path=customXml/itemProps2.xml><?xml version="1.0" encoding="utf-8"?>
<ds:datastoreItem xmlns:ds="http://schemas.openxmlformats.org/officeDocument/2006/customXml" ds:itemID="{1603ACFD-D058-4816-A256-10456A04921D}"/>
</file>

<file path=customXml/itemProps3.xml><?xml version="1.0" encoding="utf-8"?>
<ds:datastoreItem xmlns:ds="http://schemas.openxmlformats.org/officeDocument/2006/customXml" ds:itemID="{B9DAD94D-23AD-4F42-8DC3-A9CC17C1E0BD}"/>
</file>

<file path=customXml/itemProps4.xml><?xml version="1.0" encoding="utf-8"?>
<ds:datastoreItem xmlns:ds="http://schemas.openxmlformats.org/officeDocument/2006/customXml" ds:itemID="{99AB95D5-B05C-4A94-8118-8CB3E8E196B7}"/>
</file>

<file path=customXml/itemProps5.xml><?xml version="1.0" encoding="utf-8"?>
<ds:datastoreItem xmlns:ds="http://schemas.openxmlformats.org/officeDocument/2006/customXml" ds:itemID="{2040DF30-3366-4D51-B617-24837683AFF6}"/>
</file>

<file path=docProps/app.xml><?xml version="1.0" encoding="utf-8"?>
<Properties xmlns="http://schemas.openxmlformats.org/officeDocument/2006/extended-properties" xmlns:vt="http://schemas.openxmlformats.org/officeDocument/2006/docPropsVTypes">
  <Template>Normal.dotm</Template>
  <TotalTime>30</TotalTime>
  <Pages>7</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Harper</dc:creator>
  <cp:keywords/>
  <dc:description/>
  <cp:lastModifiedBy>Patrick Ehrbar</cp:lastModifiedBy>
  <cp:revision>8</cp:revision>
  <cp:lastPrinted>2013-03-19T18:47:00Z</cp:lastPrinted>
  <dcterms:created xsi:type="dcterms:W3CDTF">2013-03-18T15:38:00Z</dcterms:created>
  <dcterms:modified xsi:type="dcterms:W3CDTF">2013-03-19T18:49:00Z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0x0101006E56B4D1795A2E4DB2F0B01679ED314A002FBCA7B17C444C469533CD24CC300470</vt:lpwstr>
  </property>
  <property fmtid="{D5CDD505-2E9C-101B-9397-08002B2CF9AE}" pid="3" name="_docset_NoMedatataSyncRequired">
    <vt:lpwstr>False</vt:lpwstr>
  </property>
</Properties>
</file>