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A2F7E" w14:textId="77777777" w:rsidR="005711E5" w:rsidRPr="002F4AD5" w:rsidRDefault="005711E5" w:rsidP="00911029">
      <w:pPr>
        <w:pStyle w:val="BodyText"/>
        <w:spacing w:line="264" w:lineRule="auto"/>
        <w:rPr>
          <w:b/>
          <w:bCs/>
        </w:rPr>
      </w:pPr>
      <w:r w:rsidRPr="002F4AD5">
        <w:rPr>
          <w:b/>
          <w:bCs/>
        </w:rPr>
        <w:t>BEFORE THE WASHINGTON</w:t>
      </w:r>
    </w:p>
    <w:p w14:paraId="3F7CDCED" w14:textId="77777777" w:rsidR="005711E5" w:rsidRPr="002F4AD5" w:rsidRDefault="005711E5" w:rsidP="00911029">
      <w:pPr>
        <w:pStyle w:val="BodyText"/>
        <w:spacing w:line="264" w:lineRule="auto"/>
        <w:rPr>
          <w:b/>
          <w:bCs/>
        </w:rPr>
      </w:pPr>
      <w:r w:rsidRPr="002F4AD5">
        <w:rPr>
          <w:b/>
          <w:bCs/>
        </w:rPr>
        <w:t>UTILITIES AND TRANSPORTATION COMMISSION</w:t>
      </w:r>
    </w:p>
    <w:p w14:paraId="34343602" w14:textId="77777777" w:rsidR="00DC39A1" w:rsidRPr="002F4AD5" w:rsidRDefault="00DC39A1" w:rsidP="00911029">
      <w:pPr>
        <w:pStyle w:val="BodyText"/>
        <w:spacing w:line="264" w:lineRule="auto"/>
      </w:pPr>
    </w:p>
    <w:p w14:paraId="5208B042" w14:textId="77777777" w:rsidR="00892A0D" w:rsidRPr="002F4AD5" w:rsidRDefault="00892A0D" w:rsidP="00911029">
      <w:pPr>
        <w:pStyle w:val="BodyText"/>
        <w:spacing w:line="264" w:lineRule="auto"/>
      </w:pPr>
    </w:p>
    <w:tbl>
      <w:tblPr>
        <w:tblStyle w:val="TableGrid"/>
        <w:tblW w:w="817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05"/>
        <w:gridCol w:w="3459"/>
      </w:tblGrid>
      <w:tr w:rsidR="00A4735A" w:rsidRPr="002F4AD5" w14:paraId="7F3AF0DC" w14:textId="77777777" w:rsidTr="00A4735A">
        <w:trPr>
          <w:trHeight w:val="3108"/>
        </w:trPr>
        <w:tc>
          <w:tcPr>
            <w:tcW w:w="4410" w:type="dxa"/>
          </w:tcPr>
          <w:p w14:paraId="325EC365" w14:textId="77777777" w:rsidR="00A4735A" w:rsidRPr="002F4AD5" w:rsidRDefault="00A4735A" w:rsidP="00911029">
            <w:pPr>
              <w:pStyle w:val="BodyText"/>
              <w:spacing w:line="264" w:lineRule="auto"/>
              <w:jc w:val="left"/>
            </w:pPr>
            <w:r w:rsidRPr="002F4AD5">
              <w:t>WASHINGTON UTILITIES AND TRANSPORTATION COMMISSION,</w:t>
            </w:r>
          </w:p>
          <w:p w14:paraId="787AD759" w14:textId="77777777" w:rsidR="00A4735A" w:rsidRPr="002F4AD5" w:rsidRDefault="00A4735A" w:rsidP="00911029">
            <w:pPr>
              <w:pStyle w:val="BodyText"/>
              <w:spacing w:line="264" w:lineRule="auto"/>
              <w:jc w:val="left"/>
            </w:pPr>
          </w:p>
          <w:p w14:paraId="1BA4737C" w14:textId="77777777" w:rsidR="00A4735A" w:rsidRPr="002F4AD5" w:rsidRDefault="00A4735A" w:rsidP="00911029">
            <w:pPr>
              <w:pStyle w:val="BodyText"/>
              <w:tabs>
                <w:tab w:val="left" w:pos="2174"/>
              </w:tabs>
              <w:spacing w:line="264" w:lineRule="auto"/>
              <w:jc w:val="left"/>
            </w:pPr>
            <w:r w:rsidRPr="002F4AD5">
              <w:tab/>
              <w:t>Complainant,</w:t>
            </w:r>
          </w:p>
          <w:p w14:paraId="0EEF2328" w14:textId="77777777" w:rsidR="00A4735A" w:rsidRPr="002F4AD5" w:rsidRDefault="00A4735A" w:rsidP="00911029">
            <w:pPr>
              <w:pStyle w:val="BodyText"/>
              <w:tabs>
                <w:tab w:val="left" w:pos="2174"/>
              </w:tabs>
              <w:spacing w:line="264" w:lineRule="auto"/>
              <w:jc w:val="left"/>
            </w:pPr>
          </w:p>
          <w:p w14:paraId="07247779" w14:textId="77777777" w:rsidR="00A4735A" w:rsidRPr="002F4AD5" w:rsidRDefault="00A4735A" w:rsidP="00911029">
            <w:pPr>
              <w:pStyle w:val="BodyText"/>
              <w:tabs>
                <w:tab w:val="left" w:pos="2174"/>
              </w:tabs>
              <w:spacing w:line="264" w:lineRule="auto"/>
              <w:jc w:val="left"/>
            </w:pPr>
            <w:proofErr w:type="gramStart"/>
            <w:r w:rsidRPr="002F4AD5">
              <w:t>v</w:t>
            </w:r>
            <w:proofErr w:type="gramEnd"/>
            <w:r w:rsidRPr="002F4AD5">
              <w:t>.</w:t>
            </w:r>
          </w:p>
          <w:p w14:paraId="1D080A71" w14:textId="77777777" w:rsidR="00A4735A" w:rsidRPr="002F4AD5" w:rsidRDefault="00A4735A" w:rsidP="00911029">
            <w:pPr>
              <w:pStyle w:val="BodyText"/>
              <w:tabs>
                <w:tab w:val="left" w:pos="2174"/>
              </w:tabs>
              <w:spacing w:line="264" w:lineRule="auto"/>
              <w:jc w:val="left"/>
            </w:pPr>
          </w:p>
          <w:p w14:paraId="58854E57" w14:textId="77777777" w:rsidR="00A4735A" w:rsidRPr="002F4AD5" w:rsidRDefault="00A4735A" w:rsidP="00911029">
            <w:pPr>
              <w:pStyle w:val="BodyText"/>
              <w:tabs>
                <w:tab w:val="left" w:pos="2174"/>
              </w:tabs>
              <w:spacing w:line="264" w:lineRule="auto"/>
              <w:jc w:val="left"/>
            </w:pPr>
            <w:r w:rsidRPr="002F4AD5">
              <w:t>WASTE CONTROL, INC. (G-101),</w:t>
            </w:r>
          </w:p>
          <w:p w14:paraId="0D1B4FC7" w14:textId="77777777" w:rsidR="00A4735A" w:rsidRPr="002F4AD5" w:rsidRDefault="00A4735A" w:rsidP="00911029">
            <w:pPr>
              <w:pStyle w:val="BodyText"/>
              <w:tabs>
                <w:tab w:val="left" w:pos="2174"/>
              </w:tabs>
              <w:spacing w:line="264" w:lineRule="auto"/>
              <w:jc w:val="left"/>
            </w:pPr>
          </w:p>
          <w:p w14:paraId="6BD0358B" w14:textId="77777777" w:rsidR="00A4735A" w:rsidRPr="002F4AD5" w:rsidRDefault="00A4735A" w:rsidP="00911029">
            <w:pPr>
              <w:pStyle w:val="BodyText"/>
              <w:tabs>
                <w:tab w:val="left" w:pos="2174"/>
              </w:tabs>
              <w:spacing w:line="264" w:lineRule="auto"/>
              <w:jc w:val="left"/>
            </w:pPr>
            <w:r w:rsidRPr="002F4AD5">
              <w:tab/>
              <w:t>Respondent.</w:t>
            </w:r>
          </w:p>
          <w:p w14:paraId="2DA314CD" w14:textId="77777777" w:rsidR="00A4735A" w:rsidRPr="002F4AD5" w:rsidRDefault="00A4735A" w:rsidP="00911029">
            <w:pPr>
              <w:pStyle w:val="BodyText"/>
              <w:tabs>
                <w:tab w:val="left" w:pos="2174"/>
              </w:tabs>
              <w:spacing w:line="264" w:lineRule="auto"/>
              <w:jc w:val="left"/>
            </w:pPr>
          </w:p>
          <w:p w14:paraId="6461C753" w14:textId="77777777" w:rsidR="00A4735A" w:rsidRPr="002F4AD5" w:rsidRDefault="00A4735A" w:rsidP="00911029">
            <w:pPr>
              <w:pStyle w:val="BodyText"/>
              <w:tabs>
                <w:tab w:val="left" w:pos="2174"/>
              </w:tabs>
              <w:spacing w:line="264" w:lineRule="auto"/>
              <w:jc w:val="left"/>
            </w:pPr>
            <w:r w:rsidRPr="002F4AD5">
              <w:t xml:space="preserve">. . . . . . . . . . . . . . . . . . . . . . . . . . . . . . . . . . </w:t>
            </w:r>
            <w:r w:rsidR="00A86893">
              <w:t xml:space="preserve">. </w:t>
            </w:r>
          </w:p>
        </w:tc>
        <w:tc>
          <w:tcPr>
            <w:tcW w:w="305" w:type="dxa"/>
          </w:tcPr>
          <w:p w14:paraId="1628A69A" w14:textId="77777777" w:rsidR="00A4735A" w:rsidRPr="002F4AD5" w:rsidRDefault="00A4735A" w:rsidP="00911029">
            <w:pPr>
              <w:pStyle w:val="BodyText"/>
              <w:spacing w:line="264" w:lineRule="auto"/>
              <w:jc w:val="left"/>
            </w:pPr>
            <w:r w:rsidRPr="002F4AD5">
              <w:t>)</w:t>
            </w:r>
          </w:p>
          <w:p w14:paraId="308C278E" w14:textId="77777777" w:rsidR="00A4735A" w:rsidRPr="002F4AD5" w:rsidRDefault="00A4735A" w:rsidP="00911029">
            <w:pPr>
              <w:pStyle w:val="BodyText"/>
              <w:spacing w:line="264" w:lineRule="auto"/>
              <w:jc w:val="left"/>
            </w:pPr>
            <w:r w:rsidRPr="002F4AD5">
              <w:t>)</w:t>
            </w:r>
          </w:p>
          <w:p w14:paraId="0BD6429D" w14:textId="77777777" w:rsidR="00A4735A" w:rsidRPr="002F4AD5" w:rsidRDefault="00A4735A" w:rsidP="00911029">
            <w:pPr>
              <w:pStyle w:val="BodyText"/>
              <w:spacing w:line="264" w:lineRule="auto"/>
              <w:jc w:val="left"/>
            </w:pPr>
            <w:r w:rsidRPr="002F4AD5">
              <w:t>)</w:t>
            </w:r>
          </w:p>
          <w:p w14:paraId="35C63436" w14:textId="77777777" w:rsidR="00A4735A" w:rsidRPr="002F4AD5" w:rsidRDefault="00A4735A" w:rsidP="00911029">
            <w:pPr>
              <w:pStyle w:val="BodyText"/>
              <w:spacing w:line="264" w:lineRule="auto"/>
              <w:jc w:val="left"/>
            </w:pPr>
            <w:r w:rsidRPr="002F4AD5">
              <w:t>)</w:t>
            </w:r>
          </w:p>
          <w:p w14:paraId="0FCDD7C8" w14:textId="77777777" w:rsidR="00A4735A" w:rsidRPr="002F4AD5" w:rsidRDefault="00A4735A" w:rsidP="00911029">
            <w:pPr>
              <w:pStyle w:val="BodyText"/>
              <w:spacing w:line="264" w:lineRule="auto"/>
              <w:jc w:val="left"/>
            </w:pPr>
            <w:r w:rsidRPr="002F4AD5">
              <w:t>)</w:t>
            </w:r>
          </w:p>
          <w:p w14:paraId="66DBD72A" w14:textId="77777777" w:rsidR="00A4735A" w:rsidRPr="002F4AD5" w:rsidRDefault="00A4735A" w:rsidP="00911029">
            <w:pPr>
              <w:pStyle w:val="BodyText"/>
              <w:spacing w:line="264" w:lineRule="auto"/>
              <w:jc w:val="left"/>
            </w:pPr>
            <w:r w:rsidRPr="002F4AD5">
              <w:t>)</w:t>
            </w:r>
          </w:p>
          <w:p w14:paraId="1ADA595A" w14:textId="77777777" w:rsidR="00A4735A" w:rsidRPr="002F4AD5" w:rsidRDefault="00A4735A" w:rsidP="00911029">
            <w:pPr>
              <w:pStyle w:val="BodyText"/>
              <w:spacing w:line="264" w:lineRule="auto"/>
              <w:jc w:val="left"/>
            </w:pPr>
            <w:r w:rsidRPr="002F4AD5">
              <w:t>)</w:t>
            </w:r>
          </w:p>
          <w:p w14:paraId="45A2852C" w14:textId="77777777" w:rsidR="00A4735A" w:rsidRPr="002F4AD5" w:rsidRDefault="00A4735A" w:rsidP="00911029">
            <w:pPr>
              <w:pStyle w:val="BodyText"/>
              <w:spacing w:line="264" w:lineRule="auto"/>
              <w:jc w:val="left"/>
            </w:pPr>
            <w:r w:rsidRPr="002F4AD5">
              <w:t>)</w:t>
            </w:r>
          </w:p>
          <w:p w14:paraId="06DBBAA9" w14:textId="77777777" w:rsidR="00A4735A" w:rsidRPr="002F4AD5" w:rsidRDefault="00A4735A" w:rsidP="00911029">
            <w:pPr>
              <w:pStyle w:val="BodyText"/>
              <w:spacing w:line="264" w:lineRule="auto"/>
              <w:jc w:val="left"/>
            </w:pPr>
            <w:r w:rsidRPr="002F4AD5">
              <w:t>)</w:t>
            </w:r>
          </w:p>
          <w:p w14:paraId="3694986C" w14:textId="77777777" w:rsidR="00A4735A" w:rsidRPr="002F4AD5" w:rsidRDefault="00A4735A" w:rsidP="00911029">
            <w:pPr>
              <w:pStyle w:val="BodyText"/>
              <w:spacing w:line="264" w:lineRule="auto"/>
              <w:jc w:val="left"/>
            </w:pPr>
            <w:r w:rsidRPr="002F4AD5">
              <w:t>)</w:t>
            </w:r>
          </w:p>
          <w:p w14:paraId="7DA83575" w14:textId="77777777" w:rsidR="00A4735A" w:rsidRPr="002F4AD5" w:rsidRDefault="00A4735A" w:rsidP="00911029">
            <w:pPr>
              <w:pStyle w:val="BodyText"/>
              <w:spacing w:line="264" w:lineRule="auto"/>
              <w:jc w:val="left"/>
            </w:pPr>
            <w:r w:rsidRPr="002F4AD5">
              <w:t>)</w:t>
            </w:r>
          </w:p>
          <w:p w14:paraId="3917BB9F" w14:textId="77777777" w:rsidR="00A4735A" w:rsidRPr="002F4AD5" w:rsidRDefault="00A4735A" w:rsidP="00911029">
            <w:pPr>
              <w:pStyle w:val="BodyText"/>
              <w:spacing w:line="264" w:lineRule="auto"/>
              <w:jc w:val="left"/>
            </w:pPr>
            <w:r w:rsidRPr="002F4AD5">
              <w:t>)</w:t>
            </w:r>
          </w:p>
        </w:tc>
        <w:tc>
          <w:tcPr>
            <w:tcW w:w="3459" w:type="dxa"/>
          </w:tcPr>
          <w:p w14:paraId="5E858ED0" w14:textId="77777777" w:rsidR="00A4735A" w:rsidRPr="002F4AD5" w:rsidRDefault="00A4735A" w:rsidP="00911029">
            <w:pPr>
              <w:pStyle w:val="BodyText"/>
              <w:tabs>
                <w:tab w:val="left" w:pos="2334"/>
              </w:tabs>
              <w:spacing w:line="264" w:lineRule="auto"/>
              <w:jc w:val="left"/>
            </w:pPr>
            <w:r w:rsidRPr="002F4AD5">
              <w:t>DOCKET TG-140560</w:t>
            </w:r>
          </w:p>
          <w:p w14:paraId="44C4A96A" w14:textId="77777777" w:rsidR="00A4735A" w:rsidRPr="002F4AD5" w:rsidRDefault="00A4735A" w:rsidP="00911029">
            <w:pPr>
              <w:pStyle w:val="BodyText"/>
              <w:spacing w:line="264" w:lineRule="auto"/>
              <w:jc w:val="left"/>
            </w:pPr>
          </w:p>
          <w:p w14:paraId="47A417E8" w14:textId="77777777" w:rsidR="00A4735A" w:rsidRPr="002F4AD5" w:rsidRDefault="00A4735A" w:rsidP="00911029">
            <w:pPr>
              <w:pStyle w:val="BodyText"/>
              <w:spacing w:line="264" w:lineRule="auto"/>
              <w:jc w:val="left"/>
            </w:pPr>
            <w:r w:rsidRPr="002F4AD5">
              <w:t>ORDER 1</w:t>
            </w:r>
            <w:r w:rsidR="00776BC0" w:rsidRPr="002F4AD5">
              <w:t>3</w:t>
            </w:r>
          </w:p>
          <w:p w14:paraId="7D35F54C" w14:textId="77777777" w:rsidR="00A4735A" w:rsidRPr="002F4AD5" w:rsidRDefault="00A4735A" w:rsidP="00911029">
            <w:pPr>
              <w:pStyle w:val="BodyText"/>
              <w:spacing w:line="264" w:lineRule="auto"/>
              <w:jc w:val="left"/>
            </w:pPr>
          </w:p>
          <w:p w14:paraId="1A105288" w14:textId="77777777" w:rsidR="00A4735A" w:rsidRPr="002F4AD5" w:rsidRDefault="00A4735A" w:rsidP="00911029">
            <w:pPr>
              <w:pStyle w:val="BodyText"/>
              <w:spacing w:line="264" w:lineRule="auto"/>
              <w:jc w:val="left"/>
            </w:pPr>
            <w:r w:rsidRPr="002F4AD5">
              <w:t xml:space="preserve">ORDER </w:t>
            </w:r>
            <w:r w:rsidR="005220C8">
              <w:t>MODIFYING</w:t>
            </w:r>
            <w:r w:rsidR="00776BC0" w:rsidRPr="002F4AD5">
              <w:t xml:space="preserve"> INITIAL ORDER 12</w:t>
            </w:r>
            <w:r w:rsidR="005220C8">
              <w:t xml:space="preserve"> FOLLOWING ADMIN</w:t>
            </w:r>
            <w:r w:rsidR="00A86893">
              <w:t>I</w:t>
            </w:r>
            <w:r w:rsidR="005220C8">
              <w:t xml:space="preserve">STRATIVE REVIEW UNDER </w:t>
            </w:r>
            <w:proofErr w:type="spellStart"/>
            <w:r w:rsidR="005220C8">
              <w:t>RCW</w:t>
            </w:r>
            <w:proofErr w:type="spellEnd"/>
            <w:r w:rsidR="005220C8">
              <w:t xml:space="preserve"> 34.05.464 AND WAC 480-07-825</w:t>
            </w:r>
          </w:p>
        </w:tc>
      </w:tr>
    </w:tbl>
    <w:p w14:paraId="483BAC3A" w14:textId="77777777" w:rsidR="00FE0738" w:rsidRPr="002F4AD5" w:rsidRDefault="00FE0738" w:rsidP="00911029">
      <w:pPr>
        <w:spacing w:line="264" w:lineRule="auto"/>
      </w:pPr>
    </w:p>
    <w:p w14:paraId="344B166C" w14:textId="77777777" w:rsidR="00367ED0" w:rsidRDefault="00E91CD0" w:rsidP="00911029">
      <w:pPr>
        <w:spacing w:line="264" w:lineRule="auto"/>
        <w:rPr>
          <w:i/>
        </w:rPr>
      </w:pPr>
      <w:r w:rsidRPr="002F4AD5">
        <w:rPr>
          <w:b/>
          <w:i/>
        </w:rPr>
        <w:t>Synopsis:</w:t>
      </w:r>
      <w:r w:rsidR="00A86893">
        <w:rPr>
          <w:i/>
        </w:rPr>
        <w:t xml:space="preserve"> </w:t>
      </w:r>
      <w:r w:rsidR="00776BC0" w:rsidRPr="002F4AD5">
        <w:rPr>
          <w:i/>
        </w:rPr>
        <w:t>The Commission here</w:t>
      </w:r>
      <w:r w:rsidR="005220C8">
        <w:rPr>
          <w:i/>
        </w:rPr>
        <w:t xml:space="preserve"> reviews Initial Order 12 and</w:t>
      </w:r>
      <w:r w:rsidR="00776BC0" w:rsidRPr="002F4AD5">
        <w:rPr>
          <w:i/>
        </w:rPr>
        <w:t xml:space="preserve"> </w:t>
      </w:r>
      <w:r w:rsidR="005220C8">
        <w:rPr>
          <w:i/>
        </w:rPr>
        <w:t>addresses</w:t>
      </w:r>
      <w:r w:rsidR="00776BC0" w:rsidRPr="002F4AD5">
        <w:rPr>
          <w:i/>
        </w:rPr>
        <w:t xml:space="preserve"> </w:t>
      </w:r>
      <w:r w:rsidR="00E54763">
        <w:rPr>
          <w:i/>
        </w:rPr>
        <w:t xml:space="preserve">the </w:t>
      </w:r>
      <w:r w:rsidR="00A51503" w:rsidRPr="002F4AD5">
        <w:rPr>
          <w:i/>
        </w:rPr>
        <w:t xml:space="preserve">four </w:t>
      </w:r>
      <w:r w:rsidR="00E54763">
        <w:rPr>
          <w:i/>
        </w:rPr>
        <w:t xml:space="preserve">remaining </w:t>
      </w:r>
      <w:r w:rsidR="00A51503" w:rsidRPr="002F4AD5">
        <w:rPr>
          <w:i/>
        </w:rPr>
        <w:t>contested issues</w:t>
      </w:r>
      <w:r w:rsidR="00776BC0" w:rsidRPr="002F4AD5">
        <w:rPr>
          <w:i/>
        </w:rPr>
        <w:t xml:space="preserve"> that </w:t>
      </w:r>
      <w:r w:rsidR="00170FBC" w:rsidRPr="002F4AD5">
        <w:rPr>
          <w:i/>
        </w:rPr>
        <w:t xml:space="preserve">the parties were unable to resolve </w:t>
      </w:r>
      <w:r w:rsidR="00D426EC">
        <w:rPr>
          <w:i/>
        </w:rPr>
        <w:t>in</w:t>
      </w:r>
      <w:r w:rsidR="00170FBC" w:rsidRPr="002F4AD5">
        <w:rPr>
          <w:i/>
        </w:rPr>
        <w:t xml:space="preserve"> their </w:t>
      </w:r>
      <w:r w:rsidR="00F3747A">
        <w:rPr>
          <w:i/>
        </w:rPr>
        <w:t xml:space="preserve">Partial </w:t>
      </w:r>
      <w:r w:rsidR="00170FBC" w:rsidRPr="002F4AD5">
        <w:rPr>
          <w:i/>
        </w:rPr>
        <w:t>Settlement Agreement</w:t>
      </w:r>
      <w:r w:rsidR="00E54763">
        <w:rPr>
          <w:i/>
        </w:rPr>
        <w:t>.</w:t>
      </w:r>
      <w:r w:rsidR="005220C8">
        <w:rPr>
          <w:i/>
        </w:rPr>
        <w:t xml:space="preserve"> Considering </w:t>
      </w:r>
      <w:r w:rsidR="00051AF5">
        <w:rPr>
          <w:i/>
        </w:rPr>
        <w:t>Waste Control</w:t>
      </w:r>
      <w:r w:rsidR="00A006D5">
        <w:rPr>
          <w:i/>
        </w:rPr>
        <w:t>,</w:t>
      </w:r>
      <w:r w:rsidR="00051AF5">
        <w:rPr>
          <w:i/>
        </w:rPr>
        <w:t xml:space="preserve"> Inc</w:t>
      </w:r>
      <w:r w:rsidR="00CF23D2">
        <w:rPr>
          <w:i/>
        </w:rPr>
        <w:t>.</w:t>
      </w:r>
      <w:r w:rsidR="00051AF5">
        <w:rPr>
          <w:i/>
        </w:rPr>
        <w:t xml:space="preserve">’s </w:t>
      </w:r>
      <w:r w:rsidR="00CF23D2">
        <w:rPr>
          <w:i/>
        </w:rPr>
        <w:t>(</w:t>
      </w:r>
      <w:proofErr w:type="spellStart"/>
      <w:r w:rsidR="00CF23D2">
        <w:rPr>
          <w:i/>
        </w:rPr>
        <w:t>WCI</w:t>
      </w:r>
      <w:proofErr w:type="spellEnd"/>
      <w:r w:rsidR="00CF23D2">
        <w:rPr>
          <w:i/>
        </w:rPr>
        <w:t xml:space="preserve">) </w:t>
      </w:r>
      <w:r w:rsidR="00051AF5">
        <w:rPr>
          <w:i/>
        </w:rPr>
        <w:t xml:space="preserve">Petition for Administrative Review, </w:t>
      </w:r>
      <w:proofErr w:type="spellStart"/>
      <w:r w:rsidR="00D87E88">
        <w:rPr>
          <w:i/>
        </w:rPr>
        <w:t>WRRA’s</w:t>
      </w:r>
      <w:proofErr w:type="spellEnd"/>
      <w:r w:rsidR="00D87E88">
        <w:rPr>
          <w:i/>
        </w:rPr>
        <w:t xml:space="preserve"> Answer, </w:t>
      </w:r>
      <w:r w:rsidR="00051AF5">
        <w:rPr>
          <w:i/>
        </w:rPr>
        <w:t xml:space="preserve">Staff’s Answer, and the full record of this proceeding, we take the following </w:t>
      </w:r>
      <w:r w:rsidR="00B80231">
        <w:rPr>
          <w:i/>
        </w:rPr>
        <w:t>a</w:t>
      </w:r>
      <w:r w:rsidR="00051AF5">
        <w:rPr>
          <w:i/>
        </w:rPr>
        <w:t>ctions</w:t>
      </w:r>
      <w:r w:rsidR="00CF23D2">
        <w:rPr>
          <w:i/>
        </w:rPr>
        <w:t xml:space="preserve"> in this Order</w:t>
      </w:r>
      <w:r w:rsidR="00051AF5">
        <w:rPr>
          <w:i/>
        </w:rPr>
        <w:t>:</w:t>
      </w:r>
    </w:p>
    <w:p w14:paraId="3FA7EF8C" w14:textId="77777777" w:rsidR="00911029" w:rsidRPr="002F4AD5" w:rsidRDefault="00911029" w:rsidP="00911029">
      <w:pPr>
        <w:spacing w:line="264" w:lineRule="auto"/>
        <w:rPr>
          <w:i/>
        </w:rPr>
      </w:pPr>
    </w:p>
    <w:p w14:paraId="289D9E2F" w14:textId="77777777" w:rsidR="00051AF5" w:rsidRPr="004B62B9" w:rsidRDefault="00367ED0" w:rsidP="00911029">
      <w:pPr>
        <w:pStyle w:val="ListParagraph"/>
        <w:numPr>
          <w:ilvl w:val="0"/>
          <w:numId w:val="28"/>
        </w:numPr>
        <w:spacing w:line="264" w:lineRule="auto"/>
        <w:contextualSpacing w:val="0"/>
        <w:rPr>
          <w:i/>
        </w:rPr>
      </w:pPr>
      <w:r w:rsidRPr="004B62B9">
        <w:rPr>
          <w:i/>
        </w:rPr>
        <w:t xml:space="preserve">We </w:t>
      </w:r>
      <w:r w:rsidR="00051AF5" w:rsidRPr="004B62B9">
        <w:rPr>
          <w:i/>
        </w:rPr>
        <w:t>approve</w:t>
      </w:r>
      <w:r w:rsidR="005220C8" w:rsidRPr="004B62B9">
        <w:rPr>
          <w:i/>
        </w:rPr>
        <w:t xml:space="preserve"> the Initial Order’s application of</w:t>
      </w:r>
      <w:r w:rsidRPr="004B62B9">
        <w:rPr>
          <w:i/>
        </w:rPr>
        <w:t xml:space="preserve"> Staff’s </w:t>
      </w:r>
      <w:r w:rsidR="005A42B8" w:rsidRPr="004B62B9">
        <w:rPr>
          <w:i/>
        </w:rPr>
        <w:t xml:space="preserve">allocation methodology </w:t>
      </w:r>
      <w:r w:rsidR="00D07E78" w:rsidRPr="004B62B9">
        <w:rPr>
          <w:i/>
        </w:rPr>
        <w:t>to</w:t>
      </w:r>
      <w:r w:rsidR="005A42B8" w:rsidRPr="004B62B9">
        <w:rPr>
          <w:i/>
        </w:rPr>
        <w:t xml:space="preserve"> the utility </w:t>
      </w:r>
      <w:r w:rsidR="00D07E78" w:rsidRPr="004B62B9">
        <w:rPr>
          <w:i/>
        </w:rPr>
        <w:t xml:space="preserve">expenses </w:t>
      </w:r>
      <w:proofErr w:type="spellStart"/>
      <w:r w:rsidR="005220C8" w:rsidRPr="004B62B9">
        <w:rPr>
          <w:i/>
        </w:rPr>
        <w:t>WCI</w:t>
      </w:r>
      <w:proofErr w:type="spellEnd"/>
      <w:r w:rsidR="005220C8" w:rsidRPr="004B62B9">
        <w:rPr>
          <w:i/>
        </w:rPr>
        <w:t xml:space="preserve"> </w:t>
      </w:r>
      <w:r w:rsidR="00D07E78" w:rsidRPr="004B62B9">
        <w:rPr>
          <w:i/>
        </w:rPr>
        <w:t>incurs in facilities it shares with two affiliates</w:t>
      </w:r>
      <w:r w:rsidR="005A42B8" w:rsidRPr="004B62B9">
        <w:rPr>
          <w:i/>
        </w:rPr>
        <w:t xml:space="preserve"> and allow $</w:t>
      </w:r>
      <w:r w:rsidR="00980145" w:rsidRPr="004B62B9">
        <w:rPr>
          <w:i/>
        </w:rPr>
        <w:t>15,424</w:t>
      </w:r>
      <w:r w:rsidR="005A42B8" w:rsidRPr="004B62B9">
        <w:rPr>
          <w:i/>
        </w:rPr>
        <w:t xml:space="preserve"> into revenue requirement</w:t>
      </w:r>
      <w:r w:rsidR="00DB1AA0" w:rsidRPr="004B62B9">
        <w:rPr>
          <w:i/>
        </w:rPr>
        <w:t>, thus sustaining the Initial Order on this issue</w:t>
      </w:r>
      <w:r w:rsidR="005A42B8" w:rsidRPr="004B62B9">
        <w:rPr>
          <w:i/>
        </w:rPr>
        <w:t xml:space="preserve">.  </w:t>
      </w:r>
    </w:p>
    <w:p w14:paraId="41CA4020" w14:textId="77777777" w:rsidR="00911029" w:rsidRDefault="00911029" w:rsidP="00911029">
      <w:pPr>
        <w:pStyle w:val="ListParagraph"/>
        <w:spacing w:line="264" w:lineRule="auto"/>
        <w:contextualSpacing w:val="0"/>
        <w:rPr>
          <w:i/>
        </w:rPr>
      </w:pPr>
    </w:p>
    <w:p w14:paraId="070AD74E" w14:textId="77777777" w:rsidR="00051AF5" w:rsidRPr="004B62B9" w:rsidRDefault="00051AF5" w:rsidP="00911029">
      <w:pPr>
        <w:pStyle w:val="ListParagraph"/>
        <w:numPr>
          <w:ilvl w:val="0"/>
          <w:numId w:val="28"/>
        </w:numPr>
        <w:spacing w:line="264" w:lineRule="auto"/>
        <w:contextualSpacing w:val="0"/>
        <w:rPr>
          <w:i/>
        </w:rPr>
      </w:pPr>
      <w:r w:rsidRPr="004B62B9">
        <w:rPr>
          <w:i/>
        </w:rPr>
        <w:t>We</w:t>
      </w:r>
      <w:r w:rsidR="00DB1AA0" w:rsidRPr="004B62B9">
        <w:rPr>
          <w:i/>
        </w:rPr>
        <w:t xml:space="preserve"> reverse the Initial Order’s acceptance of Staff’s calculation of land rent</w:t>
      </w:r>
      <w:r w:rsidR="00CF23D2" w:rsidRPr="004B62B9">
        <w:rPr>
          <w:i/>
        </w:rPr>
        <w:t xml:space="preserve"> for facilities </w:t>
      </w:r>
      <w:proofErr w:type="spellStart"/>
      <w:r w:rsidR="00CF23D2" w:rsidRPr="004B62B9">
        <w:rPr>
          <w:i/>
        </w:rPr>
        <w:t>WCI</w:t>
      </w:r>
      <w:proofErr w:type="spellEnd"/>
      <w:r w:rsidR="00CF23D2" w:rsidRPr="004B62B9">
        <w:rPr>
          <w:i/>
        </w:rPr>
        <w:t xml:space="preserve"> shares with affiliates,</w:t>
      </w:r>
      <w:r w:rsidR="009A0264" w:rsidRPr="004B62B9">
        <w:rPr>
          <w:i/>
        </w:rPr>
        <w:t xml:space="preserve"> </w:t>
      </w:r>
      <w:r w:rsidR="00DB1AA0" w:rsidRPr="004B62B9">
        <w:rPr>
          <w:i/>
        </w:rPr>
        <w:t xml:space="preserve">and </w:t>
      </w:r>
      <w:r w:rsidR="00D07E78" w:rsidRPr="004B62B9">
        <w:rPr>
          <w:i/>
        </w:rPr>
        <w:t>reject</w:t>
      </w:r>
      <w:r w:rsidR="00DB1AA0" w:rsidRPr="004B62B9">
        <w:rPr>
          <w:i/>
        </w:rPr>
        <w:t xml:space="preserve"> both</w:t>
      </w:r>
      <w:r w:rsidR="00D07E78" w:rsidRPr="004B62B9">
        <w:rPr>
          <w:i/>
        </w:rPr>
        <w:t xml:space="preserve"> </w:t>
      </w:r>
      <w:proofErr w:type="spellStart"/>
      <w:r w:rsidR="00D07E78" w:rsidRPr="004B62B9">
        <w:rPr>
          <w:i/>
        </w:rPr>
        <w:t>WCI’s</w:t>
      </w:r>
      <w:proofErr w:type="spellEnd"/>
      <w:r w:rsidR="00D07E78" w:rsidRPr="004B62B9">
        <w:rPr>
          <w:i/>
        </w:rPr>
        <w:t xml:space="preserve"> and</w:t>
      </w:r>
      <w:r w:rsidR="009A0264" w:rsidRPr="004B62B9">
        <w:rPr>
          <w:i/>
        </w:rPr>
        <w:t xml:space="preserve"> Staff’s </w:t>
      </w:r>
      <w:r w:rsidR="00D07E78" w:rsidRPr="004B62B9">
        <w:rPr>
          <w:i/>
        </w:rPr>
        <w:t xml:space="preserve">respective </w:t>
      </w:r>
      <w:r w:rsidR="009A0264" w:rsidRPr="004B62B9">
        <w:rPr>
          <w:i/>
        </w:rPr>
        <w:t>calculation</w:t>
      </w:r>
      <w:r w:rsidR="00D07E78" w:rsidRPr="004B62B9">
        <w:rPr>
          <w:i/>
        </w:rPr>
        <w:t>s</w:t>
      </w:r>
      <w:r w:rsidR="009A0264" w:rsidRPr="004B62B9">
        <w:rPr>
          <w:i/>
        </w:rPr>
        <w:t xml:space="preserve"> of </w:t>
      </w:r>
      <w:r w:rsidR="00D07E78" w:rsidRPr="004B62B9">
        <w:rPr>
          <w:i/>
        </w:rPr>
        <w:t xml:space="preserve">an adjusted level of </w:t>
      </w:r>
      <w:r w:rsidR="00DB1AA0" w:rsidRPr="004B62B9">
        <w:rPr>
          <w:i/>
        </w:rPr>
        <w:t>land rent. We</w:t>
      </w:r>
      <w:r w:rsidR="00D07E78" w:rsidRPr="004B62B9">
        <w:rPr>
          <w:i/>
        </w:rPr>
        <w:t xml:space="preserve"> leave the amount of land rent included for recovery in rates at the level previously approved</w:t>
      </w:r>
      <w:r w:rsidR="00746E0E" w:rsidRPr="004B62B9">
        <w:rPr>
          <w:i/>
        </w:rPr>
        <w:t xml:space="preserve"> in 2009</w:t>
      </w:r>
      <w:r w:rsidR="00D07E78" w:rsidRPr="004B62B9">
        <w:rPr>
          <w:i/>
        </w:rPr>
        <w:t xml:space="preserve">, </w:t>
      </w:r>
      <w:r w:rsidR="00CF23D2" w:rsidRPr="004B62B9">
        <w:rPr>
          <w:i/>
        </w:rPr>
        <w:t>$80,250</w:t>
      </w:r>
      <w:r w:rsidR="004B62B9" w:rsidRPr="004B62B9">
        <w:rPr>
          <w:i/>
        </w:rPr>
        <w:t>.</w:t>
      </w:r>
      <w:r w:rsidR="009A0264" w:rsidRPr="004B62B9">
        <w:rPr>
          <w:i/>
        </w:rPr>
        <w:t xml:space="preserve">  </w:t>
      </w:r>
    </w:p>
    <w:p w14:paraId="45F29058" w14:textId="77777777" w:rsidR="00911029" w:rsidRDefault="00911029" w:rsidP="00911029">
      <w:pPr>
        <w:pStyle w:val="ListParagraph"/>
        <w:spacing w:line="264" w:lineRule="auto"/>
        <w:contextualSpacing w:val="0"/>
        <w:rPr>
          <w:i/>
        </w:rPr>
      </w:pPr>
    </w:p>
    <w:p w14:paraId="059864FA" w14:textId="77777777" w:rsidR="00051AF5" w:rsidRPr="00D426EC" w:rsidRDefault="00E54763" w:rsidP="00911029">
      <w:pPr>
        <w:pStyle w:val="ListParagraph"/>
        <w:numPr>
          <w:ilvl w:val="0"/>
          <w:numId w:val="28"/>
        </w:numPr>
        <w:spacing w:line="264" w:lineRule="auto"/>
        <w:contextualSpacing w:val="0"/>
        <w:rPr>
          <w:i/>
        </w:rPr>
      </w:pPr>
      <w:r>
        <w:rPr>
          <w:i/>
        </w:rPr>
        <w:t>We find reasonable</w:t>
      </w:r>
      <w:r w:rsidRPr="00051AF5">
        <w:rPr>
          <w:i/>
        </w:rPr>
        <w:t xml:space="preserve"> Staff’s recommended rate case expense </w:t>
      </w:r>
      <w:r w:rsidR="008A5DC7">
        <w:rPr>
          <w:i/>
        </w:rPr>
        <w:t xml:space="preserve">as a basis </w:t>
      </w:r>
      <w:r>
        <w:rPr>
          <w:i/>
        </w:rPr>
        <w:t xml:space="preserve">for </w:t>
      </w:r>
      <w:r w:rsidR="00540ADE">
        <w:rPr>
          <w:i/>
        </w:rPr>
        <w:t>e</w:t>
      </w:r>
      <w:r w:rsidR="00051AF5">
        <w:rPr>
          <w:i/>
        </w:rPr>
        <w:t xml:space="preserve">stablishing a normalized cost for rate case expense to be included for recovery in </w:t>
      </w:r>
      <w:proofErr w:type="spellStart"/>
      <w:r w:rsidR="00051AF5">
        <w:rPr>
          <w:i/>
        </w:rPr>
        <w:t>WCI’s</w:t>
      </w:r>
      <w:proofErr w:type="spellEnd"/>
      <w:r w:rsidR="00051AF5">
        <w:rPr>
          <w:i/>
        </w:rPr>
        <w:t xml:space="preserve"> rates</w:t>
      </w:r>
      <w:r w:rsidR="008A5DC7">
        <w:rPr>
          <w:i/>
        </w:rPr>
        <w:t>.</w:t>
      </w:r>
      <w:r w:rsidR="00CF23D2">
        <w:rPr>
          <w:i/>
        </w:rPr>
        <w:t xml:space="preserve"> </w:t>
      </w:r>
      <w:r w:rsidR="008A5DC7">
        <w:rPr>
          <w:i/>
        </w:rPr>
        <w:t>However</w:t>
      </w:r>
      <w:r w:rsidR="00051AF5">
        <w:rPr>
          <w:i/>
        </w:rPr>
        <w:t>, we reverse the Initial Order’s approval of a four</w:t>
      </w:r>
      <w:r w:rsidR="00540ADE">
        <w:rPr>
          <w:i/>
        </w:rPr>
        <w:t>-</w:t>
      </w:r>
      <w:r w:rsidR="00051AF5">
        <w:rPr>
          <w:i/>
        </w:rPr>
        <w:t xml:space="preserve">year amortization period in favor of </w:t>
      </w:r>
      <w:r w:rsidR="00CF23D2">
        <w:rPr>
          <w:i/>
        </w:rPr>
        <w:t xml:space="preserve">using </w:t>
      </w:r>
      <w:r w:rsidR="00051AF5">
        <w:rPr>
          <w:i/>
        </w:rPr>
        <w:t>a five</w:t>
      </w:r>
      <w:r w:rsidR="008A5DC7">
        <w:rPr>
          <w:i/>
        </w:rPr>
        <w:t>-</w:t>
      </w:r>
      <w:r w:rsidR="00051AF5">
        <w:rPr>
          <w:i/>
        </w:rPr>
        <w:t>year amortization period</w:t>
      </w:r>
      <w:r w:rsidR="00DB1AA0" w:rsidRPr="00051AF5">
        <w:rPr>
          <w:i/>
        </w:rPr>
        <w:t xml:space="preserve"> </w:t>
      </w:r>
      <w:r w:rsidR="00051AF5">
        <w:rPr>
          <w:i/>
        </w:rPr>
        <w:t>in the normalization formula.</w:t>
      </w:r>
      <w:r w:rsidR="00DB1AA0" w:rsidRPr="00D426EC">
        <w:rPr>
          <w:i/>
        </w:rPr>
        <w:t xml:space="preserve"> </w:t>
      </w:r>
    </w:p>
    <w:p w14:paraId="4266789A" w14:textId="77777777" w:rsidR="00911029" w:rsidRDefault="00911029" w:rsidP="00911029">
      <w:pPr>
        <w:pStyle w:val="ListParagraph"/>
        <w:spacing w:line="264" w:lineRule="auto"/>
        <w:rPr>
          <w:i/>
        </w:rPr>
      </w:pPr>
    </w:p>
    <w:p w14:paraId="702D851B" w14:textId="77777777" w:rsidR="00A006D5" w:rsidRPr="00A86893" w:rsidRDefault="00DB1AA0" w:rsidP="005676FC">
      <w:pPr>
        <w:pStyle w:val="ListParagraph"/>
        <w:numPr>
          <w:ilvl w:val="0"/>
          <w:numId w:val="28"/>
        </w:numPr>
        <w:spacing w:line="264" w:lineRule="auto"/>
        <w:rPr>
          <w:i/>
        </w:rPr>
      </w:pPr>
      <w:r w:rsidRPr="00A86893">
        <w:rPr>
          <w:i/>
        </w:rPr>
        <w:t xml:space="preserve">We </w:t>
      </w:r>
      <w:r w:rsidR="00051AF5" w:rsidRPr="00A86893">
        <w:rPr>
          <w:i/>
        </w:rPr>
        <w:t>agree with</w:t>
      </w:r>
      <w:r w:rsidRPr="00A86893">
        <w:rPr>
          <w:i/>
        </w:rPr>
        <w:t xml:space="preserve"> the Initial Order </w:t>
      </w:r>
      <w:r w:rsidR="00051AF5" w:rsidRPr="00A86893">
        <w:rPr>
          <w:i/>
        </w:rPr>
        <w:t xml:space="preserve">that it is appropriate to require </w:t>
      </w:r>
      <w:proofErr w:type="spellStart"/>
      <w:r w:rsidR="00051AF5" w:rsidRPr="00A86893">
        <w:rPr>
          <w:i/>
        </w:rPr>
        <w:t>WCI</w:t>
      </w:r>
      <w:proofErr w:type="spellEnd"/>
      <w:r w:rsidR="00051AF5" w:rsidRPr="00A86893">
        <w:rPr>
          <w:i/>
        </w:rPr>
        <w:t xml:space="preserve"> to pay</w:t>
      </w:r>
      <w:r w:rsidRPr="00A86893">
        <w:rPr>
          <w:i/>
        </w:rPr>
        <w:t xml:space="preserve"> an</w:t>
      </w:r>
      <w:r w:rsidR="009A0264" w:rsidRPr="00A86893">
        <w:rPr>
          <w:i/>
        </w:rPr>
        <w:t xml:space="preserve"> assessment </w:t>
      </w:r>
      <w:r w:rsidR="00051AF5" w:rsidRPr="00A86893">
        <w:rPr>
          <w:i/>
        </w:rPr>
        <w:t>to cover, in part, the Commission’s costs incurred in this investigation,</w:t>
      </w:r>
      <w:r w:rsidR="00F23AE6" w:rsidRPr="00A86893">
        <w:rPr>
          <w:i/>
        </w:rPr>
        <w:t xml:space="preserve"> as provided by </w:t>
      </w:r>
      <w:proofErr w:type="spellStart"/>
      <w:r w:rsidR="00F23AE6" w:rsidRPr="00A86893">
        <w:rPr>
          <w:i/>
        </w:rPr>
        <w:t>RCW</w:t>
      </w:r>
      <w:proofErr w:type="spellEnd"/>
      <w:r w:rsidR="00F23AE6" w:rsidRPr="00A86893">
        <w:rPr>
          <w:i/>
        </w:rPr>
        <w:t xml:space="preserve"> 81.</w:t>
      </w:r>
      <w:r w:rsidR="00746E0E" w:rsidRPr="00A86893">
        <w:rPr>
          <w:i/>
        </w:rPr>
        <w:t>20.020</w:t>
      </w:r>
      <w:r w:rsidR="007922CC" w:rsidRPr="00A86893">
        <w:rPr>
          <w:i/>
        </w:rPr>
        <w:t>, but we reduce the assessment amount by one-half to $21,909.41</w:t>
      </w:r>
      <w:r w:rsidR="009A0264" w:rsidRPr="00A86893">
        <w:rPr>
          <w:i/>
        </w:rPr>
        <w:t xml:space="preserve">.  </w:t>
      </w:r>
      <w:r w:rsidR="00A006D5" w:rsidRPr="00A86893">
        <w:rPr>
          <w:i/>
        </w:rPr>
        <w:br w:type="page"/>
      </w:r>
    </w:p>
    <w:sdt>
      <w:sdtPr>
        <w:rPr>
          <w:rFonts w:ascii="Times New Roman" w:eastAsia="Times New Roman" w:hAnsi="Times New Roman" w:cs="Times New Roman"/>
          <w:color w:val="auto"/>
          <w:sz w:val="24"/>
          <w:szCs w:val="24"/>
        </w:rPr>
        <w:id w:val="-921253645"/>
        <w:docPartObj>
          <w:docPartGallery w:val="Table of Contents"/>
          <w:docPartUnique/>
        </w:docPartObj>
      </w:sdtPr>
      <w:sdtEndPr>
        <w:rPr>
          <w:b/>
          <w:bCs/>
          <w:noProof/>
        </w:rPr>
      </w:sdtEndPr>
      <w:sdtContent>
        <w:p w14:paraId="1D5862DC" w14:textId="77777777" w:rsidR="00A006D5" w:rsidRPr="00A006D5" w:rsidRDefault="00A006D5" w:rsidP="00911029">
          <w:pPr>
            <w:pStyle w:val="TOCHeading"/>
            <w:spacing w:before="0" w:line="264" w:lineRule="auto"/>
            <w:jc w:val="center"/>
            <w:rPr>
              <w:rFonts w:ascii="Times New Roman Bold" w:eastAsia="Times New Roman Bold" w:hAnsi="Times New Roman Bold"/>
              <w:b/>
              <w:color w:val="auto"/>
              <w:sz w:val="28"/>
              <w:szCs w:val="28"/>
            </w:rPr>
          </w:pPr>
          <w:r w:rsidRPr="00A006D5">
            <w:rPr>
              <w:rFonts w:ascii="Times New Roman Bold" w:eastAsia="Times New Roman Bold" w:hAnsi="Times New Roman Bold"/>
              <w:b/>
              <w:color w:val="auto"/>
              <w:sz w:val="28"/>
              <w:szCs w:val="28"/>
            </w:rPr>
            <w:t>Table of Contents</w:t>
          </w:r>
        </w:p>
        <w:p w14:paraId="62D543BF" w14:textId="77777777" w:rsidR="00A006D5" w:rsidRDefault="00A006D5" w:rsidP="00911029">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5254171" w:history="1">
            <w:r w:rsidRPr="009942B2">
              <w:rPr>
                <w:rStyle w:val="Hyperlink"/>
                <w:noProof/>
              </w:rPr>
              <w:t>SUMMARY</w:t>
            </w:r>
            <w:r>
              <w:rPr>
                <w:noProof/>
                <w:webHidden/>
              </w:rPr>
              <w:tab/>
            </w:r>
            <w:r>
              <w:rPr>
                <w:noProof/>
                <w:webHidden/>
              </w:rPr>
              <w:fldChar w:fldCharType="begin"/>
            </w:r>
            <w:r>
              <w:rPr>
                <w:noProof/>
                <w:webHidden/>
              </w:rPr>
              <w:instrText xml:space="preserve"> PAGEREF _Toc425254171 \h </w:instrText>
            </w:r>
            <w:r>
              <w:rPr>
                <w:noProof/>
                <w:webHidden/>
              </w:rPr>
            </w:r>
            <w:r>
              <w:rPr>
                <w:noProof/>
                <w:webHidden/>
              </w:rPr>
              <w:fldChar w:fldCharType="separate"/>
            </w:r>
            <w:r w:rsidR="00345D9C">
              <w:rPr>
                <w:noProof/>
                <w:webHidden/>
              </w:rPr>
              <w:t>3</w:t>
            </w:r>
            <w:r>
              <w:rPr>
                <w:noProof/>
                <w:webHidden/>
              </w:rPr>
              <w:fldChar w:fldCharType="end"/>
            </w:r>
          </w:hyperlink>
        </w:p>
        <w:p w14:paraId="2A94EE93" w14:textId="77777777" w:rsidR="00A006D5" w:rsidRDefault="00345D9C" w:rsidP="00911029">
          <w:pPr>
            <w:pStyle w:val="TOC1"/>
            <w:rPr>
              <w:rFonts w:asciiTheme="minorHAnsi" w:eastAsiaTheme="minorEastAsia" w:hAnsiTheme="minorHAnsi" w:cstheme="minorBidi"/>
              <w:noProof/>
              <w:sz w:val="22"/>
              <w:szCs w:val="22"/>
            </w:rPr>
          </w:pPr>
          <w:hyperlink w:anchor="_Toc425254172" w:history="1">
            <w:r w:rsidR="00A006D5" w:rsidRPr="009942B2">
              <w:rPr>
                <w:rStyle w:val="Hyperlink"/>
                <w:noProof/>
              </w:rPr>
              <w:t>MEMORANDUM</w:t>
            </w:r>
            <w:r w:rsidR="00A006D5">
              <w:rPr>
                <w:noProof/>
                <w:webHidden/>
              </w:rPr>
              <w:tab/>
            </w:r>
            <w:r w:rsidR="00A006D5">
              <w:rPr>
                <w:noProof/>
                <w:webHidden/>
              </w:rPr>
              <w:fldChar w:fldCharType="begin"/>
            </w:r>
            <w:r w:rsidR="00A006D5">
              <w:rPr>
                <w:noProof/>
                <w:webHidden/>
              </w:rPr>
              <w:instrText xml:space="preserve"> PAGEREF _Toc425254172 \h </w:instrText>
            </w:r>
            <w:r w:rsidR="00A006D5">
              <w:rPr>
                <w:noProof/>
                <w:webHidden/>
              </w:rPr>
            </w:r>
            <w:r w:rsidR="00A006D5">
              <w:rPr>
                <w:noProof/>
                <w:webHidden/>
              </w:rPr>
              <w:fldChar w:fldCharType="separate"/>
            </w:r>
            <w:r>
              <w:rPr>
                <w:noProof/>
                <w:webHidden/>
              </w:rPr>
              <w:t>3</w:t>
            </w:r>
            <w:r w:rsidR="00A006D5">
              <w:rPr>
                <w:noProof/>
                <w:webHidden/>
              </w:rPr>
              <w:fldChar w:fldCharType="end"/>
            </w:r>
          </w:hyperlink>
        </w:p>
        <w:p w14:paraId="2E913E5E" w14:textId="77777777" w:rsidR="00A006D5" w:rsidRDefault="00345D9C" w:rsidP="00911029">
          <w:pPr>
            <w:pStyle w:val="TOC2"/>
            <w:rPr>
              <w:rFonts w:asciiTheme="minorHAnsi" w:eastAsiaTheme="minorEastAsia" w:hAnsiTheme="minorHAnsi" w:cstheme="minorBidi"/>
              <w:noProof/>
              <w:sz w:val="22"/>
              <w:szCs w:val="22"/>
            </w:rPr>
          </w:pPr>
          <w:hyperlink w:anchor="_Toc425254173" w:history="1">
            <w:r w:rsidR="00A006D5" w:rsidRPr="009942B2">
              <w:rPr>
                <w:rStyle w:val="Hyperlink"/>
                <w:noProof/>
              </w:rPr>
              <w:t>I.</w:t>
            </w:r>
            <w:r w:rsidR="00A006D5">
              <w:rPr>
                <w:rFonts w:asciiTheme="minorHAnsi" w:eastAsiaTheme="minorEastAsia" w:hAnsiTheme="minorHAnsi" w:cstheme="minorBidi"/>
                <w:noProof/>
                <w:sz w:val="22"/>
                <w:szCs w:val="22"/>
              </w:rPr>
              <w:tab/>
            </w:r>
            <w:r w:rsidR="00A006D5" w:rsidRPr="009942B2">
              <w:rPr>
                <w:rStyle w:val="Hyperlink"/>
                <w:noProof/>
              </w:rPr>
              <w:t>Background and Procedural History</w:t>
            </w:r>
            <w:r w:rsidR="00A006D5">
              <w:rPr>
                <w:noProof/>
                <w:webHidden/>
              </w:rPr>
              <w:tab/>
            </w:r>
            <w:r w:rsidR="00A006D5">
              <w:rPr>
                <w:noProof/>
                <w:webHidden/>
              </w:rPr>
              <w:fldChar w:fldCharType="begin"/>
            </w:r>
            <w:r w:rsidR="00A006D5">
              <w:rPr>
                <w:noProof/>
                <w:webHidden/>
              </w:rPr>
              <w:instrText xml:space="preserve"> PAGEREF _Toc425254173 \h </w:instrText>
            </w:r>
            <w:r w:rsidR="00A006D5">
              <w:rPr>
                <w:noProof/>
                <w:webHidden/>
              </w:rPr>
            </w:r>
            <w:r w:rsidR="00A006D5">
              <w:rPr>
                <w:noProof/>
                <w:webHidden/>
              </w:rPr>
              <w:fldChar w:fldCharType="separate"/>
            </w:r>
            <w:r>
              <w:rPr>
                <w:noProof/>
                <w:webHidden/>
              </w:rPr>
              <w:t>3</w:t>
            </w:r>
            <w:r w:rsidR="00A006D5">
              <w:rPr>
                <w:noProof/>
                <w:webHidden/>
              </w:rPr>
              <w:fldChar w:fldCharType="end"/>
            </w:r>
          </w:hyperlink>
        </w:p>
        <w:p w14:paraId="15126222" w14:textId="77777777" w:rsidR="00A006D5" w:rsidRDefault="00345D9C" w:rsidP="00911029">
          <w:pPr>
            <w:pStyle w:val="TOC2"/>
            <w:rPr>
              <w:rFonts w:asciiTheme="minorHAnsi" w:eastAsiaTheme="minorEastAsia" w:hAnsiTheme="minorHAnsi" w:cstheme="minorBidi"/>
              <w:noProof/>
              <w:sz w:val="22"/>
              <w:szCs w:val="22"/>
            </w:rPr>
          </w:pPr>
          <w:hyperlink w:anchor="_Toc425254174" w:history="1">
            <w:r w:rsidR="00A006D5" w:rsidRPr="009942B2">
              <w:rPr>
                <w:rStyle w:val="Hyperlink"/>
                <w:noProof/>
              </w:rPr>
              <w:t>II.</w:t>
            </w:r>
            <w:r w:rsidR="00A006D5">
              <w:rPr>
                <w:rFonts w:asciiTheme="minorHAnsi" w:eastAsiaTheme="minorEastAsia" w:hAnsiTheme="minorHAnsi" w:cstheme="minorBidi"/>
                <w:noProof/>
                <w:sz w:val="22"/>
                <w:szCs w:val="22"/>
              </w:rPr>
              <w:tab/>
            </w:r>
            <w:r w:rsidR="00A006D5" w:rsidRPr="009942B2">
              <w:rPr>
                <w:rStyle w:val="Hyperlink"/>
                <w:noProof/>
              </w:rPr>
              <w:t>Procedural Issue</w:t>
            </w:r>
            <w:r w:rsidR="00A006D5">
              <w:rPr>
                <w:noProof/>
                <w:webHidden/>
              </w:rPr>
              <w:tab/>
            </w:r>
            <w:r w:rsidR="00A006D5">
              <w:rPr>
                <w:noProof/>
                <w:webHidden/>
              </w:rPr>
              <w:fldChar w:fldCharType="begin"/>
            </w:r>
            <w:r w:rsidR="00A006D5">
              <w:rPr>
                <w:noProof/>
                <w:webHidden/>
              </w:rPr>
              <w:instrText xml:space="preserve"> PAGEREF _Toc425254174 \h </w:instrText>
            </w:r>
            <w:r w:rsidR="00A006D5">
              <w:rPr>
                <w:noProof/>
                <w:webHidden/>
              </w:rPr>
            </w:r>
            <w:r w:rsidR="00A006D5">
              <w:rPr>
                <w:noProof/>
                <w:webHidden/>
              </w:rPr>
              <w:fldChar w:fldCharType="separate"/>
            </w:r>
            <w:r>
              <w:rPr>
                <w:noProof/>
                <w:webHidden/>
              </w:rPr>
              <w:t>5</w:t>
            </w:r>
            <w:r w:rsidR="00A006D5">
              <w:rPr>
                <w:noProof/>
                <w:webHidden/>
              </w:rPr>
              <w:fldChar w:fldCharType="end"/>
            </w:r>
          </w:hyperlink>
        </w:p>
        <w:p w14:paraId="7D4B7EDA" w14:textId="77777777" w:rsidR="00A006D5" w:rsidRDefault="00345D9C" w:rsidP="00911029">
          <w:pPr>
            <w:pStyle w:val="TOC2"/>
            <w:rPr>
              <w:rFonts w:asciiTheme="minorHAnsi" w:eastAsiaTheme="minorEastAsia" w:hAnsiTheme="minorHAnsi" w:cstheme="minorBidi"/>
              <w:noProof/>
              <w:sz w:val="22"/>
              <w:szCs w:val="22"/>
            </w:rPr>
          </w:pPr>
          <w:hyperlink w:anchor="_Toc425254175" w:history="1">
            <w:r w:rsidR="00A006D5" w:rsidRPr="009942B2">
              <w:rPr>
                <w:rStyle w:val="Hyperlink"/>
                <w:noProof/>
              </w:rPr>
              <w:t>III.</w:t>
            </w:r>
            <w:r w:rsidR="00A006D5">
              <w:rPr>
                <w:rFonts w:asciiTheme="minorHAnsi" w:eastAsiaTheme="minorEastAsia" w:hAnsiTheme="minorHAnsi" w:cstheme="minorBidi"/>
                <w:noProof/>
                <w:sz w:val="22"/>
                <w:szCs w:val="22"/>
              </w:rPr>
              <w:tab/>
            </w:r>
            <w:r w:rsidR="00A006D5" w:rsidRPr="009942B2">
              <w:rPr>
                <w:rStyle w:val="Hyperlink"/>
                <w:noProof/>
              </w:rPr>
              <w:t>Contested Substantive Issues</w:t>
            </w:r>
            <w:r w:rsidR="00A006D5">
              <w:rPr>
                <w:noProof/>
                <w:webHidden/>
              </w:rPr>
              <w:tab/>
            </w:r>
            <w:r w:rsidR="00A006D5">
              <w:rPr>
                <w:noProof/>
                <w:webHidden/>
              </w:rPr>
              <w:fldChar w:fldCharType="begin"/>
            </w:r>
            <w:r w:rsidR="00A006D5">
              <w:rPr>
                <w:noProof/>
                <w:webHidden/>
              </w:rPr>
              <w:instrText xml:space="preserve"> PAGEREF _Toc425254175 \h </w:instrText>
            </w:r>
            <w:r w:rsidR="00A006D5">
              <w:rPr>
                <w:noProof/>
                <w:webHidden/>
              </w:rPr>
            </w:r>
            <w:r w:rsidR="00A006D5">
              <w:rPr>
                <w:noProof/>
                <w:webHidden/>
              </w:rPr>
              <w:fldChar w:fldCharType="separate"/>
            </w:r>
            <w:r>
              <w:rPr>
                <w:noProof/>
                <w:webHidden/>
              </w:rPr>
              <w:t>9</w:t>
            </w:r>
            <w:r w:rsidR="00A006D5">
              <w:rPr>
                <w:noProof/>
                <w:webHidden/>
              </w:rPr>
              <w:fldChar w:fldCharType="end"/>
            </w:r>
          </w:hyperlink>
        </w:p>
        <w:p w14:paraId="544E5C7E" w14:textId="77777777" w:rsidR="00A006D5" w:rsidRDefault="00345D9C" w:rsidP="00911029">
          <w:pPr>
            <w:pStyle w:val="TOC3"/>
            <w:rPr>
              <w:rFonts w:asciiTheme="minorHAnsi" w:eastAsiaTheme="minorEastAsia" w:hAnsiTheme="minorHAnsi" w:cstheme="minorBidi"/>
              <w:noProof/>
              <w:sz w:val="22"/>
              <w:szCs w:val="22"/>
            </w:rPr>
          </w:pPr>
          <w:hyperlink w:anchor="_Toc425254176" w:history="1">
            <w:r w:rsidR="00A006D5" w:rsidRPr="009942B2">
              <w:rPr>
                <w:rStyle w:val="Hyperlink"/>
                <w:noProof/>
              </w:rPr>
              <w:t>A.</w:t>
            </w:r>
            <w:r w:rsidR="00A006D5">
              <w:rPr>
                <w:rFonts w:asciiTheme="minorHAnsi" w:eastAsiaTheme="minorEastAsia" w:hAnsiTheme="minorHAnsi" w:cstheme="minorBidi"/>
                <w:noProof/>
                <w:sz w:val="22"/>
                <w:szCs w:val="22"/>
              </w:rPr>
              <w:tab/>
            </w:r>
            <w:r w:rsidR="00A006D5" w:rsidRPr="009942B2">
              <w:rPr>
                <w:rStyle w:val="Hyperlink"/>
                <w:noProof/>
              </w:rPr>
              <w:t>Shared Utility Expenses</w:t>
            </w:r>
            <w:r w:rsidR="00A006D5">
              <w:rPr>
                <w:noProof/>
                <w:webHidden/>
              </w:rPr>
              <w:tab/>
            </w:r>
            <w:r w:rsidR="00A006D5">
              <w:rPr>
                <w:noProof/>
                <w:webHidden/>
              </w:rPr>
              <w:fldChar w:fldCharType="begin"/>
            </w:r>
            <w:r w:rsidR="00A006D5">
              <w:rPr>
                <w:noProof/>
                <w:webHidden/>
              </w:rPr>
              <w:instrText xml:space="preserve"> PAGEREF _Toc425254176 \h </w:instrText>
            </w:r>
            <w:r w:rsidR="00A006D5">
              <w:rPr>
                <w:noProof/>
                <w:webHidden/>
              </w:rPr>
            </w:r>
            <w:r w:rsidR="00A006D5">
              <w:rPr>
                <w:noProof/>
                <w:webHidden/>
              </w:rPr>
              <w:fldChar w:fldCharType="separate"/>
            </w:r>
            <w:r>
              <w:rPr>
                <w:noProof/>
                <w:webHidden/>
              </w:rPr>
              <w:t>9</w:t>
            </w:r>
            <w:r w:rsidR="00A006D5">
              <w:rPr>
                <w:noProof/>
                <w:webHidden/>
              </w:rPr>
              <w:fldChar w:fldCharType="end"/>
            </w:r>
          </w:hyperlink>
        </w:p>
        <w:p w14:paraId="5D3F2BCF" w14:textId="77777777" w:rsidR="00A006D5" w:rsidRDefault="00345D9C" w:rsidP="00911029">
          <w:pPr>
            <w:pStyle w:val="TOC3"/>
            <w:rPr>
              <w:rFonts w:asciiTheme="minorHAnsi" w:eastAsiaTheme="minorEastAsia" w:hAnsiTheme="minorHAnsi" w:cstheme="minorBidi"/>
              <w:noProof/>
              <w:sz w:val="22"/>
              <w:szCs w:val="22"/>
            </w:rPr>
          </w:pPr>
          <w:hyperlink w:anchor="_Toc425254177" w:history="1">
            <w:r w:rsidR="00A006D5" w:rsidRPr="009942B2">
              <w:rPr>
                <w:rStyle w:val="Hyperlink"/>
                <w:noProof/>
              </w:rPr>
              <w:t>B.</w:t>
            </w:r>
            <w:r w:rsidR="00A006D5">
              <w:rPr>
                <w:rFonts w:asciiTheme="minorHAnsi" w:eastAsiaTheme="minorEastAsia" w:hAnsiTheme="minorHAnsi" w:cstheme="minorBidi"/>
                <w:noProof/>
                <w:sz w:val="22"/>
                <w:szCs w:val="22"/>
              </w:rPr>
              <w:tab/>
            </w:r>
            <w:r w:rsidR="00A006D5" w:rsidRPr="009942B2">
              <w:rPr>
                <w:rStyle w:val="Hyperlink"/>
                <w:noProof/>
              </w:rPr>
              <w:t>Land Rents</w:t>
            </w:r>
            <w:r w:rsidR="00A006D5">
              <w:rPr>
                <w:noProof/>
                <w:webHidden/>
              </w:rPr>
              <w:tab/>
            </w:r>
            <w:r w:rsidR="00A006D5">
              <w:rPr>
                <w:noProof/>
                <w:webHidden/>
              </w:rPr>
              <w:fldChar w:fldCharType="begin"/>
            </w:r>
            <w:r w:rsidR="00A006D5">
              <w:rPr>
                <w:noProof/>
                <w:webHidden/>
              </w:rPr>
              <w:instrText xml:space="preserve"> PAGEREF _Toc425254177 \h </w:instrText>
            </w:r>
            <w:r w:rsidR="00A006D5">
              <w:rPr>
                <w:noProof/>
                <w:webHidden/>
              </w:rPr>
            </w:r>
            <w:r w:rsidR="00A006D5">
              <w:rPr>
                <w:noProof/>
                <w:webHidden/>
              </w:rPr>
              <w:fldChar w:fldCharType="separate"/>
            </w:r>
            <w:r>
              <w:rPr>
                <w:noProof/>
                <w:webHidden/>
              </w:rPr>
              <w:t>12</w:t>
            </w:r>
            <w:r w:rsidR="00A006D5">
              <w:rPr>
                <w:noProof/>
                <w:webHidden/>
              </w:rPr>
              <w:fldChar w:fldCharType="end"/>
            </w:r>
          </w:hyperlink>
        </w:p>
        <w:p w14:paraId="5B807C77" w14:textId="77777777" w:rsidR="00A006D5" w:rsidRDefault="00345D9C" w:rsidP="00911029">
          <w:pPr>
            <w:pStyle w:val="TOC3"/>
            <w:rPr>
              <w:rFonts w:asciiTheme="minorHAnsi" w:eastAsiaTheme="minorEastAsia" w:hAnsiTheme="minorHAnsi" w:cstheme="minorBidi"/>
              <w:noProof/>
              <w:sz w:val="22"/>
              <w:szCs w:val="22"/>
            </w:rPr>
          </w:pPr>
          <w:hyperlink w:anchor="_Toc425254178" w:history="1">
            <w:r w:rsidR="00A006D5" w:rsidRPr="009942B2">
              <w:rPr>
                <w:rStyle w:val="Hyperlink"/>
                <w:noProof/>
              </w:rPr>
              <w:t>C.</w:t>
            </w:r>
            <w:r w:rsidR="00A006D5">
              <w:rPr>
                <w:rFonts w:asciiTheme="minorHAnsi" w:eastAsiaTheme="minorEastAsia" w:hAnsiTheme="minorHAnsi" w:cstheme="minorBidi"/>
                <w:noProof/>
                <w:sz w:val="22"/>
                <w:szCs w:val="22"/>
              </w:rPr>
              <w:tab/>
            </w:r>
            <w:r w:rsidR="00A006D5" w:rsidRPr="009942B2">
              <w:rPr>
                <w:rStyle w:val="Hyperlink"/>
                <w:noProof/>
              </w:rPr>
              <w:t>Rate Case Expense</w:t>
            </w:r>
            <w:r w:rsidR="00A006D5">
              <w:rPr>
                <w:noProof/>
                <w:webHidden/>
              </w:rPr>
              <w:tab/>
            </w:r>
            <w:r w:rsidR="00A006D5">
              <w:rPr>
                <w:noProof/>
                <w:webHidden/>
              </w:rPr>
              <w:fldChar w:fldCharType="begin"/>
            </w:r>
            <w:r w:rsidR="00A006D5">
              <w:rPr>
                <w:noProof/>
                <w:webHidden/>
              </w:rPr>
              <w:instrText xml:space="preserve"> PAGEREF _Toc425254178 \h </w:instrText>
            </w:r>
            <w:r w:rsidR="00A006D5">
              <w:rPr>
                <w:noProof/>
                <w:webHidden/>
              </w:rPr>
            </w:r>
            <w:r w:rsidR="00A006D5">
              <w:rPr>
                <w:noProof/>
                <w:webHidden/>
              </w:rPr>
              <w:fldChar w:fldCharType="separate"/>
            </w:r>
            <w:r>
              <w:rPr>
                <w:noProof/>
                <w:webHidden/>
              </w:rPr>
              <w:t>20</w:t>
            </w:r>
            <w:r w:rsidR="00A006D5">
              <w:rPr>
                <w:noProof/>
                <w:webHidden/>
              </w:rPr>
              <w:fldChar w:fldCharType="end"/>
            </w:r>
          </w:hyperlink>
        </w:p>
        <w:p w14:paraId="6B33BA05" w14:textId="77777777" w:rsidR="00A006D5" w:rsidRDefault="00345D9C" w:rsidP="00911029">
          <w:pPr>
            <w:pStyle w:val="TOC3"/>
            <w:rPr>
              <w:rFonts w:asciiTheme="minorHAnsi" w:eastAsiaTheme="minorEastAsia" w:hAnsiTheme="minorHAnsi" w:cstheme="minorBidi"/>
              <w:noProof/>
              <w:sz w:val="22"/>
              <w:szCs w:val="22"/>
            </w:rPr>
          </w:pPr>
          <w:hyperlink w:anchor="_Toc425254179" w:history="1">
            <w:r w:rsidR="00A006D5" w:rsidRPr="009942B2">
              <w:rPr>
                <w:rStyle w:val="Hyperlink"/>
                <w:noProof/>
              </w:rPr>
              <w:t>D.</w:t>
            </w:r>
            <w:r w:rsidR="00A006D5">
              <w:rPr>
                <w:rFonts w:asciiTheme="minorHAnsi" w:eastAsiaTheme="minorEastAsia" w:hAnsiTheme="minorHAnsi" w:cstheme="minorBidi"/>
                <w:noProof/>
                <w:sz w:val="22"/>
                <w:szCs w:val="22"/>
              </w:rPr>
              <w:tab/>
            </w:r>
            <w:r w:rsidR="00A006D5" w:rsidRPr="009942B2">
              <w:rPr>
                <w:rStyle w:val="Hyperlink"/>
                <w:noProof/>
              </w:rPr>
              <w:t>Investigation Costs</w:t>
            </w:r>
            <w:r w:rsidR="00A006D5">
              <w:rPr>
                <w:noProof/>
                <w:webHidden/>
              </w:rPr>
              <w:tab/>
            </w:r>
            <w:r w:rsidR="00A006D5">
              <w:rPr>
                <w:noProof/>
                <w:webHidden/>
              </w:rPr>
              <w:fldChar w:fldCharType="begin"/>
            </w:r>
            <w:r w:rsidR="00A006D5">
              <w:rPr>
                <w:noProof/>
                <w:webHidden/>
              </w:rPr>
              <w:instrText xml:space="preserve"> PAGEREF _Toc425254179 \h </w:instrText>
            </w:r>
            <w:r w:rsidR="00A006D5">
              <w:rPr>
                <w:noProof/>
                <w:webHidden/>
              </w:rPr>
            </w:r>
            <w:r w:rsidR="00A006D5">
              <w:rPr>
                <w:noProof/>
                <w:webHidden/>
              </w:rPr>
              <w:fldChar w:fldCharType="separate"/>
            </w:r>
            <w:r>
              <w:rPr>
                <w:noProof/>
                <w:webHidden/>
              </w:rPr>
              <w:t>26</w:t>
            </w:r>
            <w:r w:rsidR="00A006D5">
              <w:rPr>
                <w:noProof/>
                <w:webHidden/>
              </w:rPr>
              <w:fldChar w:fldCharType="end"/>
            </w:r>
          </w:hyperlink>
        </w:p>
        <w:p w14:paraId="3A743506" w14:textId="77777777" w:rsidR="00A006D5" w:rsidRDefault="00345D9C" w:rsidP="00911029">
          <w:pPr>
            <w:pStyle w:val="TOC1"/>
            <w:rPr>
              <w:rFonts w:asciiTheme="minorHAnsi" w:eastAsiaTheme="minorEastAsia" w:hAnsiTheme="minorHAnsi" w:cstheme="minorBidi"/>
              <w:noProof/>
              <w:sz w:val="22"/>
              <w:szCs w:val="22"/>
            </w:rPr>
          </w:pPr>
          <w:hyperlink w:anchor="_Toc425254180" w:history="1">
            <w:r w:rsidR="00A006D5" w:rsidRPr="009942B2">
              <w:rPr>
                <w:rStyle w:val="Hyperlink"/>
                <w:noProof/>
              </w:rPr>
              <w:t>FINDINGS AND CONCLUSIONS</w:t>
            </w:r>
            <w:r w:rsidR="00A006D5">
              <w:rPr>
                <w:noProof/>
                <w:webHidden/>
              </w:rPr>
              <w:tab/>
            </w:r>
            <w:r w:rsidR="00A006D5">
              <w:rPr>
                <w:noProof/>
                <w:webHidden/>
              </w:rPr>
              <w:fldChar w:fldCharType="begin"/>
            </w:r>
            <w:r w:rsidR="00A006D5">
              <w:rPr>
                <w:noProof/>
                <w:webHidden/>
              </w:rPr>
              <w:instrText xml:space="preserve"> PAGEREF _Toc425254180 \h </w:instrText>
            </w:r>
            <w:r w:rsidR="00A006D5">
              <w:rPr>
                <w:noProof/>
                <w:webHidden/>
              </w:rPr>
            </w:r>
            <w:r w:rsidR="00A006D5">
              <w:rPr>
                <w:noProof/>
                <w:webHidden/>
              </w:rPr>
              <w:fldChar w:fldCharType="separate"/>
            </w:r>
            <w:r>
              <w:rPr>
                <w:noProof/>
                <w:webHidden/>
              </w:rPr>
              <w:t>29</w:t>
            </w:r>
            <w:r w:rsidR="00A006D5">
              <w:rPr>
                <w:noProof/>
                <w:webHidden/>
              </w:rPr>
              <w:fldChar w:fldCharType="end"/>
            </w:r>
          </w:hyperlink>
        </w:p>
        <w:p w14:paraId="1722ED8A" w14:textId="77777777" w:rsidR="00A006D5" w:rsidRDefault="00345D9C" w:rsidP="00911029">
          <w:pPr>
            <w:pStyle w:val="TOC1"/>
            <w:rPr>
              <w:rFonts w:asciiTheme="minorHAnsi" w:eastAsiaTheme="minorEastAsia" w:hAnsiTheme="minorHAnsi" w:cstheme="minorBidi"/>
              <w:noProof/>
              <w:sz w:val="22"/>
              <w:szCs w:val="22"/>
            </w:rPr>
          </w:pPr>
          <w:hyperlink w:anchor="_Toc425254181" w:history="1">
            <w:r w:rsidR="00A006D5" w:rsidRPr="009942B2">
              <w:rPr>
                <w:rStyle w:val="Hyperlink"/>
                <w:noProof/>
              </w:rPr>
              <w:t>O R D E R</w:t>
            </w:r>
            <w:r w:rsidR="00A006D5">
              <w:rPr>
                <w:noProof/>
                <w:webHidden/>
              </w:rPr>
              <w:tab/>
            </w:r>
            <w:r w:rsidR="00A006D5">
              <w:rPr>
                <w:noProof/>
                <w:webHidden/>
              </w:rPr>
              <w:fldChar w:fldCharType="begin"/>
            </w:r>
            <w:r w:rsidR="00A006D5">
              <w:rPr>
                <w:noProof/>
                <w:webHidden/>
              </w:rPr>
              <w:instrText xml:space="preserve"> PAGEREF _Toc425254181 \h </w:instrText>
            </w:r>
            <w:r w:rsidR="00A006D5">
              <w:rPr>
                <w:noProof/>
                <w:webHidden/>
              </w:rPr>
            </w:r>
            <w:r w:rsidR="00A006D5">
              <w:rPr>
                <w:noProof/>
                <w:webHidden/>
              </w:rPr>
              <w:fldChar w:fldCharType="separate"/>
            </w:r>
            <w:r>
              <w:rPr>
                <w:noProof/>
                <w:webHidden/>
              </w:rPr>
              <w:t>32</w:t>
            </w:r>
            <w:r w:rsidR="00A006D5">
              <w:rPr>
                <w:noProof/>
                <w:webHidden/>
              </w:rPr>
              <w:fldChar w:fldCharType="end"/>
            </w:r>
          </w:hyperlink>
        </w:p>
        <w:p w14:paraId="31FF901D" w14:textId="77777777" w:rsidR="00A006D5" w:rsidRDefault="00A006D5" w:rsidP="00911029">
          <w:pPr>
            <w:spacing w:line="264" w:lineRule="auto"/>
          </w:pPr>
          <w:r>
            <w:rPr>
              <w:b/>
              <w:bCs/>
              <w:noProof/>
            </w:rPr>
            <w:fldChar w:fldCharType="end"/>
          </w:r>
        </w:p>
      </w:sdtContent>
    </w:sdt>
    <w:p w14:paraId="34487F3A" w14:textId="77777777" w:rsidR="00A006D5" w:rsidRDefault="00A006D5" w:rsidP="00911029">
      <w:pPr>
        <w:spacing w:line="264" w:lineRule="auto"/>
        <w:rPr>
          <w:i/>
        </w:rPr>
      </w:pPr>
    </w:p>
    <w:p w14:paraId="5C45B3FA" w14:textId="77777777" w:rsidR="00A006D5" w:rsidRDefault="00A006D5" w:rsidP="00911029">
      <w:pPr>
        <w:spacing w:line="264" w:lineRule="auto"/>
        <w:rPr>
          <w:rFonts w:cs="Arial"/>
          <w:b/>
          <w:u w:val="single"/>
        </w:rPr>
      </w:pPr>
      <w:r>
        <w:br w:type="page"/>
      </w:r>
    </w:p>
    <w:p w14:paraId="79166AD6" w14:textId="77777777" w:rsidR="00E91CD0" w:rsidRPr="002F4AD5" w:rsidRDefault="00E91CD0" w:rsidP="00911029">
      <w:pPr>
        <w:pStyle w:val="Heading1"/>
        <w:spacing w:line="264" w:lineRule="auto"/>
        <w:rPr>
          <w:b w:val="0"/>
        </w:rPr>
      </w:pPr>
      <w:bookmarkStart w:id="0" w:name="_Toc425254171"/>
      <w:r w:rsidRPr="002F4AD5">
        <w:lastRenderedPageBreak/>
        <w:t>SUMMARY</w:t>
      </w:r>
      <w:bookmarkEnd w:id="0"/>
    </w:p>
    <w:p w14:paraId="6C0D9EF5" w14:textId="77777777" w:rsidR="00E91CD0" w:rsidRPr="002F4AD5" w:rsidRDefault="00E91CD0" w:rsidP="00911029">
      <w:pPr>
        <w:spacing w:line="264" w:lineRule="auto"/>
      </w:pPr>
    </w:p>
    <w:p w14:paraId="619809B9" w14:textId="77777777" w:rsidR="002E50B8" w:rsidRPr="002F4AD5" w:rsidRDefault="00DC3D40" w:rsidP="00911029">
      <w:pPr>
        <w:numPr>
          <w:ilvl w:val="0"/>
          <w:numId w:val="2"/>
        </w:numPr>
        <w:spacing w:line="264" w:lineRule="auto"/>
        <w:rPr>
          <w:bCs/>
        </w:rPr>
      </w:pPr>
      <w:r w:rsidRPr="002F4AD5">
        <w:rPr>
          <w:b/>
        </w:rPr>
        <w:t>NATURE OF PROCEEDING.</w:t>
      </w:r>
      <w:r w:rsidR="00A86893">
        <w:rPr>
          <w:b/>
        </w:rPr>
        <w:t xml:space="preserve"> </w:t>
      </w:r>
      <w:r w:rsidR="00342C43" w:rsidRPr="002F4AD5">
        <w:t>On April 3, 2014, Waste Control, Inc. (</w:t>
      </w:r>
      <w:proofErr w:type="spellStart"/>
      <w:r w:rsidR="00342C43" w:rsidRPr="002F4AD5">
        <w:t>WCI</w:t>
      </w:r>
      <w:proofErr w:type="spellEnd"/>
      <w:r w:rsidR="00342C43" w:rsidRPr="002F4AD5">
        <w:t xml:space="preserve"> or Company)</w:t>
      </w:r>
      <w:r w:rsidR="004B62B9">
        <w:t>,</w:t>
      </w:r>
      <w:r w:rsidR="00342C43" w:rsidRPr="002F4AD5">
        <w:t xml:space="preserve"> filed with the Washington Utilities and Transportation Commission (Commission) new Tariff No. 16 reflecting a general rate increase that, if approved, would generate approximately $532,000 (15.4 percent) in additional revenue. The Company is currently collecting temporary</w:t>
      </w:r>
      <w:r w:rsidR="004B62B9">
        <w:t xml:space="preserve"> rates that include</w:t>
      </w:r>
      <w:r w:rsidR="00342C43" w:rsidRPr="002F4AD5">
        <w:t xml:space="preserve"> revenues for increased disposal fees in Cowlitz County</w:t>
      </w:r>
      <w:r w:rsidR="00C367C3" w:rsidRPr="002F4AD5">
        <w:t>,</w:t>
      </w:r>
      <w:r w:rsidR="00B13E27" w:rsidRPr="002F4AD5">
        <w:t xml:space="preserve"> </w:t>
      </w:r>
      <w:r w:rsidR="00C367C3" w:rsidRPr="002F4AD5">
        <w:t xml:space="preserve">and temporary revenues for rates agreed to as part of </w:t>
      </w:r>
      <w:r w:rsidR="000B3AF7">
        <w:t>a</w:t>
      </w:r>
      <w:r w:rsidR="00C367C3" w:rsidRPr="002F4AD5">
        <w:t xml:space="preserve"> </w:t>
      </w:r>
      <w:r w:rsidR="00F3747A">
        <w:t>P</w:t>
      </w:r>
      <w:r w:rsidR="00F3747A" w:rsidRPr="002F4AD5">
        <w:t xml:space="preserve">artial </w:t>
      </w:r>
      <w:r w:rsidR="00F3747A">
        <w:t>S</w:t>
      </w:r>
      <w:r w:rsidR="00F3747A" w:rsidRPr="002F4AD5">
        <w:t xml:space="preserve">ettlement </w:t>
      </w:r>
      <w:r w:rsidR="00F3747A">
        <w:t>A</w:t>
      </w:r>
      <w:r w:rsidR="00F3747A" w:rsidRPr="002F4AD5">
        <w:t xml:space="preserve">greement </w:t>
      </w:r>
      <w:r w:rsidR="00791D50" w:rsidRPr="002F4AD5">
        <w:t>(</w:t>
      </w:r>
      <w:r w:rsidR="00730B44" w:rsidRPr="002F4AD5">
        <w:t xml:space="preserve">Partial </w:t>
      </w:r>
      <w:r w:rsidR="000B3AF7">
        <w:t>Settlement</w:t>
      </w:r>
      <w:r w:rsidR="00791D50" w:rsidRPr="002F4AD5">
        <w:t xml:space="preserve">) </w:t>
      </w:r>
      <w:r w:rsidR="00C367C3" w:rsidRPr="002F4AD5">
        <w:t xml:space="preserve">filed on </w:t>
      </w:r>
      <w:r w:rsidR="00F7253B" w:rsidRPr="002F4AD5">
        <w:t>October 14, 2014,</w:t>
      </w:r>
      <w:r w:rsidR="004B62B9">
        <w:t xml:space="preserve"> and approved by Order 12.</w:t>
      </w:r>
      <w:r w:rsidR="00F7253B" w:rsidRPr="002F4AD5">
        <w:t xml:space="preserve"> </w:t>
      </w:r>
      <w:r w:rsidR="004B62B9">
        <w:t xml:space="preserve">All temporary rates are being collected by </w:t>
      </w:r>
      <w:proofErr w:type="spellStart"/>
      <w:r w:rsidR="004B62B9">
        <w:t>WCI</w:t>
      </w:r>
      <w:proofErr w:type="spellEnd"/>
      <w:r w:rsidR="00F7253B" w:rsidRPr="002F4AD5">
        <w:t xml:space="preserve"> subject to refund.</w:t>
      </w:r>
    </w:p>
    <w:p w14:paraId="20B9EDA1" w14:textId="77777777" w:rsidR="006B06F0" w:rsidRPr="002F4AD5" w:rsidRDefault="006B06F0" w:rsidP="00911029">
      <w:pPr>
        <w:spacing w:line="264" w:lineRule="auto"/>
        <w:rPr>
          <w:bCs/>
        </w:rPr>
      </w:pPr>
    </w:p>
    <w:p w14:paraId="17DDF0CA" w14:textId="77777777" w:rsidR="00F7253B" w:rsidRPr="002F4AD5" w:rsidRDefault="00540ADE" w:rsidP="00911029">
      <w:pPr>
        <w:numPr>
          <w:ilvl w:val="0"/>
          <w:numId w:val="2"/>
        </w:numPr>
        <w:spacing w:line="264" w:lineRule="auto"/>
        <w:rPr>
          <w:bCs/>
        </w:rPr>
      </w:pPr>
      <w:r>
        <w:t>Administrative Law Judge Marguerite Friedlander</w:t>
      </w:r>
      <w:r w:rsidR="002E50B8" w:rsidRPr="002F4AD5">
        <w:t xml:space="preserve"> entered </w:t>
      </w:r>
      <w:r>
        <w:t xml:space="preserve">an Initial Order, </w:t>
      </w:r>
      <w:r w:rsidR="002E50B8" w:rsidRPr="002F4AD5">
        <w:t>Order 12</w:t>
      </w:r>
      <w:r>
        <w:t>,</w:t>
      </w:r>
      <w:r w:rsidR="002E50B8" w:rsidRPr="002F4AD5">
        <w:t xml:space="preserve"> on June 8, 2015, approving and adopting </w:t>
      </w:r>
      <w:r w:rsidR="000B3AF7">
        <w:t>the Partial Settlement</w:t>
      </w:r>
      <w:r w:rsidR="002E50B8" w:rsidRPr="002F4AD5">
        <w:t xml:space="preserve"> and resolving four contested issues. </w:t>
      </w:r>
      <w:proofErr w:type="spellStart"/>
      <w:r w:rsidR="002E50B8" w:rsidRPr="002F4AD5">
        <w:t>WCI</w:t>
      </w:r>
      <w:proofErr w:type="spellEnd"/>
      <w:r w:rsidR="002E50B8" w:rsidRPr="002F4AD5">
        <w:t xml:space="preserve">, dissatisfied with the Initial Order’s resolution of the four contested issues, seeks administrative review under </w:t>
      </w:r>
      <w:proofErr w:type="spellStart"/>
      <w:r w:rsidR="002E50B8" w:rsidRPr="002F4AD5">
        <w:t>RCW</w:t>
      </w:r>
      <w:proofErr w:type="spellEnd"/>
      <w:r w:rsidR="002E50B8" w:rsidRPr="002F4AD5">
        <w:t xml:space="preserve"> 34.05.464 and WAC 480-07-825.</w:t>
      </w:r>
      <w:r w:rsidR="00B13E27" w:rsidRPr="002F4AD5">
        <w:t xml:space="preserve"> </w:t>
      </w:r>
      <w:r w:rsidR="008D1805" w:rsidRPr="002F4AD5">
        <w:rPr>
          <w:bCs/>
        </w:rPr>
        <w:t xml:space="preserve"> </w:t>
      </w:r>
    </w:p>
    <w:p w14:paraId="386B2ACF" w14:textId="77777777" w:rsidR="00F545F1" w:rsidRPr="002F4AD5" w:rsidRDefault="00F545F1" w:rsidP="00911029">
      <w:pPr>
        <w:spacing w:line="264" w:lineRule="auto"/>
      </w:pPr>
    </w:p>
    <w:p w14:paraId="02560E3C" w14:textId="77777777" w:rsidR="003A54DE" w:rsidRPr="002F4AD5" w:rsidRDefault="00E91CD0" w:rsidP="00911029">
      <w:pPr>
        <w:numPr>
          <w:ilvl w:val="0"/>
          <w:numId w:val="2"/>
        </w:numPr>
        <w:spacing w:line="264" w:lineRule="auto"/>
      </w:pPr>
      <w:r w:rsidRPr="002F4AD5">
        <w:rPr>
          <w:b/>
          <w:bCs/>
        </w:rPr>
        <w:t>PARTY REPRESENTATIVES.</w:t>
      </w:r>
      <w:r w:rsidRPr="002F4AD5">
        <w:t xml:space="preserve"> David W. Wiley, Williams, </w:t>
      </w:r>
      <w:proofErr w:type="spellStart"/>
      <w:r w:rsidRPr="002F4AD5">
        <w:t>Kastner</w:t>
      </w:r>
      <w:proofErr w:type="spellEnd"/>
      <w:r w:rsidRPr="002F4AD5">
        <w:t xml:space="preserve"> &amp; Gibbs </w:t>
      </w:r>
      <w:proofErr w:type="spellStart"/>
      <w:r w:rsidRPr="002F4AD5">
        <w:t>PLLC</w:t>
      </w:r>
      <w:proofErr w:type="spellEnd"/>
      <w:r w:rsidRPr="002F4AD5">
        <w:t xml:space="preserve">, Seattle, Washington, represents </w:t>
      </w:r>
      <w:proofErr w:type="spellStart"/>
      <w:r w:rsidR="00F545F1" w:rsidRPr="002F4AD5">
        <w:t>WCI</w:t>
      </w:r>
      <w:proofErr w:type="spellEnd"/>
      <w:r w:rsidRPr="002F4AD5">
        <w:t xml:space="preserve">. </w:t>
      </w:r>
      <w:r w:rsidR="00F545F1" w:rsidRPr="002F4AD5">
        <w:t>Brett Shearer</w:t>
      </w:r>
      <w:r w:rsidRPr="002F4AD5">
        <w:t>, Assistant Attorney General, Olympia, Washington, represents the Commission’s regulatory staff (Commission Staff or Staff). James K. Sells, Gig Harbor, Washington, represents the Washington Refuse and Recycling Association (</w:t>
      </w:r>
      <w:proofErr w:type="spellStart"/>
      <w:r w:rsidRPr="002F4AD5">
        <w:t>WRRA</w:t>
      </w:r>
      <w:proofErr w:type="spellEnd"/>
      <w:r w:rsidRPr="002F4AD5">
        <w:t xml:space="preserve">).  </w:t>
      </w:r>
      <w:r w:rsidR="006B237C" w:rsidRPr="002F4AD5">
        <w:t xml:space="preserve"> </w:t>
      </w:r>
      <w:r w:rsidR="002571FE" w:rsidRPr="002F4AD5">
        <w:t xml:space="preserve"> </w:t>
      </w:r>
    </w:p>
    <w:p w14:paraId="3A6CCEC4" w14:textId="77777777" w:rsidR="00F545F1" w:rsidRPr="002F4AD5" w:rsidRDefault="00F545F1" w:rsidP="00911029">
      <w:pPr>
        <w:pStyle w:val="ListParagraph"/>
        <w:spacing w:line="264" w:lineRule="auto"/>
      </w:pPr>
    </w:p>
    <w:p w14:paraId="7B450D2B" w14:textId="77777777" w:rsidR="00F545F1" w:rsidRPr="002F4AD5" w:rsidRDefault="00F545F1" w:rsidP="00911029">
      <w:pPr>
        <w:pStyle w:val="Heading1"/>
        <w:spacing w:line="264" w:lineRule="auto"/>
      </w:pPr>
      <w:bookmarkStart w:id="1" w:name="_Toc425254172"/>
      <w:r w:rsidRPr="002F4AD5">
        <w:t>MEMORANDUM</w:t>
      </w:r>
      <w:bookmarkEnd w:id="1"/>
    </w:p>
    <w:p w14:paraId="231724E8" w14:textId="77777777" w:rsidR="00F545F1" w:rsidRPr="002F4AD5" w:rsidRDefault="00F545F1" w:rsidP="00911029">
      <w:pPr>
        <w:spacing w:line="264" w:lineRule="auto"/>
        <w:jc w:val="center"/>
        <w:rPr>
          <w:b/>
          <w:u w:val="single"/>
        </w:rPr>
      </w:pPr>
    </w:p>
    <w:p w14:paraId="49EF9C8A" w14:textId="77777777" w:rsidR="00F545F1" w:rsidRPr="002F4AD5" w:rsidRDefault="00F35DFC" w:rsidP="00911029">
      <w:pPr>
        <w:pStyle w:val="Heading2"/>
        <w:spacing w:line="264" w:lineRule="auto"/>
      </w:pPr>
      <w:bookmarkStart w:id="2" w:name="_Toc425254173"/>
      <w:r w:rsidRPr="002F4AD5">
        <w:t>Background and Procedural History</w:t>
      </w:r>
      <w:bookmarkEnd w:id="2"/>
    </w:p>
    <w:p w14:paraId="0855462F" w14:textId="77777777" w:rsidR="002571FE" w:rsidRPr="002F4AD5" w:rsidRDefault="002571FE" w:rsidP="00911029">
      <w:pPr>
        <w:pStyle w:val="ListParagraph"/>
        <w:spacing w:line="264" w:lineRule="auto"/>
      </w:pPr>
    </w:p>
    <w:p w14:paraId="4A7229B4" w14:textId="77777777" w:rsidR="005362F1" w:rsidRPr="002F4AD5" w:rsidRDefault="00E87C34" w:rsidP="00911029">
      <w:pPr>
        <w:numPr>
          <w:ilvl w:val="0"/>
          <w:numId w:val="2"/>
        </w:numPr>
        <w:spacing w:line="264" w:lineRule="auto"/>
      </w:pPr>
      <w:proofErr w:type="spellStart"/>
      <w:r w:rsidRPr="002F4AD5">
        <w:t>WCI</w:t>
      </w:r>
      <w:proofErr w:type="spellEnd"/>
      <w:r w:rsidRPr="002F4AD5">
        <w:t xml:space="preserve"> originally requested approximately $392,000 in rate relief on September 23, 2013, in Docket TG-131794</w:t>
      </w:r>
      <w:r w:rsidR="002571FE" w:rsidRPr="002F4AD5">
        <w:t xml:space="preserve">. </w:t>
      </w:r>
      <w:r w:rsidRPr="002F4AD5">
        <w:t xml:space="preserve">The Commission suspended the Company’s tariff revision on November 27, 2013, and effective December 1, 2013, allowed </w:t>
      </w:r>
      <w:proofErr w:type="spellStart"/>
      <w:r w:rsidRPr="002F4AD5">
        <w:t>WCI</w:t>
      </w:r>
      <w:proofErr w:type="spellEnd"/>
      <w:r w:rsidRPr="002F4AD5">
        <w:t xml:space="preserve"> to collect rates to recover</w:t>
      </w:r>
      <w:r w:rsidR="00BD6E87" w:rsidRPr="002F4AD5">
        <w:t xml:space="preserve"> increased disposal fees</w:t>
      </w:r>
      <w:r w:rsidRPr="002F4AD5">
        <w:t xml:space="preserve"> on a temporary basis</w:t>
      </w:r>
      <w:r w:rsidR="004B62B9">
        <w:t>,</w:t>
      </w:r>
      <w:r w:rsidRPr="002F4AD5">
        <w:t xml:space="preserve"> subject to refund.</w:t>
      </w:r>
      <w:r w:rsidRPr="002F4AD5">
        <w:rPr>
          <w:rStyle w:val="FootnoteReference"/>
        </w:rPr>
        <w:footnoteReference w:id="1"/>
      </w:r>
      <w:r w:rsidRPr="002F4AD5">
        <w:t xml:space="preserve"> </w:t>
      </w:r>
      <w:r w:rsidR="0023547D" w:rsidRPr="002F4AD5">
        <w:t xml:space="preserve">The </w:t>
      </w:r>
      <w:r w:rsidR="00BD6E87" w:rsidRPr="002F4AD5">
        <w:t xml:space="preserve">Commission also authorized the </w:t>
      </w:r>
      <w:r w:rsidR="0023547D" w:rsidRPr="002F4AD5">
        <w:t xml:space="preserve">Company to collect a temporary fuel surcharge </w:t>
      </w:r>
      <w:r w:rsidR="002133C9" w:rsidRPr="002F4AD5">
        <w:t>to recoup its increasing fuel costs.</w:t>
      </w:r>
      <w:r w:rsidR="002133C9" w:rsidRPr="002F4AD5">
        <w:rPr>
          <w:rStyle w:val="FootnoteReference"/>
        </w:rPr>
        <w:footnoteReference w:id="2"/>
      </w:r>
    </w:p>
    <w:p w14:paraId="18B6B3D0" w14:textId="77777777" w:rsidR="005362F1" w:rsidRPr="002F4AD5" w:rsidRDefault="005362F1" w:rsidP="00911029">
      <w:pPr>
        <w:spacing w:line="264" w:lineRule="auto"/>
      </w:pPr>
    </w:p>
    <w:p w14:paraId="341CE8BD" w14:textId="77777777" w:rsidR="00425672" w:rsidRPr="002F4AD5" w:rsidRDefault="005362F1" w:rsidP="00911029">
      <w:pPr>
        <w:numPr>
          <w:ilvl w:val="0"/>
          <w:numId w:val="2"/>
        </w:numPr>
        <w:spacing w:line="264" w:lineRule="auto"/>
      </w:pPr>
      <w:r w:rsidRPr="002F4AD5">
        <w:t xml:space="preserve">On </w:t>
      </w:r>
      <w:r w:rsidR="00425672" w:rsidRPr="002F4AD5">
        <w:t>March 2</w:t>
      </w:r>
      <w:r w:rsidRPr="002F4AD5">
        <w:t xml:space="preserve">5, 2014, </w:t>
      </w:r>
      <w:r w:rsidR="00E87C34" w:rsidRPr="002F4AD5">
        <w:t xml:space="preserve">Staff filed a Motion to Dismiss (Motion) the Company’s </w:t>
      </w:r>
      <w:r w:rsidRPr="002F4AD5">
        <w:t>rate request</w:t>
      </w:r>
      <w:r w:rsidR="00E87C34" w:rsidRPr="002F4AD5">
        <w:t xml:space="preserve">, alleging that </w:t>
      </w:r>
      <w:proofErr w:type="spellStart"/>
      <w:r w:rsidR="00E87C34" w:rsidRPr="002F4AD5">
        <w:t>WCI</w:t>
      </w:r>
      <w:proofErr w:type="spellEnd"/>
      <w:r w:rsidR="00E87C34" w:rsidRPr="002F4AD5">
        <w:t xml:space="preserve">, in its </w:t>
      </w:r>
      <w:proofErr w:type="spellStart"/>
      <w:r w:rsidR="00E87C34" w:rsidRPr="002F4AD5">
        <w:t>prefiled</w:t>
      </w:r>
      <w:proofErr w:type="spellEnd"/>
      <w:r w:rsidR="00E87C34" w:rsidRPr="002F4AD5">
        <w:t xml:space="preserve"> direct testimony and exhibits, “failed to make a prima facie </w:t>
      </w:r>
      <w:r w:rsidR="00E87C34" w:rsidRPr="002F4AD5">
        <w:lastRenderedPageBreak/>
        <w:t>case for its requested rate increase.”</w:t>
      </w:r>
      <w:r w:rsidR="00E87C34" w:rsidRPr="002F4AD5">
        <w:rPr>
          <w:rStyle w:val="FootnoteReference"/>
        </w:rPr>
        <w:footnoteReference w:id="3"/>
      </w:r>
      <w:r w:rsidR="00E87C34" w:rsidRPr="002F4AD5">
        <w:t xml:space="preserve"> The Commission granted Staff’s Motion</w:t>
      </w:r>
      <w:r w:rsidR="00162ADE" w:rsidRPr="002F4AD5">
        <w:t xml:space="preserve"> </w:t>
      </w:r>
      <w:r w:rsidRPr="002F4AD5">
        <w:t xml:space="preserve">in Order 05 </w:t>
      </w:r>
      <w:r w:rsidR="00E87C34" w:rsidRPr="002F4AD5">
        <w:t xml:space="preserve">and </w:t>
      </w:r>
      <w:r w:rsidRPr="002F4AD5">
        <w:t>ordered</w:t>
      </w:r>
      <w:r w:rsidR="00E87C34" w:rsidRPr="002F4AD5">
        <w:t xml:space="preserve"> that </w:t>
      </w:r>
      <w:r w:rsidRPr="002F4AD5">
        <w:t xml:space="preserve">the Company refund the temporary disposal fee rate increase unless </w:t>
      </w:r>
      <w:proofErr w:type="spellStart"/>
      <w:r w:rsidRPr="002F4AD5">
        <w:t>WCI</w:t>
      </w:r>
      <w:proofErr w:type="spellEnd"/>
      <w:r w:rsidRPr="002F4AD5">
        <w:t xml:space="preserve"> refiled its rate request, including the original temporary disposal fee increase, within ten business days from the effective date of Order 05.</w:t>
      </w:r>
      <w:r w:rsidRPr="002F4AD5">
        <w:rPr>
          <w:rStyle w:val="FootnoteReference"/>
        </w:rPr>
        <w:footnoteReference w:id="4"/>
      </w:r>
      <w:r w:rsidRPr="002F4AD5">
        <w:t xml:space="preserve"> </w:t>
      </w:r>
      <w:r w:rsidR="00162ADE" w:rsidRPr="002F4AD5">
        <w:t xml:space="preserve"> </w:t>
      </w:r>
    </w:p>
    <w:p w14:paraId="54195AA6" w14:textId="77777777" w:rsidR="00425672" w:rsidRPr="002F4AD5" w:rsidRDefault="00425672" w:rsidP="00911029">
      <w:pPr>
        <w:pStyle w:val="ListParagraph"/>
        <w:spacing w:line="264" w:lineRule="auto"/>
      </w:pPr>
    </w:p>
    <w:p w14:paraId="6BB770C9" w14:textId="77777777" w:rsidR="00BB52C8" w:rsidRPr="002F4AD5" w:rsidRDefault="00425672" w:rsidP="00911029">
      <w:pPr>
        <w:numPr>
          <w:ilvl w:val="0"/>
          <w:numId w:val="2"/>
        </w:numPr>
        <w:spacing w:line="264" w:lineRule="auto"/>
      </w:pPr>
      <w:proofErr w:type="spellStart"/>
      <w:r w:rsidRPr="002F4AD5">
        <w:t>WCI</w:t>
      </w:r>
      <w:proofErr w:type="spellEnd"/>
      <w:r w:rsidRPr="002F4AD5">
        <w:t xml:space="preserve"> refiled its rate request</w:t>
      </w:r>
      <w:r w:rsidR="002C1B7D" w:rsidRPr="002F4AD5">
        <w:t xml:space="preserve"> in this </w:t>
      </w:r>
      <w:r w:rsidR="00BD6E87" w:rsidRPr="002F4AD5">
        <w:t>docket</w:t>
      </w:r>
      <w:r w:rsidRPr="002F4AD5">
        <w:t>, including the temporary disposal fees increase, on April 3, 2014.</w:t>
      </w:r>
      <w:r w:rsidR="000F1F8A">
        <w:rPr>
          <w:rStyle w:val="FootnoteReference"/>
        </w:rPr>
        <w:footnoteReference w:id="5"/>
      </w:r>
      <w:r w:rsidRPr="002F4AD5">
        <w:t xml:space="preserve"> The Company’s </w:t>
      </w:r>
      <w:r w:rsidR="00371922" w:rsidRPr="002F4AD5">
        <w:t xml:space="preserve">requested </w:t>
      </w:r>
      <w:r w:rsidRPr="002F4AD5">
        <w:t xml:space="preserve">tariff revision </w:t>
      </w:r>
      <w:r w:rsidR="004B62B9">
        <w:t xml:space="preserve">would </w:t>
      </w:r>
      <w:r w:rsidR="00371922" w:rsidRPr="002F4AD5">
        <w:t>increase</w:t>
      </w:r>
      <w:r w:rsidR="00AA620C" w:rsidRPr="002F4AD5">
        <w:t xml:space="preserve"> rate</w:t>
      </w:r>
      <w:r w:rsidR="00371922" w:rsidRPr="002F4AD5">
        <w:t>s</w:t>
      </w:r>
      <w:r w:rsidR="004B62B9">
        <w:t xml:space="preserve"> to recover</w:t>
      </w:r>
      <w:r w:rsidR="00AA620C" w:rsidRPr="002F4AD5">
        <w:t xml:space="preserve"> approximately $532,000</w:t>
      </w:r>
      <w:r w:rsidR="004B62B9">
        <w:t xml:space="preserve"> in additional revenue</w:t>
      </w:r>
      <w:r w:rsidR="00AA620C" w:rsidRPr="002F4AD5">
        <w:t>.</w:t>
      </w:r>
      <w:r w:rsidR="000F1F8A">
        <w:rPr>
          <w:rStyle w:val="FootnoteReference"/>
        </w:rPr>
        <w:footnoteReference w:id="6"/>
      </w:r>
      <w:r w:rsidR="00AA620C" w:rsidRPr="002F4AD5">
        <w:t xml:space="preserve"> </w:t>
      </w:r>
      <w:r w:rsidR="0095741D" w:rsidRPr="002F4AD5">
        <w:t xml:space="preserve">In Order 01, the Commission suspended </w:t>
      </w:r>
      <w:proofErr w:type="spellStart"/>
      <w:r w:rsidR="0095741D" w:rsidRPr="002F4AD5">
        <w:t>WCI’s</w:t>
      </w:r>
      <w:proofErr w:type="spellEnd"/>
      <w:r w:rsidR="0095741D" w:rsidRPr="002F4AD5">
        <w:t xml:space="preserve"> tariff revision and </w:t>
      </w:r>
      <w:r w:rsidR="00371922" w:rsidRPr="002F4AD5">
        <w:t xml:space="preserve">the Company was </w:t>
      </w:r>
      <w:r w:rsidR="0095741D" w:rsidRPr="002F4AD5">
        <w:t>“allowed to continue to recover the rates related to the increased disposal fees on a temporary basis, subject to refund, pending the Commission’s final order.”</w:t>
      </w:r>
      <w:r w:rsidR="0095741D" w:rsidRPr="002F4AD5">
        <w:rPr>
          <w:rStyle w:val="FootnoteReference"/>
        </w:rPr>
        <w:footnoteReference w:id="7"/>
      </w:r>
      <w:r w:rsidR="00D37243" w:rsidRPr="002F4AD5">
        <w:t xml:space="preserve"> </w:t>
      </w:r>
      <w:r w:rsidR="0095741D" w:rsidRPr="002F4AD5">
        <w:t xml:space="preserve"> </w:t>
      </w:r>
    </w:p>
    <w:p w14:paraId="776ED118" w14:textId="77777777" w:rsidR="002D2A0A" w:rsidRPr="002F4AD5" w:rsidRDefault="002D2A0A" w:rsidP="00911029">
      <w:pPr>
        <w:pStyle w:val="ListParagraph"/>
        <w:spacing w:line="264" w:lineRule="auto"/>
      </w:pPr>
    </w:p>
    <w:p w14:paraId="71586C25" w14:textId="77777777" w:rsidR="002D2A0A" w:rsidRPr="002F4AD5" w:rsidRDefault="004F5AE2" w:rsidP="00911029">
      <w:pPr>
        <w:numPr>
          <w:ilvl w:val="0"/>
          <w:numId w:val="2"/>
        </w:numPr>
        <w:spacing w:line="264" w:lineRule="auto"/>
      </w:pPr>
      <w:r w:rsidRPr="002F4AD5">
        <w:t xml:space="preserve">Staff and </w:t>
      </w:r>
      <w:proofErr w:type="spellStart"/>
      <w:r w:rsidRPr="002F4AD5">
        <w:t>WCI</w:t>
      </w:r>
      <w:proofErr w:type="spellEnd"/>
      <w:r w:rsidR="00A0195F" w:rsidRPr="002F4AD5">
        <w:t xml:space="preserve"> filed a</w:t>
      </w:r>
      <w:r w:rsidR="00240255" w:rsidRPr="002F4AD5">
        <w:t xml:space="preserve"> </w:t>
      </w:r>
      <w:r w:rsidR="00730B44" w:rsidRPr="002F4AD5">
        <w:t xml:space="preserve">Partial </w:t>
      </w:r>
      <w:r w:rsidR="00282F33" w:rsidRPr="002F4AD5">
        <w:t>Settlement A</w:t>
      </w:r>
      <w:r w:rsidR="00730B44" w:rsidRPr="002F4AD5">
        <w:t>greement</w:t>
      </w:r>
      <w:r w:rsidRPr="002F4AD5">
        <w:t xml:space="preserve"> on October 14, 2014, </w:t>
      </w:r>
      <w:r w:rsidR="006B1641">
        <w:t>propos</w:t>
      </w:r>
      <w:r w:rsidRPr="002F4AD5">
        <w:t>ing to resolve all but four of the contested issues in the proceeding.</w:t>
      </w:r>
      <w:r w:rsidR="00FB43E7" w:rsidRPr="002F4AD5">
        <w:rPr>
          <w:rStyle w:val="FootnoteReference"/>
        </w:rPr>
        <w:footnoteReference w:id="8"/>
      </w:r>
      <w:r w:rsidR="00AF002C" w:rsidRPr="002F4AD5">
        <w:t xml:space="preserve"> </w:t>
      </w:r>
      <w:proofErr w:type="spellStart"/>
      <w:r w:rsidR="00282F33" w:rsidRPr="002F4AD5">
        <w:t>WRRA</w:t>
      </w:r>
      <w:proofErr w:type="spellEnd"/>
      <w:r w:rsidR="00282F33" w:rsidRPr="002F4AD5">
        <w:t xml:space="preserve"> did not did not object </w:t>
      </w:r>
      <w:r w:rsidR="00282F33" w:rsidRPr="002F4AD5">
        <w:lastRenderedPageBreak/>
        <w:t xml:space="preserve">to the settlement terms. </w:t>
      </w:r>
      <w:r w:rsidR="0007500A">
        <w:t>T</w:t>
      </w:r>
      <w:r w:rsidR="0007500A" w:rsidRPr="0007500A">
        <w:t xml:space="preserve">he Commission </w:t>
      </w:r>
      <w:r w:rsidR="0007500A">
        <w:t>held</w:t>
      </w:r>
      <w:r w:rsidR="0007500A" w:rsidRPr="0007500A">
        <w:t xml:space="preserve"> a limited-scope evidentiary hearing</w:t>
      </w:r>
      <w:r w:rsidR="0007500A">
        <w:t>, focusing</w:t>
      </w:r>
      <w:r w:rsidR="0007500A" w:rsidRPr="0007500A">
        <w:t xml:space="preserve"> on the four remaining issues, on March 11, 2015.</w:t>
      </w:r>
      <w:r w:rsidR="0007500A">
        <w:t xml:space="preserve"> O</w:t>
      </w:r>
      <w:r w:rsidR="0007500A" w:rsidRPr="0007500A">
        <w:t xml:space="preserve">n June 8, 2015, Administrative Law Judge Marguerite Friedlander entered Order 12, an Initial Order approving and adopting the Partial Settlement and resolving </w:t>
      </w:r>
      <w:r w:rsidR="0007500A">
        <w:t xml:space="preserve">the </w:t>
      </w:r>
      <w:r w:rsidR="0007500A" w:rsidRPr="0007500A">
        <w:t>four contested issues.</w:t>
      </w:r>
      <w:r w:rsidR="0007500A">
        <w:t xml:space="preserve"> </w:t>
      </w:r>
      <w:proofErr w:type="spellStart"/>
      <w:r w:rsidR="00282F33" w:rsidRPr="002F4AD5">
        <w:t>WCI</w:t>
      </w:r>
      <w:proofErr w:type="spellEnd"/>
      <w:r w:rsidR="0007500A">
        <w:t xml:space="preserve"> filed its</w:t>
      </w:r>
      <w:r w:rsidR="00282F33" w:rsidRPr="002F4AD5">
        <w:t xml:space="preserve"> Petition for Administrative Review</w:t>
      </w:r>
      <w:r w:rsidR="0007500A">
        <w:t xml:space="preserve"> on </w:t>
      </w:r>
      <w:r w:rsidR="003F5937">
        <w:t>June 29, 2015,</w:t>
      </w:r>
      <w:r w:rsidR="00AF002C" w:rsidRPr="002F4AD5">
        <w:t xml:space="preserve"> </w:t>
      </w:r>
      <w:r w:rsidR="0007500A">
        <w:t xml:space="preserve">addressing each of the four contested issues, which </w:t>
      </w:r>
      <w:r w:rsidR="00AF002C" w:rsidRPr="002F4AD5">
        <w:t xml:space="preserve">are: </w:t>
      </w:r>
    </w:p>
    <w:p w14:paraId="6839ACF8" w14:textId="77777777" w:rsidR="00AF002C" w:rsidRPr="002F4AD5" w:rsidRDefault="00AF002C" w:rsidP="00911029">
      <w:pPr>
        <w:pStyle w:val="ListParagraph"/>
        <w:spacing w:line="264" w:lineRule="auto"/>
      </w:pPr>
    </w:p>
    <w:p w14:paraId="07AD84BB" w14:textId="77777777" w:rsidR="00AF002C" w:rsidRDefault="00AF002C" w:rsidP="00911029">
      <w:pPr>
        <w:pStyle w:val="ListParagraph"/>
        <w:numPr>
          <w:ilvl w:val="0"/>
          <w:numId w:val="11"/>
        </w:numPr>
        <w:spacing w:line="264" w:lineRule="auto"/>
      </w:pPr>
      <w:r w:rsidRPr="002F4AD5">
        <w:t>Shared Utility Expenses</w:t>
      </w:r>
      <w:r w:rsidR="002E74B0">
        <w:t>.</w:t>
      </w:r>
    </w:p>
    <w:p w14:paraId="26C9BD39" w14:textId="77777777" w:rsidR="001B0139" w:rsidRPr="002F4AD5" w:rsidRDefault="001B0139" w:rsidP="001B0139">
      <w:pPr>
        <w:pStyle w:val="ListParagraph"/>
        <w:spacing w:line="264" w:lineRule="auto"/>
      </w:pPr>
    </w:p>
    <w:p w14:paraId="246CEB88" w14:textId="77777777" w:rsidR="00AF002C" w:rsidRDefault="00AF002C" w:rsidP="00911029">
      <w:pPr>
        <w:pStyle w:val="ListParagraph"/>
        <w:numPr>
          <w:ilvl w:val="0"/>
          <w:numId w:val="11"/>
        </w:numPr>
        <w:spacing w:line="264" w:lineRule="auto"/>
      </w:pPr>
      <w:r w:rsidRPr="002F4AD5">
        <w:t>Affiliate Land Rents</w:t>
      </w:r>
      <w:r w:rsidR="002E74B0">
        <w:t>.</w:t>
      </w:r>
    </w:p>
    <w:p w14:paraId="01948040" w14:textId="77777777" w:rsidR="001B0139" w:rsidRPr="002F4AD5" w:rsidRDefault="001B0139" w:rsidP="001B0139">
      <w:pPr>
        <w:spacing w:line="264" w:lineRule="auto"/>
      </w:pPr>
    </w:p>
    <w:p w14:paraId="3908C16F" w14:textId="77777777" w:rsidR="00AF002C" w:rsidRDefault="00AF002C" w:rsidP="00911029">
      <w:pPr>
        <w:pStyle w:val="ListParagraph"/>
        <w:numPr>
          <w:ilvl w:val="0"/>
          <w:numId w:val="11"/>
        </w:numPr>
        <w:spacing w:line="264" w:lineRule="auto"/>
      </w:pPr>
      <w:r w:rsidRPr="002F4AD5">
        <w:t>Rate Case Costs</w:t>
      </w:r>
      <w:r w:rsidR="002E74B0">
        <w:t>.</w:t>
      </w:r>
    </w:p>
    <w:p w14:paraId="1FF1A348" w14:textId="77777777" w:rsidR="001B0139" w:rsidRPr="002F4AD5" w:rsidRDefault="001B0139" w:rsidP="001B0139">
      <w:pPr>
        <w:spacing w:line="264" w:lineRule="auto"/>
      </w:pPr>
    </w:p>
    <w:p w14:paraId="1411CBF0" w14:textId="77777777" w:rsidR="008721A7" w:rsidRPr="002F4AD5" w:rsidRDefault="00AF002C" w:rsidP="00911029">
      <w:pPr>
        <w:pStyle w:val="ListParagraph"/>
        <w:numPr>
          <w:ilvl w:val="0"/>
          <w:numId w:val="11"/>
        </w:numPr>
        <w:spacing w:line="264" w:lineRule="auto"/>
      </w:pPr>
      <w:r w:rsidRPr="002F4AD5">
        <w:t>Investigation Fees</w:t>
      </w:r>
      <w:r w:rsidR="002E74B0">
        <w:t>.</w:t>
      </w:r>
    </w:p>
    <w:p w14:paraId="09C9744F" w14:textId="77777777" w:rsidR="006B1641" w:rsidRDefault="006B1641" w:rsidP="00911029">
      <w:pPr>
        <w:spacing w:line="264" w:lineRule="auto"/>
      </w:pPr>
    </w:p>
    <w:p w14:paraId="107F9E12" w14:textId="77777777" w:rsidR="00EA2C88" w:rsidRDefault="006B1641" w:rsidP="00911029">
      <w:pPr>
        <w:spacing w:line="264" w:lineRule="auto"/>
      </w:pPr>
      <w:proofErr w:type="spellStart"/>
      <w:r>
        <w:t>WCI</w:t>
      </w:r>
      <w:proofErr w:type="spellEnd"/>
      <w:r>
        <w:t xml:space="preserve"> raises an additional issue in its Petition, which we discuss below as a procedural matter.</w:t>
      </w:r>
      <w:r w:rsidR="00E64B5A" w:rsidRPr="002F4AD5">
        <w:t xml:space="preserve">  </w:t>
      </w:r>
    </w:p>
    <w:p w14:paraId="0ADFC1D4" w14:textId="77777777" w:rsidR="006B1641" w:rsidRPr="002F4AD5" w:rsidRDefault="006B1641" w:rsidP="00911029">
      <w:pPr>
        <w:spacing w:line="264" w:lineRule="auto"/>
      </w:pPr>
    </w:p>
    <w:p w14:paraId="451B98B7" w14:textId="77777777" w:rsidR="004D2E6A" w:rsidRPr="002F4AD5" w:rsidRDefault="004D2E6A" w:rsidP="00911029">
      <w:pPr>
        <w:pStyle w:val="Heading2"/>
        <w:spacing w:line="264" w:lineRule="auto"/>
      </w:pPr>
      <w:bookmarkStart w:id="3" w:name="_Toc425254174"/>
      <w:r w:rsidRPr="002F4AD5">
        <w:t>Procedural Issue</w:t>
      </w:r>
      <w:bookmarkEnd w:id="3"/>
    </w:p>
    <w:p w14:paraId="4EBE6EE2" w14:textId="77777777" w:rsidR="004D2E6A" w:rsidRPr="002F4AD5" w:rsidRDefault="004D2E6A" w:rsidP="00911029">
      <w:pPr>
        <w:pStyle w:val="ListParagraph"/>
        <w:spacing w:line="264" w:lineRule="auto"/>
        <w:ind w:left="1440"/>
        <w:rPr>
          <w:b/>
        </w:rPr>
      </w:pPr>
    </w:p>
    <w:p w14:paraId="7AB0BC19" w14:textId="77777777" w:rsidR="00DF309E" w:rsidRPr="002F4AD5" w:rsidRDefault="004D2E6A" w:rsidP="00911029">
      <w:pPr>
        <w:numPr>
          <w:ilvl w:val="0"/>
          <w:numId w:val="2"/>
        </w:numPr>
        <w:spacing w:line="264" w:lineRule="auto"/>
        <w:rPr>
          <w:b/>
        </w:rPr>
      </w:pPr>
      <w:proofErr w:type="spellStart"/>
      <w:r w:rsidRPr="002F4AD5">
        <w:t>WCI</w:t>
      </w:r>
      <w:proofErr w:type="spellEnd"/>
      <w:r w:rsidRPr="002F4AD5">
        <w:t xml:space="preserve"> </w:t>
      </w:r>
      <w:r w:rsidR="00CD413A" w:rsidRPr="002F4AD5">
        <w:t>asserts</w:t>
      </w:r>
      <w:r w:rsidRPr="002F4AD5">
        <w:t xml:space="preserve"> in its Petition for Administrative Review that </w:t>
      </w:r>
      <w:r w:rsidR="00CD413A" w:rsidRPr="002F4AD5">
        <w:t xml:space="preserve">it would be contrary to the appearance of fairness doctrine for the Commissioners’ only accounting advisor to offer any </w:t>
      </w:r>
      <w:r w:rsidR="00DF309E" w:rsidRPr="002F4AD5">
        <w:t xml:space="preserve">needed </w:t>
      </w:r>
      <w:r w:rsidR="00CD413A" w:rsidRPr="002F4AD5">
        <w:t xml:space="preserve">support to the Commissioners as they consider the </w:t>
      </w:r>
      <w:r w:rsidR="006B1641">
        <w:t>P</w:t>
      </w:r>
      <w:r w:rsidR="00CD413A" w:rsidRPr="002F4AD5">
        <w:t>etition because he advised the presiding administrative law judge</w:t>
      </w:r>
      <w:r w:rsidRPr="002F4AD5">
        <w:t>.</w:t>
      </w:r>
      <w:r w:rsidR="00CD413A" w:rsidRPr="002F4AD5">
        <w:t xml:space="preserve"> </w:t>
      </w:r>
      <w:proofErr w:type="spellStart"/>
      <w:r w:rsidR="00CD413A" w:rsidRPr="002F4AD5">
        <w:t>WRRA</w:t>
      </w:r>
      <w:proofErr w:type="spellEnd"/>
      <w:r w:rsidR="00CD413A" w:rsidRPr="002F4AD5">
        <w:t xml:space="preserve"> supports this argument in its Answer. These arguments apparently are based on the mistaken premise that Commission adjudicative proceedings governed by the Administrative Procedure Act and the Commission’s detailed procedural rules do not adequately </w:t>
      </w:r>
      <w:r w:rsidR="00655EE2">
        <w:t>e</w:t>
      </w:r>
      <w:r w:rsidR="00CD413A" w:rsidRPr="002F4AD5">
        <w:t>nsure</w:t>
      </w:r>
      <w:r w:rsidR="00DF309E" w:rsidRPr="002F4AD5">
        <w:t xml:space="preserve"> a fair and impartial hearing and decision process to </w:t>
      </w:r>
      <w:proofErr w:type="spellStart"/>
      <w:r w:rsidR="00DF309E" w:rsidRPr="002F4AD5">
        <w:t>WCI</w:t>
      </w:r>
      <w:proofErr w:type="spellEnd"/>
      <w:r w:rsidR="00DF309E" w:rsidRPr="002F4AD5">
        <w:t>. This is a patently and demonstrably false premise.</w:t>
      </w:r>
    </w:p>
    <w:p w14:paraId="692D0FC7" w14:textId="77777777" w:rsidR="00DF309E" w:rsidRPr="002F4AD5" w:rsidRDefault="00DF309E" w:rsidP="00911029">
      <w:pPr>
        <w:spacing w:line="264" w:lineRule="auto"/>
        <w:rPr>
          <w:b/>
        </w:rPr>
      </w:pPr>
    </w:p>
    <w:p w14:paraId="00C33983" w14:textId="77777777" w:rsidR="00CA1244" w:rsidRPr="002F4AD5" w:rsidRDefault="00E8450E" w:rsidP="00911029">
      <w:pPr>
        <w:numPr>
          <w:ilvl w:val="0"/>
          <w:numId w:val="2"/>
        </w:numPr>
        <w:spacing w:line="264" w:lineRule="auto"/>
        <w:rPr>
          <w:b/>
        </w:rPr>
      </w:pPr>
      <w:r w:rsidRPr="002F4AD5">
        <w:t>F</w:t>
      </w:r>
      <w:r w:rsidR="000D0FB2" w:rsidRPr="002F4AD5">
        <w:rPr>
          <w:iCs/>
        </w:rPr>
        <w:t xml:space="preserve">ormal adjudicative </w:t>
      </w:r>
      <w:r w:rsidR="000D0FB2" w:rsidRPr="002F4AD5">
        <w:t xml:space="preserve">proceedings </w:t>
      </w:r>
      <w:r w:rsidRPr="002F4AD5">
        <w:rPr>
          <w:iCs/>
        </w:rPr>
        <w:t>such as this docket and</w:t>
      </w:r>
      <w:r w:rsidR="003C6D87" w:rsidRPr="002F4AD5">
        <w:rPr>
          <w:iCs/>
        </w:rPr>
        <w:t xml:space="preserve"> its</w:t>
      </w:r>
      <w:r w:rsidR="00DF309E" w:rsidRPr="002F4AD5">
        <w:rPr>
          <w:iCs/>
        </w:rPr>
        <w:t xml:space="preserve"> related</w:t>
      </w:r>
      <w:r w:rsidR="003C6D87" w:rsidRPr="002F4AD5">
        <w:rPr>
          <w:iCs/>
        </w:rPr>
        <w:t xml:space="preserve"> precursor, D</w:t>
      </w:r>
      <w:r w:rsidRPr="002F4AD5">
        <w:rPr>
          <w:iCs/>
        </w:rPr>
        <w:t>ocket TG-131794</w:t>
      </w:r>
      <w:r w:rsidR="000D0FB2" w:rsidRPr="002F4AD5">
        <w:rPr>
          <w:iCs/>
        </w:rPr>
        <w:t xml:space="preserve">, </w:t>
      </w:r>
      <w:r w:rsidRPr="002F4AD5">
        <w:rPr>
          <w:iCs/>
        </w:rPr>
        <w:t xml:space="preserve">are governed by </w:t>
      </w:r>
      <w:r w:rsidR="003216A3" w:rsidRPr="002F4AD5">
        <w:rPr>
          <w:iCs/>
        </w:rPr>
        <w:t>Part IV of</w:t>
      </w:r>
      <w:r w:rsidRPr="002F4AD5">
        <w:rPr>
          <w:iCs/>
        </w:rPr>
        <w:t xml:space="preserve"> Administrative Procedure Act, </w:t>
      </w:r>
      <w:proofErr w:type="spellStart"/>
      <w:r w:rsidRPr="002F4AD5">
        <w:rPr>
          <w:iCs/>
        </w:rPr>
        <w:t>RCW</w:t>
      </w:r>
      <w:proofErr w:type="spellEnd"/>
      <w:r w:rsidRPr="002F4AD5">
        <w:rPr>
          <w:iCs/>
        </w:rPr>
        <w:t xml:space="preserve"> 34.05.410-494, and </w:t>
      </w:r>
      <w:r w:rsidR="003216A3" w:rsidRPr="002F4AD5">
        <w:rPr>
          <w:iCs/>
        </w:rPr>
        <w:t xml:space="preserve">Part III of </w:t>
      </w:r>
      <w:r w:rsidRPr="002F4AD5">
        <w:rPr>
          <w:iCs/>
        </w:rPr>
        <w:t>the Commission’s procedural rules, WAC 480-07-300 - 885</w:t>
      </w:r>
      <w:r w:rsidR="000D0FB2" w:rsidRPr="002F4AD5">
        <w:rPr>
          <w:iCs/>
        </w:rPr>
        <w:t xml:space="preserve">. </w:t>
      </w:r>
      <w:r w:rsidR="003216A3" w:rsidRPr="002F4AD5">
        <w:rPr>
          <w:iCs/>
        </w:rPr>
        <w:t>Among these statutes and rules are detailed provisions that concern ex parte communication.</w:t>
      </w:r>
      <w:r w:rsidR="003216A3" w:rsidRPr="002F4AD5">
        <w:rPr>
          <w:iCs/>
          <w:vertAlign w:val="superscript"/>
        </w:rPr>
        <w:footnoteReference w:id="9"/>
      </w:r>
      <w:r w:rsidR="003216A3" w:rsidRPr="002F4AD5">
        <w:rPr>
          <w:iCs/>
        </w:rPr>
        <w:t xml:space="preserve"> </w:t>
      </w:r>
      <w:r w:rsidR="000D0FB2" w:rsidRPr="002F4AD5">
        <w:rPr>
          <w:iCs/>
        </w:rPr>
        <w:t xml:space="preserve">To assure </w:t>
      </w:r>
      <w:r w:rsidR="000D0FB2" w:rsidRPr="002F4AD5">
        <w:rPr>
          <w:iCs/>
        </w:rPr>
        <w:lastRenderedPageBreak/>
        <w:t>impartiality and fairness, the Commissioners, the presiding administrative law judge, and the Commissioners’ policy and accounting advisors</w:t>
      </w:r>
      <w:r w:rsidR="00A20355" w:rsidRPr="002F4AD5">
        <w:rPr>
          <w:rStyle w:val="FootnoteReference"/>
          <w:iCs/>
        </w:rPr>
        <w:footnoteReference w:id="10"/>
      </w:r>
      <w:r w:rsidR="000D0FB2" w:rsidRPr="002F4AD5">
        <w:rPr>
          <w:iCs/>
        </w:rPr>
        <w:t xml:space="preserve"> </w:t>
      </w:r>
      <w:r w:rsidR="000C5548" w:rsidRPr="002F4AD5">
        <w:rPr>
          <w:iCs/>
        </w:rPr>
        <w:t xml:space="preserve">are barred from discussing, and </w:t>
      </w:r>
      <w:r w:rsidR="000D0FB2" w:rsidRPr="002F4AD5">
        <w:rPr>
          <w:iCs/>
        </w:rPr>
        <w:t>do not discuss</w:t>
      </w:r>
      <w:r w:rsidR="000C5548" w:rsidRPr="002F4AD5">
        <w:rPr>
          <w:iCs/>
        </w:rPr>
        <w:t>,</w:t>
      </w:r>
      <w:r w:rsidR="000D0FB2" w:rsidRPr="002F4AD5">
        <w:rPr>
          <w:iCs/>
        </w:rPr>
        <w:t xml:space="preserve"> the merits of the proceeding with </w:t>
      </w:r>
      <w:r w:rsidR="003C6D87" w:rsidRPr="002F4AD5">
        <w:rPr>
          <w:iCs/>
        </w:rPr>
        <w:t>regulatory staff assigned to a docket</w:t>
      </w:r>
      <w:r w:rsidR="00655EE2">
        <w:rPr>
          <w:iCs/>
        </w:rPr>
        <w:t>,</w:t>
      </w:r>
      <w:r w:rsidR="00655EE2" w:rsidRPr="00655EE2">
        <w:rPr>
          <w:iCs/>
        </w:rPr>
        <w:t xml:space="preserve"> or any other party, without giving notice and opportunity for all parties to participate.</w:t>
      </w:r>
      <w:r w:rsidR="00655EE2" w:rsidRPr="00655EE2">
        <w:rPr>
          <w:iCs/>
          <w:vertAlign w:val="superscript"/>
        </w:rPr>
        <w:footnoteReference w:id="11"/>
      </w:r>
      <w:r w:rsidR="00655EE2">
        <w:rPr>
          <w:iCs/>
        </w:rPr>
        <w:t xml:space="preserve"> Regulatory staff, as </w:t>
      </w:r>
      <w:r w:rsidR="006B1641">
        <w:rPr>
          <w:iCs/>
        </w:rPr>
        <w:t>distinct from</w:t>
      </w:r>
      <w:r w:rsidR="00655EE2">
        <w:rPr>
          <w:iCs/>
        </w:rPr>
        <w:t xml:space="preserve"> the Commissioners’ advisory staff,</w:t>
      </w:r>
      <w:r w:rsidR="003C6D87" w:rsidRPr="002F4AD5">
        <w:rPr>
          <w:iCs/>
        </w:rPr>
        <w:t xml:space="preserve"> are expressly identified</w:t>
      </w:r>
      <w:r w:rsidR="00655EE2">
        <w:rPr>
          <w:iCs/>
        </w:rPr>
        <w:t xml:space="preserve"> in formal proceedings</w:t>
      </w:r>
      <w:r w:rsidR="003C6D87" w:rsidRPr="002F4AD5">
        <w:rPr>
          <w:iCs/>
        </w:rPr>
        <w:t xml:space="preserve"> as “Commission Staff” or “Staff” to underscore their separate role</w:t>
      </w:r>
      <w:r w:rsidR="00681F09" w:rsidRPr="002F4AD5">
        <w:rPr>
          <w:iCs/>
        </w:rPr>
        <w:t xml:space="preserve"> as a party</w:t>
      </w:r>
      <w:r w:rsidR="006B1641">
        <w:rPr>
          <w:iCs/>
        </w:rPr>
        <w:t xml:space="preserve"> and this separate role is noted in all Commission orders in contested cases</w:t>
      </w:r>
      <w:r w:rsidR="00655EE2">
        <w:rPr>
          <w:iCs/>
        </w:rPr>
        <w:t>.</w:t>
      </w:r>
      <w:r w:rsidR="00681F09" w:rsidRPr="002F4AD5">
        <w:rPr>
          <w:iCs/>
        </w:rPr>
        <w:t xml:space="preserve"> The importance of this so-called ex parte separation</w:t>
      </w:r>
      <w:r w:rsidR="006B1641">
        <w:rPr>
          <w:iCs/>
        </w:rPr>
        <w:t>,</w:t>
      </w:r>
      <w:r w:rsidR="00681F09" w:rsidRPr="002F4AD5">
        <w:rPr>
          <w:iCs/>
        </w:rPr>
        <w:t xml:space="preserve"> or ex parte wall</w:t>
      </w:r>
      <w:r w:rsidR="006B1641">
        <w:rPr>
          <w:iCs/>
        </w:rPr>
        <w:t>,</w:t>
      </w:r>
      <w:r w:rsidR="00681F09" w:rsidRPr="002F4AD5">
        <w:rPr>
          <w:iCs/>
        </w:rPr>
        <w:t xml:space="preserve"> is impressed upon newly employed regulatory staff</w:t>
      </w:r>
      <w:r w:rsidR="00DA1A82" w:rsidRPr="002F4AD5">
        <w:rPr>
          <w:iCs/>
        </w:rPr>
        <w:t xml:space="preserve"> and advisory staff,</w:t>
      </w:r>
      <w:r w:rsidR="00681F09" w:rsidRPr="002F4AD5">
        <w:rPr>
          <w:iCs/>
        </w:rPr>
        <w:t xml:space="preserve"> and reinforced through regular continuing education provided by the agency. Moreover, because the </w:t>
      </w:r>
      <w:r w:rsidR="00CA1244" w:rsidRPr="002F4AD5">
        <w:rPr>
          <w:iCs/>
        </w:rPr>
        <w:t>Commission</w:t>
      </w:r>
      <w:r w:rsidR="00681F09" w:rsidRPr="002F4AD5">
        <w:rPr>
          <w:iCs/>
        </w:rPr>
        <w:t xml:space="preserve"> conducts scores of formal adjudicative proceedings each year, the ex parte requirement</w:t>
      </w:r>
      <w:r w:rsidR="0006429D">
        <w:rPr>
          <w:iCs/>
        </w:rPr>
        <w:t>s are</w:t>
      </w:r>
      <w:r w:rsidR="00681F09" w:rsidRPr="002F4AD5">
        <w:rPr>
          <w:iCs/>
        </w:rPr>
        <w:t xml:space="preserve"> familiar to </w:t>
      </w:r>
      <w:r w:rsidR="00CA1244" w:rsidRPr="002F4AD5">
        <w:rPr>
          <w:iCs/>
        </w:rPr>
        <w:t>all professional</w:t>
      </w:r>
      <w:r w:rsidR="00681F09" w:rsidRPr="002F4AD5">
        <w:rPr>
          <w:iCs/>
        </w:rPr>
        <w:t xml:space="preserve"> employees and </w:t>
      </w:r>
      <w:r w:rsidR="00CA1244" w:rsidRPr="002F4AD5">
        <w:rPr>
          <w:iCs/>
        </w:rPr>
        <w:t xml:space="preserve">to </w:t>
      </w:r>
      <w:r w:rsidR="00681F09" w:rsidRPr="002F4AD5">
        <w:rPr>
          <w:iCs/>
        </w:rPr>
        <w:t>those who appear regularly at the Commission</w:t>
      </w:r>
      <w:r w:rsidR="00DA1A82" w:rsidRPr="002F4AD5">
        <w:rPr>
          <w:iCs/>
        </w:rPr>
        <w:t xml:space="preserve">. </w:t>
      </w:r>
      <w:r w:rsidR="00655EE2">
        <w:rPr>
          <w:iCs/>
        </w:rPr>
        <w:t>Strict adherence to e</w:t>
      </w:r>
      <w:r w:rsidR="00CA1244" w:rsidRPr="002F4AD5">
        <w:rPr>
          <w:iCs/>
        </w:rPr>
        <w:t>x parte requirement</w:t>
      </w:r>
      <w:r w:rsidR="00DA1A82" w:rsidRPr="002F4AD5">
        <w:rPr>
          <w:iCs/>
        </w:rPr>
        <w:t>s</w:t>
      </w:r>
      <w:r w:rsidR="00016FA0" w:rsidRPr="002F4AD5">
        <w:rPr>
          <w:iCs/>
        </w:rPr>
        <w:t>, quite simply,</w:t>
      </w:r>
      <w:r w:rsidR="00CA1244" w:rsidRPr="002F4AD5">
        <w:rPr>
          <w:iCs/>
        </w:rPr>
        <w:t xml:space="preserve"> </w:t>
      </w:r>
      <w:r w:rsidR="00655EE2">
        <w:rPr>
          <w:iCs/>
        </w:rPr>
        <w:t>is</w:t>
      </w:r>
      <w:r w:rsidR="00DA1A82" w:rsidRPr="002F4AD5">
        <w:rPr>
          <w:iCs/>
        </w:rPr>
        <w:t xml:space="preserve"> a central</w:t>
      </w:r>
      <w:r w:rsidR="00681F09" w:rsidRPr="002F4AD5">
        <w:rPr>
          <w:iCs/>
        </w:rPr>
        <w:t xml:space="preserve"> part of the agency’s culture.</w:t>
      </w:r>
    </w:p>
    <w:p w14:paraId="5C81FF80" w14:textId="77777777" w:rsidR="00CA1244" w:rsidRPr="002F4AD5" w:rsidRDefault="00CA1244" w:rsidP="00911029">
      <w:pPr>
        <w:spacing w:line="264" w:lineRule="auto"/>
        <w:rPr>
          <w:b/>
        </w:rPr>
      </w:pPr>
    </w:p>
    <w:p w14:paraId="0233B216" w14:textId="77777777" w:rsidR="009F596C" w:rsidRPr="002F4AD5" w:rsidRDefault="00CA1244" w:rsidP="00911029">
      <w:pPr>
        <w:numPr>
          <w:ilvl w:val="0"/>
          <w:numId w:val="2"/>
        </w:numPr>
        <w:spacing w:line="264" w:lineRule="auto"/>
        <w:rPr>
          <w:b/>
        </w:rPr>
      </w:pPr>
      <w:r w:rsidRPr="002F4AD5">
        <w:rPr>
          <w:iCs/>
        </w:rPr>
        <w:t xml:space="preserve">Counsel for </w:t>
      </w:r>
      <w:proofErr w:type="spellStart"/>
      <w:r w:rsidRPr="002F4AD5">
        <w:rPr>
          <w:iCs/>
        </w:rPr>
        <w:t>WCI</w:t>
      </w:r>
      <w:proofErr w:type="spellEnd"/>
      <w:r w:rsidR="00016FA0" w:rsidRPr="002F4AD5">
        <w:rPr>
          <w:iCs/>
        </w:rPr>
        <w:t xml:space="preserve"> and </w:t>
      </w:r>
      <w:proofErr w:type="spellStart"/>
      <w:r w:rsidR="00016FA0" w:rsidRPr="002F4AD5">
        <w:rPr>
          <w:iCs/>
        </w:rPr>
        <w:t>WRRA</w:t>
      </w:r>
      <w:proofErr w:type="spellEnd"/>
      <w:r w:rsidR="00016FA0" w:rsidRPr="002F4AD5">
        <w:rPr>
          <w:iCs/>
        </w:rPr>
        <w:t xml:space="preserve"> are</w:t>
      </w:r>
      <w:r w:rsidRPr="002F4AD5">
        <w:rPr>
          <w:iCs/>
        </w:rPr>
        <w:t xml:space="preserve"> long-time practitioner</w:t>
      </w:r>
      <w:r w:rsidR="00016FA0" w:rsidRPr="002F4AD5">
        <w:rPr>
          <w:iCs/>
        </w:rPr>
        <w:t>s</w:t>
      </w:r>
      <w:r w:rsidR="00907C71">
        <w:rPr>
          <w:iCs/>
        </w:rPr>
        <w:t xml:space="preserve"> before the Commission. </w:t>
      </w:r>
      <w:r w:rsidR="00016FA0" w:rsidRPr="002F4AD5">
        <w:rPr>
          <w:iCs/>
        </w:rPr>
        <w:t>They are</w:t>
      </w:r>
      <w:r w:rsidRPr="002F4AD5">
        <w:rPr>
          <w:iCs/>
        </w:rPr>
        <w:t xml:space="preserve">, or should be, fully aware of </w:t>
      </w:r>
      <w:r w:rsidR="00CA6EFC">
        <w:rPr>
          <w:iCs/>
        </w:rPr>
        <w:t xml:space="preserve">the </w:t>
      </w:r>
      <w:r w:rsidRPr="002F4AD5">
        <w:rPr>
          <w:iCs/>
        </w:rPr>
        <w:t>high level of attention the Commission gives to ex parte requirements and the dedication of the agency</w:t>
      </w:r>
      <w:r w:rsidR="0006429D">
        <w:rPr>
          <w:iCs/>
        </w:rPr>
        <w:t xml:space="preserve"> and its personnel</w:t>
      </w:r>
      <w:r w:rsidRPr="002F4AD5">
        <w:rPr>
          <w:iCs/>
        </w:rPr>
        <w:t xml:space="preserve"> to fairness in the conduct of formal adjudicative proceedings, among others. Nevertheless, </w:t>
      </w:r>
      <w:proofErr w:type="spellStart"/>
      <w:r w:rsidRPr="002F4AD5">
        <w:rPr>
          <w:iCs/>
        </w:rPr>
        <w:t>WCI</w:t>
      </w:r>
      <w:proofErr w:type="spellEnd"/>
      <w:r w:rsidRPr="002F4AD5">
        <w:rPr>
          <w:iCs/>
        </w:rPr>
        <w:t xml:space="preserve"> </w:t>
      </w:r>
      <w:r w:rsidR="009F596C" w:rsidRPr="002F4AD5">
        <w:rPr>
          <w:iCs/>
        </w:rPr>
        <w:t>states</w:t>
      </w:r>
      <w:r w:rsidRPr="002F4AD5">
        <w:rPr>
          <w:iCs/>
        </w:rPr>
        <w:t xml:space="preserve"> in its petition “that the appearance of fairness doctrine would also seem to preclude the accounting advisor to the administrative law judge</w:t>
      </w:r>
      <w:r w:rsidR="009F596C" w:rsidRPr="002F4AD5">
        <w:rPr>
          <w:iCs/>
        </w:rPr>
        <w:t xml:space="preserve"> . . .</w:t>
      </w:r>
      <w:r w:rsidRPr="002F4AD5">
        <w:rPr>
          <w:iCs/>
        </w:rPr>
        <w:t xml:space="preserve"> from any role in advising the Commissioners on this Petition.</w:t>
      </w:r>
      <w:r w:rsidR="009F596C" w:rsidRPr="002F4AD5">
        <w:rPr>
          <w:iCs/>
        </w:rPr>
        <w:t>”</w:t>
      </w:r>
      <w:r w:rsidR="009F596C" w:rsidRPr="002F4AD5">
        <w:rPr>
          <w:rStyle w:val="FootnoteReference"/>
          <w:iCs/>
        </w:rPr>
        <w:footnoteReference w:id="12"/>
      </w:r>
      <w:r w:rsidR="009F596C" w:rsidRPr="002F4AD5">
        <w:rPr>
          <w:iCs/>
        </w:rPr>
        <w:t xml:space="preserve"> </w:t>
      </w:r>
      <w:proofErr w:type="spellStart"/>
      <w:r w:rsidR="00076DFB">
        <w:rPr>
          <w:iCs/>
        </w:rPr>
        <w:t>WRRA</w:t>
      </w:r>
      <w:proofErr w:type="spellEnd"/>
      <w:r w:rsidR="00076DFB">
        <w:rPr>
          <w:iCs/>
        </w:rPr>
        <w:t xml:space="preserve"> agrees.</w:t>
      </w:r>
      <w:r w:rsidR="00076DFB">
        <w:rPr>
          <w:rStyle w:val="FootnoteReference"/>
          <w:iCs/>
        </w:rPr>
        <w:footnoteReference w:id="13"/>
      </w:r>
      <w:r w:rsidR="009F596C" w:rsidRPr="002F4AD5">
        <w:rPr>
          <w:iCs/>
        </w:rPr>
        <w:t xml:space="preserve"> </w:t>
      </w:r>
      <w:proofErr w:type="spellStart"/>
      <w:r w:rsidR="009F596C" w:rsidRPr="002F4AD5">
        <w:rPr>
          <w:iCs/>
        </w:rPr>
        <w:t>WCI</w:t>
      </w:r>
      <w:proofErr w:type="spellEnd"/>
      <w:r w:rsidR="009F596C" w:rsidRPr="002F4AD5">
        <w:rPr>
          <w:iCs/>
        </w:rPr>
        <w:t xml:space="preserve"> calls for “a complete separation of the Initial Order authors and advisors for the internal appeal consideration” and states further that: </w:t>
      </w:r>
    </w:p>
    <w:p w14:paraId="1443BA1B" w14:textId="77777777" w:rsidR="009F596C" w:rsidRPr="002F4AD5" w:rsidRDefault="009F596C" w:rsidP="00911029">
      <w:pPr>
        <w:pStyle w:val="ListParagraph"/>
        <w:spacing w:line="264" w:lineRule="auto"/>
        <w:rPr>
          <w:iCs/>
        </w:rPr>
      </w:pPr>
    </w:p>
    <w:p w14:paraId="05475590" w14:textId="77777777" w:rsidR="000D0FB2" w:rsidRPr="002F4AD5" w:rsidRDefault="009F596C" w:rsidP="00911029">
      <w:pPr>
        <w:spacing w:line="264" w:lineRule="auto"/>
        <w:ind w:left="720"/>
        <w:rPr>
          <w:iCs/>
        </w:rPr>
      </w:pPr>
      <w:r w:rsidRPr="002F4AD5">
        <w:rPr>
          <w:iCs/>
        </w:rPr>
        <w:t xml:space="preserve">Attaining an appropriate appearance of fairness standard is also seemingly more difficult in a circumstance where, as here, the public service company has a statutory </w:t>
      </w:r>
      <w:r w:rsidRPr="002F4AD5">
        <w:rPr>
          <w:iCs/>
        </w:rPr>
        <w:lastRenderedPageBreak/>
        <w:t>burden of proof and the presiding officer and opposing side are all employees of the same agency rendering the final decision in this matter.</w:t>
      </w:r>
      <w:r w:rsidRPr="002F4AD5">
        <w:rPr>
          <w:rStyle w:val="FootnoteReference"/>
          <w:iCs/>
        </w:rPr>
        <w:footnoteReference w:id="14"/>
      </w:r>
    </w:p>
    <w:p w14:paraId="1CAA1ED3" w14:textId="77777777" w:rsidR="00491D73" w:rsidRPr="002F4AD5" w:rsidRDefault="00491D73" w:rsidP="00911029">
      <w:pPr>
        <w:spacing w:line="264" w:lineRule="auto"/>
        <w:rPr>
          <w:b/>
        </w:rPr>
      </w:pPr>
    </w:p>
    <w:p w14:paraId="456D5041" w14:textId="77777777" w:rsidR="00855802" w:rsidRPr="002F4AD5" w:rsidRDefault="00626FE9" w:rsidP="00911029">
      <w:pPr>
        <w:numPr>
          <w:ilvl w:val="0"/>
          <w:numId w:val="2"/>
        </w:numPr>
        <w:spacing w:line="264" w:lineRule="auto"/>
      </w:pPr>
      <w:r>
        <w:t xml:space="preserve">Presiding officers and their advisors all understand the importance of maintaining their neutrality and objectivity at every stage of every </w:t>
      </w:r>
      <w:r w:rsidR="0060613D">
        <w:t xml:space="preserve">Commission </w:t>
      </w:r>
      <w:r w:rsidR="001B0139">
        <w:t xml:space="preserve">proceeding. </w:t>
      </w:r>
      <w:r>
        <w:t xml:space="preserve">All are professionals possessed of the highest degree of integrity. </w:t>
      </w:r>
      <w:proofErr w:type="spellStart"/>
      <w:r w:rsidR="00CA6EFC">
        <w:t>WCI</w:t>
      </w:r>
      <w:proofErr w:type="spellEnd"/>
      <w:r w:rsidR="00CA6EFC">
        <w:t xml:space="preserve"> and </w:t>
      </w:r>
      <w:proofErr w:type="spellStart"/>
      <w:r w:rsidR="00CA6EFC">
        <w:t>WRRA</w:t>
      </w:r>
      <w:proofErr w:type="spellEnd"/>
      <w:r w:rsidR="007C5A6F">
        <w:t xml:space="preserve"> </w:t>
      </w:r>
      <w:r w:rsidR="006878F2">
        <w:t>make reference to</w:t>
      </w:r>
      <w:r w:rsidR="007C5A6F">
        <w:t xml:space="preserve"> nothing that actually suggests</w:t>
      </w:r>
      <w:r w:rsidR="00CA6EFC">
        <w:t xml:space="preserve"> </w:t>
      </w:r>
      <w:r w:rsidR="007C5A6F">
        <w:t xml:space="preserve">any lack of fairness in the Commission’s conduct of this, or any other, adjudicative proceeding. </w:t>
      </w:r>
      <w:proofErr w:type="spellStart"/>
      <w:r w:rsidR="009F596C" w:rsidRPr="002F4AD5">
        <w:t>RCW</w:t>
      </w:r>
      <w:proofErr w:type="spellEnd"/>
      <w:r w:rsidR="009F596C" w:rsidRPr="002F4AD5">
        <w:t xml:space="preserve"> 34.05.455</w:t>
      </w:r>
      <w:r w:rsidR="00A2631E">
        <w:t>,</w:t>
      </w:r>
      <w:r w:rsidR="009F596C" w:rsidRPr="002F4AD5">
        <w:t xml:space="preserve"> the statutory embodiment of the appearance of fairness doctrine</w:t>
      </w:r>
      <w:r w:rsidR="00A2631E">
        <w:t>, establishes an ex parte wall that ensures separation of the Commission’s decision makers from the advocates who appear before them, including the regulatory staff</w:t>
      </w:r>
      <w:r w:rsidR="009F596C" w:rsidRPr="002F4AD5">
        <w:t>.</w:t>
      </w:r>
      <w:r w:rsidR="00F46746">
        <w:rPr>
          <w:rStyle w:val="FootnoteReference"/>
        </w:rPr>
        <w:footnoteReference w:id="15"/>
      </w:r>
      <w:r w:rsidR="009F596C" w:rsidRPr="002F4AD5">
        <w:t xml:space="preserve"> It identifies what communications the presiding officers in an adjudicative proceeding may have</w:t>
      </w:r>
      <w:r w:rsidR="00814C24" w:rsidRPr="002F4AD5">
        <w:t xml:space="preserve"> and with whom.</w:t>
      </w:r>
      <w:r w:rsidR="00907C71" w:rsidRPr="00907C71">
        <w:rPr>
          <w:vertAlign w:val="superscript"/>
        </w:rPr>
        <w:footnoteReference w:id="16"/>
      </w:r>
      <w:r w:rsidR="00814C24" w:rsidRPr="002F4AD5">
        <w:t xml:space="preserve"> </w:t>
      </w:r>
      <w:r w:rsidR="006878F2">
        <w:t xml:space="preserve">It bars communications between presiding officers and any party representative concerning the subject matter of an adjudicative proceeding without notice and opportunity for all parties to participate in the communication. </w:t>
      </w:r>
      <w:r w:rsidR="00D77675">
        <w:t xml:space="preserve">It even requires disclosure of any communication that occurs prior to a matter becoming an </w:t>
      </w:r>
      <w:r w:rsidR="00D77675">
        <w:lastRenderedPageBreak/>
        <w:t>adjudicative proceeding if such communication would be considered improper ex parte communication during the pendency of a proceeding.</w:t>
      </w:r>
      <w:r w:rsidR="00D77675">
        <w:rPr>
          <w:rStyle w:val="FootnoteReference"/>
        </w:rPr>
        <w:footnoteReference w:id="17"/>
      </w:r>
      <w:r w:rsidR="00D77675">
        <w:t xml:space="preserve"> </w:t>
      </w:r>
      <w:r w:rsidR="009F596C" w:rsidRPr="002F4AD5">
        <w:t xml:space="preserve">It provides, </w:t>
      </w:r>
      <w:r w:rsidR="00D77675">
        <w:t>on the other hand</w:t>
      </w:r>
      <w:r w:rsidR="00814C24" w:rsidRPr="002F4AD5">
        <w:t>, that:</w:t>
      </w:r>
      <w:r w:rsidR="00855802" w:rsidRPr="002F4AD5">
        <w:t xml:space="preserve"> </w:t>
      </w:r>
      <w:r w:rsidR="00814C24" w:rsidRPr="002F4AD5">
        <w:t>“[a]</w:t>
      </w:r>
      <w:proofErr w:type="spellStart"/>
      <w:r w:rsidR="00814C24" w:rsidRPr="002F4AD5">
        <w:t>ny</w:t>
      </w:r>
      <w:proofErr w:type="spellEnd"/>
      <w:r w:rsidR="00814C24" w:rsidRPr="002F4AD5">
        <w:t xml:space="preserve"> presiding officer may receive aid from legal counsel, or from staff assistants who are subject to the presiding officer's supervision.”</w:t>
      </w:r>
      <w:r w:rsidR="00814C24" w:rsidRPr="002F4AD5">
        <w:rPr>
          <w:rStyle w:val="FootnoteReference"/>
        </w:rPr>
        <w:footnoteReference w:id="18"/>
      </w:r>
      <w:r w:rsidR="00814C24" w:rsidRPr="002F4AD5">
        <w:t xml:space="preserve">  </w:t>
      </w:r>
    </w:p>
    <w:p w14:paraId="0DACB205" w14:textId="77777777" w:rsidR="00855802" w:rsidRPr="002F4AD5" w:rsidRDefault="00855802" w:rsidP="00911029">
      <w:pPr>
        <w:spacing w:line="264" w:lineRule="auto"/>
      </w:pPr>
    </w:p>
    <w:p w14:paraId="35362C94" w14:textId="77777777" w:rsidR="00814C24" w:rsidRPr="002F4AD5" w:rsidRDefault="0066682A" w:rsidP="00911029">
      <w:pPr>
        <w:numPr>
          <w:ilvl w:val="0"/>
          <w:numId w:val="2"/>
        </w:numPr>
        <w:spacing w:line="264" w:lineRule="auto"/>
      </w:pPr>
      <w:r w:rsidRPr="002F4AD5">
        <w:t xml:space="preserve">The Commission has a standing advisory staff, including </w:t>
      </w:r>
      <w:r w:rsidR="00907C71">
        <w:t xml:space="preserve">several </w:t>
      </w:r>
      <w:r w:rsidRPr="002F4AD5">
        <w:t>policy</w:t>
      </w:r>
      <w:r w:rsidR="00907C71">
        <w:t xml:space="preserve"> advisors</w:t>
      </w:r>
      <w:r w:rsidRPr="002F4AD5">
        <w:t xml:space="preserve"> and </w:t>
      </w:r>
      <w:r w:rsidR="00907C71">
        <w:t xml:space="preserve">one </w:t>
      </w:r>
      <w:r w:rsidRPr="002F4AD5">
        <w:t>accounting advisor</w:t>
      </w:r>
      <w:r w:rsidR="00907C71">
        <w:t>, all of</w:t>
      </w:r>
      <w:r w:rsidRPr="002F4AD5">
        <w:t xml:space="preserve"> who</w:t>
      </w:r>
      <w:r w:rsidR="00907C71">
        <w:t>m</w:t>
      </w:r>
      <w:r w:rsidRPr="002F4AD5">
        <w:t xml:space="preserve"> are subject to the supervision of the presiding officers in adjudicative proceedings and do not communicate with Staff or other parties to such proceedings. </w:t>
      </w:r>
      <w:r w:rsidR="00814C24" w:rsidRPr="002F4AD5">
        <w:t xml:space="preserve">The accounting advisor </w:t>
      </w:r>
      <w:r w:rsidR="00777541" w:rsidRPr="002F4AD5">
        <w:t xml:space="preserve">who </w:t>
      </w:r>
      <w:proofErr w:type="spellStart"/>
      <w:r w:rsidR="00814C24" w:rsidRPr="002F4AD5">
        <w:t>WCI</w:t>
      </w:r>
      <w:proofErr w:type="spellEnd"/>
      <w:r w:rsidR="00814C24" w:rsidRPr="002F4AD5">
        <w:t xml:space="preserve"> argues should be barred from advising the Commissioners because he advised the presiding administrative law judge</w:t>
      </w:r>
      <w:r w:rsidRPr="002F4AD5">
        <w:t xml:space="preserve"> </w:t>
      </w:r>
      <w:r w:rsidR="00814C24" w:rsidRPr="002F4AD5">
        <w:t xml:space="preserve">is a member of the Commissioners’ advisory staff. He is subject to the supervision of both the Commissioners and the </w:t>
      </w:r>
      <w:r w:rsidR="0006429D" w:rsidRPr="0006429D">
        <w:t>administrative law judge</w:t>
      </w:r>
      <w:r w:rsidR="00814C24" w:rsidRPr="002F4AD5">
        <w:t xml:space="preserve"> in their roles as presiding officers. The </w:t>
      </w:r>
      <w:proofErr w:type="spellStart"/>
      <w:r w:rsidR="00814C24" w:rsidRPr="002F4AD5">
        <w:t>APA</w:t>
      </w:r>
      <w:proofErr w:type="spellEnd"/>
      <w:r w:rsidR="00814C24" w:rsidRPr="002F4AD5">
        <w:t xml:space="preserve"> expressly provides</w:t>
      </w:r>
      <w:r w:rsidR="000426DB" w:rsidRPr="002F4AD5">
        <w:t xml:space="preserve"> that he may assist the presiding officers at all stages of this proceeding, including the administrative review that has led to this Order.</w:t>
      </w:r>
      <w:r w:rsidR="00F667A2">
        <w:rPr>
          <w:rStyle w:val="FootnoteReference"/>
        </w:rPr>
        <w:footnoteReference w:id="19"/>
      </w:r>
    </w:p>
    <w:p w14:paraId="7A58FD88" w14:textId="77777777" w:rsidR="00A20355" w:rsidRPr="002F4AD5" w:rsidRDefault="00A20355" w:rsidP="00911029">
      <w:pPr>
        <w:spacing w:line="264" w:lineRule="auto"/>
      </w:pPr>
    </w:p>
    <w:p w14:paraId="43034D75" w14:textId="77777777" w:rsidR="00C52F26" w:rsidRPr="002F4AD5" w:rsidRDefault="00A20355" w:rsidP="00911029">
      <w:pPr>
        <w:numPr>
          <w:ilvl w:val="0"/>
          <w:numId w:val="2"/>
        </w:numPr>
        <w:spacing w:line="264" w:lineRule="auto"/>
      </w:pPr>
      <w:r w:rsidRPr="002F4AD5">
        <w:t xml:space="preserve">We add one final point to explain why </w:t>
      </w:r>
      <w:r w:rsidR="0006429D">
        <w:t>it is</w:t>
      </w:r>
      <w:r w:rsidRPr="002F4AD5">
        <w:t xml:space="preserve"> important to address</w:t>
      </w:r>
      <w:r w:rsidR="00A6641A" w:rsidRPr="002F4AD5">
        <w:t xml:space="preserve"> at such length</w:t>
      </w:r>
      <w:r w:rsidRPr="002F4AD5">
        <w:t xml:space="preserve"> </w:t>
      </w:r>
      <w:proofErr w:type="spellStart"/>
      <w:r w:rsidRPr="002F4AD5">
        <w:t>WCI’s</w:t>
      </w:r>
      <w:proofErr w:type="spellEnd"/>
      <w:r w:rsidRPr="002F4AD5">
        <w:t xml:space="preserve"> </w:t>
      </w:r>
      <w:r w:rsidR="00C52F26" w:rsidRPr="002F4AD5">
        <w:t>mis</w:t>
      </w:r>
      <w:r w:rsidR="005D1F5A" w:rsidRPr="002F4AD5">
        <w:t>plac</w:t>
      </w:r>
      <w:r w:rsidR="00C52F26" w:rsidRPr="002F4AD5">
        <w:t>ed</w:t>
      </w:r>
      <w:r w:rsidRPr="002F4AD5">
        <w:t xml:space="preserve"> argument that the Commission should not have the assistance of its advisory staff</w:t>
      </w:r>
      <w:r w:rsidR="00A6641A" w:rsidRPr="002F4AD5">
        <w:t xml:space="preserve"> at every stage of an adjudicative proceeding</w:t>
      </w:r>
      <w:r w:rsidRPr="002F4AD5">
        <w:t>.</w:t>
      </w:r>
      <w:r w:rsidR="004731D5" w:rsidRPr="002F4AD5">
        <w:t xml:space="preserve"> Much of the Commission’s work </w:t>
      </w:r>
      <w:r w:rsidR="00A6641A" w:rsidRPr="002F4AD5">
        <w:t>depend</w:t>
      </w:r>
      <w:r w:rsidR="004731D5" w:rsidRPr="002F4AD5">
        <w:t>s</w:t>
      </w:r>
      <w:r w:rsidR="00A6641A" w:rsidRPr="002F4AD5">
        <w:t xml:space="preserve"> on equipping its decision makers with a sophisticated understanding of </w:t>
      </w:r>
      <w:r w:rsidR="004731D5" w:rsidRPr="002F4AD5">
        <w:t>highly specialized regulatory practices</w:t>
      </w:r>
      <w:r w:rsidR="00A6641A" w:rsidRPr="002F4AD5">
        <w:t>, policies, and law</w:t>
      </w:r>
      <w:r w:rsidR="004731D5" w:rsidRPr="002F4AD5">
        <w:t xml:space="preserve"> </w:t>
      </w:r>
      <w:r w:rsidR="00A6641A" w:rsidRPr="002F4AD5">
        <w:t>pertinent to the economic regulation of</w:t>
      </w:r>
      <w:r w:rsidR="004731D5" w:rsidRPr="002F4AD5">
        <w:t xml:space="preserve"> utility and transportation industries </w:t>
      </w:r>
      <w:r w:rsidR="00A6641A" w:rsidRPr="002F4AD5">
        <w:t xml:space="preserve">that are, to one degree or another, natural monopolies. Regulatory accountants and policy analysts employed to assist the presiding officers as they develop this understanding in the context of individual cases spend their careers focused on the sometimes arcane principles that are critical to good decision-making. Their </w:t>
      </w:r>
      <w:r w:rsidR="00C52F26" w:rsidRPr="002F4AD5">
        <w:t xml:space="preserve">expert </w:t>
      </w:r>
      <w:r w:rsidR="00A6641A" w:rsidRPr="002F4AD5">
        <w:t>assistance to the presiding officer, or officers</w:t>
      </w:r>
      <w:r w:rsidR="00495FBF" w:rsidRPr="002F4AD5">
        <w:t>,</w:t>
      </w:r>
      <w:r w:rsidR="00A6641A" w:rsidRPr="002F4AD5">
        <w:t xml:space="preserve"> in a </w:t>
      </w:r>
      <w:r w:rsidR="00495FBF" w:rsidRPr="002F4AD5">
        <w:t xml:space="preserve">given </w:t>
      </w:r>
      <w:r w:rsidR="00A6641A" w:rsidRPr="002F4AD5">
        <w:t xml:space="preserve">proceeding may be critical to the success of </w:t>
      </w:r>
      <w:r w:rsidR="00495FBF" w:rsidRPr="002F4AD5">
        <w:t>the adjudicative process employed by the Commission when performing its duties</w:t>
      </w:r>
      <w:r w:rsidR="00C52F26" w:rsidRPr="002F4AD5">
        <w:t xml:space="preserve"> to:</w:t>
      </w:r>
    </w:p>
    <w:p w14:paraId="70BF4F80" w14:textId="77777777" w:rsidR="00C52F26" w:rsidRPr="002F4AD5" w:rsidRDefault="00C52F26" w:rsidP="00911029">
      <w:pPr>
        <w:spacing w:line="264" w:lineRule="auto"/>
      </w:pPr>
    </w:p>
    <w:p w14:paraId="7659E512" w14:textId="77777777" w:rsidR="00C52F26" w:rsidRPr="002F4AD5" w:rsidRDefault="00C52F26" w:rsidP="00911029">
      <w:pPr>
        <w:pStyle w:val="ListParagraph"/>
        <w:numPr>
          <w:ilvl w:val="0"/>
          <w:numId w:val="21"/>
        </w:numPr>
        <w:spacing w:line="264" w:lineRule="auto"/>
      </w:pPr>
      <w:r w:rsidRPr="002F4AD5">
        <w:t>R</w:t>
      </w:r>
      <w:r w:rsidR="00495FBF" w:rsidRPr="002F4AD5">
        <w:t>egulate in the public interest, as provided by the public service laws, all persons engaging in the transportation of persons or property within this state for compensation.</w:t>
      </w:r>
    </w:p>
    <w:p w14:paraId="71B5E23D" w14:textId="77777777" w:rsidR="00C52F26" w:rsidRPr="002F4AD5" w:rsidRDefault="00C52F26" w:rsidP="00911029">
      <w:pPr>
        <w:pStyle w:val="ListParagraph"/>
        <w:spacing w:line="264" w:lineRule="auto"/>
        <w:ind w:left="1080"/>
      </w:pPr>
    </w:p>
    <w:p w14:paraId="69B5445B" w14:textId="77777777" w:rsidR="004731D5" w:rsidRPr="002F4AD5" w:rsidRDefault="00C52F26" w:rsidP="00911029">
      <w:pPr>
        <w:pStyle w:val="ListParagraph"/>
        <w:numPr>
          <w:ilvl w:val="0"/>
          <w:numId w:val="21"/>
        </w:numPr>
        <w:spacing w:line="264" w:lineRule="auto"/>
      </w:pPr>
      <w:r w:rsidRPr="002F4AD5">
        <w:lastRenderedPageBreak/>
        <w:t>Regulate in the public interest, as provided by the public service laws, the rates, services, facilities, and practices of all persons engaging within this state in the business of supplying any utility service or commodity to the public for compensation.</w:t>
      </w:r>
      <w:r w:rsidR="00495FBF" w:rsidRPr="002F4AD5">
        <w:rPr>
          <w:rStyle w:val="FootnoteReference"/>
        </w:rPr>
        <w:footnoteReference w:id="20"/>
      </w:r>
      <w:r w:rsidR="004731D5" w:rsidRPr="002F4AD5">
        <w:t xml:space="preserve">  </w:t>
      </w:r>
    </w:p>
    <w:p w14:paraId="6A0C3D2F" w14:textId="77777777" w:rsidR="004731D5" w:rsidRPr="002F4AD5" w:rsidRDefault="004731D5" w:rsidP="00911029">
      <w:pPr>
        <w:spacing w:line="264" w:lineRule="auto"/>
      </w:pPr>
    </w:p>
    <w:p w14:paraId="72942404" w14:textId="77777777" w:rsidR="00C52F26" w:rsidRPr="002F4AD5" w:rsidRDefault="00C52F26" w:rsidP="00911029">
      <w:pPr>
        <w:spacing w:line="264" w:lineRule="auto"/>
      </w:pPr>
      <w:proofErr w:type="spellStart"/>
      <w:r w:rsidRPr="002F4AD5">
        <w:t>WCI’s</w:t>
      </w:r>
      <w:proofErr w:type="spellEnd"/>
      <w:r w:rsidRPr="002F4AD5">
        <w:t xml:space="preserve"> argument that the very presiding officers to whom </w:t>
      </w:r>
      <w:r w:rsidR="005D1F5A" w:rsidRPr="002F4AD5">
        <w:t>it</w:t>
      </w:r>
      <w:r w:rsidRPr="002F4AD5">
        <w:t xml:space="preserve"> appeal</w:t>
      </w:r>
      <w:r w:rsidR="005D1F5A" w:rsidRPr="002F4AD5">
        <w:t>s</w:t>
      </w:r>
      <w:r w:rsidRPr="002F4AD5">
        <w:t xml:space="preserve"> “hoping for some resonance with the Commissioners on the procedural hurdles, substantive legal outcomes and the conflicting policy initiatives circulating in this unfortunately contentious and prolonged proceeding</w:t>
      </w:r>
      <w:r w:rsidR="005D1F5A" w:rsidRPr="002F4AD5">
        <w:t>,</w:t>
      </w:r>
      <w:r w:rsidRPr="002F4AD5">
        <w:t xml:space="preserve">” should be deprived of any needed accounting advice is antithetical to the goal </w:t>
      </w:r>
      <w:proofErr w:type="spellStart"/>
      <w:r w:rsidRPr="002F4AD5">
        <w:t>WCI</w:t>
      </w:r>
      <w:proofErr w:type="spellEnd"/>
      <w:r w:rsidRPr="002F4AD5">
        <w:t xml:space="preserve"> </w:t>
      </w:r>
      <w:r w:rsidR="00A608EB" w:rsidRPr="002F4AD5">
        <w:t xml:space="preserve">purports to </w:t>
      </w:r>
      <w:r w:rsidRPr="002F4AD5">
        <w:t>seek</w:t>
      </w:r>
      <w:r w:rsidR="00A608EB" w:rsidRPr="002F4AD5">
        <w:t xml:space="preserve"> by</w:t>
      </w:r>
      <w:r w:rsidR="005D1F5A" w:rsidRPr="002F4AD5">
        <w:t xml:space="preserve"> its petition for administrative review</w:t>
      </w:r>
      <w:r w:rsidRPr="002F4AD5">
        <w:t>.</w:t>
      </w:r>
      <w:r w:rsidR="005B47AB" w:rsidRPr="005B47AB">
        <w:rPr>
          <w:vertAlign w:val="superscript"/>
        </w:rPr>
        <w:t xml:space="preserve"> </w:t>
      </w:r>
      <w:r w:rsidR="005B47AB" w:rsidRPr="005B47AB">
        <w:rPr>
          <w:vertAlign w:val="superscript"/>
        </w:rPr>
        <w:footnoteReference w:id="21"/>
      </w:r>
      <w:r w:rsidR="00907C71">
        <w:t xml:space="preserve"> It is also contrary to the public interest.</w:t>
      </w:r>
      <w:r w:rsidR="005D1F5A" w:rsidRPr="002F4AD5">
        <w:t xml:space="preserve">  </w:t>
      </w:r>
    </w:p>
    <w:p w14:paraId="38369588" w14:textId="77777777" w:rsidR="009F596C" w:rsidRPr="002F4AD5" w:rsidRDefault="009F596C" w:rsidP="00911029">
      <w:pPr>
        <w:pStyle w:val="ListParagraph"/>
        <w:spacing w:line="264" w:lineRule="auto"/>
        <w:ind w:left="1440"/>
        <w:rPr>
          <w:b/>
        </w:rPr>
      </w:pPr>
    </w:p>
    <w:p w14:paraId="2113416C" w14:textId="77777777" w:rsidR="00965579" w:rsidRDefault="00965579" w:rsidP="00911029">
      <w:pPr>
        <w:pStyle w:val="Heading2"/>
        <w:spacing w:line="264" w:lineRule="auto"/>
      </w:pPr>
      <w:bookmarkStart w:id="4" w:name="_Toc425254175"/>
      <w:r w:rsidRPr="002F4AD5">
        <w:t xml:space="preserve">Contested </w:t>
      </w:r>
      <w:r w:rsidR="004D2E6A" w:rsidRPr="002F4AD5">
        <w:t xml:space="preserve">Substantive </w:t>
      </w:r>
      <w:r w:rsidRPr="002F4AD5">
        <w:t>Issues</w:t>
      </w:r>
      <w:bookmarkEnd w:id="4"/>
    </w:p>
    <w:p w14:paraId="7AC19CDB" w14:textId="77777777" w:rsidR="0028443D" w:rsidRPr="0028443D" w:rsidRDefault="0028443D" w:rsidP="0028443D"/>
    <w:p w14:paraId="70AB687B" w14:textId="77777777" w:rsidR="00142C2B" w:rsidRPr="002F4AD5" w:rsidRDefault="00142C2B" w:rsidP="00911029">
      <w:pPr>
        <w:pStyle w:val="Heading3"/>
        <w:spacing w:before="0" w:line="264" w:lineRule="auto"/>
      </w:pPr>
      <w:bookmarkStart w:id="5" w:name="_Toc425254176"/>
      <w:r w:rsidRPr="002F4AD5">
        <w:t>Shared Utility Expenses</w:t>
      </w:r>
      <w:bookmarkEnd w:id="5"/>
    </w:p>
    <w:p w14:paraId="7AD41850" w14:textId="77777777" w:rsidR="00CD4B33" w:rsidRPr="002F4AD5" w:rsidRDefault="00CD4B33" w:rsidP="00911029">
      <w:pPr>
        <w:pStyle w:val="NoSpacing"/>
        <w:spacing w:line="264" w:lineRule="auto"/>
        <w:rPr>
          <w:sz w:val="24"/>
          <w:szCs w:val="24"/>
        </w:rPr>
      </w:pPr>
    </w:p>
    <w:p w14:paraId="35B5A8FA" w14:textId="77777777" w:rsidR="00E7126A" w:rsidRPr="002F4AD5" w:rsidRDefault="008C5739" w:rsidP="00911029">
      <w:pPr>
        <w:numPr>
          <w:ilvl w:val="0"/>
          <w:numId w:val="2"/>
        </w:numPr>
        <w:spacing w:line="264" w:lineRule="auto"/>
      </w:pPr>
      <w:r w:rsidRPr="002F4AD5">
        <w:t xml:space="preserve">The Company and </w:t>
      </w:r>
      <w:r w:rsidR="003B3F75" w:rsidRPr="002F4AD5">
        <w:t>two</w:t>
      </w:r>
      <w:r w:rsidR="00CD4DFF" w:rsidRPr="002F4AD5">
        <w:t xml:space="preserve"> of its</w:t>
      </w:r>
      <w:r w:rsidR="003B3F75" w:rsidRPr="002F4AD5">
        <w:t xml:space="preserve"> unregulated </w:t>
      </w:r>
      <w:r w:rsidRPr="002F4AD5">
        <w:t>affiliates</w:t>
      </w:r>
      <w:r w:rsidR="00E7126A" w:rsidRPr="002F4AD5">
        <w:t>, Waste Control Recycling (</w:t>
      </w:r>
      <w:proofErr w:type="spellStart"/>
      <w:r w:rsidR="00E7126A" w:rsidRPr="002F4AD5">
        <w:t>WCR</w:t>
      </w:r>
      <w:proofErr w:type="spellEnd"/>
      <w:r w:rsidR="00E7126A" w:rsidRPr="002F4AD5">
        <w:t>) and Waste Control Equipment (</w:t>
      </w:r>
      <w:proofErr w:type="spellStart"/>
      <w:r w:rsidR="00E7126A" w:rsidRPr="002F4AD5">
        <w:t>WCE</w:t>
      </w:r>
      <w:proofErr w:type="spellEnd"/>
      <w:r w:rsidR="00E7126A" w:rsidRPr="002F4AD5">
        <w:t>)</w:t>
      </w:r>
      <w:r w:rsidR="003B3F75" w:rsidRPr="002F4AD5">
        <w:t xml:space="preserve"> </w:t>
      </w:r>
      <w:r w:rsidRPr="002F4AD5">
        <w:t>share employees, facilities, and equipment.</w:t>
      </w:r>
      <w:r w:rsidRPr="002F4AD5">
        <w:rPr>
          <w:rStyle w:val="FootnoteReference"/>
        </w:rPr>
        <w:footnoteReference w:id="22"/>
      </w:r>
      <w:r w:rsidRPr="002F4AD5">
        <w:t xml:space="preserve"> </w:t>
      </w:r>
      <w:proofErr w:type="spellStart"/>
      <w:r w:rsidR="0054329E" w:rsidRPr="002F4AD5">
        <w:t>WCR</w:t>
      </w:r>
      <w:proofErr w:type="spellEnd"/>
      <w:r w:rsidR="0054329E" w:rsidRPr="002F4AD5">
        <w:t xml:space="preserve">, in addition, conducts its operations, in part, from facilities it does not share with </w:t>
      </w:r>
      <w:proofErr w:type="spellStart"/>
      <w:r w:rsidR="0054329E" w:rsidRPr="002F4AD5">
        <w:t>WCE</w:t>
      </w:r>
      <w:proofErr w:type="spellEnd"/>
      <w:r w:rsidR="0054329E" w:rsidRPr="002F4AD5">
        <w:t xml:space="preserve"> or </w:t>
      </w:r>
      <w:proofErr w:type="spellStart"/>
      <w:r w:rsidR="0054329E" w:rsidRPr="002F4AD5">
        <w:t>WCI</w:t>
      </w:r>
      <w:proofErr w:type="spellEnd"/>
      <w:r w:rsidR="0054329E" w:rsidRPr="002F4AD5">
        <w:t xml:space="preserve">. </w:t>
      </w:r>
      <w:r w:rsidR="00CF01AA">
        <w:t>T</w:t>
      </w:r>
      <w:r w:rsidR="003E6A2E" w:rsidRPr="002F4AD5">
        <w:t>he disputed issue here is determination of</w:t>
      </w:r>
      <w:r w:rsidR="003B3F75" w:rsidRPr="002F4AD5">
        <w:t xml:space="preserve"> an appropriate </w:t>
      </w:r>
      <w:r w:rsidR="00E40F72" w:rsidRPr="002F4AD5">
        <w:t>allocation of</w:t>
      </w:r>
      <w:r w:rsidR="003B3F75" w:rsidRPr="002F4AD5">
        <w:t xml:space="preserve"> utility expenses </w:t>
      </w:r>
      <w:r w:rsidR="00CD4DFF" w:rsidRPr="002F4AD5">
        <w:t>among the three companies that share some facilities</w:t>
      </w:r>
      <w:r w:rsidR="003B3F75" w:rsidRPr="002F4AD5">
        <w:t>.</w:t>
      </w:r>
      <w:r w:rsidR="00E40F72" w:rsidRPr="002F4AD5">
        <w:rPr>
          <w:vertAlign w:val="superscript"/>
        </w:rPr>
        <w:footnoteReference w:id="23"/>
      </w:r>
      <w:r w:rsidR="00CD4DFF" w:rsidRPr="002F4AD5">
        <w:t xml:space="preserve">  </w:t>
      </w:r>
    </w:p>
    <w:p w14:paraId="152058AA" w14:textId="77777777" w:rsidR="00E7126A" w:rsidRPr="002F4AD5" w:rsidRDefault="003B3F75" w:rsidP="00911029">
      <w:pPr>
        <w:spacing w:line="264" w:lineRule="auto"/>
      </w:pPr>
      <w:r w:rsidRPr="002F4AD5">
        <w:t xml:space="preserve"> </w:t>
      </w:r>
    </w:p>
    <w:p w14:paraId="14F61D12" w14:textId="77777777" w:rsidR="008C5739" w:rsidRPr="002F4AD5" w:rsidRDefault="006D6337" w:rsidP="00911029">
      <w:pPr>
        <w:numPr>
          <w:ilvl w:val="0"/>
          <w:numId w:val="2"/>
        </w:numPr>
        <w:spacing w:line="264" w:lineRule="auto"/>
      </w:pPr>
      <w:proofErr w:type="spellStart"/>
      <w:r w:rsidRPr="002F4AD5">
        <w:t>WCI</w:t>
      </w:r>
      <w:proofErr w:type="spellEnd"/>
      <w:r w:rsidRPr="002F4AD5">
        <w:t xml:space="preserve"> </w:t>
      </w:r>
      <w:r w:rsidR="007E5B96" w:rsidRPr="002F4AD5">
        <w:t xml:space="preserve">“reluctantly” </w:t>
      </w:r>
      <w:r w:rsidRPr="002F4AD5">
        <w:t xml:space="preserve">agreed to </w:t>
      </w:r>
      <w:r w:rsidR="007E5B96" w:rsidRPr="002F4AD5">
        <w:t>apply</w:t>
      </w:r>
      <w:r w:rsidR="00A10A52" w:rsidRPr="002F4AD5">
        <w:t xml:space="preserve"> </w:t>
      </w:r>
      <w:r w:rsidR="008C31CF" w:rsidRPr="00907C71">
        <w:t>Staff</w:t>
      </w:r>
      <w:r w:rsidRPr="00907C71">
        <w:t>’s</w:t>
      </w:r>
      <w:r w:rsidR="008C31CF" w:rsidRPr="002F4AD5">
        <w:t xml:space="preserve"> propose</w:t>
      </w:r>
      <w:r w:rsidRPr="002F4AD5">
        <w:t>d</w:t>
      </w:r>
      <w:r w:rsidR="008C31CF" w:rsidRPr="002F4AD5">
        <w:t xml:space="preserve"> </w:t>
      </w:r>
      <w:r w:rsidR="007E5B96" w:rsidRPr="002F4AD5">
        <w:t>allocation factor to utility expenses for</w:t>
      </w:r>
      <w:r w:rsidR="00E40F72" w:rsidRPr="002F4AD5">
        <w:t xml:space="preserve"> purposes of this case</w:t>
      </w:r>
      <w:r w:rsidR="008F09B0" w:rsidRPr="002F4AD5">
        <w:t>.</w:t>
      </w:r>
      <w:r w:rsidR="00E40F72" w:rsidRPr="002F4AD5">
        <w:rPr>
          <w:rStyle w:val="FootnoteReference"/>
        </w:rPr>
        <w:footnoteReference w:id="24"/>
      </w:r>
      <w:r w:rsidR="008F09B0" w:rsidRPr="002F4AD5">
        <w:t xml:space="preserve"> This methodology identified facilities that </w:t>
      </w:r>
      <w:proofErr w:type="spellStart"/>
      <w:r w:rsidR="008F09B0" w:rsidRPr="002F4AD5">
        <w:t>W</w:t>
      </w:r>
      <w:r w:rsidR="00D67C43" w:rsidRPr="002F4AD5">
        <w:t>CI</w:t>
      </w:r>
      <w:proofErr w:type="spellEnd"/>
      <w:r w:rsidR="00D67C43" w:rsidRPr="002F4AD5">
        <w:t xml:space="preserve"> and its affiliates share</w:t>
      </w:r>
      <w:r w:rsidRPr="002F4AD5">
        <w:t>.</w:t>
      </w:r>
      <w:r w:rsidR="008F09B0" w:rsidRPr="002F4AD5">
        <w:rPr>
          <w:rStyle w:val="FootnoteReference"/>
        </w:rPr>
        <w:footnoteReference w:id="25"/>
      </w:r>
      <w:r w:rsidR="007E5B96" w:rsidRPr="002F4AD5">
        <w:t xml:space="preserve"> </w:t>
      </w:r>
      <w:r w:rsidR="00D67C43" w:rsidRPr="002F4AD5">
        <w:t xml:space="preserve">Staff then selected three cost drivers “that recognize common activities that </w:t>
      </w:r>
      <w:r w:rsidR="002661DA">
        <w:t>[cause]</w:t>
      </w:r>
      <w:r w:rsidR="00D67C43" w:rsidRPr="002F4AD5">
        <w:t xml:space="preserve"> costs and are based on information provided by the Company</w:t>
      </w:r>
      <w:r w:rsidR="00A0195F" w:rsidRPr="002F4AD5">
        <w:t>, [namely]</w:t>
      </w:r>
      <w:r w:rsidR="00D67C43" w:rsidRPr="002F4AD5">
        <w:t xml:space="preserve"> number of employees, revenue, and fixed asset per book value.”</w:t>
      </w:r>
      <w:r w:rsidR="00D67C43" w:rsidRPr="002F4AD5">
        <w:rPr>
          <w:rStyle w:val="FootnoteReference"/>
        </w:rPr>
        <w:footnoteReference w:id="26"/>
      </w:r>
      <w:r w:rsidR="00D67C43" w:rsidRPr="002F4AD5">
        <w:t xml:space="preserve"> </w:t>
      </w:r>
      <w:r w:rsidR="007E5B96" w:rsidRPr="002F4AD5">
        <w:t>The Initial Order agrees with Staff</w:t>
      </w:r>
      <w:r w:rsidR="008C5739" w:rsidRPr="002F4AD5">
        <w:t xml:space="preserve"> that these three factors combine into “a reasonable indicator of the siz</w:t>
      </w:r>
      <w:r w:rsidR="00676D70" w:rsidRPr="002F4AD5">
        <w:t xml:space="preserve">e and scope of each </w:t>
      </w:r>
      <w:r w:rsidR="00676D70" w:rsidRPr="002F4AD5">
        <w:lastRenderedPageBreak/>
        <w:t xml:space="preserve">affiliate entity’s operations relative to </w:t>
      </w:r>
      <w:proofErr w:type="spellStart"/>
      <w:r w:rsidR="00676D70" w:rsidRPr="002F4AD5">
        <w:t>WCI</w:t>
      </w:r>
      <w:proofErr w:type="spellEnd"/>
      <w:r w:rsidR="00676D70" w:rsidRPr="002F4AD5">
        <w:t xml:space="preserve"> and one another.”</w:t>
      </w:r>
      <w:r w:rsidR="00676D70" w:rsidRPr="002F4AD5">
        <w:rPr>
          <w:rStyle w:val="FootnoteReference"/>
        </w:rPr>
        <w:footnoteReference w:id="27"/>
      </w:r>
      <w:r w:rsidR="00676D70" w:rsidRPr="002F4AD5">
        <w:t xml:space="preserve"> </w:t>
      </w:r>
      <w:r w:rsidR="007E5B96" w:rsidRPr="002F4AD5">
        <w:t>In turn</w:t>
      </w:r>
      <w:r w:rsidR="00676D70" w:rsidRPr="002F4AD5">
        <w:t>, “the relative size and scope of each entity’s operations reasonably estimates the proportional costs each entity places on common resources.”</w:t>
      </w:r>
      <w:r w:rsidR="00676D70" w:rsidRPr="002F4AD5">
        <w:rPr>
          <w:rStyle w:val="FootnoteReference"/>
        </w:rPr>
        <w:footnoteReference w:id="28"/>
      </w:r>
      <w:r w:rsidRPr="002F4AD5">
        <w:t xml:space="preserve"> The three-factor methodology is </w:t>
      </w:r>
      <w:r w:rsidR="00DE2C2F" w:rsidRPr="002F4AD5">
        <w:t>consistent with regulatory</w:t>
      </w:r>
      <w:r w:rsidRPr="002F4AD5">
        <w:t xml:space="preserve"> accounting principles </w:t>
      </w:r>
      <w:r w:rsidR="00DE2C2F" w:rsidRPr="002F4AD5">
        <w:t>that, in</w:t>
      </w:r>
      <w:r w:rsidRPr="002F4AD5">
        <w:t xml:space="preserve"> Staff</w:t>
      </w:r>
      <w:r w:rsidR="00DE2C2F" w:rsidRPr="002F4AD5">
        <w:t>’s words:</w:t>
      </w:r>
      <w:r w:rsidRPr="002F4AD5">
        <w:t xml:space="preserve"> “dictate that shared costs should be allocated based on cost-drivers.”</w:t>
      </w:r>
      <w:r w:rsidRPr="002F4AD5">
        <w:rPr>
          <w:vertAlign w:val="superscript"/>
        </w:rPr>
        <w:footnoteReference w:id="29"/>
      </w:r>
      <w:r w:rsidRPr="002F4AD5">
        <w:t xml:space="preserve"> </w:t>
      </w:r>
      <w:r w:rsidR="00DE2C2F" w:rsidRPr="002F4AD5">
        <w:t>This is</w:t>
      </w:r>
      <w:r w:rsidRPr="002F4AD5">
        <w:t xml:space="preserve"> the </w:t>
      </w:r>
      <w:r w:rsidR="00DE2C2F" w:rsidRPr="002F4AD5">
        <w:t>familiar regulatory principle referred to as “</w:t>
      </w:r>
      <w:r w:rsidRPr="002F4AD5">
        <w:t>cost causation.</w:t>
      </w:r>
      <w:r w:rsidR="00DE2C2F" w:rsidRPr="002F4AD5">
        <w:t>”</w:t>
      </w:r>
      <w:r w:rsidRPr="002F4AD5">
        <w:rPr>
          <w:vertAlign w:val="superscript"/>
        </w:rPr>
        <w:footnoteReference w:id="30"/>
      </w:r>
      <w:r w:rsidR="00DE2C2F" w:rsidRPr="002F4AD5">
        <w:t xml:space="preserve"> In the context of inter-affiliate cost allocation in this case, adherence to this basic regulatory principle that those who are deemed to cause a cost should pay it protects against cross-subsidization between or among affiliates and protects </w:t>
      </w:r>
      <w:proofErr w:type="spellStart"/>
      <w:r w:rsidR="00DE2C2F" w:rsidRPr="002F4AD5">
        <w:t>WCI</w:t>
      </w:r>
      <w:proofErr w:type="spellEnd"/>
      <w:r w:rsidR="00DE2C2F" w:rsidRPr="002F4AD5">
        <w:t xml:space="preserve"> ratepayers from having to pay costs that support unregulated affiliate operations.</w:t>
      </w:r>
    </w:p>
    <w:p w14:paraId="40C5EE91" w14:textId="77777777" w:rsidR="008C5739" w:rsidRPr="002F4AD5" w:rsidRDefault="008C5739" w:rsidP="00911029">
      <w:pPr>
        <w:spacing w:line="264" w:lineRule="auto"/>
      </w:pPr>
    </w:p>
    <w:p w14:paraId="045DFEE8" w14:textId="77777777" w:rsidR="00E822B8" w:rsidRPr="002F4AD5" w:rsidRDefault="00D67C43" w:rsidP="00911029">
      <w:pPr>
        <w:numPr>
          <w:ilvl w:val="0"/>
          <w:numId w:val="2"/>
        </w:numPr>
        <w:spacing w:line="264" w:lineRule="auto"/>
      </w:pPr>
      <w:r w:rsidRPr="002F4AD5">
        <w:t>Staff arrive</w:t>
      </w:r>
      <w:r w:rsidR="00B41246" w:rsidRPr="002F4AD5">
        <w:t>s</w:t>
      </w:r>
      <w:r w:rsidRPr="002F4AD5">
        <w:t xml:space="preserve"> at a </w:t>
      </w:r>
      <w:r w:rsidR="00FB3C6A" w:rsidRPr="002F4AD5">
        <w:t>23</w:t>
      </w:r>
      <w:r w:rsidR="00B41246" w:rsidRPr="002F4AD5">
        <w:t>.36</w:t>
      </w:r>
      <w:r w:rsidRPr="002F4AD5">
        <w:t xml:space="preserve"> percent </w:t>
      </w:r>
      <w:r w:rsidR="00227672" w:rsidRPr="002F4AD5">
        <w:t>allocation factor</w:t>
      </w:r>
      <w:r w:rsidRPr="002F4AD5">
        <w:t xml:space="preserve"> </w:t>
      </w:r>
      <w:r w:rsidR="00B41246" w:rsidRPr="002F4AD5">
        <w:t xml:space="preserve">for </w:t>
      </w:r>
      <w:proofErr w:type="spellStart"/>
      <w:r w:rsidR="00B41246" w:rsidRPr="002F4AD5">
        <w:t>WCI</w:t>
      </w:r>
      <w:proofErr w:type="spellEnd"/>
      <w:r w:rsidRPr="002F4AD5">
        <w:t xml:space="preserve"> </w:t>
      </w:r>
      <w:r w:rsidR="00FB3C6A" w:rsidRPr="002F4AD5">
        <w:t xml:space="preserve">associated with three </w:t>
      </w:r>
      <w:r w:rsidR="002661DA">
        <w:t xml:space="preserve">shared </w:t>
      </w:r>
      <w:r w:rsidR="00FB3C6A" w:rsidRPr="002F4AD5">
        <w:t>properties: 950 3</w:t>
      </w:r>
      <w:r w:rsidR="00FB3C6A" w:rsidRPr="002F4AD5">
        <w:rPr>
          <w:vertAlign w:val="superscript"/>
        </w:rPr>
        <w:t>rd</w:t>
      </w:r>
      <w:r w:rsidR="00FB3C6A" w:rsidRPr="002F4AD5">
        <w:t xml:space="preserve"> Avenue, 1150 3</w:t>
      </w:r>
      <w:r w:rsidR="00FB3C6A" w:rsidRPr="002F4AD5">
        <w:rPr>
          <w:vertAlign w:val="superscript"/>
        </w:rPr>
        <w:t>rd</w:t>
      </w:r>
      <w:r w:rsidR="00FB3C6A" w:rsidRPr="002F4AD5">
        <w:t xml:space="preserve"> Avenue, and 1152 River Road</w:t>
      </w:r>
      <w:r w:rsidRPr="002F4AD5">
        <w:t>.</w:t>
      </w:r>
      <w:r w:rsidRPr="002F4AD5">
        <w:rPr>
          <w:rStyle w:val="FootnoteReference"/>
        </w:rPr>
        <w:footnoteReference w:id="31"/>
      </w:r>
      <w:r w:rsidR="00676D70" w:rsidRPr="002F4AD5">
        <w:t xml:space="preserve"> </w:t>
      </w:r>
      <w:r w:rsidR="000328A0" w:rsidRPr="002F4AD5">
        <w:t>Applying its allocation factor to the total utility expenses incurred at these shared facilities, S</w:t>
      </w:r>
      <w:r w:rsidR="008C5739" w:rsidRPr="002F4AD5">
        <w:t>taff recommend</w:t>
      </w:r>
      <w:r w:rsidR="00DE2C2F" w:rsidRPr="002F4AD5">
        <w:t>ed</w:t>
      </w:r>
      <w:r w:rsidR="008C5739" w:rsidRPr="002F4AD5">
        <w:t xml:space="preserve"> allocati</w:t>
      </w:r>
      <w:r w:rsidR="00A0195F" w:rsidRPr="002F4AD5">
        <w:t>ng</w:t>
      </w:r>
      <w:r w:rsidR="008C5739" w:rsidRPr="002F4AD5">
        <w:t xml:space="preserve"> $13,975 of </w:t>
      </w:r>
      <w:r w:rsidR="007E048D" w:rsidRPr="002F4AD5">
        <w:t>the</w:t>
      </w:r>
      <w:r w:rsidR="00A0195F" w:rsidRPr="002F4AD5">
        <w:t xml:space="preserve"> </w:t>
      </w:r>
      <w:r w:rsidR="008C5739" w:rsidRPr="002F4AD5">
        <w:t xml:space="preserve">shared utility expenses to </w:t>
      </w:r>
      <w:proofErr w:type="spellStart"/>
      <w:r w:rsidR="000328A0" w:rsidRPr="002F4AD5">
        <w:t>WCI</w:t>
      </w:r>
      <w:proofErr w:type="spellEnd"/>
      <w:r w:rsidR="008C5739" w:rsidRPr="002F4AD5">
        <w:t>.</w:t>
      </w:r>
      <w:r w:rsidR="008C5739" w:rsidRPr="002F4AD5">
        <w:rPr>
          <w:rStyle w:val="FootnoteReference"/>
        </w:rPr>
        <w:footnoteReference w:id="32"/>
      </w:r>
      <w:r w:rsidR="006D6337" w:rsidRPr="002F4AD5">
        <w:t xml:space="preserve"> </w:t>
      </w:r>
      <w:r w:rsidR="000328A0" w:rsidRPr="002F4AD5">
        <w:t>Staff’s calculation</w:t>
      </w:r>
      <w:r w:rsidR="00DE2C2F" w:rsidRPr="002F4AD5">
        <w:t>, however,</w:t>
      </w:r>
      <w:r w:rsidR="000328A0" w:rsidRPr="002F4AD5">
        <w:t xml:space="preserve"> failed to allocate $6,202 in shared utility expense that the Initial Order finds should have been included.</w:t>
      </w:r>
      <w:r w:rsidR="000328A0" w:rsidRPr="002F4AD5">
        <w:rPr>
          <w:rStyle w:val="FootnoteReference"/>
        </w:rPr>
        <w:footnoteReference w:id="33"/>
      </w:r>
      <w:r w:rsidR="000328A0" w:rsidRPr="002F4AD5">
        <w:t xml:space="preserve"> Applying Staff’s three-factor allocator to the $6,202 shared expense results in an increase of $1,449 in utility expense allocated to </w:t>
      </w:r>
      <w:proofErr w:type="spellStart"/>
      <w:r w:rsidR="000328A0" w:rsidRPr="002F4AD5">
        <w:t>WCI</w:t>
      </w:r>
      <w:proofErr w:type="spellEnd"/>
      <w:r w:rsidR="000328A0" w:rsidRPr="002F4AD5">
        <w:t>, for a total of $15,424.</w:t>
      </w:r>
      <w:r w:rsidR="00897EF0">
        <w:t xml:space="preserve"> </w:t>
      </w:r>
      <w:r w:rsidR="00CF01AA">
        <w:t>This is the amount approved in the Initial Order.</w:t>
      </w:r>
      <w:r w:rsidR="006D6337" w:rsidRPr="002F4AD5">
        <w:t xml:space="preserve"> </w:t>
      </w:r>
    </w:p>
    <w:p w14:paraId="2508AFAC" w14:textId="77777777" w:rsidR="00CF7721" w:rsidRPr="002F4AD5" w:rsidRDefault="00CF7721" w:rsidP="00911029">
      <w:pPr>
        <w:pStyle w:val="ListParagraph"/>
        <w:spacing w:line="264" w:lineRule="auto"/>
      </w:pPr>
    </w:p>
    <w:p w14:paraId="59482576" w14:textId="77777777" w:rsidR="007D3DB3" w:rsidRPr="002F4AD5" w:rsidRDefault="000328A0" w:rsidP="00911029">
      <w:pPr>
        <w:numPr>
          <w:ilvl w:val="0"/>
          <w:numId w:val="2"/>
        </w:numPr>
        <w:spacing w:line="264" w:lineRule="auto"/>
      </w:pPr>
      <w:r w:rsidRPr="002F4AD5">
        <w:t>Accepting Staff’s allocation factor</w:t>
      </w:r>
      <w:r w:rsidR="00780388" w:rsidRPr="002F4AD5">
        <w:t>, but not the amount of utility expense to which the factor should be applied</w:t>
      </w:r>
      <w:r w:rsidRPr="002F4AD5">
        <w:t>, t</w:t>
      </w:r>
      <w:r w:rsidR="008D7813" w:rsidRPr="002F4AD5">
        <w:t>he Company argues</w:t>
      </w:r>
      <w:r w:rsidR="00CA1DF1" w:rsidRPr="002F4AD5">
        <w:t xml:space="preserve"> that the Commission </w:t>
      </w:r>
      <w:r w:rsidR="008D7813" w:rsidRPr="002F4AD5">
        <w:t xml:space="preserve">should </w:t>
      </w:r>
      <w:r w:rsidR="00CA1DF1" w:rsidRPr="002F4AD5">
        <w:t>allow $27,749.29</w:t>
      </w:r>
      <w:r w:rsidR="00B41246" w:rsidRPr="002F4AD5">
        <w:t xml:space="preserve"> </w:t>
      </w:r>
      <w:r w:rsidR="00194209">
        <w:t>in</w:t>
      </w:r>
      <w:r w:rsidR="00B41246" w:rsidRPr="002F4AD5">
        <w:t xml:space="preserve"> </w:t>
      </w:r>
      <w:r w:rsidR="00B41246" w:rsidRPr="002F4AD5">
        <w:lastRenderedPageBreak/>
        <w:t>shared utility expenses</w:t>
      </w:r>
      <w:r w:rsidR="00CA1DF1" w:rsidRPr="002F4AD5">
        <w:t>.</w:t>
      </w:r>
      <w:r w:rsidR="009D63DC" w:rsidRPr="002F4AD5">
        <w:rPr>
          <w:rStyle w:val="FootnoteReference"/>
        </w:rPr>
        <w:footnoteReference w:id="34"/>
      </w:r>
      <w:r w:rsidR="00CA1DF1" w:rsidRPr="002F4AD5">
        <w:t xml:space="preserve"> </w:t>
      </w:r>
      <w:proofErr w:type="spellStart"/>
      <w:r w:rsidR="007E048D" w:rsidRPr="002F4AD5">
        <w:t>WCI</w:t>
      </w:r>
      <w:proofErr w:type="spellEnd"/>
      <w:r w:rsidR="007E048D" w:rsidRPr="002F4AD5">
        <w:t xml:space="preserve"> calculates this </w:t>
      </w:r>
      <w:r w:rsidR="005F3278" w:rsidRPr="002F4AD5">
        <w:t>figure us</w:t>
      </w:r>
      <w:r w:rsidR="007E048D" w:rsidRPr="002F4AD5">
        <w:t>ing the “</w:t>
      </w:r>
      <w:r w:rsidR="005F3278" w:rsidRPr="002F4AD5">
        <w:t xml:space="preserve">23.4 </w:t>
      </w:r>
      <w:r w:rsidR="007E048D" w:rsidRPr="002F4AD5">
        <w:t>[</w:t>
      </w:r>
      <w:r w:rsidR="005F3278" w:rsidRPr="002F4AD5">
        <w:t>percent</w:t>
      </w:r>
      <w:r w:rsidR="007E048D" w:rsidRPr="002F4AD5">
        <w:t>] derived Staff</w:t>
      </w:r>
      <w:r w:rsidR="005F3278" w:rsidRPr="002F4AD5">
        <w:t xml:space="preserve"> </w:t>
      </w:r>
      <w:r w:rsidR="00E1523B" w:rsidRPr="002F4AD5">
        <w:t xml:space="preserve">allocator for utility costs [as] applied to the $118,586.73 </w:t>
      </w:r>
      <w:r w:rsidR="008D7813" w:rsidRPr="002F4AD5">
        <w:t>total utility costs the three affiliates incurred during the test period</w:t>
      </w:r>
      <w:r w:rsidR="00E1523B" w:rsidRPr="002F4AD5">
        <w:t xml:space="preserve"> rather than Staff’s utility expense</w:t>
      </w:r>
      <w:r w:rsidR="008D7813" w:rsidRPr="002F4AD5">
        <w:t xml:space="preserve"> attributed to shared facilities</w:t>
      </w:r>
      <w:r w:rsidR="00E1523B" w:rsidRPr="002F4AD5">
        <w:t xml:space="preserve"> of $66,024.77</w:t>
      </w:r>
      <w:r w:rsidR="008D7813" w:rsidRPr="002F4AD5">
        <w:t>.</w:t>
      </w:r>
      <w:r w:rsidR="00CF01AA">
        <w:t>”</w:t>
      </w:r>
      <w:r w:rsidR="005F3278" w:rsidRPr="002F4AD5">
        <w:rPr>
          <w:rStyle w:val="FootnoteReference"/>
        </w:rPr>
        <w:footnoteReference w:id="35"/>
      </w:r>
      <w:r w:rsidR="005F3278" w:rsidRPr="002F4AD5">
        <w:t xml:space="preserve"> </w:t>
      </w:r>
      <w:r w:rsidR="00E1523B" w:rsidRPr="002F4AD5">
        <w:t>Specifically, th</w:t>
      </w:r>
      <w:r w:rsidR="008D7813" w:rsidRPr="002F4AD5">
        <w:t>e</w:t>
      </w:r>
      <w:r w:rsidR="00CF6242" w:rsidRPr="002F4AD5">
        <w:t xml:space="preserve"> </w:t>
      </w:r>
      <w:r w:rsidR="00CF7721" w:rsidRPr="002F4AD5">
        <w:t xml:space="preserve">difference results from the </w:t>
      </w:r>
      <w:r w:rsidR="00CF6242" w:rsidRPr="002F4AD5">
        <w:t xml:space="preserve">Company’s </w:t>
      </w:r>
      <w:r w:rsidR="00CF7721" w:rsidRPr="002F4AD5">
        <w:t>inclusion of</w:t>
      </w:r>
      <w:r w:rsidR="00CF6242" w:rsidRPr="002F4AD5">
        <w:t xml:space="preserve"> </w:t>
      </w:r>
      <w:r w:rsidR="000B52CF" w:rsidRPr="002F4AD5">
        <w:t>more than $50,000 in utility costs</w:t>
      </w:r>
      <w:r w:rsidR="008D7813" w:rsidRPr="002F4AD5">
        <w:t xml:space="preserve"> that </w:t>
      </w:r>
      <w:proofErr w:type="spellStart"/>
      <w:r w:rsidR="008D7813" w:rsidRPr="002F4AD5">
        <w:t>WCR</w:t>
      </w:r>
      <w:proofErr w:type="spellEnd"/>
      <w:r w:rsidR="008D7813" w:rsidRPr="002F4AD5">
        <w:t xml:space="preserve"> incurred</w:t>
      </w:r>
      <w:r w:rsidR="0071709C" w:rsidRPr="002F4AD5">
        <w:t xml:space="preserve"> </w:t>
      </w:r>
      <w:r w:rsidR="008D7813" w:rsidRPr="002F4AD5">
        <w:t xml:space="preserve">in facilities it does not share with </w:t>
      </w:r>
      <w:proofErr w:type="spellStart"/>
      <w:r w:rsidR="008D7813" w:rsidRPr="002F4AD5">
        <w:t>WCI</w:t>
      </w:r>
      <w:proofErr w:type="spellEnd"/>
      <w:r w:rsidR="00CF7721" w:rsidRPr="002F4AD5">
        <w:t>.</w:t>
      </w:r>
      <w:r w:rsidR="000B52CF" w:rsidRPr="002F4AD5">
        <w:rPr>
          <w:rStyle w:val="FootnoteReference"/>
        </w:rPr>
        <w:footnoteReference w:id="36"/>
      </w:r>
      <w:r w:rsidR="00CF6242" w:rsidRPr="002F4AD5">
        <w:t xml:space="preserve"> </w:t>
      </w:r>
      <w:r w:rsidR="00CF7721" w:rsidRPr="002F4AD5">
        <w:t xml:space="preserve"> </w:t>
      </w:r>
    </w:p>
    <w:p w14:paraId="3FD200C0" w14:textId="77777777" w:rsidR="007D3DB3" w:rsidRPr="002F4AD5" w:rsidRDefault="007D3DB3" w:rsidP="00911029">
      <w:pPr>
        <w:pStyle w:val="ListParagraph"/>
        <w:spacing w:line="264" w:lineRule="auto"/>
      </w:pPr>
    </w:p>
    <w:p w14:paraId="76739A44" w14:textId="77777777" w:rsidR="00E822B8" w:rsidRPr="002F4AD5" w:rsidRDefault="00CF7721" w:rsidP="00911029">
      <w:pPr>
        <w:numPr>
          <w:ilvl w:val="0"/>
          <w:numId w:val="2"/>
        </w:numPr>
        <w:spacing w:line="264" w:lineRule="auto"/>
      </w:pPr>
      <w:r w:rsidRPr="002F4AD5">
        <w:t xml:space="preserve">Staff argues that the additional expense is exclusively </w:t>
      </w:r>
      <w:proofErr w:type="spellStart"/>
      <w:r w:rsidRPr="002F4AD5">
        <w:t>WCR’s</w:t>
      </w:r>
      <w:proofErr w:type="spellEnd"/>
      <w:r w:rsidR="007D3DB3" w:rsidRPr="002F4AD5">
        <w:t xml:space="preserve"> and</w:t>
      </w:r>
      <w:r w:rsidRPr="002F4AD5">
        <w:t xml:space="preserve"> should not be included in the calculation</w:t>
      </w:r>
      <w:r w:rsidR="007D3DB3" w:rsidRPr="002F4AD5">
        <w:t xml:space="preserve"> to avoid having </w:t>
      </w:r>
      <w:proofErr w:type="spellStart"/>
      <w:r w:rsidR="007D3DB3" w:rsidRPr="002F4AD5">
        <w:t>WCI’s</w:t>
      </w:r>
      <w:proofErr w:type="spellEnd"/>
      <w:r w:rsidR="007D3DB3" w:rsidRPr="002F4AD5">
        <w:t xml:space="preserve"> regulated operations subsidize </w:t>
      </w:r>
      <w:proofErr w:type="spellStart"/>
      <w:r w:rsidR="007D3DB3" w:rsidRPr="002F4AD5">
        <w:t>WCR’s</w:t>
      </w:r>
      <w:proofErr w:type="spellEnd"/>
      <w:r w:rsidR="007D3DB3" w:rsidRPr="002F4AD5">
        <w:t xml:space="preserve"> unregulated operations</w:t>
      </w:r>
      <w:r w:rsidRPr="002F4AD5">
        <w:t>.</w:t>
      </w:r>
      <w:r w:rsidR="00E822B8" w:rsidRPr="002F4AD5">
        <w:rPr>
          <w:rStyle w:val="FootnoteReference"/>
        </w:rPr>
        <w:footnoteReference w:id="37"/>
      </w:r>
      <w:r w:rsidRPr="002F4AD5">
        <w:t xml:space="preserve"> </w:t>
      </w:r>
      <w:r w:rsidR="00E822B8" w:rsidRPr="002F4AD5">
        <w:t xml:space="preserve">Staff </w:t>
      </w:r>
      <w:r w:rsidR="00C42A9D" w:rsidRPr="002F4AD5">
        <w:t>asserts</w:t>
      </w:r>
      <w:r w:rsidR="00E822B8" w:rsidRPr="002F4AD5">
        <w:t xml:space="preserve"> that </w:t>
      </w:r>
      <w:r w:rsidR="00C42A9D" w:rsidRPr="002F4AD5">
        <w:t xml:space="preserve">inclusion of </w:t>
      </w:r>
      <w:proofErr w:type="spellStart"/>
      <w:r w:rsidR="00E822B8" w:rsidRPr="002F4AD5">
        <w:t>WCR’s</w:t>
      </w:r>
      <w:proofErr w:type="spellEnd"/>
      <w:r w:rsidR="00E822B8" w:rsidRPr="002F4AD5">
        <w:t xml:space="preserve"> utility expenses from buildings</w:t>
      </w:r>
      <w:r w:rsidR="007D3DB3" w:rsidRPr="002F4AD5">
        <w:t xml:space="preserve"> as to which</w:t>
      </w:r>
      <w:r w:rsidR="00E822B8" w:rsidRPr="002F4AD5">
        <w:t xml:space="preserve"> it retains exclusive use violates “</w:t>
      </w:r>
      <w:r w:rsidR="004D5AAF" w:rsidRPr="002F4AD5">
        <w:t>[f]</w:t>
      </w:r>
      <w:proofErr w:type="spellStart"/>
      <w:r w:rsidR="004D5AAF" w:rsidRPr="002F4AD5">
        <w:t>undamental</w:t>
      </w:r>
      <w:proofErr w:type="spellEnd"/>
      <w:r w:rsidR="004D5AAF" w:rsidRPr="002F4AD5">
        <w:t xml:space="preserve"> accounting principles [which] dictate that direct costs should be directly assigned rather than allocated.”</w:t>
      </w:r>
      <w:r w:rsidR="004D5AAF" w:rsidRPr="002F4AD5">
        <w:rPr>
          <w:rStyle w:val="FootnoteReference"/>
        </w:rPr>
        <w:footnoteReference w:id="38"/>
      </w:r>
      <w:r w:rsidR="004D5AAF" w:rsidRPr="002F4AD5">
        <w:t xml:space="preserve">  </w:t>
      </w:r>
    </w:p>
    <w:p w14:paraId="4BF21EB6" w14:textId="77777777" w:rsidR="004D5AAF" w:rsidRPr="002F4AD5" w:rsidRDefault="004D5AAF" w:rsidP="00911029">
      <w:pPr>
        <w:pStyle w:val="ListParagraph"/>
        <w:spacing w:line="264" w:lineRule="auto"/>
      </w:pPr>
    </w:p>
    <w:p w14:paraId="2290F746" w14:textId="77777777" w:rsidR="00646C6A" w:rsidRPr="002F4AD5" w:rsidRDefault="00A10A52" w:rsidP="00911029">
      <w:pPr>
        <w:numPr>
          <w:ilvl w:val="0"/>
          <w:numId w:val="2"/>
        </w:numPr>
        <w:spacing w:line="264" w:lineRule="auto"/>
      </w:pPr>
      <w:r w:rsidRPr="002F4AD5">
        <w:t>The Company’s final position</w:t>
      </w:r>
      <w:r w:rsidR="008109C1" w:rsidRPr="002F4AD5">
        <w:t xml:space="preserve"> below,</w:t>
      </w:r>
      <w:r w:rsidR="00367ED0" w:rsidRPr="002F4AD5">
        <w:t xml:space="preserve"> </w:t>
      </w:r>
      <w:r w:rsidR="008109C1" w:rsidRPr="002F4AD5">
        <w:t>and its argument here, is that it accepts Staff’s</w:t>
      </w:r>
      <w:r w:rsidR="00367ED0" w:rsidRPr="002F4AD5">
        <w:t xml:space="preserve"> three-factor allocation method but </w:t>
      </w:r>
      <w:r w:rsidR="008109C1" w:rsidRPr="002F4AD5">
        <w:t xml:space="preserve">would have us </w:t>
      </w:r>
      <w:r w:rsidR="00367ED0" w:rsidRPr="002F4AD5">
        <w:t>appl</w:t>
      </w:r>
      <w:r w:rsidR="008109C1" w:rsidRPr="002F4AD5">
        <w:t>y</w:t>
      </w:r>
      <w:r w:rsidR="00367ED0" w:rsidRPr="002F4AD5">
        <w:t xml:space="preserve"> </w:t>
      </w:r>
      <w:r w:rsidRPr="002F4AD5">
        <w:t xml:space="preserve">it </w:t>
      </w:r>
      <w:r w:rsidR="00367ED0" w:rsidRPr="002F4AD5">
        <w:t xml:space="preserve">to </w:t>
      </w:r>
      <w:r w:rsidR="008109C1" w:rsidRPr="002F4AD5">
        <w:t xml:space="preserve">the full utility </w:t>
      </w:r>
      <w:r w:rsidR="00367ED0" w:rsidRPr="002F4AD5">
        <w:t xml:space="preserve">costs </w:t>
      </w:r>
      <w:r w:rsidR="008109C1" w:rsidRPr="002F4AD5">
        <w:t xml:space="preserve">incurred by </w:t>
      </w:r>
      <w:proofErr w:type="spellStart"/>
      <w:r w:rsidR="008109C1" w:rsidRPr="002F4AD5">
        <w:t>WCI</w:t>
      </w:r>
      <w:proofErr w:type="spellEnd"/>
      <w:r w:rsidR="008109C1" w:rsidRPr="002F4AD5">
        <w:t xml:space="preserve">, </w:t>
      </w:r>
      <w:proofErr w:type="spellStart"/>
      <w:r w:rsidR="008109C1" w:rsidRPr="002F4AD5">
        <w:t>WCE</w:t>
      </w:r>
      <w:proofErr w:type="spellEnd"/>
      <w:r w:rsidR="008109C1" w:rsidRPr="002F4AD5">
        <w:t xml:space="preserve"> and </w:t>
      </w:r>
      <w:proofErr w:type="spellStart"/>
      <w:r w:rsidR="008109C1" w:rsidRPr="002F4AD5">
        <w:t>WCR</w:t>
      </w:r>
      <w:proofErr w:type="spellEnd"/>
      <w:r w:rsidR="008109C1" w:rsidRPr="002F4AD5">
        <w:t xml:space="preserve">, including the significant costs </w:t>
      </w:r>
      <w:proofErr w:type="spellStart"/>
      <w:r w:rsidR="008109C1" w:rsidRPr="002F4AD5">
        <w:t>WCR</w:t>
      </w:r>
      <w:proofErr w:type="spellEnd"/>
      <w:r w:rsidR="008109C1" w:rsidRPr="002F4AD5">
        <w:t xml:space="preserve"> incurs in facilities it does not share with </w:t>
      </w:r>
      <w:proofErr w:type="spellStart"/>
      <w:r w:rsidR="008109C1" w:rsidRPr="002F4AD5">
        <w:t>WCI</w:t>
      </w:r>
      <w:proofErr w:type="spellEnd"/>
      <w:r w:rsidR="008109C1" w:rsidRPr="002F4AD5">
        <w:t>.</w:t>
      </w:r>
      <w:r w:rsidR="00367ED0" w:rsidRPr="002F4AD5">
        <w:t xml:space="preserve"> </w:t>
      </w:r>
      <w:r w:rsidR="008109C1" w:rsidRPr="002F4AD5">
        <w:t xml:space="preserve">The Company’s argument confuses the fact that development of </w:t>
      </w:r>
      <w:r w:rsidR="0071709C" w:rsidRPr="002F4AD5">
        <w:t xml:space="preserve">an </w:t>
      </w:r>
      <w:r w:rsidR="008109C1" w:rsidRPr="002F4AD5">
        <w:t>allocation factor</w:t>
      </w:r>
      <w:r w:rsidR="0071709C" w:rsidRPr="002F4AD5">
        <w:t xml:space="preserve"> for a particular cost, or class of costs,</w:t>
      </w:r>
      <w:r w:rsidR="008109C1" w:rsidRPr="002F4AD5">
        <w:t xml:space="preserve"> does not dictate the costs to which </w:t>
      </w:r>
      <w:r w:rsidR="0071709C" w:rsidRPr="002F4AD5">
        <w:t>the</w:t>
      </w:r>
      <w:r w:rsidR="008109C1" w:rsidRPr="002F4AD5">
        <w:t xml:space="preserve"> allocation factor is applied.</w:t>
      </w:r>
      <w:r w:rsidR="0071709C" w:rsidRPr="002F4AD5">
        <w:t xml:space="preserve"> </w:t>
      </w:r>
      <w:r w:rsidR="003F5AD6" w:rsidRPr="002F4AD5">
        <w:t>It is reasonable to use m</w:t>
      </w:r>
      <w:r w:rsidR="0071709C" w:rsidRPr="002F4AD5">
        <w:t xml:space="preserve">easures of each affiliates’ total number of employees, total revenues, and total assets to develop an allocation factor that reflects </w:t>
      </w:r>
      <w:r w:rsidR="00361202" w:rsidRPr="002F4AD5">
        <w:t>the size and scope of each affiliate entity’s operations re</w:t>
      </w:r>
      <w:r w:rsidR="00897EF0">
        <w:t xml:space="preserve">lative to </w:t>
      </w:r>
      <w:proofErr w:type="spellStart"/>
      <w:r w:rsidR="00897EF0">
        <w:t>WCI</w:t>
      </w:r>
      <w:proofErr w:type="spellEnd"/>
      <w:r w:rsidR="00897EF0">
        <w:t xml:space="preserve"> and one another. </w:t>
      </w:r>
      <w:r w:rsidR="00361202" w:rsidRPr="002F4AD5">
        <w:t xml:space="preserve">Such an allocation factor reasonably approximates the demands each affiliate places on any shared facilities. </w:t>
      </w:r>
    </w:p>
    <w:p w14:paraId="2E6AF306" w14:textId="77777777" w:rsidR="003F5AD6" w:rsidRPr="002F4AD5" w:rsidRDefault="003F5AD6" w:rsidP="00911029">
      <w:pPr>
        <w:spacing w:line="264" w:lineRule="auto"/>
      </w:pPr>
    </w:p>
    <w:p w14:paraId="57FA08AA" w14:textId="77777777" w:rsidR="00F5317D" w:rsidRPr="002F4AD5" w:rsidRDefault="009A6FA5" w:rsidP="00911029">
      <w:pPr>
        <w:numPr>
          <w:ilvl w:val="0"/>
          <w:numId w:val="2"/>
        </w:numPr>
        <w:spacing w:line="264" w:lineRule="auto"/>
      </w:pPr>
      <w:r w:rsidRPr="002F4AD5">
        <w:t>I</w:t>
      </w:r>
      <w:r w:rsidR="00664256" w:rsidRPr="002F4AD5">
        <w:t xml:space="preserve">t is </w:t>
      </w:r>
      <w:r w:rsidR="00194209">
        <w:t>equally reasonable and</w:t>
      </w:r>
      <w:r w:rsidR="00664256" w:rsidRPr="002F4AD5">
        <w:t xml:space="preserve"> appropriate that the company-wide allocation factor thus determined should be applied only to the shared costs </w:t>
      </w:r>
      <w:r w:rsidR="003F5AD6" w:rsidRPr="002F4AD5">
        <w:t>it is</w:t>
      </w:r>
      <w:r w:rsidR="00664256" w:rsidRPr="002F4AD5">
        <w:t xml:space="preserve"> meant to allocate. </w:t>
      </w:r>
      <w:r w:rsidRPr="002F4AD5">
        <w:t>T</w:t>
      </w:r>
      <w:r w:rsidR="00367ED0" w:rsidRPr="002F4AD5">
        <w:t xml:space="preserve">he Company’s </w:t>
      </w:r>
      <w:r w:rsidR="00664256" w:rsidRPr="002F4AD5">
        <w:t>propos</w:t>
      </w:r>
      <w:r w:rsidRPr="002F4AD5">
        <w:t>al to allocate directly assignable utility costs (</w:t>
      </w:r>
      <w:r w:rsidRPr="002F4AD5">
        <w:rPr>
          <w:i/>
        </w:rPr>
        <w:t>i.e.,</w:t>
      </w:r>
      <w:r w:rsidRPr="002F4AD5">
        <w:t xml:space="preserve"> those incurred in facilities that are not shared)</w:t>
      </w:r>
      <w:r w:rsidR="00664256" w:rsidRPr="002F4AD5">
        <w:t xml:space="preserve"> </w:t>
      </w:r>
      <w:r w:rsidRPr="002F4AD5">
        <w:t xml:space="preserve">is contrary to standard ratemaking practice. The principle of cost causation requires that costs should be paid by those who cause them to be incurred. </w:t>
      </w:r>
      <w:proofErr w:type="spellStart"/>
      <w:r w:rsidRPr="002F4AD5">
        <w:t>WCR’s</w:t>
      </w:r>
      <w:proofErr w:type="spellEnd"/>
      <w:r w:rsidRPr="002F4AD5">
        <w:t xml:space="preserve"> costs incurred in facilities it does not share with </w:t>
      </w:r>
      <w:proofErr w:type="spellStart"/>
      <w:r w:rsidRPr="002F4AD5">
        <w:t>WCI</w:t>
      </w:r>
      <w:proofErr w:type="spellEnd"/>
      <w:r w:rsidRPr="002F4AD5">
        <w:t xml:space="preserve"> cannot be said to be caused by </w:t>
      </w:r>
      <w:proofErr w:type="spellStart"/>
      <w:r w:rsidRPr="002F4AD5">
        <w:t>WCI</w:t>
      </w:r>
      <w:proofErr w:type="spellEnd"/>
      <w:r w:rsidRPr="002F4AD5">
        <w:t xml:space="preserve"> </w:t>
      </w:r>
      <w:r w:rsidRPr="002F4AD5">
        <w:lastRenderedPageBreak/>
        <w:t xml:space="preserve">customers. To impose such costs </w:t>
      </w:r>
      <w:r w:rsidR="00664256" w:rsidRPr="002F4AD5">
        <w:t xml:space="preserve">on </w:t>
      </w:r>
      <w:proofErr w:type="spellStart"/>
      <w:r w:rsidR="00664256" w:rsidRPr="002F4AD5">
        <w:t>WCI</w:t>
      </w:r>
      <w:proofErr w:type="spellEnd"/>
      <w:r w:rsidR="00B81A8B" w:rsidRPr="002F4AD5">
        <w:t xml:space="preserve"> ratepayers</w:t>
      </w:r>
      <w:r w:rsidRPr="002F4AD5">
        <w:t xml:space="preserve"> </w:t>
      </w:r>
      <w:r w:rsidR="00BC5CBD">
        <w:t xml:space="preserve">is contrary to sound regulatory practice and </w:t>
      </w:r>
      <w:r w:rsidRPr="002F4AD5">
        <w:t>would be unfair</w:t>
      </w:r>
      <w:r w:rsidR="00367ED0" w:rsidRPr="002F4AD5">
        <w:t>.</w:t>
      </w:r>
      <w:r w:rsidR="00367ED0" w:rsidRPr="002F4AD5">
        <w:rPr>
          <w:rStyle w:val="FootnoteReference"/>
        </w:rPr>
        <w:footnoteReference w:id="39"/>
      </w:r>
      <w:r w:rsidR="00664256" w:rsidRPr="002F4AD5">
        <w:t xml:space="preserve"> Put differently, </w:t>
      </w:r>
      <w:proofErr w:type="spellStart"/>
      <w:r w:rsidR="00664256" w:rsidRPr="002F4AD5">
        <w:t>WCI’s</w:t>
      </w:r>
      <w:proofErr w:type="spellEnd"/>
      <w:r w:rsidR="00664256" w:rsidRPr="002F4AD5">
        <w:t xml:space="preserve"> proposal would require its ratepayers to subsidize the unregulated operations of </w:t>
      </w:r>
      <w:proofErr w:type="spellStart"/>
      <w:r w:rsidR="00664256" w:rsidRPr="002F4AD5">
        <w:t>WCR</w:t>
      </w:r>
      <w:proofErr w:type="spellEnd"/>
      <w:r w:rsidR="00664256" w:rsidRPr="002F4AD5">
        <w:t>. Such cross-subsidization is inappropriate</w:t>
      </w:r>
      <w:r w:rsidR="00901FF9">
        <w:t>, and would likely result in rates that are not “just, fair, reasonable and sufficient</w:t>
      </w:r>
      <w:r w:rsidR="005B47AB">
        <w:t>,</w:t>
      </w:r>
      <w:r w:rsidR="00901FF9">
        <w:t>”</w:t>
      </w:r>
      <w:r w:rsidR="00901FF9">
        <w:rPr>
          <w:rStyle w:val="FootnoteReference"/>
        </w:rPr>
        <w:footnoteReference w:id="40"/>
      </w:r>
      <w:r w:rsidR="00901FF9">
        <w:t xml:space="preserve"> the statutory standard the Commission must apply in establishing rates for transportation services. </w:t>
      </w:r>
    </w:p>
    <w:p w14:paraId="2E2B59A5" w14:textId="77777777" w:rsidR="00F5317D" w:rsidRPr="002F4AD5" w:rsidRDefault="00F5317D" w:rsidP="00911029">
      <w:pPr>
        <w:pStyle w:val="ListParagraph"/>
        <w:spacing w:line="264" w:lineRule="auto"/>
      </w:pPr>
    </w:p>
    <w:p w14:paraId="501ADA65" w14:textId="77777777" w:rsidR="00367ED0" w:rsidRDefault="00751893" w:rsidP="00911029">
      <w:pPr>
        <w:numPr>
          <w:ilvl w:val="0"/>
          <w:numId w:val="2"/>
        </w:numPr>
        <w:spacing w:line="264" w:lineRule="auto"/>
      </w:pPr>
      <w:r w:rsidRPr="002F4AD5">
        <w:t>W</w:t>
      </w:r>
      <w:r w:rsidR="00367ED0" w:rsidRPr="002F4AD5">
        <w:t xml:space="preserve">e </w:t>
      </w:r>
      <w:r w:rsidRPr="002F4AD5">
        <w:t xml:space="preserve">deny </w:t>
      </w:r>
      <w:proofErr w:type="spellStart"/>
      <w:r w:rsidRPr="002F4AD5">
        <w:t>WCI’s</w:t>
      </w:r>
      <w:proofErr w:type="spellEnd"/>
      <w:r w:rsidRPr="002F4AD5">
        <w:t xml:space="preserve"> petition insofar as shared utility expense is concerned and </w:t>
      </w:r>
      <w:r w:rsidR="00367ED0" w:rsidRPr="002F4AD5">
        <w:t>accept S</w:t>
      </w:r>
      <w:r w:rsidR="00247AEA" w:rsidRPr="002F4AD5">
        <w:t xml:space="preserve">taff’s proposed Adjustment R-6D, </w:t>
      </w:r>
      <w:r w:rsidRPr="002F4AD5">
        <w:t xml:space="preserve">plus the additional </w:t>
      </w:r>
      <w:r w:rsidR="00247AEA" w:rsidRPr="002F4AD5">
        <w:t xml:space="preserve">$1,449 </w:t>
      </w:r>
      <w:r w:rsidRPr="002F4AD5">
        <w:t xml:space="preserve">Order 12 finds should be allocated </w:t>
      </w:r>
      <w:r w:rsidR="00247AEA" w:rsidRPr="002F4AD5">
        <w:t xml:space="preserve">to </w:t>
      </w:r>
      <w:proofErr w:type="spellStart"/>
      <w:r w:rsidR="00247AEA" w:rsidRPr="002F4AD5">
        <w:t>WCI</w:t>
      </w:r>
      <w:proofErr w:type="spellEnd"/>
      <w:r w:rsidR="00247AEA" w:rsidRPr="002F4AD5">
        <w:t xml:space="preserve"> for shared utility expenses,</w:t>
      </w:r>
      <w:r w:rsidRPr="002F4AD5">
        <w:t xml:space="preserve"> for a total of </w:t>
      </w:r>
      <w:r w:rsidR="003F5AD6" w:rsidRPr="002F4AD5">
        <w:t>$</w:t>
      </w:r>
      <w:r w:rsidR="00367ED0" w:rsidRPr="002F4AD5">
        <w:t>15,424.</w:t>
      </w:r>
      <w:r w:rsidR="009A6FA5" w:rsidRPr="002F4AD5">
        <w:t xml:space="preserve"> We thus reject </w:t>
      </w:r>
      <w:proofErr w:type="spellStart"/>
      <w:r w:rsidR="009A6FA5" w:rsidRPr="002F4AD5">
        <w:t>WCI’s</w:t>
      </w:r>
      <w:proofErr w:type="spellEnd"/>
      <w:r w:rsidR="009A6FA5" w:rsidRPr="002F4AD5">
        <w:t xml:space="preserve"> exceptions to the Initial Order</w:t>
      </w:r>
      <w:r w:rsidR="008F6B94">
        <w:t>’</w:t>
      </w:r>
      <w:r w:rsidR="009A6FA5" w:rsidRPr="002F4AD5">
        <w:t>s Finding/Conclusion (8) at ¶ 90 and (9) at ¶ 91.</w:t>
      </w:r>
      <w:r w:rsidR="00367ED0" w:rsidRPr="002F4AD5">
        <w:t xml:space="preserve"> </w:t>
      </w:r>
      <w:r w:rsidR="00F5317D" w:rsidRPr="002F4AD5">
        <w:t xml:space="preserve"> </w:t>
      </w:r>
    </w:p>
    <w:p w14:paraId="31392B29" w14:textId="5CBFE5C9" w:rsidR="00897EF0" w:rsidRPr="002F4AD5" w:rsidRDefault="00897EF0" w:rsidP="00897EF0">
      <w:pPr>
        <w:spacing w:line="264" w:lineRule="auto"/>
      </w:pPr>
    </w:p>
    <w:p w14:paraId="79398EE5" w14:textId="77777777" w:rsidR="00142C2B" w:rsidRPr="002F4AD5" w:rsidRDefault="00142C2B" w:rsidP="00911029">
      <w:pPr>
        <w:pStyle w:val="Heading3"/>
        <w:spacing w:before="0" w:line="264" w:lineRule="auto"/>
      </w:pPr>
      <w:bookmarkStart w:id="6" w:name="_Toc425254177"/>
      <w:r w:rsidRPr="002F4AD5">
        <w:t>Land Rents</w:t>
      </w:r>
      <w:bookmarkEnd w:id="6"/>
    </w:p>
    <w:p w14:paraId="302BE094" w14:textId="77777777" w:rsidR="00EF4C46" w:rsidRPr="002F4AD5" w:rsidRDefault="00EF4C46" w:rsidP="00911029">
      <w:pPr>
        <w:spacing w:line="264" w:lineRule="auto"/>
      </w:pPr>
    </w:p>
    <w:p w14:paraId="1E534B22" w14:textId="77777777" w:rsidR="00E16DE0" w:rsidRDefault="00FF7CE5" w:rsidP="00911029">
      <w:pPr>
        <w:numPr>
          <w:ilvl w:val="0"/>
          <w:numId w:val="2"/>
        </w:numPr>
        <w:spacing w:line="264" w:lineRule="auto"/>
      </w:pPr>
      <w:proofErr w:type="spellStart"/>
      <w:r w:rsidRPr="002F4AD5">
        <w:t>WCI</w:t>
      </w:r>
      <w:proofErr w:type="spellEnd"/>
      <w:r w:rsidRPr="002F4AD5">
        <w:t xml:space="preserve"> has no direct ownership interests in the shared facilities </w:t>
      </w:r>
      <w:r w:rsidR="002C5715" w:rsidRPr="002F4AD5">
        <w:t>it uses to</w:t>
      </w:r>
      <w:r w:rsidR="00897EF0">
        <w:t xml:space="preserve"> conduct its operations. </w:t>
      </w:r>
      <w:proofErr w:type="spellStart"/>
      <w:r w:rsidRPr="002F4AD5">
        <w:t>WCI</w:t>
      </w:r>
      <w:proofErr w:type="spellEnd"/>
      <w:r w:rsidRPr="002F4AD5">
        <w:t xml:space="preserve"> and its affiliates, </w:t>
      </w:r>
      <w:proofErr w:type="spellStart"/>
      <w:r w:rsidRPr="002F4AD5">
        <w:t>WCR</w:t>
      </w:r>
      <w:proofErr w:type="spellEnd"/>
      <w:r w:rsidRPr="002F4AD5">
        <w:t xml:space="preserve"> and </w:t>
      </w:r>
      <w:proofErr w:type="spellStart"/>
      <w:r w:rsidRPr="002F4AD5">
        <w:t>WCE</w:t>
      </w:r>
      <w:proofErr w:type="spellEnd"/>
      <w:r w:rsidRPr="002F4AD5">
        <w:t xml:space="preserve">, lease their shared facilities from two other affiliates known as </w:t>
      </w:r>
      <w:proofErr w:type="spellStart"/>
      <w:r w:rsidR="00CD4DFF" w:rsidRPr="002F4AD5">
        <w:t>Heirborne</w:t>
      </w:r>
      <w:proofErr w:type="spellEnd"/>
      <w:r w:rsidRPr="002F4AD5">
        <w:t xml:space="preserve"> Investments I LLC</w:t>
      </w:r>
      <w:r w:rsidR="00CD4DFF" w:rsidRPr="002F4AD5">
        <w:t xml:space="preserve"> (</w:t>
      </w:r>
      <w:proofErr w:type="spellStart"/>
      <w:r w:rsidR="00CD4DFF" w:rsidRPr="002F4AD5">
        <w:t>HB</w:t>
      </w:r>
      <w:proofErr w:type="spellEnd"/>
      <w:r w:rsidR="00CD4DFF" w:rsidRPr="002F4AD5">
        <w:t xml:space="preserve"> I) and </w:t>
      </w:r>
      <w:proofErr w:type="spellStart"/>
      <w:r w:rsidR="00CD4DFF" w:rsidRPr="002F4AD5">
        <w:t>Heirborne</w:t>
      </w:r>
      <w:proofErr w:type="spellEnd"/>
      <w:r w:rsidRPr="002F4AD5">
        <w:t xml:space="preserve"> Investments</w:t>
      </w:r>
      <w:r w:rsidR="00CD4DFF" w:rsidRPr="002F4AD5">
        <w:t xml:space="preserve"> II (</w:t>
      </w:r>
      <w:proofErr w:type="spellStart"/>
      <w:r w:rsidR="00CD4DFF" w:rsidRPr="002F4AD5">
        <w:t>HB</w:t>
      </w:r>
      <w:proofErr w:type="spellEnd"/>
      <w:r w:rsidR="00CD4DFF" w:rsidRPr="002F4AD5">
        <w:t xml:space="preserve"> II)</w:t>
      </w:r>
      <w:r w:rsidRPr="002F4AD5">
        <w:t>.</w:t>
      </w:r>
      <w:r w:rsidR="00AE0606">
        <w:rPr>
          <w:rStyle w:val="FootnoteReference"/>
        </w:rPr>
        <w:footnoteReference w:id="41"/>
      </w:r>
      <w:r w:rsidR="001A2533" w:rsidRPr="002F4AD5">
        <w:t xml:space="preserve"> The standard for a reasonable allowance</w:t>
      </w:r>
      <w:r w:rsidR="006A46E6" w:rsidRPr="002F4AD5">
        <w:t xml:space="preserve"> for lease expense in such circumstances</w:t>
      </w:r>
      <w:r w:rsidR="001A2533" w:rsidRPr="002F4AD5">
        <w:t xml:space="preserve"> is the lower of the competitive market price or the affiliate’s cost plus a fair return.</w:t>
      </w:r>
      <w:r w:rsidR="006A46E6" w:rsidRPr="002F4AD5">
        <w:rPr>
          <w:rStyle w:val="FootnoteReference"/>
        </w:rPr>
        <w:footnoteReference w:id="42"/>
      </w:r>
      <w:r w:rsidR="00040008" w:rsidRPr="002F4AD5">
        <w:t xml:space="preserve">  </w:t>
      </w:r>
    </w:p>
    <w:p w14:paraId="7C76281F" w14:textId="77777777" w:rsidR="00E16DE0" w:rsidRDefault="00E16DE0" w:rsidP="00911029">
      <w:pPr>
        <w:spacing w:line="264" w:lineRule="auto"/>
      </w:pPr>
    </w:p>
    <w:p w14:paraId="5BEE261F" w14:textId="77777777" w:rsidR="006A46E6" w:rsidRPr="002F4AD5" w:rsidRDefault="00040008" w:rsidP="00911029">
      <w:pPr>
        <w:numPr>
          <w:ilvl w:val="0"/>
          <w:numId w:val="2"/>
        </w:numPr>
        <w:spacing w:line="264" w:lineRule="auto"/>
      </w:pPr>
      <w:r w:rsidRPr="002F4AD5">
        <w:lastRenderedPageBreak/>
        <w:t xml:space="preserve">Ms. Davis presents two exhibits for the Company that show “per </w:t>
      </w:r>
      <w:r w:rsidR="00B11322" w:rsidRPr="002F4AD5">
        <w:t>o</w:t>
      </w:r>
      <w:r w:rsidRPr="002F4AD5">
        <w:t xml:space="preserve">perations” </w:t>
      </w:r>
      <w:r w:rsidR="00B11322" w:rsidRPr="002F4AD5">
        <w:t xml:space="preserve">or “per books” </w:t>
      </w:r>
      <w:r w:rsidRPr="002F4AD5">
        <w:t>rental expenses totaling $138,000 for the test period.</w:t>
      </w:r>
      <w:r w:rsidRPr="002F4AD5">
        <w:rPr>
          <w:rStyle w:val="FootnoteReference"/>
        </w:rPr>
        <w:footnoteReference w:id="43"/>
      </w:r>
      <w:r w:rsidR="00FF7CE5" w:rsidRPr="002F4AD5">
        <w:t xml:space="preserve"> </w:t>
      </w:r>
      <w:r w:rsidR="000133CA" w:rsidRPr="002F4AD5">
        <w:t xml:space="preserve">This compares to </w:t>
      </w:r>
      <w:r w:rsidR="00E919DE">
        <w:t xml:space="preserve">either $92,000 or </w:t>
      </w:r>
      <w:r w:rsidR="000133CA" w:rsidRPr="002F4AD5">
        <w:t xml:space="preserve">$80,000 in per operations rent at the time of </w:t>
      </w:r>
      <w:proofErr w:type="spellStart"/>
      <w:r w:rsidR="000133CA" w:rsidRPr="002F4AD5">
        <w:t>WCI’s</w:t>
      </w:r>
      <w:proofErr w:type="spellEnd"/>
      <w:r w:rsidR="000133CA" w:rsidRPr="002F4AD5">
        <w:t xml:space="preserve"> prior rate case in 2009 in Docket TG-091653</w:t>
      </w:r>
      <w:r w:rsidR="00E919DE">
        <w:t xml:space="preserve">. It is unclear which figure was on the Company’s books at the time. Ms. Davis’ exhibit suggests $92,000 as the “total annual rent expense” </w:t>
      </w:r>
      <w:r w:rsidR="008F6B94">
        <w:t>that</w:t>
      </w:r>
      <w:r w:rsidR="00E919DE">
        <w:t xml:space="preserve"> the Company would adjust by adding</w:t>
      </w:r>
      <w:r w:rsidR="00E36A5F">
        <w:t xml:space="preserve"> $31,500 in “newly rented items” </w:t>
      </w:r>
      <w:r w:rsidR="00E16DE0">
        <w:t>recognized in th</w:t>
      </w:r>
      <w:r w:rsidR="00E919DE">
        <w:t>e 2009</w:t>
      </w:r>
      <w:r w:rsidR="00E16DE0">
        <w:t xml:space="preserve"> docket </w:t>
      </w:r>
      <w:r w:rsidR="00E36A5F">
        <w:t>for a total of $</w:t>
      </w:r>
      <w:r w:rsidR="00E919DE">
        <w:t>123,750</w:t>
      </w:r>
      <w:r w:rsidR="000133CA" w:rsidRPr="002F4AD5">
        <w:t xml:space="preserve">. </w:t>
      </w:r>
      <w:r w:rsidR="00AA0238">
        <w:t xml:space="preserve">In any event, </w:t>
      </w:r>
      <w:r w:rsidR="00F86AB8" w:rsidRPr="002F4AD5">
        <w:t>Ms. Davis</w:t>
      </w:r>
      <w:r w:rsidR="00AA0238">
        <w:t xml:space="preserve"> testifies unequivocally</w:t>
      </w:r>
      <w:r w:rsidR="00702D55">
        <w:t xml:space="preserve"> elsewhere</w:t>
      </w:r>
      <w:r w:rsidR="00FA429C">
        <w:t xml:space="preserve"> in the record</w:t>
      </w:r>
      <w:r w:rsidR="00AA0238">
        <w:t xml:space="preserve"> that the Commission allowed $80,250 in land rent in the 2009 case, </w:t>
      </w:r>
      <w:r w:rsidR="00F86AB8" w:rsidRPr="002F4AD5">
        <w:t>which was not adjudicated.</w:t>
      </w:r>
      <w:r w:rsidR="00F86AB8" w:rsidRPr="002F4AD5">
        <w:rPr>
          <w:rStyle w:val="FootnoteReference"/>
        </w:rPr>
        <w:footnoteReference w:id="44"/>
      </w:r>
    </w:p>
    <w:p w14:paraId="5A394CA6" w14:textId="77777777" w:rsidR="006A46E6" w:rsidRPr="002F4AD5" w:rsidRDefault="006A46E6" w:rsidP="00911029">
      <w:pPr>
        <w:spacing w:line="264" w:lineRule="auto"/>
      </w:pPr>
    </w:p>
    <w:p w14:paraId="633E70E4" w14:textId="77777777" w:rsidR="002C632D" w:rsidRDefault="00CD4DFF" w:rsidP="00911029">
      <w:pPr>
        <w:numPr>
          <w:ilvl w:val="0"/>
          <w:numId w:val="2"/>
        </w:numPr>
        <w:spacing w:line="264" w:lineRule="auto"/>
      </w:pPr>
      <w:proofErr w:type="spellStart"/>
      <w:r w:rsidRPr="002F4AD5">
        <w:t>WCI</w:t>
      </w:r>
      <w:proofErr w:type="spellEnd"/>
      <w:r w:rsidRPr="002F4AD5">
        <w:t xml:space="preserve"> and Staff agreed</w:t>
      </w:r>
      <w:r w:rsidR="00E36A5F">
        <w:t xml:space="preserve"> in this case</w:t>
      </w:r>
      <w:r w:rsidRPr="002F4AD5">
        <w:t xml:space="preserve"> </w:t>
      </w:r>
      <w:r w:rsidR="009E122A" w:rsidRPr="002F4AD5">
        <w:t>to</w:t>
      </w:r>
      <w:r w:rsidRPr="002F4AD5">
        <w:t xml:space="preserve"> calculat</w:t>
      </w:r>
      <w:r w:rsidR="009E122A" w:rsidRPr="002F4AD5">
        <w:t>e</w:t>
      </w:r>
      <w:r w:rsidRPr="002F4AD5">
        <w:t xml:space="preserve"> the Company’s allowed affiliated rents in shared facilities</w:t>
      </w:r>
      <w:r w:rsidR="00FF7CE5" w:rsidRPr="002F4AD5">
        <w:t xml:space="preserve"> </w:t>
      </w:r>
      <w:r w:rsidR="009E122A" w:rsidRPr="002F4AD5">
        <w:t xml:space="preserve">using </w:t>
      </w:r>
      <w:r w:rsidR="00E36A5F">
        <w:t>a</w:t>
      </w:r>
      <w:r w:rsidR="009E122A" w:rsidRPr="002F4AD5">
        <w:t xml:space="preserve"> cost</w:t>
      </w:r>
      <w:r w:rsidR="006A46E6" w:rsidRPr="002F4AD5">
        <w:t>-</w:t>
      </w:r>
      <w:r w:rsidR="009E122A" w:rsidRPr="002F4AD5">
        <w:t>plus</w:t>
      </w:r>
      <w:r w:rsidR="006A46E6" w:rsidRPr="002F4AD5">
        <w:t>-</w:t>
      </w:r>
      <w:r w:rsidR="009E122A" w:rsidRPr="002F4AD5">
        <w:t>return approach</w:t>
      </w:r>
      <w:r w:rsidR="006A46E6" w:rsidRPr="002F4AD5">
        <w:t xml:space="preserve"> but </w:t>
      </w:r>
      <w:r w:rsidR="00D422D1" w:rsidRPr="002F4AD5">
        <w:t>disagree</w:t>
      </w:r>
      <w:r w:rsidR="00B0187B" w:rsidRPr="002F4AD5">
        <w:t>d</w:t>
      </w:r>
      <w:r w:rsidR="00D422D1" w:rsidRPr="002F4AD5">
        <w:t xml:space="preserve"> on what capital structure, cost of debt, cost of equity, and allocation of depreciation and average net investment should be used to calculate</w:t>
      </w:r>
      <w:r w:rsidRPr="002F4AD5">
        <w:t xml:space="preserve"> </w:t>
      </w:r>
      <w:r w:rsidR="00D422D1" w:rsidRPr="002F4AD5">
        <w:t>allowed rent</w:t>
      </w:r>
      <w:r w:rsidRPr="002F4AD5">
        <w:t>.</w:t>
      </w:r>
      <w:r w:rsidR="002C632D">
        <w:t xml:space="preserve"> There is nothing new about the Commission’s use of the cost-plus-return method to determine costs for affiliated transactions such as land rent. The rationale for using this approach is usefully discussed in</w:t>
      </w:r>
      <w:r w:rsidR="00AA0238">
        <w:t xml:space="preserve"> a 2002</w:t>
      </w:r>
      <w:r w:rsidR="002C632D">
        <w:t xml:space="preserve"> rate case cited repeatedly in the record of this docket, </w:t>
      </w:r>
      <w:r w:rsidR="002C632D" w:rsidRPr="002C632D">
        <w:rPr>
          <w:i/>
        </w:rPr>
        <w:t>Bremerton-Kitsap</w:t>
      </w:r>
      <w:r w:rsidR="002C632D">
        <w:rPr>
          <w:i/>
        </w:rPr>
        <w:t>.</w:t>
      </w:r>
      <w:r w:rsidR="002C632D">
        <w:rPr>
          <w:rStyle w:val="FootnoteReference"/>
          <w:i/>
        </w:rPr>
        <w:footnoteReference w:id="45"/>
      </w:r>
      <w:r w:rsidR="002C632D">
        <w:t xml:space="preserve"> The fuller discussion is in the Initial Order in the case, as follows:</w:t>
      </w:r>
    </w:p>
    <w:p w14:paraId="6D7DCCF1" w14:textId="77777777" w:rsidR="002C632D" w:rsidRDefault="002C632D" w:rsidP="00911029">
      <w:pPr>
        <w:pStyle w:val="ListParagraph"/>
        <w:spacing w:line="264" w:lineRule="auto"/>
      </w:pPr>
    </w:p>
    <w:p w14:paraId="0E2C2BE5" w14:textId="77777777" w:rsidR="002C632D" w:rsidRPr="002C632D" w:rsidRDefault="002C632D" w:rsidP="00911029">
      <w:pPr>
        <w:spacing w:line="264" w:lineRule="auto"/>
        <w:ind w:left="720"/>
      </w:pPr>
      <w:r w:rsidRPr="002C632D">
        <w:t>The approach taken by Staff has been the Commission’s standard ratemaking approach for many years, as the Company acknowledges at page 6 of</w:t>
      </w:r>
      <w:r w:rsidR="005676FC">
        <w:t xml:space="preserve"> its brief. </w:t>
      </w:r>
      <w:r w:rsidRPr="002C632D">
        <w:t>Deciding this issue requires balancing fairness to both the owners of the facilities, who are also the stockholders of t</w:t>
      </w:r>
      <w:r w:rsidR="005676FC">
        <w:t>he Company, and the ratepayers.</w:t>
      </w:r>
      <w:r w:rsidRPr="002C632D">
        <w:t xml:space="preserve"> It is assumed in the cost plus fair return approach that, like utility property, if the owners are allowed full capital recovery plus a fair return on the investment at issue, the owners of the property are fairly treated.  </w:t>
      </w:r>
    </w:p>
    <w:p w14:paraId="4F9CAADC" w14:textId="77777777" w:rsidR="002C632D" w:rsidRPr="002C632D" w:rsidRDefault="002C632D" w:rsidP="00911029">
      <w:pPr>
        <w:spacing w:line="264" w:lineRule="auto"/>
      </w:pPr>
    </w:p>
    <w:p w14:paraId="48539C61" w14:textId="77777777" w:rsidR="002C632D" w:rsidRPr="002C632D" w:rsidRDefault="002C632D" w:rsidP="00911029">
      <w:pPr>
        <w:spacing w:line="264" w:lineRule="auto"/>
        <w:ind w:left="720"/>
      </w:pPr>
      <w:r w:rsidRPr="002C632D">
        <w:t>An owner may choose to hold property and facilities separate from the business and lea</w:t>
      </w:r>
      <w:r w:rsidR="005676FC">
        <w:t>se it to the regulated utility.</w:t>
      </w:r>
      <w:r w:rsidRPr="002C632D">
        <w:t xml:space="preserve"> There may be tax advantages in doing so, if the lease expenses are allowed as a deduction f</w:t>
      </w:r>
      <w:r w:rsidR="005676FC">
        <w:t>or federal income tax purposes.</w:t>
      </w:r>
      <w:r w:rsidRPr="002C632D">
        <w:t xml:space="preserve"> However, the concern the Commission has historically expressed is that an owner could keep all property separate from the regulated utility and charge </w:t>
      </w:r>
      <w:r w:rsidR="005676FC">
        <w:t>a lease expense to the Company.</w:t>
      </w:r>
      <w:r w:rsidRPr="002C632D">
        <w:t xml:space="preserve"> The ratepayers could find themselves in a pay-forever situation, in which they would continue to pay the owner an amount for capital recovery on the property </w:t>
      </w:r>
      <w:r w:rsidRPr="002C632D">
        <w:lastRenderedPageBreak/>
        <w:t xml:space="preserve">at issue long after the property has been fully depreciated and pay the owner, potentially, an excessive return on the property through the lease expense.  </w:t>
      </w:r>
    </w:p>
    <w:p w14:paraId="4AA302A4" w14:textId="77777777" w:rsidR="002C632D" w:rsidRPr="002C632D" w:rsidRDefault="002C632D" w:rsidP="00911029">
      <w:pPr>
        <w:spacing w:line="264" w:lineRule="auto"/>
      </w:pPr>
    </w:p>
    <w:p w14:paraId="6AA91967" w14:textId="77777777" w:rsidR="002C632D" w:rsidRPr="002C632D" w:rsidRDefault="002C632D" w:rsidP="00911029">
      <w:pPr>
        <w:spacing w:line="264" w:lineRule="auto"/>
        <w:ind w:left="720"/>
      </w:pPr>
      <w:r w:rsidRPr="002C632D">
        <w:t>The standard to apply regarding this issue is that the ratepayers should pay for the full historical cost o</w:t>
      </w:r>
      <w:r w:rsidR="005676FC">
        <w:t>f service, no more and no less.</w:t>
      </w:r>
      <w:r w:rsidRPr="002C632D">
        <w:t xml:space="preserve"> Original cost ratemaking is the Commission’s standard ratemaking approach, and is especially important in situations where there is less than arm’s length transaction conditions involving lease payments </w:t>
      </w:r>
      <w:r w:rsidR="005676FC">
        <w:t xml:space="preserve">paid by the regulated utility. </w:t>
      </w:r>
      <w:r w:rsidRPr="002C632D">
        <w:t>The standard for a reasonable price is the lower of the competitive market price or the affiliate’s cost plus a fair return.</w:t>
      </w:r>
      <w:r w:rsidR="00A27DD2">
        <w:rPr>
          <w:rStyle w:val="FootnoteReference"/>
        </w:rPr>
        <w:footnoteReference w:id="46"/>
      </w:r>
      <w:r w:rsidRPr="002C632D">
        <w:t xml:space="preserve"> </w:t>
      </w:r>
    </w:p>
    <w:p w14:paraId="74407DB9" w14:textId="77777777" w:rsidR="002C632D" w:rsidRPr="002C632D" w:rsidRDefault="002C632D" w:rsidP="00911029">
      <w:pPr>
        <w:spacing w:line="264" w:lineRule="auto"/>
      </w:pPr>
    </w:p>
    <w:p w14:paraId="69242554" w14:textId="77777777" w:rsidR="002C632D" w:rsidRPr="00934841" w:rsidRDefault="002C632D" w:rsidP="00911029">
      <w:pPr>
        <w:spacing w:line="264" w:lineRule="auto"/>
      </w:pPr>
      <w:r w:rsidRPr="002C632D">
        <w:t>This determination was not an issue on review and the Commission’s Final Order</w:t>
      </w:r>
      <w:r w:rsidR="00702D55">
        <w:t xml:space="preserve"> in </w:t>
      </w:r>
      <w:r w:rsidR="00702D55" w:rsidRPr="00702D55">
        <w:rPr>
          <w:i/>
        </w:rPr>
        <w:t>Bremerton-Kitsap</w:t>
      </w:r>
      <w:r w:rsidRPr="002C632D">
        <w:t xml:space="preserve"> adopted the rationale of the Initial Order.</w:t>
      </w:r>
      <w:r w:rsidRPr="002C632D">
        <w:rPr>
          <w:vertAlign w:val="superscript"/>
        </w:rPr>
        <w:footnoteReference w:id="47"/>
      </w:r>
      <w:r w:rsidR="00A27DD2">
        <w:t xml:space="preserve"> </w:t>
      </w:r>
      <w:r w:rsidR="00934841">
        <w:t xml:space="preserve">While </w:t>
      </w:r>
      <w:r w:rsidR="00934841" w:rsidRPr="00934841">
        <w:rPr>
          <w:i/>
        </w:rPr>
        <w:t>Bremerton-Kitsap</w:t>
      </w:r>
      <w:r w:rsidR="00934841">
        <w:t xml:space="preserve"> offers this excellent summary of the rationale behind the cost-plus-return method for determining costs in affiliated transactions, the </w:t>
      </w:r>
      <w:r w:rsidR="00AA0238">
        <w:t>Third and Fifth Supplemental Orders</w:t>
      </w:r>
      <w:r w:rsidR="00934841">
        <w:t xml:space="preserve"> </w:t>
      </w:r>
      <w:r w:rsidR="00D83559">
        <w:t>lack</w:t>
      </w:r>
      <w:r w:rsidR="00934841">
        <w:t xml:space="preserve"> detail in terms of the actual application of the method under the facts of the case. Indeed, these must be inferred from an appendix attached to both the Initial and Final Orders that</w:t>
      </w:r>
      <w:r w:rsidR="00D83559">
        <w:t xml:space="preserve"> simply</w:t>
      </w:r>
      <w:r w:rsidR="00934841">
        <w:t xml:space="preserve"> shows the calculation of the land rent adjustment in the case. This leaves room for considerable dispute and land rent is one of the more contentious issues in this proceeding.</w:t>
      </w:r>
    </w:p>
    <w:p w14:paraId="2AB902ED" w14:textId="77777777" w:rsidR="002C632D" w:rsidRDefault="002C632D" w:rsidP="00911029">
      <w:pPr>
        <w:pStyle w:val="ListParagraph"/>
        <w:spacing w:line="264" w:lineRule="auto"/>
      </w:pPr>
    </w:p>
    <w:p w14:paraId="16B1F7CC" w14:textId="77777777" w:rsidR="00D96D8E" w:rsidRDefault="00016EF5" w:rsidP="00911029">
      <w:pPr>
        <w:numPr>
          <w:ilvl w:val="0"/>
          <w:numId w:val="2"/>
        </w:numPr>
        <w:spacing w:line="264" w:lineRule="auto"/>
      </w:pPr>
      <w:r w:rsidRPr="002F4AD5">
        <w:t>The Company proposes using an asset-specific capital structure, a 15 percent return on equity (ROE), and an asset-specific cost of debt, resulting in an adjustment of $164,303.</w:t>
      </w:r>
      <w:r w:rsidRPr="002F4AD5">
        <w:rPr>
          <w:vertAlign w:val="superscript"/>
        </w:rPr>
        <w:footnoteReference w:id="48"/>
      </w:r>
      <w:r w:rsidRPr="002F4AD5">
        <w:t xml:space="preserve"> </w:t>
      </w:r>
      <w:r w:rsidR="00E94FD6" w:rsidRPr="002F4AD5">
        <w:t xml:space="preserve">All of this is asserted to be based on </w:t>
      </w:r>
      <w:r w:rsidR="00E919DE">
        <w:t>the approach</w:t>
      </w:r>
      <w:r w:rsidR="00E94FD6" w:rsidRPr="002F4AD5">
        <w:t xml:space="preserve"> the Commission approved in the </w:t>
      </w:r>
      <w:r w:rsidR="00E94FD6" w:rsidRPr="002F4AD5">
        <w:rPr>
          <w:i/>
        </w:rPr>
        <w:t>Bremerton-Kitsap</w:t>
      </w:r>
      <w:r w:rsidR="00E94FD6" w:rsidRPr="002F4AD5">
        <w:t xml:space="preserve"> case. In addition, Mr. Demas testified for the Company that “[t]he Commission has </w:t>
      </w:r>
      <w:r w:rsidR="00E94FD6" w:rsidRPr="002F4AD5">
        <w:lastRenderedPageBreak/>
        <w:t>long used a 15</w:t>
      </w:r>
      <w:r w:rsidR="00D83559">
        <w:t xml:space="preserve"> [percent]</w:t>
      </w:r>
      <w:r w:rsidR="00E94FD6" w:rsidRPr="002F4AD5">
        <w:t xml:space="preserve"> return on equity for affiliated transactions</w:t>
      </w:r>
      <w:r w:rsidR="00D83559">
        <w:t>.”</w:t>
      </w:r>
      <w:r w:rsidR="00D83559">
        <w:rPr>
          <w:rStyle w:val="FootnoteReference"/>
        </w:rPr>
        <w:footnoteReference w:id="49"/>
      </w:r>
      <w:r w:rsidR="00D83559">
        <w:t xml:space="preserve"> However, </w:t>
      </w:r>
      <w:r w:rsidR="00A27DD2">
        <w:t xml:space="preserve">he also testifies that </w:t>
      </w:r>
      <w:r w:rsidR="00D83559">
        <w:t>this was</w:t>
      </w:r>
      <w:r w:rsidR="00E94FD6" w:rsidRPr="002F4AD5">
        <w:t xml:space="preserve"> </w:t>
      </w:r>
      <w:r w:rsidR="00D83559">
        <w:t>“</w:t>
      </w:r>
      <w:r w:rsidR="00E94FD6" w:rsidRPr="002F4AD5">
        <w:t>[n]</w:t>
      </w:r>
      <w:proofErr w:type="spellStart"/>
      <w:r w:rsidR="00E94FD6" w:rsidRPr="002F4AD5">
        <w:t>ot</w:t>
      </w:r>
      <w:proofErr w:type="spellEnd"/>
      <w:r w:rsidR="00E94FD6" w:rsidRPr="002F4AD5">
        <w:t xml:space="preserve"> because of any exhaustive quantitative analysis, but simply for the lack of a better thoroughly vetted number.”</w:t>
      </w:r>
      <w:r w:rsidR="00E94FD6" w:rsidRPr="002F4AD5">
        <w:rPr>
          <w:rStyle w:val="FootnoteReference"/>
        </w:rPr>
        <w:footnoteReference w:id="50"/>
      </w:r>
      <w:r w:rsidR="00E94FD6" w:rsidRPr="002F4AD5">
        <w:t xml:space="preserve"> Ms.</w:t>
      </w:r>
      <w:r w:rsidR="00944D2E" w:rsidRPr="002F4AD5">
        <w:t xml:space="preserve"> Davis’ exhibit showing the Company’s calculation indicates “disallowed” rent of $26,302, the </w:t>
      </w:r>
      <w:r w:rsidR="0086699F" w:rsidRPr="002F4AD5">
        <w:t>“</w:t>
      </w:r>
      <w:r w:rsidR="00944D2E" w:rsidRPr="002F4AD5">
        <w:t>excess</w:t>
      </w:r>
      <w:r w:rsidR="0086699F" w:rsidRPr="002F4AD5">
        <w:t>”</w:t>
      </w:r>
      <w:r w:rsidR="00944D2E" w:rsidRPr="002F4AD5">
        <w:t xml:space="preserve"> of its cost-plus-return</w:t>
      </w:r>
      <w:r w:rsidR="00B11322" w:rsidRPr="002F4AD5">
        <w:t xml:space="preserve"> land rent</w:t>
      </w:r>
      <w:r w:rsidR="00944D2E" w:rsidRPr="002F4AD5">
        <w:t xml:space="preserve"> </w:t>
      </w:r>
      <w:r w:rsidR="000133CA" w:rsidRPr="002F4AD5">
        <w:t xml:space="preserve">calculation </w:t>
      </w:r>
      <w:r w:rsidR="00944D2E" w:rsidRPr="002F4AD5">
        <w:t>over its per operations amount.</w:t>
      </w:r>
      <w:r w:rsidR="000133CA" w:rsidRPr="002F4AD5">
        <w:t xml:space="preserve"> It is not clear exactly what</w:t>
      </w:r>
      <w:r w:rsidR="0086699F" w:rsidRPr="002F4AD5">
        <w:t xml:space="preserve"> significance</w:t>
      </w:r>
      <w:r w:rsidR="000133CA" w:rsidRPr="002F4AD5">
        <w:t xml:space="preserve"> </w:t>
      </w:r>
      <w:r w:rsidR="0086699F" w:rsidRPr="002F4AD5">
        <w:t>the Company attaches to this</w:t>
      </w:r>
      <w:r w:rsidR="000133CA" w:rsidRPr="002F4AD5">
        <w:t xml:space="preserve"> “excess” </w:t>
      </w:r>
      <w:r w:rsidR="0086699F" w:rsidRPr="002F4AD5">
        <w:t xml:space="preserve">or </w:t>
      </w:r>
      <w:r w:rsidR="000133CA" w:rsidRPr="002F4AD5">
        <w:t>“disallowed”</w:t>
      </w:r>
      <w:r w:rsidR="0086699F" w:rsidRPr="002F4AD5">
        <w:t xml:space="preserve"> amount.</w:t>
      </w:r>
      <w:r w:rsidR="004C07B5" w:rsidRPr="002F4AD5">
        <w:t xml:space="preserve"> What is clear is that </w:t>
      </w:r>
      <w:proofErr w:type="spellStart"/>
      <w:r w:rsidR="004C07B5" w:rsidRPr="002F4AD5">
        <w:t>WCI</w:t>
      </w:r>
      <w:proofErr w:type="spellEnd"/>
      <w:r w:rsidR="004C07B5" w:rsidRPr="002F4AD5">
        <w:t xml:space="preserve"> wishes to have the full $164,303</w:t>
      </w:r>
      <w:r w:rsidR="00A27DD2">
        <w:t xml:space="preserve"> it calculates</w:t>
      </w:r>
      <w:r w:rsidR="004C07B5" w:rsidRPr="002F4AD5">
        <w:t xml:space="preserve"> included in rates.</w:t>
      </w:r>
      <w:r w:rsidR="004C07B5" w:rsidRPr="002F4AD5">
        <w:rPr>
          <w:rStyle w:val="FootnoteReference"/>
        </w:rPr>
        <w:footnoteReference w:id="51"/>
      </w:r>
      <w:r w:rsidR="0086699F" w:rsidRPr="002F4AD5">
        <w:t xml:space="preserve"> </w:t>
      </w:r>
    </w:p>
    <w:p w14:paraId="447BFB57" w14:textId="77777777" w:rsidR="00D96D8E" w:rsidRDefault="00D96D8E" w:rsidP="00911029">
      <w:pPr>
        <w:spacing w:line="264" w:lineRule="auto"/>
      </w:pPr>
    </w:p>
    <w:p w14:paraId="63661537" w14:textId="77777777" w:rsidR="00D96D8E" w:rsidRPr="00D96D8E" w:rsidRDefault="00D96D8E" w:rsidP="00911029">
      <w:pPr>
        <w:numPr>
          <w:ilvl w:val="0"/>
          <w:numId w:val="2"/>
        </w:numPr>
        <w:spacing w:line="264" w:lineRule="auto"/>
      </w:pPr>
      <w:r>
        <w:t>We agree with the Initial Order</w:t>
      </w:r>
      <w:r w:rsidR="00D83559">
        <w:t>’s</w:t>
      </w:r>
      <w:r>
        <w:t xml:space="preserve"> finding that t</w:t>
      </w:r>
      <w:r w:rsidRPr="00D96D8E">
        <w:t>he Company fail</w:t>
      </w:r>
      <w:r>
        <w:t>ed</w:t>
      </w:r>
      <w:r w:rsidRPr="00D96D8E">
        <w:t xml:space="preserve"> to carry its burden to support its proposed land rent. Indeed, we need look no further than to the fact that the $164,303 </w:t>
      </w:r>
      <w:proofErr w:type="spellStart"/>
      <w:r w:rsidRPr="00D96D8E">
        <w:t>WCI</w:t>
      </w:r>
      <w:proofErr w:type="spellEnd"/>
      <w:r w:rsidRPr="00D96D8E">
        <w:t xml:space="preserve"> requests exceeds by nearly 20 percent the Company’s unadjusted per books amount of rent paid to affiliates.</w:t>
      </w:r>
      <w:r w:rsidRPr="00D96D8E">
        <w:rPr>
          <w:vertAlign w:val="superscript"/>
        </w:rPr>
        <w:footnoteReference w:id="52"/>
      </w:r>
      <w:r w:rsidRPr="00D96D8E">
        <w:t xml:space="preserve"> The excess is almost 30 percent when compared to the adjusted, or pro forma amount</w:t>
      </w:r>
      <w:r>
        <w:t xml:space="preserve"> of land rent</w:t>
      </w:r>
      <w:r w:rsidRPr="00D96D8E">
        <w:t>, $123,526.</w:t>
      </w:r>
      <w:r w:rsidRPr="00D96D8E">
        <w:rPr>
          <w:vertAlign w:val="superscript"/>
        </w:rPr>
        <w:footnoteReference w:id="53"/>
      </w:r>
      <w:r w:rsidRPr="00D96D8E">
        <w:t xml:space="preserve"> Taking </w:t>
      </w:r>
      <w:r w:rsidR="0068128B">
        <w:t xml:space="preserve">for the purposes of discussion that </w:t>
      </w:r>
      <w:r w:rsidRPr="00D96D8E">
        <w:t xml:space="preserve">the per books amounts shown on Ms. Davis’ exhibit </w:t>
      </w:r>
      <w:r w:rsidR="0068128B">
        <w:t>are</w:t>
      </w:r>
      <w:r w:rsidRPr="00D96D8E">
        <w:t xml:space="preserve"> the Company’s </w:t>
      </w:r>
      <w:r w:rsidR="0068128B">
        <w:t>idea</w:t>
      </w:r>
      <w:r w:rsidRPr="00D96D8E">
        <w:t xml:space="preserve"> of what constitutes a market-based rent, </w:t>
      </w:r>
      <w:proofErr w:type="spellStart"/>
      <w:r w:rsidRPr="00D96D8E">
        <w:t>WCI’s</w:t>
      </w:r>
      <w:proofErr w:type="spellEnd"/>
      <w:r w:rsidRPr="00D96D8E">
        <w:t xml:space="preserve"> request for considerably higher cost-plus-return</w:t>
      </w:r>
      <w:r w:rsidR="006D5300">
        <w:t xml:space="preserve"> rent</w:t>
      </w:r>
      <w:r w:rsidRPr="00D96D8E">
        <w:t xml:space="preserve"> must be denied under the standard for allowable cost in the case of affiliated transactions: the lower of the market price or the affiliate’s cost plus a fair return.  </w:t>
      </w:r>
    </w:p>
    <w:p w14:paraId="5E48CC4D" w14:textId="77777777" w:rsidR="00D96D8E" w:rsidRPr="00D96D8E" w:rsidRDefault="00D96D8E" w:rsidP="00911029">
      <w:pPr>
        <w:spacing w:line="264" w:lineRule="auto"/>
      </w:pPr>
    </w:p>
    <w:p w14:paraId="29D28056" w14:textId="77777777" w:rsidR="0068128B" w:rsidRPr="005A3487" w:rsidRDefault="00D96D8E" w:rsidP="00911029">
      <w:pPr>
        <w:numPr>
          <w:ilvl w:val="0"/>
          <w:numId w:val="2"/>
        </w:numPr>
        <w:spacing w:line="264" w:lineRule="auto"/>
      </w:pPr>
      <w:r w:rsidRPr="00D96D8E">
        <w:t xml:space="preserve">Beyond this, the methodology the Company uses is not one we are prepared to accept on the record of this proceeding. </w:t>
      </w:r>
      <w:r w:rsidR="008A6D98">
        <w:t>W</w:t>
      </w:r>
      <w:r w:rsidRPr="005A3487">
        <w:t xml:space="preserve">e cannot be certain of exactly how the cost-plus-return model was formulated in the </w:t>
      </w:r>
      <w:r w:rsidRPr="005A3487">
        <w:rPr>
          <w:i/>
        </w:rPr>
        <w:t>Bremerton-Kitsap</w:t>
      </w:r>
      <w:r w:rsidRPr="005A3487">
        <w:t xml:space="preserve"> case nor do we have a</w:t>
      </w:r>
      <w:r w:rsidR="00860B00" w:rsidRPr="005A3487">
        <w:t xml:space="preserve"> full</w:t>
      </w:r>
      <w:r w:rsidRPr="005A3487">
        <w:t xml:space="preserve"> understanding of the Commission’s rationale for accepting the results.</w:t>
      </w:r>
      <w:r w:rsidR="00860B00" w:rsidRPr="005A3487">
        <w:t xml:space="preserve"> For example, while </w:t>
      </w:r>
      <w:proofErr w:type="spellStart"/>
      <w:r w:rsidR="00860B00" w:rsidRPr="005A3487">
        <w:t>WCI</w:t>
      </w:r>
      <w:proofErr w:type="spellEnd"/>
      <w:r w:rsidR="00860B00" w:rsidRPr="005A3487">
        <w:t xml:space="preserve"> argues the cost-plus-return method in the 2002 case</w:t>
      </w:r>
      <w:r w:rsidRPr="005A3487">
        <w:t xml:space="preserve"> </w:t>
      </w:r>
      <w:r w:rsidR="00860B00" w:rsidRPr="005A3487">
        <w:t xml:space="preserve">uses the “capital structure” of the assets, this is not clear from Appendix C to the Final Order in the case. </w:t>
      </w:r>
      <w:r w:rsidR="00AF6421" w:rsidRPr="005A3487">
        <w:t>The basis for the determination of the “facility’s debt/equity portions” shown in the appendix is unexplained.</w:t>
      </w:r>
      <w:r w:rsidR="00F46445" w:rsidRPr="005A3487">
        <w:t xml:space="preserve"> Since there are two </w:t>
      </w:r>
      <w:r w:rsidR="006D5300" w:rsidRPr="005A3487">
        <w:t>or three improvements</w:t>
      </w:r>
      <w:r w:rsidR="00F46445" w:rsidRPr="005A3487">
        <w:t xml:space="preserve"> involved, with different in-service dates, </w:t>
      </w:r>
      <w:r w:rsidR="0068128B" w:rsidRPr="005A3487">
        <w:t xml:space="preserve">even if the allocation is based on the financing of the individual assets, </w:t>
      </w:r>
      <w:r w:rsidR="00F46445" w:rsidRPr="005A3487">
        <w:t xml:space="preserve">we would expect to see </w:t>
      </w:r>
      <w:r w:rsidR="006D5300" w:rsidRPr="005A3487">
        <w:t>several</w:t>
      </w:r>
      <w:r w:rsidR="00F46445" w:rsidRPr="005A3487">
        <w:t xml:space="preserve"> </w:t>
      </w:r>
      <w:r w:rsidR="006D5300" w:rsidRPr="005A3487">
        <w:t xml:space="preserve">asset-based </w:t>
      </w:r>
      <w:r w:rsidR="00F46445" w:rsidRPr="005A3487">
        <w:t>debt/equity ratios somehow reconciled, but this is not evident.</w:t>
      </w:r>
      <w:r w:rsidR="0068128B" w:rsidRPr="005A3487">
        <w:t xml:space="preserve"> Indeed, there is no discussion in the Commission’s orders concerning the financing of the various properties shown in Appendix C. Moreover, it could be that the debt/equity ratio was determined on some other basis an</w:t>
      </w:r>
      <w:r w:rsidR="00E919DE">
        <w:t>d</w:t>
      </w:r>
      <w:r w:rsidR="0068128B" w:rsidRPr="005A3487">
        <w:t xml:space="preserve"> simply applied to the total average test period rate base.</w:t>
      </w:r>
      <w:r w:rsidR="006D5300" w:rsidRPr="005A3487">
        <w:t xml:space="preserve"> </w:t>
      </w:r>
      <w:r w:rsidR="00D26FFE" w:rsidRPr="005A3487">
        <w:t xml:space="preserve">Under these circumstances, we cannot endorse </w:t>
      </w:r>
      <w:proofErr w:type="spellStart"/>
      <w:r w:rsidR="00D26FFE" w:rsidRPr="005A3487">
        <w:t>WCI’s</w:t>
      </w:r>
      <w:proofErr w:type="spellEnd"/>
      <w:r w:rsidR="00D26FFE" w:rsidRPr="005A3487">
        <w:t xml:space="preserve"> interpretation and application of </w:t>
      </w:r>
      <w:r w:rsidR="00D26FFE" w:rsidRPr="005A3487">
        <w:rPr>
          <w:i/>
        </w:rPr>
        <w:t>Bremerton-Kitsap</w:t>
      </w:r>
      <w:r w:rsidR="00D26FFE" w:rsidRPr="005A3487">
        <w:t xml:space="preserve"> to measure the </w:t>
      </w:r>
      <w:r w:rsidR="00D26FFE" w:rsidRPr="005A3487">
        <w:lastRenderedPageBreak/>
        <w:t>costs of affiliated property rentals in this case, and certainly not as a ratemaking practice to be applied generally.</w:t>
      </w:r>
      <w:r w:rsidR="00D26FFE" w:rsidRPr="005A3487">
        <w:rPr>
          <w:vertAlign w:val="superscript"/>
        </w:rPr>
        <w:footnoteReference w:id="54"/>
      </w:r>
      <w:r w:rsidR="00D26FFE" w:rsidRPr="005A3487">
        <w:t xml:space="preserve"> </w:t>
      </w:r>
    </w:p>
    <w:p w14:paraId="0B923F55" w14:textId="77777777" w:rsidR="0068128B" w:rsidRPr="005A3487" w:rsidRDefault="0068128B" w:rsidP="00911029">
      <w:pPr>
        <w:spacing w:line="264" w:lineRule="auto"/>
      </w:pPr>
    </w:p>
    <w:p w14:paraId="04945C6D" w14:textId="77777777" w:rsidR="00860B00" w:rsidRPr="005A3487" w:rsidRDefault="0068128B" w:rsidP="00911029">
      <w:pPr>
        <w:numPr>
          <w:ilvl w:val="0"/>
          <w:numId w:val="2"/>
        </w:numPr>
        <w:spacing w:line="264" w:lineRule="auto"/>
      </w:pPr>
      <w:r w:rsidRPr="005A3487">
        <w:t>Finally, we reject the Company’s proposed land rent because it is based on a return of 15 percent that is not supported by</w:t>
      </w:r>
      <w:r w:rsidR="00D83559">
        <w:t xml:space="preserve"> any</w:t>
      </w:r>
      <w:r w:rsidR="00D26FFE" w:rsidRPr="005A3487">
        <w:t xml:space="preserve"> </w:t>
      </w:r>
      <w:r w:rsidRPr="005A3487">
        <w:t>analysis or precedent. It may have been the informal practice of the Commission’s solid waste regulatory division to use such a figure over the course of many years of rate cases</w:t>
      </w:r>
      <w:r w:rsidR="00E97A44" w:rsidRPr="005A3487">
        <w:t xml:space="preserve"> being resolved informally between companies and Staff</w:t>
      </w:r>
      <w:r w:rsidRPr="005A3487">
        <w:t>, but that does not validate the use of such a return in a contested case.</w:t>
      </w:r>
      <w:r w:rsidR="00D83559">
        <w:t xml:space="preserve"> Nor does the use of this level of return in </w:t>
      </w:r>
      <w:r w:rsidR="00D83559" w:rsidRPr="00D83559">
        <w:rPr>
          <w:i/>
        </w:rPr>
        <w:t>Bremerton-Ki</w:t>
      </w:r>
      <w:r w:rsidR="008A6D98">
        <w:rPr>
          <w:i/>
        </w:rPr>
        <w:t>t</w:t>
      </w:r>
      <w:r w:rsidR="00D83559" w:rsidRPr="00D83559">
        <w:rPr>
          <w:i/>
        </w:rPr>
        <w:t>sap</w:t>
      </w:r>
      <w:r w:rsidR="00E97A44" w:rsidRPr="005A3487">
        <w:t xml:space="preserve"> </w:t>
      </w:r>
      <w:r w:rsidR="00D83559">
        <w:t>13 years ago support its use today.</w:t>
      </w:r>
      <w:r w:rsidR="00E97A44" w:rsidRPr="005A3487">
        <w:t xml:space="preserve"> This is </w:t>
      </w:r>
      <w:r w:rsidR="00D83559">
        <w:t>particularly evident considering</w:t>
      </w:r>
      <w:r w:rsidR="00E97A44" w:rsidRPr="005A3487">
        <w:t xml:space="preserve"> Mr. Demas’ testimony that its use</w:t>
      </w:r>
      <w:r w:rsidR="00D83559">
        <w:t xml:space="preserve"> generally</w:t>
      </w:r>
      <w:r w:rsidR="00E97A44" w:rsidRPr="005A3487">
        <w:t xml:space="preserve"> was “[n]</w:t>
      </w:r>
      <w:proofErr w:type="spellStart"/>
      <w:r w:rsidR="00E97A44" w:rsidRPr="005A3487">
        <w:t>ot</w:t>
      </w:r>
      <w:proofErr w:type="spellEnd"/>
      <w:r w:rsidR="00E97A44" w:rsidRPr="005A3487">
        <w:t xml:space="preserve"> because of any exhaustive quantitative analysis, but simply for the lack of a better thoroughly vetted number.”</w:t>
      </w:r>
      <w:r w:rsidR="00E97A44" w:rsidRPr="005A3487">
        <w:rPr>
          <w:vertAlign w:val="superscript"/>
        </w:rPr>
        <w:footnoteReference w:id="55"/>
      </w:r>
      <w:r w:rsidR="00E97A44" w:rsidRPr="005A3487">
        <w:t xml:space="preserve"> Rates of return on equity change over time, vary by industry and company, and are otherwise very dynamic numbers. In a contested case</w:t>
      </w:r>
      <w:r w:rsidR="00934841">
        <w:t xml:space="preserve"> such as this one</w:t>
      </w:r>
      <w:r w:rsidR="00E97A44" w:rsidRPr="005A3487">
        <w:t>, we expect to see a “thoroughly vetted number” that is based on sound cost of capital analysis.</w:t>
      </w:r>
    </w:p>
    <w:p w14:paraId="4AAA6C15" w14:textId="77777777" w:rsidR="00860B00" w:rsidRDefault="00860B00" w:rsidP="00911029">
      <w:pPr>
        <w:pStyle w:val="ListParagraph"/>
        <w:spacing w:line="264" w:lineRule="auto"/>
        <w:rPr>
          <w:highlight w:val="yellow"/>
        </w:rPr>
      </w:pPr>
    </w:p>
    <w:p w14:paraId="07013B19" w14:textId="77777777" w:rsidR="008558C7" w:rsidRPr="002F4AD5" w:rsidRDefault="00016EF5" w:rsidP="00911029">
      <w:pPr>
        <w:numPr>
          <w:ilvl w:val="0"/>
          <w:numId w:val="2"/>
        </w:numPr>
        <w:spacing w:line="264" w:lineRule="auto"/>
      </w:pPr>
      <w:r w:rsidRPr="002F4AD5">
        <w:t>Staff</w:t>
      </w:r>
      <w:r w:rsidR="005A3487">
        <w:t>’s cost-plus-return model</w:t>
      </w:r>
      <w:r w:rsidRPr="002F4AD5">
        <w:t xml:space="preserve"> </w:t>
      </w:r>
      <w:r w:rsidR="0086699F" w:rsidRPr="002F4AD5">
        <w:t>uses</w:t>
      </w:r>
      <w:r w:rsidRPr="002F4AD5">
        <w:t xml:space="preserve"> the actual capital structures of </w:t>
      </w:r>
      <w:proofErr w:type="spellStart"/>
      <w:r w:rsidRPr="002F4AD5">
        <w:t>WCI’s</w:t>
      </w:r>
      <w:proofErr w:type="spellEnd"/>
      <w:r w:rsidRPr="002F4AD5">
        <w:t xml:space="preserve"> property landlords, </w:t>
      </w:r>
      <w:proofErr w:type="spellStart"/>
      <w:r w:rsidRPr="002F4AD5">
        <w:t>HB</w:t>
      </w:r>
      <w:proofErr w:type="spellEnd"/>
      <w:r w:rsidRPr="002F4AD5">
        <w:t xml:space="preserve"> I and </w:t>
      </w:r>
      <w:proofErr w:type="spellStart"/>
      <w:r w:rsidRPr="002F4AD5">
        <w:t>HB</w:t>
      </w:r>
      <w:proofErr w:type="spellEnd"/>
      <w:r w:rsidRPr="002F4AD5">
        <w:t xml:space="preserve"> II, </w:t>
      </w:r>
      <w:r w:rsidR="005A3487">
        <w:t>relies on</w:t>
      </w:r>
      <w:r w:rsidR="00B82B13" w:rsidRPr="002F4AD5">
        <w:t xml:space="preserve"> what it characterizes as </w:t>
      </w:r>
      <w:r w:rsidRPr="002F4AD5">
        <w:t>a discounted cash flow (</w:t>
      </w:r>
      <w:proofErr w:type="spellStart"/>
      <w:r w:rsidRPr="002F4AD5">
        <w:t>DCF</w:t>
      </w:r>
      <w:proofErr w:type="spellEnd"/>
      <w:r w:rsidRPr="002F4AD5">
        <w:t xml:space="preserve">) methodology </w:t>
      </w:r>
      <w:r w:rsidR="00B82B13" w:rsidRPr="002F4AD5">
        <w:t>to</w:t>
      </w:r>
      <w:r w:rsidRPr="002F4AD5">
        <w:t xml:space="preserve"> determin</w:t>
      </w:r>
      <w:r w:rsidR="00B82B13" w:rsidRPr="002F4AD5">
        <w:t>e</w:t>
      </w:r>
      <w:r w:rsidRPr="002F4AD5">
        <w:t xml:space="preserve"> 12.5 percent and 13.1 percent </w:t>
      </w:r>
      <w:proofErr w:type="spellStart"/>
      <w:r w:rsidRPr="002F4AD5">
        <w:t>ROE</w:t>
      </w:r>
      <w:r w:rsidR="005A3487">
        <w:t>s</w:t>
      </w:r>
      <w:proofErr w:type="spellEnd"/>
      <w:r w:rsidR="00040008" w:rsidRPr="002F4AD5">
        <w:t xml:space="preserve"> for </w:t>
      </w:r>
      <w:proofErr w:type="spellStart"/>
      <w:r w:rsidR="00040008" w:rsidRPr="002F4AD5">
        <w:t>HB</w:t>
      </w:r>
      <w:proofErr w:type="spellEnd"/>
      <w:r w:rsidR="00040008" w:rsidRPr="002F4AD5">
        <w:t xml:space="preserve"> I and </w:t>
      </w:r>
      <w:proofErr w:type="spellStart"/>
      <w:r w:rsidR="00040008" w:rsidRPr="002F4AD5">
        <w:t>HB</w:t>
      </w:r>
      <w:proofErr w:type="spellEnd"/>
      <w:r w:rsidR="00040008" w:rsidRPr="002F4AD5">
        <w:t xml:space="preserve"> II</w:t>
      </w:r>
      <w:r w:rsidRPr="002F4AD5">
        <w:t xml:space="preserve">, respectively, and </w:t>
      </w:r>
      <w:r w:rsidR="000E5273" w:rsidRPr="002F4AD5">
        <w:t xml:space="preserve">calculates </w:t>
      </w:r>
      <w:r w:rsidR="00B82B13" w:rsidRPr="002F4AD5">
        <w:t>the landlords</w:t>
      </w:r>
      <w:r w:rsidR="000E5273" w:rsidRPr="002F4AD5">
        <w:t>’</w:t>
      </w:r>
      <w:r w:rsidR="00B82B13" w:rsidRPr="002F4AD5">
        <w:t xml:space="preserve"> </w:t>
      </w:r>
      <w:r w:rsidRPr="002F4AD5">
        <w:t>actual</w:t>
      </w:r>
      <w:r w:rsidR="00B82B13" w:rsidRPr="002F4AD5">
        <w:t xml:space="preserve"> costs of</w:t>
      </w:r>
      <w:r w:rsidRPr="002F4AD5">
        <w:t xml:space="preserve"> debt</w:t>
      </w:r>
      <w:r w:rsidR="000E5273" w:rsidRPr="002F4AD5">
        <w:t xml:space="preserve"> by dividing test period interest expense by actual debt yielding 1.93 percent for </w:t>
      </w:r>
      <w:proofErr w:type="spellStart"/>
      <w:r w:rsidR="000E5273" w:rsidRPr="002F4AD5">
        <w:t>HB</w:t>
      </w:r>
      <w:proofErr w:type="spellEnd"/>
      <w:r w:rsidR="000E5273" w:rsidRPr="002F4AD5">
        <w:t xml:space="preserve"> I and 4.28 percent for </w:t>
      </w:r>
      <w:proofErr w:type="spellStart"/>
      <w:r w:rsidR="000E5273" w:rsidRPr="002F4AD5">
        <w:t>HB</w:t>
      </w:r>
      <w:proofErr w:type="spellEnd"/>
      <w:r w:rsidR="000E5273" w:rsidRPr="002F4AD5">
        <w:t xml:space="preserve"> II</w:t>
      </w:r>
      <w:r w:rsidRPr="002F4AD5">
        <w:t>.  Based on its proposal, Staff recommends an adjustment of $85,217</w:t>
      </w:r>
      <w:r w:rsidR="00A764B3">
        <w:t xml:space="preserve"> to </w:t>
      </w:r>
      <w:proofErr w:type="spellStart"/>
      <w:r w:rsidR="00A764B3">
        <w:t>WCI’s</w:t>
      </w:r>
      <w:proofErr w:type="spellEnd"/>
      <w:r w:rsidR="00A764B3">
        <w:t xml:space="preserve"> per operations land rent of $138,000</w:t>
      </w:r>
      <w:r w:rsidR="00B82B13" w:rsidRPr="002F4AD5">
        <w:t>.</w:t>
      </w:r>
      <w:r w:rsidR="00040008" w:rsidRPr="002F4AD5">
        <w:rPr>
          <w:rStyle w:val="FootnoteReference"/>
        </w:rPr>
        <w:footnoteReference w:id="56"/>
      </w:r>
      <w:r w:rsidR="00A764B3">
        <w:t xml:space="preserve"> Thus, Staff would allow, and the Initial Order approved, </w:t>
      </w:r>
      <w:proofErr w:type="spellStart"/>
      <w:r w:rsidR="00A764B3">
        <w:t>WCI’s</w:t>
      </w:r>
      <w:proofErr w:type="spellEnd"/>
      <w:r w:rsidR="00A764B3">
        <w:t xml:space="preserve"> recovery in rates of $52,783 in land rent.</w:t>
      </w:r>
      <w:r w:rsidR="00A764B3">
        <w:rPr>
          <w:rStyle w:val="FootnoteReference"/>
        </w:rPr>
        <w:footnoteReference w:id="57"/>
      </w:r>
    </w:p>
    <w:p w14:paraId="5544DCE9" w14:textId="77777777" w:rsidR="008558C7" w:rsidRPr="002F4AD5" w:rsidRDefault="008558C7" w:rsidP="00911029">
      <w:pPr>
        <w:spacing w:line="264" w:lineRule="auto"/>
      </w:pPr>
    </w:p>
    <w:p w14:paraId="4DDBC4A4" w14:textId="77777777" w:rsidR="00F877B8" w:rsidRDefault="00D100EF" w:rsidP="00911029">
      <w:pPr>
        <w:numPr>
          <w:ilvl w:val="0"/>
          <w:numId w:val="2"/>
        </w:numPr>
        <w:spacing w:line="264" w:lineRule="auto"/>
      </w:pPr>
      <w:r>
        <w:t xml:space="preserve">Staff’s </w:t>
      </w:r>
      <w:r w:rsidR="00D83559">
        <w:t>application of</w:t>
      </w:r>
      <w:r>
        <w:t xml:space="preserve"> the cost-plus-return methodology</w:t>
      </w:r>
      <w:r w:rsidR="00D83559">
        <w:t xml:space="preserve"> in this case</w:t>
      </w:r>
      <w:r>
        <w:t xml:space="preserve"> evolved over time</w:t>
      </w:r>
      <w:r w:rsidR="005A3487">
        <w:t>, going through at least five iterations,</w:t>
      </w:r>
      <w:r>
        <w:t xml:space="preserve"> with significant changes being made</w:t>
      </w:r>
      <w:r w:rsidR="007D3EA8">
        <w:t xml:space="preserve"> during the initial audit</w:t>
      </w:r>
      <w:r>
        <w:t xml:space="preserve"> </w:t>
      </w:r>
      <w:r w:rsidR="005A3487">
        <w:t xml:space="preserve">period </w:t>
      </w:r>
      <w:r>
        <w:t>from one version to the next.</w:t>
      </w:r>
      <w:r w:rsidR="007D3EA8">
        <w:rPr>
          <w:rStyle w:val="FootnoteReference"/>
        </w:rPr>
        <w:footnoteReference w:id="58"/>
      </w:r>
      <w:r>
        <w:t xml:space="preserve"> </w:t>
      </w:r>
      <w:r w:rsidR="00D96D8E">
        <w:t>Staff initially ran its cost-plus-return model using</w:t>
      </w:r>
      <w:r w:rsidR="00CE7B72">
        <w:t xml:space="preserve"> </w:t>
      </w:r>
      <w:r w:rsidR="00D96D8E">
        <w:t>a</w:t>
      </w:r>
      <w:r w:rsidR="00CE7B72">
        <w:t xml:space="preserve"> 15 percent </w:t>
      </w:r>
      <w:r w:rsidR="00D96D8E">
        <w:t>return on equity, the level of return that had been applied in</w:t>
      </w:r>
      <w:r w:rsidR="008A6D98">
        <w:t xml:space="preserve"> settlements of</w:t>
      </w:r>
      <w:r w:rsidR="00D96D8E">
        <w:t xml:space="preserve"> </w:t>
      </w:r>
      <w:proofErr w:type="spellStart"/>
      <w:r w:rsidR="00D96D8E">
        <w:t>WCI</w:t>
      </w:r>
      <w:proofErr w:type="spellEnd"/>
      <w:r w:rsidR="00D96D8E">
        <w:t xml:space="preserve"> rate cases for many years.</w:t>
      </w:r>
      <w:r w:rsidR="00CE7B72">
        <w:t xml:space="preserve"> Staff did not initially include depreciation in its calculations then</w:t>
      </w:r>
      <w:r w:rsidR="00D96D8E">
        <w:t>, in a second model run,</w:t>
      </w:r>
      <w:r w:rsidR="00CE7B72">
        <w:t xml:space="preserve"> added depreciation and a return on depreciation </w:t>
      </w:r>
      <w:r w:rsidR="00CE7B72" w:rsidRPr="00CE7B72">
        <w:rPr>
          <w:i/>
        </w:rPr>
        <w:t>expense</w:t>
      </w:r>
      <w:r w:rsidR="00CE7B72">
        <w:t xml:space="preserve"> instead of a return on the net book value</w:t>
      </w:r>
      <w:r w:rsidR="00A66484">
        <w:t xml:space="preserve"> (</w:t>
      </w:r>
      <w:r w:rsidR="00A66484" w:rsidRPr="00A66484">
        <w:rPr>
          <w:i/>
        </w:rPr>
        <w:t>i.e.,</w:t>
      </w:r>
      <w:r w:rsidR="00A66484">
        <w:t xml:space="preserve"> original cost minus depreciation)</w:t>
      </w:r>
      <w:r w:rsidR="00CE7B72">
        <w:t xml:space="preserve">. Staff corrected the return calculation in its third cost-plus-return model run and at that point substituted the </w:t>
      </w:r>
      <w:proofErr w:type="spellStart"/>
      <w:r w:rsidR="00CE7B72">
        <w:t>HB</w:t>
      </w:r>
      <w:proofErr w:type="spellEnd"/>
      <w:r w:rsidR="00CE7B72">
        <w:t xml:space="preserve"> I and </w:t>
      </w:r>
      <w:proofErr w:type="spellStart"/>
      <w:r w:rsidR="00CE7B72">
        <w:t>HB</w:t>
      </w:r>
      <w:proofErr w:type="spellEnd"/>
      <w:r w:rsidR="00CE7B72">
        <w:t xml:space="preserve"> II capital structures for the previously used combined company capital structure</w:t>
      </w:r>
      <w:r w:rsidR="00D96D8E">
        <w:t xml:space="preserve">, still </w:t>
      </w:r>
      <w:r w:rsidR="00D96D8E">
        <w:lastRenderedPageBreak/>
        <w:t>using a 15 percent return on equity</w:t>
      </w:r>
      <w:r w:rsidR="00CE7B72">
        <w:t>. In its fourth model run, Staff reduced the return on equity to 9.8 percent</w:t>
      </w:r>
      <w:r w:rsidR="008A6D98">
        <w:t>,</w:t>
      </w:r>
      <w:r w:rsidR="00CE7B72">
        <w:t xml:space="preserve"> </w:t>
      </w:r>
      <w:r w:rsidR="00F877B8">
        <w:t>apparently taking this figure from what the Commission had recently approved in utility general rate cases, according to Ms. Davis</w:t>
      </w:r>
      <w:r w:rsidR="00CE7B72">
        <w:t>.</w:t>
      </w:r>
      <w:r w:rsidR="00F877B8">
        <w:rPr>
          <w:rStyle w:val="FootnoteReference"/>
        </w:rPr>
        <w:footnoteReference w:id="59"/>
      </w:r>
      <w:r w:rsidR="00CE7B72">
        <w:t xml:space="preserve"> </w:t>
      </w:r>
      <w:r w:rsidR="00D96D8E" w:rsidRPr="00D96D8E">
        <w:t xml:space="preserve">Ultimately, Staff </w:t>
      </w:r>
      <w:r w:rsidR="005A3487">
        <w:t>stuck with its decision to abandon</w:t>
      </w:r>
      <w:r w:rsidR="00D96D8E" w:rsidRPr="00D96D8E">
        <w:t xml:space="preserve"> </w:t>
      </w:r>
      <w:r w:rsidR="00D96D8E">
        <w:t>the</w:t>
      </w:r>
      <w:r w:rsidR="00D96D8E" w:rsidRPr="00D96D8E">
        <w:t xml:space="preserve"> use of a combined company equity structure in favor of using the capital structure of </w:t>
      </w:r>
      <w:proofErr w:type="spellStart"/>
      <w:r w:rsidR="00D96D8E" w:rsidRPr="00D96D8E">
        <w:t>HB</w:t>
      </w:r>
      <w:proofErr w:type="spellEnd"/>
      <w:r w:rsidR="00D96D8E" w:rsidRPr="00D96D8E">
        <w:t xml:space="preserve"> I and </w:t>
      </w:r>
      <w:proofErr w:type="spellStart"/>
      <w:r w:rsidR="00D96D8E" w:rsidRPr="00D96D8E">
        <w:t>HB</w:t>
      </w:r>
      <w:proofErr w:type="spellEnd"/>
      <w:r w:rsidR="00D96D8E" w:rsidRPr="00D96D8E">
        <w:t xml:space="preserve"> II and </w:t>
      </w:r>
      <w:r w:rsidR="005A3487">
        <w:t>applied</w:t>
      </w:r>
      <w:r w:rsidR="00D96D8E" w:rsidRPr="00D96D8E">
        <w:t xml:space="preserve"> </w:t>
      </w:r>
      <w:r w:rsidR="00F877B8">
        <w:t>separate</w:t>
      </w:r>
      <w:r w:rsidR="00D96D8E" w:rsidRPr="00D96D8E">
        <w:t xml:space="preserve"> rates of return, 12.5 percent for </w:t>
      </w:r>
      <w:proofErr w:type="spellStart"/>
      <w:r w:rsidR="00D96D8E" w:rsidRPr="00D96D8E">
        <w:t>HB</w:t>
      </w:r>
      <w:proofErr w:type="spellEnd"/>
      <w:r w:rsidR="00527ADE">
        <w:t xml:space="preserve"> </w:t>
      </w:r>
      <w:r w:rsidR="00D96D8E" w:rsidRPr="00D96D8E">
        <w:t xml:space="preserve">I and 13.1 percent for </w:t>
      </w:r>
      <w:proofErr w:type="spellStart"/>
      <w:r w:rsidR="00D96D8E" w:rsidRPr="00D96D8E">
        <w:t>HB</w:t>
      </w:r>
      <w:proofErr w:type="spellEnd"/>
      <w:r w:rsidR="00FA429C">
        <w:t xml:space="preserve"> </w:t>
      </w:r>
      <w:r w:rsidR="00D96D8E" w:rsidRPr="00D96D8E">
        <w:t>II</w:t>
      </w:r>
      <w:r w:rsidR="005A3487">
        <w:t xml:space="preserve">, nominally based on a </w:t>
      </w:r>
      <w:proofErr w:type="spellStart"/>
      <w:r w:rsidR="005A3487">
        <w:t>DCF</w:t>
      </w:r>
      <w:proofErr w:type="spellEnd"/>
      <w:r w:rsidR="005A3487">
        <w:t xml:space="preserve"> cost of equity analysis</w:t>
      </w:r>
      <w:r w:rsidR="00D96D8E">
        <w:t>.</w:t>
      </w:r>
      <w:r w:rsidR="00527ADE">
        <w:t xml:space="preserve"> Staff also used the actual debt of the two </w:t>
      </w:r>
      <w:proofErr w:type="spellStart"/>
      <w:r w:rsidR="00527ADE">
        <w:t>HB</w:t>
      </w:r>
      <w:proofErr w:type="spellEnd"/>
      <w:r w:rsidR="00527ADE">
        <w:t xml:space="preserve"> affiliates.</w:t>
      </w:r>
      <w:r w:rsidR="00D96D8E">
        <w:t xml:space="preserve"> </w:t>
      </w:r>
    </w:p>
    <w:p w14:paraId="031393EF" w14:textId="77777777" w:rsidR="00F877B8" w:rsidRDefault="00F877B8" w:rsidP="00911029">
      <w:pPr>
        <w:spacing w:line="264" w:lineRule="auto"/>
      </w:pPr>
    </w:p>
    <w:p w14:paraId="211EEED3" w14:textId="77777777" w:rsidR="00E154E1" w:rsidRPr="002F4AD5" w:rsidRDefault="00D100EF" w:rsidP="00911029">
      <w:pPr>
        <w:numPr>
          <w:ilvl w:val="0"/>
          <w:numId w:val="2"/>
        </w:numPr>
        <w:spacing w:line="264" w:lineRule="auto"/>
      </w:pPr>
      <w:r>
        <w:t xml:space="preserve">The </w:t>
      </w:r>
      <w:r w:rsidR="005A3487">
        <w:t xml:space="preserve">dynamic nature and </w:t>
      </w:r>
      <w:r>
        <w:t>novelty of Staff’s approach</w:t>
      </w:r>
      <w:r w:rsidR="005A3487">
        <w:t>es</w:t>
      </w:r>
      <w:r>
        <w:t xml:space="preserve"> to determin</w:t>
      </w:r>
      <w:r w:rsidR="003900BF">
        <w:t>e</w:t>
      </w:r>
      <w:r>
        <w:t xml:space="preserve"> land rent in this case, relative to the Company’s long-term experience in</w:t>
      </w:r>
      <w:r w:rsidR="00A66484">
        <w:t xml:space="preserve"> settling</w:t>
      </w:r>
      <w:r>
        <w:t xml:space="preserve"> previous cases before the Commission, is a principal source of complaint in the Company’s briefing and in its Petition.</w:t>
      </w:r>
      <w:r w:rsidR="00B15D3F">
        <w:rPr>
          <w:rStyle w:val="FootnoteReference"/>
        </w:rPr>
        <w:footnoteReference w:id="60"/>
      </w:r>
      <w:r w:rsidR="00B15D3F">
        <w:t xml:space="preserve"> Although a number of </w:t>
      </w:r>
      <w:proofErr w:type="spellStart"/>
      <w:r w:rsidR="00B15D3F">
        <w:t>WCI’s</w:t>
      </w:r>
      <w:proofErr w:type="spellEnd"/>
      <w:r w:rsidR="00B15D3F">
        <w:t xml:space="preserve"> arguments are misplaced and plainly incorrect,</w:t>
      </w:r>
      <w:r w:rsidR="007A0E57">
        <w:rPr>
          <w:rStyle w:val="FootnoteReference"/>
        </w:rPr>
        <w:footnoteReference w:id="61"/>
      </w:r>
      <w:r w:rsidR="00B15D3F">
        <w:t xml:space="preserve"> there is enough in the Company’s criticism</w:t>
      </w:r>
      <w:r w:rsidR="007A0E57">
        <w:t>s</w:t>
      </w:r>
      <w:r w:rsidR="00B15D3F">
        <w:t xml:space="preserve"> </w:t>
      </w:r>
      <w:r w:rsidR="00527ADE">
        <w:t xml:space="preserve">of Staff’s analysis and results </w:t>
      </w:r>
      <w:r w:rsidR="00B15D3F">
        <w:t>to raise our concerns and cause us to probe deeply into the record</w:t>
      </w:r>
      <w:r w:rsidR="00602DA0">
        <w:t xml:space="preserve"> and discussion </w:t>
      </w:r>
      <w:r w:rsidR="00B15D3F">
        <w:t>of</w:t>
      </w:r>
      <w:r w:rsidR="00602DA0">
        <w:t xml:space="preserve"> this</w:t>
      </w:r>
      <w:r w:rsidR="00B15D3F">
        <w:t xml:space="preserve"> issue.  </w:t>
      </w:r>
    </w:p>
    <w:p w14:paraId="3ABCD492" w14:textId="77777777" w:rsidR="0061080F" w:rsidRDefault="00934841" w:rsidP="00911029">
      <w:pPr>
        <w:tabs>
          <w:tab w:val="left" w:pos="1176"/>
        </w:tabs>
        <w:spacing w:line="264" w:lineRule="auto"/>
      </w:pPr>
      <w:r>
        <w:tab/>
      </w:r>
    </w:p>
    <w:p w14:paraId="7933AD31" w14:textId="77777777" w:rsidR="00C62936" w:rsidRDefault="005A3487" w:rsidP="00911029">
      <w:pPr>
        <w:numPr>
          <w:ilvl w:val="0"/>
          <w:numId w:val="2"/>
        </w:numPr>
        <w:spacing w:line="264" w:lineRule="auto"/>
      </w:pPr>
      <w:r>
        <w:t>Based on our review, we determine that</w:t>
      </w:r>
      <w:r w:rsidR="00E7250E">
        <w:t xml:space="preserve"> Staff’s land rent</w:t>
      </w:r>
      <w:r w:rsidR="007A2B27">
        <w:t xml:space="preserve">s analysis should be rejected. </w:t>
      </w:r>
      <w:r w:rsidR="00161CE2">
        <w:t xml:space="preserve">Without being exhaustive on the subject, we here highlight two reasons for this determination. First, Staff’s analysis of rate of return for purposes of a cost-plus-return calculation for land rent </w:t>
      </w:r>
      <w:r w:rsidR="00582FC9">
        <w:t xml:space="preserve">nominally </w:t>
      </w:r>
      <w:r w:rsidR="00161CE2">
        <w:t>using the discounted cash flow methodology falls short of what this sophisticated model requires.</w:t>
      </w:r>
      <w:r w:rsidR="00E7250E">
        <w:t xml:space="preserve"> </w:t>
      </w:r>
      <w:r w:rsidR="00710FD4">
        <w:t xml:space="preserve">The first step in such an analysis requires selection of a proxy </w:t>
      </w:r>
      <w:r w:rsidR="00710FD4" w:rsidRPr="00582FC9">
        <w:rPr>
          <w:i/>
        </w:rPr>
        <w:t>group</w:t>
      </w:r>
      <w:r w:rsidR="00710FD4">
        <w:t xml:space="preserve"> of companies that are similar to the company for whom cost of equity is being estimated.</w:t>
      </w:r>
      <w:r w:rsidR="008A6D98">
        <w:rPr>
          <w:rStyle w:val="FootnoteReference"/>
        </w:rPr>
        <w:footnoteReference w:id="62"/>
      </w:r>
      <w:r w:rsidR="00710FD4">
        <w:t xml:space="preserve"> </w:t>
      </w:r>
      <w:r w:rsidR="00E7250E">
        <w:t xml:space="preserve">Staff, however, does not use a proxy group; it selects one company to estimate a </w:t>
      </w:r>
      <w:proofErr w:type="spellStart"/>
      <w:r w:rsidR="00E7250E">
        <w:t>DCF</w:t>
      </w:r>
      <w:proofErr w:type="spellEnd"/>
      <w:r w:rsidR="00E7250E">
        <w:t xml:space="preserve"> return for </w:t>
      </w:r>
      <w:proofErr w:type="spellStart"/>
      <w:r w:rsidR="00E7250E">
        <w:t>HB</w:t>
      </w:r>
      <w:proofErr w:type="spellEnd"/>
      <w:r w:rsidR="00E7250E">
        <w:t xml:space="preserve"> I and another company to estimate a </w:t>
      </w:r>
      <w:proofErr w:type="spellStart"/>
      <w:r w:rsidR="00E7250E">
        <w:t>DCF</w:t>
      </w:r>
      <w:proofErr w:type="spellEnd"/>
      <w:r w:rsidR="00E7250E">
        <w:t xml:space="preserve"> return for </w:t>
      </w:r>
      <w:proofErr w:type="spellStart"/>
      <w:r w:rsidR="00E7250E">
        <w:t>HB</w:t>
      </w:r>
      <w:proofErr w:type="spellEnd"/>
      <w:r w:rsidR="00E7250E">
        <w:t xml:space="preserve"> II. </w:t>
      </w:r>
      <w:r w:rsidR="00710FD4">
        <w:t>One company does not constitute a group</w:t>
      </w:r>
      <w:r w:rsidR="000E6186">
        <w:t xml:space="preserve"> and is wholly unsuitable as a basis for a </w:t>
      </w:r>
      <w:proofErr w:type="spellStart"/>
      <w:r w:rsidR="000E6186">
        <w:t>DCF</w:t>
      </w:r>
      <w:proofErr w:type="spellEnd"/>
      <w:r w:rsidR="000E6186">
        <w:t xml:space="preserve"> calculation</w:t>
      </w:r>
      <w:r w:rsidR="00C62936">
        <w:t>.</w:t>
      </w:r>
      <w:r w:rsidR="00527ADE">
        <w:rPr>
          <w:rStyle w:val="FootnoteReference"/>
        </w:rPr>
        <w:footnoteReference w:id="63"/>
      </w:r>
      <w:r w:rsidR="00C62936">
        <w:t xml:space="preserve"> This </w:t>
      </w:r>
      <w:r w:rsidR="00C62936">
        <w:lastRenderedPageBreak/>
        <w:t>would be true</w:t>
      </w:r>
      <w:r w:rsidR="000E6186">
        <w:t xml:space="preserve"> </w:t>
      </w:r>
      <w:r w:rsidR="00E7250E">
        <w:t>even if</w:t>
      </w:r>
      <w:r w:rsidR="000E6186">
        <w:t xml:space="preserve"> </w:t>
      </w:r>
      <w:r w:rsidR="00C62936">
        <w:t xml:space="preserve">the selected comparable company was </w:t>
      </w:r>
      <w:r w:rsidR="000E6186">
        <w:t>identical to the subject company in important respects such as size, credit rating, business model, risk profile</w:t>
      </w:r>
      <w:r w:rsidR="00E01DF5">
        <w:t>,</w:t>
      </w:r>
      <w:r w:rsidR="000E6186">
        <w:t xml:space="preserve"> and so forth.</w:t>
      </w:r>
      <w:r w:rsidR="00E7250E">
        <w:rPr>
          <w:rStyle w:val="FootnoteReference"/>
        </w:rPr>
        <w:footnoteReference w:id="64"/>
      </w:r>
      <w:r w:rsidR="000E6186">
        <w:t xml:space="preserve"> There is no evidence</w:t>
      </w:r>
      <w:r w:rsidR="00C62936">
        <w:t>, however,</w:t>
      </w:r>
      <w:r w:rsidR="000E6186">
        <w:t xml:space="preserve"> that the two companies Staff used to calculate individual costs of equity for </w:t>
      </w:r>
      <w:proofErr w:type="spellStart"/>
      <w:r w:rsidR="000E6186">
        <w:t>HB</w:t>
      </w:r>
      <w:proofErr w:type="spellEnd"/>
      <w:r w:rsidR="000E6186">
        <w:t xml:space="preserve"> I and </w:t>
      </w:r>
      <w:proofErr w:type="spellStart"/>
      <w:r w:rsidR="000E6186">
        <w:t>HB</w:t>
      </w:r>
      <w:proofErr w:type="spellEnd"/>
      <w:r w:rsidR="000E6186">
        <w:t xml:space="preserve"> II are similar to those companies by any measure</w:t>
      </w:r>
      <w:r w:rsidR="005C5330">
        <w:t xml:space="preserve"> other than capital structure</w:t>
      </w:r>
      <w:r w:rsidR="000E6186">
        <w:t>.</w:t>
      </w:r>
      <w:r w:rsidR="00E01DF5">
        <w:rPr>
          <w:rStyle w:val="FootnoteReference"/>
        </w:rPr>
        <w:footnoteReference w:id="65"/>
      </w:r>
      <w:r w:rsidR="000E6186">
        <w:t xml:space="preserve"> There is some evidence</w:t>
      </w:r>
      <w:r w:rsidR="00582FC9">
        <w:t>, on the other hand,</w:t>
      </w:r>
      <w:r w:rsidR="000E6186">
        <w:t xml:space="preserve"> that they are quite dissimilar.</w:t>
      </w:r>
      <w:r w:rsidR="005C5330">
        <w:t xml:space="preserve">  </w:t>
      </w:r>
    </w:p>
    <w:p w14:paraId="4E882DEE" w14:textId="77777777" w:rsidR="00C62936" w:rsidRDefault="00C62936" w:rsidP="00911029">
      <w:pPr>
        <w:spacing w:line="264" w:lineRule="auto"/>
      </w:pPr>
    </w:p>
    <w:p w14:paraId="5956EA7C" w14:textId="77777777" w:rsidR="0016335F" w:rsidRDefault="00C62936" w:rsidP="00911029">
      <w:pPr>
        <w:numPr>
          <w:ilvl w:val="0"/>
          <w:numId w:val="2"/>
        </w:numPr>
        <w:spacing w:line="264" w:lineRule="auto"/>
      </w:pPr>
      <w:r>
        <w:t xml:space="preserve">Staff chose </w:t>
      </w:r>
      <w:r w:rsidR="005C5330">
        <w:t>Annaly</w:t>
      </w:r>
      <w:r>
        <w:t xml:space="preserve"> Capital (Annaly) as the basis for its ROE for </w:t>
      </w:r>
      <w:proofErr w:type="spellStart"/>
      <w:r>
        <w:t>HB</w:t>
      </w:r>
      <w:proofErr w:type="spellEnd"/>
      <w:r>
        <w:t xml:space="preserve"> </w:t>
      </w:r>
      <w:proofErr w:type="gramStart"/>
      <w:r>
        <w:t>I</w:t>
      </w:r>
      <w:proofErr w:type="gramEnd"/>
      <w:r w:rsidR="005C5330">
        <w:t xml:space="preserve"> and Realty Income</w:t>
      </w:r>
      <w:r>
        <w:t xml:space="preserve"> Corporation (Realty Income) as the basis for </w:t>
      </w:r>
      <w:proofErr w:type="spellStart"/>
      <w:r>
        <w:t>HB</w:t>
      </w:r>
      <w:proofErr w:type="spellEnd"/>
      <w:r>
        <w:t xml:space="preserve"> </w:t>
      </w:r>
      <w:proofErr w:type="spellStart"/>
      <w:r>
        <w:t>II’s</w:t>
      </w:r>
      <w:proofErr w:type="spellEnd"/>
      <w:r>
        <w:t xml:space="preserve"> ROE. These</w:t>
      </w:r>
      <w:r w:rsidR="005C5330">
        <w:t xml:space="preserve"> are both multi-billion real estate investment trusts</w:t>
      </w:r>
      <w:r>
        <w:t xml:space="preserve"> (REITs).</w:t>
      </w:r>
      <w:r>
        <w:rPr>
          <w:rStyle w:val="FootnoteReference"/>
        </w:rPr>
        <w:footnoteReference w:id="66"/>
      </w:r>
      <w:r>
        <w:t xml:space="preserve"> </w:t>
      </w:r>
      <w:proofErr w:type="spellStart"/>
      <w:r>
        <w:t>HB</w:t>
      </w:r>
      <w:proofErr w:type="spellEnd"/>
      <w:r>
        <w:t xml:space="preserve"> I and </w:t>
      </w:r>
      <w:proofErr w:type="spellStart"/>
      <w:r>
        <w:t>HB</w:t>
      </w:r>
      <w:proofErr w:type="spellEnd"/>
      <w:r>
        <w:t xml:space="preserve"> II, in contrast, </w:t>
      </w:r>
      <w:r w:rsidR="005C5330">
        <w:t xml:space="preserve">hold and manage only the small amount of property needed to support </w:t>
      </w:r>
      <w:proofErr w:type="spellStart"/>
      <w:r w:rsidR="005C5330">
        <w:t>WCI</w:t>
      </w:r>
      <w:proofErr w:type="spellEnd"/>
      <w:r w:rsidR="005C5330">
        <w:t xml:space="preserve"> and the company’s other operating affiliates. Small, closely held companies are inherently more risky than large, publicly traded companies such as Annaly and Realty Income</w:t>
      </w:r>
      <w:r w:rsidR="00DB11BF">
        <w:t>, both of which are relatively low-risk investments</w:t>
      </w:r>
      <w:r w:rsidR="005C5330">
        <w:t>.</w:t>
      </w:r>
      <w:r w:rsidR="005C5330">
        <w:rPr>
          <w:rStyle w:val="FootnoteReference"/>
        </w:rPr>
        <w:footnoteReference w:id="67"/>
      </w:r>
      <w:r w:rsidR="005C5330">
        <w:t xml:space="preserve"> </w:t>
      </w:r>
      <w:proofErr w:type="spellStart"/>
      <w:r w:rsidR="0016335F">
        <w:t>WCI</w:t>
      </w:r>
      <w:proofErr w:type="spellEnd"/>
      <w:r w:rsidR="00D33F27">
        <w:t>, which is, as discussed below, the company of interest in this analysis of what constitutes a fair return</w:t>
      </w:r>
      <w:r w:rsidR="00B20B24">
        <w:t>,</w:t>
      </w:r>
      <w:r w:rsidR="0016335F">
        <w:t xml:space="preserve"> is subject to economic regulation by the Commission; neither of the REITs are subject to such regulation.</w:t>
      </w:r>
      <w:r w:rsidR="005C5330">
        <w:t xml:space="preserve"> </w:t>
      </w:r>
    </w:p>
    <w:p w14:paraId="766E8DE1" w14:textId="77777777" w:rsidR="0016335F" w:rsidRDefault="0016335F" w:rsidP="00911029">
      <w:pPr>
        <w:spacing w:line="264" w:lineRule="auto"/>
      </w:pPr>
    </w:p>
    <w:p w14:paraId="0A45F417" w14:textId="77777777" w:rsidR="000E6186" w:rsidRDefault="0016335F" w:rsidP="00911029">
      <w:pPr>
        <w:numPr>
          <w:ilvl w:val="0"/>
          <w:numId w:val="2"/>
        </w:numPr>
        <w:spacing w:line="264" w:lineRule="auto"/>
      </w:pPr>
      <w:r>
        <w:lastRenderedPageBreak/>
        <w:t xml:space="preserve">Finally, Staff’s </w:t>
      </w:r>
      <w:proofErr w:type="spellStart"/>
      <w:r>
        <w:t>DCF</w:t>
      </w:r>
      <w:proofErr w:type="spellEnd"/>
      <w:r>
        <w:t xml:space="preserve"> analysis is flawed considering that</w:t>
      </w:r>
      <w:r w:rsidR="00206FAE">
        <w:t xml:space="preserve"> </w:t>
      </w:r>
      <w:r w:rsidR="000E6186">
        <w:t xml:space="preserve">Value </w:t>
      </w:r>
      <w:r w:rsidR="00206FAE">
        <w:t>L</w:t>
      </w:r>
      <w:r w:rsidR="000E6186">
        <w:t xml:space="preserve">ine reports negative growth </w:t>
      </w:r>
      <w:r w:rsidR="00206FAE">
        <w:t>i</w:t>
      </w:r>
      <w:r w:rsidR="000E6186">
        <w:t xml:space="preserve">n the case of </w:t>
      </w:r>
      <w:r>
        <w:t>Annaly Capital</w:t>
      </w:r>
      <w:r w:rsidR="000E6186">
        <w:t xml:space="preserve">, selected as a proxy for </w:t>
      </w:r>
      <w:proofErr w:type="spellStart"/>
      <w:r w:rsidR="000E6186">
        <w:t>HB</w:t>
      </w:r>
      <w:proofErr w:type="spellEnd"/>
      <w:r w:rsidR="002C632D">
        <w:t xml:space="preserve"> I</w:t>
      </w:r>
      <w:r w:rsidR="000E6186">
        <w:t>.</w:t>
      </w:r>
      <w:r w:rsidR="00D33F27">
        <w:rPr>
          <w:rStyle w:val="FootnoteReference"/>
        </w:rPr>
        <w:footnoteReference w:id="68"/>
      </w:r>
      <w:r w:rsidR="000E6186">
        <w:t xml:space="preserve"> In a recent order the Commission notes the testimony of </w:t>
      </w:r>
      <w:r w:rsidR="00D33F27">
        <w:t>two</w:t>
      </w:r>
      <w:r w:rsidR="000E6186">
        <w:t xml:space="preserve"> nationally recognized expert</w:t>
      </w:r>
      <w:r w:rsidR="00D33F27">
        <w:t>s</w:t>
      </w:r>
      <w:r w:rsidR="000E6186">
        <w:t xml:space="preserve"> on cost of capital analysis</w:t>
      </w:r>
      <w:r w:rsidR="00A207CF">
        <w:t xml:space="preserve"> generally,</w:t>
      </w:r>
      <w:r w:rsidR="000E6186">
        <w:t xml:space="preserve"> and the </w:t>
      </w:r>
      <w:proofErr w:type="spellStart"/>
      <w:r w:rsidR="000E6186">
        <w:t>DCF</w:t>
      </w:r>
      <w:proofErr w:type="spellEnd"/>
      <w:r w:rsidR="000E6186">
        <w:t xml:space="preserve"> model</w:t>
      </w:r>
      <w:r w:rsidR="00A207CF">
        <w:t xml:space="preserve"> specifically,</w:t>
      </w:r>
      <w:r w:rsidR="00D33F27">
        <w:t xml:space="preserve"> that offer reasons why it is not appropriate to include companies with negative growth in </w:t>
      </w:r>
      <w:proofErr w:type="spellStart"/>
      <w:r w:rsidR="00D33F27">
        <w:t>DCF</w:t>
      </w:r>
      <w:proofErr w:type="spellEnd"/>
      <w:r w:rsidR="00D33F27">
        <w:t xml:space="preserve"> models</w:t>
      </w:r>
      <w:r w:rsidR="001957D1">
        <w:t>.</w:t>
      </w:r>
      <w:r w:rsidR="000E6186">
        <w:rPr>
          <w:rStyle w:val="FootnoteReference"/>
        </w:rPr>
        <w:footnoteReference w:id="69"/>
      </w:r>
      <w:r w:rsidR="000E6186" w:rsidRPr="000E6186">
        <w:t xml:space="preserve"> </w:t>
      </w:r>
      <w:r>
        <w:t xml:space="preserve">Mr. Hill, </w:t>
      </w:r>
      <w:r w:rsidR="00A207CF">
        <w:t>for example, is quoted in the Commission’s order, saying</w:t>
      </w:r>
      <w:r>
        <w:t xml:space="preserve"> that </w:t>
      </w:r>
      <w:r w:rsidRPr="0016335F">
        <w:t>“it is certainly reasonable to believe that investors do not rely on negative earnings growth rate forecast in forming their long-term growth expectations for a utility investment.”</w:t>
      </w:r>
      <w:r w:rsidRPr="0016335F">
        <w:rPr>
          <w:vertAlign w:val="superscript"/>
        </w:rPr>
        <w:footnoteReference w:id="70"/>
      </w:r>
      <w:r>
        <w:t xml:space="preserve"> </w:t>
      </w:r>
      <w:r w:rsidR="00A207CF">
        <w:t xml:space="preserve">Since the goal of </w:t>
      </w:r>
      <w:proofErr w:type="spellStart"/>
      <w:r w:rsidR="00A207CF">
        <w:t>DCF</w:t>
      </w:r>
      <w:proofErr w:type="spellEnd"/>
      <w:r w:rsidR="00A207CF">
        <w:t xml:space="preserve"> analysis is to estimate investor expectations for return on an investment in the company that is the subject of the </w:t>
      </w:r>
      <w:proofErr w:type="spellStart"/>
      <w:r w:rsidR="00A207CF">
        <w:t>DCF</w:t>
      </w:r>
      <w:proofErr w:type="spellEnd"/>
      <w:r w:rsidR="00A207CF">
        <w:t xml:space="preserve"> modeling, it certainly makes no sense to include in the analysis a company that is unlikely to attract equity investors who seek growth.</w:t>
      </w:r>
    </w:p>
    <w:p w14:paraId="38B1D9DE" w14:textId="77777777" w:rsidR="00867CC7" w:rsidRDefault="00867CC7" w:rsidP="00911029">
      <w:pPr>
        <w:spacing w:line="264" w:lineRule="auto"/>
      </w:pPr>
    </w:p>
    <w:p w14:paraId="19FFE661" w14:textId="77777777" w:rsidR="00F71358" w:rsidRDefault="00A207CF" w:rsidP="00911029">
      <w:pPr>
        <w:numPr>
          <w:ilvl w:val="0"/>
          <w:numId w:val="2"/>
        </w:numPr>
        <w:spacing w:line="264" w:lineRule="auto"/>
      </w:pPr>
      <w:r w:rsidRPr="00A207CF">
        <w:t xml:space="preserve">In short, Staff’s approach to </w:t>
      </w:r>
      <w:proofErr w:type="spellStart"/>
      <w:r w:rsidRPr="00A207CF">
        <w:t>DCF</w:t>
      </w:r>
      <w:proofErr w:type="spellEnd"/>
      <w:r w:rsidRPr="00A207CF">
        <w:t xml:space="preserve"> analysis falls short of what is required if such an approach is to be used</w:t>
      </w:r>
      <w:r>
        <w:t xml:space="preserve"> to estimate a market-based required return on equity.</w:t>
      </w:r>
      <w:r w:rsidRPr="00A207CF">
        <w:t xml:space="preserve"> </w:t>
      </w:r>
      <w:r w:rsidR="00867CC7">
        <w:t xml:space="preserve">Related to this, </w:t>
      </w:r>
      <w:r w:rsidR="005857A9">
        <w:t>a</w:t>
      </w:r>
      <w:r w:rsidR="00867CC7">
        <w:t xml:space="preserve"> second reason </w:t>
      </w:r>
      <w:r w:rsidR="005857A9">
        <w:t>we reject</w:t>
      </w:r>
      <w:r w:rsidR="00867CC7">
        <w:t xml:space="preserve"> Staff’s cost-plus-return model is that it focuses on the wrong affiliates. The underlying basis for using a cost-plus-return model is that a reasonable estimate of costs</w:t>
      </w:r>
      <w:r w:rsidR="00077D8C">
        <w:t xml:space="preserve"> </w:t>
      </w:r>
      <w:r w:rsidR="00867CC7">
        <w:t xml:space="preserve">can be determined by treating </w:t>
      </w:r>
      <w:r w:rsidR="00077D8C">
        <w:t xml:space="preserve">assets used by a regulated company, but held by an affiliate, </w:t>
      </w:r>
      <w:r w:rsidR="00077D8C" w:rsidRPr="000029CC">
        <w:t>as if</w:t>
      </w:r>
      <w:r w:rsidR="00077D8C">
        <w:t xml:space="preserve"> they were held by the regulated company. With that foundational assumption, it is then reasonable to use original cost less depreciation to determine the asset’s net book value. Applying the company’s capital structure, the debt and equity supporting the asset on the company’s books is determined. The company is then allowed the sum of a</w:t>
      </w:r>
      <w:r w:rsidR="001A13D3">
        <w:t>n equity return on the equity share, a debt</w:t>
      </w:r>
      <w:r w:rsidR="00077D8C">
        <w:t xml:space="preserve"> return on </w:t>
      </w:r>
      <w:r w:rsidR="001A13D3">
        <w:t>the debt share, and depreciation expense during the test period.</w:t>
      </w:r>
      <w:r w:rsidR="00077D8C">
        <w:t xml:space="preserve">  </w:t>
      </w:r>
    </w:p>
    <w:p w14:paraId="0935CAB8" w14:textId="77777777" w:rsidR="00F71358" w:rsidRDefault="00F71358" w:rsidP="00911029">
      <w:pPr>
        <w:spacing w:line="264" w:lineRule="auto"/>
      </w:pPr>
    </w:p>
    <w:p w14:paraId="6FAEA026" w14:textId="77777777" w:rsidR="00F71358" w:rsidRDefault="001A13D3" w:rsidP="00911029">
      <w:pPr>
        <w:numPr>
          <w:ilvl w:val="0"/>
          <w:numId w:val="2"/>
        </w:numPr>
        <w:spacing w:line="264" w:lineRule="auto"/>
      </w:pPr>
      <w:r>
        <w:t xml:space="preserve">This is the classic rate base/rate of return methodology in a nutshell. It provides a measure of fair cost the regulated company should be deemed to incur for using an asset held by an affiliate. </w:t>
      </w:r>
      <w:r w:rsidRPr="001A13D3">
        <w:t xml:space="preserve">Affiliated transactions are by definition less than arm’s length. </w:t>
      </w:r>
      <w:r>
        <w:t>Thus, the idea of using a cost-plus return is to protect ratepayers from having to pay what may be above-market cost</w:t>
      </w:r>
      <w:r w:rsidR="00F71358">
        <w:t>s</w:t>
      </w:r>
      <w:r>
        <w:t xml:space="preserve"> due to the relationship between affiliates, while being fair to the investor who makes the asset avail</w:t>
      </w:r>
      <w:r w:rsidR="00994BB9">
        <w:t>a</w:t>
      </w:r>
      <w:r>
        <w:t>ble.</w:t>
      </w:r>
      <w:r w:rsidR="00994BB9">
        <w:t xml:space="preserve"> Customers pay in rates the same amount they would pay if the regulated company owned the asset</w:t>
      </w:r>
      <w:r w:rsidR="00B20B24">
        <w:t xml:space="preserve">; they pay </w:t>
      </w:r>
      <w:r w:rsidR="00994BB9">
        <w:t>a return on, and a return of, the original cost less depreciation, plus depreciation expense. The investor receives a return of</w:t>
      </w:r>
      <w:r w:rsidR="00F71358">
        <w:t>,</w:t>
      </w:r>
      <w:r w:rsidR="00994BB9">
        <w:t xml:space="preserve"> and a return on</w:t>
      </w:r>
      <w:r w:rsidR="00F71358">
        <w:t>,</w:t>
      </w:r>
      <w:r w:rsidR="00994BB9">
        <w:t xml:space="preserve"> the asset just as if the investor paid in capital to the regulated company so that it could purchase the asset.</w:t>
      </w:r>
      <w:r>
        <w:t xml:space="preserve"> </w:t>
      </w:r>
      <w:r w:rsidR="00F71358">
        <w:t>Thus</w:t>
      </w:r>
      <w:r w:rsidR="009B220E">
        <w:t>, the focus must be on the compan</w:t>
      </w:r>
      <w:r w:rsidR="00994BB9">
        <w:t xml:space="preserve">y for which rates are being set, not </w:t>
      </w:r>
      <w:r w:rsidR="00994BB9">
        <w:lastRenderedPageBreak/>
        <w:t xml:space="preserve">on the investor, who may be a private owner as in the </w:t>
      </w:r>
      <w:r w:rsidR="00994BB9" w:rsidRPr="00994BB9">
        <w:rPr>
          <w:i/>
        </w:rPr>
        <w:t>Bremerton-Kitsap</w:t>
      </w:r>
      <w:r w:rsidR="00994BB9">
        <w:t xml:space="preserve"> case, or the shareholders in the case of a publicly traded company. Either way, </w:t>
      </w:r>
      <w:r w:rsidR="009B220E">
        <w:t>it is th</w:t>
      </w:r>
      <w:r w:rsidR="00994BB9">
        <w:t>e regulated</w:t>
      </w:r>
      <w:r w:rsidR="009B220E">
        <w:t xml:space="preserve"> company’s capital structure that is relevant to the determination of </w:t>
      </w:r>
      <w:r w:rsidR="00F71358">
        <w:t xml:space="preserve">the costs allowed for recovery in rates, </w:t>
      </w:r>
      <w:r w:rsidR="00994BB9">
        <w:t>not the capital structure of the private owner or the shareholders</w:t>
      </w:r>
      <w:r w:rsidR="009B220E">
        <w:t>.</w:t>
      </w:r>
      <w:r w:rsidR="00B20B24">
        <w:rPr>
          <w:rStyle w:val="FootnoteReference"/>
        </w:rPr>
        <w:footnoteReference w:id="71"/>
      </w:r>
    </w:p>
    <w:p w14:paraId="1942D18F" w14:textId="77777777" w:rsidR="00F71358" w:rsidRDefault="00F71358" w:rsidP="00911029">
      <w:pPr>
        <w:spacing w:line="264" w:lineRule="auto"/>
      </w:pPr>
    </w:p>
    <w:p w14:paraId="336E2940" w14:textId="77777777" w:rsidR="004376BA" w:rsidRDefault="005857A9" w:rsidP="00911029">
      <w:pPr>
        <w:numPr>
          <w:ilvl w:val="0"/>
          <w:numId w:val="2"/>
        </w:numPr>
        <w:spacing w:line="264" w:lineRule="auto"/>
      </w:pPr>
      <w:r>
        <w:t>Summing up, w</w:t>
      </w:r>
      <w:r w:rsidR="004376BA">
        <w:t>e find neither the Company’s nor Staff’s land rent adjustment proposals adequately supported in this case.</w:t>
      </w:r>
      <w:r w:rsidR="008E0543">
        <w:t xml:space="preserve"> Nor is there evidence adequate to support any other adjustment to land rent.</w:t>
      </w:r>
      <w:r w:rsidR="004376BA">
        <w:t xml:space="preserve"> As a consequence</w:t>
      </w:r>
      <w:r w:rsidR="008E0543">
        <w:t>, we are left with no alternative but to determine that</w:t>
      </w:r>
      <w:r w:rsidR="004376BA">
        <w:t xml:space="preserve"> there will be no adjustment to the level of land rent approved in </w:t>
      </w:r>
      <w:proofErr w:type="spellStart"/>
      <w:r w:rsidR="004376BA">
        <w:t>WCI’s</w:t>
      </w:r>
      <w:proofErr w:type="spellEnd"/>
      <w:r w:rsidR="004376BA">
        <w:t xml:space="preserve"> 2009 case</w:t>
      </w:r>
      <w:r w:rsidR="008E0543">
        <w:t xml:space="preserve">. </w:t>
      </w:r>
      <w:proofErr w:type="spellStart"/>
      <w:r w:rsidR="008E0543">
        <w:t>WCI</w:t>
      </w:r>
      <w:proofErr w:type="spellEnd"/>
      <w:r w:rsidR="008E0543">
        <w:t xml:space="preserve"> accordingly will continue to be authorized to recover in rates</w:t>
      </w:r>
      <w:r>
        <w:t xml:space="preserve"> and the amount of $80,250 </w:t>
      </w:r>
      <w:r w:rsidR="008E0543">
        <w:t>in land rents</w:t>
      </w:r>
      <w:r>
        <w:t xml:space="preserve"> </w:t>
      </w:r>
      <w:r w:rsidR="004B3003">
        <w:t>for purposes of</w:t>
      </w:r>
      <w:r>
        <w:t xml:space="preserve"> the Company’s compliance filing.</w:t>
      </w:r>
      <w:r w:rsidR="008E0543">
        <w:rPr>
          <w:rStyle w:val="FootnoteReference"/>
        </w:rPr>
        <w:footnoteReference w:id="72"/>
      </w:r>
    </w:p>
    <w:p w14:paraId="24314EF9" w14:textId="77777777" w:rsidR="007A2B27" w:rsidRPr="000E6186" w:rsidRDefault="007A2B27" w:rsidP="007A2B27">
      <w:pPr>
        <w:spacing w:line="264" w:lineRule="auto"/>
      </w:pPr>
    </w:p>
    <w:p w14:paraId="12AF6E51" w14:textId="77777777" w:rsidR="00A8283F" w:rsidRPr="002F4AD5" w:rsidRDefault="00A8283F" w:rsidP="00911029">
      <w:pPr>
        <w:pStyle w:val="Heading3"/>
        <w:spacing w:before="0" w:line="264" w:lineRule="auto"/>
      </w:pPr>
      <w:bookmarkStart w:id="7" w:name="_Toc425254178"/>
      <w:r w:rsidRPr="002F4AD5">
        <w:t xml:space="preserve">Rate Case </w:t>
      </w:r>
      <w:r w:rsidR="00CF2ADD">
        <w:t>Expense</w:t>
      </w:r>
      <w:bookmarkEnd w:id="7"/>
    </w:p>
    <w:p w14:paraId="6F27D451" w14:textId="77777777" w:rsidR="000A69D8" w:rsidRPr="002F4AD5" w:rsidRDefault="000A69D8" w:rsidP="00911029">
      <w:pPr>
        <w:pStyle w:val="ListParagraph"/>
        <w:spacing w:line="264" w:lineRule="auto"/>
        <w:rPr>
          <w:highlight w:val="yellow"/>
        </w:rPr>
      </w:pPr>
    </w:p>
    <w:p w14:paraId="66091EC9" w14:textId="77777777" w:rsidR="00E86F70" w:rsidRDefault="00960761" w:rsidP="00911029">
      <w:pPr>
        <w:numPr>
          <w:ilvl w:val="0"/>
          <w:numId w:val="2"/>
        </w:numPr>
        <w:spacing w:line="264" w:lineRule="auto"/>
        <w:rPr>
          <w:color w:val="000000" w:themeColor="text1"/>
        </w:rPr>
      </w:pPr>
      <w:r w:rsidRPr="004B3003">
        <w:t>The</w:t>
      </w:r>
      <w:r w:rsidRPr="002F4AD5">
        <w:rPr>
          <w:color w:val="000000" w:themeColor="text1"/>
        </w:rPr>
        <w:t xml:space="preserve"> Company’s figures for its combined legal and accounting expenses in this proceeding and in Docket TG-131794 through February 28, 2015, were $502,47</w:t>
      </w:r>
      <w:r w:rsidR="00CF2ADD">
        <w:rPr>
          <w:color w:val="000000" w:themeColor="text1"/>
        </w:rPr>
        <w:t>8</w:t>
      </w:r>
      <w:r w:rsidRPr="002F4AD5">
        <w:rPr>
          <w:color w:val="000000" w:themeColor="text1"/>
        </w:rPr>
        <w:t>.</w:t>
      </w:r>
      <w:r w:rsidR="00CF2ADD">
        <w:rPr>
          <w:rStyle w:val="FootnoteReference"/>
          <w:color w:val="000000" w:themeColor="text1"/>
        </w:rPr>
        <w:footnoteReference w:id="73"/>
      </w:r>
      <w:r w:rsidR="00CF2ADD">
        <w:rPr>
          <w:color w:val="000000" w:themeColor="text1"/>
        </w:rPr>
        <w:t xml:space="preserve"> </w:t>
      </w:r>
      <w:proofErr w:type="spellStart"/>
      <w:r w:rsidR="00CF2ADD">
        <w:rPr>
          <w:color w:val="000000" w:themeColor="text1"/>
        </w:rPr>
        <w:t>WCI</w:t>
      </w:r>
      <w:proofErr w:type="spellEnd"/>
      <w:r w:rsidR="00CF2ADD">
        <w:rPr>
          <w:color w:val="000000" w:themeColor="text1"/>
        </w:rPr>
        <w:t xml:space="preserve"> wishes to amortize </w:t>
      </w:r>
      <w:r w:rsidR="00FD7EB6">
        <w:rPr>
          <w:color w:val="000000" w:themeColor="text1"/>
        </w:rPr>
        <w:t xml:space="preserve">“full </w:t>
      </w:r>
      <w:r w:rsidR="00CF2ADD">
        <w:rPr>
          <w:color w:val="000000" w:themeColor="text1"/>
        </w:rPr>
        <w:t xml:space="preserve">recovery of </w:t>
      </w:r>
      <w:r w:rsidR="00FD7EB6" w:rsidRPr="00FD7EB6">
        <w:rPr>
          <w:color w:val="000000" w:themeColor="text1"/>
        </w:rPr>
        <w:t xml:space="preserve">Company rate case costs less </w:t>
      </w:r>
      <w:r w:rsidR="00E86F70">
        <w:rPr>
          <w:color w:val="000000" w:themeColor="text1"/>
        </w:rPr>
        <w:t>[a]</w:t>
      </w:r>
      <w:r w:rsidR="00FD7EB6" w:rsidRPr="00FD7EB6">
        <w:rPr>
          <w:color w:val="000000" w:themeColor="text1"/>
        </w:rPr>
        <w:t xml:space="preserve"> $47,822,</w:t>
      </w:r>
      <w:r w:rsidR="00E86F70">
        <w:rPr>
          <w:color w:val="000000" w:themeColor="text1"/>
        </w:rPr>
        <w:t xml:space="preserve"> [or]</w:t>
      </w:r>
      <w:r w:rsidR="00FD7EB6" w:rsidRPr="00FD7EB6">
        <w:rPr>
          <w:color w:val="000000" w:themeColor="text1"/>
        </w:rPr>
        <w:t xml:space="preserve"> 50</w:t>
      </w:r>
      <w:r w:rsidR="00E86F70">
        <w:rPr>
          <w:color w:val="000000" w:themeColor="text1"/>
        </w:rPr>
        <w:t xml:space="preserve"> [percent]</w:t>
      </w:r>
      <w:r w:rsidR="00FD7EB6" w:rsidRPr="00FD7EB6">
        <w:rPr>
          <w:color w:val="000000" w:themeColor="text1"/>
        </w:rPr>
        <w:t xml:space="preserve"> reduction in costs in TG-131794 </w:t>
      </w:r>
      <w:r w:rsidR="00E86F70">
        <w:rPr>
          <w:color w:val="000000" w:themeColor="text1"/>
        </w:rPr>
        <w:t>[for the]</w:t>
      </w:r>
      <w:r w:rsidR="00FD7EB6" w:rsidRPr="00FD7EB6">
        <w:rPr>
          <w:color w:val="000000" w:themeColor="text1"/>
        </w:rPr>
        <w:t xml:space="preserve"> interval from December, 2013 to April, 2014.</w:t>
      </w:r>
      <w:r w:rsidR="00E86F70">
        <w:rPr>
          <w:color w:val="000000" w:themeColor="text1"/>
        </w:rPr>
        <w:t>”</w:t>
      </w:r>
      <w:r w:rsidR="00E86F70">
        <w:rPr>
          <w:rStyle w:val="FootnoteReference"/>
          <w:color w:val="000000" w:themeColor="text1"/>
        </w:rPr>
        <w:footnoteReference w:id="74"/>
      </w:r>
      <w:r w:rsidR="00E86F70">
        <w:rPr>
          <w:color w:val="000000" w:themeColor="text1"/>
        </w:rPr>
        <w:t xml:space="preserve"> </w:t>
      </w:r>
      <w:proofErr w:type="spellStart"/>
      <w:r w:rsidR="00E86F70">
        <w:rPr>
          <w:color w:val="000000" w:themeColor="text1"/>
        </w:rPr>
        <w:t>WCI</w:t>
      </w:r>
      <w:proofErr w:type="spellEnd"/>
      <w:r w:rsidR="00E86F70">
        <w:rPr>
          <w:color w:val="000000" w:themeColor="text1"/>
        </w:rPr>
        <w:t xml:space="preserve"> says this reduction, proposed for the first time in its Petition, acknowledges “shared responsibility for the protraction of this proceeding,” and acceptance of “</w:t>
      </w:r>
      <w:r w:rsidR="00E86F70" w:rsidRPr="00E86F70">
        <w:rPr>
          <w:color w:val="000000" w:themeColor="text1"/>
        </w:rPr>
        <w:t>the Staff premise of 50% reduction in rate case costs in Docket No. TG-131794</w:t>
      </w:r>
      <w:r w:rsidR="00E86F70">
        <w:rPr>
          <w:color w:val="000000" w:themeColor="text1"/>
        </w:rPr>
        <w:t xml:space="preserve">” from the time of the prehearing conference </w:t>
      </w:r>
      <w:r w:rsidR="00B124AF">
        <w:rPr>
          <w:color w:val="000000" w:themeColor="text1"/>
        </w:rPr>
        <w:t xml:space="preserve">in that docket though April 4, 2014, when </w:t>
      </w:r>
      <w:proofErr w:type="spellStart"/>
      <w:r w:rsidR="00B124AF">
        <w:rPr>
          <w:color w:val="000000" w:themeColor="text1"/>
        </w:rPr>
        <w:t>WCI</w:t>
      </w:r>
      <w:proofErr w:type="spellEnd"/>
      <w:r w:rsidR="00B124AF">
        <w:rPr>
          <w:color w:val="000000" w:themeColor="text1"/>
        </w:rPr>
        <w:t xml:space="preserve"> refiled its case in this docket, following dismissal of Docket TG-131794.</w:t>
      </w:r>
      <w:r w:rsidR="00B124AF">
        <w:rPr>
          <w:rStyle w:val="FootnoteReference"/>
          <w:color w:val="000000" w:themeColor="text1"/>
        </w:rPr>
        <w:footnoteReference w:id="75"/>
      </w:r>
      <w:r w:rsidR="00B124AF">
        <w:rPr>
          <w:color w:val="000000" w:themeColor="text1"/>
        </w:rPr>
        <w:t xml:space="preserve"> </w:t>
      </w:r>
      <w:proofErr w:type="spellStart"/>
      <w:r w:rsidR="00B124AF">
        <w:rPr>
          <w:color w:val="000000" w:themeColor="text1"/>
        </w:rPr>
        <w:t>WCI</w:t>
      </w:r>
      <w:proofErr w:type="spellEnd"/>
      <w:r w:rsidR="00B124AF">
        <w:rPr>
          <w:color w:val="000000" w:themeColor="text1"/>
        </w:rPr>
        <w:t xml:space="preserve"> proposes a four-year amortization of its rate case expense. Thus, using $502,478 as a benchmark, the Company would recover </w:t>
      </w:r>
      <w:r w:rsidR="00B124AF">
        <w:rPr>
          <w:color w:val="000000" w:themeColor="text1"/>
        </w:rPr>
        <w:lastRenderedPageBreak/>
        <w:t>annually in rates $113,649 (</w:t>
      </w:r>
      <w:r w:rsidR="00B124AF" w:rsidRPr="00B124AF">
        <w:rPr>
          <w:i/>
          <w:color w:val="000000" w:themeColor="text1"/>
        </w:rPr>
        <w:t>i.e.,</w:t>
      </w:r>
      <w:r w:rsidR="00B124AF">
        <w:rPr>
          <w:color w:val="000000" w:themeColor="text1"/>
        </w:rPr>
        <w:t xml:space="preserve"> </w:t>
      </w:r>
      <w:r w:rsidR="000C0B65">
        <w:rPr>
          <w:color w:val="000000" w:themeColor="text1"/>
        </w:rPr>
        <w:t>(</w:t>
      </w:r>
      <w:r w:rsidR="00B124AF">
        <w:rPr>
          <w:color w:val="000000" w:themeColor="text1"/>
        </w:rPr>
        <w:t>$502,478 – $47,882</w:t>
      </w:r>
      <w:r w:rsidR="000C0B65">
        <w:rPr>
          <w:color w:val="000000" w:themeColor="text1"/>
        </w:rPr>
        <w:t>)/4</w:t>
      </w:r>
      <w:r w:rsidR="00B124AF">
        <w:rPr>
          <w:color w:val="000000" w:themeColor="text1"/>
        </w:rPr>
        <w:t xml:space="preserve"> = $113,649)</w:t>
      </w:r>
      <w:r w:rsidR="004A6E84">
        <w:rPr>
          <w:color w:val="000000" w:themeColor="text1"/>
        </w:rPr>
        <w:t xml:space="preserve"> to cover the costs of rate cases that can be expected to be filed from time to time</w:t>
      </w:r>
      <w:r w:rsidR="00B20B24">
        <w:rPr>
          <w:color w:val="000000" w:themeColor="text1"/>
        </w:rPr>
        <w:t xml:space="preserve"> in the future</w:t>
      </w:r>
      <w:r w:rsidR="00B124AF">
        <w:rPr>
          <w:color w:val="000000" w:themeColor="text1"/>
        </w:rPr>
        <w:t>.</w:t>
      </w:r>
      <w:r w:rsidR="00B124AF">
        <w:rPr>
          <w:rStyle w:val="FootnoteReference"/>
          <w:color w:val="000000" w:themeColor="text1"/>
        </w:rPr>
        <w:footnoteReference w:id="76"/>
      </w:r>
    </w:p>
    <w:p w14:paraId="06EEEC80" w14:textId="77777777" w:rsidR="00E86F70" w:rsidRDefault="00960761" w:rsidP="00911029">
      <w:pPr>
        <w:spacing w:line="264" w:lineRule="auto"/>
        <w:rPr>
          <w:color w:val="000000" w:themeColor="text1"/>
        </w:rPr>
      </w:pPr>
      <w:r w:rsidRPr="002F4AD5">
        <w:rPr>
          <w:color w:val="000000" w:themeColor="text1"/>
        </w:rPr>
        <w:t xml:space="preserve">  </w:t>
      </w:r>
    </w:p>
    <w:p w14:paraId="16F3980F" w14:textId="77777777" w:rsidR="003728D7" w:rsidRDefault="00960761" w:rsidP="00911029">
      <w:pPr>
        <w:numPr>
          <w:ilvl w:val="0"/>
          <w:numId w:val="2"/>
        </w:numPr>
        <w:spacing w:line="264" w:lineRule="auto"/>
        <w:rPr>
          <w:color w:val="000000" w:themeColor="text1"/>
        </w:rPr>
      </w:pPr>
      <w:r w:rsidRPr="002F4AD5">
        <w:rPr>
          <w:color w:val="000000" w:themeColor="text1"/>
        </w:rPr>
        <w:t>The Initial Order finds these reported costs</w:t>
      </w:r>
      <w:r w:rsidR="004B3003">
        <w:rPr>
          <w:color w:val="000000" w:themeColor="text1"/>
        </w:rPr>
        <w:t xml:space="preserve"> through February</w:t>
      </w:r>
      <w:r w:rsidRPr="002F4AD5">
        <w:rPr>
          <w:color w:val="000000" w:themeColor="text1"/>
        </w:rPr>
        <w:t xml:space="preserve"> “exorbitant”</w:t>
      </w:r>
      <w:r w:rsidR="00380B5B" w:rsidRPr="002F4AD5">
        <w:rPr>
          <w:color w:val="000000" w:themeColor="text1"/>
        </w:rPr>
        <w:t xml:space="preserve"> and “excessive”</w:t>
      </w:r>
      <w:r w:rsidRPr="002F4AD5">
        <w:rPr>
          <w:color w:val="000000" w:themeColor="text1"/>
        </w:rPr>
        <w:t xml:space="preserve"> considering that they exceed the revenue increase </w:t>
      </w:r>
      <w:proofErr w:type="spellStart"/>
      <w:r w:rsidRPr="002F4AD5">
        <w:rPr>
          <w:color w:val="000000" w:themeColor="text1"/>
        </w:rPr>
        <w:t>WCI</w:t>
      </w:r>
      <w:proofErr w:type="spellEnd"/>
      <w:r w:rsidRPr="002F4AD5">
        <w:rPr>
          <w:color w:val="000000" w:themeColor="text1"/>
        </w:rPr>
        <w:t xml:space="preserve"> requested initially in Docket TG-131794, which was dismissed, and are very close to the $532,000 </w:t>
      </w:r>
      <w:proofErr w:type="spellStart"/>
      <w:r w:rsidRPr="002F4AD5">
        <w:rPr>
          <w:color w:val="000000" w:themeColor="text1"/>
        </w:rPr>
        <w:t>WCI</w:t>
      </w:r>
      <w:proofErr w:type="spellEnd"/>
      <w:r w:rsidRPr="002F4AD5">
        <w:rPr>
          <w:color w:val="000000" w:themeColor="text1"/>
        </w:rPr>
        <w:t xml:space="preserve"> requested in this docket.</w:t>
      </w:r>
      <w:r w:rsidR="00380B5B" w:rsidRPr="002F4AD5">
        <w:rPr>
          <w:rStyle w:val="FootnoteReference"/>
          <w:color w:val="000000" w:themeColor="text1"/>
        </w:rPr>
        <w:footnoteReference w:id="77"/>
      </w:r>
      <w:r w:rsidRPr="002F4AD5">
        <w:rPr>
          <w:color w:val="000000" w:themeColor="text1"/>
        </w:rPr>
        <w:t xml:space="preserve"> The Initial Order observes, too, that with the additional costs of hearing and post-hearing process, it is conceivable </w:t>
      </w:r>
      <w:proofErr w:type="spellStart"/>
      <w:r w:rsidRPr="002F4AD5">
        <w:rPr>
          <w:color w:val="000000" w:themeColor="text1"/>
        </w:rPr>
        <w:t>WCI’s</w:t>
      </w:r>
      <w:proofErr w:type="spellEnd"/>
      <w:r w:rsidRPr="002F4AD5">
        <w:rPr>
          <w:color w:val="000000" w:themeColor="text1"/>
        </w:rPr>
        <w:t xml:space="preserve"> costs exceed its </w:t>
      </w:r>
      <w:r w:rsidR="004B3003">
        <w:rPr>
          <w:color w:val="000000" w:themeColor="text1"/>
        </w:rPr>
        <w:t xml:space="preserve">current </w:t>
      </w:r>
      <w:r w:rsidRPr="002F4AD5">
        <w:rPr>
          <w:color w:val="000000" w:themeColor="text1"/>
        </w:rPr>
        <w:t>revenue request.</w:t>
      </w:r>
      <w:r w:rsidR="00781667">
        <w:rPr>
          <w:color w:val="000000" w:themeColor="text1"/>
        </w:rPr>
        <w:t xml:space="preserve"> </w:t>
      </w:r>
      <w:r w:rsidR="00341E24" w:rsidRPr="00341E24">
        <w:rPr>
          <w:color w:val="000000" w:themeColor="text1"/>
        </w:rPr>
        <w:t>The Initial Order states that “[t]o expend approximately the same amount of money as your rate case request tests the bounds of logic” and questions the prudence of such expenditures.</w:t>
      </w:r>
      <w:r w:rsidR="00341E24" w:rsidRPr="00341E24">
        <w:rPr>
          <w:color w:val="000000" w:themeColor="text1"/>
          <w:vertAlign w:val="superscript"/>
        </w:rPr>
        <w:footnoteReference w:id="78"/>
      </w:r>
      <w:r w:rsidR="00341E24" w:rsidRPr="00341E24">
        <w:rPr>
          <w:color w:val="000000" w:themeColor="text1"/>
        </w:rPr>
        <w:t xml:space="preserve">  </w:t>
      </w:r>
      <w:r w:rsidR="00781667">
        <w:rPr>
          <w:color w:val="000000" w:themeColor="text1"/>
        </w:rPr>
        <w:t xml:space="preserve">Although the Initial Order questions the prudence of </w:t>
      </w:r>
      <w:proofErr w:type="spellStart"/>
      <w:r w:rsidR="00781667">
        <w:rPr>
          <w:color w:val="000000" w:themeColor="text1"/>
        </w:rPr>
        <w:t>WCI’s</w:t>
      </w:r>
      <w:proofErr w:type="spellEnd"/>
      <w:r w:rsidR="00781667">
        <w:rPr>
          <w:color w:val="000000" w:themeColor="text1"/>
        </w:rPr>
        <w:t xml:space="preserve"> incurrence of such costs, there is no express finding of imprudence.</w:t>
      </w:r>
      <w:r w:rsidR="003728D7">
        <w:rPr>
          <w:color w:val="000000" w:themeColor="text1"/>
        </w:rPr>
        <w:t xml:space="preserve"> While such a finding has supported in the past a complete disallowance of rate case expense, it is not a necessary finding to support an adjustment.</w:t>
      </w:r>
      <w:r w:rsidR="003728D7">
        <w:rPr>
          <w:rStyle w:val="FootnoteReference"/>
          <w:color w:val="000000" w:themeColor="text1"/>
        </w:rPr>
        <w:footnoteReference w:id="79"/>
      </w:r>
      <w:r w:rsidR="00781667">
        <w:rPr>
          <w:color w:val="000000" w:themeColor="text1"/>
        </w:rPr>
        <w:t xml:space="preserve">  </w:t>
      </w:r>
    </w:p>
    <w:p w14:paraId="1A1D3BB6" w14:textId="77777777" w:rsidR="003728D7" w:rsidRDefault="003728D7" w:rsidP="00911029">
      <w:pPr>
        <w:pStyle w:val="ListParagraph"/>
        <w:spacing w:line="264" w:lineRule="auto"/>
        <w:rPr>
          <w:color w:val="000000" w:themeColor="text1"/>
        </w:rPr>
      </w:pPr>
    </w:p>
    <w:p w14:paraId="6E887ACC" w14:textId="77777777" w:rsidR="00380B5B" w:rsidRDefault="00781667" w:rsidP="00911029">
      <w:pPr>
        <w:numPr>
          <w:ilvl w:val="0"/>
          <w:numId w:val="2"/>
        </w:numPr>
        <w:spacing w:line="264" w:lineRule="auto"/>
        <w:rPr>
          <w:color w:val="000000" w:themeColor="text1"/>
        </w:rPr>
      </w:pPr>
      <w:r>
        <w:rPr>
          <w:color w:val="000000" w:themeColor="text1"/>
        </w:rPr>
        <w:lastRenderedPageBreak/>
        <w:t>The Initial Order determines that</w:t>
      </w:r>
      <w:r w:rsidR="006A0763">
        <w:rPr>
          <w:color w:val="000000" w:themeColor="text1"/>
        </w:rPr>
        <w:t>:</w:t>
      </w:r>
      <w:r>
        <w:rPr>
          <w:color w:val="000000" w:themeColor="text1"/>
        </w:rPr>
        <w:t xml:space="preserve"> </w:t>
      </w:r>
    </w:p>
    <w:p w14:paraId="04DBE178" w14:textId="77777777" w:rsidR="00781667" w:rsidRDefault="00781667" w:rsidP="00911029">
      <w:pPr>
        <w:pStyle w:val="ListParagraph"/>
        <w:spacing w:line="264" w:lineRule="auto"/>
        <w:rPr>
          <w:color w:val="000000" w:themeColor="text1"/>
        </w:rPr>
      </w:pPr>
    </w:p>
    <w:p w14:paraId="026567BA" w14:textId="77777777" w:rsidR="00781667" w:rsidRPr="002F4AD5" w:rsidRDefault="00781667" w:rsidP="00911029">
      <w:pPr>
        <w:spacing w:line="264" w:lineRule="auto"/>
        <w:ind w:left="720"/>
        <w:rPr>
          <w:color w:val="000000" w:themeColor="text1"/>
        </w:rPr>
      </w:pPr>
      <w:r w:rsidRPr="00781667">
        <w:rPr>
          <w:color w:val="000000" w:themeColor="text1"/>
        </w:rPr>
        <w:t>Staff’s proposal to allow 100 percent recovery of the expenses from the informal audit process in Docket TG-131794 and 50 percent recovery of the expenses from the formal adjudications in Dockets TG-131794 and TG-140560, as described in paragraph 69, is reasonable.</w:t>
      </w:r>
      <w:r>
        <w:rPr>
          <w:rStyle w:val="FootnoteReference"/>
          <w:color w:val="000000" w:themeColor="text1"/>
        </w:rPr>
        <w:footnoteReference w:id="80"/>
      </w:r>
    </w:p>
    <w:p w14:paraId="074907B7" w14:textId="77777777" w:rsidR="00380B5B" w:rsidRDefault="00380B5B" w:rsidP="00911029">
      <w:pPr>
        <w:spacing w:line="264" w:lineRule="auto"/>
        <w:rPr>
          <w:color w:val="000000" w:themeColor="text1"/>
        </w:rPr>
      </w:pPr>
    </w:p>
    <w:p w14:paraId="17B9B35A" w14:textId="77777777" w:rsidR="00781667" w:rsidRDefault="00781667" w:rsidP="00911029">
      <w:pPr>
        <w:spacing w:line="264" w:lineRule="auto"/>
        <w:rPr>
          <w:color w:val="000000" w:themeColor="text1"/>
        </w:rPr>
      </w:pPr>
      <w:r>
        <w:rPr>
          <w:color w:val="000000" w:themeColor="text1"/>
        </w:rPr>
        <w:t xml:space="preserve">Again using </w:t>
      </w:r>
      <w:r w:rsidRPr="00781667">
        <w:rPr>
          <w:color w:val="000000" w:themeColor="text1"/>
        </w:rPr>
        <w:t>$502,478 as a benchmark</w:t>
      </w:r>
      <w:r w:rsidR="000C0B65">
        <w:rPr>
          <w:color w:val="000000" w:themeColor="text1"/>
        </w:rPr>
        <w:t xml:space="preserve"> and the four</w:t>
      </w:r>
      <w:r w:rsidR="008A5DC7">
        <w:rPr>
          <w:color w:val="000000" w:themeColor="text1"/>
        </w:rPr>
        <w:t>-</w:t>
      </w:r>
      <w:r w:rsidR="000C0B65">
        <w:rPr>
          <w:color w:val="000000" w:themeColor="text1"/>
        </w:rPr>
        <w:t>year amortization the Initial Order approves</w:t>
      </w:r>
      <w:r w:rsidRPr="00781667">
        <w:rPr>
          <w:color w:val="000000" w:themeColor="text1"/>
        </w:rPr>
        <w:t>, the Company would recover annually in rates $</w:t>
      </w:r>
      <w:r w:rsidR="00B65A67">
        <w:rPr>
          <w:color w:val="000000" w:themeColor="text1"/>
        </w:rPr>
        <w:t>75,839</w:t>
      </w:r>
      <w:r w:rsidRPr="00781667">
        <w:rPr>
          <w:color w:val="000000" w:themeColor="text1"/>
        </w:rPr>
        <w:t xml:space="preserve"> (</w:t>
      </w:r>
      <w:r w:rsidRPr="00781667">
        <w:rPr>
          <w:i/>
          <w:color w:val="000000" w:themeColor="text1"/>
        </w:rPr>
        <w:t>i.e.,</w:t>
      </w:r>
      <w:r w:rsidRPr="00781667">
        <w:rPr>
          <w:color w:val="000000" w:themeColor="text1"/>
        </w:rPr>
        <w:t xml:space="preserve"> </w:t>
      </w:r>
      <w:r w:rsidR="006A0763">
        <w:rPr>
          <w:color w:val="000000" w:themeColor="text1"/>
        </w:rPr>
        <w:t>$104,232 + ($362,759 + $35,487)/2 = $</w:t>
      </w:r>
      <w:r w:rsidR="00B65A67">
        <w:rPr>
          <w:color w:val="000000" w:themeColor="text1"/>
        </w:rPr>
        <w:t>303,356</w:t>
      </w:r>
      <w:r w:rsidR="006A0763">
        <w:rPr>
          <w:color w:val="000000" w:themeColor="text1"/>
        </w:rPr>
        <w:t xml:space="preserve">; </w:t>
      </w:r>
      <w:r w:rsidR="00B65A67">
        <w:rPr>
          <w:color w:val="000000" w:themeColor="text1"/>
        </w:rPr>
        <w:t>$303,356</w:t>
      </w:r>
      <w:r w:rsidR="006A0763">
        <w:rPr>
          <w:color w:val="000000" w:themeColor="text1"/>
        </w:rPr>
        <w:t>/4</w:t>
      </w:r>
      <w:r w:rsidRPr="00781667">
        <w:rPr>
          <w:color w:val="000000" w:themeColor="text1"/>
        </w:rPr>
        <w:t xml:space="preserve"> = $</w:t>
      </w:r>
      <w:r w:rsidR="00B65A67">
        <w:rPr>
          <w:color w:val="000000" w:themeColor="text1"/>
        </w:rPr>
        <w:t>75,839)</w:t>
      </w:r>
      <w:r w:rsidRPr="00781667">
        <w:rPr>
          <w:color w:val="000000" w:themeColor="text1"/>
        </w:rPr>
        <w:t>.</w:t>
      </w:r>
      <w:r w:rsidR="00B65A67">
        <w:rPr>
          <w:color w:val="000000" w:themeColor="text1"/>
        </w:rPr>
        <w:t xml:space="preserve"> Applying Staff’s proposed five</w:t>
      </w:r>
      <w:r w:rsidR="008A5DC7">
        <w:rPr>
          <w:color w:val="000000" w:themeColor="text1"/>
        </w:rPr>
        <w:t>-</w:t>
      </w:r>
      <w:r w:rsidR="00B65A67">
        <w:rPr>
          <w:color w:val="000000" w:themeColor="text1"/>
        </w:rPr>
        <w:t>year amortization the annual amount would be $60,671.</w:t>
      </w:r>
    </w:p>
    <w:p w14:paraId="4A22532F" w14:textId="77777777" w:rsidR="00E41D16" w:rsidRPr="002F4AD5" w:rsidRDefault="00E41D16" w:rsidP="00911029">
      <w:pPr>
        <w:spacing w:line="264" w:lineRule="auto"/>
        <w:rPr>
          <w:color w:val="000000" w:themeColor="text1"/>
        </w:rPr>
      </w:pPr>
    </w:p>
    <w:p w14:paraId="21DE1851" w14:textId="77777777" w:rsidR="00264996" w:rsidRPr="002F4AD5" w:rsidRDefault="00264996" w:rsidP="00911029">
      <w:pPr>
        <w:numPr>
          <w:ilvl w:val="0"/>
          <w:numId w:val="2"/>
        </w:numPr>
        <w:spacing w:line="264" w:lineRule="auto"/>
        <w:rPr>
          <w:color w:val="000000" w:themeColor="text1"/>
        </w:rPr>
      </w:pPr>
      <w:proofErr w:type="spellStart"/>
      <w:r w:rsidRPr="004B3003">
        <w:t>WCI</w:t>
      </w:r>
      <w:proofErr w:type="spellEnd"/>
      <w:r w:rsidR="002B76E0">
        <w:rPr>
          <w:color w:val="000000" w:themeColor="text1"/>
        </w:rPr>
        <w:t xml:space="preserve"> disputes the </w:t>
      </w:r>
      <w:r w:rsidR="00B71588">
        <w:rPr>
          <w:color w:val="000000" w:themeColor="text1"/>
        </w:rPr>
        <w:t>Initial Order’s finding that “</w:t>
      </w:r>
      <w:proofErr w:type="spellStart"/>
      <w:r w:rsidR="00B71588">
        <w:rPr>
          <w:color w:val="000000" w:themeColor="text1"/>
        </w:rPr>
        <w:t>WCI’s</w:t>
      </w:r>
      <w:proofErr w:type="spellEnd"/>
      <w:r w:rsidR="00B71588">
        <w:rPr>
          <w:color w:val="000000" w:themeColor="text1"/>
        </w:rPr>
        <w:t xml:space="preserve"> rate case costs in this proceeding were </w:t>
      </w:r>
      <w:r w:rsidR="00774380">
        <w:rPr>
          <w:color w:val="000000" w:themeColor="text1"/>
        </w:rPr>
        <w:t>exorbitant</w:t>
      </w:r>
      <w:r w:rsidR="00B71588">
        <w:rPr>
          <w:color w:val="000000" w:themeColor="text1"/>
        </w:rPr>
        <w:t xml:space="preserve"> [sic]”</w:t>
      </w:r>
      <w:r w:rsidR="00B71588">
        <w:rPr>
          <w:rStyle w:val="FootnoteReference"/>
          <w:color w:val="000000" w:themeColor="text1"/>
        </w:rPr>
        <w:footnoteReference w:id="81"/>
      </w:r>
      <w:r w:rsidR="00B71588">
        <w:rPr>
          <w:color w:val="000000" w:themeColor="text1"/>
        </w:rPr>
        <w:t xml:space="preserve"> but acknowledges in its Petition that</w:t>
      </w:r>
      <w:r w:rsidRPr="002F4AD5">
        <w:rPr>
          <w:color w:val="000000" w:themeColor="text1"/>
        </w:rPr>
        <w:t xml:space="preserve">: </w:t>
      </w:r>
    </w:p>
    <w:p w14:paraId="60579C50" w14:textId="77777777" w:rsidR="00264996" w:rsidRPr="002F4AD5" w:rsidRDefault="00264996" w:rsidP="00911029">
      <w:pPr>
        <w:spacing w:line="264" w:lineRule="auto"/>
        <w:rPr>
          <w:color w:val="000000" w:themeColor="text1"/>
        </w:rPr>
      </w:pPr>
    </w:p>
    <w:p w14:paraId="1C148E71" w14:textId="77777777" w:rsidR="00264996" w:rsidRPr="002F4AD5" w:rsidRDefault="00264996" w:rsidP="00911029">
      <w:pPr>
        <w:spacing w:line="264" w:lineRule="auto"/>
        <w:ind w:left="720"/>
        <w:rPr>
          <w:color w:val="000000" w:themeColor="text1"/>
        </w:rPr>
      </w:pPr>
      <w:proofErr w:type="spellStart"/>
      <w:r w:rsidRPr="002F4AD5">
        <w:rPr>
          <w:color w:val="000000" w:themeColor="text1"/>
        </w:rPr>
        <w:t>WCI</w:t>
      </w:r>
      <w:proofErr w:type="spellEnd"/>
      <w:r w:rsidRPr="002F4AD5">
        <w:rPr>
          <w:color w:val="000000" w:themeColor="text1"/>
        </w:rPr>
        <w:t xml:space="preserve"> well understands and concurs with the premise that a litigant’s costs are nevertheless fully reviewable by the Commission and may be disallowed where they are “exorbitant and imprudent.”</w:t>
      </w:r>
      <w:r w:rsidRPr="002F4AD5">
        <w:rPr>
          <w:rStyle w:val="FootnoteReference"/>
          <w:color w:val="000000" w:themeColor="text1"/>
        </w:rPr>
        <w:footnoteReference w:id="82"/>
      </w:r>
    </w:p>
    <w:p w14:paraId="5BA955AC" w14:textId="77777777" w:rsidR="00264996" w:rsidRPr="002F4AD5" w:rsidRDefault="00264996" w:rsidP="00911029">
      <w:pPr>
        <w:spacing w:line="264" w:lineRule="auto"/>
        <w:rPr>
          <w:color w:val="000000" w:themeColor="text1"/>
        </w:rPr>
      </w:pPr>
    </w:p>
    <w:p w14:paraId="0A489269" w14:textId="77777777" w:rsidR="00E05ECF" w:rsidRPr="002F4AD5" w:rsidRDefault="00264996" w:rsidP="00911029">
      <w:pPr>
        <w:spacing w:line="264" w:lineRule="auto"/>
        <w:rPr>
          <w:color w:val="000000" w:themeColor="text1"/>
        </w:rPr>
      </w:pPr>
      <w:proofErr w:type="spellStart"/>
      <w:r w:rsidRPr="002F4AD5">
        <w:rPr>
          <w:color w:val="000000" w:themeColor="text1"/>
        </w:rPr>
        <w:t>WCI</w:t>
      </w:r>
      <w:proofErr w:type="spellEnd"/>
      <w:r w:rsidRPr="002F4AD5">
        <w:rPr>
          <w:color w:val="000000" w:themeColor="text1"/>
        </w:rPr>
        <w:t xml:space="preserve"> argues, however, that its costs in litigating this case were not imprudent and should be allowed for full recovery.</w:t>
      </w:r>
      <w:r w:rsidRPr="002F4AD5">
        <w:rPr>
          <w:rStyle w:val="FootnoteReference"/>
          <w:color w:val="000000" w:themeColor="text1"/>
        </w:rPr>
        <w:footnoteReference w:id="83"/>
      </w:r>
      <w:r w:rsidR="00E05ECF" w:rsidRPr="002F4AD5">
        <w:rPr>
          <w:color w:val="000000" w:themeColor="text1"/>
        </w:rPr>
        <w:t xml:space="preserve"> </w:t>
      </w:r>
      <w:proofErr w:type="spellStart"/>
      <w:r w:rsidR="00E05ECF" w:rsidRPr="002F4AD5">
        <w:rPr>
          <w:color w:val="000000" w:themeColor="text1"/>
        </w:rPr>
        <w:t>WCI</w:t>
      </w:r>
      <w:proofErr w:type="spellEnd"/>
      <w:r w:rsidR="00E05ECF" w:rsidRPr="002F4AD5">
        <w:rPr>
          <w:color w:val="000000" w:themeColor="text1"/>
        </w:rPr>
        <w:t xml:space="preserve"> nevertheless states in its petition that:</w:t>
      </w:r>
    </w:p>
    <w:p w14:paraId="1D258157" w14:textId="77777777" w:rsidR="00E05ECF" w:rsidRPr="002F4AD5" w:rsidRDefault="00E05ECF" w:rsidP="00911029">
      <w:pPr>
        <w:spacing w:line="264" w:lineRule="auto"/>
        <w:rPr>
          <w:color w:val="000000" w:themeColor="text1"/>
        </w:rPr>
      </w:pPr>
    </w:p>
    <w:p w14:paraId="42DFAD1D" w14:textId="77777777" w:rsidR="00264996" w:rsidRPr="002F4AD5" w:rsidRDefault="00E05ECF" w:rsidP="00911029">
      <w:pPr>
        <w:spacing w:line="264" w:lineRule="auto"/>
        <w:ind w:left="720"/>
        <w:rPr>
          <w:color w:val="000000" w:themeColor="text1"/>
        </w:rPr>
      </w:pPr>
      <w:r w:rsidRPr="002F4AD5">
        <w:rPr>
          <w:color w:val="000000" w:themeColor="text1"/>
        </w:rPr>
        <w:t>It is now willing to accept the Staff premise of 50% reduction in rate case costs in Docket No. TG-131794 for the interval between the prehearing conference Notice of December 24, 2013 and the unfortunate dismissal circumstances and the refiling of the dismissed rate case on April 4, 2014.</w:t>
      </w:r>
      <w:r w:rsidRPr="002F4AD5">
        <w:rPr>
          <w:rStyle w:val="FootnoteReference"/>
          <w:color w:val="000000" w:themeColor="text1"/>
        </w:rPr>
        <w:footnoteReference w:id="84"/>
      </w:r>
    </w:p>
    <w:p w14:paraId="1A010874" w14:textId="77777777" w:rsidR="00264996" w:rsidRPr="002F4AD5" w:rsidRDefault="00264996" w:rsidP="00911029">
      <w:pPr>
        <w:spacing w:line="264" w:lineRule="auto"/>
        <w:rPr>
          <w:color w:val="000000" w:themeColor="text1"/>
        </w:rPr>
      </w:pPr>
    </w:p>
    <w:p w14:paraId="34AE1897" w14:textId="77777777" w:rsidR="000D4B67" w:rsidRDefault="00E05ECF" w:rsidP="00911029">
      <w:pPr>
        <w:spacing w:line="264" w:lineRule="auto"/>
        <w:rPr>
          <w:color w:val="000000" w:themeColor="text1"/>
        </w:rPr>
      </w:pPr>
      <w:r w:rsidRPr="002F4AD5">
        <w:rPr>
          <w:color w:val="000000" w:themeColor="text1"/>
        </w:rPr>
        <w:lastRenderedPageBreak/>
        <w:t xml:space="preserve">Thus, </w:t>
      </w:r>
      <w:proofErr w:type="spellStart"/>
      <w:r w:rsidRPr="002F4AD5">
        <w:rPr>
          <w:color w:val="000000" w:themeColor="text1"/>
        </w:rPr>
        <w:t>WCI</w:t>
      </w:r>
      <w:proofErr w:type="spellEnd"/>
      <w:r w:rsidRPr="002F4AD5">
        <w:rPr>
          <w:color w:val="000000" w:themeColor="text1"/>
        </w:rPr>
        <w:t xml:space="preserve"> agree</w:t>
      </w:r>
      <w:r w:rsidR="000029CC">
        <w:rPr>
          <w:color w:val="000000" w:themeColor="text1"/>
        </w:rPr>
        <w:t>s</w:t>
      </w:r>
      <w:r w:rsidRPr="002F4AD5">
        <w:rPr>
          <w:color w:val="000000" w:themeColor="text1"/>
        </w:rPr>
        <w:t xml:space="preserve"> with Staff’s recommendation and the Initial Order’s determination that half of the adjudicative proceeding costs in the Company’s precursor case that was dismissed</w:t>
      </w:r>
      <w:r w:rsidR="00B71588">
        <w:rPr>
          <w:color w:val="000000" w:themeColor="text1"/>
        </w:rPr>
        <w:t xml:space="preserve"> should not be allowed </w:t>
      </w:r>
      <w:r w:rsidR="00292450">
        <w:rPr>
          <w:color w:val="000000" w:themeColor="text1"/>
        </w:rPr>
        <w:t xml:space="preserve">as a basis </w:t>
      </w:r>
      <w:r w:rsidR="00B71588">
        <w:rPr>
          <w:color w:val="000000" w:themeColor="text1"/>
        </w:rPr>
        <w:t>for recovery</w:t>
      </w:r>
      <w:r w:rsidRPr="002F4AD5">
        <w:rPr>
          <w:color w:val="000000" w:themeColor="text1"/>
        </w:rPr>
        <w:t>.</w:t>
      </w:r>
      <w:r w:rsidR="006F17B4" w:rsidRPr="002F4AD5">
        <w:rPr>
          <w:color w:val="000000" w:themeColor="text1"/>
        </w:rPr>
        <w:t xml:space="preserve"> Given that the Initial Order also accepts Staff’s recommendation that 100 percent of the costs incurred during the informal auditing process in Docket TG-131794</w:t>
      </w:r>
      <w:r w:rsidR="00292450">
        <w:rPr>
          <w:color w:val="000000" w:themeColor="text1"/>
        </w:rPr>
        <w:t xml:space="preserve"> should be reflected in rates</w:t>
      </w:r>
      <w:r w:rsidR="00B71588">
        <w:rPr>
          <w:color w:val="000000" w:themeColor="text1"/>
        </w:rPr>
        <w:t xml:space="preserve"> because the accounting undertaken during that period contributed to the Company’s filing in Docket TG-140560</w:t>
      </w:r>
      <w:r w:rsidR="006F17B4" w:rsidRPr="002F4AD5">
        <w:rPr>
          <w:color w:val="000000" w:themeColor="text1"/>
        </w:rPr>
        <w:t>, the only question for us on review is whether the Initial Order’s disallowance of one-half the Company’s costs in this adjudicative proceeding</w:t>
      </w:r>
      <w:r w:rsidR="00446E2B">
        <w:rPr>
          <w:color w:val="000000" w:themeColor="text1"/>
        </w:rPr>
        <w:t xml:space="preserve"> (</w:t>
      </w:r>
      <w:r w:rsidR="00446E2B" w:rsidRPr="00446E2B">
        <w:rPr>
          <w:i/>
          <w:color w:val="000000" w:themeColor="text1"/>
        </w:rPr>
        <w:t xml:space="preserve">i.e., </w:t>
      </w:r>
      <w:r w:rsidR="00446E2B">
        <w:rPr>
          <w:color w:val="000000" w:themeColor="text1"/>
        </w:rPr>
        <w:t>Docket TG-140560)</w:t>
      </w:r>
      <w:r w:rsidR="006F17B4" w:rsidRPr="002F4AD5">
        <w:rPr>
          <w:color w:val="000000" w:themeColor="text1"/>
        </w:rPr>
        <w:t xml:space="preserve"> should be sustained.</w:t>
      </w:r>
    </w:p>
    <w:p w14:paraId="15F23984" w14:textId="77777777" w:rsidR="00656D87" w:rsidRDefault="00656D87" w:rsidP="00911029">
      <w:pPr>
        <w:spacing w:line="264" w:lineRule="auto"/>
        <w:rPr>
          <w:color w:val="000000" w:themeColor="text1"/>
        </w:rPr>
      </w:pPr>
    </w:p>
    <w:p w14:paraId="08953C92" w14:textId="77777777" w:rsidR="00DE392F" w:rsidRDefault="00656D87" w:rsidP="00911029">
      <w:pPr>
        <w:numPr>
          <w:ilvl w:val="0"/>
          <w:numId w:val="2"/>
        </w:numPr>
        <w:spacing w:line="264" w:lineRule="auto"/>
        <w:rPr>
          <w:color w:val="000000" w:themeColor="text1"/>
        </w:rPr>
      </w:pPr>
      <w:proofErr w:type="spellStart"/>
      <w:r>
        <w:rPr>
          <w:color w:val="000000" w:themeColor="text1"/>
        </w:rPr>
        <w:t>WCI</w:t>
      </w:r>
      <w:proofErr w:type="spellEnd"/>
      <w:r>
        <w:rPr>
          <w:color w:val="000000" w:themeColor="text1"/>
        </w:rPr>
        <w:t xml:space="preserve"> states correctly that “[n]</w:t>
      </w:r>
      <w:r w:rsidRPr="00656D87">
        <w:rPr>
          <w:color w:val="000000" w:themeColor="text1"/>
        </w:rPr>
        <w:t>o one disputes that this was a protracted, heavily contested case</w:t>
      </w:r>
      <w:r>
        <w:rPr>
          <w:color w:val="000000" w:themeColor="text1"/>
        </w:rPr>
        <w:t>.”</w:t>
      </w:r>
      <w:r>
        <w:rPr>
          <w:rStyle w:val="FootnoteReference"/>
          <w:color w:val="000000" w:themeColor="text1"/>
        </w:rPr>
        <w:footnoteReference w:id="85"/>
      </w:r>
      <w:r>
        <w:rPr>
          <w:color w:val="000000" w:themeColor="text1"/>
        </w:rPr>
        <w:t xml:space="preserve"> The Company relates in its Petition a litany of fault on Staff’s part that</w:t>
      </w:r>
      <w:r w:rsidR="00292450">
        <w:rPr>
          <w:color w:val="000000" w:themeColor="text1"/>
        </w:rPr>
        <w:t xml:space="preserve"> the Company contends</w:t>
      </w:r>
      <w:r>
        <w:rPr>
          <w:color w:val="000000" w:themeColor="text1"/>
        </w:rPr>
        <w:t xml:space="preserve"> helps account for this being so.</w:t>
      </w:r>
      <w:r>
        <w:rPr>
          <w:rStyle w:val="FootnoteReference"/>
          <w:color w:val="000000" w:themeColor="text1"/>
        </w:rPr>
        <w:footnoteReference w:id="86"/>
      </w:r>
      <w:r>
        <w:rPr>
          <w:color w:val="000000" w:themeColor="text1"/>
        </w:rPr>
        <w:t xml:space="preserve"> </w:t>
      </w:r>
      <w:r w:rsidR="00F106BB">
        <w:rPr>
          <w:color w:val="000000" w:themeColor="text1"/>
        </w:rPr>
        <w:t xml:space="preserve">Nevertheless, </w:t>
      </w:r>
      <w:proofErr w:type="spellStart"/>
      <w:r w:rsidR="00F106BB">
        <w:rPr>
          <w:color w:val="000000" w:themeColor="text1"/>
        </w:rPr>
        <w:t>WCI</w:t>
      </w:r>
      <w:proofErr w:type="spellEnd"/>
      <w:r w:rsidR="00F106BB">
        <w:rPr>
          <w:color w:val="000000" w:themeColor="text1"/>
        </w:rPr>
        <w:t xml:space="preserve"> “</w:t>
      </w:r>
      <w:r w:rsidR="00F106BB" w:rsidRPr="00F106BB">
        <w:rPr>
          <w:color w:val="000000" w:themeColor="text1"/>
        </w:rPr>
        <w:t>is willing to accept part of the penalty and blame for the protraction and/or duplication i</w:t>
      </w:r>
      <w:r w:rsidR="00F106BB">
        <w:rPr>
          <w:color w:val="000000" w:themeColor="text1"/>
        </w:rPr>
        <w:t>n [Docket TG-131794].”</w:t>
      </w:r>
      <w:r w:rsidR="00F106BB">
        <w:rPr>
          <w:rStyle w:val="FootnoteReference"/>
          <w:color w:val="000000" w:themeColor="text1"/>
        </w:rPr>
        <w:footnoteReference w:id="87"/>
      </w:r>
      <w:r w:rsidR="00F106BB">
        <w:rPr>
          <w:color w:val="000000" w:themeColor="text1"/>
        </w:rPr>
        <w:t xml:space="preserve"> </w:t>
      </w:r>
      <w:r>
        <w:rPr>
          <w:color w:val="000000" w:themeColor="text1"/>
        </w:rPr>
        <w:t xml:space="preserve">Staff places on </w:t>
      </w:r>
      <w:proofErr w:type="spellStart"/>
      <w:r>
        <w:rPr>
          <w:color w:val="000000" w:themeColor="text1"/>
        </w:rPr>
        <w:t>WCI</w:t>
      </w:r>
      <w:proofErr w:type="spellEnd"/>
      <w:r>
        <w:rPr>
          <w:color w:val="000000" w:themeColor="text1"/>
        </w:rPr>
        <w:t xml:space="preserve"> the </w:t>
      </w:r>
      <w:r w:rsidR="00446E2B">
        <w:rPr>
          <w:color w:val="000000" w:themeColor="text1"/>
        </w:rPr>
        <w:t xml:space="preserve">principal </w:t>
      </w:r>
      <w:r>
        <w:rPr>
          <w:color w:val="000000" w:themeColor="text1"/>
        </w:rPr>
        <w:t xml:space="preserve">responsibility for this case taking over two years, </w:t>
      </w:r>
      <w:r w:rsidR="005627F8">
        <w:rPr>
          <w:color w:val="000000" w:themeColor="text1"/>
        </w:rPr>
        <w:t>requiring</w:t>
      </w:r>
      <w:r>
        <w:rPr>
          <w:color w:val="000000" w:themeColor="text1"/>
        </w:rPr>
        <w:t xml:space="preserve"> two dockets, </w:t>
      </w:r>
      <w:r w:rsidR="00124764">
        <w:rPr>
          <w:color w:val="000000" w:themeColor="text1"/>
        </w:rPr>
        <w:t>and for the case’s complexity</w:t>
      </w:r>
      <w:r>
        <w:rPr>
          <w:color w:val="000000" w:themeColor="text1"/>
        </w:rPr>
        <w:t xml:space="preserve"> </w:t>
      </w:r>
      <w:r w:rsidR="00124764">
        <w:rPr>
          <w:color w:val="000000" w:themeColor="text1"/>
        </w:rPr>
        <w:t>and contentiousness.</w:t>
      </w:r>
      <w:r w:rsidR="00F106BB">
        <w:rPr>
          <w:color w:val="000000" w:themeColor="text1"/>
        </w:rPr>
        <w:t xml:space="preserve"> Staff, like </w:t>
      </w:r>
      <w:proofErr w:type="spellStart"/>
      <w:r w:rsidR="00F106BB">
        <w:rPr>
          <w:color w:val="000000" w:themeColor="text1"/>
        </w:rPr>
        <w:t>WCI</w:t>
      </w:r>
      <w:proofErr w:type="spellEnd"/>
      <w:r w:rsidR="00F106BB">
        <w:rPr>
          <w:color w:val="000000" w:themeColor="text1"/>
        </w:rPr>
        <w:t>, offers details to which it attributes “the extraordinary costs associated with Docket TG-140560.</w:t>
      </w:r>
      <w:r w:rsidR="00292450">
        <w:rPr>
          <w:color w:val="000000" w:themeColor="text1"/>
        </w:rPr>
        <w:t>”</w:t>
      </w:r>
      <w:r w:rsidR="0063617E">
        <w:rPr>
          <w:rStyle w:val="FootnoteReference"/>
          <w:color w:val="000000" w:themeColor="text1"/>
        </w:rPr>
        <w:footnoteReference w:id="88"/>
      </w:r>
      <w:r w:rsidR="007175FA">
        <w:rPr>
          <w:color w:val="000000" w:themeColor="text1"/>
        </w:rPr>
        <w:t xml:space="preserve"> The Initial Order </w:t>
      </w:r>
      <w:r w:rsidR="00F106BB">
        <w:rPr>
          <w:color w:val="000000" w:themeColor="text1"/>
        </w:rPr>
        <w:t>finds fault on both sides.</w:t>
      </w:r>
      <w:r w:rsidR="001B1826">
        <w:rPr>
          <w:rStyle w:val="FootnoteReference"/>
          <w:color w:val="000000" w:themeColor="text1"/>
        </w:rPr>
        <w:footnoteReference w:id="89"/>
      </w:r>
      <w:r w:rsidR="00F106BB">
        <w:rPr>
          <w:color w:val="000000" w:themeColor="text1"/>
        </w:rPr>
        <w:t xml:space="preserve">  </w:t>
      </w:r>
    </w:p>
    <w:p w14:paraId="604168AE" w14:textId="77777777" w:rsidR="00DE392F" w:rsidRDefault="00DE392F" w:rsidP="00911029">
      <w:pPr>
        <w:spacing w:line="264" w:lineRule="auto"/>
        <w:rPr>
          <w:color w:val="000000" w:themeColor="text1"/>
        </w:rPr>
      </w:pPr>
    </w:p>
    <w:p w14:paraId="4859CB87" w14:textId="77777777" w:rsidR="008603A3" w:rsidRDefault="00F106BB" w:rsidP="00911029">
      <w:pPr>
        <w:numPr>
          <w:ilvl w:val="0"/>
          <w:numId w:val="2"/>
        </w:numPr>
        <w:spacing w:line="264" w:lineRule="auto"/>
        <w:rPr>
          <w:color w:val="000000" w:themeColor="text1"/>
        </w:rPr>
      </w:pPr>
      <w:r>
        <w:rPr>
          <w:color w:val="000000" w:themeColor="text1"/>
        </w:rPr>
        <w:t>In our view, all of this argument</w:t>
      </w:r>
      <w:r w:rsidR="0063617E">
        <w:rPr>
          <w:color w:val="000000" w:themeColor="text1"/>
        </w:rPr>
        <w:t xml:space="preserve"> about who is at fault</w:t>
      </w:r>
      <w:r>
        <w:rPr>
          <w:color w:val="000000" w:themeColor="text1"/>
        </w:rPr>
        <w:t xml:space="preserve"> is largely beside the point. What is important to our consideration is that everyone agrees this case took an unusually long time, was highly contentious, and produced costs that are excessive by any measure of what is normal.</w:t>
      </w:r>
      <w:r w:rsidR="00DE392F">
        <w:rPr>
          <w:color w:val="000000" w:themeColor="text1"/>
        </w:rPr>
        <w:t xml:space="preserve"> Yet, </w:t>
      </w:r>
      <w:r w:rsidR="00D71BD4">
        <w:rPr>
          <w:color w:val="000000" w:themeColor="text1"/>
        </w:rPr>
        <w:t xml:space="preserve">what we must determine is the level of </w:t>
      </w:r>
      <w:r w:rsidR="00DE392F">
        <w:rPr>
          <w:color w:val="000000" w:themeColor="text1"/>
        </w:rPr>
        <w:t>normalized costs for rate case expense.</w:t>
      </w:r>
      <w:r w:rsidR="001B6325">
        <w:rPr>
          <w:rStyle w:val="FootnoteReference"/>
          <w:color w:val="000000" w:themeColor="text1"/>
        </w:rPr>
        <w:footnoteReference w:id="90"/>
      </w:r>
      <w:r w:rsidR="00DE392F">
        <w:rPr>
          <w:color w:val="000000" w:themeColor="text1"/>
        </w:rPr>
        <w:t xml:space="preserve">  </w:t>
      </w:r>
    </w:p>
    <w:p w14:paraId="37E1DE99" w14:textId="77777777" w:rsidR="008603A3" w:rsidRDefault="008603A3" w:rsidP="00911029">
      <w:pPr>
        <w:pStyle w:val="ListParagraph"/>
        <w:spacing w:line="264" w:lineRule="auto"/>
        <w:rPr>
          <w:color w:val="000000" w:themeColor="text1"/>
        </w:rPr>
      </w:pPr>
    </w:p>
    <w:p w14:paraId="6F256447" w14:textId="77777777" w:rsidR="0070166D" w:rsidRPr="008603A3" w:rsidRDefault="00DE392F" w:rsidP="00911029">
      <w:pPr>
        <w:numPr>
          <w:ilvl w:val="0"/>
          <w:numId w:val="2"/>
        </w:numPr>
        <w:spacing w:line="264" w:lineRule="auto"/>
        <w:rPr>
          <w:color w:val="000000" w:themeColor="text1"/>
        </w:rPr>
      </w:pPr>
      <w:r>
        <w:rPr>
          <w:color w:val="000000" w:themeColor="text1"/>
        </w:rPr>
        <w:t>Normalization of costs is a familiar concept in regulatory ratemaking. There are various ways to achieve it</w:t>
      </w:r>
      <w:r w:rsidR="00292450">
        <w:rPr>
          <w:color w:val="000000" w:themeColor="text1"/>
        </w:rPr>
        <w:t>. J</w:t>
      </w:r>
      <w:r>
        <w:rPr>
          <w:color w:val="000000" w:themeColor="text1"/>
        </w:rPr>
        <w:t xml:space="preserve">ust as in the case of overall rates, </w:t>
      </w:r>
      <w:r w:rsidR="00292450">
        <w:rPr>
          <w:color w:val="000000" w:themeColor="text1"/>
        </w:rPr>
        <w:t>when considering what is appropriate for individual components that go into those overall rates, the proper focus</w:t>
      </w:r>
      <w:r>
        <w:rPr>
          <w:color w:val="000000" w:themeColor="text1"/>
        </w:rPr>
        <w:t xml:space="preserve"> is not </w:t>
      </w:r>
      <w:r w:rsidR="00292450">
        <w:rPr>
          <w:color w:val="000000" w:themeColor="text1"/>
        </w:rPr>
        <w:t xml:space="preserve">on </w:t>
      </w:r>
      <w:r>
        <w:rPr>
          <w:color w:val="000000" w:themeColor="text1"/>
        </w:rPr>
        <w:t>the means by which we arrive at the end result</w:t>
      </w:r>
      <w:r w:rsidR="00292450">
        <w:rPr>
          <w:color w:val="000000" w:themeColor="text1"/>
        </w:rPr>
        <w:t>. Rather, the focus is on</w:t>
      </w:r>
      <w:r>
        <w:rPr>
          <w:color w:val="000000" w:themeColor="text1"/>
        </w:rPr>
        <w:t xml:space="preserve"> the </w:t>
      </w:r>
      <w:r w:rsidR="00292450">
        <w:rPr>
          <w:color w:val="000000" w:themeColor="text1"/>
        </w:rPr>
        <w:t xml:space="preserve">reasonableness of the </w:t>
      </w:r>
      <w:r>
        <w:rPr>
          <w:color w:val="000000" w:themeColor="text1"/>
        </w:rPr>
        <w:t>end result achieved by whatever means we employ.</w:t>
      </w:r>
      <w:r>
        <w:rPr>
          <w:rStyle w:val="FootnoteReference"/>
          <w:color w:val="000000" w:themeColor="text1"/>
        </w:rPr>
        <w:footnoteReference w:id="91"/>
      </w:r>
    </w:p>
    <w:p w14:paraId="0884E9B0" w14:textId="77777777" w:rsidR="0070166D" w:rsidRPr="002F4AD5" w:rsidRDefault="0070166D" w:rsidP="00911029">
      <w:pPr>
        <w:pStyle w:val="ListParagraph"/>
        <w:spacing w:line="264" w:lineRule="auto"/>
        <w:rPr>
          <w:color w:val="000000" w:themeColor="text1"/>
        </w:rPr>
      </w:pPr>
    </w:p>
    <w:p w14:paraId="6E05BC02" w14:textId="77777777" w:rsidR="008603A3" w:rsidRDefault="008603A3" w:rsidP="00911029">
      <w:pPr>
        <w:numPr>
          <w:ilvl w:val="0"/>
          <w:numId w:val="2"/>
        </w:numPr>
        <w:spacing w:line="264" w:lineRule="auto"/>
        <w:rPr>
          <w:color w:val="000000" w:themeColor="text1"/>
        </w:rPr>
      </w:pPr>
      <w:r>
        <w:rPr>
          <w:color w:val="000000" w:themeColor="text1"/>
        </w:rPr>
        <w:t xml:space="preserve">Ms. </w:t>
      </w:r>
      <w:proofErr w:type="spellStart"/>
      <w:r>
        <w:rPr>
          <w:color w:val="000000" w:themeColor="text1"/>
        </w:rPr>
        <w:t>Cheesman</w:t>
      </w:r>
      <w:proofErr w:type="spellEnd"/>
      <w:r>
        <w:rPr>
          <w:color w:val="000000" w:themeColor="text1"/>
        </w:rPr>
        <w:t xml:space="preserve"> discusses Staff’s perspective on normalization of rate case expense in her initial </w:t>
      </w:r>
      <w:r w:rsidR="00292450">
        <w:rPr>
          <w:color w:val="000000" w:themeColor="text1"/>
        </w:rPr>
        <w:t xml:space="preserve">response </w:t>
      </w:r>
      <w:r>
        <w:rPr>
          <w:color w:val="000000" w:themeColor="text1"/>
        </w:rPr>
        <w:t>and</w:t>
      </w:r>
      <w:r w:rsidR="00292450">
        <w:rPr>
          <w:color w:val="000000" w:themeColor="text1"/>
        </w:rPr>
        <w:t xml:space="preserve"> her</w:t>
      </w:r>
      <w:r>
        <w:rPr>
          <w:color w:val="000000" w:themeColor="text1"/>
        </w:rPr>
        <w:t xml:space="preserve"> supplemental testimony. She says in her response testimony that:</w:t>
      </w:r>
    </w:p>
    <w:p w14:paraId="6D0A85F8" w14:textId="77777777" w:rsidR="008603A3" w:rsidRDefault="008603A3" w:rsidP="00911029">
      <w:pPr>
        <w:pStyle w:val="ListParagraph"/>
        <w:spacing w:line="264" w:lineRule="auto"/>
        <w:rPr>
          <w:color w:val="000000" w:themeColor="text1"/>
        </w:rPr>
      </w:pPr>
    </w:p>
    <w:p w14:paraId="47C27500" w14:textId="77777777" w:rsidR="008603A3" w:rsidRPr="008603A3" w:rsidRDefault="008603A3" w:rsidP="00911029">
      <w:pPr>
        <w:spacing w:line="264" w:lineRule="auto"/>
        <w:ind w:left="720"/>
        <w:rPr>
          <w:color w:val="000000" w:themeColor="text1"/>
        </w:rPr>
      </w:pPr>
      <w:r w:rsidRPr="008603A3">
        <w:rPr>
          <w:color w:val="000000" w:themeColor="text1"/>
        </w:rPr>
        <w:t>Rates should reflect prudent and recurring expenses incurred by a regulated compa</w:t>
      </w:r>
      <w:r w:rsidR="00292450">
        <w:rPr>
          <w:color w:val="000000" w:themeColor="text1"/>
        </w:rPr>
        <w:t xml:space="preserve">ny. </w:t>
      </w:r>
      <w:r w:rsidRPr="008603A3">
        <w:rPr>
          <w:color w:val="000000" w:themeColor="text1"/>
        </w:rPr>
        <w:t>Test year expenses used for rate setting should reflect the prudent expenses incurred by a regul</w:t>
      </w:r>
      <w:r w:rsidR="00292450">
        <w:rPr>
          <w:color w:val="000000" w:themeColor="text1"/>
        </w:rPr>
        <w:t>ated company in a typical year.</w:t>
      </w:r>
      <w:r w:rsidRPr="008603A3">
        <w:rPr>
          <w:color w:val="000000" w:themeColor="text1"/>
        </w:rPr>
        <w:t xml:space="preserve"> Non-recurring expenses are, by definition, rare and atypical. </w:t>
      </w:r>
    </w:p>
    <w:p w14:paraId="0A0F6F39" w14:textId="77777777" w:rsidR="008603A3" w:rsidRDefault="008603A3" w:rsidP="00911029">
      <w:pPr>
        <w:spacing w:line="264" w:lineRule="auto"/>
        <w:ind w:left="720"/>
        <w:rPr>
          <w:color w:val="000000" w:themeColor="text1"/>
        </w:rPr>
      </w:pPr>
    </w:p>
    <w:p w14:paraId="0D2A989B" w14:textId="77777777" w:rsidR="008603A3" w:rsidRDefault="008603A3" w:rsidP="00911029">
      <w:pPr>
        <w:spacing w:line="264" w:lineRule="auto"/>
        <w:ind w:left="720"/>
        <w:rPr>
          <w:color w:val="000000" w:themeColor="text1"/>
        </w:rPr>
      </w:pPr>
      <w:r w:rsidRPr="008603A3">
        <w:rPr>
          <w:color w:val="000000" w:themeColor="text1"/>
        </w:rPr>
        <w:t>While rate case expenses are recurring, they typically are</w:t>
      </w:r>
      <w:r w:rsidR="00292450">
        <w:rPr>
          <w:color w:val="000000" w:themeColor="text1"/>
        </w:rPr>
        <w:t xml:space="preserve"> not incurred every year. </w:t>
      </w:r>
      <w:r w:rsidRPr="008603A3">
        <w:rPr>
          <w:color w:val="000000" w:themeColor="text1"/>
        </w:rPr>
        <w:t xml:space="preserve">Staff’s adjustment normalizes the accounting and legal expenses related to general rate case </w:t>
      </w:r>
      <w:r w:rsidR="00292450">
        <w:rPr>
          <w:color w:val="000000" w:themeColor="text1"/>
        </w:rPr>
        <w:t>expenses and normal operations.</w:t>
      </w:r>
      <w:r w:rsidRPr="008603A3">
        <w:rPr>
          <w:color w:val="000000" w:themeColor="text1"/>
        </w:rPr>
        <w:t xml:space="preserve"> This smoothing treatment normalizes rare and atypical general rate case expenses while allowing for a reasonable recovery of accounting and legal expenses.</w:t>
      </w:r>
      <w:r>
        <w:rPr>
          <w:rStyle w:val="FootnoteReference"/>
          <w:color w:val="000000" w:themeColor="text1"/>
        </w:rPr>
        <w:footnoteReference w:id="92"/>
      </w:r>
    </w:p>
    <w:p w14:paraId="362D1CF2" w14:textId="77777777" w:rsidR="008603A3" w:rsidRDefault="008603A3" w:rsidP="00911029">
      <w:pPr>
        <w:spacing w:line="264" w:lineRule="auto"/>
        <w:rPr>
          <w:color w:val="000000" w:themeColor="text1"/>
        </w:rPr>
      </w:pPr>
    </w:p>
    <w:p w14:paraId="7BBC30F3" w14:textId="77777777" w:rsidR="008603A3" w:rsidRDefault="008603A3" w:rsidP="00911029">
      <w:pPr>
        <w:spacing w:line="264" w:lineRule="auto"/>
        <w:rPr>
          <w:color w:val="000000" w:themeColor="text1"/>
        </w:rPr>
      </w:pPr>
      <w:r>
        <w:rPr>
          <w:color w:val="000000" w:themeColor="text1"/>
        </w:rPr>
        <w:t xml:space="preserve">Ms. </w:t>
      </w:r>
      <w:proofErr w:type="spellStart"/>
      <w:r>
        <w:rPr>
          <w:color w:val="000000" w:themeColor="text1"/>
        </w:rPr>
        <w:t>Cheesman</w:t>
      </w:r>
      <w:proofErr w:type="spellEnd"/>
      <w:r>
        <w:rPr>
          <w:color w:val="000000" w:themeColor="text1"/>
        </w:rPr>
        <w:t xml:space="preserve"> returns to this point in her supplemental testimony, stating that:</w:t>
      </w:r>
    </w:p>
    <w:p w14:paraId="7DAECD97" w14:textId="77777777" w:rsidR="008603A3" w:rsidRDefault="008603A3" w:rsidP="00911029">
      <w:pPr>
        <w:spacing w:line="264" w:lineRule="auto"/>
        <w:rPr>
          <w:color w:val="000000" w:themeColor="text1"/>
        </w:rPr>
      </w:pPr>
    </w:p>
    <w:p w14:paraId="361208AD" w14:textId="77777777" w:rsidR="008603A3" w:rsidRDefault="008603A3" w:rsidP="00911029">
      <w:pPr>
        <w:spacing w:line="264" w:lineRule="auto"/>
        <w:ind w:left="720"/>
        <w:rPr>
          <w:color w:val="000000" w:themeColor="text1"/>
        </w:rPr>
      </w:pPr>
      <w:r w:rsidRPr="008603A3">
        <w:rPr>
          <w:color w:val="000000" w:themeColor="text1"/>
        </w:rPr>
        <w:t>Staff’s proposed general rate case recovery is logical and reasonable because half recovery of each formal adjudicated general rate case allows recovery of one fully supported formal adjudicated general rate case.</w:t>
      </w:r>
    </w:p>
    <w:p w14:paraId="6CE3A132" w14:textId="77777777" w:rsidR="00446E2B" w:rsidRPr="008603A3" w:rsidRDefault="00446E2B" w:rsidP="00911029">
      <w:pPr>
        <w:spacing w:line="264" w:lineRule="auto"/>
        <w:ind w:left="720"/>
        <w:rPr>
          <w:color w:val="000000" w:themeColor="text1"/>
        </w:rPr>
      </w:pPr>
    </w:p>
    <w:p w14:paraId="73ABFEE3" w14:textId="77777777" w:rsidR="008603A3" w:rsidRDefault="008603A3" w:rsidP="00911029">
      <w:pPr>
        <w:spacing w:line="264" w:lineRule="auto"/>
      </w:pPr>
      <w:r>
        <w:t>Staff’s full approach to normalization of rate case expense is to allow all of the Company’s expense</w:t>
      </w:r>
      <w:r w:rsidR="00B65A67">
        <w:t>—largely accounting expense—i</w:t>
      </w:r>
      <w:r>
        <w:t>ncurred in preparing its filing in Docket TG-131653, because</w:t>
      </w:r>
      <w:r w:rsidR="00446E2B" w:rsidRPr="00446E2B">
        <w:rPr>
          <w:color w:val="000000" w:themeColor="text1"/>
        </w:rPr>
        <w:t xml:space="preserve"> </w:t>
      </w:r>
      <w:r w:rsidR="00446E2B" w:rsidRPr="00446E2B">
        <w:t>the Company’s preparatory work in Docket TG-1317</w:t>
      </w:r>
      <w:r w:rsidR="00446E2B">
        <w:t>94 was “useful and relevant” to this</w:t>
      </w:r>
      <w:r w:rsidR="00446E2B" w:rsidRPr="00446E2B">
        <w:t xml:space="preserve"> case</w:t>
      </w:r>
      <w:r w:rsidR="00933037">
        <w:t>.</w:t>
      </w:r>
      <w:r w:rsidR="00446E2B">
        <w:rPr>
          <w:rStyle w:val="FootnoteReference"/>
        </w:rPr>
        <w:footnoteReference w:id="93"/>
      </w:r>
      <w:r w:rsidR="00933037">
        <w:t xml:space="preserve"> To this, Staff would add the average of the </w:t>
      </w:r>
      <w:r w:rsidR="00B65A67">
        <w:t xml:space="preserve">legal and accounting </w:t>
      </w:r>
      <w:r w:rsidR="00933037">
        <w:t xml:space="preserve">expenses the Company incurred in the two general rate case dockets, thus arriving at an approximate reasonable cost for a single contested rate proceeding for </w:t>
      </w:r>
      <w:proofErr w:type="spellStart"/>
      <w:r w:rsidR="00933037">
        <w:t>WCI</w:t>
      </w:r>
      <w:proofErr w:type="spellEnd"/>
      <w:r w:rsidR="00933037">
        <w:t xml:space="preserve"> of $303,354.</w:t>
      </w:r>
    </w:p>
    <w:p w14:paraId="285E30E5" w14:textId="77777777" w:rsidR="008603A3" w:rsidRDefault="008603A3" w:rsidP="00911029">
      <w:pPr>
        <w:spacing w:line="264" w:lineRule="auto"/>
      </w:pPr>
    </w:p>
    <w:p w14:paraId="4086805B" w14:textId="77777777" w:rsidR="000D4B67" w:rsidRPr="008C3BD7" w:rsidRDefault="00850770" w:rsidP="00911029">
      <w:pPr>
        <w:numPr>
          <w:ilvl w:val="0"/>
          <w:numId w:val="2"/>
        </w:numPr>
        <w:spacing w:line="264" w:lineRule="auto"/>
        <w:rPr>
          <w:color w:val="000000" w:themeColor="text1"/>
        </w:rPr>
      </w:pPr>
      <w:r w:rsidRPr="004B3003">
        <w:t>Staff</w:t>
      </w:r>
      <w:r w:rsidRPr="008C3BD7">
        <w:rPr>
          <w:color w:val="000000" w:themeColor="text1"/>
        </w:rPr>
        <w:t xml:space="preserve"> </w:t>
      </w:r>
      <w:r w:rsidR="0070166D" w:rsidRPr="008C3BD7">
        <w:rPr>
          <w:color w:val="000000" w:themeColor="text1"/>
        </w:rPr>
        <w:t>suggest</w:t>
      </w:r>
      <w:r w:rsidR="00B53B62" w:rsidRPr="008C3BD7">
        <w:rPr>
          <w:color w:val="000000" w:themeColor="text1"/>
        </w:rPr>
        <w:t xml:space="preserve">s amortizing </w:t>
      </w:r>
      <w:r w:rsidR="005C08E1">
        <w:rPr>
          <w:color w:val="000000" w:themeColor="text1"/>
        </w:rPr>
        <w:t>whatever</w:t>
      </w:r>
      <w:r w:rsidR="00B53B62" w:rsidRPr="008C3BD7">
        <w:rPr>
          <w:color w:val="000000" w:themeColor="text1"/>
        </w:rPr>
        <w:t xml:space="preserve"> rate case expenses </w:t>
      </w:r>
      <w:r w:rsidR="0070166D" w:rsidRPr="008C3BD7">
        <w:rPr>
          <w:color w:val="000000" w:themeColor="text1"/>
        </w:rPr>
        <w:t xml:space="preserve">the Commission allows </w:t>
      </w:r>
      <w:r w:rsidR="00B53B62" w:rsidRPr="008C3BD7">
        <w:rPr>
          <w:color w:val="000000" w:themeColor="text1"/>
        </w:rPr>
        <w:t>over a five year period.</w:t>
      </w:r>
      <w:r w:rsidR="00B53B62" w:rsidRPr="002F4AD5">
        <w:rPr>
          <w:rStyle w:val="FootnoteReference"/>
          <w:color w:val="000000" w:themeColor="text1"/>
        </w:rPr>
        <w:footnoteReference w:id="94"/>
      </w:r>
      <w:r w:rsidR="00B53B62" w:rsidRPr="008C3BD7">
        <w:rPr>
          <w:color w:val="000000" w:themeColor="text1"/>
        </w:rPr>
        <w:t xml:space="preserve"> </w:t>
      </w:r>
      <w:r w:rsidR="00B53B62" w:rsidRPr="002F4AD5">
        <w:t>Staff</w:t>
      </w:r>
      <w:r w:rsidR="00B53B62" w:rsidRPr="008C3BD7">
        <w:rPr>
          <w:color w:val="000000" w:themeColor="text1"/>
        </w:rPr>
        <w:t xml:space="preserve"> </w:t>
      </w:r>
      <w:r w:rsidR="00B53B62" w:rsidRPr="004B3003">
        <w:t>arrived</w:t>
      </w:r>
      <w:r w:rsidR="00B53B62" w:rsidRPr="008C3BD7">
        <w:rPr>
          <w:color w:val="000000" w:themeColor="text1"/>
        </w:rPr>
        <w:t xml:space="preserve"> at the </w:t>
      </w:r>
      <w:r w:rsidR="008C3BD7">
        <w:rPr>
          <w:color w:val="000000" w:themeColor="text1"/>
        </w:rPr>
        <w:t>five</w:t>
      </w:r>
      <w:r w:rsidR="00B53B62" w:rsidRPr="008C3BD7">
        <w:rPr>
          <w:color w:val="000000" w:themeColor="text1"/>
        </w:rPr>
        <w:t xml:space="preserve"> year figure by averaging approximately 4.5 years, which is the time between </w:t>
      </w:r>
      <w:proofErr w:type="spellStart"/>
      <w:r w:rsidR="00B53B62" w:rsidRPr="008C3BD7">
        <w:rPr>
          <w:color w:val="000000" w:themeColor="text1"/>
        </w:rPr>
        <w:t>WCI’s</w:t>
      </w:r>
      <w:proofErr w:type="spellEnd"/>
      <w:r w:rsidR="00B53B62" w:rsidRPr="008C3BD7">
        <w:rPr>
          <w:color w:val="000000" w:themeColor="text1"/>
        </w:rPr>
        <w:t xml:space="preserve"> 2009 rate case in Docket TG-091653 and Docket TG-</w:t>
      </w:r>
      <w:r w:rsidR="00B53B62" w:rsidRPr="008C3BD7">
        <w:rPr>
          <w:color w:val="000000" w:themeColor="text1"/>
        </w:rPr>
        <w:lastRenderedPageBreak/>
        <w:t>140560, and 5.2 years, which is the time between the effective dates of the two filings.</w:t>
      </w:r>
      <w:r w:rsidR="00B53B62" w:rsidRPr="002F4AD5">
        <w:rPr>
          <w:rStyle w:val="FootnoteReference"/>
          <w:color w:val="000000" w:themeColor="text1"/>
        </w:rPr>
        <w:footnoteReference w:id="95"/>
      </w:r>
      <w:r w:rsidR="00864BF0" w:rsidRPr="008C3BD7">
        <w:rPr>
          <w:color w:val="000000" w:themeColor="text1"/>
        </w:rPr>
        <w:t xml:space="preserve"> Staff argues that the Company’s four</w:t>
      </w:r>
      <w:r w:rsidR="008A5DC7">
        <w:rPr>
          <w:color w:val="000000" w:themeColor="text1"/>
        </w:rPr>
        <w:t>-</w:t>
      </w:r>
      <w:r w:rsidR="00864BF0" w:rsidRPr="008C3BD7">
        <w:rPr>
          <w:color w:val="000000" w:themeColor="text1"/>
        </w:rPr>
        <w:t>year amortization proposal “fails to consider the extraordinary magnitude of rate case costs in this proceeding and the potential effect on rates.”</w:t>
      </w:r>
      <w:r w:rsidR="00864BF0" w:rsidRPr="002F4AD5">
        <w:rPr>
          <w:rStyle w:val="FootnoteReference"/>
          <w:color w:val="000000" w:themeColor="text1"/>
        </w:rPr>
        <w:footnoteReference w:id="96"/>
      </w:r>
    </w:p>
    <w:p w14:paraId="02F7019F" w14:textId="77777777" w:rsidR="00743479" w:rsidRPr="002F4AD5" w:rsidRDefault="00743479" w:rsidP="00911029">
      <w:pPr>
        <w:pStyle w:val="ListParagraph"/>
        <w:spacing w:line="264" w:lineRule="auto"/>
      </w:pPr>
    </w:p>
    <w:p w14:paraId="5905ED14" w14:textId="77777777" w:rsidR="00304D85" w:rsidRDefault="00500ECC" w:rsidP="00911029">
      <w:pPr>
        <w:numPr>
          <w:ilvl w:val="0"/>
          <w:numId w:val="2"/>
        </w:numPr>
        <w:spacing w:line="264" w:lineRule="auto"/>
      </w:pPr>
      <w:r>
        <w:t>W</w:t>
      </w:r>
      <w:r w:rsidR="000B2FB2">
        <w:t>e largely agree with the Initial Order’s determinations of normalized rate case expense</w:t>
      </w:r>
      <w:r>
        <w:t xml:space="preserve"> and sustain </w:t>
      </w:r>
      <w:r w:rsidR="00304D85">
        <w:t>them</w:t>
      </w:r>
      <w:r>
        <w:t>, with one exception. W</w:t>
      </w:r>
      <w:r w:rsidR="000B2FB2">
        <w:t xml:space="preserve">e disagree with </w:t>
      </w:r>
      <w:r>
        <w:t>the Initial Oder’s</w:t>
      </w:r>
      <w:r w:rsidR="000B2FB2">
        <w:t xml:space="preserve"> finding that “[t]</w:t>
      </w:r>
      <w:r w:rsidR="00E51C00" w:rsidRPr="002F4AD5">
        <w:t>he difference between the parties’ suggested amortization periods is negligible.</w:t>
      </w:r>
      <w:r w:rsidR="000B2FB2">
        <w:t>”</w:t>
      </w:r>
      <w:r w:rsidR="000B2FB2">
        <w:rPr>
          <w:rStyle w:val="FootnoteReference"/>
        </w:rPr>
        <w:footnoteReference w:id="97"/>
      </w:r>
      <w:r w:rsidR="00E51C00" w:rsidRPr="002F4AD5">
        <w:t xml:space="preserve"> </w:t>
      </w:r>
      <w:proofErr w:type="spellStart"/>
      <w:r w:rsidR="00E51C00" w:rsidRPr="002F4AD5">
        <w:t>WCI</w:t>
      </w:r>
      <w:proofErr w:type="spellEnd"/>
      <w:r w:rsidR="00E51C00" w:rsidRPr="002F4AD5">
        <w:t xml:space="preserve"> has proposed four years, while Staff has proposed five. </w:t>
      </w:r>
      <w:r w:rsidR="000B2FB2">
        <w:t>A four</w:t>
      </w:r>
      <w:r w:rsidR="008A5DC7">
        <w:t>-</w:t>
      </w:r>
      <w:r w:rsidR="000B2FB2">
        <w:t xml:space="preserve">year amortization period results in </w:t>
      </w:r>
      <w:proofErr w:type="spellStart"/>
      <w:r w:rsidR="000B2FB2">
        <w:t>WCI’s</w:t>
      </w:r>
      <w:proofErr w:type="spellEnd"/>
      <w:r w:rsidR="000B2FB2">
        <w:t xml:space="preserve"> recovery in rates every year, whether or not it files a rate case, the amount of $</w:t>
      </w:r>
      <w:r w:rsidR="000B2FB2" w:rsidRPr="000B2FB2">
        <w:t>75,839</w:t>
      </w:r>
      <w:r w:rsidR="000B2FB2">
        <w:t>.</w:t>
      </w:r>
      <w:r w:rsidR="000B2FB2" w:rsidRPr="000B2FB2">
        <w:t xml:space="preserve"> </w:t>
      </w:r>
      <w:r w:rsidR="000B2FB2">
        <w:t>A five</w:t>
      </w:r>
      <w:r w:rsidR="008A5DC7">
        <w:t>-</w:t>
      </w:r>
      <w:r w:rsidR="000B2FB2">
        <w:t>year amortization reduces this</w:t>
      </w:r>
      <w:r>
        <w:t xml:space="preserve"> by 20 percent</w:t>
      </w:r>
      <w:r w:rsidR="000B2FB2">
        <w:t xml:space="preserve"> to $</w:t>
      </w:r>
      <w:r w:rsidR="000B2FB2" w:rsidRPr="000B2FB2">
        <w:t>60,671</w:t>
      </w:r>
      <w:r w:rsidR="000B2FB2">
        <w:t xml:space="preserve">. According to </w:t>
      </w:r>
      <w:proofErr w:type="spellStart"/>
      <w:r w:rsidR="000B2FB2">
        <w:t>WCI’s</w:t>
      </w:r>
      <w:proofErr w:type="spellEnd"/>
      <w:r w:rsidR="000B2FB2">
        <w:t xml:space="preserve"> Petition “as frequently noted in this record, </w:t>
      </w:r>
      <w:r w:rsidR="000B2FB2" w:rsidRPr="000B2FB2">
        <w:t>there has not been a contested solid waste rate case going to Final Order since 1994</w:t>
      </w:r>
      <w:r w:rsidR="000B2FB2">
        <w:t>.”</w:t>
      </w:r>
      <w:r w:rsidR="000B2FB2">
        <w:rPr>
          <w:rStyle w:val="FootnoteReference"/>
        </w:rPr>
        <w:footnoteReference w:id="98"/>
      </w:r>
      <w:r w:rsidR="005C08E1">
        <w:t xml:space="preserve"> </w:t>
      </w:r>
      <w:r w:rsidR="000B2FB2">
        <w:t xml:space="preserve">This includes </w:t>
      </w:r>
      <w:proofErr w:type="spellStart"/>
      <w:r w:rsidR="000B2FB2">
        <w:t>WCI’s</w:t>
      </w:r>
      <w:proofErr w:type="spellEnd"/>
      <w:r w:rsidR="000B2FB2">
        <w:t xml:space="preserve"> most recent prior case in 2009, which was resolved informally with Staff and approved by the Commission taking no action and allowing the Company’s refiled rates to become effective by operation of law.</w:t>
      </w:r>
      <w:r>
        <w:t xml:space="preserve"> </w:t>
      </w:r>
    </w:p>
    <w:p w14:paraId="5364FA93" w14:textId="77777777" w:rsidR="00304D85" w:rsidRDefault="00304D85" w:rsidP="00911029">
      <w:pPr>
        <w:pStyle w:val="ListParagraph"/>
        <w:spacing w:line="264" w:lineRule="auto"/>
      </w:pPr>
    </w:p>
    <w:p w14:paraId="63EDAFDE" w14:textId="77777777" w:rsidR="00690241" w:rsidRDefault="00543364" w:rsidP="00911029">
      <w:pPr>
        <w:numPr>
          <w:ilvl w:val="0"/>
          <w:numId w:val="2"/>
        </w:numPr>
        <w:spacing w:line="264" w:lineRule="auto"/>
      </w:pPr>
      <w:r w:rsidRPr="00543364">
        <w:t xml:space="preserve">Amortization periods used to normalize legal and accounting costs vary depending on the time between rates cases, consideration of the magnitude of the cost claimed, and the effect of including </w:t>
      </w:r>
      <w:r>
        <w:t>such costs</w:t>
      </w:r>
      <w:r w:rsidRPr="00543364">
        <w:t xml:space="preserve"> in rates.</w:t>
      </w:r>
      <w:r>
        <w:rPr>
          <w:rStyle w:val="FootnoteReference"/>
        </w:rPr>
        <w:footnoteReference w:id="99"/>
      </w:r>
      <w:r>
        <w:t xml:space="preserve"> </w:t>
      </w:r>
      <w:r w:rsidR="00500ECC">
        <w:t xml:space="preserve">Given the Company’s history with rate filings, it seems unlikely that </w:t>
      </w:r>
      <w:proofErr w:type="spellStart"/>
      <w:r w:rsidR="00500ECC">
        <w:t>WCI</w:t>
      </w:r>
      <w:proofErr w:type="spellEnd"/>
      <w:r w:rsidR="00500ECC">
        <w:t xml:space="preserve"> will file another general rate case within the next five years. Given the Commission’s long-term experience with</w:t>
      </w:r>
      <w:r w:rsidR="00982A55">
        <w:t xml:space="preserve"> </w:t>
      </w:r>
      <w:proofErr w:type="spellStart"/>
      <w:r w:rsidR="00982A55">
        <w:t>WCI</w:t>
      </w:r>
      <w:proofErr w:type="spellEnd"/>
      <w:r w:rsidR="00982A55">
        <w:t xml:space="preserve"> settling rather than litigating its</w:t>
      </w:r>
      <w:r w:rsidR="00500ECC">
        <w:t xml:space="preserve"> general rate cases</w:t>
      </w:r>
      <w:r w:rsidR="00982A55">
        <w:t xml:space="preserve">, and similar experience across </w:t>
      </w:r>
      <w:r w:rsidR="00500ECC">
        <w:t>the solid waste industry</w:t>
      </w:r>
      <w:r w:rsidR="00982A55">
        <w:t xml:space="preserve"> in recent decades</w:t>
      </w:r>
      <w:r w:rsidR="00500ECC">
        <w:t xml:space="preserve">, whenever </w:t>
      </w:r>
      <w:proofErr w:type="spellStart"/>
      <w:r w:rsidR="00500ECC">
        <w:t>WCI</w:t>
      </w:r>
      <w:proofErr w:type="spellEnd"/>
      <w:r w:rsidR="00500ECC">
        <w:t xml:space="preserve"> does file its next case it is highly unlikely that it will be a</w:t>
      </w:r>
      <w:r w:rsidR="00D71BD4">
        <w:t>s</w:t>
      </w:r>
      <w:r w:rsidR="00500ECC">
        <w:t xml:space="preserve"> hotly contested as this one.</w:t>
      </w:r>
      <w:r w:rsidR="0025367F">
        <w:rPr>
          <w:rStyle w:val="FootnoteReference"/>
        </w:rPr>
        <w:footnoteReference w:id="100"/>
      </w:r>
      <w:r w:rsidR="00500ECC">
        <w:t xml:space="preserve"> </w:t>
      </w:r>
      <w:r w:rsidR="00304D85">
        <w:t xml:space="preserve">Our expectation that </w:t>
      </w:r>
      <w:proofErr w:type="spellStart"/>
      <w:r w:rsidR="00304D85">
        <w:t>WCI’s</w:t>
      </w:r>
      <w:proofErr w:type="spellEnd"/>
      <w:r w:rsidR="00304D85">
        <w:t xml:space="preserve"> historical pattern of rate case filings will continue, and that the extraordinary level of costs it incurred in this case will not be repeated in the foreseeable future,</w:t>
      </w:r>
      <w:r w:rsidR="00500ECC">
        <w:t xml:space="preserve"> militate strongly in favor of our approval of the longer amortization period proposed </w:t>
      </w:r>
      <w:r w:rsidR="00500ECC">
        <w:lastRenderedPageBreak/>
        <w:t>by Staff with the resulting smaller annual recovery.</w:t>
      </w:r>
      <w:r w:rsidR="00E528EA">
        <w:rPr>
          <w:rStyle w:val="FootnoteReference"/>
        </w:rPr>
        <w:footnoteReference w:id="101"/>
      </w:r>
      <w:r w:rsidR="00500ECC">
        <w:t xml:space="preserve"> To this extent, we reverse the Initial Order</w:t>
      </w:r>
      <w:r w:rsidR="00E528EA">
        <w:t>, require a five</w:t>
      </w:r>
      <w:r w:rsidR="008A5DC7">
        <w:t>-</w:t>
      </w:r>
      <w:r w:rsidR="00E528EA">
        <w:t>year amortization period in the normalized expense equation,</w:t>
      </w:r>
      <w:r w:rsidR="00500ECC">
        <w:t xml:space="preserve"> and direct that </w:t>
      </w:r>
      <w:proofErr w:type="spellStart"/>
      <w:r w:rsidR="00500ECC">
        <w:t>WCI’s</w:t>
      </w:r>
      <w:proofErr w:type="spellEnd"/>
      <w:r w:rsidR="00500ECC">
        <w:t xml:space="preserve"> compliance filing include no more than </w:t>
      </w:r>
      <w:r w:rsidR="00500ECC" w:rsidRPr="00500ECC">
        <w:t>$60,671</w:t>
      </w:r>
      <w:r w:rsidR="00500ECC">
        <w:t xml:space="preserve"> in annual rate case expense.</w:t>
      </w:r>
      <w:r>
        <w:rPr>
          <w:rStyle w:val="FootnoteReference"/>
        </w:rPr>
        <w:footnoteReference w:id="102"/>
      </w:r>
    </w:p>
    <w:p w14:paraId="3080C904" w14:textId="77777777" w:rsidR="00A54D2C" w:rsidRPr="002F4AD5" w:rsidRDefault="00A54D2C" w:rsidP="00A54D2C">
      <w:pPr>
        <w:spacing w:line="264" w:lineRule="auto"/>
      </w:pPr>
    </w:p>
    <w:p w14:paraId="57AC7179" w14:textId="77777777" w:rsidR="00A8283F" w:rsidRPr="002F4AD5" w:rsidRDefault="00A8283F" w:rsidP="00911029">
      <w:pPr>
        <w:pStyle w:val="Heading3"/>
        <w:spacing w:before="0" w:line="264" w:lineRule="auto"/>
      </w:pPr>
      <w:bookmarkStart w:id="8" w:name="_Toc425254179"/>
      <w:r w:rsidRPr="002F4AD5">
        <w:t xml:space="preserve">Investigation </w:t>
      </w:r>
      <w:r w:rsidR="009A0264" w:rsidRPr="002F4AD5">
        <w:t>Cost</w:t>
      </w:r>
      <w:r w:rsidRPr="002F4AD5">
        <w:t>s</w:t>
      </w:r>
      <w:bookmarkEnd w:id="8"/>
    </w:p>
    <w:p w14:paraId="0D8A12B1" w14:textId="77777777" w:rsidR="00D32A15" w:rsidRPr="002F4AD5" w:rsidRDefault="00D32A15" w:rsidP="00911029">
      <w:pPr>
        <w:pStyle w:val="ListParagraph"/>
        <w:keepNext/>
        <w:keepLines/>
        <w:spacing w:line="264" w:lineRule="auto"/>
      </w:pPr>
    </w:p>
    <w:p w14:paraId="04FBBAB7" w14:textId="77777777" w:rsidR="00D32A15" w:rsidRPr="002F4AD5" w:rsidRDefault="00466068" w:rsidP="00911029">
      <w:pPr>
        <w:keepNext/>
        <w:keepLines/>
        <w:numPr>
          <w:ilvl w:val="0"/>
          <w:numId w:val="2"/>
        </w:numPr>
        <w:spacing w:line="264" w:lineRule="auto"/>
      </w:pPr>
      <w:r>
        <w:t>The Initial Order adopts Staff’s recommendation that the Commission should</w:t>
      </w:r>
      <w:r w:rsidR="002F17B5" w:rsidRPr="002F4AD5">
        <w:t xml:space="preserve"> </w:t>
      </w:r>
      <w:r w:rsidR="007434BF">
        <w:t>require the Company to pay the maximum allowed</w:t>
      </w:r>
      <w:r w:rsidR="002F17B5" w:rsidRPr="002F4AD5">
        <w:t xml:space="preserve"> investigation costs </w:t>
      </w:r>
      <w:r w:rsidR="00361909">
        <w:t>under</w:t>
      </w:r>
      <w:r w:rsidR="00A54D2C">
        <w:t xml:space="preserve"> </w:t>
      </w:r>
      <w:proofErr w:type="spellStart"/>
      <w:r w:rsidR="00A54D2C">
        <w:t>RCW</w:t>
      </w:r>
      <w:proofErr w:type="spellEnd"/>
      <w:r w:rsidR="00A54D2C">
        <w:t xml:space="preserve"> 81.20.020. </w:t>
      </w:r>
      <w:r w:rsidR="002F17B5" w:rsidRPr="002F4AD5">
        <w:t>The statute provides that:</w:t>
      </w:r>
    </w:p>
    <w:p w14:paraId="4836AA9D" w14:textId="77777777" w:rsidR="002F17B5" w:rsidRPr="002F4AD5" w:rsidRDefault="002F17B5" w:rsidP="00911029">
      <w:pPr>
        <w:pStyle w:val="ListParagraph"/>
        <w:spacing w:line="264" w:lineRule="auto"/>
      </w:pPr>
    </w:p>
    <w:p w14:paraId="743C2259" w14:textId="77777777" w:rsidR="00FB3914" w:rsidRPr="002F4AD5" w:rsidRDefault="003B5CCA" w:rsidP="00911029">
      <w:pPr>
        <w:spacing w:line="264" w:lineRule="auto"/>
        <w:ind w:left="720"/>
      </w:pPr>
      <w:r w:rsidRPr="002F4AD5">
        <w:t xml:space="preserve">Whenever the </w:t>
      </w:r>
      <w:r w:rsidR="00361909">
        <w:t>c</w:t>
      </w:r>
      <w:r w:rsidRPr="002F4AD5">
        <w:t>ommission in any proceeding upon its own motion</w:t>
      </w:r>
      <w:r w:rsidR="005813DC" w:rsidRPr="002F4AD5">
        <w:t xml:space="preserve"> </w:t>
      </w:r>
      <w:r w:rsidR="00FB3914" w:rsidRPr="002F4AD5">
        <w:t>o</w:t>
      </w:r>
      <w:r w:rsidRPr="002F4AD5">
        <w:t>r upon complaint shall deem it necessary in order to carry out the</w:t>
      </w:r>
      <w:r w:rsidR="00361909">
        <w:t xml:space="preserve"> </w:t>
      </w:r>
      <w:r w:rsidR="00FB3914" w:rsidRPr="002F4AD5">
        <w:t>d</w:t>
      </w:r>
      <w:r w:rsidRPr="002F4AD5">
        <w:t xml:space="preserve">uties imposed upon it by law to investigate the books, accounts, </w:t>
      </w:r>
      <w:r w:rsidR="00FB3914" w:rsidRPr="002F4AD5">
        <w:t>p</w:t>
      </w:r>
      <w:r w:rsidRPr="002F4AD5">
        <w:t xml:space="preserve">ractices and activities </w:t>
      </w:r>
      <w:r w:rsidR="00FB3914" w:rsidRPr="002F4AD5">
        <w:t>of … or render any engineering or accounting service to or in connection with any public service company, and the</w:t>
      </w:r>
      <w:r w:rsidR="00361909">
        <w:t xml:space="preserve"> </w:t>
      </w:r>
      <w:r w:rsidR="00FB3914" w:rsidRPr="002F4AD5">
        <w:t xml:space="preserve">cost thereof to the </w:t>
      </w:r>
      <w:r w:rsidR="00361909">
        <w:t>c</w:t>
      </w:r>
      <w:r w:rsidR="00FB3914" w:rsidRPr="002F4AD5">
        <w:t xml:space="preserve">ommission exceeds in amount the ordinary regulatory fees paid by such public service company during the preceding calendar year … such public service company </w:t>
      </w:r>
      <w:r w:rsidR="00FB3914" w:rsidRPr="00361909">
        <w:t>shall</w:t>
      </w:r>
      <w:r w:rsidR="00FB3914" w:rsidRPr="002F4AD5">
        <w:t xml:space="preserve"> pay</w:t>
      </w:r>
      <w:r w:rsidR="00361909">
        <w:t xml:space="preserve"> </w:t>
      </w:r>
      <w:r w:rsidR="00FB3914" w:rsidRPr="002F4AD5">
        <w:t>the expenses reasonably attributable and allocable to such investigation …</w:t>
      </w:r>
      <w:r w:rsidR="00361909">
        <w:t xml:space="preserve"> </w:t>
      </w:r>
      <w:r w:rsidR="00FB3914" w:rsidRPr="002F4AD5">
        <w:t>or services.</w:t>
      </w:r>
      <w:r w:rsidR="00FB3914" w:rsidRPr="002F4AD5">
        <w:rPr>
          <w:rStyle w:val="FootnoteReference"/>
        </w:rPr>
        <w:footnoteReference w:id="103"/>
      </w:r>
    </w:p>
    <w:p w14:paraId="41FE9DF4" w14:textId="77777777" w:rsidR="00FB3914" w:rsidRPr="002F4AD5" w:rsidRDefault="00FB3914" w:rsidP="00911029">
      <w:pPr>
        <w:spacing w:line="264" w:lineRule="auto"/>
      </w:pPr>
    </w:p>
    <w:p w14:paraId="5FFE6996" w14:textId="77777777" w:rsidR="00466068" w:rsidRDefault="00466068" w:rsidP="00911029">
      <w:pPr>
        <w:numPr>
          <w:ilvl w:val="0"/>
          <w:numId w:val="2"/>
        </w:numPr>
        <w:spacing w:line="264" w:lineRule="auto"/>
      </w:pPr>
      <w:proofErr w:type="spellStart"/>
      <w:r>
        <w:t>WCI</w:t>
      </w:r>
      <w:proofErr w:type="spellEnd"/>
      <w:r>
        <w:t xml:space="preserve"> argues the Initial Order errs as a matter of law</w:t>
      </w:r>
      <w:r w:rsidR="00425CB9">
        <w:t xml:space="preserve"> in treating the statute as mandatory</w:t>
      </w:r>
      <w:r>
        <w:t xml:space="preserve"> because it “</w:t>
      </w:r>
      <w:r w:rsidRPr="00466068">
        <w:t xml:space="preserve">overlooks </w:t>
      </w:r>
      <w:r w:rsidRPr="00466068">
        <w:fldChar w:fldCharType="begin"/>
      </w:r>
      <w:r w:rsidRPr="00466068">
        <w:instrText xml:space="preserve"> ADDIN BA \xc &lt;@st&gt; \xl 21 \s ECSSJP000038 \l "RCW 81.20.020’s Title" </w:instrText>
      </w:r>
      <w:r w:rsidRPr="00466068">
        <w:fldChar w:fldCharType="end"/>
      </w:r>
      <w:bookmarkStart w:id="9" w:name="_BA_Cite_214"/>
      <w:proofErr w:type="spellStart"/>
      <w:r w:rsidRPr="00466068">
        <w:t>RCW</w:t>
      </w:r>
      <w:proofErr w:type="spellEnd"/>
      <w:r w:rsidRPr="00466068">
        <w:t xml:space="preserve"> 81.20.020’s title</w:t>
      </w:r>
      <w:bookmarkEnd w:id="9"/>
      <w:r w:rsidR="00A54D2C">
        <w:t>, which states:</w:t>
      </w:r>
      <w:r w:rsidRPr="00466068">
        <w:t xml:space="preserve"> </w:t>
      </w:r>
      <w:r w:rsidR="00425CB9">
        <w:t>‘</w:t>
      </w:r>
      <w:r w:rsidRPr="00466068">
        <w:t xml:space="preserve">Cost of investigation </w:t>
      </w:r>
      <w:r w:rsidRPr="00466068">
        <w:rPr>
          <w:b/>
        </w:rPr>
        <w:t>may</w:t>
      </w:r>
      <w:r w:rsidRPr="00466068">
        <w:t xml:space="preserve"> be assessed against company.</w:t>
      </w:r>
      <w:r w:rsidR="00425CB9">
        <w:t>’</w:t>
      </w:r>
      <w:r w:rsidRPr="00466068">
        <w:t>”</w:t>
      </w:r>
      <w:r>
        <w:rPr>
          <w:rStyle w:val="FootnoteReference"/>
        </w:rPr>
        <w:footnoteReference w:id="104"/>
      </w:r>
      <w:r>
        <w:t xml:space="preserve"> </w:t>
      </w:r>
      <w:proofErr w:type="spellStart"/>
      <w:r>
        <w:t>WCI</w:t>
      </w:r>
      <w:proofErr w:type="spellEnd"/>
      <w:r>
        <w:t xml:space="preserve"> argues:</w:t>
      </w:r>
    </w:p>
    <w:p w14:paraId="3E25986D" w14:textId="77777777" w:rsidR="00466068" w:rsidRDefault="00466068" w:rsidP="00911029">
      <w:pPr>
        <w:spacing w:line="264" w:lineRule="auto"/>
      </w:pPr>
    </w:p>
    <w:p w14:paraId="43556DE1" w14:textId="77777777" w:rsidR="00466068" w:rsidRDefault="00466068" w:rsidP="00911029">
      <w:pPr>
        <w:spacing w:line="264" w:lineRule="auto"/>
        <w:ind w:left="720"/>
      </w:pPr>
      <w:r w:rsidRPr="00466068">
        <w:t xml:space="preserve">Because the statute and its title are in conflict as to whether investigation fees must be imposed on a company, the statute is subject to more than </w:t>
      </w:r>
      <w:r w:rsidR="00A54D2C">
        <w:t xml:space="preserve">one reasonable interpretation. </w:t>
      </w:r>
      <w:r w:rsidRPr="00466068">
        <w:t>As a result, the statute is ambiguous, and the Commission may use principles of statutory construction, legislative history, policy preferences, and rele</w:t>
      </w:r>
      <w:r w:rsidR="00A54D2C">
        <w:t xml:space="preserve">vant case law to interpret it. </w:t>
      </w:r>
      <w:r w:rsidRPr="00466068">
        <w:t>Additionally, the title of the act may properly be referred to in ascertaining legislative intent.</w:t>
      </w:r>
      <w:r>
        <w:rPr>
          <w:rStyle w:val="FootnoteReference"/>
        </w:rPr>
        <w:footnoteReference w:id="105"/>
      </w:r>
    </w:p>
    <w:p w14:paraId="3F653A3D" w14:textId="77777777" w:rsidR="00466068" w:rsidRDefault="00466068" w:rsidP="00911029">
      <w:pPr>
        <w:spacing w:line="264" w:lineRule="auto"/>
      </w:pPr>
    </w:p>
    <w:p w14:paraId="29780669" w14:textId="77777777" w:rsidR="00A80316" w:rsidRDefault="003C50C2" w:rsidP="00911029">
      <w:pPr>
        <w:spacing w:line="264" w:lineRule="auto"/>
      </w:pPr>
      <w:r>
        <w:t>We do not further analyze the Company’s legal argument becaus</w:t>
      </w:r>
      <w:r w:rsidR="00A54D2C">
        <w:t xml:space="preserve">e it is flawed in its premise. </w:t>
      </w:r>
      <w:proofErr w:type="spellStart"/>
      <w:r>
        <w:t>RCW</w:t>
      </w:r>
      <w:proofErr w:type="spellEnd"/>
      <w:r>
        <w:t xml:space="preserve"> 81.20.020’s title, whatever it says, cannot rende</w:t>
      </w:r>
      <w:r w:rsidR="00AE4473">
        <w:t xml:space="preserve">r the statute ambiguous because, as provided in </w:t>
      </w:r>
      <w:proofErr w:type="spellStart"/>
      <w:r w:rsidR="00AE4473">
        <w:t>RCW</w:t>
      </w:r>
      <w:proofErr w:type="spellEnd"/>
      <w:r w:rsidR="00AE4473">
        <w:t xml:space="preserve"> 81.900.020</w:t>
      </w:r>
      <w:r w:rsidR="007434BF">
        <w:t>:</w:t>
      </w:r>
      <w:r w:rsidR="00AE4473">
        <w:t xml:space="preserve"> “</w:t>
      </w:r>
      <w:r w:rsidR="007434BF">
        <w:t>T</w:t>
      </w:r>
      <w:r w:rsidRPr="003C50C2">
        <w:t>itle headings, chapter headings, and section or subsection headings, as used in this title do not constitute any part of the law.</w:t>
      </w:r>
      <w:r w:rsidR="00AE4473">
        <w:t>”</w:t>
      </w:r>
      <w:r w:rsidR="00AE4473">
        <w:rPr>
          <w:rStyle w:val="FootnoteReference"/>
        </w:rPr>
        <w:footnoteReference w:id="106"/>
      </w:r>
      <w:r w:rsidR="00AE4473">
        <w:t xml:space="preserve"> </w:t>
      </w:r>
    </w:p>
    <w:p w14:paraId="7C9AB239" w14:textId="77777777" w:rsidR="00A80316" w:rsidRDefault="00A80316" w:rsidP="00911029">
      <w:pPr>
        <w:spacing w:line="264" w:lineRule="auto"/>
      </w:pPr>
    </w:p>
    <w:p w14:paraId="55B42ADE" w14:textId="77777777" w:rsidR="007434BF" w:rsidRDefault="002C44A9" w:rsidP="00911029">
      <w:pPr>
        <w:numPr>
          <w:ilvl w:val="0"/>
          <w:numId w:val="2"/>
        </w:numPr>
        <w:spacing w:line="264" w:lineRule="auto"/>
      </w:pPr>
      <w:r>
        <w:t>The statute is</w:t>
      </w:r>
      <w:r w:rsidR="007434BF">
        <w:t xml:space="preserve"> unambiguously</w:t>
      </w:r>
      <w:r>
        <w:t xml:space="preserve"> mandatory </w:t>
      </w:r>
      <w:r w:rsidR="00A80316">
        <w:t>by its terms</w:t>
      </w:r>
      <w:r>
        <w:t xml:space="preserve"> when the costs of a “necessary” Commission investigation of a public service company exceed “the ordinary regulatory fees” paid by the public service company. This is the case here.</w:t>
      </w:r>
      <w:r w:rsidR="00A80316">
        <w:rPr>
          <w:rStyle w:val="FootnoteReference"/>
        </w:rPr>
        <w:footnoteReference w:id="107"/>
      </w:r>
      <w:r>
        <w:t xml:space="preserve">  </w:t>
      </w:r>
    </w:p>
    <w:p w14:paraId="7BDD71B8" w14:textId="77777777" w:rsidR="007434BF" w:rsidRDefault="007434BF" w:rsidP="00911029">
      <w:pPr>
        <w:spacing w:line="264" w:lineRule="auto"/>
      </w:pPr>
    </w:p>
    <w:p w14:paraId="79608F55" w14:textId="77777777" w:rsidR="00D85774" w:rsidRDefault="00113F12" w:rsidP="00911029">
      <w:pPr>
        <w:numPr>
          <w:ilvl w:val="0"/>
          <w:numId w:val="2"/>
        </w:numPr>
        <w:spacing w:line="264" w:lineRule="auto"/>
      </w:pPr>
      <w:r w:rsidRPr="00113F12">
        <w:t xml:space="preserve">Staff investigated the books and records of the Company </w:t>
      </w:r>
      <w:r w:rsidR="007434BF">
        <w:t>as necessary to fulfill</w:t>
      </w:r>
      <w:r w:rsidRPr="00113F12">
        <w:t xml:space="preserve"> its obligation to review </w:t>
      </w:r>
      <w:proofErr w:type="spellStart"/>
      <w:r w:rsidRPr="00113F12">
        <w:t>WCI’s</w:t>
      </w:r>
      <w:proofErr w:type="spellEnd"/>
      <w:r w:rsidRPr="00113F12">
        <w:t xml:space="preserve"> rate request and recommend rates that are just, </w:t>
      </w:r>
      <w:r w:rsidR="002D7C30">
        <w:t xml:space="preserve">fair, </w:t>
      </w:r>
      <w:r w:rsidRPr="00113F12">
        <w:t>reasonable, and sufficient.</w:t>
      </w:r>
      <w:r w:rsidRPr="00113F12">
        <w:rPr>
          <w:vertAlign w:val="superscript"/>
        </w:rPr>
        <w:footnoteReference w:id="108"/>
      </w:r>
      <w:r w:rsidRPr="00113F12">
        <w:t xml:space="preserve"> </w:t>
      </w:r>
      <w:r w:rsidR="007434BF">
        <w:t xml:space="preserve">The record shows </w:t>
      </w:r>
      <w:r w:rsidRPr="00113F12">
        <w:t xml:space="preserve">that </w:t>
      </w:r>
      <w:r w:rsidR="007434BF">
        <w:t>Staff</w:t>
      </w:r>
      <w:r w:rsidRPr="00113F12">
        <w:t xml:space="preserve"> </w:t>
      </w:r>
      <w:r w:rsidR="00F247E5">
        <w:t>was required to spend an</w:t>
      </w:r>
      <w:r w:rsidRPr="00113F12">
        <w:t xml:space="preserve"> extraordinary amount of </w:t>
      </w:r>
      <w:r w:rsidRPr="00113F12">
        <w:lastRenderedPageBreak/>
        <w:t>time on this general rate case and incurred considerable expense during its investigation.</w:t>
      </w:r>
      <w:r w:rsidRPr="00113F12">
        <w:rPr>
          <w:vertAlign w:val="superscript"/>
        </w:rPr>
        <w:footnoteReference w:id="109"/>
      </w:r>
      <w:r w:rsidRPr="00113F12">
        <w:t xml:space="preserve"> </w:t>
      </w:r>
      <w:r w:rsidR="007434BF">
        <w:t>Indeed,</w:t>
      </w:r>
      <w:r w:rsidRPr="00113F12">
        <w:t xml:space="preserve"> Staff incurred $84,305 in expenses in the combined Dockets TG-131794 and TG-140560</w:t>
      </w:r>
      <w:r w:rsidR="00A80316">
        <w:t xml:space="preserve"> through June 2014</w:t>
      </w:r>
      <w:r w:rsidR="007434BF">
        <w:t xml:space="preserve"> and additional costs after June 2014</w:t>
      </w:r>
      <w:r w:rsidRPr="00113F12">
        <w:t>.</w:t>
      </w:r>
      <w:r w:rsidRPr="00113F12">
        <w:rPr>
          <w:vertAlign w:val="superscript"/>
        </w:rPr>
        <w:footnoteReference w:id="110"/>
      </w:r>
      <w:r w:rsidR="007434BF">
        <w:t xml:space="preserve"> This is more than</w:t>
      </w:r>
      <w:r w:rsidR="00D934B5">
        <w:t xml:space="preserve"> four times</w:t>
      </w:r>
      <w:r w:rsidR="007434BF">
        <w:t xml:space="preserve"> the $18,732.55 in regulatory fees </w:t>
      </w:r>
      <w:proofErr w:type="spellStart"/>
      <w:r w:rsidR="007434BF">
        <w:t>WCI</w:t>
      </w:r>
      <w:proofErr w:type="spellEnd"/>
      <w:r w:rsidR="007434BF">
        <w:t xml:space="preserve"> paid during </w:t>
      </w:r>
      <w:r w:rsidR="00F247E5">
        <w:t>2013</w:t>
      </w:r>
      <w:r w:rsidR="007434BF">
        <w:t>.</w:t>
      </w:r>
      <w:r w:rsidR="00F247E5">
        <w:rPr>
          <w:rStyle w:val="FootnoteReference"/>
        </w:rPr>
        <w:footnoteReference w:id="111"/>
      </w:r>
      <w:r w:rsidR="00376C41">
        <w:t xml:space="preserve">  </w:t>
      </w:r>
    </w:p>
    <w:p w14:paraId="0867BAE0" w14:textId="77777777" w:rsidR="00D85774" w:rsidRDefault="00D85774" w:rsidP="00911029">
      <w:pPr>
        <w:spacing w:line="264" w:lineRule="auto"/>
      </w:pPr>
    </w:p>
    <w:p w14:paraId="0E78D4C2" w14:textId="77777777" w:rsidR="00D934B5" w:rsidRDefault="00376C41" w:rsidP="00911029">
      <w:pPr>
        <w:numPr>
          <w:ilvl w:val="0"/>
          <w:numId w:val="2"/>
        </w:numPr>
        <w:spacing w:line="264" w:lineRule="auto"/>
      </w:pPr>
      <w:r>
        <w:t>The magnitude of the Commission’s costs of investigation</w:t>
      </w:r>
      <w:r w:rsidR="00D85774">
        <w:t xml:space="preserve"> in this case</w:t>
      </w:r>
      <w:r>
        <w:t xml:space="preserve"> relative to the</w:t>
      </w:r>
      <w:r w:rsidR="00D85774">
        <w:t xml:space="preserve"> amount of the</w:t>
      </w:r>
      <w:r>
        <w:t xml:space="preserve"> Company’s </w:t>
      </w:r>
      <w:r w:rsidR="00F247E5">
        <w:t xml:space="preserve">annual </w:t>
      </w:r>
      <w:r>
        <w:t xml:space="preserve">regulatory fees militates in favor of our recovering </w:t>
      </w:r>
      <w:r w:rsidR="00684509">
        <w:t xml:space="preserve">at least a part of </w:t>
      </w:r>
      <w:r>
        <w:t>the maximum allowed costs</w:t>
      </w:r>
      <w:r w:rsidR="00D934B5">
        <w:t xml:space="preserve"> of investigation</w:t>
      </w:r>
      <w:r>
        <w:t xml:space="preserve"> from </w:t>
      </w:r>
      <w:proofErr w:type="spellStart"/>
      <w:r>
        <w:t>WCI</w:t>
      </w:r>
      <w:proofErr w:type="spellEnd"/>
      <w:r>
        <w:t>.</w:t>
      </w:r>
      <w:r>
        <w:rPr>
          <w:rStyle w:val="FootnoteReference"/>
        </w:rPr>
        <w:footnoteReference w:id="112"/>
      </w:r>
      <w:r w:rsidR="00D85774">
        <w:t xml:space="preserve"> </w:t>
      </w:r>
      <w:r w:rsidR="00684509">
        <w:t>However, the record shows that the level of these costs is unusually high in part because of contentiousness and conflict between the parties</w:t>
      </w:r>
      <w:r w:rsidR="00D934B5">
        <w:t>,</w:t>
      </w:r>
      <w:r w:rsidR="00684509">
        <w:t xml:space="preserve"> the responsibility for which is shared between the Company and Staff. This militates in favor of our assessing less than the maximum allowed costs under </w:t>
      </w:r>
      <w:proofErr w:type="spellStart"/>
      <w:r w:rsidR="00684509">
        <w:t>RCW</w:t>
      </w:r>
      <w:proofErr w:type="spellEnd"/>
      <w:r w:rsidR="00684509">
        <w:t xml:space="preserve"> 81.20.020.  </w:t>
      </w:r>
    </w:p>
    <w:p w14:paraId="4C86BE7D" w14:textId="77777777" w:rsidR="00D934B5" w:rsidRDefault="00D934B5" w:rsidP="00911029">
      <w:pPr>
        <w:spacing w:line="264" w:lineRule="auto"/>
      </w:pPr>
    </w:p>
    <w:p w14:paraId="68469B19" w14:textId="77777777" w:rsidR="001C1CB1" w:rsidRDefault="00D934B5" w:rsidP="00911029">
      <w:pPr>
        <w:numPr>
          <w:ilvl w:val="0"/>
          <w:numId w:val="2"/>
        </w:numPr>
        <w:spacing w:line="264" w:lineRule="auto"/>
      </w:pPr>
      <w:r>
        <w:t xml:space="preserve">The Initial Order finds that </w:t>
      </w:r>
      <w:proofErr w:type="spellStart"/>
      <w:r>
        <w:t>WCI</w:t>
      </w:r>
      <w:proofErr w:type="spellEnd"/>
      <w:r>
        <w:t xml:space="preserve"> and the Company share equally in terms of taking</w:t>
      </w:r>
      <w:r w:rsidRPr="00D934B5">
        <w:t xml:space="preserve"> actions during </w:t>
      </w:r>
      <w:r>
        <w:t>these</w:t>
      </w:r>
      <w:r w:rsidRPr="00D934B5">
        <w:t xml:space="preserve"> proceedings</w:t>
      </w:r>
      <w:r>
        <w:t xml:space="preserve"> that added to their duration and expense.</w:t>
      </w:r>
      <w:r>
        <w:rPr>
          <w:rStyle w:val="FootnoteReference"/>
        </w:rPr>
        <w:footnoteReference w:id="113"/>
      </w:r>
      <w:r>
        <w:t xml:space="preserve"> We determine on this basis to assess one-half the maximum fee authorized by </w:t>
      </w:r>
      <w:proofErr w:type="spellStart"/>
      <w:r>
        <w:t>RCW</w:t>
      </w:r>
      <w:proofErr w:type="spellEnd"/>
      <w:r>
        <w:t xml:space="preserve"> 81.20.</w:t>
      </w:r>
      <w:r w:rsidR="00A54D2C">
        <w:t>020. This amount is $21,909.41.</w:t>
      </w:r>
      <w:r>
        <w:t xml:space="preserve"> </w:t>
      </w:r>
      <w:r w:rsidR="001C1CB1">
        <w:t xml:space="preserve">Requiring the Company to pay a portion of the costs of investigation in this case is not a “sanction,” as </w:t>
      </w:r>
      <w:proofErr w:type="spellStart"/>
      <w:r w:rsidR="001C1CB1">
        <w:t>WCI</w:t>
      </w:r>
      <w:proofErr w:type="spellEnd"/>
      <w:r w:rsidR="001C1CB1">
        <w:t xml:space="preserve"> contends.</w:t>
      </w:r>
      <w:r w:rsidR="001C1CB1" w:rsidRPr="001C1CB1">
        <w:rPr>
          <w:vertAlign w:val="superscript"/>
        </w:rPr>
        <w:footnoteReference w:id="114"/>
      </w:r>
      <w:r w:rsidR="001C1CB1">
        <w:t xml:space="preserve"> </w:t>
      </w:r>
      <w:r w:rsidR="00D85774">
        <w:t>Rather, t</w:t>
      </w:r>
      <w:r w:rsidR="001C1CB1">
        <w:t xml:space="preserve">he statute </w:t>
      </w:r>
      <w:r w:rsidR="00D85774">
        <w:t xml:space="preserve">simply </w:t>
      </w:r>
      <w:r w:rsidR="00C836D1">
        <w:t xml:space="preserve">protects the public interest by requiring a contribution to costs of a necessary investigation that exceed a Company’s annual regulatory fees. This </w:t>
      </w:r>
      <w:r w:rsidR="00D85774">
        <w:t xml:space="preserve">is particularly appropriate in cases such as this one that required </w:t>
      </w:r>
      <w:r w:rsidR="00C836D1">
        <w:t xml:space="preserve">Staff </w:t>
      </w:r>
      <w:r w:rsidR="00D85774">
        <w:t xml:space="preserve">to </w:t>
      </w:r>
      <w:r w:rsidR="00C836D1">
        <w:t xml:space="preserve">expend resources that are significantly disproportionate to </w:t>
      </w:r>
      <w:r w:rsidR="00D85774">
        <w:t>the Company’s</w:t>
      </w:r>
      <w:r w:rsidR="00C836D1">
        <w:t xml:space="preserve"> annual fees.</w:t>
      </w:r>
      <w:r w:rsidR="00D85774">
        <w:rPr>
          <w:rStyle w:val="FootnoteReference"/>
        </w:rPr>
        <w:footnoteReference w:id="115"/>
      </w:r>
      <w:r w:rsidR="00C836D1">
        <w:t xml:space="preserve"> </w:t>
      </w:r>
      <w:r w:rsidR="001C1CB1">
        <w:t xml:space="preserve"> </w:t>
      </w:r>
    </w:p>
    <w:p w14:paraId="77B8F82D" w14:textId="77777777" w:rsidR="001C1CB1" w:rsidRDefault="001C1CB1" w:rsidP="00911029">
      <w:pPr>
        <w:spacing w:line="264" w:lineRule="auto"/>
      </w:pPr>
    </w:p>
    <w:p w14:paraId="0E15DE59" w14:textId="77777777" w:rsidR="005C08E1" w:rsidRDefault="00F47EA4" w:rsidP="00911029">
      <w:pPr>
        <w:numPr>
          <w:ilvl w:val="0"/>
          <w:numId w:val="2"/>
        </w:numPr>
        <w:spacing w:line="264" w:lineRule="auto"/>
      </w:pPr>
      <w:r w:rsidRPr="002F4AD5">
        <w:t xml:space="preserve">While </w:t>
      </w:r>
      <w:proofErr w:type="spellStart"/>
      <w:r w:rsidR="0015762F">
        <w:t>WCI</w:t>
      </w:r>
      <w:proofErr w:type="spellEnd"/>
      <w:r w:rsidR="0015762F">
        <w:t xml:space="preserve"> is </w:t>
      </w:r>
      <w:r w:rsidRPr="002F4AD5">
        <w:t xml:space="preserve">correct that the </w:t>
      </w:r>
      <w:r w:rsidR="00530951">
        <w:t>c</w:t>
      </w:r>
      <w:r w:rsidR="00530951" w:rsidRPr="002F4AD5">
        <w:t>omplaint</w:t>
      </w:r>
      <w:r w:rsidR="00530951">
        <w:t>s</w:t>
      </w:r>
      <w:r w:rsidR="00530951" w:rsidRPr="002F4AD5">
        <w:t xml:space="preserve"> </w:t>
      </w:r>
      <w:r w:rsidRPr="002F4AD5">
        <w:t xml:space="preserve">and </w:t>
      </w:r>
      <w:r w:rsidR="00530951">
        <w:t>o</w:t>
      </w:r>
      <w:r w:rsidR="00530951" w:rsidRPr="002F4AD5">
        <w:t>rder</w:t>
      </w:r>
      <w:r w:rsidR="00530951">
        <w:t>s</w:t>
      </w:r>
      <w:r w:rsidR="00530951" w:rsidRPr="002F4AD5">
        <w:t xml:space="preserve"> </w:t>
      </w:r>
      <w:r w:rsidR="00530951">
        <w:t>s</w:t>
      </w:r>
      <w:r w:rsidR="00530951" w:rsidRPr="002F4AD5">
        <w:t xml:space="preserve">uspending </w:t>
      </w:r>
      <w:r w:rsidRPr="002F4AD5">
        <w:t xml:space="preserve">both </w:t>
      </w:r>
      <w:proofErr w:type="spellStart"/>
      <w:r w:rsidRPr="002F4AD5">
        <w:t>WCI’s</w:t>
      </w:r>
      <w:proofErr w:type="spellEnd"/>
      <w:r w:rsidRPr="002F4AD5">
        <w:t xml:space="preserve"> filing in this matter and the previous </w:t>
      </w:r>
      <w:r w:rsidR="00ED42B7">
        <w:t>docket</w:t>
      </w:r>
      <w:r w:rsidR="00ED42B7" w:rsidRPr="002F4AD5">
        <w:t xml:space="preserve"> </w:t>
      </w:r>
      <w:r w:rsidRPr="002F4AD5">
        <w:t xml:space="preserve">did not contain notice that the Commission may impose investigative fees upon the Company, this is </w:t>
      </w:r>
      <w:r w:rsidR="009853AD" w:rsidRPr="002F4AD5">
        <w:t xml:space="preserve">not the only avenue under which notice can be conveyed. </w:t>
      </w:r>
      <w:r w:rsidR="00530951">
        <w:t>When</w:t>
      </w:r>
      <w:r w:rsidR="009853AD" w:rsidRPr="002F4AD5">
        <w:t xml:space="preserve"> </w:t>
      </w:r>
      <w:proofErr w:type="spellStart"/>
      <w:r w:rsidR="009853AD" w:rsidRPr="002F4AD5">
        <w:t>WCI</w:t>
      </w:r>
      <w:proofErr w:type="spellEnd"/>
      <w:r w:rsidR="009853AD" w:rsidRPr="002F4AD5">
        <w:t xml:space="preserve"> signed the Partial Settlement, it acknowledged that one of the four remaining contested issues was whether the Commission should require the Company to pay investigation fees. </w:t>
      </w:r>
      <w:r w:rsidR="002F214C" w:rsidRPr="002F4AD5">
        <w:t xml:space="preserve">Order 10 </w:t>
      </w:r>
      <w:r w:rsidR="00530951">
        <w:t xml:space="preserve">in this docket </w:t>
      </w:r>
      <w:r w:rsidR="00530951" w:rsidRPr="002F4AD5">
        <w:t>discusse</w:t>
      </w:r>
      <w:r w:rsidR="00530951">
        <w:t>s</w:t>
      </w:r>
      <w:r w:rsidR="00530951" w:rsidRPr="002F4AD5">
        <w:t xml:space="preserve"> </w:t>
      </w:r>
      <w:r w:rsidR="002F214C" w:rsidRPr="002F4AD5">
        <w:t xml:space="preserve">Staff’s recommendation that the Commission require </w:t>
      </w:r>
      <w:proofErr w:type="spellStart"/>
      <w:r w:rsidR="002F214C" w:rsidRPr="002F4AD5">
        <w:t>WCI</w:t>
      </w:r>
      <w:proofErr w:type="spellEnd"/>
      <w:r w:rsidR="002F214C" w:rsidRPr="002F4AD5">
        <w:t xml:space="preserve"> pay investigation fees. Further, the Company was given an opportunity to be heard at the March 11, 2015, evidentiary hearing on the issue of investigation </w:t>
      </w:r>
      <w:r w:rsidR="00A54B76" w:rsidRPr="002F4AD5">
        <w:t>cost</w:t>
      </w:r>
      <w:r w:rsidR="005C08E1">
        <w:t xml:space="preserve">s. </w:t>
      </w:r>
      <w:r w:rsidR="002F214C" w:rsidRPr="002F4AD5">
        <w:t xml:space="preserve">We conclude that the statutory notice and opportunity to be heard requirements have been fulfilled.  </w:t>
      </w:r>
    </w:p>
    <w:p w14:paraId="77FFA384" w14:textId="77777777" w:rsidR="005C08E1" w:rsidRDefault="005C08E1" w:rsidP="00911029">
      <w:pPr>
        <w:spacing w:line="264" w:lineRule="auto"/>
      </w:pPr>
    </w:p>
    <w:p w14:paraId="2530FF15" w14:textId="77777777" w:rsidR="00F47EA4" w:rsidRPr="002F4AD5" w:rsidRDefault="005C08E1" w:rsidP="00911029">
      <w:pPr>
        <w:numPr>
          <w:ilvl w:val="0"/>
          <w:numId w:val="2"/>
        </w:numPr>
        <w:spacing w:line="264" w:lineRule="auto"/>
      </w:pPr>
      <w:r>
        <w:t>W</w:t>
      </w:r>
      <w:r w:rsidR="002F214C" w:rsidRPr="002F4AD5">
        <w:t xml:space="preserve">e find Staff’s proposal to enforce </w:t>
      </w:r>
      <w:proofErr w:type="spellStart"/>
      <w:r w:rsidR="002F214C" w:rsidRPr="002F4AD5">
        <w:t>RCW</w:t>
      </w:r>
      <w:proofErr w:type="spellEnd"/>
      <w:r w:rsidR="002F214C" w:rsidRPr="002F4AD5">
        <w:t xml:space="preserve"> 81.20.020 and impose investigation fees </w:t>
      </w:r>
      <w:r w:rsidR="006022B9">
        <w:t xml:space="preserve">is </w:t>
      </w:r>
      <w:r w:rsidR="002F214C" w:rsidRPr="002F4AD5">
        <w:t>in the public interest.</w:t>
      </w:r>
      <w:r w:rsidR="006022B9">
        <w:t xml:space="preserve"> </w:t>
      </w:r>
      <w:proofErr w:type="spellStart"/>
      <w:r w:rsidR="006022B9">
        <w:t>WCI</w:t>
      </w:r>
      <w:proofErr w:type="spellEnd"/>
      <w:r w:rsidR="006022B9">
        <w:t xml:space="preserve"> should be required to pay </w:t>
      </w:r>
      <w:r w:rsidR="006022B9" w:rsidRPr="006022B9">
        <w:t>costs of investigation in the amount of $</w:t>
      </w:r>
      <w:r w:rsidR="00D934B5">
        <w:t>21,909.41</w:t>
      </w:r>
      <w:r w:rsidR="006022B9" w:rsidRPr="006022B9">
        <w:t>.</w:t>
      </w:r>
      <w:r w:rsidR="006022B9">
        <w:t xml:space="preserve"> This amounts to </w:t>
      </w:r>
      <w:r w:rsidR="00047F04">
        <w:t xml:space="preserve">about one-fourth of </w:t>
      </w:r>
      <w:r w:rsidR="006022B9">
        <w:t>the full costs of the Commission’s investigation</w:t>
      </w:r>
      <w:r w:rsidR="00047F04">
        <w:t xml:space="preserve"> and is</w:t>
      </w:r>
      <w:r w:rsidR="00047F04" w:rsidRPr="00047F04">
        <w:t xml:space="preserve"> one-half</w:t>
      </w:r>
      <w:r w:rsidR="00047F04">
        <w:t xml:space="preserve"> the maximum recovery authorized by </w:t>
      </w:r>
      <w:proofErr w:type="spellStart"/>
      <w:r w:rsidR="00047F04">
        <w:t>RCW</w:t>
      </w:r>
      <w:proofErr w:type="spellEnd"/>
      <w:r w:rsidR="00047F04">
        <w:t xml:space="preserve"> 81.20.020</w:t>
      </w:r>
      <w:r w:rsidR="006022B9">
        <w:t>.</w:t>
      </w:r>
    </w:p>
    <w:p w14:paraId="63B6937B" w14:textId="77777777" w:rsidR="00A54B76" w:rsidRPr="002F4AD5" w:rsidRDefault="00A54B76" w:rsidP="00911029">
      <w:pPr>
        <w:pStyle w:val="ListParagraph"/>
        <w:spacing w:line="264" w:lineRule="auto"/>
      </w:pPr>
    </w:p>
    <w:p w14:paraId="6E44C121" w14:textId="77777777" w:rsidR="007E4BB7" w:rsidRPr="007D4771" w:rsidRDefault="007E4BB7" w:rsidP="00911029">
      <w:pPr>
        <w:pStyle w:val="Heading1"/>
        <w:keepLines/>
        <w:spacing w:line="264" w:lineRule="auto"/>
      </w:pPr>
      <w:bookmarkStart w:id="10" w:name="_Toc425254180"/>
      <w:r w:rsidRPr="007D4771">
        <w:t xml:space="preserve">FINDINGS </w:t>
      </w:r>
      <w:r w:rsidR="00BA08A6" w:rsidRPr="007D4771">
        <w:t>AND CONCLUSIONS</w:t>
      </w:r>
      <w:bookmarkEnd w:id="10"/>
    </w:p>
    <w:p w14:paraId="5EB1FAF5" w14:textId="77777777" w:rsidR="007E4BB7" w:rsidRDefault="007E4BB7" w:rsidP="00911029">
      <w:pPr>
        <w:keepNext/>
        <w:keepLines/>
        <w:spacing w:line="264" w:lineRule="auto"/>
      </w:pPr>
    </w:p>
    <w:p w14:paraId="6CF57F77" w14:textId="77777777" w:rsidR="00C0070C" w:rsidRDefault="00C0070C" w:rsidP="00911029">
      <w:pPr>
        <w:keepNext/>
        <w:keepLines/>
        <w:spacing w:line="264" w:lineRule="auto"/>
      </w:pPr>
      <w:r w:rsidRPr="00C0070C">
        <w:t>We endorse certain of the findings and conclusions in the Initial Order, and restate them below. In addition, we modify certain of the Initial Order’s findings and conclusions to make them consistent with the discussion in this Order.</w:t>
      </w:r>
      <w:r w:rsidR="00AE6910">
        <w:t xml:space="preserve"> Modifications are indicated by the use of italics</w:t>
      </w:r>
      <w:r w:rsidR="002D7C30">
        <w:t xml:space="preserve"> and strikethrough</w:t>
      </w:r>
      <w:r w:rsidR="00AE6910">
        <w:t xml:space="preserve">. We reject certain findings as being unnecessary </w:t>
      </w:r>
      <w:r w:rsidR="00B72717">
        <w:t xml:space="preserve">or contrary </w:t>
      </w:r>
      <w:r w:rsidR="00AE6910">
        <w:t>to our determinations on review. These are indicated by striketh</w:t>
      </w:r>
      <w:r w:rsidR="005E5421">
        <w:t>r</w:t>
      </w:r>
      <w:r w:rsidR="00AE6910">
        <w:t>ough.</w:t>
      </w:r>
      <w:r w:rsidRPr="00C0070C">
        <w:t xml:space="preserve"> Finally, we add new findings and conclusions based on our de novo review of the record.</w:t>
      </w:r>
      <w:r w:rsidR="005E5421">
        <w:t xml:space="preserve"> These, too, are italicized.</w:t>
      </w:r>
    </w:p>
    <w:p w14:paraId="2127D8BE" w14:textId="77777777" w:rsidR="00C0070C" w:rsidRPr="002F4AD5" w:rsidRDefault="00C0070C" w:rsidP="00911029">
      <w:pPr>
        <w:spacing w:line="264" w:lineRule="auto"/>
      </w:pPr>
    </w:p>
    <w:p w14:paraId="10B2A2B4" w14:textId="77777777" w:rsidR="007E4BB7" w:rsidRPr="002F4AD5" w:rsidRDefault="007E4BB7" w:rsidP="00911029">
      <w:pPr>
        <w:numPr>
          <w:ilvl w:val="0"/>
          <w:numId w:val="2"/>
        </w:numPr>
        <w:spacing w:line="264" w:lineRule="auto"/>
        <w:ind w:left="720" w:hanging="1440"/>
      </w:pPr>
      <w:r w:rsidRPr="002F4AD5">
        <w:t>(1)</w:t>
      </w:r>
      <w:r w:rsidRPr="002F4AD5">
        <w:tab/>
      </w:r>
      <w:r w:rsidR="00BA08A6" w:rsidRPr="002F4AD5">
        <w:t xml:space="preserve">The </w:t>
      </w:r>
      <w:r w:rsidR="00644679" w:rsidRPr="002F4AD5">
        <w:t xml:space="preserve">Washington Utilities and Transportation </w:t>
      </w:r>
      <w:r w:rsidR="00BA08A6" w:rsidRPr="002F4AD5">
        <w:t xml:space="preserve">Commission </w:t>
      </w:r>
      <w:r w:rsidR="00644679" w:rsidRPr="002F4AD5">
        <w:t xml:space="preserve">(Commission) </w:t>
      </w:r>
      <w:r w:rsidR="00BA08A6" w:rsidRPr="002F4AD5">
        <w:t xml:space="preserve">is an agency of the state of Washington vested by statute with the authority to regulate the rates, rules, regulations, and practices of </w:t>
      </w:r>
      <w:r w:rsidR="00644679" w:rsidRPr="002F4AD5">
        <w:t>solid waste</w:t>
      </w:r>
      <w:r w:rsidR="00BA08A6" w:rsidRPr="002F4AD5">
        <w:t xml:space="preserve"> companies.</w:t>
      </w:r>
    </w:p>
    <w:p w14:paraId="30189747" w14:textId="77777777" w:rsidR="00BA08A6" w:rsidRPr="002F4AD5" w:rsidRDefault="00BA08A6" w:rsidP="00911029">
      <w:pPr>
        <w:spacing w:line="264" w:lineRule="auto"/>
      </w:pPr>
    </w:p>
    <w:p w14:paraId="3A704800" w14:textId="77777777" w:rsidR="00BA08A6" w:rsidRPr="002F4AD5" w:rsidRDefault="00BA08A6" w:rsidP="00911029">
      <w:pPr>
        <w:numPr>
          <w:ilvl w:val="0"/>
          <w:numId w:val="2"/>
        </w:numPr>
        <w:spacing w:line="264" w:lineRule="auto"/>
        <w:ind w:left="720" w:hanging="1440"/>
      </w:pPr>
      <w:r w:rsidRPr="002F4AD5">
        <w:t>(2)</w:t>
      </w:r>
      <w:r w:rsidRPr="002F4AD5">
        <w:tab/>
      </w:r>
      <w:r w:rsidR="00644679" w:rsidRPr="002F4AD5">
        <w:t>On April 3, 2014, Waste Control, Inc. (</w:t>
      </w:r>
      <w:proofErr w:type="spellStart"/>
      <w:r w:rsidR="00644679" w:rsidRPr="002F4AD5">
        <w:t>WCI</w:t>
      </w:r>
      <w:proofErr w:type="spellEnd"/>
      <w:r w:rsidR="00644679" w:rsidRPr="002F4AD5">
        <w:t>) filed with the Commission new Tariff No. 16 reflecting a general rate increase that, if approved, would generate approximately $532,000</w:t>
      </w:r>
      <w:r w:rsidR="00B06854" w:rsidRPr="002F4AD5">
        <w:t>,</w:t>
      </w:r>
      <w:r w:rsidR="00A54B76" w:rsidRPr="002F4AD5">
        <w:t xml:space="preserve"> or </w:t>
      </w:r>
      <w:r w:rsidR="00644679" w:rsidRPr="002F4AD5">
        <w:t>15.4 percent</w:t>
      </w:r>
      <w:r w:rsidR="00B06854" w:rsidRPr="002F4AD5">
        <w:t>,</w:t>
      </w:r>
      <w:r w:rsidR="00644679" w:rsidRPr="002F4AD5">
        <w:t xml:space="preserve"> in additional revenue.  </w:t>
      </w:r>
    </w:p>
    <w:p w14:paraId="0086ED3D" w14:textId="77777777" w:rsidR="00644679" w:rsidRPr="002F4AD5" w:rsidRDefault="00644679" w:rsidP="00911029">
      <w:pPr>
        <w:pStyle w:val="ListParagraph"/>
        <w:spacing w:line="264" w:lineRule="auto"/>
      </w:pPr>
    </w:p>
    <w:p w14:paraId="5347EA57" w14:textId="77777777" w:rsidR="00B72717" w:rsidRDefault="00644679" w:rsidP="00911029">
      <w:pPr>
        <w:numPr>
          <w:ilvl w:val="0"/>
          <w:numId w:val="2"/>
        </w:numPr>
        <w:spacing w:line="264" w:lineRule="auto"/>
        <w:ind w:left="720" w:hanging="1440"/>
      </w:pPr>
      <w:r w:rsidRPr="002F4AD5">
        <w:lastRenderedPageBreak/>
        <w:t>(3)</w:t>
      </w:r>
      <w:r w:rsidRPr="002F4AD5">
        <w:tab/>
        <w:t xml:space="preserve">On October 14, 2014, </w:t>
      </w:r>
      <w:proofErr w:type="spellStart"/>
      <w:r w:rsidRPr="002F4AD5">
        <w:t>WCI</w:t>
      </w:r>
      <w:proofErr w:type="spellEnd"/>
      <w:r w:rsidRPr="002F4AD5">
        <w:t xml:space="preserve"> and the Commission’s regulatory staff (Staff) entered into a Partial Settlement Agreement</w:t>
      </w:r>
      <w:r w:rsidR="00730B44" w:rsidRPr="002F4AD5">
        <w:t xml:space="preserve"> (Partial </w:t>
      </w:r>
      <w:proofErr w:type="spellStart"/>
      <w:r w:rsidR="00DF6FC0" w:rsidRPr="007922CC">
        <w:rPr>
          <w:strike/>
        </w:rPr>
        <w:t>Agreement</w:t>
      </w:r>
      <w:r w:rsidR="00F3747A" w:rsidRPr="007922CC">
        <w:rPr>
          <w:i/>
        </w:rPr>
        <w:t>Settlement</w:t>
      </w:r>
      <w:proofErr w:type="spellEnd"/>
      <w:r w:rsidR="00730B44" w:rsidRPr="002F4AD5">
        <w:t>)</w:t>
      </w:r>
      <w:r w:rsidR="00FA53A8" w:rsidRPr="002F4AD5">
        <w:t>, attached to this Order as Appendix A,</w:t>
      </w:r>
      <w:r w:rsidRPr="002F4AD5">
        <w:t xml:space="preserve"> resolving all but four contested issues: </w:t>
      </w:r>
    </w:p>
    <w:p w14:paraId="08F5F9C1" w14:textId="77777777" w:rsidR="00B72717" w:rsidRDefault="00B72717" w:rsidP="00911029">
      <w:pPr>
        <w:pStyle w:val="ListParagraph"/>
        <w:spacing w:line="264" w:lineRule="auto"/>
      </w:pPr>
    </w:p>
    <w:p w14:paraId="5F7B2080" w14:textId="77777777" w:rsidR="00B72717" w:rsidRDefault="00B72717" w:rsidP="00592D24">
      <w:pPr>
        <w:pStyle w:val="ListParagraph"/>
        <w:numPr>
          <w:ilvl w:val="0"/>
          <w:numId w:val="29"/>
        </w:numPr>
        <w:spacing w:line="264" w:lineRule="auto"/>
        <w:ind w:left="1440"/>
      </w:pPr>
      <w:r>
        <w:t>S</w:t>
      </w:r>
      <w:r w:rsidR="00644679" w:rsidRPr="002F4AD5">
        <w:t>hared utility expenses</w:t>
      </w:r>
      <w:r>
        <w:t>.</w:t>
      </w:r>
    </w:p>
    <w:p w14:paraId="119AC1F8" w14:textId="77777777" w:rsidR="00B72717" w:rsidRDefault="00B72717" w:rsidP="00592D24">
      <w:pPr>
        <w:pStyle w:val="ListParagraph"/>
        <w:numPr>
          <w:ilvl w:val="0"/>
          <w:numId w:val="29"/>
        </w:numPr>
        <w:spacing w:line="264" w:lineRule="auto"/>
        <w:ind w:left="1440"/>
      </w:pPr>
      <w:r>
        <w:t>L</w:t>
      </w:r>
      <w:r w:rsidR="00644679" w:rsidRPr="002F4AD5">
        <w:t>and rents</w:t>
      </w:r>
      <w:r>
        <w:t xml:space="preserve"> for shared facilities.</w:t>
      </w:r>
    </w:p>
    <w:p w14:paraId="790FF70B" w14:textId="77777777" w:rsidR="00B72717" w:rsidRDefault="00B72717" w:rsidP="00592D24">
      <w:pPr>
        <w:pStyle w:val="ListParagraph"/>
        <w:numPr>
          <w:ilvl w:val="0"/>
          <w:numId w:val="29"/>
        </w:numPr>
        <w:spacing w:line="264" w:lineRule="auto"/>
        <w:ind w:left="1440"/>
      </w:pPr>
      <w:r>
        <w:t>R</w:t>
      </w:r>
      <w:r w:rsidR="00644679" w:rsidRPr="002F4AD5">
        <w:t>ate case expenses</w:t>
      </w:r>
      <w:r>
        <w:t>.</w:t>
      </w:r>
    </w:p>
    <w:p w14:paraId="74856AC9" w14:textId="77777777" w:rsidR="00644679" w:rsidRPr="002F4AD5" w:rsidRDefault="00B72717" w:rsidP="00592D24">
      <w:pPr>
        <w:pStyle w:val="ListParagraph"/>
        <w:numPr>
          <w:ilvl w:val="0"/>
          <w:numId w:val="29"/>
        </w:numPr>
        <w:spacing w:line="264" w:lineRule="auto"/>
        <w:ind w:left="1440"/>
      </w:pPr>
      <w:r>
        <w:t xml:space="preserve">Recovery from </w:t>
      </w:r>
      <w:proofErr w:type="spellStart"/>
      <w:r>
        <w:t>WCI</w:t>
      </w:r>
      <w:proofErr w:type="spellEnd"/>
      <w:r>
        <w:t xml:space="preserve"> of i</w:t>
      </w:r>
      <w:r w:rsidR="00644679" w:rsidRPr="002F4AD5">
        <w:t xml:space="preserve">nvestigation </w:t>
      </w:r>
      <w:r w:rsidR="00B06854" w:rsidRPr="002F4AD5">
        <w:t>cost</w:t>
      </w:r>
      <w:r w:rsidR="00644679" w:rsidRPr="002F4AD5">
        <w:t>s</w:t>
      </w:r>
      <w:r>
        <w:t xml:space="preserve"> under </w:t>
      </w:r>
      <w:proofErr w:type="spellStart"/>
      <w:r>
        <w:t>RCW</w:t>
      </w:r>
      <w:proofErr w:type="spellEnd"/>
      <w:r>
        <w:t xml:space="preserve"> 81.20.020</w:t>
      </w:r>
      <w:r w:rsidR="00644679" w:rsidRPr="002F4AD5">
        <w:t>.</w:t>
      </w:r>
    </w:p>
    <w:p w14:paraId="3D5EA2B9" w14:textId="77777777" w:rsidR="00346E29" w:rsidRPr="002F4AD5" w:rsidRDefault="00346E29" w:rsidP="00911029">
      <w:pPr>
        <w:pStyle w:val="ListParagraph"/>
        <w:spacing w:line="264" w:lineRule="auto"/>
      </w:pPr>
    </w:p>
    <w:p w14:paraId="729556DD" w14:textId="77777777" w:rsidR="00346E29" w:rsidRPr="002F4AD5" w:rsidRDefault="00346E29" w:rsidP="00911029">
      <w:pPr>
        <w:numPr>
          <w:ilvl w:val="0"/>
          <w:numId w:val="2"/>
        </w:numPr>
        <w:spacing w:line="264" w:lineRule="auto"/>
        <w:ind w:left="720" w:hanging="1440"/>
      </w:pPr>
      <w:r w:rsidRPr="002F4AD5">
        <w:t>(4)</w:t>
      </w:r>
      <w:r w:rsidRPr="002F4AD5">
        <w:tab/>
      </w:r>
      <w:r w:rsidR="00B72717" w:rsidRPr="007922CC">
        <w:rPr>
          <w:i/>
        </w:rPr>
        <w:t>T</w:t>
      </w:r>
      <w:r w:rsidRPr="007922CC">
        <w:rPr>
          <w:i/>
        </w:rPr>
        <w:t xml:space="preserve">he parties reached </w:t>
      </w:r>
      <w:r w:rsidR="00B72717" w:rsidRPr="007922CC">
        <w:rPr>
          <w:i/>
        </w:rPr>
        <w:t>agreement</w:t>
      </w:r>
      <w:r w:rsidRPr="007922CC">
        <w:rPr>
          <w:i/>
        </w:rPr>
        <w:t xml:space="preserve"> on eleven contested issues</w:t>
      </w:r>
      <w:r w:rsidR="00B72717" w:rsidRPr="007922CC">
        <w:rPr>
          <w:i/>
        </w:rPr>
        <w:t xml:space="preserve"> as reflected in their</w:t>
      </w:r>
      <w:r w:rsidRPr="007922CC">
        <w:rPr>
          <w:i/>
        </w:rPr>
        <w:t xml:space="preserve"> Partial </w:t>
      </w:r>
      <w:r w:rsidR="00B72717" w:rsidRPr="007922CC">
        <w:rPr>
          <w:i/>
        </w:rPr>
        <w:t>Settlement</w:t>
      </w:r>
      <w:r w:rsidR="00C84176" w:rsidRPr="007922CC">
        <w:rPr>
          <w:i/>
        </w:rPr>
        <w:t>, and summarized in the body of this Order</w:t>
      </w:r>
      <w:r w:rsidR="00B72717" w:rsidRPr="007922CC">
        <w:rPr>
          <w:i/>
        </w:rPr>
        <w:t>.</w:t>
      </w:r>
      <w:r w:rsidR="00C84176" w:rsidRPr="007922CC">
        <w:rPr>
          <w:rStyle w:val="FootnoteReference"/>
          <w:i/>
        </w:rPr>
        <w:footnoteReference w:id="116"/>
      </w:r>
    </w:p>
    <w:p w14:paraId="66325D4F" w14:textId="77777777" w:rsidR="00644679" w:rsidRPr="002F4AD5" w:rsidRDefault="00644679" w:rsidP="00911029">
      <w:pPr>
        <w:pStyle w:val="ListParagraph"/>
        <w:spacing w:line="264" w:lineRule="auto"/>
      </w:pPr>
    </w:p>
    <w:p w14:paraId="353297CF" w14:textId="77777777" w:rsidR="00644679" w:rsidRPr="002F4AD5" w:rsidRDefault="00346F23" w:rsidP="00911029">
      <w:pPr>
        <w:numPr>
          <w:ilvl w:val="0"/>
          <w:numId w:val="2"/>
        </w:numPr>
        <w:spacing w:line="264" w:lineRule="auto"/>
        <w:ind w:left="720" w:hanging="1440"/>
      </w:pPr>
      <w:r w:rsidRPr="002F4AD5">
        <w:t>(5</w:t>
      </w:r>
      <w:r w:rsidR="00644679" w:rsidRPr="002F4AD5">
        <w:t>)</w:t>
      </w:r>
      <w:r w:rsidR="00644679" w:rsidRPr="002F4AD5">
        <w:tab/>
      </w:r>
      <w:r w:rsidR="00F806E0" w:rsidRPr="002F4AD5">
        <w:t xml:space="preserve">Pursuant to WAC 480-07-540, </w:t>
      </w:r>
      <w:proofErr w:type="spellStart"/>
      <w:r w:rsidR="00F806E0" w:rsidRPr="002F4AD5">
        <w:t>WCI</w:t>
      </w:r>
      <w:proofErr w:type="spellEnd"/>
      <w:r w:rsidR="00F806E0" w:rsidRPr="002F4AD5">
        <w:t xml:space="preserve"> bears the burden of proof in this case requesting an increase in its rates for regulated operations. This burden of proof includes the burden of going forward with evidence and the burden of persuasion.</w:t>
      </w:r>
    </w:p>
    <w:p w14:paraId="70F6C08E" w14:textId="77777777" w:rsidR="00F806E0" w:rsidRPr="002F4AD5" w:rsidRDefault="00F806E0" w:rsidP="00911029">
      <w:pPr>
        <w:pStyle w:val="ListParagraph"/>
        <w:spacing w:line="264" w:lineRule="auto"/>
      </w:pPr>
    </w:p>
    <w:p w14:paraId="4545F80E" w14:textId="77777777" w:rsidR="00346F23" w:rsidRPr="002F4AD5" w:rsidRDefault="00346F23" w:rsidP="00911029">
      <w:pPr>
        <w:numPr>
          <w:ilvl w:val="0"/>
          <w:numId w:val="2"/>
        </w:numPr>
        <w:spacing w:line="264" w:lineRule="auto"/>
        <w:ind w:left="720" w:hanging="1440"/>
      </w:pPr>
      <w:r w:rsidRPr="002F4AD5">
        <w:t>(6</w:t>
      </w:r>
      <w:r w:rsidR="00F806E0" w:rsidRPr="002F4AD5">
        <w:t>)</w:t>
      </w:r>
      <w:r w:rsidR="00F806E0" w:rsidRPr="002F4AD5">
        <w:tab/>
      </w:r>
      <w:r w:rsidRPr="002F4AD5">
        <w:rPr>
          <w:color w:val="000000"/>
        </w:rPr>
        <w:t xml:space="preserve">The terms and conditions within the Partial </w:t>
      </w:r>
      <w:proofErr w:type="spellStart"/>
      <w:r w:rsidR="00DF6FC0">
        <w:rPr>
          <w:strike/>
          <w:color w:val="000000"/>
        </w:rPr>
        <w:t>Agreement</w:t>
      </w:r>
      <w:r w:rsidR="00F3747A" w:rsidRPr="007922CC">
        <w:rPr>
          <w:i/>
          <w:color w:val="000000"/>
        </w:rPr>
        <w:t>Settlement</w:t>
      </w:r>
      <w:proofErr w:type="spellEnd"/>
      <w:r w:rsidR="00F3747A" w:rsidRPr="002F4AD5">
        <w:rPr>
          <w:color w:val="000000"/>
        </w:rPr>
        <w:t xml:space="preserve"> </w:t>
      </w:r>
      <w:r w:rsidRPr="002F4AD5">
        <w:rPr>
          <w:color w:val="000000"/>
        </w:rPr>
        <w:t>are consistent with law and policy and reasonably resolve the issues in this proceeding. Each of the adjustments are supported by an appropriate record and will result in rates that are fair, just, reasonable, and sufficient.</w:t>
      </w:r>
    </w:p>
    <w:p w14:paraId="2849FD4A" w14:textId="77777777" w:rsidR="00346F23" w:rsidRPr="002F4AD5" w:rsidRDefault="00346F23" w:rsidP="00911029">
      <w:pPr>
        <w:pStyle w:val="ListParagraph"/>
        <w:spacing w:line="264" w:lineRule="auto"/>
      </w:pPr>
    </w:p>
    <w:p w14:paraId="3986CF4F" w14:textId="77777777" w:rsidR="00F806E0" w:rsidRPr="002F4AD5" w:rsidRDefault="00346F23" w:rsidP="00911029">
      <w:pPr>
        <w:numPr>
          <w:ilvl w:val="0"/>
          <w:numId w:val="2"/>
        </w:numPr>
        <w:spacing w:line="264" w:lineRule="auto"/>
        <w:ind w:left="720" w:hanging="1440"/>
      </w:pPr>
      <w:r w:rsidRPr="002F4AD5">
        <w:t>(7)</w:t>
      </w:r>
      <w:r w:rsidRPr="002F4AD5">
        <w:tab/>
        <w:t xml:space="preserve">The Commission convened an evidentiary hearing on March 11, 2015, to address the remaining </w:t>
      </w:r>
      <w:r w:rsidR="00B06854" w:rsidRPr="002F4AD5">
        <w:t xml:space="preserve">contested </w:t>
      </w:r>
      <w:r w:rsidRPr="002F4AD5">
        <w:t>issues.</w:t>
      </w:r>
    </w:p>
    <w:p w14:paraId="03CBD1DC" w14:textId="77777777" w:rsidR="00346F23" w:rsidRPr="002F4AD5" w:rsidRDefault="00346F23" w:rsidP="00911029">
      <w:pPr>
        <w:spacing w:line="264" w:lineRule="auto"/>
      </w:pPr>
    </w:p>
    <w:p w14:paraId="3D3E9553" w14:textId="77777777" w:rsidR="00346F23" w:rsidRPr="002F4AD5" w:rsidRDefault="00346F23" w:rsidP="00911029">
      <w:pPr>
        <w:numPr>
          <w:ilvl w:val="0"/>
          <w:numId w:val="2"/>
        </w:numPr>
        <w:spacing w:line="264" w:lineRule="auto"/>
        <w:ind w:left="720" w:hanging="1440"/>
      </w:pPr>
      <w:r w:rsidRPr="002F4AD5">
        <w:t>(8)</w:t>
      </w:r>
      <w:r w:rsidRPr="002F4AD5">
        <w:tab/>
        <w:t xml:space="preserve">With regard to the shared utility expenses adjustment, Staff’s three-factor allocation proposal is consistent with generally accepted allocation principles and is more reasonable than </w:t>
      </w:r>
      <w:proofErr w:type="spellStart"/>
      <w:r w:rsidRPr="002F4AD5">
        <w:t>WCI’s</w:t>
      </w:r>
      <w:proofErr w:type="spellEnd"/>
      <w:r w:rsidRPr="002F4AD5">
        <w:t xml:space="preserve"> position assigning direct costs as shared expenses.</w:t>
      </w:r>
    </w:p>
    <w:p w14:paraId="24F37808" w14:textId="77777777" w:rsidR="00346F23" w:rsidRPr="002F4AD5" w:rsidRDefault="00346F23" w:rsidP="00911029">
      <w:pPr>
        <w:pStyle w:val="ListParagraph"/>
        <w:spacing w:line="264" w:lineRule="auto"/>
      </w:pPr>
    </w:p>
    <w:p w14:paraId="2B508D72" w14:textId="77777777" w:rsidR="005F6845" w:rsidRPr="002F4AD5" w:rsidRDefault="00346F23" w:rsidP="00911029">
      <w:pPr>
        <w:numPr>
          <w:ilvl w:val="0"/>
          <w:numId w:val="2"/>
        </w:numPr>
        <w:spacing w:line="264" w:lineRule="auto"/>
        <w:ind w:left="720" w:hanging="1440"/>
      </w:pPr>
      <w:r w:rsidRPr="002F4AD5">
        <w:t>(9)</w:t>
      </w:r>
      <w:r w:rsidRPr="002F4AD5">
        <w:tab/>
        <w:t>We accept Staff’s proposed utility expense Adjustment R-6D allo</w:t>
      </w:r>
      <w:r w:rsidR="005F6845" w:rsidRPr="002F4AD5">
        <w:t>cat</w:t>
      </w:r>
      <w:r w:rsidRPr="002F4AD5">
        <w:t>ing $15,424 of</w:t>
      </w:r>
      <w:r w:rsidR="005F6845" w:rsidRPr="002F4AD5">
        <w:t xml:space="preserve"> shared utility expense to </w:t>
      </w:r>
      <w:proofErr w:type="spellStart"/>
      <w:r w:rsidR="005F6845" w:rsidRPr="002F4AD5">
        <w:t>WCI’s</w:t>
      </w:r>
      <w:proofErr w:type="spellEnd"/>
      <w:r w:rsidR="005F6845" w:rsidRPr="002F4AD5">
        <w:t xml:space="preserve"> regulated operations as fair, just, reasonable, and sufficient.</w:t>
      </w:r>
    </w:p>
    <w:p w14:paraId="4C4F0D47" w14:textId="77777777" w:rsidR="005F6845" w:rsidRPr="002F4AD5" w:rsidRDefault="005F6845" w:rsidP="00911029">
      <w:pPr>
        <w:pStyle w:val="ListParagraph"/>
        <w:spacing w:line="264" w:lineRule="auto"/>
      </w:pPr>
    </w:p>
    <w:p w14:paraId="0FBD45D9" w14:textId="77777777" w:rsidR="00346F23" w:rsidRPr="00FB579B" w:rsidRDefault="00FB579B" w:rsidP="00911029">
      <w:pPr>
        <w:numPr>
          <w:ilvl w:val="0"/>
          <w:numId w:val="2"/>
        </w:numPr>
        <w:spacing w:line="264" w:lineRule="auto"/>
        <w:ind w:left="720" w:hanging="1440"/>
        <w:rPr>
          <w:strike/>
        </w:rPr>
      </w:pPr>
      <w:r w:rsidRPr="00FB579B">
        <w:rPr>
          <w:strike/>
        </w:rPr>
        <w:t>(10)</w:t>
      </w:r>
      <w:r w:rsidRPr="00FB579B">
        <w:rPr>
          <w:strike/>
        </w:rPr>
        <w:tab/>
        <w:t xml:space="preserve">Staff’s use of the capital structure and actual costs of debt of </w:t>
      </w:r>
      <w:proofErr w:type="spellStart"/>
      <w:r w:rsidRPr="00FB579B">
        <w:rPr>
          <w:strike/>
        </w:rPr>
        <w:t>Heirborne</w:t>
      </w:r>
      <w:proofErr w:type="spellEnd"/>
      <w:r w:rsidRPr="00FB579B">
        <w:rPr>
          <w:strike/>
        </w:rPr>
        <w:t xml:space="preserve"> Investments, LLC (</w:t>
      </w:r>
      <w:proofErr w:type="spellStart"/>
      <w:r w:rsidRPr="00FB579B">
        <w:rPr>
          <w:strike/>
        </w:rPr>
        <w:t>HBI</w:t>
      </w:r>
      <w:proofErr w:type="spellEnd"/>
      <w:r w:rsidRPr="00FB579B">
        <w:rPr>
          <w:strike/>
        </w:rPr>
        <w:t xml:space="preserve">) and </w:t>
      </w:r>
      <w:proofErr w:type="spellStart"/>
      <w:r w:rsidRPr="00FB579B">
        <w:rPr>
          <w:strike/>
        </w:rPr>
        <w:t>Heirborne</w:t>
      </w:r>
      <w:proofErr w:type="spellEnd"/>
      <w:r w:rsidRPr="00FB579B">
        <w:rPr>
          <w:strike/>
        </w:rPr>
        <w:t xml:space="preserve"> Investments II, LLC (</w:t>
      </w:r>
      <w:proofErr w:type="spellStart"/>
      <w:r w:rsidRPr="00FB579B">
        <w:rPr>
          <w:strike/>
        </w:rPr>
        <w:t>HBII</w:t>
      </w:r>
      <w:proofErr w:type="spellEnd"/>
      <w:r w:rsidRPr="00FB579B">
        <w:rPr>
          <w:strike/>
        </w:rPr>
        <w:t xml:space="preserve">) is appropriate to calculate the allowed return on equity for the land rents </w:t>
      </w:r>
      <w:proofErr w:type="spellStart"/>
      <w:r w:rsidRPr="00FB579B">
        <w:rPr>
          <w:strike/>
        </w:rPr>
        <w:t>WCI</w:t>
      </w:r>
      <w:proofErr w:type="spellEnd"/>
      <w:r w:rsidRPr="00FB579B">
        <w:rPr>
          <w:strike/>
        </w:rPr>
        <w:t xml:space="preserve"> pays to its affiliates </w:t>
      </w:r>
      <w:proofErr w:type="spellStart"/>
      <w:r w:rsidRPr="00FB579B">
        <w:rPr>
          <w:strike/>
        </w:rPr>
        <w:t>HBI</w:t>
      </w:r>
      <w:proofErr w:type="spellEnd"/>
      <w:r w:rsidRPr="00FB579B">
        <w:rPr>
          <w:strike/>
        </w:rPr>
        <w:t xml:space="preserve"> and </w:t>
      </w:r>
      <w:proofErr w:type="spellStart"/>
      <w:r w:rsidRPr="00FB579B">
        <w:rPr>
          <w:strike/>
        </w:rPr>
        <w:t>HBII</w:t>
      </w:r>
      <w:proofErr w:type="spellEnd"/>
      <w:r w:rsidRPr="00FB579B">
        <w:rPr>
          <w:strike/>
        </w:rPr>
        <w:t>.</w:t>
      </w:r>
      <w:r w:rsidR="005F6845" w:rsidRPr="00FB579B">
        <w:rPr>
          <w:strike/>
        </w:rPr>
        <w:t xml:space="preserve">  </w:t>
      </w:r>
    </w:p>
    <w:p w14:paraId="6B2D3C45" w14:textId="77777777" w:rsidR="005F6845" w:rsidRPr="002F4AD5" w:rsidRDefault="005F6845" w:rsidP="00911029">
      <w:pPr>
        <w:pStyle w:val="ListParagraph"/>
        <w:spacing w:line="264" w:lineRule="auto"/>
      </w:pPr>
    </w:p>
    <w:p w14:paraId="416E03E0" w14:textId="77777777" w:rsidR="00B06854" w:rsidRPr="00FB579B" w:rsidRDefault="005F6845" w:rsidP="00911029">
      <w:pPr>
        <w:numPr>
          <w:ilvl w:val="0"/>
          <w:numId w:val="2"/>
        </w:numPr>
        <w:spacing w:line="264" w:lineRule="auto"/>
        <w:ind w:left="720" w:hanging="1440"/>
        <w:rPr>
          <w:strike/>
        </w:rPr>
      </w:pPr>
      <w:r w:rsidRPr="00FB579B">
        <w:rPr>
          <w:strike/>
        </w:rPr>
        <w:t>(11)</w:t>
      </w:r>
      <w:r w:rsidRPr="00FB579B">
        <w:rPr>
          <w:strike/>
        </w:rPr>
        <w:tab/>
      </w:r>
      <w:r w:rsidR="00FB579B" w:rsidRPr="00FB579B">
        <w:rPr>
          <w:strike/>
        </w:rPr>
        <w:t xml:space="preserve">The discounted cash flow methodology proposed by Staff for calculating returns on the land </w:t>
      </w:r>
      <w:proofErr w:type="spellStart"/>
      <w:r w:rsidR="00FB579B" w:rsidRPr="00FB579B">
        <w:rPr>
          <w:strike/>
        </w:rPr>
        <w:t>WCI</w:t>
      </w:r>
      <w:proofErr w:type="spellEnd"/>
      <w:r w:rsidR="00FB579B" w:rsidRPr="00FB579B">
        <w:rPr>
          <w:strike/>
        </w:rPr>
        <w:t xml:space="preserve"> rents from its affiliates is reasonable.</w:t>
      </w:r>
    </w:p>
    <w:p w14:paraId="349775ED" w14:textId="77777777" w:rsidR="00FB579B" w:rsidRPr="002F4AD5" w:rsidRDefault="00FB579B" w:rsidP="00911029">
      <w:pPr>
        <w:spacing w:line="264" w:lineRule="auto"/>
      </w:pPr>
    </w:p>
    <w:p w14:paraId="3193DEDD" w14:textId="77777777" w:rsidR="00B06854" w:rsidRPr="00AE6910" w:rsidRDefault="00B06854" w:rsidP="00911029">
      <w:pPr>
        <w:numPr>
          <w:ilvl w:val="0"/>
          <w:numId w:val="2"/>
        </w:numPr>
        <w:spacing w:line="264" w:lineRule="auto"/>
        <w:ind w:left="720" w:hanging="1440"/>
        <w:rPr>
          <w:strike/>
        </w:rPr>
      </w:pPr>
      <w:r w:rsidRPr="00AE6910">
        <w:rPr>
          <w:strike/>
        </w:rPr>
        <w:t>(12)</w:t>
      </w:r>
      <w:r w:rsidRPr="00AE6910">
        <w:rPr>
          <w:strike/>
        </w:rPr>
        <w:tab/>
        <w:t xml:space="preserve">Staff’s approach employing the landlords’ actual cost of debt, in this case, 2.2 percent for </w:t>
      </w:r>
      <w:proofErr w:type="spellStart"/>
      <w:r w:rsidRPr="00AE6910">
        <w:rPr>
          <w:strike/>
        </w:rPr>
        <w:t>HBI’s</w:t>
      </w:r>
      <w:proofErr w:type="spellEnd"/>
      <w:r w:rsidRPr="00AE6910">
        <w:rPr>
          <w:strike/>
        </w:rPr>
        <w:t xml:space="preserve"> rents and 4.3 percent for </w:t>
      </w:r>
      <w:proofErr w:type="spellStart"/>
      <w:r w:rsidRPr="00AE6910">
        <w:rPr>
          <w:strike/>
        </w:rPr>
        <w:t>HBII’s</w:t>
      </w:r>
      <w:proofErr w:type="spellEnd"/>
      <w:r w:rsidRPr="00AE6910">
        <w:rPr>
          <w:strike/>
        </w:rPr>
        <w:t xml:space="preserve"> rents, is easily verifiable, captures the combined landlords’ risk profile, and connects a fair return to that risk profile.   </w:t>
      </w:r>
    </w:p>
    <w:p w14:paraId="10D98EFE" w14:textId="77777777" w:rsidR="00B06854" w:rsidRPr="002F4AD5" w:rsidRDefault="00B06854" w:rsidP="00911029">
      <w:pPr>
        <w:pStyle w:val="ListParagraph"/>
        <w:spacing w:line="264" w:lineRule="auto"/>
      </w:pPr>
    </w:p>
    <w:p w14:paraId="054F5D6D" w14:textId="77777777" w:rsidR="00B06854" w:rsidRDefault="00B06854" w:rsidP="00911029">
      <w:pPr>
        <w:numPr>
          <w:ilvl w:val="0"/>
          <w:numId w:val="2"/>
        </w:numPr>
        <w:spacing w:line="264" w:lineRule="auto"/>
        <w:ind w:left="720" w:hanging="1440"/>
        <w:rPr>
          <w:strike/>
        </w:rPr>
      </w:pPr>
      <w:r w:rsidRPr="00AE6910">
        <w:rPr>
          <w:strike/>
        </w:rPr>
        <w:t>(13)</w:t>
      </w:r>
      <w:r w:rsidRPr="00AE6910">
        <w:rPr>
          <w:strike/>
        </w:rPr>
        <w:tab/>
      </w:r>
      <w:r w:rsidR="00432BD8" w:rsidRPr="00AE6910">
        <w:rPr>
          <w:strike/>
        </w:rPr>
        <w:t>Staff</w:t>
      </w:r>
      <w:r w:rsidR="00541258" w:rsidRPr="00AE6910">
        <w:rPr>
          <w:strike/>
        </w:rPr>
        <w:t xml:space="preserve">’s three-factor allocator </w:t>
      </w:r>
      <w:r w:rsidR="00432BD8" w:rsidRPr="00AE6910">
        <w:rPr>
          <w:strike/>
        </w:rPr>
        <w:t>is consistent with the regulatory principle of cost-</w:t>
      </w:r>
      <w:r w:rsidR="00432BD8" w:rsidRPr="00B72717">
        <w:rPr>
          <w:strike/>
        </w:rPr>
        <w:t>causation a</w:t>
      </w:r>
      <w:r w:rsidR="00432BD8" w:rsidRPr="00AE6910">
        <w:rPr>
          <w:strike/>
        </w:rPr>
        <w:t xml:space="preserve">llocation </w:t>
      </w:r>
      <w:r w:rsidR="00541258" w:rsidRPr="00AE6910">
        <w:rPr>
          <w:strike/>
        </w:rPr>
        <w:t xml:space="preserve">and should be applied to allocate depreciation and average net investment among tenants of </w:t>
      </w:r>
      <w:proofErr w:type="spellStart"/>
      <w:r w:rsidR="00541258" w:rsidRPr="00AE6910">
        <w:rPr>
          <w:strike/>
        </w:rPr>
        <w:t>HBI</w:t>
      </w:r>
      <w:proofErr w:type="spellEnd"/>
      <w:r w:rsidR="00541258" w:rsidRPr="00AE6910">
        <w:rPr>
          <w:strike/>
        </w:rPr>
        <w:t xml:space="preserve"> and </w:t>
      </w:r>
      <w:proofErr w:type="spellStart"/>
      <w:r w:rsidR="00541258" w:rsidRPr="00AE6910">
        <w:rPr>
          <w:strike/>
        </w:rPr>
        <w:t>HBII’s</w:t>
      </w:r>
      <w:proofErr w:type="spellEnd"/>
      <w:r w:rsidR="00541258" w:rsidRPr="00AE6910">
        <w:rPr>
          <w:strike/>
        </w:rPr>
        <w:t xml:space="preserve"> facilities.</w:t>
      </w:r>
    </w:p>
    <w:p w14:paraId="50BFC616" w14:textId="77777777" w:rsidR="0014392A" w:rsidRPr="00FB579B" w:rsidRDefault="0014392A" w:rsidP="00911029">
      <w:pPr>
        <w:spacing w:line="264" w:lineRule="auto"/>
        <w:rPr>
          <w:i/>
        </w:rPr>
      </w:pPr>
    </w:p>
    <w:p w14:paraId="681F0944" w14:textId="77777777" w:rsidR="001E22B0" w:rsidRPr="002F4AD5" w:rsidRDefault="001E22B0" w:rsidP="00911029">
      <w:pPr>
        <w:numPr>
          <w:ilvl w:val="0"/>
          <w:numId w:val="2"/>
        </w:numPr>
        <w:spacing w:line="264" w:lineRule="auto"/>
        <w:ind w:left="720" w:hanging="1440"/>
      </w:pPr>
      <w:r w:rsidRPr="002F4AD5">
        <w:t>(1</w:t>
      </w:r>
      <w:r w:rsidR="00541258" w:rsidRPr="002F4AD5">
        <w:t>4</w:t>
      </w:r>
      <w:r w:rsidRPr="002F4AD5">
        <w:t>)</w:t>
      </w:r>
      <w:r w:rsidRPr="002F4AD5">
        <w:tab/>
        <w:t xml:space="preserve">The rate case expenses </w:t>
      </w:r>
      <w:r w:rsidR="0017361A">
        <w:rPr>
          <w:i/>
        </w:rPr>
        <w:t>that</w:t>
      </w:r>
      <w:r w:rsidRPr="002F4AD5">
        <w:t xml:space="preserve"> </w:t>
      </w:r>
      <w:proofErr w:type="spellStart"/>
      <w:r w:rsidRPr="002F4AD5">
        <w:t>WCI</w:t>
      </w:r>
      <w:proofErr w:type="spellEnd"/>
      <w:r w:rsidRPr="002F4AD5">
        <w:t xml:space="preserve"> has requested </w:t>
      </w:r>
      <w:r w:rsidR="0017361A">
        <w:rPr>
          <w:i/>
        </w:rPr>
        <w:t xml:space="preserve">for </w:t>
      </w:r>
      <w:r w:rsidRPr="002F4AD5">
        <w:t>recovery are excessive</w:t>
      </w:r>
      <w:r w:rsidR="0017361A">
        <w:rPr>
          <w:i/>
        </w:rPr>
        <w:t xml:space="preserve"> and would </w:t>
      </w:r>
      <w:r w:rsidR="0017361A" w:rsidRPr="007E398B">
        <w:t>produce</w:t>
      </w:r>
      <w:r w:rsidR="0017361A">
        <w:rPr>
          <w:i/>
        </w:rPr>
        <w:t xml:space="preserve"> a level of normalized costs for such expenses that is unreasonable</w:t>
      </w:r>
      <w:r w:rsidRPr="002F4AD5">
        <w:t>. The Commission finds that Staff’s proposal to allow 100 percent recovery of the expenses from the informal audit process in Docket TG-131794</w:t>
      </w:r>
      <w:r w:rsidR="00A42979" w:rsidRPr="002F4AD5">
        <w:t xml:space="preserve"> and</w:t>
      </w:r>
      <w:r w:rsidRPr="002F4AD5">
        <w:t xml:space="preserve"> 50 percent recovery of the expenses from the formal adjudication</w:t>
      </w:r>
      <w:r w:rsidR="00A42979" w:rsidRPr="002F4AD5">
        <w:t>s</w:t>
      </w:r>
      <w:r w:rsidRPr="002F4AD5">
        <w:t xml:space="preserve"> in</w:t>
      </w:r>
      <w:r w:rsidR="00A42979" w:rsidRPr="002F4AD5">
        <w:t xml:space="preserve"> Dockets TG-131794 and TG-140560</w:t>
      </w:r>
      <w:r w:rsidR="00A95887" w:rsidRPr="00A95887">
        <w:rPr>
          <w:strike/>
        </w:rPr>
        <w:t>, as described in paragraph 69,</w:t>
      </w:r>
      <w:r w:rsidR="00A42979" w:rsidRPr="002F4AD5">
        <w:t xml:space="preserve"> is reasonable. The rate case costs will be amortized over a</w:t>
      </w:r>
      <w:r w:rsidR="00A95887">
        <w:t xml:space="preserve"> </w:t>
      </w:r>
      <w:r w:rsidR="00A95887">
        <w:rPr>
          <w:strike/>
        </w:rPr>
        <w:t>four</w:t>
      </w:r>
      <w:r w:rsidR="00A42979" w:rsidRPr="002F4AD5">
        <w:t xml:space="preserve"> </w:t>
      </w:r>
      <w:r w:rsidR="00AE6910">
        <w:rPr>
          <w:i/>
        </w:rPr>
        <w:t>five</w:t>
      </w:r>
      <w:r w:rsidR="00A42979" w:rsidRPr="002F4AD5">
        <w:t xml:space="preserve"> year period</w:t>
      </w:r>
      <w:r w:rsidR="0017361A">
        <w:t xml:space="preserve"> </w:t>
      </w:r>
      <w:r w:rsidR="0017361A" w:rsidRPr="0017361A">
        <w:rPr>
          <w:i/>
        </w:rPr>
        <w:t>with the resulting amount recoverable in prospective rates as a normalized expense level for rate case expense, subject to review in future rate cases</w:t>
      </w:r>
      <w:r w:rsidR="00A42979" w:rsidRPr="0017361A">
        <w:rPr>
          <w:i/>
        </w:rPr>
        <w:t>.</w:t>
      </w:r>
      <w:r w:rsidR="0017361A">
        <w:rPr>
          <w:i/>
        </w:rPr>
        <w:t xml:space="preserve"> The amount of this expense to be reflected in </w:t>
      </w:r>
      <w:proofErr w:type="spellStart"/>
      <w:r w:rsidR="0017361A" w:rsidRPr="0017361A">
        <w:rPr>
          <w:i/>
        </w:rPr>
        <w:t>WCI’s</w:t>
      </w:r>
      <w:proofErr w:type="spellEnd"/>
      <w:r w:rsidR="0017361A" w:rsidRPr="0017361A">
        <w:rPr>
          <w:i/>
        </w:rPr>
        <w:t xml:space="preserve"> compliance filing </w:t>
      </w:r>
      <w:r w:rsidR="0017361A">
        <w:rPr>
          <w:i/>
        </w:rPr>
        <w:t>should be</w:t>
      </w:r>
      <w:r w:rsidR="0017361A" w:rsidRPr="0017361A">
        <w:rPr>
          <w:i/>
        </w:rPr>
        <w:t xml:space="preserve"> no more than $60,671 in annual rate case expense.</w:t>
      </w:r>
    </w:p>
    <w:p w14:paraId="09B3564A" w14:textId="77777777" w:rsidR="00A42979" w:rsidRPr="002F4AD5" w:rsidRDefault="00A42979" w:rsidP="00911029">
      <w:pPr>
        <w:pStyle w:val="ListParagraph"/>
        <w:spacing w:line="264" w:lineRule="auto"/>
      </w:pPr>
    </w:p>
    <w:p w14:paraId="40020D87" w14:textId="77777777" w:rsidR="00A42979" w:rsidRPr="002F4AD5" w:rsidRDefault="00A42979" w:rsidP="00911029">
      <w:pPr>
        <w:numPr>
          <w:ilvl w:val="0"/>
          <w:numId w:val="2"/>
        </w:numPr>
        <w:spacing w:line="264" w:lineRule="auto"/>
        <w:ind w:left="720" w:hanging="1440"/>
      </w:pPr>
      <w:r w:rsidRPr="002F4AD5">
        <w:t>(1</w:t>
      </w:r>
      <w:r w:rsidR="00541258" w:rsidRPr="002F4AD5">
        <w:t>5</w:t>
      </w:r>
      <w:r w:rsidRPr="002F4AD5">
        <w:t>)</w:t>
      </w:r>
      <w:r w:rsidRPr="002F4AD5">
        <w:tab/>
      </w:r>
      <w:proofErr w:type="spellStart"/>
      <w:r w:rsidRPr="002F4AD5">
        <w:t>RCW</w:t>
      </w:r>
      <w:proofErr w:type="spellEnd"/>
      <w:r w:rsidRPr="002F4AD5">
        <w:t xml:space="preserve"> 81.20.020 provides that the public service company subject to a Commission investigation shall pay the costs incurred by the Commission for such an investigation up to one percent of its gross intrastate operating revenues for the preceding calendar year.</w:t>
      </w:r>
    </w:p>
    <w:p w14:paraId="29CDDA2C" w14:textId="77777777" w:rsidR="00A42979" w:rsidRPr="002F4AD5" w:rsidRDefault="00A42979" w:rsidP="00911029">
      <w:pPr>
        <w:pStyle w:val="ListParagraph"/>
        <w:spacing w:line="264" w:lineRule="auto"/>
      </w:pPr>
    </w:p>
    <w:p w14:paraId="59379390" w14:textId="77777777" w:rsidR="00A42979" w:rsidRPr="002F4AD5" w:rsidRDefault="00A42979" w:rsidP="00911029">
      <w:pPr>
        <w:numPr>
          <w:ilvl w:val="0"/>
          <w:numId w:val="2"/>
        </w:numPr>
        <w:spacing w:line="264" w:lineRule="auto"/>
        <w:ind w:left="720" w:hanging="1440"/>
      </w:pPr>
      <w:r w:rsidRPr="002F4AD5">
        <w:t>(1</w:t>
      </w:r>
      <w:r w:rsidR="00541258" w:rsidRPr="002F4AD5">
        <w:t>6</w:t>
      </w:r>
      <w:r w:rsidRPr="002F4AD5">
        <w:t>)</w:t>
      </w:r>
      <w:r w:rsidRPr="002F4AD5">
        <w:tab/>
        <w:t>The Commission incurred $84,305 investigating Dockets TG-131794 and TG-140560.</w:t>
      </w:r>
    </w:p>
    <w:p w14:paraId="4424E363" w14:textId="77777777" w:rsidR="00A42979" w:rsidRPr="002F4AD5" w:rsidRDefault="00A42979" w:rsidP="00911029">
      <w:pPr>
        <w:pStyle w:val="ListParagraph"/>
        <w:spacing w:line="264" w:lineRule="auto"/>
      </w:pPr>
    </w:p>
    <w:p w14:paraId="56343244" w14:textId="77777777" w:rsidR="00A42979" w:rsidRPr="007922CC" w:rsidRDefault="00A42979" w:rsidP="00911029">
      <w:pPr>
        <w:numPr>
          <w:ilvl w:val="0"/>
          <w:numId w:val="2"/>
        </w:numPr>
        <w:spacing w:line="264" w:lineRule="auto"/>
        <w:ind w:left="720" w:hanging="1440"/>
        <w:rPr>
          <w:i/>
        </w:rPr>
      </w:pPr>
      <w:r w:rsidRPr="002F4AD5">
        <w:t>(1</w:t>
      </w:r>
      <w:r w:rsidR="00541258" w:rsidRPr="002F4AD5">
        <w:t>7</w:t>
      </w:r>
      <w:r w:rsidRPr="002F4AD5">
        <w:t>)</w:t>
      </w:r>
      <w:r w:rsidRPr="002F4AD5">
        <w:tab/>
      </w:r>
      <w:proofErr w:type="spellStart"/>
      <w:r w:rsidRPr="007922CC">
        <w:rPr>
          <w:i/>
        </w:rPr>
        <w:t>WCI</w:t>
      </w:r>
      <w:proofErr w:type="spellEnd"/>
      <w:r w:rsidRPr="007922CC">
        <w:rPr>
          <w:i/>
        </w:rPr>
        <w:t xml:space="preserve"> </w:t>
      </w:r>
      <w:r w:rsidR="0017361A" w:rsidRPr="00DF6FC0">
        <w:rPr>
          <w:i/>
        </w:rPr>
        <w:t>should be required</w:t>
      </w:r>
      <w:r w:rsidRPr="007922CC">
        <w:rPr>
          <w:i/>
        </w:rPr>
        <w:t xml:space="preserve"> </w:t>
      </w:r>
      <w:r w:rsidR="00BB1553">
        <w:rPr>
          <w:i/>
        </w:rPr>
        <w:t xml:space="preserve">to </w:t>
      </w:r>
      <w:r w:rsidRPr="007922CC">
        <w:rPr>
          <w:i/>
        </w:rPr>
        <w:t>pay</w:t>
      </w:r>
      <w:r w:rsidR="0017361A" w:rsidRPr="007922CC">
        <w:rPr>
          <w:i/>
        </w:rPr>
        <w:t xml:space="preserve"> </w:t>
      </w:r>
      <w:r w:rsidR="0017361A" w:rsidRPr="00DF6FC0">
        <w:rPr>
          <w:i/>
        </w:rPr>
        <w:t xml:space="preserve">costs of investigation in the amount of </w:t>
      </w:r>
      <w:r w:rsidRPr="007922CC">
        <w:rPr>
          <w:i/>
        </w:rPr>
        <w:t>$</w:t>
      </w:r>
      <w:r w:rsidR="00DF6FC0" w:rsidRPr="007922CC">
        <w:rPr>
          <w:i/>
        </w:rPr>
        <w:t>21,909.41</w:t>
      </w:r>
      <w:r w:rsidRPr="007922CC">
        <w:rPr>
          <w:i/>
        </w:rPr>
        <w:t xml:space="preserve">, </w:t>
      </w:r>
      <w:r w:rsidR="0017361A" w:rsidRPr="00DF6FC0">
        <w:rPr>
          <w:i/>
        </w:rPr>
        <w:t>which is</w:t>
      </w:r>
      <w:r w:rsidRPr="007922CC">
        <w:rPr>
          <w:i/>
        </w:rPr>
        <w:t xml:space="preserve"> </w:t>
      </w:r>
      <w:r w:rsidR="00DF6FC0" w:rsidRPr="007922CC">
        <w:rPr>
          <w:i/>
        </w:rPr>
        <w:t xml:space="preserve">less than </w:t>
      </w:r>
      <w:r w:rsidRPr="007922CC">
        <w:rPr>
          <w:i/>
        </w:rPr>
        <w:t>one percent of its intrastate gross operating revenues for calendar year 2013</w:t>
      </w:r>
      <w:r w:rsidR="00DF6FC0" w:rsidRPr="007922CC">
        <w:rPr>
          <w:i/>
        </w:rPr>
        <w:t xml:space="preserve">, and one-half the amount authorized by </w:t>
      </w:r>
      <w:proofErr w:type="spellStart"/>
      <w:r w:rsidR="00DF6FC0" w:rsidRPr="007922CC">
        <w:rPr>
          <w:i/>
        </w:rPr>
        <w:t>RCW</w:t>
      </w:r>
      <w:proofErr w:type="spellEnd"/>
      <w:r w:rsidR="00DF6FC0" w:rsidRPr="007922CC">
        <w:rPr>
          <w:i/>
        </w:rPr>
        <w:t xml:space="preserve"> 81.20.020</w:t>
      </w:r>
      <w:r w:rsidRPr="007922CC">
        <w:rPr>
          <w:i/>
        </w:rPr>
        <w:t>.</w:t>
      </w:r>
    </w:p>
    <w:p w14:paraId="2B794AB9" w14:textId="77777777" w:rsidR="00FB579B" w:rsidRDefault="00FB579B" w:rsidP="00911029">
      <w:pPr>
        <w:pStyle w:val="ListParagraph"/>
        <w:spacing w:line="264" w:lineRule="auto"/>
      </w:pPr>
    </w:p>
    <w:p w14:paraId="673463E3" w14:textId="77777777" w:rsidR="00FB579B" w:rsidRPr="00FB579B" w:rsidRDefault="00FB579B" w:rsidP="00911029">
      <w:pPr>
        <w:numPr>
          <w:ilvl w:val="0"/>
          <w:numId w:val="2"/>
        </w:numPr>
        <w:spacing w:line="264" w:lineRule="auto"/>
        <w:ind w:left="720" w:hanging="1440"/>
        <w:rPr>
          <w:i/>
        </w:rPr>
      </w:pPr>
      <w:r w:rsidRPr="00FB579B">
        <w:rPr>
          <w:i/>
        </w:rPr>
        <w:t>(18)</w:t>
      </w:r>
      <w:r w:rsidRPr="00FB579B">
        <w:rPr>
          <w:i/>
        </w:rPr>
        <w:tab/>
        <w:t xml:space="preserve">Neither the Company’s nor Staff’s land rent adjustment proposals are adequately supported in this case. As a consequence, there will be no adjustment to the level of land rent from the level approved in </w:t>
      </w:r>
      <w:proofErr w:type="spellStart"/>
      <w:r w:rsidRPr="00FB579B">
        <w:rPr>
          <w:i/>
        </w:rPr>
        <w:t>WCI’s</w:t>
      </w:r>
      <w:proofErr w:type="spellEnd"/>
      <w:r w:rsidRPr="00FB579B">
        <w:rPr>
          <w:i/>
        </w:rPr>
        <w:t xml:space="preserve"> 2009 rate case and the amount of $80,250 is authorized for recovery in rates determined for purposes of the Company’s compliance filing.</w:t>
      </w:r>
    </w:p>
    <w:p w14:paraId="5FE8DCA5" w14:textId="77777777" w:rsidR="00BA08A6" w:rsidRPr="002F4AD5" w:rsidRDefault="00BA08A6" w:rsidP="00911029">
      <w:pPr>
        <w:spacing w:line="264" w:lineRule="auto"/>
      </w:pPr>
    </w:p>
    <w:p w14:paraId="29BF07E9" w14:textId="77777777" w:rsidR="00592D24" w:rsidRDefault="00592D24" w:rsidP="00911029">
      <w:pPr>
        <w:pStyle w:val="Heading1"/>
        <w:spacing w:line="264" w:lineRule="auto"/>
      </w:pPr>
      <w:bookmarkStart w:id="11" w:name="_Toc425254181"/>
      <w:r>
        <w:br w:type="page"/>
      </w:r>
    </w:p>
    <w:p w14:paraId="03659656" w14:textId="38D3A072" w:rsidR="003A45CF" w:rsidRPr="002F4AD5" w:rsidRDefault="00A01153" w:rsidP="00911029">
      <w:pPr>
        <w:pStyle w:val="Heading1"/>
        <w:spacing w:line="264" w:lineRule="auto"/>
        <w:rPr>
          <w:bCs/>
        </w:rPr>
      </w:pPr>
      <w:r w:rsidRPr="002F4AD5">
        <w:lastRenderedPageBreak/>
        <w:t xml:space="preserve">O R D E </w:t>
      </w:r>
      <w:r w:rsidR="003A45CF" w:rsidRPr="002F4AD5">
        <w:t>R</w:t>
      </w:r>
      <w:bookmarkEnd w:id="11"/>
    </w:p>
    <w:p w14:paraId="6B452666" w14:textId="77777777" w:rsidR="003A45CF" w:rsidRPr="002F4AD5" w:rsidRDefault="003A45CF" w:rsidP="00911029">
      <w:pPr>
        <w:spacing w:line="264" w:lineRule="auto"/>
      </w:pPr>
    </w:p>
    <w:p w14:paraId="56DF09FE" w14:textId="77777777" w:rsidR="00E127E1" w:rsidRPr="002F4AD5" w:rsidRDefault="003A45CF" w:rsidP="00911029">
      <w:pPr>
        <w:spacing w:line="264" w:lineRule="auto"/>
      </w:pPr>
      <w:r w:rsidRPr="002F4AD5">
        <w:t>THE COMMISSION ORDERS That</w:t>
      </w:r>
      <w:r w:rsidR="00E127E1" w:rsidRPr="002F4AD5">
        <w:t>:</w:t>
      </w:r>
    </w:p>
    <w:p w14:paraId="458F47B0" w14:textId="77777777" w:rsidR="00E127E1" w:rsidRPr="002F4AD5" w:rsidRDefault="00E127E1" w:rsidP="00911029">
      <w:pPr>
        <w:spacing w:line="264" w:lineRule="auto"/>
      </w:pPr>
    </w:p>
    <w:p w14:paraId="24BE12CA" w14:textId="77777777" w:rsidR="004059E6" w:rsidRPr="002F4AD5" w:rsidRDefault="00E127E1" w:rsidP="00911029">
      <w:pPr>
        <w:numPr>
          <w:ilvl w:val="0"/>
          <w:numId w:val="2"/>
        </w:numPr>
        <w:spacing w:line="264" w:lineRule="auto"/>
        <w:ind w:left="360" w:hanging="1080"/>
      </w:pPr>
      <w:r w:rsidRPr="002F4AD5">
        <w:t>(1)</w:t>
      </w:r>
      <w:r w:rsidRPr="002F4AD5">
        <w:tab/>
      </w:r>
      <w:r w:rsidR="00FA53A8" w:rsidRPr="002F4AD5">
        <w:t>The proposed tariff revisions filed by Waste Control, Inc., on April 3, 2014, and suspended by prior Commission order, are rejected</w:t>
      </w:r>
      <w:r w:rsidR="003A45CF" w:rsidRPr="002F4AD5">
        <w:t>.</w:t>
      </w:r>
    </w:p>
    <w:p w14:paraId="2AE39FC8" w14:textId="77777777" w:rsidR="008D21B0" w:rsidRPr="002F4AD5" w:rsidRDefault="008D21B0" w:rsidP="00911029">
      <w:pPr>
        <w:tabs>
          <w:tab w:val="left" w:pos="720"/>
        </w:tabs>
        <w:spacing w:line="264" w:lineRule="auto"/>
      </w:pPr>
    </w:p>
    <w:p w14:paraId="797591AC" w14:textId="77777777" w:rsidR="008D21B0" w:rsidRPr="002F4AD5" w:rsidRDefault="008D21B0" w:rsidP="00911029">
      <w:pPr>
        <w:numPr>
          <w:ilvl w:val="0"/>
          <w:numId w:val="2"/>
        </w:numPr>
        <w:spacing w:line="264" w:lineRule="auto"/>
        <w:ind w:left="360" w:hanging="1080"/>
      </w:pPr>
      <w:r w:rsidRPr="002F4AD5">
        <w:t>(2)</w:t>
      </w:r>
      <w:r w:rsidRPr="002F4AD5">
        <w:tab/>
      </w:r>
      <w:r w:rsidR="00FA53A8" w:rsidRPr="002F4AD5">
        <w:t xml:space="preserve">The Partial Settlement Agreement, filed by Staff and </w:t>
      </w:r>
      <w:proofErr w:type="spellStart"/>
      <w:r w:rsidR="00FA53A8" w:rsidRPr="002F4AD5">
        <w:t>WCI</w:t>
      </w:r>
      <w:proofErr w:type="spellEnd"/>
      <w:r w:rsidR="00FA53A8" w:rsidRPr="002F4AD5">
        <w:t xml:space="preserve"> on </w:t>
      </w:r>
      <w:r w:rsidR="00A51503" w:rsidRPr="002F4AD5">
        <w:t>October 14, 2014, and attached to this Order as Appendix A, is approved and adopted</w:t>
      </w:r>
      <w:r w:rsidR="004C0B68" w:rsidRPr="002F4AD5">
        <w:t xml:space="preserve"> without condition</w:t>
      </w:r>
      <w:r w:rsidR="003B3E14" w:rsidRPr="002F4AD5">
        <w:t>.</w:t>
      </w:r>
    </w:p>
    <w:p w14:paraId="2E626168" w14:textId="77777777" w:rsidR="00A51503" w:rsidRPr="002F4AD5" w:rsidRDefault="00A51503" w:rsidP="00911029">
      <w:pPr>
        <w:pStyle w:val="ListParagraph"/>
        <w:spacing w:line="264" w:lineRule="auto"/>
      </w:pPr>
    </w:p>
    <w:p w14:paraId="0F3F983E" w14:textId="77777777" w:rsidR="00A51503" w:rsidRPr="002F4AD5" w:rsidRDefault="00A51503" w:rsidP="00911029">
      <w:pPr>
        <w:numPr>
          <w:ilvl w:val="0"/>
          <w:numId w:val="2"/>
        </w:numPr>
        <w:spacing w:line="264" w:lineRule="auto"/>
        <w:ind w:left="360" w:hanging="1080"/>
      </w:pPr>
      <w:r w:rsidRPr="002F4AD5">
        <w:t>(3)</w:t>
      </w:r>
      <w:r w:rsidRPr="002F4AD5">
        <w:tab/>
      </w:r>
      <w:proofErr w:type="spellStart"/>
      <w:r w:rsidRPr="002F4AD5">
        <w:t>WCI</w:t>
      </w:r>
      <w:proofErr w:type="spellEnd"/>
      <w:r w:rsidRPr="002F4AD5">
        <w:t xml:space="preserve"> is authorized and required to make a compliance filing including such new and revised tariff sheets as are necessary to implement the requirements of this Order.</w:t>
      </w:r>
    </w:p>
    <w:p w14:paraId="15C0449D" w14:textId="77777777" w:rsidR="00A51503" w:rsidRPr="002F4AD5" w:rsidRDefault="00A51503" w:rsidP="00911029">
      <w:pPr>
        <w:pStyle w:val="ListParagraph"/>
        <w:spacing w:line="264" w:lineRule="auto"/>
      </w:pPr>
    </w:p>
    <w:p w14:paraId="0C14F675" w14:textId="77777777" w:rsidR="00A51503" w:rsidRPr="002F4AD5" w:rsidRDefault="00A51503" w:rsidP="00911029">
      <w:pPr>
        <w:numPr>
          <w:ilvl w:val="0"/>
          <w:numId w:val="2"/>
        </w:numPr>
        <w:spacing w:line="264" w:lineRule="auto"/>
        <w:ind w:left="360" w:hanging="1080"/>
      </w:pPr>
      <w:r w:rsidRPr="002F4AD5">
        <w:t>(4)</w:t>
      </w:r>
      <w:r w:rsidRPr="002F4AD5">
        <w:tab/>
        <w:t>The Commission Secretary is authorized to accept by letter, with copies to all parties to this proceeding, a filing that complies with the requirements of this Order</w:t>
      </w:r>
      <w:r w:rsidR="00541258" w:rsidRPr="002F4AD5">
        <w:t>.</w:t>
      </w:r>
    </w:p>
    <w:p w14:paraId="1B3F9B8E" w14:textId="77777777" w:rsidR="00541258" w:rsidRPr="002F4AD5" w:rsidRDefault="00541258" w:rsidP="00911029">
      <w:pPr>
        <w:pStyle w:val="ListParagraph"/>
        <w:spacing w:line="264" w:lineRule="auto"/>
      </w:pPr>
    </w:p>
    <w:p w14:paraId="723F6123" w14:textId="77777777" w:rsidR="00541258" w:rsidRPr="002F4AD5" w:rsidRDefault="00541258" w:rsidP="00911029">
      <w:pPr>
        <w:numPr>
          <w:ilvl w:val="0"/>
          <w:numId w:val="2"/>
        </w:numPr>
        <w:spacing w:line="264" w:lineRule="auto"/>
        <w:ind w:left="360" w:hanging="1080"/>
      </w:pPr>
      <w:r w:rsidRPr="002F4AD5">
        <w:t>(5)</w:t>
      </w:r>
      <w:r w:rsidRPr="002F4AD5">
        <w:tab/>
        <w:t>The Commission shall render a bill in the amount of $</w:t>
      </w:r>
      <w:r w:rsidR="00DF6FC0">
        <w:t>21,909.41</w:t>
      </w:r>
      <w:r w:rsidRPr="002F4AD5">
        <w:t xml:space="preserve"> to </w:t>
      </w:r>
      <w:proofErr w:type="spellStart"/>
      <w:r w:rsidRPr="002F4AD5">
        <w:t>WCI</w:t>
      </w:r>
      <w:proofErr w:type="spellEnd"/>
      <w:r w:rsidRPr="002F4AD5">
        <w:t xml:space="preserve"> pursuant to the requirements in </w:t>
      </w:r>
      <w:proofErr w:type="spellStart"/>
      <w:r w:rsidRPr="002F4AD5">
        <w:t>RCW</w:t>
      </w:r>
      <w:proofErr w:type="spellEnd"/>
      <w:r w:rsidRPr="002F4AD5">
        <w:t xml:space="preserve"> 81.20.020.</w:t>
      </w:r>
    </w:p>
    <w:p w14:paraId="047E71A8" w14:textId="77777777" w:rsidR="00A51503" w:rsidRPr="002F4AD5" w:rsidRDefault="00A51503" w:rsidP="00911029">
      <w:pPr>
        <w:pStyle w:val="ListParagraph"/>
        <w:spacing w:line="264" w:lineRule="auto"/>
      </w:pPr>
    </w:p>
    <w:p w14:paraId="01DAE9EA" w14:textId="77777777" w:rsidR="00A51503" w:rsidRPr="002F4AD5" w:rsidRDefault="00541258" w:rsidP="00911029">
      <w:pPr>
        <w:numPr>
          <w:ilvl w:val="0"/>
          <w:numId w:val="2"/>
        </w:numPr>
        <w:spacing w:line="264" w:lineRule="auto"/>
        <w:ind w:left="360" w:hanging="1080"/>
      </w:pPr>
      <w:r w:rsidRPr="002F4AD5">
        <w:t>(6</w:t>
      </w:r>
      <w:r w:rsidR="00A51503" w:rsidRPr="002F4AD5">
        <w:t>)</w:t>
      </w:r>
      <w:r w:rsidR="00A51503" w:rsidRPr="002F4AD5">
        <w:tab/>
        <w:t>The Commission retains jurisdiction over the subject matters and parties to this proceeding to effectuate the terms of this Order.</w:t>
      </w:r>
    </w:p>
    <w:p w14:paraId="464C6C1B" w14:textId="77777777" w:rsidR="009872CB" w:rsidRPr="002F4AD5" w:rsidRDefault="009872CB" w:rsidP="00911029">
      <w:pPr>
        <w:spacing w:line="264" w:lineRule="auto"/>
      </w:pPr>
    </w:p>
    <w:p w14:paraId="7CDC2731" w14:textId="38A7776A" w:rsidR="004059E6" w:rsidRPr="002F4AD5" w:rsidRDefault="004059E6" w:rsidP="00911029">
      <w:pPr>
        <w:spacing w:line="264" w:lineRule="auto"/>
      </w:pPr>
      <w:r w:rsidRPr="002F4AD5">
        <w:t xml:space="preserve">Dated at Olympia, Washington, and effective </w:t>
      </w:r>
      <w:r w:rsidR="004B3003">
        <w:t>August</w:t>
      </w:r>
      <w:r w:rsidR="00987F29">
        <w:t xml:space="preserve"> </w:t>
      </w:r>
      <w:r w:rsidR="00EA0DED">
        <w:t>6</w:t>
      </w:r>
      <w:bookmarkStart w:id="12" w:name="_GoBack"/>
      <w:bookmarkEnd w:id="12"/>
      <w:r w:rsidR="009872CB" w:rsidRPr="002F4AD5">
        <w:t>, 2015</w:t>
      </w:r>
      <w:r w:rsidRPr="002F4AD5">
        <w:t>.</w:t>
      </w:r>
    </w:p>
    <w:p w14:paraId="24D87C69" w14:textId="77777777" w:rsidR="004059E6" w:rsidRPr="002F4AD5" w:rsidRDefault="004059E6" w:rsidP="00911029">
      <w:pPr>
        <w:pStyle w:val="Header"/>
        <w:tabs>
          <w:tab w:val="clear" w:pos="4320"/>
          <w:tab w:val="clear" w:pos="8640"/>
        </w:tabs>
        <w:spacing w:line="264" w:lineRule="auto"/>
      </w:pPr>
    </w:p>
    <w:p w14:paraId="20299A7E" w14:textId="77777777" w:rsidR="004059E6" w:rsidRPr="002F4AD5" w:rsidRDefault="004059E6" w:rsidP="00911029">
      <w:pPr>
        <w:spacing w:line="264" w:lineRule="auto"/>
        <w:jc w:val="center"/>
      </w:pPr>
      <w:r w:rsidRPr="002F4AD5">
        <w:t>WASHINGTON UTILITIES AND TRANSPORTATION COMMISSION</w:t>
      </w:r>
    </w:p>
    <w:p w14:paraId="77189F26" w14:textId="77777777" w:rsidR="004059E6" w:rsidRPr="002F4AD5" w:rsidRDefault="004059E6" w:rsidP="00911029">
      <w:pPr>
        <w:spacing w:line="264" w:lineRule="auto"/>
      </w:pPr>
    </w:p>
    <w:p w14:paraId="069E6AAC" w14:textId="77777777" w:rsidR="00ED5032" w:rsidRPr="002F4AD5" w:rsidRDefault="00ED5032" w:rsidP="00911029">
      <w:pPr>
        <w:spacing w:line="264" w:lineRule="auto"/>
      </w:pPr>
    </w:p>
    <w:p w14:paraId="066EF153" w14:textId="77777777" w:rsidR="00ED5032" w:rsidRPr="002F4AD5" w:rsidRDefault="00ED5032" w:rsidP="00911029">
      <w:pPr>
        <w:spacing w:line="264" w:lineRule="auto"/>
      </w:pPr>
    </w:p>
    <w:p w14:paraId="692CB067" w14:textId="77777777" w:rsidR="00ED5032" w:rsidRPr="002F4AD5" w:rsidRDefault="00ED5032" w:rsidP="00911029">
      <w:pPr>
        <w:spacing w:line="264" w:lineRule="auto"/>
      </w:pPr>
      <w:r w:rsidRPr="002F4AD5">
        <w:tab/>
      </w:r>
      <w:r w:rsidRPr="002F4AD5">
        <w:tab/>
      </w:r>
      <w:r w:rsidRPr="002F4AD5">
        <w:tab/>
      </w:r>
      <w:r w:rsidRPr="002F4AD5">
        <w:tab/>
      </w:r>
      <w:r w:rsidRPr="002F4AD5">
        <w:tab/>
        <w:t>DAVID W. DANNER, Chairman</w:t>
      </w:r>
    </w:p>
    <w:p w14:paraId="7278428C" w14:textId="77777777" w:rsidR="00ED5032" w:rsidRPr="002F4AD5" w:rsidRDefault="00ED5032" w:rsidP="00911029">
      <w:pPr>
        <w:spacing w:line="264" w:lineRule="auto"/>
      </w:pPr>
    </w:p>
    <w:p w14:paraId="0A9DDA9E" w14:textId="77777777" w:rsidR="00ED5032" w:rsidRPr="002F4AD5" w:rsidRDefault="00ED5032" w:rsidP="00911029">
      <w:pPr>
        <w:spacing w:line="264" w:lineRule="auto"/>
      </w:pPr>
    </w:p>
    <w:p w14:paraId="64D88649" w14:textId="77777777" w:rsidR="00CD4DFF" w:rsidRPr="002F4AD5" w:rsidRDefault="00CD4DFF" w:rsidP="00911029">
      <w:pPr>
        <w:spacing w:line="264" w:lineRule="auto"/>
      </w:pPr>
    </w:p>
    <w:p w14:paraId="61A482C6" w14:textId="77777777" w:rsidR="00ED5032" w:rsidRPr="002F4AD5" w:rsidRDefault="00ED5032" w:rsidP="00911029">
      <w:pPr>
        <w:spacing w:line="264" w:lineRule="auto"/>
      </w:pPr>
      <w:r w:rsidRPr="002F4AD5">
        <w:tab/>
      </w:r>
      <w:r w:rsidRPr="002F4AD5">
        <w:tab/>
      </w:r>
      <w:r w:rsidRPr="002F4AD5">
        <w:tab/>
      </w:r>
      <w:r w:rsidRPr="002F4AD5">
        <w:tab/>
      </w:r>
      <w:r w:rsidRPr="002F4AD5">
        <w:tab/>
        <w:t xml:space="preserve">PHILIP </w:t>
      </w:r>
      <w:r w:rsidR="00CD4DFF" w:rsidRPr="002F4AD5">
        <w:t xml:space="preserve">B. </w:t>
      </w:r>
      <w:r w:rsidRPr="002F4AD5">
        <w:t>JONES, Commissioner</w:t>
      </w:r>
    </w:p>
    <w:p w14:paraId="7F39C11D" w14:textId="77777777" w:rsidR="00ED5032" w:rsidRPr="002F4AD5" w:rsidRDefault="00ED5032" w:rsidP="00911029">
      <w:pPr>
        <w:spacing w:line="264" w:lineRule="auto"/>
      </w:pPr>
    </w:p>
    <w:p w14:paraId="65B277E9" w14:textId="77777777" w:rsidR="00CD4DFF" w:rsidRPr="002F4AD5" w:rsidRDefault="00CD4DFF" w:rsidP="00911029">
      <w:pPr>
        <w:spacing w:line="264" w:lineRule="auto"/>
      </w:pPr>
    </w:p>
    <w:p w14:paraId="0AAF0196" w14:textId="77777777" w:rsidR="00CD4DFF" w:rsidRPr="002F4AD5" w:rsidRDefault="00CD4DFF" w:rsidP="00911029">
      <w:pPr>
        <w:spacing w:line="264" w:lineRule="auto"/>
      </w:pPr>
    </w:p>
    <w:p w14:paraId="76DC8618" w14:textId="77777777" w:rsidR="00ED5032" w:rsidRPr="002F4AD5" w:rsidRDefault="00ED5032" w:rsidP="00911029">
      <w:pPr>
        <w:spacing w:line="264" w:lineRule="auto"/>
      </w:pPr>
      <w:r w:rsidRPr="002F4AD5">
        <w:tab/>
      </w:r>
      <w:r w:rsidRPr="002F4AD5">
        <w:tab/>
      </w:r>
      <w:r w:rsidRPr="002F4AD5">
        <w:tab/>
      </w:r>
      <w:r w:rsidRPr="002F4AD5">
        <w:tab/>
      </w:r>
      <w:r w:rsidRPr="002F4AD5">
        <w:tab/>
        <w:t>ANN E. RENDAHL, Commissioner</w:t>
      </w:r>
    </w:p>
    <w:p w14:paraId="0511462D" w14:textId="77777777" w:rsidR="00774380" w:rsidRDefault="00774380" w:rsidP="00911029">
      <w:pPr>
        <w:spacing w:line="264" w:lineRule="auto"/>
      </w:pPr>
      <w:r>
        <w:br w:type="page"/>
      </w:r>
    </w:p>
    <w:p w14:paraId="02BDDEC7" w14:textId="77777777" w:rsidR="00ED5032" w:rsidRPr="002F4AD5" w:rsidRDefault="00ED5032" w:rsidP="00911029">
      <w:pPr>
        <w:spacing w:line="264" w:lineRule="auto"/>
      </w:pPr>
    </w:p>
    <w:p w14:paraId="49183522" w14:textId="77777777" w:rsidR="00ED5032" w:rsidRPr="002F4AD5" w:rsidRDefault="005573B4" w:rsidP="00911029">
      <w:pPr>
        <w:spacing w:line="264" w:lineRule="auto"/>
      </w:pPr>
      <w:r>
        <w:rPr>
          <w:b/>
        </w:rPr>
        <w:t xml:space="preserve">NOTICE TO PARTIES: </w:t>
      </w:r>
      <w:r w:rsidR="00ED5032" w:rsidRPr="002F4AD5">
        <w:rPr>
          <w:b/>
        </w:rPr>
        <w:t>This is a Commission Final Or</w:t>
      </w:r>
      <w:r>
        <w:rPr>
          <w:b/>
        </w:rPr>
        <w:t>der.</w:t>
      </w:r>
      <w:r w:rsidR="00ED5032" w:rsidRPr="002F4AD5">
        <w:rPr>
          <w:b/>
        </w:rPr>
        <w:t xml:space="preserve"> In addition to judicial review, administrative relief may be available through a petition for reconsideration, filed within 10 days of the service of this order pursuant to </w:t>
      </w:r>
      <w:proofErr w:type="spellStart"/>
      <w:r w:rsidR="00ED5032" w:rsidRPr="002F4AD5">
        <w:rPr>
          <w:b/>
        </w:rPr>
        <w:t>RCW</w:t>
      </w:r>
      <w:proofErr w:type="spellEnd"/>
      <w:r w:rsidR="00ED5032" w:rsidRPr="002F4AD5">
        <w:rPr>
          <w:b/>
        </w:rPr>
        <w:t xml:space="preserve"> 34.05.470 and WAC 480-07-850, or a petition for rehearing pursuant to </w:t>
      </w:r>
      <w:proofErr w:type="spellStart"/>
      <w:r w:rsidR="00ED5032" w:rsidRPr="002F4AD5">
        <w:rPr>
          <w:b/>
        </w:rPr>
        <w:t>RCW</w:t>
      </w:r>
      <w:proofErr w:type="spellEnd"/>
      <w:r w:rsidR="00ED5032" w:rsidRPr="002F4AD5">
        <w:rPr>
          <w:b/>
        </w:rPr>
        <w:t xml:space="preserve"> 80.04.200 and WAC 480-07-870.</w:t>
      </w:r>
    </w:p>
    <w:p w14:paraId="40BB4613" w14:textId="77777777" w:rsidR="00024CD1" w:rsidRPr="002F4AD5" w:rsidRDefault="00024CD1" w:rsidP="00911029">
      <w:pPr>
        <w:spacing w:line="264" w:lineRule="auto"/>
      </w:pPr>
    </w:p>
    <w:p w14:paraId="6B7C26E2" w14:textId="77777777" w:rsidR="00B1424E" w:rsidRPr="002F4AD5" w:rsidRDefault="00B1424E" w:rsidP="00911029">
      <w:pPr>
        <w:spacing w:line="264" w:lineRule="auto"/>
      </w:pPr>
      <w:r w:rsidRPr="002F4AD5">
        <w:br w:type="page"/>
      </w:r>
    </w:p>
    <w:p w14:paraId="14ECA018" w14:textId="77777777" w:rsidR="009872CB" w:rsidRPr="002F4AD5" w:rsidRDefault="009872CB" w:rsidP="00911029">
      <w:pPr>
        <w:spacing w:line="264" w:lineRule="auto"/>
      </w:pPr>
    </w:p>
    <w:p w14:paraId="54C67316" w14:textId="77777777" w:rsidR="00B1424E" w:rsidRPr="002F4AD5" w:rsidRDefault="00B1424E" w:rsidP="00911029">
      <w:pPr>
        <w:spacing w:line="264" w:lineRule="auto"/>
      </w:pPr>
    </w:p>
    <w:p w14:paraId="5C39FFF0" w14:textId="77777777" w:rsidR="00B1424E" w:rsidRPr="002F4AD5" w:rsidRDefault="00B1424E" w:rsidP="00911029">
      <w:pPr>
        <w:spacing w:line="264" w:lineRule="auto"/>
      </w:pPr>
    </w:p>
    <w:p w14:paraId="381C7813" w14:textId="77777777" w:rsidR="00B1424E" w:rsidRPr="002F4AD5" w:rsidRDefault="00B1424E" w:rsidP="00911029">
      <w:pPr>
        <w:spacing w:line="264" w:lineRule="auto"/>
      </w:pPr>
    </w:p>
    <w:p w14:paraId="37373B3B" w14:textId="77777777" w:rsidR="00B1424E" w:rsidRPr="002F4AD5" w:rsidRDefault="00B1424E" w:rsidP="00911029">
      <w:pPr>
        <w:spacing w:line="264" w:lineRule="auto"/>
      </w:pPr>
    </w:p>
    <w:p w14:paraId="5CE82777" w14:textId="77777777" w:rsidR="00B1424E" w:rsidRPr="002F4AD5" w:rsidRDefault="00B1424E" w:rsidP="00911029">
      <w:pPr>
        <w:spacing w:line="264" w:lineRule="auto"/>
      </w:pPr>
    </w:p>
    <w:p w14:paraId="513EE2AF" w14:textId="77777777" w:rsidR="00B1424E" w:rsidRPr="002F4AD5" w:rsidRDefault="00B1424E" w:rsidP="00911029">
      <w:pPr>
        <w:spacing w:line="264" w:lineRule="auto"/>
      </w:pPr>
    </w:p>
    <w:p w14:paraId="748B4756" w14:textId="77777777" w:rsidR="00B1424E" w:rsidRPr="002F4AD5" w:rsidRDefault="00B1424E" w:rsidP="00911029">
      <w:pPr>
        <w:spacing w:line="264" w:lineRule="auto"/>
      </w:pPr>
    </w:p>
    <w:p w14:paraId="1E3CA06F" w14:textId="77777777" w:rsidR="00B1424E" w:rsidRPr="002F4AD5" w:rsidRDefault="00B1424E" w:rsidP="00911029">
      <w:pPr>
        <w:spacing w:line="264" w:lineRule="auto"/>
      </w:pPr>
    </w:p>
    <w:p w14:paraId="16E39546" w14:textId="77777777" w:rsidR="00B1424E" w:rsidRPr="002F4AD5" w:rsidRDefault="00B1424E" w:rsidP="00911029">
      <w:pPr>
        <w:spacing w:line="264" w:lineRule="auto"/>
      </w:pPr>
    </w:p>
    <w:p w14:paraId="33E254D4" w14:textId="77777777" w:rsidR="00B1424E" w:rsidRPr="002F4AD5" w:rsidRDefault="00B1424E" w:rsidP="00911029">
      <w:pPr>
        <w:spacing w:line="264" w:lineRule="auto"/>
      </w:pPr>
    </w:p>
    <w:p w14:paraId="0CDD1DEA" w14:textId="77777777" w:rsidR="00B1424E" w:rsidRPr="00E829E4" w:rsidRDefault="00B1424E" w:rsidP="00911029">
      <w:pPr>
        <w:spacing w:line="264" w:lineRule="auto"/>
        <w:jc w:val="center"/>
        <w:rPr>
          <w:b/>
        </w:rPr>
      </w:pPr>
      <w:r w:rsidRPr="00E829E4">
        <w:rPr>
          <w:b/>
        </w:rPr>
        <w:t>Appendix A</w:t>
      </w:r>
    </w:p>
    <w:p w14:paraId="19D145C5" w14:textId="77777777" w:rsidR="00452317" w:rsidRPr="00E829E4" w:rsidRDefault="00B1424E" w:rsidP="00911029">
      <w:pPr>
        <w:spacing w:line="264" w:lineRule="auto"/>
        <w:jc w:val="center"/>
        <w:rPr>
          <w:b/>
        </w:rPr>
      </w:pPr>
      <w:r w:rsidRPr="00E829E4">
        <w:rPr>
          <w:b/>
        </w:rPr>
        <w:t>(Partial Settlement Agreement)</w:t>
      </w:r>
    </w:p>
    <w:p w14:paraId="0C6E4D0B" w14:textId="77777777" w:rsidR="00B1424E" w:rsidRPr="002F4AD5" w:rsidRDefault="00B1424E" w:rsidP="00911029">
      <w:pPr>
        <w:spacing w:line="264" w:lineRule="auto"/>
      </w:pPr>
    </w:p>
    <w:sectPr w:rsidR="00B1424E" w:rsidRPr="002F4AD5" w:rsidSect="0018056D">
      <w:headerReference w:type="default" r:id="rId11"/>
      <w:headerReference w:type="first" r:id="rId12"/>
      <w:type w:val="continuous"/>
      <w:pgSz w:w="12240" w:h="15840"/>
      <w:pgMar w:top="1440" w:right="1530" w:bottom="1440" w:left="2160" w:header="1440" w:footer="720" w:gutter="0"/>
      <w:pgNumType w:start="1"/>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DDE68" w14:textId="77777777" w:rsidR="005676FC" w:rsidRDefault="005676FC">
      <w:r>
        <w:separator/>
      </w:r>
    </w:p>
  </w:endnote>
  <w:endnote w:type="continuationSeparator" w:id="0">
    <w:p w14:paraId="7E19A2A0" w14:textId="77777777" w:rsidR="005676FC" w:rsidRDefault="0056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540003" w:usb1="006D0069" w:usb2="00730065" w:usb3="004E0020" w:csb0="00770065" w:csb1="0052002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6AC62" w14:textId="77777777" w:rsidR="005676FC" w:rsidRDefault="005676FC">
      <w:r>
        <w:separator/>
      </w:r>
    </w:p>
  </w:footnote>
  <w:footnote w:type="continuationSeparator" w:id="0">
    <w:p w14:paraId="43FD8BB9" w14:textId="77777777" w:rsidR="005676FC" w:rsidRDefault="005676FC">
      <w:r>
        <w:continuationSeparator/>
      </w:r>
    </w:p>
  </w:footnote>
  <w:footnote w:id="1">
    <w:p w14:paraId="43878179"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proofErr w:type="spellStart"/>
      <w:r w:rsidRPr="002F4AD5">
        <w:rPr>
          <w:i/>
          <w:szCs w:val="22"/>
        </w:rPr>
        <w:t>WUTC</w:t>
      </w:r>
      <w:proofErr w:type="spellEnd"/>
      <w:r w:rsidRPr="002F4AD5">
        <w:rPr>
          <w:i/>
          <w:szCs w:val="22"/>
        </w:rPr>
        <w:t xml:space="preserve"> v. Waste Control, Inc.</w:t>
      </w:r>
      <w:r w:rsidRPr="002F4AD5">
        <w:rPr>
          <w:szCs w:val="22"/>
        </w:rPr>
        <w:t>,</w:t>
      </w:r>
      <w:r w:rsidRPr="003E4D25">
        <w:rPr>
          <w:szCs w:val="22"/>
        </w:rPr>
        <w:t xml:space="preserve"> Docket TG-131794</w:t>
      </w:r>
      <w:r>
        <w:rPr>
          <w:szCs w:val="22"/>
        </w:rPr>
        <w:t>,</w:t>
      </w:r>
      <w:r w:rsidRPr="003E4D25">
        <w:rPr>
          <w:szCs w:val="22"/>
        </w:rPr>
        <w:t xml:space="preserve"> </w:t>
      </w:r>
      <w:r w:rsidRPr="002F4AD5">
        <w:rPr>
          <w:szCs w:val="22"/>
        </w:rPr>
        <w:t>Order 01 (November 27, 2013).</w:t>
      </w:r>
    </w:p>
  </w:footnote>
  <w:footnote w:id="2">
    <w:p w14:paraId="407EE802"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r w:rsidRPr="004B62B9">
        <w:rPr>
          <w:i/>
          <w:szCs w:val="22"/>
        </w:rPr>
        <w:t>Id.</w:t>
      </w:r>
      <w:r>
        <w:rPr>
          <w:szCs w:val="22"/>
        </w:rPr>
        <w:t xml:space="preserve"> </w:t>
      </w:r>
      <w:r w:rsidRPr="002F4AD5">
        <w:rPr>
          <w:szCs w:val="22"/>
        </w:rPr>
        <w:t xml:space="preserve">Order </w:t>
      </w:r>
      <w:r w:rsidRPr="00597492">
        <w:rPr>
          <w:szCs w:val="22"/>
        </w:rPr>
        <w:t>03</w:t>
      </w:r>
      <w:r w:rsidRPr="002F4AD5">
        <w:rPr>
          <w:szCs w:val="22"/>
        </w:rPr>
        <w:t>, Order Approving Temporary Special Fuel Surcharge on Less Than Statut</w:t>
      </w:r>
      <w:r>
        <w:rPr>
          <w:szCs w:val="22"/>
        </w:rPr>
        <w:t xml:space="preserve">ory Notice (January 24, 2014). </w:t>
      </w:r>
      <w:r w:rsidRPr="002F4AD5">
        <w:rPr>
          <w:szCs w:val="22"/>
        </w:rPr>
        <w:t>The Commission has approved numerous extensions of this temporary fuel surcharge in Docket TG-140560, as well.</w:t>
      </w:r>
    </w:p>
  </w:footnote>
  <w:footnote w:id="3">
    <w:p w14:paraId="5F976187"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Staff Motion ¶ 7.</w:t>
      </w:r>
    </w:p>
  </w:footnote>
  <w:footnote w:id="4">
    <w:p w14:paraId="4D8558DA"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Order 05, Initial Order Granting Motion to Dismiss and Rejecting Tariff Filing ¶ 20 (March 25, 2014).</w:t>
      </w:r>
    </w:p>
  </w:footnote>
  <w:footnote w:id="5">
    <w:p w14:paraId="0FAE70C0" w14:textId="77777777" w:rsidR="005676FC" w:rsidRPr="000F1F8A" w:rsidRDefault="005676FC">
      <w:pPr>
        <w:pStyle w:val="FootnoteText"/>
        <w:rPr>
          <w:szCs w:val="22"/>
        </w:rPr>
      </w:pPr>
      <w:r w:rsidRPr="000F1F8A">
        <w:rPr>
          <w:rStyle w:val="FootnoteReference"/>
          <w:szCs w:val="22"/>
        </w:rPr>
        <w:footnoteRef/>
      </w:r>
      <w:r w:rsidRPr="000F1F8A">
        <w:rPr>
          <w:szCs w:val="22"/>
        </w:rPr>
        <w:t xml:space="preserve"> In this Order, we refer to Docket TG-131794 as the “precursor” case or docket to Docket TG-140560. It remains relevant here because it forms the basis of the filing in this docket, certain testimony and exhibits were brought forward based on work product filed or submitted in the earlier docket, and Staff conducted </w:t>
      </w:r>
      <w:r>
        <w:rPr>
          <w:szCs w:val="22"/>
        </w:rPr>
        <w:t xml:space="preserve">a </w:t>
      </w:r>
      <w:r w:rsidRPr="000F1F8A">
        <w:rPr>
          <w:szCs w:val="22"/>
        </w:rPr>
        <w:t>significant preliminary investigation during the pendency of Docket TG-131794</w:t>
      </w:r>
      <w:r>
        <w:rPr>
          <w:szCs w:val="22"/>
        </w:rPr>
        <w:t xml:space="preserve"> that informs the record in this proceeding</w:t>
      </w:r>
      <w:r w:rsidRPr="000F1F8A">
        <w:rPr>
          <w:szCs w:val="22"/>
        </w:rPr>
        <w:t>.</w:t>
      </w:r>
    </w:p>
  </w:footnote>
  <w:footnote w:id="6">
    <w:p w14:paraId="32282927" w14:textId="77777777" w:rsidR="005676FC" w:rsidRDefault="005676FC">
      <w:pPr>
        <w:pStyle w:val="FootnoteText"/>
      </w:pPr>
      <w:r>
        <w:rPr>
          <w:rStyle w:val="FootnoteReference"/>
        </w:rPr>
        <w:footnoteRef/>
      </w:r>
      <w:r>
        <w:t xml:space="preserve"> We find it noteworthy that the Company’s request for increased revenue in this docket is 36 percent higher than its request in the precursor docket, which was filed only seven months earlier. Ms. Davis’ testimony includes some discussion of the increased revenue requirement, tying it principally to “capital structure adjustments.”</w:t>
      </w:r>
      <w:r w:rsidRPr="001F2D92">
        <w:rPr>
          <w:i/>
        </w:rPr>
        <w:t xml:space="preserve"> See</w:t>
      </w:r>
      <w:r>
        <w:t xml:space="preserve"> Davis, </w:t>
      </w:r>
      <w:proofErr w:type="spellStart"/>
      <w:r>
        <w:t>Exh</w:t>
      </w:r>
      <w:proofErr w:type="spellEnd"/>
      <w:r>
        <w:t xml:space="preserve">. No. JD-1T at 6:15-7:24. In addition, she discusses increased rate case expense and other adjustments that account for the increase in her supplemental testimony. </w:t>
      </w:r>
      <w:r w:rsidRPr="006B1641">
        <w:rPr>
          <w:i/>
        </w:rPr>
        <w:t xml:space="preserve">See </w:t>
      </w:r>
      <w:r>
        <w:t xml:space="preserve">Davis, </w:t>
      </w:r>
      <w:proofErr w:type="spellStart"/>
      <w:r>
        <w:t>Exh</w:t>
      </w:r>
      <w:proofErr w:type="spellEnd"/>
      <w:r>
        <w:t>. No. JD-12T at 2:4-7.</w:t>
      </w:r>
    </w:p>
  </w:footnote>
  <w:footnote w:id="7">
    <w:p w14:paraId="49BF87DF"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proofErr w:type="spellStart"/>
      <w:r w:rsidRPr="002F4AD5">
        <w:rPr>
          <w:i/>
          <w:szCs w:val="22"/>
        </w:rPr>
        <w:t>WUTC</w:t>
      </w:r>
      <w:proofErr w:type="spellEnd"/>
      <w:r w:rsidRPr="002F4AD5">
        <w:rPr>
          <w:i/>
          <w:szCs w:val="22"/>
        </w:rPr>
        <w:t xml:space="preserve"> v. Waste Control, Inc.</w:t>
      </w:r>
      <w:r w:rsidRPr="002F4AD5">
        <w:rPr>
          <w:szCs w:val="22"/>
        </w:rPr>
        <w:t xml:space="preserve">, </w:t>
      </w:r>
      <w:r>
        <w:rPr>
          <w:szCs w:val="22"/>
        </w:rPr>
        <w:t xml:space="preserve">Docket TG-140560, </w:t>
      </w:r>
      <w:r w:rsidRPr="002F4AD5">
        <w:rPr>
          <w:szCs w:val="22"/>
        </w:rPr>
        <w:t>Order 01 ¶ 3 (April 10, 2014).</w:t>
      </w:r>
    </w:p>
  </w:footnote>
  <w:footnote w:id="8">
    <w:p w14:paraId="53CC5385"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The Partial </w:t>
      </w:r>
      <w:r>
        <w:rPr>
          <w:szCs w:val="22"/>
        </w:rPr>
        <w:t xml:space="preserve">Settlement </w:t>
      </w:r>
      <w:r w:rsidRPr="002F4AD5">
        <w:rPr>
          <w:szCs w:val="22"/>
        </w:rPr>
        <w:t>Agreement, filed on October 14, 2014, and attached as Appendix A to this Order, resolves 11 contested issues, including:</w:t>
      </w:r>
    </w:p>
    <w:p w14:paraId="60AD0987" w14:textId="77777777" w:rsidR="005676FC" w:rsidRPr="002F4AD5" w:rsidRDefault="005676FC" w:rsidP="002F4AD5">
      <w:pPr>
        <w:pStyle w:val="FootnoteText"/>
        <w:numPr>
          <w:ilvl w:val="0"/>
          <w:numId w:val="12"/>
        </w:numPr>
        <w:spacing w:before="120"/>
        <w:rPr>
          <w:szCs w:val="22"/>
        </w:rPr>
      </w:pPr>
      <w:r w:rsidRPr="002F4AD5">
        <w:rPr>
          <w:szCs w:val="22"/>
        </w:rPr>
        <w:t xml:space="preserve">Asset Useful Lives Reflect </w:t>
      </w:r>
      <w:proofErr w:type="spellStart"/>
      <w:r w:rsidRPr="002F4AD5">
        <w:rPr>
          <w:szCs w:val="22"/>
        </w:rPr>
        <w:t>USOA</w:t>
      </w:r>
      <w:proofErr w:type="spellEnd"/>
      <w:r w:rsidRPr="002F4AD5">
        <w:rPr>
          <w:szCs w:val="22"/>
        </w:rPr>
        <w:t>/Depreciation Expense, Adjustment R-1A</w:t>
      </w:r>
      <w:r>
        <w:rPr>
          <w:szCs w:val="22"/>
        </w:rPr>
        <w:t>.</w:t>
      </w:r>
    </w:p>
    <w:p w14:paraId="695375AE" w14:textId="77777777" w:rsidR="005676FC" w:rsidRPr="002F4AD5" w:rsidRDefault="005676FC" w:rsidP="002F4AD5">
      <w:pPr>
        <w:pStyle w:val="FootnoteText"/>
        <w:numPr>
          <w:ilvl w:val="0"/>
          <w:numId w:val="12"/>
        </w:numPr>
        <w:spacing w:before="120"/>
        <w:rPr>
          <w:szCs w:val="22"/>
        </w:rPr>
      </w:pPr>
      <w:r w:rsidRPr="002F4AD5">
        <w:rPr>
          <w:szCs w:val="22"/>
        </w:rPr>
        <w:t>Property Tax Expense, Adjustment R-6G</w:t>
      </w:r>
      <w:r>
        <w:rPr>
          <w:szCs w:val="22"/>
        </w:rPr>
        <w:t>.</w:t>
      </w:r>
    </w:p>
    <w:p w14:paraId="41D674CB" w14:textId="77777777" w:rsidR="005676FC" w:rsidRPr="002F4AD5" w:rsidRDefault="005676FC" w:rsidP="002F4AD5">
      <w:pPr>
        <w:pStyle w:val="FootnoteText"/>
        <w:numPr>
          <w:ilvl w:val="0"/>
          <w:numId w:val="12"/>
        </w:numPr>
        <w:spacing w:before="120"/>
        <w:rPr>
          <w:szCs w:val="22"/>
        </w:rPr>
      </w:pPr>
      <w:r w:rsidRPr="002F4AD5">
        <w:rPr>
          <w:szCs w:val="22"/>
        </w:rPr>
        <w:t>Spare Trucks Expense, Adjustment R-6H</w:t>
      </w:r>
      <w:r>
        <w:rPr>
          <w:szCs w:val="22"/>
        </w:rPr>
        <w:t>.</w:t>
      </w:r>
    </w:p>
    <w:p w14:paraId="5B4B6EC1" w14:textId="77777777" w:rsidR="005676FC" w:rsidRPr="002F4AD5" w:rsidRDefault="005676FC" w:rsidP="002F4AD5">
      <w:pPr>
        <w:pStyle w:val="FootnoteText"/>
        <w:numPr>
          <w:ilvl w:val="0"/>
          <w:numId w:val="12"/>
        </w:numPr>
        <w:spacing w:before="120"/>
        <w:rPr>
          <w:szCs w:val="22"/>
        </w:rPr>
      </w:pPr>
      <w:r w:rsidRPr="002F4AD5">
        <w:rPr>
          <w:szCs w:val="22"/>
        </w:rPr>
        <w:t xml:space="preserve">Capital Structure in </w:t>
      </w:r>
      <w:proofErr w:type="spellStart"/>
      <w:r w:rsidRPr="002F4AD5">
        <w:rPr>
          <w:szCs w:val="22"/>
        </w:rPr>
        <w:t>Lurito</w:t>
      </w:r>
      <w:proofErr w:type="spellEnd"/>
      <w:r w:rsidRPr="002F4AD5">
        <w:rPr>
          <w:szCs w:val="22"/>
        </w:rPr>
        <w:t>-Gallagher, Adjustment R-8</w:t>
      </w:r>
      <w:r>
        <w:rPr>
          <w:szCs w:val="22"/>
        </w:rPr>
        <w:t>.</w:t>
      </w:r>
    </w:p>
    <w:p w14:paraId="77E4C83D" w14:textId="77777777" w:rsidR="005676FC" w:rsidRPr="002F4AD5" w:rsidRDefault="005676FC" w:rsidP="002F4AD5">
      <w:pPr>
        <w:pStyle w:val="FootnoteText"/>
        <w:numPr>
          <w:ilvl w:val="0"/>
          <w:numId w:val="12"/>
        </w:numPr>
        <w:spacing w:before="120"/>
        <w:rPr>
          <w:szCs w:val="22"/>
        </w:rPr>
      </w:pPr>
      <w:r w:rsidRPr="002F4AD5">
        <w:rPr>
          <w:szCs w:val="22"/>
        </w:rPr>
        <w:t xml:space="preserve">Cost of Debt in </w:t>
      </w:r>
      <w:proofErr w:type="spellStart"/>
      <w:r w:rsidRPr="002F4AD5">
        <w:rPr>
          <w:szCs w:val="22"/>
        </w:rPr>
        <w:t>Lurito</w:t>
      </w:r>
      <w:proofErr w:type="spellEnd"/>
      <w:r w:rsidRPr="002F4AD5">
        <w:rPr>
          <w:szCs w:val="22"/>
        </w:rPr>
        <w:t>-Gallagher, Adjustment R-9</w:t>
      </w:r>
      <w:r>
        <w:rPr>
          <w:szCs w:val="22"/>
        </w:rPr>
        <w:t>.</w:t>
      </w:r>
    </w:p>
    <w:p w14:paraId="1EE2BC1B" w14:textId="77777777" w:rsidR="005676FC" w:rsidRPr="002F4AD5" w:rsidRDefault="005676FC" w:rsidP="002F4AD5">
      <w:pPr>
        <w:pStyle w:val="FootnoteText"/>
        <w:numPr>
          <w:ilvl w:val="0"/>
          <w:numId w:val="12"/>
        </w:numPr>
        <w:spacing w:before="120"/>
        <w:rPr>
          <w:szCs w:val="22"/>
        </w:rPr>
      </w:pPr>
      <w:r w:rsidRPr="002F4AD5">
        <w:rPr>
          <w:szCs w:val="22"/>
        </w:rPr>
        <w:t>Allocation of Average Investment to Non-regulated Operations, Adjustment R-10</w:t>
      </w:r>
      <w:r>
        <w:rPr>
          <w:szCs w:val="22"/>
        </w:rPr>
        <w:t>.</w:t>
      </w:r>
    </w:p>
    <w:p w14:paraId="7B5719AB" w14:textId="77777777" w:rsidR="005676FC" w:rsidRPr="002F4AD5" w:rsidRDefault="005676FC" w:rsidP="002F4AD5">
      <w:pPr>
        <w:pStyle w:val="FootnoteText"/>
        <w:numPr>
          <w:ilvl w:val="0"/>
          <w:numId w:val="12"/>
        </w:numPr>
        <w:spacing w:before="120"/>
        <w:rPr>
          <w:szCs w:val="22"/>
        </w:rPr>
      </w:pPr>
      <w:r w:rsidRPr="002F4AD5">
        <w:rPr>
          <w:szCs w:val="22"/>
        </w:rPr>
        <w:t>Labor Expense, Adjustment P-1</w:t>
      </w:r>
      <w:r>
        <w:rPr>
          <w:szCs w:val="22"/>
        </w:rPr>
        <w:t>.</w:t>
      </w:r>
    </w:p>
    <w:p w14:paraId="5780A85C" w14:textId="77777777" w:rsidR="005676FC" w:rsidRPr="002F4AD5" w:rsidRDefault="005676FC" w:rsidP="002F4AD5">
      <w:pPr>
        <w:pStyle w:val="FootnoteText"/>
        <w:numPr>
          <w:ilvl w:val="0"/>
          <w:numId w:val="12"/>
        </w:numPr>
        <w:spacing w:before="120"/>
        <w:rPr>
          <w:szCs w:val="22"/>
        </w:rPr>
      </w:pPr>
      <w:r w:rsidRPr="002F4AD5">
        <w:rPr>
          <w:szCs w:val="22"/>
        </w:rPr>
        <w:t>Fringe Benefit Expense, Adjustment P-1A</w:t>
      </w:r>
      <w:r>
        <w:rPr>
          <w:szCs w:val="22"/>
        </w:rPr>
        <w:t>.</w:t>
      </w:r>
    </w:p>
    <w:p w14:paraId="7DC7B958" w14:textId="77777777" w:rsidR="005676FC" w:rsidRPr="002F4AD5" w:rsidRDefault="005676FC" w:rsidP="002F4AD5">
      <w:pPr>
        <w:pStyle w:val="FootnoteText"/>
        <w:numPr>
          <w:ilvl w:val="0"/>
          <w:numId w:val="12"/>
        </w:numPr>
        <w:spacing w:before="120"/>
        <w:rPr>
          <w:szCs w:val="22"/>
        </w:rPr>
      </w:pPr>
      <w:r w:rsidRPr="002F4AD5">
        <w:rPr>
          <w:szCs w:val="22"/>
        </w:rPr>
        <w:t>Fuel Expense, Adjustment P-4</w:t>
      </w:r>
      <w:r>
        <w:rPr>
          <w:szCs w:val="22"/>
        </w:rPr>
        <w:t>.</w:t>
      </w:r>
    </w:p>
    <w:p w14:paraId="721E62B2" w14:textId="77777777" w:rsidR="005676FC" w:rsidRPr="002F4AD5" w:rsidRDefault="005676FC" w:rsidP="002F4AD5">
      <w:pPr>
        <w:pStyle w:val="FootnoteText"/>
        <w:numPr>
          <w:ilvl w:val="0"/>
          <w:numId w:val="12"/>
        </w:numPr>
        <w:spacing w:before="120"/>
        <w:rPr>
          <w:szCs w:val="22"/>
        </w:rPr>
      </w:pPr>
      <w:r w:rsidRPr="002F4AD5">
        <w:rPr>
          <w:szCs w:val="22"/>
        </w:rPr>
        <w:t>Residential and Commercial Disposal Expense, Adjustments RC-1A and P-5A</w:t>
      </w:r>
      <w:r>
        <w:rPr>
          <w:szCs w:val="22"/>
        </w:rPr>
        <w:t>.</w:t>
      </w:r>
    </w:p>
    <w:p w14:paraId="12BD3F14" w14:textId="77777777" w:rsidR="005676FC" w:rsidRPr="00655EE2" w:rsidRDefault="005676FC" w:rsidP="005627F8">
      <w:pPr>
        <w:pStyle w:val="FootnoteText"/>
        <w:numPr>
          <w:ilvl w:val="0"/>
          <w:numId w:val="12"/>
        </w:numPr>
        <w:spacing w:before="120"/>
        <w:rPr>
          <w:szCs w:val="22"/>
        </w:rPr>
      </w:pPr>
      <w:r w:rsidRPr="00655EE2">
        <w:rPr>
          <w:szCs w:val="22"/>
        </w:rPr>
        <w:t>Remove Non-regulated City of Kalama Operations, Adjustment RC-1.</w:t>
      </w:r>
    </w:p>
  </w:footnote>
  <w:footnote w:id="9">
    <w:p w14:paraId="012991D9"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w:t>
      </w:r>
      <w:proofErr w:type="spellStart"/>
      <w:r w:rsidRPr="002F4AD5">
        <w:rPr>
          <w:iCs/>
          <w:szCs w:val="22"/>
        </w:rPr>
        <w:t>RCW</w:t>
      </w:r>
      <w:proofErr w:type="spellEnd"/>
      <w:r w:rsidRPr="002F4AD5">
        <w:rPr>
          <w:iCs/>
          <w:szCs w:val="22"/>
        </w:rPr>
        <w:t xml:space="preserve"> 34.05.455; </w:t>
      </w:r>
      <w:r w:rsidRPr="002F4AD5">
        <w:rPr>
          <w:i/>
          <w:iCs/>
          <w:szCs w:val="22"/>
        </w:rPr>
        <w:t>see also</w:t>
      </w:r>
      <w:r w:rsidRPr="002F4AD5">
        <w:rPr>
          <w:iCs/>
          <w:szCs w:val="22"/>
        </w:rPr>
        <w:t xml:space="preserve"> WAC 480-07-310.</w:t>
      </w:r>
    </w:p>
  </w:footnote>
  <w:footnote w:id="10">
    <w:p w14:paraId="32CCF26C"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The Commission has in its employ a small number of subject matter experts, including one accounting advisor, whose exclusive role in adjudicative proceedings is to offer impartial, expert advice to the presiding officers (</w:t>
      </w:r>
      <w:r w:rsidRPr="002F4AD5">
        <w:rPr>
          <w:i/>
          <w:szCs w:val="22"/>
        </w:rPr>
        <w:t>i.e.,</w:t>
      </w:r>
      <w:r w:rsidRPr="002F4AD5">
        <w:rPr>
          <w:szCs w:val="22"/>
        </w:rPr>
        <w:t xml:space="preserve"> Commissioners and administrative law judges) to whose supervision they are subject. Their expert advice can be critically important as they assist the presiding officers who must develop a full understanding of the record of proceedings that often include highly complex, specialized, and nuanced regulatory accounting and financial evidence, and specialized modeling and analyses peculiar to regulatory ratemaking practice.</w:t>
      </w:r>
    </w:p>
  </w:footnote>
  <w:footnote w:id="11">
    <w:p w14:paraId="7B7CE2BD" w14:textId="77777777" w:rsidR="005676FC" w:rsidRPr="002F4AD5" w:rsidRDefault="005676FC" w:rsidP="00655EE2">
      <w:pPr>
        <w:pStyle w:val="FootnoteText"/>
        <w:rPr>
          <w:szCs w:val="22"/>
        </w:rPr>
      </w:pPr>
      <w:r w:rsidRPr="002F4AD5">
        <w:rPr>
          <w:rStyle w:val="FootnoteReference"/>
          <w:szCs w:val="22"/>
        </w:rPr>
        <w:footnoteRef/>
      </w:r>
      <w:r w:rsidRPr="002F4AD5">
        <w:rPr>
          <w:szCs w:val="22"/>
        </w:rPr>
        <w:t xml:space="preserve"> </w:t>
      </w:r>
      <w:proofErr w:type="spellStart"/>
      <w:r w:rsidRPr="002F4AD5">
        <w:rPr>
          <w:szCs w:val="22"/>
        </w:rPr>
        <w:t>RCW</w:t>
      </w:r>
      <w:proofErr w:type="spellEnd"/>
      <w:r w:rsidRPr="002F4AD5">
        <w:rPr>
          <w:szCs w:val="22"/>
        </w:rPr>
        <w:t xml:space="preserve"> 34.05.455 (1) provides: A presiding officer may not communicate, directly or indirectly, regarding any issue in the proceeding other than communications necessary to procedural aspects of maintaining an orderly process, with any person employed by the agency without notice and opportunity for all parties to participate, except as provided in this subsection.</w:t>
      </w:r>
    </w:p>
  </w:footnote>
  <w:footnote w:id="12">
    <w:p w14:paraId="01135946"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Petition ¶ 2.</w:t>
      </w:r>
    </w:p>
  </w:footnote>
  <w:footnote w:id="13">
    <w:p w14:paraId="5E547DD0" w14:textId="77777777" w:rsidR="005676FC" w:rsidRDefault="005676FC">
      <w:pPr>
        <w:pStyle w:val="FootnoteText"/>
      </w:pPr>
      <w:r>
        <w:rPr>
          <w:rStyle w:val="FootnoteReference"/>
        </w:rPr>
        <w:footnoteRef/>
      </w:r>
      <w:r>
        <w:t xml:space="preserve"> </w:t>
      </w:r>
      <w:proofErr w:type="spellStart"/>
      <w:r>
        <w:t>WRRA</w:t>
      </w:r>
      <w:proofErr w:type="spellEnd"/>
      <w:r>
        <w:t xml:space="preserve"> Answer at 8:15-9:5.</w:t>
      </w:r>
    </w:p>
  </w:footnote>
  <w:footnote w:id="14">
    <w:p w14:paraId="6A6B74EB"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w:t>
      </w:r>
      <w:r w:rsidRPr="0060613D">
        <w:rPr>
          <w:szCs w:val="22"/>
        </w:rPr>
        <w:t>Petition ¶ 2.</w:t>
      </w:r>
      <w:r>
        <w:rPr>
          <w:szCs w:val="22"/>
        </w:rPr>
        <w:t xml:space="preserve"> </w:t>
      </w:r>
      <w:proofErr w:type="spellStart"/>
      <w:r>
        <w:rPr>
          <w:szCs w:val="22"/>
        </w:rPr>
        <w:t>WCI</w:t>
      </w:r>
      <w:proofErr w:type="spellEnd"/>
      <w:r>
        <w:rPr>
          <w:szCs w:val="22"/>
        </w:rPr>
        <w:t xml:space="preserve"> essentially suggests that the organizational structure of the Commission that has been in place for many years, and that is specifically designed to ensure fairness in adjudicative proceedings, somehow now suddenly gives an appearance of unfairness.</w:t>
      </w:r>
    </w:p>
  </w:footnote>
  <w:footnote w:id="15">
    <w:p w14:paraId="3771574E" w14:textId="77777777" w:rsidR="005676FC" w:rsidRPr="00F46746" w:rsidRDefault="005676FC" w:rsidP="00F46746">
      <w:pPr>
        <w:pStyle w:val="FootnoteText"/>
        <w:rPr>
          <w:bCs/>
          <w:szCs w:val="22"/>
        </w:rPr>
      </w:pPr>
      <w:r>
        <w:rPr>
          <w:rStyle w:val="FootnoteReference"/>
        </w:rPr>
        <w:footnoteRef/>
      </w:r>
      <w:r>
        <w:t xml:space="preserve"> </w:t>
      </w:r>
      <w:r w:rsidRPr="00F46746">
        <w:rPr>
          <w:i/>
        </w:rPr>
        <w:t>See</w:t>
      </w:r>
      <w:r>
        <w:t xml:space="preserve"> </w:t>
      </w:r>
      <w:proofErr w:type="spellStart"/>
      <w:r>
        <w:t>RCW</w:t>
      </w:r>
      <w:proofErr w:type="spellEnd"/>
      <w:r>
        <w:t xml:space="preserve"> 42.36.060 (</w:t>
      </w:r>
      <w:r w:rsidRPr="00F46746">
        <w:rPr>
          <w:bCs/>
        </w:rPr>
        <w:t xml:space="preserve">Chapter 42.36 </w:t>
      </w:r>
      <w:proofErr w:type="spellStart"/>
      <w:r w:rsidRPr="00F46746">
        <w:rPr>
          <w:bCs/>
        </w:rPr>
        <w:t>RCW</w:t>
      </w:r>
      <w:proofErr w:type="spellEnd"/>
      <w:r>
        <w:rPr>
          <w:bCs/>
        </w:rPr>
        <w:t xml:space="preserve"> - </w:t>
      </w:r>
      <w:r w:rsidRPr="00F46746">
        <w:rPr>
          <w:bCs/>
        </w:rPr>
        <w:t xml:space="preserve">APPEARANCE OF FAIRNESS DOCTRINE </w:t>
      </w:r>
      <w:r>
        <w:rPr>
          <w:bCs/>
        </w:rPr>
        <w:t>–</w:t>
      </w:r>
      <w:r w:rsidRPr="00F46746">
        <w:rPr>
          <w:bCs/>
        </w:rPr>
        <w:t xml:space="preserve"> LIMITATIONS</w:t>
      </w:r>
      <w:r>
        <w:rPr>
          <w:bCs/>
        </w:rPr>
        <w:t xml:space="preserve">; </w:t>
      </w:r>
      <w:proofErr w:type="spellStart"/>
      <w:r>
        <w:rPr>
          <w:bCs/>
        </w:rPr>
        <w:t>RCW</w:t>
      </w:r>
      <w:proofErr w:type="spellEnd"/>
      <w:r>
        <w:rPr>
          <w:bCs/>
        </w:rPr>
        <w:t xml:space="preserve"> 42.36.060 - </w:t>
      </w:r>
      <w:r w:rsidRPr="00F46746">
        <w:rPr>
          <w:bCs/>
          <w:szCs w:val="22"/>
        </w:rPr>
        <w:t>Quasi-judicial proceedings - Ex parte communications prohibited, exceptions.</w:t>
      </w:r>
    </w:p>
    <w:p w14:paraId="122F0F73" w14:textId="77777777" w:rsidR="005676FC" w:rsidRDefault="005676FC" w:rsidP="00F46746">
      <w:pPr>
        <w:pStyle w:val="Heading2"/>
        <w:numPr>
          <w:ilvl w:val="0"/>
          <w:numId w:val="0"/>
        </w:numPr>
        <w:spacing w:after="120"/>
        <w:ind w:left="360"/>
        <w:rPr>
          <w:b w:val="0"/>
          <w:sz w:val="22"/>
          <w:szCs w:val="22"/>
        </w:rPr>
      </w:pPr>
      <w:r w:rsidRPr="00F46746">
        <w:rPr>
          <w:b w:val="0"/>
          <w:sz w:val="22"/>
          <w:szCs w:val="22"/>
        </w:rPr>
        <w:t>During the pendency of any quasi-judicial proceeding, no member of a decision-making body may engage in ex parte communications with opponents or proponents with respect to the proposal which is the subject of the proceeding unless that person:</w:t>
      </w:r>
      <w:r w:rsidRPr="00F46746">
        <w:rPr>
          <w:b w:val="0"/>
          <w:sz w:val="22"/>
          <w:szCs w:val="22"/>
        </w:rPr>
        <w:br/>
      </w:r>
      <w:r w:rsidRPr="00F46746">
        <w:rPr>
          <w:b w:val="0"/>
          <w:sz w:val="22"/>
          <w:szCs w:val="22"/>
        </w:rPr>
        <w:br/>
        <w:t>     (1) Places on the record the substance of any written or oral ex parte communications concerning the decision of action; and</w:t>
      </w:r>
      <w:r w:rsidRPr="00F46746">
        <w:rPr>
          <w:b w:val="0"/>
          <w:sz w:val="22"/>
          <w:szCs w:val="22"/>
        </w:rPr>
        <w:br/>
      </w:r>
      <w:r w:rsidRPr="00F46746">
        <w:rPr>
          <w:b w:val="0"/>
          <w:sz w:val="22"/>
          <w:szCs w:val="22"/>
        </w:rPr>
        <w:br/>
        <w:t>     (2) Provides that a public announcement of the content of the communication and of the parties' rights to rebut the substance of the communication shall be made at each hearing where action is considered or taken on the subject to which the communication related. This prohibition does not preclude a member of a decision-making body from seeking in a public hearing specific information or data from such parties relative to the decision if both the request and the results are a part of the record. Nor does such prohibition preclude correspondence between a citizen and his or her elected official if any such correspondence is made a part of the record when it pertains to the subject matter of a quasi-judicial proceeding.</w:t>
      </w:r>
      <w:r>
        <w:rPr>
          <w:b w:val="0"/>
          <w:sz w:val="22"/>
          <w:szCs w:val="22"/>
        </w:rPr>
        <w:t>)</w:t>
      </w:r>
    </w:p>
    <w:p w14:paraId="32706686" w14:textId="77777777" w:rsidR="005676FC" w:rsidRPr="00D355B8" w:rsidRDefault="005676FC" w:rsidP="00D355B8">
      <w:pPr>
        <w:spacing w:after="120"/>
        <w:rPr>
          <w:sz w:val="22"/>
          <w:szCs w:val="22"/>
        </w:rPr>
      </w:pPr>
      <w:r w:rsidRPr="00D355B8">
        <w:rPr>
          <w:sz w:val="22"/>
          <w:szCs w:val="22"/>
        </w:rPr>
        <w:t>Ex parte communications are governed in addition under the Commission’s procedural rules at WAC 480-07-310.</w:t>
      </w:r>
    </w:p>
  </w:footnote>
  <w:footnote w:id="16">
    <w:p w14:paraId="1D1A01EA" w14:textId="77777777" w:rsidR="005676FC" w:rsidRPr="002F4AD5" w:rsidRDefault="005676FC" w:rsidP="00907C71">
      <w:pPr>
        <w:pStyle w:val="FootnoteText"/>
        <w:rPr>
          <w:szCs w:val="22"/>
        </w:rPr>
      </w:pPr>
      <w:r w:rsidRPr="002F4AD5">
        <w:rPr>
          <w:rStyle w:val="FootnoteReference"/>
          <w:szCs w:val="22"/>
        </w:rPr>
        <w:footnoteRef/>
      </w:r>
      <w:r w:rsidRPr="002F4AD5">
        <w:rPr>
          <w:szCs w:val="22"/>
        </w:rPr>
        <w:t xml:space="preserve"> The Commissioners are considered presiding officers in all formal adjudicative proceedings inasmuch as they </w:t>
      </w:r>
      <w:r>
        <w:rPr>
          <w:szCs w:val="22"/>
        </w:rPr>
        <w:t xml:space="preserve">have final decision authority. </w:t>
      </w:r>
      <w:r w:rsidRPr="002F4AD5">
        <w:rPr>
          <w:szCs w:val="22"/>
        </w:rPr>
        <w:t>The Commission may also, and regularly does, designate one or more administrative law judges as a presiding officer in a given proceeding.</w:t>
      </w:r>
    </w:p>
  </w:footnote>
  <w:footnote w:id="17">
    <w:p w14:paraId="09C842AE" w14:textId="77777777" w:rsidR="005676FC" w:rsidRDefault="005676FC">
      <w:pPr>
        <w:pStyle w:val="FootnoteText"/>
      </w:pPr>
      <w:r>
        <w:rPr>
          <w:rStyle w:val="FootnoteReference"/>
        </w:rPr>
        <w:footnoteRef/>
      </w:r>
      <w:r>
        <w:t xml:space="preserve"> </w:t>
      </w:r>
      <w:proofErr w:type="spellStart"/>
      <w:r>
        <w:t>RCW</w:t>
      </w:r>
      <w:proofErr w:type="spellEnd"/>
      <w:r>
        <w:t xml:space="preserve"> 34.05.455(4).</w:t>
      </w:r>
    </w:p>
  </w:footnote>
  <w:footnote w:id="18">
    <w:p w14:paraId="62B2CA6D"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w:t>
      </w:r>
      <w:proofErr w:type="spellStart"/>
      <w:r w:rsidRPr="002F4AD5">
        <w:rPr>
          <w:szCs w:val="22"/>
        </w:rPr>
        <w:t>RCW</w:t>
      </w:r>
      <w:proofErr w:type="spellEnd"/>
      <w:r w:rsidRPr="002F4AD5">
        <w:rPr>
          <w:szCs w:val="22"/>
        </w:rPr>
        <w:t xml:space="preserve"> 34.05.455 (1</w:t>
      </w:r>
      <w:proofErr w:type="gramStart"/>
      <w:r w:rsidRPr="002F4AD5">
        <w:rPr>
          <w:szCs w:val="22"/>
        </w:rPr>
        <w:t>)(</w:t>
      </w:r>
      <w:proofErr w:type="gramEnd"/>
      <w:r w:rsidRPr="002F4AD5">
        <w:rPr>
          <w:szCs w:val="22"/>
        </w:rPr>
        <w:t>b)</w:t>
      </w:r>
      <w:r>
        <w:rPr>
          <w:szCs w:val="22"/>
        </w:rPr>
        <w:t>.</w:t>
      </w:r>
    </w:p>
  </w:footnote>
  <w:footnote w:id="19">
    <w:p w14:paraId="000CA0CD" w14:textId="77777777" w:rsidR="005676FC" w:rsidRDefault="005676FC">
      <w:pPr>
        <w:pStyle w:val="FootnoteText"/>
      </w:pPr>
      <w:r>
        <w:rPr>
          <w:rStyle w:val="FootnoteReference"/>
        </w:rPr>
        <w:footnoteRef/>
      </w:r>
      <w:r>
        <w:t xml:space="preserve"> We note, too, that </w:t>
      </w:r>
      <w:proofErr w:type="spellStart"/>
      <w:r>
        <w:t>RCW</w:t>
      </w:r>
      <w:proofErr w:type="spellEnd"/>
      <w:r>
        <w:t xml:space="preserve"> 34.05.458, the </w:t>
      </w:r>
      <w:proofErr w:type="spellStart"/>
      <w:r>
        <w:t>APA’s</w:t>
      </w:r>
      <w:proofErr w:type="spellEnd"/>
      <w:r>
        <w:t xml:space="preserve"> separation of functions statute, provides that:</w:t>
      </w:r>
      <w:r w:rsidRPr="00F667A2">
        <w:t xml:space="preserve"> </w:t>
      </w:r>
      <w:r>
        <w:t xml:space="preserve">“(3) </w:t>
      </w:r>
      <w:r w:rsidRPr="00F667A2">
        <w:t xml:space="preserve">A person may serve as presiding officer at successive stages of the same adjudicative proceeding unless a party demonstrates grounds for disqualification in accordance with </w:t>
      </w:r>
      <w:proofErr w:type="spellStart"/>
      <w:r w:rsidRPr="00F667A2">
        <w:t>RCW</w:t>
      </w:r>
      <w:proofErr w:type="spellEnd"/>
      <w:r w:rsidRPr="00F667A2">
        <w:t xml:space="preserve"> 34.05.425.</w:t>
      </w:r>
      <w:r>
        <w:t>” The grounds for disqualification are “</w:t>
      </w:r>
      <w:r w:rsidRPr="00F667A2">
        <w:t>bias, prejudice, interest, or any other cause provided in this chapter or for which a judge is disqualified.</w:t>
      </w:r>
      <w:r>
        <w:t xml:space="preserve">” </w:t>
      </w:r>
      <w:proofErr w:type="spellStart"/>
      <w:r>
        <w:t>RCW</w:t>
      </w:r>
      <w:proofErr w:type="spellEnd"/>
      <w:r>
        <w:t xml:space="preserve"> 34.05.425(3). Neither </w:t>
      </w:r>
      <w:proofErr w:type="spellStart"/>
      <w:r>
        <w:t>WCI</w:t>
      </w:r>
      <w:proofErr w:type="spellEnd"/>
      <w:r>
        <w:t xml:space="preserve"> nor </w:t>
      </w:r>
      <w:proofErr w:type="spellStart"/>
      <w:r>
        <w:t>WRRA</w:t>
      </w:r>
      <w:proofErr w:type="spellEnd"/>
      <w:r>
        <w:t xml:space="preserve"> suggest the presence of any such factors in this proceeding.</w:t>
      </w:r>
    </w:p>
  </w:footnote>
  <w:footnote w:id="20">
    <w:p w14:paraId="7F818CD8" w14:textId="77777777" w:rsidR="005676FC" w:rsidRPr="002F4AD5" w:rsidRDefault="005676FC" w:rsidP="002F4AD5">
      <w:pPr>
        <w:pStyle w:val="FootnoteText"/>
        <w:rPr>
          <w:szCs w:val="22"/>
        </w:rPr>
      </w:pPr>
      <w:r w:rsidRPr="002F4AD5">
        <w:rPr>
          <w:rStyle w:val="FootnoteReference"/>
          <w:szCs w:val="22"/>
        </w:rPr>
        <w:footnoteRef/>
      </w:r>
      <w:r>
        <w:rPr>
          <w:szCs w:val="22"/>
        </w:rPr>
        <w:t xml:space="preserve"> </w:t>
      </w:r>
      <w:proofErr w:type="spellStart"/>
      <w:r>
        <w:rPr>
          <w:szCs w:val="22"/>
        </w:rPr>
        <w:t>RCW</w:t>
      </w:r>
      <w:proofErr w:type="spellEnd"/>
      <w:r>
        <w:rPr>
          <w:szCs w:val="22"/>
        </w:rPr>
        <w:t xml:space="preserve"> 80.01.040(2) and (3).</w:t>
      </w:r>
      <w:r w:rsidRPr="002F4AD5">
        <w:rPr>
          <w:szCs w:val="22"/>
        </w:rPr>
        <w:t xml:space="preserve"> </w:t>
      </w:r>
      <w:proofErr w:type="spellStart"/>
      <w:r w:rsidRPr="002F4AD5">
        <w:rPr>
          <w:szCs w:val="22"/>
        </w:rPr>
        <w:t>RCW</w:t>
      </w:r>
      <w:proofErr w:type="spellEnd"/>
      <w:r w:rsidRPr="002F4AD5">
        <w:rPr>
          <w:szCs w:val="22"/>
        </w:rPr>
        <w:t xml:space="preserve"> 81.01.010 adopts the provisions of chapter 80.01 </w:t>
      </w:r>
      <w:proofErr w:type="spellStart"/>
      <w:r w:rsidRPr="002F4AD5">
        <w:rPr>
          <w:szCs w:val="22"/>
        </w:rPr>
        <w:t>RCW</w:t>
      </w:r>
      <w:proofErr w:type="spellEnd"/>
      <w:r w:rsidRPr="002F4AD5">
        <w:rPr>
          <w:szCs w:val="22"/>
        </w:rPr>
        <w:t xml:space="preserve">.    </w:t>
      </w:r>
    </w:p>
  </w:footnote>
  <w:footnote w:id="21">
    <w:p w14:paraId="28053967" w14:textId="77777777" w:rsidR="005676FC" w:rsidRDefault="005676FC" w:rsidP="005B47AB">
      <w:pPr>
        <w:pStyle w:val="FootnoteText"/>
      </w:pPr>
      <w:r>
        <w:rPr>
          <w:rStyle w:val="FootnoteReference"/>
        </w:rPr>
        <w:footnoteRef/>
      </w:r>
      <w:r>
        <w:t xml:space="preserve"> We note in concluding this part of our Order that the Commissioners did not require assistance from their accounting advisor during this administrative review.</w:t>
      </w:r>
    </w:p>
  </w:footnote>
  <w:footnote w:id="22">
    <w:p w14:paraId="6B77DA24"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Order 12 ¶ 23 (citing Staff Initial Brief ¶ 9).</w:t>
      </w:r>
    </w:p>
  </w:footnote>
  <w:footnote w:id="23">
    <w:p w14:paraId="6FF879FB" w14:textId="77777777" w:rsidR="005676FC" w:rsidRPr="002F4AD5" w:rsidRDefault="005676FC" w:rsidP="002F4AD5">
      <w:pPr>
        <w:pStyle w:val="FootnoteText"/>
        <w:spacing w:before="120"/>
        <w:rPr>
          <w:szCs w:val="22"/>
        </w:rPr>
      </w:pPr>
      <w:r w:rsidRPr="002F4AD5">
        <w:rPr>
          <w:rStyle w:val="FootnoteReference"/>
          <w:szCs w:val="22"/>
        </w:rPr>
        <w:footnoteRef/>
      </w:r>
      <w:r>
        <w:rPr>
          <w:szCs w:val="22"/>
        </w:rPr>
        <w:t xml:space="preserve"> Order 12 ¶ 32.</w:t>
      </w:r>
      <w:r w:rsidRPr="002F4AD5">
        <w:rPr>
          <w:szCs w:val="22"/>
        </w:rPr>
        <w:t xml:space="preserve"> Order 12 </w:t>
      </w:r>
      <w:r>
        <w:rPr>
          <w:szCs w:val="22"/>
        </w:rPr>
        <w:t>n.</w:t>
      </w:r>
      <w:r w:rsidRPr="002F4AD5">
        <w:rPr>
          <w:szCs w:val="22"/>
        </w:rPr>
        <w:t xml:space="preserve">52 states that these shared expenses include electricity, water, and sewer, citing </w:t>
      </w:r>
      <w:proofErr w:type="spellStart"/>
      <w:r w:rsidRPr="002F4AD5">
        <w:rPr>
          <w:szCs w:val="22"/>
        </w:rPr>
        <w:t>Cheesman</w:t>
      </w:r>
      <w:proofErr w:type="spellEnd"/>
      <w:r w:rsidRPr="002F4AD5">
        <w:rPr>
          <w:szCs w:val="22"/>
        </w:rPr>
        <w:t xml:space="preserve">, </w:t>
      </w:r>
      <w:proofErr w:type="spellStart"/>
      <w:r w:rsidRPr="002F4AD5">
        <w:rPr>
          <w:szCs w:val="22"/>
        </w:rPr>
        <w:t>Exh</w:t>
      </w:r>
      <w:proofErr w:type="spellEnd"/>
      <w:r w:rsidRPr="002F4AD5">
        <w:rPr>
          <w:szCs w:val="22"/>
        </w:rPr>
        <w:t>. No. MC-13T at 3:8.</w:t>
      </w:r>
    </w:p>
  </w:footnote>
  <w:footnote w:id="24">
    <w:p w14:paraId="2A6C8965"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Petition ¶ 19; </w:t>
      </w:r>
      <w:r w:rsidRPr="002661DA">
        <w:rPr>
          <w:i/>
          <w:szCs w:val="22"/>
        </w:rPr>
        <w:t>see also</w:t>
      </w:r>
      <w:r w:rsidRPr="002F4AD5">
        <w:rPr>
          <w:szCs w:val="22"/>
        </w:rPr>
        <w:t xml:space="preserve"> Order 12 ¶ 32.  </w:t>
      </w:r>
    </w:p>
  </w:footnote>
  <w:footnote w:id="25">
    <w:p w14:paraId="20DFC13C"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Order 12 ¶ 23 (citing </w:t>
      </w:r>
      <w:proofErr w:type="spellStart"/>
      <w:r w:rsidRPr="002F4AD5">
        <w:rPr>
          <w:szCs w:val="22"/>
        </w:rPr>
        <w:t>Cheesman</w:t>
      </w:r>
      <w:proofErr w:type="spellEnd"/>
      <w:r w:rsidRPr="002F4AD5">
        <w:rPr>
          <w:szCs w:val="22"/>
        </w:rPr>
        <w:t xml:space="preserve">, </w:t>
      </w:r>
      <w:proofErr w:type="spellStart"/>
      <w:r w:rsidRPr="002F4AD5">
        <w:rPr>
          <w:szCs w:val="22"/>
        </w:rPr>
        <w:t>Exh</w:t>
      </w:r>
      <w:proofErr w:type="spellEnd"/>
      <w:r w:rsidRPr="002F4AD5">
        <w:rPr>
          <w:szCs w:val="22"/>
        </w:rPr>
        <w:t xml:space="preserve">. No. MC-1T, at 16:14-15).  </w:t>
      </w:r>
    </w:p>
  </w:footnote>
  <w:footnote w:id="26">
    <w:p w14:paraId="4304D098"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r w:rsidRPr="002F4AD5">
        <w:rPr>
          <w:i/>
          <w:szCs w:val="22"/>
        </w:rPr>
        <w:t>Id</w:t>
      </w:r>
      <w:r w:rsidRPr="002F4AD5">
        <w:rPr>
          <w:szCs w:val="22"/>
        </w:rPr>
        <w:t xml:space="preserve">. (quoting </w:t>
      </w:r>
      <w:proofErr w:type="spellStart"/>
      <w:r w:rsidRPr="002F4AD5">
        <w:rPr>
          <w:szCs w:val="22"/>
        </w:rPr>
        <w:t>Cheesman</w:t>
      </w:r>
      <w:proofErr w:type="spellEnd"/>
      <w:r w:rsidRPr="002F4AD5">
        <w:rPr>
          <w:szCs w:val="22"/>
        </w:rPr>
        <w:t xml:space="preserve">, </w:t>
      </w:r>
      <w:proofErr w:type="spellStart"/>
      <w:r w:rsidRPr="002F4AD5">
        <w:rPr>
          <w:szCs w:val="22"/>
        </w:rPr>
        <w:t>Exh</w:t>
      </w:r>
      <w:proofErr w:type="spellEnd"/>
      <w:r w:rsidRPr="002F4AD5">
        <w:rPr>
          <w:szCs w:val="22"/>
        </w:rPr>
        <w:t>. No. MC-1T at 16:16-17).</w:t>
      </w:r>
    </w:p>
  </w:footnote>
  <w:footnote w:id="27">
    <w:p w14:paraId="2AC34118"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r w:rsidRPr="002F4AD5">
        <w:rPr>
          <w:i/>
          <w:szCs w:val="22"/>
        </w:rPr>
        <w:t>Id.</w:t>
      </w:r>
      <w:r w:rsidRPr="002F4AD5">
        <w:rPr>
          <w:szCs w:val="22"/>
        </w:rPr>
        <w:t xml:space="preserve"> (quoting Staff Initial Brief ¶10 (citing </w:t>
      </w:r>
      <w:proofErr w:type="spellStart"/>
      <w:r w:rsidRPr="002F4AD5">
        <w:rPr>
          <w:szCs w:val="22"/>
        </w:rPr>
        <w:t>Cheesman</w:t>
      </w:r>
      <w:proofErr w:type="spellEnd"/>
      <w:r w:rsidRPr="002F4AD5">
        <w:rPr>
          <w:szCs w:val="22"/>
        </w:rPr>
        <w:t xml:space="preserve">, </w:t>
      </w:r>
      <w:proofErr w:type="spellStart"/>
      <w:r w:rsidRPr="002F4AD5">
        <w:rPr>
          <w:szCs w:val="22"/>
        </w:rPr>
        <w:t>Exh</w:t>
      </w:r>
      <w:proofErr w:type="spellEnd"/>
      <w:r w:rsidRPr="002F4AD5">
        <w:rPr>
          <w:szCs w:val="22"/>
        </w:rPr>
        <w:t>. No. MC-1T at 16-17)).</w:t>
      </w:r>
    </w:p>
  </w:footnote>
  <w:footnote w:id="28">
    <w:p w14:paraId="1FA50273"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r w:rsidRPr="002F4AD5">
        <w:rPr>
          <w:i/>
          <w:szCs w:val="22"/>
        </w:rPr>
        <w:t>Id.</w:t>
      </w:r>
      <w:r w:rsidRPr="002F4AD5">
        <w:rPr>
          <w:szCs w:val="22"/>
        </w:rPr>
        <w:t xml:space="preserve"> Staff explained the underlying basis for its three-factor proposal. The revenue allocator indicates the size of revenue earning activities, importance to management, and impact on administrative operations. The number of employees also indicates the size of an operation and strain on administrative resources. The ne</w:t>
      </w:r>
      <w:r>
        <w:rPr>
          <w:szCs w:val="22"/>
        </w:rPr>
        <w:t>t</w:t>
      </w:r>
      <w:r w:rsidRPr="002F4AD5">
        <w:rPr>
          <w:szCs w:val="22"/>
        </w:rPr>
        <w:t xml:space="preserve"> book value of assets is a measurable indicator of a company’s investments, the importance or priorities of management, and the overall size of a company. </w:t>
      </w:r>
    </w:p>
  </w:footnote>
  <w:footnote w:id="29">
    <w:p w14:paraId="185BA941"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r w:rsidRPr="00CF01AA">
        <w:rPr>
          <w:i/>
          <w:szCs w:val="22"/>
        </w:rPr>
        <w:t xml:space="preserve">Id. </w:t>
      </w:r>
      <w:r w:rsidRPr="002F4AD5">
        <w:rPr>
          <w:szCs w:val="22"/>
        </w:rPr>
        <w:t xml:space="preserve">¶ 24 (citing Staff Initial Brief ¶ 12 and </w:t>
      </w:r>
      <w:proofErr w:type="spellStart"/>
      <w:r w:rsidRPr="002F4AD5">
        <w:rPr>
          <w:szCs w:val="22"/>
        </w:rPr>
        <w:t>Cheesman</w:t>
      </w:r>
      <w:proofErr w:type="spellEnd"/>
      <w:r w:rsidRPr="002F4AD5">
        <w:rPr>
          <w:szCs w:val="22"/>
        </w:rPr>
        <w:t xml:space="preserve">, </w:t>
      </w:r>
      <w:proofErr w:type="spellStart"/>
      <w:r w:rsidRPr="002F4AD5">
        <w:rPr>
          <w:szCs w:val="22"/>
        </w:rPr>
        <w:t>TR</w:t>
      </w:r>
      <w:proofErr w:type="spellEnd"/>
      <w:r w:rsidRPr="002F4AD5">
        <w:rPr>
          <w:szCs w:val="22"/>
        </w:rPr>
        <w:t xml:space="preserve"> 152:11-14).</w:t>
      </w:r>
    </w:p>
  </w:footnote>
  <w:footnote w:id="30">
    <w:p w14:paraId="0F78F44A"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r w:rsidRPr="002F4AD5">
        <w:rPr>
          <w:i/>
          <w:szCs w:val="22"/>
        </w:rPr>
        <w:t>Id</w:t>
      </w:r>
      <w:r w:rsidRPr="002F4AD5">
        <w:rPr>
          <w:szCs w:val="22"/>
        </w:rPr>
        <w:t>.</w:t>
      </w:r>
    </w:p>
  </w:footnote>
  <w:footnote w:id="31">
    <w:p w14:paraId="2E406DE9"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r w:rsidRPr="002F4AD5">
        <w:rPr>
          <w:i/>
          <w:szCs w:val="22"/>
        </w:rPr>
        <w:t>Id.</w:t>
      </w:r>
      <w:r w:rsidRPr="002F4AD5">
        <w:rPr>
          <w:szCs w:val="22"/>
        </w:rPr>
        <w:t xml:space="preserve"> (citing Staff Response to Bench Request No. 1, Schedule 4, revising </w:t>
      </w:r>
      <w:proofErr w:type="spellStart"/>
      <w:r w:rsidRPr="002F4AD5">
        <w:rPr>
          <w:szCs w:val="22"/>
        </w:rPr>
        <w:t>Cheesman</w:t>
      </w:r>
      <w:proofErr w:type="spellEnd"/>
      <w:r w:rsidRPr="002F4AD5">
        <w:rPr>
          <w:szCs w:val="22"/>
        </w:rPr>
        <w:t xml:space="preserve">, </w:t>
      </w:r>
      <w:proofErr w:type="spellStart"/>
      <w:r w:rsidRPr="002F4AD5">
        <w:rPr>
          <w:szCs w:val="22"/>
        </w:rPr>
        <w:t>Exh</w:t>
      </w:r>
      <w:proofErr w:type="spellEnd"/>
      <w:r w:rsidRPr="002F4AD5">
        <w:rPr>
          <w:szCs w:val="22"/>
        </w:rPr>
        <w:t>. No. MC-7, and explaining that “[w]</w:t>
      </w:r>
      <w:proofErr w:type="spellStart"/>
      <w:r w:rsidRPr="002F4AD5">
        <w:rPr>
          <w:szCs w:val="22"/>
        </w:rPr>
        <w:t>hile</w:t>
      </w:r>
      <w:proofErr w:type="spellEnd"/>
      <w:r w:rsidRPr="002F4AD5">
        <w:rPr>
          <w:szCs w:val="22"/>
        </w:rPr>
        <w:t xml:space="preserve"> Staff’s exhibit indicates the allocation percentage for </w:t>
      </w:r>
      <w:proofErr w:type="spellStart"/>
      <w:r w:rsidRPr="002F4AD5">
        <w:rPr>
          <w:szCs w:val="22"/>
        </w:rPr>
        <w:t>WCI</w:t>
      </w:r>
      <w:proofErr w:type="spellEnd"/>
      <w:r w:rsidRPr="002F4AD5">
        <w:rPr>
          <w:szCs w:val="22"/>
        </w:rPr>
        <w:t xml:space="preserve"> is 23, the percentage is more precisely defined as 23.36, or as </w:t>
      </w:r>
      <w:proofErr w:type="spellStart"/>
      <w:r w:rsidRPr="002F4AD5">
        <w:rPr>
          <w:szCs w:val="22"/>
        </w:rPr>
        <w:t>WCI</w:t>
      </w:r>
      <w:proofErr w:type="spellEnd"/>
      <w:r w:rsidRPr="002F4AD5">
        <w:rPr>
          <w:szCs w:val="22"/>
        </w:rPr>
        <w:t xml:space="preserve"> rounds to the nearest tenth, 23.4 percent.”).</w:t>
      </w:r>
    </w:p>
  </w:footnote>
  <w:footnote w:id="32">
    <w:p w14:paraId="78C551DE"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Staff Initial Brief ¶ 9</w:t>
      </w:r>
      <w:r>
        <w:rPr>
          <w:szCs w:val="22"/>
        </w:rPr>
        <w:t>;</w:t>
      </w:r>
      <w:r w:rsidRPr="002F4AD5">
        <w:rPr>
          <w:szCs w:val="22"/>
        </w:rPr>
        <w:t xml:space="preserve"> </w:t>
      </w:r>
      <w:proofErr w:type="spellStart"/>
      <w:r w:rsidRPr="002F4AD5">
        <w:rPr>
          <w:szCs w:val="22"/>
        </w:rPr>
        <w:t>Cheesman</w:t>
      </w:r>
      <w:proofErr w:type="spellEnd"/>
      <w:r w:rsidRPr="002F4AD5">
        <w:rPr>
          <w:szCs w:val="22"/>
        </w:rPr>
        <w:t xml:space="preserve">, </w:t>
      </w:r>
      <w:proofErr w:type="spellStart"/>
      <w:r w:rsidRPr="002F4AD5">
        <w:rPr>
          <w:szCs w:val="22"/>
        </w:rPr>
        <w:t>TR</w:t>
      </w:r>
      <w:proofErr w:type="spellEnd"/>
      <w:r w:rsidRPr="002F4AD5">
        <w:rPr>
          <w:szCs w:val="22"/>
        </w:rPr>
        <w:t xml:space="preserve"> 152:11-14. </w:t>
      </w:r>
    </w:p>
  </w:footnote>
  <w:footnote w:id="33">
    <w:p w14:paraId="44E2A3C4"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Order 12 ¶ 35.  </w:t>
      </w:r>
    </w:p>
  </w:footnote>
  <w:footnote w:id="34">
    <w:p w14:paraId="45B16241"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r w:rsidRPr="002F4AD5">
        <w:rPr>
          <w:i/>
          <w:szCs w:val="22"/>
        </w:rPr>
        <w:t>Id</w:t>
      </w:r>
      <w:r w:rsidRPr="002F4AD5">
        <w:rPr>
          <w:szCs w:val="22"/>
        </w:rPr>
        <w:t xml:space="preserve">. ¶ 27 (citing </w:t>
      </w:r>
      <w:proofErr w:type="spellStart"/>
      <w:r w:rsidRPr="002F4AD5">
        <w:rPr>
          <w:szCs w:val="22"/>
        </w:rPr>
        <w:t>WCI</w:t>
      </w:r>
      <w:proofErr w:type="spellEnd"/>
      <w:r w:rsidRPr="002F4AD5">
        <w:rPr>
          <w:szCs w:val="22"/>
        </w:rPr>
        <w:t xml:space="preserve"> Reply Brief n.16.  Demas, </w:t>
      </w:r>
      <w:proofErr w:type="spellStart"/>
      <w:r>
        <w:rPr>
          <w:szCs w:val="22"/>
        </w:rPr>
        <w:t>Exh</w:t>
      </w:r>
      <w:proofErr w:type="spellEnd"/>
      <w:r>
        <w:rPr>
          <w:szCs w:val="22"/>
        </w:rPr>
        <w:t xml:space="preserve">. No. LD-2T at 6, Table 2). </w:t>
      </w:r>
      <w:r w:rsidRPr="002F4AD5">
        <w:rPr>
          <w:szCs w:val="22"/>
        </w:rPr>
        <w:t xml:space="preserve">We believe the Initial Order, which refers in ¶ 27 to the Company’s “opening brief” may have meant to cite to </w:t>
      </w:r>
      <w:proofErr w:type="spellStart"/>
      <w:r w:rsidRPr="002F4AD5">
        <w:rPr>
          <w:szCs w:val="22"/>
        </w:rPr>
        <w:t>WCI</w:t>
      </w:r>
      <w:proofErr w:type="spellEnd"/>
      <w:r w:rsidRPr="002F4AD5">
        <w:rPr>
          <w:szCs w:val="22"/>
        </w:rPr>
        <w:t xml:space="preserve"> Initial Brief ¶ 4.  </w:t>
      </w:r>
    </w:p>
  </w:footnote>
  <w:footnote w:id="35">
    <w:p w14:paraId="41133F77"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r w:rsidRPr="002F4AD5">
        <w:rPr>
          <w:i/>
          <w:szCs w:val="22"/>
        </w:rPr>
        <w:t>Id.</w:t>
      </w:r>
      <w:r w:rsidRPr="002F4AD5">
        <w:rPr>
          <w:szCs w:val="22"/>
        </w:rPr>
        <w:t xml:space="preserve"> ¶ 27 (citing Demas, </w:t>
      </w:r>
      <w:proofErr w:type="spellStart"/>
      <w:r w:rsidRPr="002F4AD5">
        <w:rPr>
          <w:szCs w:val="22"/>
        </w:rPr>
        <w:t>Exh</w:t>
      </w:r>
      <w:proofErr w:type="spellEnd"/>
      <w:r w:rsidRPr="002F4AD5">
        <w:rPr>
          <w:szCs w:val="22"/>
        </w:rPr>
        <w:t>. No. LD-2T at 6:12-14).</w:t>
      </w:r>
    </w:p>
  </w:footnote>
  <w:footnote w:id="36">
    <w:p w14:paraId="1A7688A2"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Staff Answer ¶ 11 (citing Demas, </w:t>
      </w:r>
      <w:proofErr w:type="spellStart"/>
      <w:r>
        <w:rPr>
          <w:szCs w:val="22"/>
        </w:rPr>
        <w:t>Exh</w:t>
      </w:r>
      <w:proofErr w:type="spellEnd"/>
      <w:r>
        <w:rPr>
          <w:szCs w:val="22"/>
        </w:rPr>
        <w:t xml:space="preserve">. No. </w:t>
      </w:r>
      <w:r w:rsidRPr="002F4AD5">
        <w:rPr>
          <w:szCs w:val="22"/>
        </w:rPr>
        <w:t xml:space="preserve">LD-2T at 2:22-24; Demas, TR. 51:5-22). There is some discrepancy in the evidence concerning the exact amount of these </w:t>
      </w:r>
      <w:proofErr w:type="spellStart"/>
      <w:r w:rsidRPr="002F4AD5">
        <w:rPr>
          <w:szCs w:val="22"/>
        </w:rPr>
        <w:t>WCR</w:t>
      </w:r>
      <w:proofErr w:type="spellEnd"/>
      <w:r w:rsidRPr="002F4AD5">
        <w:rPr>
          <w:szCs w:val="22"/>
        </w:rPr>
        <w:t xml:space="preserve"> utility costs but it does not appear to </w:t>
      </w:r>
      <w:r>
        <w:rPr>
          <w:szCs w:val="22"/>
        </w:rPr>
        <w:t>a</w:t>
      </w:r>
      <w:r w:rsidRPr="002F4AD5">
        <w:rPr>
          <w:szCs w:val="22"/>
        </w:rPr>
        <w:t>ffect the amount of shared utility costs approved by the Initial Order and accepted here.</w:t>
      </w:r>
    </w:p>
  </w:footnote>
  <w:footnote w:id="37">
    <w:p w14:paraId="50645E81"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Staff Answer ¶ 11; </w:t>
      </w:r>
      <w:r w:rsidRPr="002F4AD5">
        <w:rPr>
          <w:i/>
          <w:szCs w:val="22"/>
        </w:rPr>
        <w:t>see also</w:t>
      </w:r>
      <w:r w:rsidRPr="002F4AD5">
        <w:rPr>
          <w:szCs w:val="22"/>
        </w:rPr>
        <w:t xml:space="preserve"> Order 12 ¶ 27</w:t>
      </w:r>
      <w:r w:rsidRPr="002F4AD5">
        <w:rPr>
          <w:i/>
          <w:szCs w:val="22"/>
        </w:rPr>
        <w:t xml:space="preserve"> </w:t>
      </w:r>
      <w:r w:rsidRPr="002F4AD5">
        <w:rPr>
          <w:szCs w:val="22"/>
        </w:rPr>
        <w:t>(citing Staff Initial Brief ¶ 22).</w:t>
      </w:r>
    </w:p>
  </w:footnote>
  <w:footnote w:id="38">
    <w:p w14:paraId="358A68C9"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Order 12 ¶ 28 (citing Staff Initial Brief ¶ 24); </w:t>
      </w:r>
      <w:r w:rsidRPr="002F4AD5">
        <w:rPr>
          <w:i/>
          <w:szCs w:val="22"/>
        </w:rPr>
        <w:t>see also</w:t>
      </w:r>
      <w:r w:rsidRPr="002F4AD5">
        <w:rPr>
          <w:szCs w:val="22"/>
        </w:rPr>
        <w:t xml:space="preserve"> Staff Answer ¶ 12.</w:t>
      </w:r>
    </w:p>
  </w:footnote>
  <w:footnote w:id="39">
    <w:p w14:paraId="19E2AC68"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Davis, </w:t>
      </w:r>
      <w:proofErr w:type="spellStart"/>
      <w:r w:rsidRPr="002F4AD5">
        <w:rPr>
          <w:szCs w:val="22"/>
        </w:rPr>
        <w:t>Exh</w:t>
      </w:r>
      <w:proofErr w:type="spellEnd"/>
      <w:r w:rsidRPr="002F4AD5">
        <w:rPr>
          <w:szCs w:val="22"/>
        </w:rPr>
        <w:t xml:space="preserve">. </w:t>
      </w:r>
      <w:r>
        <w:rPr>
          <w:szCs w:val="22"/>
        </w:rPr>
        <w:t xml:space="preserve">No. </w:t>
      </w:r>
      <w:r w:rsidRPr="002F4AD5">
        <w:rPr>
          <w:szCs w:val="22"/>
        </w:rPr>
        <w:t>JD-41T at 12:10-17.</w:t>
      </w:r>
    </w:p>
  </w:footnote>
  <w:footnote w:id="40">
    <w:p w14:paraId="27FCCCE7" w14:textId="77777777" w:rsidR="005676FC" w:rsidRDefault="005676FC">
      <w:pPr>
        <w:pStyle w:val="FootnoteText"/>
      </w:pPr>
      <w:r>
        <w:rPr>
          <w:rStyle w:val="FootnoteReference"/>
        </w:rPr>
        <w:footnoteRef/>
      </w:r>
      <w:r>
        <w:t xml:space="preserve"> </w:t>
      </w:r>
      <w:proofErr w:type="spellStart"/>
      <w:r>
        <w:t>RCW</w:t>
      </w:r>
      <w:proofErr w:type="spellEnd"/>
      <w:r>
        <w:t xml:space="preserve"> 81.28.010; </w:t>
      </w:r>
      <w:r w:rsidRPr="007922CC">
        <w:rPr>
          <w:i/>
        </w:rPr>
        <w:t>see also</w:t>
      </w:r>
      <w:r>
        <w:t xml:space="preserve"> </w:t>
      </w:r>
      <w:proofErr w:type="spellStart"/>
      <w:r>
        <w:t>RCW</w:t>
      </w:r>
      <w:proofErr w:type="spellEnd"/>
      <w:r>
        <w:t xml:space="preserve"> 81.04.130; </w:t>
      </w:r>
      <w:proofErr w:type="spellStart"/>
      <w:r>
        <w:t>RCW</w:t>
      </w:r>
      <w:proofErr w:type="spellEnd"/>
      <w:r>
        <w:t xml:space="preserve"> 81.04.250. </w:t>
      </w:r>
    </w:p>
  </w:footnote>
  <w:footnote w:id="41">
    <w:p w14:paraId="284D7975" w14:textId="77777777" w:rsidR="005676FC" w:rsidRDefault="005676FC" w:rsidP="00AE0606">
      <w:pPr>
        <w:pStyle w:val="FootnoteText"/>
      </w:pPr>
      <w:r>
        <w:rPr>
          <w:rStyle w:val="FootnoteReference"/>
        </w:rPr>
        <w:footnoteRef/>
      </w:r>
      <w:r>
        <w:t xml:space="preserve"> Mr. Joe Willis owns these closely held businesses together with his brother, Kevin. The Company was founded by their father, Stanley, in 1949. Willis, </w:t>
      </w:r>
      <w:proofErr w:type="spellStart"/>
      <w:r>
        <w:t>Exh</w:t>
      </w:r>
      <w:proofErr w:type="spellEnd"/>
      <w:r>
        <w:t xml:space="preserve">. No. JW-1T at 1:9-11. There is no holding company or corporate parent. </w:t>
      </w:r>
      <w:r w:rsidRPr="002F5E61">
        <w:rPr>
          <w:i/>
        </w:rPr>
        <w:t>Id.</w:t>
      </w:r>
      <w:r>
        <w:t xml:space="preserve"> at 1:2-4:11. </w:t>
      </w:r>
      <w:r w:rsidRPr="002F5E61">
        <w:rPr>
          <w:i/>
        </w:rPr>
        <w:t>See also</w:t>
      </w:r>
      <w:r>
        <w:t xml:space="preserve"> </w:t>
      </w:r>
      <w:proofErr w:type="spellStart"/>
      <w:r>
        <w:t>Exh</w:t>
      </w:r>
      <w:proofErr w:type="spellEnd"/>
      <w:r>
        <w:t xml:space="preserve">. Nos. JW-2; JW-3; JW-4. Mr. Willis testified that </w:t>
      </w:r>
      <w:proofErr w:type="spellStart"/>
      <w:r>
        <w:t>Heirborne</w:t>
      </w:r>
      <w:proofErr w:type="spellEnd"/>
      <w:r>
        <w:t xml:space="preserve"> Investments “</w:t>
      </w:r>
      <w:r w:rsidRPr="00AE0606">
        <w:t>was set up many years ago</w:t>
      </w:r>
      <w:r>
        <w:t xml:space="preserve"> </w:t>
      </w:r>
      <w:r w:rsidRPr="00AE0606">
        <w:t>because that was how I -- our father did it. It made it</w:t>
      </w:r>
      <w:r>
        <w:t xml:space="preserve"> v</w:t>
      </w:r>
      <w:r w:rsidRPr="00AE0606">
        <w:t>ery easy for estate planning and things like that, and it</w:t>
      </w:r>
      <w:r>
        <w:t xml:space="preserve"> </w:t>
      </w:r>
      <w:r w:rsidRPr="00AE0606">
        <w:t>would just rent the land and buildings to all the</w:t>
      </w:r>
      <w:r>
        <w:t xml:space="preserve"> </w:t>
      </w:r>
      <w:r w:rsidRPr="00AE0606">
        <w:t>companies, and it would take the risk for that, so that's</w:t>
      </w:r>
      <w:r>
        <w:t xml:space="preserve"> </w:t>
      </w:r>
      <w:r w:rsidRPr="00AE0606">
        <w:t>the intercompany relationship.</w:t>
      </w:r>
      <w:r>
        <w:t xml:space="preserve">” TR. 66:24-67:4. Staff disagrees with Mr. Willis concerning the corporate relationship between </w:t>
      </w:r>
      <w:proofErr w:type="spellStart"/>
      <w:r>
        <w:t>HB</w:t>
      </w:r>
      <w:proofErr w:type="spellEnd"/>
      <w:r>
        <w:t xml:space="preserve"> I and </w:t>
      </w:r>
      <w:proofErr w:type="spellStart"/>
      <w:r>
        <w:t>WCI</w:t>
      </w:r>
      <w:proofErr w:type="spellEnd"/>
      <w:r>
        <w:t xml:space="preserve"> and considers </w:t>
      </w:r>
      <w:proofErr w:type="spellStart"/>
      <w:r>
        <w:t>HB</w:t>
      </w:r>
      <w:proofErr w:type="spellEnd"/>
      <w:r>
        <w:t xml:space="preserve"> I to be in the role of a parent corporation. </w:t>
      </w:r>
      <w:r w:rsidRPr="00702D55">
        <w:rPr>
          <w:i/>
        </w:rPr>
        <w:t>See</w:t>
      </w:r>
      <w:r>
        <w:t xml:space="preserve"> </w:t>
      </w:r>
      <w:proofErr w:type="spellStart"/>
      <w:r>
        <w:t>Cheesman</w:t>
      </w:r>
      <w:proofErr w:type="spellEnd"/>
      <w:r>
        <w:t xml:space="preserve">, </w:t>
      </w:r>
      <w:proofErr w:type="spellStart"/>
      <w:r>
        <w:t>Exh</w:t>
      </w:r>
      <w:proofErr w:type="spellEnd"/>
      <w:r>
        <w:t xml:space="preserve">. No. MC-1T at 5:20-7:20. We find Staff’s analysis and conclusion somewhat strained when considered in the context of the usual definitions of a corporate parent or a holding company. In any event, any significance that Staff might attach to </w:t>
      </w:r>
      <w:proofErr w:type="spellStart"/>
      <w:r>
        <w:t>HB</w:t>
      </w:r>
      <w:proofErr w:type="spellEnd"/>
      <w:r>
        <w:t xml:space="preserve"> I and </w:t>
      </w:r>
      <w:proofErr w:type="spellStart"/>
      <w:r>
        <w:t>HB</w:t>
      </w:r>
      <w:proofErr w:type="spellEnd"/>
      <w:r>
        <w:t xml:space="preserve"> II being in the role of parent corporations, or holding companies, seems lost in Ms. </w:t>
      </w:r>
      <w:proofErr w:type="spellStart"/>
      <w:r>
        <w:t>Cheesman’s</w:t>
      </w:r>
      <w:proofErr w:type="spellEnd"/>
      <w:r>
        <w:t xml:space="preserve"> insistence on cross-examination that these two companies are property investment companies, not solid waste collection companies, and Staff’s repeated references to them as “landlords,” which is indeed the role they appear to play. </w:t>
      </w:r>
      <w:r>
        <w:rPr>
          <w:i/>
        </w:rPr>
        <w:t xml:space="preserve">See </w:t>
      </w:r>
      <w:r>
        <w:t xml:space="preserve">TR. 209:9-18.  </w:t>
      </w:r>
    </w:p>
  </w:footnote>
  <w:footnote w:id="42">
    <w:p w14:paraId="3F39588B" w14:textId="77777777" w:rsidR="005676FC" w:rsidRPr="002F4AD5" w:rsidRDefault="005676FC" w:rsidP="00860B00">
      <w:pPr>
        <w:pStyle w:val="FootnoteText"/>
        <w:rPr>
          <w:szCs w:val="22"/>
        </w:rPr>
      </w:pPr>
      <w:r w:rsidRPr="002F4AD5">
        <w:rPr>
          <w:rStyle w:val="FootnoteReference"/>
          <w:szCs w:val="22"/>
        </w:rPr>
        <w:footnoteRef/>
      </w:r>
      <w:r w:rsidRPr="002F4AD5">
        <w:rPr>
          <w:szCs w:val="22"/>
        </w:rPr>
        <w:t xml:space="preserve"> </w:t>
      </w:r>
      <w:proofErr w:type="spellStart"/>
      <w:r w:rsidRPr="002F4AD5">
        <w:rPr>
          <w:i/>
          <w:szCs w:val="22"/>
        </w:rPr>
        <w:t>WUTC</w:t>
      </w:r>
      <w:proofErr w:type="spellEnd"/>
      <w:r w:rsidRPr="002F4AD5">
        <w:rPr>
          <w:i/>
          <w:szCs w:val="22"/>
        </w:rPr>
        <w:t xml:space="preserve"> v. Bremerton-Kitsap Airporter</w:t>
      </w:r>
      <w:r w:rsidRPr="002F4AD5">
        <w:rPr>
          <w:szCs w:val="22"/>
        </w:rPr>
        <w:t>, Docket TC-001846, Fifth Supplemental Order ¶ 36 (August 2, 2002)</w:t>
      </w:r>
      <w:r>
        <w:rPr>
          <w:szCs w:val="22"/>
        </w:rPr>
        <w:t xml:space="preserve"> (</w:t>
      </w:r>
      <w:r w:rsidRPr="00A27DD2">
        <w:rPr>
          <w:i/>
          <w:szCs w:val="22"/>
        </w:rPr>
        <w:t>Bremerton-Kitsap</w:t>
      </w:r>
      <w:r>
        <w:rPr>
          <w:szCs w:val="22"/>
        </w:rPr>
        <w:t>)</w:t>
      </w:r>
      <w:r w:rsidRPr="002F4AD5">
        <w:rPr>
          <w:szCs w:val="22"/>
        </w:rPr>
        <w:t xml:space="preserve">.  </w:t>
      </w:r>
    </w:p>
  </w:footnote>
  <w:footnote w:id="43">
    <w:p w14:paraId="16069A93"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Davis, </w:t>
      </w:r>
      <w:proofErr w:type="spellStart"/>
      <w:r w:rsidRPr="002F4AD5">
        <w:rPr>
          <w:szCs w:val="22"/>
        </w:rPr>
        <w:t>Exh</w:t>
      </w:r>
      <w:proofErr w:type="spellEnd"/>
      <w:r w:rsidRPr="002F4AD5">
        <w:rPr>
          <w:szCs w:val="22"/>
        </w:rPr>
        <w:t>. Nos. JD-8</w:t>
      </w:r>
      <w:r>
        <w:rPr>
          <w:szCs w:val="22"/>
        </w:rPr>
        <w:t xml:space="preserve"> (submitted as </w:t>
      </w:r>
      <w:proofErr w:type="spellStart"/>
      <w:r>
        <w:rPr>
          <w:szCs w:val="22"/>
        </w:rPr>
        <w:t>Exh</w:t>
      </w:r>
      <w:proofErr w:type="spellEnd"/>
      <w:r>
        <w:rPr>
          <w:szCs w:val="22"/>
        </w:rPr>
        <w:t>. No. JD-7) and</w:t>
      </w:r>
      <w:r w:rsidRPr="002F4AD5">
        <w:rPr>
          <w:szCs w:val="22"/>
        </w:rPr>
        <w:t xml:space="preserve"> JD-45</w:t>
      </w:r>
      <w:r>
        <w:rPr>
          <w:szCs w:val="22"/>
        </w:rPr>
        <w:t xml:space="preserve"> (submitted as </w:t>
      </w:r>
      <w:proofErr w:type="spellStart"/>
      <w:r>
        <w:rPr>
          <w:szCs w:val="22"/>
        </w:rPr>
        <w:t>Exh</w:t>
      </w:r>
      <w:proofErr w:type="spellEnd"/>
      <w:r>
        <w:rPr>
          <w:szCs w:val="22"/>
        </w:rPr>
        <w:t>. No. JD-43)</w:t>
      </w:r>
      <w:r w:rsidRPr="002F4AD5">
        <w:rPr>
          <w:szCs w:val="22"/>
        </w:rPr>
        <w:t>.</w:t>
      </w:r>
    </w:p>
  </w:footnote>
  <w:footnote w:id="44">
    <w:p w14:paraId="1664B739"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w:t>
      </w:r>
      <w:r w:rsidRPr="00AA0238">
        <w:rPr>
          <w:szCs w:val="22"/>
        </w:rPr>
        <w:t xml:space="preserve">Davis, </w:t>
      </w:r>
      <w:proofErr w:type="spellStart"/>
      <w:r w:rsidRPr="00AA0238">
        <w:rPr>
          <w:szCs w:val="22"/>
        </w:rPr>
        <w:t>Exh</w:t>
      </w:r>
      <w:proofErr w:type="spellEnd"/>
      <w:r w:rsidRPr="00AA0238">
        <w:rPr>
          <w:szCs w:val="22"/>
        </w:rPr>
        <w:t xml:space="preserve">. No. JD-1T at </w:t>
      </w:r>
      <w:r>
        <w:rPr>
          <w:szCs w:val="22"/>
        </w:rPr>
        <w:t xml:space="preserve">12:11-13; </w:t>
      </w:r>
      <w:r w:rsidRPr="00AA0238">
        <w:rPr>
          <w:i/>
          <w:szCs w:val="22"/>
        </w:rPr>
        <w:t>see also</w:t>
      </w:r>
      <w:r>
        <w:rPr>
          <w:szCs w:val="22"/>
        </w:rPr>
        <w:t xml:space="preserve"> </w:t>
      </w:r>
      <w:r w:rsidRPr="002F4AD5">
        <w:rPr>
          <w:szCs w:val="22"/>
        </w:rPr>
        <w:t xml:space="preserve">Davis, </w:t>
      </w:r>
      <w:proofErr w:type="spellStart"/>
      <w:r w:rsidRPr="002F4AD5">
        <w:rPr>
          <w:szCs w:val="22"/>
        </w:rPr>
        <w:t>Exh</w:t>
      </w:r>
      <w:proofErr w:type="spellEnd"/>
      <w:r w:rsidRPr="002F4AD5">
        <w:rPr>
          <w:szCs w:val="22"/>
        </w:rPr>
        <w:t>. No. JD-8</w:t>
      </w:r>
      <w:r>
        <w:rPr>
          <w:szCs w:val="22"/>
        </w:rPr>
        <w:t xml:space="preserve"> </w:t>
      </w:r>
      <w:r w:rsidRPr="00886C77">
        <w:rPr>
          <w:szCs w:val="22"/>
        </w:rPr>
        <w:t xml:space="preserve">(submitted as </w:t>
      </w:r>
      <w:proofErr w:type="spellStart"/>
      <w:r w:rsidRPr="00886C77">
        <w:rPr>
          <w:szCs w:val="22"/>
        </w:rPr>
        <w:t>Exh</w:t>
      </w:r>
      <w:proofErr w:type="spellEnd"/>
      <w:r w:rsidRPr="00886C77">
        <w:rPr>
          <w:szCs w:val="22"/>
        </w:rPr>
        <w:t>. No. JD-7)</w:t>
      </w:r>
      <w:r>
        <w:rPr>
          <w:szCs w:val="22"/>
        </w:rPr>
        <w:t xml:space="preserve">. </w:t>
      </w:r>
      <w:r w:rsidRPr="002F4AD5">
        <w:rPr>
          <w:szCs w:val="22"/>
        </w:rPr>
        <w:t>The exhibit notes that “[a]</w:t>
      </w:r>
      <w:proofErr w:type="spellStart"/>
      <w:r w:rsidRPr="002F4AD5">
        <w:rPr>
          <w:szCs w:val="22"/>
        </w:rPr>
        <w:t>lthough</w:t>
      </w:r>
      <w:proofErr w:type="spellEnd"/>
      <w:r w:rsidRPr="002F4AD5">
        <w:rPr>
          <w:szCs w:val="22"/>
        </w:rPr>
        <w:t xml:space="preserve"> $12,000 was adjusted in the prior case, there was not an explanation and we did not follow up because the full rate increase was granted.”  </w:t>
      </w:r>
    </w:p>
  </w:footnote>
  <w:footnote w:id="45">
    <w:p w14:paraId="30D5B390" w14:textId="77777777" w:rsidR="005676FC" w:rsidRDefault="005676FC">
      <w:pPr>
        <w:pStyle w:val="FootnoteText"/>
      </w:pPr>
      <w:r>
        <w:rPr>
          <w:rStyle w:val="FootnoteReference"/>
        </w:rPr>
        <w:footnoteRef/>
      </w:r>
      <w:r>
        <w:t xml:space="preserve"> </w:t>
      </w:r>
      <w:r w:rsidRPr="00A27DD2">
        <w:rPr>
          <w:i/>
        </w:rPr>
        <w:t>See supra</w:t>
      </w:r>
      <w:r>
        <w:t xml:space="preserve"> n.41 for the full citation.</w:t>
      </w:r>
    </w:p>
  </w:footnote>
  <w:footnote w:id="46">
    <w:p w14:paraId="11567B73" w14:textId="77777777" w:rsidR="005676FC" w:rsidRDefault="005676FC">
      <w:pPr>
        <w:pStyle w:val="FootnoteText"/>
      </w:pPr>
      <w:r>
        <w:rPr>
          <w:rStyle w:val="FootnoteReference"/>
        </w:rPr>
        <w:footnoteRef/>
      </w:r>
      <w:r>
        <w:t xml:space="preserve"> </w:t>
      </w:r>
      <w:r w:rsidRPr="00A27DD2">
        <w:rPr>
          <w:i/>
        </w:rPr>
        <w:t>Bremerton-Kitsap</w:t>
      </w:r>
      <w:r>
        <w:t xml:space="preserve">, Third Supp. Order ¶ 39. </w:t>
      </w:r>
    </w:p>
  </w:footnote>
  <w:footnote w:id="47">
    <w:p w14:paraId="3DCA9FFA" w14:textId="77777777" w:rsidR="005676FC" w:rsidRDefault="005676FC" w:rsidP="002C632D">
      <w:pPr>
        <w:pStyle w:val="FootnoteText"/>
      </w:pPr>
      <w:r>
        <w:rPr>
          <w:rStyle w:val="FootnoteReference"/>
        </w:rPr>
        <w:footnoteRef/>
      </w:r>
      <w:r>
        <w:t xml:space="preserve"> </w:t>
      </w:r>
      <w:r w:rsidRPr="009853B4">
        <w:rPr>
          <w:i/>
        </w:rPr>
        <w:t>Bremerton-Kitsap</w:t>
      </w:r>
      <w:r w:rsidRPr="009853B4">
        <w:t xml:space="preserve">, </w:t>
      </w:r>
      <w:r>
        <w:t>Fifth Supp. Order ¶ 37 states that:</w:t>
      </w:r>
    </w:p>
    <w:p w14:paraId="21681250" w14:textId="77777777" w:rsidR="005676FC" w:rsidRDefault="005676FC" w:rsidP="002C632D">
      <w:pPr>
        <w:pStyle w:val="FootnoteText"/>
        <w:ind w:left="720" w:right="720"/>
      </w:pPr>
      <w:r w:rsidRPr="009853B4">
        <w:t>The approach taken by Staff has been a standard ratemaking approach used by</w:t>
      </w:r>
      <w:r>
        <w:t xml:space="preserve"> the Commission for many years.</w:t>
      </w:r>
      <w:r w:rsidRPr="009853B4">
        <w:t xml:space="preserve"> It protects the ratepayers by ensuring that they pay for the full historical cost of</w:t>
      </w:r>
      <w:r>
        <w:t xml:space="preserve"> service, no more and no less. </w:t>
      </w:r>
      <w:r w:rsidRPr="009853B4">
        <w:t>The owners of the property also are fairly treated because they are allowed the equivalent of full capital recovery plus a fair return on the investment at issue, analogous to what occurs under rate-base/rate-of-return ratemaking commo</w:t>
      </w:r>
      <w:r>
        <w:t>nly used in the utility sector.</w:t>
      </w:r>
      <w:r w:rsidRPr="009853B4">
        <w:t xml:space="preserve"> Reliance on principles derived from original cost ratemaking methodology is especially useful in situations where there is less than arm’s length transaction conditions involving lease payments paid by the regulated utility.</w:t>
      </w:r>
    </w:p>
  </w:footnote>
  <w:footnote w:id="48">
    <w:p w14:paraId="30934E65"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Order 12 ¶ 36 (citing Demas, </w:t>
      </w:r>
      <w:proofErr w:type="spellStart"/>
      <w:r w:rsidRPr="002F4AD5">
        <w:rPr>
          <w:szCs w:val="22"/>
        </w:rPr>
        <w:t>Exh</w:t>
      </w:r>
      <w:proofErr w:type="spellEnd"/>
      <w:r w:rsidRPr="002F4AD5">
        <w:rPr>
          <w:szCs w:val="22"/>
        </w:rPr>
        <w:t>. No. LD-1T at 6:15).</w:t>
      </w:r>
      <w:r w:rsidR="006228B2">
        <w:rPr>
          <w:szCs w:val="22"/>
        </w:rPr>
        <w:t xml:space="preserve"> </w:t>
      </w:r>
      <w:r>
        <w:rPr>
          <w:szCs w:val="22"/>
        </w:rPr>
        <w:t xml:space="preserve">In the Company’s initial effort to “work with the Staff and their desired calculation of return on net book value based on the Bremerton-Kitsap Airporter formula” and to include operating costs and depreciation, the Company determined a cost-plus-return land rent cost of $127,596. </w:t>
      </w:r>
      <w:r w:rsidRPr="00E16DE0">
        <w:rPr>
          <w:i/>
          <w:szCs w:val="22"/>
        </w:rPr>
        <w:t>See</w:t>
      </w:r>
      <w:r>
        <w:rPr>
          <w:szCs w:val="22"/>
        </w:rPr>
        <w:t xml:space="preserve"> Davis, </w:t>
      </w:r>
      <w:proofErr w:type="spellStart"/>
      <w:r>
        <w:rPr>
          <w:szCs w:val="22"/>
        </w:rPr>
        <w:t>Exh</w:t>
      </w:r>
      <w:proofErr w:type="spellEnd"/>
      <w:r>
        <w:rPr>
          <w:szCs w:val="22"/>
        </w:rPr>
        <w:t>. No. JD-8 (submitted as JD-7).</w:t>
      </w:r>
    </w:p>
  </w:footnote>
  <w:footnote w:id="49">
    <w:p w14:paraId="1E334F89" w14:textId="77777777" w:rsidR="005676FC" w:rsidRDefault="005676FC">
      <w:pPr>
        <w:pStyle w:val="FootnoteText"/>
      </w:pPr>
      <w:r>
        <w:rPr>
          <w:rStyle w:val="FootnoteReference"/>
        </w:rPr>
        <w:footnoteRef/>
      </w:r>
      <w:r>
        <w:t xml:space="preserve"> </w:t>
      </w:r>
      <w:r w:rsidRPr="00D83559">
        <w:t xml:space="preserve">Demas, </w:t>
      </w:r>
      <w:proofErr w:type="spellStart"/>
      <w:r w:rsidRPr="00D83559">
        <w:t>Exh</w:t>
      </w:r>
      <w:proofErr w:type="spellEnd"/>
      <w:r w:rsidRPr="00D83559">
        <w:t>. No. LD-1T at 6:14-17.</w:t>
      </w:r>
    </w:p>
  </w:footnote>
  <w:footnote w:id="50">
    <w:p w14:paraId="317F0241"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w:t>
      </w:r>
      <w:r w:rsidRPr="00D83559">
        <w:rPr>
          <w:i/>
          <w:szCs w:val="22"/>
        </w:rPr>
        <w:t>Id.</w:t>
      </w:r>
    </w:p>
  </w:footnote>
  <w:footnote w:id="51">
    <w:p w14:paraId="70863607"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w:t>
      </w:r>
      <w:r w:rsidRPr="00D100EF">
        <w:rPr>
          <w:i/>
          <w:szCs w:val="22"/>
        </w:rPr>
        <w:t xml:space="preserve">See </w:t>
      </w:r>
      <w:proofErr w:type="spellStart"/>
      <w:r w:rsidRPr="002F4AD5">
        <w:rPr>
          <w:szCs w:val="22"/>
        </w:rPr>
        <w:t>WCI</w:t>
      </w:r>
      <w:proofErr w:type="spellEnd"/>
      <w:r w:rsidRPr="002F4AD5">
        <w:rPr>
          <w:szCs w:val="22"/>
        </w:rPr>
        <w:t xml:space="preserve"> Reply Brief ¶ 25 n.18.</w:t>
      </w:r>
    </w:p>
  </w:footnote>
  <w:footnote w:id="52">
    <w:p w14:paraId="67D39025" w14:textId="77777777" w:rsidR="005676FC" w:rsidRDefault="005676FC" w:rsidP="00D96D8E">
      <w:pPr>
        <w:pStyle w:val="FootnoteText"/>
      </w:pPr>
      <w:r>
        <w:rPr>
          <w:rStyle w:val="FootnoteReference"/>
        </w:rPr>
        <w:footnoteRef/>
      </w:r>
      <w:r>
        <w:t xml:space="preserve"> </w:t>
      </w:r>
      <w:r w:rsidRPr="008C64AA">
        <w:rPr>
          <w:i/>
        </w:rPr>
        <w:t>See</w:t>
      </w:r>
      <w:r>
        <w:t xml:space="preserve"> Davis, </w:t>
      </w:r>
      <w:proofErr w:type="spellStart"/>
      <w:r>
        <w:t>Exh</w:t>
      </w:r>
      <w:proofErr w:type="spellEnd"/>
      <w:r>
        <w:t xml:space="preserve">. No. JD-3 (submitted as </w:t>
      </w:r>
      <w:proofErr w:type="spellStart"/>
      <w:r>
        <w:t>Exh</w:t>
      </w:r>
      <w:proofErr w:type="spellEnd"/>
      <w:r>
        <w:t>. No. JD-3A).</w:t>
      </w:r>
    </w:p>
  </w:footnote>
  <w:footnote w:id="53">
    <w:p w14:paraId="3A4DC0F8" w14:textId="77777777" w:rsidR="005676FC" w:rsidRDefault="005676FC" w:rsidP="00D96D8E">
      <w:pPr>
        <w:pStyle w:val="FootnoteText"/>
      </w:pPr>
      <w:r>
        <w:rPr>
          <w:rStyle w:val="FootnoteReference"/>
        </w:rPr>
        <w:footnoteRef/>
      </w:r>
      <w:r>
        <w:t xml:space="preserve"> </w:t>
      </w:r>
      <w:r w:rsidRPr="008C64AA">
        <w:rPr>
          <w:i/>
        </w:rPr>
        <w:t>Id.</w:t>
      </w:r>
    </w:p>
  </w:footnote>
  <w:footnote w:id="54">
    <w:p w14:paraId="53F0C8A7" w14:textId="77777777" w:rsidR="005676FC" w:rsidRDefault="005676FC" w:rsidP="00D26FFE">
      <w:pPr>
        <w:pStyle w:val="FootnoteText"/>
      </w:pPr>
      <w:r>
        <w:rPr>
          <w:rStyle w:val="FootnoteReference"/>
        </w:rPr>
        <w:footnoteRef/>
      </w:r>
      <w:r>
        <w:t xml:space="preserve"> </w:t>
      </w:r>
      <w:r w:rsidRPr="009853B4">
        <w:rPr>
          <w:i/>
        </w:rPr>
        <w:t>Bremerton-Kitsap</w:t>
      </w:r>
      <w:r>
        <w:t>, Third Supp. Order ¶¶ 37-39 (April 15, 2002).</w:t>
      </w:r>
    </w:p>
  </w:footnote>
  <w:footnote w:id="55">
    <w:p w14:paraId="574E9159" w14:textId="77777777" w:rsidR="005676FC" w:rsidRPr="002F4AD5" w:rsidRDefault="005676FC" w:rsidP="00E97A44">
      <w:pPr>
        <w:pStyle w:val="FootnoteText"/>
        <w:rPr>
          <w:szCs w:val="22"/>
        </w:rPr>
      </w:pPr>
      <w:r w:rsidRPr="002F4AD5">
        <w:rPr>
          <w:rStyle w:val="FootnoteReference"/>
          <w:szCs w:val="22"/>
        </w:rPr>
        <w:footnoteRef/>
      </w:r>
      <w:r w:rsidRPr="002F4AD5">
        <w:rPr>
          <w:szCs w:val="22"/>
        </w:rPr>
        <w:t xml:space="preserve"> Demas, </w:t>
      </w:r>
      <w:proofErr w:type="spellStart"/>
      <w:r w:rsidRPr="002F4AD5">
        <w:rPr>
          <w:szCs w:val="22"/>
        </w:rPr>
        <w:t>Exh</w:t>
      </w:r>
      <w:proofErr w:type="spellEnd"/>
      <w:r w:rsidRPr="002F4AD5">
        <w:rPr>
          <w:szCs w:val="22"/>
        </w:rPr>
        <w:t>. No. LD-1T at 6:14-17.</w:t>
      </w:r>
    </w:p>
  </w:footnote>
  <w:footnote w:id="56">
    <w:p w14:paraId="7C2AE5A2" w14:textId="77777777" w:rsidR="005676FC" w:rsidRPr="002F4AD5" w:rsidRDefault="005676FC" w:rsidP="002F4AD5">
      <w:pPr>
        <w:pStyle w:val="FootnoteText"/>
        <w:rPr>
          <w:i/>
          <w:szCs w:val="22"/>
        </w:rPr>
      </w:pPr>
      <w:r w:rsidRPr="002F4AD5">
        <w:rPr>
          <w:rStyle w:val="FootnoteReference"/>
          <w:szCs w:val="22"/>
        </w:rPr>
        <w:footnoteRef/>
      </w:r>
      <w:r w:rsidRPr="002F4AD5">
        <w:rPr>
          <w:szCs w:val="22"/>
        </w:rPr>
        <w:t xml:space="preserve"> </w:t>
      </w:r>
      <w:r w:rsidRPr="00D100EF">
        <w:rPr>
          <w:i/>
          <w:szCs w:val="22"/>
        </w:rPr>
        <w:t>See</w:t>
      </w:r>
      <w:r>
        <w:rPr>
          <w:szCs w:val="22"/>
        </w:rPr>
        <w:t xml:space="preserve"> Order 12</w:t>
      </w:r>
      <w:r w:rsidRPr="00D100EF">
        <w:rPr>
          <w:szCs w:val="22"/>
        </w:rPr>
        <w:t xml:space="preserve"> ¶ 58. </w:t>
      </w:r>
    </w:p>
  </w:footnote>
  <w:footnote w:id="57">
    <w:p w14:paraId="14B8840C" w14:textId="77777777" w:rsidR="005676FC" w:rsidRDefault="005676FC">
      <w:pPr>
        <w:pStyle w:val="FootnoteText"/>
      </w:pPr>
      <w:r>
        <w:rPr>
          <w:rStyle w:val="FootnoteReference"/>
        </w:rPr>
        <w:footnoteRef/>
      </w:r>
      <w:r>
        <w:t xml:space="preserve"> Order 12 at 30, Table 2</w:t>
      </w:r>
    </w:p>
  </w:footnote>
  <w:footnote w:id="58">
    <w:p w14:paraId="05AE6E25" w14:textId="77777777" w:rsidR="005676FC" w:rsidRDefault="005676FC">
      <w:pPr>
        <w:pStyle w:val="FootnoteText"/>
      </w:pPr>
      <w:r>
        <w:rPr>
          <w:rStyle w:val="FootnoteReference"/>
        </w:rPr>
        <w:footnoteRef/>
      </w:r>
      <w:r>
        <w:t xml:space="preserve"> </w:t>
      </w:r>
      <w:r w:rsidRPr="007D3EA8">
        <w:rPr>
          <w:i/>
        </w:rPr>
        <w:t>See</w:t>
      </w:r>
      <w:r>
        <w:t xml:space="preserve"> Davis, </w:t>
      </w:r>
      <w:proofErr w:type="spellStart"/>
      <w:r>
        <w:t>Exh</w:t>
      </w:r>
      <w:proofErr w:type="spellEnd"/>
      <w:r>
        <w:t>. Nos. JD-1T at 11:9-12:7 and JD-8 (submitted as JD-7).</w:t>
      </w:r>
    </w:p>
  </w:footnote>
  <w:footnote w:id="59">
    <w:p w14:paraId="0FC4343F" w14:textId="77777777" w:rsidR="005676FC" w:rsidRDefault="005676FC">
      <w:pPr>
        <w:pStyle w:val="FootnoteText"/>
      </w:pPr>
      <w:r>
        <w:rPr>
          <w:rStyle w:val="FootnoteReference"/>
        </w:rPr>
        <w:footnoteRef/>
      </w:r>
      <w:r>
        <w:t xml:space="preserve"> Davis, </w:t>
      </w:r>
      <w:proofErr w:type="spellStart"/>
      <w:r>
        <w:t>Exh</w:t>
      </w:r>
      <w:proofErr w:type="spellEnd"/>
      <w:r>
        <w:t>. No. JD-1T at 17:15-24.</w:t>
      </w:r>
    </w:p>
  </w:footnote>
  <w:footnote w:id="60">
    <w:p w14:paraId="75150E34" w14:textId="77777777" w:rsidR="005676FC" w:rsidRDefault="005676FC">
      <w:pPr>
        <w:pStyle w:val="FootnoteText"/>
      </w:pPr>
      <w:r>
        <w:rPr>
          <w:rStyle w:val="FootnoteReference"/>
        </w:rPr>
        <w:footnoteRef/>
      </w:r>
      <w:r>
        <w:t xml:space="preserve"> </w:t>
      </w:r>
      <w:r w:rsidRPr="00527ADE">
        <w:rPr>
          <w:i/>
        </w:rPr>
        <w:t>See, e.g.,</w:t>
      </w:r>
      <w:r>
        <w:t xml:space="preserve"> Petition ¶ 24.</w:t>
      </w:r>
    </w:p>
  </w:footnote>
  <w:footnote w:id="61">
    <w:p w14:paraId="43CEDF5F" w14:textId="77777777" w:rsidR="005676FC" w:rsidRPr="007A0E57" w:rsidRDefault="005676FC">
      <w:pPr>
        <w:pStyle w:val="FootnoteText"/>
      </w:pPr>
      <w:r>
        <w:rPr>
          <w:rStyle w:val="FootnoteReference"/>
        </w:rPr>
        <w:footnoteRef/>
      </w:r>
      <w:r>
        <w:t xml:space="preserve"> </w:t>
      </w:r>
      <w:proofErr w:type="spellStart"/>
      <w:r>
        <w:t>WCI’s</w:t>
      </w:r>
      <w:proofErr w:type="spellEnd"/>
      <w:r>
        <w:t xml:space="preserve"> arguments against determining land rents based on the net, or depreciated, value of real property assets and its suggestion that this is outside “conventional return on investment” analysis </w:t>
      </w:r>
      <w:r w:rsidRPr="00602DA0">
        <w:t xml:space="preserve">in the last three bullet points in ¶ 24 of its Petition </w:t>
      </w:r>
      <w:r>
        <w:t xml:space="preserve">are good examples. </w:t>
      </w:r>
      <w:proofErr w:type="spellStart"/>
      <w:r>
        <w:t>WCI’s</w:t>
      </w:r>
      <w:proofErr w:type="spellEnd"/>
      <w:r>
        <w:t xml:space="preserve"> position is belied by the very case on which it principally relies, </w:t>
      </w:r>
      <w:r w:rsidRPr="007A0E57">
        <w:rPr>
          <w:i/>
        </w:rPr>
        <w:t>Bremerton-Kitsap</w:t>
      </w:r>
      <w:r>
        <w:rPr>
          <w:i/>
        </w:rPr>
        <w:t>.</w:t>
      </w:r>
      <w:r>
        <w:t xml:space="preserve"> Appendix C to the Commission’s order plainly shows a classic approach to the original cost-less-depreciation method for determining rate base, to which equity return is then</w:t>
      </w:r>
      <w:r w:rsidRPr="002B7EDF">
        <w:rPr>
          <w:sz w:val="24"/>
          <w:szCs w:val="24"/>
        </w:rPr>
        <w:t xml:space="preserve"> </w:t>
      </w:r>
      <w:r w:rsidRPr="002B7EDF">
        <w:rPr>
          <w:szCs w:val="22"/>
        </w:rPr>
        <w:t>applied</w:t>
      </w:r>
      <w:r w:rsidRPr="002B7EDF">
        <w:t xml:space="preserve"> </w:t>
      </w:r>
      <w:r>
        <w:t>to calculate</w:t>
      </w:r>
      <w:r w:rsidRPr="002B7EDF">
        <w:t xml:space="preserve"> </w:t>
      </w:r>
      <w:r>
        <w:t xml:space="preserve">a cost-plus-return based </w:t>
      </w:r>
      <w:r w:rsidRPr="002B7EDF">
        <w:t>land rent</w:t>
      </w:r>
      <w:r>
        <w:t xml:space="preserve">. Moreover, this approach that the Commission describes as being “analogous to what occurs under rate-base/rate-of-return ratemaking commonly used in the utility sector,” is discussed approvingly in both the Initial Order and the Final Order in the </w:t>
      </w:r>
      <w:r w:rsidRPr="002B7EDF">
        <w:rPr>
          <w:i/>
        </w:rPr>
        <w:t>Bremerton-Kitsap</w:t>
      </w:r>
      <w:r>
        <w:t xml:space="preserve"> proceeding. </w:t>
      </w:r>
      <w:r w:rsidRPr="002B7EDF">
        <w:rPr>
          <w:i/>
        </w:rPr>
        <w:t>Bremerton-Kitsap</w:t>
      </w:r>
      <w:r>
        <w:t>, Fifth Supp. Order ¶ 37; Third Supp. Order ¶¶ 37-39.</w:t>
      </w:r>
    </w:p>
  </w:footnote>
  <w:footnote w:id="62">
    <w:p w14:paraId="725C0A5D" w14:textId="77777777" w:rsidR="005676FC" w:rsidRDefault="005676FC">
      <w:pPr>
        <w:pStyle w:val="FootnoteText"/>
      </w:pPr>
      <w:r>
        <w:rPr>
          <w:rStyle w:val="FootnoteReference"/>
        </w:rPr>
        <w:footnoteRef/>
      </w:r>
      <w:r>
        <w:t xml:space="preserve"> Use of a group of companies protects against statistically unreliable results and selection bias.</w:t>
      </w:r>
    </w:p>
  </w:footnote>
  <w:footnote w:id="63">
    <w:p w14:paraId="50067D3B" w14:textId="77777777" w:rsidR="005676FC" w:rsidRDefault="005676FC">
      <w:pPr>
        <w:pStyle w:val="FootnoteText"/>
      </w:pPr>
      <w:r>
        <w:rPr>
          <w:rStyle w:val="FootnoteReference"/>
        </w:rPr>
        <w:footnoteRef/>
      </w:r>
      <w:r>
        <w:t xml:space="preserve"> A nationally recognized cost of capital expert who testified in a recent utility case before the Commission criticized another expert’s use of a 15 member proxy group because, among other things, because he considered it </w:t>
      </w:r>
      <w:r w:rsidRPr="00527ADE">
        <w:t>“unduly restrictive in some areas, thereby creating a smaller sample of utilities than may otherwise be warranted.”</w:t>
      </w:r>
      <w:r>
        <w:t xml:space="preserve"> </w:t>
      </w:r>
      <w:proofErr w:type="spellStart"/>
      <w:r w:rsidRPr="00527ADE">
        <w:rPr>
          <w:i/>
        </w:rPr>
        <w:t>WUTC</w:t>
      </w:r>
      <w:proofErr w:type="spellEnd"/>
      <w:r w:rsidRPr="00527ADE">
        <w:rPr>
          <w:i/>
        </w:rPr>
        <w:t xml:space="preserve"> v. Puget Sound Energy, Inc.,</w:t>
      </w:r>
      <w:r>
        <w:t xml:space="preserve"> Dockets UE-121697, et al., Order 14/15 ¶ 49 (citing </w:t>
      </w:r>
      <w:r w:rsidRPr="00527ADE">
        <w:t xml:space="preserve">Morin, </w:t>
      </w:r>
      <w:proofErr w:type="spellStart"/>
      <w:r w:rsidRPr="00527ADE">
        <w:t>Exh</w:t>
      </w:r>
      <w:proofErr w:type="spellEnd"/>
      <w:r w:rsidRPr="00527ADE">
        <w:t>. No. RAM-16T at 9:17-20</w:t>
      </w:r>
      <w:r>
        <w:t>)</w:t>
      </w:r>
      <w:r w:rsidRPr="00527ADE">
        <w:t>.</w:t>
      </w:r>
      <w:r>
        <w:t xml:space="preserve"> Dr. Morin also testified that “</w:t>
      </w:r>
      <w:r w:rsidRPr="00B20B24">
        <w:t>use of a handful of companies in a highly fluid and unstable industry produces fragile and statistically unreliable results.”</w:t>
      </w:r>
      <w:r>
        <w:t xml:space="preserve"> </w:t>
      </w:r>
      <w:r w:rsidRPr="00B20B24">
        <w:rPr>
          <w:i/>
        </w:rPr>
        <w:t>Id.</w:t>
      </w:r>
      <w:r>
        <w:t xml:space="preserve"> </w:t>
      </w:r>
    </w:p>
  </w:footnote>
  <w:footnote w:id="64">
    <w:p w14:paraId="23FF2C8F" w14:textId="77777777" w:rsidR="005676FC" w:rsidRDefault="005676FC">
      <w:pPr>
        <w:pStyle w:val="FootnoteText"/>
      </w:pPr>
      <w:r>
        <w:rPr>
          <w:rStyle w:val="FootnoteReference"/>
        </w:rPr>
        <w:footnoteRef/>
      </w:r>
      <w:r>
        <w:t xml:space="preserve"> This is not to say that in the highly unlikely event such a publicly traded company could be identified its dividend yield and forecast growth would give no indication of a reasonable return on equity for the subject company. It indeed might be evidence of a reasonable return, but it could not be claimed as being a return indicated by </w:t>
      </w:r>
      <w:proofErr w:type="spellStart"/>
      <w:r>
        <w:t>DCF</w:t>
      </w:r>
      <w:proofErr w:type="spellEnd"/>
      <w:r>
        <w:t xml:space="preserve"> modeling.</w:t>
      </w:r>
    </w:p>
  </w:footnote>
  <w:footnote w:id="65">
    <w:p w14:paraId="0F5D218D" w14:textId="77777777" w:rsidR="005676FC" w:rsidRDefault="005676FC">
      <w:pPr>
        <w:pStyle w:val="FootnoteText"/>
      </w:pPr>
      <w:r>
        <w:rPr>
          <w:rStyle w:val="FootnoteReference"/>
        </w:rPr>
        <w:footnoteRef/>
      </w:r>
      <w:r>
        <w:t xml:space="preserve"> Staff selected the two real estate investment companies it used based on their having capital structures similar to </w:t>
      </w:r>
      <w:proofErr w:type="spellStart"/>
      <w:r>
        <w:t>HB</w:t>
      </w:r>
      <w:proofErr w:type="spellEnd"/>
      <w:r>
        <w:t xml:space="preserve"> I and </w:t>
      </w:r>
      <w:proofErr w:type="spellStart"/>
      <w:r>
        <w:t>HB</w:t>
      </w:r>
      <w:proofErr w:type="spellEnd"/>
      <w:r>
        <w:t xml:space="preserve"> II, respectively. </w:t>
      </w:r>
      <w:proofErr w:type="spellStart"/>
      <w:r>
        <w:t>Cheesman</w:t>
      </w:r>
      <w:proofErr w:type="spellEnd"/>
      <w:r>
        <w:t>, TR.</w:t>
      </w:r>
      <w:r w:rsidR="007A2B27">
        <w:t xml:space="preserve"> 207:1-6; 208:8-11; 210:12-16. </w:t>
      </w:r>
      <w:r>
        <w:t xml:space="preserve">Similar capital structure is a valid criterion to consider in selecting proxy companies, but it is insufficient in itself to identify a truly comparable company. Similar levels of investment risk, for example, is a critically important consideration. Yet, Ms. </w:t>
      </w:r>
      <w:proofErr w:type="spellStart"/>
      <w:r>
        <w:t>Cheesman</w:t>
      </w:r>
      <w:proofErr w:type="spellEnd"/>
      <w:r>
        <w:t xml:space="preserve"> did not evaluate how differences in risk factors might affect the comparability of two very large, publicly traded real estate investment trusts relative to the real estate holding and management affiliates of a small, closely-held solid waste company. TR. 212:1-6.</w:t>
      </w:r>
    </w:p>
  </w:footnote>
  <w:footnote w:id="66">
    <w:p w14:paraId="02DCC929" w14:textId="77777777" w:rsidR="005676FC" w:rsidRDefault="005676FC">
      <w:pPr>
        <w:pStyle w:val="FootnoteText"/>
      </w:pPr>
      <w:r>
        <w:rPr>
          <w:rStyle w:val="FootnoteReference"/>
        </w:rPr>
        <w:footnoteRef/>
      </w:r>
      <w:r>
        <w:t xml:space="preserve"> </w:t>
      </w:r>
      <w:r w:rsidRPr="000029CC">
        <w:rPr>
          <w:i/>
        </w:rPr>
        <w:t>See</w:t>
      </w:r>
      <w:r>
        <w:t xml:space="preserve"> TR. 207:15-22; 208:4-22.</w:t>
      </w:r>
    </w:p>
  </w:footnote>
  <w:footnote w:id="67">
    <w:p w14:paraId="6B1DE071" w14:textId="77777777" w:rsidR="005676FC" w:rsidRDefault="005676FC" w:rsidP="008E0543">
      <w:pPr>
        <w:pStyle w:val="FootnoteText"/>
      </w:pPr>
      <w:r>
        <w:rPr>
          <w:rStyle w:val="FootnoteReference"/>
        </w:rPr>
        <w:footnoteRef/>
      </w:r>
      <w:r>
        <w:t xml:space="preserve"> </w:t>
      </w:r>
      <w:r w:rsidRPr="007922CC">
        <w:rPr>
          <w:i/>
        </w:rPr>
        <w:t>See</w:t>
      </w:r>
      <w:r>
        <w:t xml:space="preserve"> </w:t>
      </w:r>
      <w:proofErr w:type="spellStart"/>
      <w:r>
        <w:t>Cheesman</w:t>
      </w:r>
      <w:proofErr w:type="spellEnd"/>
      <w:r>
        <w:t xml:space="preserve">, </w:t>
      </w:r>
      <w:proofErr w:type="spellStart"/>
      <w:r>
        <w:t>Exh</w:t>
      </w:r>
      <w:proofErr w:type="spellEnd"/>
      <w:r>
        <w:t xml:space="preserve">. No. MC-6, Schedule 4, Adjustment R-6E at col. L, lines 51 and 52 showing </w:t>
      </w:r>
      <w:r w:rsidRPr="00DB11BF">
        <w:t>Annaly’s beta at the time of Staff’s measurement was 0.65 while that of Realty Income was 0.85.</w:t>
      </w:r>
      <w:r>
        <w:t xml:space="preserve"> Beta is a measure of market risk. Beta values less than 1.0 indicate lower risk investments.</w:t>
      </w:r>
      <w:r w:rsidRPr="00DB11BF">
        <w:t xml:space="preserve"> </w:t>
      </w:r>
      <w:r>
        <w:t>A beta of 1.0 indicates neutral risk. Any measure less than 1.0 means the company is relatively a less risky investment while betas above 1.0 indicate higher investment risk.</w:t>
      </w:r>
      <w:r w:rsidRPr="001232EC">
        <w:rPr>
          <w:sz w:val="24"/>
          <w:szCs w:val="24"/>
        </w:rPr>
        <w:t xml:space="preserve"> </w:t>
      </w:r>
    </w:p>
  </w:footnote>
  <w:footnote w:id="68">
    <w:p w14:paraId="743831E1" w14:textId="77777777" w:rsidR="005676FC" w:rsidRDefault="005676FC">
      <w:pPr>
        <w:pStyle w:val="FootnoteText"/>
      </w:pPr>
      <w:r>
        <w:rPr>
          <w:rStyle w:val="FootnoteReference"/>
        </w:rPr>
        <w:footnoteRef/>
      </w:r>
      <w:r>
        <w:t xml:space="preserve"> Demas, </w:t>
      </w:r>
      <w:proofErr w:type="spellStart"/>
      <w:r>
        <w:t>Exh</w:t>
      </w:r>
      <w:proofErr w:type="spellEnd"/>
      <w:r>
        <w:t>. No. LD-1T at 6:6-12 (Table 2).</w:t>
      </w:r>
    </w:p>
  </w:footnote>
  <w:footnote w:id="69">
    <w:p w14:paraId="2ADE8BFC" w14:textId="77777777" w:rsidR="005676FC" w:rsidRDefault="005676FC">
      <w:pPr>
        <w:pStyle w:val="FootnoteText"/>
      </w:pPr>
      <w:r>
        <w:rPr>
          <w:rStyle w:val="FootnoteReference"/>
        </w:rPr>
        <w:footnoteRef/>
      </w:r>
      <w:r>
        <w:t xml:space="preserve"> </w:t>
      </w:r>
      <w:proofErr w:type="spellStart"/>
      <w:r w:rsidRPr="005857A9">
        <w:rPr>
          <w:i/>
        </w:rPr>
        <w:t>WUTC</w:t>
      </w:r>
      <w:proofErr w:type="spellEnd"/>
      <w:r w:rsidRPr="005857A9">
        <w:rPr>
          <w:i/>
        </w:rPr>
        <w:t xml:space="preserve"> v. Puget Sound Energy, Inc.,</w:t>
      </w:r>
      <w:r w:rsidRPr="005857A9">
        <w:t xml:space="preserve"> Dockets UE-121697, et al., Order 14/15 </w:t>
      </w:r>
      <w:r>
        <w:t xml:space="preserve">¶ 47, n.40 (citing </w:t>
      </w:r>
      <w:proofErr w:type="spellStart"/>
      <w:r>
        <w:t>Morin,</w:t>
      </w:r>
      <w:r w:rsidRPr="000E6186">
        <w:t>TR</w:t>
      </w:r>
      <w:proofErr w:type="spellEnd"/>
      <w:r w:rsidRPr="000E6186">
        <w:t>. 564:24-565:1</w:t>
      </w:r>
      <w:r>
        <w:t xml:space="preserve">, and </w:t>
      </w:r>
      <w:r w:rsidRPr="001957D1">
        <w:t xml:space="preserve">Hill, </w:t>
      </w:r>
      <w:proofErr w:type="spellStart"/>
      <w:r w:rsidRPr="001957D1">
        <w:t>Exh</w:t>
      </w:r>
      <w:proofErr w:type="spellEnd"/>
      <w:r w:rsidRPr="001957D1">
        <w:t>. No. SGH-2T at 54:16-18</w:t>
      </w:r>
      <w:r>
        <w:t>)</w:t>
      </w:r>
      <w:r w:rsidRPr="000E6186">
        <w:t>.</w:t>
      </w:r>
    </w:p>
  </w:footnote>
  <w:footnote w:id="70">
    <w:p w14:paraId="36AD1724" w14:textId="77777777" w:rsidR="005676FC" w:rsidRDefault="005676FC" w:rsidP="0016335F">
      <w:pPr>
        <w:pStyle w:val="FootnoteText"/>
      </w:pPr>
      <w:r>
        <w:rPr>
          <w:rStyle w:val="FootnoteReference"/>
        </w:rPr>
        <w:footnoteRef/>
      </w:r>
      <w:r>
        <w:t xml:space="preserve"> </w:t>
      </w:r>
      <w:r w:rsidRPr="00C645C6">
        <w:rPr>
          <w:i/>
        </w:rPr>
        <w:t>Id.</w:t>
      </w:r>
      <w:r>
        <w:t xml:space="preserve"> </w:t>
      </w:r>
    </w:p>
  </w:footnote>
  <w:footnote w:id="71">
    <w:p w14:paraId="295D9CB1" w14:textId="77777777" w:rsidR="005676FC" w:rsidRDefault="005676FC">
      <w:pPr>
        <w:pStyle w:val="FootnoteText"/>
      </w:pPr>
      <w:r>
        <w:rPr>
          <w:rStyle w:val="FootnoteReference"/>
        </w:rPr>
        <w:footnoteRef/>
      </w:r>
      <w:r>
        <w:t xml:space="preserve"> </w:t>
      </w:r>
      <w:r w:rsidRPr="00B20B24">
        <w:t>This is not necessarily a complete answer in a case such as this one where the company is comprised of multiple affiliates, some regulated and some not regulated. Here it might be appropriate to use the capital structure of the overall operation</w:t>
      </w:r>
      <w:r>
        <w:t xml:space="preserve"> or a hypothetical capital structure</w:t>
      </w:r>
      <w:r w:rsidRPr="00B20B24">
        <w:t xml:space="preserve"> to protect against capital structures that might result in cross-subsidies flowing from regulated to unregulated businesses within the affiliate family.  </w:t>
      </w:r>
    </w:p>
  </w:footnote>
  <w:footnote w:id="72">
    <w:p w14:paraId="0750F943" w14:textId="77777777" w:rsidR="005676FC" w:rsidRDefault="005676FC">
      <w:pPr>
        <w:pStyle w:val="FootnoteText"/>
      </w:pPr>
      <w:r>
        <w:rPr>
          <w:rStyle w:val="FootnoteReference"/>
        </w:rPr>
        <w:footnoteRef/>
      </w:r>
      <w:r>
        <w:t xml:space="preserve"> This outcome demonstrates the importance of a collaborative effort on the part of industry participants and Staff in the pending rulemaking in </w:t>
      </w:r>
      <w:r w:rsidRPr="007922CC">
        <w:t>Docket TG-131255</w:t>
      </w:r>
      <w:r>
        <w:t>, and informally, to develop a workable methodology that can be consistently applied to determine affiliated land rents and the costs that should be allowed for other affiliate transactions.</w:t>
      </w:r>
    </w:p>
  </w:footnote>
  <w:footnote w:id="73">
    <w:p w14:paraId="48773357" w14:textId="77777777" w:rsidR="005676FC" w:rsidRDefault="005676FC">
      <w:pPr>
        <w:pStyle w:val="FootnoteText"/>
      </w:pPr>
      <w:r>
        <w:rPr>
          <w:rStyle w:val="FootnoteReference"/>
        </w:rPr>
        <w:footnoteRef/>
      </w:r>
      <w:r>
        <w:t xml:space="preserve"> Order 12 ¶ 59 (table).</w:t>
      </w:r>
    </w:p>
  </w:footnote>
  <w:footnote w:id="74">
    <w:p w14:paraId="1FF96CB2" w14:textId="77777777" w:rsidR="005676FC" w:rsidRDefault="005676FC">
      <w:pPr>
        <w:pStyle w:val="FootnoteText"/>
      </w:pPr>
      <w:r>
        <w:rPr>
          <w:rStyle w:val="FootnoteReference"/>
        </w:rPr>
        <w:footnoteRef/>
      </w:r>
      <w:r w:rsidR="007A2B27">
        <w:t xml:space="preserve"> Petition ¶ 43.</w:t>
      </w:r>
      <w:r>
        <w:t xml:space="preserve"> It appears that the Company may consider rate case expense to be a pass-through of costs that it will be allowed to recover over time. As discussed below, this is incorrect. Our consideration of rate case expense is for the purpose of determining what normalized level of legal and accounting expenses will be embedded in permanent rates going forward.</w:t>
      </w:r>
    </w:p>
  </w:footnote>
  <w:footnote w:id="75">
    <w:p w14:paraId="3ECBA535" w14:textId="77777777" w:rsidR="005676FC" w:rsidRDefault="005676FC">
      <w:pPr>
        <w:pStyle w:val="FootnoteText"/>
      </w:pPr>
      <w:r>
        <w:rPr>
          <w:rStyle w:val="FootnoteReference"/>
        </w:rPr>
        <w:footnoteRef/>
      </w:r>
      <w:r>
        <w:t xml:space="preserve"> Petition ¶ 36.</w:t>
      </w:r>
    </w:p>
  </w:footnote>
  <w:footnote w:id="76">
    <w:p w14:paraId="258DB31A" w14:textId="77777777" w:rsidR="005676FC" w:rsidRDefault="005676FC">
      <w:pPr>
        <w:pStyle w:val="FootnoteText"/>
      </w:pPr>
      <w:r>
        <w:rPr>
          <w:rStyle w:val="FootnoteReference"/>
        </w:rPr>
        <w:footnoteRef/>
      </w:r>
      <w:r>
        <w:t xml:space="preserve"> The Company’s Petition is unclear regarding whether </w:t>
      </w:r>
      <w:proofErr w:type="spellStart"/>
      <w:r>
        <w:t>WCI</w:t>
      </w:r>
      <w:proofErr w:type="spellEnd"/>
      <w:r>
        <w:t xml:space="preserve"> proposes to recover costs incurred after February 28, 2015, which could be a considerable amount considering the costs of hearing, two rounds of briefing, </w:t>
      </w:r>
      <w:r w:rsidRPr="00B124AF">
        <w:t xml:space="preserve">supplemental testimony filed with its initial brief, </w:t>
      </w:r>
      <w:r>
        <w:t xml:space="preserve">and the costs of preparing its Petition. If so, we reject the proposal. Rate case costs are not treated as a pass-through expense. The starting point on which we rely in this Order, the amount of rate case expense on record as of the publication of Order 12, is adequate to the purpose of establishing a normalized cost.  </w:t>
      </w:r>
    </w:p>
  </w:footnote>
  <w:footnote w:id="77">
    <w:p w14:paraId="481CC5E9"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Order 12 ¶¶ 69, 96.</w:t>
      </w:r>
      <w:r>
        <w:rPr>
          <w:szCs w:val="22"/>
        </w:rPr>
        <w:t xml:space="preserve">  </w:t>
      </w:r>
    </w:p>
  </w:footnote>
  <w:footnote w:id="78">
    <w:p w14:paraId="12E150D7" w14:textId="77777777" w:rsidR="005676FC" w:rsidRPr="002F4AD5" w:rsidRDefault="005676FC" w:rsidP="00341E24">
      <w:pPr>
        <w:pStyle w:val="FootnoteText"/>
        <w:rPr>
          <w:szCs w:val="22"/>
        </w:rPr>
      </w:pPr>
      <w:r w:rsidRPr="002F4AD5">
        <w:rPr>
          <w:rStyle w:val="FootnoteReference"/>
          <w:szCs w:val="22"/>
        </w:rPr>
        <w:footnoteRef/>
      </w:r>
      <w:r w:rsidRPr="002F4AD5">
        <w:rPr>
          <w:szCs w:val="22"/>
        </w:rPr>
        <w:t xml:space="preserve"> </w:t>
      </w:r>
      <w:r w:rsidRPr="002F5E61">
        <w:rPr>
          <w:i/>
          <w:szCs w:val="22"/>
        </w:rPr>
        <w:t>Id.</w:t>
      </w:r>
      <w:r w:rsidRPr="002F4AD5">
        <w:rPr>
          <w:szCs w:val="22"/>
        </w:rPr>
        <w:t xml:space="preserve"> ¶ 69.</w:t>
      </w:r>
    </w:p>
  </w:footnote>
  <w:footnote w:id="79">
    <w:p w14:paraId="68E70FBC" w14:textId="77777777" w:rsidR="005676FC" w:rsidRDefault="005676FC">
      <w:pPr>
        <w:pStyle w:val="FootnoteText"/>
      </w:pPr>
      <w:r>
        <w:rPr>
          <w:rStyle w:val="FootnoteReference"/>
        </w:rPr>
        <w:footnoteRef/>
      </w:r>
      <w:r>
        <w:t xml:space="preserve"> </w:t>
      </w:r>
      <w:r w:rsidRPr="003728D7">
        <w:rPr>
          <w:i/>
        </w:rPr>
        <w:t>See Bremerton-Kitsap</w:t>
      </w:r>
      <w:r>
        <w:t>, Fifth Supp. Order ¶ 27 n.7:</w:t>
      </w:r>
    </w:p>
    <w:p w14:paraId="03539204" w14:textId="77777777" w:rsidR="005676FC" w:rsidRDefault="005676FC" w:rsidP="003728D7">
      <w:pPr>
        <w:pStyle w:val="FootnoteText"/>
        <w:ind w:left="720" w:right="720"/>
      </w:pPr>
      <w:proofErr w:type="spellStart"/>
      <w:r w:rsidRPr="003728D7">
        <w:rPr>
          <w:i/>
          <w:iCs/>
        </w:rPr>
        <w:t>WUTC</w:t>
      </w:r>
      <w:proofErr w:type="spellEnd"/>
      <w:r w:rsidRPr="003728D7">
        <w:rPr>
          <w:i/>
          <w:iCs/>
        </w:rPr>
        <w:t xml:space="preserve"> v. </w:t>
      </w:r>
      <w:proofErr w:type="spellStart"/>
      <w:r w:rsidRPr="003728D7">
        <w:rPr>
          <w:i/>
          <w:iCs/>
        </w:rPr>
        <w:t>Sno</w:t>
      </w:r>
      <w:proofErr w:type="spellEnd"/>
      <w:r w:rsidRPr="003728D7">
        <w:rPr>
          <w:i/>
          <w:iCs/>
        </w:rPr>
        <w:t>-King Garbage Company, Inc.</w:t>
      </w:r>
      <w:r w:rsidRPr="003728D7">
        <w:t xml:space="preserve">, Docket Nos. TG-900657, TG-900658, Fourth and Fifth Supp. Orders, (Dec. 1991) (Commission found no benefit to ratepayers from the amounts spent on expert and attorney fees in the case and denied their recovery in rates as exorbitant and imprudent); </w:t>
      </w:r>
      <w:r w:rsidRPr="003728D7">
        <w:rPr>
          <w:i/>
          <w:iCs/>
        </w:rPr>
        <w:t>Petition of PSE</w:t>
      </w:r>
      <w:r w:rsidRPr="003728D7">
        <w:t>, Docket No. UE-920433, Fifteenth Supp. Order (Dec. 15, 1993) (Commission affirmed rejection of portion of PSE’s rate case expenses, partly in response to Public Counsel argument that the Company simply spent too much); s</w:t>
      </w:r>
      <w:r w:rsidRPr="003728D7">
        <w:rPr>
          <w:i/>
          <w:iCs/>
        </w:rPr>
        <w:t xml:space="preserve">ee also, </w:t>
      </w:r>
      <w:proofErr w:type="spellStart"/>
      <w:r w:rsidRPr="003728D7">
        <w:rPr>
          <w:i/>
          <w:iCs/>
        </w:rPr>
        <w:t>WUTC</w:t>
      </w:r>
      <w:proofErr w:type="spellEnd"/>
      <w:r w:rsidRPr="003728D7">
        <w:rPr>
          <w:i/>
          <w:iCs/>
        </w:rPr>
        <w:t xml:space="preserve"> v. Rosario Utilities, LLC</w:t>
      </w:r>
      <w:r w:rsidRPr="003728D7">
        <w:t>, Docket No. UW-951483, Fourth Supp. Order, pp. 7, 8 (November 25, 1996) ($6,000 allowed, $18,000 sought).</w:t>
      </w:r>
    </w:p>
    <w:p w14:paraId="38155A74" w14:textId="77777777" w:rsidR="005676FC" w:rsidRDefault="005676FC" w:rsidP="007922CC">
      <w:pPr>
        <w:pStyle w:val="FootnoteText"/>
        <w:ind w:right="720"/>
      </w:pPr>
      <w:r>
        <w:t>These cases illustrate the range of the Commission’s exercise of discretion in considering and determining a normalized level of rate case ex</w:t>
      </w:r>
      <w:r w:rsidR="00E0190A">
        <w:t>penses to be included in rates.</w:t>
      </w:r>
      <w:r>
        <w:t xml:space="preserve"> Expenses found to be “exorbitant and imprudent”, as in the </w:t>
      </w:r>
      <w:proofErr w:type="spellStart"/>
      <w:r w:rsidRPr="007922CC">
        <w:rPr>
          <w:i/>
        </w:rPr>
        <w:t>Sno</w:t>
      </w:r>
      <w:proofErr w:type="spellEnd"/>
      <w:r w:rsidRPr="007922CC">
        <w:rPr>
          <w:i/>
        </w:rPr>
        <w:t>-King Garbage</w:t>
      </w:r>
      <w:r>
        <w:t xml:space="preserve"> case,</w:t>
      </w:r>
      <w:r w:rsidR="00E0190A">
        <w:t xml:space="preserve"> may not be considered at all. </w:t>
      </w:r>
      <w:r>
        <w:t>There the Commission said it would “do whatever is necessary to discourage ‘gold p</w:t>
      </w:r>
      <w:r w:rsidR="00E0190A">
        <w:t>lating’ of rate case expenses.”</w:t>
      </w:r>
      <w:r>
        <w:t xml:space="preserve"> </w:t>
      </w:r>
      <w:proofErr w:type="spellStart"/>
      <w:r w:rsidRPr="007922CC">
        <w:rPr>
          <w:i/>
        </w:rPr>
        <w:t>Sno</w:t>
      </w:r>
      <w:proofErr w:type="spellEnd"/>
      <w:r w:rsidRPr="007922CC">
        <w:rPr>
          <w:i/>
        </w:rPr>
        <w:t>-King Garbage</w:t>
      </w:r>
      <w:r>
        <w:t xml:space="preserve">, Fourth and Fifth Supp. Orders at 19. Costs found to be extraordinary and excessive, although not imprudent, may be disallowed in part, as in the </w:t>
      </w:r>
      <w:r w:rsidRPr="007922CC">
        <w:rPr>
          <w:i/>
        </w:rPr>
        <w:t>PSE</w:t>
      </w:r>
      <w:r>
        <w:t xml:space="preserve"> and </w:t>
      </w:r>
      <w:r w:rsidRPr="007922CC">
        <w:rPr>
          <w:i/>
        </w:rPr>
        <w:t>Rosario Utilities</w:t>
      </w:r>
      <w:r>
        <w:t xml:space="preserve"> cases cited above. </w:t>
      </w:r>
    </w:p>
  </w:footnote>
  <w:footnote w:id="80">
    <w:p w14:paraId="263BD40F" w14:textId="77777777" w:rsidR="005676FC" w:rsidRDefault="005676FC">
      <w:pPr>
        <w:pStyle w:val="FootnoteText"/>
      </w:pPr>
      <w:r>
        <w:rPr>
          <w:rStyle w:val="FootnoteReference"/>
        </w:rPr>
        <w:footnoteRef/>
      </w:r>
      <w:r>
        <w:t xml:space="preserve"> </w:t>
      </w:r>
      <w:r w:rsidRPr="005627F8">
        <w:t xml:space="preserve">Order 12 </w:t>
      </w:r>
      <w:r>
        <w:t>¶ 96 (Finding and Conclusion 14).</w:t>
      </w:r>
    </w:p>
  </w:footnote>
  <w:footnote w:id="81">
    <w:p w14:paraId="60430B9B" w14:textId="77777777" w:rsidR="005676FC" w:rsidRDefault="005676FC">
      <w:pPr>
        <w:pStyle w:val="FootnoteText"/>
      </w:pPr>
      <w:r>
        <w:rPr>
          <w:rStyle w:val="FootnoteReference"/>
        </w:rPr>
        <w:footnoteRef/>
      </w:r>
      <w:r>
        <w:t xml:space="preserve"> Finding/Conclusion 14 (Order 12 ¶ 96) to which the Petition cites actually uses the word “excessive,” not “exorbitant” though the Initial Order does describe these costs as exorbitant in ¶ 69, as previously stated.</w:t>
      </w:r>
    </w:p>
  </w:footnote>
  <w:footnote w:id="82">
    <w:p w14:paraId="07211014"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Petition ¶ 32 (citation omitted). </w:t>
      </w:r>
      <w:r>
        <w:rPr>
          <w:szCs w:val="22"/>
        </w:rPr>
        <w:t>While this is certainly true, another reason to disallow costs incurred in a proceeding such as this one is that the costs, even if not exorbitant and imprudent, are not representative of normal levels of expense that should be included in rates on a continuing basis and for that reason the</w:t>
      </w:r>
      <w:r w:rsidR="00E0190A">
        <w:rPr>
          <w:szCs w:val="22"/>
        </w:rPr>
        <w:t xml:space="preserve">y are excessive by definition. </w:t>
      </w:r>
      <w:r>
        <w:rPr>
          <w:szCs w:val="22"/>
        </w:rPr>
        <w:t>We discuss this point in more detail below.</w:t>
      </w:r>
    </w:p>
  </w:footnote>
  <w:footnote w:id="83">
    <w:p w14:paraId="1A728FC8"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w:t>
      </w:r>
      <w:r w:rsidRPr="002F4AD5">
        <w:rPr>
          <w:i/>
          <w:szCs w:val="22"/>
        </w:rPr>
        <w:t>Id</w:t>
      </w:r>
      <w:r w:rsidRPr="002F4AD5">
        <w:rPr>
          <w:szCs w:val="22"/>
        </w:rPr>
        <w:t>.</w:t>
      </w:r>
    </w:p>
  </w:footnote>
  <w:footnote w:id="84">
    <w:p w14:paraId="3802AE32" w14:textId="77777777" w:rsidR="005676FC" w:rsidRPr="002F4AD5" w:rsidRDefault="005676FC" w:rsidP="002F4AD5">
      <w:pPr>
        <w:pStyle w:val="FootnoteText"/>
        <w:rPr>
          <w:szCs w:val="22"/>
        </w:rPr>
      </w:pPr>
      <w:r w:rsidRPr="002F4AD5">
        <w:rPr>
          <w:rStyle w:val="FootnoteReference"/>
          <w:szCs w:val="22"/>
        </w:rPr>
        <w:footnoteRef/>
      </w:r>
      <w:r w:rsidRPr="002F4AD5">
        <w:rPr>
          <w:szCs w:val="22"/>
        </w:rPr>
        <w:t xml:space="preserve"> </w:t>
      </w:r>
      <w:r w:rsidRPr="002F4AD5">
        <w:rPr>
          <w:i/>
          <w:szCs w:val="22"/>
        </w:rPr>
        <w:t>Id.</w:t>
      </w:r>
      <w:r w:rsidRPr="002F4AD5">
        <w:rPr>
          <w:szCs w:val="22"/>
        </w:rPr>
        <w:t xml:space="preserve"> ¶ 36.</w:t>
      </w:r>
    </w:p>
  </w:footnote>
  <w:footnote w:id="85">
    <w:p w14:paraId="59E17307" w14:textId="77777777" w:rsidR="005676FC" w:rsidRDefault="005676FC">
      <w:pPr>
        <w:pStyle w:val="FootnoteText"/>
      </w:pPr>
      <w:r>
        <w:rPr>
          <w:rStyle w:val="FootnoteReference"/>
        </w:rPr>
        <w:footnoteRef/>
      </w:r>
      <w:r>
        <w:t xml:space="preserve"> </w:t>
      </w:r>
      <w:r w:rsidRPr="00656D87">
        <w:rPr>
          <w:i/>
        </w:rPr>
        <w:t>Id.</w:t>
      </w:r>
      <w:r w:rsidRPr="00656D87">
        <w:t xml:space="preserve"> ¶</w:t>
      </w:r>
      <w:r>
        <w:t xml:space="preserve"> 33.</w:t>
      </w:r>
    </w:p>
  </w:footnote>
  <w:footnote w:id="86">
    <w:p w14:paraId="3906BC98" w14:textId="77777777" w:rsidR="005676FC" w:rsidRDefault="005676FC">
      <w:pPr>
        <w:pStyle w:val="FootnoteText"/>
      </w:pPr>
      <w:r>
        <w:rPr>
          <w:rStyle w:val="FootnoteReference"/>
        </w:rPr>
        <w:footnoteRef/>
      </w:r>
      <w:r>
        <w:t xml:space="preserve"> </w:t>
      </w:r>
      <w:r w:rsidRPr="00656D87">
        <w:rPr>
          <w:i/>
        </w:rPr>
        <w:t>Id.</w:t>
      </w:r>
      <w:r w:rsidRPr="00656D87">
        <w:t xml:space="preserve"> ¶</w:t>
      </w:r>
      <w:r>
        <w:t xml:space="preserve"> 37.</w:t>
      </w:r>
    </w:p>
  </w:footnote>
  <w:footnote w:id="87">
    <w:p w14:paraId="527DE005" w14:textId="77777777" w:rsidR="005676FC" w:rsidRDefault="005676FC">
      <w:pPr>
        <w:pStyle w:val="FootnoteText"/>
      </w:pPr>
      <w:r>
        <w:rPr>
          <w:rStyle w:val="FootnoteReference"/>
        </w:rPr>
        <w:footnoteRef/>
      </w:r>
      <w:r>
        <w:t xml:space="preserve"> </w:t>
      </w:r>
      <w:r w:rsidRPr="00F106BB">
        <w:rPr>
          <w:i/>
        </w:rPr>
        <w:t>Id.</w:t>
      </w:r>
      <w:r>
        <w:t xml:space="preserve"> ¶ 40.</w:t>
      </w:r>
    </w:p>
  </w:footnote>
  <w:footnote w:id="88">
    <w:p w14:paraId="420800A0" w14:textId="77777777" w:rsidR="005676FC" w:rsidRDefault="005676FC">
      <w:pPr>
        <w:pStyle w:val="FootnoteText"/>
      </w:pPr>
      <w:r>
        <w:rPr>
          <w:rStyle w:val="FootnoteReference"/>
        </w:rPr>
        <w:footnoteRef/>
      </w:r>
      <w:r>
        <w:t xml:space="preserve"> Staff Answer ¶ 32.</w:t>
      </w:r>
    </w:p>
  </w:footnote>
  <w:footnote w:id="89">
    <w:p w14:paraId="480CC7AD" w14:textId="77777777" w:rsidR="005676FC" w:rsidRDefault="005676FC">
      <w:pPr>
        <w:pStyle w:val="FootnoteText"/>
      </w:pPr>
      <w:r>
        <w:rPr>
          <w:rStyle w:val="FootnoteReference"/>
        </w:rPr>
        <w:footnoteRef/>
      </w:r>
      <w:r>
        <w:t xml:space="preserve"> </w:t>
      </w:r>
      <w:r w:rsidRPr="001B1826">
        <w:rPr>
          <w:i/>
        </w:rPr>
        <w:t>See</w:t>
      </w:r>
      <w:r>
        <w:t xml:space="preserve"> Order 12 ¶ 74.</w:t>
      </w:r>
    </w:p>
  </w:footnote>
  <w:footnote w:id="90">
    <w:p w14:paraId="2D55119D" w14:textId="77777777" w:rsidR="005676FC" w:rsidRDefault="005676FC">
      <w:pPr>
        <w:pStyle w:val="FootnoteText"/>
      </w:pPr>
      <w:r>
        <w:rPr>
          <w:rStyle w:val="FootnoteReference"/>
        </w:rPr>
        <w:footnoteRef/>
      </w:r>
      <w:r>
        <w:t xml:space="preserve"> </w:t>
      </w:r>
      <w:r w:rsidRPr="00AE3E9B">
        <w:rPr>
          <w:i/>
        </w:rPr>
        <w:t>See Bremerton-Kitsap</w:t>
      </w:r>
      <w:r>
        <w:t xml:space="preserve">, Fifth Supp. Order ¶ 28. </w:t>
      </w:r>
    </w:p>
  </w:footnote>
  <w:footnote w:id="91">
    <w:p w14:paraId="33917EBD" w14:textId="77777777" w:rsidR="005676FC" w:rsidRDefault="005676FC">
      <w:pPr>
        <w:pStyle w:val="FootnoteText"/>
      </w:pPr>
      <w:r>
        <w:rPr>
          <w:rStyle w:val="FootnoteReference"/>
        </w:rPr>
        <w:footnoteRef/>
      </w:r>
      <w:r>
        <w:t xml:space="preserve"> </w:t>
      </w:r>
      <w:r w:rsidRPr="00A345A9">
        <w:rPr>
          <w:i/>
        </w:rPr>
        <w:t>See</w:t>
      </w:r>
      <w:r w:rsidRPr="00A345A9">
        <w:t xml:space="preserve"> </w:t>
      </w:r>
      <w:r w:rsidR="00A54D2C">
        <w:rPr>
          <w:i/>
        </w:rPr>
        <w:t xml:space="preserve">Fed. </w:t>
      </w:r>
      <w:r w:rsidRPr="00A345A9">
        <w:rPr>
          <w:i/>
        </w:rPr>
        <w:t xml:space="preserve">Power </w:t>
      </w:r>
      <w:proofErr w:type="spellStart"/>
      <w:r w:rsidRPr="00A345A9">
        <w:rPr>
          <w:i/>
        </w:rPr>
        <w:t>Comm</w:t>
      </w:r>
      <w:proofErr w:type="spellEnd"/>
      <w:r w:rsidRPr="00A345A9">
        <w:rPr>
          <w:i/>
        </w:rPr>
        <w:t xml:space="preserve"> 'n v. Hope Natural Gas Co., </w:t>
      </w:r>
      <w:r w:rsidRPr="00A345A9">
        <w:t xml:space="preserve">320 U.S. 591, 603, 64 S. Ct. 281, 88 L. Ed. 333 (1944) (the methods by which government regulators determine a utility's rate are inconsequential so long as the </w:t>
      </w:r>
      <w:r w:rsidRPr="00A345A9">
        <w:rPr>
          <w:i/>
        </w:rPr>
        <w:t xml:space="preserve">end result </w:t>
      </w:r>
      <w:r w:rsidRPr="00A345A9">
        <w:t>is fair)</w:t>
      </w:r>
      <w:r>
        <w:t xml:space="preserve">; </w:t>
      </w:r>
      <w:r w:rsidRPr="00A345A9">
        <w:rPr>
          <w:i/>
        </w:rPr>
        <w:t>see also</w:t>
      </w:r>
      <w:r>
        <w:t xml:space="preserve"> </w:t>
      </w:r>
      <w:r w:rsidRPr="00A345A9">
        <w:rPr>
          <w:i/>
        </w:rPr>
        <w:t xml:space="preserve">In re Permian Basin Area Rate Cases, </w:t>
      </w:r>
      <w:r w:rsidRPr="00A345A9">
        <w:t>390 U.S. 747, 767, 88 S. Ct. 1344, 20 L. Ed. 2d 312 (1968)</w:t>
      </w:r>
      <w:r>
        <w:t xml:space="preserve">; </w:t>
      </w:r>
      <w:r w:rsidRPr="00A345A9">
        <w:rPr>
          <w:i/>
        </w:rPr>
        <w:t xml:space="preserve">People's Organization for Washington Energy Resources v. </w:t>
      </w:r>
      <w:proofErr w:type="spellStart"/>
      <w:r w:rsidRPr="00A345A9">
        <w:rPr>
          <w:i/>
        </w:rPr>
        <w:t>WUTC</w:t>
      </w:r>
      <w:proofErr w:type="spellEnd"/>
      <w:r w:rsidRPr="00A345A9">
        <w:rPr>
          <w:i/>
        </w:rPr>
        <w:t>,</w:t>
      </w:r>
      <w:r>
        <w:t xml:space="preserve"> </w:t>
      </w:r>
      <w:r w:rsidRPr="008C3BD7">
        <w:rPr>
          <w:bCs/>
        </w:rPr>
        <w:t>104 W</w:t>
      </w:r>
      <w:r>
        <w:rPr>
          <w:bCs/>
        </w:rPr>
        <w:t>n.</w:t>
      </w:r>
      <w:r w:rsidRPr="008C3BD7">
        <w:rPr>
          <w:bCs/>
        </w:rPr>
        <w:t>2d 798, 711 P.2d 319 (1985)</w:t>
      </w:r>
      <w:r>
        <w:rPr>
          <w:bCs/>
        </w:rPr>
        <w:t xml:space="preserve"> (</w:t>
      </w:r>
      <w:r w:rsidRPr="008C3BD7">
        <w:rPr>
          <w:bCs/>
          <w:i/>
        </w:rPr>
        <w:t>POWER</w:t>
      </w:r>
      <w:r>
        <w:rPr>
          <w:bCs/>
        </w:rPr>
        <w:t>) (</w:t>
      </w:r>
      <w:r w:rsidRPr="008C3BD7">
        <w:rPr>
          <w:bCs/>
        </w:rPr>
        <w:t>“within a fairly broad range, regulatory agencies exercise substantial discretion in selecting the appropriate rate making methodology.”</w:t>
      </w:r>
      <w:r>
        <w:rPr>
          <w:bCs/>
        </w:rPr>
        <w:t xml:space="preserve"> </w:t>
      </w:r>
      <w:r w:rsidRPr="008C3BD7">
        <w:rPr>
          <w:bCs/>
          <w:i/>
        </w:rPr>
        <w:t>POWER</w:t>
      </w:r>
      <w:r>
        <w:rPr>
          <w:bCs/>
        </w:rPr>
        <w:t xml:space="preserve"> 104 Wn.2d at 812)</w:t>
      </w:r>
      <w:r w:rsidRPr="008C3BD7">
        <w:t>.</w:t>
      </w:r>
    </w:p>
  </w:footnote>
  <w:footnote w:id="92">
    <w:p w14:paraId="6FB7F62B" w14:textId="77777777" w:rsidR="005676FC" w:rsidRDefault="005676FC">
      <w:pPr>
        <w:pStyle w:val="FootnoteText"/>
      </w:pPr>
      <w:r>
        <w:rPr>
          <w:rStyle w:val="FootnoteReference"/>
        </w:rPr>
        <w:footnoteRef/>
      </w:r>
      <w:r>
        <w:t xml:space="preserve"> </w:t>
      </w:r>
      <w:proofErr w:type="spellStart"/>
      <w:r w:rsidRPr="008603A3">
        <w:t>Cheesman</w:t>
      </w:r>
      <w:proofErr w:type="spellEnd"/>
      <w:r w:rsidRPr="008603A3">
        <w:t xml:space="preserve">, </w:t>
      </w:r>
      <w:proofErr w:type="spellStart"/>
      <w:r w:rsidRPr="008603A3">
        <w:t>Exh</w:t>
      </w:r>
      <w:proofErr w:type="spellEnd"/>
      <w:r w:rsidRPr="008603A3">
        <w:t>. No. MC-1T at 47:18-22</w:t>
      </w:r>
      <w:r>
        <w:t>.</w:t>
      </w:r>
    </w:p>
  </w:footnote>
  <w:footnote w:id="93">
    <w:p w14:paraId="7F6BC3D5" w14:textId="77777777" w:rsidR="005676FC" w:rsidRDefault="005676FC">
      <w:pPr>
        <w:pStyle w:val="FootnoteText"/>
      </w:pPr>
      <w:r>
        <w:rPr>
          <w:rStyle w:val="FootnoteReference"/>
        </w:rPr>
        <w:footnoteRef/>
      </w:r>
      <w:r>
        <w:t xml:space="preserve"> </w:t>
      </w:r>
      <w:r w:rsidRPr="00446E2B">
        <w:rPr>
          <w:i/>
        </w:rPr>
        <w:t>See</w:t>
      </w:r>
      <w:r>
        <w:t xml:space="preserve"> Order 12 ¶ 61 (citing Staff Initial Brief ¶ 56).</w:t>
      </w:r>
    </w:p>
  </w:footnote>
  <w:footnote w:id="94">
    <w:p w14:paraId="6444B817"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proofErr w:type="spellStart"/>
      <w:r w:rsidRPr="00446E2B">
        <w:rPr>
          <w:szCs w:val="22"/>
        </w:rPr>
        <w:t>Cheesman</w:t>
      </w:r>
      <w:proofErr w:type="spellEnd"/>
      <w:r w:rsidRPr="00446E2B">
        <w:rPr>
          <w:szCs w:val="22"/>
        </w:rPr>
        <w:t xml:space="preserve">, </w:t>
      </w:r>
      <w:proofErr w:type="spellStart"/>
      <w:r w:rsidRPr="00446E2B">
        <w:rPr>
          <w:szCs w:val="22"/>
        </w:rPr>
        <w:t>Exh</w:t>
      </w:r>
      <w:proofErr w:type="spellEnd"/>
      <w:r w:rsidRPr="00446E2B">
        <w:rPr>
          <w:szCs w:val="22"/>
        </w:rPr>
        <w:t>. No. MC-1T at</w:t>
      </w:r>
      <w:r w:rsidRPr="00446E2B">
        <w:rPr>
          <w:i/>
          <w:szCs w:val="22"/>
        </w:rPr>
        <w:t xml:space="preserve"> </w:t>
      </w:r>
      <w:r w:rsidRPr="002F4AD5">
        <w:rPr>
          <w:szCs w:val="22"/>
        </w:rPr>
        <w:t>¶ 63.</w:t>
      </w:r>
    </w:p>
  </w:footnote>
  <w:footnote w:id="95">
    <w:p w14:paraId="3B5731FB"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r>
        <w:rPr>
          <w:i/>
          <w:szCs w:val="22"/>
        </w:rPr>
        <w:t>Id.</w:t>
      </w:r>
      <w:r w:rsidRPr="002F4AD5">
        <w:rPr>
          <w:szCs w:val="22"/>
        </w:rPr>
        <w:t xml:space="preserve"> at 47:22-48:2.</w:t>
      </w:r>
    </w:p>
  </w:footnote>
  <w:footnote w:id="96">
    <w:p w14:paraId="1B254C0B"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Staff Initial Brief, ¶ 65.</w:t>
      </w:r>
    </w:p>
  </w:footnote>
  <w:footnote w:id="97">
    <w:p w14:paraId="00E2FE05" w14:textId="77777777" w:rsidR="005676FC" w:rsidRDefault="005676FC">
      <w:pPr>
        <w:pStyle w:val="FootnoteText"/>
      </w:pPr>
      <w:r>
        <w:rPr>
          <w:rStyle w:val="FootnoteReference"/>
        </w:rPr>
        <w:footnoteRef/>
      </w:r>
      <w:r>
        <w:t xml:space="preserve"> Order 12 ¶ 75.</w:t>
      </w:r>
    </w:p>
  </w:footnote>
  <w:footnote w:id="98">
    <w:p w14:paraId="1F37A5E3" w14:textId="77777777" w:rsidR="005676FC" w:rsidRDefault="005676FC">
      <w:pPr>
        <w:pStyle w:val="FootnoteText"/>
      </w:pPr>
      <w:r>
        <w:rPr>
          <w:rStyle w:val="FootnoteReference"/>
        </w:rPr>
        <w:footnoteRef/>
      </w:r>
      <w:r w:rsidR="00A54D2C">
        <w:t xml:space="preserve"> Petition ¶ 3 n.2.</w:t>
      </w:r>
      <w:r>
        <w:t xml:space="preserve"> The Initial Order observes</w:t>
      </w:r>
      <w:r w:rsidRPr="0036746B">
        <w:rPr>
          <w:sz w:val="24"/>
          <w:szCs w:val="24"/>
        </w:rPr>
        <w:t xml:space="preserve"> </w:t>
      </w:r>
      <w:r w:rsidRPr="0036746B">
        <w:rPr>
          <w:szCs w:val="22"/>
        </w:rPr>
        <w:t>that</w:t>
      </w:r>
      <w:r>
        <w:rPr>
          <w:sz w:val="24"/>
          <w:szCs w:val="24"/>
        </w:rPr>
        <w:t xml:space="preserve"> “t</w:t>
      </w:r>
      <w:r w:rsidRPr="0036746B">
        <w:t>his rate case is the first fully litigated solid waste rate case before the Commission in more than 20 years.</w:t>
      </w:r>
      <w:r>
        <w:t xml:space="preserve">” Order 12 ¶ 79 (citing </w:t>
      </w:r>
      <w:r w:rsidRPr="0036746B">
        <w:rPr>
          <w:i/>
        </w:rPr>
        <w:t>King County Dep’t. of Public Works, Solid Waste Division, v. Seattle Disp. Co., et al</w:t>
      </w:r>
      <w:r w:rsidRPr="0036746B">
        <w:t>, Docket TG-940411, Third Supplemental Order (Sept. 1994)</w:t>
      </w:r>
      <w:r>
        <w:t>)</w:t>
      </w:r>
      <w:r w:rsidRPr="0036746B">
        <w:t>.</w:t>
      </w:r>
      <w:r w:rsidR="00A54D2C">
        <w:t xml:space="preserve"> </w:t>
      </w:r>
      <w:r>
        <w:t xml:space="preserve">The </w:t>
      </w:r>
      <w:r w:rsidRPr="0025367F">
        <w:rPr>
          <w:i/>
        </w:rPr>
        <w:t>King County</w:t>
      </w:r>
      <w:r>
        <w:t xml:space="preserve"> case was a complaint case, not a general rate case.</w:t>
      </w:r>
    </w:p>
  </w:footnote>
  <w:footnote w:id="99">
    <w:p w14:paraId="34E3C56A" w14:textId="77777777" w:rsidR="005676FC" w:rsidRDefault="005676FC">
      <w:pPr>
        <w:pStyle w:val="FootnoteText"/>
      </w:pPr>
      <w:r>
        <w:rPr>
          <w:rStyle w:val="FootnoteReference"/>
        </w:rPr>
        <w:footnoteRef/>
      </w:r>
      <w:r>
        <w:t xml:space="preserve"> </w:t>
      </w:r>
      <w:r w:rsidRPr="00543364">
        <w:rPr>
          <w:i/>
        </w:rPr>
        <w:t>Bremerton-Kitsap</w:t>
      </w:r>
      <w:r>
        <w:t>, Fifth Supp. Order ¶ 27.</w:t>
      </w:r>
    </w:p>
  </w:footnote>
  <w:footnote w:id="100">
    <w:p w14:paraId="21195195" w14:textId="77777777" w:rsidR="005676FC" w:rsidRDefault="005676FC">
      <w:pPr>
        <w:pStyle w:val="FootnoteText"/>
      </w:pPr>
      <w:r>
        <w:rPr>
          <w:rStyle w:val="FootnoteReference"/>
        </w:rPr>
        <w:footnoteRef/>
      </w:r>
      <w:r>
        <w:t xml:space="preserve"> It has been 21 years since any solid waste case was litigated before the Commission and even longer since any solid waste general rate case was litigated. </w:t>
      </w:r>
      <w:r w:rsidRPr="00982A55">
        <w:rPr>
          <w:i/>
        </w:rPr>
        <w:t xml:space="preserve">See </w:t>
      </w:r>
      <w:proofErr w:type="spellStart"/>
      <w:r w:rsidRPr="00982A55">
        <w:rPr>
          <w:i/>
        </w:rPr>
        <w:t>WUTC</w:t>
      </w:r>
      <w:proofErr w:type="spellEnd"/>
      <w:r w:rsidRPr="00982A55">
        <w:rPr>
          <w:i/>
        </w:rPr>
        <w:t xml:space="preserve"> v. </w:t>
      </w:r>
      <w:proofErr w:type="spellStart"/>
      <w:r w:rsidRPr="00982A55">
        <w:rPr>
          <w:i/>
        </w:rPr>
        <w:t>Sno</w:t>
      </w:r>
      <w:proofErr w:type="spellEnd"/>
      <w:r w:rsidRPr="00982A55">
        <w:rPr>
          <w:i/>
        </w:rPr>
        <w:t>-King Garbage Company</w:t>
      </w:r>
      <w:r>
        <w:rPr>
          <w:i/>
        </w:rPr>
        <w:t xml:space="preserve"> and</w:t>
      </w:r>
      <w:r w:rsidRPr="00982A55">
        <w:rPr>
          <w:i/>
        </w:rPr>
        <w:t xml:space="preserve"> </w:t>
      </w:r>
      <w:proofErr w:type="spellStart"/>
      <w:r w:rsidRPr="00982A55">
        <w:rPr>
          <w:i/>
        </w:rPr>
        <w:t>WUTC</w:t>
      </w:r>
      <w:proofErr w:type="spellEnd"/>
      <w:r w:rsidRPr="00982A55">
        <w:rPr>
          <w:i/>
        </w:rPr>
        <w:t xml:space="preserve"> v. Northwest Garbage Company,</w:t>
      </w:r>
      <w:r>
        <w:rPr>
          <w:i/>
        </w:rPr>
        <w:t xml:space="preserve"> </w:t>
      </w:r>
      <w:r w:rsidRPr="00982A55">
        <w:rPr>
          <w:i/>
        </w:rPr>
        <w:t xml:space="preserve">Docket Nos. TG-900657 and 900658 </w:t>
      </w:r>
      <w:r>
        <w:rPr>
          <w:i/>
        </w:rPr>
        <w:t xml:space="preserve">Fourth and Fifth Supp. Orders </w:t>
      </w:r>
      <w:r w:rsidRPr="00982A55">
        <w:rPr>
          <w:i/>
        </w:rPr>
        <w:t>(Dec</w:t>
      </w:r>
      <w:r>
        <w:rPr>
          <w:i/>
        </w:rPr>
        <w:t>ember 10,</w:t>
      </w:r>
      <w:r w:rsidRPr="00982A55">
        <w:rPr>
          <w:i/>
        </w:rPr>
        <w:t xml:space="preserve"> 1991)</w:t>
      </w:r>
      <w:r>
        <w:rPr>
          <w:i/>
        </w:rPr>
        <w:t>.</w:t>
      </w:r>
    </w:p>
  </w:footnote>
  <w:footnote w:id="101">
    <w:p w14:paraId="635B89B2" w14:textId="77777777" w:rsidR="005676FC" w:rsidRDefault="005676FC">
      <w:pPr>
        <w:pStyle w:val="FootnoteText"/>
      </w:pPr>
      <w:r>
        <w:rPr>
          <w:rStyle w:val="FootnoteReference"/>
        </w:rPr>
        <w:footnoteRef/>
      </w:r>
      <w:r>
        <w:t xml:space="preserve"> </w:t>
      </w:r>
      <w:r w:rsidRPr="00E528EA">
        <w:rPr>
          <w:i/>
        </w:rPr>
        <w:t>See Bremerton-Kitsap</w:t>
      </w:r>
      <w:r w:rsidRPr="00E528EA">
        <w:t>, Fifth Supp. Order ¶</w:t>
      </w:r>
      <w:r>
        <w:t xml:space="preserve"> 28:</w:t>
      </w:r>
    </w:p>
    <w:p w14:paraId="49BE5B93" w14:textId="77777777" w:rsidR="005676FC" w:rsidRDefault="005676FC" w:rsidP="00E528EA">
      <w:pPr>
        <w:pStyle w:val="FootnoteText"/>
        <w:ind w:left="720" w:right="720"/>
      </w:pPr>
      <w:r w:rsidRPr="00E528EA">
        <w:t>Commission Staff argues that the objective in setting an appropriate amortization period in each individual case is “to choose a period that will normalize the level of legal and accounting expenses that are to be</w:t>
      </w:r>
      <w:r w:rsidR="00A54D2C">
        <w:t xml:space="preserve"> embedded in permanent rates.” </w:t>
      </w:r>
      <w:r w:rsidRPr="00E528EA">
        <w:t>Staff argues the related principle that rate case expenses should be amortized “over the period between expected occurrences</w:t>
      </w:r>
      <w:r w:rsidR="00A54D2C">
        <w:t xml:space="preserve"> or over a reasonable period.” </w:t>
      </w:r>
      <w:r w:rsidRPr="00E528EA">
        <w:t xml:space="preserve">We agree that these are sound principles to follow when determining the appropriate amortization period to use in pro forming </w:t>
      </w:r>
      <w:proofErr w:type="spellStart"/>
      <w:r w:rsidRPr="00E528EA">
        <w:t>BK</w:t>
      </w:r>
      <w:r w:rsidR="00A54D2C">
        <w:t>A’s</w:t>
      </w:r>
      <w:proofErr w:type="spellEnd"/>
      <w:r w:rsidR="00A54D2C">
        <w:t xml:space="preserve"> legal and accounting costs.</w:t>
      </w:r>
      <w:r w:rsidRPr="00E528EA">
        <w:t xml:space="preserve"> The Company’s last litigated rate case was more than a decade ago, and the present case before the Commission is the first time, to our knowledge, that the Commission has ever </w:t>
      </w:r>
      <w:r w:rsidR="00A54D2C">
        <w:t xml:space="preserve">filed a complaint against </w:t>
      </w:r>
      <w:proofErr w:type="spellStart"/>
      <w:r w:rsidR="00A54D2C">
        <w:t>BKA</w:t>
      </w:r>
      <w:proofErr w:type="spellEnd"/>
      <w:r w:rsidR="00A54D2C">
        <w:t xml:space="preserve">. </w:t>
      </w:r>
      <w:r w:rsidRPr="00E528EA">
        <w:t>In light of these facts, a five-year amortization period is reasonable.</w:t>
      </w:r>
    </w:p>
  </w:footnote>
  <w:footnote w:id="102">
    <w:p w14:paraId="26CBF9C2" w14:textId="77777777" w:rsidR="005676FC" w:rsidRDefault="005676FC">
      <w:pPr>
        <w:pStyle w:val="FootnoteText"/>
      </w:pPr>
      <w:r>
        <w:rPr>
          <w:rStyle w:val="FootnoteReference"/>
        </w:rPr>
        <w:footnoteRef/>
      </w:r>
      <w:r>
        <w:t xml:space="preserve"> Considering the Company’s history with rate cases we think normalized rate case expense of this magnitude is probabl</w:t>
      </w:r>
      <w:r w:rsidR="00A54D2C">
        <w:t>y too high for the longer term.</w:t>
      </w:r>
      <w:r>
        <w:t xml:space="preserve"> We therefore encourage Staff to revisit this issue in future rate cases with any eye to adjustment that takes into account the Company’s historical rate case experience and its experience going forward from the time of this case.</w:t>
      </w:r>
    </w:p>
  </w:footnote>
  <w:footnote w:id="103">
    <w:p w14:paraId="7A395BC5" w14:textId="77777777" w:rsidR="005676FC" w:rsidRPr="002F4AD5" w:rsidRDefault="005676FC" w:rsidP="002F4AD5">
      <w:pPr>
        <w:pStyle w:val="FootnoteText"/>
        <w:spacing w:before="120"/>
        <w:rPr>
          <w:szCs w:val="22"/>
        </w:rPr>
      </w:pPr>
      <w:r w:rsidRPr="002F4AD5">
        <w:rPr>
          <w:rStyle w:val="FootnoteReference"/>
          <w:szCs w:val="22"/>
        </w:rPr>
        <w:footnoteRef/>
      </w:r>
      <w:r w:rsidRPr="002F4AD5">
        <w:rPr>
          <w:szCs w:val="22"/>
        </w:rPr>
        <w:t xml:space="preserve"> </w:t>
      </w:r>
      <w:proofErr w:type="spellStart"/>
      <w:r w:rsidRPr="002F4AD5">
        <w:rPr>
          <w:szCs w:val="22"/>
        </w:rPr>
        <w:t>RCW</w:t>
      </w:r>
      <w:proofErr w:type="spellEnd"/>
      <w:r w:rsidRPr="002F4AD5">
        <w:rPr>
          <w:szCs w:val="22"/>
        </w:rPr>
        <w:t xml:space="preserve"> 81.20.020.  </w:t>
      </w:r>
    </w:p>
  </w:footnote>
  <w:footnote w:id="104">
    <w:p w14:paraId="05827BAC" w14:textId="77777777" w:rsidR="005676FC" w:rsidRDefault="005676FC">
      <w:pPr>
        <w:pStyle w:val="FootnoteText"/>
      </w:pPr>
      <w:r>
        <w:rPr>
          <w:rStyle w:val="FootnoteReference"/>
        </w:rPr>
        <w:footnoteRef/>
      </w:r>
      <w:r>
        <w:t xml:space="preserve"> Petition ¶ 45.</w:t>
      </w:r>
    </w:p>
  </w:footnote>
  <w:footnote w:id="105">
    <w:p w14:paraId="79CF268F" w14:textId="77777777" w:rsidR="005676FC" w:rsidRDefault="005676FC">
      <w:pPr>
        <w:pStyle w:val="FootnoteText"/>
      </w:pPr>
      <w:r>
        <w:rPr>
          <w:rStyle w:val="FootnoteReference"/>
        </w:rPr>
        <w:footnoteRef/>
      </w:r>
      <w:r>
        <w:t xml:space="preserve"> </w:t>
      </w:r>
      <w:r w:rsidRPr="00466068">
        <w:rPr>
          <w:i/>
        </w:rPr>
        <w:t>Id.</w:t>
      </w:r>
      <w:r>
        <w:t xml:space="preserve"> ¶ 46 (emphasis added by Petitioner).</w:t>
      </w:r>
    </w:p>
  </w:footnote>
  <w:footnote w:id="106">
    <w:p w14:paraId="1B073B2E" w14:textId="77777777" w:rsidR="005676FC" w:rsidRDefault="005676FC">
      <w:pPr>
        <w:pStyle w:val="FootnoteText"/>
      </w:pPr>
      <w:r>
        <w:rPr>
          <w:rStyle w:val="FootnoteReference"/>
        </w:rPr>
        <w:footnoteRef/>
      </w:r>
      <w:r>
        <w:t xml:space="preserve"> </w:t>
      </w:r>
      <w:r w:rsidRPr="00304D85">
        <w:rPr>
          <w:i/>
        </w:rPr>
        <w:t>See also</w:t>
      </w:r>
      <w:r>
        <w:t xml:space="preserve"> </w:t>
      </w:r>
      <w:proofErr w:type="spellStart"/>
      <w:r>
        <w:t>RCW</w:t>
      </w:r>
      <w:proofErr w:type="spellEnd"/>
      <w:r>
        <w:t xml:space="preserve"> 80.90.020, which is identical in text.</w:t>
      </w:r>
    </w:p>
  </w:footnote>
  <w:footnote w:id="107">
    <w:p w14:paraId="7F7617AB" w14:textId="77777777" w:rsidR="005676FC" w:rsidRDefault="005676FC">
      <w:pPr>
        <w:pStyle w:val="FootnoteText"/>
      </w:pPr>
      <w:r>
        <w:rPr>
          <w:rStyle w:val="FootnoteReference"/>
        </w:rPr>
        <w:footnoteRef/>
      </w:r>
      <w:r>
        <w:t xml:space="preserve"> </w:t>
      </w:r>
      <w:r w:rsidRPr="00D82774">
        <w:rPr>
          <w:i/>
        </w:rPr>
        <w:t>Bremerton-Kitsap</w:t>
      </w:r>
      <w:r>
        <w:t xml:space="preserve"> is another such case. It presents significant parallels to this proceeding in terms of the costs of investigation and the costs of litigation. In that case, the Final Order finds: </w:t>
      </w:r>
      <w:r w:rsidRPr="004F6206">
        <w:t>“</w:t>
      </w:r>
      <w:r>
        <w:t xml:space="preserve">The Commission </w:t>
      </w:r>
      <w:r w:rsidRPr="00D161C5">
        <w:t>incurred more than $45,000 in agency-wide costs in this proceeding. This amount exceeds the $6,633.90 that the Company paid in regulatory fees in 2000.</w:t>
      </w:r>
      <w:r w:rsidR="00A54D2C">
        <w:t>”</w:t>
      </w:r>
      <w:r>
        <w:t xml:space="preserve"> </w:t>
      </w:r>
      <w:r w:rsidRPr="004F6206">
        <w:rPr>
          <w:i/>
        </w:rPr>
        <w:t>Bremerton-Kitsap</w:t>
      </w:r>
      <w:r>
        <w:t>, Fifth Supp. Order</w:t>
      </w:r>
      <w:r w:rsidR="00A54D2C">
        <w:t xml:space="preserve"> ¶ 64 (finding of fact no. 13).</w:t>
      </w:r>
      <w:r>
        <w:t xml:space="preserve"> The company was required to pay 1 percent of its gross revenues, or $16,634, the maximum cost</w:t>
      </w:r>
      <w:r w:rsidR="00A54D2C">
        <w:t xml:space="preserve">s allowed under </w:t>
      </w:r>
      <w:proofErr w:type="spellStart"/>
      <w:r w:rsidR="00A54D2C">
        <w:t>RCW</w:t>
      </w:r>
      <w:proofErr w:type="spellEnd"/>
      <w:r w:rsidR="00A54D2C">
        <w:t xml:space="preserve"> 81.20.020. </w:t>
      </w:r>
      <w:r w:rsidRPr="00BA1C71">
        <w:rPr>
          <w:i/>
        </w:rPr>
        <w:t>Id.</w:t>
      </w:r>
      <w:r>
        <w:t xml:space="preserve"> ¶ 71 (conclusion of law no. 6). </w:t>
      </w:r>
    </w:p>
    <w:p w14:paraId="7076F1A8" w14:textId="77777777" w:rsidR="005676FC" w:rsidRDefault="005676FC">
      <w:pPr>
        <w:pStyle w:val="FootnoteText"/>
      </w:pPr>
      <w:r>
        <w:t xml:space="preserve">Although not precedential, it is noteworthy that the Initial Order in </w:t>
      </w:r>
      <w:r w:rsidRPr="00BA1C71">
        <w:rPr>
          <w:i/>
        </w:rPr>
        <w:t>Bremerton-Kitsap</w:t>
      </w:r>
      <w:r>
        <w:t xml:space="preserve"> also treats </w:t>
      </w:r>
      <w:proofErr w:type="spellStart"/>
      <w:r>
        <w:t>RCW</w:t>
      </w:r>
      <w:proofErr w:type="spellEnd"/>
      <w:r>
        <w:t xml:space="preserve"> 81.20.020 as being mandatory by its terms:</w:t>
      </w:r>
    </w:p>
    <w:p w14:paraId="1E21A1A9" w14:textId="77777777" w:rsidR="005676FC" w:rsidRDefault="005676FC" w:rsidP="00BA1C71">
      <w:pPr>
        <w:pStyle w:val="FootnoteText"/>
        <w:ind w:left="720" w:right="720"/>
      </w:pPr>
      <w:r w:rsidRPr="00BA1C71">
        <w:t xml:space="preserve">When the Commission decides it is necessary “to investigate the books, accounts, practices and activities” of a public service company “and the cost thereof to the commission exceeds in amount the ordinary regulatory fees paid by such public service company during the preceding calendar year,” </w:t>
      </w:r>
      <w:proofErr w:type="spellStart"/>
      <w:r w:rsidRPr="00BA1C71">
        <w:t>RCW</w:t>
      </w:r>
      <w:proofErr w:type="spellEnd"/>
      <w:r w:rsidRPr="00BA1C71">
        <w:t xml:space="preserve"> 81.20.020 </w:t>
      </w:r>
      <w:r w:rsidRPr="00BA1C71">
        <w:rPr>
          <w:i/>
        </w:rPr>
        <w:t>directs</w:t>
      </w:r>
      <w:r w:rsidRPr="00BA1C71">
        <w:t xml:space="preserve"> the public service company to pay the expenses that are reasonably attributable to the investigation.</w:t>
      </w:r>
    </w:p>
    <w:p w14:paraId="0B438BF7" w14:textId="77777777" w:rsidR="005676FC" w:rsidRPr="009B0B45" w:rsidRDefault="005676FC" w:rsidP="00BA1C71">
      <w:pPr>
        <w:pStyle w:val="FootnoteText"/>
        <w:ind w:right="720"/>
      </w:pPr>
      <w:r w:rsidRPr="00BA1C71">
        <w:rPr>
          <w:i/>
        </w:rPr>
        <w:t>Id.</w:t>
      </w:r>
      <w:r>
        <w:t>, Third Supp</w:t>
      </w:r>
      <w:r w:rsidR="00A54D2C">
        <w:t xml:space="preserve">. Order ¶ 69 (emphasis added). </w:t>
      </w:r>
      <w:r w:rsidRPr="00BA1C71">
        <w:rPr>
          <w:i/>
        </w:rPr>
        <w:t>See also</w:t>
      </w:r>
      <w:r>
        <w:t xml:space="preserve"> </w:t>
      </w:r>
      <w:r>
        <w:rPr>
          <w:i/>
        </w:rPr>
        <w:t>i</w:t>
      </w:r>
      <w:r w:rsidRPr="00BA1C71">
        <w:rPr>
          <w:i/>
        </w:rPr>
        <w:t>d.</w:t>
      </w:r>
      <w:r>
        <w:t xml:space="preserve"> ¶¶</w:t>
      </w:r>
      <w:r>
        <w:rPr>
          <w:i/>
        </w:rPr>
        <w:t xml:space="preserve"> </w:t>
      </w:r>
      <w:r w:rsidRPr="009B0B45">
        <w:t>90, 91,</w:t>
      </w:r>
      <w:r>
        <w:t xml:space="preserve"> </w:t>
      </w:r>
      <w:r w:rsidRPr="009B0B45">
        <w:t>99</w:t>
      </w:r>
      <w:r>
        <w:t xml:space="preserve"> (related findings and conclusions the Commission upheld by its Final Order).</w:t>
      </w:r>
    </w:p>
  </w:footnote>
  <w:footnote w:id="108">
    <w:p w14:paraId="395D45B8" w14:textId="77777777" w:rsidR="005676FC" w:rsidRPr="002F4AD5" w:rsidRDefault="005676FC" w:rsidP="00113F12">
      <w:pPr>
        <w:pStyle w:val="FootnoteText"/>
        <w:spacing w:before="120"/>
        <w:rPr>
          <w:szCs w:val="22"/>
        </w:rPr>
      </w:pPr>
      <w:r w:rsidRPr="002F4AD5">
        <w:rPr>
          <w:rStyle w:val="FootnoteReference"/>
          <w:szCs w:val="22"/>
        </w:rPr>
        <w:footnoteRef/>
      </w:r>
      <w:r w:rsidRPr="002F4AD5">
        <w:rPr>
          <w:szCs w:val="22"/>
        </w:rPr>
        <w:t xml:space="preserve"> Staff Initial Brief ¶ 67.</w:t>
      </w:r>
      <w:r w:rsidR="00A54D2C">
        <w:rPr>
          <w:szCs w:val="22"/>
        </w:rPr>
        <w:t xml:space="preserve"> </w:t>
      </w:r>
      <w:r w:rsidRPr="002D7C30">
        <w:rPr>
          <w:i/>
          <w:szCs w:val="22"/>
        </w:rPr>
        <w:t>See</w:t>
      </w:r>
      <w:r>
        <w:rPr>
          <w:szCs w:val="22"/>
        </w:rPr>
        <w:t xml:space="preserve"> </w:t>
      </w:r>
      <w:proofErr w:type="spellStart"/>
      <w:r>
        <w:rPr>
          <w:szCs w:val="22"/>
        </w:rPr>
        <w:t>RCW</w:t>
      </w:r>
      <w:proofErr w:type="spellEnd"/>
      <w:r>
        <w:rPr>
          <w:szCs w:val="22"/>
        </w:rPr>
        <w:t xml:space="preserve"> 81.28.010.</w:t>
      </w:r>
    </w:p>
  </w:footnote>
  <w:footnote w:id="109">
    <w:p w14:paraId="4A486628" w14:textId="77777777" w:rsidR="005676FC" w:rsidRPr="002F4AD5" w:rsidRDefault="005676FC" w:rsidP="00113F12">
      <w:pPr>
        <w:pStyle w:val="FootnoteText"/>
        <w:spacing w:before="120"/>
        <w:rPr>
          <w:szCs w:val="22"/>
        </w:rPr>
      </w:pPr>
      <w:r w:rsidRPr="002F4AD5">
        <w:rPr>
          <w:rStyle w:val="FootnoteReference"/>
          <w:szCs w:val="22"/>
        </w:rPr>
        <w:footnoteRef/>
      </w:r>
      <w:r w:rsidRPr="002F4AD5">
        <w:rPr>
          <w:szCs w:val="22"/>
        </w:rPr>
        <w:t xml:space="preserve"> </w:t>
      </w:r>
      <w:r w:rsidRPr="002F4AD5">
        <w:rPr>
          <w:i/>
          <w:szCs w:val="22"/>
        </w:rPr>
        <w:t>Id</w:t>
      </w:r>
      <w:r w:rsidRPr="002F4AD5">
        <w:rPr>
          <w:szCs w:val="22"/>
        </w:rPr>
        <w:t>.</w:t>
      </w:r>
      <w:r>
        <w:rPr>
          <w:szCs w:val="22"/>
        </w:rPr>
        <w:t xml:space="preserve"> (citing </w:t>
      </w:r>
      <w:proofErr w:type="spellStart"/>
      <w:r>
        <w:rPr>
          <w:szCs w:val="22"/>
        </w:rPr>
        <w:t>Cheesman</w:t>
      </w:r>
      <w:proofErr w:type="spellEnd"/>
      <w:r>
        <w:rPr>
          <w:szCs w:val="22"/>
        </w:rPr>
        <w:t xml:space="preserve">, </w:t>
      </w:r>
      <w:proofErr w:type="spellStart"/>
      <w:r>
        <w:rPr>
          <w:szCs w:val="22"/>
        </w:rPr>
        <w:t>Exh</w:t>
      </w:r>
      <w:proofErr w:type="spellEnd"/>
      <w:r>
        <w:rPr>
          <w:szCs w:val="22"/>
        </w:rPr>
        <w:t>. No. MC-1T at 55-56).</w:t>
      </w:r>
    </w:p>
  </w:footnote>
  <w:footnote w:id="110">
    <w:p w14:paraId="5683DCDA" w14:textId="77777777" w:rsidR="005676FC" w:rsidRPr="002F4AD5" w:rsidRDefault="005676FC" w:rsidP="00113F12">
      <w:pPr>
        <w:pStyle w:val="FootnoteText"/>
        <w:spacing w:before="120"/>
        <w:rPr>
          <w:szCs w:val="22"/>
        </w:rPr>
      </w:pPr>
      <w:r w:rsidRPr="002F4AD5">
        <w:rPr>
          <w:rStyle w:val="FootnoteReference"/>
          <w:szCs w:val="22"/>
        </w:rPr>
        <w:footnoteRef/>
      </w:r>
      <w:r w:rsidRPr="002F4AD5">
        <w:rPr>
          <w:szCs w:val="22"/>
        </w:rPr>
        <w:t xml:space="preserve"> </w:t>
      </w:r>
      <w:r w:rsidRPr="002F4AD5">
        <w:rPr>
          <w:i/>
          <w:szCs w:val="22"/>
        </w:rPr>
        <w:t>Id</w:t>
      </w:r>
      <w:r w:rsidRPr="002F4AD5">
        <w:rPr>
          <w:szCs w:val="22"/>
        </w:rPr>
        <w:t>.</w:t>
      </w:r>
    </w:p>
  </w:footnote>
  <w:footnote w:id="111">
    <w:p w14:paraId="1BBC8C9C" w14:textId="77777777" w:rsidR="005676FC" w:rsidRDefault="005676FC">
      <w:pPr>
        <w:pStyle w:val="FootnoteText"/>
      </w:pPr>
      <w:r>
        <w:rPr>
          <w:rStyle w:val="FootnoteReference"/>
        </w:rPr>
        <w:footnoteRef/>
      </w:r>
      <w:r>
        <w:t xml:space="preserve"> </w:t>
      </w:r>
      <w:r w:rsidRPr="00F247E5">
        <w:rPr>
          <w:i/>
        </w:rPr>
        <w:t>See</w:t>
      </w:r>
      <w:r>
        <w:t xml:space="preserve"> Order 12 ¶ 81 (citing </w:t>
      </w:r>
      <w:proofErr w:type="spellStart"/>
      <w:r>
        <w:t>Cheesman</w:t>
      </w:r>
      <w:proofErr w:type="spellEnd"/>
      <w:r>
        <w:t>,</w:t>
      </w:r>
      <w:r w:rsidRPr="00F247E5">
        <w:rPr>
          <w:szCs w:val="24"/>
        </w:rPr>
        <w:t xml:space="preserve"> </w:t>
      </w:r>
      <w:proofErr w:type="spellStart"/>
      <w:r w:rsidRPr="00F247E5">
        <w:t>Exh</w:t>
      </w:r>
      <w:proofErr w:type="spellEnd"/>
      <w:r w:rsidRPr="00F247E5">
        <w:t>. No. MC-1T at 55:15-16</w:t>
      </w:r>
      <w:r>
        <w:t>)</w:t>
      </w:r>
      <w:r w:rsidRPr="00F247E5">
        <w:t>.</w:t>
      </w:r>
    </w:p>
  </w:footnote>
  <w:footnote w:id="112">
    <w:p w14:paraId="2B6B085A" w14:textId="77777777" w:rsidR="005676FC" w:rsidRPr="00376C41" w:rsidRDefault="005676FC" w:rsidP="00376C41">
      <w:pPr>
        <w:pStyle w:val="FootnoteText"/>
      </w:pPr>
      <w:r>
        <w:rPr>
          <w:rStyle w:val="FootnoteReference"/>
        </w:rPr>
        <w:footnoteRef/>
      </w:r>
      <w:r>
        <w:t xml:space="preserve"> We note that there is</w:t>
      </w:r>
      <w:r w:rsidRPr="00376C41">
        <w:t xml:space="preserve"> limiting language in </w:t>
      </w:r>
      <w:proofErr w:type="spellStart"/>
      <w:r>
        <w:t>RCW</w:t>
      </w:r>
      <w:proofErr w:type="spellEnd"/>
      <w:r>
        <w:t xml:space="preserve"> 81.20.020</w:t>
      </w:r>
      <w:r w:rsidRPr="00376C41">
        <w:t xml:space="preserve"> that affords the Commission a degree of discretion in terms of the amount of regulatory fees it imposes, as follows:</w:t>
      </w:r>
    </w:p>
    <w:p w14:paraId="442C29B4" w14:textId="77777777" w:rsidR="005676FC" w:rsidRDefault="005676FC" w:rsidP="00376C41">
      <w:pPr>
        <w:pStyle w:val="FootnoteText"/>
        <w:spacing w:after="0"/>
        <w:ind w:left="720" w:right="720"/>
      </w:pPr>
      <w:r w:rsidRPr="00376C41">
        <w:t xml:space="preserve">The total amount which any public service company shall be required to pay under the provisions of this section in any calendar year </w:t>
      </w:r>
      <w:r w:rsidRPr="00376C41">
        <w:rPr>
          <w:i/>
        </w:rPr>
        <w:t>shall not exceed</w:t>
      </w:r>
      <w:r w:rsidRPr="00376C41">
        <w:t xml:space="preserve"> one percent of the gross operating revenues derived by such public service company from its intrastate operations during the last preceding calendar year.</w:t>
      </w:r>
    </w:p>
    <w:p w14:paraId="6D48C364" w14:textId="77777777" w:rsidR="005676FC" w:rsidRPr="00376C41" w:rsidRDefault="005676FC" w:rsidP="00376C41">
      <w:pPr>
        <w:pStyle w:val="FootnoteText"/>
        <w:spacing w:after="0"/>
        <w:ind w:right="720"/>
      </w:pPr>
    </w:p>
    <w:p w14:paraId="1B7CCDD7" w14:textId="77777777" w:rsidR="005676FC" w:rsidRDefault="005676FC" w:rsidP="00376C41">
      <w:pPr>
        <w:pStyle w:val="FootnoteText"/>
      </w:pPr>
      <w:r w:rsidRPr="00376C41">
        <w:t xml:space="preserve">The emphasized language necessarily implies that the Commission </w:t>
      </w:r>
      <w:r>
        <w:t>has discretion to</w:t>
      </w:r>
      <w:r w:rsidRPr="00376C41">
        <w:t xml:space="preserve"> require a public service company to pay less than maximum amount.</w:t>
      </w:r>
    </w:p>
  </w:footnote>
  <w:footnote w:id="113">
    <w:p w14:paraId="1DF163FC" w14:textId="77777777" w:rsidR="005676FC" w:rsidRDefault="005676FC">
      <w:pPr>
        <w:pStyle w:val="FootnoteText"/>
      </w:pPr>
      <w:r>
        <w:rPr>
          <w:rStyle w:val="FootnoteReference"/>
        </w:rPr>
        <w:footnoteRef/>
      </w:r>
      <w:r>
        <w:t xml:space="preserve"> Order 12 ¶ 74.</w:t>
      </w:r>
    </w:p>
  </w:footnote>
  <w:footnote w:id="114">
    <w:p w14:paraId="50957AD6" w14:textId="77777777" w:rsidR="005676FC" w:rsidRDefault="005676FC" w:rsidP="001C1CB1">
      <w:pPr>
        <w:pStyle w:val="FootnoteText"/>
      </w:pPr>
      <w:r>
        <w:rPr>
          <w:rStyle w:val="FootnoteReference"/>
        </w:rPr>
        <w:footnoteRef/>
      </w:r>
      <w:r>
        <w:t xml:space="preserve"> Petition ¶ 44.</w:t>
      </w:r>
    </w:p>
  </w:footnote>
  <w:footnote w:id="115">
    <w:p w14:paraId="119637BD" w14:textId="77777777" w:rsidR="005676FC" w:rsidRDefault="005676FC" w:rsidP="00D85774">
      <w:pPr>
        <w:pStyle w:val="FootnoteText"/>
      </w:pPr>
      <w:r>
        <w:rPr>
          <w:rStyle w:val="FootnoteReference"/>
        </w:rPr>
        <w:footnoteRef/>
      </w:r>
      <w:r>
        <w:t xml:space="preserve"> </w:t>
      </w:r>
      <w:proofErr w:type="spellStart"/>
      <w:r w:rsidRPr="00D85774">
        <w:t>WCI</w:t>
      </w:r>
      <w:proofErr w:type="spellEnd"/>
      <w:r w:rsidRPr="00D85774">
        <w:t xml:space="preserve"> asserts that neither it nor Staff </w:t>
      </w:r>
      <w:r>
        <w:t>is</w:t>
      </w:r>
      <w:r w:rsidRPr="00D85774">
        <w:t xml:space="preserve"> aware of any instance where the Commission has actually assessed investigation fees against an applicant in a solid waste general rate case. </w:t>
      </w:r>
      <w:proofErr w:type="spellStart"/>
      <w:r w:rsidRPr="00D85774">
        <w:t>WCI</w:t>
      </w:r>
      <w:proofErr w:type="spellEnd"/>
      <w:r w:rsidRPr="00D85774">
        <w:t xml:space="preserve"> Initial Brief ¶ 14. There is no evidence, however, that any other solid waste general rate case during the past two decades, </w:t>
      </w:r>
      <w:r>
        <w:t xml:space="preserve">a period </w:t>
      </w:r>
      <w:r w:rsidRPr="00D85774">
        <w:t>when there ha</w:t>
      </w:r>
      <w:r>
        <w:t>s</w:t>
      </w:r>
      <w:r w:rsidRPr="00D85774">
        <w:t xml:space="preserve"> been no other fully litigated </w:t>
      </w:r>
      <w:r>
        <w:t xml:space="preserve">solid waste rate </w:t>
      </w:r>
      <w:r w:rsidRPr="00D85774">
        <w:t>case, resulted in the magnitude of investigation costs incurred in this case</w:t>
      </w:r>
      <w:r>
        <w:t xml:space="preserve"> or exceeded the amount of regulatory fees paid by the company investigated</w:t>
      </w:r>
      <w:r w:rsidRPr="00D85774">
        <w:t xml:space="preserve">. </w:t>
      </w:r>
      <w:r>
        <w:t>Further, the statute applies to all public service companies subject to Commission jurisdiction under Title 81 and does not exclude solid waste companies.</w:t>
      </w:r>
    </w:p>
  </w:footnote>
  <w:footnote w:id="116">
    <w:p w14:paraId="4AE518E3" w14:textId="77777777" w:rsidR="005676FC" w:rsidRDefault="005676FC">
      <w:pPr>
        <w:pStyle w:val="FootnoteText"/>
      </w:pPr>
      <w:r>
        <w:rPr>
          <w:rStyle w:val="FootnoteReference"/>
        </w:rPr>
        <w:footnoteRef/>
      </w:r>
      <w:r>
        <w:t xml:space="preserve"> </w:t>
      </w:r>
      <w:r>
        <w:rPr>
          <w:i/>
        </w:rPr>
        <w:t>See supra</w:t>
      </w:r>
      <w:r>
        <w:t xml:space="preserve"> ¶ 7 n.8.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4AA82" w14:textId="77777777" w:rsidR="005676FC" w:rsidRPr="00F523EC" w:rsidRDefault="005676FC" w:rsidP="003A7E01">
    <w:pPr>
      <w:pStyle w:val="Header"/>
      <w:tabs>
        <w:tab w:val="clear" w:pos="8640"/>
        <w:tab w:val="right" w:pos="8460"/>
      </w:tabs>
      <w:rPr>
        <w:rStyle w:val="PageNumber"/>
        <w:b/>
        <w:bCs/>
        <w:sz w:val="20"/>
      </w:rPr>
    </w:pPr>
    <w:r>
      <w:rPr>
        <w:b/>
        <w:bCs/>
        <w:sz w:val="20"/>
      </w:rPr>
      <w:t>DOCKET TG-140560</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345D9C">
      <w:rPr>
        <w:rStyle w:val="PageNumber"/>
        <w:b/>
        <w:bCs/>
        <w:noProof/>
        <w:sz w:val="20"/>
      </w:rPr>
      <w:t>33</w:t>
    </w:r>
    <w:r w:rsidRPr="00F523EC">
      <w:rPr>
        <w:rStyle w:val="PageNumber"/>
        <w:b/>
        <w:bCs/>
        <w:sz w:val="20"/>
      </w:rPr>
      <w:fldChar w:fldCharType="end"/>
    </w:r>
  </w:p>
  <w:p w14:paraId="6E3E005C" w14:textId="77777777" w:rsidR="005676FC" w:rsidRPr="00F523EC" w:rsidRDefault="005676FC">
    <w:pPr>
      <w:pStyle w:val="Header"/>
      <w:rPr>
        <w:rStyle w:val="PageNumber"/>
        <w:b/>
        <w:bCs/>
        <w:sz w:val="20"/>
      </w:rPr>
    </w:pPr>
    <w:r w:rsidRPr="00F523EC">
      <w:rPr>
        <w:rStyle w:val="PageNumber"/>
        <w:b/>
        <w:bCs/>
        <w:sz w:val="20"/>
      </w:rPr>
      <w:t xml:space="preserve">ORDER </w:t>
    </w:r>
    <w:r>
      <w:rPr>
        <w:rStyle w:val="PageNumber"/>
        <w:b/>
        <w:bCs/>
        <w:sz w:val="20"/>
      </w:rPr>
      <w:t>13</w:t>
    </w:r>
  </w:p>
  <w:p w14:paraId="5BA0C008" w14:textId="77777777" w:rsidR="005676FC" w:rsidRPr="00F523EC" w:rsidRDefault="005676FC">
    <w:pPr>
      <w:pStyle w:val="Header"/>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BE95D" w14:textId="57B590AA" w:rsidR="005676FC" w:rsidRPr="0018056D" w:rsidRDefault="005676FC" w:rsidP="00C65B09">
    <w:pPr>
      <w:pStyle w:val="Header"/>
      <w:tabs>
        <w:tab w:val="clear" w:pos="4320"/>
      </w:tabs>
      <w:rPr>
        <w:b/>
        <w:sz w:val="20"/>
        <w:szCs w:val="20"/>
      </w:rPr>
    </w:pPr>
    <w:r>
      <w:tab/>
    </w:r>
    <w:r w:rsidR="00987F29">
      <w:rPr>
        <w:b/>
        <w:sz w:val="20"/>
        <w:szCs w:val="20"/>
      </w:rPr>
      <w:t xml:space="preserve">[Service date August </w:t>
    </w:r>
    <w:r w:rsidR="00EA0DED">
      <w:rPr>
        <w:b/>
        <w:sz w:val="20"/>
        <w:szCs w:val="20"/>
      </w:rPr>
      <w:t>6</w:t>
    </w:r>
    <w:r w:rsidR="0018056D" w:rsidRPr="0018056D">
      <w:rPr>
        <w:b/>
        <w:sz w:val="20"/>
        <w:szCs w:val="20"/>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F306450"/>
    <w:multiLevelType w:val="hybridMultilevel"/>
    <w:tmpl w:val="1CBE0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983814"/>
    <w:multiLevelType w:val="hybridMultilevel"/>
    <w:tmpl w:val="9870895C"/>
    <w:lvl w:ilvl="0" w:tplc="0D4ED8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B3C44"/>
    <w:multiLevelType w:val="hybridMultilevel"/>
    <w:tmpl w:val="57A4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6F5619"/>
    <w:multiLevelType w:val="hybridMultilevel"/>
    <w:tmpl w:val="946ED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4204C"/>
    <w:multiLevelType w:val="hybridMultilevel"/>
    <w:tmpl w:val="BC08F932"/>
    <w:lvl w:ilvl="0" w:tplc="A81CD388">
      <w:start w:val="1"/>
      <w:numFmt w:val="decimal"/>
      <w:pStyle w:val="FindingsConclusions"/>
      <w:lvlText w:val="%1"/>
      <w:lvlJc w:val="left"/>
      <w:pPr>
        <w:tabs>
          <w:tab w:val="num" w:pos="0"/>
        </w:tabs>
        <w:ind w:left="0" w:hanging="1080"/>
      </w:pPr>
      <w:rPr>
        <w:rFonts w:hint="default"/>
        <w:b w:val="0"/>
        <w:i/>
        <w:sz w:val="20"/>
      </w:rPr>
    </w:lvl>
    <w:lvl w:ilvl="1" w:tplc="04090001">
      <w:start w:val="1"/>
      <w:numFmt w:val="bullet"/>
      <w:lvlText w:val=""/>
      <w:lvlJc w:val="left"/>
      <w:pPr>
        <w:tabs>
          <w:tab w:val="num" w:pos="1800"/>
        </w:tabs>
        <w:ind w:left="1800" w:hanging="720"/>
      </w:pPr>
      <w:rPr>
        <w:rFonts w:ascii="Symbol" w:hAnsi="Symbol"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4B3F06"/>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7B22F7"/>
    <w:multiLevelType w:val="hybridMultilevel"/>
    <w:tmpl w:val="3714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93D5A"/>
    <w:multiLevelType w:val="hybridMultilevel"/>
    <w:tmpl w:val="4DBA276A"/>
    <w:lvl w:ilvl="0" w:tplc="EF08A6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C71477"/>
    <w:multiLevelType w:val="hybridMultilevel"/>
    <w:tmpl w:val="8FF0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0C6A38"/>
    <w:multiLevelType w:val="hybridMultilevel"/>
    <w:tmpl w:val="529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544240"/>
    <w:multiLevelType w:val="hybridMultilevel"/>
    <w:tmpl w:val="11B4636C"/>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7">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0B74294"/>
    <w:multiLevelType w:val="hybridMultilevel"/>
    <w:tmpl w:val="87BEFAA0"/>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DE6811"/>
    <w:multiLevelType w:val="hybridMultilevel"/>
    <w:tmpl w:val="45B21DE4"/>
    <w:lvl w:ilvl="0" w:tplc="09E4E49A">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F62854"/>
    <w:multiLevelType w:val="hybridMultilevel"/>
    <w:tmpl w:val="D576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7F5F94"/>
    <w:multiLevelType w:val="hybridMultilevel"/>
    <w:tmpl w:val="44F61BA0"/>
    <w:lvl w:ilvl="0" w:tplc="80662EBC">
      <w:start w:val="1"/>
      <w:numFmt w:val="decimal"/>
      <w:lvlText w:val="%1"/>
      <w:lvlJc w:val="left"/>
      <w:pPr>
        <w:tabs>
          <w:tab w:val="num" w:pos="720"/>
        </w:tabs>
        <w:ind w:left="720" w:hanging="1800"/>
      </w:pPr>
      <w:rPr>
        <w:rFonts w:ascii="Times New Roman" w:hAnsi="Times New Roman" w:hint="default"/>
        <w:b w:val="0"/>
        <w:i/>
        <w:strike w:val="0"/>
        <w:dstrike w:val="0"/>
        <w:sz w:val="20"/>
      </w:rPr>
    </w:lvl>
    <w:lvl w:ilvl="1" w:tplc="04090001">
      <w:start w:val="1"/>
      <w:numFmt w:val="bullet"/>
      <w:lvlText w:val=""/>
      <w:lvlJc w:val="left"/>
      <w:pPr>
        <w:tabs>
          <w:tab w:val="num" w:pos="1440"/>
        </w:tabs>
        <w:ind w:left="1440" w:hanging="360"/>
      </w:pPr>
      <w:rPr>
        <w:rFonts w:ascii="Symbol" w:hAnsi="Symbol" w:hint="default"/>
      </w:rPr>
    </w:lvl>
    <w:lvl w:ilvl="2" w:tplc="13227814">
      <w:start w:val="2"/>
      <w:numFmt w:val="decimal"/>
      <w:lvlText w:val="(%3)"/>
      <w:lvlJc w:val="left"/>
      <w:pPr>
        <w:tabs>
          <w:tab w:val="num" w:pos="3060"/>
        </w:tabs>
        <w:ind w:left="3060" w:hanging="10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B92066"/>
    <w:multiLevelType w:val="hybridMultilevel"/>
    <w:tmpl w:val="9712F5F4"/>
    <w:lvl w:ilvl="0" w:tplc="325AF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5B321F"/>
    <w:multiLevelType w:val="hybridMultilevel"/>
    <w:tmpl w:val="02D29A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707C203A"/>
    <w:multiLevelType w:val="hybridMultilevel"/>
    <w:tmpl w:val="ADD075AC"/>
    <w:lvl w:ilvl="0" w:tplc="82547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abstractNum w:abstractNumId="28">
    <w:nsid w:val="792B328A"/>
    <w:multiLevelType w:val="hybridMultilevel"/>
    <w:tmpl w:val="22F45042"/>
    <w:lvl w:ilvl="0" w:tplc="80662EBC">
      <w:start w:val="1"/>
      <w:numFmt w:val="decimal"/>
      <w:lvlText w:val="%1"/>
      <w:lvlJc w:val="left"/>
      <w:pPr>
        <w:tabs>
          <w:tab w:val="num" w:pos="720"/>
        </w:tabs>
        <w:ind w:left="720" w:hanging="1800"/>
      </w:pPr>
      <w:rPr>
        <w:rFonts w:ascii="Times New Roman" w:hAnsi="Times New Roman" w:hint="default"/>
        <w:b w:val="0"/>
        <w:i/>
        <w:strike w:val="0"/>
        <w:dstrike w:val="0"/>
        <w:sz w:val="20"/>
      </w:rPr>
    </w:lvl>
    <w:lvl w:ilvl="1" w:tplc="5BCC2CD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3C2E30"/>
    <w:multiLevelType w:val="hybridMultilevel"/>
    <w:tmpl w:val="89A634C2"/>
    <w:lvl w:ilvl="0" w:tplc="64FEF176">
      <w:start w:val="1"/>
      <w:numFmt w:val="decimal"/>
      <w:pStyle w:val="Heading2"/>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5"/>
  </w:num>
  <w:num w:numId="4">
    <w:abstractNumId w:val="23"/>
  </w:num>
  <w:num w:numId="5">
    <w:abstractNumId w:val="27"/>
  </w:num>
  <w:num w:numId="6">
    <w:abstractNumId w:val="8"/>
  </w:num>
  <w:num w:numId="7">
    <w:abstractNumId w:val="18"/>
  </w:num>
  <w:num w:numId="8">
    <w:abstractNumId w:val="20"/>
  </w:num>
  <w:num w:numId="9">
    <w:abstractNumId w:val="26"/>
  </w:num>
  <w:num w:numId="10">
    <w:abstractNumId w:val="12"/>
  </w:num>
  <w:num w:numId="11">
    <w:abstractNumId w:val="14"/>
  </w:num>
  <w:num w:numId="12">
    <w:abstractNumId w:val="10"/>
  </w:num>
  <w:num w:numId="13">
    <w:abstractNumId w:val="7"/>
  </w:num>
  <w:num w:numId="14">
    <w:abstractNumId w:val="16"/>
  </w:num>
  <w:num w:numId="15">
    <w:abstractNumId w:val="17"/>
  </w:num>
  <w:num w:numId="16">
    <w:abstractNumId w:val="1"/>
  </w:num>
  <w:num w:numId="17">
    <w:abstractNumId w:val="24"/>
  </w:num>
  <w:num w:numId="18">
    <w:abstractNumId w:val="25"/>
  </w:num>
  <w:num w:numId="19">
    <w:abstractNumId w:val="6"/>
  </w:num>
  <w:num w:numId="20">
    <w:abstractNumId w:val="22"/>
  </w:num>
  <w:num w:numId="21">
    <w:abstractNumId w:val="3"/>
  </w:num>
  <w:num w:numId="22">
    <w:abstractNumId w:val="29"/>
  </w:num>
  <w:num w:numId="23">
    <w:abstractNumId w:val="19"/>
  </w:num>
  <w:num w:numId="24">
    <w:abstractNumId w:val="21"/>
  </w:num>
  <w:num w:numId="25">
    <w:abstractNumId w:val="28"/>
  </w:num>
  <w:num w:numId="26">
    <w:abstractNumId w:val="9"/>
  </w:num>
  <w:num w:numId="27">
    <w:abstractNumId w:val="0"/>
  </w:num>
  <w:num w:numId="28">
    <w:abstractNumId w:val="13"/>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029CC"/>
    <w:rsid w:val="0000458E"/>
    <w:rsid w:val="00004AD9"/>
    <w:rsid w:val="00005DA1"/>
    <w:rsid w:val="000133CA"/>
    <w:rsid w:val="00016EF5"/>
    <w:rsid w:val="00016FA0"/>
    <w:rsid w:val="00017FF0"/>
    <w:rsid w:val="00024CD1"/>
    <w:rsid w:val="000328A0"/>
    <w:rsid w:val="0003540C"/>
    <w:rsid w:val="00040008"/>
    <w:rsid w:val="000426DB"/>
    <w:rsid w:val="00042BBA"/>
    <w:rsid w:val="000471BA"/>
    <w:rsid w:val="000477A6"/>
    <w:rsid w:val="00047F04"/>
    <w:rsid w:val="00051AF5"/>
    <w:rsid w:val="00061E67"/>
    <w:rsid w:val="00062662"/>
    <w:rsid w:val="0006429D"/>
    <w:rsid w:val="0007500A"/>
    <w:rsid w:val="00076DFB"/>
    <w:rsid w:val="00077947"/>
    <w:rsid w:val="00077D8C"/>
    <w:rsid w:val="00083556"/>
    <w:rsid w:val="0008520A"/>
    <w:rsid w:val="0009719C"/>
    <w:rsid w:val="00097F27"/>
    <w:rsid w:val="000A0451"/>
    <w:rsid w:val="000A2E10"/>
    <w:rsid w:val="000A30D2"/>
    <w:rsid w:val="000A5CAE"/>
    <w:rsid w:val="000A69D8"/>
    <w:rsid w:val="000A7FEE"/>
    <w:rsid w:val="000B2FB2"/>
    <w:rsid w:val="000B3AF7"/>
    <w:rsid w:val="000B4295"/>
    <w:rsid w:val="000B52CF"/>
    <w:rsid w:val="000B5E4A"/>
    <w:rsid w:val="000B6279"/>
    <w:rsid w:val="000C0086"/>
    <w:rsid w:val="000C075B"/>
    <w:rsid w:val="000C0B65"/>
    <w:rsid w:val="000C1BA0"/>
    <w:rsid w:val="000C200E"/>
    <w:rsid w:val="000C3728"/>
    <w:rsid w:val="000C468E"/>
    <w:rsid w:val="000C47A6"/>
    <w:rsid w:val="000C5548"/>
    <w:rsid w:val="000D0FB2"/>
    <w:rsid w:val="000D4B67"/>
    <w:rsid w:val="000D55AB"/>
    <w:rsid w:val="000D5F40"/>
    <w:rsid w:val="000D6A1B"/>
    <w:rsid w:val="000E14C0"/>
    <w:rsid w:val="000E24A4"/>
    <w:rsid w:val="000E4BC9"/>
    <w:rsid w:val="000E5273"/>
    <w:rsid w:val="000E6186"/>
    <w:rsid w:val="000E73EA"/>
    <w:rsid w:val="000E74E8"/>
    <w:rsid w:val="000E75B5"/>
    <w:rsid w:val="000E7A44"/>
    <w:rsid w:val="000F1831"/>
    <w:rsid w:val="000F1D22"/>
    <w:rsid w:val="000F1F8A"/>
    <w:rsid w:val="000F45EC"/>
    <w:rsid w:val="000F50B3"/>
    <w:rsid w:val="000F592C"/>
    <w:rsid w:val="000F5E45"/>
    <w:rsid w:val="000F6A61"/>
    <w:rsid w:val="00105CA5"/>
    <w:rsid w:val="0011065E"/>
    <w:rsid w:val="00113F12"/>
    <w:rsid w:val="001211F4"/>
    <w:rsid w:val="001227E5"/>
    <w:rsid w:val="001232EC"/>
    <w:rsid w:val="0012336B"/>
    <w:rsid w:val="00124764"/>
    <w:rsid w:val="00125029"/>
    <w:rsid w:val="0013279C"/>
    <w:rsid w:val="00142C2B"/>
    <w:rsid w:val="0014392A"/>
    <w:rsid w:val="00143E60"/>
    <w:rsid w:val="0015088C"/>
    <w:rsid w:val="0015762F"/>
    <w:rsid w:val="00161CE2"/>
    <w:rsid w:val="00161DE2"/>
    <w:rsid w:val="00162ADE"/>
    <w:rsid w:val="0016335F"/>
    <w:rsid w:val="00166444"/>
    <w:rsid w:val="00167B60"/>
    <w:rsid w:val="00170FBC"/>
    <w:rsid w:val="0017361A"/>
    <w:rsid w:val="0017428F"/>
    <w:rsid w:val="00175EE5"/>
    <w:rsid w:val="00177BFE"/>
    <w:rsid w:val="0018056D"/>
    <w:rsid w:val="00181093"/>
    <w:rsid w:val="001851E1"/>
    <w:rsid w:val="001922F7"/>
    <w:rsid w:val="00194209"/>
    <w:rsid w:val="00194492"/>
    <w:rsid w:val="001957D1"/>
    <w:rsid w:val="001A13D3"/>
    <w:rsid w:val="001A2533"/>
    <w:rsid w:val="001A2653"/>
    <w:rsid w:val="001A3CCA"/>
    <w:rsid w:val="001B0139"/>
    <w:rsid w:val="001B13D3"/>
    <w:rsid w:val="001B1826"/>
    <w:rsid w:val="001B5A8E"/>
    <w:rsid w:val="001B6325"/>
    <w:rsid w:val="001B7E51"/>
    <w:rsid w:val="001C097D"/>
    <w:rsid w:val="001C1CB1"/>
    <w:rsid w:val="001C37C8"/>
    <w:rsid w:val="001C5C92"/>
    <w:rsid w:val="001C5DAA"/>
    <w:rsid w:val="001C6FAB"/>
    <w:rsid w:val="001C7685"/>
    <w:rsid w:val="001D096A"/>
    <w:rsid w:val="001D2E1C"/>
    <w:rsid w:val="001D52B0"/>
    <w:rsid w:val="001E0889"/>
    <w:rsid w:val="001E22B0"/>
    <w:rsid w:val="001E2765"/>
    <w:rsid w:val="001E456A"/>
    <w:rsid w:val="001F11E0"/>
    <w:rsid w:val="001F21C8"/>
    <w:rsid w:val="001F2D92"/>
    <w:rsid w:val="00200E0C"/>
    <w:rsid w:val="0020121D"/>
    <w:rsid w:val="002058E3"/>
    <w:rsid w:val="00206FAE"/>
    <w:rsid w:val="002133C9"/>
    <w:rsid w:val="0022077D"/>
    <w:rsid w:val="00227672"/>
    <w:rsid w:val="00227B0F"/>
    <w:rsid w:val="0023302B"/>
    <w:rsid w:val="00233306"/>
    <w:rsid w:val="0023547D"/>
    <w:rsid w:val="00236A18"/>
    <w:rsid w:val="00236B54"/>
    <w:rsid w:val="00240255"/>
    <w:rsid w:val="002458F0"/>
    <w:rsid w:val="00245CBF"/>
    <w:rsid w:val="00245E9C"/>
    <w:rsid w:val="00247AEA"/>
    <w:rsid w:val="0025367F"/>
    <w:rsid w:val="002571FE"/>
    <w:rsid w:val="00257F90"/>
    <w:rsid w:val="00264996"/>
    <w:rsid w:val="0026515A"/>
    <w:rsid w:val="002661DA"/>
    <w:rsid w:val="00267300"/>
    <w:rsid w:val="00272DB6"/>
    <w:rsid w:val="00281B35"/>
    <w:rsid w:val="00282F33"/>
    <w:rsid w:val="002841B6"/>
    <w:rsid w:val="0028443D"/>
    <w:rsid w:val="00292450"/>
    <w:rsid w:val="002A6E17"/>
    <w:rsid w:val="002B02ED"/>
    <w:rsid w:val="002B4FB7"/>
    <w:rsid w:val="002B7624"/>
    <w:rsid w:val="002B76E0"/>
    <w:rsid w:val="002B7EDF"/>
    <w:rsid w:val="002C1B7D"/>
    <w:rsid w:val="002C44A9"/>
    <w:rsid w:val="002C552C"/>
    <w:rsid w:val="002C5715"/>
    <w:rsid w:val="002C5E50"/>
    <w:rsid w:val="002C632D"/>
    <w:rsid w:val="002C6EC7"/>
    <w:rsid w:val="002D2A0A"/>
    <w:rsid w:val="002D3B16"/>
    <w:rsid w:val="002D7538"/>
    <w:rsid w:val="002D7C30"/>
    <w:rsid w:val="002E0AA3"/>
    <w:rsid w:val="002E263B"/>
    <w:rsid w:val="002E50B8"/>
    <w:rsid w:val="002E74B0"/>
    <w:rsid w:val="002F17B5"/>
    <w:rsid w:val="002F214C"/>
    <w:rsid w:val="002F4AD5"/>
    <w:rsid w:val="002F5E61"/>
    <w:rsid w:val="003012C5"/>
    <w:rsid w:val="00304D85"/>
    <w:rsid w:val="00306FFD"/>
    <w:rsid w:val="003121EA"/>
    <w:rsid w:val="00312A6C"/>
    <w:rsid w:val="00313012"/>
    <w:rsid w:val="00320617"/>
    <w:rsid w:val="003215C9"/>
    <w:rsid w:val="003216A3"/>
    <w:rsid w:val="003218EE"/>
    <w:rsid w:val="00321F71"/>
    <w:rsid w:val="00331133"/>
    <w:rsid w:val="00334B4F"/>
    <w:rsid w:val="00337A90"/>
    <w:rsid w:val="00341E24"/>
    <w:rsid w:val="00342C43"/>
    <w:rsid w:val="00343481"/>
    <w:rsid w:val="00345D9C"/>
    <w:rsid w:val="00346E29"/>
    <w:rsid w:val="00346F23"/>
    <w:rsid w:val="00354AD4"/>
    <w:rsid w:val="00361202"/>
    <w:rsid w:val="00361909"/>
    <w:rsid w:val="0036746B"/>
    <w:rsid w:val="00367ED0"/>
    <w:rsid w:val="00371922"/>
    <w:rsid w:val="003728D7"/>
    <w:rsid w:val="00373A0E"/>
    <w:rsid w:val="00376C41"/>
    <w:rsid w:val="00380B5B"/>
    <w:rsid w:val="00382A8A"/>
    <w:rsid w:val="003900BF"/>
    <w:rsid w:val="0039722A"/>
    <w:rsid w:val="003A45CF"/>
    <w:rsid w:val="003A45D3"/>
    <w:rsid w:val="003A54DE"/>
    <w:rsid w:val="003A5688"/>
    <w:rsid w:val="003A7E01"/>
    <w:rsid w:val="003B3E14"/>
    <w:rsid w:val="003B3F75"/>
    <w:rsid w:val="003B5CCA"/>
    <w:rsid w:val="003C190E"/>
    <w:rsid w:val="003C2893"/>
    <w:rsid w:val="003C3D41"/>
    <w:rsid w:val="003C400B"/>
    <w:rsid w:val="003C50C2"/>
    <w:rsid w:val="003C6D87"/>
    <w:rsid w:val="003D0297"/>
    <w:rsid w:val="003D0A22"/>
    <w:rsid w:val="003D1190"/>
    <w:rsid w:val="003D2786"/>
    <w:rsid w:val="003D6407"/>
    <w:rsid w:val="003D7633"/>
    <w:rsid w:val="003E1FD1"/>
    <w:rsid w:val="003E4D25"/>
    <w:rsid w:val="003E6A2E"/>
    <w:rsid w:val="003E7566"/>
    <w:rsid w:val="003F143C"/>
    <w:rsid w:val="003F5937"/>
    <w:rsid w:val="003F5AD6"/>
    <w:rsid w:val="0040026F"/>
    <w:rsid w:val="0040288A"/>
    <w:rsid w:val="004059E6"/>
    <w:rsid w:val="00407582"/>
    <w:rsid w:val="00410180"/>
    <w:rsid w:val="004168BD"/>
    <w:rsid w:val="00416DB9"/>
    <w:rsid w:val="00424F12"/>
    <w:rsid w:val="00425672"/>
    <w:rsid w:val="00425BCC"/>
    <w:rsid w:val="00425CB9"/>
    <w:rsid w:val="00426CBB"/>
    <w:rsid w:val="00427395"/>
    <w:rsid w:val="00430A07"/>
    <w:rsid w:val="00430B81"/>
    <w:rsid w:val="00432BD8"/>
    <w:rsid w:val="00434B19"/>
    <w:rsid w:val="004376BA"/>
    <w:rsid w:val="0044303B"/>
    <w:rsid w:val="00446E2B"/>
    <w:rsid w:val="00451653"/>
    <w:rsid w:val="00452317"/>
    <w:rsid w:val="00452680"/>
    <w:rsid w:val="00457C8C"/>
    <w:rsid w:val="00461360"/>
    <w:rsid w:val="00466068"/>
    <w:rsid w:val="004661ED"/>
    <w:rsid w:val="004731D5"/>
    <w:rsid w:val="00474753"/>
    <w:rsid w:val="004806A5"/>
    <w:rsid w:val="00481558"/>
    <w:rsid w:val="0048208E"/>
    <w:rsid w:val="00483D29"/>
    <w:rsid w:val="004872D8"/>
    <w:rsid w:val="004876C4"/>
    <w:rsid w:val="004919CE"/>
    <w:rsid w:val="00491D73"/>
    <w:rsid w:val="00495FBF"/>
    <w:rsid w:val="004A1131"/>
    <w:rsid w:val="004A61DA"/>
    <w:rsid w:val="004A6E84"/>
    <w:rsid w:val="004B3003"/>
    <w:rsid w:val="004B5BDF"/>
    <w:rsid w:val="004B62B9"/>
    <w:rsid w:val="004B7A43"/>
    <w:rsid w:val="004C07B5"/>
    <w:rsid w:val="004C0B68"/>
    <w:rsid w:val="004C6725"/>
    <w:rsid w:val="004D2E6A"/>
    <w:rsid w:val="004D4A06"/>
    <w:rsid w:val="004D5AAF"/>
    <w:rsid w:val="004E740D"/>
    <w:rsid w:val="004F003E"/>
    <w:rsid w:val="004F0ABB"/>
    <w:rsid w:val="004F40C4"/>
    <w:rsid w:val="004F5AE2"/>
    <w:rsid w:val="004F6206"/>
    <w:rsid w:val="005009FF"/>
    <w:rsid w:val="00500ECC"/>
    <w:rsid w:val="00503DA9"/>
    <w:rsid w:val="00504B40"/>
    <w:rsid w:val="00510B18"/>
    <w:rsid w:val="00510CB7"/>
    <w:rsid w:val="00510DDC"/>
    <w:rsid w:val="0052202A"/>
    <w:rsid w:val="005220C8"/>
    <w:rsid w:val="00522BCC"/>
    <w:rsid w:val="0052470A"/>
    <w:rsid w:val="00525BDB"/>
    <w:rsid w:val="00527ADE"/>
    <w:rsid w:val="00530951"/>
    <w:rsid w:val="00532381"/>
    <w:rsid w:val="00532684"/>
    <w:rsid w:val="00533D33"/>
    <w:rsid w:val="00535C63"/>
    <w:rsid w:val="005362F1"/>
    <w:rsid w:val="0053792F"/>
    <w:rsid w:val="00540ADE"/>
    <w:rsid w:val="00541258"/>
    <w:rsid w:val="0054329E"/>
    <w:rsid w:val="00543364"/>
    <w:rsid w:val="005533E9"/>
    <w:rsid w:val="00554D04"/>
    <w:rsid w:val="005573B4"/>
    <w:rsid w:val="005627F8"/>
    <w:rsid w:val="0056397A"/>
    <w:rsid w:val="005640E3"/>
    <w:rsid w:val="005676FC"/>
    <w:rsid w:val="00570218"/>
    <w:rsid w:val="005711E5"/>
    <w:rsid w:val="00576CE9"/>
    <w:rsid w:val="005813DC"/>
    <w:rsid w:val="00582A11"/>
    <w:rsid w:val="00582FC9"/>
    <w:rsid w:val="005857A9"/>
    <w:rsid w:val="005859B1"/>
    <w:rsid w:val="00585DDF"/>
    <w:rsid w:val="005867F4"/>
    <w:rsid w:val="005872A3"/>
    <w:rsid w:val="00587362"/>
    <w:rsid w:val="00590813"/>
    <w:rsid w:val="00592D24"/>
    <w:rsid w:val="00597492"/>
    <w:rsid w:val="00597A6E"/>
    <w:rsid w:val="005A10B4"/>
    <w:rsid w:val="005A3487"/>
    <w:rsid w:val="005A3B4D"/>
    <w:rsid w:val="005A4051"/>
    <w:rsid w:val="005A42B8"/>
    <w:rsid w:val="005A6611"/>
    <w:rsid w:val="005B1AAF"/>
    <w:rsid w:val="005B1F04"/>
    <w:rsid w:val="005B47AB"/>
    <w:rsid w:val="005B7124"/>
    <w:rsid w:val="005C08E1"/>
    <w:rsid w:val="005C3BD0"/>
    <w:rsid w:val="005C5330"/>
    <w:rsid w:val="005C5B9C"/>
    <w:rsid w:val="005D1F5A"/>
    <w:rsid w:val="005D2FB0"/>
    <w:rsid w:val="005D5839"/>
    <w:rsid w:val="005D7742"/>
    <w:rsid w:val="005E44A2"/>
    <w:rsid w:val="005E5421"/>
    <w:rsid w:val="005E6F51"/>
    <w:rsid w:val="005E71D0"/>
    <w:rsid w:val="005F3278"/>
    <w:rsid w:val="005F37FB"/>
    <w:rsid w:val="005F41C0"/>
    <w:rsid w:val="005F6845"/>
    <w:rsid w:val="006022B9"/>
    <w:rsid w:val="00602DA0"/>
    <w:rsid w:val="006034BA"/>
    <w:rsid w:val="0060613D"/>
    <w:rsid w:val="0061080F"/>
    <w:rsid w:val="00614AA9"/>
    <w:rsid w:val="00617206"/>
    <w:rsid w:val="006228B2"/>
    <w:rsid w:val="00624601"/>
    <w:rsid w:val="00626E91"/>
    <w:rsid w:val="00626FE9"/>
    <w:rsid w:val="006271E8"/>
    <w:rsid w:val="0063617E"/>
    <w:rsid w:val="00637423"/>
    <w:rsid w:val="00640A79"/>
    <w:rsid w:val="00644558"/>
    <w:rsid w:val="00644679"/>
    <w:rsid w:val="00646C6A"/>
    <w:rsid w:val="00647AAE"/>
    <w:rsid w:val="00655EE2"/>
    <w:rsid w:val="00656A78"/>
    <w:rsid w:val="00656D87"/>
    <w:rsid w:val="00664256"/>
    <w:rsid w:val="0066516A"/>
    <w:rsid w:val="00665E82"/>
    <w:rsid w:val="0066682A"/>
    <w:rsid w:val="00666BB9"/>
    <w:rsid w:val="00670B35"/>
    <w:rsid w:val="0067482D"/>
    <w:rsid w:val="00676D70"/>
    <w:rsid w:val="0068128B"/>
    <w:rsid w:val="00681301"/>
    <w:rsid w:val="00681F09"/>
    <w:rsid w:val="00683C53"/>
    <w:rsid w:val="00684509"/>
    <w:rsid w:val="006878F2"/>
    <w:rsid w:val="00687C38"/>
    <w:rsid w:val="00690241"/>
    <w:rsid w:val="00691F8A"/>
    <w:rsid w:val="0069274B"/>
    <w:rsid w:val="00697A20"/>
    <w:rsid w:val="006A0763"/>
    <w:rsid w:val="006A46E6"/>
    <w:rsid w:val="006A5997"/>
    <w:rsid w:val="006B008C"/>
    <w:rsid w:val="006B06F0"/>
    <w:rsid w:val="006B1604"/>
    <w:rsid w:val="006B1641"/>
    <w:rsid w:val="006B237C"/>
    <w:rsid w:val="006B7685"/>
    <w:rsid w:val="006C02B6"/>
    <w:rsid w:val="006C2F53"/>
    <w:rsid w:val="006C3612"/>
    <w:rsid w:val="006D1A06"/>
    <w:rsid w:val="006D1BDC"/>
    <w:rsid w:val="006D2993"/>
    <w:rsid w:val="006D5300"/>
    <w:rsid w:val="006D6337"/>
    <w:rsid w:val="006E11B3"/>
    <w:rsid w:val="006E2CB8"/>
    <w:rsid w:val="006E6CA9"/>
    <w:rsid w:val="006F055D"/>
    <w:rsid w:val="006F16E7"/>
    <w:rsid w:val="006F17B4"/>
    <w:rsid w:val="007008EB"/>
    <w:rsid w:val="0070166D"/>
    <w:rsid w:val="00702D55"/>
    <w:rsid w:val="00706B90"/>
    <w:rsid w:val="00710FD4"/>
    <w:rsid w:val="0071495E"/>
    <w:rsid w:val="00716EDA"/>
    <w:rsid w:val="0071709C"/>
    <w:rsid w:val="007175FA"/>
    <w:rsid w:val="00720D88"/>
    <w:rsid w:val="00723E4D"/>
    <w:rsid w:val="00730B44"/>
    <w:rsid w:val="00733F70"/>
    <w:rsid w:val="00741E4A"/>
    <w:rsid w:val="00743479"/>
    <w:rsid w:val="007434BF"/>
    <w:rsid w:val="00746E0E"/>
    <w:rsid w:val="00751893"/>
    <w:rsid w:val="00753077"/>
    <w:rsid w:val="00754749"/>
    <w:rsid w:val="007624B7"/>
    <w:rsid w:val="00762917"/>
    <w:rsid w:val="00764701"/>
    <w:rsid w:val="00774380"/>
    <w:rsid w:val="00776BC0"/>
    <w:rsid w:val="00777541"/>
    <w:rsid w:val="00780175"/>
    <w:rsid w:val="00780388"/>
    <w:rsid w:val="00780C39"/>
    <w:rsid w:val="00781667"/>
    <w:rsid w:val="007824F4"/>
    <w:rsid w:val="00790082"/>
    <w:rsid w:val="00790181"/>
    <w:rsid w:val="00791D50"/>
    <w:rsid w:val="007922CC"/>
    <w:rsid w:val="007931A3"/>
    <w:rsid w:val="00793ECE"/>
    <w:rsid w:val="007A0E57"/>
    <w:rsid w:val="007A2B27"/>
    <w:rsid w:val="007A5CD2"/>
    <w:rsid w:val="007B09C5"/>
    <w:rsid w:val="007B2EB7"/>
    <w:rsid w:val="007C0157"/>
    <w:rsid w:val="007C1E06"/>
    <w:rsid w:val="007C51BB"/>
    <w:rsid w:val="007C5A6F"/>
    <w:rsid w:val="007C6396"/>
    <w:rsid w:val="007C7908"/>
    <w:rsid w:val="007D3DB3"/>
    <w:rsid w:val="007D3EA8"/>
    <w:rsid w:val="007D4771"/>
    <w:rsid w:val="007D6BAC"/>
    <w:rsid w:val="007E048D"/>
    <w:rsid w:val="007E398B"/>
    <w:rsid w:val="007E3DF9"/>
    <w:rsid w:val="007E4BB7"/>
    <w:rsid w:val="007E5B96"/>
    <w:rsid w:val="007E794B"/>
    <w:rsid w:val="007E7C1E"/>
    <w:rsid w:val="00802917"/>
    <w:rsid w:val="008109C1"/>
    <w:rsid w:val="00813E43"/>
    <w:rsid w:val="00814C24"/>
    <w:rsid w:val="00815A2E"/>
    <w:rsid w:val="00817AF5"/>
    <w:rsid w:val="008328B9"/>
    <w:rsid w:val="00833F85"/>
    <w:rsid w:val="00835849"/>
    <w:rsid w:val="00841C4C"/>
    <w:rsid w:val="00843363"/>
    <w:rsid w:val="008439EA"/>
    <w:rsid w:val="008446C2"/>
    <w:rsid w:val="00846882"/>
    <w:rsid w:val="008501A9"/>
    <w:rsid w:val="00850770"/>
    <w:rsid w:val="0085210D"/>
    <w:rsid w:val="00855732"/>
    <w:rsid w:val="00855802"/>
    <w:rsid w:val="008558C7"/>
    <w:rsid w:val="00857FEF"/>
    <w:rsid w:val="008603A3"/>
    <w:rsid w:val="00860B00"/>
    <w:rsid w:val="00861098"/>
    <w:rsid w:val="008611CC"/>
    <w:rsid w:val="00863DA0"/>
    <w:rsid w:val="00864722"/>
    <w:rsid w:val="00864BF0"/>
    <w:rsid w:val="00864C8F"/>
    <w:rsid w:val="00866259"/>
    <w:rsid w:val="0086626A"/>
    <w:rsid w:val="0086699F"/>
    <w:rsid w:val="00867CC7"/>
    <w:rsid w:val="00870A34"/>
    <w:rsid w:val="00871AF0"/>
    <w:rsid w:val="00871C36"/>
    <w:rsid w:val="008721A7"/>
    <w:rsid w:val="00872DEF"/>
    <w:rsid w:val="00876D60"/>
    <w:rsid w:val="00881A92"/>
    <w:rsid w:val="0088564D"/>
    <w:rsid w:val="00886C77"/>
    <w:rsid w:val="00892229"/>
    <w:rsid w:val="00892A0D"/>
    <w:rsid w:val="00894FB7"/>
    <w:rsid w:val="00897EF0"/>
    <w:rsid w:val="008A5DC7"/>
    <w:rsid w:val="008A6D98"/>
    <w:rsid w:val="008B018B"/>
    <w:rsid w:val="008B0AC8"/>
    <w:rsid w:val="008B1E8E"/>
    <w:rsid w:val="008B78E5"/>
    <w:rsid w:val="008C0C7D"/>
    <w:rsid w:val="008C31CF"/>
    <w:rsid w:val="008C33FA"/>
    <w:rsid w:val="008C3602"/>
    <w:rsid w:val="008C3BD7"/>
    <w:rsid w:val="008C5739"/>
    <w:rsid w:val="008C64AA"/>
    <w:rsid w:val="008C67C4"/>
    <w:rsid w:val="008D1805"/>
    <w:rsid w:val="008D21B0"/>
    <w:rsid w:val="008D25CE"/>
    <w:rsid w:val="008D4922"/>
    <w:rsid w:val="008D7813"/>
    <w:rsid w:val="008E0543"/>
    <w:rsid w:val="008E2614"/>
    <w:rsid w:val="008F09B0"/>
    <w:rsid w:val="008F0E2D"/>
    <w:rsid w:val="008F1FCE"/>
    <w:rsid w:val="008F42FB"/>
    <w:rsid w:val="008F522B"/>
    <w:rsid w:val="008F6B94"/>
    <w:rsid w:val="00900204"/>
    <w:rsid w:val="00901FF9"/>
    <w:rsid w:val="0090233C"/>
    <w:rsid w:val="009054DC"/>
    <w:rsid w:val="00907C71"/>
    <w:rsid w:val="00911029"/>
    <w:rsid w:val="009203B6"/>
    <w:rsid w:val="00921FA6"/>
    <w:rsid w:val="00922D7C"/>
    <w:rsid w:val="00923999"/>
    <w:rsid w:val="00924E42"/>
    <w:rsid w:val="0092713B"/>
    <w:rsid w:val="00933037"/>
    <w:rsid w:val="00934841"/>
    <w:rsid w:val="00935063"/>
    <w:rsid w:val="00936EF6"/>
    <w:rsid w:val="00944D2E"/>
    <w:rsid w:val="00945EC2"/>
    <w:rsid w:val="00951779"/>
    <w:rsid w:val="0095741D"/>
    <w:rsid w:val="00957479"/>
    <w:rsid w:val="009574A5"/>
    <w:rsid w:val="00960761"/>
    <w:rsid w:val="00960CF7"/>
    <w:rsid w:val="00961173"/>
    <w:rsid w:val="009653C0"/>
    <w:rsid w:val="00965579"/>
    <w:rsid w:val="00965F84"/>
    <w:rsid w:val="00972457"/>
    <w:rsid w:val="0097288C"/>
    <w:rsid w:val="00973B3C"/>
    <w:rsid w:val="00974227"/>
    <w:rsid w:val="0097454A"/>
    <w:rsid w:val="009766F2"/>
    <w:rsid w:val="00980145"/>
    <w:rsid w:val="00982A55"/>
    <w:rsid w:val="0098396F"/>
    <w:rsid w:val="009853AD"/>
    <w:rsid w:val="009853B4"/>
    <w:rsid w:val="009872CB"/>
    <w:rsid w:val="00987F29"/>
    <w:rsid w:val="00991E93"/>
    <w:rsid w:val="009920D3"/>
    <w:rsid w:val="009925CE"/>
    <w:rsid w:val="00994BB9"/>
    <w:rsid w:val="009954AB"/>
    <w:rsid w:val="009A0264"/>
    <w:rsid w:val="009A1C87"/>
    <w:rsid w:val="009A40D9"/>
    <w:rsid w:val="009A5A62"/>
    <w:rsid w:val="009A5B53"/>
    <w:rsid w:val="009A6FA5"/>
    <w:rsid w:val="009A7965"/>
    <w:rsid w:val="009B0B45"/>
    <w:rsid w:val="009B0D06"/>
    <w:rsid w:val="009B220E"/>
    <w:rsid w:val="009B637B"/>
    <w:rsid w:val="009B6A78"/>
    <w:rsid w:val="009C246C"/>
    <w:rsid w:val="009C659B"/>
    <w:rsid w:val="009C6E59"/>
    <w:rsid w:val="009D1BF4"/>
    <w:rsid w:val="009D63DC"/>
    <w:rsid w:val="009E122A"/>
    <w:rsid w:val="009E1A0C"/>
    <w:rsid w:val="009E2E38"/>
    <w:rsid w:val="009F1C2A"/>
    <w:rsid w:val="009F2131"/>
    <w:rsid w:val="009F53BE"/>
    <w:rsid w:val="009F596C"/>
    <w:rsid w:val="009F6700"/>
    <w:rsid w:val="00A00271"/>
    <w:rsid w:val="00A006D5"/>
    <w:rsid w:val="00A01153"/>
    <w:rsid w:val="00A0195F"/>
    <w:rsid w:val="00A01AB3"/>
    <w:rsid w:val="00A05A5E"/>
    <w:rsid w:val="00A10A52"/>
    <w:rsid w:val="00A112E4"/>
    <w:rsid w:val="00A11654"/>
    <w:rsid w:val="00A11DD7"/>
    <w:rsid w:val="00A12760"/>
    <w:rsid w:val="00A1514B"/>
    <w:rsid w:val="00A20355"/>
    <w:rsid w:val="00A207CF"/>
    <w:rsid w:val="00A2631E"/>
    <w:rsid w:val="00A27DD2"/>
    <w:rsid w:val="00A30897"/>
    <w:rsid w:val="00A3253B"/>
    <w:rsid w:val="00A32770"/>
    <w:rsid w:val="00A33C06"/>
    <w:rsid w:val="00A345A9"/>
    <w:rsid w:val="00A37902"/>
    <w:rsid w:val="00A41702"/>
    <w:rsid w:val="00A42922"/>
    <w:rsid w:val="00A42979"/>
    <w:rsid w:val="00A44E5A"/>
    <w:rsid w:val="00A4735A"/>
    <w:rsid w:val="00A51503"/>
    <w:rsid w:val="00A547D4"/>
    <w:rsid w:val="00A54B76"/>
    <w:rsid w:val="00A54D2C"/>
    <w:rsid w:val="00A570D5"/>
    <w:rsid w:val="00A608EB"/>
    <w:rsid w:val="00A64AED"/>
    <w:rsid w:val="00A6641A"/>
    <w:rsid w:val="00A66484"/>
    <w:rsid w:val="00A74A19"/>
    <w:rsid w:val="00A764B3"/>
    <w:rsid w:val="00A80316"/>
    <w:rsid w:val="00A81DE4"/>
    <w:rsid w:val="00A8283F"/>
    <w:rsid w:val="00A84830"/>
    <w:rsid w:val="00A8530D"/>
    <w:rsid w:val="00A86893"/>
    <w:rsid w:val="00A912B3"/>
    <w:rsid w:val="00A95887"/>
    <w:rsid w:val="00AA0238"/>
    <w:rsid w:val="00AA1325"/>
    <w:rsid w:val="00AA3CB6"/>
    <w:rsid w:val="00AA620C"/>
    <w:rsid w:val="00AB1A3A"/>
    <w:rsid w:val="00AB3053"/>
    <w:rsid w:val="00AB58BC"/>
    <w:rsid w:val="00AB5CDC"/>
    <w:rsid w:val="00AB67C7"/>
    <w:rsid w:val="00AC6D56"/>
    <w:rsid w:val="00AD5050"/>
    <w:rsid w:val="00AE0606"/>
    <w:rsid w:val="00AE0AFD"/>
    <w:rsid w:val="00AE19AA"/>
    <w:rsid w:val="00AE1B01"/>
    <w:rsid w:val="00AE1F2C"/>
    <w:rsid w:val="00AE2198"/>
    <w:rsid w:val="00AE2555"/>
    <w:rsid w:val="00AE3E9B"/>
    <w:rsid w:val="00AE4473"/>
    <w:rsid w:val="00AE5D30"/>
    <w:rsid w:val="00AE6910"/>
    <w:rsid w:val="00AF002C"/>
    <w:rsid w:val="00AF0419"/>
    <w:rsid w:val="00AF5B67"/>
    <w:rsid w:val="00AF6421"/>
    <w:rsid w:val="00AF6C67"/>
    <w:rsid w:val="00B0187B"/>
    <w:rsid w:val="00B0611E"/>
    <w:rsid w:val="00B06854"/>
    <w:rsid w:val="00B11322"/>
    <w:rsid w:val="00B124AF"/>
    <w:rsid w:val="00B132CB"/>
    <w:rsid w:val="00B13450"/>
    <w:rsid w:val="00B13E27"/>
    <w:rsid w:val="00B1424E"/>
    <w:rsid w:val="00B14E91"/>
    <w:rsid w:val="00B154B4"/>
    <w:rsid w:val="00B15D3F"/>
    <w:rsid w:val="00B161F7"/>
    <w:rsid w:val="00B20B24"/>
    <w:rsid w:val="00B26783"/>
    <w:rsid w:val="00B26AD6"/>
    <w:rsid w:val="00B41246"/>
    <w:rsid w:val="00B415A7"/>
    <w:rsid w:val="00B42B7C"/>
    <w:rsid w:val="00B44ED0"/>
    <w:rsid w:val="00B4570A"/>
    <w:rsid w:val="00B53B62"/>
    <w:rsid w:val="00B56730"/>
    <w:rsid w:val="00B6151C"/>
    <w:rsid w:val="00B61BF7"/>
    <w:rsid w:val="00B62627"/>
    <w:rsid w:val="00B62E0A"/>
    <w:rsid w:val="00B65A67"/>
    <w:rsid w:val="00B71588"/>
    <w:rsid w:val="00B7251E"/>
    <w:rsid w:val="00B72717"/>
    <w:rsid w:val="00B74567"/>
    <w:rsid w:val="00B7613E"/>
    <w:rsid w:val="00B7626D"/>
    <w:rsid w:val="00B767F2"/>
    <w:rsid w:val="00B80231"/>
    <w:rsid w:val="00B81A8B"/>
    <w:rsid w:val="00B82B13"/>
    <w:rsid w:val="00B8317C"/>
    <w:rsid w:val="00B8422E"/>
    <w:rsid w:val="00B846F3"/>
    <w:rsid w:val="00B8506F"/>
    <w:rsid w:val="00B857DC"/>
    <w:rsid w:val="00B879E8"/>
    <w:rsid w:val="00B91D7E"/>
    <w:rsid w:val="00B93298"/>
    <w:rsid w:val="00B955EE"/>
    <w:rsid w:val="00BA08A6"/>
    <w:rsid w:val="00BA1C71"/>
    <w:rsid w:val="00BA3DC9"/>
    <w:rsid w:val="00BA4E78"/>
    <w:rsid w:val="00BA52F8"/>
    <w:rsid w:val="00BA6928"/>
    <w:rsid w:val="00BA7554"/>
    <w:rsid w:val="00BB1553"/>
    <w:rsid w:val="00BB1E6E"/>
    <w:rsid w:val="00BB23F4"/>
    <w:rsid w:val="00BB35E5"/>
    <w:rsid w:val="00BB52C8"/>
    <w:rsid w:val="00BB61BC"/>
    <w:rsid w:val="00BC1B21"/>
    <w:rsid w:val="00BC2181"/>
    <w:rsid w:val="00BC5CBD"/>
    <w:rsid w:val="00BD1450"/>
    <w:rsid w:val="00BD6E87"/>
    <w:rsid w:val="00BE64C8"/>
    <w:rsid w:val="00BF1536"/>
    <w:rsid w:val="00BF1982"/>
    <w:rsid w:val="00BF481F"/>
    <w:rsid w:val="00BF6AAC"/>
    <w:rsid w:val="00C0070C"/>
    <w:rsid w:val="00C02454"/>
    <w:rsid w:val="00C043DB"/>
    <w:rsid w:val="00C134F7"/>
    <w:rsid w:val="00C1445A"/>
    <w:rsid w:val="00C15AA3"/>
    <w:rsid w:val="00C21E7A"/>
    <w:rsid w:val="00C225B4"/>
    <w:rsid w:val="00C2536E"/>
    <w:rsid w:val="00C27E41"/>
    <w:rsid w:val="00C35593"/>
    <w:rsid w:val="00C35609"/>
    <w:rsid w:val="00C367C3"/>
    <w:rsid w:val="00C41B0D"/>
    <w:rsid w:val="00C42A9D"/>
    <w:rsid w:val="00C50397"/>
    <w:rsid w:val="00C508F7"/>
    <w:rsid w:val="00C51349"/>
    <w:rsid w:val="00C52F26"/>
    <w:rsid w:val="00C562F9"/>
    <w:rsid w:val="00C56A7A"/>
    <w:rsid w:val="00C60BE6"/>
    <w:rsid w:val="00C6151D"/>
    <w:rsid w:val="00C62936"/>
    <w:rsid w:val="00C65B09"/>
    <w:rsid w:val="00C678E5"/>
    <w:rsid w:val="00C74BF8"/>
    <w:rsid w:val="00C77267"/>
    <w:rsid w:val="00C8027F"/>
    <w:rsid w:val="00C81123"/>
    <w:rsid w:val="00C836D1"/>
    <w:rsid w:val="00C83DA5"/>
    <w:rsid w:val="00C84176"/>
    <w:rsid w:val="00C86E17"/>
    <w:rsid w:val="00C87295"/>
    <w:rsid w:val="00C936C6"/>
    <w:rsid w:val="00CA0322"/>
    <w:rsid w:val="00CA1244"/>
    <w:rsid w:val="00CA1647"/>
    <w:rsid w:val="00CA1DF1"/>
    <w:rsid w:val="00CA2649"/>
    <w:rsid w:val="00CA57F7"/>
    <w:rsid w:val="00CA6EFC"/>
    <w:rsid w:val="00CB0B3E"/>
    <w:rsid w:val="00CB126A"/>
    <w:rsid w:val="00CB3865"/>
    <w:rsid w:val="00CC0361"/>
    <w:rsid w:val="00CC2024"/>
    <w:rsid w:val="00CC4C83"/>
    <w:rsid w:val="00CC64FE"/>
    <w:rsid w:val="00CD0EA1"/>
    <w:rsid w:val="00CD1B86"/>
    <w:rsid w:val="00CD2A31"/>
    <w:rsid w:val="00CD3241"/>
    <w:rsid w:val="00CD413A"/>
    <w:rsid w:val="00CD4B33"/>
    <w:rsid w:val="00CD4DFF"/>
    <w:rsid w:val="00CD6DF5"/>
    <w:rsid w:val="00CD729A"/>
    <w:rsid w:val="00CE07BC"/>
    <w:rsid w:val="00CE0B63"/>
    <w:rsid w:val="00CE40C5"/>
    <w:rsid w:val="00CE551A"/>
    <w:rsid w:val="00CE7B4B"/>
    <w:rsid w:val="00CE7B72"/>
    <w:rsid w:val="00CF00EC"/>
    <w:rsid w:val="00CF01AA"/>
    <w:rsid w:val="00CF23D2"/>
    <w:rsid w:val="00CF2ADD"/>
    <w:rsid w:val="00CF6028"/>
    <w:rsid w:val="00CF6242"/>
    <w:rsid w:val="00CF7721"/>
    <w:rsid w:val="00D0002C"/>
    <w:rsid w:val="00D0311D"/>
    <w:rsid w:val="00D03BB4"/>
    <w:rsid w:val="00D07E78"/>
    <w:rsid w:val="00D100EF"/>
    <w:rsid w:val="00D145C5"/>
    <w:rsid w:val="00D15DDE"/>
    <w:rsid w:val="00D161C5"/>
    <w:rsid w:val="00D23589"/>
    <w:rsid w:val="00D23F87"/>
    <w:rsid w:val="00D246C4"/>
    <w:rsid w:val="00D25048"/>
    <w:rsid w:val="00D252EF"/>
    <w:rsid w:val="00D26FFE"/>
    <w:rsid w:val="00D31A4E"/>
    <w:rsid w:val="00D32A15"/>
    <w:rsid w:val="00D33421"/>
    <w:rsid w:val="00D33F27"/>
    <w:rsid w:val="00D355B8"/>
    <w:rsid w:val="00D37243"/>
    <w:rsid w:val="00D422D1"/>
    <w:rsid w:val="00D426EC"/>
    <w:rsid w:val="00D47014"/>
    <w:rsid w:val="00D4753C"/>
    <w:rsid w:val="00D512CA"/>
    <w:rsid w:val="00D52958"/>
    <w:rsid w:val="00D53941"/>
    <w:rsid w:val="00D55305"/>
    <w:rsid w:val="00D578E3"/>
    <w:rsid w:val="00D67C43"/>
    <w:rsid w:val="00D71BD4"/>
    <w:rsid w:val="00D72104"/>
    <w:rsid w:val="00D77675"/>
    <w:rsid w:val="00D80B74"/>
    <w:rsid w:val="00D82774"/>
    <w:rsid w:val="00D83559"/>
    <w:rsid w:val="00D8388C"/>
    <w:rsid w:val="00D85774"/>
    <w:rsid w:val="00D87E88"/>
    <w:rsid w:val="00D934B5"/>
    <w:rsid w:val="00D9402E"/>
    <w:rsid w:val="00D96D8E"/>
    <w:rsid w:val="00D976E7"/>
    <w:rsid w:val="00DA1A82"/>
    <w:rsid w:val="00DA2E16"/>
    <w:rsid w:val="00DA3D48"/>
    <w:rsid w:val="00DA7CF9"/>
    <w:rsid w:val="00DB11BF"/>
    <w:rsid w:val="00DB1AA0"/>
    <w:rsid w:val="00DB1C07"/>
    <w:rsid w:val="00DC2615"/>
    <w:rsid w:val="00DC2618"/>
    <w:rsid w:val="00DC39A1"/>
    <w:rsid w:val="00DC3D40"/>
    <w:rsid w:val="00DC46CB"/>
    <w:rsid w:val="00DC5382"/>
    <w:rsid w:val="00DC5E5B"/>
    <w:rsid w:val="00DC618E"/>
    <w:rsid w:val="00DD0DE6"/>
    <w:rsid w:val="00DD45F4"/>
    <w:rsid w:val="00DE28DA"/>
    <w:rsid w:val="00DE2C2F"/>
    <w:rsid w:val="00DE392F"/>
    <w:rsid w:val="00DE5144"/>
    <w:rsid w:val="00DF309E"/>
    <w:rsid w:val="00DF4C0E"/>
    <w:rsid w:val="00DF6874"/>
    <w:rsid w:val="00DF6FC0"/>
    <w:rsid w:val="00DF7FC4"/>
    <w:rsid w:val="00E0190A"/>
    <w:rsid w:val="00E01DF5"/>
    <w:rsid w:val="00E03585"/>
    <w:rsid w:val="00E05ECF"/>
    <w:rsid w:val="00E127E1"/>
    <w:rsid w:val="00E1523B"/>
    <w:rsid w:val="00E154E1"/>
    <w:rsid w:val="00E16DE0"/>
    <w:rsid w:val="00E17C65"/>
    <w:rsid w:val="00E23A1E"/>
    <w:rsid w:val="00E27593"/>
    <w:rsid w:val="00E3420A"/>
    <w:rsid w:val="00E34FBB"/>
    <w:rsid w:val="00E36A5F"/>
    <w:rsid w:val="00E3735C"/>
    <w:rsid w:val="00E37F95"/>
    <w:rsid w:val="00E40F72"/>
    <w:rsid w:val="00E41D16"/>
    <w:rsid w:val="00E45D29"/>
    <w:rsid w:val="00E50DC4"/>
    <w:rsid w:val="00E51C00"/>
    <w:rsid w:val="00E51E1A"/>
    <w:rsid w:val="00E528EA"/>
    <w:rsid w:val="00E54763"/>
    <w:rsid w:val="00E57FC5"/>
    <w:rsid w:val="00E61EF1"/>
    <w:rsid w:val="00E6207E"/>
    <w:rsid w:val="00E62608"/>
    <w:rsid w:val="00E64B5A"/>
    <w:rsid w:val="00E6570A"/>
    <w:rsid w:val="00E700E9"/>
    <w:rsid w:val="00E7126A"/>
    <w:rsid w:val="00E720B0"/>
    <w:rsid w:val="00E7250E"/>
    <w:rsid w:val="00E73DB2"/>
    <w:rsid w:val="00E7459E"/>
    <w:rsid w:val="00E75174"/>
    <w:rsid w:val="00E767EE"/>
    <w:rsid w:val="00E77771"/>
    <w:rsid w:val="00E77C95"/>
    <w:rsid w:val="00E77D3F"/>
    <w:rsid w:val="00E822B8"/>
    <w:rsid w:val="00E829E4"/>
    <w:rsid w:val="00E8450E"/>
    <w:rsid w:val="00E86F70"/>
    <w:rsid w:val="00E87C34"/>
    <w:rsid w:val="00E87F73"/>
    <w:rsid w:val="00E919DE"/>
    <w:rsid w:val="00E91CD0"/>
    <w:rsid w:val="00E93208"/>
    <w:rsid w:val="00E94386"/>
    <w:rsid w:val="00E94FD6"/>
    <w:rsid w:val="00E972FD"/>
    <w:rsid w:val="00E97A44"/>
    <w:rsid w:val="00EA0DED"/>
    <w:rsid w:val="00EA2C88"/>
    <w:rsid w:val="00EB5C98"/>
    <w:rsid w:val="00EC3B3D"/>
    <w:rsid w:val="00EC661E"/>
    <w:rsid w:val="00ED249B"/>
    <w:rsid w:val="00ED42B7"/>
    <w:rsid w:val="00ED5032"/>
    <w:rsid w:val="00ED5654"/>
    <w:rsid w:val="00EE31EA"/>
    <w:rsid w:val="00EE5CE7"/>
    <w:rsid w:val="00EE65A4"/>
    <w:rsid w:val="00EF2FAF"/>
    <w:rsid w:val="00EF45DF"/>
    <w:rsid w:val="00EF4C46"/>
    <w:rsid w:val="00F01266"/>
    <w:rsid w:val="00F104E2"/>
    <w:rsid w:val="00F106BB"/>
    <w:rsid w:val="00F12196"/>
    <w:rsid w:val="00F17A91"/>
    <w:rsid w:val="00F23AE6"/>
    <w:rsid w:val="00F24673"/>
    <w:rsid w:val="00F247E5"/>
    <w:rsid w:val="00F326EC"/>
    <w:rsid w:val="00F342D5"/>
    <w:rsid w:val="00F35DFC"/>
    <w:rsid w:val="00F3747A"/>
    <w:rsid w:val="00F4081F"/>
    <w:rsid w:val="00F46445"/>
    <w:rsid w:val="00F46746"/>
    <w:rsid w:val="00F47EA4"/>
    <w:rsid w:val="00F523EC"/>
    <w:rsid w:val="00F5317D"/>
    <w:rsid w:val="00F545F1"/>
    <w:rsid w:val="00F578A6"/>
    <w:rsid w:val="00F6146D"/>
    <w:rsid w:val="00F667A2"/>
    <w:rsid w:val="00F71358"/>
    <w:rsid w:val="00F7253B"/>
    <w:rsid w:val="00F7532D"/>
    <w:rsid w:val="00F806E0"/>
    <w:rsid w:val="00F80B65"/>
    <w:rsid w:val="00F84B35"/>
    <w:rsid w:val="00F86AB8"/>
    <w:rsid w:val="00F87152"/>
    <w:rsid w:val="00F877B8"/>
    <w:rsid w:val="00F905CB"/>
    <w:rsid w:val="00F97419"/>
    <w:rsid w:val="00FA06D9"/>
    <w:rsid w:val="00FA429C"/>
    <w:rsid w:val="00FA53A8"/>
    <w:rsid w:val="00FA5A3A"/>
    <w:rsid w:val="00FA6609"/>
    <w:rsid w:val="00FA680E"/>
    <w:rsid w:val="00FA7B20"/>
    <w:rsid w:val="00FB3914"/>
    <w:rsid w:val="00FB3C6A"/>
    <w:rsid w:val="00FB43E7"/>
    <w:rsid w:val="00FB45B1"/>
    <w:rsid w:val="00FB579B"/>
    <w:rsid w:val="00FC630D"/>
    <w:rsid w:val="00FC741B"/>
    <w:rsid w:val="00FD006D"/>
    <w:rsid w:val="00FD09D6"/>
    <w:rsid w:val="00FD1605"/>
    <w:rsid w:val="00FD16D5"/>
    <w:rsid w:val="00FD4FEF"/>
    <w:rsid w:val="00FD5EC6"/>
    <w:rsid w:val="00FD7EB6"/>
    <w:rsid w:val="00FE0738"/>
    <w:rsid w:val="00FE42B4"/>
    <w:rsid w:val="00FF4D5D"/>
    <w:rsid w:val="00FF57EC"/>
    <w:rsid w:val="00FF712A"/>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33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771"/>
    <w:pPr>
      <w:keepNext/>
      <w:widowControl w:val="0"/>
      <w:autoSpaceDE w:val="0"/>
      <w:autoSpaceDN w:val="0"/>
      <w:adjustRightInd w:val="0"/>
      <w:jc w:val="center"/>
      <w:outlineLvl w:val="0"/>
    </w:pPr>
    <w:rPr>
      <w:rFonts w:cs="Arial"/>
      <w:b/>
      <w:u w:val="single"/>
    </w:rPr>
  </w:style>
  <w:style w:type="paragraph" w:styleId="Heading2">
    <w:name w:val="heading 2"/>
    <w:basedOn w:val="Normal"/>
    <w:next w:val="Normal"/>
    <w:qFormat/>
    <w:rsid w:val="007D4771"/>
    <w:pPr>
      <w:keepNext/>
      <w:numPr>
        <w:numId w:val="22"/>
      </w:numPr>
      <w:outlineLvl w:val="1"/>
    </w:pPr>
    <w:rPr>
      <w:b/>
      <w:bCs/>
    </w:rPr>
  </w:style>
  <w:style w:type="paragraph" w:styleId="Heading3">
    <w:name w:val="heading 3"/>
    <w:basedOn w:val="Normal"/>
    <w:next w:val="Normal"/>
    <w:link w:val="Heading3Char"/>
    <w:uiPriority w:val="9"/>
    <w:unhideWhenUsed/>
    <w:qFormat/>
    <w:rsid w:val="007D4771"/>
    <w:pPr>
      <w:keepNext/>
      <w:keepLines/>
      <w:numPr>
        <w:numId w:val="23"/>
      </w:numPr>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semiHidden/>
    <w:unhideWhenUsed/>
    <w:rsid w:val="00A1514B"/>
    <w:rPr>
      <w:sz w:val="16"/>
      <w:szCs w:val="16"/>
    </w:rPr>
  </w:style>
  <w:style w:type="paragraph" w:styleId="CommentText">
    <w:name w:val="annotation text"/>
    <w:basedOn w:val="Normal"/>
    <w:link w:val="CommentTextChar"/>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rsid w:val="007D4771"/>
    <w:rPr>
      <w:rFonts w:eastAsiaTheme="majorEastAsia" w:cstheme="majorBidi"/>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0F1F8A"/>
    <w:pPr>
      <w:spacing w:after="120"/>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F1F8A"/>
    <w:rPr>
      <w:sz w:val="22"/>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nhideWhenUsed/>
    <w:qFormat/>
    <w:rsid w:val="006D2993"/>
    <w:rPr>
      <w:vertAlign w:val="superscript"/>
    </w:rPr>
  </w:style>
  <w:style w:type="paragraph" w:styleId="Revision">
    <w:name w:val="Revision"/>
    <w:hidden/>
    <w:uiPriority w:val="99"/>
    <w:semiHidden/>
    <w:rsid w:val="000E75B5"/>
    <w:rPr>
      <w:sz w:val="24"/>
      <w:szCs w:val="24"/>
    </w:rPr>
  </w:style>
  <w:style w:type="paragraph" w:styleId="NoSpacing">
    <w:name w:val="No Spacing"/>
    <w:uiPriority w:val="1"/>
    <w:qFormat/>
    <w:rsid w:val="006B237C"/>
    <w:rPr>
      <w:rFonts w:eastAsia="Calibri"/>
      <w:sz w:val="25"/>
      <w:szCs w:val="22"/>
    </w:rPr>
  </w:style>
  <w:style w:type="paragraph" w:customStyle="1" w:styleId="Findings">
    <w:name w:val="Findings"/>
    <w:basedOn w:val="Normal"/>
    <w:rsid w:val="003A45CF"/>
    <w:pPr>
      <w:numPr>
        <w:numId w:val="7"/>
      </w:numPr>
    </w:pPr>
  </w:style>
  <w:style w:type="paragraph" w:customStyle="1" w:styleId="FindingsConclusions">
    <w:name w:val="Findings &amp; Conclusions"/>
    <w:basedOn w:val="Normal"/>
    <w:rsid w:val="000B6279"/>
    <w:pPr>
      <w:numPr>
        <w:numId w:val="13"/>
      </w:numPr>
    </w:pPr>
  </w:style>
  <w:style w:type="paragraph" w:customStyle="1" w:styleId="Judge">
    <w:name w:val="Judge"/>
    <w:basedOn w:val="Normal"/>
    <w:link w:val="JudgeChar"/>
    <w:semiHidden/>
    <w:rsid w:val="004F003E"/>
    <w:pPr>
      <w:spacing w:line="240" w:lineRule="exact"/>
      <w:jc w:val="right"/>
    </w:pPr>
  </w:style>
  <w:style w:type="paragraph" w:customStyle="1" w:styleId="Answer">
    <w:name w:val="Answer"/>
    <w:basedOn w:val="Judge"/>
    <w:next w:val="Normal"/>
    <w:link w:val="AnswerChar"/>
    <w:qFormat/>
    <w:rsid w:val="004F003E"/>
    <w:pPr>
      <w:spacing w:before="240" w:after="240" w:line="480" w:lineRule="exact"/>
      <w:ind w:left="720" w:hanging="720"/>
      <w:jc w:val="left"/>
    </w:pPr>
  </w:style>
  <w:style w:type="character" w:customStyle="1" w:styleId="JudgeChar">
    <w:name w:val="Judge Char"/>
    <w:basedOn w:val="DefaultParagraphFont"/>
    <w:link w:val="Judge"/>
    <w:semiHidden/>
    <w:rsid w:val="004F003E"/>
    <w:rPr>
      <w:sz w:val="24"/>
      <w:szCs w:val="24"/>
    </w:rPr>
  </w:style>
  <w:style w:type="character" w:customStyle="1" w:styleId="AnswerChar">
    <w:name w:val="Answer Char"/>
    <w:basedOn w:val="JudgeChar"/>
    <w:link w:val="Answer"/>
    <w:rsid w:val="004F003E"/>
    <w:rPr>
      <w:sz w:val="24"/>
      <w:szCs w:val="24"/>
    </w:rPr>
  </w:style>
  <w:style w:type="paragraph" w:styleId="PlainText">
    <w:name w:val="Plain Text"/>
    <w:basedOn w:val="Normal"/>
    <w:link w:val="PlainTextChar"/>
    <w:uiPriority w:val="99"/>
    <w:unhideWhenUsed/>
    <w:rsid w:val="00AE060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E0606"/>
    <w:rPr>
      <w:rFonts w:ascii="Consolas" w:eastAsiaTheme="minorHAnsi" w:hAnsi="Consolas" w:cstheme="minorBidi"/>
      <w:sz w:val="21"/>
      <w:szCs w:val="21"/>
    </w:rPr>
  </w:style>
  <w:style w:type="paragraph" w:styleId="ListBullet5">
    <w:name w:val="List Bullet 5"/>
    <w:basedOn w:val="Normal"/>
    <w:semiHidden/>
    <w:rsid w:val="00466068"/>
    <w:pPr>
      <w:numPr>
        <w:numId w:val="27"/>
      </w:numPr>
    </w:pPr>
  </w:style>
  <w:style w:type="paragraph" w:styleId="TOCHeading">
    <w:name w:val="TOC Heading"/>
    <w:basedOn w:val="Heading1"/>
    <w:next w:val="Normal"/>
    <w:uiPriority w:val="39"/>
    <w:unhideWhenUsed/>
    <w:qFormat/>
    <w:rsid w:val="00A006D5"/>
    <w:pPr>
      <w:keepLines/>
      <w:widowControl/>
      <w:autoSpaceDE/>
      <w:autoSpaceDN/>
      <w:adjustRightInd/>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paragraph" w:styleId="TOC1">
    <w:name w:val="toc 1"/>
    <w:basedOn w:val="Normal"/>
    <w:next w:val="Normal"/>
    <w:autoRedefine/>
    <w:uiPriority w:val="39"/>
    <w:unhideWhenUsed/>
    <w:rsid w:val="003218EE"/>
    <w:pPr>
      <w:tabs>
        <w:tab w:val="right" w:leader="dot" w:pos="8550"/>
      </w:tabs>
      <w:spacing w:line="264" w:lineRule="auto"/>
    </w:pPr>
  </w:style>
  <w:style w:type="paragraph" w:styleId="TOC2">
    <w:name w:val="toc 2"/>
    <w:basedOn w:val="Normal"/>
    <w:next w:val="Normal"/>
    <w:autoRedefine/>
    <w:uiPriority w:val="39"/>
    <w:unhideWhenUsed/>
    <w:rsid w:val="003218EE"/>
    <w:pPr>
      <w:tabs>
        <w:tab w:val="left" w:pos="660"/>
        <w:tab w:val="right" w:leader="dot" w:pos="8550"/>
      </w:tabs>
      <w:spacing w:line="264" w:lineRule="auto"/>
      <w:ind w:left="240"/>
    </w:pPr>
  </w:style>
  <w:style w:type="paragraph" w:styleId="TOC3">
    <w:name w:val="toc 3"/>
    <w:basedOn w:val="Normal"/>
    <w:next w:val="Normal"/>
    <w:autoRedefine/>
    <w:uiPriority w:val="39"/>
    <w:unhideWhenUsed/>
    <w:rsid w:val="003218EE"/>
    <w:pPr>
      <w:tabs>
        <w:tab w:val="left" w:pos="1100"/>
        <w:tab w:val="right" w:leader="dot" w:pos="8550"/>
      </w:tabs>
      <w:spacing w:line="264" w:lineRule="auto"/>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4888">
      <w:bodyDiv w:val="1"/>
      <w:marLeft w:val="0"/>
      <w:marRight w:val="0"/>
      <w:marTop w:val="0"/>
      <w:marBottom w:val="0"/>
      <w:divBdr>
        <w:top w:val="none" w:sz="0" w:space="0" w:color="auto"/>
        <w:left w:val="none" w:sz="0" w:space="0" w:color="auto"/>
        <w:bottom w:val="none" w:sz="0" w:space="0" w:color="auto"/>
        <w:right w:val="none" w:sz="0" w:space="0" w:color="auto"/>
      </w:divBdr>
      <w:divsChild>
        <w:div w:id="2108385254">
          <w:marLeft w:val="0"/>
          <w:marRight w:val="0"/>
          <w:marTop w:val="0"/>
          <w:marBottom w:val="0"/>
          <w:divBdr>
            <w:top w:val="none" w:sz="0" w:space="0" w:color="auto"/>
            <w:left w:val="none" w:sz="0" w:space="0" w:color="auto"/>
            <w:bottom w:val="none" w:sz="0" w:space="0" w:color="auto"/>
            <w:right w:val="none" w:sz="0" w:space="0" w:color="auto"/>
          </w:divBdr>
          <w:divsChild>
            <w:div w:id="1419136943">
              <w:marLeft w:val="0"/>
              <w:marRight w:val="0"/>
              <w:marTop w:val="0"/>
              <w:marBottom w:val="0"/>
              <w:divBdr>
                <w:top w:val="none" w:sz="0" w:space="0" w:color="auto"/>
                <w:left w:val="none" w:sz="0" w:space="0" w:color="auto"/>
                <w:bottom w:val="none" w:sz="0" w:space="0" w:color="auto"/>
                <w:right w:val="none" w:sz="0" w:space="0" w:color="auto"/>
              </w:divBdr>
              <w:divsChild>
                <w:div w:id="285506741">
                  <w:marLeft w:val="0"/>
                  <w:marRight w:val="0"/>
                  <w:marTop w:val="0"/>
                  <w:marBottom w:val="0"/>
                  <w:divBdr>
                    <w:top w:val="none" w:sz="0" w:space="12" w:color="auto"/>
                    <w:left w:val="none" w:sz="0" w:space="12" w:color="auto"/>
                    <w:bottom w:val="none" w:sz="0" w:space="12" w:color="auto"/>
                    <w:right w:val="none" w:sz="0" w:space="12" w:color="auto"/>
                  </w:divBdr>
                  <w:divsChild>
                    <w:div w:id="496000170">
                      <w:marLeft w:val="0"/>
                      <w:marRight w:val="0"/>
                      <w:marTop w:val="0"/>
                      <w:marBottom w:val="0"/>
                      <w:divBdr>
                        <w:top w:val="none" w:sz="0" w:space="0" w:color="auto"/>
                        <w:left w:val="none" w:sz="0" w:space="0" w:color="auto"/>
                        <w:bottom w:val="none" w:sz="0" w:space="0" w:color="auto"/>
                        <w:right w:val="none" w:sz="0" w:space="0" w:color="auto"/>
                      </w:divBdr>
                      <w:divsChild>
                        <w:div w:id="1298756777">
                          <w:marLeft w:val="-225"/>
                          <w:marRight w:val="-225"/>
                          <w:marTop w:val="0"/>
                          <w:marBottom w:val="0"/>
                          <w:divBdr>
                            <w:top w:val="none" w:sz="0" w:space="0" w:color="auto"/>
                            <w:left w:val="none" w:sz="0" w:space="0" w:color="auto"/>
                            <w:bottom w:val="none" w:sz="0" w:space="0" w:color="auto"/>
                            <w:right w:val="none" w:sz="0" w:space="0" w:color="auto"/>
                          </w:divBdr>
                          <w:divsChild>
                            <w:div w:id="562719643">
                              <w:marLeft w:val="0"/>
                              <w:marRight w:val="0"/>
                              <w:marTop w:val="0"/>
                              <w:marBottom w:val="0"/>
                              <w:divBdr>
                                <w:top w:val="none" w:sz="0" w:space="0" w:color="auto"/>
                                <w:left w:val="none" w:sz="0" w:space="0" w:color="auto"/>
                                <w:bottom w:val="none" w:sz="0" w:space="0" w:color="auto"/>
                                <w:right w:val="none" w:sz="0" w:space="0" w:color="auto"/>
                              </w:divBdr>
                              <w:divsChild>
                                <w:div w:id="1356537011">
                                  <w:marLeft w:val="0"/>
                                  <w:marRight w:val="0"/>
                                  <w:marTop w:val="0"/>
                                  <w:marBottom w:val="0"/>
                                  <w:divBdr>
                                    <w:top w:val="none" w:sz="0" w:space="0" w:color="auto"/>
                                    <w:left w:val="none" w:sz="0" w:space="0" w:color="auto"/>
                                    <w:bottom w:val="none" w:sz="0" w:space="0" w:color="auto"/>
                                    <w:right w:val="none" w:sz="0" w:space="0" w:color="auto"/>
                                  </w:divBdr>
                                  <w:divsChild>
                                    <w:div w:id="1154221765">
                                      <w:marLeft w:val="-225"/>
                                      <w:marRight w:val="-225"/>
                                      <w:marTop w:val="0"/>
                                      <w:marBottom w:val="0"/>
                                      <w:divBdr>
                                        <w:top w:val="none" w:sz="0" w:space="0" w:color="auto"/>
                                        <w:left w:val="none" w:sz="0" w:space="0" w:color="auto"/>
                                        <w:bottom w:val="none" w:sz="0" w:space="0" w:color="auto"/>
                                        <w:right w:val="none" w:sz="0" w:space="0" w:color="auto"/>
                                      </w:divBdr>
                                      <w:divsChild>
                                        <w:div w:id="419638303">
                                          <w:marLeft w:val="0"/>
                                          <w:marRight w:val="0"/>
                                          <w:marTop w:val="0"/>
                                          <w:marBottom w:val="0"/>
                                          <w:divBdr>
                                            <w:top w:val="none" w:sz="0" w:space="0" w:color="auto"/>
                                            <w:left w:val="none" w:sz="0" w:space="0" w:color="auto"/>
                                            <w:bottom w:val="none" w:sz="0" w:space="0" w:color="auto"/>
                                            <w:right w:val="none" w:sz="0" w:space="0" w:color="auto"/>
                                          </w:divBdr>
                                        </w:div>
                                      </w:divsChild>
                                    </w:div>
                                    <w:div w:id="8340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135410">
      <w:bodyDiv w:val="1"/>
      <w:marLeft w:val="0"/>
      <w:marRight w:val="0"/>
      <w:marTop w:val="0"/>
      <w:marBottom w:val="0"/>
      <w:divBdr>
        <w:top w:val="none" w:sz="0" w:space="0" w:color="auto"/>
        <w:left w:val="none" w:sz="0" w:space="0" w:color="auto"/>
        <w:bottom w:val="none" w:sz="0" w:space="0" w:color="auto"/>
        <w:right w:val="none" w:sz="0" w:space="0" w:color="auto"/>
      </w:divBdr>
      <w:divsChild>
        <w:div w:id="442268292">
          <w:marLeft w:val="0"/>
          <w:marRight w:val="0"/>
          <w:marTop w:val="0"/>
          <w:marBottom w:val="0"/>
          <w:divBdr>
            <w:top w:val="none" w:sz="0" w:space="0" w:color="auto"/>
            <w:left w:val="none" w:sz="0" w:space="0" w:color="auto"/>
            <w:bottom w:val="none" w:sz="0" w:space="0" w:color="auto"/>
            <w:right w:val="none" w:sz="0" w:space="0" w:color="auto"/>
          </w:divBdr>
          <w:divsChild>
            <w:div w:id="214241435">
              <w:marLeft w:val="0"/>
              <w:marRight w:val="0"/>
              <w:marTop w:val="0"/>
              <w:marBottom w:val="0"/>
              <w:divBdr>
                <w:top w:val="none" w:sz="0" w:space="0" w:color="auto"/>
                <w:left w:val="none" w:sz="0" w:space="0" w:color="auto"/>
                <w:bottom w:val="none" w:sz="0" w:space="0" w:color="auto"/>
                <w:right w:val="none" w:sz="0" w:space="0" w:color="auto"/>
              </w:divBdr>
              <w:divsChild>
                <w:div w:id="580216970">
                  <w:marLeft w:val="0"/>
                  <w:marRight w:val="0"/>
                  <w:marTop w:val="0"/>
                  <w:marBottom w:val="0"/>
                  <w:divBdr>
                    <w:top w:val="none" w:sz="0" w:space="12" w:color="auto"/>
                    <w:left w:val="none" w:sz="0" w:space="12" w:color="auto"/>
                    <w:bottom w:val="none" w:sz="0" w:space="12" w:color="auto"/>
                    <w:right w:val="none" w:sz="0" w:space="12" w:color="auto"/>
                  </w:divBdr>
                  <w:divsChild>
                    <w:div w:id="120225315">
                      <w:marLeft w:val="0"/>
                      <w:marRight w:val="0"/>
                      <w:marTop w:val="0"/>
                      <w:marBottom w:val="0"/>
                      <w:divBdr>
                        <w:top w:val="none" w:sz="0" w:space="0" w:color="auto"/>
                        <w:left w:val="none" w:sz="0" w:space="0" w:color="auto"/>
                        <w:bottom w:val="none" w:sz="0" w:space="0" w:color="auto"/>
                        <w:right w:val="none" w:sz="0" w:space="0" w:color="auto"/>
                      </w:divBdr>
                      <w:divsChild>
                        <w:div w:id="1630239206">
                          <w:marLeft w:val="-225"/>
                          <w:marRight w:val="-225"/>
                          <w:marTop w:val="0"/>
                          <w:marBottom w:val="0"/>
                          <w:divBdr>
                            <w:top w:val="none" w:sz="0" w:space="0" w:color="auto"/>
                            <w:left w:val="none" w:sz="0" w:space="0" w:color="auto"/>
                            <w:bottom w:val="none" w:sz="0" w:space="0" w:color="auto"/>
                            <w:right w:val="none" w:sz="0" w:space="0" w:color="auto"/>
                          </w:divBdr>
                          <w:divsChild>
                            <w:div w:id="846332610">
                              <w:marLeft w:val="0"/>
                              <w:marRight w:val="0"/>
                              <w:marTop w:val="0"/>
                              <w:marBottom w:val="0"/>
                              <w:divBdr>
                                <w:top w:val="none" w:sz="0" w:space="0" w:color="auto"/>
                                <w:left w:val="none" w:sz="0" w:space="0" w:color="auto"/>
                                <w:bottom w:val="none" w:sz="0" w:space="0" w:color="auto"/>
                                <w:right w:val="none" w:sz="0" w:space="0" w:color="auto"/>
                              </w:divBdr>
                              <w:divsChild>
                                <w:div w:id="1125349059">
                                  <w:marLeft w:val="0"/>
                                  <w:marRight w:val="0"/>
                                  <w:marTop w:val="0"/>
                                  <w:marBottom w:val="0"/>
                                  <w:divBdr>
                                    <w:top w:val="none" w:sz="0" w:space="0" w:color="auto"/>
                                    <w:left w:val="none" w:sz="0" w:space="0" w:color="auto"/>
                                    <w:bottom w:val="none" w:sz="0" w:space="0" w:color="auto"/>
                                    <w:right w:val="none" w:sz="0" w:space="0" w:color="auto"/>
                                  </w:divBdr>
                                  <w:divsChild>
                                    <w:div w:id="349143022">
                                      <w:marLeft w:val="-225"/>
                                      <w:marRight w:val="-225"/>
                                      <w:marTop w:val="0"/>
                                      <w:marBottom w:val="0"/>
                                      <w:divBdr>
                                        <w:top w:val="none" w:sz="0" w:space="0" w:color="auto"/>
                                        <w:left w:val="none" w:sz="0" w:space="0" w:color="auto"/>
                                        <w:bottom w:val="none" w:sz="0" w:space="0" w:color="auto"/>
                                        <w:right w:val="none" w:sz="0" w:space="0" w:color="auto"/>
                                      </w:divBdr>
                                      <w:divsChild>
                                        <w:div w:id="1688362935">
                                          <w:marLeft w:val="0"/>
                                          <w:marRight w:val="0"/>
                                          <w:marTop w:val="0"/>
                                          <w:marBottom w:val="0"/>
                                          <w:divBdr>
                                            <w:top w:val="none" w:sz="0" w:space="0" w:color="auto"/>
                                            <w:left w:val="none" w:sz="0" w:space="0" w:color="auto"/>
                                            <w:bottom w:val="none" w:sz="0" w:space="0" w:color="auto"/>
                                            <w:right w:val="none" w:sz="0" w:space="0" w:color="auto"/>
                                          </w:divBdr>
                                        </w:div>
                                      </w:divsChild>
                                    </w:div>
                                    <w:div w:id="164828293">
                                      <w:marLeft w:val="-225"/>
                                      <w:marRight w:val="-225"/>
                                      <w:marTop w:val="0"/>
                                      <w:marBottom w:val="0"/>
                                      <w:divBdr>
                                        <w:top w:val="none" w:sz="0" w:space="0" w:color="auto"/>
                                        <w:left w:val="none" w:sz="0" w:space="0" w:color="auto"/>
                                        <w:bottom w:val="none" w:sz="0" w:space="0" w:color="auto"/>
                                        <w:right w:val="none" w:sz="0" w:space="0" w:color="auto"/>
                                      </w:divBdr>
                                      <w:divsChild>
                                        <w:div w:id="17686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2015-08-06T07:00:00+00:00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9AD31-1CF2-4683-A82E-8F5770E10A65}"/>
</file>

<file path=customXml/itemProps2.xml><?xml version="1.0" encoding="utf-8"?>
<ds:datastoreItem xmlns:ds="http://schemas.openxmlformats.org/officeDocument/2006/customXml" ds:itemID="{C4446311-7D95-4AF2-8E01-365CE8E28EAF}"/>
</file>

<file path=customXml/itemProps3.xml><?xml version="1.0" encoding="utf-8"?>
<ds:datastoreItem xmlns:ds="http://schemas.openxmlformats.org/officeDocument/2006/customXml" ds:itemID="{857BAA6D-FF5F-4DF0-A18A-C1F3FCA2F01C}"/>
</file>

<file path=customXml/itemProps4.xml><?xml version="1.0" encoding="utf-8"?>
<ds:datastoreItem xmlns:ds="http://schemas.openxmlformats.org/officeDocument/2006/customXml" ds:itemID="{02D40BEF-56E6-4E6E-964D-B6CD2A94D650}"/>
</file>

<file path=customXml/itemProps5.xml><?xml version="1.0" encoding="utf-8"?>
<ds:datastoreItem xmlns:ds="http://schemas.openxmlformats.org/officeDocument/2006/customXml" ds:itemID="{DD7CFB5E-76EC-47FB-A0E0-E24479B32BD5}"/>
</file>

<file path=docProps/app.xml><?xml version="1.0" encoding="utf-8"?>
<Properties xmlns="http://schemas.openxmlformats.org/officeDocument/2006/extended-properties" xmlns:vt="http://schemas.openxmlformats.org/officeDocument/2006/docPropsVTypes">
  <Template>Normal</Template>
  <TotalTime>0</TotalTime>
  <Pages>34</Pages>
  <Words>9137</Words>
  <Characters>49308</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2015-08-06T15:57:00Z</dcterms:created>
  <dcterms:modified xsi:type="dcterms:W3CDTF">2015-08-06T15:58:00Z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