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92489C" w:rsidP="000F19C7">
      <w:pPr>
        <w:widowControl/>
        <w:tabs>
          <w:tab w:val="center" w:pos="4680"/>
        </w:tabs>
        <w:jc w:val="both"/>
        <w:rPr>
          <w:rFonts w:ascii="Times New Roman" w:hAnsi="Times New Roman"/>
          <w:sz w:val="24"/>
        </w:rPr>
      </w:pPr>
      <w:r>
        <w:rPr>
          <w:rFonts w:ascii="Times New Roman" w:hAnsi="Times New Roman"/>
          <w:sz w:val="24"/>
        </w:rPr>
        <w:t>April 1</w:t>
      </w:r>
      <w:r w:rsidR="00734A39">
        <w:rPr>
          <w:rFonts w:ascii="Times New Roman" w:hAnsi="Times New Roman"/>
          <w:sz w:val="24"/>
        </w:rPr>
        <w:t>5</w:t>
      </w:r>
      <w:r>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E65A20">
      <w:pPr>
        <w:ind w:left="720" w:hanging="720"/>
        <w:rPr>
          <w:rFonts w:ascii="Times New Roman" w:hAnsi="Times New Roman"/>
          <w:sz w:val="24"/>
        </w:rPr>
      </w:pPr>
      <w:r w:rsidRPr="00984675">
        <w:rPr>
          <w:rFonts w:ascii="Times New Roman" w:hAnsi="Times New Roman"/>
          <w:sz w:val="24"/>
        </w:rPr>
        <w:t>R</w:t>
      </w:r>
      <w:r w:rsidR="00626E3F">
        <w:rPr>
          <w:rFonts w:ascii="Times New Roman" w:hAnsi="Times New Roman"/>
          <w:sz w:val="24"/>
        </w:rPr>
        <w:t>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sidRPr="00734A39">
        <w:rPr>
          <w:rFonts w:ascii="Times New Roman" w:hAnsi="Times New Roman"/>
          <w:bCs/>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E65A20" w:rsidRDefault="00E65A20" w:rsidP="00E65A20">
      <w:pPr>
        <w:ind w:left="720" w:hanging="720"/>
        <w:rPr>
          <w:rFonts w:ascii="Times New Roman" w:hAnsi="Times New Roman"/>
          <w:sz w:val="24"/>
        </w:rPr>
      </w:pPr>
    </w:p>
    <w:p w:rsidR="000C4780" w:rsidRDefault="000C4780" w:rsidP="00E65A20">
      <w:pPr>
        <w:pStyle w:val="Header"/>
        <w:tabs>
          <w:tab w:val="clear" w:pos="4320"/>
        </w:tabs>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sidRPr="00734A39">
        <w:rPr>
          <w:rFonts w:ascii="Times New Roman" w:hAnsi="Times New Roman"/>
        </w:rPr>
        <w:t xml:space="preserve">, </w:t>
      </w:r>
      <w:r w:rsidR="008E5069">
        <w:rPr>
          <w:rFonts w:ascii="Times New Roman" w:hAnsi="Times New Roman"/>
        </w:rPr>
        <w:t xml:space="preserve">Dockets UE-121697 and </w:t>
      </w:r>
      <w:r>
        <w:rPr>
          <w:rFonts w:ascii="Times New Roman" w:hAnsi="Times New Roman"/>
        </w:rPr>
        <w:t>UG-121705</w:t>
      </w:r>
      <w:r w:rsidR="008E5069">
        <w:rPr>
          <w:rFonts w:ascii="Times New Roman" w:hAnsi="Times New Roman"/>
        </w:rPr>
        <w:t xml:space="preserve"> (</w:t>
      </w:r>
      <w:r w:rsidR="008E5069">
        <w:rPr>
          <w:rFonts w:ascii="Times New Roman" w:hAnsi="Times New Roman"/>
          <w:i/>
        </w:rPr>
        <w:t>Consolidated</w:t>
      </w:r>
      <w:r w:rsidR="008E5069">
        <w:rPr>
          <w:rFonts w:ascii="Times New Roman" w:hAnsi="Times New Roman"/>
        </w:rPr>
        <w:t>)</w:t>
      </w:r>
    </w:p>
    <w:p w:rsidR="00E65A20" w:rsidRPr="008E5069" w:rsidRDefault="00E65A20" w:rsidP="00E65A20">
      <w:pPr>
        <w:pStyle w:val="Header"/>
        <w:tabs>
          <w:tab w:val="clear" w:pos="4320"/>
        </w:tabs>
        <w:ind w:left="720" w:hanging="720"/>
        <w:rPr>
          <w:rFonts w:ascii="Times New Roman" w:hAnsi="Times New Roman"/>
        </w:rPr>
      </w:pPr>
    </w:p>
    <w:p w:rsidR="00A34AD0" w:rsidRPr="008E5069" w:rsidRDefault="00A34AD0" w:rsidP="00E65A20">
      <w:pPr>
        <w:ind w:left="720" w:hanging="720"/>
        <w:rPr>
          <w:rFonts w:ascii="Times New Roman" w:hAnsi="Times New Roman"/>
          <w:sz w:val="24"/>
        </w:rPr>
      </w:pPr>
      <w:r>
        <w:rPr>
          <w:rFonts w:ascii="Times New Roman" w:hAnsi="Times New Roman"/>
          <w:i/>
          <w:sz w:val="24"/>
        </w:rPr>
        <w:tab/>
      </w:r>
      <w:r w:rsidR="008E5069">
        <w:rPr>
          <w:rFonts w:ascii="Times New Roman" w:hAnsi="Times New Roman"/>
          <w:i/>
          <w:iCs/>
          <w:sz w:val="24"/>
        </w:rPr>
        <w:t>WASHINGTON UTILITIES AND TRANSPORTATION COMMISSION v.</w:t>
      </w:r>
      <w:r>
        <w:rPr>
          <w:rFonts w:ascii="Times New Roman" w:hAnsi="Times New Roman"/>
          <w:i/>
          <w:iCs/>
          <w:sz w:val="24"/>
        </w:rPr>
        <w:t xml:space="preserve"> </w:t>
      </w:r>
      <w:r w:rsidR="00EB5EF6">
        <w:rPr>
          <w:rFonts w:ascii="Times New Roman" w:hAnsi="Times New Roman"/>
          <w:i/>
          <w:iCs/>
          <w:sz w:val="24"/>
        </w:rPr>
        <w:t>PUGET SOUND ENERGY, INC</w:t>
      </w:r>
      <w:r w:rsidR="00304B42" w:rsidRPr="00734A39">
        <w:rPr>
          <w:rFonts w:ascii="Times New Roman" w:hAnsi="Times New Roman"/>
          <w:iCs/>
          <w:sz w:val="24"/>
        </w:rPr>
        <w:t xml:space="preserve">, </w:t>
      </w:r>
      <w:r>
        <w:rPr>
          <w:rFonts w:ascii="Times New Roman" w:hAnsi="Times New Roman"/>
          <w:sz w:val="24"/>
        </w:rPr>
        <w:t>Docket</w:t>
      </w:r>
      <w:r w:rsidR="008E5069">
        <w:rPr>
          <w:rFonts w:ascii="Times New Roman" w:hAnsi="Times New Roman"/>
          <w:sz w:val="24"/>
        </w:rPr>
        <w:t>s UE-130137 and</w:t>
      </w:r>
      <w:r>
        <w:rPr>
          <w:rFonts w:ascii="Times New Roman" w:hAnsi="Times New Roman"/>
          <w:sz w:val="24"/>
        </w:rPr>
        <w:t xml:space="preserve"> UG-130138</w:t>
      </w:r>
      <w:r w:rsidR="008E5069">
        <w:rPr>
          <w:rFonts w:ascii="Times New Roman" w:hAnsi="Times New Roman"/>
          <w:sz w:val="24"/>
        </w:rPr>
        <w:t xml:space="preserve"> (</w:t>
      </w:r>
      <w:r w:rsidR="008E5069">
        <w:rPr>
          <w:rFonts w:ascii="Times New Roman" w:hAnsi="Times New Roman"/>
          <w:i/>
          <w:sz w:val="24"/>
        </w:rPr>
        <w:t>Consolidated)</w:t>
      </w:r>
    </w:p>
    <w:p w:rsidR="00711347" w:rsidRPr="00391AFB" w:rsidRDefault="00711347">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Dear Mr. King:</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If permitted to respond to Public Counsel’s reply to the responses of Commission Staff and PSE in opposition to Public Counsel’s motion for leave to depose analyst Kenneth Elgin, Commission Staff would offer the following:</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 xml:space="preserve">Public Counsel’s motion for leave to depose Mr. Elgin provided no basis for granting such extraordinary relief.  Public Counsel sought generally for the Commission to allow a deposition of Mr. Elgin “regarding all matters related to the proposals under consideration.”  In Public Counsel’s reply to Staff’s response, Public Counsel now identifies Staff’s responses to Public Counsel Data Requests 6 and 7 as the bases for the request for leave to depose Mr. Elgin.  While Public Counsel’s reply now attempts to make the requisite showing under WAC 480-07-410(1), the request for leave to depose Mr. Elgin should nonetheless be denied. </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In its responses to Public Counsel Data Requests 6 and 7, Commission Staff, while preserving its objections, and in the interests of full disclosure, listed Ken Elgin as a</w:t>
      </w:r>
      <w:r w:rsidR="00626E3F">
        <w:rPr>
          <w:rFonts w:ascii="Times New Roman" w:hAnsi="Times New Roman"/>
          <w:sz w:val="24"/>
        </w:rPr>
        <w:t>n analyst</w:t>
      </w:r>
      <w:r w:rsidRPr="00E65A20">
        <w:rPr>
          <w:rFonts w:ascii="Times New Roman" w:hAnsi="Times New Roman"/>
          <w:sz w:val="24"/>
        </w:rPr>
        <w:t xml:space="preserve"> who conducted limited early review of PSE’s ERF and decoupling proposals.  Mr. Elgin evidently prepared certain documents on his own initiative; those documents contain notes to himself.  Some of those notes reflect Mr. Elgin’s opinions that were not adopted in Commission Staff’s final position on the Multi-Party Settlement.  Public Counsel has been able to depose Staff’s designated expert witness Mr. Schooley on Mr. Elgin’s documents and notes to the extent they relate to the technical aspects of the proposed settlement agreement, in accordance with Judge Moss’s prior discovery ruling.  Public Counsel also is able to use those documents and notes with its own testifying and non-testifying expert witnesses to develop Public Counsel’s position.  However, allowing a deposition of Mr. Elgin, a non-testifying Staff employee, is an extraordinary step.  Mr. Elgin holds no facts relevant and significant to this matter that are not otherwise ascertainable by Public Counsel through its own experts, depositions of designated Staff witnesses, and the voluminous records that have been provided in response to data requests.</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 xml:space="preserve">Public Counsel is asking the Commission to set a decidedly destructive precedent.  If the Commission were to authorize Public Counsel to </w:t>
      </w:r>
      <w:r w:rsidR="00626E3F">
        <w:rPr>
          <w:rFonts w:ascii="Times New Roman" w:hAnsi="Times New Roman"/>
          <w:sz w:val="24"/>
        </w:rPr>
        <w:t xml:space="preserve">use a deposition to obtain the dissenting personal opinion of a </w:t>
      </w:r>
      <w:r w:rsidRPr="00E65A20">
        <w:rPr>
          <w:rFonts w:ascii="Times New Roman" w:hAnsi="Times New Roman"/>
          <w:sz w:val="24"/>
        </w:rPr>
        <w:t xml:space="preserve">non-witness analyst </w:t>
      </w:r>
      <w:r w:rsidR="00626E3F">
        <w:rPr>
          <w:rFonts w:ascii="Times New Roman" w:hAnsi="Times New Roman"/>
          <w:sz w:val="24"/>
        </w:rPr>
        <w:t xml:space="preserve">to use </w:t>
      </w:r>
      <w:r w:rsidRPr="00E65A20">
        <w:rPr>
          <w:rFonts w:ascii="Times New Roman" w:hAnsi="Times New Roman"/>
          <w:sz w:val="24"/>
        </w:rPr>
        <w:t>against a</w:t>
      </w:r>
      <w:r w:rsidR="00626E3F">
        <w:rPr>
          <w:rFonts w:ascii="Times New Roman" w:hAnsi="Times New Roman"/>
          <w:sz w:val="24"/>
        </w:rPr>
        <w:t xml:space="preserve"> testifying</w:t>
      </w:r>
      <w:r w:rsidRPr="00E65A20">
        <w:rPr>
          <w:rFonts w:ascii="Times New Roman" w:hAnsi="Times New Roman"/>
          <w:sz w:val="24"/>
        </w:rPr>
        <w:t xml:space="preserve"> Staff analyst, then the same principle would hold true whether that dissenting analyst be in the employ of the Commission, the Company—or Public Counsel.  This is an issue of institutional importance.  If the Commission deems Public Counsel’s determination to depose Mr. Elgin legitimate, then such an effort would be equally legitimate for any other party, by which that party could effectively turn any </w:t>
      </w:r>
      <w:r w:rsidR="00626E3F">
        <w:rPr>
          <w:rFonts w:ascii="Times New Roman" w:hAnsi="Times New Roman"/>
          <w:sz w:val="24"/>
        </w:rPr>
        <w:t xml:space="preserve">employee with a </w:t>
      </w:r>
      <w:r w:rsidRPr="00E65A20">
        <w:rPr>
          <w:rFonts w:ascii="Times New Roman" w:hAnsi="Times New Roman"/>
          <w:sz w:val="24"/>
        </w:rPr>
        <w:t xml:space="preserve">dissenting </w:t>
      </w:r>
      <w:r w:rsidR="00626E3F">
        <w:rPr>
          <w:rFonts w:ascii="Times New Roman" w:hAnsi="Times New Roman"/>
          <w:sz w:val="24"/>
        </w:rPr>
        <w:t xml:space="preserve">opinion </w:t>
      </w:r>
      <w:r w:rsidRPr="00E65A20">
        <w:rPr>
          <w:rFonts w:ascii="Times New Roman" w:hAnsi="Times New Roman"/>
          <w:sz w:val="24"/>
        </w:rPr>
        <w:t>into their own</w:t>
      </w:r>
      <w:r w:rsidR="00626E3F">
        <w:rPr>
          <w:rFonts w:ascii="Times New Roman" w:hAnsi="Times New Roman"/>
          <w:sz w:val="24"/>
        </w:rPr>
        <w:t xml:space="preserve"> purported expert</w:t>
      </w:r>
      <w:bookmarkStart w:id="0" w:name="_GoBack"/>
      <w:bookmarkEnd w:id="0"/>
      <w:r w:rsidRPr="00E65A20">
        <w:rPr>
          <w:rFonts w:ascii="Times New Roman" w:hAnsi="Times New Roman"/>
          <w:sz w:val="24"/>
        </w:rPr>
        <w:t>.</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Commission Staff strongly urges the Commission to deny Public Counsel’s motion to depose Staff analyst Ken Elgin.</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Thank you for your consideration.</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Respectfully submitted,</w:t>
      </w:r>
    </w:p>
    <w:p w:rsidR="00E65A20" w:rsidRPr="00E65A20" w:rsidRDefault="00E65A20" w:rsidP="00E65A20">
      <w:pPr>
        <w:widowControl/>
        <w:rPr>
          <w:rFonts w:ascii="Times New Roman" w:hAnsi="Times New Roman"/>
          <w:sz w:val="24"/>
        </w:rPr>
      </w:pPr>
    </w:p>
    <w:p w:rsid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SALLY BROWN</w:t>
      </w:r>
    </w:p>
    <w:p w:rsidR="00E65A20" w:rsidRPr="00E65A20" w:rsidRDefault="00E65A20" w:rsidP="00E65A20">
      <w:pPr>
        <w:widowControl/>
        <w:rPr>
          <w:rFonts w:ascii="Times New Roman" w:hAnsi="Times New Roman"/>
          <w:sz w:val="24"/>
        </w:rPr>
      </w:pPr>
      <w:r w:rsidRPr="00E65A20">
        <w:rPr>
          <w:rFonts w:ascii="Times New Roman" w:hAnsi="Times New Roman"/>
          <w:sz w:val="24"/>
        </w:rPr>
        <w:t>Senior Assistant Attorney General</w:t>
      </w:r>
    </w:p>
    <w:p w:rsidR="00E65A20" w:rsidRPr="00E65A20" w:rsidRDefault="00E65A20" w:rsidP="00E65A20">
      <w:pPr>
        <w:widowControl/>
        <w:rPr>
          <w:rFonts w:ascii="Times New Roman" w:hAnsi="Times New Roman"/>
          <w:sz w:val="24"/>
        </w:rPr>
      </w:pPr>
      <w:r w:rsidRPr="00E65A20">
        <w:rPr>
          <w:rFonts w:ascii="Times New Roman" w:hAnsi="Times New Roman"/>
          <w:sz w:val="24"/>
        </w:rPr>
        <w:t>Counsel for Commission Staff</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cc:</w:t>
      </w:r>
      <w:r w:rsidRPr="00E65A20">
        <w:rPr>
          <w:rFonts w:ascii="Times New Roman" w:hAnsi="Times New Roman"/>
          <w:sz w:val="24"/>
        </w:rPr>
        <w:tab/>
        <w:t>All Parties</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p>
    <w:p w:rsidR="001E37F4" w:rsidRDefault="00E65A20" w:rsidP="00E65A20">
      <w:pPr>
        <w:widowControl/>
        <w:rPr>
          <w:rFonts w:ascii="Times New Roman" w:hAnsi="Times New Roman"/>
          <w:sz w:val="24"/>
        </w:rPr>
      </w:pPr>
      <w:r w:rsidRPr="00E65A20">
        <w:rPr>
          <w:rFonts w:ascii="Times New Roman" w:hAnsi="Times New Roman"/>
          <w:sz w:val="24"/>
        </w:rPr>
        <w:t xml:space="preserve"> </w:t>
      </w:r>
    </w:p>
    <w:sectPr w:rsidR="001E37F4" w:rsidSect="00FA1D7D">
      <w:headerReference w:type="default" r:id="rId8"/>
      <w:endnotePr>
        <w:numFmt w:val="decimal"/>
      </w:endnotePr>
      <w:pgSz w:w="12240" w:h="15840" w:code="1"/>
      <w:pgMar w:top="1440" w:right="1440" w:bottom="1440" w:left="1872" w:header="1440" w:footer="1440" w:gutter="0"/>
      <w:paperSrc w:first="260" w:other="26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E65A20" w:rsidRDefault="00C06050">
    <w:pPr>
      <w:pStyle w:val="Header"/>
      <w:rPr>
        <w:rFonts w:ascii="Times New Roman" w:hAnsi="Times New Roman"/>
      </w:rPr>
    </w:pPr>
    <w:r w:rsidRPr="00E65A20">
      <w:rPr>
        <w:rFonts w:ascii="Times New Roman" w:hAnsi="Times New Roman"/>
      </w:rPr>
      <w:t xml:space="preserve">Steven V. King </w:t>
    </w:r>
  </w:p>
  <w:p w:rsidR="00C06050" w:rsidRPr="00E65A20" w:rsidRDefault="00E65A20">
    <w:pPr>
      <w:pStyle w:val="Header"/>
      <w:rPr>
        <w:rFonts w:ascii="Times New Roman" w:hAnsi="Times New Roman"/>
      </w:rPr>
    </w:pPr>
    <w:r>
      <w:rPr>
        <w:rFonts w:ascii="Times New Roman" w:hAnsi="Times New Roman"/>
      </w:rPr>
      <w:t>April 15</w:t>
    </w:r>
    <w:r w:rsidR="00C06050" w:rsidRPr="00E65A20">
      <w:rPr>
        <w:rFonts w:ascii="Times New Roman" w:hAnsi="Times New Roman"/>
      </w:rPr>
      <w:t>, 2013</w:t>
    </w:r>
  </w:p>
  <w:p w:rsidR="00C06050" w:rsidRPr="00E65A20" w:rsidRDefault="00C06050">
    <w:pPr>
      <w:pStyle w:val="Header"/>
      <w:rPr>
        <w:rFonts w:ascii="Times New Roman" w:hAnsi="Times New Roman"/>
      </w:rPr>
    </w:pPr>
    <w:r w:rsidRPr="00E65A20">
      <w:rPr>
        <w:rFonts w:ascii="Times New Roman" w:hAnsi="Times New Roman"/>
      </w:rPr>
      <w:t xml:space="preserve">Page </w:t>
    </w:r>
    <w:r w:rsidRPr="00E65A20">
      <w:rPr>
        <w:rFonts w:ascii="Times New Roman" w:hAnsi="Times New Roman"/>
      </w:rPr>
      <w:fldChar w:fldCharType="begin"/>
    </w:r>
    <w:r w:rsidRPr="00E65A20">
      <w:rPr>
        <w:rFonts w:ascii="Times New Roman" w:hAnsi="Times New Roman"/>
      </w:rPr>
      <w:instrText xml:space="preserve"> PAGE   \* MERGEFORMAT </w:instrText>
    </w:r>
    <w:r w:rsidRPr="00E65A20">
      <w:rPr>
        <w:rFonts w:ascii="Times New Roman" w:hAnsi="Times New Roman"/>
      </w:rPr>
      <w:fldChar w:fldCharType="separate"/>
    </w:r>
    <w:r w:rsidR="00FA1D7D">
      <w:rPr>
        <w:rFonts w:ascii="Times New Roman" w:hAnsi="Times New Roman"/>
        <w:noProof/>
      </w:rPr>
      <w:t>2</w:t>
    </w:r>
    <w:r w:rsidRPr="00E65A20">
      <w:rPr>
        <w:rFonts w:ascii="Times New Roman" w:hAnsi="Times New Roman"/>
        <w:noProof/>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5E4707"/>
    <w:rsid w:val="00613176"/>
    <w:rsid w:val="00626E3F"/>
    <w:rsid w:val="00650177"/>
    <w:rsid w:val="006B55A3"/>
    <w:rsid w:val="00705869"/>
    <w:rsid w:val="00711347"/>
    <w:rsid w:val="00734A39"/>
    <w:rsid w:val="00771ECE"/>
    <w:rsid w:val="00774AD8"/>
    <w:rsid w:val="007907F0"/>
    <w:rsid w:val="007D6840"/>
    <w:rsid w:val="007D6A33"/>
    <w:rsid w:val="00803373"/>
    <w:rsid w:val="00812FD2"/>
    <w:rsid w:val="00813052"/>
    <w:rsid w:val="0081788C"/>
    <w:rsid w:val="00832D51"/>
    <w:rsid w:val="00836563"/>
    <w:rsid w:val="00860654"/>
    <w:rsid w:val="0088696B"/>
    <w:rsid w:val="008C231C"/>
    <w:rsid w:val="008E5069"/>
    <w:rsid w:val="00904527"/>
    <w:rsid w:val="009244CB"/>
    <w:rsid w:val="0092489C"/>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65A20"/>
    <w:rsid w:val="00EB5EF6"/>
    <w:rsid w:val="00EE430E"/>
    <w:rsid w:val="00EF0565"/>
    <w:rsid w:val="00EF3943"/>
    <w:rsid w:val="00F37E87"/>
    <w:rsid w:val="00F563CB"/>
    <w:rsid w:val="00F943A8"/>
    <w:rsid w:val="00F97448"/>
    <w:rsid w:val="00FA1D7D"/>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2013-04-15T07:00:00+00:00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E91DA0E-FDF1-43D4-AA20-6FEA667312BC}"/>
</file>

<file path=customXml/itemProps2.xml><?xml version="1.0" encoding="utf-8"?>
<ds:datastoreItem xmlns:ds="http://schemas.openxmlformats.org/officeDocument/2006/customXml" ds:itemID="{4B0988A5-06E0-4EEA-AD95-151083700047}"/>
</file>

<file path=customXml/itemProps3.xml><?xml version="1.0" encoding="utf-8"?>
<ds:datastoreItem xmlns:ds="http://schemas.openxmlformats.org/officeDocument/2006/customXml" ds:itemID="{22B135E8-E40A-4D2F-9207-90710600AC88}"/>
</file>

<file path=customXml/itemProps4.xml><?xml version="1.0" encoding="utf-8"?>
<ds:datastoreItem xmlns:ds="http://schemas.openxmlformats.org/officeDocument/2006/customXml" ds:itemID="{96F014D0-646E-4BD3-8BD2-E3EE0BB9D456}"/>
</file>

<file path=docProps/app.xml><?xml version="1.0" encoding="utf-8"?>
<Properties xmlns="http://schemas.openxmlformats.org/officeDocument/2006/extended-properties" xmlns:vt="http://schemas.openxmlformats.org/officeDocument/2006/docPropsVTypes">
  <Template>Normal.dotm</Template>
  <TotalTime>31</TotalTime>
  <Pages>2</Pages>
  <Words>610</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DeMarco, Betsy (UTC)</cp:lastModifiedBy>
  <cp:revision>7</cp:revision>
  <cp:lastPrinted>2013-04-15T15:28:00Z</cp:lastPrinted>
  <dcterms:created xsi:type="dcterms:W3CDTF">2013-04-15T14:55:00Z</dcterms:created>
  <dcterms:modified xsi:type="dcterms:W3CDTF">2013-04-15T15:29:00Z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