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F1" w:rsidRDefault="00A11AF1" w:rsidP="00A11AF1">
      <w:pPr>
        <w:jc w:val="center"/>
        <w:rPr>
          <w:b/>
        </w:rPr>
      </w:pPr>
      <w:r>
        <w:rPr>
          <w:b/>
        </w:rPr>
        <w:t>BEFORE THE WASHINGTON STATE</w:t>
      </w:r>
    </w:p>
    <w:p w:rsidR="00A11AF1" w:rsidRDefault="00A11AF1" w:rsidP="00A11AF1">
      <w:pPr>
        <w:jc w:val="center"/>
        <w:rPr>
          <w:b/>
        </w:rPr>
      </w:pPr>
      <w:r>
        <w:rPr>
          <w:b/>
        </w:rPr>
        <w:t>UTILITIES AND TRANSPORTATION COMMISSION</w:t>
      </w:r>
    </w:p>
    <w:p w:rsidR="00A11AF1" w:rsidRDefault="00A11AF1" w:rsidP="00A11AF1"/>
    <w:p w:rsidR="00A11AF1" w:rsidRDefault="00A11AF1" w:rsidP="00A11AF1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</w:t>
      </w:r>
      <w:r>
        <w:tab/>
      </w:r>
      <w:r>
        <w:tab/>
        <w:t>)</w:t>
      </w:r>
      <w:r>
        <w:tab/>
        <w:t>DOCKET NO. UE-130043</w:t>
      </w:r>
    </w:p>
    <w:p w:rsidR="00A11AF1" w:rsidRDefault="00A11AF1" w:rsidP="00A11AF1">
      <w:r>
        <w:t>TRANSPORTATION COMMISSION</w:t>
      </w:r>
      <w:r>
        <w:tab/>
        <w:t>)</w:t>
      </w:r>
    </w:p>
    <w:p w:rsidR="00A11AF1" w:rsidRDefault="00A11AF1" w:rsidP="00A11AF1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A11AF1" w:rsidRDefault="00A11AF1" w:rsidP="00A11AF1">
      <w:r>
        <w:tab/>
      </w:r>
      <w:r>
        <w:tab/>
      </w:r>
      <w:r>
        <w:tab/>
        <w:t>Complainant,</w:t>
      </w:r>
      <w:r>
        <w:tab/>
      </w:r>
      <w:r>
        <w:tab/>
        <w:t>)</w:t>
      </w:r>
      <w:r>
        <w:tab/>
      </w:r>
    </w:p>
    <w:p w:rsidR="00813A31" w:rsidRDefault="00A11AF1" w:rsidP="00A11AF1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  <w:r w:rsidR="00813A31">
        <w:t>THE ENERGY PROJECT’S RE</w:t>
      </w:r>
      <w:r w:rsidR="004751FA">
        <w:t>SPONSE</w:t>
      </w:r>
    </w:p>
    <w:p w:rsidR="00A11AF1" w:rsidRDefault="00A11AF1" w:rsidP="00A11AF1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  <w:r w:rsidR="00813A31">
        <w:t>TO PACIFICORP’S MOTION TO</w:t>
      </w:r>
    </w:p>
    <w:p w:rsidR="00A11AF1" w:rsidRDefault="00A11AF1" w:rsidP="00813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 w:rsidR="00813A31">
        <w:t xml:space="preserve">           WITHDRAW TARIFF FILING</w:t>
      </w:r>
      <w:r w:rsidR="00813A31">
        <w:tab/>
      </w:r>
    </w:p>
    <w:p w:rsidR="00A11AF1" w:rsidRDefault="00A11AF1" w:rsidP="00A11AF1">
      <w:r>
        <w:t xml:space="preserve">PACIFICORP d/b/a/ PACIFIC POWER </w:t>
      </w:r>
      <w:r>
        <w:tab/>
        <w:t>)</w:t>
      </w:r>
    </w:p>
    <w:p w:rsidR="00A11AF1" w:rsidRDefault="00A11AF1" w:rsidP="00A11AF1">
      <w:r>
        <w:t>&amp; LIGHT COMPANY</w:t>
      </w:r>
      <w:r>
        <w:tab/>
      </w:r>
      <w:r>
        <w:tab/>
      </w:r>
      <w:r>
        <w:tab/>
        <w:t>)</w:t>
      </w:r>
    </w:p>
    <w:p w:rsidR="00A11AF1" w:rsidRDefault="00A11AF1" w:rsidP="00A11AF1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A11AF1" w:rsidRDefault="00A11AF1" w:rsidP="00A11AF1">
      <w:r>
        <w:tab/>
      </w:r>
      <w:r>
        <w:tab/>
      </w:r>
      <w:r>
        <w:tab/>
        <w:t>Respondent.</w:t>
      </w:r>
      <w:r>
        <w:tab/>
      </w:r>
      <w:r>
        <w:tab/>
        <w:t>)</w:t>
      </w:r>
    </w:p>
    <w:p w:rsidR="00887893" w:rsidRDefault="00A11AF1" w:rsidP="00A11AF1">
      <w:r>
        <w:t>. . . . . . . . . . . . . . . . . . . . . . . . . . . . . . . . . . . . )</w:t>
      </w:r>
    </w:p>
    <w:p w:rsidR="007772CB" w:rsidRDefault="007772CB" w:rsidP="00A11AF1"/>
    <w:p w:rsidR="007772CB" w:rsidRDefault="007772CB" w:rsidP="007772CB">
      <w:pPr>
        <w:jc w:val="center"/>
      </w:pPr>
    </w:p>
    <w:p w:rsidR="00506AFC" w:rsidRDefault="00506AFC" w:rsidP="007772CB">
      <w:pPr>
        <w:jc w:val="center"/>
      </w:pPr>
    </w:p>
    <w:p w:rsidR="00813A31" w:rsidRDefault="00813A31" w:rsidP="00813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  <w:spacing w:line="480" w:lineRule="auto"/>
      </w:pPr>
      <w:r>
        <w:tab/>
        <w:t xml:space="preserve">COMES NOW, </w:t>
      </w:r>
      <w:r w:rsidR="00BD7DA8">
        <w:t>t</w:t>
      </w:r>
      <w:r>
        <w:t>he Energy Project and</w:t>
      </w:r>
      <w:r w:rsidR="00814A79">
        <w:t xml:space="preserve"> pursuant to the</w:t>
      </w:r>
      <w:r w:rsidR="00B92CA6">
        <w:t xml:space="preserve"> Notice Setting Time for Responses to </w:t>
      </w:r>
      <w:r w:rsidR="00460490">
        <w:t>Motion to Withdraw</w:t>
      </w:r>
      <w:r w:rsidR="00B92CA6">
        <w:t xml:space="preserve"> </w:t>
      </w:r>
      <w:r>
        <w:t xml:space="preserve">Tariff Filing </w:t>
      </w:r>
      <w:r w:rsidR="00B92CA6">
        <w:t xml:space="preserve">issued by the Commission on July 12, 2013, hereby </w:t>
      </w:r>
      <w:r w:rsidR="007B7405">
        <w:t>responds to PacifiCorp's Motion</w:t>
      </w:r>
      <w:r>
        <w:t>.</w:t>
      </w:r>
    </w:p>
    <w:p w:rsidR="00940D6A" w:rsidRDefault="00813A31" w:rsidP="00813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  <w:spacing w:line="480" w:lineRule="auto"/>
      </w:pPr>
      <w:r>
        <w:tab/>
        <w:t xml:space="preserve">The Company’s original case application and supporting testimony and exhibits proposed certain increases to the Company’s Schedule 300 customer service charges to </w:t>
      </w:r>
      <w:r w:rsidR="004751FA">
        <w:t>a level that</w:t>
      </w:r>
      <w:r>
        <w:t xml:space="preserve"> the Company contends reflect its “actual costs.”  The proposed increases are to existing charges for:</w:t>
      </w:r>
      <w:r w:rsidR="003568B0">
        <w:t xml:space="preserve"> 1) Permanent Facilities Removal</w:t>
      </w:r>
      <w:r>
        <w:t xml:space="preserve">, 2) Reconnection, and 3) </w:t>
      </w:r>
      <w:r w:rsidR="008041D4">
        <w:t>U</w:t>
      </w:r>
      <w:r>
        <w:t>naut</w:t>
      </w:r>
      <w:r w:rsidR="00940D6A">
        <w:t xml:space="preserve">horized </w:t>
      </w:r>
      <w:r w:rsidR="008041D4">
        <w:t>R</w:t>
      </w:r>
      <w:r w:rsidR="00940D6A">
        <w:t>econnection/</w:t>
      </w:r>
      <w:r w:rsidR="008041D4">
        <w:t>T</w:t>
      </w:r>
      <w:r w:rsidR="00940D6A">
        <w:t xml:space="preserve">ampering.  As set forth in the </w:t>
      </w:r>
      <w:r w:rsidR="008041D4">
        <w:t>direct</w:t>
      </w:r>
      <w:r w:rsidR="00940D6A">
        <w:t xml:space="preserve"> testimony of Mr. Charles Eberdt</w:t>
      </w:r>
      <w:r w:rsidR="007F2F9D">
        <w:t xml:space="preserve"> filed in this matter on June 21, 2013</w:t>
      </w:r>
      <w:r w:rsidR="00940D6A">
        <w:t xml:space="preserve">, </w:t>
      </w:r>
      <w:r w:rsidR="00BD7DA8">
        <w:t>t</w:t>
      </w:r>
      <w:r w:rsidR="00940D6A">
        <w:t xml:space="preserve">he Energy Project opposes all three of the foregoing </w:t>
      </w:r>
      <w:r w:rsidR="007F2F9D">
        <w:t xml:space="preserve">customer service </w:t>
      </w:r>
      <w:r w:rsidR="00940D6A">
        <w:t>charge increases.</w:t>
      </w:r>
    </w:p>
    <w:p w:rsidR="00940D6A" w:rsidRDefault="00940D6A" w:rsidP="00813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  <w:spacing w:line="480" w:lineRule="auto"/>
      </w:pPr>
      <w:r>
        <w:tab/>
        <w:t>Having reviewed the Company’s Motion</w:t>
      </w:r>
      <w:r w:rsidR="007F2F9D">
        <w:t xml:space="preserve"> to Withdraw its changes to those charges</w:t>
      </w:r>
      <w:r>
        <w:t>, it appears that the proposed tariff filing withdrawal relating to Schedule 300 customer service charges renders the issue moot and, consequently, the Energy Project supports PacifiCorp’s Motion.</w:t>
      </w:r>
    </w:p>
    <w:p w:rsidR="00940D6A" w:rsidRDefault="00940D6A" w:rsidP="00813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  <w:spacing w:line="480" w:lineRule="auto"/>
      </w:pPr>
      <w:r>
        <w:lastRenderedPageBreak/>
        <w:t xml:space="preserve">DATED, this </w:t>
      </w:r>
      <w:r w:rsidR="00460490">
        <w:t>15th</w:t>
      </w:r>
      <w:r>
        <w:t xml:space="preserve"> day of July, 2013.</w:t>
      </w:r>
    </w:p>
    <w:p w:rsidR="00940D6A" w:rsidRDefault="00940D6A" w:rsidP="00813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  <w:spacing w:line="480" w:lineRule="auto"/>
      </w:pPr>
    </w:p>
    <w:p w:rsidR="00940D6A" w:rsidRDefault="00940D6A" w:rsidP="0094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940D6A" w:rsidRDefault="00940D6A" w:rsidP="0094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940D6A" w:rsidRDefault="00940D6A" w:rsidP="0094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 for the Energy Project</w:t>
      </w:r>
    </w:p>
    <w:p w:rsidR="00940D6A" w:rsidRDefault="00940D6A">
      <w:r>
        <w:br w:type="page"/>
      </w:r>
    </w:p>
    <w:p w:rsidR="00940D6A" w:rsidRPr="00313F08" w:rsidRDefault="00940D6A" w:rsidP="00940D6A">
      <w:pPr>
        <w:jc w:val="center"/>
      </w:pPr>
      <w:r w:rsidRPr="00313F08">
        <w:lastRenderedPageBreak/>
        <w:t>CERTIFICATE OF SERVICE</w:t>
      </w:r>
    </w:p>
    <w:p w:rsidR="00940D6A" w:rsidRPr="00313F08" w:rsidRDefault="00940D6A" w:rsidP="00940D6A">
      <w:pPr>
        <w:jc w:val="center"/>
      </w:pPr>
    </w:p>
    <w:p w:rsidR="00940D6A" w:rsidRDefault="00940D6A" w:rsidP="00940D6A">
      <w:pPr>
        <w:pStyle w:val="plain"/>
        <w:spacing w:line="480" w:lineRule="auto"/>
        <w:rPr>
          <w:b/>
          <w:szCs w:val="24"/>
        </w:rPr>
      </w:pPr>
      <w:r w:rsidRPr="00313F08">
        <w:rPr>
          <w:szCs w:val="24"/>
        </w:rPr>
        <w:tab/>
      </w:r>
      <w:r w:rsidRPr="00313F08">
        <w:t xml:space="preserve">I hereby certify that I have this day served this document upon all parties of record in this proceeding by </w:t>
      </w:r>
      <w:r w:rsidR="004C7FBA">
        <w:t>U.S. Postage, first-class, prepaid,</w:t>
      </w:r>
      <w:r>
        <w:t xml:space="preserve"> and </w:t>
      </w:r>
      <w:r w:rsidRPr="00313F08">
        <w:t>electronic mail.</w:t>
      </w:r>
    </w:p>
    <w:p w:rsidR="00940D6A" w:rsidRDefault="00940D6A" w:rsidP="00940D6A">
      <w:pPr>
        <w:pStyle w:val="plain"/>
        <w:rPr>
          <w:b/>
          <w:szCs w:val="24"/>
        </w:rPr>
      </w:pPr>
    </w:p>
    <w:p w:rsidR="00940D6A" w:rsidRDefault="00940D6A" w:rsidP="00940D6A">
      <w:pPr>
        <w:pStyle w:val="plain"/>
        <w:rPr>
          <w:b/>
          <w:szCs w:val="24"/>
        </w:rPr>
      </w:pPr>
      <w:r>
        <w:rPr>
          <w:b/>
          <w:szCs w:val="24"/>
        </w:rPr>
        <w:t>Washington Utilities and Transportation Commission</w:t>
      </w:r>
    </w:p>
    <w:p w:rsidR="00940D6A" w:rsidRDefault="00940D6A" w:rsidP="00940D6A">
      <w:pPr>
        <w:pStyle w:val="plain"/>
        <w:rPr>
          <w:b/>
          <w:szCs w:val="24"/>
        </w:rPr>
      </w:pPr>
      <w:r>
        <w:rPr>
          <w:b/>
          <w:szCs w:val="24"/>
        </w:rPr>
        <w:t>Records Center</w:t>
      </w:r>
    </w:p>
    <w:p w:rsidR="00940D6A" w:rsidRDefault="00940D6A" w:rsidP="00940D6A">
      <w:pPr>
        <w:pStyle w:val="plain"/>
        <w:rPr>
          <w:szCs w:val="24"/>
        </w:rPr>
      </w:pPr>
      <w:r>
        <w:rPr>
          <w:szCs w:val="24"/>
        </w:rPr>
        <w:t>1300 S. Evergreen Park Dr. SW.</w:t>
      </w:r>
    </w:p>
    <w:p w:rsidR="00940D6A" w:rsidRPr="00D251DB" w:rsidRDefault="00940D6A" w:rsidP="00940D6A">
      <w:pPr>
        <w:pStyle w:val="plain"/>
        <w:rPr>
          <w:szCs w:val="24"/>
        </w:rPr>
      </w:pPr>
      <w:r>
        <w:rPr>
          <w:szCs w:val="24"/>
        </w:rPr>
        <w:t>Olympia, WA  98504-7250</w:t>
      </w:r>
    </w:p>
    <w:p w:rsidR="00940D6A" w:rsidRPr="00CC71B1" w:rsidRDefault="00940D6A" w:rsidP="00940D6A">
      <w:pPr>
        <w:autoSpaceDE w:val="0"/>
        <w:autoSpaceDN w:val="0"/>
        <w:adjustRightInd w:val="0"/>
        <w:rPr>
          <w:rFonts w:eastAsiaTheme="minorHAnsi" w:cs="Courier"/>
          <w:szCs w:val="23"/>
        </w:rPr>
      </w:pPr>
    </w:p>
    <w:p w:rsidR="00940D6A" w:rsidRDefault="00940D6A" w:rsidP="00940D6A">
      <w:pPr>
        <w:autoSpaceDE w:val="0"/>
        <w:autoSpaceDN w:val="0"/>
        <w:adjustRightInd w:val="0"/>
        <w:rPr>
          <w:rFonts w:eastAsiaTheme="minorHAnsi" w:cs="Courier"/>
          <w:szCs w:val="23"/>
        </w:rPr>
      </w:pPr>
      <w:r w:rsidRPr="00CC71B1">
        <w:rPr>
          <w:rFonts w:eastAsiaTheme="minorHAnsi" w:cs="Courier"/>
          <w:szCs w:val="23"/>
        </w:rPr>
        <w:t>Katherine McDowell</w:t>
      </w:r>
    </w:p>
    <w:p w:rsidR="002E1E6B" w:rsidRPr="00CC71B1" w:rsidRDefault="002E1E6B" w:rsidP="00940D6A">
      <w:pPr>
        <w:autoSpaceDE w:val="0"/>
        <w:autoSpaceDN w:val="0"/>
        <w:adjustRightInd w:val="0"/>
        <w:rPr>
          <w:rFonts w:eastAsiaTheme="minorHAnsi" w:cs="Courier"/>
          <w:szCs w:val="23"/>
        </w:rPr>
      </w:pPr>
      <w:r w:rsidRPr="00CC71B1">
        <w:rPr>
          <w:rFonts w:eastAsiaTheme="minorHAnsi" w:cs="Courier"/>
          <w:szCs w:val="23"/>
        </w:rPr>
        <w:t>MCDOWELL RACKNER &amp; GIBBON PC</w:t>
      </w:r>
    </w:p>
    <w:p w:rsidR="00940D6A" w:rsidRPr="00CC71B1" w:rsidRDefault="00940D6A" w:rsidP="00940D6A">
      <w:pPr>
        <w:autoSpaceDE w:val="0"/>
        <w:autoSpaceDN w:val="0"/>
        <w:adjustRightInd w:val="0"/>
        <w:rPr>
          <w:rFonts w:eastAsiaTheme="minorHAnsi" w:cs="Courier"/>
          <w:szCs w:val="23"/>
        </w:rPr>
      </w:pPr>
      <w:r w:rsidRPr="00CC71B1">
        <w:rPr>
          <w:rFonts w:eastAsiaTheme="minorHAnsi" w:cs="Courier"/>
          <w:szCs w:val="23"/>
        </w:rPr>
        <w:t>419 SW l lth Avenue, Suite 400</w:t>
      </w:r>
    </w:p>
    <w:p w:rsidR="00940D6A" w:rsidRPr="00CC71B1" w:rsidRDefault="00940D6A" w:rsidP="00940D6A">
      <w:pPr>
        <w:autoSpaceDE w:val="0"/>
        <w:autoSpaceDN w:val="0"/>
        <w:adjustRightInd w:val="0"/>
        <w:rPr>
          <w:rFonts w:eastAsiaTheme="minorHAnsi" w:cs="Courier"/>
          <w:szCs w:val="23"/>
        </w:rPr>
      </w:pPr>
      <w:r w:rsidRPr="00CC71B1">
        <w:rPr>
          <w:rFonts w:eastAsiaTheme="minorHAnsi" w:cs="Courier"/>
          <w:szCs w:val="23"/>
        </w:rPr>
        <w:t>Portland, OR 97245-2605</w:t>
      </w:r>
    </w:p>
    <w:p w:rsidR="00940D6A" w:rsidRPr="00CC71B1" w:rsidRDefault="00940D6A" w:rsidP="00940D6A">
      <w:pPr>
        <w:autoSpaceDE w:val="0"/>
        <w:autoSpaceDN w:val="0"/>
        <w:adjustRightInd w:val="0"/>
        <w:rPr>
          <w:rFonts w:eastAsiaTheme="minorHAnsi" w:cs="Courier"/>
          <w:szCs w:val="23"/>
        </w:rPr>
      </w:pPr>
      <w:r w:rsidRPr="00CC71B1">
        <w:rPr>
          <w:rFonts w:eastAsiaTheme="minorHAnsi" w:cs="Courier"/>
          <w:szCs w:val="23"/>
        </w:rPr>
        <w:t>Phone: (503) 595-3924</w:t>
      </w:r>
    </w:p>
    <w:p w:rsidR="00940D6A" w:rsidRDefault="00940D6A" w:rsidP="00940D6A">
      <w:pPr>
        <w:rPr>
          <w:b/>
        </w:rPr>
      </w:pPr>
    </w:p>
    <w:p w:rsidR="00940D6A" w:rsidRPr="000A7D8D" w:rsidRDefault="00940D6A" w:rsidP="00940D6A">
      <w:pPr>
        <w:rPr>
          <w:b/>
        </w:rPr>
      </w:pPr>
      <w:r w:rsidRPr="000A7D8D">
        <w:rPr>
          <w:b/>
        </w:rPr>
        <w:t>Public Counsel</w:t>
      </w:r>
    </w:p>
    <w:p w:rsidR="00940D6A" w:rsidRPr="00313F08" w:rsidRDefault="00940D6A" w:rsidP="00940D6A">
      <w:r w:rsidRPr="00313F08">
        <w:t xml:space="preserve">Lisa Gafken  </w:t>
      </w:r>
    </w:p>
    <w:p w:rsidR="00940D6A" w:rsidRPr="00313F08" w:rsidRDefault="00940D6A" w:rsidP="00940D6A">
      <w:r w:rsidRPr="00313F08">
        <w:t xml:space="preserve">Carol Williams (e-mail) </w:t>
      </w:r>
    </w:p>
    <w:p w:rsidR="00940D6A" w:rsidRPr="00313F08" w:rsidRDefault="00940D6A" w:rsidP="00940D6A">
      <w:r w:rsidRPr="00313F08">
        <w:t>Office of the Attorney General</w:t>
      </w:r>
    </w:p>
    <w:p w:rsidR="00940D6A" w:rsidRPr="00313F08" w:rsidRDefault="00940D6A" w:rsidP="00940D6A">
      <w:r w:rsidRPr="00313F08">
        <w:t>800 5th Avenue – Suite 2000</w:t>
      </w:r>
    </w:p>
    <w:p w:rsidR="00940D6A" w:rsidRPr="00313F08" w:rsidRDefault="00940D6A" w:rsidP="00940D6A">
      <w:pPr>
        <w:rPr>
          <w:bCs/>
          <w:szCs w:val="22"/>
        </w:rPr>
      </w:pPr>
      <w:r w:rsidRPr="00313F08">
        <w:t>Seattle WA  98104-3188</w:t>
      </w:r>
    </w:p>
    <w:p w:rsidR="00940D6A" w:rsidRPr="00313F08" w:rsidRDefault="00940D6A" w:rsidP="00940D6A">
      <w:pPr>
        <w:rPr>
          <w:bCs/>
          <w:szCs w:val="22"/>
        </w:rPr>
      </w:pPr>
    </w:p>
    <w:p w:rsidR="00940D6A" w:rsidRPr="000A7D8D" w:rsidRDefault="00940D6A" w:rsidP="00940D6A">
      <w:pPr>
        <w:rPr>
          <w:b/>
        </w:rPr>
      </w:pPr>
      <w:r>
        <w:rPr>
          <w:b/>
        </w:rPr>
        <w:t>Boise White Paper, L.L.C.</w:t>
      </w:r>
    </w:p>
    <w:p w:rsidR="00940D6A" w:rsidRPr="00313F08" w:rsidRDefault="00940D6A" w:rsidP="00940D6A">
      <w:r w:rsidRPr="00313F08">
        <w:t xml:space="preserve">Melinda Davison </w:t>
      </w:r>
    </w:p>
    <w:p w:rsidR="00940D6A" w:rsidRPr="00313F08" w:rsidRDefault="00940D6A" w:rsidP="00940D6A">
      <w:r w:rsidRPr="00313F08">
        <w:t>Joshua D. Weber</w:t>
      </w:r>
    </w:p>
    <w:p w:rsidR="00940D6A" w:rsidRPr="00313F08" w:rsidRDefault="00940D6A" w:rsidP="00940D6A">
      <w:r w:rsidRPr="00313F08">
        <w:t>Davison Van Cleve, P.C.</w:t>
      </w:r>
    </w:p>
    <w:p w:rsidR="00940D6A" w:rsidRPr="00313F08" w:rsidRDefault="00940D6A" w:rsidP="00940D6A">
      <w:r w:rsidRPr="00313F08">
        <w:t>333 S.W. Taylor, Suite 400</w:t>
      </w:r>
    </w:p>
    <w:p w:rsidR="00940D6A" w:rsidRDefault="00940D6A" w:rsidP="00940D6A">
      <w:r w:rsidRPr="00313F08">
        <w:t>Portland, OR  97204</w:t>
      </w:r>
    </w:p>
    <w:p w:rsidR="00940D6A" w:rsidRDefault="00940D6A" w:rsidP="00940D6A"/>
    <w:p w:rsidR="00940D6A" w:rsidRPr="000A7D8D" w:rsidRDefault="00940D6A" w:rsidP="00940D6A">
      <w:pPr>
        <w:rPr>
          <w:b/>
        </w:rPr>
      </w:pPr>
      <w:r w:rsidRPr="000A7D8D">
        <w:rPr>
          <w:b/>
        </w:rPr>
        <w:t xml:space="preserve">Washington Utilities &amp;Transportation Commission </w:t>
      </w:r>
    </w:p>
    <w:p w:rsidR="00940D6A" w:rsidRPr="00313F08" w:rsidRDefault="00940D6A" w:rsidP="00940D6A">
      <w:r w:rsidRPr="00313F08">
        <w:t>Robert D. Cedarbaum</w:t>
      </w:r>
    </w:p>
    <w:p w:rsidR="00940D6A" w:rsidRPr="00313F08" w:rsidRDefault="00940D6A" w:rsidP="00940D6A">
      <w:r w:rsidRPr="00313F08">
        <w:t>Senior Assistant Attorney General</w:t>
      </w:r>
    </w:p>
    <w:p w:rsidR="00940D6A" w:rsidRPr="00313F08" w:rsidRDefault="00940D6A" w:rsidP="00940D6A">
      <w:r w:rsidRPr="00313F08">
        <w:t>1400 S. Evergreen Park Drive S.W.</w:t>
      </w:r>
    </w:p>
    <w:p w:rsidR="00940D6A" w:rsidRPr="00313F08" w:rsidRDefault="00940D6A" w:rsidP="00940D6A">
      <w:r w:rsidRPr="00313F08">
        <w:t>PO Box 40128</w:t>
      </w:r>
    </w:p>
    <w:p w:rsidR="00940D6A" w:rsidRDefault="00940D6A" w:rsidP="00940D6A">
      <w:r w:rsidRPr="00313F08">
        <w:t>Olympia WA  98504-0128</w:t>
      </w:r>
    </w:p>
    <w:p w:rsidR="00940D6A" w:rsidRDefault="00940D6A" w:rsidP="00940D6A"/>
    <w:p w:rsidR="00940D6A" w:rsidRPr="00E2013D" w:rsidRDefault="00940D6A" w:rsidP="00940D6A">
      <w:pPr>
        <w:rPr>
          <w:b/>
        </w:rPr>
      </w:pPr>
      <w:r w:rsidRPr="00E2013D">
        <w:rPr>
          <w:b/>
        </w:rPr>
        <w:t>Columbia Rural Electric Association</w:t>
      </w:r>
    </w:p>
    <w:p w:rsidR="00940D6A" w:rsidRPr="00313F08" w:rsidRDefault="00940D6A" w:rsidP="00940D6A">
      <w:r w:rsidRPr="00313F08">
        <w:t>Irion A. Sanger</w:t>
      </w:r>
    </w:p>
    <w:p w:rsidR="00940D6A" w:rsidRPr="00313F08" w:rsidRDefault="00940D6A" w:rsidP="00940D6A">
      <w:r w:rsidRPr="00313F08">
        <w:t>Davison Van Cleve, P.C.</w:t>
      </w:r>
    </w:p>
    <w:p w:rsidR="00940D6A" w:rsidRPr="00313F08" w:rsidRDefault="00940D6A" w:rsidP="00940D6A">
      <w:r w:rsidRPr="00313F08">
        <w:t>333 S.W. Taylor, Suite 400</w:t>
      </w:r>
    </w:p>
    <w:p w:rsidR="00940D6A" w:rsidRPr="00313F08" w:rsidRDefault="00940D6A" w:rsidP="00940D6A">
      <w:r w:rsidRPr="00313F08">
        <w:t>Portland, OR 97204</w:t>
      </w:r>
    </w:p>
    <w:p w:rsidR="00940D6A" w:rsidRDefault="00940D6A" w:rsidP="00940D6A">
      <w:pPr>
        <w:rPr>
          <w:bCs/>
          <w:szCs w:val="22"/>
        </w:rPr>
      </w:pPr>
    </w:p>
    <w:p w:rsidR="00940D6A" w:rsidRDefault="00940D6A" w:rsidP="00940D6A">
      <w:r w:rsidRPr="00313F08">
        <w:rPr>
          <w:color w:val="0000FF"/>
        </w:rPr>
        <w:lastRenderedPageBreak/>
        <w:br/>
      </w:r>
    </w:p>
    <w:p w:rsidR="00940D6A" w:rsidRDefault="00940D6A" w:rsidP="00940D6A">
      <w:r w:rsidRPr="00313F08">
        <w:tab/>
      </w:r>
      <w:r w:rsidRPr="00313F08">
        <w:tab/>
      </w:r>
      <w:r w:rsidRPr="00313F08">
        <w:tab/>
      </w:r>
      <w:r w:rsidRPr="00313F08">
        <w:tab/>
      </w:r>
      <w:r w:rsidRPr="00313F08">
        <w:tab/>
      </w:r>
      <w:r w:rsidRPr="00313F08">
        <w:tab/>
        <w:t xml:space="preserve">DATED this </w:t>
      </w:r>
      <w:r w:rsidR="00460490">
        <w:t>15th</w:t>
      </w:r>
      <w:r w:rsidR="00454CF1">
        <w:t xml:space="preserve"> day of July</w:t>
      </w:r>
      <w:r>
        <w:t>,</w:t>
      </w:r>
      <w:r w:rsidRPr="00313F08">
        <w:t xml:space="preserve"> 2013.</w:t>
      </w:r>
    </w:p>
    <w:p w:rsidR="00940D6A" w:rsidRDefault="00940D6A" w:rsidP="00940D6A"/>
    <w:p w:rsidR="00940D6A" w:rsidRPr="00313F08" w:rsidRDefault="00940D6A" w:rsidP="00940D6A"/>
    <w:p w:rsidR="00940D6A" w:rsidRPr="00313F08" w:rsidRDefault="00940D6A" w:rsidP="00940D6A"/>
    <w:p w:rsidR="00940D6A" w:rsidRPr="00313F08" w:rsidRDefault="00940D6A" w:rsidP="00940D6A">
      <w:r w:rsidRPr="00313F08">
        <w:tab/>
      </w:r>
      <w:r w:rsidRPr="00313F08">
        <w:tab/>
      </w:r>
      <w:r w:rsidRPr="00313F08">
        <w:tab/>
      </w:r>
      <w:r w:rsidRPr="00313F08">
        <w:tab/>
      </w:r>
      <w:r w:rsidRPr="00313F08">
        <w:tab/>
      </w:r>
      <w:r w:rsidRPr="00313F08">
        <w:tab/>
        <w:t>____________________________________</w:t>
      </w:r>
    </w:p>
    <w:p w:rsidR="00940D6A" w:rsidRDefault="00940D6A" w:rsidP="00940D6A">
      <w:r w:rsidRPr="00313F08">
        <w:tab/>
      </w:r>
      <w:r w:rsidRPr="00313F08">
        <w:tab/>
      </w:r>
      <w:r w:rsidRPr="00313F08">
        <w:tab/>
      </w:r>
      <w:r w:rsidRPr="00313F08">
        <w:tab/>
      </w:r>
      <w:r w:rsidRPr="00313F08">
        <w:tab/>
      </w:r>
      <w:r w:rsidRPr="00313F08">
        <w:tab/>
      </w:r>
      <w:r>
        <w:t>Brad M. Purdy</w:t>
      </w:r>
    </w:p>
    <w:p w:rsidR="00940D6A" w:rsidRPr="00313F08" w:rsidRDefault="00940D6A" w:rsidP="00940D6A">
      <w:r>
        <w:tab/>
      </w:r>
      <w:r>
        <w:tab/>
      </w:r>
      <w:r>
        <w:tab/>
      </w:r>
      <w:r>
        <w:tab/>
      </w:r>
      <w:r>
        <w:tab/>
      </w:r>
      <w:r>
        <w:tab/>
        <w:t>Attorney for the Energy Project</w:t>
      </w:r>
    </w:p>
    <w:p w:rsidR="00940D6A" w:rsidRPr="00313F08" w:rsidRDefault="00940D6A" w:rsidP="00940D6A">
      <w:pPr>
        <w:rPr>
          <w:bCs/>
          <w:szCs w:val="22"/>
        </w:rPr>
      </w:pPr>
    </w:p>
    <w:p w:rsidR="00940D6A" w:rsidRPr="00813A31" w:rsidRDefault="00940D6A" w:rsidP="0094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</w:pPr>
    </w:p>
    <w:sectPr w:rsidR="00940D6A" w:rsidRPr="00813A31" w:rsidSect="008878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3B" w:rsidRDefault="002D503B" w:rsidP="00CE2DEF">
      <w:r>
        <w:separator/>
      </w:r>
    </w:p>
  </w:endnote>
  <w:endnote w:type="continuationSeparator" w:id="1">
    <w:p w:rsidR="002D503B" w:rsidRDefault="002D503B" w:rsidP="00CE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9174"/>
      <w:docPartObj>
        <w:docPartGallery w:val="Page Numbers (Bottom of Page)"/>
        <w:docPartUnique/>
      </w:docPartObj>
    </w:sdtPr>
    <w:sdtContent>
      <w:p w:rsidR="007C3622" w:rsidRDefault="007C3622">
        <w:pPr>
          <w:pStyle w:val="Footer"/>
        </w:pPr>
        <w:r>
          <w:t>ENERGY PROJECT'S RESPONSE TO PACIFICORP MOTION TO WITHDRAW</w:t>
        </w:r>
        <w:r>
          <w:tab/>
        </w:r>
        <w:fldSimple w:instr=" PAGE   \* MERGEFORMAT ">
          <w:r w:rsidR="002E1E6B">
            <w:rPr>
              <w:noProof/>
            </w:rPr>
            <w:t>3</w:t>
          </w:r>
        </w:fldSimple>
      </w:p>
    </w:sdtContent>
  </w:sdt>
  <w:p w:rsidR="00CE2DEF" w:rsidRDefault="00CE2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3B" w:rsidRDefault="002D503B" w:rsidP="00CE2DEF">
      <w:r>
        <w:separator/>
      </w:r>
    </w:p>
  </w:footnote>
  <w:footnote w:type="continuationSeparator" w:id="1">
    <w:p w:rsidR="002D503B" w:rsidRDefault="002D503B" w:rsidP="00CE2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AF1"/>
    <w:rsid w:val="00025AF9"/>
    <w:rsid w:val="00180B6A"/>
    <w:rsid w:val="0028148F"/>
    <w:rsid w:val="002A65C8"/>
    <w:rsid w:val="002B1E2D"/>
    <w:rsid w:val="002D503B"/>
    <w:rsid w:val="002E1E6B"/>
    <w:rsid w:val="003568B0"/>
    <w:rsid w:val="00371A70"/>
    <w:rsid w:val="00421748"/>
    <w:rsid w:val="00454CF1"/>
    <w:rsid w:val="00460490"/>
    <w:rsid w:val="00466C4E"/>
    <w:rsid w:val="004751FA"/>
    <w:rsid w:val="004C7FBA"/>
    <w:rsid w:val="004E1060"/>
    <w:rsid w:val="00506AFC"/>
    <w:rsid w:val="005A39CB"/>
    <w:rsid w:val="005C023E"/>
    <w:rsid w:val="006A3422"/>
    <w:rsid w:val="007042DD"/>
    <w:rsid w:val="007772CB"/>
    <w:rsid w:val="007B7405"/>
    <w:rsid w:val="007C3622"/>
    <w:rsid w:val="007F2F9D"/>
    <w:rsid w:val="008041D4"/>
    <w:rsid w:val="00813A31"/>
    <w:rsid w:val="00814A79"/>
    <w:rsid w:val="00887893"/>
    <w:rsid w:val="00940D6A"/>
    <w:rsid w:val="00A11AF1"/>
    <w:rsid w:val="00A96E55"/>
    <w:rsid w:val="00AE0C3C"/>
    <w:rsid w:val="00B140C1"/>
    <w:rsid w:val="00B20116"/>
    <w:rsid w:val="00B92CA6"/>
    <w:rsid w:val="00BD2E4A"/>
    <w:rsid w:val="00BD7DA8"/>
    <w:rsid w:val="00CC537E"/>
    <w:rsid w:val="00CE2DEF"/>
    <w:rsid w:val="00D51698"/>
    <w:rsid w:val="00D56738"/>
    <w:rsid w:val="00E204A1"/>
    <w:rsid w:val="00E3611D"/>
    <w:rsid w:val="00F7748D"/>
    <w:rsid w:val="00FC1F72"/>
    <w:rsid w:val="00FC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F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DE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DEF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EF"/>
    <w:rPr>
      <w:rFonts w:ascii="Tahoma" w:eastAsia="Times New Roman" w:hAnsi="Tahoma" w:cs="Tahoma"/>
      <w:sz w:val="16"/>
      <w:szCs w:val="16"/>
    </w:rPr>
  </w:style>
  <w:style w:type="paragraph" w:customStyle="1" w:styleId="plain">
    <w:name w:val="plain"/>
    <w:basedOn w:val="Normal"/>
    <w:rsid w:val="00940D6A"/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F3045F-7B57-4370-A3F5-0DB3C028889E}"/>
</file>

<file path=customXml/itemProps2.xml><?xml version="1.0" encoding="utf-8"?>
<ds:datastoreItem xmlns:ds="http://schemas.openxmlformats.org/officeDocument/2006/customXml" ds:itemID="{088A8E7E-6DC9-4DB0-92F7-E023869E70C3}"/>
</file>

<file path=customXml/itemProps3.xml><?xml version="1.0" encoding="utf-8"?>
<ds:datastoreItem xmlns:ds="http://schemas.openxmlformats.org/officeDocument/2006/customXml" ds:itemID="{CDBE6C8F-220E-42F8-AFDD-CF028A7D88C0}"/>
</file>

<file path=customXml/itemProps4.xml><?xml version="1.0" encoding="utf-8"?>
<ds:datastoreItem xmlns:ds="http://schemas.openxmlformats.org/officeDocument/2006/customXml" ds:itemID="{F14D3E6A-9F76-41C9-A2A2-288492A1F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12</cp:revision>
  <cp:lastPrinted>2013-07-15T03:43:00Z</cp:lastPrinted>
  <dcterms:created xsi:type="dcterms:W3CDTF">2013-07-14T17:34:00Z</dcterms:created>
  <dcterms:modified xsi:type="dcterms:W3CDTF">2013-07-15T03:48:00Z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