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89" w:rsidRDefault="00DA3E89" w:rsidP="00DA3E89">
      <w:pPr>
        <w:spacing w:after="0"/>
        <w:jc w:val="center"/>
        <w:rPr>
          <w:rFonts w:eastAsia="Times New Roman"/>
          <w:b/>
          <w:szCs w:val="24"/>
        </w:rPr>
      </w:pPr>
      <w:r w:rsidRPr="00272C05">
        <w:rPr>
          <w:rFonts w:eastAsia="Times New Roman"/>
          <w:b/>
          <w:szCs w:val="24"/>
        </w:rPr>
        <w:t xml:space="preserve">BEFORE THE </w:t>
      </w:r>
    </w:p>
    <w:p w:rsidR="00DA3E89" w:rsidRDefault="00DA3E89" w:rsidP="00DA3E89">
      <w:pPr>
        <w:spacing w:after="0"/>
        <w:jc w:val="center"/>
        <w:rPr>
          <w:rFonts w:eastAsia="Times New Roman"/>
          <w:b/>
          <w:szCs w:val="24"/>
        </w:rPr>
      </w:pPr>
    </w:p>
    <w:p w:rsidR="00DA3E89" w:rsidRPr="00272C05" w:rsidRDefault="00DA3E89" w:rsidP="00DA3E89">
      <w:pPr>
        <w:spacing w:after="0"/>
        <w:jc w:val="center"/>
        <w:rPr>
          <w:rFonts w:eastAsia="Times New Roman"/>
          <w:b/>
          <w:szCs w:val="24"/>
        </w:rPr>
      </w:pPr>
      <w:r w:rsidRPr="00272C05">
        <w:rPr>
          <w:rFonts w:eastAsia="Times New Roman"/>
          <w:b/>
          <w:szCs w:val="24"/>
        </w:rPr>
        <w:t>WASHINGTON UTILITIES AND TRANSPORTATION COMMISSION</w:t>
      </w:r>
    </w:p>
    <w:p w:rsidR="00DA3E89" w:rsidRPr="00272C05" w:rsidRDefault="00DA3E89" w:rsidP="00DA3E89">
      <w:pPr>
        <w:spacing w:after="0"/>
        <w:jc w:val="center"/>
        <w:rPr>
          <w:rFonts w:eastAsia="Times New Roman"/>
          <w:szCs w:val="24"/>
        </w:rPr>
      </w:pPr>
      <w:r w:rsidRPr="00272C05">
        <w:rPr>
          <w:rFonts w:eastAsia="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A3E89" w:rsidRPr="0080362A" w:rsidTr="003C702C">
        <w:tc>
          <w:tcPr>
            <w:tcW w:w="4608" w:type="dxa"/>
            <w:tcBorders>
              <w:top w:val="nil"/>
              <w:left w:val="nil"/>
              <w:bottom w:val="single" w:sz="4" w:space="0" w:color="auto"/>
              <w:right w:val="nil"/>
            </w:tcBorders>
          </w:tcPr>
          <w:p w:rsidR="00DA3E89" w:rsidRPr="0036383E" w:rsidRDefault="00DA3E89" w:rsidP="003C702C">
            <w:pPr>
              <w:spacing w:after="0"/>
              <w:rPr>
                <w:rFonts w:eastAsia="Times New Roman"/>
                <w:szCs w:val="24"/>
              </w:rPr>
            </w:pPr>
          </w:p>
          <w:p w:rsidR="00DA3E89" w:rsidRPr="0036383E" w:rsidRDefault="00DA3E89" w:rsidP="003C702C">
            <w:pPr>
              <w:tabs>
                <w:tab w:val="left" w:pos="1440"/>
              </w:tabs>
              <w:spacing w:after="0"/>
              <w:rPr>
                <w:rFonts w:eastAsia="Times New Roman"/>
                <w:szCs w:val="24"/>
                <w:lang w:eastAsia="zh-CN"/>
              </w:rPr>
            </w:pPr>
            <w:r w:rsidRPr="0036383E">
              <w:rPr>
                <w:rFonts w:eastAsia="Times New Roman"/>
                <w:szCs w:val="24"/>
                <w:lang w:eastAsia="zh-CN"/>
              </w:rPr>
              <w:t>WASHINGTON UTILITIES AND TRANSPORTATION COMMISSION,</w:t>
            </w:r>
          </w:p>
          <w:p w:rsidR="00DA3E89" w:rsidRPr="0036383E" w:rsidRDefault="00DA3E89" w:rsidP="003C702C">
            <w:pPr>
              <w:tabs>
                <w:tab w:val="left" w:pos="1440"/>
              </w:tabs>
              <w:spacing w:after="0"/>
              <w:rPr>
                <w:rFonts w:eastAsia="Times New Roman"/>
                <w:szCs w:val="24"/>
                <w:lang w:eastAsia="zh-CN"/>
              </w:rPr>
            </w:pPr>
          </w:p>
          <w:p w:rsidR="00DA3E89" w:rsidRPr="0036383E" w:rsidRDefault="00DA3E89" w:rsidP="003C702C">
            <w:pPr>
              <w:tabs>
                <w:tab w:val="left" w:pos="1440"/>
              </w:tabs>
              <w:spacing w:after="0"/>
              <w:rPr>
                <w:rFonts w:eastAsia="Times New Roman"/>
                <w:szCs w:val="24"/>
                <w:lang w:eastAsia="zh-CN"/>
              </w:rPr>
            </w:pPr>
            <w:r w:rsidRPr="0036383E">
              <w:rPr>
                <w:rFonts w:eastAsia="Times New Roman"/>
                <w:szCs w:val="24"/>
                <w:lang w:eastAsia="zh-CN"/>
              </w:rPr>
              <w:tab/>
              <w:t>Complainant,</w:t>
            </w:r>
          </w:p>
          <w:p w:rsidR="00DA3E89" w:rsidRPr="0036383E" w:rsidRDefault="00DA3E89" w:rsidP="003C702C">
            <w:pPr>
              <w:tabs>
                <w:tab w:val="left" w:pos="1440"/>
              </w:tabs>
              <w:spacing w:after="0"/>
              <w:rPr>
                <w:rFonts w:eastAsia="Times New Roman"/>
                <w:szCs w:val="24"/>
                <w:lang w:eastAsia="zh-CN"/>
              </w:rPr>
            </w:pPr>
          </w:p>
          <w:p w:rsidR="00DA3E89" w:rsidRPr="0036383E" w:rsidRDefault="00DA3E89" w:rsidP="003C702C">
            <w:pPr>
              <w:spacing w:after="0"/>
              <w:rPr>
                <w:rFonts w:eastAsia="Times New Roman"/>
                <w:szCs w:val="24"/>
                <w:lang w:eastAsia="zh-CN"/>
              </w:rPr>
            </w:pPr>
            <w:proofErr w:type="gramStart"/>
            <w:r w:rsidRPr="0036383E">
              <w:rPr>
                <w:rFonts w:eastAsia="Times New Roman"/>
                <w:szCs w:val="24"/>
                <w:lang w:eastAsia="zh-CN"/>
              </w:rPr>
              <w:t>v</w:t>
            </w:r>
            <w:proofErr w:type="gramEnd"/>
            <w:r w:rsidRPr="0036383E">
              <w:rPr>
                <w:rFonts w:eastAsia="Times New Roman"/>
                <w:szCs w:val="24"/>
                <w:lang w:eastAsia="zh-CN"/>
              </w:rPr>
              <w:t>.</w:t>
            </w:r>
          </w:p>
          <w:p w:rsidR="00DA3E89" w:rsidRPr="0036383E" w:rsidRDefault="00DA3E89" w:rsidP="003C702C">
            <w:pPr>
              <w:spacing w:after="0"/>
              <w:rPr>
                <w:rFonts w:eastAsia="Times New Roman"/>
                <w:szCs w:val="24"/>
                <w:lang w:eastAsia="zh-CN"/>
              </w:rPr>
            </w:pPr>
          </w:p>
          <w:p w:rsidR="00DA3E89" w:rsidRPr="0036383E" w:rsidRDefault="00DA3E89" w:rsidP="003C702C">
            <w:pPr>
              <w:spacing w:after="0"/>
              <w:rPr>
                <w:rFonts w:eastAsia="Times New Roman"/>
                <w:szCs w:val="24"/>
                <w:lang w:eastAsia="zh-CN"/>
              </w:rPr>
            </w:pPr>
            <w:r>
              <w:rPr>
                <w:rFonts w:eastAsia="Times New Roman"/>
                <w:szCs w:val="24"/>
                <w:lang w:eastAsia="zh-CN"/>
              </w:rPr>
              <w:t>AVISTA CORPORATION, DB</w:t>
            </w:r>
            <w:r w:rsidRPr="0036383E">
              <w:rPr>
                <w:rFonts w:eastAsia="Times New Roman"/>
                <w:szCs w:val="24"/>
                <w:lang w:eastAsia="zh-CN"/>
              </w:rPr>
              <w:t>A</w:t>
            </w:r>
          </w:p>
          <w:p w:rsidR="00DA3E89" w:rsidRPr="0036383E" w:rsidRDefault="00DA3E89" w:rsidP="003C702C">
            <w:pPr>
              <w:spacing w:after="0"/>
              <w:rPr>
                <w:rFonts w:eastAsia="Times New Roman"/>
                <w:szCs w:val="24"/>
                <w:lang w:eastAsia="zh-CN"/>
              </w:rPr>
            </w:pPr>
            <w:r w:rsidRPr="0036383E">
              <w:rPr>
                <w:rFonts w:eastAsia="Times New Roman"/>
                <w:szCs w:val="24"/>
                <w:lang w:eastAsia="zh-CN"/>
              </w:rPr>
              <w:t>AVISTA UTILITIES,</w:t>
            </w:r>
          </w:p>
          <w:p w:rsidR="00DA3E89" w:rsidRPr="0036383E" w:rsidRDefault="00DA3E89" w:rsidP="003C702C">
            <w:pPr>
              <w:spacing w:after="0"/>
              <w:rPr>
                <w:rFonts w:eastAsia="Times New Roman"/>
                <w:szCs w:val="24"/>
                <w:lang w:eastAsia="zh-CN"/>
              </w:rPr>
            </w:pPr>
          </w:p>
          <w:p w:rsidR="00DA3E89" w:rsidRPr="0036383E" w:rsidRDefault="00DA3E89" w:rsidP="003C702C">
            <w:pPr>
              <w:spacing w:after="0"/>
              <w:jc w:val="center"/>
              <w:rPr>
                <w:rFonts w:eastAsia="Times New Roman"/>
                <w:szCs w:val="24"/>
                <w:lang w:eastAsia="zh-CN"/>
              </w:rPr>
            </w:pPr>
            <w:r w:rsidRPr="0036383E">
              <w:rPr>
                <w:rFonts w:eastAsia="Times New Roman"/>
                <w:szCs w:val="24"/>
                <w:lang w:eastAsia="zh-CN"/>
              </w:rPr>
              <w:t>Respondent.</w:t>
            </w:r>
          </w:p>
          <w:p w:rsidR="00DA3E89" w:rsidRPr="0036383E" w:rsidRDefault="00DA3E89" w:rsidP="003C702C">
            <w:pPr>
              <w:spacing w:after="0"/>
              <w:rPr>
                <w:rFonts w:eastAsia="Times New Roman"/>
                <w:szCs w:val="24"/>
              </w:rPr>
            </w:pPr>
          </w:p>
        </w:tc>
        <w:tc>
          <w:tcPr>
            <w:tcW w:w="360" w:type="dxa"/>
            <w:tcBorders>
              <w:top w:val="nil"/>
              <w:left w:val="nil"/>
              <w:bottom w:val="nil"/>
              <w:right w:val="nil"/>
            </w:tcBorders>
          </w:tcPr>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p w:rsidR="00DA3E89" w:rsidRPr="0036383E" w:rsidRDefault="00DA3E89" w:rsidP="003C702C">
            <w:pPr>
              <w:spacing w:after="0"/>
              <w:rPr>
                <w:rFonts w:eastAsia="Times New Roman"/>
                <w:szCs w:val="24"/>
              </w:rPr>
            </w:pPr>
            <w:r w:rsidRPr="0036383E">
              <w:rPr>
                <w:rFonts w:eastAsia="Times New Roman"/>
                <w:szCs w:val="24"/>
              </w:rPr>
              <w:t>)</w:t>
            </w:r>
          </w:p>
        </w:tc>
        <w:tc>
          <w:tcPr>
            <w:tcW w:w="4608" w:type="dxa"/>
            <w:tcBorders>
              <w:top w:val="nil"/>
              <w:left w:val="nil"/>
              <w:bottom w:val="nil"/>
              <w:right w:val="nil"/>
            </w:tcBorders>
          </w:tcPr>
          <w:p w:rsidR="00DA3E89" w:rsidRDefault="00DA3E89" w:rsidP="003C702C">
            <w:pPr>
              <w:pStyle w:val="SingleSpacing"/>
              <w:spacing w:line="240" w:lineRule="auto"/>
              <w:rPr>
                <w:rFonts w:eastAsia="Calibri"/>
                <w:szCs w:val="22"/>
              </w:rPr>
            </w:pPr>
            <w:bookmarkStart w:id="0" w:name="_Toc354586559"/>
          </w:p>
          <w:p w:rsidR="00DA3E89" w:rsidRDefault="00DA3E89" w:rsidP="003C702C">
            <w:pPr>
              <w:pStyle w:val="SingleSpacing"/>
              <w:spacing w:line="240" w:lineRule="auto"/>
              <w:rPr>
                <w:rFonts w:eastAsia="Calibri"/>
                <w:szCs w:val="22"/>
              </w:rPr>
            </w:pPr>
          </w:p>
          <w:p w:rsidR="00DA3E89" w:rsidRDefault="00DA3E89" w:rsidP="003C702C">
            <w:pPr>
              <w:pStyle w:val="SingleSpacing"/>
              <w:spacing w:line="240" w:lineRule="auto"/>
              <w:rPr>
                <w:rFonts w:eastAsia="Calibri"/>
                <w:szCs w:val="22"/>
              </w:rPr>
            </w:pPr>
          </w:p>
          <w:p w:rsidR="00DA3E89" w:rsidRPr="00E80CA0" w:rsidRDefault="00DA3E89" w:rsidP="003C702C">
            <w:pPr>
              <w:pStyle w:val="SingleSpacing"/>
              <w:spacing w:line="240" w:lineRule="auto"/>
            </w:pPr>
            <w:r w:rsidRPr="00E80CA0">
              <w:t>DOCKET NO</w:t>
            </w:r>
            <w:r>
              <w:t>S</w:t>
            </w:r>
            <w:r w:rsidRPr="00E80CA0">
              <w:t xml:space="preserve">. </w:t>
            </w:r>
            <w:r w:rsidRPr="00E80CA0">
              <w:rPr>
                <w:bCs/>
              </w:rPr>
              <w:t>UE-</w:t>
            </w:r>
            <w:r>
              <w:t>140188 and</w:t>
            </w:r>
          </w:p>
          <w:p w:rsidR="00DA3E89" w:rsidRPr="00E80CA0" w:rsidRDefault="00DA3E89" w:rsidP="003C702C">
            <w:pPr>
              <w:pStyle w:val="SingleSpacing"/>
              <w:spacing w:line="240" w:lineRule="auto"/>
            </w:pPr>
            <w:r w:rsidRPr="00E80CA0">
              <w:rPr>
                <w:bCs/>
              </w:rPr>
              <w:t>UG-</w:t>
            </w:r>
            <w:r>
              <w:t>140189 (</w:t>
            </w:r>
            <w:r w:rsidR="007937EC">
              <w:rPr>
                <w:i/>
              </w:rPr>
              <w:t>C</w:t>
            </w:r>
            <w:r w:rsidRPr="005F33B9">
              <w:rPr>
                <w:i/>
              </w:rPr>
              <w:t>onsolidated</w:t>
            </w:r>
            <w:r>
              <w:t>)</w:t>
            </w:r>
          </w:p>
          <w:p w:rsidR="00DA3E89" w:rsidRPr="0080362A" w:rsidRDefault="00DA3E89" w:rsidP="003C702C">
            <w:pPr>
              <w:spacing w:after="0"/>
              <w:jc w:val="center"/>
            </w:pPr>
          </w:p>
          <w:p w:rsidR="00DA3E89" w:rsidRPr="0080362A" w:rsidRDefault="00DA3E89" w:rsidP="003C702C">
            <w:pPr>
              <w:spacing w:after="0"/>
              <w:jc w:val="center"/>
            </w:pPr>
          </w:p>
          <w:p w:rsidR="00DA3E89" w:rsidRPr="0080362A" w:rsidRDefault="00DA3E89" w:rsidP="003C702C">
            <w:pPr>
              <w:spacing w:after="0"/>
              <w:jc w:val="center"/>
            </w:pPr>
          </w:p>
          <w:p w:rsidR="00DA3E89" w:rsidRPr="0080362A" w:rsidRDefault="00DA3E89" w:rsidP="003C702C">
            <w:pPr>
              <w:spacing w:after="0"/>
              <w:jc w:val="center"/>
            </w:pPr>
          </w:p>
          <w:bookmarkEnd w:id="0"/>
          <w:p w:rsidR="00DA3E89" w:rsidRPr="0036383E" w:rsidRDefault="00DA3E89" w:rsidP="003C702C">
            <w:pPr>
              <w:spacing w:after="0"/>
              <w:rPr>
                <w:rFonts w:eastAsia="Times New Roman"/>
                <w:szCs w:val="24"/>
              </w:rPr>
            </w:pPr>
          </w:p>
          <w:p w:rsidR="00DA3E89" w:rsidRPr="0080362A" w:rsidRDefault="00DA3E89" w:rsidP="003C702C">
            <w:pPr>
              <w:jc w:val="right"/>
            </w:pPr>
            <w:r w:rsidRPr="0080362A">
              <w:t xml:space="preserve">   </w:t>
            </w:r>
          </w:p>
        </w:tc>
      </w:tr>
    </w:tbl>
    <w:p w:rsidR="00DA3E89" w:rsidRPr="00272C05" w:rsidRDefault="00DA3E89" w:rsidP="00DA3E89">
      <w:pPr>
        <w:spacing w:after="0"/>
        <w:jc w:val="both"/>
        <w:rPr>
          <w:rFonts w:eastAsia="Times New Roman"/>
          <w:szCs w:val="24"/>
        </w:rPr>
      </w:pPr>
    </w:p>
    <w:p w:rsidR="00DA3E89" w:rsidRPr="00272C05" w:rsidRDefault="00DA3E89" w:rsidP="00DA3E89">
      <w:pPr>
        <w:tabs>
          <w:tab w:val="left" w:pos="6450"/>
        </w:tabs>
        <w:spacing w:after="0"/>
        <w:jc w:val="both"/>
        <w:rPr>
          <w:rFonts w:eastAsia="Times New Roman"/>
          <w:szCs w:val="24"/>
        </w:rPr>
      </w:pPr>
    </w:p>
    <w:p w:rsidR="00DA3E89" w:rsidRPr="00272C05" w:rsidRDefault="00DA3E89" w:rsidP="00DA3E89">
      <w:pPr>
        <w:spacing w:after="0"/>
        <w:jc w:val="both"/>
        <w:rPr>
          <w:rFonts w:eastAsia="Times New Roman"/>
          <w:szCs w:val="24"/>
        </w:rPr>
      </w:pPr>
    </w:p>
    <w:p w:rsidR="00DA3E89" w:rsidRPr="00272C05" w:rsidRDefault="00DA3E89" w:rsidP="00DA3E89">
      <w:pPr>
        <w:spacing w:after="0"/>
        <w:jc w:val="both"/>
        <w:rPr>
          <w:rFonts w:eastAsia="Times New Roman"/>
          <w:szCs w:val="24"/>
        </w:rPr>
      </w:pPr>
    </w:p>
    <w:p w:rsidR="00DA3E89" w:rsidRPr="00272C05" w:rsidRDefault="00DA3E89" w:rsidP="00DA3E89">
      <w:pPr>
        <w:spacing w:after="0"/>
        <w:jc w:val="both"/>
        <w:rPr>
          <w:rFonts w:eastAsia="Times New Roman"/>
          <w:szCs w:val="24"/>
        </w:rPr>
      </w:pPr>
    </w:p>
    <w:p w:rsidR="00DA3E89" w:rsidRPr="00272C05" w:rsidRDefault="00DA3E89" w:rsidP="00DA3E89">
      <w:pPr>
        <w:spacing w:after="0"/>
        <w:jc w:val="both"/>
        <w:rPr>
          <w:rFonts w:eastAsia="Times New Roman"/>
          <w:szCs w:val="24"/>
        </w:rPr>
      </w:pPr>
    </w:p>
    <w:p w:rsidR="00DA3E89" w:rsidRPr="00272C05" w:rsidRDefault="00DA3E89" w:rsidP="00DA3E89">
      <w:pPr>
        <w:spacing w:after="0"/>
        <w:jc w:val="center"/>
        <w:rPr>
          <w:rFonts w:eastAsia="Times New Roman"/>
          <w:b/>
          <w:bCs/>
          <w:szCs w:val="24"/>
        </w:rPr>
      </w:pPr>
      <w:r w:rsidRPr="00272C05">
        <w:rPr>
          <w:rFonts w:eastAsia="Times New Roman"/>
          <w:b/>
          <w:bCs/>
          <w:szCs w:val="20"/>
        </w:rPr>
        <w:t>RESPONS</w:t>
      </w:r>
      <w:r w:rsidR="00F55AED">
        <w:rPr>
          <w:rFonts w:eastAsia="Times New Roman"/>
          <w:b/>
          <w:bCs/>
          <w:szCs w:val="20"/>
        </w:rPr>
        <w:t>E</w:t>
      </w:r>
      <w:r w:rsidRPr="00272C05">
        <w:rPr>
          <w:rFonts w:eastAsia="Times New Roman"/>
          <w:b/>
          <w:bCs/>
          <w:szCs w:val="20"/>
        </w:rPr>
        <w:t xml:space="preserve"> TESTIMONY </w:t>
      </w:r>
      <w:r w:rsidRPr="00272C05">
        <w:rPr>
          <w:rFonts w:eastAsia="Times New Roman"/>
          <w:b/>
          <w:bCs/>
          <w:szCs w:val="24"/>
        </w:rPr>
        <w:t xml:space="preserve">OF </w:t>
      </w:r>
      <w:r>
        <w:rPr>
          <w:rFonts w:eastAsia="Times New Roman"/>
          <w:b/>
          <w:szCs w:val="24"/>
        </w:rPr>
        <w:t>ROBERT R. STEPHENS</w:t>
      </w:r>
    </w:p>
    <w:p w:rsidR="00DA3E89" w:rsidRPr="00272C05" w:rsidRDefault="00DA3E89" w:rsidP="00DA3E89">
      <w:pPr>
        <w:spacing w:after="0"/>
        <w:rPr>
          <w:rFonts w:eastAsia="Times New Roman"/>
          <w:szCs w:val="20"/>
        </w:rPr>
      </w:pPr>
    </w:p>
    <w:p w:rsidR="00DA3E89" w:rsidRPr="00272C05" w:rsidRDefault="00DA3E89" w:rsidP="00DA3E89">
      <w:pPr>
        <w:spacing w:after="0"/>
        <w:jc w:val="center"/>
        <w:rPr>
          <w:rFonts w:eastAsia="Times New Roman"/>
          <w:b/>
          <w:bCs/>
          <w:szCs w:val="20"/>
        </w:rPr>
      </w:pPr>
      <w:r w:rsidRPr="00272C05">
        <w:rPr>
          <w:rFonts w:eastAsia="Times New Roman"/>
          <w:b/>
          <w:bCs/>
          <w:szCs w:val="20"/>
        </w:rPr>
        <w:t>ON BEHALF OF</w:t>
      </w:r>
    </w:p>
    <w:p w:rsidR="00DA3E89" w:rsidRPr="00272C05" w:rsidRDefault="00F55AED" w:rsidP="00F55AED">
      <w:pPr>
        <w:tabs>
          <w:tab w:val="left" w:pos="6393"/>
        </w:tabs>
        <w:spacing w:after="0"/>
        <w:rPr>
          <w:rFonts w:eastAsia="Times New Roman"/>
          <w:szCs w:val="20"/>
        </w:rPr>
      </w:pPr>
      <w:r>
        <w:rPr>
          <w:rFonts w:eastAsia="Times New Roman"/>
          <w:szCs w:val="20"/>
        </w:rPr>
        <w:tab/>
      </w:r>
    </w:p>
    <w:p w:rsidR="00DA3E89" w:rsidRPr="00272C05" w:rsidRDefault="00DA3E89" w:rsidP="00DA3E89">
      <w:pPr>
        <w:spacing w:after="0"/>
        <w:jc w:val="center"/>
        <w:rPr>
          <w:rFonts w:eastAsia="Times New Roman"/>
          <w:szCs w:val="24"/>
        </w:rPr>
      </w:pPr>
      <w:r w:rsidRPr="00272C05">
        <w:rPr>
          <w:rFonts w:eastAsia="Times New Roman"/>
          <w:b/>
          <w:bCs/>
          <w:szCs w:val="20"/>
        </w:rPr>
        <w:t>THE INDUSTRIAL CUSTOMERS OF NORTHWEST UTILITIES</w:t>
      </w:r>
    </w:p>
    <w:p w:rsidR="00DA3E89" w:rsidRPr="00272C05" w:rsidRDefault="00DA3E89" w:rsidP="00DA3E89">
      <w:pPr>
        <w:spacing w:after="0"/>
        <w:jc w:val="center"/>
        <w:rPr>
          <w:rFonts w:eastAsia="Times New Roman"/>
          <w:szCs w:val="24"/>
        </w:rPr>
      </w:pPr>
    </w:p>
    <w:p w:rsidR="00DA3E89" w:rsidRPr="00272C05" w:rsidRDefault="00DA3E89" w:rsidP="00DA3E89">
      <w:pPr>
        <w:spacing w:after="0"/>
        <w:jc w:val="center"/>
        <w:rPr>
          <w:rFonts w:eastAsia="Times New Roman"/>
          <w:szCs w:val="24"/>
        </w:rPr>
      </w:pPr>
    </w:p>
    <w:p w:rsidR="00DA3E89" w:rsidRPr="00272C05" w:rsidRDefault="00DA3E89" w:rsidP="00DA3E89">
      <w:pPr>
        <w:spacing w:after="0"/>
        <w:jc w:val="center"/>
        <w:rPr>
          <w:rFonts w:eastAsia="Times New Roman"/>
          <w:szCs w:val="24"/>
        </w:rPr>
      </w:pPr>
    </w:p>
    <w:p w:rsidR="00DA3E89" w:rsidRPr="00272C05" w:rsidRDefault="00DA3E89" w:rsidP="00DA3E89">
      <w:pPr>
        <w:spacing w:after="0"/>
        <w:jc w:val="center"/>
        <w:rPr>
          <w:rFonts w:eastAsia="Times New Roman"/>
          <w:szCs w:val="24"/>
        </w:rPr>
      </w:pPr>
    </w:p>
    <w:p w:rsidR="00DA3E89" w:rsidRPr="00272C05" w:rsidRDefault="00DA3E89" w:rsidP="00DA3E89">
      <w:pPr>
        <w:spacing w:after="0"/>
        <w:jc w:val="center"/>
        <w:rPr>
          <w:rFonts w:eastAsia="Times New Roman"/>
          <w:szCs w:val="24"/>
        </w:rPr>
      </w:pPr>
    </w:p>
    <w:p w:rsidR="00DA3E89" w:rsidRPr="00272C05" w:rsidRDefault="00DA3E89" w:rsidP="00DA3E89">
      <w:pPr>
        <w:spacing w:after="0"/>
        <w:jc w:val="center"/>
        <w:rPr>
          <w:rFonts w:eastAsia="Times New Roman"/>
          <w:b/>
          <w:szCs w:val="24"/>
        </w:rPr>
      </w:pPr>
      <w:r>
        <w:rPr>
          <w:rFonts w:eastAsia="Times New Roman"/>
          <w:b/>
          <w:szCs w:val="24"/>
        </w:rPr>
        <w:t>July 22, 2014</w:t>
      </w:r>
    </w:p>
    <w:p w:rsidR="00DA3E89" w:rsidRPr="00272C05" w:rsidRDefault="00DA3E89" w:rsidP="00DA3E89">
      <w:pPr>
        <w:spacing w:after="0"/>
        <w:jc w:val="center"/>
        <w:rPr>
          <w:rFonts w:eastAsia="Times New Roman"/>
          <w:szCs w:val="24"/>
        </w:rPr>
      </w:pPr>
    </w:p>
    <w:p w:rsidR="00DA3E89" w:rsidRPr="00272C05" w:rsidRDefault="00DA3E89" w:rsidP="00DA3E89">
      <w:pPr>
        <w:spacing w:after="0" w:line="480" w:lineRule="auto"/>
        <w:jc w:val="both"/>
        <w:rPr>
          <w:rFonts w:eastAsia="Times New Roman"/>
          <w:b/>
          <w:szCs w:val="24"/>
        </w:rPr>
        <w:sectPr w:rsidR="00DA3E89" w:rsidRPr="00272C05" w:rsidSect="00272C05">
          <w:headerReference w:type="default" r:id="rId9"/>
          <w:pgSz w:w="12240" w:h="15840" w:code="1"/>
          <w:pgMar w:top="1440" w:right="1440" w:bottom="1440" w:left="1728" w:header="576" w:footer="576" w:gutter="0"/>
          <w:pgNumType w:start="1"/>
          <w:cols w:space="720"/>
          <w:docGrid w:linePitch="299"/>
        </w:sectPr>
      </w:pPr>
    </w:p>
    <w:p w:rsidR="00DA3E89" w:rsidRDefault="00DA3E89" w:rsidP="00DA3E89">
      <w:pPr>
        <w:suppressLineNumbers/>
        <w:spacing w:after="0"/>
        <w:jc w:val="center"/>
        <w:rPr>
          <w:rFonts w:eastAsia="Times New Roman"/>
          <w:b/>
          <w:szCs w:val="24"/>
        </w:rPr>
      </w:pPr>
      <w:r w:rsidRPr="00272C05">
        <w:rPr>
          <w:rFonts w:eastAsia="Times New Roman"/>
          <w:b/>
          <w:bCs/>
          <w:szCs w:val="20"/>
        </w:rPr>
        <w:lastRenderedPageBreak/>
        <w:t xml:space="preserve">TABLE OF CONTENTS </w:t>
      </w:r>
    </w:p>
    <w:p w:rsidR="00DA3E89" w:rsidRPr="00272C05" w:rsidRDefault="00DA3E89" w:rsidP="00DA3E89">
      <w:pPr>
        <w:suppressLineNumbers/>
        <w:spacing w:after="0"/>
        <w:jc w:val="center"/>
        <w:rPr>
          <w:rFonts w:eastAsia="Times New Roman"/>
          <w:b/>
          <w:szCs w:val="24"/>
        </w:rPr>
      </w:pPr>
    </w:p>
    <w:p w:rsidR="00DA3E89" w:rsidRPr="00272C05" w:rsidRDefault="00DA3E89" w:rsidP="00DA3E89">
      <w:pPr>
        <w:suppressLineNumbers/>
        <w:spacing w:after="0" w:line="480" w:lineRule="auto"/>
        <w:jc w:val="right"/>
        <w:rPr>
          <w:rFonts w:eastAsia="Times New Roman"/>
          <w:b/>
          <w:szCs w:val="24"/>
          <w:u w:val="single"/>
        </w:rPr>
      </w:pPr>
      <w:r w:rsidRPr="00272C05">
        <w:rPr>
          <w:rFonts w:eastAsia="Times New Roman"/>
          <w:b/>
          <w:szCs w:val="24"/>
          <w:u w:val="single"/>
        </w:rPr>
        <w:t>Page</w:t>
      </w:r>
    </w:p>
    <w:p w:rsidR="00DA3E89" w:rsidRDefault="0098325D" w:rsidP="00DA3E89">
      <w:pPr>
        <w:pStyle w:val="TOC1"/>
        <w:rPr>
          <w:rFonts w:ascii="Calibri" w:eastAsia="Times New Roman" w:hAnsi="Calibri"/>
          <w:noProof/>
          <w:sz w:val="22"/>
        </w:rPr>
      </w:pPr>
      <w:r>
        <w:rPr>
          <w:rFonts w:eastAsia="Times New Roman"/>
          <w:color w:val="000000"/>
          <w:szCs w:val="24"/>
        </w:rPr>
        <w:fldChar w:fldCharType="begin"/>
      </w:r>
      <w:r w:rsidR="00DA3E89">
        <w:rPr>
          <w:rFonts w:eastAsia="Times New Roman"/>
          <w:color w:val="000000"/>
          <w:szCs w:val="24"/>
        </w:rPr>
        <w:instrText xml:space="preserve"> TOC \o "1-2" \h \z </w:instrText>
      </w:r>
      <w:r>
        <w:rPr>
          <w:rFonts w:eastAsia="Times New Roman"/>
          <w:color w:val="000000"/>
          <w:szCs w:val="24"/>
        </w:rPr>
        <w:fldChar w:fldCharType="separate"/>
      </w:r>
      <w:hyperlink w:anchor="_Toc392941501" w:history="1">
        <w:r w:rsidR="00DA3E89" w:rsidRPr="0038507C">
          <w:rPr>
            <w:rStyle w:val="Hyperlink"/>
            <w:noProof/>
          </w:rPr>
          <w:t>SUMMARY</w:t>
        </w:r>
        <w:r w:rsidR="00DA3E89">
          <w:rPr>
            <w:noProof/>
            <w:webHidden/>
          </w:rPr>
          <w:tab/>
        </w:r>
        <w:r>
          <w:rPr>
            <w:noProof/>
            <w:webHidden/>
          </w:rPr>
          <w:fldChar w:fldCharType="begin"/>
        </w:r>
        <w:r w:rsidR="00DA3E89">
          <w:rPr>
            <w:noProof/>
            <w:webHidden/>
          </w:rPr>
          <w:instrText xml:space="preserve"> PAGEREF _Toc392941501 \h </w:instrText>
        </w:r>
        <w:r>
          <w:rPr>
            <w:noProof/>
            <w:webHidden/>
          </w:rPr>
        </w:r>
        <w:r>
          <w:rPr>
            <w:noProof/>
            <w:webHidden/>
          </w:rPr>
          <w:fldChar w:fldCharType="separate"/>
        </w:r>
        <w:r w:rsidR="005154C9">
          <w:rPr>
            <w:noProof/>
            <w:webHidden/>
          </w:rPr>
          <w:t>2</w:t>
        </w:r>
        <w:r>
          <w:rPr>
            <w:noProof/>
            <w:webHidden/>
          </w:rPr>
          <w:fldChar w:fldCharType="end"/>
        </w:r>
      </w:hyperlink>
    </w:p>
    <w:p w:rsidR="00DA3E89" w:rsidRDefault="005154C9" w:rsidP="00DA3E89">
      <w:pPr>
        <w:pStyle w:val="TOC1"/>
        <w:rPr>
          <w:rFonts w:ascii="Calibri" w:eastAsia="Times New Roman" w:hAnsi="Calibri"/>
          <w:noProof/>
          <w:sz w:val="22"/>
        </w:rPr>
      </w:pPr>
      <w:hyperlink w:anchor="_Toc392941502" w:history="1">
        <w:r w:rsidR="00DA3E89" w:rsidRPr="0038507C">
          <w:rPr>
            <w:rStyle w:val="Hyperlink"/>
            <w:noProof/>
          </w:rPr>
          <w:t>ELECTRIC COST OF SERVICE STUDY</w:t>
        </w:r>
        <w:r w:rsidR="00DA3E89">
          <w:rPr>
            <w:noProof/>
            <w:webHidden/>
          </w:rPr>
          <w:tab/>
        </w:r>
        <w:r w:rsidR="0098325D">
          <w:rPr>
            <w:noProof/>
            <w:webHidden/>
          </w:rPr>
          <w:fldChar w:fldCharType="begin"/>
        </w:r>
        <w:r w:rsidR="00DA3E89">
          <w:rPr>
            <w:noProof/>
            <w:webHidden/>
          </w:rPr>
          <w:instrText xml:space="preserve"> PAGEREF _Toc392941502 \h </w:instrText>
        </w:r>
        <w:r w:rsidR="0098325D">
          <w:rPr>
            <w:noProof/>
            <w:webHidden/>
          </w:rPr>
        </w:r>
        <w:r w:rsidR="0098325D">
          <w:rPr>
            <w:noProof/>
            <w:webHidden/>
          </w:rPr>
          <w:fldChar w:fldCharType="separate"/>
        </w:r>
        <w:r>
          <w:rPr>
            <w:noProof/>
            <w:webHidden/>
          </w:rPr>
          <w:t>3</w:t>
        </w:r>
        <w:r w:rsidR="0098325D">
          <w:rPr>
            <w:noProof/>
            <w:webHidden/>
          </w:rPr>
          <w:fldChar w:fldCharType="end"/>
        </w:r>
      </w:hyperlink>
    </w:p>
    <w:p w:rsidR="00DA3E89" w:rsidRDefault="005154C9" w:rsidP="00DA3E89">
      <w:pPr>
        <w:pStyle w:val="TOC2"/>
        <w:tabs>
          <w:tab w:val="right" w:leader="dot" w:pos="9062"/>
        </w:tabs>
        <w:spacing w:after="0"/>
        <w:ind w:left="245"/>
        <w:rPr>
          <w:rFonts w:ascii="Calibri" w:eastAsia="Times New Roman" w:hAnsi="Calibri"/>
          <w:noProof/>
          <w:sz w:val="22"/>
        </w:rPr>
      </w:pPr>
      <w:hyperlink w:anchor="_Toc392941503" w:history="1">
        <w:r w:rsidR="00DA3E89" w:rsidRPr="0038507C">
          <w:rPr>
            <w:rStyle w:val="Hyperlink"/>
            <w:rFonts w:eastAsia="Times New Roman"/>
            <w:noProof/>
          </w:rPr>
          <w:t>Overview</w:t>
        </w:r>
        <w:r w:rsidR="00DA3E89">
          <w:rPr>
            <w:noProof/>
            <w:webHidden/>
          </w:rPr>
          <w:tab/>
        </w:r>
        <w:r w:rsidR="0098325D">
          <w:rPr>
            <w:noProof/>
            <w:webHidden/>
          </w:rPr>
          <w:fldChar w:fldCharType="begin"/>
        </w:r>
        <w:r w:rsidR="00DA3E89">
          <w:rPr>
            <w:noProof/>
            <w:webHidden/>
          </w:rPr>
          <w:instrText xml:space="preserve"> PAGEREF _Toc392941503 \h </w:instrText>
        </w:r>
        <w:r w:rsidR="0098325D">
          <w:rPr>
            <w:noProof/>
            <w:webHidden/>
          </w:rPr>
        </w:r>
        <w:r w:rsidR="0098325D">
          <w:rPr>
            <w:noProof/>
            <w:webHidden/>
          </w:rPr>
          <w:fldChar w:fldCharType="separate"/>
        </w:r>
        <w:r>
          <w:rPr>
            <w:noProof/>
            <w:webHidden/>
          </w:rPr>
          <w:t>3</w:t>
        </w:r>
        <w:r w:rsidR="0098325D">
          <w:rPr>
            <w:noProof/>
            <w:webHidden/>
          </w:rPr>
          <w:fldChar w:fldCharType="end"/>
        </w:r>
      </w:hyperlink>
    </w:p>
    <w:p w:rsidR="00DA3E89" w:rsidRDefault="005154C9" w:rsidP="00DA3E89">
      <w:pPr>
        <w:pStyle w:val="TOC2"/>
        <w:tabs>
          <w:tab w:val="right" w:leader="dot" w:pos="9062"/>
        </w:tabs>
        <w:spacing w:after="0"/>
        <w:ind w:left="245"/>
        <w:rPr>
          <w:rFonts w:ascii="Calibri" w:eastAsia="Times New Roman" w:hAnsi="Calibri"/>
          <w:noProof/>
          <w:sz w:val="22"/>
        </w:rPr>
      </w:pPr>
      <w:hyperlink w:anchor="_Toc392941504" w:history="1">
        <w:r w:rsidR="00DA3E89" w:rsidRPr="0038507C">
          <w:rPr>
            <w:rStyle w:val="Hyperlink"/>
            <w:noProof/>
          </w:rPr>
          <w:t xml:space="preserve">Review of Avista’s Cost </w:t>
        </w:r>
        <w:bookmarkStart w:id="1" w:name="_GoBack"/>
        <w:bookmarkEnd w:id="1"/>
        <w:r w:rsidR="00DA3E89" w:rsidRPr="0038507C">
          <w:rPr>
            <w:rStyle w:val="Hyperlink"/>
            <w:noProof/>
          </w:rPr>
          <w:t>of Service Study</w:t>
        </w:r>
        <w:r w:rsidR="00DA3E89">
          <w:rPr>
            <w:noProof/>
            <w:webHidden/>
          </w:rPr>
          <w:tab/>
        </w:r>
        <w:r w:rsidR="0098325D">
          <w:rPr>
            <w:noProof/>
            <w:webHidden/>
          </w:rPr>
          <w:fldChar w:fldCharType="begin"/>
        </w:r>
        <w:r w:rsidR="00DA3E89">
          <w:rPr>
            <w:noProof/>
            <w:webHidden/>
          </w:rPr>
          <w:instrText xml:space="preserve"> PAGEREF _Toc392941504 \h </w:instrText>
        </w:r>
        <w:r w:rsidR="0098325D">
          <w:rPr>
            <w:noProof/>
            <w:webHidden/>
          </w:rPr>
        </w:r>
        <w:r w:rsidR="0098325D">
          <w:rPr>
            <w:noProof/>
            <w:webHidden/>
          </w:rPr>
          <w:fldChar w:fldCharType="separate"/>
        </w:r>
        <w:r>
          <w:rPr>
            <w:noProof/>
            <w:webHidden/>
          </w:rPr>
          <w:t>6</w:t>
        </w:r>
        <w:r w:rsidR="0098325D">
          <w:rPr>
            <w:noProof/>
            <w:webHidden/>
          </w:rPr>
          <w:fldChar w:fldCharType="end"/>
        </w:r>
      </w:hyperlink>
    </w:p>
    <w:p w:rsidR="00DA3E89" w:rsidRDefault="005154C9" w:rsidP="00DA3E89">
      <w:pPr>
        <w:pStyle w:val="TOC2"/>
        <w:tabs>
          <w:tab w:val="right" w:leader="dot" w:pos="9062"/>
        </w:tabs>
        <w:spacing w:after="0"/>
        <w:ind w:left="245"/>
        <w:rPr>
          <w:rFonts w:ascii="Calibri" w:eastAsia="Times New Roman" w:hAnsi="Calibri"/>
          <w:noProof/>
          <w:sz w:val="22"/>
        </w:rPr>
      </w:pPr>
      <w:hyperlink w:anchor="_Toc392941505" w:history="1">
        <w:r w:rsidR="00DA3E89" w:rsidRPr="0038507C">
          <w:rPr>
            <w:rStyle w:val="Hyperlink"/>
            <w:rFonts w:eastAsia="Times New Roman"/>
            <w:noProof/>
          </w:rPr>
          <w:t>Allocation of Production-Related Costs</w:t>
        </w:r>
        <w:r w:rsidR="00DA3E89">
          <w:rPr>
            <w:noProof/>
            <w:webHidden/>
          </w:rPr>
          <w:tab/>
        </w:r>
        <w:r w:rsidR="0098325D">
          <w:rPr>
            <w:noProof/>
            <w:webHidden/>
          </w:rPr>
          <w:fldChar w:fldCharType="begin"/>
        </w:r>
        <w:r w:rsidR="00DA3E89">
          <w:rPr>
            <w:noProof/>
            <w:webHidden/>
          </w:rPr>
          <w:instrText xml:space="preserve"> PAGEREF _Toc392941505 \h </w:instrText>
        </w:r>
        <w:r w:rsidR="0098325D">
          <w:rPr>
            <w:noProof/>
            <w:webHidden/>
          </w:rPr>
        </w:r>
        <w:r w:rsidR="0098325D">
          <w:rPr>
            <w:noProof/>
            <w:webHidden/>
          </w:rPr>
          <w:fldChar w:fldCharType="separate"/>
        </w:r>
        <w:r>
          <w:rPr>
            <w:noProof/>
            <w:webHidden/>
          </w:rPr>
          <w:t>7</w:t>
        </w:r>
        <w:r w:rsidR="0098325D">
          <w:rPr>
            <w:noProof/>
            <w:webHidden/>
          </w:rPr>
          <w:fldChar w:fldCharType="end"/>
        </w:r>
      </w:hyperlink>
    </w:p>
    <w:p w:rsidR="00DA3E89" w:rsidRDefault="005154C9" w:rsidP="00DA3E89">
      <w:pPr>
        <w:pStyle w:val="TOC2"/>
        <w:tabs>
          <w:tab w:val="right" w:leader="dot" w:pos="9062"/>
        </w:tabs>
        <w:spacing w:after="0"/>
        <w:ind w:left="245"/>
        <w:rPr>
          <w:rFonts w:ascii="Calibri" w:eastAsia="Times New Roman" w:hAnsi="Calibri"/>
          <w:noProof/>
          <w:sz w:val="22"/>
        </w:rPr>
      </w:pPr>
      <w:hyperlink w:anchor="_Toc392941506" w:history="1">
        <w:r w:rsidR="00DA3E89" w:rsidRPr="0038507C">
          <w:rPr>
            <w:rStyle w:val="Hyperlink"/>
            <w:rFonts w:eastAsia="Times New Roman"/>
            <w:noProof/>
          </w:rPr>
          <w:t>Allocation of Transmission Costs</w:t>
        </w:r>
        <w:r w:rsidR="00DA3E89">
          <w:rPr>
            <w:noProof/>
            <w:webHidden/>
          </w:rPr>
          <w:tab/>
        </w:r>
        <w:r w:rsidR="0098325D">
          <w:rPr>
            <w:noProof/>
            <w:webHidden/>
          </w:rPr>
          <w:fldChar w:fldCharType="begin"/>
        </w:r>
        <w:r w:rsidR="00DA3E89">
          <w:rPr>
            <w:noProof/>
            <w:webHidden/>
          </w:rPr>
          <w:instrText xml:space="preserve"> PAGEREF _Toc392941506 \h </w:instrText>
        </w:r>
        <w:r w:rsidR="0098325D">
          <w:rPr>
            <w:noProof/>
            <w:webHidden/>
          </w:rPr>
        </w:r>
        <w:r w:rsidR="0098325D">
          <w:rPr>
            <w:noProof/>
            <w:webHidden/>
          </w:rPr>
          <w:fldChar w:fldCharType="separate"/>
        </w:r>
        <w:r>
          <w:rPr>
            <w:noProof/>
            <w:webHidden/>
          </w:rPr>
          <w:t>18</w:t>
        </w:r>
        <w:r w:rsidR="0098325D">
          <w:rPr>
            <w:noProof/>
            <w:webHidden/>
          </w:rPr>
          <w:fldChar w:fldCharType="end"/>
        </w:r>
      </w:hyperlink>
    </w:p>
    <w:p w:rsidR="00DA3E89" w:rsidRDefault="005154C9" w:rsidP="00DA3E89">
      <w:pPr>
        <w:pStyle w:val="TOC2"/>
        <w:tabs>
          <w:tab w:val="right" w:leader="dot" w:pos="9062"/>
        </w:tabs>
        <w:spacing w:line="480" w:lineRule="auto"/>
        <w:rPr>
          <w:rFonts w:ascii="Calibri" w:eastAsia="Times New Roman" w:hAnsi="Calibri"/>
          <w:noProof/>
          <w:sz w:val="22"/>
        </w:rPr>
      </w:pPr>
      <w:hyperlink w:anchor="_Toc392941507" w:history="1">
        <w:r w:rsidR="00DA3E89" w:rsidRPr="0038507C">
          <w:rPr>
            <w:rStyle w:val="Hyperlink"/>
            <w:noProof/>
          </w:rPr>
          <w:t>Overall Cost of Service Results</w:t>
        </w:r>
        <w:r w:rsidR="00DA3E89">
          <w:rPr>
            <w:noProof/>
            <w:webHidden/>
          </w:rPr>
          <w:tab/>
        </w:r>
        <w:r w:rsidR="0098325D">
          <w:rPr>
            <w:noProof/>
            <w:webHidden/>
          </w:rPr>
          <w:fldChar w:fldCharType="begin"/>
        </w:r>
        <w:r w:rsidR="00DA3E89">
          <w:rPr>
            <w:noProof/>
            <w:webHidden/>
          </w:rPr>
          <w:instrText xml:space="preserve"> PAGEREF _Toc392941507 \h </w:instrText>
        </w:r>
        <w:r w:rsidR="0098325D">
          <w:rPr>
            <w:noProof/>
            <w:webHidden/>
          </w:rPr>
        </w:r>
        <w:r w:rsidR="0098325D">
          <w:rPr>
            <w:noProof/>
            <w:webHidden/>
          </w:rPr>
          <w:fldChar w:fldCharType="separate"/>
        </w:r>
        <w:r>
          <w:rPr>
            <w:noProof/>
            <w:webHidden/>
          </w:rPr>
          <w:t>22</w:t>
        </w:r>
        <w:r w:rsidR="0098325D">
          <w:rPr>
            <w:noProof/>
            <w:webHidden/>
          </w:rPr>
          <w:fldChar w:fldCharType="end"/>
        </w:r>
      </w:hyperlink>
    </w:p>
    <w:p w:rsidR="00DA3E89" w:rsidRDefault="005154C9" w:rsidP="00DA3E89">
      <w:pPr>
        <w:pStyle w:val="TOC1"/>
        <w:rPr>
          <w:rFonts w:ascii="Calibri" w:eastAsia="Times New Roman" w:hAnsi="Calibri"/>
          <w:noProof/>
          <w:sz w:val="22"/>
        </w:rPr>
      </w:pPr>
      <w:hyperlink w:anchor="_Toc392941508" w:history="1">
        <w:r w:rsidR="00DA3E89" w:rsidRPr="0038507C">
          <w:rPr>
            <w:rStyle w:val="Hyperlink"/>
            <w:noProof/>
          </w:rPr>
          <w:t>ELECTRIC REVENUE ALLOCATION (“RATE SPREAD”)</w:t>
        </w:r>
        <w:r w:rsidR="00DA3E89">
          <w:rPr>
            <w:noProof/>
            <w:webHidden/>
          </w:rPr>
          <w:tab/>
        </w:r>
        <w:r w:rsidR="0098325D">
          <w:rPr>
            <w:noProof/>
            <w:webHidden/>
          </w:rPr>
          <w:fldChar w:fldCharType="begin"/>
        </w:r>
        <w:r w:rsidR="00DA3E89">
          <w:rPr>
            <w:noProof/>
            <w:webHidden/>
          </w:rPr>
          <w:instrText xml:space="preserve"> PAGEREF _Toc392941508 \h </w:instrText>
        </w:r>
        <w:r w:rsidR="0098325D">
          <w:rPr>
            <w:noProof/>
            <w:webHidden/>
          </w:rPr>
        </w:r>
        <w:r w:rsidR="0098325D">
          <w:rPr>
            <w:noProof/>
            <w:webHidden/>
          </w:rPr>
          <w:fldChar w:fldCharType="separate"/>
        </w:r>
        <w:r>
          <w:rPr>
            <w:noProof/>
            <w:webHidden/>
          </w:rPr>
          <w:t>24</w:t>
        </w:r>
        <w:r w:rsidR="0098325D">
          <w:rPr>
            <w:noProof/>
            <w:webHidden/>
          </w:rPr>
          <w:fldChar w:fldCharType="end"/>
        </w:r>
      </w:hyperlink>
    </w:p>
    <w:p w:rsidR="00DA3E89" w:rsidRDefault="005154C9" w:rsidP="00DA3E89">
      <w:pPr>
        <w:pStyle w:val="TOC1"/>
        <w:rPr>
          <w:rFonts w:ascii="Calibri" w:eastAsia="Times New Roman" w:hAnsi="Calibri"/>
          <w:noProof/>
          <w:sz w:val="22"/>
        </w:rPr>
      </w:pPr>
      <w:hyperlink w:anchor="_Toc392941509" w:history="1">
        <w:r w:rsidR="00DA3E89" w:rsidRPr="0038507C">
          <w:rPr>
            <w:rStyle w:val="Hyperlink"/>
            <w:noProof/>
          </w:rPr>
          <w:t>ELECTRIC RATE DESIGN</w:t>
        </w:r>
        <w:r w:rsidR="00DA3E89">
          <w:rPr>
            <w:noProof/>
            <w:webHidden/>
          </w:rPr>
          <w:tab/>
        </w:r>
        <w:r w:rsidR="0098325D">
          <w:rPr>
            <w:noProof/>
            <w:webHidden/>
          </w:rPr>
          <w:fldChar w:fldCharType="begin"/>
        </w:r>
        <w:r w:rsidR="00DA3E89">
          <w:rPr>
            <w:noProof/>
            <w:webHidden/>
          </w:rPr>
          <w:instrText xml:space="preserve"> PAGEREF _Toc392941509 \h </w:instrText>
        </w:r>
        <w:r w:rsidR="0098325D">
          <w:rPr>
            <w:noProof/>
            <w:webHidden/>
          </w:rPr>
        </w:r>
        <w:r w:rsidR="0098325D">
          <w:rPr>
            <w:noProof/>
            <w:webHidden/>
          </w:rPr>
          <w:fldChar w:fldCharType="separate"/>
        </w:r>
        <w:r>
          <w:rPr>
            <w:noProof/>
            <w:webHidden/>
          </w:rPr>
          <w:t>26</w:t>
        </w:r>
        <w:r w:rsidR="0098325D">
          <w:rPr>
            <w:noProof/>
            <w:webHidden/>
          </w:rPr>
          <w:fldChar w:fldCharType="end"/>
        </w:r>
      </w:hyperlink>
    </w:p>
    <w:p w:rsidR="00DA3E89" w:rsidRDefault="0098325D" w:rsidP="00DA3E89">
      <w:pPr>
        <w:suppressLineNumbers/>
        <w:spacing w:after="0" w:line="480" w:lineRule="auto"/>
        <w:rPr>
          <w:rFonts w:eastAsia="Times New Roman"/>
          <w:color w:val="000000"/>
          <w:szCs w:val="24"/>
        </w:rPr>
      </w:pPr>
      <w:r>
        <w:rPr>
          <w:rFonts w:eastAsia="Times New Roman"/>
          <w:color w:val="000000"/>
          <w:szCs w:val="24"/>
        </w:rPr>
        <w:fldChar w:fldCharType="end"/>
      </w:r>
      <w:r w:rsidR="00DA3E89" w:rsidRPr="00272C05">
        <w:rPr>
          <w:rFonts w:eastAsia="Times New Roman"/>
          <w:color w:val="000000"/>
          <w:szCs w:val="24"/>
        </w:rPr>
        <w:t>Exhibit No.</w:t>
      </w:r>
      <w:r w:rsidR="00DA3E89">
        <w:rPr>
          <w:rFonts w:eastAsia="Times New Roman"/>
          <w:color w:val="000000"/>
          <w:szCs w:val="24"/>
        </w:rPr>
        <w:t xml:space="preserve"> </w:t>
      </w:r>
      <w:r w:rsidR="00DA3E89" w:rsidRPr="00272C05">
        <w:rPr>
          <w:rFonts w:eastAsia="Times New Roman"/>
          <w:color w:val="000000"/>
          <w:szCs w:val="24"/>
        </w:rPr>
        <w:t>__</w:t>
      </w:r>
      <w:proofErr w:type="gramStart"/>
      <w:r w:rsidR="00DA3E89">
        <w:rPr>
          <w:rFonts w:eastAsia="Times New Roman"/>
          <w:color w:val="000000"/>
          <w:szCs w:val="24"/>
        </w:rPr>
        <w:t>_</w:t>
      </w:r>
      <w:r w:rsidR="00DA3E89" w:rsidRPr="00272C05">
        <w:rPr>
          <w:rFonts w:eastAsia="Times New Roman"/>
          <w:color w:val="000000"/>
          <w:szCs w:val="24"/>
        </w:rPr>
        <w:t>(</w:t>
      </w:r>
      <w:proofErr w:type="gramEnd"/>
      <w:r w:rsidR="00DA3E89">
        <w:rPr>
          <w:rFonts w:eastAsia="Times New Roman"/>
          <w:color w:val="000000"/>
          <w:szCs w:val="24"/>
        </w:rPr>
        <w:t>RRS</w:t>
      </w:r>
      <w:r w:rsidR="00DA3E89" w:rsidRPr="00272C05">
        <w:rPr>
          <w:rFonts w:eastAsia="Times New Roman"/>
          <w:color w:val="000000"/>
          <w:szCs w:val="24"/>
        </w:rPr>
        <w:t>-2)</w:t>
      </w:r>
      <w:r w:rsidR="00DA3E89">
        <w:rPr>
          <w:rFonts w:eastAsia="Times New Roman"/>
          <w:color w:val="000000"/>
          <w:szCs w:val="24"/>
        </w:rPr>
        <w:t xml:space="preserve">:  </w:t>
      </w:r>
      <w:r w:rsidR="00DA3E89" w:rsidRPr="00272C05">
        <w:rPr>
          <w:rFonts w:eastAsia="Times New Roman"/>
          <w:color w:val="000000"/>
          <w:szCs w:val="24"/>
        </w:rPr>
        <w:t xml:space="preserve">Qualifications of </w:t>
      </w:r>
      <w:r w:rsidR="00DA3E89">
        <w:rPr>
          <w:rFonts w:eastAsia="Times New Roman"/>
          <w:color w:val="000000"/>
          <w:szCs w:val="24"/>
        </w:rPr>
        <w:t>Robert R. Stephens</w:t>
      </w:r>
    </w:p>
    <w:p w:rsidR="00DA3E89" w:rsidRDefault="00DA3E89" w:rsidP="00DA3E89">
      <w:pPr>
        <w:suppressLineNumbers/>
        <w:spacing w:after="0" w:line="480" w:lineRule="auto"/>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 xml:space="preserve">RRS-3):  Monthly Peak Demands as a Percent of the Annual System Peak </w:t>
      </w:r>
    </w:p>
    <w:p w:rsidR="00DA3E89" w:rsidRDefault="00DA3E89" w:rsidP="00DA3E89">
      <w:pPr>
        <w:suppressLineNumbers/>
        <w:spacing w:after="0" w:line="480" w:lineRule="auto"/>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 xml:space="preserve">RRS-4):  Allocation of System Peak Day Capacity </w:t>
      </w:r>
    </w:p>
    <w:p w:rsidR="00DA3E89" w:rsidRDefault="00DA3E89" w:rsidP="00DA3E89">
      <w:pPr>
        <w:suppressLineNumbers/>
        <w:spacing w:after="0" w:line="480" w:lineRule="auto"/>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 xml:space="preserve">RRS-5):  Production-Related Costs Allocated Using a 4 CP Method </w:t>
      </w:r>
    </w:p>
    <w:p w:rsidR="00DA3E89" w:rsidRDefault="00DA3E89" w:rsidP="00DA3E89">
      <w:pPr>
        <w:suppressLineNumbers/>
        <w:spacing w:after="0"/>
        <w:ind w:left="2520" w:hanging="2520"/>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RRS-6):  Production-Related Costs Allocated Using a 4 CP Method (Peak Credit)</w:t>
      </w:r>
    </w:p>
    <w:p w:rsidR="00DA3E89" w:rsidRDefault="00DA3E89" w:rsidP="00DA3E89">
      <w:pPr>
        <w:suppressLineNumbers/>
        <w:spacing w:after="0"/>
        <w:rPr>
          <w:rFonts w:eastAsia="Times New Roman"/>
          <w:color w:val="000000"/>
          <w:szCs w:val="24"/>
        </w:rPr>
      </w:pPr>
    </w:p>
    <w:p w:rsidR="00DA3E89" w:rsidRDefault="00DA3E89" w:rsidP="00DA3E89">
      <w:pPr>
        <w:suppressLineNumbers/>
        <w:spacing w:after="0" w:line="480" w:lineRule="auto"/>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RRS-7):  Section 34 of Avista’s Open Access Transmission Tariff</w:t>
      </w:r>
    </w:p>
    <w:p w:rsidR="00DA3E89" w:rsidRDefault="00DA3E89" w:rsidP="00DA3E89">
      <w:pPr>
        <w:suppressLineNumbers/>
        <w:spacing w:after="0"/>
        <w:rPr>
          <w:rFonts w:eastAsia="Times New Roman"/>
          <w:color w:val="000000"/>
          <w:szCs w:val="24"/>
        </w:rPr>
      </w:pPr>
      <w:r>
        <w:rPr>
          <w:rFonts w:eastAsia="Times New Roman"/>
          <w:color w:val="000000"/>
          <w:szCs w:val="24"/>
        </w:rPr>
        <w:t>Exhibit No. __</w:t>
      </w:r>
      <w:proofErr w:type="gramStart"/>
      <w:r>
        <w:rPr>
          <w:rFonts w:eastAsia="Times New Roman"/>
          <w:color w:val="000000"/>
          <w:szCs w:val="24"/>
        </w:rPr>
        <w:t>_(</w:t>
      </w:r>
      <w:proofErr w:type="gramEnd"/>
      <w:r>
        <w:rPr>
          <w:rFonts w:eastAsia="Times New Roman"/>
          <w:color w:val="000000"/>
          <w:szCs w:val="24"/>
        </w:rPr>
        <w:t>RRS-8):  Modifications for Production-Related Cost Allocation &amp;</w:t>
      </w:r>
    </w:p>
    <w:p w:rsidR="00DA3E89" w:rsidRDefault="00DA3E89" w:rsidP="00DA3E89">
      <w:pPr>
        <w:suppressLineNumbers/>
        <w:spacing w:after="0"/>
        <w:ind w:left="2520"/>
        <w:rPr>
          <w:rFonts w:eastAsia="Times New Roman"/>
          <w:color w:val="000000"/>
          <w:szCs w:val="24"/>
        </w:rPr>
      </w:pPr>
      <w:r>
        <w:rPr>
          <w:rFonts w:eastAsia="Times New Roman"/>
          <w:color w:val="000000"/>
          <w:szCs w:val="24"/>
        </w:rPr>
        <w:t>Transmission Cost Allocation</w:t>
      </w:r>
    </w:p>
    <w:p w:rsidR="00DA3E89" w:rsidRPr="00272C05" w:rsidRDefault="00DA3E89" w:rsidP="00DA3E89">
      <w:pPr>
        <w:suppressLineNumbers/>
        <w:spacing w:after="0"/>
        <w:ind w:left="2520"/>
        <w:rPr>
          <w:rFonts w:eastAsia="Times New Roman"/>
          <w:color w:val="000000"/>
          <w:szCs w:val="24"/>
        </w:rPr>
      </w:pPr>
    </w:p>
    <w:p w:rsidR="00DA3E89" w:rsidRPr="00272C05" w:rsidRDefault="00DA3E89" w:rsidP="00DA3E89">
      <w:pPr>
        <w:suppressLineNumbers/>
        <w:spacing w:after="0" w:line="480" w:lineRule="auto"/>
        <w:rPr>
          <w:rFonts w:eastAsia="Times New Roman"/>
          <w:color w:val="000000"/>
          <w:szCs w:val="24"/>
        </w:rPr>
      </w:pPr>
    </w:p>
    <w:p w:rsidR="00DA3E89" w:rsidRDefault="00DA3E89" w:rsidP="00DA3E89">
      <w:pPr>
        <w:suppressLineNumbers/>
        <w:spacing w:after="0"/>
        <w:jc w:val="center"/>
        <w:rPr>
          <w:rFonts w:eastAsia="Times New Roman"/>
          <w:b/>
          <w:bCs/>
          <w:szCs w:val="24"/>
        </w:rPr>
      </w:pPr>
    </w:p>
    <w:p w:rsidR="00DA3E89" w:rsidRPr="00272C05" w:rsidRDefault="00DA3E89" w:rsidP="00DA3E89">
      <w:pPr>
        <w:suppressLineNumbers/>
        <w:spacing w:after="0"/>
        <w:rPr>
          <w:rFonts w:eastAsia="Times New Roman"/>
          <w:b/>
          <w:bCs/>
          <w:szCs w:val="24"/>
        </w:rPr>
      </w:pPr>
    </w:p>
    <w:p w:rsidR="00DA3E89" w:rsidRPr="00272C05" w:rsidRDefault="00DA3E89" w:rsidP="00DA3E89">
      <w:pPr>
        <w:spacing w:after="0" w:line="480" w:lineRule="auto"/>
        <w:ind w:left="720" w:hanging="720"/>
        <w:jc w:val="both"/>
        <w:rPr>
          <w:rFonts w:eastAsia="Times New Roman"/>
          <w:b/>
          <w:szCs w:val="24"/>
        </w:rPr>
        <w:sectPr w:rsidR="00DA3E89" w:rsidRPr="00272C05" w:rsidSect="006015D4">
          <w:headerReference w:type="default" r:id="rId10"/>
          <w:footerReference w:type="default" r:id="rId11"/>
          <w:pgSz w:w="12240" w:h="15840" w:code="1"/>
          <w:pgMar w:top="720" w:right="1440" w:bottom="1440" w:left="1728" w:header="576" w:footer="576" w:gutter="0"/>
          <w:pgNumType w:start="1"/>
          <w:cols w:space="720"/>
          <w:docGrid w:linePitch="326"/>
        </w:sectPr>
      </w:pPr>
    </w:p>
    <w:p w:rsidR="00DA3E89" w:rsidRPr="00272C05" w:rsidRDefault="00DA3E89" w:rsidP="00EA4D30">
      <w:pPr>
        <w:spacing w:after="0" w:line="480" w:lineRule="auto"/>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t>PLEASE STATE YOUR NAME AND BUSINESS ADDRESS.</w:t>
      </w:r>
    </w:p>
    <w:p w:rsidR="00DA3E89" w:rsidRPr="00272C05" w:rsidRDefault="00DA3E89" w:rsidP="00EA4D30">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Robert R. Stephens</w:t>
      </w:r>
      <w:r w:rsidRPr="00272C05">
        <w:rPr>
          <w:rFonts w:eastAsia="Times New Roman"/>
          <w:szCs w:val="24"/>
        </w:rPr>
        <w:t>.  My business address is 16690 Swingley Ridge Road, Suite 140, Chesterfield, MO 63017.</w:t>
      </w:r>
    </w:p>
    <w:p w:rsidR="00DA3E89" w:rsidRPr="00272C05" w:rsidRDefault="00DA3E89" w:rsidP="00EA4D30">
      <w:pPr>
        <w:spacing w:after="0" w:line="480" w:lineRule="auto"/>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YOUR OCCUPATION?  </w:t>
      </w:r>
    </w:p>
    <w:p w:rsidR="00DA3E89" w:rsidRPr="00272C05" w:rsidRDefault="00DA3E89" w:rsidP="00EA4D30">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t xml:space="preserve">I am a consultant in the field of public utility regulation and a </w:t>
      </w:r>
      <w:r>
        <w:rPr>
          <w:rFonts w:eastAsia="Times New Roman"/>
          <w:szCs w:val="24"/>
        </w:rPr>
        <w:t>P</w:t>
      </w:r>
      <w:r w:rsidRPr="00272C05">
        <w:rPr>
          <w:rFonts w:eastAsia="Times New Roman"/>
          <w:szCs w:val="24"/>
        </w:rPr>
        <w:t>rincipal of Brubaker &amp; Associates, Inc., energy, economic and regulatory consultants.</w:t>
      </w:r>
    </w:p>
    <w:p w:rsidR="00DA3E89" w:rsidRPr="00272C05" w:rsidRDefault="00DA3E89" w:rsidP="00EA4D30">
      <w:pPr>
        <w:ind w:left="720" w:hanging="720"/>
        <w:jc w:val="both"/>
        <w:rPr>
          <w:rFonts w:eastAsia="Times New Roman"/>
          <w:b/>
          <w:szCs w:val="24"/>
        </w:rPr>
      </w:pPr>
      <w:r w:rsidRPr="00272C05">
        <w:rPr>
          <w:rFonts w:eastAsia="Times New Roman"/>
          <w:b/>
          <w:szCs w:val="24"/>
        </w:rPr>
        <w:t>Q.</w:t>
      </w:r>
      <w:r w:rsidRPr="00272C05">
        <w:rPr>
          <w:rFonts w:eastAsia="Times New Roman"/>
          <w:b/>
          <w:szCs w:val="24"/>
        </w:rPr>
        <w:tab/>
        <w:t>PLEASE DESCRIBE YOUR EDUCATIONAL BACKGROUND AND EXPERIENCE.</w:t>
      </w:r>
    </w:p>
    <w:p w:rsidR="00DA3E89" w:rsidRPr="00272C05" w:rsidRDefault="00DA3E89" w:rsidP="00EA4D30">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t xml:space="preserve">These are set forth in </w:t>
      </w:r>
      <w:r w:rsidRPr="00E85A31">
        <w:rPr>
          <w:rFonts w:eastAsia="Times New Roman"/>
          <w:szCs w:val="24"/>
        </w:rPr>
        <w:t>Exhibit No.</w:t>
      </w:r>
      <w:r>
        <w:rPr>
          <w:rFonts w:eastAsia="Times New Roman"/>
          <w:szCs w:val="24"/>
        </w:rPr>
        <w:t xml:space="preserve"> </w:t>
      </w:r>
      <w:r w:rsidRPr="00E85A31">
        <w:rPr>
          <w:rFonts w:eastAsia="Times New Roman"/>
          <w:szCs w:val="24"/>
        </w:rPr>
        <w:t>__</w:t>
      </w:r>
      <w:proofErr w:type="gramStart"/>
      <w:r>
        <w:rPr>
          <w:rFonts w:eastAsia="Times New Roman"/>
          <w:szCs w:val="24"/>
        </w:rPr>
        <w:t>_</w:t>
      </w:r>
      <w:r w:rsidRPr="00E85A31">
        <w:rPr>
          <w:rFonts w:eastAsia="Times New Roman"/>
          <w:szCs w:val="24"/>
        </w:rPr>
        <w:t>(</w:t>
      </w:r>
      <w:proofErr w:type="gramEnd"/>
      <w:r>
        <w:rPr>
          <w:rFonts w:eastAsia="Times New Roman"/>
          <w:szCs w:val="24"/>
        </w:rPr>
        <w:t>RRS</w:t>
      </w:r>
      <w:r w:rsidRPr="00E85A31">
        <w:rPr>
          <w:rFonts w:eastAsia="Times New Roman"/>
          <w:szCs w:val="24"/>
        </w:rPr>
        <w:t>-2)</w:t>
      </w:r>
      <w:r w:rsidRPr="00272C05">
        <w:rPr>
          <w:rFonts w:eastAsia="Times New Roman"/>
          <w:szCs w:val="24"/>
        </w:rPr>
        <w:t>.</w:t>
      </w:r>
    </w:p>
    <w:p w:rsidR="00DA3E89" w:rsidRPr="00272C05" w:rsidRDefault="00DA3E89" w:rsidP="00EA4D30">
      <w:pPr>
        <w:spacing w:after="0" w:line="480" w:lineRule="auto"/>
        <w:ind w:left="720" w:hanging="720"/>
        <w:jc w:val="both"/>
        <w:rPr>
          <w:rFonts w:eastAsia="Times New Roman"/>
          <w:b/>
          <w:szCs w:val="24"/>
        </w:rPr>
      </w:pPr>
      <w:r w:rsidRPr="00272C05">
        <w:rPr>
          <w:rFonts w:eastAsia="Times New Roman"/>
          <w:b/>
          <w:szCs w:val="24"/>
        </w:rPr>
        <w:t>Q.</w:t>
      </w:r>
      <w:r w:rsidRPr="00272C05">
        <w:rPr>
          <w:rFonts w:eastAsia="Times New Roman"/>
          <w:b/>
          <w:szCs w:val="24"/>
        </w:rPr>
        <w:tab/>
        <w:t>ON WHOSE BEHALF ARE YOU APPEARING IN THIS PROCEEDING?</w:t>
      </w:r>
    </w:p>
    <w:p w:rsidR="00DA3E89" w:rsidRPr="00272C05" w:rsidRDefault="00DA3E89" w:rsidP="00EA4D30">
      <w:pPr>
        <w:spacing w:after="0" w:line="480" w:lineRule="auto"/>
        <w:ind w:left="720" w:hanging="720"/>
        <w:jc w:val="both"/>
        <w:rPr>
          <w:rFonts w:eastAsia="Times New Roman"/>
        </w:rPr>
      </w:pPr>
      <w:r w:rsidRPr="00272C05">
        <w:rPr>
          <w:rFonts w:eastAsia="Times New Roman"/>
          <w:b/>
          <w:szCs w:val="24"/>
        </w:rPr>
        <w:t>A.</w:t>
      </w:r>
      <w:r w:rsidRPr="00272C05">
        <w:rPr>
          <w:rFonts w:eastAsia="Times New Roman"/>
          <w:szCs w:val="24"/>
        </w:rPr>
        <w:tab/>
      </w:r>
      <w:r w:rsidRPr="00272C05">
        <w:rPr>
          <w:rFonts w:eastAsia="Times New Roman"/>
        </w:rPr>
        <w:t>I am appearing on behalf of the Industrial Customers of Northwest Utilities (“ICNU”)</w:t>
      </w:r>
      <w:r>
        <w:rPr>
          <w:rFonts w:eastAsia="Times New Roman"/>
        </w:rPr>
        <w:t>, an association of large industrial businesses, some of whom are customers of Avista Corporation (“Avista” or the “Company”)</w:t>
      </w:r>
      <w:r w:rsidRPr="00272C05">
        <w:rPr>
          <w:rFonts w:eastAsia="Times New Roman"/>
        </w:rPr>
        <w:t>.</w:t>
      </w:r>
    </w:p>
    <w:p w:rsidR="00DA3E89" w:rsidRPr="00272C05" w:rsidRDefault="00DA3E89" w:rsidP="00EA4D30">
      <w:pPr>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THE </w:t>
      </w:r>
      <w:r>
        <w:rPr>
          <w:rFonts w:eastAsia="Times New Roman"/>
          <w:b/>
          <w:szCs w:val="24"/>
        </w:rPr>
        <w:t>PURPOSE</w:t>
      </w:r>
      <w:r w:rsidRPr="00272C05">
        <w:rPr>
          <w:rFonts w:eastAsia="Times New Roman"/>
          <w:b/>
          <w:szCs w:val="24"/>
        </w:rPr>
        <w:t xml:space="preserve"> OF YOUR </w:t>
      </w:r>
      <w:r>
        <w:rPr>
          <w:rFonts w:eastAsia="Times New Roman"/>
          <w:b/>
          <w:szCs w:val="24"/>
        </w:rPr>
        <w:t xml:space="preserve">RESPONSE </w:t>
      </w:r>
      <w:r w:rsidRPr="00272C05">
        <w:rPr>
          <w:rFonts w:eastAsia="Times New Roman"/>
          <w:b/>
          <w:szCs w:val="24"/>
        </w:rPr>
        <w:t>TESTIMONY?</w:t>
      </w:r>
    </w:p>
    <w:p w:rsidR="00DA3E89" w:rsidRDefault="00DA3E89" w:rsidP="00EA4D30">
      <w:pPr>
        <w:spacing w:after="0" w:line="480" w:lineRule="auto"/>
        <w:ind w:left="720" w:hanging="720"/>
        <w:jc w:val="both"/>
        <w:outlineLvl w:val="1"/>
        <w:rPr>
          <w:rFonts w:cs="Arial"/>
          <w:bCs/>
          <w:color w:val="000000"/>
        </w:rPr>
      </w:pPr>
      <w:bookmarkStart w:id="2" w:name="_Toc392680466"/>
      <w:r w:rsidRPr="00272C05">
        <w:rPr>
          <w:rFonts w:eastAsia="Times New Roman"/>
          <w:b/>
          <w:szCs w:val="24"/>
        </w:rPr>
        <w:t>A.</w:t>
      </w:r>
      <w:r w:rsidRPr="00272C05">
        <w:rPr>
          <w:rFonts w:eastAsia="Times New Roman"/>
          <w:szCs w:val="24"/>
        </w:rPr>
        <w:tab/>
      </w:r>
      <w:r>
        <w:rPr>
          <w:rFonts w:cs="Arial"/>
          <w:bCs/>
          <w:color w:val="000000"/>
        </w:rPr>
        <w:t>I will address Avista’s electric cost of service study, revenue allocation (“rate spread”), and rate design issues.  More specifically, with respect to cost of service, I will address alternatives to Avista’s allocators for production-related costs and for transmission costs.  I will also address Avista’s rate spread proposal for a uniform percentage increase to the rate schedules, and its proposals for rate design, including Avista’s decoupling proposal.</w:t>
      </w:r>
      <w:bookmarkEnd w:id="2"/>
    </w:p>
    <w:p w:rsidR="00DA3E89" w:rsidRDefault="00DA3E89" w:rsidP="00EA4D30">
      <w:pPr>
        <w:spacing w:line="480" w:lineRule="auto"/>
        <w:ind w:left="720" w:firstLine="720"/>
        <w:jc w:val="both"/>
        <w:outlineLvl w:val="1"/>
        <w:rPr>
          <w:rFonts w:cs="Arial"/>
          <w:bCs/>
          <w:color w:val="000000"/>
        </w:rPr>
      </w:pPr>
      <w:bookmarkStart w:id="3" w:name="_Toc392680467"/>
      <w:r>
        <w:rPr>
          <w:rFonts w:cs="Arial"/>
          <w:bCs/>
          <w:color w:val="000000"/>
        </w:rPr>
        <w:t>The fact that I do not address any particular issue should not be interpreted as tacit approval of any position taken by Avista.</w:t>
      </w:r>
      <w:bookmarkEnd w:id="3"/>
    </w:p>
    <w:p w:rsidR="00DA3E89" w:rsidRDefault="00DA3E89" w:rsidP="00DA3E89">
      <w:pPr>
        <w:suppressLineNumbers/>
        <w:spacing w:line="480" w:lineRule="auto"/>
        <w:ind w:left="720" w:firstLine="720"/>
        <w:outlineLvl w:val="1"/>
        <w:rPr>
          <w:rFonts w:cs="Arial"/>
          <w:bCs/>
          <w:color w:val="000000"/>
        </w:rPr>
      </w:pPr>
    </w:p>
    <w:p w:rsidR="00DA3E89" w:rsidRPr="00B84543" w:rsidRDefault="00DA3E89" w:rsidP="00DA3E89">
      <w:pPr>
        <w:pStyle w:val="Heading1"/>
        <w:keepNext w:val="0"/>
        <w:keepLines w:val="0"/>
        <w:jc w:val="center"/>
        <w:rPr>
          <w:u w:val="none"/>
        </w:rPr>
      </w:pPr>
      <w:bookmarkStart w:id="4" w:name="_Toc392680468"/>
      <w:bookmarkStart w:id="5" w:name="_Toc392941501"/>
      <w:r>
        <w:rPr>
          <w:u w:val="none"/>
        </w:rPr>
        <w:lastRenderedPageBreak/>
        <w:t xml:space="preserve">I.   </w:t>
      </w:r>
      <w:r w:rsidRPr="00B84543">
        <w:rPr>
          <w:u w:val="none"/>
        </w:rPr>
        <w:t>SUMMARY</w:t>
      </w:r>
      <w:bookmarkEnd w:id="4"/>
      <w:bookmarkEnd w:id="5"/>
    </w:p>
    <w:p w:rsidR="00DA3E89" w:rsidRPr="00272C05" w:rsidRDefault="00DA3E89" w:rsidP="00AF060A">
      <w:pPr>
        <w:ind w:left="720" w:hanging="720"/>
        <w:rPr>
          <w:rFonts w:eastAsia="Times New Roman"/>
          <w:b/>
          <w:szCs w:val="24"/>
        </w:rPr>
      </w:pPr>
      <w:r w:rsidRPr="00272C05">
        <w:rPr>
          <w:rFonts w:eastAsia="Times New Roman"/>
          <w:b/>
          <w:szCs w:val="24"/>
        </w:rPr>
        <w:t>Q.</w:t>
      </w:r>
      <w:r w:rsidRPr="00272C05">
        <w:rPr>
          <w:rFonts w:eastAsia="Times New Roman"/>
          <w:b/>
          <w:szCs w:val="24"/>
        </w:rPr>
        <w:tab/>
      </w:r>
      <w:r>
        <w:rPr>
          <w:rFonts w:eastAsia="Times New Roman"/>
          <w:b/>
          <w:szCs w:val="24"/>
        </w:rPr>
        <w:t>PLEASE SU</w:t>
      </w:r>
      <w:r w:rsidR="00AF060A">
        <w:rPr>
          <w:rFonts w:eastAsia="Times New Roman"/>
          <w:b/>
          <w:szCs w:val="24"/>
        </w:rPr>
        <w:t>MMARIZE YOUR RECOMMENDATIONS</w:t>
      </w:r>
      <w:r>
        <w:rPr>
          <w:rFonts w:eastAsia="Times New Roman"/>
          <w:b/>
          <w:szCs w:val="24"/>
        </w:rPr>
        <w:t>.</w:t>
      </w:r>
    </w:p>
    <w:p w:rsidR="00DA3E89" w:rsidRDefault="00DA3E89" w:rsidP="00EA4D30">
      <w:pPr>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My response testimony can be summarized as follows:</w:t>
      </w:r>
    </w:p>
    <w:p w:rsidR="00DA3E89" w:rsidRDefault="00DA3E89" w:rsidP="00EA4D30">
      <w:pPr>
        <w:numPr>
          <w:ilvl w:val="0"/>
          <w:numId w:val="8"/>
        </w:numPr>
        <w:spacing w:after="0"/>
        <w:ind w:left="1080"/>
        <w:jc w:val="both"/>
        <w:outlineLvl w:val="1"/>
        <w:rPr>
          <w:rFonts w:cs="Arial"/>
          <w:bCs/>
          <w:color w:val="000000"/>
        </w:rPr>
      </w:pPr>
      <w:bookmarkStart w:id="6" w:name="_Toc392680470"/>
      <w:r>
        <w:rPr>
          <w:rFonts w:cs="Arial"/>
          <w:bCs/>
          <w:color w:val="000000"/>
        </w:rPr>
        <w:t xml:space="preserve">The Company’s electric cost of service study filed in this case is, in many respects, consistent with studies filed by Avista in the past.  However, I have identified two significant changes that should be made in order for the cost of service study to more accurately measure the cost </w:t>
      </w:r>
      <w:r w:rsidR="006D0409">
        <w:rPr>
          <w:rFonts w:cs="Arial"/>
          <w:bCs/>
          <w:color w:val="000000"/>
        </w:rPr>
        <w:t xml:space="preserve">causation </w:t>
      </w:r>
      <w:r>
        <w:rPr>
          <w:rFonts w:cs="Arial"/>
          <w:bCs/>
          <w:color w:val="000000"/>
        </w:rPr>
        <w:t xml:space="preserve">incurred by the various customer </w:t>
      </w:r>
      <w:r w:rsidR="006D0409">
        <w:rPr>
          <w:rFonts w:cs="Arial"/>
          <w:bCs/>
          <w:color w:val="000000"/>
        </w:rPr>
        <w:t xml:space="preserve">rate </w:t>
      </w:r>
      <w:r>
        <w:rPr>
          <w:rFonts w:cs="Arial"/>
          <w:bCs/>
          <w:color w:val="000000"/>
        </w:rPr>
        <w:t>schedules.  These relate to the classification and allocation of production costs and the allocation of transmission costs.</w:t>
      </w:r>
      <w:bookmarkEnd w:id="6"/>
      <w:r>
        <w:rPr>
          <w:rFonts w:cs="Arial"/>
          <w:bCs/>
          <w:color w:val="000000"/>
        </w:rPr>
        <w:t xml:space="preserve">  </w:t>
      </w:r>
    </w:p>
    <w:p w:rsidR="00DA3E89" w:rsidRDefault="00DA3E89" w:rsidP="00EA4D30">
      <w:pPr>
        <w:pStyle w:val="ListParagraph"/>
        <w:suppressLineNumbers/>
        <w:spacing w:after="0"/>
        <w:ind w:left="0"/>
        <w:contextualSpacing w:val="0"/>
        <w:jc w:val="both"/>
        <w:outlineLvl w:val="1"/>
        <w:rPr>
          <w:rFonts w:cs="Arial"/>
          <w:bCs/>
          <w:color w:val="000000"/>
        </w:rPr>
      </w:pPr>
    </w:p>
    <w:p w:rsidR="00DA3E89" w:rsidRPr="00B61B4F" w:rsidRDefault="00DA3E89" w:rsidP="00EA4D30">
      <w:pPr>
        <w:numPr>
          <w:ilvl w:val="0"/>
          <w:numId w:val="8"/>
        </w:numPr>
        <w:spacing w:after="0"/>
        <w:ind w:left="1080"/>
        <w:jc w:val="both"/>
        <w:outlineLvl w:val="1"/>
        <w:rPr>
          <w:rFonts w:cs="Arial"/>
          <w:bCs/>
          <w:color w:val="000000"/>
        </w:rPr>
      </w:pPr>
      <w:bookmarkStart w:id="7" w:name="_Toc392680471"/>
      <w:r>
        <w:rPr>
          <w:rFonts w:cs="Arial"/>
          <w:bCs/>
          <w:color w:val="000000"/>
        </w:rPr>
        <w:t xml:space="preserve">With respect to the classification and allocation of production plant costs, I discuss the significant shortcomings of the “Peak Credit” classification and recommend that it be discontinued.  My recommendation is for production fixed costs to be allocated in a more traditional demand approach.  </w:t>
      </w:r>
      <w:r w:rsidRPr="00B61B4F">
        <w:rPr>
          <w:rFonts w:cs="Arial"/>
          <w:bCs/>
          <w:color w:val="000000"/>
        </w:rPr>
        <w:t>If the</w:t>
      </w:r>
      <w:r>
        <w:rPr>
          <w:rFonts w:cs="Arial"/>
          <w:bCs/>
          <w:color w:val="000000"/>
        </w:rPr>
        <w:t xml:space="preserve"> </w:t>
      </w:r>
      <w:r w:rsidRPr="00F916CB">
        <w:rPr>
          <w:szCs w:val="24"/>
        </w:rPr>
        <w:t>Washington Utilities and Transportation</w:t>
      </w:r>
      <w:r w:rsidRPr="00B61B4F">
        <w:rPr>
          <w:rFonts w:cs="Arial"/>
          <w:bCs/>
          <w:color w:val="000000"/>
        </w:rPr>
        <w:t xml:space="preserve"> Commission</w:t>
      </w:r>
      <w:r>
        <w:rPr>
          <w:rFonts w:cs="Arial"/>
          <w:bCs/>
          <w:color w:val="000000"/>
        </w:rPr>
        <w:t xml:space="preserve"> </w:t>
      </w:r>
      <w:r w:rsidRPr="00F916CB">
        <w:rPr>
          <w:szCs w:val="24"/>
        </w:rPr>
        <w:t>(the “Commission”)</w:t>
      </w:r>
      <w:r w:rsidRPr="00B61B4F">
        <w:rPr>
          <w:rFonts w:cs="Arial"/>
          <w:bCs/>
          <w:color w:val="000000"/>
        </w:rPr>
        <w:t xml:space="preserve"> de</w:t>
      </w:r>
      <w:r>
        <w:rPr>
          <w:rFonts w:cs="Arial"/>
          <w:bCs/>
          <w:color w:val="000000"/>
        </w:rPr>
        <w:t xml:space="preserve">cides to </w:t>
      </w:r>
      <w:r w:rsidRPr="00B61B4F">
        <w:rPr>
          <w:rFonts w:cs="Arial"/>
          <w:bCs/>
          <w:color w:val="000000"/>
        </w:rPr>
        <w:t>retain the Peak Credit classification approach, I strongly recommend that the demand allocator be modified to mor</w:t>
      </w:r>
      <w:r>
        <w:rPr>
          <w:rFonts w:cs="Arial"/>
          <w:bCs/>
          <w:color w:val="000000"/>
        </w:rPr>
        <w:t>e</w:t>
      </w:r>
      <w:r w:rsidRPr="00B61B4F">
        <w:rPr>
          <w:rFonts w:cs="Arial"/>
          <w:bCs/>
          <w:color w:val="000000"/>
        </w:rPr>
        <w:t xml:space="preserve"> accurately address capacity cost causa</w:t>
      </w:r>
      <w:r>
        <w:rPr>
          <w:rFonts w:cs="Arial"/>
          <w:bCs/>
          <w:color w:val="000000"/>
        </w:rPr>
        <w:t>tion</w:t>
      </w:r>
      <w:r w:rsidRPr="00B61B4F">
        <w:rPr>
          <w:rFonts w:cs="Arial"/>
          <w:bCs/>
          <w:color w:val="000000"/>
        </w:rPr>
        <w:t>.</w:t>
      </w:r>
    </w:p>
    <w:p w:rsidR="00DA3E89" w:rsidRPr="00EB7AC3" w:rsidRDefault="00DA3E89" w:rsidP="00EA4D30">
      <w:pPr>
        <w:suppressLineNumbers/>
        <w:spacing w:after="0"/>
        <w:jc w:val="both"/>
        <w:outlineLvl w:val="1"/>
        <w:rPr>
          <w:rFonts w:cs="Arial"/>
          <w:bCs/>
          <w:color w:val="000000"/>
        </w:rPr>
      </w:pPr>
      <w:r>
        <w:rPr>
          <w:rFonts w:cs="Arial"/>
          <w:bCs/>
          <w:color w:val="000000"/>
        </w:rPr>
        <w:t xml:space="preserve"> </w:t>
      </w:r>
    </w:p>
    <w:p w:rsidR="00DA3E89" w:rsidRDefault="00DA3E89" w:rsidP="00EA4D30">
      <w:pPr>
        <w:numPr>
          <w:ilvl w:val="0"/>
          <w:numId w:val="8"/>
        </w:numPr>
        <w:spacing w:after="0"/>
        <w:ind w:left="1080"/>
        <w:jc w:val="both"/>
        <w:outlineLvl w:val="1"/>
        <w:rPr>
          <w:rFonts w:cs="Arial"/>
          <w:bCs/>
          <w:color w:val="000000"/>
        </w:rPr>
      </w:pPr>
      <w:r>
        <w:rPr>
          <w:rFonts w:cs="Arial"/>
          <w:bCs/>
          <w:color w:val="000000"/>
        </w:rPr>
        <w:t xml:space="preserve">Whether or not the Peak Credit is retained, I recommend use of the 4 Coincident Peaks (“CP”) as a better </w:t>
      </w:r>
      <w:r w:rsidRPr="00726FEE">
        <w:rPr>
          <w:rFonts w:cs="Arial"/>
          <w:bCs/>
          <w:color w:val="000000"/>
        </w:rPr>
        <w:t>measure of the demand component</w:t>
      </w:r>
      <w:r>
        <w:rPr>
          <w:rFonts w:cs="Arial"/>
          <w:bCs/>
          <w:color w:val="000000"/>
        </w:rPr>
        <w:t xml:space="preserve"> for allocating production costs</w:t>
      </w:r>
      <w:r w:rsidRPr="00726FEE">
        <w:rPr>
          <w:rFonts w:cs="Arial"/>
          <w:bCs/>
          <w:color w:val="000000"/>
        </w:rPr>
        <w:t xml:space="preserve"> than Avista’s proposed 12 CP </w:t>
      </w:r>
      <w:r w:rsidR="007017FB" w:rsidRPr="00726FEE">
        <w:rPr>
          <w:rFonts w:cs="Arial"/>
          <w:bCs/>
          <w:color w:val="000000"/>
        </w:rPr>
        <w:t>me</w:t>
      </w:r>
      <w:r w:rsidR="007017FB">
        <w:rPr>
          <w:rFonts w:cs="Arial"/>
          <w:bCs/>
          <w:color w:val="000000"/>
        </w:rPr>
        <w:t>asure</w:t>
      </w:r>
      <w:r w:rsidRPr="00726FEE">
        <w:rPr>
          <w:rFonts w:cs="Arial"/>
          <w:bCs/>
          <w:color w:val="000000"/>
        </w:rPr>
        <w:t>, since Avista’s load exhibits significant peaks.  T</w:t>
      </w:r>
      <w:r>
        <w:rPr>
          <w:rFonts w:cs="Arial"/>
          <w:bCs/>
          <w:color w:val="000000"/>
        </w:rPr>
        <w:t>his allocator is also more strongly supported in the National Association of Regulatory Utility Commissioners (“NARUC”) Electric Utility Cost Allocation Manual (“NARUC Manual”).</w:t>
      </w:r>
      <w:bookmarkEnd w:id="7"/>
      <w:r>
        <w:rPr>
          <w:rFonts w:cs="Arial"/>
          <w:bCs/>
          <w:color w:val="000000"/>
        </w:rPr>
        <w:t xml:space="preserve">  </w:t>
      </w:r>
    </w:p>
    <w:p w:rsidR="00DA3E89" w:rsidRDefault="00DA3E89" w:rsidP="00EA4D30">
      <w:pPr>
        <w:suppressLineNumbers/>
        <w:spacing w:after="0"/>
        <w:jc w:val="both"/>
        <w:outlineLvl w:val="1"/>
        <w:rPr>
          <w:rFonts w:cs="Arial"/>
          <w:bCs/>
          <w:color w:val="000000"/>
        </w:rPr>
      </w:pPr>
    </w:p>
    <w:p w:rsidR="00DA3E89" w:rsidRDefault="00DA3E89" w:rsidP="00EA4D30">
      <w:pPr>
        <w:numPr>
          <w:ilvl w:val="0"/>
          <w:numId w:val="8"/>
        </w:numPr>
        <w:spacing w:after="0"/>
        <w:ind w:left="1080"/>
        <w:jc w:val="both"/>
        <w:outlineLvl w:val="1"/>
        <w:rPr>
          <w:rFonts w:cs="Arial"/>
          <w:bCs/>
          <w:color w:val="000000"/>
        </w:rPr>
      </w:pPr>
      <w:bookmarkStart w:id="8" w:name="_Toc392680472"/>
      <w:r>
        <w:rPr>
          <w:rFonts w:cs="Arial"/>
          <w:bCs/>
          <w:color w:val="000000"/>
        </w:rPr>
        <w:t>With respect to transmission system costs, I recommend use of the 12 CP demand allocation method rather than the Peak Credit</w:t>
      </w:r>
      <w:r w:rsidR="003C702C">
        <w:rPr>
          <w:rFonts w:cs="Arial"/>
          <w:bCs/>
          <w:color w:val="000000"/>
        </w:rPr>
        <w:t xml:space="preserve"> method</w:t>
      </w:r>
      <w:r>
        <w:rPr>
          <w:rFonts w:cs="Arial"/>
          <w:bCs/>
          <w:color w:val="000000"/>
        </w:rPr>
        <w:t>.  12 CP is a better measure of cost</w:t>
      </w:r>
      <w:r w:rsidR="003C702C">
        <w:rPr>
          <w:rFonts w:cs="Arial"/>
          <w:bCs/>
          <w:color w:val="000000"/>
        </w:rPr>
        <w:t xml:space="preserve"> </w:t>
      </w:r>
      <w:r>
        <w:rPr>
          <w:rFonts w:cs="Arial"/>
          <w:bCs/>
          <w:color w:val="000000"/>
        </w:rPr>
        <w:t>causation and is more consistent with industry norms.</w:t>
      </w:r>
      <w:bookmarkEnd w:id="8"/>
      <w:r>
        <w:rPr>
          <w:rFonts w:cs="Arial"/>
          <w:bCs/>
          <w:color w:val="000000"/>
        </w:rPr>
        <w:t xml:space="preserve">    </w:t>
      </w:r>
    </w:p>
    <w:p w:rsidR="00DA3E89" w:rsidRDefault="00DA3E89" w:rsidP="00EA4D30">
      <w:pPr>
        <w:suppressLineNumbers/>
        <w:spacing w:after="0"/>
        <w:jc w:val="both"/>
        <w:outlineLvl w:val="1"/>
        <w:rPr>
          <w:rFonts w:cs="Arial"/>
          <w:bCs/>
          <w:color w:val="000000"/>
        </w:rPr>
      </w:pPr>
    </w:p>
    <w:p w:rsidR="00DA3E89" w:rsidRDefault="00DA3E89" w:rsidP="00EA4D30">
      <w:pPr>
        <w:numPr>
          <w:ilvl w:val="0"/>
          <w:numId w:val="8"/>
        </w:numPr>
        <w:spacing w:after="0"/>
        <w:ind w:left="1080"/>
        <w:jc w:val="both"/>
        <w:outlineLvl w:val="1"/>
        <w:rPr>
          <w:rFonts w:cs="Arial"/>
          <w:bCs/>
          <w:color w:val="000000"/>
        </w:rPr>
      </w:pPr>
      <w:bookmarkStart w:id="9" w:name="_Toc392680473"/>
      <w:r>
        <w:rPr>
          <w:rFonts w:cs="Arial"/>
          <w:bCs/>
          <w:color w:val="000000"/>
        </w:rPr>
        <w:t>Adjustment on these two allocation issues reveals significant class cost differences from the results of the Avista cost study.  The differences are summarized and shown for each class rate schedule herein.</w:t>
      </w:r>
      <w:bookmarkEnd w:id="9"/>
      <w:r>
        <w:rPr>
          <w:rFonts w:cs="Arial"/>
          <w:bCs/>
          <w:color w:val="000000"/>
        </w:rPr>
        <w:t xml:space="preserve"> </w:t>
      </w:r>
    </w:p>
    <w:p w:rsidR="00DA3E89" w:rsidRDefault="00DA3E89" w:rsidP="00EA4D30">
      <w:pPr>
        <w:suppressLineNumbers/>
        <w:spacing w:after="0"/>
        <w:jc w:val="both"/>
        <w:outlineLvl w:val="1"/>
        <w:rPr>
          <w:rFonts w:cs="Arial"/>
          <w:bCs/>
          <w:color w:val="000000"/>
        </w:rPr>
      </w:pPr>
    </w:p>
    <w:p w:rsidR="00DA3E89" w:rsidRDefault="006D0409" w:rsidP="00EA4D30">
      <w:pPr>
        <w:numPr>
          <w:ilvl w:val="0"/>
          <w:numId w:val="8"/>
        </w:numPr>
        <w:spacing w:after="0"/>
        <w:ind w:left="1080"/>
        <w:jc w:val="both"/>
        <w:outlineLvl w:val="1"/>
        <w:rPr>
          <w:rFonts w:cs="Arial"/>
          <w:bCs/>
          <w:color w:val="000000"/>
        </w:rPr>
      </w:pPr>
      <w:r>
        <w:rPr>
          <w:rFonts w:cs="Arial"/>
          <w:bCs/>
          <w:color w:val="000000"/>
        </w:rPr>
        <w:t>Regarding rate spread</w:t>
      </w:r>
      <w:r w:rsidR="001851BB">
        <w:rPr>
          <w:rFonts w:cs="Arial"/>
          <w:bCs/>
          <w:color w:val="000000"/>
        </w:rPr>
        <w:t xml:space="preserve">, I </w:t>
      </w:r>
      <w:r w:rsidR="00DA3E89">
        <w:rPr>
          <w:rFonts w:cs="Arial"/>
          <w:bCs/>
          <w:color w:val="000000"/>
        </w:rPr>
        <w:t>support Avista’s proposed uniform percentage increase</w:t>
      </w:r>
      <w:r w:rsidR="00691F72">
        <w:rPr>
          <w:rFonts w:cs="Arial"/>
          <w:bCs/>
          <w:color w:val="000000"/>
        </w:rPr>
        <w:t>,</w:t>
      </w:r>
      <w:r w:rsidR="00DA3E89">
        <w:rPr>
          <w:rFonts w:cs="Arial"/>
          <w:bCs/>
          <w:color w:val="000000"/>
        </w:rPr>
        <w:t xml:space="preserve"> </w:t>
      </w:r>
      <w:r w:rsidR="001851BB">
        <w:rPr>
          <w:rFonts w:cs="Arial"/>
          <w:bCs/>
          <w:color w:val="000000"/>
        </w:rPr>
        <w:t>if Avista’s full revenue requirement is approved</w:t>
      </w:r>
      <w:r w:rsidR="00DA3E89">
        <w:rPr>
          <w:rFonts w:cs="Arial"/>
          <w:bCs/>
          <w:color w:val="000000"/>
        </w:rPr>
        <w:t>.</w:t>
      </w:r>
      <w:r w:rsidR="001851BB">
        <w:rPr>
          <w:rFonts w:cs="Arial"/>
          <w:bCs/>
          <w:color w:val="000000"/>
        </w:rPr>
        <w:t xml:space="preserve">  </w:t>
      </w:r>
      <w:r w:rsidR="00691F72">
        <w:rPr>
          <w:rFonts w:cs="Arial"/>
          <w:bCs/>
          <w:color w:val="000000"/>
        </w:rPr>
        <w:t xml:space="preserve">If Avista does not receive </w:t>
      </w:r>
      <w:r w:rsidR="00F27436">
        <w:rPr>
          <w:rFonts w:cs="Arial"/>
          <w:bCs/>
          <w:color w:val="000000"/>
        </w:rPr>
        <w:t>its request</w:t>
      </w:r>
      <w:r w:rsidR="007017FB">
        <w:rPr>
          <w:rFonts w:cs="Arial"/>
          <w:bCs/>
          <w:color w:val="000000"/>
        </w:rPr>
        <w:t>ed</w:t>
      </w:r>
      <w:r w:rsidR="00F27436">
        <w:rPr>
          <w:rFonts w:cs="Arial"/>
          <w:bCs/>
          <w:color w:val="000000"/>
        </w:rPr>
        <w:t xml:space="preserve"> revenue requirement, then the reduction should flow to the rate schedule</w:t>
      </w:r>
      <w:r w:rsidR="007017FB">
        <w:rPr>
          <w:rFonts w:cs="Arial"/>
          <w:bCs/>
          <w:color w:val="000000"/>
        </w:rPr>
        <w:t xml:space="preserve">s other than Schedule 1, since it is currently paying revenues well below </w:t>
      </w:r>
      <w:r w:rsidR="005B400A">
        <w:rPr>
          <w:rFonts w:cs="Arial"/>
          <w:bCs/>
          <w:color w:val="000000"/>
        </w:rPr>
        <w:t xml:space="preserve">its </w:t>
      </w:r>
      <w:r w:rsidR="007017FB">
        <w:rPr>
          <w:rFonts w:cs="Arial"/>
          <w:bCs/>
          <w:color w:val="000000"/>
        </w:rPr>
        <w:t>cost of service</w:t>
      </w:r>
      <w:r w:rsidR="00F27436">
        <w:rPr>
          <w:rFonts w:cs="Arial"/>
          <w:bCs/>
          <w:color w:val="000000"/>
        </w:rPr>
        <w:t>.</w:t>
      </w:r>
    </w:p>
    <w:p w:rsidR="00DA3E89" w:rsidRDefault="00DA3E89" w:rsidP="00EA4D30">
      <w:pPr>
        <w:suppressLineNumbers/>
        <w:spacing w:after="0"/>
        <w:ind w:left="1080"/>
        <w:jc w:val="both"/>
        <w:outlineLvl w:val="1"/>
        <w:rPr>
          <w:rFonts w:cs="Arial"/>
          <w:bCs/>
          <w:color w:val="000000"/>
        </w:rPr>
      </w:pPr>
    </w:p>
    <w:p w:rsidR="00DA3E89" w:rsidRPr="006A7A8D" w:rsidRDefault="00DA3E89" w:rsidP="00EA4D30">
      <w:pPr>
        <w:numPr>
          <w:ilvl w:val="0"/>
          <w:numId w:val="8"/>
        </w:numPr>
        <w:spacing w:after="0"/>
        <w:ind w:left="1080"/>
        <w:jc w:val="both"/>
        <w:outlineLvl w:val="1"/>
        <w:rPr>
          <w:rFonts w:cs="Arial"/>
          <w:bCs/>
          <w:color w:val="000000"/>
        </w:rPr>
      </w:pPr>
      <w:r>
        <w:rPr>
          <w:rFonts w:cs="Arial"/>
          <w:bCs/>
          <w:color w:val="000000"/>
        </w:rPr>
        <w:t>I do not support Avista’s proposal for revenue decoupling</w:t>
      </w:r>
      <w:r w:rsidR="000830B5">
        <w:rPr>
          <w:rFonts w:cs="Arial"/>
          <w:bCs/>
          <w:color w:val="000000"/>
        </w:rPr>
        <w:t xml:space="preserve"> for </w:t>
      </w:r>
      <w:r>
        <w:rPr>
          <w:rFonts w:cs="Arial"/>
          <w:bCs/>
          <w:color w:val="000000"/>
        </w:rPr>
        <w:t>Schedule 25.  Nevertheless, if the Commission adopts some form of adjustment, a better approach to provide revenue stabilization would be through increasing the demand charges, offset by decreased energy charges.</w:t>
      </w:r>
    </w:p>
    <w:p w:rsidR="00DA3E89" w:rsidRDefault="00DA3E89" w:rsidP="00DA3E89">
      <w:pPr>
        <w:suppressLineNumbers/>
        <w:outlineLvl w:val="1"/>
        <w:rPr>
          <w:rFonts w:cs="Arial"/>
          <w:bCs/>
          <w:color w:val="000000"/>
        </w:rPr>
      </w:pPr>
    </w:p>
    <w:p w:rsidR="00DA3E89" w:rsidRPr="00B84543" w:rsidRDefault="00DA3E89" w:rsidP="00DA3E89">
      <w:pPr>
        <w:pStyle w:val="Heading1"/>
        <w:keepLines w:val="0"/>
        <w:jc w:val="center"/>
        <w:rPr>
          <w:u w:val="none"/>
        </w:rPr>
      </w:pPr>
      <w:bookmarkStart w:id="10" w:name="_Toc392680475"/>
      <w:bookmarkStart w:id="11" w:name="_Toc392941502"/>
      <w:r>
        <w:rPr>
          <w:u w:val="none"/>
        </w:rPr>
        <w:lastRenderedPageBreak/>
        <w:t>II</w:t>
      </w:r>
      <w:proofErr w:type="gramStart"/>
      <w:r>
        <w:rPr>
          <w:u w:val="none"/>
        </w:rPr>
        <w:t xml:space="preserve">.  </w:t>
      </w:r>
      <w:r w:rsidRPr="00B84543">
        <w:rPr>
          <w:u w:val="none"/>
        </w:rPr>
        <w:t>ELECTRIC</w:t>
      </w:r>
      <w:proofErr w:type="gramEnd"/>
      <w:r w:rsidRPr="00B84543">
        <w:rPr>
          <w:u w:val="none"/>
        </w:rPr>
        <w:t xml:space="preserve"> COST OF SERVICE</w:t>
      </w:r>
      <w:bookmarkEnd w:id="10"/>
      <w:r w:rsidRPr="00B84543">
        <w:rPr>
          <w:u w:val="none"/>
        </w:rPr>
        <w:t xml:space="preserve"> STUDY</w:t>
      </w:r>
      <w:bookmarkEnd w:id="11"/>
    </w:p>
    <w:p w:rsidR="00DA3E89" w:rsidRPr="000908C2" w:rsidRDefault="00DA3E89" w:rsidP="00DA3E89">
      <w:pPr>
        <w:pStyle w:val="Heading2"/>
        <w:keepNext/>
        <w:spacing w:before="0"/>
        <w:rPr>
          <w:rFonts w:ascii="Times New Roman" w:hAnsi="Times New Roman"/>
          <w:szCs w:val="24"/>
        </w:rPr>
      </w:pPr>
      <w:bookmarkStart w:id="12" w:name="_Toc392680476"/>
      <w:bookmarkStart w:id="13" w:name="_Toc392941503"/>
      <w:r w:rsidRPr="000908C2">
        <w:rPr>
          <w:rFonts w:ascii="Times New Roman" w:hAnsi="Times New Roman"/>
          <w:szCs w:val="24"/>
        </w:rPr>
        <w:t>Overview</w:t>
      </w:r>
      <w:bookmarkEnd w:id="12"/>
      <w:bookmarkEnd w:id="13"/>
    </w:p>
    <w:p w:rsidR="00DA3E89" w:rsidRPr="008D4F16" w:rsidRDefault="00DA3E89" w:rsidP="00EA4D30">
      <w:pPr>
        <w:keepNext/>
        <w:ind w:left="720" w:hanging="720"/>
        <w:jc w:val="both"/>
        <w:rPr>
          <w:rFonts w:eastAsia="Times New Roman"/>
          <w:b/>
          <w:szCs w:val="24"/>
        </w:rPr>
      </w:pPr>
      <w:r w:rsidRPr="008D4F16">
        <w:rPr>
          <w:rFonts w:eastAsia="Times New Roman"/>
          <w:b/>
          <w:szCs w:val="24"/>
        </w:rPr>
        <w:t>Q</w:t>
      </w:r>
      <w:r>
        <w:rPr>
          <w:rFonts w:eastAsia="Times New Roman"/>
          <w:b/>
          <w:szCs w:val="24"/>
        </w:rPr>
        <w:t>.</w:t>
      </w:r>
      <w:r w:rsidRPr="008D4F16">
        <w:rPr>
          <w:rFonts w:eastAsia="Times New Roman"/>
          <w:b/>
          <w:szCs w:val="24"/>
        </w:rPr>
        <w:tab/>
        <w:t>PLEASE EXPLAIN THE BASIC STEPS FOR ESTABLISHMENT OF FAIR AND REASONABLE RATES?</w:t>
      </w:r>
    </w:p>
    <w:p w:rsidR="00DA3E89" w:rsidRDefault="00DA3E89" w:rsidP="00EA4D30">
      <w:pPr>
        <w:keepNext/>
        <w:spacing w:after="0" w:line="480" w:lineRule="auto"/>
        <w:ind w:left="720" w:hanging="720"/>
        <w:jc w:val="both"/>
        <w:rPr>
          <w:rFonts w:cs="Arial"/>
          <w:szCs w:val="27"/>
        </w:rPr>
      </w:pPr>
      <w:r w:rsidRPr="008D4F16">
        <w:rPr>
          <w:rFonts w:cs="Arial"/>
          <w:b/>
          <w:szCs w:val="27"/>
        </w:rPr>
        <w:t>A.</w:t>
      </w:r>
      <w:r>
        <w:rPr>
          <w:rFonts w:cs="Arial"/>
          <w:szCs w:val="27"/>
        </w:rPr>
        <w:tab/>
        <w:t>The ratemaking process has three steps.  First, we must determine the utility’s total revenue requirement and whether an increase or decrease in revenues is necessary.  Second, we must determine how the revenues are to be distributed among the various customer classes or schedules.  A determination of how many dollars of revenue should be produced by each class is essential to obtaining the appropriate level of rates.  This is called “revenue allocation” or “rate spread.”  Finally, individual tariffs must be designed to produce the required amount of revenues from each class of service and to send efficient price signals to customers.</w:t>
      </w:r>
    </w:p>
    <w:p w:rsidR="00DA3E89" w:rsidRDefault="00DA3E89" w:rsidP="00EA4D30">
      <w:pPr>
        <w:autoSpaceDE w:val="0"/>
        <w:autoSpaceDN w:val="0"/>
        <w:adjustRightInd w:val="0"/>
        <w:spacing w:after="0" w:line="480" w:lineRule="auto"/>
        <w:ind w:left="720" w:hanging="720"/>
        <w:jc w:val="both"/>
        <w:rPr>
          <w:rFonts w:cs="Arial"/>
          <w:szCs w:val="27"/>
        </w:rPr>
      </w:pPr>
      <w:r>
        <w:rPr>
          <w:rFonts w:cs="Arial"/>
          <w:szCs w:val="27"/>
        </w:rPr>
        <w:tab/>
      </w:r>
      <w:r>
        <w:rPr>
          <w:rFonts w:cs="Arial"/>
          <w:szCs w:val="27"/>
        </w:rPr>
        <w:tab/>
        <w:t>The guiding principle at each step should be cost of service.  In the first step – determining revenue requirements – it is widely agreed that the utility is entitled to a revenue increase only to the extent that its actual overall cost of service has increased.  If current rate levels exceed the revenue requirement, a rate reduction is required.  In short, rate revenues should equal a utility’s actual cost of service.  The same principle should apply in the last two steps.  Each customer class should, to the extent practicable, produce revenues equal to the cost of serving that particular class.  On some occasions, this may require a rate increase for some customer classes and a rate decrease for others.  The standard tool for determining whether a class requires a rate increase or decrease is an embedded class cost of service (“ECOS”) study, which shows the rate of return for each class of service.  Ideally, rate levels should be modified so that each customer class provides approximately the same rate of return.</w:t>
      </w:r>
    </w:p>
    <w:p w:rsidR="00DA3E89" w:rsidRDefault="00DA3E89" w:rsidP="00EA4D30">
      <w:pPr>
        <w:autoSpaceDE w:val="0"/>
        <w:autoSpaceDN w:val="0"/>
        <w:adjustRightInd w:val="0"/>
        <w:spacing w:after="0" w:line="480" w:lineRule="auto"/>
        <w:ind w:left="720" w:firstLine="720"/>
        <w:jc w:val="both"/>
        <w:rPr>
          <w:rFonts w:cs="Arial"/>
          <w:szCs w:val="27"/>
        </w:rPr>
      </w:pPr>
      <w:r>
        <w:rPr>
          <w:rFonts w:cs="Arial"/>
          <w:szCs w:val="27"/>
        </w:rPr>
        <w:lastRenderedPageBreak/>
        <w:t>Finally, in designing individual tariffs, the goal is to base the rate design on the cost of service</w:t>
      </w:r>
      <w:r w:rsidR="00A42441">
        <w:rPr>
          <w:rFonts w:cs="Arial"/>
          <w:szCs w:val="27"/>
        </w:rPr>
        <w:t>,</w:t>
      </w:r>
      <w:r>
        <w:rPr>
          <w:rFonts w:cs="Arial"/>
          <w:szCs w:val="27"/>
        </w:rPr>
        <w:t xml:space="preserve"> so that each customer’s rate tracks, to the extent practicable, the utility’s cost of providing that service to the customers on the tariff.  </w:t>
      </w:r>
    </w:p>
    <w:p w:rsidR="00DA3E89" w:rsidRPr="00986094" w:rsidRDefault="00DA3E89" w:rsidP="00EA4D30">
      <w:pPr>
        <w:ind w:left="720" w:hanging="720"/>
        <w:jc w:val="both"/>
        <w:rPr>
          <w:rFonts w:eastAsia="Times New Roman"/>
          <w:b/>
          <w:szCs w:val="24"/>
        </w:rPr>
      </w:pPr>
      <w:r w:rsidRPr="00986094">
        <w:rPr>
          <w:rFonts w:eastAsia="Times New Roman"/>
          <w:b/>
          <w:szCs w:val="24"/>
        </w:rPr>
        <w:t>Q.</w:t>
      </w:r>
      <w:r w:rsidRPr="00986094">
        <w:rPr>
          <w:rFonts w:eastAsia="Times New Roman"/>
          <w:b/>
          <w:szCs w:val="24"/>
        </w:rPr>
        <w:tab/>
        <w:t>HOW ARE LARGE INDUSTRIAL CUSTOMERS AFFECTED BY THE PRICE OF ENERGY?</w:t>
      </w:r>
    </w:p>
    <w:p w:rsidR="00DA3E89" w:rsidRDefault="00DA3E89" w:rsidP="00EA4D30">
      <w:pPr>
        <w:autoSpaceDE w:val="0"/>
        <w:autoSpaceDN w:val="0"/>
        <w:adjustRightInd w:val="0"/>
        <w:spacing w:after="0" w:line="480" w:lineRule="auto"/>
        <w:ind w:left="720" w:hanging="720"/>
        <w:jc w:val="both"/>
        <w:rPr>
          <w:rFonts w:cs="Arial"/>
          <w:szCs w:val="27"/>
        </w:rPr>
      </w:pPr>
      <w:r w:rsidRPr="0050133F">
        <w:rPr>
          <w:rFonts w:cs="Arial"/>
          <w:b/>
          <w:szCs w:val="27"/>
        </w:rPr>
        <w:t>A</w:t>
      </w:r>
      <w:r>
        <w:rPr>
          <w:rFonts w:cs="Arial"/>
          <w:szCs w:val="27"/>
        </w:rPr>
        <w:t>.</w:t>
      </w:r>
      <w:r>
        <w:rPr>
          <w:rFonts w:cs="Arial"/>
          <w:szCs w:val="27"/>
        </w:rPr>
        <w:tab/>
        <w:t>For many industrial customers, energy is a primary component of their costs.  For some, it may be the most critical component.  As such, rate stability and overall cost of electricity prices are vital to the economic health of large commercial and industrial customers in Washington – and to the economic health of Washington itself, as Washington industries compete in national and world markets.  Furthermore, any cost of service study or rate design that misallocates costs to large customers will also result in unjust and unreasonable rates.</w:t>
      </w:r>
    </w:p>
    <w:p w:rsidR="00DA3E89" w:rsidRPr="00986094" w:rsidRDefault="00DA3E89" w:rsidP="00EA4D30">
      <w:pPr>
        <w:ind w:left="720" w:hanging="720"/>
        <w:jc w:val="both"/>
        <w:rPr>
          <w:rFonts w:eastAsia="Times New Roman"/>
          <w:b/>
          <w:szCs w:val="24"/>
        </w:rPr>
      </w:pPr>
      <w:r w:rsidRPr="00986094">
        <w:rPr>
          <w:rFonts w:eastAsia="Times New Roman"/>
          <w:b/>
          <w:szCs w:val="24"/>
        </w:rPr>
        <w:t>Q</w:t>
      </w:r>
      <w:r>
        <w:rPr>
          <w:rFonts w:eastAsia="Times New Roman"/>
          <w:b/>
          <w:szCs w:val="24"/>
        </w:rPr>
        <w:t>.</w:t>
      </w:r>
      <w:r w:rsidRPr="00986094">
        <w:rPr>
          <w:rFonts w:eastAsia="Times New Roman"/>
          <w:b/>
          <w:szCs w:val="24"/>
        </w:rPr>
        <w:tab/>
        <w:t>WHAT IS THE BASIC PURPOSE OF A</w:t>
      </w:r>
      <w:r>
        <w:rPr>
          <w:rFonts w:eastAsia="Times New Roman"/>
          <w:b/>
          <w:szCs w:val="24"/>
        </w:rPr>
        <w:t xml:space="preserve">N </w:t>
      </w:r>
      <w:r w:rsidRPr="00986094">
        <w:rPr>
          <w:rFonts w:eastAsia="Times New Roman"/>
          <w:b/>
          <w:szCs w:val="24"/>
        </w:rPr>
        <w:t>ECOS STUDY?</w:t>
      </w:r>
    </w:p>
    <w:p w:rsidR="00DA3E89" w:rsidRDefault="00DA3E89" w:rsidP="00EA4D30">
      <w:pPr>
        <w:autoSpaceDE w:val="0"/>
        <w:autoSpaceDN w:val="0"/>
        <w:adjustRightInd w:val="0"/>
        <w:spacing w:after="0" w:line="480" w:lineRule="auto"/>
        <w:ind w:left="720" w:hanging="720"/>
        <w:jc w:val="both"/>
        <w:rPr>
          <w:rFonts w:cs="Arial"/>
          <w:szCs w:val="27"/>
        </w:rPr>
      </w:pPr>
      <w:r w:rsidRPr="00986094">
        <w:rPr>
          <w:rFonts w:cs="Arial"/>
          <w:b/>
          <w:szCs w:val="27"/>
        </w:rPr>
        <w:t>A</w:t>
      </w:r>
      <w:r>
        <w:rPr>
          <w:rFonts w:cs="Arial"/>
          <w:b/>
          <w:szCs w:val="27"/>
        </w:rPr>
        <w:t>.</w:t>
      </w:r>
      <w:r>
        <w:rPr>
          <w:rFonts w:cs="Arial"/>
          <w:szCs w:val="27"/>
        </w:rPr>
        <w:tab/>
        <w:t xml:space="preserve">The basic purpose of an ECOS study is an empirical determination of the cost of serving classes of customers. </w:t>
      </w:r>
    </w:p>
    <w:p w:rsidR="00DA3E89" w:rsidRDefault="00DA3E89" w:rsidP="00EA4D30">
      <w:pPr>
        <w:autoSpaceDE w:val="0"/>
        <w:autoSpaceDN w:val="0"/>
        <w:adjustRightInd w:val="0"/>
        <w:spacing w:after="0" w:line="480" w:lineRule="auto"/>
        <w:ind w:left="720" w:firstLine="720"/>
        <w:jc w:val="both"/>
        <w:rPr>
          <w:rFonts w:cs="Arial"/>
          <w:szCs w:val="27"/>
        </w:rPr>
      </w:pPr>
      <w:r>
        <w:rPr>
          <w:rFonts w:cs="Arial"/>
          <w:szCs w:val="27"/>
        </w:rPr>
        <w:t xml:space="preserve">After determining the overall cost of service or revenue requirement, an ECOS study is used to ascertain the cost of service among customer classes (i.e., a cost of service study shows how each customer class contributes to the total system cost).  For example, when a class produces the same rate of return as the total system, it is returning to the utility revenues sufficient to cover the costs incurred in serving it (including a reasonable authorized return on investment).  If a class produces a below-average rate of return, it may be concluded that the revenues are insufficient to cover all relevant costs.  On the other hand, if a class produces a rate of return above the average, it is paying revenues sufficient to cover the cost attributable to it and, in </w:t>
      </w:r>
      <w:r>
        <w:rPr>
          <w:rFonts w:cs="Arial"/>
          <w:szCs w:val="27"/>
        </w:rPr>
        <w:lastRenderedPageBreak/>
        <w:t>addition, is paying part of the cost attributable to other classes who produce a below average rate of return.  The ECOS study is important because it shows the class revenue requirement as well as the rate of return under current and any proposed rates.</w:t>
      </w:r>
    </w:p>
    <w:p w:rsidR="00DA3E89" w:rsidRDefault="00DA3E89" w:rsidP="00EA4D30">
      <w:pPr>
        <w:autoSpaceDE w:val="0"/>
        <w:autoSpaceDN w:val="0"/>
        <w:adjustRightInd w:val="0"/>
        <w:spacing w:after="0" w:line="480" w:lineRule="auto"/>
        <w:ind w:left="720" w:firstLine="720"/>
        <w:jc w:val="both"/>
        <w:rPr>
          <w:rFonts w:cs="Arial"/>
          <w:szCs w:val="27"/>
        </w:rPr>
      </w:pPr>
      <w:r>
        <w:rPr>
          <w:rFonts w:cs="Arial"/>
          <w:szCs w:val="27"/>
        </w:rPr>
        <w:t>As a measurement or estimation tool, the ECOS study is not the step in which other factors, such as rate moderation or continuity, should be considered or allowed to influence the results.  Those types of considerations are taken up in the revenue allocation and rate design steps.</w:t>
      </w:r>
    </w:p>
    <w:p w:rsidR="00DA3E89" w:rsidRPr="00986094" w:rsidRDefault="00DA3E89" w:rsidP="00EA4D30">
      <w:pPr>
        <w:ind w:left="720" w:hanging="720"/>
        <w:jc w:val="both"/>
        <w:rPr>
          <w:rFonts w:eastAsia="Times New Roman"/>
          <w:b/>
          <w:szCs w:val="24"/>
        </w:rPr>
      </w:pPr>
      <w:r w:rsidRPr="00986094">
        <w:rPr>
          <w:rFonts w:eastAsia="Times New Roman"/>
          <w:b/>
          <w:szCs w:val="24"/>
        </w:rPr>
        <w:t>Q</w:t>
      </w:r>
      <w:r>
        <w:rPr>
          <w:rFonts w:eastAsia="Times New Roman"/>
          <w:b/>
          <w:szCs w:val="24"/>
        </w:rPr>
        <w:t>.</w:t>
      </w:r>
      <w:r w:rsidRPr="00986094">
        <w:rPr>
          <w:rFonts w:eastAsia="Times New Roman"/>
          <w:b/>
          <w:szCs w:val="24"/>
        </w:rPr>
        <w:tab/>
        <w:t>PLEASE COMMENT ON THE PROPER FUNDAMENTALS OF A</w:t>
      </w:r>
      <w:r>
        <w:rPr>
          <w:rFonts w:eastAsia="Times New Roman"/>
          <w:b/>
          <w:szCs w:val="24"/>
        </w:rPr>
        <w:t>N</w:t>
      </w:r>
      <w:r w:rsidRPr="00986094">
        <w:rPr>
          <w:rFonts w:eastAsia="Times New Roman"/>
          <w:b/>
          <w:szCs w:val="24"/>
        </w:rPr>
        <w:t xml:space="preserve"> </w:t>
      </w:r>
      <w:r>
        <w:rPr>
          <w:rFonts w:eastAsia="Times New Roman"/>
          <w:b/>
          <w:szCs w:val="24"/>
        </w:rPr>
        <w:t>ECOS</w:t>
      </w:r>
      <w:r w:rsidRPr="00986094">
        <w:rPr>
          <w:rFonts w:eastAsia="Times New Roman"/>
          <w:b/>
          <w:szCs w:val="24"/>
        </w:rPr>
        <w:t xml:space="preserve"> STUDY.</w:t>
      </w:r>
    </w:p>
    <w:p w:rsidR="00DA3E89" w:rsidRDefault="00DA3E89" w:rsidP="00EA4D30">
      <w:pPr>
        <w:autoSpaceDE w:val="0"/>
        <w:autoSpaceDN w:val="0"/>
        <w:adjustRightInd w:val="0"/>
        <w:spacing w:after="0" w:line="480" w:lineRule="auto"/>
        <w:ind w:left="720" w:hanging="720"/>
        <w:jc w:val="both"/>
        <w:rPr>
          <w:rFonts w:cs="Arial"/>
          <w:szCs w:val="27"/>
        </w:rPr>
      </w:pPr>
      <w:r w:rsidRPr="00986094">
        <w:rPr>
          <w:rFonts w:cs="Arial"/>
          <w:b/>
          <w:szCs w:val="27"/>
        </w:rPr>
        <w:t>A</w:t>
      </w:r>
      <w:r>
        <w:rPr>
          <w:rFonts w:cs="Arial"/>
          <w:szCs w:val="27"/>
        </w:rPr>
        <w:t>.</w:t>
      </w:r>
      <w:r>
        <w:rPr>
          <w:rFonts w:cs="Arial"/>
          <w:szCs w:val="27"/>
        </w:rPr>
        <w:tab/>
        <w:t xml:space="preserve">In all ECOS studies, certain fundamental concepts should be recognized.  Of primary importance among these concepts is the functionalization of costs, as well as the classification of the nature of these costs as to whether they vary with the quantity of energy consumed, the demand placed upon the system, or the number of customers being served.  Stated another way, functionalization is the classification and arrangement of costs according to major functions, such as production, transmission, and distribution.  </w:t>
      </w:r>
    </w:p>
    <w:p w:rsidR="00DA3E89" w:rsidRDefault="00DA3E89" w:rsidP="009D0DDE">
      <w:pPr>
        <w:autoSpaceDE w:val="0"/>
        <w:autoSpaceDN w:val="0"/>
        <w:adjustRightInd w:val="0"/>
        <w:spacing w:after="0" w:line="480" w:lineRule="auto"/>
        <w:ind w:left="720" w:hanging="720"/>
        <w:jc w:val="both"/>
        <w:rPr>
          <w:rFonts w:cs="Arial"/>
          <w:szCs w:val="27"/>
        </w:rPr>
      </w:pPr>
      <w:r>
        <w:rPr>
          <w:rFonts w:cs="Arial"/>
          <w:szCs w:val="27"/>
        </w:rPr>
        <w:tab/>
      </w:r>
      <w:r>
        <w:rPr>
          <w:rFonts w:cs="Arial"/>
          <w:szCs w:val="27"/>
        </w:rPr>
        <w:tab/>
        <w:t xml:space="preserve">Fixed costs are those costs which tend to remain constant over the short run irrespective of changes in output and are generally considered to be demand-related.  Fixed costs include those costs which are a function of the size of the investment in utility facilities, and those costs necessary to keep the facilities “on-line.”  Variable costs, on the other hand, are those costs which tend to vary with output and are generally considered to be commodity-related.  Customer-related costs are those which are closely related to the number of customers served, rather than the quantity of energy consumed or the peak demands placed upon the system.  An understanding </w:t>
      </w:r>
      <w:r>
        <w:rPr>
          <w:rFonts w:cs="Arial"/>
          <w:szCs w:val="27"/>
        </w:rPr>
        <w:lastRenderedPageBreak/>
        <w:t>of these concepts is essential to development of ECOS studies, as well as appropriate rate design.</w:t>
      </w:r>
    </w:p>
    <w:p w:rsidR="00DA3E89" w:rsidRPr="007D075A" w:rsidRDefault="00DA3E89" w:rsidP="00DA3E89">
      <w:pPr>
        <w:pStyle w:val="Heading2"/>
        <w:keepNext/>
        <w:keepLines/>
        <w:rPr>
          <w:rFonts w:ascii="Times New Roman" w:hAnsi="Times New Roman"/>
          <w:szCs w:val="24"/>
        </w:rPr>
      </w:pPr>
      <w:bookmarkStart w:id="14" w:name="_Toc392680477"/>
      <w:bookmarkStart w:id="15" w:name="_Toc392941504"/>
      <w:r w:rsidRPr="007D075A">
        <w:rPr>
          <w:rFonts w:ascii="Times New Roman" w:hAnsi="Times New Roman"/>
          <w:szCs w:val="24"/>
        </w:rPr>
        <w:t>Review of Avista’s Cost of Service Study</w:t>
      </w:r>
      <w:bookmarkEnd w:id="14"/>
      <w:bookmarkEnd w:id="15"/>
    </w:p>
    <w:p w:rsidR="00DA3E89" w:rsidRDefault="00DA3E89" w:rsidP="00EA4D30">
      <w:pPr>
        <w:ind w:left="720" w:hanging="720"/>
        <w:jc w:val="both"/>
        <w:rPr>
          <w:rFonts w:eastAsia="Times New Roman"/>
          <w:b/>
          <w:szCs w:val="24"/>
        </w:rPr>
      </w:pPr>
      <w:r w:rsidRPr="00986094">
        <w:rPr>
          <w:rFonts w:eastAsia="Times New Roman"/>
          <w:b/>
          <w:szCs w:val="24"/>
        </w:rPr>
        <w:t>Q.</w:t>
      </w:r>
      <w:r w:rsidRPr="00986094">
        <w:rPr>
          <w:rFonts w:eastAsia="Times New Roman"/>
          <w:b/>
          <w:szCs w:val="24"/>
        </w:rPr>
        <w:tab/>
      </w:r>
      <w:r>
        <w:rPr>
          <w:rFonts w:eastAsia="Times New Roman"/>
          <w:b/>
          <w:szCs w:val="24"/>
        </w:rPr>
        <w:t>HAVE YOU REVIEWED THE COMPANY’S ECOS STUDY?</w:t>
      </w:r>
    </w:p>
    <w:p w:rsidR="00DA3E89" w:rsidRDefault="00DA3E89" w:rsidP="00EA4D30">
      <w:pPr>
        <w:tabs>
          <w:tab w:val="left" w:pos="720"/>
        </w:tabs>
        <w:spacing w:after="0" w:line="480" w:lineRule="auto"/>
        <w:ind w:left="720" w:hanging="720"/>
        <w:jc w:val="both"/>
      </w:pPr>
      <w:r w:rsidRPr="0050133F">
        <w:rPr>
          <w:b/>
        </w:rPr>
        <w:t>A.</w:t>
      </w:r>
      <w:r>
        <w:tab/>
        <w:t>Yes.  I have reviewed the Company’s ECOS study that was submitted as part of Avista witness Tara Knox’s direct testimony in this case.</w:t>
      </w:r>
      <w:r w:rsidRPr="00707A2E">
        <w:rPr>
          <w:rStyle w:val="FootnoteReference"/>
          <w:u w:val="single"/>
        </w:rPr>
        <w:footnoteReference w:id="1"/>
      </w:r>
      <w:r w:rsidRPr="00707A2E">
        <w:rPr>
          <w:vertAlign w:val="superscript"/>
        </w:rPr>
        <w:t>/</w:t>
      </w:r>
      <w:r>
        <w:t xml:space="preserve">   </w:t>
      </w:r>
    </w:p>
    <w:p w:rsidR="00DA3E89" w:rsidRDefault="00DA3E89" w:rsidP="00EA4D30">
      <w:pPr>
        <w:ind w:left="720" w:hanging="720"/>
        <w:jc w:val="both"/>
        <w:rPr>
          <w:rFonts w:eastAsia="Times New Roman"/>
          <w:b/>
          <w:szCs w:val="24"/>
        </w:rPr>
      </w:pPr>
      <w:r w:rsidRPr="00986094">
        <w:rPr>
          <w:rFonts w:eastAsia="Times New Roman"/>
          <w:b/>
          <w:szCs w:val="24"/>
        </w:rPr>
        <w:t>Q.</w:t>
      </w:r>
      <w:r w:rsidRPr="00986094">
        <w:rPr>
          <w:rFonts w:eastAsia="Times New Roman"/>
          <w:b/>
          <w:szCs w:val="24"/>
        </w:rPr>
        <w:tab/>
      </w:r>
      <w:r>
        <w:rPr>
          <w:rFonts w:eastAsia="Times New Roman"/>
          <w:b/>
          <w:szCs w:val="24"/>
        </w:rPr>
        <w:t xml:space="preserve">IS THE COMPANY’S ECOS STUDY REASONABLE TO USE AS A BASIS FOR </w:t>
      </w:r>
      <w:r w:rsidR="000B7172">
        <w:rPr>
          <w:rFonts w:eastAsia="Times New Roman"/>
          <w:b/>
          <w:szCs w:val="24"/>
        </w:rPr>
        <w:t>REVENUE ALLOCATION</w:t>
      </w:r>
      <w:r>
        <w:rPr>
          <w:rFonts w:eastAsia="Times New Roman"/>
          <w:b/>
          <w:szCs w:val="24"/>
        </w:rPr>
        <w:t xml:space="preserve"> AND RATE DESIGN IN THIS CASE?</w:t>
      </w:r>
    </w:p>
    <w:p w:rsidR="00DA3E89" w:rsidRPr="00D17C89" w:rsidRDefault="00DA3E89" w:rsidP="00EA4D30">
      <w:pPr>
        <w:tabs>
          <w:tab w:val="left" w:pos="720"/>
        </w:tabs>
        <w:spacing w:after="0" w:line="480" w:lineRule="auto"/>
        <w:ind w:left="720" w:hanging="720"/>
        <w:jc w:val="both"/>
        <w:rPr>
          <w:vertAlign w:val="superscript"/>
        </w:rPr>
      </w:pPr>
      <w:r w:rsidRPr="0050133F">
        <w:rPr>
          <w:b/>
        </w:rPr>
        <w:t>A.</w:t>
      </w:r>
      <w:r>
        <w:tab/>
        <w:t>Not entirely.  The ECOS study filed in this case is, in many respects, consistent with studies filed by Avista in the past and is reasonable in certain ways.  However, I have serious concerns with two aspects of its study.  First, the study classifies production plant investment to the customer classes using a method that is based only in small part (31%) on the customers’ contribution to peak demand for each month of the year and in much larger part (69%) on the basis of energy.</w:t>
      </w:r>
      <w:r w:rsidRPr="00D17C89">
        <w:rPr>
          <w:rStyle w:val="FootnoteReference"/>
          <w:u w:val="single"/>
        </w:rPr>
        <w:footnoteReference w:id="2"/>
      </w:r>
      <w:r>
        <w:rPr>
          <w:vertAlign w:val="superscript"/>
        </w:rPr>
        <w:t>/</w:t>
      </w:r>
    </w:p>
    <w:p w:rsidR="00DA3E89" w:rsidRDefault="00DA3E89" w:rsidP="00EA4D30">
      <w:pPr>
        <w:tabs>
          <w:tab w:val="left" w:pos="720"/>
        </w:tabs>
        <w:spacing w:after="0" w:line="480" w:lineRule="auto"/>
        <w:ind w:left="720" w:hanging="720"/>
        <w:jc w:val="both"/>
      </w:pPr>
      <w:r>
        <w:rPr>
          <w:b/>
        </w:rPr>
        <w:tab/>
      </w:r>
      <w:r>
        <w:rPr>
          <w:b/>
        </w:rPr>
        <w:tab/>
      </w:r>
      <w:r>
        <w:t xml:space="preserve">This method is improper because the allocated plant investments include the cost of all production resources, and are dependent on the maximum capacities of those resources.  Instead, production costs should be allocated to the customer classes according to each class’s demand during the peak months, when </w:t>
      </w:r>
      <w:r>
        <w:rPr>
          <w:u w:val="single"/>
        </w:rPr>
        <w:t>all</w:t>
      </w:r>
      <w:r>
        <w:t xml:space="preserve"> of Avista’s production resources are in use, and when those resources are most likely to be operat</w:t>
      </w:r>
      <w:r w:rsidR="003C702C">
        <w:t>ing</w:t>
      </w:r>
      <w:r>
        <w:t xml:space="preserve"> at their maximum capacities.  It is Avista’s system peak demands, which occur during winter and summer months, that drive the need for additional capacity.  Demands during moderate-load times, whether time of day or month of year, do not </w:t>
      </w:r>
      <w:r>
        <w:lastRenderedPageBreak/>
        <w:t>cause new generating capacity to be built.</w:t>
      </w:r>
      <w:r w:rsidR="00A42441">
        <w:t xml:space="preserve">  Energy allocators should be used only on variable costs, </w:t>
      </w:r>
      <w:r w:rsidR="00A42441" w:rsidRPr="00E90C08">
        <w:t>i.e.</w:t>
      </w:r>
      <w:r w:rsidR="00B65E97">
        <w:t>,</w:t>
      </w:r>
      <w:r w:rsidR="00A42441">
        <w:t xml:space="preserve"> those which</w:t>
      </w:r>
      <w:r w:rsidR="002E5C05">
        <w:t xml:space="preserve"> vary with the level of output of the units, such as fuel.</w:t>
      </w:r>
    </w:p>
    <w:p w:rsidR="00DA3E89" w:rsidRDefault="00DA3E89" w:rsidP="009D0DDE">
      <w:pPr>
        <w:tabs>
          <w:tab w:val="left" w:pos="720"/>
        </w:tabs>
        <w:spacing w:after="0" w:line="480" w:lineRule="auto"/>
        <w:ind w:left="720" w:hanging="720"/>
        <w:jc w:val="both"/>
      </w:pPr>
      <w:r>
        <w:tab/>
      </w:r>
      <w:r>
        <w:tab/>
        <w:t>Second, in addition to its misallocation of production costs, the Company’s ECOS study also improperly allocates the costs of transmission.</w:t>
      </w:r>
    </w:p>
    <w:p w:rsidR="00DA3E89" w:rsidRPr="005643AA" w:rsidRDefault="00DA3E89" w:rsidP="00DA3E89">
      <w:pPr>
        <w:pStyle w:val="Heading2"/>
        <w:keepNext/>
        <w:keepLines/>
      </w:pPr>
      <w:bookmarkStart w:id="16" w:name="_Toc392941505"/>
      <w:r w:rsidRPr="005643AA">
        <w:t>Allocation of Production-Related Costs</w:t>
      </w:r>
      <w:bookmarkEnd w:id="16"/>
    </w:p>
    <w:p w:rsidR="00DA3E89" w:rsidRPr="00986094" w:rsidRDefault="00DA3E89" w:rsidP="00EA4D30">
      <w:pPr>
        <w:keepNext/>
        <w:ind w:left="720" w:hanging="720"/>
        <w:jc w:val="both"/>
        <w:rPr>
          <w:rFonts w:eastAsia="Times New Roman"/>
          <w:b/>
          <w:szCs w:val="24"/>
        </w:rPr>
      </w:pPr>
      <w:r w:rsidRPr="00986094">
        <w:rPr>
          <w:rFonts w:eastAsia="Times New Roman"/>
          <w:b/>
          <w:szCs w:val="24"/>
        </w:rPr>
        <w:t>Q.</w:t>
      </w:r>
      <w:r w:rsidRPr="00986094">
        <w:rPr>
          <w:rFonts w:eastAsia="Times New Roman"/>
          <w:b/>
          <w:szCs w:val="24"/>
        </w:rPr>
        <w:tab/>
        <w:t>HOW HAS THE COMPANY ALLOCATED PRODUCTION</w:t>
      </w:r>
      <w:r>
        <w:rPr>
          <w:rFonts w:eastAsia="Times New Roman"/>
          <w:b/>
          <w:szCs w:val="24"/>
        </w:rPr>
        <w:t>-</w:t>
      </w:r>
      <w:r w:rsidRPr="00986094">
        <w:rPr>
          <w:rFonts w:eastAsia="Times New Roman"/>
          <w:b/>
          <w:szCs w:val="24"/>
        </w:rPr>
        <w:t>RELATED COSTS?</w:t>
      </w:r>
    </w:p>
    <w:p w:rsidR="00DA3E89" w:rsidRDefault="00DA3E89" w:rsidP="00EA4D30">
      <w:pPr>
        <w:keepNext/>
        <w:tabs>
          <w:tab w:val="left" w:pos="720"/>
        </w:tabs>
        <w:spacing w:after="0" w:line="480" w:lineRule="auto"/>
        <w:ind w:left="720" w:hanging="720"/>
        <w:jc w:val="both"/>
      </w:pPr>
      <w:r w:rsidRPr="0050133F">
        <w:rPr>
          <w:b/>
        </w:rPr>
        <w:t>A.</w:t>
      </w:r>
      <w:r>
        <w:tab/>
        <w:t>The Company’s process is described at pages 12-15 of Avista witness Knox’s direct testimony, and in additional detail at pages 3-4 of Exhibit No. ___</w:t>
      </w:r>
      <w:proofErr w:type="gramStart"/>
      <w:r>
        <w:t>_(</w:t>
      </w:r>
      <w:proofErr w:type="gramEnd"/>
      <w:r>
        <w:t xml:space="preserve">TLK-3).  </w:t>
      </w:r>
    </w:p>
    <w:p w:rsidR="00DA3E89" w:rsidRDefault="00DA3E89" w:rsidP="00EA4D30">
      <w:pPr>
        <w:tabs>
          <w:tab w:val="left" w:pos="720"/>
        </w:tabs>
        <w:spacing w:after="0" w:line="480" w:lineRule="auto"/>
        <w:ind w:left="720" w:hanging="720"/>
        <w:jc w:val="both"/>
      </w:pPr>
      <w:r>
        <w:rPr>
          <w:b/>
        </w:rPr>
        <w:tab/>
      </w:r>
      <w:r>
        <w:rPr>
          <w:b/>
        </w:rPr>
        <w:tab/>
      </w:r>
      <w:r>
        <w:t>As described, Avista proposes to use the “Peak Credit” ratio to classify production and transmission resources.  According to Ms. Knox, Avista proposes a modification to a prior application of the Peak Credit measure, used prior to 2010, to one which utilizes the system load factor to determine the proportion of the production function that is demand-related.  This modification yields a 31.27% proportion to be allocated on the basis of demand, with the remaining 68.73% to be allocated based on energy delivered.  Avista performs this classification for both production fixed and variable costs and, as described below, to transmission plant.  For the approximately 31% of costs that are classified as demand-related, Avista proposes to allocate on the basis of 12 CP, based on the average class contributions to the 12 monthly peaks for the year ended June 30, 2013.</w:t>
      </w:r>
    </w:p>
    <w:p w:rsidR="00DA3E89" w:rsidRDefault="00DA3E89" w:rsidP="00EA4D30">
      <w:pPr>
        <w:ind w:left="720" w:hanging="720"/>
        <w:jc w:val="both"/>
        <w:rPr>
          <w:rFonts w:eastAsia="Times New Roman"/>
          <w:b/>
          <w:szCs w:val="24"/>
        </w:rPr>
      </w:pPr>
      <w:r w:rsidRPr="00B64DB3">
        <w:rPr>
          <w:rFonts w:eastAsia="Times New Roman"/>
          <w:b/>
          <w:szCs w:val="24"/>
        </w:rPr>
        <w:t>Q.</w:t>
      </w:r>
      <w:r w:rsidRPr="00B64DB3">
        <w:rPr>
          <w:rFonts w:eastAsia="Times New Roman"/>
          <w:b/>
          <w:szCs w:val="24"/>
        </w:rPr>
        <w:tab/>
      </w:r>
      <w:r w:rsidR="002E5C05">
        <w:rPr>
          <w:rFonts w:eastAsia="Times New Roman"/>
          <w:b/>
          <w:szCs w:val="24"/>
        </w:rPr>
        <w:t xml:space="preserve">SETTING ASIDE THE VALIDITY OF THE PEAK CREDIT FOR THE MOMENT, </w:t>
      </w:r>
      <w:r>
        <w:rPr>
          <w:rFonts w:eastAsia="Times New Roman"/>
          <w:b/>
          <w:szCs w:val="24"/>
        </w:rPr>
        <w:t>WHY HAS AVISTA USED THE 12 CP METHOD TO ALLOCATE THE PRODUCTION COSTS IN ITS ECOS STUDY?</w:t>
      </w:r>
    </w:p>
    <w:p w:rsidR="00DA3E89" w:rsidRDefault="00DA3E89" w:rsidP="00EA4D30">
      <w:pPr>
        <w:tabs>
          <w:tab w:val="left" w:pos="720"/>
        </w:tabs>
        <w:spacing w:after="0" w:line="480" w:lineRule="auto"/>
        <w:ind w:left="720" w:hanging="720"/>
        <w:jc w:val="both"/>
      </w:pPr>
      <w:r w:rsidRPr="00B64DB3">
        <w:rPr>
          <w:b/>
        </w:rPr>
        <w:t>A.</w:t>
      </w:r>
      <w:r>
        <w:tab/>
        <w:t>Avista witness Knox states as follows:</w:t>
      </w:r>
    </w:p>
    <w:p w:rsidR="00DA3E89" w:rsidRDefault="00DA3E89" w:rsidP="00EA4D30">
      <w:pPr>
        <w:tabs>
          <w:tab w:val="left" w:pos="720"/>
        </w:tabs>
        <w:ind w:left="1440" w:right="720"/>
        <w:jc w:val="both"/>
      </w:pPr>
      <w:r>
        <w:lastRenderedPageBreak/>
        <w:t>Although the Company is usually a winter peaking utility, it experiences high summer peaks and careful management of capacity requirements is required throughout the year.  The use of the average of twelve monthly peaks recognizes that customer capacity needs are not limited to the heating season.</w:t>
      </w:r>
      <w:r w:rsidRPr="00707A2E">
        <w:rPr>
          <w:rStyle w:val="FootnoteReference"/>
          <w:u w:val="single"/>
        </w:rPr>
        <w:footnoteReference w:id="3"/>
      </w:r>
      <w:r w:rsidRPr="00707A2E">
        <w:rPr>
          <w:vertAlign w:val="superscript"/>
        </w:rPr>
        <w:t>/</w:t>
      </w:r>
      <w:r>
        <w:t xml:space="preserve">  </w:t>
      </w:r>
    </w:p>
    <w:p w:rsidR="00DA3E89" w:rsidRDefault="00DA3E89" w:rsidP="00EA4D30">
      <w:pPr>
        <w:keepNext/>
        <w:tabs>
          <w:tab w:val="left" w:pos="720"/>
        </w:tabs>
        <w:spacing w:after="0" w:line="480" w:lineRule="auto"/>
        <w:ind w:left="720" w:hanging="720"/>
        <w:jc w:val="both"/>
        <w:rPr>
          <w:b/>
        </w:rPr>
      </w:pPr>
      <w:r>
        <w:rPr>
          <w:b/>
        </w:rPr>
        <w:t>Q.</w:t>
      </w:r>
      <w:r>
        <w:rPr>
          <w:b/>
        </w:rPr>
        <w:tab/>
        <w:t>DO YOU FIND THIS EXPLANATION COMPELLING?</w:t>
      </w:r>
    </w:p>
    <w:p w:rsidR="00DA3E89" w:rsidRDefault="00DA3E89" w:rsidP="00EA4D30">
      <w:pPr>
        <w:keepNext/>
        <w:tabs>
          <w:tab w:val="left" w:pos="720"/>
        </w:tabs>
        <w:spacing w:after="0" w:line="480" w:lineRule="auto"/>
        <w:ind w:left="720" w:hanging="720"/>
        <w:jc w:val="both"/>
      </w:pPr>
      <w:r>
        <w:rPr>
          <w:b/>
        </w:rPr>
        <w:t>A.</w:t>
      </w:r>
      <w:r>
        <w:rPr>
          <w:b/>
        </w:rPr>
        <w:tab/>
      </w:r>
      <w:r>
        <w:t xml:space="preserve">No, I do not.  As I will explain further, Avista demonstrates significant peaks, especially in the winter; although in 2012, Avista experienced two high demand months in the summer (which are included in the test year).  A 12 CP method is more typically used when demands are relatively steady over the course of a year and do not exhibit significant peaks, which drive the need for new capacity.  </w:t>
      </w:r>
      <w:r w:rsidRPr="004E1A69">
        <w:t xml:space="preserve">In addition, when 12 CP is used, it </w:t>
      </w:r>
      <w:r>
        <w:t xml:space="preserve">is </w:t>
      </w:r>
      <w:r w:rsidRPr="004E1A69">
        <w:t xml:space="preserve">typically when </w:t>
      </w:r>
      <w:r w:rsidRPr="004E1A69">
        <w:rPr>
          <w:u w:val="single"/>
        </w:rPr>
        <w:t>all</w:t>
      </w:r>
      <w:r>
        <w:t xml:space="preserve"> </w:t>
      </w:r>
      <w:r w:rsidRPr="004E1A69">
        <w:t>production plant costs are allocated on the basis of demand, rat</w:t>
      </w:r>
      <w:r>
        <w:t xml:space="preserve">her than when only a relatively small proportion (31%) is allocated on demand.  </w:t>
      </w:r>
    </w:p>
    <w:p w:rsidR="00DA3E89" w:rsidRDefault="00DA3E89" w:rsidP="00EA4D30">
      <w:pPr>
        <w:tabs>
          <w:tab w:val="left" w:pos="720"/>
        </w:tabs>
        <w:ind w:left="720" w:hanging="720"/>
        <w:jc w:val="both"/>
        <w:rPr>
          <w:b/>
        </w:rPr>
      </w:pPr>
      <w:r>
        <w:rPr>
          <w:b/>
        </w:rPr>
        <w:t>Q.</w:t>
      </w:r>
      <w:r>
        <w:rPr>
          <w:b/>
        </w:rPr>
        <w:tab/>
        <w:t>IS AVISTA’S USE OF 12 CP IN THIS MANNER WELL SUPPORTED IN INDUSTRY LITERATURE, SUCH AS THE NARUC MANUAL?</w:t>
      </w:r>
    </w:p>
    <w:p w:rsidR="00DA3E89" w:rsidRDefault="00DA3E89" w:rsidP="00EA4D30">
      <w:pPr>
        <w:tabs>
          <w:tab w:val="left" w:pos="720"/>
        </w:tabs>
        <w:spacing w:after="0" w:line="480" w:lineRule="auto"/>
        <w:ind w:left="720" w:hanging="720"/>
        <w:jc w:val="both"/>
      </w:pPr>
      <w:r>
        <w:rPr>
          <w:b/>
        </w:rPr>
        <w:t>A.</w:t>
      </w:r>
      <w:r>
        <w:tab/>
        <w:t>No.  Although I have not conducted an exhaustive search for corroboration of Avista’s method in industry literature, thus far, I have seen no specific support for the method.  Rather, I find greater support for a more direct measure of system peak in the NARUC Manual</w:t>
      </w:r>
      <w:r w:rsidR="00AF060A">
        <w:t>,</w:t>
      </w:r>
      <w:r>
        <w:t xml:space="preserve"> which lists the 12 CP </w:t>
      </w:r>
      <w:proofErr w:type="gramStart"/>
      <w:r>
        <w:t>method</w:t>
      </w:r>
      <w:proofErr w:type="gramEnd"/>
      <w:r>
        <w:t xml:space="preserve"> as </w:t>
      </w:r>
      <w:r w:rsidRPr="00B64DB3">
        <w:t>one of</w:t>
      </w:r>
      <w:r>
        <w:t xml:space="preserve"> the options for production allocation, but not in conjunction with a Peak Credit classification approach.</w:t>
      </w:r>
    </w:p>
    <w:p w:rsidR="00DA3E89" w:rsidRDefault="00DA3E89" w:rsidP="00EA4D30">
      <w:pPr>
        <w:tabs>
          <w:tab w:val="left" w:pos="720"/>
        </w:tabs>
        <w:spacing w:after="0" w:line="480" w:lineRule="auto"/>
        <w:ind w:left="720" w:hanging="720"/>
        <w:jc w:val="both"/>
      </w:pPr>
      <w:r>
        <w:rPr>
          <w:b/>
        </w:rPr>
        <w:tab/>
      </w:r>
      <w:r>
        <w:rPr>
          <w:b/>
        </w:rPr>
        <w:tab/>
      </w:r>
      <w:r>
        <w:t xml:space="preserve">However, the same passage of the NARUC Manual that addresses the 12 CP </w:t>
      </w:r>
      <w:proofErr w:type="gramStart"/>
      <w:r>
        <w:t>method</w:t>
      </w:r>
      <w:proofErr w:type="gramEnd"/>
      <w:r>
        <w:t xml:space="preserve"> casts doubt on its use for Avista, when it states of the 12 CP method:  “This method is usually used when the monthly peaks lie within a narrow range; i.e., when </w:t>
      </w:r>
      <w:r>
        <w:lastRenderedPageBreak/>
        <w:t>the annual load shape is not spiky.”</w:t>
      </w:r>
      <w:r w:rsidRPr="008E41E1">
        <w:rPr>
          <w:szCs w:val="24"/>
          <w:u w:val="single"/>
          <w:vertAlign w:val="superscript"/>
        </w:rPr>
        <w:footnoteReference w:id="4"/>
      </w:r>
      <w:proofErr w:type="gramStart"/>
      <w:r w:rsidRPr="00CB502A">
        <w:rPr>
          <w:szCs w:val="24"/>
          <w:vertAlign w:val="superscript"/>
        </w:rPr>
        <w:t>/</w:t>
      </w:r>
      <w:r>
        <w:rPr>
          <w:szCs w:val="24"/>
        </w:rPr>
        <w:t xml:space="preserve">  </w:t>
      </w:r>
      <w:r>
        <w:t>While</w:t>
      </w:r>
      <w:proofErr w:type="gramEnd"/>
      <w:r>
        <w:t xml:space="preserve"> the NARUC Manual does not define the word “spiky,” it is clear that in cases where the need for production capacity (i.e., system demand) is substantially different across the months of the year, a 12 CP allocator is not appropriate.</w:t>
      </w:r>
    </w:p>
    <w:p w:rsidR="00DA3E89" w:rsidRDefault="00DA3E89" w:rsidP="00EA4D30">
      <w:pPr>
        <w:tabs>
          <w:tab w:val="left" w:pos="720"/>
        </w:tabs>
        <w:spacing w:after="0" w:line="480" w:lineRule="auto"/>
        <w:ind w:left="720" w:hanging="720"/>
        <w:jc w:val="both"/>
      </w:pPr>
      <w:r>
        <w:tab/>
      </w:r>
      <w:r>
        <w:tab/>
        <w:t xml:space="preserve">  Additional guidance is provided in the NARUC Manual where it describes conditions wherein multiple coincident peak demands may be warranted.  In describing one of those conditions, the NARUC Manual states:  “Criteria for determining which hours to use include: (1) all hours of the year with demands </w:t>
      </w:r>
      <w:r w:rsidRPr="007F2A2A">
        <w:rPr>
          <w:u w:val="single"/>
        </w:rPr>
        <w:t>within 5 percent or 10 percent</w:t>
      </w:r>
      <w:r>
        <w:t xml:space="preserve"> of the system’s peak demand.”</w:t>
      </w:r>
      <w:r w:rsidRPr="008E41E1">
        <w:rPr>
          <w:szCs w:val="24"/>
          <w:u w:val="single"/>
          <w:vertAlign w:val="superscript"/>
        </w:rPr>
        <w:footnoteReference w:id="5"/>
      </w:r>
      <w:r w:rsidRPr="00CB502A">
        <w:rPr>
          <w:szCs w:val="24"/>
          <w:vertAlign w:val="superscript"/>
        </w:rPr>
        <w:t>/</w:t>
      </w:r>
    </w:p>
    <w:p w:rsidR="00DA3E89" w:rsidRDefault="00DA3E89" w:rsidP="00EA4D30">
      <w:pPr>
        <w:tabs>
          <w:tab w:val="left" w:pos="720"/>
        </w:tabs>
        <w:spacing w:after="0" w:line="480" w:lineRule="auto"/>
        <w:ind w:left="720" w:hanging="720"/>
        <w:jc w:val="both"/>
      </w:pPr>
      <w:r>
        <w:tab/>
      </w:r>
      <w:r>
        <w:tab/>
        <w:t>By considering only the hourly demands that are reasonably close to the annual system peak, the cost analyst recognizes that it is only during the highest system load hours that production capacity is most likely to be fully utilized.  Consequently, a demand allocation method that is based on each class’s contribution during these high demand periods will fairly and reasonably recognize the classes’ proportionate responsibility in causing the utility to incur those production investments.  Therefore, in cases where the monthly peak loads fluctuate significantly (e.g., like the nearly 38% fluctuation in peak load in Avista’s case)</w:t>
      </w:r>
      <w:proofErr w:type="gramStart"/>
      <w:r>
        <w:t>,</w:t>
      </w:r>
      <w:proofErr w:type="gramEnd"/>
      <w:r w:rsidRPr="007F2A2A">
        <w:rPr>
          <w:rStyle w:val="FootnoteReference"/>
          <w:u w:val="single"/>
        </w:rPr>
        <w:footnoteReference w:id="6"/>
      </w:r>
      <w:r w:rsidRPr="007F2A2A">
        <w:rPr>
          <w:vertAlign w:val="superscript"/>
        </w:rPr>
        <w:t>/</w:t>
      </w:r>
      <w:r>
        <w:t xml:space="preserve"> a method that considers only the annual system peak, or the average of monthly peaks that are near the system peak, is more appropriate.</w:t>
      </w:r>
    </w:p>
    <w:p w:rsidR="00DA3E89" w:rsidRDefault="00DA3E89" w:rsidP="00EA4D30">
      <w:pPr>
        <w:tabs>
          <w:tab w:val="left" w:pos="720"/>
        </w:tabs>
        <w:spacing w:after="0" w:line="480" w:lineRule="auto"/>
        <w:ind w:left="720" w:hanging="720"/>
        <w:jc w:val="both"/>
      </w:pPr>
      <w:r>
        <w:tab/>
      </w:r>
      <w:r>
        <w:tab/>
        <w:t xml:space="preserve">Another instructive allocation method from the NARUC Manual is the “summer and winter peak method” which is used to “reflect the effect of two distinct </w:t>
      </w:r>
      <w:r>
        <w:lastRenderedPageBreak/>
        <w:t>seasonal peaks on customer cost assignment.”</w:t>
      </w:r>
      <w:r w:rsidRPr="008E41E1">
        <w:rPr>
          <w:szCs w:val="24"/>
          <w:u w:val="single"/>
          <w:vertAlign w:val="superscript"/>
        </w:rPr>
        <w:footnoteReference w:id="7"/>
      </w:r>
      <w:r w:rsidRPr="00CB502A">
        <w:rPr>
          <w:szCs w:val="24"/>
          <w:vertAlign w:val="superscript"/>
        </w:rPr>
        <w:t>/</w:t>
      </w:r>
      <w:r>
        <w:t xml:space="preserve"> The NARUC Manual states:  “If the summer and winter peaks are close in value, and if both significantly affect the utility’s generation expansion planning, this approach may be appropriate.”</w:t>
      </w:r>
      <w:r w:rsidRPr="008E41E1">
        <w:rPr>
          <w:szCs w:val="24"/>
          <w:u w:val="single"/>
          <w:vertAlign w:val="superscript"/>
        </w:rPr>
        <w:footnoteReference w:id="8"/>
      </w:r>
      <w:r w:rsidRPr="00CB502A">
        <w:rPr>
          <w:szCs w:val="24"/>
          <w:vertAlign w:val="superscript"/>
        </w:rPr>
        <w:t>/</w:t>
      </w:r>
      <w:r>
        <w:t xml:space="preserve">  </w:t>
      </w:r>
    </w:p>
    <w:p w:rsidR="00DA3E89" w:rsidRDefault="00DA3E89" w:rsidP="00EA4D30">
      <w:pPr>
        <w:tabs>
          <w:tab w:val="left" w:pos="720"/>
        </w:tabs>
        <w:spacing w:after="0" w:line="480" w:lineRule="auto"/>
        <w:ind w:left="720" w:hanging="720"/>
        <w:jc w:val="both"/>
      </w:pPr>
      <w:r>
        <w:tab/>
      </w:r>
      <w:r>
        <w:tab/>
        <w:t xml:space="preserve">As I will demonstrate below, during the test year, Avista exhibited the summer and winter peak conditions described above.  Under </w:t>
      </w:r>
      <w:r w:rsidR="00AF060A">
        <w:t>the summer and winter peak</w:t>
      </w:r>
      <w:r>
        <w:t xml:space="preserve"> method, either the single highest summer and single highest winter peaks are used (</w:t>
      </w:r>
      <w:r w:rsidRPr="00364408">
        <w:t>i.e.</w:t>
      </w:r>
      <w:r w:rsidR="001D6BA8" w:rsidRPr="00364408">
        <w:t>,</w:t>
      </w:r>
      <w:r>
        <w:t xml:space="preserve"> 2 CP) or a small number of summer and winter peak hours are used</w:t>
      </w:r>
      <w:r w:rsidR="00AF060A">
        <w:t xml:space="preserve"> (i.e.</w:t>
      </w:r>
      <w:r w:rsidR="00B65E97">
        <w:t>,</w:t>
      </w:r>
      <w:r w:rsidR="00AF060A">
        <w:t xml:space="preserve"> 4 CP)</w:t>
      </w:r>
      <w:r>
        <w:t>.</w:t>
      </w:r>
    </w:p>
    <w:p w:rsidR="00DA3E89" w:rsidRDefault="00DA3E89" w:rsidP="00EA4D30">
      <w:pPr>
        <w:tabs>
          <w:tab w:val="left" w:pos="720"/>
        </w:tabs>
        <w:spacing w:line="480" w:lineRule="auto"/>
        <w:ind w:left="720" w:hanging="720"/>
        <w:jc w:val="both"/>
      </w:pPr>
      <w:r>
        <w:tab/>
      </w:r>
      <w:r>
        <w:tab/>
        <w:t>To summarize, whe</w:t>
      </w:r>
      <w:r w:rsidR="001851BB">
        <w:t>n</w:t>
      </w:r>
      <w:r>
        <w:t xml:space="preserve"> monthly peak demands are quite similar during the entire year, a 12 CP method may be supported by industry literature.  But whe</w:t>
      </w:r>
      <w:r w:rsidR="001851BB">
        <w:t>n</w:t>
      </w:r>
      <w:r>
        <w:t>, as here, a substantial variation in peak demands is seen throughout the year, there is more support for production plant allocation based only on those peaks within a narrow range of the highest peak, or on the summer and winter peaks only.</w:t>
      </w:r>
    </w:p>
    <w:p w:rsidR="00DA3E89" w:rsidRPr="00B64DB3" w:rsidRDefault="00DA3E89" w:rsidP="00EA4D30">
      <w:pPr>
        <w:ind w:left="720" w:hanging="720"/>
        <w:jc w:val="both"/>
        <w:rPr>
          <w:rFonts w:eastAsia="Times New Roman"/>
          <w:b/>
          <w:szCs w:val="24"/>
        </w:rPr>
      </w:pPr>
      <w:r w:rsidRPr="00B64DB3">
        <w:rPr>
          <w:rFonts w:eastAsia="Times New Roman"/>
          <w:b/>
          <w:szCs w:val="24"/>
        </w:rPr>
        <w:t>Q</w:t>
      </w:r>
      <w:r>
        <w:rPr>
          <w:rFonts w:eastAsia="Times New Roman"/>
          <w:b/>
          <w:szCs w:val="24"/>
        </w:rPr>
        <w:t>.</w:t>
      </w:r>
      <w:r w:rsidRPr="00B64DB3">
        <w:rPr>
          <w:rFonts w:eastAsia="Times New Roman"/>
          <w:b/>
          <w:szCs w:val="24"/>
        </w:rPr>
        <w:tab/>
        <w:t xml:space="preserve">WHY ARE THE CUSTOMER LOADS DURING THE HIGHEST MONTHLY </w:t>
      </w:r>
      <w:r w:rsidR="003C702C">
        <w:rPr>
          <w:rFonts w:eastAsia="Times New Roman"/>
          <w:b/>
          <w:szCs w:val="24"/>
        </w:rPr>
        <w:t xml:space="preserve">PEAK </w:t>
      </w:r>
      <w:r w:rsidRPr="00B64DB3">
        <w:rPr>
          <w:rFonts w:eastAsia="Times New Roman"/>
          <w:b/>
          <w:szCs w:val="24"/>
        </w:rPr>
        <w:t>DEMANDS RELEVANT TO THE ALLOCATION OF PRODUCTION INVESTMENT?</w:t>
      </w:r>
    </w:p>
    <w:p w:rsidR="00DA3E89" w:rsidRPr="005F3FB6" w:rsidRDefault="00DA3E89" w:rsidP="00EA4D30">
      <w:pPr>
        <w:pStyle w:val="Heading5"/>
        <w:keepNext w:val="0"/>
        <w:keepLines w:val="0"/>
        <w:spacing w:before="0" w:line="480" w:lineRule="auto"/>
        <w:ind w:left="720" w:hanging="720"/>
        <w:jc w:val="both"/>
        <w:rPr>
          <w:rFonts w:ascii="Times New Roman" w:eastAsia="Calibri" w:hAnsi="Times New Roman"/>
          <w:color w:val="auto"/>
        </w:rPr>
      </w:pPr>
      <w:r w:rsidRPr="00B64DB3">
        <w:rPr>
          <w:rFonts w:ascii="Times New Roman" w:eastAsia="Calibri" w:hAnsi="Times New Roman"/>
          <w:b/>
          <w:color w:val="auto"/>
        </w:rPr>
        <w:t>A</w:t>
      </w:r>
      <w:r>
        <w:rPr>
          <w:rFonts w:ascii="Times New Roman" w:eastAsia="Calibri" w:hAnsi="Times New Roman"/>
          <w:b/>
          <w:color w:val="auto"/>
        </w:rPr>
        <w:t>.</w:t>
      </w:r>
      <w:r>
        <w:tab/>
      </w:r>
      <w:r w:rsidRPr="005F3FB6">
        <w:rPr>
          <w:rFonts w:ascii="Times New Roman" w:eastAsia="Calibri" w:hAnsi="Times New Roman"/>
          <w:color w:val="auto"/>
        </w:rPr>
        <w:t xml:space="preserve">The key factors that link customer loads at the time of the highest monthly </w:t>
      </w:r>
      <w:r w:rsidR="003C702C">
        <w:rPr>
          <w:rFonts w:ascii="Times New Roman" w:eastAsia="Calibri" w:hAnsi="Times New Roman"/>
          <w:color w:val="auto"/>
        </w:rPr>
        <w:t xml:space="preserve">peak </w:t>
      </w:r>
      <w:r w:rsidRPr="005F3FB6">
        <w:rPr>
          <w:rFonts w:ascii="Times New Roman" w:eastAsia="Calibri" w:hAnsi="Times New Roman"/>
          <w:color w:val="auto"/>
        </w:rPr>
        <w:t>demand to the allocation of production investments are the following:</w:t>
      </w:r>
    </w:p>
    <w:p w:rsidR="00DA3E89" w:rsidRPr="005F3FB6" w:rsidRDefault="00DA3E89" w:rsidP="00EA4D30">
      <w:pPr>
        <w:pStyle w:val="Heading5"/>
        <w:keepNext w:val="0"/>
        <w:keepLines w:val="0"/>
        <w:numPr>
          <w:ilvl w:val="0"/>
          <w:numId w:val="9"/>
        </w:numPr>
        <w:spacing w:before="0"/>
        <w:ind w:left="1080"/>
        <w:jc w:val="both"/>
        <w:rPr>
          <w:rFonts w:ascii="Times New Roman" w:hAnsi="Times New Roman"/>
          <w:b/>
          <w:color w:val="auto"/>
        </w:rPr>
      </w:pPr>
      <w:r w:rsidRPr="005F3FB6">
        <w:rPr>
          <w:rFonts w:ascii="Times New Roman" w:hAnsi="Times New Roman"/>
          <w:color w:val="auto"/>
        </w:rPr>
        <w:t>Utilities typically bring all of their generating resources into operation in the hours leading up to their highest monthly peaks.  This includes the base load, intermediate load and peaki</w:t>
      </w:r>
      <w:r>
        <w:rPr>
          <w:rFonts w:ascii="Times New Roman" w:hAnsi="Times New Roman"/>
          <w:color w:val="auto"/>
        </w:rPr>
        <w:t>ng plants, as well as the short-</w:t>
      </w:r>
      <w:r w:rsidRPr="005F3FB6">
        <w:rPr>
          <w:rFonts w:ascii="Times New Roman" w:hAnsi="Times New Roman"/>
          <w:color w:val="auto"/>
        </w:rPr>
        <w:t>term and long</w:t>
      </w:r>
      <w:r>
        <w:rPr>
          <w:rFonts w:ascii="Times New Roman" w:hAnsi="Times New Roman"/>
          <w:color w:val="auto"/>
        </w:rPr>
        <w:t>-</w:t>
      </w:r>
      <w:r w:rsidRPr="005F3FB6">
        <w:rPr>
          <w:rFonts w:ascii="Times New Roman" w:hAnsi="Times New Roman"/>
          <w:color w:val="auto"/>
        </w:rPr>
        <w:t>term power purchasing contracts.  For many utilities in the United States, these peaks occur during the summer season.</w:t>
      </w:r>
      <w:r>
        <w:rPr>
          <w:rFonts w:ascii="Times New Roman" w:hAnsi="Times New Roman"/>
          <w:color w:val="auto"/>
        </w:rPr>
        <w:t xml:space="preserve">  Avista exhibits peaks in both summer and winter.</w:t>
      </w:r>
    </w:p>
    <w:p w:rsidR="00DA3E89" w:rsidRPr="005F3FB6" w:rsidRDefault="00DA3E89" w:rsidP="00EA4D30">
      <w:pPr>
        <w:suppressLineNumbers/>
        <w:spacing w:after="0"/>
        <w:jc w:val="both"/>
      </w:pPr>
    </w:p>
    <w:p w:rsidR="00DA3E89" w:rsidRPr="005F3FB6" w:rsidRDefault="00DA3E89" w:rsidP="00EA4D30">
      <w:pPr>
        <w:pStyle w:val="Heading5"/>
        <w:keepNext w:val="0"/>
        <w:keepLines w:val="0"/>
        <w:numPr>
          <w:ilvl w:val="0"/>
          <w:numId w:val="9"/>
        </w:numPr>
        <w:spacing w:before="0"/>
        <w:ind w:left="1080"/>
        <w:jc w:val="both"/>
        <w:rPr>
          <w:rFonts w:ascii="Times New Roman" w:hAnsi="Times New Roman"/>
          <w:b/>
          <w:color w:val="auto"/>
        </w:rPr>
      </w:pPr>
      <w:r w:rsidRPr="005F3FB6">
        <w:rPr>
          <w:rFonts w:ascii="Times New Roman" w:hAnsi="Times New Roman"/>
          <w:color w:val="auto"/>
        </w:rPr>
        <w:t>The production costs that are allocated include the cost of base load, intermediate load and peaking plants</w:t>
      </w:r>
      <w:r>
        <w:rPr>
          <w:rFonts w:ascii="Times New Roman" w:hAnsi="Times New Roman"/>
          <w:color w:val="auto"/>
        </w:rPr>
        <w:t>, as well as the costs of short-t</w:t>
      </w:r>
      <w:r w:rsidRPr="005F3FB6">
        <w:rPr>
          <w:rFonts w:ascii="Times New Roman" w:hAnsi="Times New Roman"/>
          <w:color w:val="auto"/>
        </w:rPr>
        <w:t>erm and long</w:t>
      </w:r>
      <w:r>
        <w:rPr>
          <w:rFonts w:ascii="Times New Roman" w:hAnsi="Times New Roman"/>
          <w:color w:val="auto"/>
        </w:rPr>
        <w:t>-</w:t>
      </w:r>
      <w:r w:rsidRPr="005F3FB6">
        <w:rPr>
          <w:rFonts w:ascii="Times New Roman" w:hAnsi="Times New Roman"/>
          <w:color w:val="auto"/>
        </w:rPr>
        <w:t>term power purchase contracts.</w:t>
      </w:r>
    </w:p>
    <w:p w:rsidR="00DA3E89" w:rsidRPr="005F3FB6" w:rsidRDefault="00DA3E89" w:rsidP="00EA4D30">
      <w:pPr>
        <w:suppressLineNumbers/>
        <w:spacing w:after="0"/>
        <w:jc w:val="both"/>
      </w:pPr>
    </w:p>
    <w:p w:rsidR="00DA3E89" w:rsidRPr="005F3FB6" w:rsidRDefault="00DA3E89" w:rsidP="00EA4D30">
      <w:pPr>
        <w:pStyle w:val="Heading5"/>
        <w:keepNext w:val="0"/>
        <w:keepLines w:val="0"/>
        <w:numPr>
          <w:ilvl w:val="0"/>
          <w:numId w:val="9"/>
        </w:numPr>
        <w:spacing w:before="0" w:after="480"/>
        <w:ind w:left="1080"/>
        <w:jc w:val="both"/>
        <w:rPr>
          <w:rFonts w:ascii="Times New Roman" w:hAnsi="Times New Roman"/>
          <w:b/>
          <w:color w:val="auto"/>
        </w:rPr>
      </w:pPr>
      <w:r w:rsidRPr="005F3FB6">
        <w:rPr>
          <w:rFonts w:ascii="Times New Roman" w:hAnsi="Times New Roman"/>
          <w:color w:val="auto"/>
        </w:rPr>
        <w:lastRenderedPageBreak/>
        <w:t xml:space="preserve">The portion of the utility’s highest monthly demand that is contributed by a customer class will provide a fair representation of the portion of production cost that the utility incurred to serve the class.  For example, if a class constitutes 10% of the load at the times of system peak, it essentially represents 10% of the need for generation capacity and, thus, should be allocated 10% of production </w:t>
      </w:r>
      <w:r>
        <w:rPr>
          <w:rFonts w:ascii="Times New Roman" w:hAnsi="Times New Roman"/>
          <w:color w:val="auto"/>
        </w:rPr>
        <w:t xml:space="preserve">capacity </w:t>
      </w:r>
      <w:r w:rsidRPr="005F3FB6">
        <w:rPr>
          <w:rFonts w:ascii="Times New Roman" w:hAnsi="Times New Roman"/>
          <w:color w:val="auto"/>
        </w:rPr>
        <w:t>costs.</w:t>
      </w:r>
    </w:p>
    <w:p w:rsidR="00DA3E89" w:rsidRPr="00B64DB3" w:rsidRDefault="00DA3E89" w:rsidP="00EA4D30">
      <w:pPr>
        <w:ind w:left="720" w:hanging="720"/>
        <w:jc w:val="both"/>
        <w:rPr>
          <w:rFonts w:eastAsia="Times New Roman"/>
          <w:b/>
          <w:szCs w:val="24"/>
        </w:rPr>
      </w:pPr>
      <w:r w:rsidRPr="00B64DB3">
        <w:rPr>
          <w:rFonts w:eastAsia="Times New Roman"/>
          <w:b/>
          <w:szCs w:val="24"/>
        </w:rPr>
        <w:t>Q</w:t>
      </w:r>
      <w:r>
        <w:rPr>
          <w:rFonts w:eastAsia="Times New Roman"/>
          <w:b/>
          <w:szCs w:val="24"/>
        </w:rPr>
        <w:t>.</w:t>
      </w:r>
      <w:r w:rsidRPr="00B64DB3">
        <w:rPr>
          <w:rFonts w:eastAsia="Times New Roman"/>
          <w:b/>
          <w:szCs w:val="24"/>
        </w:rPr>
        <w:tab/>
        <w:t xml:space="preserve">HAVE YOU HAD AN OPPORTUNITY TO REVIEW </w:t>
      </w:r>
      <w:r>
        <w:rPr>
          <w:rFonts w:eastAsia="Times New Roman"/>
          <w:b/>
          <w:szCs w:val="24"/>
        </w:rPr>
        <w:t>AVISTA</w:t>
      </w:r>
      <w:r w:rsidRPr="00B64DB3">
        <w:rPr>
          <w:rFonts w:eastAsia="Times New Roman"/>
          <w:b/>
          <w:szCs w:val="24"/>
        </w:rPr>
        <w:t xml:space="preserve">’S </w:t>
      </w:r>
      <w:r>
        <w:rPr>
          <w:rFonts w:eastAsia="Times New Roman"/>
          <w:b/>
          <w:szCs w:val="24"/>
        </w:rPr>
        <w:t>HISTORICAL</w:t>
      </w:r>
      <w:r w:rsidRPr="00B64DB3">
        <w:rPr>
          <w:rFonts w:eastAsia="Times New Roman"/>
          <w:b/>
          <w:szCs w:val="24"/>
        </w:rPr>
        <w:t xml:space="preserve"> SYSTEM PEAK LOAD DATA?</w:t>
      </w:r>
    </w:p>
    <w:p w:rsidR="00DA3E89" w:rsidRPr="00953296" w:rsidRDefault="00DA3E89" w:rsidP="00EA4D30">
      <w:pPr>
        <w:pStyle w:val="BlockText"/>
        <w:spacing w:line="480" w:lineRule="auto"/>
        <w:ind w:left="720" w:right="0" w:hanging="720"/>
        <w:rPr>
          <w:rFonts w:ascii="Times New Roman" w:hAnsi="Times New Roman"/>
          <w:sz w:val="24"/>
          <w:szCs w:val="24"/>
        </w:rPr>
      </w:pPr>
      <w:r w:rsidRPr="00B64DB3">
        <w:rPr>
          <w:rFonts w:ascii="Times New Roman" w:eastAsia="Calibri" w:hAnsi="Times New Roman"/>
          <w:b/>
          <w:sz w:val="24"/>
          <w:szCs w:val="22"/>
        </w:rPr>
        <w:t>A</w:t>
      </w:r>
      <w:r>
        <w:rPr>
          <w:rFonts w:ascii="Times New Roman" w:eastAsia="Calibri" w:hAnsi="Times New Roman"/>
          <w:b/>
          <w:sz w:val="24"/>
          <w:szCs w:val="22"/>
        </w:rPr>
        <w:t>.</w:t>
      </w:r>
      <w:r>
        <w:tab/>
      </w:r>
      <w:r w:rsidRPr="00B173A7">
        <w:rPr>
          <w:rFonts w:ascii="Times New Roman" w:hAnsi="Times New Roman"/>
          <w:sz w:val="24"/>
          <w:szCs w:val="24"/>
        </w:rPr>
        <w:t xml:space="preserve">Yes.  </w:t>
      </w:r>
      <w:r>
        <w:rPr>
          <w:rFonts w:ascii="Times New Roman" w:hAnsi="Times New Roman"/>
          <w:sz w:val="24"/>
          <w:szCs w:val="24"/>
        </w:rPr>
        <w:t>These</w:t>
      </w:r>
      <w:r w:rsidRPr="00B173A7">
        <w:rPr>
          <w:rFonts w:ascii="Times New Roman" w:hAnsi="Times New Roman"/>
          <w:sz w:val="24"/>
          <w:szCs w:val="24"/>
        </w:rPr>
        <w:t xml:space="preserve"> load data </w:t>
      </w:r>
      <w:r>
        <w:rPr>
          <w:rFonts w:ascii="Times New Roman" w:hAnsi="Times New Roman"/>
          <w:sz w:val="24"/>
          <w:szCs w:val="24"/>
        </w:rPr>
        <w:t xml:space="preserve">are available in Avista’s annual Federal Energy Regulatory Commission (“FERC”) Form 1 filings.  </w:t>
      </w:r>
      <w:r w:rsidR="004E649D">
        <w:rPr>
          <w:rFonts w:ascii="Times New Roman" w:hAnsi="Times New Roman"/>
          <w:sz w:val="24"/>
          <w:szCs w:val="24"/>
        </w:rPr>
        <w:t>C</w:t>
      </w:r>
      <w:r w:rsidR="004E649D" w:rsidRPr="00B173A7">
        <w:rPr>
          <w:rFonts w:ascii="Times New Roman" w:hAnsi="Times New Roman"/>
          <w:sz w:val="24"/>
          <w:szCs w:val="24"/>
        </w:rPr>
        <w:t>hart</w:t>
      </w:r>
      <w:r w:rsidR="004E649D">
        <w:rPr>
          <w:rFonts w:ascii="Times New Roman" w:hAnsi="Times New Roman"/>
          <w:sz w:val="24"/>
          <w:szCs w:val="24"/>
        </w:rPr>
        <w:t>s</w:t>
      </w:r>
      <w:r w:rsidR="004E649D" w:rsidRPr="00B173A7">
        <w:rPr>
          <w:rFonts w:ascii="Times New Roman" w:hAnsi="Times New Roman"/>
          <w:sz w:val="24"/>
          <w:szCs w:val="24"/>
        </w:rPr>
        <w:t xml:space="preserve"> of the </w:t>
      </w:r>
      <w:r w:rsidR="004E649D">
        <w:rPr>
          <w:rFonts w:ascii="Times New Roman" w:hAnsi="Times New Roman"/>
          <w:sz w:val="24"/>
          <w:szCs w:val="24"/>
        </w:rPr>
        <w:t>historical</w:t>
      </w:r>
      <w:r w:rsidR="004E649D" w:rsidRPr="00B173A7">
        <w:rPr>
          <w:rFonts w:ascii="Times New Roman" w:hAnsi="Times New Roman"/>
          <w:sz w:val="24"/>
          <w:szCs w:val="24"/>
        </w:rPr>
        <w:t xml:space="preserve"> load data</w:t>
      </w:r>
      <w:r w:rsidR="004E649D">
        <w:rPr>
          <w:rFonts w:ascii="Times New Roman" w:hAnsi="Times New Roman"/>
          <w:sz w:val="24"/>
          <w:szCs w:val="24"/>
        </w:rPr>
        <w:t xml:space="preserve"> for the last six calendar years</w:t>
      </w:r>
      <w:r w:rsidR="004E649D" w:rsidRPr="00B173A7">
        <w:rPr>
          <w:rFonts w:ascii="Times New Roman" w:hAnsi="Times New Roman"/>
          <w:sz w:val="24"/>
          <w:szCs w:val="24"/>
        </w:rPr>
        <w:t xml:space="preserve"> are</w:t>
      </w:r>
      <w:r w:rsidRPr="00B173A7">
        <w:rPr>
          <w:rFonts w:ascii="Times New Roman" w:hAnsi="Times New Roman"/>
          <w:sz w:val="24"/>
          <w:szCs w:val="24"/>
        </w:rPr>
        <w:t xml:space="preserve"> shown on </w:t>
      </w:r>
      <w:r>
        <w:rPr>
          <w:rFonts w:ascii="Times New Roman" w:hAnsi="Times New Roman"/>
          <w:sz w:val="24"/>
          <w:szCs w:val="24"/>
        </w:rPr>
        <w:t>Exhibit ___</w:t>
      </w:r>
      <w:proofErr w:type="gramStart"/>
      <w:r>
        <w:rPr>
          <w:rFonts w:ascii="Times New Roman" w:hAnsi="Times New Roman"/>
          <w:sz w:val="24"/>
          <w:szCs w:val="24"/>
        </w:rPr>
        <w:t>_(</w:t>
      </w:r>
      <w:proofErr w:type="gramEnd"/>
      <w:r>
        <w:rPr>
          <w:rFonts w:ascii="Times New Roman" w:hAnsi="Times New Roman"/>
          <w:sz w:val="24"/>
          <w:szCs w:val="24"/>
        </w:rPr>
        <w:t>RR</w:t>
      </w:r>
      <w:r w:rsidRPr="00B6273A">
        <w:rPr>
          <w:rFonts w:ascii="Times New Roman" w:hAnsi="Times New Roman"/>
          <w:sz w:val="24"/>
          <w:szCs w:val="24"/>
        </w:rPr>
        <w:t>S</w:t>
      </w:r>
      <w:r w:rsidRPr="00B6273A">
        <w:rPr>
          <w:rFonts w:ascii="Times New Roman" w:hAnsi="Times New Roman"/>
          <w:sz w:val="24"/>
          <w:szCs w:val="24"/>
        </w:rPr>
        <w:noBreakHyphen/>
        <w:t>3)</w:t>
      </w:r>
      <w:r>
        <w:rPr>
          <w:rFonts w:ascii="Times New Roman" w:hAnsi="Times New Roman"/>
          <w:sz w:val="24"/>
          <w:szCs w:val="24"/>
        </w:rPr>
        <w:t xml:space="preserve">.  These charts </w:t>
      </w:r>
      <w:r w:rsidRPr="00B173A7">
        <w:rPr>
          <w:rFonts w:ascii="Times New Roman" w:hAnsi="Times New Roman"/>
          <w:sz w:val="24"/>
          <w:szCs w:val="24"/>
        </w:rPr>
        <w:t xml:space="preserve">clearly indicate a dominant </w:t>
      </w:r>
      <w:r>
        <w:rPr>
          <w:rFonts w:ascii="Times New Roman" w:hAnsi="Times New Roman"/>
          <w:sz w:val="24"/>
          <w:szCs w:val="24"/>
        </w:rPr>
        <w:t>winter</w:t>
      </w:r>
      <w:r w:rsidRPr="00B173A7">
        <w:rPr>
          <w:rFonts w:ascii="Times New Roman" w:hAnsi="Times New Roman"/>
          <w:sz w:val="24"/>
          <w:szCs w:val="24"/>
        </w:rPr>
        <w:t xml:space="preserve"> peak </w:t>
      </w:r>
      <w:r>
        <w:rPr>
          <w:rFonts w:ascii="Times New Roman" w:hAnsi="Times New Roman"/>
          <w:sz w:val="24"/>
          <w:szCs w:val="24"/>
        </w:rPr>
        <w:t>and, in 2012 (only), two high summer peak</w:t>
      </w:r>
      <w:r w:rsidR="00920C0F">
        <w:rPr>
          <w:rFonts w:ascii="Times New Roman" w:hAnsi="Times New Roman"/>
          <w:sz w:val="24"/>
          <w:szCs w:val="24"/>
        </w:rPr>
        <w:t xml:space="preserve"> month</w:t>
      </w:r>
      <w:r>
        <w:rPr>
          <w:rFonts w:ascii="Times New Roman" w:hAnsi="Times New Roman"/>
          <w:sz w:val="24"/>
          <w:szCs w:val="24"/>
        </w:rPr>
        <w:t>s.</w:t>
      </w:r>
      <w:r w:rsidRPr="00B173A7">
        <w:rPr>
          <w:rFonts w:ascii="Times New Roman" w:hAnsi="Times New Roman"/>
          <w:sz w:val="24"/>
          <w:szCs w:val="24"/>
        </w:rPr>
        <w:t xml:space="preserve">  </w:t>
      </w:r>
      <w:r>
        <w:rPr>
          <w:rFonts w:ascii="Times New Roman" w:hAnsi="Times New Roman"/>
          <w:sz w:val="24"/>
          <w:szCs w:val="24"/>
        </w:rPr>
        <w:t>In 2013, only t</w:t>
      </w:r>
      <w:r w:rsidRPr="00B173A7">
        <w:rPr>
          <w:rFonts w:ascii="Times New Roman" w:hAnsi="Times New Roman"/>
          <w:sz w:val="24"/>
          <w:szCs w:val="24"/>
        </w:rPr>
        <w:t xml:space="preserve">he monthly peak demands during </w:t>
      </w:r>
      <w:r>
        <w:rPr>
          <w:rFonts w:ascii="Times New Roman" w:hAnsi="Times New Roman"/>
          <w:sz w:val="24"/>
          <w:szCs w:val="24"/>
        </w:rPr>
        <w:t>January and July were within 10% of the December peak.</w:t>
      </w:r>
      <w:r w:rsidRPr="001F3FC9">
        <w:rPr>
          <w:rStyle w:val="FootnoteReference"/>
          <w:rFonts w:ascii="Times New Roman" w:hAnsi="Times New Roman"/>
          <w:sz w:val="24"/>
          <w:szCs w:val="24"/>
          <w:u w:val="single"/>
        </w:rPr>
        <w:footnoteReference w:id="9"/>
      </w:r>
      <w:r w:rsidRPr="001F3FC9">
        <w:rPr>
          <w:rFonts w:ascii="Times New Roman" w:hAnsi="Times New Roman"/>
          <w:sz w:val="24"/>
          <w:szCs w:val="24"/>
          <w:vertAlign w:val="superscript"/>
        </w:rPr>
        <w:t>/</w:t>
      </w:r>
      <w:r w:rsidRPr="00B173A7">
        <w:rPr>
          <w:rFonts w:ascii="Times New Roman" w:hAnsi="Times New Roman"/>
          <w:sz w:val="24"/>
          <w:szCs w:val="24"/>
        </w:rPr>
        <w:t xml:space="preserve"> </w:t>
      </w:r>
      <w:r>
        <w:rPr>
          <w:rFonts w:ascii="Times New Roman" w:hAnsi="Times New Roman"/>
          <w:sz w:val="24"/>
          <w:szCs w:val="24"/>
        </w:rPr>
        <w:t xml:space="preserve"> </w:t>
      </w:r>
    </w:p>
    <w:p w:rsidR="00DA3E89" w:rsidRPr="00953296" w:rsidRDefault="00DA3E89" w:rsidP="00EA4D30">
      <w:pPr>
        <w:pStyle w:val="BlockText"/>
        <w:spacing w:line="480" w:lineRule="auto"/>
        <w:ind w:left="720" w:right="0" w:hanging="720"/>
        <w:rPr>
          <w:rFonts w:ascii="Times New Roman" w:hAnsi="Times New Roman"/>
          <w:sz w:val="24"/>
          <w:szCs w:val="24"/>
        </w:rPr>
      </w:pPr>
      <w:r w:rsidRPr="00953296">
        <w:rPr>
          <w:rFonts w:ascii="Times New Roman" w:eastAsia="Calibri" w:hAnsi="Times New Roman"/>
          <w:sz w:val="24"/>
          <w:szCs w:val="22"/>
        </w:rPr>
        <w:tab/>
      </w:r>
      <w:r w:rsidRPr="00953296">
        <w:rPr>
          <w:rFonts w:ascii="Times New Roman" w:eastAsia="Calibri" w:hAnsi="Times New Roman"/>
          <w:sz w:val="24"/>
          <w:szCs w:val="22"/>
        </w:rPr>
        <w:tab/>
        <w:t>Table 1, below, summarizes the number of months in each of the last six calendar years that were within 5% and 10% of the system peak.</w:t>
      </w:r>
    </w:p>
    <w:tbl>
      <w:tblPr>
        <w:tblW w:w="0" w:type="auto"/>
        <w:tblInd w:w="21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2303"/>
        <w:gridCol w:w="2423"/>
      </w:tblGrid>
      <w:tr w:rsidR="00DA3E89" w:rsidRPr="0080362A" w:rsidTr="003C702C">
        <w:tc>
          <w:tcPr>
            <w:tcW w:w="6002" w:type="dxa"/>
            <w:gridSpan w:val="3"/>
          </w:tcPr>
          <w:p w:rsidR="00DA3E89" w:rsidRPr="0080362A" w:rsidRDefault="00DA3E89" w:rsidP="00EA4D30">
            <w:pPr>
              <w:pStyle w:val="BlockText"/>
              <w:pageBreakBefore/>
              <w:spacing w:before="120"/>
              <w:ind w:left="0" w:right="0"/>
              <w:jc w:val="center"/>
              <w:rPr>
                <w:rFonts w:ascii="Times New Roman" w:hAnsi="Times New Roman"/>
                <w:b/>
                <w:sz w:val="24"/>
                <w:szCs w:val="24"/>
              </w:rPr>
            </w:pPr>
            <w:r w:rsidRPr="0080362A">
              <w:rPr>
                <w:rFonts w:ascii="Times New Roman" w:hAnsi="Times New Roman"/>
                <w:b/>
                <w:sz w:val="24"/>
                <w:szCs w:val="24"/>
              </w:rPr>
              <w:lastRenderedPageBreak/>
              <w:t>TABLE 1</w:t>
            </w:r>
          </w:p>
          <w:p w:rsidR="00DA3E89" w:rsidRPr="0080362A" w:rsidRDefault="00DA3E89" w:rsidP="003C702C">
            <w:pPr>
              <w:pStyle w:val="BlockText"/>
              <w:ind w:left="0" w:right="0"/>
              <w:jc w:val="left"/>
              <w:rPr>
                <w:rFonts w:ascii="Times New Roman" w:hAnsi="Times New Roman"/>
                <w:b/>
                <w:sz w:val="24"/>
                <w:szCs w:val="24"/>
              </w:rPr>
            </w:pPr>
          </w:p>
          <w:p w:rsidR="00DA3E89" w:rsidRPr="0080362A" w:rsidRDefault="00DA3E89" w:rsidP="00EA4D30">
            <w:pPr>
              <w:pStyle w:val="BlockText"/>
              <w:ind w:left="0" w:right="0"/>
              <w:jc w:val="center"/>
              <w:rPr>
                <w:rFonts w:ascii="Times New Roman" w:hAnsi="Times New Roman"/>
                <w:b/>
                <w:sz w:val="24"/>
                <w:szCs w:val="24"/>
              </w:rPr>
            </w:pPr>
            <w:r w:rsidRPr="0080362A">
              <w:rPr>
                <w:rFonts w:ascii="Times New Roman" w:hAnsi="Times New Roman"/>
                <w:b/>
                <w:sz w:val="24"/>
                <w:szCs w:val="24"/>
              </w:rPr>
              <w:t>Number of Months In Which Peak</w:t>
            </w:r>
          </w:p>
          <w:p w:rsidR="00DA3E89" w:rsidRPr="0080362A" w:rsidRDefault="00DA3E89" w:rsidP="00EA4D30">
            <w:pPr>
              <w:pStyle w:val="BlockText"/>
              <w:ind w:left="0" w:right="0"/>
              <w:jc w:val="center"/>
              <w:rPr>
                <w:rFonts w:ascii="Times New Roman" w:hAnsi="Times New Roman"/>
                <w:b/>
                <w:sz w:val="24"/>
                <w:szCs w:val="24"/>
                <w:u w:val="single"/>
              </w:rPr>
            </w:pPr>
            <w:r w:rsidRPr="0080362A">
              <w:rPr>
                <w:rFonts w:ascii="Times New Roman" w:hAnsi="Times New Roman"/>
                <w:b/>
                <w:sz w:val="24"/>
                <w:szCs w:val="24"/>
                <w:u w:val="single"/>
              </w:rPr>
              <w:t>Demands Were Near Annual Peak Demands</w:t>
            </w:r>
          </w:p>
          <w:p w:rsidR="00DA3E89" w:rsidRPr="0080362A" w:rsidRDefault="00DA3E89" w:rsidP="003C702C">
            <w:pPr>
              <w:pStyle w:val="BlockText"/>
              <w:ind w:left="0" w:right="0"/>
              <w:jc w:val="left"/>
              <w:rPr>
                <w:rFonts w:ascii="Times New Roman" w:hAnsi="Times New Roman"/>
                <w:sz w:val="24"/>
                <w:szCs w:val="24"/>
              </w:rPr>
            </w:pPr>
          </w:p>
        </w:tc>
      </w:tr>
      <w:tr w:rsidR="00DA3E89" w:rsidRPr="0080362A" w:rsidTr="003C702C">
        <w:tc>
          <w:tcPr>
            <w:tcW w:w="1276" w:type="dxa"/>
          </w:tcPr>
          <w:p w:rsidR="00DA3E89" w:rsidRPr="0080362A" w:rsidRDefault="00DA3E89" w:rsidP="003C702C">
            <w:pPr>
              <w:pStyle w:val="BlockText"/>
              <w:ind w:left="0" w:right="0"/>
              <w:jc w:val="left"/>
              <w:rPr>
                <w:rFonts w:ascii="Times New Roman" w:hAnsi="Times New Roman"/>
                <w:b/>
                <w:sz w:val="24"/>
                <w:szCs w:val="24"/>
                <w:u w:val="single"/>
              </w:rPr>
            </w:pPr>
            <w:r w:rsidRPr="0080362A">
              <w:rPr>
                <w:rFonts w:ascii="Times New Roman" w:hAnsi="Times New Roman"/>
                <w:b/>
                <w:sz w:val="24"/>
                <w:szCs w:val="24"/>
                <w:u w:val="single"/>
              </w:rPr>
              <w:t>   Year   </w:t>
            </w:r>
          </w:p>
          <w:p w:rsidR="00DA3E89" w:rsidRPr="0080362A" w:rsidRDefault="00DA3E89" w:rsidP="003C702C">
            <w:pPr>
              <w:pStyle w:val="BlockText"/>
              <w:ind w:left="0" w:right="0"/>
              <w:jc w:val="left"/>
              <w:rPr>
                <w:rFonts w:ascii="Times New Roman" w:hAnsi="Times New Roman"/>
                <w:b/>
                <w:sz w:val="24"/>
                <w:szCs w:val="24"/>
                <w:u w:val="single"/>
              </w:rPr>
            </w:pPr>
          </w:p>
        </w:tc>
        <w:tc>
          <w:tcPr>
            <w:tcW w:w="2303" w:type="dxa"/>
          </w:tcPr>
          <w:p w:rsidR="00DA3E89" w:rsidRPr="0080362A" w:rsidRDefault="00DA3E89" w:rsidP="003C702C">
            <w:pPr>
              <w:pStyle w:val="BlockText"/>
              <w:ind w:left="0" w:right="0"/>
              <w:jc w:val="left"/>
              <w:rPr>
                <w:rFonts w:ascii="Times New Roman" w:hAnsi="Times New Roman"/>
                <w:b/>
                <w:sz w:val="24"/>
                <w:szCs w:val="24"/>
                <w:u w:val="single"/>
              </w:rPr>
            </w:pPr>
            <w:r w:rsidRPr="0080362A">
              <w:rPr>
                <w:rFonts w:ascii="Times New Roman" w:hAnsi="Times New Roman"/>
                <w:b/>
                <w:sz w:val="24"/>
                <w:szCs w:val="24"/>
                <w:u w:val="single"/>
              </w:rPr>
              <w:t>Within 5% of Peak</w:t>
            </w:r>
          </w:p>
        </w:tc>
        <w:tc>
          <w:tcPr>
            <w:tcW w:w="2423" w:type="dxa"/>
          </w:tcPr>
          <w:p w:rsidR="00DA3E89" w:rsidRPr="0080362A" w:rsidRDefault="00DA3E89" w:rsidP="003C702C">
            <w:pPr>
              <w:pStyle w:val="BlockText"/>
              <w:ind w:left="0" w:right="0"/>
              <w:jc w:val="left"/>
              <w:rPr>
                <w:rFonts w:ascii="Times New Roman" w:hAnsi="Times New Roman"/>
                <w:b/>
                <w:sz w:val="24"/>
                <w:szCs w:val="24"/>
                <w:u w:val="single"/>
              </w:rPr>
            </w:pPr>
            <w:r w:rsidRPr="0080362A">
              <w:rPr>
                <w:rFonts w:ascii="Times New Roman" w:hAnsi="Times New Roman"/>
                <w:b/>
                <w:sz w:val="24"/>
                <w:szCs w:val="24"/>
                <w:u w:val="single"/>
              </w:rPr>
              <w:t>Within 10% of Peak</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2008</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0</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1</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2009</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1</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2010</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0</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3</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2011</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1</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3</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2012</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5</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2013</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0</w:t>
            </w:r>
          </w:p>
        </w:tc>
        <w:tc>
          <w:tcPr>
            <w:tcW w:w="242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w:t>
            </w:r>
          </w:p>
        </w:tc>
      </w:tr>
      <w:tr w:rsidR="00DA3E89" w:rsidRPr="0080362A" w:rsidTr="003C702C">
        <w:tc>
          <w:tcPr>
            <w:tcW w:w="1276"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Test Year</w:t>
            </w:r>
          </w:p>
        </w:tc>
        <w:tc>
          <w:tcPr>
            <w:tcW w:w="2303" w:type="dxa"/>
          </w:tcPr>
          <w:p w:rsidR="00DA3E89" w:rsidRPr="0080362A" w:rsidRDefault="00DA3E89" w:rsidP="00EA4D30">
            <w:pPr>
              <w:pStyle w:val="BlockText"/>
              <w:ind w:left="0" w:right="0"/>
              <w:jc w:val="center"/>
              <w:rPr>
                <w:rFonts w:ascii="Times New Roman" w:hAnsi="Times New Roman"/>
                <w:sz w:val="24"/>
                <w:szCs w:val="24"/>
              </w:rPr>
            </w:pPr>
            <w:r w:rsidRPr="0080362A">
              <w:rPr>
                <w:rFonts w:ascii="Times New Roman" w:hAnsi="Times New Roman"/>
                <w:sz w:val="24"/>
                <w:szCs w:val="24"/>
              </w:rPr>
              <w:t>2</w:t>
            </w:r>
          </w:p>
        </w:tc>
        <w:tc>
          <w:tcPr>
            <w:tcW w:w="2423" w:type="dxa"/>
          </w:tcPr>
          <w:p w:rsidR="00DA3E89" w:rsidRPr="0080362A" w:rsidRDefault="00DA3E89" w:rsidP="00EA4D30">
            <w:pPr>
              <w:pStyle w:val="BlockText"/>
              <w:spacing w:after="120"/>
              <w:ind w:left="0" w:right="0"/>
              <w:jc w:val="center"/>
              <w:rPr>
                <w:rFonts w:ascii="Times New Roman" w:hAnsi="Times New Roman"/>
                <w:sz w:val="24"/>
                <w:szCs w:val="24"/>
              </w:rPr>
            </w:pPr>
            <w:r w:rsidRPr="0080362A">
              <w:rPr>
                <w:rFonts w:ascii="Times New Roman" w:hAnsi="Times New Roman"/>
                <w:sz w:val="24"/>
                <w:szCs w:val="24"/>
              </w:rPr>
              <w:t>4</w:t>
            </w:r>
          </w:p>
        </w:tc>
      </w:tr>
    </w:tbl>
    <w:p w:rsidR="00DA3E89" w:rsidRDefault="00DA3E89" w:rsidP="00DA3E89">
      <w:pPr>
        <w:pStyle w:val="BlockText"/>
        <w:suppressLineNumbers/>
        <w:ind w:left="720" w:right="0" w:hanging="720"/>
        <w:jc w:val="left"/>
        <w:rPr>
          <w:rFonts w:ascii="Times New Roman" w:hAnsi="Times New Roman"/>
          <w:sz w:val="24"/>
          <w:szCs w:val="24"/>
        </w:rPr>
      </w:pPr>
    </w:p>
    <w:p w:rsidR="00DA3E89" w:rsidRPr="001919BD" w:rsidRDefault="00DA3E89" w:rsidP="00EA4D30">
      <w:pPr>
        <w:pStyle w:val="BlockText"/>
        <w:spacing w:line="480" w:lineRule="auto"/>
        <w:ind w:left="720" w:right="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As can be seen from Table 1, Avista has peak demands that are within 10% of the system peak in relatively few months each year, and even fewer are within 5% of the peak.  </w:t>
      </w:r>
    </w:p>
    <w:p w:rsidR="00DA3E89" w:rsidRPr="00B173A7" w:rsidRDefault="00DA3E89" w:rsidP="00EA4D30">
      <w:pPr>
        <w:pStyle w:val="BlockText"/>
        <w:spacing w:line="480" w:lineRule="auto"/>
        <w:ind w:left="720" w:right="0" w:firstLine="720"/>
        <w:rPr>
          <w:rFonts w:ascii="Times New Roman" w:hAnsi="Times New Roman"/>
          <w:sz w:val="24"/>
          <w:szCs w:val="24"/>
        </w:rPr>
      </w:pPr>
      <w:r w:rsidRPr="00B173A7">
        <w:rPr>
          <w:rFonts w:ascii="Times New Roman" w:hAnsi="Times New Roman"/>
          <w:sz w:val="24"/>
          <w:szCs w:val="24"/>
        </w:rPr>
        <w:t xml:space="preserve">Based on the excerpt from the NARUC Manual regarding the selection of multiple coincident peaks, applied to the </w:t>
      </w:r>
      <w:r>
        <w:rPr>
          <w:rFonts w:ascii="Times New Roman" w:hAnsi="Times New Roman"/>
          <w:sz w:val="24"/>
          <w:szCs w:val="24"/>
        </w:rPr>
        <w:t>test year</w:t>
      </w:r>
      <w:r w:rsidRPr="00B173A7">
        <w:rPr>
          <w:rFonts w:ascii="Times New Roman" w:hAnsi="Times New Roman"/>
          <w:sz w:val="24"/>
          <w:szCs w:val="24"/>
        </w:rPr>
        <w:t xml:space="preserve"> peak data, a 3 CP allocation method would reflect the number of monthly peaks within 5% of the annual peak</w:t>
      </w:r>
      <w:r w:rsidR="00920C0F">
        <w:rPr>
          <w:rFonts w:ascii="Times New Roman" w:hAnsi="Times New Roman"/>
          <w:sz w:val="24"/>
          <w:szCs w:val="24"/>
        </w:rPr>
        <w:t xml:space="preserve"> (inclusive)</w:t>
      </w:r>
      <w:r>
        <w:rPr>
          <w:rFonts w:ascii="Times New Roman" w:hAnsi="Times New Roman"/>
          <w:sz w:val="24"/>
          <w:szCs w:val="24"/>
        </w:rPr>
        <w:t>.  A 5</w:t>
      </w:r>
      <w:r w:rsidRPr="00B173A7">
        <w:rPr>
          <w:rFonts w:ascii="Times New Roman" w:hAnsi="Times New Roman"/>
          <w:sz w:val="24"/>
          <w:szCs w:val="24"/>
        </w:rPr>
        <w:t xml:space="preserve"> CP allocation method would reflect the number of monthly peaks within 10% of the annual peak</w:t>
      </w:r>
      <w:r w:rsidR="00920C0F">
        <w:rPr>
          <w:rFonts w:ascii="Times New Roman" w:hAnsi="Times New Roman"/>
          <w:sz w:val="24"/>
          <w:szCs w:val="24"/>
        </w:rPr>
        <w:t xml:space="preserve"> (inclusive)</w:t>
      </w:r>
      <w:r w:rsidRPr="00B173A7">
        <w:rPr>
          <w:rFonts w:ascii="Times New Roman" w:hAnsi="Times New Roman"/>
          <w:sz w:val="24"/>
          <w:szCs w:val="24"/>
        </w:rPr>
        <w:t>.</w:t>
      </w:r>
      <w:r>
        <w:rPr>
          <w:rFonts w:ascii="Times New Roman" w:hAnsi="Times New Roman"/>
          <w:sz w:val="24"/>
          <w:szCs w:val="24"/>
        </w:rPr>
        <w:t xml:space="preserve">  However, 2013 is somewhat anomalous as it actually had </w:t>
      </w:r>
      <w:r>
        <w:rPr>
          <w:rFonts w:ascii="Times New Roman" w:hAnsi="Times New Roman"/>
          <w:sz w:val="24"/>
          <w:szCs w:val="24"/>
          <w:u w:val="single"/>
        </w:rPr>
        <w:t>no</w:t>
      </w:r>
      <w:r>
        <w:rPr>
          <w:rFonts w:ascii="Times New Roman" w:hAnsi="Times New Roman"/>
          <w:sz w:val="24"/>
          <w:szCs w:val="24"/>
        </w:rPr>
        <w:t xml:space="preserve"> months within 5% of the peak and only two months within 10%.</w:t>
      </w:r>
      <w:r w:rsidRPr="00B173A7">
        <w:rPr>
          <w:rFonts w:ascii="Times New Roman" w:hAnsi="Times New Roman"/>
          <w:sz w:val="24"/>
          <w:szCs w:val="24"/>
        </w:rPr>
        <w:t xml:space="preserve">  A 4 CP allocator, which is often supported for allocating</w:t>
      </w:r>
      <w:r w:rsidR="003C702C">
        <w:rPr>
          <w:rFonts w:ascii="Times New Roman" w:hAnsi="Times New Roman"/>
          <w:sz w:val="24"/>
          <w:szCs w:val="24"/>
        </w:rPr>
        <w:t xml:space="preserve"> fixed</w:t>
      </w:r>
      <w:r w:rsidRPr="00B173A7">
        <w:rPr>
          <w:rFonts w:ascii="Times New Roman" w:hAnsi="Times New Roman"/>
          <w:sz w:val="24"/>
          <w:szCs w:val="24"/>
        </w:rPr>
        <w:t xml:space="preserve"> production</w:t>
      </w:r>
      <w:r w:rsidR="003C702C">
        <w:rPr>
          <w:rFonts w:ascii="Times New Roman" w:hAnsi="Times New Roman"/>
          <w:sz w:val="24"/>
          <w:szCs w:val="24"/>
        </w:rPr>
        <w:t xml:space="preserve"> costs</w:t>
      </w:r>
      <w:r w:rsidRPr="00B173A7">
        <w:rPr>
          <w:rFonts w:ascii="Times New Roman" w:hAnsi="Times New Roman"/>
          <w:sz w:val="24"/>
          <w:szCs w:val="24"/>
        </w:rPr>
        <w:t xml:space="preserve">, </w:t>
      </w:r>
      <w:r>
        <w:rPr>
          <w:rFonts w:ascii="Times New Roman" w:hAnsi="Times New Roman"/>
          <w:sz w:val="24"/>
          <w:szCs w:val="24"/>
        </w:rPr>
        <w:t xml:space="preserve">would be reasonable (if not conservative) in this case.  A 4 CP allocator </w:t>
      </w:r>
      <w:r w:rsidRPr="00B173A7">
        <w:rPr>
          <w:rFonts w:ascii="Times New Roman" w:hAnsi="Times New Roman"/>
          <w:sz w:val="24"/>
          <w:szCs w:val="24"/>
        </w:rPr>
        <w:t xml:space="preserve">would include </w:t>
      </w:r>
      <w:r>
        <w:rPr>
          <w:rFonts w:ascii="Times New Roman" w:hAnsi="Times New Roman"/>
          <w:sz w:val="24"/>
          <w:szCs w:val="24"/>
        </w:rPr>
        <w:t>July, August, December and January and, thus, would also match and equally represent the summer and winter peaks exhibited by Avista’s customers</w:t>
      </w:r>
      <w:r w:rsidRPr="00B173A7">
        <w:rPr>
          <w:rFonts w:ascii="Times New Roman" w:hAnsi="Times New Roman"/>
          <w:sz w:val="24"/>
          <w:szCs w:val="24"/>
        </w:rPr>
        <w:t xml:space="preserve">.  </w:t>
      </w:r>
      <w:r>
        <w:rPr>
          <w:rFonts w:ascii="Times New Roman" w:hAnsi="Times New Roman"/>
          <w:sz w:val="24"/>
          <w:szCs w:val="24"/>
        </w:rPr>
        <w:t>This</w:t>
      </w:r>
      <w:r w:rsidRPr="00B173A7">
        <w:rPr>
          <w:rFonts w:ascii="Times New Roman" w:hAnsi="Times New Roman"/>
          <w:sz w:val="24"/>
          <w:szCs w:val="24"/>
        </w:rPr>
        <w:t xml:space="preserve"> allocation method finds greater support in the NARUC Manual than does the </w:t>
      </w:r>
      <w:r>
        <w:rPr>
          <w:rFonts w:ascii="Times New Roman" w:hAnsi="Times New Roman"/>
          <w:sz w:val="24"/>
          <w:szCs w:val="24"/>
        </w:rPr>
        <w:t>12 CP</w:t>
      </w:r>
      <w:r w:rsidRPr="00B173A7">
        <w:rPr>
          <w:rFonts w:ascii="Times New Roman" w:hAnsi="Times New Roman"/>
          <w:sz w:val="24"/>
          <w:szCs w:val="24"/>
        </w:rPr>
        <w:t xml:space="preserve"> </w:t>
      </w:r>
      <w:proofErr w:type="gramStart"/>
      <w:r w:rsidRPr="00B173A7">
        <w:rPr>
          <w:rFonts w:ascii="Times New Roman" w:hAnsi="Times New Roman"/>
          <w:sz w:val="24"/>
          <w:szCs w:val="24"/>
        </w:rPr>
        <w:t>methodology</w:t>
      </w:r>
      <w:proofErr w:type="gramEnd"/>
      <w:r>
        <w:rPr>
          <w:rFonts w:ascii="Times New Roman" w:hAnsi="Times New Roman"/>
          <w:sz w:val="24"/>
          <w:szCs w:val="24"/>
        </w:rPr>
        <w:t xml:space="preserve"> used by Avista, as discussed previously</w:t>
      </w:r>
      <w:r w:rsidRPr="00B173A7">
        <w:rPr>
          <w:rFonts w:ascii="Times New Roman" w:hAnsi="Times New Roman"/>
          <w:sz w:val="24"/>
          <w:szCs w:val="24"/>
        </w:rPr>
        <w:t>.</w:t>
      </w:r>
    </w:p>
    <w:p w:rsidR="00DA3E89" w:rsidRPr="00B173A7" w:rsidRDefault="00DA3E89" w:rsidP="00EA4D30">
      <w:pPr>
        <w:pStyle w:val="BlockText"/>
        <w:spacing w:line="480" w:lineRule="auto"/>
        <w:ind w:left="720" w:right="0" w:firstLine="720"/>
        <w:rPr>
          <w:rFonts w:ascii="Times New Roman" w:hAnsi="Times New Roman"/>
          <w:sz w:val="24"/>
          <w:szCs w:val="24"/>
        </w:rPr>
      </w:pPr>
      <w:r w:rsidRPr="00B173A7">
        <w:rPr>
          <w:rFonts w:ascii="Times New Roman" w:hAnsi="Times New Roman"/>
          <w:sz w:val="24"/>
          <w:szCs w:val="24"/>
        </w:rPr>
        <w:lastRenderedPageBreak/>
        <w:t xml:space="preserve">The Company’s peak demands during the </w:t>
      </w:r>
      <w:r>
        <w:rPr>
          <w:rFonts w:ascii="Times New Roman" w:hAnsi="Times New Roman"/>
          <w:sz w:val="24"/>
          <w:szCs w:val="24"/>
        </w:rPr>
        <w:t>other</w:t>
      </w:r>
      <w:r w:rsidRPr="00B173A7">
        <w:rPr>
          <w:rFonts w:ascii="Times New Roman" w:hAnsi="Times New Roman"/>
          <w:sz w:val="24"/>
          <w:szCs w:val="24"/>
        </w:rPr>
        <w:t xml:space="preserve"> months are forecast to be significantly lower than those that occur during the summer</w:t>
      </w:r>
      <w:r>
        <w:rPr>
          <w:rFonts w:ascii="Times New Roman" w:hAnsi="Times New Roman"/>
          <w:sz w:val="24"/>
          <w:szCs w:val="24"/>
        </w:rPr>
        <w:t xml:space="preserve"> and winter peak</w:t>
      </w:r>
      <w:r w:rsidRPr="00B173A7">
        <w:rPr>
          <w:rFonts w:ascii="Times New Roman" w:hAnsi="Times New Roman"/>
          <w:sz w:val="24"/>
          <w:szCs w:val="24"/>
        </w:rPr>
        <w:t xml:space="preserve"> months.  Therefore, in my opinion and based on the criteria stated in the NARUC Manual, the 12 CP method simply is </w:t>
      </w:r>
      <w:r w:rsidRPr="00B173A7">
        <w:rPr>
          <w:rFonts w:ascii="Times New Roman" w:hAnsi="Times New Roman"/>
          <w:sz w:val="24"/>
          <w:szCs w:val="24"/>
          <w:u w:val="single"/>
        </w:rPr>
        <w:t>not</w:t>
      </w:r>
      <w:r w:rsidRPr="00B173A7">
        <w:rPr>
          <w:rFonts w:ascii="Times New Roman" w:hAnsi="Times New Roman"/>
          <w:sz w:val="24"/>
          <w:szCs w:val="24"/>
        </w:rPr>
        <w:t xml:space="preserve"> justified as t</w:t>
      </w:r>
      <w:r>
        <w:rPr>
          <w:rFonts w:ascii="Times New Roman" w:hAnsi="Times New Roman"/>
          <w:sz w:val="24"/>
          <w:szCs w:val="24"/>
        </w:rPr>
        <w:t>he best demand allocator for the Avista</w:t>
      </w:r>
      <w:r w:rsidRPr="00B173A7">
        <w:rPr>
          <w:rFonts w:ascii="Times New Roman" w:hAnsi="Times New Roman"/>
          <w:sz w:val="24"/>
          <w:szCs w:val="24"/>
        </w:rPr>
        <w:t xml:space="preserve"> system</w:t>
      </w:r>
      <w:r w:rsidR="00AF060A">
        <w:rPr>
          <w:rFonts w:ascii="Times New Roman" w:hAnsi="Times New Roman"/>
          <w:sz w:val="24"/>
          <w:szCs w:val="24"/>
        </w:rPr>
        <w:t>,</w:t>
      </w:r>
      <w:r>
        <w:rPr>
          <w:rFonts w:ascii="Times New Roman" w:hAnsi="Times New Roman"/>
          <w:sz w:val="24"/>
          <w:szCs w:val="24"/>
        </w:rPr>
        <w:t xml:space="preserve"> and a 4 CP method should be used</w:t>
      </w:r>
      <w:r w:rsidRPr="00B173A7">
        <w:rPr>
          <w:rFonts w:ascii="Times New Roman" w:hAnsi="Times New Roman"/>
          <w:sz w:val="24"/>
          <w:szCs w:val="24"/>
        </w:rPr>
        <w:t xml:space="preserve">. </w:t>
      </w:r>
    </w:p>
    <w:p w:rsidR="00DA3E89" w:rsidRPr="00B64DB3" w:rsidRDefault="00DA3E89" w:rsidP="00EA4D30">
      <w:pPr>
        <w:ind w:left="720" w:hanging="720"/>
        <w:jc w:val="both"/>
        <w:rPr>
          <w:rFonts w:eastAsia="Times New Roman"/>
          <w:b/>
          <w:szCs w:val="24"/>
        </w:rPr>
      </w:pPr>
      <w:r w:rsidRPr="00B64DB3">
        <w:rPr>
          <w:rFonts w:eastAsia="Times New Roman"/>
          <w:b/>
          <w:szCs w:val="24"/>
        </w:rPr>
        <w:t>Q</w:t>
      </w:r>
      <w:r>
        <w:rPr>
          <w:rFonts w:eastAsia="Times New Roman"/>
          <w:b/>
          <w:szCs w:val="24"/>
        </w:rPr>
        <w:t>.</w:t>
      </w:r>
      <w:r w:rsidRPr="00B64DB3">
        <w:rPr>
          <w:rFonts w:eastAsia="Times New Roman"/>
          <w:b/>
          <w:szCs w:val="24"/>
        </w:rPr>
        <w:tab/>
        <w:t>CAN YOU ILLUSTRATE THE DIFFERING CUSTOMER PROPORTIONS OF SYSTEM LOAD DURING PEAK MONTHS, AS OPPOSED TO NON</w:t>
      </w:r>
      <w:r>
        <w:rPr>
          <w:rFonts w:eastAsia="Times New Roman"/>
          <w:b/>
          <w:szCs w:val="24"/>
        </w:rPr>
        <w:noBreakHyphen/>
      </w:r>
      <w:r w:rsidRPr="00B64DB3">
        <w:rPr>
          <w:rFonts w:eastAsia="Times New Roman"/>
          <w:b/>
          <w:szCs w:val="24"/>
        </w:rPr>
        <w:t>PEAK MONTHS?</w:t>
      </w:r>
    </w:p>
    <w:p w:rsidR="00DA3E89" w:rsidRPr="00141E73" w:rsidRDefault="00DA3E89" w:rsidP="00EA4D30">
      <w:pPr>
        <w:pStyle w:val="BlockText"/>
        <w:spacing w:line="480" w:lineRule="auto"/>
        <w:ind w:left="720" w:right="0" w:hanging="720"/>
        <w:rPr>
          <w:rFonts w:ascii="Times New Roman" w:hAnsi="Times New Roman"/>
          <w:sz w:val="24"/>
          <w:szCs w:val="24"/>
        </w:rPr>
      </w:pPr>
      <w:r w:rsidRPr="00B64DB3">
        <w:rPr>
          <w:rFonts w:ascii="Times New Roman" w:eastAsia="Calibri" w:hAnsi="Times New Roman"/>
          <w:b/>
          <w:sz w:val="24"/>
          <w:szCs w:val="22"/>
        </w:rPr>
        <w:t>A</w:t>
      </w:r>
      <w:r>
        <w:rPr>
          <w:rFonts w:ascii="Times New Roman" w:eastAsia="Calibri" w:hAnsi="Times New Roman"/>
          <w:b/>
          <w:sz w:val="24"/>
          <w:szCs w:val="22"/>
        </w:rPr>
        <w:t>.</w:t>
      </w:r>
      <w:r>
        <w:tab/>
      </w:r>
      <w:r w:rsidRPr="00141E73">
        <w:rPr>
          <w:rFonts w:ascii="Times New Roman" w:hAnsi="Times New Roman"/>
          <w:sz w:val="24"/>
          <w:szCs w:val="24"/>
        </w:rPr>
        <w:t>Yes.  Figure 1 below shows the major</w:t>
      </w:r>
      <w:r>
        <w:rPr>
          <w:rFonts w:ascii="Times New Roman" w:hAnsi="Times New Roman"/>
          <w:sz w:val="24"/>
          <w:szCs w:val="24"/>
        </w:rPr>
        <w:t xml:space="preserve"> Avista</w:t>
      </w:r>
      <w:r w:rsidRPr="00141E73">
        <w:rPr>
          <w:rFonts w:ascii="Times New Roman" w:hAnsi="Times New Roman"/>
          <w:sz w:val="24"/>
          <w:szCs w:val="24"/>
        </w:rPr>
        <w:t xml:space="preserve"> customer </w:t>
      </w:r>
      <w:r>
        <w:rPr>
          <w:rFonts w:ascii="Times New Roman" w:hAnsi="Times New Roman"/>
          <w:sz w:val="24"/>
          <w:szCs w:val="24"/>
        </w:rPr>
        <w:t>schedules’</w:t>
      </w:r>
      <w:r w:rsidRPr="00141E73">
        <w:rPr>
          <w:rFonts w:ascii="Times New Roman" w:hAnsi="Times New Roman"/>
          <w:sz w:val="24"/>
          <w:szCs w:val="24"/>
        </w:rPr>
        <w:t xml:space="preserve"> contribution to peak load during the </w:t>
      </w:r>
      <w:r>
        <w:rPr>
          <w:rFonts w:ascii="Times New Roman" w:hAnsi="Times New Roman"/>
          <w:sz w:val="24"/>
          <w:szCs w:val="24"/>
        </w:rPr>
        <w:t>Company’s extreme (</w:t>
      </w:r>
      <w:r w:rsidRPr="00141E73">
        <w:rPr>
          <w:rFonts w:ascii="Times New Roman" w:hAnsi="Times New Roman"/>
          <w:sz w:val="24"/>
          <w:szCs w:val="24"/>
        </w:rPr>
        <w:t>i.e.</w:t>
      </w:r>
      <w:r>
        <w:rPr>
          <w:rFonts w:ascii="Times New Roman" w:hAnsi="Times New Roman"/>
          <w:sz w:val="24"/>
          <w:szCs w:val="24"/>
        </w:rPr>
        <w:t>,</w:t>
      </w:r>
      <w:r w:rsidRPr="00141E73">
        <w:rPr>
          <w:rFonts w:ascii="Times New Roman" w:hAnsi="Times New Roman"/>
          <w:sz w:val="24"/>
          <w:szCs w:val="24"/>
        </w:rPr>
        <w:t xml:space="preserve"> highest and lowest</w:t>
      </w:r>
      <w:r>
        <w:rPr>
          <w:rFonts w:ascii="Times New Roman" w:hAnsi="Times New Roman"/>
          <w:sz w:val="24"/>
          <w:szCs w:val="24"/>
        </w:rPr>
        <w:t>)</w:t>
      </w:r>
      <w:r w:rsidRPr="00141E73">
        <w:rPr>
          <w:rFonts w:ascii="Times New Roman" w:hAnsi="Times New Roman"/>
          <w:sz w:val="24"/>
          <w:szCs w:val="24"/>
        </w:rPr>
        <w:t xml:space="preserve">, demand months of July and </w:t>
      </w:r>
      <w:r>
        <w:rPr>
          <w:rFonts w:ascii="Times New Roman" w:hAnsi="Times New Roman"/>
          <w:sz w:val="24"/>
          <w:szCs w:val="24"/>
        </w:rPr>
        <w:t>September</w:t>
      </w:r>
      <w:r w:rsidRPr="00141E73">
        <w:rPr>
          <w:rFonts w:ascii="Times New Roman" w:hAnsi="Times New Roman"/>
          <w:sz w:val="24"/>
          <w:szCs w:val="24"/>
        </w:rPr>
        <w:t>, when its</w:t>
      </w:r>
      <w:r w:rsidR="003C702C">
        <w:rPr>
          <w:rFonts w:ascii="Times New Roman" w:hAnsi="Times New Roman"/>
          <w:sz w:val="24"/>
          <w:szCs w:val="24"/>
        </w:rPr>
        <w:t xml:space="preserve"> test year</w:t>
      </w:r>
      <w:r w:rsidRPr="00141E73">
        <w:rPr>
          <w:rFonts w:ascii="Times New Roman" w:hAnsi="Times New Roman"/>
          <w:sz w:val="24"/>
          <w:szCs w:val="24"/>
        </w:rPr>
        <w:t xml:space="preserve"> system loads are at the maximum and minimum, respectively.  </w:t>
      </w:r>
    </w:p>
    <w:p w:rsidR="00DA3E89" w:rsidRPr="009868F6" w:rsidRDefault="00AD4973" w:rsidP="00EA4D30">
      <w:pPr>
        <w:pStyle w:val="BlockText"/>
        <w:suppressLineNumbers/>
        <w:spacing w:line="480" w:lineRule="auto"/>
        <w:ind w:left="720" w:right="0" w:hanging="720"/>
        <w:jc w:val="center"/>
        <w:rPr>
          <w:rFonts w:ascii="Times New Roman" w:hAnsi="Times New Roman"/>
          <w:b/>
          <w:sz w:val="24"/>
          <w:szCs w:val="24"/>
        </w:rPr>
      </w:pPr>
      <w:r w:rsidRPr="00AD4973">
        <w:rPr>
          <w:rFonts w:ascii="Times New Roman" w:hAnsi="Times New Roman"/>
          <w:b/>
          <w:sz w:val="24"/>
          <w:szCs w:val="24"/>
        </w:rPr>
        <w:t>Figure 1</w:t>
      </w:r>
    </w:p>
    <w:p w:rsidR="00DA3E89" w:rsidRDefault="00DA3E89" w:rsidP="00DA3E89">
      <w:pPr>
        <w:pStyle w:val="BlockText"/>
        <w:suppressLineNumbers/>
        <w:spacing w:line="480" w:lineRule="auto"/>
        <w:ind w:right="0"/>
        <w:jc w:val="left"/>
      </w:pPr>
      <w:r>
        <w:rPr>
          <w:noProof/>
        </w:rPr>
        <w:drawing>
          <wp:inline distT="0" distB="0" distL="0" distR="0" wp14:anchorId="4EBB3CFF" wp14:editId="001FEA58">
            <wp:extent cx="4419600" cy="3209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19600" cy="3209925"/>
                    </a:xfrm>
                    <a:prstGeom prst="rect">
                      <a:avLst/>
                    </a:prstGeom>
                    <a:noFill/>
                    <a:ln w="9525">
                      <a:noFill/>
                      <a:miter lim="800000"/>
                      <a:headEnd/>
                      <a:tailEnd/>
                    </a:ln>
                  </pic:spPr>
                </pic:pic>
              </a:graphicData>
            </a:graphic>
          </wp:inline>
        </w:drawing>
      </w:r>
    </w:p>
    <w:p w:rsidR="00DA3E89" w:rsidRPr="00141E73" w:rsidRDefault="00DA3E89" w:rsidP="001D3D22">
      <w:pPr>
        <w:pStyle w:val="BlockText"/>
        <w:spacing w:line="480" w:lineRule="auto"/>
        <w:ind w:left="907" w:right="0"/>
        <w:rPr>
          <w:rFonts w:ascii="Times New Roman" w:hAnsi="Times New Roman"/>
          <w:sz w:val="24"/>
          <w:szCs w:val="24"/>
        </w:rPr>
      </w:pPr>
      <w:r>
        <w:tab/>
      </w:r>
      <w:r w:rsidRPr="00141E73">
        <w:rPr>
          <w:rFonts w:ascii="Times New Roman" w:hAnsi="Times New Roman"/>
          <w:sz w:val="24"/>
          <w:szCs w:val="24"/>
        </w:rPr>
        <w:t xml:space="preserve">As can be seen from Figure 1, peak loads of </w:t>
      </w:r>
      <w:r>
        <w:rPr>
          <w:rFonts w:ascii="Times New Roman" w:hAnsi="Times New Roman"/>
          <w:sz w:val="24"/>
          <w:szCs w:val="24"/>
        </w:rPr>
        <w:t>Schedule 1 and Schedule 11/12 customer</w:t>
      </w:r>
      <w:r w:rsidRPr="00141E73">
        <w:rPr>
          <w:rFonts w:ascii="Times New Roman" w:hAnsi="Times New Roman"/>
          <w:sz w:val="24"/>
          <w:szCs w:val="24"/>
        </w:rPr>
        <w:t xml:space="preserve"> classes are much higher in July than in </w:t>
      </w:r>
      <w:r>
        <w:rPr>
          <w:rFonts w:ascii="Times New Roman" w:hAnsi="Times New Roman"/>
          <w:sz w:val="24"/>
          <w:szCs w:val="24"/>
        </w:rPr>
        <w:t>September</w:t>
      </w:r>
      <w:r w:rsidRPr="00141E73">
        <w:rPr>
          <w:rFonts w:ascii="Times New Roman" w:hAnsi="Times New Roman"/>
          <w:sz w:val="24"/>
          <w:szCs w:val="24"/>
        </w:rPr>
        <w:t xml:space="preserve">, undoubtedly due </w:t>
      </w:r>
      <w:r w:rsidRPr="00141E73">
        <w:rPr>
          <w:rFonts w:ascii="Times New Roman" w:hAnsi="Times New Roman"/>
          <w:sz w:val="24"/>
          <w:szCs w:val="24"/>
        </w:rPr>
        <w:lastRenderedPageBreak/>
        <w:t xml:space="preserve">primarily to air conditioning, while </w:t>
      </w:r>
      <w:r>
        <w:rPr>
          <w:rFonts w:ascii="Times New Roman" w:hAnsi="Times New Roman"/>
          <w:sz w:val="24"/>
          <w:szCs w:val="24"/>
        </w:rPr>
        <w:t>Schedules 21/22 and 25 are</w:t>
      </w:r>
      <w:r w:rsidRPr="00141E73">
        <w:rPr>
          <w:rFonts w:ascii="Times New Roman" w:hAnsi="Times New Roman"/>
          <w:sz w:val="24"/>
          <w:szCs w:val="24"/>
        </w:rPr>
        <w:t xml:space="preserve"> </w:t>
      </w:r>
      <w:r w:rsidR="003C702C">
        <w:rPr>
          <w:rFonts w:ascii="Times New Roman" w:hAnsi="Times New Roman"/>
          <w:sz w:val="24"/>
          <w:szCs w:val="24"/>
        </w:rPr>
        <w:t>relatively unchanged/flat</w:t>
      </w:r>
      <w:r>
        <w:rPr>
          <w:rFonts w:ascii="Times New Roman" w:hAnsi="Times New Roman"/>
          <w:sz w:val="24"/>
          <w:szCs w:val="24"/>
        </w:rPr>
        <w:t xml:space="preserve">, </w:t>
      </w:r>
      <w:r w:rsidRPr="00141E73">
        <w:rPr>
          <w:rFonts w:ascii="Times New Roman" w:hAnsi="Times New Roman"/>
          <w:sz w:val="24"/>
          <w:szCs w:val="24"/>
        </w:rPr>
        <w:t>in July</w:t>
      </w:r>
      <w:r w:rsidR="003C702C">
        <w:rPr>
          <w:rFonts w:ascii="Times New Roman" w:hAnsi="Times New Roman"/>
          <w:sz w:val="24"/>
          <w:szCs w:val="24"/>
        </w:rPr>
        <w:t xml:space="preserve"> and September</w:t>
      </w:r>
      <w:r w:rsidRPr="00141E73">
        <w:rPr>
          <w:rFonts w:ascii="Times New Roman" w:hAnsi="Times New Roman"/>
          <w:sz w:val="24"/>
          <w:szCs w:val="24"/>
        </w:rPr>
        <w:t xml:space="preserve">.  It is these additional loads of the </w:t>
      </w:r>
      <w:r>
        <w:rPr>
          <w:rFonts w:ascii="Times New Roman" w:hAnsi="Times New Roman"/>
          <w:sz w:val="24"/>
          <w:szCs w:val="24"/>
        </w:rPr>
        <w:t>Schedule 1 and Schedule 11/12</w:t>
      </w:r>
      <w:r w:rsidRPr="00141E73">
        <w:rPr>
          <w:rFonts w:ascii="Times New Roman" w:hAnsi="Times New Roman"/>
          <w:sz w:val="24"/>
          <w:szCs w:val="24"/>
        </w:rPr>
        <w:t xml:space="preserve"> customers that drive the </w:t>
      </w:r>
      <w:r>
        <w:rPr>
          <w:rFonts w:ascii="Times New Roman" w:hAnsi="Times New Roman"/>
          <w:sz w:val="24"/>
          <w:szCs w:val="24"/>
        </w:rPr>
        <w:t xml:space="preserve">peak </w:t>
      </w:r>
      <w:r w:rsidRPr="00141E73">
        <w:rPr>
          <w:rFonts w:ascii="Times New Roman" w:hAnsi="Times New Roman"/>
          <w:sz w:val="24"/>
          <w:szCs w:val="24"/>
        </w:rPr>
        <w:t xml:space="preserve">loads of </w:t>
      </w:r>
      <w:r>
        <w:rPr>
          <w:rFonts w:ascii="Times New Roman" w:hAnsi="Times New Roman"/>
          <w:sz w:val="24"/>
          <w:szCs w:val="24"/>
        </w:rPr>
        <w:t>Avista and the need for generating capacity</w:t>
      </w:r>
      <w:r w:rsidRPr="00141E73">
        <w:rPr>
          <w:rFonts w:ascii="Times New Roman" w:hAnsi="Times New Roman"/>
          <w:sz w:val="24"/>
          <w:szCs w:val="24"/>
        </w:rPr>
        <w:t>.</w:t>
      </w:r>
    </w:p>
    <w:p w:rsidR="00DA3E89" w:rsidRPr="00B64DB3" w:rsidRDefault="00DA3E89" w:rsidP="001D3D22">
      <w:pPr>
        <w:ind w:left="720" w:hanging="720"/>
        <w:jc w:val="both"/>
        <w:rPr>
          <w:rFonts w:eastAsia="Times New Roman"/>
          <w:b/>
          <w:szCs w:val="24"/>
        </w:rPr>
      </w:pPr>
      <w:r w:rsidRPr="00B64DB3">
        <w:rPr>
          <w:rFonts w:eastAsia="Times New Roman"/>
          <w:b/>
          <w:szCs w:val="24"/>
        </w:rPr>
        <w:t>Q</w:t>
      </w:r>
      <w:r>
        <w:rPr>
          <w:rFonts w:eastAsia="Times New Roman"/>
          <w:b/>
          <w:szCs w:val="24"/>
        </w:rPr>
        <w:t>.</w:t>
      </w:r>
      <w:r w:rsidRPr="00B64DB3">
        <w:rPr>
          <w:rFonts w:eastAsia="Times New Roman"/>
          <w:b/>
          <w:szCs w:val="24"/>
        </w:rPr>
        <w:tab/>
      </w:r>
      <w:r>
        <w:rPr>
          <w:rFonts w:eastAsia="Times New Roman"/>
          <w:b/>
          <w:szCs w:val="24"/>
        </w:rPr>
        <w:t xml:space="preserve">PLEASE COMMENT ON THE PEAK CREDIT METHOD OF CLASSIFICATION OF PRODUCTION COSTS.  </w:t>
      </w:r>
    </w:p>
    <w:p w:rsidR="00DA3E89" w:rsidRDefault="00DA3E89" w:rsidP="001D3D22">
      <w:pPr>
        <w:spacing w:after="0" w:line="480" w:lineRule="auto"/>
        <w:ind w:left="720" w:hanging="720"/>
        <w:jc w:val="both"/>
      </w:pPr>
      <w:r w:rsidRPr="00B64DB3">
        <w:rPr>
          <w:b/>
        </w:rPr>
        <w:t>A</w:t>
      </w:r>
      <w:r>
        <w:rPr>
          <w:b/>
        </w:rPr>
        <w:t>.</w:t>
      </w:r>
      <w:r>
        <w:rPr>
          <w:b/>
        </w:rPr>
        <w:tab/>
      </w:r>
      <w:r>
        <w:t xml:space="preserve">I do not agree with the Peak Credit method used to classify production costs between demand and energy components, as proposed by Avista. This approach is more commonly referred to as the “peak and average demand” method and is </w:t>
      </w:r>
      <w:r w:rsidR="003C702C">
        <w:t>given little discussion</w:t>
      </w:r>
      <w:r>
        <w:t xml:space="preserve"> in the NARUC Manual.  While I do not have the complete history of its use in Avista cases, typically the use of this type of method for classification or allocation of production costs is based on a perceived trade-off between capacity investment and fuel savings. In my opinion, this classification inappropriately assigns far too much weight to energy usage as a basis for assigning production costs.  </w:t>
      </w:r>
    </w:p>
    <w:p w:rsidR="00DA3E89" w:rsidRDefault="00DA3E89" w:rsidP="001D3D22">
      <w:pPr>
        <w:spacing w:after="0" w:line="480" w:lineRule="auto"/>
        <w:ind w:left="720" w:hanging="720"/>
        <w:jc w:val="both"/>
      </w:pPr>
      <w:r>
        <w:rPr>
          <w:b/>
        </w:rPr>
        <w:tab/>
      </w:r>
      <w:r>
        <w:rPr>
          <w:b/>
        </w:rPr>
        <w:tab/>
      </w:r>
      <w:r>
        <w:t xml:space="preserve">In considering how Avista classifies and allocates production plant, and considering the peak demands of the various rate schedules, it is clear that not enough production capacity is assigned to </w:t>
      </w:r>
      <w:r w:rsidR="003C702C">
        <w:t>some of the rate</w:t>
      </w:r>
      <w:r>
        <w:t xml:space="preserve"> schedules</w:t>
      </w:r>
      <w:r w:rsidR="003C702C">
        <w:t xml:space="preserve"> and too much is allocated to others</w:t>
      </w:r>
      <w:r>
        <w:t>.  This is illustrated in Exhibit No. __</w:t>
      </w:r>
      <w:r w:rsidRPr="00B6273A">
        <w:t>_</w:t>
      </w:r>
      <w:proofErr w:type="gramStart"/>
      <w:r w:rsidRPr="00B6273A">
        <w:t>_(</w:t>
      </w:r>
      <w:proofErr w:type="gramEnd"/>
      <w:r w:rsidRPr="00B6273A">
        <w:t>RRS-</w:t>
      </w:r>
      <w:r>
        <w:t>4</w:t>
      </w:r>
      <w:r w:rsidRPr="00B6273A">
        <w:t>) whic</w:t>
      </w:r>
      <w:r>
        <w:t xml:space="preserve">h shows the equivalent amount of capacity </w:t>
      </w:r>
      <w:r w:rsidR="003C702C">
        <w:t xml:space="preserve">allocated </w:t>
      </w:r>
      <w:r>
        <w:t>to customer rate schedules, as compared to their peak demands.</w:t>
      </w:r>
      <w:r w:rsidRPr="001F3FC9">
        <w:rPr>
          <w:rStyle w:val="FootnoteReference"/>
          <w:u w:val="single"/>
        </w:rPr>
        <w:footnoteReference w:id="10"/>
      </w:r>
      <w:proofErr w:type="gramStart"/>
      <w:r w:rsidRPr="001F3FC9">
        <w:rPr>
          <w:vertAlign w:val="superscript"/>
        </w:rPr>
        <w:t>/</w:t>
      </w:r>
      <w:r>
        <w:t xml:space="preserve">  As</w:t>
      </w:r>
      <w:proofErr w:type="gramEnd"/>
      <w:r>
        <w:t xml:space="preserve"> shown in this exhibit, Schedule 25 is allocated considerably more capacity than its peak demand warrants, while Schedule 1, for example, is not assigned enough capacity to meet its</w:t>
      </w:r>
      <w:r w:rsidR="003C702C">
        <w:t xml:space="preserve"> capacity</w:t>
      </w:r>
      <w:r>
        <w:t xml:space="preserve"> needs.</w:t>
      </w:r>
      <w:r w:rsidR="003C702C">
        <w:t xml:space="preserve">  Figure 1 below graphically </w:t>
      </w:r>
      <w:r w:rsidR="00920C0F">
        <w:lastRenderedPageBreak/>
        <w:t xml:space="preserve">depicts </w:t>
      </w:r>
      <w:r w:rsidR="003C702C">
        <w:t>th</w:t>
      </w:r>
      <w:r w:rsidR="00AD3131">
        <w:t>e results</w:t>
      </w:r>
      <w:r w:rsidR="003C702C">
        <w:t xml:space="preserve"> of Exhibit No. __</w:t>
      </w:r>
      <w:proofErr w:type="gramStart"/>
      <w:r w:rsidR="003C702C">
        <w:t>_(</w:t>
      </w:r>
      <w:proofErr w:type="gramEnd"/>
      <w:r w:rsidR="003C702C">
        <w:t>RRS-4).</w:t>
      </w:r>
      <w:r>
        <w:t xml:space="preserve">  This highlights a major weakness of the Peak Credit method.</w:t>
      </w:r>
    </w:p>
    <w:p w:rsidR="00AD4973" w:rsidRPr="00AD4973" w:rsidRDefault="00AD4973" w:rsidP="00AD4973">
      <w:pPr>
        <w:pStyle w:val="BlockText"/>
        <w:suppressLineNumbers/>
        <w:spacing w:line="480" w:lineRule="auto"/>
        <w:ind w:left="720" w:right="0" w:hanging="720"/>
        <w:jc w:val="center"/>
        <w:rPr>
          <w:b/>
          <w:szCs w:val="24"/>
        </w:rPr>
      </w:pPr>
      <w:r w:rsidRPr="00AD4973">
        <w:rPr>
          <w:rFonts w:ascii="Times New Roman" w:hAnsi="Times New Roman"/>
          <w:b/>
          <w:sz w:val="24"/>
          <w:szCs w:val="24"/>
        </w:rPr>
        <w:t>Figure 2</w:t>
      </w:r>
    </w:p>
    <w:p w:rsidR="00DA3E89" w:rsidRDefault="00167DDB" w:rsidP="00DA3E89">
      <w:pPr>
        <w:spacing w:after="0" w:line="480" w:lineRule="auto"/>
        <w:ind w:left="720" w:hanging="720"/>
      </w:pPr>
      <w:r>
        <w:rPr>
          <w:noProof/>
        </w:rPr>
        <w:drawing>
          <wp:inline distT="0" distB="0" distL="0" distR="0" wp14:anchorId="58F41933" wp14:editId="277796E4">
            <wp:extent cx="5760720" cy="417984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60720" cy="4179842"/>
                    </a:xfrm>
                    <a:prstGeom prst="rect">
                      <a:avLst/>
                    </a:prstGeom>
                    <a:noFill/>
                    <a:ln w="9525">
                      <a:noFill/>
                      <a:miter lim="800000"/>
                      <a:headEnd/>
                      <a:tailEnd/>
                    </a:ln>
                  </pic:spPr>
                </pic:pic>
              </a:graphicData>
            </a:graphic>
          </wp:inline>
        </w:drawing>
      </w:r>
    </w:p>
    <w:p w:rsidR="00DA3E89" w:rsidRDefault="00DA3E89" w:rsidP="001D3D22">
      <w:pPr>
        <w:keepNext/>
        <w:ind w:left="720" w:hanging="720"/>
        <w:jc w:val="both"/>
      </w:pPr>
      <w:r>
        <w:rPr>
          <w:b/>
        </w:rPr>
        <w:t>Q.</w:t>
      </w:r>
      <w:r>
        <w:rPr>
          <w:b/>
        </w:rPr>
        <w:tab/>
        <w:t>WHAT CLASSIFICATION OR ALLOCATION METHODOLOGY DO YOU RECOMMEND FOR PRODUCTION INVESTMENT IN THIS CASE?</w:t>
      </w:r>
    </w:p>
    <w:p w:rsidR="00DA3E89" w:rsidRPr="006241C7" w:rsidRDefault="00DA3E89" w:rsidP="001D3D22">
      <w:pPr>
        <w:keepNext/>
        <w:spacing w:after="0" w:line="480" w:lineRule="auto"/>
        <w:ind w:left="720" w:hanging="720"/>
        <w:jc w:val="both"/>
        <w:rPr>
          <w:vertAlign w:val="superscript"/>
        </w:rPr>
      </w:pPr>
      <w:r>
        <w:rPr>
          <w:b/>
        </w:rPr>
        <w:t>A.</w:t>
      </w:r>
      <w:r>
        <w:tab/>
        <w:t>Because production investment is primarily</w:t>
      </w:r>
      <w:r w:rsidR="00CC6FFF">
        <w:t xml:space="preserve"> due to the need for and the size of</w:t>
      </w:r>
      <w:r>
        <w:t xml:space="preserve"> the peak demands of customers, it should be assigned to customer classes exclusively, or at least primarily, on those classes’ contribution to utility system peaks.  Allocation by this method has widespread support in the industry and is, in my view, a better reflection of cost causation than allocation methods that utilize energy usage to any significant degree.  </w:t>
      </w:r>
      <w:r w:rsidRPr="00554856">
        <w:t xml:space="preserve">Furthermore, even when energy usage (as measured by average </w:t>
      </w:r>
      <w:r w:rsidRPr="00554856">
        <w:lastRenderedPageBreak/>
        <w:t>demand) is utilized, a far more appropriate and typical approach is the “average an</w:t>
      </w:r>
      <w:r>
        <w:t>d excess demand” method.</w:t>
      </w:r>
      <w:r w:rsidRPr="006241C7">
        <w:rPr>
          <w:rStyle w:val="FootnoteReference"/>
          <w:u w:val="single"/>
        </w:rPr>
        <w:footnoteReference w:id="11"/>
      </w:r>
      <w:r>
        <w:rPr>
          <w:vertAlign w:val="superscript"/>
        </w:rPr>
        <w:t>/</w:t>
      </w:r>
    </w:p>
    <w:p w:rsidR="00DA3E89" w:rsidRDefault="00DA3E89" w:rsidP="001D3D22">
      <w:pPr>
        <w:keepNext/>
        <w:spacing w:after="0" w:line="480" w:lineRule="auto"/>
        <w:ind w:left="720" w:firstLine="720"/>
        <w:jc w:val="both"/>
      </w:pPr>
      <w:r>
        <w:t xml:space="preserve">However, I am advised that the Peak Credit method </w:t>
      </w:r>
      <w:r w:rsidR="00AF060A">
        <w:t>has been used for Avista for some time</w:t>
      </w:r>
      <w:r>
        <w:t xml:space="preserve">.  Assuming the Commission is not constrained to utilize the peak credit method due to its prior use, I recommend it not be used in this case.  On the other hand, if the Commission is constrained to utilize the peak credit method, I recommend that it be refined in its application.  </w:t>
      </w:r>
    </w:p>
    <w:p w:rsidR="00DA3E89" w:rsidRDefault="00DA3E89" w:rsidP="001D3D22">
      <w:pPr>
        <w:ind w:left="720" w:hanging="720"/>
        <w:jc w:val="both"/>
        <w:rPr>
          <w:b/>
        </w:rPr>
      </w:pPr>
      <w:r>
        <w:rPr>
          <w:b/>
        </w:rPr>
        <w:t>Q.</w:t>
      </w:r>
      <w:r>
        <w:rPr>
          <w:b/>
        </w:rPr>
        <w:tab/>
        <w:t>IF THE PEAK CREDIT CLASSIFICATION IS ADOPTED, HOW WOULD YOU RECOMMEND THAT THE APPROACH BE REFINED?</w:t>
      </w:r>
    </w:p>
    <w:p w:rsidR="00DA3E89" w:rsidRDefault="00DA3E89" w:rsidP="001D3D22">
      <w:pPr>
        <w:spacing w:line="480" w:lineRule="auto"/>
        <w:ind w:left="720" w:hanging="720"/>
        <w:jc w:val="both"/>
      </w:pPr>
      <w:r>
        <w:rPr>
          <w:b/>
        </w:rPr>
        <w:t>A.</w:t>
      </w:r>
      <w:r>
        <w:rPr>
          <w:b/>
        </w:rPr>
        <w:tab/>
      </w:r>
      <w:r>
        <w:t>In that case, the heavy reliance on energy usage in assigning costs (69%) highlights the critical need to refine the demand allocator used for capacity costs.  As mentioned, the Avista electric system exhibits a predominant winter peak and, recently, summer peak.  Therefore, any method of cost allocation that considers loads in hours that do not contribute to the need for new generation, or any energy</w:t>
      </w:r>
      <w:r>
        <w:noBreakHyphen/>
        <w:t>based method</w:t>
      </w:r>
      <w:proofErr w:type="gramStart"/>
      <w:r>
        <w:t>,</w:t>
      </w:r>
      <w:proofErr w:type="gramEnd"/>
      <w:r w:rsidRPr="001F3FC9">
        <w:rPr>
          <w:rStyle w:val="FootnoteReference"/>
          <w:u w:val="single"/>
        </w:rPr>
        <w:footnoteReference w:id="12"/>
      </w:r>
      <w:r w:rsidRPr="001F3FC9">
        <w:rPr>
          <w:vertAlign w:val="superscript"/>
        </w:rPr>
        <w:t>/</w:t>
      </w:r>
      <w:r>
        <w:t xml:space="preserve"> does not adequately account for the dominant system peaks, fails to reflect the actual load characteristics of the Avista system, and fails to properly reflect class responsibility for production investment.  Thus, for Avista, a 4 CP is a more appropriate allocation method for demand-related production costs.  This is true in the context of a full allocation of production investment or as used in conjunction with the Peak Credit classification approach.  </w:t>
      </w:r>
    </w:p>
    <w:p w:rsidR="00DA3E89" w:rsidRPr="00B64DB3" w:rsidRDefault="00DA3E89" w:rsidP="00AF060A">
      <w:pPr>
        <w:keepNext/>
        <w:ind w:left="720" w:hanging="720"/>
        <w:jc w:val="both"/>
        <w:rPr>
          <w:rFonts w:eastAsia="Times New Roman"/>
          <w:b/>
          <w:szCs w:val="24"/>
        </w:rPr>
      </w:pPr>
      <w:r w:rsidRPr="00B64DB3">
        <w:rPr>
          <w:rFonts w:eastAsia="Times New Roman"/>
          <w:b/>
          <w:szCs w:val="24"/>
        </w:rPr>
        <w:lastRenderedPageBreak/>
        <w:t>Q</w:t>
      </w:r>
      <w:r>
        <w:rPr>
          <w:rFonts w:eastAsia="Times New Roman"/>
          <w:b/>
          <w:szCs w:val="24"/>
        </w:rPr>
        <w:t>.</w:t>
      </w:r>
      <w:r w:rsidRPr="00B64DB3">
        <w:rPr>
          <w:rFonts w:eastAsia="Times New Roman"/>
          <w:b/>
          <w:szCs w:val="24"/>
        </w:rPr>
        <w:tab/>
      </w:r>
      <w:r>
        <w:rPr>
          <w:rFonts w:eastAsia="Times New Roman"/>
          <w:b/>
          <w:szCs w:val="24"/>
        </w:rPr>
        <w:t>HAVE YOU CALCULATED</w:t>
      </w:r>
      <w:r w:rsidRPr="00B64DB3">
        <w:rPr>
          <w:rFonts w:eastAsia="Times New Roman"/>
          <w:b/>
          <w:szCs w:val="24"/>
        </w:rPr>
        <w:t xml:space="preserve"> THE 4 CP ALLOCATION FACTORS NECESSARY TO APPROPRIATELY ALLOCATE </w:t>
      </w:r>
      <w:r>
        <w:rPr>
          <w:rFonts w:eastAsia="Times New Roman"/>
          <w:b/>
          <w:szCs w:val="24"/>
        </w:rPr>
        <w:t xml:space="preserve">DEMAND-RELATED </w:t>
      </w:r>
      <w:r w:rsidRPr="00B64DB3">
        <w:rPr>
          <w:rFonts w:eastAsia="Times New Roman"/>
          <w:b/>
          <w:szCs w:val="24"/>
        </w:rPr>
        <w:t xml:space="preserve">PRODUCTION COSTS IN </w:t>
      </w:r>
      <w:r>
        <w:rPr>
          <w:rFonts w:eastAsia="Times New Roman"/>
          <w:b/>
          <w:szCs w:val="24"/>
        </w:rPr>
        <w:t>AVISTA’S</w:t>
      </w:r>
      <w:r w:rsidRPr="00B64DB3">
        <w:rPr>
          <w:rFonts w:eastAsia="Times New Roman"/>
          <w:b/>
          <w:szCs w:val="24"/>
        </w:rPr>
        <w:t xml:space="preserve"> ECOS STUDY?</w:t>
      </w:r>
    </w:p>
    <w:p w:rsidR="00DA3E89" w:rsidRDefault="00DA3E89" w:rsidP="001D3D22">
      <w:pPr>
        <w:spacing w:after="0" w:line="480" w:lineRule="auto"/>
        <w:ind w:left="720" w:hanging="720"/>
        <w:jc w:val="both"/>
      </w:pPr>
      <w:r w:rsidRPr="00B64DB3">
        <w:rPr>
          <w:b/>
        </w:rPr>
        <w:t>A</w:t>
      </w:r>
      <w:r>
        <w:rPr>
          <w:b/>
        </w:rPr>
        <w:t>.</w:t>
      </w:r>
      <w:r>
        <w:tab/>
        <w:t>Yes.  These allocation factors, along with Avista’s proposed 12 CP allocation factors, are shown in Table 2, for each of the Avista rate schedules in the ECOS study, and allow for ready comparison across the allocation methods.</w:t>
      </w:r>
    </w:p>
    <w:tbl>
      <w:tblPr>
        <w:tblW w:w="3935" w:type="dxa"/>
        <w:jc w:val="center"/>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3"/>
        <w:gridCol w:w="1196"/>
        <w:gridCol w:w="1196"/>
      </w:tblGrid>
      <w:tr w:rsidR="00DA3E89" w:rsidRPr="0080362A" w:rsidTr="003C702C">
        <w:trPr>
          <w:trHeight w:val="315"/>
          <w:jc w:val="center"/>
        </w:trPr>
        <w:tc>
          <w:tcPr>
            <w:tcW w:w="3935" w:type="dxa"/>
            <w:gridSpan w:val="3"/>
            <w:shd w:val="clear" w:color="auto" w:fill="auto"/>
            <w:noWrap/>
            <w:vAlign w:val="bottom"/>
            <w:hideMark/>
          </w:tcPr>
          <w:p w:rsidR="00DA3E89" w:rsidRDefault="00DA3E89" w:rsidP="001D3D22">
            <w:pPr>
              <w:spacing w:before="120" w:after="0"/>
              <w:jc w:val="center"/>
              <w:rPr>
                <w:rFonts w:eastAsia="Times New Roman"/>
                <w:b/>
                <w:bCs/>
                <w:szCs w:val="24"/>
              </w:rPr>
            </w:pPr>
            <w:r w:rsidRPr="004860F1">
              <w:rPr>
                <w:rFonts w:eastAsia="Times New Roman"/>
                <w:b/>
                <w:bCs/>
                <w:szCs w:val="24"/>
              </w:rPr>
              <w:t>TABLE 2</w:t>
            </w:r>
          </w:p>
          <w:p w:rsidR="00DA3E89" w:rsidRPr="004860F1" w:rsidRDefault="00DA3E89" w:rsidP="003C702C">
            <w:pPr>
              <w:spacing w:after="0"/>
              <w:rPr>
                <w:rFonts w:eastAsia="Times New Roman"/>
                <w:b/>
                <w:bCs/>
                <w:szCs w:val="24"/>
              </w:rPr>
            </w:pPr>
          </w:p>
        </w:tc>
      </w:tr>
      <w:tr w:rsidR="00DA3E89" w:rsidRPr="0080362A" w:rsidTr="003C702C">
        <w:trPr>
          <w:trHeight w:val="285"/>
          <w:jc w:val="center"/>
        </w:trPr>
        <w:tc>
          <w:tcPr>
            <w:tcW w:w="3935" w:type="dxa"/>
            <w:gridSpan w:val="3"/>
            <w:shd w:val="clear" w:color="auto" w:fill="auto"/>
            <w:noWrap/>
            <w:vAlign w:val="bottom"/>
            <w:hideMark/>
          </w:tcPr>
          <w:p w:rsidR="00DA3E89" w:rsidRPr="004860F1" w:rsidRDefault="00DA3E89" w:rsidP="003C702C">
            <w:pPr>
              <w:spacing w:after="0"/>
              <w:rPr>
                <w:rFonts w:eastAsia="Times New Roman"/>
                <w:b/>
                <w:bCs/>
                <w:szCs w:val="24"/>
                <w:u w:val="single"/>
              </w:rPr>
            </w:pPr>
            <w:r w:rsidRPr="004860F1">
              <w:rPr>
                <w:rFonts w:eastAsia="Times New Roman"/>
                <w:b/>
                <w:bCs/>
                <w:szCs w:val="24"/>
                <w:u w:val="single"/>
              </w:rPr>
              <w:t>Production Allocation Comparison</w:t>
            </w:r>
          </w:p>
        </w:tc>
      </w:tr>
      <w:tr w:rsidR="00DA3E89" w:rsidRPr="0080362A" w:rsidTr="003C702C">
        <w:trPr>
          <w:trHeight w:val="285"/>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p>
        </w:tc>
        <w:tc>
          <w:tcPr>
            <w:tcW w:w="1196" w:type="dxa"/>
            <w:shd w:val="clear" w:color="auto" w:fill="auto"/>
            <w:noWrap/>
            <w:vAlign w:val="bottom"/>
            <w:hideMark/>
          </w:tcPr>
          <w:p w:rsidR="00DA3E89" w:rsidRPr="004860F1" w:rsidRDefault="00DA3E89" w:rsidP="003C702C">
            <w:pPr>
              <w:spacing w:after="0"/>
              <w:rPr>
                <w:rFonts w:eastAsia="Times New Roman"/>
                <w:b/>
                <w:bCs/>
                <w:szCs w:val="24"/>
              </w:rPr>
            </w:pPr>
          </w:p>
        </w:tc>
        <w:tc>
          <w:tcPr>
            <w:tcW w:w="1196" w:type="dxa"/>
            <w:shd w:val="clear" w:color="auto" w:fill="auto"/>
            <w:noWrap/>
            <w:vAlign w:val="bottom"/>
            <w:hideMark/>
          </w:tcPr>
          <w:p w:rsidR="00DA3E89" w:rsidRPr="004860F1" w:rsidRDefault="00DA3E89" w:rsidP="003C702C">
            <w:pPr>
              <w:spacing w:after="0"/>
              <w:rPr>
                <w:rFonts w:eastAsia="Times New Roman"/>
                <w:szCs w:val="24"/>
              </w:rPr>
            </w:pPr>
          </w:p>
        </w:tc>
      </w:tr>
      <w:tr w:rsidR="00DA3E89" w:rsidRPr="0080362A" w:rsidTr="003C702C">
        <w:trPr>
          <w:trHeight w:val="285"/>
          <w:jc w:val="center"/>
        </w:trPr>
        <w:tc>
          <w:tcPr>
            <w:tcW w:w="1543" w:type="dxa"/>
            <w:shd w:val="clear" w:color="auto" w:fill="auto"/>
            <w:noWrap/>
            <w:vAlign w:val="bottom"/>
            <w:hideMark/>
          </w:tcPr>
          <w:p w:rsidR="00DA3E89" w:rsidRPr="004860F1" w:rsidRDefault="00DA3E89" w:rsidP="003C702C">
            <w:pPr>
              <w:spacing w:after="0"/>
              <w:rPr>
                <w:rFonts w:eastAsia="Times New Roman"/>
                <w:b/>
                <w:bCs/>
                <w:szCs w:val="24"/>
                <w:u w:val="single"/>
              </w:rPr>
            </w:pPr>
            <w:r w:rsidRPr="004860F1">
              <w:rPr>
                <w:rFonts w:eastAsia="Times New Roman"/>
                <w:b/>
                <w:bCs/>
                <w:szCs w:val="24"/>
                <w:u w:val="single"/>
              </w:rPr>
              <w:t>     Class      </w:t>
            </w:r>
          </w:p>
        </w:tc>
        <w:tc>
          <w:tcPr>
            <w:tcW w:w="1196" w:type="dxa"/>
            <w:shd w:val="clear" w:color="auto" w:fill="auto"/>
            <w:noWrap/>
            <w:vAlign w:val="bottom"/>
            <w:hideMark/>
          </w:tcPr>
          <w:p w:rsidR="00DA3E89" w:rsidRPr="004860F1" w:rsidRDefault="00DA3E89" w:rsidP="003C702C">
            <w:pPr>
              <w:spacing w:after="0"/>
              <w:rPr>
                <w:rFonts w:eastAsia="Times New Roman"/>
                <w:b/>
                <w:bCs/>
                <w:szCs w:val="24"/>
                <w:u w:val="single"/>
              </w:rPr>
            </w:pPr>
            <w:r w:rsidRPr="004860F1">
              <w:rPr>
                <w:rFonts w:eastAsia="Times New Roman"/>
                <w:b/>
                <w:bCs/>
                <w:szCs w:val="24"/>
                <w:u w:val="single"/>
              </w:rPr>
              <w:t>   4 CP   </w:t>
            </w:r>
          </w:p>
        </w:tc>
        <w:tc>
          <w:tcPr>
            <w:tcW w:w="1196" w:type="dxa"/>
            <w:shd w:val="clear" w:color="auto" w:fill="auto"/>
            <w:noWrap/>
            <w:vAlign w:val="bottom"/>
            <w:hideMark/>
          </w:tcPr>
          <w:p w:rsidR="00DA3E89" w:rsidRPr="004860F1" w:rsidRDefault="00DA3E89" w:rsidP="003C702C">
            <w:pPr>
              <w:spacing w:after="0"/>
              <w:rPr>
                <w:rFonts w:eastAsia="Times New Roman"/>
                <w:b/>
                <w:bCs/>
                <w:szCs w:val="24"/>
                <w:u w:val="single"/>
              </w:rPr>
            </w:pPr>
            <w:r w:rsidRPr="004860F1">
              <w:rPr>
                <w:rFonts w:eastAsia="Times New Roman"/>
                <w:b/>
                <w:bCs/>
                <w:szCs w:val="24"/>
                <w:u w:val="single"/>
              </w:rPr>
              <w:t xml:space="preserve">  12 CP  </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u w:val="single"/>
              </w:rPr>
            </w:pPr>
          </w:p>
        </w:tc>
        <w:tc>
          <w:tcPr>
            <w:tcW w:w="1196" w:type="dxa"/>
            <w:shd w:val="clear" w:color="auto" w:fill="auto"/>
            <w:noWrap/>
            <w:vAlign w:val="bottom"/>
            <w:hideMark/>
          </w:tcPr>
          <w:p w:rsidR="00DA3E89" w:rsidRPr="004860F1" w:rsidRDefault="00DA3E89" w:rsidP="003C702C">
            <w:pPr>
              <w:spacing w:after="0"/>
              <w:rPr>
                <w:rFonts w:eastAsia="Times New Roman"/>
                <w:szCs w:val="24"/>
                <w:u w:val="single"/>
              </w:rPr>
            </w:pPr>
          </w:p>
        </w:tc>
        <w:tc>
          <w:tcPr>
            <w:tcW w:w="1196" w:type="dxa"/>
            <w:shd w:val="clear" w:color="auto" w:fill="auto"/>
            <w:noWrap/>
            <w:vAlign w:val="bottom"/>
            <w:hideMark/>
          </w:tcPr>
          <w:p w:rsidR="00DA3E89" w:rsidRPr="004860F1" w:rsidRDefault="00DA3E89" w:rsidP="003C702C">
            <w:pPr>
              <w:spacing w:after="0"/>
              <w:rPr>
                <w:rFonts w:eastAsia="Times New Roman"/>
                <w:szCs w:val="24"/>
                <w:u w:val="single"/>
              </w:rPr>
            </w:pP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1</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51.99%</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48.71%</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11/12</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8.83%</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8.38%</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21/22</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22.65%</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24.40%</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25</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14.50%</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16.27%</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31/32</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1.69%</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1.97%</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0"/>
              <w:rPr>
                <w:rFonts w:eastAsia="Times New Roman"/>
                <w:szCs w:val="24"/>
              </w:rPr>
            </w:pPr>
            <w:r w:rsidRPr="004860F1">
              <w:rPr>
                <w:rFonts w:eastAsia="Times New Roman"/>
                <w:szCs w:val="24"/>
              </w:rPr>
              <w:t>Sch 41/49</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0.33%</w:t>
            </w:r>
          </w:p>
        </w:tc>
        <w:tc>
          <w:tcPr>
            <w:tcW w:w="1196" w:type="dxa"/>
            <w:shd w:val="clear" w:color="auto" w:fill="auto"/>
            <w:noWrap/>
            <w:vAlign w:val="bottom"/>
            <w:hideMark/>
          </w:tcPr>
          <w:p w:rsidR="00DA3E89" w:rsidRPr="004860F1" w:rsidRDefault="00DA3E89" w:rsidP="001D3D22">
            <w:pPr>
              <w:spacing w:after="0"/>
              <w:jc w:val="center"/>
              <w:rPr>
                <w:rFonts w:eastAsia="Times New Roman"/>
                <w:szCs w:val="24"/>
              </w:rPr>
            </w:pPr>
            <w:r w:rsidRPr="004860F1">
              <w:rPr>
                <w:rFonts w:eastAsia="Times New Roman"/>
                <w:szCs w:val="24"/>
              </w:rPr>
              <w:t>0.27%</w:t>
            </w:r>
          </w:p>
        </w:tc>
      </w:tr>
      <w:tr w:rsidR="00DA3E89" w:rsidRPr="0080362A" w:rsidTr="003C702C">
        <w:trPr>
          <w:trHeight w:val="300"/>
          <w:jc w:val="center"/>
        </w:trPr>
        <w:tc>
          <w:tcPr>
            <w:tcW w:w="1543" w:type="dxa"/>
            <w:shd w:val="clear" w:color="auto" w:fill="auto"/>
            <w:noWrap/>
            <w:vAlign w:val="bottom"/>
            <w:hideMark/>
          </w:tcPr>
          <w:p w:rsidR="00DA3E89" w:rsidRPr="004860F1" w:rsidRDefault="00DA3E89" w:rsidP="003C702C">
            <w:pPr>
              <w:spacing w:after="120"/>
              <w:rPr>
                <w:rFonts w:eastAsia="Times New Roman"/>
                <w:szCs w:val="24"/>
              </w:rPr>
            </w:pPr>
            <w:r w:rsidRPr="004860F1">
              <w:rPr>
                <w:rFonts w:eastAsia="Times New Roman"/>
                <w:szCs w:val="24"/>
              </w:rPr>
              <w:t>Total</w:t>
            </w:r>
          </w:p>
        </w:tc>
        <w:tc>
          <w:tcPr>
            <w:tcW w:w="1196" w:type="dxa"/>
            <w:shd w:val="clear" w:color="auto" w:fill="auto"/>
            <w:noWrap/>
            <w:vAlign w:val="bottom"/>
            <w:hideMark/>
          </w:tcPr>
          <w:p w:rsidR="00DA3E89" w:rsidRPr="004860F1" w:rsidRDefault="00DA3E89" w:rsidP="001D3D22">
            <w:pPr>
              <w:spacing w:after="120"/>
              <w:jc w:val="center"/>
              <w:rPr>
                <w:rFonts w:eastAsia="Times New Roman"/>
                <w:szCs w:val="24"/>
              </w:rPr>
            </w:pPr>
            <w:r w:rsidRPr="004860F1">
              <w:rPr>
                <w:rFonts w:eastAsia="Times New Roman"/>
                <w:szCs w:val="24"/>
              </w:rPr>
              <w:t>100.00%</w:t>
            </w:r>
          </w:p>
        </w:tc>
        <w:tc>
          <w:tcPr>
            <w:tcW w:w="1196" w:type="dxa"/>
            <w:shd w:val="clear" w:color="auto" w:fill="auto"/>
            <w:noWrap/>
            <w:vAlign w:val="bottom"/>
            <w:hideMark/>
          </w:tcPr>
          <w:p w:rsidR="00DA3E89" w:rsidRPr="004860F1" w:rsidRDefault="00DA3E89" w:rsidP="001D3D22">
            <w:pPr>
              <w:spacing w:after="120"/>
              <w:jc w:val="center"/>
              <w:rPr>
                <w:rFonts w:eastAsia="Times New Roman"/>
                <w:szCs w:val="24"/>
              </w:rPr>
            </w:pPr>
            <w:r w:rsidRPr="004860F1">
              <w:rPr>
                <w:rFonts w:eastAsia="Times New Roman"/>
                <w:szCs w:val="24"/>
              </w:rPr>
              <w:t>100.00%</w:t>
            </w:r>
          </w:p>
        </w:tc>
      </w:tr>
    </w:tbl>
    <w:p w:rsidR="00DA3E89" w:rsidRDefault="00DA3E89" w:rsidP="00DA3E89">
      <w:pPr>
        <w:suppressLineNumbers/>
        <w:tabs>
          <w:tab w:val="left" w:pos="720"/>
        </w:tabs>
        <w:spacing w:line="480" w:lineRule="auto"/>
        <w:ind w:left="720" w:hanging="720"/>
      </w:pPr>
    </w:p>
    <w:p w:rsidR="00DA3E89" w:rsidRPr="00B64DB3" w:rsidRDefault="00DA3E89" w:rsidP="001D3D22">
      <w:pPr>
        <w:ind w:left="720" w:hanging="720"/>
        <w:jc w:val="both"/>
        <w:rPr>
          <w:rFonts w:eastAsia="Times New Roman"/>
          <w:b/>
          <w:szCs w:val="24"/>
        </w:rPr>
      </w:pPr>
      <w:r w:rsidRPr="00B64DB3">
        <w:rPr>
          <w:rFonts w:eastAsia="Times New Roman"/>
          <w:b/>
          <w:szCs w:val="24"/>
        </w:rPr>
        <w:t>Q</w:t>
      </w:r>
      <w:r>
        <w:rPr>
          <w:rFonts w:eastAsia="Times New Roman"/>
          <w:b/>
          <w:szCs w:val="24"/>
        </w:rPr>
        <w:t>.</w:t>
      </w:r>
      <w:r w:rsidRPr="00B64DB3">
        <w:rPr>
          <w:rFonts w:eastAsia="Times New Roman"/>
          <w:b/>
          <w:szCs w:val="24"/>
        </w:rPr>
        <w:tab/>
        <w:t xml:space="preserve">HAVE YOU MODIFIED THE </w:t>
      </w:r>
      <w:r>
        <w:rPr>
          <w:rFonts w:eastAsia="Times New Roman"/>
          <w:b/>
          <w:szCs w:val="24"/>
        </w:rPr>
        <w:t>AVISTA ECOS STUDY SO THAT PRODUCTION-</w:t>
      </w:r>
      <w:r w:rsidRPr="00B64DB3">
        <w:rPr>
          <w:rFonts w:eastAsia="Times New Roman"/>
          <w:b/>
          <w:szCs w:val="24"/>
        </w:rPr>
        <w:t>RELATED COSTS ARE ALLOCATED USING YOUR RECOMMENDED 4 CP RATHER THAN THE 12 CP METHOD?</w:t>
      </w:r>
    </w:p>
    <w:p w:rsidR="00DA3E89" w:rsidRDefault="00DA3E89" w:rsidP="001D3D22">
      <w:pPr>
        <w:spacing w:after="0" w:line="480" w:lineRule="auto"/>
        <w:ind w:left="720" w:hanging="720"/>
        <w:jc w:val="both"/>
      </w:pPr>
      <w:r w:rsidRPr="00B64DB3">
        <w:rPr>
          <w:b/>
        </w:rPr>
        <w:t>A</w:t>
      </w:r>
      <w:r>
        <w:rPr>
          <w:b/>
        </w:rPr>
        <w:t>.</w:t>
      </w:r>
      <w:r>
        <w:tab/>
        <w:t xml:space="preserve">Yes.  I have calculated the ECOS study for the recommended 4 CP demand allocation method under both a </w:t>
      </w:r>
      <w:r w:rsidR="00CC6FFF">
        <w:t xml:space="preserve">100% demand </w:t>
      </w:r>
      <w:r>
        <w:t>allocation of production capacity costs, and in the context of Avista’s Peak Credit classification</w:t>
      </w:r>
      <w:r w:rsidR="00CC6FFF">
        <w:t xml:space="preserve"> (31% demand, 69% energy)</w:t>
      </w:r>
      <w:r>
        <w:t xml:space="preserve">.  </w:t>
      </w:r>
      <w:r w:rsidR="00CC6FFF">
        <w:t>For the 100% demand 4 CP allocation</w:t>
      </w:r>
      <w:r>
        <w:t>, I calculate the</w:t>
      </w:r>
      <w:r w:rsidR="00CC6FFF">
        <w:t xml:space="preserve"> ECOS</w:t>
      </w:r>
      <w:r>
        <w:t xml:space="preserve"> results if the peak credit method for classification is not used at all and, instead, production fixed costs are allocated on the basis of 4 CP demand alone.</w:t>
      </w:r>
      <w:r w:rsidR="000830B5">
        <w:t xml:space="preserve">  Disuse of the peak credit method altogether will require some modifications to the allocation of production variable costs and transmission costs.  For simplicity, I have used a 100%</w:t>
      </w:r>
      <w:r w:rsidR="00517E8A">
        <w:t xml:space="preserve"> energy allocator for variable </w:t>
      </w:r>
      <w:r w:rsidR="00517E8A">
        <w:lastRenderedPageBreak/>
        <w:t xml:space="preserve">production costs, and a 100% </w:t>
      </w:r>
      <w:proofErr w:type="gramStart"/>
      <w:r w:rsidR="00517E8A">
        <w:t>12 CP allocator for transmission costs</w:t>
      </w:r>
      <w:proofErr w:type="gramEnd"/>
      <w:r w:rsidR="00517E8A">
        <w:t>.  This treatment of transmission costs will be discussed further in the next section.</w:t>
      </w:r>
      <w:r>
        <w:t xml:space="preserve">  The results of this </w:t>
      </w:r>
      <w:r w:rsidR="00CC6FFF">
        <w:t>allocation method</w:t>
      </w:r>
      <w:r>
        <w:t xml:space="preserve"> are shown in Exhibit No. ___</w:t>
      </w:r>
      <w:proofErr w:type="gramStart"/>
      <w:r>
        <w:t>_(</w:t>
      </w:r>
      <w:proofErr w:type="gramEnd"/>
      <w:r>
        <w:t>RRS-5)</w:t>
      </w:r>
      <w:r w:rsidRPr="00726225">
        <w:t xml:space="preserve">.  As shown, for some rate </w:t>
      </w:r>
      <w:r>
        <w:t>schedules</w:t>
      </w:r>
      <w:r w:rsidRPr="00726225">
        <w:t>, the change in production</w:t>
      </w:r>
      <w:r>
        <w:t xml:space="preserve"> cost allocator makes a significant difference in the cost of service.  </w:t>
      </w:r>
    </w:p>
    <w:p w:rsidR="00DA3E89" w:rsidRDefault="00DA3E89" w:rsidP="009D0DDE">
      <w:pPr>
        <w:spacing w:after="0" w:line="480" w:lineRule="auto"/>
        <w:ind w:left="720" w:hanging="720"/>
        <w:jc w:val="both"/>
      </w:pPr>
      <w:r>
        <w:rPr>
          <w:b/>
        </w:rPr>
        <w:tab/>
      </w:r>
      <w:r>
        <w:rPr>
          <w:b/>
        </w:rPr>
        <w:tab/>
      </w:r>
      <w:r>
        <w:t xml:space="preserve">I have also modified the </w:t>
      </w:r>
      <w:r w:rsidR="00CC6FFF">
        <w:t xml:space="preserve">Avista </w:t>
      </w:r>
      <w:r>
        <w:t>ECOS study to adopt a 4 CP demand measure in the context of the Peak Credit classification approach, should the Commission</w:t>
      </w:r>
      <w:r w:rsidR="00CC6FFF">
        <w:t xml:space="preserve"> </w:t>
      </w:r>
      <w:r>
        <w:t>utilize that method.  For this version of the ECOS study no other changes were made as compared to Avista’s proposed study.  The results of this modification are shown in Exhibit No. __</w:t>
      </w:r>
      <w:proofErr w:type="gramStart"/>
      <w:r>
        <w:t>_(</w:t>
      </w:r>
      <w:proofErr w:type="gramEnd"/>
      <w:r>
        <w:t xml:space="preserve">RRS-6).  </w:t>
      </w:r>
      <w:proofErr w:type="gramStart"/>
      <w:r>
        <w:t>As with my primary recalculation shown in Exhibit No.</w:t>
      </w:r>
      <w:proofErr w:type="gramEnd"/>
      <w:r>
        <w:t xml:space="preserve"> __</w:t>
      </w:r>
      <w:proofErr w:type="gramStart"/>
      <w:r>
        <w:t>_(</w:t>
      </w:r>
      <w:proofErr w:type="gramEnd"/>
      <w:r>
        <w:t>RRS-5), the change in the demand measure makes a significant difference in the schedules’ overall cost of service.</w:t>
      </w:r>
    </w:p>
    <w:p w:rsidR="00AD4973" w:rsidRDefault="00D415F9" w:rsidP="00AD4973">
      <w:pPr>
        <w:ind w:left="720" w:hanging="720"/>
        <w:jc w:val="both"/>
        <w:rPr>
          <w:b/>
        </w:rPr>
      </w:pPr>
      <w:r>
        <w:rPr>
          <w:b/>
        </w:rPr>
        <w:t>Q.</w:t>
      </w:r>
      <w:r>
        <w:rPr>
          <w:b/>
        </w:rPr>
        <w:tab/>
        <w:t>ARE THERE OTHER METHODOLOGIES TO CONSIDER HERE?</w:t>
      </w:r>
    </w:p>
    <w:p w:rsidR="006D7316" w:rsidRPr="006D7316" w:rsidRDefault="000B7172" w:rsidP="009D0DDE">
      <w:pPr>
        <w:spacing w:after="0" w:line="480" w:lineRule="auto"/>
        <w:ind w:left="720" w:hanging="720"/>
        <w:jc w:val="both"/>
      </w:pPr>
      <w:r>
        <w:rPr>
          <w:b/>
        </w:rPr>
        <w:t>A.</w:t>
      </w:r>
      <w:r>
        <w:tab/>
        <w:t>Potentially, other parties may recommend a new look at the methodologies used in allocating costs among customer classes.</w:t>
      </w:r>
      <w:r w:rsidR="001D6BA8">
        <w:t xml:space="preserve">  I will review those and comment in the cross-answering testimony.</w:t>
      </w:r>
    </w:p>
    <w:p w:rsidR="00AD4973" w:rsidRDefault="00CC6FFF" w:rsidP="00AD4973">
      <w:pPr>
        <w:ind w:left="720" w:hanging="720"/>
        <w:jc w:val="both"/>
        <w:rPr>
          <w:b/>
        </w:rPr>
      </w:pPr>
      <w:r>
        <w:rPr>
          <w:b/>
        </w:rPr>
        <w:t>Q.</w:t>
      </w:r>
      <w:r>
        <w:rPr>
          <w:b/>
        </w:rPr>
        <w:tab/>
        <w:t>SHOULD THE COMMISSION RETAIN PRODUCTION COSTS, IS EXHIBIT ___</w:t>
      </w:r>
      <w:proofErr w:type="gramStart"/>
      <w:r>
        <w:rPr>
          <w:b/>
        </w:rPr>
        <w:t>_(</w:t>
      </w:r>
      <w:proofErr w:type="gramEnd"/>
      <w:r>
        <w:rPr>
          <w:b/>
        </w:rPr>
        <w:t>RRS-6) YOUR RECOMMENDED ECOS STUDY RESULT?</w:t>
      </w:r>
    </w:p>
    <w:p w:rsidR="00CC6FFF" w:rsidRPr="00CC6FFF" w:rsidRDefault="00AD4973" w:rsidP="009D0DDE">
      <w:pPr>
        <w:spacing w:after="0" w:line="480" w:lineRule="auto"/>
        <w:ind w:left="720" w:hanging="720"/>
        <w:jc w:val="both"/>
      </w:pPr>
      <w:r w:rsidRPr="00AD4973">
        <w:rPr>
          <w:b/>
        </w:rPr>
        <w:t>A.</w:t>
      </w:r>
      <w:r w:rsidR="00CC6FFF">
        <w:tab/>
        <w:t>No, not quite.  I do not recommend that transmission costs be classified according to the peak credit method under any circumstance, as I will discuss below.</w:t>
      </w:r>
    </w:p>
    <w:p w:rsidR="00DA3E89" w:rsidRDefault="00DA3E89" w:rsidP="005126A3">
      <w:pPr>
        <w:pStyle w:val="Heading2"/>
        <w:keepNext/>
        <w:rPr>
          <w:b w:val="0"/>
          <w:u w:val="none"/>
        </w:rPr>
      </w:pPr>
      <w:bookmarkStart w:id="17" w:name="_Toc392941506"/>
      <w:r>
        <w:t>Allocation of Transmission Costs</w:t>
      </w:r>
      <w:bookmarkEnd w:id="17"/>
    </w:p>
    <w:p w:rsidR="00DA3E89" w:rsidRDefault="00DA3E89" w:rsidP="005126A3">
      <w:pPr>
        <w:keepNext/>
        <w:ind w:left="720" w:hanging="720"/>
        <w:jc w:val="both"/>
      </w:pPr>
      <w:r>
        <w:rPr>
          <w:b/>
        </w:rPr>
        <w:t>Q.</w:t>
      </w:r>
      <w:r>
        <w:rPr>
          <w:b/>
        </w:rPr>
        <w:tab/>
        <w:t>HOW DOES AVISTA ALLOCATE TRANSMISSION COSTS IN ITS ECOS STUDY?</w:t>
      </w:r>
    </w:p>
    <w:p w:rsidR="00DA3E89" w:rsidRDefault="00DA3E89" w:rsidP="001D3D22">
      <w:pPr>
        <w:spacing w:after="0" w:line="480" w:lineRule="auto"/>
        <w:jc w:val="both"/>
      </w:pPr>
      <w:r>
        <w:rPr>
          <w:b/>
        </w:rPr>
        <w:t>A.</w:t>
      </w:r>
      <w:r>
        <w:tab/>
        <w:t xml:space="preserve">It uses the same peak credit methodology as is used for classifying production costs.  </w:t>
      </w:r>
    </w:p>
    <w:p w:rsidR="00DA3E89" w:rsidRDefault="00DA3E89" w:rsidP="001D3D22">
      <w:pPr>
        <w:ind w:left="720" w:hanging="720"/>
        <w:jc w:val="both"/>
        <w:rPr>
          <w:b/>
        </w:rPr>
      </w:pPr>
      <w:r>
        <w:rPr>
          <w:b/>
        </w:rPr>
        <w:lastRenderedPageBreak/>
        <w:t>Q.</w:t>
      </w:r>
      <w:r>
        <w:rPr>
          <w:b/>
        </w:rPr>
        <w:tab/>
        <w:t>WHAT IS THE COMPANY’S RATIONALE FOR ALLOCATING TRANSMISSION COSTS IN THIS MANNER?</w:t>
      </w:r>
    </w:p>
    <w:p w:rsidR="00DA3E89" w:rsidRDefault="00DA3E89" w:rsidP="001D3D22">
      <w:pPr>
        <w:spacing w:after="0" w:line="480" w:lineRule="auto"/>
        <w:ind w:left="720" w:hanging="720"/>
        <w:jc w:val="both"/>
      </w:pPr>
      <w:r>
        <w:rPr>
          <w:b/>
        </w:rPr>
        <w:t>A.</w:t>
      </w:r>
      <w:r>
        <w:tab/>
        <w:t>My review of Company witness Knox’s direct testimony in this case reveals very little support for this method.  First, Ms. Knox states:</w:t>
      </w:r>
      <w:r w:rsidRPr="00C367D6">
        <w:rPr>
          <w:szCs w:val="23"/>
        </w:rPr>
        <w:t xml:space="preserve"> </w:t>
      </w:r>
      <w:r>
        <w:rPr>
          <w:szCs w:val="23"/>
        </w:rPr>
        <w:t xml:space="preserve"> “</w:t>
      </w:r>
      <w:r w:rsidRPr="00B271B5">
        <w:rPr>
          <w:szCs w:val="23"/>
        </w:rPr>
        <w:t>In Washington, transmission costs have traditionally been treated as an extension of the generation system, therefore, the revised peak credit ratio has also been applied to transmission costs in this study.</w:t>
      </w:r>
      <w:r>
        <w:rPr>
          <w:szCs w:val="23"/>
        </w:rPr>
        <w:t>”</w:t>
      </w:r>
      <w:r w:rsidRPr="00707A2E">
        <w:rPr>
          <w:rStyle w:val="FootnoteReference"/>
          <w:u w:val="single"/>
        </w:rPr>
        <w:footnoteReference w:id="13"/>
      </w:r>
      <w:r w:rsidRPr="00707A2E">
        <w:rPr>
          <w:vertAlign w:val="superscript"/>
        </w:rPr>
        <w:t>/</w:t>
      </w:r>
    </w:p>
    <w:p w:rsidR="00DA3E89" w:rsidRDefault="00DA3E89" w:rsidP="001D3D22">
      <w:pPr>
        <w:spacing w:after="0"/>
        <w:ind w:left="720" w:hanging="720"/>
        <w:jc w:val="both"/>
      </w:pPr>
      <w:r>
        <w:tab/>
        <w:t>Ms. Knox also states:</w:t>
      </w:r>
    </w:p>
    <w:p w:rsidR="00DA3E89" w:rsidRDefault="00DA3E89" w:rsidP="001D3D22">
      <w:pPr>
        <w:suppressLineNumbers/>
        <w:spacing w:after="0"/>
        <w:ind w:left="720" w:hanging="720"/>
        <w:jc w:val="both"/>
      </w:pPr>
    </w:p>
    <w:p w:rsidR="00DA3E89" w:rsidRDefault="00DA3E89" w:rsidP="001D3D22">
      <w:pPr>
        <w:autoSpaceDE w:val="0"/>
        <w:autoSpaceDN w:val="0"/>
        <w:adjustRightInd w:val="0"/>
        <w:spacing w:after="0"/>
        <w:ind w:left="1440" w:right="720"/>
        <w:jc w:val="both"/>
        <w:rPr>
          <w:szCs w:val="24"/>
        </w:rPr>
      </w:pPr>
      <w:r>
        <w:rPr>
          <w:szCs w:val="24"/>
        </w:rPr>
        <w:t>The Peak Credit method acknowledges that all energy production costs contain both capacity and energy components as they provide energy throughout the year as well as capacity during system peaks.  Likewise, the transmission system is built not only for peak use, but also for everyday delivery of energy.</w:t>
      </w:r>
      <w:r w:rsidRPr="00707A2E">
        <w:rPr>
          <w:rStyle w:val="FootnoteReference"/>
          <w:u w:val="single"/>
        </w:rPr>
        <w:footnoteReference w:id="14"/>
      </w:r>
      <w:r w:rsidRPr="00707A2E">
        <w:rPr>
          <w:vertAlign w:val="superscript"/>
        </w:rPr>
        <w:t>/</w:t>
      </w:r>
    </w:p>
    <w:p w:rsidR="00DA3E89" w:rsidRDefault="00DA3E89" w:rsidP="001D3D22">
      <w:pPr>
        <w:suppressLineNumbers/>
        <w:autoSpaceDE w:val="0"/>
        <w:autoSpaceDN w:val="0"/>
        <w:adjustRightInd w:val="0"/>
        <w:spacing w:after="0"/>
        <w:jc w:val="both"/>
        <w:rPr>
          <w:szCs w:val="24"/>
        </w:rPr>
      </w:pPr>
    </w:p>
    <w:p w:rsidR="00DA3E89" w:rsidRDefault="00DA3E89" w:rsidP="001D3D22">
      <w:pPr>
        <w:suppressLineNumbers/>
        <w:autoSpaceDE w:val="0"/>
        <w:autoSpaceDN w:val="0"/>
        <w:adjustRightInd w:val="0"/>
        <w:spacing w:after="0"/>
        <w:jc w:val="both"/>
        <w:rPr>
          <w:szCs w:val="24"/>
        </w:rPr>
      </w:pPr>
    </w:p>
    <w:p w:rsidR="00DA3E89" w:rsidRDefault="00DA3E89" w:rsidP="001D3D22">
      <w:pPr>
        <w:autoSpaceDE w:val="0"/>
        <w:autoSpaceDN w:val="0"/>
        <w:adjustRightInd w:val="0"/>
        <w:ind w:left="720" w:hanging="720"/>
        <w:jc w:val="both"/>
        <w:rPr>
          <w:szCs w:val="24"/>
        </w:rPr>
      </w:pPr>
      <w:r>
        <w:rPr>
          <w:b/>
          <w:szCs w:val="24"/>
        </w:rPr>
        <w:t>Q.</w:t>
      </w:r>
      <w:r>
        <w:rPr>
          <w:b/>
          <w:szCs w:val="24"/>
        </w:rPr>
        <w:tab/>
        <w:t>HOW DO YOU RESPOND TO MS. KNOX’S STATED RATIONALE IN THIS REGARD?</w:t>
      </w:r>
    </w:p>
    <w:p w:rsidR="00DA3E89" w:rsidRDefault="00DA3E89" w:rsidP="001D3D22">
      <w:pPr>
        <w:autoSpaceDE w:val="0"/>
        <w:autoSpaceDN w:val="0"/>
        <w:adjustRightInd w:val="0"/>
        <w:ind w:left="720" w:hanging="720"/>
        <w:jc w:val="both"/>
        <w:rPr>
          <w:szCs w:val="24"/>
        </w:rPr>
      </w:pPr>
      <w:r>
        <w:rPr>
          <w:b/>
          <w:szCs w:val="24"/>
        </w:rPr>
        <w:t>A.</w:t>
      </w:r>
      <w:r>
        <w:rPr>
          <w:b/>
          <w:szCs w:val="24"/>
        </w:rPr>
        <w:tab/>
      </w:r>
      <w:r>
        <w:rPr>
          <w:szCs w:val="24"/>
        </w:rPr>
        <w:t xml:space="preserve">I do not believe it is sufficient to justify this unusual allocation of transmission costs.  </w:t>
      </w:r>
    </w:p>
    <w:p w:rsidR="00DA3E89" w:rsidRDefault="00DA3E89" w:rsidP="001D3D22">
      <w:pPr>
        <w:autoSpaceDE w:val="0"/>
        <w:autoSpaceDN w:val="0"/>
        <w:adjustRightInd w:val="0"/>
        <w:ind w:left="720" w:hanging="720"/>
        <w:jc w:val="both"/>
      </w:pPr>
      <w:r>
        <w:rPr>
          <w:b/>
        </w:rPr>
        <w:t>Q.</w:t>
      </w:r>
      <w:r>
        <w:rPr>
          <w:b/>
        </w:rPr>
        <w:tab/>
        <w:t>WHY DO YOU BELIEVE THIS ALLOCATION METHOD IS UNUSUAL?</w:t>
      </w:r>
    </w:p>
    <w:p w:rsidR="00DA3E89" w:rsidRDefault="00DA3E89" w:rsidP="001D3D22">
      <w:pPr>
        <w:autoSpaceDE w:val="0"/>
        <w:autoSpaceDN w:val="0"/>
        <w:adjustRightInd w:val="0"/>
        <w:spacing w:after="0" w:line="480" w:lineRule="auto"/>
        <w:ind w:left="720" w:hanging="720"/>
        <w:jc w:val="both"/>
      </w:pPr>
      <w:r>
        <w:rPr>
          <w:b/>
        </w:rPr>
        <w:t>A.</w:t>
      </w:r>
      <w:r>
        <w:tab/>
      </w:r>
      <w:r w:rsidR="00316787">
        <w:t>I am not aware of any case outside of Washington</w:t>
      </w:r>
      <w:r>
        <w:t xml:space="preserve"> where a utility has classified or allocated transmission costs on the basis of energy to </w:t>
      </w:r>
      <w:r w:rsidRPr="00E20BF2">
        <w:rPr>
          <w:u w:val="single"/>
        </w:rPr>
        <w:t>any</w:t>
      </w:r>
      <w:r>
        <w:t xml:space="preserve"> degree.  I see no justification for allocating transmission costs in this manner.  </w:t>
      </w:r>
    </w:p>
    <w:p w:rsidR="00DA3E89" w:rsidRDefault="00DA3E89" w:rsidP="00D06E2F">
      <w:pPr>
        <w:keepNext/>
        <w:autoSpaceDE w:val="0"/>
        <w:autoSpaceDN w:val="0"/>
        <w:adjustRightInd w:val="0"/>
        <w:ind w:left="720" w:hanging="720"/>
        <w:jc w:val="both"/>
        <w:rPr>
          <w:b/>
        </w:rPr>
      </w:pPr>
      <w:r>
        <w:rPr>
          <w:b/>
        </w:rPr>
        <w:t>Q.</w:t>
      </w:r>
      <w:r>
        <w:rPr>
          <w:b/>
        </w:rPr>
        <w:tab/>
        <w:t>WHY DO YOU BELIEVE THERE IS NO JUSTIFICATION FOR UTILIZING AN ENERGY COMPONENT IN CLASSIFYING OR ALLOCATING TRANSMISSION COSTS?</w:t>
      </w:r>
    </w:p>
    <w:p w:rsidR="00DA3E89" w:rsidRDefault="00DA3E89" w:rsidP="001D3D22">
      <w:pPr>
        <w:autoSpaceDE w:val="0"/>
        <w:autoSpaceDN w:val="0"/>
        <w:adjustRightInd w:val="0"/>
        <w:spacing w:after="0" w:line="480" w:lineRule="auto"/>
        <w:ind w:left="720" w:hanging="720"/>
        <w:jc w:val="both"/>
      </w:pPr>
      <w:r>
        <w:rPr>
          <w:b/>
        </w:rPr>
        <w:t>A.</w:t>
      </w:r>
      <w:r>
        <w:tab/>
        <w:t>Unlike production, where parties sometimes claim there is a trade-off between fixed and variable costs that justify an energy component in the allocation to reflect cost</w:t>
      </w:r>
      <w:r>
        <w:noBreakHyphen/>
        <w:t xml:space="preserve">causation, there is not even an arguable trade-off for transmission facilities.  </w:t>
      </w:r>
    </w:p>
    <w:p w:rsidR="00DA3E89" w:rsidRDefault="00DA3E89" w:rsidP="001D3D22">
      <w:pPr>
        <w:autoSpaceDE w:val="0"/>
        <w:autoSpaceDN w:val="0"/>
        <w:adjustRightInd w:val="0"/>
        <w:spacing w:after="0" w:line="480" w:lineRule="auto"/>
        <w:ind w:left="720" w:firstLine="720"/>
        <w:jc w:val="both"/>
      </w:pPr>
      <w:r>
        <w:lastRenderedPageBreak/>
        <w:t xml:space="preserve">I can illustrate this through a simple hypothetical.  If a utility were to build a 1,000 MW generating unit in an area that is not adjacent to transmission facilities, additional transmission facilities would need to be constructed to connect the generating unit to the electrical grid.  The capacity of the new transmission facilities would need to be designed to carry the maximum output of the generating unit.  The capacity of those new transmission facilities is not dependent on the fuel type or economics of the generating unit being constructed or how </w:t>
      </w:r>
      <w:r w:rsidR="00316787">
        <w:t xml:space="preserve">often </w:t>
      </w:r>
      <w:r>
        <w:t xml:space="preserve">it is run.  Said another way, essentially the same transmission facilities would need to be built whether the 1,000 MW </w:t>
      </w:r>
      <w:proofErr w:type="gramStart"/>
      <w:r>
        <w:t>unit</w:t>
      </w:r>
      <w:proofErr w:type="gramEnd"/>
      <w:r>
        <w:t xml:space="preserve"> is a nuclear power plant, with a very high capacity factor</w:t>
      </w:r>
      <w:r w:rsidR="00316787">
        <w:t xml:space="preserve"> producing 7.9</w:t>
      </w:r>
      <w:r w:rsidR="005C03F9">
        <w:t xml:space="preserve"> million MWh/year</w:t>
      </w:r>
      <w:r>
        <w:t xml:space="preserve">, </w:t>
      </w:r>
      <w:r w:rsidR="00316787">
        <w:t xml:space="preserve">or </w:t>
      </w:r>
      <w:r>
        <w:t>a natural gas-fired peaking plant</w:t>
      </w:r>
      <w:r w:rsidR="005C03F9">
        <w:t xml:space="preserve"> with a much lower capacity factor producing 4.4 million MWh/year</w:t>
      </w:r>
      <w:r>
        <w:t xml:space="preserve">.  The transmission facilities would be designed and constructed to meet the maximum capacity </w:t>
      </w:r>
      <w:r w:rsidR="005C03F9">
        <w:t xml:space="preserve">(1,000 MW) </w:t>
      </w:r>
      <w:r>
        <w:t xml:space="preserve">required over the lines.  </w:t>
      </w:r>
    </w:p>
    <w:p w:rsidR="00DA3E89" w:rsidRDefault="00DA3E89" w:rsidP="001D3D22">
      <w:pPr>
        <w:autoSpaceDE w:val="0"/>
        <w:autoSpaceDN w:val="0"/>
        <w:adjustRightInd w:val="0"/>
        <w:spacing w:after="0" w:line="480" w:lineRule="auto"/>
        <w:ind w:left="720" w:firstLine="720"/>
        <w:jc w:val="both"/>
      </w:pPr>
      <w:r>
        <w:t>Similarly, increased or decreased utilization of the transmission system, once it is built, does not impact the costs of the transmission assets.  For example, higher cumulative energy flow without an increase in demand does not impact transmission costs.</w:t>
      </w:r>
      <w:r w:rsidR="005C03F9">
        <w:t xml:space="preserve">  In addition, the vast majority</w:t>
      </w:r>
      <w:r w:rsidR="00131C04">
        <w:t xml:space="preserve"> of</w:t>
      </w:r>
      <w:r w:rsidR="005C03F9">
        <w:t xml:space="preserve"> transmission costs </w:t>
      </w:r>
      <w:r w:rsidR="00AF060A">
        <w:t>are</w:t>
      </w:r>
      <w:r w:rsidR="00131C04">
        <w:t xml:space="preserve"> </w:t>
      </w:r>
      <w:r w:rsidR="005C03F9">
        <w:t xml:space="preserve">fixed, not variable.  For </w:t>
      </w:r>
      <w:r w:rsidR="000B7172">
        <w:t>these reasons</w:t>
      </w:r>
      <w:r w:rsidR="005C03F9">
        <w:t>, an energy allocation of transmission costs is not justified.</w:t>
      </w:r>
    </w:p>
    <w:p w:rsidR="00DA3E89" w:rsidRDefault="00DA3E89" w:rsidP="008F72BC">
      <w:pPr>
        <w:keepNext/>
        <w:autoSpaceDE w:val="0"/>
        <w:autoSpaceDN w:val="0"/>
        <w:adjustRightInd w:val="0"/>
        <w:ind w:left="720" w:hanging="720"/>
        <w:jc w:val="both"/>
      </w:pPr>
      <w:r>
        <w:rPr>
          <w:b/>
        </w:rPr>
        <w:t>Q.</w:t>
      </w:r>
      <w:r>
        <w:rPr>
          <w:b/>
        </w:rPr>
        <w:tab/>
        <w:t>HAS THE COMPANY CONFIRMED THAT ITS TRANSMISSION SYSTEM IS CONSTRUCTED TO MEET THE PEAK DEMAND OF ITS CUSTOMERS?</w:t>
      </w:r>
    </w:p>
    <w:p w:rsidR="00E5387D" w:rsidRDefault="00DA3E89" w:rsidP="001D3D22">
      <w:pPr>
        <w:autoSpaceDE w:val="0"/>
        <w:autoSpaceDN w:val="0"/>
        <w:adjustRightInd w:val="0"/>
        <w:spacing w:after="0" w:line="480" w:lineRule="auto"/>
        <w:ind w:left="720" w:hanging="720"/>
        <w:jc w:val="both"/>
      </w:pPr>
      <w:r>
        <w:rPr>
          <w:b/>
        </w:rPr>
        <w:t>A.</w:t>
      </w:r>
      <w:r>
        <w:tab/>
        <w:t>Yes.  Company witness Patrick Ehrbar states exactly that.</w:t>
      </w:r>
      <w:r w:rsidRPr="00707A2E">
        <w:rPr>
          <w:rStyle w:val="FootnoteReference"/>
          <w:u w:val="single"/>
        </w:rPr>
        <w:footnoteReference w:id="15"/>
      </w:r>
      <w:proofErr w:type="gramStart"/>
      <w:r w:rsidRPr="00707A2E">
        <w:rPr>
          <w:vertAlign w:val="superscript"/>
        </w:rPr>
        <w:t>/</w:t>
      </w:r>
      <w:r>
        <w:t xml:space="preserve">  He</w:t>
      </w:r>
      <w:proofErr w:type="gramEnd"/>
      <w:r>
        <w:t xml:space="preserve"> makes no mention of energy usage as a causal component in this regard.  Further, my review of Avista’s </w:t>
      </w:r>
      <w:r>
        <w:lastRenderedPageBreak/>
        <w:t>Transmission Planning Standards, Policies and Procedures reveals no reliance on energy flow as a planning criterion.</w:t>
      </w:r>
    </w:p>
    <w:p w:rsidR="00DA3E89" w:rsidRDefault="00DA3E89" w:rsidP="00E5387D">
      <w:pPr>
        <w:autoSpaceDE w:val="0"/>
        <w:autoSpaceDN w:val="0"/>
        <w:adjustRightInd w:val="0"/>
        <w:ind w:left="720" w:hanging="720"/>
        <w:jc w:val="both"/>
        <w:rPr>
          <w:b/>
        </w:rPr>
      </w:pPr>
      <w:r>
        <w:rPr>
          <w:b/>
        </w:rPr>
        <w:t>Q.</w:t>
      </w:r>
      <w:r>
        <w:rPr>
          <w:b/>
        </w:rPr>
        <w:tab/>
        <w:t>ARE THERE OTHER REASONS FOR NOT UTILIZING THE PEAK CREDIT METHOD FOR ALLOCATING TRANSMISSION COSTS?</w:t>
      </w:r>
    </w:p>
    <w:p w:rsidR="00DA3E89" w:rsidRDefault="00DA3E89" w:rsidP="001D3D22">
      <w:pPr>
        <w:autoSpaceDE w:val="0"/>
        <w:autoSpaceDN w:val="0"/>
        <w:adjustRightInd w:val="0"/>
        <w:spacing w:after="0" w:line="480" w:lineRule="auto"/>
        <w:ind w:left="720" w:hanging="720"/>
        <w:jc w:val="both"/>
      </w:pPr>
      <w:r>
        <w:rPr>
          <w:b/>
        </w:rPr>
        <w:t>A.</w:t>
      </w:r>
      <w:r>
        <w:rPr>
          <w:b/>
        </w:rPr>
        <w:tab/>
      </w:r>
      <w:r>
        <w:t>Yes, there are.  In providing guidance to utilities in billing for network transmission service, FERC utilizes 12 CP, without regard to the amount of energy flowed across the lines over time.</w:t>
      </w:r>
      <w:r w:rsidRPr="009578A3">
        <w:rPr>
          <w:rStyle w:val="FootnoteReference"/>
          <w:u w:val="single"/>
        </w:rPr>
        <w:footnoteReference w:id="16"/>
      </w:r>
      <w:r w:rsidRPr="009578A3">
        <w:rPr>
          <w:vertAlign w:val="superscript"/>
        </w:rPr>
        <w:t>/</w:t>
      </w:r>
      <w:r>
        <w:t xml:space="preserve">  Further, in billing for transmission service, Avista itself utilizes a 12 CP billing method for network transmission service as specified in Sections 34.1 and 34.2 of Avista’s Open Access Transmission Tariff.  A copy of Section 34 of that tariff is attached as Exhibit No. __</w:t>
      </w:r>
      <w:proofErr w:type="gramStart"/>
      <w:r>
        <w:t>_(</w:t>
      </w:r>
      <w:proofErr w:type="gramEnd"/>
      <w:r>
        <w:t>RRS-7).</w:t>
      </w:r>
    </w:p>
    <w:p w:rsidR="00DA3E89" w:rsidRDefault="00DA3E89" w:rsidP="001D3D22">
      <w:pPr>
        <w:autoSpaceDE w:val="0"/>
        <w:autoSpaceDN w:val="0"/>
        <w:adjustRightInd w:val="0"/>
        <w:ind w:left="720" w:hanging="720"/>
        <w:jc w:val="both"/>
      </w:pPr>
      <w:r>
        <w:rPr>
          <w:b/>
        </w:rPr>
        <w:t>Q.</w:t>
      </w:r>
      <w:r>
        <w:rPr>
          <w:b/>
        </w:rPr>
        <w:tab/>
        <w:t>BESIDES 12 CP, ARE THERE ANY OTHER REASONABLE OPTIONS FOR ALLOCATION OF TRANSMISSION COSTS?</w:t>
      </w:r>
    </w:p>
    <w:p w:rsidR="00DA3E89" w:rsidRDefault="00DA3E89" w:rsidP="001D3D22">
      <w:pPr>
        <w:autoSpaceDE w:val="0"/>
        <w:autoSpaceDN w:val="0"/>
        <w:adjustRightInd w:val="0"/>
        <w:spacing w:after="0" w:line="480" w:lineRule="auto"/>
        <w:ind w:left="720" w:hanging="720"/>
        <w:jc w:val="both"/>
      </w:pPr>
      <w:r>
        <w:rPr>
          <w:b/>
        </w:rPr>
        <w:t>A.</w:t>
      </w:r>
      <w:r>
        <w:rPr>
          <w:b/>
        </w:rPr>
        <w:tab/>
      </w:r>
      <w:r>
        <w:t>Yes, considering that the transmission system is built to meet the peak demands on the system (as opposed to times of relatively low demands), it would not be unreasonable to use a 1 CP or 4 CP measure</w:t>
      </w:r>
      <w:r w:rsidR="00265E33">
        <w:t xml:space="preserve"> given Avista’s annual load shape showing some monthly peak demands to be far (38%) below the annual peak</w:t>
      </w:r>
      <w:r>
        <w:t>.  Indeed, some Regional Transmission Organizations effectively use a 1 CP</w:t>
      </w:r>
      <w:r w:rsidR="00265E33">
        <w:t xml:space="preserve"> or 5 CP</w:t>
      </w:r>
      <w:r>
        <w:t xml:space="preserve"> for billing for transmission service.  However, although 12 CP may not be the truest measure of cost-causation, as it overemphasizes demands in non</w:t>
      </w:r>
      <w:r>
        <w:noBreakHyphen/>
        <w:t xml:space="preserve">peak seasons, given its widespread use by other utilities around the country and by FERC, it is reasonable (though conservative) for use in this case.  </w:t>
      </w:r>
    </w:p>
    <w:p w:rsidR="00DA3E89" w:rsidRDefault="00DA3E89" w:rsidP="00AF060A">
      <w:pPr>
        <w:keepNext/>
        <w:autoSpaceDE w:val="0"/>
        <w:autoSpaceDN w:val="0"/>
        <w:adjustRightInd w:val="0"/>
        <w:ind w:left="720" w:hanging="720"/>
        <w:jc w:val="both"/>
      </w:pPr>
      <w:r>
        <w:rPr>
          <w:b/>
        </w:rPr>
        <w:lastRenderedPageBreak/>
        <w:t>Q.</w:t>
      </w:r>
      <w:r>
        <w:rPr>
          <w:b/>
        </w:rPr>
        <w:tab/>
        <w:t>WHAT IS YOUR RECOMMENDATION?</w:t>
      </w:r>
    </w:p>
    <w:p w:rsidR="001D6BA8" w:rsidRDefault="00DA3E89" w:rsidP="00AF060A">
      <w:pPr>
        <w:autoSpaceDE w:val="0"/>
        <w:autoSpaceDN w:val="0"/>
        <w:adjustRightInd w:val="0"/>
        <w:spacing w:after="0" w:line="480" w:lineRule="auto"/>
        <w:ind w:left="720" w:hanging="720"/>
        <w:jc w:val="both"/>
      </w:pPr>
      <w:r>
        <w:rPr>
          <w:b/>
        </w:rPr>
        <w:t>A.</w:t>
      </w:r>
      <w:r>
        <w:tab/>
        <w:t>I recommend that transmission system costs not utilize the peak credit method at all</w:t>
      </w:r>
      <w:r w:rsidR="00C43DD7">
        <w:t>.</w:t>
      </w:r>
      <w:r>
        <w:t xml:space="preserve"> </w:t>
      </w:r>
      <w:r w:rsidR="00C43DD7">
        <w:t>R</w:t>
      </w:r>
      <w:r>
        <w:t>ather</w:t>
      </w:r>
      <w:r w:rsidR="00C43DD7">
        <w:t>,</w:t>
      </w:r>
      <w:r>
        <w:t xml:space="preserve"> the 12 CP demand measure</w:t>
      </w:r>
      <w:r w:rsidR="00265E33">
        <w:t xml:space="preserve"> should be used</w:t>
      </w:r>
      <w:r>
        <w:t xml:space="preserve"> for</w:t>
      </w:r>
      <w:r w:rsidR="00265E33">
        <w:t xml:space="preserve"> 100%</w:t>
      </w:r>
      <w:r>
        <w:t xml:space="preserve"> allocation</w:t>
      </w:r>
      <w:r w:rsidR="00265E33">
        <w:t xml:space="preserve"> of transmission costs</w:t>
      </w:r>
      <w:r>
        <w:t xml:space="preserve">.  </w:t>
      </w:r>
    </w:p>
    <w:p w:rsidR="00DA3E89" w:rsidRDefault="00DA3E89" w:rsidP="001D3D22">
      <w:pPr>
        <w:autoSpaceDE w:val="0"/>
        <w:autoSpaceDN w:val="0"/>
        <w:adjustRightInd w:val="0"/>
        <w:ind w:left="720" w:hanging="720"/>
        <w:jc w:val="both"/>
      </w:pPr>
      <w:r>
        <w:rPr>
          <w:b/>
        </w:rPr>
        <w:t>Q.</w:t>
      </w:r>
      <w:r>
        <w:rPr>
          <w:b/>
        </w:rPr>
        <w:tab/>
        <w:t>CAN YOU PROVIDE A COMPARISON OF THE</w:t>
      </w:r>
      <w:r w:rsidR="00265E33">
        <w:rPr>
          <w:b/>
        </w:rPr>
        <w:t xml:space="preserve"> TRANSMISSION</w:t>
      </w:r>
      <w:r>
        <w:rPr>
          <w:b/>
        </w:rPr>
        <w:t xml:space="preserve"> ALLOCATION FACTORS THAT YOU RECOMMEND TO THOSE USED BY AVISTA?</w:t>
      </w:r>
    </w:p>
    <w:p w:rsidR="00DA3E89" w:rsidRDefault="00DA3E89" w:rsidP="001D3D22">
      <w:pPr>
        <w:autoSpaceDE w:val="0"/>
        <w:autoSpaceDN w:val="0"/>
        <w:adjustRightInd w:val="0"/>
        <w:spacing w:after="0" w:line="480" w:lineRule="auto"/>
        <w:ind w:left="720" w:hanging="720"/>
        <w:jc w:val="both"/>
      </w:pPr>
      <w:r>
        <w:rPr>
          <w:b/>
        </w:rPr>
        <w:t>A.</w:t>
      </w:r>
      <w:r>
        <w:tab/>
        <w:t xml:space="preserve">Yes, I can.  The resulting effective </w:t>
      </w:r>
      <w:r w:rsidR="00265E33">
        <w:t xml:space="preserve">transmission </w:t>
      </w:r>
      <w:r>
        <w:t xml:space="preserve">allocation factors are shown in Table 3.  </w:t>
      </w:r>
    </w:p>
    <w:tbl>
      <w:tblPr>
        <w:tblW w:w="0" w:type="auto"/>
        <w:tblInd w:w="22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7"/>
        <w:gridCol w:w="1529"/>
        <w:gridCol w:w="1566"/>
      </w:tblGrid>
      <w:tr w:rsidR="00DA3E89" w:rsidRPr="0080362A" w:rsidTr="003C702C">
        <w:tc>
          <w:tcPr>
            <w:tcW w:w="4472" w:type="dxa"/>
            <w:gridSpan w:val="3"/>
          </w:tcPr>
          <w:p w:rsidR="00DA3E89" w:rsidRPr="0080362A" w:rsidRDefault="00DA3E89" w:rsidP="001D3D22">
            <w:pPr>
              <w:keepNext/>
              <w:autoSpaceDE w:val="0"/>
              <w:autoSpaceDN w:val="0"/>
              <w:adjustRightInd w:val="0"/>
              <w:spacing w:before="120" w:after="0"/>
              <w:jc w:val="center"/>
              <w:rPr>
                <w:b/>
                <w:szCs w:val="24"/>
              </w:rPr>
            </w:pPr>
            <w:r w:rsidRPr="0080362A">
              <w:rPr>
                <w:b/>
                <w:szCs w:val="24"/>
              </w:rPr>
              <w:t>TABLE 3</w:t>
            </w:r>
          </w:p>
          <w:p w:rsidR="00DA3E89" w:rsidRPr="0080362A" w:rsidRDefault="00DA3E89" w:rsidP="001D3D22">
            <w:pPr>
              <w:keepNext/>
              <w:autoSpaceDE w:val="0"/>
              <w:autoSpaceDN w:val="0"/>
              <w:adjustRightInd w:val="0"/>
              <w:spacing w:after="0"/>
              <w:rPr>
                <w:b/>
                <w:szCs w:val="24"/>
              </w:rPr>
            </w:pPr>
          </w:p>
          <w:p w:rsidR="00DA3E89" w:rsidRPr="0080362A" w:rsidRDefault="00DA3E89" w:rsidP="001D3D22">
            <w:pPr>
              <w:keepNext/>
              <w:autoSpaceDE w:val="0"/>
              <w:autoSpaceDN w:val="0"/>
              <w:adjustRightInd w:val="0"/>
              <w:spacing w:after="0"/>
              <w:jc w:val="center"/>
              <w:rPr>
                <w:b/>
                <w:szCs w:val="24"/>
              </w:rPr>
            </w:pPr>
            <w:r w:rsidRPr="0080362A">
              <w:rPr>
                <w:b/>
                <w:szCs w:val="24"/>
              </w:rPr>
              <w:t>Comparison of</w:t>
            </w:r>
          </w:p>
          <w:p w:rsidR="00DA3E89" w:rsidRPr="0080362A" w:rsidRDefault="00DA3E89" w:rsidP="001D3D22">
            <w:pPr>
              <w:keepNext/>
              <w:autoSpaceDE w:val="0"/>
              <w:autoSpaceDN w:val="0"/>
              <w:adjustRightInd w:val="0"/>
              <w:spacing w:after="0"/>
              <w:jc w:val="center"/>
              <w:rPr>
                <w:b/>
                <w:szCs w:val="24"/>
                <w:u w:val="single"/>
              </w:rPr>
            </w:pPr>
            <w:r w:rsidRPr="0080362A">
              <w:rPr>
                <w:b/>
                <w:szCs w:val="24"/>
                <w:u w:val="single"/>
              </w:rPr>
              <w:t>Transmission Allocation Factors</w:t>
            </w:r>
          </w:p>
          <w:p w:rsidR="00DA3E89" w:rsidRPr="0080362A" w:rsidRDefault="00DA3E89" w:rsidP="001D3D22">
            <w:pPr>
              <w:keepNext/>
              <w:autoSpaceDE w:val="0"/>
              <w:autoSpaceDN w:val="0"/>
              <w:adjustRightInd w:val="0"/>
              <w:spacing w:after="0"/>
              <w:rPr>
                <w:szCs w:val="24"/>
              </w:rPr>
            </w:pPr>
          </w:p>
        </w:tc>
      </w:tr>
      <w:tr w:rsidR="00DA3E89" w:rsidRPr="0080362A" w:rsidTr="003C702C">
        <w:tc>
          <w:tcPr>
            <w:tcW w:w="1377" w:type="dxa"/>
          </w:tcPr>
          <w:p w:rsidR="00DA3E89" w:rsidRPr="0080362A" w:rsidRDefault="00DA3E89" w:rsidP="001D3D22">
            <w:pPr>
              <w:keepNext/>
              <w:autoSpaceDE w:val="0"/>
              <w:autoSpaceDN w:val="0"/>
              <w:adjustRightInd w:val="0"/>
              <w:spacing w:after="0"/>
              <w:jc w:val="center"/>
              <w:rPr>
                <w:b/>
                <w:szCs w:val="24"/>
              </w:rPr>
            </w:pPr>
            <w:r w:rsidRPr="0080362A">
              <w:rPr>
                <w:b/>
                <w:szCs w:val="24"/>
              </w:rPr>
              <w:t>Rate</w:t>
            </w:r>
          </w:p>
          <w:p w:rsidR="00DA3E89" w:rsidRPr="0080362A" w:rsidRDefault="00DA3E89" w:rsidP="001D3D22">
            <w:pPr>
              <w:keepNext/>
              <w:autoSpaceDE w:val="0"/>
              <w:autoSpaceDN w:val="0"/>
              <w:adjustRightInd w:val="0"/>
              <w:spacing w:after="0"/>
              <w:jc w:val="center"/>
              <w:rPr>
                <w:b/>
                <w:szCs w:val="24"/>
                <w:u w:val="single"/>
              </w:rPr>
            </w:pPr>
            <w:r w:rsidRPr="0080362A">
              <w:rPr>
                <w:b/>
                <w:szCs w:val="24"/>
                <w:u w:val="single"/>
              </w:rPr>
              <w:t>Schedule</w:t>
            </w:r>
          </w:p>
        </w:tc>
        <w:tc>
          <w:tcPr>
            <w:tcW w:w="1529" w:type="dxa"/>
          </w:tcPr>
          <w:p w:rsidR="00DA3E89" w:rsidRPr="0080362A" w:rsidRDefault="00DA3E89" w:rsidP="001D3D22">
            <w:pPr>
              <w:keepNext/>
              <w:autoSpaceDE w:val="0"/>
              <w:autoSpaceDN w:val="0"/>
              <w:adjustRightInd w:val="0"/>
              <w:spacing w:after="0"/>
              <w:jc w:val="center"/>
              <w:rPr>
                <w:b/>
                <w:szCs w:val="24"/>
              </w:rPr>
            </w:pPr>
            <w:r w:rsidRPr="0080362A">
              <w:rPr>
                <w:b/>
                <w:szCs w:val="24"/>
              </w:rPr>
              <w:t>Avista</w:t>
            </w:r>
          </w:p>
          <w:p w:rsidR="00DA3E89" w:rsidRPr="0080362A" w:rsidRDefault="00DA3E89" w:rsidP="001D3D22">
            <w:pPr>
              <w:keepNext/>
              <w:autoSpaceDE w:val="0"/>
              <w:autoSpaceDN w:val="0"/>
              <w:adjustRightInd w:val="0"/>
              <w:spacing w:after="0"/>
              <w:jc w:val="center"/>
              <w:rPr>
                <w:b/>
                <w:szCs w:val="24"/>
                <w:u w:val="single"/>
              </w:rPr>
            </w:pPr>
            <w:r w:rsidRPr="0080362A">
              <w:rPr>
                <w:b/>
                <w:szCs w:val="24"/>
                <w:u w:val="single"/>
              </w:rPr>
              <w:t>Allocation</w:t>
            </w:r>
          </w:p>
        </w:tc>
        <w:tc>
          <w:tcPr>
            <w:tcW w:w="1566" w:type="dxa"/>
          </w:tcPr>
          <w:p w:rsidR="00DA3E89" w:rsidRPr="0080362A" w:rsidRDefault="00DA3E89" w:rsidP="001D3D22">
            <w:pPr>
              <w:keepNext/>
              <w:autoSpaceDE w:val="0"/>
              <w:autoSpaceDN w:val="0"/>
              <w:adjustRightInd w:val="0"/>
              <w:spacing w:after="0"/>
              <w:jc w:val="center"/>
              <w:rPr>
                <w:b/>
                <w:szCs w:val="24"/>
              </w:rPr>
            </w:pPr>
            <w:r w:rsidRPr="0080362A">
              <w:rPr>
                <w:b/>
                <w:szCs w:val="24"/>
              </w:rPr>
              <w:t>ICNU</w:t>
            </w:r>
          </w:p>
          <w:p w:rsidR="00DA3E89" w:rsidRPr="0080362A" w:rsidRDefault="00DA3E89" w:rsidP="001D3D22">
            <w:pPr>
              <w:keepNext/>
              <w:autoSpaceDE w:val="0"/>
              <w:autoSpaceDN w:val="0"/>
              <w:adjustRightInd w:val="0"/>
              <w:spacing w:after="0"/>
              <w:jc w:val="center"/>
              <w:rPr>
                <w:b/>
                <w:szCs w:val="24"/>
                <w:u w:val="single"/>
              </w:rPr>
            </w:pPr>
            <w:r w:rsidRPr="0080362A">
              <w:rPr>
                <w:b/>
                <w:szCs w:val="24"/>
                <w:u w:val="single"/>
              </w:rPr>
              <w:t>Allocation</w:t>
            </w:r>
          </w:p>
        </w:tc>
      </w:tr>
      <w:tr w:rsidR="00DA3E89" w:rsidRPr="0080362A" w:rsidTr="003C702C">
        <w:tc>
          <w:tcPr>
            <w:tcW w:w="1377" w:type="dxa"/>
          </w:tcPr>
          <w:p w:rsidR="00DA3E89" w:rsidRPr="0080362A" w:rsidRDefault="00DA3E89" w:rsidP="001D3D22">
            <w:pPr>
              <w:keepNext/>
              <w:autoSpaceDE w:val="0"/>
              <w:autoSpaceDN w:val="0"/>
              <w:adjustRightInd w:val="0"/>
              <w:spacing w:after="0"/>
              <w:rPr>
                <w:szCs w:val="24"/>
              </w:rPr>
            </w:pPr>
          </w:p>
        </w:tc>
        <w:tc>
          <w:tcPr>
            <w:tcW w:w="1529" w:type="dxa"/>
          </w:tcPr>
          <w:p w:rsidR="00DA3E89" w:rsidRPr="0080362A" w:rsidRDefault="00DA3E89" w:rsidP="001D3D22">
            <w:pPr>
              <w:keepNext/>
              <w:autoSpaceDE w:val="0"/>
              <w:autoSpaceDN w:val="0"/>
              <w:adjustRightInd w:val="0"/>
              <w:spacing w:after="0"/>
              <w:rPr>
                <w:szCs w:val="24"/>
              </w:rPr>
            </w:pPr>
          </w:p>
        </w:tc>
        <w:tc>
          <w:tcPr>
            <w:tcW w:w="1566" w:type="dxa"/>
          </w:tcPr>
          <w:p w:rsidR="00DA3E89" w:rsidRPr="0080362A" w:rsidRDefault="00DA3E89" w:rsidP="001D3D22">
            <w:pPr>
              <w:keepNext/>
              <w:autoSpaceDE w:val="0"/>
              <w:autoSpaceDN w:val="0"/>
              <w:adjustRightInd w:val="0"/>
              <w:spacing w:after="0"/>
              <w:rPr>
                <w:szCs w:val="24"/>
              </w:rPr>
            </w:pP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1</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44.45%</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48.71%</w:t>
            </w: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11/12</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9.54%</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8.38%</w:t>
            </w: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21/22</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25.28%</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24.40%</w:t>
            </w: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25</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18.08%</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16.27%</w:t>
            </w: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31/32</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2.25%</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1.97%</w:t>
            </w:r>
          </w:p>
        </w:tc>
      </w:tr>
      <w:tr w:rsidR="00DA3E89" w:rsidRPr="0080362A" w:rsidTr="003C702C">
        <w:tc>
          <w:tcPr>
            <w:tcW w:w="1377" w:type="dxa"/>
            <w:vAlign w:val="bottom"/>
          </w:tcPr>
          <w:p w:rsidR="00DA3E89" w:rsidRPr="0080362A" w:rsidRDefault="00DA3E89" w:rsidP="001D3D22">
            <w:pPr>
              <w:keepNext/>
              <w:spacing w:after="0"/>
              <w:rPr>
                <w:rFonts w:eastAsia="Times New Roman"/>
                <w:szCs w:val="24"/>
              </w:rPr>
            </w:pPr>
            <w:r w:rsidRPr="0080362A">
              <w:rPr>
                <w:rFonts w:eastAsia="Times New Roman"/>
                <w:szCs w:val="24"/>
              </w:rPr>
              <w:t>Sch 41/49</w:t>
            </w:r>
          </w:p>
        </w:tc>
        <w:tc>
          <w:tcPr>
            <w:tcW w:w="1529" w:type="dxa"/>
            <w:vAlign w:val="bottom"/>
          </w:tcPr>
          <w:p w:rsidR="00DA3E89" w:rsidRPr="0080362A" w:rsidRDefault="00DA3E89" w:rsidP="001D3D22">
            <w:pPr>
              <w:keepNext/>
              <w:spacing w:after="0"/>
              <w:ind w:right="333"/>
              <w:jc w:val="center"/>
              <w:rPr>
                <w:rFonts w:eastAsia="Times New Roman"/>
                <w:szCs w:val="24"/>
              </w:rPr>
            </w:pPr>
            <w:r w:rsidRPr="0080362A">
              <w:rPr>
                <w:rFonts w:eastAsia="Times New Roman"/>
                <w:szCs w:val="24"/>
              </w:rPr>
              <w:t>0.40%</w:t>
            </w:r>
          </w:p>
        </w:tc>
        <w:tc>
          <w:tcPr>
            <w:tcW w:w="1566" w:type="dxa"/>
            <w:vAlign w:val="bottom"/>
          </w:tcPr>
          <w:p w:rsidR="00DA3E89" w:rsidRPr="0080362A" w:rsidRDefault="00DA3E89" w:rsidP="001D3D22">
            <w:pPr>
              <w:keepNext/>
              <w:spacing w:after="0"/>
              <w:ind w:right="370"/>
              <w:jc w:val="center"/>
              <w:rPr>
                <w:rFonts w:eastAsia="Times New Roman"/>
                <w:szCs w:val="24"/>
              </w:rPr>
            </w:pPr>
            <w:r w:rsidRPr="0080362A">
              <w:rPr>
                <w:rFonts w:eastAsia="Times New Roman"/>
                <w:szCs w:val="24"/>
              </w:rPr>
              <w:t>0.27%</w:t>
            </w:r>
          </w:p>
        </w:tc>
      </w:tr>
      <w:tr w:rsidR="00DA3E89" w:rsidRPr="0080362A" w:rsidTr="003C702C">
        <w:tc>
          <w:tcPr>
            <w:tcW w:w="1377" w:type="dxa"/>
            <w:vAlign w:val="bottom"/>
          </w:tcPr>
          <w:p w:rsidR="00DA3E89" w:rsidRPr="0080362A" w:rsidRDefault="00DA3E89" w:rsidP="001D3D22">
            <w:pPr>
              <w:keepNext/>
              <w:spacing w:after="120"/>
              <w:ind w:right="461"/>
              <w:rPr>
                <w:rFonts w:eastAsia="Times New Roman"/>
                <w:szCs w:val="24"/>
              </w:rPr>
            </w:pPr>
            <w:r w:rsidRPr="0080362A">
              <w:rPr>
                <w:rFonts w:eastAsia="Times New Roman"/>
                <w:szCs w:val="24"/>
              </w:rPr>
              <w:t>Total</w:t>
            </w:r>
          </w:p>
        </w:tc>
        <w:tc>
          <w:tcPr>
            <w:tcW w:w="1529" w:type="dxa"/>
            <w:vAlign w:val="bottom"/>
          </w:tcPr>
          <w:p w:rsidR="00DA3E89" w:rsidRPr="0080362A" w:rsidRDefault="00DA3E89" w:rsidP="001D3D22">
            <w:pPr>
              <w:keepNext/>
              <w:spacing w:after="120"/>
              <w:ind w:right="333"/>
              <w:jc w:val="center"/>
              <w:rPr>
                <w:rFonts w:eastAsia="Times New Roman"/>
                <w:szCs w:val="24"/>
              </w:rPr>
            </w:pPr>
            <w:r w:rsidRPr="0080362A">
              <w:rPr>
                <w:rFonts w:eastAsia="Times New Roman"/>
                <w:szCs w:val="24"/>
              </w:rPr>
              <w:t>100.00%</w:t>
            </w:r>
          </w:p>
        </w:tc>
        <w:tc>
          <w:tcPr>
            <w:tcW w:w="1566" w:type="dxa"/>
            <w:vAlign w:val="bottom"/>
          </w:tcPr>
          <w:p w:rsidR="00DA3E89" w:rsidRPr="0080362A" w:rsidRDefault="00DA3E89" w:rsidP="001D3D22">
            <w:pPr>
              <w:keepNext/>
              <w:spacing w:after="120"/>
              <w:ind w:right="370"/>
              <w:jc w:val="center"/>
              <w:rPr>
                <w:rFonts w:eastAsia="Times New Roman"/>
                <w:szCs w:val="24"/>
              </w:rPr>
            </w:pPr>
            <w:r w:rsidRPr="0080362A">
              <w:rPr>
                <w:rFonts w:eastAsia="Times New Roman"/>
                <w:szCs w:val="24"/>
              </w:rPr>
              <w:t>100.00%</w:t>
            </w:r>
          </w:p>
        </w:tc>
      </w:tr>
    </w:tbl>
    <w:p w:rsidR="00AD4973" w:rsidRDefault="00AD4973" w:rsidP="00AD4973">
      <w:bookmarkStart w:id="18" w:name="_Toc392941507"/>
    </w:p>
    <w:p w:rsidR="006D0409" w:rsidRDefault="00265E33">
      <w:pPr>
        <w:ind w:left="720" w:hanging="720"/>
        <w:jc w:val="both"/>
        <w:rPr>
          <w:rFonts w:eastAsia="Times New Roman"/>
          <w:b/>
          <w:szCs w:val="24"/>
        </w:rPr>
      </w:pPr>
      <w:r>
        <w:rPr>
          <w:rFonts w:eastAsia="Times New Roman"/>
          <w:b/>
          <w:szCs w:val="24"/>
        </w:rPr>
        <w:t>Q.</w:t>
      </w:r>
      <w:r>
        <w:rPr>
          <w:rFonts w:eastAsia="Times New Roman"/>
          <w:b/>
          <w:szCs w:val="24"/>
        </w:rPr>
        <w:tab/>
        <w:t xml:space="preserve">CAN YOU PROVIDE THE RESULTS OF APPLYING THE 12 CP </w:t>
      </w:r>
      <w:proofErr w:type="gramStart"/>
      <w:r>
        <w:rPr>
          <w:rFonts w:eastAsia="Times New Roman"/>
          <w:b/>
          <w:szCs w:val="24"/>
        </w:rPr>
        <w:t>ALLOCATION</w:t>
      </w:r>
      <w:proofErr w:type="gramEnd"/>
      <w:r>
        <w:rPr>
          <w:rFonts w:eastAsia="Times New Roman"/>
          <w:b/>
          <w:szCs w:val="24"/>
        </w:rPr>
        <w:t xml:space="preserve"> OF TRANSMISSION COSTS TO THE MODIFIED PEAK CREDIT ALLOCATION OF PRODUCTION COSTS?</w:t>
      </w:r>
    </w:p>
    <w:p w:rsidR="00AD4973" w:rsidRPr="00AD4973" w:rsidRDefault="00AD4973" w:rsidP="00AD4973">
      <w:pPr>
        <w:spacing w:after="0" w:line="480" w:lineRule="auto"/>
        <w:ind w:left="720" w:hanging="720"/>
        <w:jc w:val="both"/>
      </w:pPr>
      <w:r w:rsidRPr="00AD4973">
        <w:rPr>
          <w:b/>
        </w:rPr>
        <w:t>A.</w:t>
      </w:r>
      <w:r w:rsidRPr="00AD4973">
        <w:tab/>
        <w:t>Yes.  This information is provided in Exhibit ___</w:t>
      </w:r>
      <w:proofErr w:type="gramStart"/>
      <w:r w:rsidRPr="00AD4973">
        <w:t>_(</w:t>
      </w:r>
      <w:proofErr w:type="gramEnd"/>
      <w:r w:rsidRPr="00AD4973">
        <w:t>RRS-8).  This exhibit differs from Exhibit No. ___</w:t>
      </w:r>
      <w:proofErr w:type="gramStart"/>
      <w:r w:rsidRPr="00AD4973">
        <w:t>_(</w:t>
      </w:r>
      <w:proofErr w:type="gramEnd"/>
      <w:r w:rsidRPr="00AD4973">
        <w:t xml:space="preserve">RRS-6) in that transmission costs are 100% allocated on 12 CP.  If the </w:t>
      </w:r>
      <w:r w:rsidR="005017A6">
        <w:t>P</w:t>
      </w:r>
      <w:r w:rsidRPr="00AD4973">
        <w:t xml:space="preserve">eak </w:t>
      </w:r>
      <w:r w:rsidR="005017A6">
        <w:t>C</w:t>
      </w:r>
      <w:r w:rsidRPr="00AD4973">
        <w:t>redit is retained at all, it should only be retained for production costs.</w:t>
      </w:r>
    </w:p>
    <w:p w:rsidR="00DA3E89" w:rsidRDefault="00DA3E89" w:rsidP="00AF060A">
      <w:pPr>
        <w:pStyle w:val="Heading2"/>
        <w:keepNext/>
        <w:rPr>
          <w:b w:val="0"/>
          <w:u w:val="none"/>
        </w:rPr>
      </w:pPr>
      <w:r>
        <w:lastRenderedPageBreak/>
        <w:t>Overall Cost of Service Results</w:t>
      </w:r>
      <w:bookmarkEnd w:id="18"/>
      <w:r>
        <w:t xml:space="preserve"> </w:t>
      </w:r>
    </w:p>
    <w:p w:rsidR="00DA3E89" w:rsidRDefault="00DA3E89" w:rsidP="001D3D22">
      <w:pPr>
        <w:ind w:left="720" w:hanging="720"/>
        <w:jc w:val="both"/>
        <w:rPr>
          <w:rFonts w:eastAsia="Times New Roman"/>
          <w:szCs w:val="24"/>
        </w:rPr>
      </w:pPr>
      <w:r>
        <w:rPr>
          <w:rFonts w:eastAsia="Times New Roman"/>
          <w:b/>
          <w:szCs w:val="24"/>
        </w:rPr>
        <w:t>Q.</w:t>
      </w:r>
      <w:r>
        <w:rPr>
          <w:rFonts w:eastAsia="Times New Roman"/>
          <w:b/>
          <w:szCs w:val="24"/>
        </w:rPr>
        <w:tab/>
        <w:t xml:space="preserve">CAN YOU PLEASE PROVIDE A SUMMARY OF THE RESULTS OF THE ECOS </w:t>
      </w:r>
      <w:r w:rsidR="005017A6">
        <w:rPr>
          <w:rFonts w:eastAsia="Times New Roman"/>
          <w:b/>
          <w:szCs w:val="24"/>
        </w:rPr>
        <w:t xml:space="preserve">STUDIES </w:t>
      </w:r>
      <w:r>
        <w:rPr>
          <w:rFonts w:eastAsia="Times New Roman"/>
          <w:b/>
          <w:szCs w:val="24"/>
        </w:rPr>
        <w:t>MODIFIED FOR BOTH OF YOUR RECOMMENDATIONS FOR PRODUCTION COST ALLOCATION AS WELL AS TRANSMISSION COST ALLOCATION?</w:t>
      </w:r>
    </w:p>
    <w:p w:rsidR="009868F6" w:rsidRDefault="00DA3E89" w:rsidP="001D3D22">
      <w:pPr>
        <w:spacing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w:t>
      </w:r>
      <w:r w:rsidR="005017A6">
        <w:rPr>
          <w:rFonts w:eastAsia="Times New Roman"/>
          <w:szCs w:val="24"/>
        </w:rPr>
        <w:t>This information is provided in Table 4, below, which provides the rate schedule returns under Avista’s ECOS study, my preferred ECOS study, Exhibit No. ___</w:t>
      </w:r>
      <w:proofErr w:type="gramStart"/>
      <w:r w:rsidR="005017A6">
        <w:rPr>
          <w:rFonts w:eastAsia="Times New Roman"/>
          <w:szCs w:val="24"/>
        </w:rPr>
        <w:t>_(</w:t>
      </w:r>
      <w:proofErr w:type="gramEnd"/>
      <w:r w:rsidR="005017A6">
        <w:rPr>
          <w:rFonts w:eastAsia="Times New Roman"/>
          <w:szCs w:val="24"/>
        </w:rPr>
        <w:t>RRS-5) and the modified Peak Credit (production</w:t>
      </w:r>
      <w:r w:rsidR="009868F6">
        <w:rPr>
          <w:rFonts w:eastAsia="Times New Roman"/>
          <w:szCs w:val="24"/>
        </w:rPr>
        <w:t>-only</w:t>
      </w:r>
      <w:r w:rsidR="005017A6">
        <w:rPr>
          <w:rFonts w:eastAsia="Times New Roman"/>
          <w:szCs w:val="24"/>
        </w:rPr>
        <w:t>) ECOS study, Exhibit No. ___</w:t>
      </w:r>
      <w:proofErr w:type="gramStart"/>
      <w:r w:rsidR="005017A6">
        <w:rPr>
          <w:rFonts w:eastAsia="Times New Roman"/>
          <w:szCs w:val="24"/>
        </w:rPr>
        <w:t>_(</w:t>
      </w:r>
      <w:proofErr w:type="gramEnd"/>
      <w:r w:rsidR="005017A6">
        <w:rPr>
          <w:rFonts w:eastAsia="Times New Roman"/>
          <w:szCs w:val="24"/>
        </w:rPr>
        <w:t>RRS-8).</w:t>
      </w:r>
      <w:r>
        <w:rPr>
          <w:rFonts w:eastAsia="Times New Roman"/>
          <w:szCs w:val="24"/>
        </w:rPr>
        <w:t xml:space="preserve">  </w:t>
      </w:r>
    </w:p>
    <w:p w:rsidR="00E332F9" w:rsidRDefault="00167DDB">
      <w:pPr>
        <w:spacing w:line="480" w:lineRule="auto"/>
        <w:ind w:left="720" w:hanging="720"/>
        <w:jc w:val="center"/>
        <w:rPr>
          <w:rFonts w:eastAsia="Times New Roman"/>
          <w:szCs w:val="24"/>
        </w:rPr>
      </w:pPr>
      <w:r>
        <w:rPr>
          <w:noProof/>
          <w:szCs w:val="24"/>
        </w:rPr>
        <w:drawing>
          <wp:inline distT="0" distB="0" distL="0" distR="0" wp14:anchorId="27A824B7" wp14:editId="78954DA7">
            <wp:extent cx="5495925" cy="46101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95925" cy="4610100"/>
                    </a:xfrm>
                    <a:prstGeom prst="rect">
                      <a:avLst/>
                    </a:prstGeom>
                    <a:noFill/>
                    <a:ln w="9525">
                      <a:noFill/>
                      <a:miter lim="800000"/>
                      <a:headEnd/>
                      <a:tailEnd/>
                    </a:ln>
                  </pic:spPr>
                </pic:pic>
              </a:graphicData>
            </a:graphic>
          </wp:inline>
        </w:drawing>
      </w:r>
    </w:p>
    <w:p w:rsidR="008B53CA" w:rsidRDefault="009868F6" w:rsidP="00AF060A">
      <w:pPr>
        <w:spacing w:after="0" w:line="480" w:lineRule="auto"/>
        <w:ind w:left="720" w:hanging="720"/>
        <w:jc w:val="both"/>
        <w:rPr>
          <w:rFonts w:eastAsia="Times New Roman"/>
          <w:szCs w:val="24"/>
        </w:rPr>
      </w:pPr>
      <w:r>
        <w:rPr>
          <w:rFonts w:eastAsia="Times New Roman"/>
          <w:szCs w:val="24"/>
        </w:rPr>
        <w:tab/>
      </w:r>
      <w:r>
        <w:rPr>
          <w:rFonts w:eastAsia="Times New Roman"/>
          <w:szCs w:val="24"/>
        </w:rPr>
        <w:tab/>
      </w:r>
      <w:r w:rsidR="00DA3E89">
        <w:rPr>
          <w:rFonts w:eastAsia="Times New Roman"/>
          <w:szCs w:val="24"/>
        </w:rPr>
        <w:t xml:space="preserve">As </w:t>
      </w:r>
      <w:r w:rsidR="00B47F24">
        <w:rPr>
          <w:rFonts w:eastAsia="Times New Roman"/>
          <w:szCs w:val="24"/>
        </w:rPr>
        <w:t xml:space="preserve">Table </w:t>
      </w:r>
      <w:r>
        <w:rPr>
          <w:rFonts w:eastAsia="Times New Roman"/>
          <w:szCs w:val="24"/>
        </w:rPr>
        <w:t>4</w:t>
      </w:r>
      <w:r w:rsidR="00DA3E89">
        <w:rPr>
          <w:rFonts w:eastAsia="Times New Roman"/>
          <w:szCs w:val="24"/>
        </w:rPr>
        <w:t xml:space="preserve"> shows, the cost returns vary significantly from Avista’s calculation.  For example, rather than a rate of return index of </w:t>
      </w:r>
      <w:r>
        <w:rPr>
          <w:rFonts w:eastAsia="Times New Roman"/>
          <w:szCs w:val="24"/>
        </w:rPr>
        <w:t>0.</w:t>
      </w:r>
      <w:r w:rsidR="00DA3E89">
        <w:rPr>
          <w:rFonts w:eastAsia="Times New Roman"/>
          <w:szCs w:val="24"/>
        </w:rPr>
        <w:t xml:space="preserve">85 for Schedule 25, under my </w:t>
      </w:r>
      <w:r w:rsidR="00DA3E89">
        <w:rPr>
          <w:rFonts w:eastAsia="Times New Roman"/>
          <w:szCs w:val="24"/>
        </w:rPr>
        <w:lastRenderedPageBreak/>
        <w:t xml:space="preserve">adjusted measure of cost of service, the rate of return index is </w:t>
      </w:r>
      <w:r w:rsidR="00B47F24">
        <w:rPr>
          <w:rFonts w:eastAsia="Times New Roman"/>
          <w:szCs w:val="24"/>
        </w:rPr>
        <w:t>1.10</w:t>
      </w:r>
      <w:r w:rsidR="00DA3E89">
        <w:rPr>
          <w:rFonts w:eastAsia="Times New Roman"/>
          <w:szCs w:val="24"/>
        </w:rPr>
        <w:t>, meaning that Schedule 25 customers actually are providing revenues to produce a return higher than the system average</w:t>
      </w:r>
      <w:r w:rsidR="00B47F24">
        <w:rPr>
          <w:rFonts w:eastAsia="Times New Roman"/>
          <w:szCs w:val="24"/>
        </w:rPr>
        <w:t xml:space="preserve">, i.e., indicating that Schedule 25 is currently </w:t>
      </w:r>
      <w:r>
        <w:rPr>
          <w:rFonts w:eastAsia="Times New Roman"/>
          <w:szCs w:val="24"/>
        </w:rPr>
        <w:t xml:space="preserve">providing revenues </w:t>
      </w:r>
      <w:r w:rsidR="00B47F24">
        <w:rPr>
          <w:rFonts w:eastAsia="Times New Roman"/>
          <w:szCs w:val="24"/>
        </w:rPr>
        <w:t>above cost of service</w:t>
      </w:r>
      <w:r w:rsidR="00AF060A">
        <w:rPr>
          <w:rFonts w:eastAsia="Times New Roman"/>
          <w:szCs w:val="24"/>
        </w:rPr>
        <w:t xml:space="preserve">. </w:t>
      </w:r>
    </w:p>
    <w:p w:rsidR="00DA3E89" w:rsidRPr="00B84543" w:rsidRDefault="00DA3E89" w:rsidP="008B53CA">
      <w:pPr>
        <w:pStyle w:val="Heading1"/>
        <w:keepNext w:val="0"/>
        <w:keepLines w:val="0"/>
        <w:jc w:val="center"/>
        <w:rPr>
          <w:b w:val="0"/>
          <w:u w:val="none"/>
        </w:rPr>
      </w:pPr>
      <w:bookmarkStart w:id="19" w:name="_Toc392941508"/>
      <w:r w:rsidRPr="00B84543">
        <w:rPr>
          <w:u w:val="none"/>
        </w:rPr>
        <w:t>III.   ELECTRIC REVENUE ALLOCATION (“RATE SPREAD”)</w:t>
      </w:r>
      <w:bookmarkEnd w:id="19"/>
    </w:p>
    <w:p w:rsidR="00DA3E89" w:rsidRDefault="00DA3E89" w:rsidP="001D3D22">
      <w:pPr>
        <w:ind w:left="720" w:hanging="720"/>
        <w:jc w:val="both"/>
        <w:rPr>
          <w:b/>
        </w:rPr>
      </w:pPr>
      <w:r>
        <w:rPr>
          <w:b/>
        </w:rPr>
        <w:t>Q.</w:t>
      </w:r>
      <w:r>
        <w:rPr>
          <w:b/>
        </w:rPr>
        <w:tab/>
        <w:t>PLEASE DISTINGUISH THE REVENUE ALLOCATION STEP IN THE PROCESS FROM THE COST OF SERVICE ANALYSIS.</w:t>
      </w:r>
    </w:p>
    <w:p w:rsidR="00DA3E89" w:rsidRDefault="00DA3E89" w:rsidP="001D3D22">
      <w:pPr>
        <w:spacing w:after="0" w:line="480" w:lineRule="auto"/>
        <w:ind w:left="720" w:hanging="720"/>
        <w:jc w:val="both"/>
      </w:pPr>
      <w:r>
        <w:rPr>
          <w:b/>
        </w:rPr>
        <w:t>A.</w:t>
      </w:r>
      <w:r>
        <w:rPr>
          <w:b/>
        </w:rPr>
        <w:tab/>
      </w:r>
      <w:r>
        <w:t>As previously mentioned, the cost of service analysis is an empirical analysis of the costs caused by the various customer schedules.  In itself, it does nothing to change customers’ rates.  Rather, determining how much of the revenue requirement should be borne by each rate schedule is the step known as revenue allocation or rate spread.</w:t>
      </w:r>
    </w:p>
    <w:p w:rsidR="00DA3E89" w:rsidRDefault="00DA3E89" w:rsidP="001D3D22">
      <w:pPr>
        <w:spacing w:after="0" w:line="480" w:lineRule="auto"/>
        <w:ind w:left="720" w:hanging="720"/>
        <w:jc w:val="both"/>
      </w:pPr>
      <w:r>
        <w:rPr>
          <w:b/>
        </w:rPr>
        <w:tab/>
      </w:r>
      <w:r>
        <w:rPr>
          <w:b/>
        </w:rPr>
        <w:tab/>
      </w:r>
      <w:r>
        <w:t xml:space="preserve">The rate spread should be based on the results of the cost of service study, since cost-based rates tend to be the most economically efficient.  However, the rate spread can be influenced by other principles, such as rate continuity, rate moderation and avoidance of rate shock.  </w:t>
      </w:r>
    </w:p>
    <w:p w:rsidR="00DA3E89" w:rsidRDefault="00DA3E89" w:rsidP="001D3D22">
      <w:pPr>
        <w:ind w:left="720" w:hanging="720"/>
        <w:jc w:val="both"/>
        <w:rPr>
          <w:b/>
        </w:rPr>
      </w:pPr>
      <w:r>
        <w:rPr>
          <w:b/>
        </w:rPr>
        <w:t>Q.</w:t>
      </w:r>
      <w:r>
        <w:rPr>
          <w:b/>
        </w:rPr>
        <w:tab/>
        <w:t>WHAT IS AVISTA’S PROPOSAL REGARDING RATE SPREAD?</w:t>
      </w:r>
    </w:p>
    <w:p w:rsidR="00DA3E89" w:rsidRDefault="00DA3E89" w:rsidP="001D3D22">
      <w:pPr>
        <w:spacing w:after="0" w:line="480" w:lineRule="auto"/>
        <w:ind w:left="720" w:hanging="720"/>
        <w:jc w:val="both"/>
      </w:pPr>
      <w:r>
        <w:rPr>
          <w:b/>
        </w:rPr>
        <w:t>A.</w:t>
      </w:r>
      <w:r>
        <w:tab/>
        <w:t>As explained by Company witness Patrick Ehrbar, Avista proposes to spread its increase on a uniform percentage basis to all classes.</w:t>
      </w:r>
      <w:r w:rsidRPr="00707A2E">
        <w:rPr>
          <w:rStyle w:val="FootnoteReference"/>
          <w:u w:val="single"/>
        </w:rPr>
        <w:footnoteReference w:id="17"/>
      </w:r>
      <w:r w:rsidRPr="00707A2E">
        <w:rPr>
          <w:vertAlign w:val="superscript"/>
        </w:rPr>
        <w:t>/</w:t>
      </w:r>
      <w:r>
        <w:t xml:space="preserve">   Mr. Ehrbar’s rationale for this rate spread approach is primarily found in his consideration of the cost of service study from the 2012 general rate case, where he concludes:</w:t>
      </w:r>
    </w:p>
    <w:p w:rsidR="009D2FE9" w:rsidRPr="009D2FE9" w:rsidRDefault="00DA3E89" w:rsidP="009D2FE9">
      <w:pPr>
        <w:ind w:left="1440" w:right="720"/>
        <w:jc w:val="both"/>
        <w:rPr>
          <w:vertAlign w:val="superscript"/>
        </w:rPr>
      </w:pPr>
      <w:r w:rsidRPr="00B271B5">
        <w:rPr>
          <w:szCs w:val="23"/>
        </w:rPr>
        <w:t xml:space="preserve">Those study results along with the cost of service study results in this case demonstrate that all rate schedules, with the exception of the Street and Area Lights rate schedules, have had steady movement closer to the overall rate of return (unity).  Therefore, the Company chose to </w:t>
      </w:r>
      <w:r w:rsidRPr="00B271B5">
        <w:rPr>
          <w:szCs w:val="23"/>
        </w:rPr>
        <w:lastRenderedPageBreak/>
        <w:t>spread the proposed rate increase on a uniform percentage basis which continues the progress towards unity.</w:t>
      </w:r>
      <w:r w:rsidRPr="00707A2E">
        <w:rPr>
          <w:rStyle w:val="FootnoteReference"/>
          <w:u w:val="single"/>
        </w:rPr>
        <w:footnoteReference w:id="18"/>
      </w:r>
      <w:r w:rsidRPr="00707A2E">
        <w:rPr>
          <w:vertAlign w:val="superscript"/>
        </w:rPr>
        <w:t>/</w:t>
      </w:r>
    </w:p>
    <w:p w:rsidR="00DA3E89" w:rsidRDefault="00DA3E89" w:rsidP="001D3D22">
      <w:pPr>
        <w:jc w:val="both"/>
        <w:rPr>
          <w:b/>
        </w:rPr>
      </w:pPr>
      <w:r>
        <w:rPr>
          <w:b/>
        </w:rPr>
        <w:t>Q.</w:t>
      </w:r>
      <w:r>
        <w:rPr>
          <w:b/>
        </w:rPr>
        <w:tab/>
        <w:t>IS AVISTA’S PROPOSAL REASONABLE?</w:t>
      </w:r>
    </w:p>
    <w:p w:rsidR="00DA3E89" w:rsidRDefault="00DA3E89" w:rsidP="001D3D22">
      <w:pPr>
        <w:spacing w:after="0" w:line="480" w:lineRule="auto"/>
        <w:ind w:left="720" w:hanging="720"/>
        <w:jc w:val="both"/>
      </w:pPr>
      <w:r>
        <w:rPr>
          <w:b/>
        </w:rPr>
        <w:t>A.</w:t>
      </w:r>
      <w:r>
        <w:tab/>
        <w:t>It is clear from his statement that Mr. Ehrbar’s proposal is based on the results of Avista’s cost of service study showing that certain classes to varying degrees are currently over-paying or under-paying, as evidenced by the present relative rate of return, as shown on Table 6 of Mr. Ehrbar’s direct testimony.</w:t>
      </w:r>
      <w:r w:rsidRPr="00707A2E">
        <w:rPr>
          <w:rStyle w:val="FootnoteReference"/>
          <w:u w:val="single"/>
        </w:rPr>
        <w:footnoteReference w:id="19"/>
      </w:r>
      <w:proofErr w:type="gramStart"/>
      <w:r w:rsidRPr="00707A2E">
        <w:rPr>
          <w:vertAlign w:val="superscript"/>
        </w:rPr>
        <w:t>/</w:t>
      </w:r>
      <w:r>
        <w:t xml:space="preserve">  I</w:t>
      </w:r>
      <w:proofErr w:type="gramEnd"/>
      <w:r>
        <w:t xml:space="preserve"> can accept Mr. Ehrbar’s proposal </w:t>
      </w:r>
      <w:r w:rsidR="00B47F24">
        <w:t xml:space="preserve">at </w:t>
      </w:r>
      <w:r>
        <w:t xml:space="preserve">Avista’s </w:t>
      </w:r>
      <w:r w:rsidR="00B47F24">
        <w:t>proposed revenue requirement</w:t>
      </w:r>
      <w:r>
        <w:t xml:space="preserve">.     </w:t>
      </w:r>
    </w:p>
    <w:p w:rsidR="00DA3E89" w:rsidRDefault="00B47F24" w:rsidP="001D3D22">
      <w:pPr>
        <w:spacing w:after="0" w:line="480" w:lineRule="auto"/>
        <w:ind w:left="720" w:firstLine="720"/>
        <w:jc w:val="both"/>
      </w:pPr>
      <w:r>
        <w:t>However, even Mr. Ehrbar’s proposal provides very little movement toward cost of service for Schedule 1, which is far below cost of service under any of the ECOS study results shown in Table 4 above.  This is indicated by the rate of return ind</w:t>
      </w:r>
      <w:r w:rsidR="009868F6">
        <w:t>ices</w:t>
      </w:r>
      <w:r>
        <w:t xml:space="preserve"> which range from 0.57 to 0.65.  Greater movement toward cost of service for this class is justified from a cost of service view.  Mr. Ehrbar’s proposed 3.8% increase does little to bring Schedule 1 closer to cost.  Even with a 3.8% increase, Schedule 1 would provide rate of return </w:t>
      </w:r>
      <w:r w:rsidR="009868F6">
        <w:t xml:space="preserve">indices </w:t>
      </w:r>
      <w:r>
        <w:t xml:space="preserve">of only </w:t>
      </w:r>
      <w:r w:rsidR="009868F6">
        <w:t>0.60 under my recommended ECOS study and 0.68 under Avista’s ECOS study</w:t>
      </w:r>
      <w:r>
        <w:t>.</w:t>
      </w:r>
      <w:r w:rsidRPr="00E5387D">
        <w:rPr>
          <w:rStyle w:val="FootnoteReference"/>
          <w:u w:val="single"/>
        </w:rPr>
        <w:footnoteReference w:id="20"/>
      </w:r>
      <w:r w:rsidR="00E5387D" w:rsidRPr="00707A2E">
        <w:rPr>
          <w:vertAlign w:val="superscript"/>
        </w:rPr>
        <w:t>/</w:t>
      </w:r>
    </w:p>
    <w:p w:rsidR="00DA3E89" w:rsidRDefault="00DA3E89" w:rsidP="001D3D22">
      <w:pPr>
        <w:ind w:left="720" w:hanging="720"/>
        <w:jc w:val="both"/>
        <w:rPr>
          <w:b/>
        </w:rPr>
      </w:pPr>
      <w:r>
        <w:rPr>
          <w:b/>
        </w:rPr>
        <w:t>Q.</w:t>
      </w:r>
      <w:r>
        <w:rPr>
          <w:b/>
        </w:rPr>
        <w:tab/>
      </w:r>
      <w:r w:rsidR="00DA4C35">
        <w:rPr>
          <w:b/>
        </w:rPr>
        <w:t>WHAT DO</w:t>
      </w:r>
      <w:r w:rsidR="00C43DD7">
        <w:rPr>
          <w:b/>
        </w:rPr>
        <w:t xml:space="preserve"> </w:t>
      </w:r>
      <w:r w:rsidR="00DA4C35">
        <w:rPr>
          <w:b/>
        </w:rPr>
        <w:t>YOU RECOMMEND FOR RATE SPREAD?</w:t>
      </w:r>
    </w:p>
    <w:p w:rsidR="006B2462" w:rsidRDefault="00DA3E89" w:rsidP="00A53687">
      <w:pPr>
        <w:spacing w:after="0" w:line="480" w:lineRule="auto"/>
        <w:ind w:left="720" w:hanging="720"/>
        <w:jc w:val="both"/>
      </w:pPr>
      <w:r w:rsidRPr="00FE35D1">
        <w:rPr>
          <w:b/>
        </w:rPr>
        <w:t>A.</w:t>
      </w:r>
      <w:r>
        <w:tab/>
      </w:r>
      <w:r w:rsidR="00DA4C35">
        <w:t xml:space="preserve">Although a greater than 3.8% increase is justified from a cost of service basis, it is acceptable in this case.  However, the increase for </w:t>
      </w:r>
      <w:r w:rsidR="00C43DD7">
        <w:t>S</w:t>
      </w:r>
      <w:r w:rsidR="00DA4C35">
        <w:t xml:space="preserve">chedule </w:t>
      </w:r>
      <w:r w:rsidR="00C43DD7">
        <w:t xml:space="preserve">1 </w:t>
      </w:r>
      <w:r w:rsidR="00DA4C35">
        <w:t>should not be reduced if Avista’s approved revenue requirement is lower than proposed by Avista.  Rather, those savings should accrue to the other classes, all of which are</w:t>
      </w:r>
      <w:r w:rsidR="009868F6">
        <w:t xml:space="preserve"> providing revenues </w:t>
      </w:r>
      <w:r w:rsidR="00DA4C35">
        <w:t>near or above cost of service presently.</w:t>
      </w:r>
    </w:p>
    <w:p w:rsidR="00DA3E89" w:rsidRPr="00B84543" w:rsidRDefault="00DA3E89" w:rsidP="006B2462">
      <w:pPr>
        <w:pStyle w:val="Heading1"/>
        <w:keepNext w:val="0"/>
        <w:keepLines w:val="0"/>
        <w:jc w:val="center"/>
        <w:rPr>
          <w:u w:val="none"/>
        </w:rPr>
      </w:pPr>
      <w:bookmarkStart w:id="20" w:name="_Toc392941509"/>
      <w:r>
        <w:rPr>
          <w:u w:val="none"/>
        </w:rPr>
        <w:lastRenderedPageBreak/>
        <w:t xml:space="preserve">IV.   </w:t>
      </w:r>
      <w:r w:rsidRPr="00B84543">
        <w:rPr>
          <w:u w:val="none"/>
        </w:rPr>
        <w:t>ELECTRIC RATE DESIGN</w:t>
      </w:r>
      <w:bookmarkEnd w:id="20"/>
    </w:p>
    <w:p w:rsidR="00DA3E89" w:rsidRDefault="00DA3E89" w:rsidP="001D3D22">
      <w:pPr>
        <w:ind w:left="720" w:hanging="720"/>
        <w:jc w:val="both"/>
        <w:rPr>
          <w:b/>
        </w:rPr>
      </w:pPr>
      <w:r>
        <w:rPr>
          <w:b/>
        </w:rPr>
        <w:t>Q.</w:t>
      </w:r>
      <w:r>
        <w:rPr>
          <w:b/>
        </w:rPr>
        <w:tab/>
        <w:t>WHAT IS AVISTA’S OVERALL PROPOSAL AS IT RELATES TO RATE DESIGN?</w:t>
      </w:r>
    </w:p>
    <w:p w:rsidR="00DA3E89" w:rsidRDefault="00DA3E89" w:rsidP="001D3D22">
      <w:pPr>
        <w:spacing w:after="0" w:line="480" w:lineRule="auto"/>
        <w:ind w:left="720" w:hanging="720"/>
        <w:jc w:val="both"/>
        <w:rPr>
          <w:vertAlign w:val="superscript"/>
        </w:rPr>
      </w:pPr>
      <w:r>
        <w:rPr>
          <w:b/>
        </w:rPr>
        <w:t>A.</w:t>
      </w:r>
      <w:r>
        <w:tab/>
        <w:t>According to Company witness Ehrbar, the Company is not proposing any changes to the existing rate structures within its rate schedules</w:t>
      </w:r>
      <w:r w:rsidR="00DA4C35">
        <w:t xml:space="preserve"> except for changes in rate components</w:t>
      </w:r>
      <w:r>
        <w:t>.</w:t>
      </w:r>
      <w:r w:rsidRPr="00F70BDE">
        <w:rPr>
          <w:rStyle w:val="FootnoteReference"/>
          <w:u w:val="single"/>
        </w:rPr>
        <w:footnoteReference w:id="21"/>
      </w:r>
      <w:r w:rsidRPr="00F70BDE">
        <w:rPr>
          <w:vertAlign w:val="superscript"/>
        </w:rPr>
        <w:t>/</w:t>
      </w:r>
    </w:p>
    <w:p w:rsidR="00DA3E89" w:rsidRPr="00F70BDE" w:rsidRDefault="00DA3E89" w:rsidP="001D3D22">
      <w:pPr>
        <w:spacing w:after="0" w:line="480" w:lineRule="auto"/>
        <w:ind w:left="720" w:firstLine="720"/>
        <w:jc w:val="both"/>
      </w:pPr>
      <w:r>
        <w:t>For Extra Large General Service Schedule 25, the current rate consists of a two-tiered demand charge:  (1) $15,000 for the first 3,000 kVA or less; and (2) an additional demand charge of $5.25 per kVA for monthly demand in excess of 3,000 kVA.  Energy charges are broken into three blocks:  the first 500,000 kWh, 500</w:t>
      </w:r>
      <w:proofErr w:type="gramStart"/>
      <w:r>
        <w:t>,00</w:t>
      </w:r>
      <w:proofErr w:type="gramEnd"/>
      <w:r>
        <w:t xml:space="preserve"> through 6,000,000 kWh, and all over 6,000,000 kWh.  The rates per kWh are $0.05750, $0.05177, and $0.04433, respectively.  Avista proposes to change the demand charges to $16,500 for the first 3,000 kVA and $5.75 per kVA for demand above 3,000 kVA.</w:t>
      </w:r>
      <w:r w:rsidRPr="00707A2E">
        <w:rPr>
          <w:rStyle w:val="FootnoteReference"/>
          <w:u w:val="single"/>
        </w:rPr>
        <w:footnoteReference w:id="22"/>
      </w:r>
      <w:proofErr w:type="gramStart"/>
      <w:r w:rsidRPr="00707A2E">
        <w:rPr>
          <w:vertAlign w:val="superscript"/>
        </w:rPr>
        <w:t>/</w:t>
      </w:r>
      <w:r>
        <w:t xml:space="preserve">  The</w:t>
      </w:r>
      <w:proofErr w:type="gramEnd"/>
      <w:r>
        <w:t xml:space="preserve"> energy charges for the same blocking structure are proposed to be $0.05853, $0.05266, and $0.04503, respectively.  In addition to these demand and energy charges, there are service voltage discounts, which Avista does not propose to change.  </w:t>
      </w:r>
    </w:p>
    <w:p w:rsidR="00DA3E89" w:rsidRDefault="00DA3E89" w:rsidP="001D3D22">
      <w:pPr>
        <w:keepNext/>
        <w:keepLines/>
        <w:autoSpaceDE w:val="0"/>
        <w:autoSpaceDN w:val="0"/>
        <w:adjustRightInd w:val="0"/>
        <w:ind w:left="720" w:hanging="720"/>
        <w:jc w:val="both"/>
        <w:rPr>
          <w:rFonts w:eastAsia="Times New Roman"/>
          <w:szCs w:val="24"/>
        </w:rPr>
      </w:pPr>
      <w:r>
        <w:rPr>
          <w:rFonts w:eastAsia="Times New Roman"/>
          <w:b/>
          <w:szCs w:val="24"/>
        </w:rPr>
        <w:t>Q.</w:t>
      </w:r>
      <w:r>
        <w:rPr>
          <w:rFonts w:eastAsia="Times New Roman"/>
          <w:b/>
          <w:szCs w:val="24"/>
        </w:rPr>
        <w:tab/>
        <w:t>DO YOU HAVE ANY RECOMMENDATIONS AS REGARDS SCHEDULE 25 RATE DESIGN?</w:t>
      </w:r>
    </w:p>
    <w:p w:rsidR="006D0409" w:rsidRDefault="00DA3E89" w:rsidP="006B2462">
      <w:pPr>
        <w:autoSpaceDE w:val="0"/>
        <w:autoSpaceDN w:val="0"/>
        <w:adjustRightInd w:val="0"/>
        <w:spacing w:after="0" w:line="480" w:lineRule="auto"/>
        <w:ind w:left="720" w:hanging="720"/>
        <w:jc w:val="both"/>
        <w:rPr>
          <w:rFonts w:eastAsia="Times New Roman"/>
          <w:szCs w:val="24"/>
        </w:rPr>
      </w:pPr>
      <w:r>
        <w:rPr>
          <w:rFonts w:eastAsia="Times New Roman"/>
          <w:b/>
          <w:szCs w:val="24"/>
        </w:rPr>
        <w:t>A.</w:t>
      </w:r>
      <w:r>
        <w:rPr>
          <w:rFonts w:eastAsia="Times New Roman"/>
          <w:szCs w:val="24"/>
        </w:rPr>
        <w:tab/>
        <w:t xml:space="preserve">Yes, I do.  As indicated in Mr. Ehrbar’s direct testimony, the Company is concerned about revenue stabilization, and Mr. Ehrbar goes so far as to propose a revenue decoupling mechanism, which I will discuss further below.  Although I </w:t>
      </w:r>
      <w:r w:rsidR="00D13ACA">
        <w:rPr>
          <w:rFonts w:eastAsia="Times New Roman"/>
          <w:szCs w:val="24"/>
        </w:rPr>
        <w:t>believe</w:t>
      </w:r>
      <w:r>
        <w:rPr>
          <w:rFonts w:eastAsia="Times New Roman"/>
          <w:szCs w:val="24"/>
        </w:rPr>
        <w:t xml:space="preserve"> the decoupling proposal </w:t>
      </w:r>
      <w:r w:rsidR="00D13ACA">
        <w:rPr>
          <w:rFonts w:eastAsia="Times New Roman"/>
          <w:szCs w:val="24"/>
        </w:rPr>
        <w:t>i</w:t>
      </w:r>
      <w:r>
        <w:rPr>
          <w:rFonts w:eastAsia="Times New Roman"/>
          <w:szCs w:val="24"/>
        </w:rPr>
        <w:t>s unwarranted</w:t>
      </w:r>
      <w:r w:rsidR="009868F6">
        <w:rPr>
          <w:rFonts w:eastAsia="Times New Roman"/>
          <w:szCs w:val="24"/>
        </w:rPr>
        <w:t xml:space="preserve"> for Schedule 25 customers</w:t>
      </w:r>
      <w:r>
        <w:rPr>
          <w:rFonts w:eastAsia="Times New Roman"/>
          <w:szCs w:val="24"/>
        </w:rPr>
        <w:t xml:space="preserve">, </w:t>
      </w:r>
      <w:r w:rsidR="00D13ACA">
        <w:rPr>
          <w:rFonts w:eastAsia="Times New Roman"/>
          <w:szCs w:val="24"/>
        </w:rPr>
        <w:t>in the case of</w:t>
      </w:r>
      <w:r>
        <w:rPr>
          <w:rFonts w:eastAsia="Times New Roman"/>
          <w:szCs w:val="24"/>
        </w:rPr>
        <w:t xml:space="preserve"> the </w:t>
      </w:r>
      <w:r>
        <w:rPr>
          <w:rFonts w:eastAsia="Times New Roman"/>
          <w:szCs w:val="24"/>
        </w:rPr>
        <w:lastRenderedPageBreak/>
        <w:t>Commission choosing to adopt some form of adjustment</w:t>
      </w:r>
      <w:r w:rsidR="00D13ACA">
        <w:rPr>
          <w:rFonts w:eastAsia="Times New Roman"/>
          <w:szCs w:val="24"/>
        </w:rPr>
        <w:t xml:space="preserve"> that works to stabilize revenue</w:t>
      </w:r>
      <w:r>
        <w:rPr>
          <w:rFonts w:eastAsia="Times New Roman"/>
          <w:szCs w:val="24"/>
        </w:rPr>
        <w:t xml:space="preserve">, I believe it would be appropriate to increase the </w:t>
      </w:r>
      <w:r w:rsidR="00D13ACA">
        <w:rPr>
          <w:rFonts w:eastAsia="Times New Roman"/>
          <w:szCs w:val="24"/>
        </w:rPr>
        <w:t>Schedule 25</w:t>
      </w:r>
      <w:r w:rsidR="009868F6">
        <w:rPr>
          <w:rFonts w:eastAsia="Times New Roman"/>
          <w:szCs w:val="24"/>
        </w:rPr>
        <w:t xml:space="preserve"> </w:t>
      </w:r>
      <w:r>
        <w:rPr>
          <w:rFonts w:eastAsia="Times New Roman"/>
          <w:szCs w:val="24"/>
        </w:rPr>
        <w:t>demand charges which, as previously mentioned, are generally used to recover fixed costs.  This increase in demand charges would necessitate a reduction in energy charges in order to maintain the overall revenues to be collected from this rate schedule.</w:t>
      </w:r>
      <w:r w:rsidR="00D13ACA">
        <w:rPr>
          <w:rFonts w:eastAsia="Times New Roman"/>
          <w:szCs w:val="24"/>
        </w:rPr>
        <w:t xml:space="preserve">  I will further discuss how this adjustment would help to stabilize revenue</w:t>
      </w:r>
      <w:r w:rsidR="009868F6">
        <w:rPr>
          <w:rFonts w:eastAsia="Times New Roman"/>
          <w:szCs w:val="24"/>
        </w:rPr>
        <w:t>.</w:t>
      </w:r>
      <w:r>
        <w:rPr>
          <w:rFonts w:eastAsia="Times New Roman"/>
          <w:szCs w:val="24"/>
        </w:rPr>
        <w:t xml:space="preserve">  </w:t>
      </w:r>
    </w:p>
    <w:p w:rsidR="00DA3E89" w:rsidRDefault="00DA3E89" w:rsidP="001D3D22">
      <w:pPr>
        <w:keepNext/>
        <w:keepLines/>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IS AVISTA’S PROPOSAL REGARD</w:t>
      </w:r>
      <w:r w:rsidR="00D13ACA">
        <w:rPr>
          <w:rFonts w:eastAsia="Times New Roman"/>
          <w:b/>
          <w:szCs w:val="24"/>
        </w:rPr>
        <w:t>ING REVENUE DECOUPLING</w:t>
      </w:r>
      <w:r>
        <w:rPr>
          <w:rFonts w:eastAsia="Times New Roman"/>
          <w:b/>
          <w:szCs w:val="24"/>
        </w:rPr>
        <w:t>?</w:t>
      </w:r>
    </w:p>
    <w:p w:rsidR="00DA3E89" w:rsidRDefault="00DA3E89" w:rsidP="001D3D22">
      <w:pPr>
        <w:autoSpaceDE w:val="0"/>
        <w:autoSpaceDN w:val="0"/>
        <w:adjustRightInd w:val="0"/>
        <w:spacing w:after="0" w:line="480" w:lineRule="auto"/>
        <w:ind w:left="720" w:hanging="720"/>
        <w:jc w:val="both"/>
        <w:rPr>
          <w:rFonts w:eastAsia="Times New Roman"/>
          <w:szCs w:val="24"/>
        </w:rPr>
      </w:pPr>
      <w:r>
        <w:rPr>
          <w:rFonts w:eastAsia="Times New Roman"/>
          <w:b/>
          <w:szCs w:val="24"/>
        </w:rPr>
        <w:t>A.</w:t>
      </w:r>
      <w:r>
        <w:rPr>
          <w:rFonts w:eastAsia="Times New Roman"/>
          <w:szCs w:val="24"/>
        </w:rPr>
        <w:tab/>
        <w:t>Avista is requesting an electric and natural gas decoupling mechanism in this case.  I will focus on the electric decoupling mechanism, as described by Mr. Ehrbar:</w:t>
      </w:r>
    </w:p>
    <w:p w:rsidR="00DA3E89" w:rsidRPr="00E962A3" w:rsidRDefault="00DA3E89" w:rsidP="001D3D22">
      <w:pPr>
        <w:autoSpaceDE w:val="0"/>
        <w:autoSpaceDN w:val="0"/>
        <w:adjustRightInd w:val="0"/>
        <w:ind w:left="1440" w:right="720"/>
        <w:jc w:val="both"/>
        <w:rPr>
          <w:szCs w:val="23"/>
          <w:vertAlign w:val="superscript"/>
        </w:rPr>
      </w:pPr>
      <w:r w:rsidRPr="00B271B5">
        <w:rPr>
          <w:szCs w:val="23"/>
        </w:rPr>
        <w:t xml:space="preserve">The traditional problem is that rates are established in a general rate case to provide revenue to recover the fixed costs to provide service to customers.  However, the majority of that revenue is received on a volumetric basis, </w:t>
      </w:r>
      <w:r w:rsidRPr="00B271B5">
        <w:rPr>
          <w:szCs w:val="23"/>
          <w:u w:val="single"/>
        </w:rPr>
        <w:t>i.e.,</w:t>
      </w:r>
      <w:r w:rsidRPr="00B271B5">
        <w:rPr>
          <w:szCs w:val="23"/>
        </w:rPr>
        <w:t xml:space="preserve"> based on the volume of kWh and therm sales. … [I]f </w:t>
      </w:r>
      <w:r>
        <w:t xml:space="preserve">the ratemaking process does not </w:t>
      </w:r>
      <w:r w:rsidRPr="00B271B5">
        <w:rPr>
          <w:szCs w:val="23"/>
        </w:rPr>
        <w:t xml:space="preserve">account for the known reduction in kWh sales related to energy efficiency, rates set based on historical test period loads are actually designed to </w:t>
      </w:r>
      <w:r w:rsidRPr="00B271B5">
        <w:rPr>
          <w:szCs w:val="23"/>
          <w:u w:val="single"/>
        </w:rPr>
        <w:t>not</w:t>
      </w:r>
      <w:r w:rsidRPr="00B271B5">
        <w:rPr>
          <w:szCs w:val="23"/>
        </w:rPr>
        <w:t xml:space="preserve"> provide recovery of the Company’s costs under normal operating conditions.</w:t>
      </w:r>
      <w:r w:rsidRPr="00E962A3">
        <w:rPr>
          <w:rStyle w:val="FootnoteReference"/>
          <w:szCs w:val="23"/>
          <w:u w:val="single"/>
        </w:rPr>
        <w:footnoteReference w:id="23"/>
      </w:r>
      <w:r>
        <w:rPr>
          <w:szCs w:val="23"/>
          <w:vertAlign w:val="superscript"/>
        </w:rPr>
        <w:t>/</w:t>
      </w:r>
    </w:p>
    <w:p w:rsidR="00DA3E89" w:rsidRDefault="00DA3E89" w:rsidP="001D3D22">
      <w:pPr>
        <w:autoSpaceDE w:val="0"/>
        <w:autoSpaceDN w:val="0"/>
        <w:adjustRightInd w:val="0"/>
        <w:spacing w:after="0" w:line="480" w:lineRule="auto"/>
        <w:ind w:left="720"/>
        <w:jc w:val="both"/>
        <w:rPr>
          <w:rFonts w:eastAsia="Times New Roman"/>
          <w:szCs w:val="24"/>
        </w:rPr>
      </w:pPr>
      <w:r>
        <w:rPr>
          <w:rFonts w:eastAsia="Times New Roman"/>
          <w:szCs w:val="24"/>
        </w:rPr>
        <w:t>Avista explains that it seeks a rate mechanism that will provide for greater revenue stability and, at the same time, not discourage energy efficiency efforts by customers.  Mr. Ehrbar states:  “</w:t>
      </w:r>
      <w:r w:rsidRPr="00995908">
        <w:rPr>
          <w:rFonts w:eastAsia="Times New Roman"/>
          <w:szCs w:val="24"/>
        </w:rPr>
        <w:t>The primary reason Avista is considering decoupling in the first place is there is recognition that energy efficiency kWh savings eliminates revenue from the utility intended to cover utility costs.</w:t>
      </w:r>
      <w:r>
        <w:rPr>
          <w:rFonts w:eastAsia="Times New Roman"/>
          <w:szCs w:val="24"/>
        </w:rPr>
        <w:t>”</w:t>
      </w:r>
      <w:r w:rsidRPr="00E962A3">
        <w:rPr>
          <w:rStyle w:val="FootnoteReference"/>
          <w:szCs w:val="23"/>
          <w:u w:val="single"/>
        </w:rPr>
        <w:footnoteReference w:id="24"/>
      </w:r>
      <w:r>
        <w:rPr>
          <w:szCs w:val="23"/>
          <w:vertAlign w:val="superscript"/>
        </w:rPr>
        <w:t>/</w:t>
      </w:r>
    </w:p>
    <w:p w:rsidR="00DA3E89" w:rsidRPr="00FE35D1" w:rsidRDefault="00DA3E89" w:rsidP="009D0DDE">
      <w:pPr>
        <w:autoSpaceDE w:val="0"/>
        <w:autoSpaceDN w:val="0"/>
        <w:adjustRightInd w:val="0"/>
        <w:spacing w:after="0" w:line="480" w:lineRule="auto"/>
        <w:ind w:left="720" w:hanging="720"/>
        <w:jc w:val="both"/>
        <w:rPr>
          <w:szCs w:val="24"/>
        </w:rPr>
      </w:pPr>
      <w:r w:rsidRPr="00FE35D1">
        <w:rPr>
          <w:szCs w:val="24"/>
        </w:rPr>
        <w:tab/>
      </w:r>
      <w:r w:rsidRPr="00FE35D1">
        <w:rPr>
          <w:szCs w:val="24"/>
        </w:rPr>
        <w:tab/>
        <w:t>Mr. Ehrbar goes on to outline the elements of the electric decoupling mechanism as consisting of four steps.</w:t>
      </w:r>
      <w:r w:rsidRPr="00E962A3">
        <w:rPr>
          <w:rStyle w:val="FootnoteReference"/>
          <w:szCs w:val="23"/>
          <w:u w:val="single"/>
        </w:rPr>
        <w:footnoteReference w:id="25"/>
      </w:r>
      <w:proofErr w:type="gramStart"/>
      <w:r>
        <w:rPr>
          <w:szCs w:val="23"/>
          <w:vertAlign w:val="superscript"/>
        </w:rPr>
        <w:t>/</w:t>
      </w:r>
      <w:r w:rsidRPr="00FE35D1">
        <w:rPr>
          <w:szCs w:val="24"/>
        </w:rPr>
        <w:t xml:space="preserve">  Essentially</w:t>
      </w:r>
      <w:proofErr w:type="gramEnd"/>
      <w:r w:rsidRPr="00FE35D1">
        <w:rPr>
          <w:szCs w:val="24"/>
        </w:rPr>
        <w:t>, his proposed method is to de</w:t>
      </w:r>
      <w:r>
        <w:rPr>
          <w:szCs w:val="24"/>
        </w:rPr>
        <w:t>termine and fix the allowed non</w:t>
      </w:r>
      <w:r>
        <w:rPr>
          <w:szCs w:val="24"/>
        </w:rPr>
        <w:noBreakHyphen/>
      </w:r>
      <w:r w:rsidRPr="00FE35D1">
        <w:rPr>
          <w:szCs w:val="24"/>
        </w:rPr>
        <w:t xml:space="preserve">power supply revenue on a per customer basis.  </w:t>
      </w:r>
      <w:r w:rsidRPr="00FE35D1">
        <w:rPr>
          <w:szCs w:val="24"/>
        </w:rPr>
        <w:lastRenderedPageBreak/>
        <w:t>Under this design, as long as the number of customers</w:t>
      </w:r>
      <w:r>
        <w:rPr>
          <w:szCs w:val="24"/>
        </w:rPr>
        <w:t xml:space="preserve"> in each rate schedule</w:t>
      </w:r>
      <w:r w:rsidRPr="00FE35D1">
        <w:rPr>
          <w:szCs w:val="24"/>
        </w:rPr>
        <w:t xml:space="preserve"> stays relatively constant, Avista’s revenues that are derived from items that are not power supply</w:t>
      </w:r>
      <w:r>
        <w:rPr>
          <w:szCs w:val="24"/>
        </w:rPr>
        <w:t xml:space="preserve"> </w:t>
      </w:r>
      <w:r w:rsidRPr="00FE35D1">
        <w:rPr>
          <w:szCs w:val="24"/>
        </w:rPr>
        <w:t>related remain relatively constant.  Power</w:t>
      </w:r>
      <w:r>
        <w:rPr>
          <w:szCs w:val="24"/>
        </w:rPr>
        <w:t xml:space="preserve"> supply related costs are variable and generally would rise and fall with power supply revenues.</w:t>
      </w:r>
    </w:p>
    <w:p w:rsidR="00DA3E89" w:rsidRPr="00B271B5" w:rsidRDefault="00DA3E89" w:rsidP="001D3D22">
      <w:pPr>
        <w:autoSpaceDE w:val="0"/>
        <w:autoSpaceDN w:val="0"/>
        <w:adjustRightInd w:val="0"/>
        <w:ind w:left="720" w:hanging="720"/>
        <w:jc w:val="both"/>
        <w:rPr>
          <w:b/>
          <w:szCs w:val="23"/>
        </w:rPr>
      </w:pPr>
      <w:r w:rsidRPr="00B271B5">
        <w:rPr>
          <w:b/>
          <w:szCs w:val="23"/>
        </w:rPr>
        <w:t>Q.</w:t>
      </w:r>
      <w:r w:rsidRPr="00B271B5">
        <w:rPr>
          <w:b/>
          <w:szCs w:val="23"/>
        </w:rPr>
        <w:tab/>
        <w:t>DO YOU HAVE AN OPINION AS TO WHETHER AVISTA’S PROPOSED ELECTRIC DECOUPLING MECHANISM SHOULD BE APPROVED?</w:t>
      </w:r>
    </w:p>
    <w:p w:rsidR="00DA3E89" w:rsidRDefault="00DA3E89" w:rsidP="001D3D22">
      <w:pPr>
        <w:autoSpaceDE w:val="0"/>
        <w:autoSpaceDN w:val="0"/>
        <w:adjustRightInd w:val="0"/>
        <w:spacing w:after="0" w:line="480" w:lineRule="auto"/>
        <w:ind w:left="720" w:hanging="720"/>
        <w:jc w:val="both"/>
        <w:rPr>
          <w:szCs w:val="23"/>
        </w:rPr>
      </w:pPr>
      <w:r w:rsidRPr="00B271B5">
        <w:rPr>
          <w:b/>
          <w:szCs w:val="23"/>
        </w:rPr>
        <w:t>A.</w:t>
      </w:r>
      <w:r w:rsidRPr="00B271B5">
        <w:rPr>
          <w:szCs w:val="23"/>
        </w:rPr>
        <w:tab/>
        <w:t xml:space="preserve">As a general matter, I recommend against decoupling mechanisms as unnecessary because they reduce the </w:t>
      </w:r>
      <w:r>
        <w:rPr>
          <w:szCs w:val="23"/>
        </w:rPr>
        <w:t xml:space="preserve">utility’s </w:t>
      </w:r>
      <w:r w:rsidRPr="00B271B5">
        <w:rPr>
          <w:szCs w:val="23"/>
        </w:rPr>
        <w:t>incentive to minimize costs</w:t>
      </w:r>
      <w:r>
        <w:rPr>
          <w:szCs w:val="23"/>
        </w:rPr>
        <w:t>.</w:t>
      </w:r>
      <w:r w:rsidRPr="00B271B5">
        <w:rPr>
          <w:szCs w:val="23"/>
        </w:rPr>
        <w:t xml:space="preserve"> </w:t>
      </w:r>
      <w:r>
        <w:rPr>
          <w:szCs w:val="23"/>
        </w:rPr>
        <w:t xml:space="preserve"> Alternatively,</w:t>
      </w:r>
      <w:r w:rsidRPr="00B271B5">
        <w:rPr>
          <w:szCs w:val="23"/>
        </w:rPr>
        <w:t xml:space="preserve"> sound utility rate designs</w:t>
      </w:r>
      <w:r>
        <w:rPr>
          <w:szCs w:val="23"/>
        </w:rPr>
        <w:t xml:space="preserve">, </w:t>
      </w:r>
      <w:r w:rsidRPr="00F1608B">
        <w:rPr>
          <w:szCs w:val="23"/>
          <w:u w:val="single"/>
        </w:rPr>
        <w:t>i.e.</w:t>
      </w:r>
      <w:r>
        <w:rPr>
          <w:szCs w:val="23"/>
        </w:rPr>
        <w:t>, efficient price signals,</w:t>
      </w:r>
      <w:r w:rsidRPr="00B271B5">
        <w:rPr>
          <w:szCs w:val="23"/>
        </w:rPr>
        <w:t xml:space="preserve"> can often provide the results </w:t>
      </w:r>
      <w:r>
        <w:rPr>
          <w:szCs w:val="23"/>
        </w:rPr>
        <w:t>that the</w:t>
      </w:r>
      <w:r w:rsidR="009D0DDE">
        <w:rPr>
          <w:szCs w:val="23"/>
        </w:rPr>
        <w:t xml:space="preserve"> utility seeks.</w:t>
      </w:r>
    </w:p>
    <w:p w:rsidR="00DA3E89" w:rsidRPr="00B271B5" w:rsidRDefault="00DA3E89" w:rsidP="001D3D22">
      <w:pPr>
        <w:autoSpaceDE w:val="0"/>
        <w:autoSpaceDN w:val="0"/>
        <w:adjustRightInd w:val="0"/>
        <w:spacing w:after="0" w:line="480" w:lineRule="auto"/>
        <w:ind w:left="720" w:firstLine="720"/>
        <w:jc w:val="both"/>
        <w:rPr>
          <w:szCs w:val="23"/>
        </w:rPr>
      </w:pPr>
      <w:r w:rsidRPr="00B271B5">
        <w:rPr>
          <w:szCs w:val="23"/>
        </w:rPr>
        <w:t xml:space="preserve">I especially find </w:t>
      </w:r>
      <w:r>
        <w:rPr>
          <w:szCs w:val="23"/>
        </w:rPr>
        <w:t>Avista’s decoupling proposal</w:t>
      </w:r>
      <w:r w:rsidRPr="00B271B5">
        <w:rPr>
          <w:szCs w:val="23"/>
        </w:rPr>
        <w:t xml:space="preserve"> inappropriate</w:t>
      </w:r>
      <w:r>
        <w:rPr>
          <w:szCs w:val="23"/>
        </w:rPr>
        <w:t xml:space="preserve"> in its application to Schedule </w:t>
      </w:r>
      <w:r w:rsidRPr="00B271B5">
        <w:rPr>
          <w:szCs w:val="23"/>
        </w:rPr>
        <w:t>25 customers</w:t>
      </w:r>
      <w:r>
        <w:rPr>
          <w:szCs w:val="23"/>
        </w:rPr>
        <w:t>,</w:t>
      </w:r>
      <w:r w:rsidRPr="00B271B5">
        <w:rPr>
          <w:szCs w:val="23"/>
        </w:rPr>
        <w:t xml:space="preserve"> as being both ill-conceived and unnecessary.</w:t>
      </w:r>
      <w:r w:rsidR="009868F6">
        <w:rPr>
          <w:szCs w:val="23"/>
        </w:rPr>
        <w:t xml:space="preserve">  This issue is addressed in greater detail by ICN</w:t>
      </w:r>
      <w:r w:rsidR="00C43DD7">
        <w:rPr>
          <w:szCs w:val="23"/>
        </w:rPr>
        <w:t>U</w:t>
      </w:r>
      <w:r w:rsidR="009868F6">
        <w:rPr>
          <w:szCs w:val="23"/>
        </w:rPr>
        <w:t xml:space="preserve"> witness Bradley G. Mullins.</w:t>
      </w:r>
      <w:r w:rsidRPr="00B271B5">
        <w:rPr>
          <w:szCs w:val="23"/>
        </w:rPr>
        <w:t xml:space="preserve">  </w:t>
      </w:r>
    </w:p>
    <w:p w:rsidR="00DA3E89" w:rsidRPr="00B271B5" w:rsidRDefault="00DA3E89" w:rsidP="001D3D22">
      <w:pPr>
        <w:autoSpaceDE w:val="0"/>
        <w:autoSpaceDN w:val="0"/>
        <w:adjustRightInd w:val="0"/>
        <w:ind w:left="720" w:hanging="720"/>
        <w:jc w:val="both"/>
        <w:rPr>
          <w:szCs w:val="23"/>
        </w:rPr>
      </w:pPr>
      <w:r w:rsidRPr="00B271B5">
        <w:rPr>
          <w:b/>
          <w:szCs w:val="23"/>
        </w:rPr>
        <w:t>Q.</w:t>
      </w:r>
      <w:r w:rsidRPr="00B271B5">
        <w:rPr>
          <w:b/>
          <w:szCs w:val="23"/>
        </w:rPr>
        <w:tab/>
        <w:t>WHY IS THE COMPANY’S PROPOSED ELECTRIC DECOUPLING MECHANISM PARTICULARLY INAPPROPRIATE AS IT PERTAINS TO SCHEDULE 25 CUSTOMERS?</w:t>
      </w:r>
    </w:p>
    <w:p w:rsidR="00DA3E89" w:rsidRDefault="00DA3E89" w:rsidP="001D3D22">
      <w:pPr>
        <w:autoSpaceDE w:val="0"/>
        <w:autoSpaceDN w:val="0"/>
        <w:adjustRightInd w:val="0"/>
        <w:spacing w:after="0" w:line="480" w:lineRule="auto"/>
        <w:ind w:left="720" w:hanging="720"/>
        <w:jc w:val="both"/>
        <w:rPr>
          <w:szCs w:val="23"/>
        </w:rPr>
      </w:pPr>
      <w:r w:rsidRPr="00B271B5">
        <w:rPr>
          <w:b/>
          <w:szCs w:val="23"/>
        </w:rPr>
        <w:t>A.</w:t>
      </w:r>
      <w:r w:rsidRPr="00B271B5">
        <w:rPr>
          <w:szCs w:val="23"/>
        </w:rPr>
        <w:tab/>
      </w:r>
      <w:r>
        <w:rPr>
          <w:szCs w:val="23"/>
        </w:rPr>
        <w:t>First, f</w:t>
      </w:r>
      <w:r w:rsidRPr="00B271B5">
        <w:rPr>
          <w:szCs w:val="23"/>
        </w:rPr>
        <w:t>or Schedule 25, the relatively small number of customers causes the non-power suppl</w:t>
      </w:r>
      <w:r>
        <w:rPr>
          <w:szCs w:val="23"/>
        </w:rPr>
        <w:t>y revenue per customer to be very</w:t>
      </w:r>
      <w:r w:rsidRPr="00B271B5">
        <w:rPr>
          <w:szCs w:val="23"/>
        </w:rPr>
        <w:t xml:space="preserve"> large and potentially volatile</w:t>
      </w:r>
      <w:r>
        <w:rPr>
          <w:szCs w:val="23"/>
        </w:rPr>
        <w:t>.  This could</w:t>
      </w:r>
      <w:r w:rsidRPr="00B271B5">
        <w:rPr>
          <w:szCs w:val="23"/>
        </w:rPr>
        <w:t xml:space="preserve"> thwart</w:t>
      </w:r>
      <w:r>
        <w:rPr>
          <w:szCs w:val="23"/>
        </w:rPr>
        <w:t xml:space="preserve"> Avista’s</w:t>
      </w:r>
      <w:r w:rsidRPr="00B271B5">
        <w:rPr>
          <w:szCs w:val="23"/>
        </w:rPr>
        <w:t xml:space="preserve"> goal of stabilizing revenue.  Should a Schedule 25 customer shut down</w:t>
      </w:r>
      <w:r>
        <w:rPr>
          <w:szCs w:val="23"/>
        </w:rPr>
        <w:t xml:space="preserve"> (even a small one) it c</w:t>
      </w:r>
      <w:r w:rsidRPr="00B271B5">
        <w:rPr>
          <w:szCs w:val="23"/>
        </w:rPr>
        <w:t xml:space="preserve">ould have a significant impact on the Company’s non-power supply revenues.  This is not true for other customer classes with much lower per customer revenue levels.  </w:t>
      </w:r>
      <w:r w:rsidR="009868F6">
        <w:rPr>
          <w:szCs w:val="23"/>
        </w:rPr>
        <w:t xml:space="preserve">An industrial plant closure is a real possibility given the economic climate in </w:t>
      </w:r>
      <w:r w:rsidR="00E90C08">
        <w:rPr>
          <w:szCs w:val="23"/>
        </w:rPr>
        <w:t>e</w:t>
      </w:r>
      <w:r w:rsidR="009868F6">
        <w:rPr>
          <w:szCs w:val="23"/>
        </w:rPr>
        <w:t>astern Washington and global competition.  Customers should not pay increased revenues when energy savings have nothing to do with customers.</w:t>
      </w:r>
    </w:p>
    <w:p w:rsidR="00DA3E89" w:rsidRPr="00B271B5" w:rsidRDefault="00DA3E89" w:rsidP="001D3D22">
      <w:pPr>
        <w:autoSpaceDE w:val="0"/>
        <w:autoSpaceDN w:val="0"/>
        <w:adjustRightInd w:val="0"/>
        <w:spacing w:after="0" w:line="480" w:lineRule="auto"/>
        <w:ind w:left="720" w:firstLine="720"/>
        <w:jc w:val="both"/>
        <w:rPr>
          <w:szCs w:val="23"/>
        </w:rPr>
      </w:pPr>
      <w:r w:rsidRPr="00B271B5">
        <w:rPr>
          <w:szCs w:val="23"/>
        </w:rPr>
        <w:lastRenderedPageBreak/>
        <w:t xml:space="preserve">Second, as I </w:t>
      </w:r>
      <w:r>
        <w:rPr>
          <w:szCs w:val="23"/>
        </w:rPr>
        <w:t>al</w:t>
      </w:r>
      <w:r w:rsidRPr="00B271B5">
        <w:rPr>
          <w:szCs w:val="23"/>
        </w:rPr>
        <w:t xml:space="preserve">luded to previously, a much simpler change in the rate design could accomplish much of the revenue stability the Company seeks.  By this, I am referring to the shift of some of the cost recovery from the per kWh energy sales to the demand component.  </w:t>
      </w:r>
    </w:p>
    <w:p w:rsidR="00DA3E89" w:rsidRPr="00B271B5" w:rsidRDefault="00DA3E89" w:rsidP="001D3D22">
      <w:pPr>
        <w:autoSpaceDE w:val="0"/>
        <w:autoSpaceDN w:val="0"/>
        <w:adjustRightInd w:val="0"/>
        <w:ind w:left="720" w:hanging="720"/>
        <w:jc w:val="both"/>
        <w:rPr>
          <w:b/>
          <w:szCs w:val="23"/>
        </w:rPr>
      </w:pPr>
      <w:r w:rsidRPr="00B271B5">
        <w:rPr>
          <w:b/>
          <w:szCs w:val="23"/>
        </w:rPr>
        <w:t>Q.</w:t>
      </w:r>
      <w:r w:rsidRPr="00B271B5">
        <w:rPr>
          <w:b/>
          <w:szCs w:val="23"/>
        </w:rPr>
        <w:tab/>
        <w:t>WHY WOULD THIS PROVIDE GREATER REVENUE STABILITY?</w:t>
      </w:r>
    </w:p>
    <w:p w:rsidR="00DA3E89" w:rsidRPr="00B271B5" w:rsidRDefault="00DA3E89" w:rsidP="001D3D22">
      <w:pPr>
        <w:autoSpaceDE w:val="0"/>
        <w:autoSpaceDN w:val="0"/>
        <w:adjustRightInd w:val="0"/>
        <w:spacing w:after="0" w:line="480" w:lineRule="auto"/>
        <w:ind w:left="720" w:hanging="720"/>
        <w:jc w:val="both"/>
        <w:rPr>
          <w:szCs w:val="23"/>
        </w:rPr>
      </w:pPr>
      <w:r w:rsidRPr="00B271B5">
        <w:rPr>
          <w:b/>
          <w:szCs w:val="23"/>
        </w:rPr>
        <w:t>A.</w:t>
      </w:r>
      <w:r w:rsidRPr="00B271B5">
        <w:rPr>
          <w:szCs w:val="23"/>
        </w:rPr>
        <w:tab/>
        <w:t>To be</w:t>
      </w:r>
      <w:r>
        <w:rPr>
          <w:szCs w:val="23"/>
        </w:rPr>
        <w:t>g</w:t>
      </w:r>
      <w:r w:rsidRPr="00B271B5">
        <w:rPr>
          <w:szCs w:val="23"/>
        </w:rPr>
        <w:t>in, demand charges are generally established to recover fixed costs of the utility system, such as fixed production</w:t>
      </w:r>
      <w:r>
        <w:rPr>
          <w:szCs w:val="23"/>
        </w:rPr>
        <w:t>,</w:t>
      </w:r>
      <w:r w:rsidRPr="00B271B5">
        <w:rPr>
          <w:szCs w:val="23"/>
        </w:rPr>
        <w:t xml:space="preserve"> transmission and distribution costs (</w:t>
      </w:r>
      <w:r w:rsidRPr="006B2462">
        <w:rPr>
          <w:szCs w:val="23"/>
          <w:u w:val="single"/>
        </w:rPr>
        <w:t>i.e.</w:t>
      </w:r>
      <w:r w:rsidRPr="00B271B5">
        <w:rPr>
          <w:szCs w:val="23"/>
        </w:rPr>
        <w:t xml:space="preserve">, those costs that do not vary with the level of energy sales).  Thus, as more of the cost recovery is assigned to the demand charges, more revenue is derived to cover these fixed costs.  </w:t>
      </w:r>
    </w:p>
    <w:p w:rsidR="00DA3E89" w:rsidRPr="00B271B5" w:rsidRDefault="00DA3E89" w:rsidP="001D3D22">
      <w:pPr>
        <w:autoSpaceDE w:val="0"/>
        <w:autoSpaceDN w:val="0"/>
        <w:adjustRightInd w:val="0"/>
        <w:spacing w:after="0" w:line="480" w:lineRule="auto"/>
        <w:ind w:left="720" w:hanging="720"/>
        <w:jc w:val="both"/>
        <w:rPr>
          <w:szCs w:val="23"/>
        </w:rPr>
      </w:pPr>
      <w:r w:rsidRPr="00B271B5">
        <w:rPr>
          <w:b/>
          <w:szCs w:val="23"/>
        </w:rPr>
        <w:tab/>
      </w:r>
      <w:r w:rsidRPr="00B271B5">
        <w:rPr>
          <w:b/>
          <w:szCs w:val="23"/>
        </w:rPr>
        <w:tab/>
      </w:r>
      <w:r w:rsidRPr="00B271B5">
        <w:rPr>
          <w:szCs w:val="23"/>
        </w:rPr>
        <w:t xml:space="preserve">In addition, to the extent customers would implement significant energy efficiency measures, a smaller impact on Avista would be observed because the energy charges are lower.  </w:t>
      </w:r>
    </w:p>
    <w:p w:rsidR="00DA3E89" w:rsidRPr="00B271B5" w:rsidRDefault="00DA3E89" w:rsidP="001D3D22">
      <w:pPr>
        <w:autoSpaceDE w:val="0"/>
        <w:autoSpaceDN w:val="0"/>
        <w:adjustRightInd w:val="0"/>
        <w:ind w:left="720" w:hanging="720"/>
        <w:jc w:val="both"/>
        <w:rPr>
          <w:b/>
          <w:szCs w:val="23"/>
        </w:rPr>
      </w:pPr>
      <w:r w:rsidRPr="00B271B5">
        <w:rPr>
          <w:b/>
          <w:szCs w:val="23"/>
        </w:rPr>
        <w:t>Q.</w:t>
      </w:r>
      <w:r w:rsidRPr="00B271B5">
        <w:rPr>
          <w:b/>
          <w:szCs w:val="23"/>
        </w:rPr>
        <w:tab/>
        <w:t>WHAT IS YOUR SPECIFIC RECOMMENDATION WITH REGARD TO AVISTA’S PROPOSED ELECTRIC DECOUPLING MECHANISM?</w:t>
      </w:r>
    </w:p>
    <w:p w:rsidR="00D13ACA" w:rsidRDefault="00DA3E89" w:rsidP="00D13ACA">
      <w:pPr>
        <w:autoSpaceDE w:val="0"/>
        <w:autoSpaceDN w:val="0"/>
        <w:adjustRightInd w:val="0"/>
        <w:spacing w:after="0" w:line="480" w:lineRule="auto"/>
        <w:ind w:left="720" w:hanging="720"/>
        <w:jc w:val="both"/>
        <w:rPr>
          <w:rFonts w:eastAsia="Times New Roman"/>
          <w:szCs w:val="24"/>
        </w:rPr>
      </w:pPr>
      <w:r w:rsidRPr="00B271B5">
        <w:rPr>
          <w:b/>
          <w:szCs w:val="23"/>
        </w:rPr>
        <w:t>A.</w:t>
      </w:r>
      <w:r w:rsidRPr="00B271B5">
        <w:rPr>
          <w:szCs w:val="23"/>
        </w:rPr>
        <w:tab/>
        <w:t>Whether or not a decoupling mechanism is approved for any other rate schedule, I recommend that it not be approved for Schedule 25.</w:t>
      </w:r>
      <w:r w:rsidR="00D13ACA">
        <w:rPr>
          <w:szCs w:val="23"/>
        </w:rPr>
        <w:t xml:space="preserve">  </w:t>
      </w:r>
      <w:r w:rsidR="00D13ACA">
        <w:rPr>
          <w:rFonts w:eastAsia="Times New Roman"/>
          <w:szCs w:val="24"/>
        </w:rPr>
        <w:t xml:space="preserve">I believe it would be reasonable to increase the demand charge in the first block from the current $15,000 to as much as $25,000 and to increase the per-unit charge for demand over 3,000 kVA from $5.25 per kVA to as much as $6.25 per kVA.  Such a change would provide significant improved revenue stability for Avista, if the Commission finds it necessary to adjust rates in order to increase revenue stability.  </w:t>
      </w:r>
    </w:p>
    <w:p w:rsidR="00D13ACA" w:rsidRDefault="00D13ACA" w:rsidP="00D13ACA">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WOULD THE RESULTING ENERGY CHARGES BECOME UNDER YOUR ALTERNATE PROPOSAL?</w:t>
      </w:r>
    </w:p>
    <w:p w:rsidR="00D13ACA" w:rsidRDefault="00D13ACA" w:rsidP="00D13ACA">
      <w:pPr>
        <w:autoSpaceDE w:val="0"/>
        <w:autoSpaceDN w:val="0"/>
        <w:adjustRightInd w:val="0"/>
        <w:spacing w:after="0" w:line="480" w:lineRule="auto"/>
        <w:ind w:left="720" w:hanging="720"/>
        <w:jc w:val="both"/>
        <w:rPr>
          <w:rFonts w:eastAsia="Times New Roman"/>
          <w:szCs w:val="24"/>
        </w:rPr>
      </w:pPr>
      <w:r>
        <w:rPr>
          <w:rFonts w:eastAsia="Times New Roman"/>
          <w:b/>
          <w:szCs w:val="24"/>
        </w:rPr>
        <w:t>A.</w:t>
      </w:r>
      <w:r>
        <w:rPr>
          <w:rFonts w:eastAsia="Times New Roman"/>
          <w:szCs w:val="24"/>
        </w:rPr>
        <w:tab/>
        <w:t xml:space="preserve">The energy charges would depend on the overall revenue requirement assigned to the rate class.  If the maximum increases to demand charges outlined above were adopted, </w:t>
      </w:r>
      <w:r>
        <w:rPr>
          <w:rFonts w:eastAsia="Times New Roman"/>
          <w:szCs w:val="24"/>
        </w:rPr>
        <w:lastRenderedPageBreak/>
        <w:t>at Avista’s proposed increase to the rate class, the blocked energy charges would become $0.05556, $0.04999, and $0.04274 per kWh, respectively, for the blocks defined by Avista.  These figures would change, of course, with any change to the Schedule 25 revenue allocation.</w:t>
      </w:r>
    </w:p>
    <w:p w:rsidR="00DA3E89" w:rsidRPr="00E866A1" w:rsidRDefault="006B2462" w:rsidP="001D3D22">
      <w:pPr>
        <w:autoSpaceDE w:val="0"/>
        <w:autoSpaceDN w:val="0"/>
        <w:adjustRightInd w:val="0"/>
        <w:spacing w:after="0" w:line="480" w:lineRule="auto"/>
        <w:ind w:left="720" w:hanging="720"/>
        <w:jc w:val="both"/>
        <w:rPr>
          <w:rFonts w:eastAsia="Times New Roman"/>
          <w:szCs w:val="24"/>
        </w:rPr>
      </w:pPr>
      <w:r>
        <w:rPr>
          <w:szCs w:val="23"/>
        </w:rPr>
        <w:tab/>
      </w:r>
      <w:r w:rsidR="00673B4A">
        <w:rPr>
          <w:szCs w:val="23"/>
        </w:rPr>
        <w:tab/>
      </w:r>
      <w:r w:rsidR="00DA3E89" w:rsidRPr="00B271B5">
        <w:rPr>
          <w:szCs w:val="23"/>
        </w:rPr>
        <w:t>Th</w:t>
      </w:r>
      <w:r w:rsidR="00D13ACA">
        <w:rPr>
          <w:szCs w:val="23"/>
        </w:rPr>
        <w:t>ese</w:t>
      </w:r>
      <w:r w:rsidR="00DA3E89" w:rsidRPr="00B271B5">
        <w:rPr>
          <w:szCs w:val="23"/>
        </w:rPr>
        <w:t xml:space="preserve"> change</w:t>
      </w:r>
      <w:r w:rsidR="00D13ACA">
        <w:rPr>
          <w:szCs w:val="23"/>
        </w:rPr>
        <w:t>s</w:t>
      </w:r>
      <w:r w:rsidR="00DA3E89" w:rsidRPr="00B271B5">
        <w:rPr>
          <w:szCs w:val="23"/>
        </w:rPr>
        <w:t xml:space="preserve"> should provide greater revenue stability to Avista and </w:t>
      </w:r>
      <w:r w:rsidR="00DA3E89">
        <w:rPr>
          <w:szCs w:val="23"/>
        </w:rPr>
        <w:t>would</w:t>
      </w:r>
      <w:r w:rsidR="00DA3E89" w:rsidRPr="00B271B5">
        <w:rPr>
          <w:szCs w:val="23"/>
        </w:rPr>
        <w:t xml:space="preserve"> reduce any disincentive</w:t>
      </w:r>
      <w:r w:rsidR="00DA3E89">
        <w:rPr>
          <w:szCs w:val="23"/>
        </w:rPr>
        <w:t>s</w:t>
      </w:r>
      <w:r w:rsidR="00DA3E89" w:rsidRPr="00B271B5">
        <w:rPr>
          <w:szCs w:val="23"/>
        </w:rPr>
        <w:t xml:space="preserve"> it has related to energy efficiency programs for these customers.  </w:t>
      </w:r>
    </w:p>
    <w:p w:rsidR="00DA3E89" w:rsidRPr="00272C05" w:rsidRDefault="00DA3E89" w:rsidP="001D3D22">
      <w:pPr>
        <w:autoSpaceDE w:val="0"/>
        <w:autoSpaceDN w:val="0"/>
        <w:adjustRightInd w:val="0"/>
        <w:ind w:left="720" w:hanging="720"/>
        <w:jc w:val="both"/>
        <w:rPr>
          <w:rFonts w:eastAsia="Times New Roman"/>
          <w:b/>
          <w:szCs w:val="24"/>
        </w:rPr>
      </w:pPr>
      <w:r w:rsidRPr="00272C05">
        <w:rPr>
          <w:rFonts w:eastAsia="Times New Roman"/>
          <w:b/>
          <w:szCs w:val="24"/>
        </w:rPr>
        <w:t>Q.</w:t>
      </w:r>
      <w:r w:rsidRPr="00272C05">
        <w:rPr>
          <w:rFonts w:eastAsia="Times New Roman"/>
          <w:b/>
          <w:szCs w:val="24"/>
        </w:rPr>
        <w:tab/>
        <w:t>DOES THIS CONCLUDE YOUR RESPONSE TESTIMONY?</w:t>
      </w:r>
    </w:p>
    <w:p w:rsidR="00615DEE" w:rsidRDefault="00DA3E89" w:rsidP="001D3D22">
      <w:pPr>
        <w:tabs>
          <w:tab w:val="left" w:pos="1440"/>
          <w:tab w:val="left" w:pos="5472"/>
        </w:tabs>
        <w:spacing w:after="0" w:line="480" w:lineRule="auto"/>
        <w:ind w:left="720" w:hanging="720"/>
        <w:jc w:val="both"/>
        <w:rPr>
          <w:rFonts w:eastAsia="Times New Roman"/>
          <w:szCs w:val="24"/>
        </w:rPr>
      </w:pPr>
      <w:r w:rsidRPr="00272C05">
        <w:rPr>
          <w:rFonts w:eastAsia="Times New Roman"/>
          <w:b/>
          <w:szCs w:val="24"/>
        </w:rPr>
        <w:t>A.</w:t>
      </w:r>
      <w:r>
        <w:rPr>
          <w:rFonts w:eastAsia="Times New Roman"/>
          <w:szCs w:val="24"/>
        </w:rPr>
        <w:tab/>
        <w:t>Yes, it does.</w:t>
      </w:r>
    </w:p>
    <w:p w:rsidR="00014873" w:rsidRPr="00014873" w:rsidRDefault="00014873" w:rsidP="00A53687">
      <w:pPr>
        <w:suppressLineNumbers/>
        <w:tabs>
          <w:tab w:val="left" w:pos="1440"/>
          <w:tab w:val="left" w:pos="5472"/>
        </w:tabs>
        <w:spacing w:after="0" w:line="480" w:lineRule="auto"/>
        <w:rPr>
          <w:rFonts w:eastAsia="Times New Roman"/>
          <w:sz w:val="12"/>
          <w:szCs w:val="12"/>
        </w:rPr>
      </w:pPr>
    </w:p>
    <w:sectPr w:rsidR="00014873" w:rsidRPr="00014873" w:rsidSect="00615DEE">
      <w:headerReference w:type="default" r:id="rId15"/>
      <w:footerReference w:type="default" r:id="rId16"/>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4B" w:rsidRPr="001D1134" w:rsidRDefault="009B3C4B" w:rsidP="00272C05">
      <w:pPr>
        <w:spacing w:after="0"/>
      </w:pPr>
      <w:r>
        <w:separator/>
      </w:r>
    </w:p>
  </w:endnote>
  <w:endnote w:type="continuationSeparator" w:id="0">
    <w:p w:rsidR="009B3C4B" w:rsidRPr="001D1134" w:rsidRDefault="009B3C4B" w:rsidP="00272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9" w:rsidRDefault="001D3171" w:rsidP="00BC4CF7">
    <w:pPr>
      <w:pStyle w:val="Footer"/>
      <w:tabs>
        <w:tab w:val="right" w:pos="9072"/>
        <w:tab w:val="right" w:pos="9334"/>
      </w:tabs>
    </w:pPr>
    <w:r>
      <w:t xml:space="preserve">Response Testimony </w:t>
    </w:r>
    <w:r w:rsidR="00D415F9">
      <w:t>Robert R. Stephens</w:t>
    </w:r>
    <w:r w:rsidR="00D415F9">
      <w:tab/>
    </w:r>
    <w:r w:rsidR="00D415F9">
      <w:tab/>
    </w:r>
    <w:r w:rsidR="00D415F9" w:rsidRPr="00F56E3F">
      <w:t>Exhibit No.__</w:t>
    </w:r>
    <w:proofErr w:type="gramStart"/>
    <w:r w:rsidR="00D415F9" w:rsidRPr="00F56E3F">
      <w:t>_(</w:t>
    </w:r>
    <w:proofErr w:type="gramEnd"/>
    <w:r w:rsidR="00D415F9">
      <w:t>RRS</w:t>
    </w:r>
    <w:r w:rsidR="00D415F9" w:rsidRPr="00F56E3F">
      <w:t>-</w:t>
    </w:r>
    <w:r w:rsidR="00D415F9">
      <w:t>1T</w:t>
    </w:r>
    <w:r w:rsidR="00D415F9" w:rsidRPr="00F56E3F">
      <w:t>)</w:t>
    </w:r>
  </w:p>
  <w:p w:rsidR="00D415F9" w:rsidRDefault="00D415F9" w:rsidP="00BC4CF7">
    <w:pPr>
      <w:pStyle w:val="Footer"/>
      <w:tabs>
        <w:tab w:val="clear" w:pos="4680"/>
        <w:tab w:val="clear" w:pos="9360"/>
        <w:tab w:val="right" w:pos="9072"/>
      </w:tabs>
    </w:pPr>
    <w:r w:rsidRPr="002277D2">
      <w:t>Docket No</w:t>
    </w:r>
    <w:r>
      <w:t>s</w:t>
    </w:r>
    <w:r>
      <w:rPr>
        <w:smallCaps/>
      </w:rPr>
      <w:t xml:space="preserve">. </w:t>
    </w:r>
    <w:r w:rsidRPr="00B50343">
      <w:rPr>
        <w:rFonts w:eastAsia="Times New Roman"/>
        <w:smallCaps/>
        <w:szCs w:val="20"/>
      </w:rPr>
      <w:t>UE-</w:t>
    </w:r>
    <w:r>
      <w:rPr>
        <w:rFonts w:eastAsia="Times New Roman"/>
        <w:smallCaps/>
        <w:szCs w:val="20"/>
      </w:rPr>
      <w:t xml:space="preserve">140188 </w:t>
    </w:r>
    <w:r w:rsidRPr="00960816">
      <w:rPr>
        <w:rFonts w:eastAsia="Times New Roman"/>
        <w:szCs w:val="20"/>
      </w:rPr>
      <w:t>and</w:t>
    </w:r>
    <w:r>
      <w:rPr>
        <w:rFonts w:eastAsia="Times New Roman"/>
        <w:smallCaps/>
        <w:szCs w:val="20"/>
      </w:rPr>
      <w:t xml:space="preserve"> UG-140189 (</w:t>
    </w:r>
    <w:r>
      <w:rPr>
        <w:rFonts w:eastAsia="Times New Roman"/>
        <w:szCs w:val="20"/>
      </w:rPr>
      <w:t>Consolidated)</w:t>
    </w:r>
    <w: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9" w:rsidRDefault="001C2307" w:rsidP="00BC4CF7">
    <w:pPr>
      <w:pStyle w:val="Footer"/>
      <w:tabs>
        <w:tab w:val="clear" w:pos="9360"/>
        <w:tab w:val="right" w:pos="9090"/>
      </w:tabs>
    </w:pPr>
    <w:r>
      <w:t xml:space="preserve">Response Testimony </w:t>
    </w:r>
    <w:r w:rsidR="00D415F9">
      <w:t>Robert R. Stephens</w:t>
    </w:r>
    <w:r w:rsidR="00D415F9">
      <w:tab/>
    </w:r>
    <w:r w:rsidR="00D415F9">
      <w:tab/>
    </w:r>
    <w:r w:rsidR="00D415F9" w:rsidRPr="00F56E3F">
      <w:t>Exhibit No.__</w:t>
    </w:r>
    <w:proofErr w:type="gramStart"/>
    <w:r w:rsidR="00D415F9" w:rsidRPr="00F56E3F">
      <w:t>_(</w:t>
    </w:r>
    <w:proofErr w:type="gramEnd"/>
    <w:r w:rsidR="00D415F9">
      <w:t>RRS</w:t>
    </w:r>
    <w:r w:rsidR="00D415F9" w:rsidRPr="00F56E3F">
      <w:t>-</w:t>
    </w:r>
    <w:r w:rsidR="00D415F9">
      <w:t>1T</w:t>
    </w:r>
    <w:r w:rsidR="00D415F9" w:rsidRPr="00F56E3F">
      <w:t>)</w:t>
    </w:r>
  </w:p>
  <w:p w:rsidR="00D415F9" w:rsidRDefault="00D415F9" w:rsidP="00BC4CF7">
    <w:pPr>
      <w:pStyle w:val="Footer"/>
      <w:tabs>
        <w:tab w:val="clear" w:pos="4680"/>
        <w:tab w:val="clear" w:pos="9360"/>
        <w:tab w:val="right" w:pos="9090"/>
      </w:tabs>
    </w:pPr>
    <w:r w:rsidRPr="002277D2">
      <w:t>Docket No</w:t>
    </w:r>
    <w:r>
      <w:t>s</w:t>
    </w:r>
    <w:r>
      <w:rPr>
        <w:smallCaps/>
      </w:rPr>
      <w:t xml:space="preserve">. </w:t>
    </w:r>
    <w:r w:rsidRPr="00B50343">
      <w:rPr>
        <w:rFonts w:eastAsia="Times New Roman" w:cs="Times New Roman"/>
        <w:smallCaps/>
        <w:szCs w:val="20"/>
      </w:rPr>
      <w:t>UE-</w:t>
    </w:r>
    <w:r>
      <w:rPr>
        <w:rFonts w:eastAsia="Times New Roman" w:cs="Times New Roman"/>
        <w:smallCaps/>
        <w:szCs w:val="20"/>
      </w:rPr>
      <w:t xml:space="preserve">140188 </w:t>
    </w:r>
    <w:r w:rsidRPr="00960816">
      <w:rPr>
        <w:rFonts w:eastAsia="Times New Roman" w:cs="Times New Roman"/>
        <w:szCs w:val="20"/>
      </w:rPr>
      <w:t>and</w:t>
    </w:r>
    <w:r>
      <w:rPr>
        <w:rFonts w:eastAsia="Times New Roman" w:cs="Times New Roman"/>
        <w:smallCaps/>
        <w:szCs w:val="20"/>
      </w:rPr>
      <w:t xml:space="preserve"> UG-140189 (</w:t>
    </w:r>
    <w:r>
      <w:rPr>
        <w:rFonts w:eastAsia="Times New Roman" w:cs="Times New Roman"/>
        <w:szCs w:val="20"/>
      </w:rPr>
      <w:t>Consolidated)</w:t>
    </w:r>
    <w:r>
      <w:tab/>
      <w:t xml:space="preserve">Page </w:t>
    </w:r>
    <w:r w:rsidR="0098325D">
      <w:fldChar w:fldCharType="begin"/>
    </w:r>
    <w:r w:rsidR="00A24EBC">
      <w:instrText xml:space="preserve"> PAGE   \* MERGEFORMAT </w:instrText>
    </w:r>
    <w:r w:rsidR="0098325D">
      <w:fldChar w:fldCharType="separate"/>
    </w:r>
    <w:r w:rsidR="005154C9">
      <w:rPr>
        <w:noProof/>
      </w:rPr>
      <w:t>1</w:t>
    </w:r>
    <w:r w:rsidR="009832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4B" w:rsidRPr="001D1134" w:rsidRDefault="009B3C4B" w:rsidP="00272C05">
      <w:pPr>
        <w:spacing w:after="0"/>
      </w:pPr>
      <w:r>
        <w:separator/>
      </w:r>
    </w:p>
  </w:footnote>
  <w:footnote w:type="continuationSeparator" w:id="0">
    <w:p w:rsidR="009B3C4B" w:rsidRPr="001D1134" w:rsidRDefault="009B3C4B" w:rsidP="00272C05">
      <w:pPr>
        <w:spacing w:after="0"/>
      </w:pPr>
      <w:r>
        <w:continuationSeparator/>
      </w:r>
    </w:p>
  </w:footnote>
  <w:footnote w:id="1">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 No. __</w:t>
      </w:r>
      <w:proofErr w:type="gramStart"/>
      <w:r w:rsidRPr="0010369A">
        <w:rPr>
          <w:sz w:val="20"/>
        </w:rPr>
        <w:t>_(</w:t>
      </w:r>
      <w:proofErr w:type="gramEnd"/>
      <w:r w:rsidRPr="0010369A">
        <w:rPr>
          <w:sz w:val="20"/>
        </w:rPr>
        <w:t>TLK-1T).</w:t>
      </w:r>
    </w:p>
  </w:footnote>
  <w:footnote w:id="2">
    <w:p w:rsidR="00D415F9" w:rsidRPr="001B2EEC" w:rsidRDefault="00D415F9" w:rsidP="00DA3E89">
      <w:pPr>
        <w:pStyle w:val="FootnoteText"/>
        <w:rPr>
          <w:rStyle w:val="FootnoteReference"/>
          <w:u w:val="single"/>
        </w:rPr>
      </w:pPr>
      <w:r w:rsidRPr="0010369A">
        <w:rPr>
          <w:rStyle w:val="FootnoteReference"/>
          <w:sz w:val="20"/>
          <w:u w:val="single"/>
        </w:rPr>
        <w:footnoteRef/>
      </w:r>
      <w:r w:rsidRPr="0010369A">
        <w:rPr>
          <w:rStyle w:val="FootnoteReference"/>
          <w:sz w:val="20"/>
        </w:rPr>
        <w:t xml:space="preserve">/ </w:t>
      </w:r>
      <w:r w:rsidRPr="0010369A">
        <w:rPr>
          <w:rStyle w:val="FootnoteReference"/>
          <w:sz w:val="20"/>
        </w:rPr>
        <w:tab/>
      </w:r>
      <w:proofErr w:type="gramStart"/>
      <w:r w:rsidRPr="0010369A">
        <w:rPr>
          <w:sz w:val="20"/>
          <w:u w:val="single"/>
        </w:rPr>
        <w:t>Id.</w:t>
      </w:r>
      <w:r w:rsidRPr="0010369A">
        <w:rPr>
          <w:sz w:val="20"/>
        </w:rPr>
        <w:t xml:space="preserve"> at 15.</w:t>
      </w:r>
      <w:proofErr w:type="gramEnd"/>
    </w:p>
  </w:footnote>
  <w:footnote w:id="3">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 No. __</w:t>
      </w:r>
      <w:proofErr w:type="gramStart"/>
      <w:r w:rsidRPr="0010369A">
        <w:rPr>
          <w:sz w:val="20"/>
        </w:rPr>
        <w:t>_(</w:t>
      </w:r>
      <w:proofErr w:type="gramEnd"/>
      <w:r w:rsidRPr="0010369A">
        <w:rPr>
          <w:sz w:val="20"/>
        </w:rPr>
        <w:t>TLK-3T) at 3.</w:t>
      </w:r>
    </w:p>
  </w:footnote>
  <w:footnote w:id="4">
    <w:p w:rsidR="00D415F9" w:rsidRPr="0023339D" w:rsidRDefault="00D415F9" w:rsidP="00DA3E89">
      <w:pPr>
        <w:pStyle w:val="FootnoteText"/>
        <w:rPr>
          <w:sz w:val="20"/>
        </w:rPr>
      </w:pPr>
      <w:r w:rsidRPr="0023339D">
        <w:rPr>
          <w:rStyle w:val="FootnoteReference"/>
          <w:sz w:val="20"/>
          <w:u w:val="single"/>
        </w:rPr>
        <w:footnoteRef/>
      </w:r>
      <w:r w:rsidRPr="0023339D">
        <w:rPr>
          <w:sz w:val="20"/>
          <w:vertAlign w:val="superscript"/>
        </w:rPr>
        <w:t>/</w:t>
      </w:r>
      <w:r w:rsidRPr="0023339D">
        <w:rPr>
          <w:sz w:val="20"/>
          <w:vertAlign w:val="superscript"/>
        </w:rPr>
        <w:tab/>
      </w:r>
      <w:r>
        <w:rPr>
          <w:i/>
          <w:sz w:val="20"/>
        </w:rPr>
        <w:t>NARUC Manual</w:t>
      </w:r>
      <w:r>
        <w:rPr>
          <w:sz w:val="20"/>
        </w:rPr>
        <w:t xml:space="preserve"> at 46</w:t>
      </w:r>
      <w:r w:rsidRPr="0023339D">
        <w:rPr>
          <w:sz w:val="20"/>
        </w:rPr>
        <w:t>.</w:t>
      </w:r>
    </w:p>
  </w:footnote>
  <w:footnote w:id="5">
    <w:p w:rsidR="00D415F9" w:rsidRPr="0023339D" w:rsidRDefault="00D415F9" w:rsidP="00DA3E89">
      <w:pPr>
        <w:pStyle w:val="FootnoteText"/>
        <w:rPr>
          <w:sz w:val="20"/>
        </w:rPr>
      </w:pPr>
      <w:r w:rsidRPr="0023339D">
        <w:rPr>
          <w:rStyle w:val="FootnoteReference"/>
          <w:sz w:val="20"/>
          <w:u w:val="single"/>
        </w:rPr>
        <w:footnoteRef/>
      </w:r>
      <w:r w:rsidRPr="0023339D">
        <w:rPr>
          <w:sz w:val="20"/>
          <w:vertAlign w:val="superscript"/>
        </w:rPr>
        <w:t>/</w:t>
      </w:r>
      <w:r w:rsidRPr="0023339D">
        <w:rPr>
          <w:sz w:val="20"/>
          <w:vertAlign w:val="superscript"/>
        </w:rPr>
        <w:tab/>
      </w:r>
      <w:r>
        <w:rPr>
          <w:sz w:val="20"/>
          <w:u w:val="single"/>
        </w:rPr>
        <w:t>Id.</w:t>
      </w:r>
      <w:r>
        <w:rPr>
          <w:sz w:val="20"/>
        </w:rPr>
        <w:t xml:space="preserve">  (</w:t>
      </w:r>
      <w:proofErr w:type="gramStart"/>
      <w:r>
        <w:rPr>
          <w:sz w:val="20"/>
        </w:rPr>
        <w:t>emphasis</w:t>
      </w:r>
      <w:proofErr w:type="gramEnd"/>
      <w:r>
        <w:rPr>
          <w:sz w:val="20"/>
        </w:rPr>
        <w:t xml:space="preserve"> added)</w:t>
      </w:r>
      <w:r w:rsidRPr="0023339D">
        <w:rPr>
          <w:sz w:val="20"/>
        </w:rPr>
        <w:t>.</w:t>
      </w:r>
    </w:p>
  </w:footnote>
  <w:footnote w:id="6">
    <w:p w:rsidR="00D415F9" w:rsidRPr="0010369A" w:rsidRDefault="00D415F9" w:rsidP="00DA3E89">
      <w:pPr>
        <w:pStyle w:val="FootnoteText"/>
        <w:ind w:left="720" w:hanging="720"/>
        <w:jc w:val="both"/>
        <w:rPr>
          <w:sz w:val="20"/>
        </w:rPr>
      </w:pPr>
      <w:r w:rsidRPr="0010369A">
        <w:rPr>
          <w:rStyle w:val="FootnoteReference"/>
          <w:sz w:val="20"/>
          <w:u w:val="single"/>
        </w:rPr>
        <w:footnoteRef/>
      </w:r>
      <w:r w:rsidRPr="0010369A">
        <w:rPr>
          <w:sz w:val="20"/>
          <w:vertAlign w:val="superscript"/>
        </w:rPr>
        <w:t>/</w:t>
      </w:r>
      <w:r w:rsidRPr="0010369A">
        <w:rPr>
          <w:sz w:val="20"/>
        </w:rPr>
        <w:tab/>
        <w:t>The highest peak month, July, is nearly 38% higher than the lowest peak month, September.</w:t>
      </w:r>
    </w:p>
  </w:footnote>
  <w:footnote w:id="7">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i/>
          <w:sz w:val="20"/>
        </w:rPr>
        <w:t>NARUC Manual</w:t>
      </w:r>
      <w:r w:rsidRPr="0010369A">
        <w:rPr>
          <w:sz w:val="20"/>
        </w:rPr>
        <w:t xml:space="preserve"> at 45.</w:t>
      </w:r>
    </w:p>
  </w:footnote>
  <w:footnote w:id="8">
    <w:p w:rsidR="00D415F9" w:rsidRPr="0023339D"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u w:val="single"/>
        </w:rPr>
        <w:t>Id.</w:t>
      </w:r>
      <w:r>
        <w:rPr>
          <w:sz w:val="20"/>
        </w:rPr>
        <w:t xml:space="preserve"> </w:t>
      </w:r>
    </w:p>
  </w:footnote>
  <w:footnote w:id="9">
    <w:p w:rsidR="00D415F9" w:rsidRPr="0010369A" w:rsidRDefault="00D415F9" w:rsidP="00DA3E89">
      <w:pPr>
        <w:pStyle w:val="FootnoteText"/>
        <w:ind w:left="720" w:hanging="720"/>
        <w:jc w:val="both"/>
        <w:rPr>
          <w:sz w:val="20"/>
        </w:rPr>
      </w:pPr>
      <w:r w:rsidRPr="0010369A">
        <w:rPr>
          <w:rStyle w:val="FootnoteReference"/>
          <w:sz w:val="20"/>
          <w:u w:val="single"/>
        </w:rPr>
        <w:footnoteRef/>
      </w:r>
      <w:r w:rsidRPr="0010369A">
        <w:rPr>
          <w:sz w:val="20"/>
          <w:vertAlign w:val="superscript"/>
        </w:rPr>
        <w:t>/</w:t>
      </w:r>
      <w:r w:rsidRPr="0010369A">
        <w:rPr>
          <w:sz w:val="20"/>
        </w:rPr>
        <w:tab/>
        <w:t>In Exh</w:t>
      </w:r>
      <w:r>
        <w:rPr>
          <w:sz w:val="20"/>
        </w:rPr>
        <w:t>.</w:t>
      </w:r>
      <w:r w:rsidRPr="0010369A">
        <w:rPr>
          <w:sz w:val="20"/>
        </w:rPr>
        <w:t xml:space="preserve"> </w:t>
      </w:r>
      <w:r>
        <w:rPr>
          <w:sz w:val="20"/>
        </w:rPr>
        <w:t>No.</w:t>
      </w:r>
      <w:r w:rsidRPr="0010369A">
        <w:rPr>
          <w:sz w:val="20"/>
        </w:rPr>
        <w:t>___</w:t>
      </w:r>
      <w:proofErr w:type="gramStart"/>
      <w:r w:rsidRPr="0010369A">
        <w:rPr>
          <w:sz w:val="20"/>
        </w:rPr>
        <w:t>_(</w:t>
      </w:r>
      <w:proofErr w:type="gramEnd"/>
      <w:r w:rsidRPr="0010369A">
        <w:rPr>
          <w:sz w:val="20"/>
        </w:rPr>
        <w:t xml:space="preserve">RRS-3), months within 5% of the peak </w:t>
      </w:r>
      <w:r w:rsidR="00920C0F">
        <w:rPr>
          <w:sz w:val="20"/>
        </w:rPr>
        <w:t xml:space="preserve">(inclusive) </w:t>
      </w:r>
      <w:r w:rsidRPr="0010369A">
        <w:rPr>
          <w:sz w:val="20"/>
        </w:rPr>
        <w:t>are shown in red and months between 5% and 10% lower than the peak are shown in gray.</w:t>
      </w:r>
    </w:p>
  </w:footnote>
  <w:footnote w:id="10">
    <w:p w:rsidR="00D415F9" w:rsidRPr="0010369A" w:rsidRDefault="00D415F9" w:rsidP="00DA3E89">
      <w:pPr>
        <w:pStyle w:val="FootnoteText"/>
        <w:ind w:left="720" w:hanging="720"/>
        <w:rPr>
          <w:sz w:val="20"/>
        </w:rPr>
      </w:pPr>
      <w:r w:rsidRPr="0010369A">
        <w:rPr>
          <w:rStyle w:val="FootnoteReference"/>
          <w:sz w:val="20"/>
          <w:u w:val="single"/>
        </w:rPr>
        <w:footnoteRef/>
      </w:r>
      <w:r w:rsidRPr="0010369A">
        <w:rPr>
          <w:sz w:val="20"/>
          <w:vertAlign w:val="superscript"/>
        </w:rPr>
        <w:t>/</w:t>
      </w:r>
      <w:r w:rsidRPr="0010369A">
        <w:rPr>
          <w:sz w:val="20"/>
        </w:rPr>
        <w:tab/>
        <w:t>For peak demands, I have utilized the average of the 4 CP, as discussed above.  Had I used the actual peak or the single CP, the results shown would have been even more dramatic.</w:t>
      </w:r>
    </w:p>
  </w:footnote>
  <w:footnote w:id="11">
    <w:p w:rsidR="00D415F9" w:rsidRDefault="00D415F9" w:rsidP="00DA3E89">
      <w:pPr>
        <w:pStyle w:val="FootnoteText"/>
        <w:ind w:left="720" w:hanging="720"/>
      </w:pPr>
      <w:r w:rsidRPr="0010369A">
        <w:rPr>
          <w:rStyle w:val="FootnoteReference"/>
          <w:sz w:val="20"/>
          <w:u w:val="single"/>
        </w:rPr>
        <w:footnoteRef/>
      </w:r>
      <w:r w:rsidRPr="0010369A">
        <w:rPr>
          <w:sz w:val="20"/>
          <w:vertAlign w:val="superscript"/>
        </w:rPr>
        <w:t>/</w:t>
      </w:r>
      <w:r w:rsidRPr="0010369A">
        <w:rPr>
          <w:sz w:val="20"/>
        </w:rPr>
        <w:tab/>
      </w:r>
      <w:r w:rsidRPr="0010369A">
        <w:rPr>
          <w:sz w:val="20"/>
          <w:u w:val="single"/>
        </w:rPr>
        <w:t>See</w:t>
      </w:r>
      <w:r w:rsidRPr="0010369A">
        <w:rPr>
          <w:sz w:val="20"/>
        </w:rPr>
        <w:t xml:space="preserve"> </w:t>
      </w:r>
      <w:r w:rsidRPr="0010369A">
        <w:rPr>
          <w:i/>
          <w:sz w:val="20"/>
        </w:rPr>
        <w:t>NARUC Manual</w:t>
      </w:r>
      <w:r w:rsidRPr="0010369A">
        <w:rPr>
          <w:sz w:val="20"/>
        </w:rPr>
        <w:t xml:space="preserve"> at 49-52.</w:t>
      </w:r>
    </w:p>
  </w:footnote>
  <w:footnote w:id="12">
    <w:p w:rsidR="00D415F9" w:rsidRPr="0070296A" w:rsidRDefault="00D415F9" w:rsidP="00DA3E89">
      <w:pPr>
        <w:pStyle w:val="FootnoteText"/>
        <w:ind w:left="720" w:hanging="720"/>
        <w:rPr>
          <w:vertAlign w:val="superscript"/>
        </w:rPr>
      </w:pPr>
      <w:r w:rsidRPr="0070296A">
        <w:rPr>
          <w:rStyle w:val="FootnoteReference"/>
          <w:u w:val="single"/>
        </w:rPr>
        <w:footnoteRef/>
      </w:r>
      <w:r w:rsidRPr="0070296A">
        <w:rPr>
          <w:vertAlign w:val="superscript"/>
        </w:rPr>
        <w:t>/</w:t>
      </w:r>
      <w:r>
        <w:tab/>
      </w:r>
      <w:r w:rsidRPr="001F3FC9">
        <w:t>Similarly, allocating costs on average demand is mathematically equivalent to a kWh allocation and ignores the distinctions between peak period usage and off-peak period usage.</w:t>
      </w:r>
    </w:p>
  </w:footnote>
  <w:footnote w:id="13">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 No. __</w:t>
      </w:r>
      <w:proofErr w:type="gramStart"/>
      <w:r w:rsidRPr="0010369A">
        <w:rPr>
          <w:sz w:val="20"/>
        </w:rPr>
        <w:t>_(</w:t>
      </w:r>
      <w:proofErr w:type="gramEnd"/>
      <w:r w:rsidRPr="0010369A">
        <w:rPr>
          <w:sz w:val="20"/>
        </w:rPr>
        <w:t>TLK-1T)</w:t>
      </w:r>
      <w:r>
        <w:rPr>
          <w:sz w:val="20"/>
        </w:rPr>
        <w:t xml:space="preserve"> at 14</w:t>
      </w:r>
      <w:r w:rsidRPr="0010369A">
        <w:rPr>
          <w:sz w:val="20"/>
        </w:rPr>
        <w:t>.</w:t>
      </w:r>
    </w:p>
  </w:footnote>
  <w:footnote w:id="14">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w:t>
      </w:r>
      <w:r>
        <w:rPr>
          <w:sz w:val="20"/>
        </w:rPr>
        <w:t xml:space="preserve"> No. __</w:t>
      </w:r>
      <w:proofErr w:type="gramStart"/>
      <w:r>
        <w:rPr>
          <w:sz w:val="20"/>
        </w:rPr>
        <w:t>_(</w:t>
      </w:r>
      <w:proofErr w:type="gramEnd"/>
      <w:r>
        <w:rPr>
          <w:sz w:val="20"/>
        </w:rPr>
        <w:t>TLK-3</w:t>
      </w:r>
      <w:r w:rsidRPr="0010369A">
        <w:rPr>
          <w:sz w:val="20"/>
        </w:rPr>
        <w:t>)</w:t>
      </w:r>
      <w:r>
        <w:rPr>
          <w:sz w:val="20"/>
        </w:rPr>
        <w:t xml:space="preserve"> at 3</w:t>
      </w:r>
      <w:r w:rsidRPr="0010369A">
        <w:rPr>
          <w:sz w:val="20"/>
        </w:rPr>
        <w:t>.</w:t>
      </w:r>
    </w:p>
  </w:footnote>
  <w:footnote w:id="15">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w:t>
      </w:r>
      <w:r>
        <w:rPr>
          <w:sz w:val="20"/>
        </w:rPr>
        <w:t xml:space="preserve"> No. __</w:t>
      </w:r>
      <w:proofErr w:type="gramStart"/>
      <w:r>
        <w:rPr>
          <w:sz w:val="20"/>
        </w:rPr>
        <w:t>_(</w:t>
      </w:r>
      <w:proofErr w:type="gramEnd"/>
      <w:r>
        <w:rPr>
          <w:sz w:val="20"/>
        </w:rPr>
        <w:t>PDE</w:t>
      </w:r>
      <w:r w:rsidRPr="0010369A">
        <w:rPr>
          <w:sz w:val="20"/>
        </w:rPr>
        <w:t>-1T)</w:t>
      </w:r>
      <w:r>
        <w:rPr>
          <w:sz w:val="20"/>
        </w:rPr>
        <w:t xml:space="preserve"> at 14</w:t>
      </w:r>
      <w:r w:rsidRPr="0010369A">
        <w:rPr>
          <w:sz w:val="20"/>
        </w:rPr>
        <w:t>.</w:t>
      </w:r>
    </w:p>
  </w:footnote>
  <w:footnote w:id="16">
    <w:p w:rsidR="00D415F9" w:rsidRPr="00602101" w:rsidRDefault="00D415F9" w:rsidP="00DA3E89">
      <w:pPr>
        <w:pStyle w:val="FootnoteText"/>
        <w:jc w:val="both"/>
        <w:rPr>
          <w:sz w:val="20"/>
        </w:rPr>
      </w:pPr>
      <w:r w:rsidRPr="00602101">
        <w:rPr>
          <w:rStyle w:val="FootnoteReference"/>
          <w:sz w:val="20"/>
          <w:u w:val="single"/>
        </w:rPr>
        <w:footnoteRef/>
      </w:r>
      <w:r w:rsidRPr="00602101">
        <w:rPr>
          <w:sz w:val="20"/>
          <w:vertAlign w:val="superscript"/>
        </w:rPr>
        <w:t>/</w:t>
      </w:r>
      <w:r w:rsidRPr="00602101">
        <w:rPr>
          <w:sz w:val="20"/>
        </w:rPr>
        <w:tab/>
        <w:t>Generally, FERC Orders 888 and 889 dealt with these matters.</w:t>
      </w:r>
    </w:p>
  </w:footnote>
  <w:footnote w:id="17">
    <w:p w:rsidR="00D415F9" w:rsidRPr="00602101" w:rsidRDefault="00D415F9" w:rsidP="00DA3E89">
      <w:pPr>
        <w:pStyle w:val="FootnoteText"/>
        <w:rPr>
          <w:sz w:val="20"/>
        </w:rPr>
      </w:pPr>
      <w:r w:rsidRPr="00602101">
        <w:rPr>
          <w:rStyle w:val="FootnoteReference"/>
          <w:sz w:val="20"/>
          <w:u w:val="single"/>
        </w:rPr>
        <w:footnoteRef/>
      </w:r>
      <w:r w:rsidRPr="00602101">
        <w:rPr>
          <w:sz w:val="20"/>
          <w:vertAlign w:val="superscript"/>
        </w:rPr>
        <w:t>/</w:t>
      </w:r>
      <w:r w:rsidRPr="00602101">
        <w:rPr>
          <w:sz w:val="20"/>
          <w:vertAlign w:val="superscript"/>
        </w:rPr>
        <w:tab/>
      </w:r>
      <w:r w:rsidRPr="00602101">
        <w:rPr>
          <w:sz w:val="20"/>
        </w:rPr>
        <w:t>Exh. No. __</w:t>
      </w:r>
      <w:proofErr w:type="gramStart"/>
      <w:r w:rsidRPr="00602101">
        <w:rPr>
          <w:sz w:val="20"/>
        </w:rPr>
        <w:t>_(</w:t>
      </w:r>
      <w:proofErr w:type="gramEnd"/>
      <w:r w:rsidRPr="00602101">
        <w:rPr>
          <w:sz w:val="20"/>
        </w:rPr>
        <w:t>PDE-1T) at 5.</w:t>
      </w:r>
    </w:p>
  </w:footnote>
  <w:footnote w:id="18">
    <w:p w:rsidR="00D415F9" w:rsidRPr="0010369A" w:rsidRDefault="00D415F9" w:rsidP="00DA3E89">
      <w:pPr>
        <w:pStyle w:val="FootnoteText"/>
        <w:rPr>
          <w:sz w:val="20"/>
        </w:rPr>
      </w:pPr>
      <w:r w:rsidRPr="00602101">
        <w:rPr>
          <w:rStyle w:val="FootnoteReference"/>
          <w:sz w:val="20"/>
          <w:u w:val="single"/>
        </w:rPr>
        <w:footnoteRef/>
      </w:r>
      <w:r w:rsidRPr="00602101">
        <w:rPr>
          <w:sz w:val="20"/>
          <w:vertAlign w:val="superscript"/>
        </w:rPr>
        <w:t>/</w:t>
      </w:r>
      <w:r w:rsidRPr="00602101">
        <w:rPr>
          <w:sz w:val="20"/>
          <w:vertAlign w:val="superscript"/>
        </w:rPr>
        <w:tab/>
      </w:r>
      <w:r w:rsidRPr="00602101">
        <w:rPr>
          <w:sz w:val="20"/>
          <w:u w:val="single"/>
        </w:rPr>
        <w:t>Id.</w:t>
      </w:r>
      <w:r w:rsidRPr="00602101">
        <w:rPr>
          <w:sz w:val="20"/>
        </w:rPr>
        <w:t xml:space="preserve"> at 10.</w:t>
      </w:r>
    </w:p>
  </w:footnote>
  <w:footnote w:id="19">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602101">
        <w:rPr>
          <w:sz w:val="20"/>
          <w:u w:val="single"/>
        </w:rPr>
        <w:t>Id.</w:t>
      </w:r>
      <w:r w:rsidR="00971160">
        <w:rPr>
          <w:sz w:val="20"/>
        </w:rPr>
        <w:t xml:space="preserve"> at </w:t>
      </w:r>
      <w:r>
        <w:rPr>
          <w:sz w:val="20"/>
        </w:rPr>
        <w:t>11</w:t>
      </w:r>
      <w:r w:rsidRPr="0010369A">
        <w:rPr>
          <w:sz w:val="20"/>
        </w:rPr>
        <w:t>.</w:t>
      </w:r>
    </w:p>
  </w:footnote>
  <w:footnote w:id="20">
    <w:p w:rsidR="00D415F9" w:rsidRPr="00B47F24" w:rsidRDefault="00AD4973">
      <w:pPr>
        <w:pStyle w:val="FootnoteText"/>
        <w:rPr>
          <w:sz w:val="20"/>
          <w:vertAlign w:val="superscript"/>
        </w:rPr>
      </w:pPr>
      <w:r w:rsidRPr="00474B0F">
        <w:rPr>
          <w:rStyle w:val="FootnoteReference"/>
          <w:sz w:val="20"/>
          <w:u w:val="single"/>
        </w:rPr>
        <w:footnoteRef/>
      </w:r>
      <w:r w:rsidR="00D415F9" w:rsidRPr="00474B0F">
        <w:rPr>
          <w:rStyle w:val="FootnoteReference"/>
        </w:rPr>
        <w:t>/</w:t>
      </w:r>
      <w:r w:rsidR="00D415F9">
        <w:rPr>
          <w:sz w:val="20"/>
          <w:vertAlign w:val="superscript"/>
        </w:rPr>
        <w:tab/>
      </w:r>
      <w:proofErr w:type="gramStart"/>
      <w:r w:rsidRPr="00AD4973">
        <w:rPr>
          <w:sz w:val="20"/>
        </w:rPr>
        <w:t>Based</w:t>
      </w:r>
      <w:r w:rsidR="00D415F9">
        <w:rPr>
          <w:sz w:val="20"/>
        </w:rPr>
        <w:t xml:space="preserve"> on my recommended ECOS study.</w:t>
      </w:r>
      <w:proofErr w:type="gramEnd"/>
    </w:p>
  </w:footnote>
  <w:footnote w:id="21">
    <w:p w:rsidR="00D415F9" w:rsidRPr="00602101" w:rsidRDefault="00D415F9" w:rsidP="00DA3E89">
      <w:pPr>
        <w:pStyle w:val="FootnoteText"/>
        <w:ind w:left="720" w:hanging="720"/>
        <w:jc w:val="both"/>
        <w:rPr>
          <w:sz w:val="20"/>
          <w:vertAlign w:val="superscript"/>
        </w:rPr>
      </w:pPr>
      <w:r w:rsidRPr="00602101">
        <w:rPr>
          <w:rStyle w:val="FootnoteReference"/>
          <w:sz w:val="20"/>
          <w:u w:val="single"/>
        </w:rPr>
        <w:footnoteRef/>
      </w:r>
      <w:r w:rsidRPr="00602101">
        <w:rPr>
          <w:sz w:val="20"/>
          <w:vertAlign w:val="superscript"/>
        </w:rPr>
        <w:t>/</w:t>
      </w:r>
      <w:r w:rsidRPr="00602101">
        <w:rPr>
          <w:sz w:val="20"/>
          <w:vertAlign w:val="superscript"/>
        </w:rPr>
        <w:tab/>
      </w:r>
      <w:r w:rsidRPr="00602101">
        <w:rPr>
          <w:sz w:val="20"/>
          <w:u w:val="single"/>
        </w:rPr>
        <w:t>Id.</w:t>
      </w:r>
      <w:r w:rsidRPr="00602101">
        <w:rPr>
          <w:sz w:val="20"/>
        </w:rPr>
        <w:t xml:space="preserve"> at 12.</w:t>
      </w:r>
    </w:p>
  </w:footnote>
  <w:footnote w:id="22">
    <w:p w:rsidR="00D415F9" w:rsidRPr="0010369A" w:rsidRDefault="00D415F9" w:rsidP="00DA3E89">
      <w:pPr>
        <w:pStyle w:val="FootnoteText"/>
        <w:rPr>
          <w:sz w:val="20"/>
        </w:rPr>
      </w:pPr>
      <w:r w:rsidRPr="0010369A">
        <w:rPr>
          <w:rStyle w:val="FootnoteReference"/>
          <w:sz w:val="20"/>
          <w:u w:val="single"/>
        </w:rPr>
        <w:footnoteRef/>
      </w:r>
      <w:r w:rsidRPr="0010369A">
        <w:rPr>
          <w:sz w:val="20"/>
          <w:vertAlign w:val="superscript"/>
        </w:rPr>
        <w:t>/</w:t>
      </w:r>
      <w:r w:rsidRPr="0010369A">
        <w:rPr>
          <w:sz w:val="20"/>
          <w:vertAlign w:val="superscript"/>
        </w:rPr>
        <w:tab/>
      </w:r>
      <w:r w:rsidRPr="0010369A">
        <w:rPr>
          <w:sz w:val="20"/>
        </w:rPr>
        <w:t>Exh.</w:t>
      </w:r>
      <w:r>
        <w:rPr>
          <w:sz w:val="20"/>
        </w:rPr>
        <w:t xml:space="preserve"> No. __</w:t>
      </w:r>
      <w:proofErr w:type="gramStart"/>
      <w:r>
        <w:rPr>
          <w:sz w:val="20"/>
        </w:rPr>
        <w:t>_(</w:t>
      </w:r>
      <w:proofErr w:type="gramEnd"/>
      <w:r>
        <w:rPr>
          <w:sz w:val="20"/>
        </w:rPr>
        <w:t>PDE-4</w:t>
      </w:r>
      <w:r w:rsidRPr="0010369A">
        <w:rPr>
          <w:sz w:val="20"/>
        </w:rPr>
        <w:t>)</w:t>
      </w:r>
      <w:r>
        <w:rPr>
          <w:sz w:val="20"/>
        </w:rPr>
        <w:t xml:space="preserve"> at 3</w:t>
      </w:r>
      <w:r w:rsidRPr="0010369A">
        <w:rPr>
          <w:sz w:val="20"/>
        </w:rPr>
        <w:t>.</w:t>
      </w:r>
    </w:p>
  </w:footnote>
  <w:footnote w:id="23">
    <w:p w:rsidR="00D415F9" w:rsidRPr="00995908" w:rsidRDefault="00D415F9" w:rsidP="00DA3E89">
      <w:pPr>
        <w:pStyle w:val="FootnoteText"/>
        <w:ind w:left="720" w:hanging="720"/>
        <w:jc w:val="both"/>
        <w:rPr>
          <w:sz w:val="20"/>
        </w:rPr>
      </w:pPr>
      <w:r w:rsidRPr="00995908">
        <w:rPr>
          <w:rStyle w:val="FootnoteReference"/>
          <w:sz w:val="20"/>
          <w:u w:val="single"/>
        </w:rPr>
        <w:footnoteRef/>
      </w:r>
      <w:r w:rsidRPr="00995908">
        <w:rPr>
          <w:sz w:val="20"/>
          <w:vertAlign w:val="superscript"/>
        </w:rPr>
        <w:t>/</w:t>
      </w:r>
      <w:r w:rsidRPr="00995908">
        <w:rPr>
          <w:sz w:val="20"/>
          <w:vertAlign w:val="superscript"/>
        </w:rPr>
        <w:tab/>
      </w:r>
      <w:r w:rsidRPr="00995908">
        <w:rPr>
          <w:sz w:val="20"/>
        </w:rPr>
        <w:t>Exh</w:t>
      </w:r>
      <w:r>
        <w:rPr>
          <w:sz w:val="20"/>
        </w:rPr>
        <w:t>.</w:t>
      </w:r>
      <w:r w:rsidRPr="00995908">
        <w:rPr>
          <w:sz w:val="20"/>
        </w:rPr>
        <w:t xml:space="preserve"> No. __</w:t>
      </w:r>
      <w:proofErr w:type="gramStart"/>
      <w:r w:rsidRPr="00995908">
        <w:rPr>
          <w:sz w:val="20"/>
        </w:rPr>
        <w:t>_(</w:t>
      </w:r>
      <w:proofErr w:type="gramEnd"/>
      <w:r w:rsidRPr="00995908">
        <w:rPr>
          <w:sz w:val="20"/>
        </w:rPr>
        <w:t>PDE-1T) at 49-50.</w:t>
      </w:r>
    </w:p>
  </w:footnote>
  <w:footnote w:id="24">
    <w:p w:rsidR="00D415F9" w:rsidRPr="00995908" w:rsidRDefault="00D415F9" w:rsidP="00DA3E89">
      <w:pPr>
        <w:pStyle w:val="FootnoteText"/>
        <w:ind w:left="720" w:hanging="720"/>
        <w:jc w:val="both"/>
        <w:rPr>
          <w:sz w:val="20"/>
        </w:rPr>
      </w:pPr>
      <w:r w:rsidRPr="00995908">
        <w:rPr>
          <w:rStyle w:val="FootnoteReference"/>
          <w:sz w:val="20"/>
          <w:u w:val="single"/>
        </w:rPr>
        <w:footnoteRef/>
      </w:r>
      <w:r w:rsidRPr="00995908">
        <w:rPr>
          <w:sz w:val="20"/>
          <w:vertAlign w:val="superscript"/>
        </w:rPr>
        <w:t>/</w:t>
      </w:r>
      <w:r w:rsidRPr="00995908">
        <w:rPr>
          <w:sz w:val="20"/>
          <w:vertAlign w:val="superscript"/>
        </w:rPr>
        <w:tab/>
      </w:r>
      <w:r w:rsidRPr="00995908">
        <w:rPr>
          <w:sz w:val="20"/>
          <w:u w:val="single"/>
        </w:rPr>
        <w:t>Id.</w:t>
      </w:r>
      <w:r w:rsidRPr="00995908">
        <w:rPr>
          <w:sz w:val="20"/>
        </w:rPr>
        <w:t xml:space="preserve"> at </w:t>
      </w:r>
      <w:r>
        <w:rPr>
          <w:sz w:val="20"/>
        </w:rPr>
        <w:t>23</w:t>
      </w:r>
      <w:r w:rsidRPr="00995908">
        <w:rPr>
          <w:sz w:val="20"/>
        </w:rPr>
        <w:t>.</w:t>
      </w:r>
    </w:p>
  </w:footnote>
  <w:footnote w:id="25">
    <w:p w:rsidR="00D415F9" w:rsidRPr="00995908" w:rsidRDefault="00D415F9" w:rsidP="00DA3E89">
      <w:pPr>
        <w:pStyle w:val="FootnoteText"/>
        <w:ind w:left="720" w:hanging="720"/>
        <w:jc w:val="both"/>
        <w:rPr>
          <w:sz w:val="20"/>
        </w:rPr>
      </w:pPr>
      <w:r w:rsidRPr="00995908">
        <w:rPr>
          <w:rStyle w:val="FootnoteReference"/>
          <w:sz w:val="20"/>
          <w:u w:val="single"/>
        </w:rPr>
        <w:footnoteRef/>
      </w:r>
      <w:r w:rsidRPr="00995908">
        <w:rPr>
          <w:sz w:val="20"/>
          <w:vertAlign w:val="superscript"/>
        </w:rPr>
        <w:t>/</w:t>
      </w:r>
      <w:r w:rsidRPr="00995908">
        <w:rPr>
          <w:sz w:val="20"/>
          <w:vertAlign w:val="superscript"/>
        </w:rPr>
        <w:tab/>
      </w:r>
      <w:r w:rsidRPr="00995908">
        <w:rPr>
          <w:sz w:val="20"/>
          <w:u w:val="single"/>
        </w:rPr>
        <w:t>Id.</w:t>
      </w:r>
      <w:r w:rsidRPr="00995908">
        <w:rPr>
          <w:sz w:val="20"/>
        </w:rPr>
        <w:t xml:space="preserve"> at </w:t>
      </w:r>
      <w:r>
        <w:rPr>
          <w:sz w:val="20"/>
        </w:rPr>
        <w:t>54-59</w:t>
      </w:r>
      <w:r w:rsidRPr="00995908">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9" w:rsidRPr="009C6185" w:rsidRDefault="00D415F9" w:rsidP="009C6185">
    <w:pPr>
      <w:autoSpaceDE w:val="0"/>
      <w:autoSpaceDN w:val="0"/>
      <w:adjustRightInd w:val="0"/>
      <w:spacing w:after="0"/>
      <w:jc w:val="right"/>
      <w:rPr>
        <w:rFonts w:eastAsia="Times New Roman"/>
        <w:bCs/>
        <w:szCs w:val="24"/>
      </w:rPr>
    </w:pPr>
    <w:r w:rsidRPr="009C6185">
      <w:rPr>
        <w:rFonts w:eastAsia="Times New Roman"/>
        <w:bCs/>
        <w:szCs w:val="24"/>
      </w:rPr>
      <w:t>Exhibit No.__</w:t>
    </w:r>
    <w:proofErr w:type="gramStart"/>
    <w:r w:rsidRPr="009C6185">
      <w:rPr>
        <w:rFonts w:eastAsia="Times New Roman"/>
        <w:bCs/>
        <w:szCs w:val="24"/>
      </w:rPr>
      <w:t>_(</w:t>
    </w:r>
    <w:proofErr w:type="gramEnd"/>
    <w:r>
      <w:rPr>
        <w:rFonts w:eastAsia="Times New Roman"/>
        <w:bCs/>
        <w:szCs w:val="24"/>
      </w:rPr>
      <w:t>RRS</w:t>
    </w:r>
    <w:r w:rsidRPr="009C6185">
      <w:rPr>
        <w:rFonts w:eastAsia="Times New Roman"/>
        <w:bCs/>
        <w:szCs w:val="24"/>
      </w:rPr>
      <w:t>-</w:t>
    </w:r>
    <w:r>
      <w:rPr>
        <w:rFonts w:eastAsia="Times New Roman"/>
        <w:bCs/>
        <w:szCs w:val="24"/>
      </w:rPr>
      <w:t>1T</w:t>
    </w:r>
    <w:r w:rsidRPr="009C6185">
      <w:rPr>
        <w:rFonts w:eastAsia="Times New Roman"/>
        <w:bCs/>
        <w:szCs w:val="24"/>
      </w:rPr>
      <w:t>)</w:t>
    </w:r>
  </w:p>
  <w:p w:rsidR="007937EC" w:rsidRPr="006A1A36" w:rsidRDefault="007937EC" w:rsidP="007937EC">
    <w:pPr>
      <w:autoSpaceDE w:val="0"/>
      <w:autoSpaceDN w:val="0"/>
      <w:adjustRightInd w:val="0"/>
      <w:spacing w:after="0"/>
      <w:jc w:val="right"/>
      <w:rPr>
        <w:bCs/>
        <w:szCs w:val="24"/>
      </w:rPr>
    </w:pPr>
    <w:r w:rsidRPr="006A1A36">
      <w:rPr>
        <w:bCs/>
        <w:szCs w:val="24"/>
      </w:rPr>
      <w:t>Docket Nos. UE-140188/UG-140189</w:t>
    </w:r>
  </w:p>
  <w:p w:rsidR="00D415F9" w:rsidRPr="009C6185" w:rsidRDefault="00D415F9" w:rsidP="009C6185">
    <w:pPr>
      <w:tabs>
        <w:tab w:val="center" w:pos="4320"/>
        <w:tab w:val="right" w:pos="8640"/>
      </w:tabs>
      <w:spacing w:after="0"/>
      <w:jc w:val="right"/>
      <w:rPr>
        <w:rFonts w:eastAsia="Times New Roman"/>
        <w:sz w:val="22"/>
        <w:szCs w:val="20"/>
      </w:rPr>
    </w:pPr>
    <w:r w:rsidRPr="009C6185">
      <w:rPr>
        <w:rFonts w:eastAsia="Times New Roman"/>
        <w:bCs/>
        <w:szCs w:val="24"/>
      </w:rPr>
      <w:t xml:space="preserve">Witness:  </w:t>
    </w:r>
    <w:r>
      <w:rPr>
        <w:rFonts w:eastAsia="Times New Roman"/>
        <w:bCs/>
        <w:szCs w:val="24"/>
      </w:rPr>
      <w:t>Robert R. Stephens</w:t>
    </w:r>
  </w:p>
  <w:p w:rsidR="00D415F9" w:rsidRDefault="00D415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9" w:rsidRPr="00D2206D" w:rsidRDefault="00D415F9" w:rsidP="007F0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F9" w:rsidRPr="00615DEE" w:rsidRDefault="00D415F9" w:rsidP="00615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F14984"/>
    <w:multiLevelType w:val="hybridMultilevel"/>
    <w:tmpl w:val="2A264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1C691C"/>
    <w:multiLevelType w:val="hybridMultilevel"/>
    <w:tmpl w:val="4EF4554E"/>
    <w:lvl w:ilvl="0" w:tplc="F85CABAC">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8"/>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05"/>
    <w:rsid w:val="00002F60"/>
    <w:rsid w:val="0000645E"/>
    <w:rsid w:val="00007C1B"/>
    <w:rsid w:val="00010DAE"/>
    <w:rsid w:val="000138E1"/>
    <w:rsid w:val="00014873"/>
    <w:rsid w:val="00017C69"/>
    <w:rsid w:val="00017C71"/>
    <w:rsid w:val="0003177C"/>
    <w:rsid w:val="00031BA2"/>
    <w:rsid w:val="00035CFC"/>
    <w:rsid w:val="0003668C"/>
    <w:rsid w:val="00040AD7"/>
    <w:rsid w:val="00040B3F"/>
    <w:rsid w:val="0004169A"/>
    <w:rsid w:val="000452B7"/>
    <w:rsid w:val="0005259E"/>
    <w:rsid w:val="00056722"/>
    <w:rsid w:val="000612A1"/>
    <w:rsid w:val="000629B8"/>
    <w:rsid w:val="0007175F"/>
    <w:rsid w:val="00082C74"/>
    <w:rsid w:val="000830B5"/>
    <w:rsid w:val="00083886"/>
    <w:rsid w:val="0008400F"/>
    <w:rsid w:val="00084DC9"/>
    <w:rsid w:val="0008510F"/>
    <w:rsid w:val="00085346"/>
    <w:rsid w:val="00086972"/>
    <w:rsid w:val="000908C2"/>
    <w:rsid w:val="00091291"/>
    <w:rsid w:val="00097170"/>
    <w:rsid w:val="000A1645"/>
    <w:rsid w:val="000A193B"/>
    <w:rsid w:val="000A1CCF"/>
    <w:rsid w:val="000B2E1A"/>
    <w:rsid w:val="000B406A"/>
    <w:rsid w:val="000B40E6"/>
    <w:rsid w:val="000B4204"/>
    <w:rsid w:val="000B7172"/>
    <w:rsid w:val="000B721C"/>
    <w:rsid w:val="000C338E"/>
    <w:rsid w:val="000C4072"/>
    <w:rsid w:val="000C5097"/>
    <w:rsid w:val="000D4D1C"/>
    <w:rsid w:val="000D58B3"/>
    <w:rsid w:val="000E43D2"/>
    <w:rsid w:val="000F2043"/>
    <w:rsid w:val="000F36D1"/>
    <w:rsid w:val="000F4B6A"/>
    <w:rsid w:val="000F4EEA"/>
    <w:rsid w:val="000F66A6"/>
    <w:rsid w:val="000F719A"/>
    <w:rsid w:val="00112600"/>
    <w:rsid w:val="00115924"/>
    <w:rsid w:val="001243C8"/>
    <w:rsid w:val="00124C08"/>
    <w:rsid w:val="00131C04"/>
    <w:rsid w:val="00131E80"/>
    <w:rsid w:val="00136C84"/>
    <w:rsid w:val="00137049"/>
    <w:rsid w:val="001379CF"/>
    <w:rsid w:val="001412D4"/>
    <w:rsid w:val="00141E73"/>
    <w:rsid w:val="00146A09"/>
    <w:rsid w:val="0014729E"/>
    <w:rsid w:val="00153365"/>
    <w:rsid w:val="001560E2"/>
    <w:rsid w:val="001625CA"/>
    <w:rsid w:val="001630AD"/>
    <w:rsid w:val="00163D5A"/>
    <w:rsid w:val="001647FD"/>
    <w:rsid w:val="00167DDB"/>
    <w:rsid w:val="0017095A"/>
    <w:rsid w:val="00173B0D"/>
    <w:rsid w:val="00180C67"/>
    <w:rsid w:val="001841D2"/>
    <w:rsid w:val="001851BB"/>
    <w:rsid w:val="001859A3"/>
    <w:rsid w:val="00186C1C"/>
    <w:rsid w:val="00187A85"/>
    <w:rsid w:val="001919BD"/>
    <w:rsid w:val="00194865"/>
    <w:rsid w:val="00196AAE"/>
    <w:rsid w:val="001A3320"/>
    <w:rsid w:val="001A69BD"/>
    <w:rsid w:val="001A76FD"/>
    <w:rsid w:val="001B2EEC"/>
    <w:rsid w:val="001C2307"/>
    <w:rsid w:val="001C29E9"/>
    <w:rsid w:val="001C2B82"/>
    <w:rsid w:val="001C30D4"/>
    <w:rsid w:val="001C44E7"/>
    <w:rsid w:val="001D1D93"/>
    <w:rsid w:val="001D3171"/>
    <w:rsid w:val="001D3D22"/>
    <w:rsid w:val="001D6BA8"/>
    <w:rsid w:val="001E21A3"/>
    <w:rsid w:val="001E4578"/>
    <w:rsid w:val="001E71F7"/>
    <w:rsid w:val="001E78BE"/>
    <w:rsid w:val="001F37D5"/>
    <w:rsid w:val="001F3FC9"/>
    <w:rsid w:val="00200A5C"/>
    <w:rsid w:val="0020345C"/>
    <w:rsid w:val="002036F3"/>
    <w:rsid w:val="00204F29"/>
    <w:rsid w:val="00206239"/>
    <w:rsid w:val="00210485"/>
    <w:rsid w:val="00213505"/>
    <w:rsid w:val="002218B4"/>
    <w:rsid w:val="002218CD"/>
    <w:rsid w:val="00231B06"/>
    <w:rsid w:val="00233ABC"/>
    <w:rsid w:val="0023431C"/>
    <w:rsid w:val="00235348"/>
    <w:rsid w:val="0024057C"/>
    <w:rsid w:val="0025292D"/>
    <w:rsid w:val="002555EA"/>
    <w:rsid w:val="002607EC"/>
    <w:rsid w:val="00263052"/>
    <w:rsid w:val="00265E33"/>
    <w:rsid w:val="00272845"/>
    <w:rsid w:val="00272A48"/>
    <w:rsid w:val="00272C05"/>
    <w:rsid w:val="0028052F"/>
    <w:rsid w:val="00280AE3"/>
    <w:rsid w:val="00282E66"/>
    <w:rsid w:val="00284C7F"/>
    <w:rsid w:val="00291F88"/>
    <w:rsid w:val="002A2A3C"/>
    <w:rsid w:val="002B1D33"/>
    <w:rsid w:val="002B2399"/>
    <w:rsid w:val="002B6826"/>
    <w:rsid w:val="002C54ED"/>
    <w:rsid w:val="002C7D18"/>
    <w:rsid w:val="002E2633"/>
    <w:rsid w:val="002E5457"/>
    <w:rsid w:val="002E5C05"/>
    <w:rsid w:val="002F21AF"/>
    <w:rsid w:val="002F2239"/>
    <w:rsid w:val="002F65A3"/>
    <w:rsid w:val="003011B6"/>
    <w:rsid w:val="003056CB"/>
    <w:rsid w:val="003058CD"/>
    <w:rsid w:val="003114DC"/>
    <w:rsid w:val="00316787"/>
    <w:rsid w:val="0032273A"/>
    <w:rsid w:val="00326D51"/>
    <w:rsid w:val="0034036C"/>
    <w:rsid w:val="00344BAE"/>
    <w:rsid w:val="00346B72"/>
    <w:rsid w:val="0036115D"/>
    <w:rsid w:val="003628F0"/>
    <w:rsid w:val="00363D47"/>
    <w:rsid w:val="00364408"/>
    <w:rsid w:val="00365CC6"/>
    <w:rsid w:val="00367D52"/>
    <w:rsid w:val="00380410"/>
    <w:rsid w:val="00385FB0"/>
    <w:rsid w:val="003A7275"/>
    <w:rsid w:val="003B03D9"/>
    <w:rsid w:val="003B1B2B"/>
    <w:rsid w:val="003B4DB3"/>
    <w:rsid w:val="003B5D32"/>
    <w:rsid w:val="003C03AD"/>
    <w:rsid w:val="003C238D"/>
    <w:rsid w:val="003C702C"/>
    <w:rsid w:val="003C7470"/>
    <w:rsid w:val="003C7F8F"/>
    <w:rsid w:val="003D6221"/>
    <w:rsid w:val="003D669C"/>
    <w:rsid w:val="003E0626"/>
    <w:rsid w:val="003F1D4F"/>
    <w:rsid w:val="003F2B17"/>
    <w:rsid w:val="003F448F"/>
    <w:rsid w:val="003F63BC"/>
    <w:rsid w:val="00402042"/>
    <w:rsid w:val="00410E9D"/>
    <w:rsid w:val="00412452"/>
    <w:rsid w:val="00414849"/>
    <w:rsid w:val="00420503"/>
    <w:rsid w:val="00422EA6"/>
    <w:rsid w:val="00426877"/>
    <w:rsid w:val="004273EC"/>
    <w:rsid w:val="004305CD"/>
    <w:rsid w:val="00433A84"/>
    <w:rsid w:val="00442A98"/>
    <w:rsid w:val="00445A7D"/>
    <w:rsid w:val="00446FC3"/>
    <w:rsid w:val="004475DC"/>
    <w:rsid w:val="00461531"/>
    <w:rsid w:val="00463AC0"/>
    <w:rsid w:val="0046413F"/>
    <w:rsid w:val="00464AF8"/>
    <w:rsid w:val="00467A22"/>
    <w:rsid w:val="00471A42"/>
    <w:rsid w:val="004732D5"/>
    <w:rsid w:val="00474B0F"/>
    <w:rsid w:val="004844D1"/>
    <w:rsid w:val="004860F1"/>
    <w:rsid w:val="00490DFE"/>
    <w:rsid w:val="0049130D"/>
    <w:rsid w:val="00495303"/>
    <w:rsid w:val="004A06F1"/>
    <w:rsid w:val="004A184B"/>
    <w:rsid w:val="004A40D4"/>
    <w:rsid w:val="004B04E8"/>
    <w:rsid w:val="004B285F"/>
    <w:rsid w:val="004B4007"/>
    <w:rsid w:val="004C0A42"/>
    <w:rsid w:val="004C3048"/>
    <w:rsid w:val="004D0013"/>
    <w:rsid w:val="004D2521"/>
    <w:rsid w:val="004E09AF"/>
    <w:rsid w:val="004E1A69"/>
    <w:rsid w:val="004E3B2D"/>
    <w:rsid w:val="004E3B90"/>
    <w:rsid w:val="004E41FA"/>
    <w:rsid w:val="004E649D"/>
    <w:rsid w:val="004F6E2E"/>
    <w:rsid w:val="0050133F"/>
    <w:rsid w:val="005017A6"/>
    <w:rsid w:val="005107A9"/>
    <w:rsid w:val="005112DE"/>
    <w:rsid w:val="005126A3"/>
    <w:rsid w:val="005154C9"/>
    <w:rsid w:val="0051608D"/>
    <w:rsid w:val="00517C8A"/>
    <w:rsid w:val="00517E8A"/>
    <w:rsid w:val="00521A15"/>
    <w:rsid w:val="00521D67"/>
    <w:rsid w:val="005220A0"/>
    <w:rsid w:val="0052361B"/>
    <w:rsid w:val="00525D6B"/>
    <w:rsid w:val="0053044F"/>
    <w:rsid w:val="00551E6C"/>
    <w:rsid w:val="00554856"/>
    <w:rsid w:val="005550A0"/>
    <w:rsid w:val="00557F5D"/>
    <w:rsid w:val="0056115E"/>
    <w:rsid w:val="005643AA"/>
    <w:rsid w:val="00565275"/>
    <w:rsid w:val="00577D28"/>
    <w:rsid w:val="00585277"/>
    <w:rsid w:val="005856F8"/>
    <w:rsid w:val="005972D6"/>
    <w:rsid w:val="005A1FC6"/>
    <w:rsid w:val="005A74ED"/>
    <w:rsid w:val="005A7782"/>
    <w:rsid w:val="005B2601"/>
    <w:rsid w:val="005B27F5"/>
    <w:rsid w:val="005B400A"/>
    <w:rsid w:val="005B4493"/>
    <w:rsid w:val="005C0262"/>
    <w:rsid w:val="005C03F9"/>
    <w:rsid w:val="005C1739"/>
    <w:rsid w:val="005C4773"/>
    <w:rsid w:val="005C5BE8"/>
    <w:rsid w:val="005D14CE"/>
    <w:rsid w:val="005D4966"/>
    <w:rsid w:val="005E6CDA"/>
    <w:rsid w:val="005F3FB6"/>
    <w:rsid w:val="006015D4"/>
    <w:rsid w:val="00601A1F"/>
    <w:rsid w:val="006041E7"/>
    <w:rsid w:val="0061258A"/>
    <w:rsid w:val="006132BF"/>
    <w:rsid w:val="00615DEE"/>
    <w:rsid w:val="00616B0E"/>
    <w:rsid w:val="0062152F"/>
    <w:rsid w:val="006251B7"/>
    <w:rsid w:val="00625439"/>
    <w:rsid w:val="006300D0"/>
    <w:rsid w:val="00630C42"/>
    <w:rsid w:val="00634393"/>
    <w:rsid w:val="00634A91"/>
    <w:rsid w:val="00643E71"/>
    <w:rsid w:val="00653FD2"/>
    <w:rsid w:val="0065577C"/>
    <w:rsid w:val="00661251"/>
    <w:rsid w:val="0066208F"/>
    <w:rsid w:val="00662179"/>
    <w:rsid w:val="00666B64"/>
    <w:rsid w:val="00673B4A"/>
    <w:rsid w:val="00677A98"/>
    <w:rsid w:val="00683A88"/>
    <w:rsid w:val="00685BAC"/>
    <w:rsid w:val="0068757C"/>
    <w:rsid w:val="00691F72"/>
    <w:rsid w:val="006948B4"/>
    <w:rsid w:val="006969CB"/>
    <w:rsid w:val="006969CE"/>
    <w:rsid w:val="006A49DE"/>
    <w:rsid w:val="006A4DFB"/>
    <w:rsid w:val="006A71B3"/>
    <w:rsid w:val="006B2462"/>
    <w:rsid w:val="006B2733"/>
    <w:rsid w:val="006B3925"/>
    <w:rsid w:val="006B5C4B"/>
    <w:rsid w:val="006C1B11"/>
    <w:rsid w:val="006C4136"/>
    <w:rsid w:val="006C4937"/>
    <w:rsid w:val="006C59A4"/>
    <w:rsid w:val="006D0409"/>
    <w:rsid w:val="006D3B52"/>
    <w:rsid w:val="006D3E9F"/>
    <w:rsid w:val="006D6581"/>
    <w:rsid w:val="006D7316"/>
    <w:rsid w:val="006E24DA"/>
    <w:rsid w:val="006E5AD3"/>
    <w:rsid w:val="006F0926"/>
    <w:rsid w:val="006F1A06"/>
    <w:rsid w:val="006F31D5"/>
    <w:rsid w:val="006F5C3A"/>
    <w:rsid w:val="007017FB"/>
    <w:rsid w:val="0070296A"/>
    <w:rsid w:val="007031CA"/>
    <w:rsid w:val="00704B7B"/>
    <w:rsid w:val="00705936"/>
    <w:rsid w:val="0070629E"/>
    <w:rsid w:val="007067FC"/>
    <w:rsid w:val="00707A2E"/>
    <w:rsid w:val="0071228E"/>
    <w:rsid w:val="00715F0C"/>
    <w:rsid w:val="00722AC6"/>
    <w:rsid w:val="00726FEE"/>
    <w:rsid w:val="007304F0"/>
    <w:rsid w:val="00732BEE"/>
    <w:rsid w:val="00733C26"/>
    <w:rsid w:val="00734CBD"/>
    <w:rsid w:val="007353AB"/>
    <w:rsid w:val="0073549B"/>
    <w:rsid w:val="00746728"/>
    <w:rsid w:val="00753D65"/>
    <w:rsid w:val="007544D5"/>
    <w:rsid w:val="00774778"/>
    <w:rsid w:val="0078006D"/>
    <w:rsid w:val="007832AA"/>
    <w:rsid w:val="00793703"/>
    <w:rsid w:val="007937EC"/>
    <w:rsid w:val="00793C62"/>
    <w:rsid w:val="00794782"/>
    <w:rsid w:val="007A0693"/>
    <w:rsid w:val="007A1BE6"/>
    <w:rsid w:val="007A1E4A"/>
    <w:rsid w:val="007A2498"/>
    <w:rsid w:val="007A24BD"/>
    <w:rsid w:val="007A2B97"/>
    <w:rsid w:val="007A64CD"/>
    <w:rsid w:val="007A6692"/>
    <w:rsid w:val="007C0736"/>
    <w:rsid w:val="007C16B5"/>
    <w:rsid w:val="007C43CA"/>
    <w:rsid w:val="007D075A"/>
    <w:rsid w:val="007E0DCB"/>
    <w:rsid w:val="007E1A2C"/>
    <w:rsid w:val="007E265D"/>
    <w:rsid w:val="007F0996"/>
    <w:rsid w:val="007F2A2A"/>
    <w:rsid w:val="007F6527"/>
    <w:rsid w:val="007F742F"/>
    <w:rsid w:val="007F7CE8"/>
    <w:rsid w:val="008000CF"/>
    <w:rsid w:val="00803431"/>
    <w:rsid w:val="00812C85"/>
    <w:rsid w:val="00816885"/>
    <w:rsid w:val="00820110"/>
    <w:rsid w:val="00822010"/>
    <w:rsid w:val="008266C6"/>
    <w:rsid w:val="008309A7"/>
    <w:rsid w:val="00832739"/>
    <w:rsid w:val="00833DFC"/>
    <w:rsid w:val="008402D6"/>
    <w:rsid w:val="00845B1F"/>
    <w:rsid w:val="008506E8"/>
    <w:rsid w:val="00856732"/>
    <w:rsid w:val="00856BF8"/>
    <w:rsid w:val="008639E3"/>
    <w:rsid w:val="00864E07"/>
    <w:rsid w:val="00873455"/>
    <w:rsid w:val="00875E91"/>
    <w:rsid w:val="00880C3D"/>
    <w:rsid w:val="00883C70"/>
    <w:rsid w:val="0088482B"/>
    <w:rsid w:val="00884D98"/>
    <w:rsid w:val="0088526F"/>
    <w:rsid w:val="00886710"/>
    <w:rsid w:val="00895719"/>
    <w:rsid w:val="00896F67"/>
    <w:rsid w:val="008974B6"/>
    <w:rsid w:val="00897558"/>
    <w:rsid w:val="008B50C4"/>
    <w:rsid w:val="008B53CA"/>
    <w:rsid w:val="008C3048"/>
    <w:rsid w:val="008C4262"/>
    <w:rsid w:val="008C4480"/>
    <w:rsid w:val="008D4F16"/>
    <w:rsid w:val="008E703F"/>
    <w:rsid w:val="008E75A2"/>
    <w:rsid w:val="008E7AA8"/>
    <w:rsid w:val="008E7C33"/>
    <w:rsid w:val="008F1302"/>
    <w:rsid w:val="008F3720"/>
    <w:rsid w:val="008F5056"/>
    <w:rsid w:val="008F5954"/>
    <w:rsid w:val="008F72BC"/>
    <w:rsid w:val="0090573E"/>
    <w:rsid w:val="00906373"/>
    <w:rsid w:val="00907237"/>
    <w:rsid w:val="00913E29"/>
    <w:rsid w:val="00913F0A"/>
    <w:rsid w:val="009141DE"/>
    <w:rsid w:val="0091733A"/>
    <w:rsid w:val="009202CF"/>
    <w:rsid w:val="00920C0F"/>
    <w:rsid w:val="00922A55"/>
    <w:rsid w:val="009279AF"/>
    <w:rsid w:val="0093141A"/>
    <w:rsid w:val="00936A9D"/>
    <w:rsid w:val="009377B5"/>
    <w:rsid w:val="0094600C"/>
    <w:rsid w:val="0095219B"/>
    <w:rsid w:val="00952525"/>
    <w:rsid w:val="009529FF"/>
    <w:rsid w:val="00953296"/>
    <w:rsid w:val="009558CC"/>
    <w:rsid w:val="00957527"/>
    <w:rsid w:val="009578A3"/>
    <w:rsid w:val="00960816"/>
    <w:rsid w:val="00962367"/>
    <w:rsid w:val="0096313C"/>
    <w:rsid w:val="0096452B"/>
    <w:rsid w:val="00966432"/>
    <w:rsid w:val="00971160"/>
    <w:rsid w:val="009715FE"/>
    <w:rsid w:val="00971769"/>
    <w:rsid w:val="00974579"/>
    <w:rsid w:val="00974A02"/>
    <w:rsid w:val="00980A35"/>
    <w:rsid w:val="0098325D"/>
    <w:rsid w:val="00983315"/>
    <w:rsid w:val="00986094"/>
    <w:rsid w:val="009868F6"/>
    <w:rsid w:val="00987BB5"/>
    <w:rsid w:val="009903A3"/>
    <w:rsid w:val="009931AF"/>
    <w:rsid w:val="009A00EA"/>
    <w:rsid w:val="009A3C24"/>
    <w:rsid w:val="009A47CC"/>
    <w:rsid w:val="009A4C96"/>
    <w:rsid w:val="009A53E3"/>
    <w:rsid w:val="009B3C4B"/>
    <w:rsid w:val="009B4BCB"/>
    <w:rsid w:val="009C173E"/>
    <w:rsid w:val="009C2A59"/>
    <w:rsid w:val="009C6185"/>
    <w:rsid w:val="009D0DDE"/>
    <w:rsid w:val="009D1DB7"/>
    <w:rsid w:val="009D2FE9"/>
    <w:rsid w:val="009D411F"/>
    <w:rsid w:val="009F18A3"/>
    <w:rsid w:val="00A0132C"/>
    <w:rsid w:val="00A052FA"/>
    <w:rsid w:val="00A07B83"/>
    <w:rsid w:val="00A14178"/>
    <w:rsid w:val="00A14C43"/>
    <w:rsid w:val="00A20C0D"/>
    <w:rsid w:val="00A24EBC"/>
    <w:rsid w:val="00A41A48"/>
    <w:rsid w:val="00A42441"/>
    <w:rsid w:val="00A4726D"/>
    <w:rsid w:val="00A47372"/>
    <w:rsid w:val="00A5049F"/>
    <w:rsid w:val="00A51D1F"/>
    <w:rsid w:val="00A535C9"/>
    <w:rsid w:val="00A53687"/>
    <w:rsid w:val="00A5614B"/>
    <w:rsid w:val="00A61A87"/>
    <w:rsid w:val="00A61E32"/>
    <w:rsid w:val="00A63A7B"/>
    <w:rsid w:val="00A665F9"/>
    <w:rsid w:val="00A67BDA"/>
    <w:rsid w:val="00A72AF9"/>
    <w:rsid w:val="00A76F47"/>
    <w:rsid w:val="00A82053"/>
    <w:rsid w:val="00A82215"/>
    <w:rsid w:val="00A82F93"/>
    <w:rsid w:val="00A835E6"/>
    <w:rsid w:val="00A838C0"/>
    <w:rsid w:val="00A86B2A"/>
    <w:rsid w:val="00A9125C"/>
    <w:rsid w:val="00A92450"/>
    <w:rsid w:val="00A94448"/>
    <w:rsid w:val="00A9526D"/>
    <w:rsid w:val="00A95805"/>
    <w:rsid w:val="00A96B3C"/>
    <w:rsid w:val="00AA0BA7"/>
    <w:rsid w:val="00AA2036"/>
    <w:rsid w:val="00AA225E"/>
    <w:rsid w:val="00AB1BC9"/>
    <w:rsid w:val="00AB1C72"/>
    <w:rsid w:val="00AB600A"/>
    <w:rsid w:val="00AC265F"/>
    <w:rsid w:val="00AC2CE3"/>
    <w:rsid w:val="00AC4D87"/>
    <w:rsid w:val="00AD252E"/>
    <w:rsid w:val="00AD2F89"/>
    <w:rsid w:val="00AD3131"/>
    <w:rsid w:val="00AD4461"/>
    <w:rsid w:val="00AD4973"/>
    <w:rsid w:val="00AE58F1"/>
    <w:rsid w:val="00AE608C"/>
    <w:rsid w:val="00AE6818"/>
    <w:rsid w:val="00AE6CF0"/>
    <w:rsid w:val="00AF060A"/>
    <w:rsid w:val="00AF10B4"/>
    <w:rsid w:val="00B00D47"/>
    <w:rsid w:val="00B015B6"/>
    <w:rsid w:val="00B0723A"/>
    <w:rsid w:val="00B11855"/>
    <w:rsid w:val="00B173A7"/>
    <w:rsid w:val="00B26A48"/>
    <w:rsid w:val="00B271B5"/>
    <w:rsid w:val="00B30786"/>
    <w:rsid w:val="00B3703D"/>
    <w:rsid w:val="00B37C46"/>
    <w:rsid w:val="00B4456D"/>
    <w:rsid w:val="00B44CCF"/>
    <w:rsid w:val="00B47F24"/>
    <w:rsid w:val="00B50343"/>
    <w:rsid w:val="00B5123A"/>
    <w:rsid w:val="00B5142B"/>
    <w:rsid w:val="00B56DC5"/>
    <w:rsid w:val="00B61B4F"/>
    <w:rsid w:val="00B6273A"/>
    <w:rsid w:val="00B64DB3"/>
    <w:rsid w:val="00B64DD1"/>
    <w:rsid w:val="00B65E97"/>
    <w:rsid w:val="00B66DEB"/>
    <w:rsid w:val="00B741EA"/>
    <w:rsid w:val="00B76E20"/>
    <w:rsid w:val="00B8119E"/>
    <w:rsid w:val="00B81D29"/>
    <w:rsid w:val="00B83AF1"/>
    <w:rsid w:val="00B91609"/>
    <w:rsid w:val="00B96BBC"/>
    <w:rsid w:val="00BA3BCD"/>
    <w:rsid w:val="00BA4321"/>
    <w:rsid w:val="00BA5BB9"/>
    <w:rsid w:val="00BA78BD"/>
    <w:rsid w:val="00BB0540"/>
    <w:rsid w:val="00BB13B6"/>
    <w:rsid w:val="00BB1FC8"/>
    <w:rsid w:val="00BB25AF"/>
    <w:rsid w:val="00BB5A69"/>
    <w:rsid w:val="00BB7084"/>
    <w:rsid w:val="00BC1793"/>
    <w:rsid w:val="00BC383B"/>
    <w:rsid w:val="00BC4C2C"/>
    <w:rsid w:val="00BC4CF7"/>
    <w:rsid w:val="00BC4E03"/>
    <w:rsid w:val="00BC685D"/>
    <w:rsid w:val="00BD171A"/>
    <w:rsid w:val="00BE20B4"/>
    <w:rsid w:val="00BF143D"/>
    <w:rsid w:val="00BF162F"/>
    <w:rsid w:val="00BF6083"/>
    <w:rsid w:val="00C0149C"/>
    <w:rsid w:val="00C17110"/>
    <w:rsid w:val="00C20A91"/>
    <w:rsid w:val="00C31647"/>
    <w:rsid w:val="00C35744"/>
    <w:rsid w:val="00C43B60"/>
    <w:rsid w:val="00C43DD7"/>
    <w:rsid w:val="00C5412D"/>
    <w:rsid w:val="00C60423"/>
    <w:rsid w:val="00C6075B"/>
    <w:rsid w:val="00C6271A"/>
    <w:rsid w:val="00C80822"/>
    <w:rsid w:val="00C80C18"/>
    <w:rsid w:val="00C8303C"/>
    <w:rsid w:val="00C839AC"/>
    <w:rsid w:val="00C83AD5"/>
    <w:rsid w:val="00C94A4A"/>
    <w:rsid w:val="00C95257"/>
    <w:rsid w:val="00C95FD6"/>
    <w:rsid w:val="00C96E1C"/>
    <w:rsid w:val="00C971ED"/>
    <w:rsid w:val="00CA1211"/>
    <w:rsid w:val="00CA191A"/>
    <w:rsid w:val="00CA40B5"/>
    <w:rsid w:val="00CA4C1C"/>
    <w:rsid w:val="00CA6507"/>
    <w:rsid w:val="00CB11D8"/>
    <w:rsid w:val="00CB1B43"/>
    <w:rsid w:val="00CB3D0A"/>
    <w:rsid w:val="00CB5F95"/>
    <w:rsid w:val="00CC6FFF"/>
    <w:rsid w:val="00CD09DB"/>
    <w:rsid w:val="00CD185C"/>
    <w:rsid w:val="00CD3B55"/>
    <w:rsid w:val="00CE7AD8"/>
    <w:rsid w:val="00CF0EF2"/>
    <w:rsid w:val="00CF383B"/>
    <w:rsid w:val="00CF427C"/>
    <w:rsid w:val="00D001CC"/>
    <w:rsid w:val="00D0070C"/>
    <w:rsid w:val="00D06416"/>
    <w:rsid w:val="00D06E2F"/>
    <w:rsid w:val="00D07531"/>
    <w:rsid w:val="00D13ACA"/>
    <w:rsid w:val="00D22D7D"/>
    <w:rsid w:val="00D26BEC"/>
    <w:rsid w:val="00D3145A"/>
    <w:rsid w:val="00D3188C"/>
    <w:rsid w:val="00D31B9D"/>
    <w:rsid w:val="00D31CEA"/>
    <w:rsid w:val="00D415F9"/>
    <w:rsid w:val="00D420FD"/>
    <w:rsid w:val="00D42959"/>
    <w:rsid w:val="00D44594"/>
    <w:rsid w:val="00D4638B"/>
    <w:rsid w:val="00D511CD"/>
    <w:rsid w:val="00D6053D"/>
    <w:rsid w:val="00D619B0"/>
    <w:rsid w:val="00D7446B"/>
    <w:rsid w:val="00D758BA"/>
    <w:rsid w:val="00D82214"/>
    <w:rsid w:val="00D843DB"/>
    <w:rsid w:val="00D8469D"/>
    <w:rsid w:val="00D86149"/>
    <w:rsid w:val="00D92926"/>
    <w:rsid w:val="00D941BA"/>
    <w:rsid w:val="00DA11C5"/>
    <w:rsid w:val="00DA3E89"/>
    <w:rsid w:val="00DA4C35"/>
    <w:rsid w:val="00DA51D5"/>
    <w:rsid w:val="00DA55BE"/>
    <w:rsid w:val="00DB43EA"/>
    <w:rsid w:val="00DB48CF"/>
    <w:rsid w:val="00DB7A9E"/>
    <w:rsid w:val="00DD4815"/>
    <w:rsid w:val="00DD534F"/>
    <w:rsid w:val="00DD59A3"/>
    <w:rsid w:val="00DE379F"/>
    <w:rsid w:val="00DE3FCF"/>
    <w:rsid w:val="00DF3366"/>
    <w:rsid w:val="00DF62D8"/>
    <w:rsid w:val="00E004AE"/>
    <w:rsid w:val="00E0738C"/>
    <w:rsid w:val="00E07707"/>
    <w:rsid w:val="00E10732"/>
    <w:rsid w:val="00E17009"/>
    <w:rsid w:val="00E20BF2"/>
    <w:rsid w:val="00E2584E"/>
    <w:rsid w:val="00E332F9"/>
    <w:rsid w:val="00E40003"/>
    <w:rsid w:val="00E40428"/>
    <w:rsid w:val="00E51C72"/>
    <w:rsid w:val="00E5387D"/>
    <w:rsid w:val="00E56305"/>
    <w:rsid w:val="00E56AAF"/>
    <w:rsid w:val="00E60094"/>
    <w:rsid w:val="00E616DD"/>
    <w:rsid w:val="00E6263C"/>
    <w:rsid w:val="00E63C40"/>
    <w:rsid w:val="00E72D1C"/>
    <w:rsid w:val="00E81143"/>
    <w:rsid w:val="00E82DDC"/>
    <w:rsid w:val="00E841CD"/>
    <w:rsid w:val="00E85A31"/>
    <w:rsid w:val="00E866A1"/>
    <w:rsid w:val="00E90C08"/>
    <w:rsid w:val="00E946BE"/>
    <w:rsid w:val="00E947CD"/>
    <w:rsid w:val="00E95081"/>
    <w:rsid w:val="00EA4D30"/>
    <w:rsid w:val="00EA5632"/>
    <w:rsid w:val="00EA5ABA"/>
    <w:rsid w:val="00EB5624"/>
    <w:rsid w:val="00EB56CD"/>
    <w:rsid w:val="00EB7AC3"/>
    <w:rsid w:val="00EB7DED"/>
    <w:rsid w:val="00EC08B0"/>
    <w:rsid w:val="00ED0C14"/>
    <w:rsid w:val="00ED6FF9"/>
    <w:rsid w:val="00EE2682"/>
    <w:rsid w:val="00EF11F0"/>
    <w:rsid w:val="00EF1719"/>
    <w:rsid w:val="00EF587E"/>
    <w:rsid w:val="00EF7EAB"/>
    <w:rsid w:val="00F14737"/>
    <w:rsid w:val="00F1608B"/>
    <w:rsid w:val="00F17B5B"/>
    <w:rsid w:val="00F226B5"/>
    <w:rsid w:val="00F23D6E"/>
    <w:rsid w:val="00F25B40"/>
    <w:rsid w:val="00F268B7"/>
    <w:rsid w:val="00F27436"/>
    <w:rsid w:val="00F309A9"/>
    <w:rsid w:val="00F3596F"/>
    <w:rsid w:val="00F363CB"/>
    <w:rsid w:val="00F44F6C"/>
    <w:rsid w:val="00F5139E"/>
    <w:rsid w:val="00F55AED"/>
    <w:rsid w:val="00F602ED"/>
    <w:rsid w:val="00F65743"/>
    <w:rsid w:val="00F65AF3"/>
    <w:rsid w:val="00F70A9F"/>
    <w:rsid w:val="00F70BDE"/>
    <w:rsid w:val="00F71129"/>
    <w:rsid w:val="00F75B8F"/>
    <w:rsid w:val="00F761FC"/>
    <w:rsid w:val="00F777C9"/>
    <w:rsid w:val="00F77974"/>
    <w:rsid w:val="00F816B8"/>
    <w:rsid w:val="00F836B0"/>
    <w:rsid w:val="00F85573"/>
    <w:rsid w:val="00F86BE7"/>
    <w:rsid w:val="00F878AB"/>
    <w:rsid w:val="00F90EBB"/>
    <w:rsid w:val="00F92000"/>
    <w:rsid w:val="00F9648E"/>
    <w:rsid w:val="00F969C2"/>
    <w:rsid w:val="00F96E70"/>
    <w:rsid w:val="00FA195B"/>
    <w:rsid w:val="00FA5347"/>
    <w:rsid w:val="00FA6AF6"/>
    <w:rsid w:val="00FA6BAC"/>
    <w:rsid w:val="00FA6D03"/>
    <w:rsid w:val="00FA7D8C"/>
    <w:rsid w:val="00FB0C16"/>
    <w:rsid w:val="00FB42BD"/>
    <w:rsid w:val="00FC4649"/>
    <w:rsid w:val="00FC49B1"/>
    <w:rsid w:val="00FD0A68"/>
    <w:rsid w:val="00FD5D3E"/>
    <w:rsid w:val="00FD5F67"/>
    <w:rsid w:val="00FD7766"/>
    <w:rsid w:val="00FE35D1"/>
    <w:rsid w:val="00FE3B07"/>
    <w:rsid w:val="00FF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uiPriority w:val="9"/>
    <w:unhideWhenUsed/>
    <w:qFormat/>
    <w:rsid w:val="00010DAE"/>
    <w:pPr>
      <w:spacing w:before="200" w:after="0" w:line="480" w:lineRule="auto"/>
      <w:outlineLvl w:val="1"/>
    </w:pPr>
    <w:rPr>
      <w:rFonts w:ascii="Times New Roman Bold" w:eastAsiaTheme="majorEastAsia" w:hAnsi="Times New Roman Bold" w:cstheme="majorBidi"/>
      <w:b/>
      <w:bCs/>
      <w:szCs w:val="26"/>
      <w:u w:val="single"/>
    </w:rPr>
  </w:style>
  <w:style w:type="paragraph" w:styleId="Heading5">
    <w:name w:val="heading 5"/>
    <w:basedOn w:val="Normal"/>
    <w:next w:val="Normal"/>
    <w:link w:val="Heading5Char"/>
    <w:uiPriority w:val="9"/>
    <w:semiHidden/>
    <w:unhideWhenUsed/>
    <w:qFormat/>
    <w:rsid w:val="00B64D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C05"/>
    <w:pPr>
      <w:tabs>
        <w:tab w:val="center" w:pos="4680"/>
        <w:tab w:val="right" w:pos="9360"/>
      </w:tabs>
      <w:spacing w:after="0"/>
    </w:pPr>
  </w:style>
  <w:style w:type="character" w:customStyle="1" w:styleId="HeaderChar">
    <w:name w:val="Header Char"/>
    <w:basedOn w:val="DefaultParagraphFont"/>
    <w:link w:val="Header"/>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C95FD6"/>
    <w:pPr>
      <w:spacing w:after="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95FD6"/>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0DAE"/>
    <w:rPr>
      <w:rFonts w:ascii="Times New Roman Bold" w:eastAsiaTheme="majorEastAsia" w:hAnsi="Times New Roman Bold" w:cstheme="majorBidi"/>
      <w:b/>
      <w:bCs/>
      <w:sz w:val="24"/>
      <w:szCs w:val="26"/>
      <w:u w:val="single"/>
    </w:rPr>
  </w:style>
  <w:style w:type="paragraph" w:styleId="BodyTextIndent2">
    <w:name w:val="Body Text Indent 2"/>
    <w:basedOn w:val="Normal"/>
    <w:link w:val="BodyTextIndent2Char"/>
    <w:semiHidden/>
    <w:rsid w:val="008D4F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semiHidden/>
    <w:rsid w:val="008D4F16"/>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B64DB3"/>
    <w:rPr>
      <w:rFonts w:asciiTheme="majorHAnsi" w:eastAsiaTheme="majorEastAsia" w:hAnsiTheme="majorHAnsi" w:cstheme="majorBidi"/>
      <w:color w:val="243F60" w:themeColor="accent1" w:themeShade="7F"/>
      <w:sz w:val="24"/>
    </w:rPr>
  </w:style>
  <w:style w:type="paragraph" w:styleId="BlockText">
    <w:name w:val="Block Text"/>
    <w:basedOn w:val="Normal"/>
    <w:semiHidden/>
    <w:rsid w:val="00B64DB3"/>
    <w:pPr>
      <w:spacing w:after="0"/>
      <w:ind w:left="1440" w:right="720"/>
      <w:jc w:val="both"/>
    </w:pPr>
    <w:rPr>
      <w:rFonts w:ascii="Arial" w:eastAsia="Times New Roman" w:hAnsi="Arial" w:cs="Times New Roman"/>
      <w:sz w:val="22"/>
      <w:szCs w:val="20"/>
    </w:rPr>
  </w:style>
  <w:style w:type="paragraph" w:styleId="TOC2">
    <w:name w:val="toc 2"/>
    <w:basedOn w:val="Normal"/>
    <w:next w:val="Normal"/>
    <w:autoRedefine/>
    <w:uiPriority w:val="39"/>
    <w:unhideWhenUsed/>
    <w:rsid w:val="006015D4"/>
    <w:pPr>
      <w:spacing w:after="100"/>
      <w:ind w:left="240"/>
    </w:pPr>
  </w:style>
  <w:style w:type="paragraph" w:styleId="BodyTextIndent">
    <w:name w:val="Body Text Indent"/>
    <w:basedOn w:val="Normal"/>
    <w:link w:val="BodyTextIndentChar"/>
    <w:semiHidden/>
    <w:rsid w:val="00615DEE"/>
    <w:pPr>
      <w:spacing w:after="0" w:line="480" w:lineRule="auto"/>
      <w:ind w:left="720" w:firstLine="720"/>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semiHidden/>
    <w:rsid w:val="00615DEE"/>
    <w:rPr>
      <w:rFonts w:ascii="Arial" w:eastAsia="Times New Roman" w:hAnsi="Arial" w:cs="Times New Roman"/>
      <w:szCs w:val="20"/>
    </w:rPr>
  </w:style>
  <w:style w:type="paragraph" w:customStyle="1" w:styleId="SingleSpacing">
    <w:name w:val="Single Spacing"/>
    <w:basedOn w:val="Normal"/>
    <w:rsid w:val="00DA3E89"/>
    <w:pPr>
      <w:spacing w:after="0" w:line="254" w:lineRule="exact"/>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uiPriority w:val="9"/>
    <w:unhideWhenUsed/>
    <w:qFormat/>
    <w:rsid w:val="00010DAE"/>
    <w:pPr>
      <w:spacing w:before="200" w:after="0" w:line="480" w:lineRule="auto"/>
      <w:outlineLvl w:val="1"/>
    </w:pPr>
    <w:rPr>
      <w:rFonts w:ascii="Times New Roman Bold" w:eastAsiaTheme="majorEastAsia" w:hAnsi="Times New Roman Bold" w:cstheme="majorBidi"/>
      <w:b/>
      <w:bCs/>
      <w:szCs w:val="26"/>
      <w:u w:val="single"/>
    </w:rPr>
  </w:style>
  <w:style w:type="paragraph" w:styleId="Heading5">
    <w:name w:val="heading 5"/>
    <w:basedOn w:val="Normal"/>
    <w:next w:val="Normal"/>
    <w:link w:val="Heading5Char"/>
    <w:uiPriority w:val="9"/>
    <w:semiHidden/>
    <w:unhideWhenUsed/>
    <w:qFormat/>
    <w:rsid w:val="00B64D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C05"/>
    <w:pPr>
      <w:tabs>
        <w:tab w:val="center" w:pos="4680"/>
        <w:tab w:val="right" w:pos="9360"/>
      </w:tabs>
      <w:spacing w:after="0"/>
    </w:pPr>
  </w:style>
  <w:style w:type="character" w:customStyle="1" w:styleId="HeaderChar">
    <w:name w:val="Header Char"/>
    <w:basedOn w:val="DefaultParagraphFont"/>
    <w:link w:val="Header"/>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C95FD6"/>
    <w:pPr>
      <w:spacing w:after="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95FD6"/>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0DAE"/>
    <w:rPr>
      <w:rFonts w:ascii="Times New Roman Bold" w:eastAsiaTheme="majorEastAsia" w:hAnsi="Times New Roman Bold" w:cstheme="majorBidi"/>
      <w:b/>
      <w:bCs/>
      <w:sz w:val="24"/>
      <w:szCs w:val="26"/>
      <w:u w:val="single"/>
    </w:rPr>
  </w:style>
  <w:style w:type="paragraph" w:styleId="BodyTextIndent2">
    <w:name w:val="Body Text Indent 2"/>
    <w:basedOn w:val="Normal"/>
    <w:link w:val="BodyTextIndent2Char"/>
    <w:semiHidden/>
    <w:rsid w:val="008D4F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semiHidden/>
    <w:rsid w:val="008D4F16"/>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B64DB3"/>
    <w:rPr>
      <w:rFonts w:asciiTheme="majorHAnsi" w:eastAsiaTheme="majorEastAsia" w:hAnsiTheme="majorHAnsi" w:cstheme="majorBidi"/>
      <w:color w:val="243F60" w:themeColor="accent1" w:themeShade="7F"/>
      <w:sz w:val="24"/>
    </w:rPr>
  </w:style>
  <w:style w:type="paragraph" w:styleId="BlockText">
    <w:name w:val="Block Text"/>
    <w:basedOn w:val="Normal"/>
    <w:semiHidden/>
    <w:rsid w:val="00B64DB3"/>
    <w:pPr>
      <w:spacing w:after="0"/>
      <w:ind w:left="1440" w:right="720"/>
      <w:jc w:val="both"/>
    </w:pPr>
    <w:rPr>
      <w:rFonts w:ascii="Arial" w:eastAsia="Times New Roman" w:hAnsi="Arial" w:cs="Times New Roman"/>
      <w:sz w:val="22"/>
      <w:szCs w:val="20"/>
    </w:rPr>
  </w:style>
  <w:style w:type="paragraph" w:styleId="TOC2">
    <w:name w:val="toc 2"/>
    <w:basedOn w:val="Normal"/>
    <w:next w:val="Normal"/>
    <w:autoRedefine/>
    <w:uiPriority w:val="39"/>
    <w:unhideWhenUsed/>
    <w:rsid w:val="006015D4"/>
    <w:pPr>
      <w:spacing w:after="100"/>
      <w:ind w:left="240"/>
    </w:pPr>
  </w:style>
  <w:style w:type="paragraph" w:styleId="BodyTextIndent">
    <w:name w:val="Body Text Indent"/>
    <w:basedOn w:val="Normal"/>
    <w:link w:val="BodyTextIndentChar"/>
    <w:semiHidden/>
    <w:rsid w:val="00615DEE"/>
    <w:pPr>
      <w:spacing w:after="0" w:line="480" w:lineRule="auto"/>
      <w:ind w:left="720" w:firstLine="720"/>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semiHidden/>
    <w:rsid w:val="00615DEE"/>
    <w:rPr>
      <w:rFonts w:ascii="Arial" w:eastAsia="Times New Roman" w:hAnsi="Arial" w:cs="Times New Roman"/>
      <w:szCs w:val="20"/>
    </w:rPr>
  </w:style>
  <w:style w:type="paragraph" w:customStyle="1" w:styleId="SingleSpacing">
    <w:name w:val="Single Spacing"/>
    <w:basedOn w:val="Normal"/>
    <w:rsid w:val="00DA3E89"/>
    <w:pPr>
      <w:spacing w:after="0" w:line="254" w:lineRule="exac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BAD0AE-FFE7-435D-8DFA-CBECD8A975D2}"/>
</file>

<file path=customXml/itemProps2.xml><?xml version="1.0" encoding="utf-8"?>
<ds:datastoreItem xmlns:ds="http://schemas.openxmlformats.org/officeDocument/2006/customXml" ds:itemID="{BC9B03E8-F80E-47CA-8E93-D63A4CDBD988}"/>
</file>

<file path=customXml/itemProps3.xml><?xml version="1.0" encoding="utf-8"?>
<ds:datastoreItem xmlns:ds="http://schemas.openxmlformats.org/officeDocument/2006/customXml" ds:itemID="{534ABA95-F5BB-4AE9-B42F-450A1DCCF3E3}"/>
</file>

<file path=customXml/itemProps4.xml><?xml version="1.0" encoding="utf-8"?>
<ds:datastoreItem xmlns:ds="http://schemas.openxmlformats.org/officeDocument/2006/customXml" ds:itemID="{59952895-AFC4-4878-BCAC-11B20380376C}"/>
</file>

<file path=customXml/itemProps5.xml><?xml version="1.0" encoding="utf-8"?>
<ds:datastoreItem xmlns:ds="http://schemas.openxmlformats.org/officeDocument/2006/customXml" ds:itemID="{66231BEA-9F4A-433F-85A0-E60B02148D83}"/>
</file>

<file path=docProps/app.xml><?xml version="1.0" encoding="utf-8"?>
<Properties xmlns="http://schemas.openxmlformats.org/officeDocument/2006/extended-properties" xmlns:vt="http://schemas.openxmlformats.org/officeDocument/2006/docPropsVTypes">
  <Template>Normal</Template>
  <TotalTime>91</TotalTime>
  <Pages>32</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Jesse O. Gorsuch</cp:lastModifiedBy>
  <cp:revision>34</cp:revision>
  <cp:lastPrinted>2014-07-21T21:26:00Z</cp:lastPrinted>
  <dcterms:created xsi:type="dcterms:W3CDTF">2014-07-21T20:26:00Z</dcterms:created>
  <dcterms:modified xsi:type="dcterms:W3CDTF">2014-07-22T01:18:00Z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