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E6FBA" w14:textId="618351BE" w:rsidR="007F6E20" w:rsidRDefault="007F6E20" w:rsidP="009543C5">
      <w:pPr>
        <w:jc w:val="center"/>
        <w:rPr>
          <w:b/>
          <w:bCs/>
          <w:sz w:val="25"/>
          <w:szCs w:val="25"/>
        </w:rPr>
      </w:pPr>
    </w:p>
    <w:p w14:paraId="1D730B40" w14:textId="77777777" w:rsidR="007F6E20" w:rsidRDefault="007F6E20" w:rsidP="009543C5">
      <w:pPr>
        <w:jc w:val="center"/>
        <w:rPr>
          <w:b/>
          <w:bCs/>
          <w:sz w:val="25"/>
          <w:szCs w:val="25"/>
        </w:rPr>
      </w:pPr>
    </w:p>
    <w:p w14:paraId="58A75A08" w14:textId="77777777" w:rsidR="007F6E20" w:rsidRDefault="007F6E20" w:rsidP="009543C5">
      <w:pPr>
        <w:jc w:val="center"/>
        <w:rPr>
          <w:b/>
          <w:bCs/>
          <w:sz w:val="25"/>
          <w:szCs w:val="25"/>
        </w:rPr>
      </w:pPr>
    </w:p>
    <w:p w14:paraId="282E8005" w14:textId="77777777" w:rsidR="007F6E20" w:rsidRDefault="007F6E20" w:rsidP="009543C5">
      <w:pPr>
        <w:jc w:val="center"/>
        <w:rPr>
          <w:b/>
          <w:bCs/>
          <w:sz w:val="25"/>
          <w:szCs w:val="25"/>
        </w:rPr>
      </w:pPr>
    </w:p>
    <w:p w14:paraId="68D65293" w14:textId="77777777" w:rsidR="0070572A" w:rsidRPr="00BE4847" w:rsidRDefault="0070572A" w:rsidP="009543C5">
      <w:pPr>
        <w:jc w:val="center"/>
        <w:rPr>
          <w:b/>
          <w:bCs/>
          <w:sz w:val="25"/>
          <w:szCs w:val="25"/>
        </w:rPr>
      </w:pPr>
      <w:r w:rsidRPr="00BE4847">
        <w:rPr>
          <w:b/>
          <w:bCs/>
          <w:sz w:val="25"/>
          <w:szCs w:val="25"/>
        </w:rPr>
        <w:t>BEFORE THE WASHINGTON</w:t>
      </w:r>
    </w:p>
    <w:p w14:paraId="68D65294" w14:textId="77777777" w:rsidR="0070572A" w:rsidRDefault="0070572A" w:rsidP="009543C5">
      <w:pPr>
        <w:jc w:val="center"/>
        <w:rPr>
          <w:b/>
          <w:bCs/>
          <w:sz w:val="25"/>
          <w:szCs w:val="25"/>
        </w:rPr>
      </w:pPr>
      <w:r w:rsidRPr="00BE4847">
        <w:rPr>
          <w:b/>
          <w:bCs/>
          <w:sz w:val="25"/>
          <w:szCs w:val="25"/>
        </w:rPr>
        <w:t>UTILITIES AND TRANSPORTATION COMMISSION</w:t>
      </w:r>
    </w:p>
    <w:p w14:paraId="02624B82" w14:textId="6717B696" w:rsidR="007F6E20" w:rsidRDefault="007F6E20" w:rsidP="009543C5">
      <w:pPr>
        <w:jc w:val="center"/>
        <w:rPr>
          <w:b/>
          <w:bCs/>
          <w:sz w:val="25"/>
          <w:szCs w:val="25"/>
        </w:rPr>
      </w:pPr>
    </w:p>
    <w:p w14:paraId="1DBFEDEF" w14:textId="77777777" w:rsidR="007F6E20" w:rsidRDefault="007F6E20" w:rsidP="009543C5">
      <w:pPr>
        <w:jc w:val="center"/>
        <w:rPr>
          <w:b/>
          <w:bCs/>
          <w:sz w:val="25"/>
          <w:szCs w:val="25"/>
        </w:rPr>
      </w:pPr>
    </w:p>
    <w:p w14:paraId="68D65295" w14:textId="77777777" w:rsidR="0070572A" w:rsidRPr="0089650D" w:rsidRDefault="0070572A" w:rsidP="009543C5">
      <w:pPr>
        <w:rPr>
          <w:bCs/>
          <w:sz w:val="25"/>
          <w:szCs w:val="25"/>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70572A" w:rsidRPr="0089650D" w14:paraId="68D6529E" w14:textId="77777777" w:rsidTr="0021152F">
        <w:tc>
          <w:tcPr>
            <w:tcW w:w="4590" w:type="dxa"/>
            <w:tcBorders>
              <w:top w:val="single" w:sz="6" w:space="0" w:color="FFFFFF"/>
              <w:left w:val="single" w:sz="6" w:space="0" w:color="FFFFFF"/>
              <w:bottom w:val="single" w:sz="7" w:space="0" w:color="000000"/>
              <w:right w:val="single" w:sz="6" w:space="0" w:color="FFFFFF"/>
            </w:tcBorders>
          </w:tcPr>
          <w:p w14:paraId="68D65296" w14:textId="77777777" w:rsidR="0070572A" w:rsidRPr="0089650D" w:rsidRDefault="0070572A" w:rsidP="009543C5">
            <w:pPr>
              <w:rPr>
                <w:sz w:val="25"/>
                <w:szCs w:val="25"/>
              </w:rPr>
            </w:pPr>
            <w:r>
              <w:rPr>
                <w:sz w:val="25"/>
                <w:szCs w:val="25"/>
              </w:rPr>
              <w:t>In the Matter of Determining the Proper Carrier Classification of, and Complaint for Penalties against:</w:t>
            </w:r>
          </w:p>
          <w:p w14:paraId="68D65297" w14:textId="77777777" w:rsidR="0070572A" w:rsidRPr="0089650D" w:rsidRDefault="0070572A" w:rsidP="009543C5">
            <w:pPr>
              <w:rPr>
                <w:sz w:val="25"/>
                <w:szCs w:val="25"/>
              </w:rPr>
            </w:pPr>
          </w:p>
          <w:p w14:paraId="68D65298" w14:textId="5269B396" w:rsidR="0070572A" w:rsidRPr="0089650D" w:rsidRDefault="0070572A" w:rsidP="009543C5">
            <w:pPr>
              <w:rPr>
                <w:sz w:val="25"/>
                <w:szCs w:val="25"/>
              </w:rPr>
            </w:pPr>
            <w:r>
              <w:rPr>
                <w:sz w:val="25"/>
                <w:szCs w:val="25"/>
              </w:rPr>
              <w:t>BLESSED LIMOUSINE</w:t>
            </w:r>
            <w:r w:rsidR="003D201B">
              <w:rPr>
                <w:sz w:val="25"/>
                <w:szCs w:val="25"/>
              </w:rPr>
              <w:t xml:space="preserve"> INC.</w:t>
            </w:r>
          </w:p>
          <w:p w14:paraId="68D65299" w14:textId="77777777" w:rsidR="0070572A" w:rsidRPr="0089650D" w:rsidRDefault="0070572A" w:rsidP="009543C5">
            <w:pPr>
              <w:rPr>
                <w:sz w:val="25"/>
                <w:szCs w:val="25"/>
              </w:rPr>
            </w:pPr>
          </w:p>
          <w:p w14:paraId="68D6529A" w14:textId="77777777" w:rsidR="0070572A" w:rsidRPr="0089650D" w:rsidRDefault="0070572A" w:rsidP="009543C5">
            <w:pPr>
              <w:rPr>
                <w:sz w:val="25"/>
                <w:szCs w:val="25"/>
              </w:rPr>
            </w:pPr>
          </w:p>
        </w:tc>
        <w:tc>
          <w:tcPr>
            <w:tcW w:w="4590" w:type="dxa"/>
            <w:tcBorders>
              <w:top w:val="single" w:sz="6" w:space="0" w:color="FFFFFF"/>
              <w:left w:val="single" w:sz="7" w:space="0" w:color="000000"/>
              <w:bottom w:val="single" w:sz="6" w:space="0" w:color="FFFFFF"/>
              <w:right w:val="single" w:sz="6" w:space="0" w:color="FFFFFF"/>
            </w:tcBorders>
          </w:tcPr>
          <w:p w14:paraId="68D6529B" w14:textId="77777777" w:rsidR="0070572A" w:rsidRPr="0089650D" w:rsidRDefault="0070572A" w:rsidP="009543C5">
            <w:pPr>
              <w:ind w:left="56"/>
              <w:rPr>
                <w:sz w:val="25"/>
                <w:szCs w:val="25"/>
              </w:rPr>
            </w:pPr>
            <w:r w:rsidRPr="0089650D">
              <w:rPr>
                <w:sz w:val="25"/>
                <w:szCs w:val="25"/>
              </w:rPr>
              <w:t>DOCKET T</w:t>
            </w:r>
            <w:r>
              <w:rPr>
                <w:sz w:val="25"/>
                <w:szCs w:val="25"/>
              </w:rPr>
              <w:t>E-151667</w:t>
            </w:r>
          </w:p>
          <w:p w14:paraId="68D6529C" w14:textId="77777777" w:rsidR="0070572A" w:rsidRPr="0089650D" w:rsidRDefault="0070572A" w:rsidP="009543C5">
            <w:pPr>
              <w:ind w:firstLine="56"/>
              <w:rPr>
                <w:sz w:val="25"/>
                <w:szCs w:val="25"/>
              </w:rPr>
            </w:pPr>
          </w:p>
          <w:p w14:paraId="68D6529D" w14:textId="5815CEB6" w:rsidR="0070572A" w:rsidRPr="0089650D" w:rsidRDefault="0070572A" w:rsidP="009543C5">
            <w:pPr>
              <w:ind w:left="56"/>
              <w:rPr>
                <w:sz w:val="25"/>
                <w:szCs w:val="25"/>
              </w:rPr>
            </w:pPr>
            <w:r>
              <w:rPr>
                <w:sz w:val="25"/>
                <w:szCs w:val="25"/>
              </w:rPr>
              <w:t>COMMISSION STAFF’S ANSWER TO BLESSED LIMOUSINE</w:t>
            </w:r>
            <w:r w:rsidR="00D03160">
              <w:rPr>
                <w:sz w:val="25"/>
                <w:szCs w:val="25"/>
              </w:rPr>
              <w:t>,</w:t>
            </w:r>
            <w:bookmarkStart w:id="0" w:name="_GoBack"/>
            <w:bookmarkEnd w:id="0"/>
            <w:r>
              <w:rPr>
                <w:sz w:val="25"/>
                <w:szCs w:val="25"/>
              </w:rPr>
              <w:t xml:space="preserve"> INC.’S PETITION FOR ADMINISTRATIVE REVIEW</w:t>
            </w:r>
          </w:p>
        </w:tc>
      </w:tr>
    </w:tbl>
    <w:p w14:paraId="68D6529F" w14:textId="77777777" w:rsidR="0070572A" w:rsidRDefault="0070572A" w:rsidP="009543C5">
      <w:pPr>
        <w:jc w:val="center"/>
        <w:rPr>
          <w:b/>
          <w:bCs/>
          <w:sz w:val="25"/>
          <w:szCs w:val="25"/>
        </w:rPr>
      </w:pPr>
    </w:p>
    <w:p w14:paraId="68D652A0" w14:textId="77777777" w:rsidR="0070572A" w:rsidRDefault="0070572A" w:rsidP="009543C5">
      <w:pPr>
        <w:jc w:val="center"/>
        <w:rPr>
          <w:b/>
          <w:bCs/>
          <w:sz w:val="25"/>
          <w:szCs w:val="25"/>
        </w:rPr>
      </w:pPr>
    </w:p>
    <w:p w14:paraId="68D652A1" w14:textId="77777777" w:rsidR="005E51C2" w:rsidRPr="008F2014" w:rsidRDefault="005E51C2" w:rsidP="009543C5">
      <w:pPr>
        <w:pStyle w:val="ListParagraph"/>
        <w:numPr>
          <w:ilvl w:val="0"/>
          <w:numId w:val="5"/>
        </w:numPr>
        <w:spacing w:line="480" w:lineRule="auto"/>
        <w:ind w:left="0" w:firstLine="0"/>
        <w:jc w:val="center"/>
        <w:rPr>
          <w:b/>
          <w:sz w:val="24"/>
        </w:rPr>
      </w:pPr>
      <w:r w:rsidRPr="008F2014">
        <w:rPr>
          <w:b/>
          <w:sz w:val="24"/>
        </w:rPr>
        <w:t>BACKGROUND</w:t>
      </w:r>
    </w:p>
    <w:p w14:paraId="68D652A3" w14:textId="3C1B6599" w:rsidR="005E51C2" w:rsidRPr="005E51C2"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5E51C2" w:rsidRPr="005E51C2">
        <w:rPr>
          <w:bCs/>
          <w:sz w:val="24"/>
        </w:rPr>
        <w:t xml:space="preserve">On </w:t>
      </w:r>
      <w:r w:rsidR="0070572A">
        <w:rPr>
          <w:bCs/>
          <w:sz w:val="24"/>
        </w:rPr>
        <w:t>October 27, 2015</w:t>
      </w:r>
      <w:r w:rsidR="005E51C2" w:rsidRPr="005E51C2">
        <w:rPr>
          <w:bCs/>
          <w:sz w:val="24"/>
        </w:rPr>
        <w:t xml:space="preserve">, the Washington Utilities and Transportation Commission (Commission) </w:t>
      </w:r>
      <w:r w:rsidR="0070572A">
        <w:rPr>
          <w:bCs/>
          <w:sz w:val="24"/>
        </w:rPr>
        <w:t>served Order 01 instituting a special proceeding to determine the classification of and seeking penalties against Blessed Limousine</w:t>
      </w:r>
      <w:r w:rsidR="003D201B">
        <w:rPr>
          <w:bCs/>
          <w:sz w:val="24"/>
        </w:rPr>
        <w:t>,</w:t>
      </w:r>
      <w:r w:rsidR="0070572A">
        <w:rPr>
          <w:bCs/>
          <w:sz w:val="24"/>
        </w:rPr>
        <w:t xml:space="preserve"> Inc. (Blessed Limo</w:t>
      </w:r>
      <w:r w:rsidR="004040DF">
        <w:rPr>
          <w:bCs/>
          <w:sz w:val="24"/>
        </w:rPr>
        <w:t xml:space="preserve"> or the Company</w:t>
      </w:r>
      <w:r w:rsidR="0070572A">
        <w:rPr>
          <w:bCs/>
          <w:sz w:val="24"/>
        </w:rPr>
        <w:t xml:space="preserve">) and gave notice of a brief adjudicative proceeding set for Thursday, November 19, 2015, at 1:30 p.m. </w:t>
      </w:r>
    </w:p>
    <w:p w14:paraId="68D652A4" w14:textId="11B78E39" w:rsidR="0070572A"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5E51C2" w:rsidRPr="005E51C2">
        <w:rPr>
          <w:sz w:val="24"/>
        </w:rPr>
        <w:t xml:space="preserve">On </w:t>
      </w:r>
      <w:r w:rsidR="0070572A">
        <w:rPr>
          <w:bCs/>
          <w:sz w:val="24"/>
        </w:rPr>
        <w:t>October 27, 2015</w:t>
      </w:r>
      <w:r w:rsidR="005E51C2" w:rsidRPr="005E51C2">
        <w:rPr>
          <w:sz w:val="24"/>
        </w:rPr>
        <w:t xml:space="preserve">, the Commission conducted a brief adjudicative proceeding before Administrative Law Judge </w:t>
      </w:r>
      <w:r>
        <w:rPr>
          <w:sz w:val="24"/>
        </w:rPr>
        <w:t xml:space="preserve">(ALJ) </w:t>
      </w:r>
      <w:r w:rsidR="005E51C2" w:rsidRPr="005E51C2">
        <w:rPr>
          <w:sz w:val="24"/>
        </w:rPr>
        <w:t xml:space="preserve">Rayne Pearson. </w:t>
      </w:r>
    </w:p>
    <w:p w14:paraId="68D652A5" w14:textId="7C9D4004" w:rsidR="005E51C2" w:rsidRPr="005E51C2"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5E51C2" w:rsidRPr="005E51C2">
        <w:rPr>
          <w:sz w:val="24"/>
        </w:rPr>
        <w:t xml:space="preserve">Following the </w:t>
      </w:r>
      <w:r w:rsidR="005E51C2" w:rsidRPr="00B92E8F">
        <w:rPr>
          <w:bCs/>
          <w:sz w:val="24"/>
        </w:rPr>
        <w:t>hearing</w:t>
      </w:r>
      <w:r w:rsidR="005E51C2" w:rsidRPr="005E51C2">
        <w:rPr>
          <w:sz w:val="24"/>
        </w:rPr>
        <w:t xml:space="preserve">, </w:t>
      </w:r>
      <w:r w:rsidR="0070572A">
        <w:rPr>
          <w:sz w:val="24"/>
        </w:rPr>
        <w:t xml:space="preserve">on December 7, 2015, </w:t>
      </w:r>
      <w:r w:rsidR="00243729">
        <w:rPr>
          <w:sz w:val="24"/>
        </w:rPr>
        <w:t xml:space="preserve">the Commission entered </w:t>
      </w:r>
      <w:r w:rsidR="001051B6">
        <w:rPr>
          <w:sz w:val="24"/>
        </w:rPr>
        <w:t>Order 02</w:t>
      </w:r>
      <w:r w:rsidR="005E51C2" w:rsidRPr="005E51C2">
        <w:rPr>
          <w:sz w:val="24"/>
        </w:rPr>
        <w:t xml:space="preserve"> </w:t>
      </w:r>
      <w:r w:rsidR="0070572A">
        <w:rPr>
          <w:sz w:val="24"/>
        </w:rPr>
        <w:t xml:space="preserve">classifying Blessed Limo as a charter party or excursion service carrier, ordering Blessed Limo to cease and desist, and imposing and suspending penalties against Blessed Limo on condition of future compliance. Blessed Limo was found to have </w:t>
      </w:r>
      <w:r w:rsidR="00243729">
        <w:rPr>
          <w:sz w:val="24"/>
        </w:rPr>
        <w:t>committed</w:t>
      </w:r>
      <w:r w:rsidR="0070572A">
        <w:rPr>
          <w:sz w:val="24"/>
        </w:rPr>
        <w:t xml:space="preserve"> four violations and was assessed a penalty of $20,000, of which $10,000 was </w:t>
      </w:r>
      <w:r w:rsidR="001051B6">
        <w:rPr>
          <w:sz w:val="24"/>
        </w:rPr>
        <w:t xml:space="preserve">conditionally </w:t>
      </w:r>
      <w:r w:rsidR="0070572A">
        <w:rPr>
          <w:sz w:val="24"/>
        </w:rPr>
        <w:t>suspended.</w:t>
      </w:r>
    </w:p>
    <w:p w14:paraId="68D652A6" w14:textId="3C865619" w:rsidR="005E51C2" w:rsidRPr="005E51C2"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lastRenderedPageBreak/>
        <w:tab/>
      </w:r>
      <w:r w:rsidR="005E51C2" w:rsidRPr="005E51C2">
        <w:rPr>
          <w:sz w:val="24"/>
        </w:rPr>
        <w:t xml:space="preserve">On </w:t>
      </w:r>
      <w:r w:rsidR="002F2722">
        <w:rPr>
          <w:sz w:val="24"/>
        </w:rPr>
        <w:t>January 6, 2016, David Ruzumna filed a Notice of Appearance with the Commission on behalf of Blessed Limo and on that same day filed a Petition for Administrative Review on behalf of Blessed Limo.</w:t>
      </w:r>
    </w:p>
    <w:p w14:paraId="68D652A7" w14:textId="16F4EDCF" w:rsidR="005E51C2" w:rsidRPr="005E51C2"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2F2722" w:rsidRPr="00B92E8F">
        <w:rPr>
          <w:bCs/>
          <w:sz w:val="24"/>
        </w:rPr>
        <w:t>Pursuant</w:t>
      </w:r>
      <w:r w:rsidR="002F2722">
        <w:rPr>
          <w:sz w:val="24"/>
        </w:rPr>
        <w:t xml:space="preserve"> to WAC 480</w:t>
      </w:r>
      <w:r w:rsidR="002F2722">
        <w:rPr>
          <w:sz w:val="24"/>
        </w:rPr>
        <w:noBreakHyphen/>
        <w:t>07</w:t>
      </w:r>
      <w:r w:rsidR="002F2722">
        <w:rPr>
          <w:sz w:val="24"/>
        </w:rPr>
        <w:noBreakHyphen/>
        <w:t>825(4), Commission staff (Staff) file</w:t>
      </w:r>
      <w:r w:rsidR="008130C1">
        <w:rPr>
          <w:sz w:val="24"/>
        </w:rPr>
        <w:t>s</w:t>
      </w:r>
      <w:r w:rsidR="002F2722">
        <w:rPr>
          <w:sz w:val="24"/>
        </w:rPr>
        <w:t xml:space="preserve"> this answer to Blessed Limo’s Petition for Administrative Review.</w:t>
      </w:r>
    </w:p>
    <w:p w14:paraId="68D652A8" w14:textId="77777777" w:rsidR="005E51C2" w:rsidRPr="005E51C2" w:rsidRDefault="005E51C2" w:rsidP="009543C5">
      <w:pPr>
        <w:tabs>
          <w:tab w:val="left" w:pos="0"/>
        </w:tabs>
        <w:spacing w:line="480" w:lineRule="auto"/>
        <w:jc w:val="center"/>
        <w:rPr>
          <w:b/>
          <w:sz w:val="24"/>
        </w:rPr>
      </w:pPr>
      <w:r>
        <w:rPr>
          <w:b/>
          <w:sz w:val="24"/>
        </w:rPr>
        <w:t>II.</w:t>
      </w:r>
      <w:r>
        <w:rPr>
          <w:b/>
          <w:sz w:val="24"/>
        </w:rPr>
        <w:tab/>
      </w:r>
      <w:r w:rsidRPr="005E51C2">
        <w:rPr>
          <w:b/>
          <w:sz w:val="24"/>
        </w:rPr>
        <w:t>ANSWER TO PETITION</w:t>
      </w:r>
    </w:p>
    <w:p w14:paraId="68D652AB" w14:textId="08A1C29F" w:rsidR="00036CCC" w:rsidRPr="005B4C0B"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C86440">
        <w:rPr>
          <w:sz w:val="24"/>
        </w:rPr>
        <w:t>As a preliminary matter,</w:t>
      </w:r>
      <w:r w:rsidR="00036CCC">
        <w:rPr>
          <w:sz w:val="24"/>
        </w:rPr>
        <w:t xml:space="preserve"> Blessed Limo has failed to show good cause for extending the time during which a party may file a petition for administrative review.</w:t>
      </w:r>
    </w:p>
    <w:p w14:paraId="7E905C40" w14:textId="0412EC79" w:rsidR="00C86440"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A86085">
        <w:rPr>
          <w:sz w:val="24"/>
        </w:rPr>
        <w:t>Order 02</w:t>
      </w:r>
      <w:r w:rsidR="00C86440" w:rsidRPr="00036CCC">
        <w:rPr>
          <w:sz w:val="24"/>
        </w:rPr>
        <w:t xml:space="preserve"> in TE-151667</w:t>
      </w:r>
      <w:r w:rsidR="00A86085">
        <w:rPr>
          <w:sz w:val="24"/>
        </w:rPr>
        <w:t xml:space="preserve">, the </w:t>
      </w:r>
      <w:r w:rsidR="00A86085" w:rsidRPr="00A86085">
        <w:rPr>
          <w:sz w:val="24"/>
        </w:rPr>
        <w:t>Initial Order Classifying Respondent as a Charter Party or Excursion Service Carrier; Ordering Respondent to Cease &amp; Desist; Imposing and Suspending Penalties on Condition of Future Compliance</w:t>
      </w:r>
      <w:r w:rsidR="00A86085">
        <w:rPr>
          <w:sz w:val="24"/>
        </w:rPr>
        <w:t>,</w:t>
      </w:r>
      <w:r w:rsidR="00C86440" w:rsidRPr="00036CCC">
        <w:rPr>
          <w:sz w:val="24"/>
        </w:rPr>
        <w:t xml:space="preserve"> was entered on December 7, 2015.</w:t>
      </w:r>
      <w:r w:rsidR="00243729">
        <w:rPr>
          <w:rStyle w:val="FootnoteReference"/>
          <w:sz w:val="24"/>
        </w:rPr>
        <w:footnoteReference w:id="1"/>
      </w:r>
      <w:r w:rsidR="00C86440" w:rsidRPr="00036CCC">
        <w:rPr>
          <w:sz w:val="24"/>
        </w:rPr>
        <w:t xml:space="preserve"> </w:t>
      </w:r>
      <w:r w:rsidR="00243729">
        <w:rPr>
          <w:sz w:val="24"/>
        </w:rPr>
        <w:t>It</w:t>
      </w:r>
      <w:r w:rsidR="00C86440" w:rsidRPr="00036CCC">
        <w:rPr>
          <w:sz w:val="24"/>
        </w:rPr>
        <w:t xml:space="preserve"> clearly states that any party will have “twenty (20) days after the entry of this initial order to file a </w:t>
      </w:r>
      <w:r w:rsidR="00C86440" w:rsidRPr="00036CCC">
        <w:rPr>
          <w:i/>
          <w:sz w:val="24"/>
        </w:rPr>
        <w:t>Petition for Administrative Review</w:t>
      </w:r>
      <w:r w:rsidR="00C86440" w:rsidRPr="00036CCC">
        <w:rPr>
          <w:sz w:val="24"/>
        </w:rPr>
        <w:t>.”</w:t>
      </w:r>
      <w:r w:rsidR="00C86440">
        <w:rPr>
          <w:rStyle w:val="FootnoteReference"/>
          <w:sz w:val="24"/>
        </w:rPr>
        <w:footnoteReference w:id="2"/>
      </w:r>
      <w:r w:rsidR="00C86440">
        <w:rPr>
          <w:sz w:val="24"/>
        </w:rPr>
        <w:t xml:space="preserve"> The deadline for any party to TE</w:t>
      </w:r>
      <w:r w:rsidR="0021152F">
        <w:rPr>
          <w:sz w:val="24"/>
        </w:rPr>
        <w:noBreakHyphen/>
      </w:r>
      <w:r w:rsidR="00C86440">
        <w:rPr>
          <w:sz w:val="24"/>
        </w:rPr>
        <w:t xml:space="preserve">151667 to file a petition for administrative review was December 28, 2015 (the first </w:t>
      </w:r>
      <w:r w:rsidR="00E96E42">
        <w:rPr>
          <w:sz w:val="24"/>
        </w:rPr>
        <w:t>week</w:t>
      </w:r>
      <w:r w:rsidR="00C86440">
        <w:rPr>
          <w:sz w:val="24"/>
        </w:rPr>
        <w:t xml:space="preserve">day </w:t>
      </w:r>
      <w:r w:rsidR="00E96E42">
        <w:rPr>
          <w:sz w:val="24"/>
        </w:rPr>
        <w:t>following December 27, 2015, which was the twentieth calendar day</w:t>
      </w:r>
      <w:r w:rsidR="00C86440">
        <w:rPr>
          <w:sz w:val="24"/>
        </w:rPr>
        <w:t xml:space="preserve"> from the date of entry). Blessed Limo should be held to this deadline.</w:t>
      </w:r>
    </w:p>
    <w:p w14:paraId="77C5428B" w14:textId="6AFF3468" w:rsidR="00C86440" w:rsidRPr="00C86440"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lastRenderedPageBreak/>
        <w:tab/>
      </w:r>
      <w:r w:rsidR="00113240" w:rsidRPr="00C86440">
        <w:rPr>
          <w:sz w:val="24"/>
        </w:rPr>
        <w:t xml:space="preserve">Blessed Limo misunderstands and mistakenly </w:t>
      </w:r>
      <w:r w:rsidR="00C86440">
        <w:rPr>
          <w:sz w:val="24"/>
        </w:rPr>
        <w:t>uses</w:t>
      </w:r>
      <w:r w:rsidR="00113240" w:rsidRPr="00C86440">
        <w:rPr>
          <w:sz w:val="24"/>
        </w:rPr>
        <w:t xml:space="preserve"> the Commission’s record of the certified card of service to Blessed Limo of Order 02 to justify extending the time for filing a petition for administrative review. Blessed Limo provided this certified card as Exhibit A with </w:t>
      </w:r>
      <w:r w:rsidR="00036CCC" w:rsidRPr="00C86440">
        <w:rPr>
          <w:sz w:val="24"/>
        </w:rPr>
        <w:t>its Petition for Administrati</w:t>
      </w:r>
      <w:r w:rsidR="00113240" w:rsidRPr="00C86440">
        <w:rPr>
          <w:sz w:val="24"/>
        </w:rPr>
        <w:t>ve Review</w:t>
      </w:r>
      <w:r w:rsidR="00C86440" w:rsidRPr="00C86440">
        <w:rPr>
          <w:sz w:val="24"/>
        </w:rPr>
        <w:t>.</w:t>
      </w:r>
      <w:r w:rsidR="00C86440">
        <w:rPr>
          <w:sz w:val="24"/>
        </w:rPr>
        <w:t xml:space="preserve"> </w:t>
      </w:r>
      <w:r w:rsidR="00C86440" w:rsidRPr="00C86440">
        <w:rPr>
          <w:sz w:val="24"/>
        </w:rPr>
        <w:t xml:space="preserve">This record indicates that </w:t>
      </w:r>
      <w:r w:rsidR="00036CCC" w:rsidRPr="00C86440">
        <w:rPr>
          <w:sz w:val="24"/>
        </w:rPr>
        <w:t xml:space="preserve">the certified card </w:t>
      </w:r>
      <w:r w:rsidR="00C86440" w:rsidRPr="00C86440">
        <w:rPr>
          <w:sz w:val="24"/>
        </w:rPr>
        <w:t xml:space="preserve">was entered </w:t>
      </w:r>
      <w:r w:rsidR="00E96E42">
        <w:rPr>
          <w:sz w:val="24"/>
        </w:rPr>
        <w:t xml:space="preserve">into the Commission’s database </w:t>
      </w:r>
      <w:r w:rsidR="00C86440" w:rsidRPr="00C86440">
        <w:rPr>
          <w:sz w:val="24"/>
        </w:rPr>
        <w:t>on</w:t>
      </w:r>
      <w:r w:rsidR="00036CCC" w:rsidRPr="00C86440">
        <w:rPr>
          <w:sz w:val="24"/>
        </w:rPr>
        <w:t xml:space="preserve"> December 21, 2015, but </w:t>
      </w:r>
      <w:r w:rsidR="00113240" w:rsidRPr="00C86440">
        <w:rPr>
          <w:sz w:val="24"/>
        </w:rPr>
        <w:t xml:space="preserve">it </w:t>
      </w:r>
      <w:r w:rsidR="00036CCC" w:rsidRPr="00C86440">
        <w:rPr>
          <w:sz w:val="24"/>
        </w:rPr>
        <w:t>does not include the date of service to Blessed Limo</w:t>
      </w:r>
      <w:r w:rsidR="00113240" w:rsidRPr="00C86440">
        <w:rPr>
          <w:sz w:val="24"/>
        </w:rPr>
        <w:t>. This date</w:t>
      </w:r>
      <w:r w:rsidR="00C86440" w:rsidRPr="00C86440">
        <w:rPr>
          <w:sz w:val="24"/>
        </w:rPr>
        <w:t xml:space="preserve"> </w:t>
      </w:r>
      <w:r w:rsidR="00113240" w:rsidRPr="00C86440">
        <w:rPr>
          <w:sz w:val="24"/>
        </w:rPr>
        <w:t>does not signify when Blessed Limo was served</w:t>
      </w:r>
      <w:r w:rsidR="00C86440" w:rsidRPr="00C86440">
        <w:rPr>
          <w:sz w:val="24"/>
        </w:rPr>
        <w:t>. Blessed Limo has not offered any evidence showing when it was served with Order 02</w:t>
      </w:r>
      <w:r w:rsidR="00113240" w:rsidRPr="00C86440">
        <w:rPr>
          <w:sz w:val="24"/>
        </w:rPr>
        <w:t>. I</w:t>
      </w:r>
      <w:r w:rsidR="00036CCC" w:rsidRPr="00C86440">
        <w:rPr>
          <w:sz w:val="24"/>
        </w:rPr>
        <w:t xml:space="preserve">n fact, </w:t>
      </w:r>
      <w:r w:rsidR="00113240" w:rsidRPr="00C86440">
        <w:rPr>
          <w:sz w:val="24"/>
        </w:rPr>
        <w:t>the certified card</w:t>
      </w:r>
      <w:r w:rsidR="00036CCC" w:rsidRPr="00C86440">
        <w:rPr>
          <w:sz w:val="24"/>
        </w:rPr>
        <w:t xml:space="preserve"> notes that a signature is “not dated” for receipt of Order 02. </w:t>
      </w:r>
      <w:r w:rsidR="00C86440" w:rsidRPr="00C86440">
        <w:rPr>
          <w:sz w:val="24"/>
        </w:rPr>
        <w:t xml:space="preserve">Blessed Limo has, therefore, failed to meet its burden to show good cause. </w:t>
      </w:r>
    </w:p>
    <w:p w14:paraId="68D652AD" w14:textId="52BE50D3" w:rsidR="008F2014"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C86440">
        <w:rPr>
          <w:sz w:val="24"/>
        </w:rPr>
        <w:t>The certified card</w:t>
      </w:r>
      <w:r w:rsidR="00036CCC">
        <w:rPr>
          <w:sz w:val="24"/>
        </w:rPr>
        <w:t xml:space="preserve"> also clearly states that the old address </w:t>
      </w:r>
      <w:r w:rsidR="00113240">
        <w:rPr>
          <w:sz w:val="24"/>
        </w:rPr>
        <w:t>for</w:t>
      </w:r>
      <w:r w:rsidR="00036CCC">
        <w:rPr>
          <w:sz w:val="24"/>
        </w:rPr>
        <w:t xml:space="preserve"> Blessed Limo was updated with the address in Fife, WA provided by Mr. Clussie Bagby at the brief adjudicative hearing on November 19, 2015.</w:t>
      </w:r>
      <w:r w:rsidR="005E79D1">
        <w:rPr>
          <w:sz w:val="24"/>
        </w:rPr>
        <w:t xml:space="preserve"> Additionally, the Company’s updated address in Fife, WA</w:t>
      </w:r>
      <w:r w:rsidR="00C86440">
        <w:rPr>
          <w:sz w:val="24"/>
        </w:rPr>
        <w:t xml:space="preserve"> is also the address where O</w:t>
      </w:r>
      <w:r w:rsidR="00042C7D">
        <w:rPr>
          <w:sz w:val="24"/>
        </w:rPr>
        <w:t>rder 01</w:t>
      </w:r>
      <w:r w:rsidR="003353D1">
        <w:rPr>
          <w:sz w:val="24"/>
        </w:rPr>
        <w:t>in Docket TE-151667, the Order Instituting Special Proceeding; Complaint Seeking to Impose Penalties and Notice of Brief Adjudicative Proceeding</w:t>
      </w:r>
      <w:r w:rsidR="003353D1">
        <w:rPr>
          <w:rStyle w:val="FootnoteReference"/>
          <w:sz w:val="24"/>
        </w:rPr>
        <w:footnoteReference w:id="3"/>
      </w:r>
      <w:r w:rsidR="003353D1">
        <w:rPr>
          <w:sz w:val="24"/>
        </w:rPr>
        <w:t xml:space="preserve"> </w:t>
      </w:r>
      <w:r w:rsidR="005E79D1">
        <w:rPr>
          <w:sz w:val="24"/>
        </w:rPr>
        <w:t xml:space="preserve">was served and evidence </w:t>
      </w:r>
      <w:r w:rsidR="00D03CE8">
        <w:rPr>
          <w:sz w:val="24"/>
        </w:rPr>
        <w:t>of</w:t>
      </w:r>
      <w:r w:rsidR="005E79D1">
        <w:rPr>
          <w:sz w:val="24"/>
        </w:rPr>
        <w:t xml:space="preserve"> this fact was presented at hearing and was accepted as Exhibit PS</w:t>
      </w:r>
      <w:r w:rsidR="003353D1">
        <w:rPr>
          <w:sz w:val="24"/>
        </w:rPr>
        <w:noBreakHyphen/>
      </w:r>
      <w:r w:rsidR="005E79D1">
        <w:rPr>
          <w:sz w:val="24"/>
        </w:rPr>
        <w:t>16.</w:t>
      </w:r>
      <w:r w:rsidR="005E79D1">
        <w:rPr>
          <w:rStyle w:val="FootnoteReference"/>
          <w:sz w:val="24"/>
        </w:rPr>
        <w:footnoteReference w:id="4"/>
      </w:r>
      <w:r w:rsidR="005E79D1">
        <w:rPr>
          <w:sz w:val="24"/>
        </w:rPr>
        <w:t xml:space="preserve"> </w:t>
      </w:r>
      <w:r w:rsidR="00651048">
        <w:rPr>
          <w:sz w:val="24"/>
        </w:rPr>
        <w:t xml:space="preserve">This shows that Staff, and the Commission, have </w:t>
      </w:r>
      <w:r w:rsidR="00C86440">
        <w:rPr>
          <w:sz w:val="24"/>
        </w:rPr>
        <w:t>known</w:t>
      </w:r>
      <w:r w:rsidR="005E79D1">
        <w:rPr>
          <w:sz w:val="24"/>
        </w:rPr>
        <w:t xml:space="preserve"> where </w:t>
      </w:r>
      <w:r w:rsidR="00C86440">
        <w:rPr>
          <w:sz w:val="24"/>
        </w:rPr>
        <w:t>to serve</w:t>
      </w:r>
      <w:r w:rsidR="005E79D1">
        <w:rPr>
          <w:sz w:val="24"/>
        </w:rPr>
        <w:t xml:space="preserve"> the Company from the outset of this matter.</w:t>
      </w:r>
    </w:p>
    <w:p w14:paraId="68D652AF" w14:textId="6AE6B75C" w:rsidR="005E79D1"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5E79D1" w:rsidRPr="00B92E8F">
        <w:rPr>
          <w:bCs/>
          <w:sz w:val="24"/>
        </w:rPr>
        <w:t>Regarding</w:t>
      </w:r>
      <w:r w:rsidR="005E79D1">
        <w:rPr>
          <w:sz w:val="24"/>
        </w:rPr>
        <w:t xml:space="preserve"> Blessed Limo’s arguments in its Petition for Administrative Revi</w:t>
      </w:r>
      <w:r w:rsidR="008F0F20">
        <w:rPr>
          <w:sz w:val="24"/>
        </w:rPr>
        <w:t>ew, Staff presents its position</w:t>
      </w:r>
      <w:r w:rsidR="005E79D1">
        <w:rPr>
          <w:sz w:val="24"/>
        </w:rPr>
        <w:t xml:space="preserve"> on the issues in Paragraphs 1</w:t>
      </w:r>
      <w:r w:rsidR="00C86440">
        <w:rPr>
          <w:sz w:val="24"/>
        </w:rPr>
        <w:t>1</w:t>
      </w:r>
      <w:r w:rsidR="005E79D1">
        <w:rPr>
          <w:sz w:val="24"/>
        </w:rPr>
        <w:t xml:space="preserve"> </w:t>
      </w:r>
      <w:r w:rsidR="009C2CC0">
        <w:rPr>
          <w:sz w:val="24"/>
        </w:rPr>
        <w:t>–</w:t>
      </w:r>
      <w:r w:rsidR="005E79D1">
        <w:rPr>
          <w:sz w:val="24"/>
        </w:rPr>
        <w:t xml:space="preserve"> </w:t>
      </w:r>
      <w:r w:rsidR="008048A5">
        <w:rPr>
          <w:sz w:val="24"/>
        </w:rPr>
        <w:t>1</w:t>
      </w:r>
      <w:r w:rsidR="00C86440">
        <w:rPr>
          <w:sz w:val="24"/>
        </w:rPr>
        <w:t>8</w:t>
      </w:r>
      <w:r w:rsidR="005E79D1">
        <w:rPr>
          <w:sz w:val="24"/>
        </w:rPr>
        <w:t>, below.</w:t>
      </w:r>
    </w:p>
    <w:p w14:paraId="68D652B0" w14:textId="6E7F3FB9" w:rsidR="005E79D1"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5E79D1">
        <w:rPr>
          <w:sz w:val="24"/>
        </w:rPr>
        <w:t>Blessed Limo argues that it was denied basic due process when it was forced to proceed without c</w:t>
      </w:r>
      <w:r w:rsidR="00651048">
        <w:rPr>
          <w:sz w:val="24"/>
        </w:rPr>
        <w:t xml:space="preserve">ounsel. Staff disagrees. </w:t>
      </w:r>
      <w:r w:rsidR="00296E7C">
        <w:rPr>
          <w:sz w:val="24"/>
        </w:rPr>
        <w:t xml:space="preserve">Blessed Limo was given notice and afforded an </w:t>
      </w:r>
      <w:r w:rsidR="00296E7C">
        <w:rPr>
          <w:sz w:val="24"/>
        </w:rPr>
        <w:lastRenderedPageBreak/>
        <w:t xml:space="preserve">opportunity to be heard. </w:t>
      </w:r>
      <w:r w:rsidR="00A86085">
        <w:rPr>
          <w:sz w:val="24"/>
        </w:rPr>
        <w:t xml:space="preserve">Order 01 </w:t>
      </w:r>
      <w:r w:rsidR="00651048">
        <w:rPr>
          <w:sz w:val="24"/>
        </w:rPr>
        <w:t xml:space="preserve">was served upon </w:t>
      </w:r>
      <w:r w:rsidR="006B6168">
        <w:rPr>
          <w:sz w:val="24"/>
        </w:rPr>
        <w:t>Clussie</w:t>
      </w:r>
      <w:r w:rsidR="00651048">
        <w:rPr>
          <w:sz w:val="24"/>
        </w:rPr>
        <w:t xml:space="preserve"> Bagby on October 27, 2015</w:t>
      </w:r>
      <w:r w:rsidR="00A86085">
        <w:rPr>
          <w:sz w:val="24"/>
        </w:rPr>
        <w:t xml:space="preserve">, and the declaration of service </w:t>
      </w:r>
      <w:r w:rsidR="003353D1">
        <w:rPr>
          <w:sz w:val="24"/>
        </w:rPr>
        <w:t>of Order 01</w:t>
      </w:r>
      <w:r w:rsidR="00A86085">
        <w:rPr>
          <w:sz w:val="24"/>
        </w:rPr>
        <w:t xml:space="preserve"> was admitted at hearing as Exhibit PS-16</w:t>
      </w:r>
      <w:r w:rsidR="00651048">
        <w:rPr>
          <w:sz w:val="24"/>
        </w:rPr>
        <w:t>.</w:t>
      </w:r>
      <w:r w:rsidR="00A86085">
        <w:rPr>
          <w:rStyle w:val="FootnoteReference"/>
          <w:sz w:val="24"/>
        </w:rPr>
        <w:footnoteReference w:id="5"/>
      </w:r>
      <w:r w:rsidR="00651048">
        <w:rPr>
          <w:sz w:val="24"/>
        </w:rPr>
        <w:t xml:space="preserve"> </w:t>
      </w:r>
      <w:r w:rsidR="002C6FE4">
        <w:rPr>
          <w:sz w:val="24"/>
        </w:rPr>
        <w:t>Order 01</w:t>
      </w:r>
      <w:r w:rsidR="00651048">
        <w:rPr>
          <w:sz w:val="24"/>
        </w:rPr>
        <w:t xml:space="preserve"> </w:t>
      </w:r>
      <w:r w:rsidR="002C6FE4">
        <w:rPr>
          <w:sz w:val="24"/>
        </w:rPr>
        <w:t xml:space="preserve">prominently </w:t>
      </w:r>
      <w:r w:rsidR="00651048">
        <w:rPr>
          <w:sz w:val="24"/>
        </w:rPr>
        <w:t xml:space="preserve">provided </w:t>
      </w:r>
      <w:r w:rsidR="003353D1">
        <w:rPr>
          <w:sz w:val="24"/>
        </w:rPr>
        <w:t>November 19, 2015</w:t>
      </w:r>
      <w:r w:rsidR="00800FA1">
        <w:rPr>
          <w:sz w:val="24"/>
        </w:rPr>
        <w:t>,</w:t>
      </w:r>
      <w:r w:rsidR="003353D1">
        <w:rPr>
          <w:sz w:val="24"/>
        </w:rPr>
        <w:t xml:space="preserve"> as </w:t>
      </w:r>
      <w:r w:rsidR="00651048">
        <w:rPr>
          <w:sz w:val="24"/>
        </w:rPr>
        <w:t>the date for the brie</w:t>
      </w:r>
      <w:r w:rsidR="003353D1">
        <w:rPr>
          <w:sz w:val="24"/>
        </w:rPr>
        <w:t xml:space="preserve">f adjudicative proceeding (BAP). Blessed Limo </w:t>
      </w:r>
      <w:r w:rsidR="00651048">
        <w:rPr>
          <w:sz w:val="24"/>
        </w:rPr>
        <w:t xml:space="preserve">had notice and was afforded sufficient time to retain an attorney to represent it in this matter, but Blessed Limo chose not to </w:t>
      </w:r>
      <w:r w:rsidR="003D5E60">
        <w:rPr>
          <w:sz w:val="24"/>
        </w:rPr>
        <w:t xml:space="preserve">retain counsel </w:t>
      </w:r>
      <w:r w:rsidR="00296E7C">
        <w:rPr>
          <w:sz w:val="24"/>
        </w:rPr>
        <w:t>or</w:t>
      </w:r>
      <w:r w:rsidR="003D5E60">
        <w:rPr>
          <w:sz w:val="24"/>
        </w:rPr>
        <w:t xml:space="preserve"> </w:t>
      </w:r>
      <w:r w:rsidR="00651048">
        <w:rPr>
          <w:sz w:val="24"/>
        </w:rPr>
        <w:t xml:space="preserve">have </w:t>
      </w:r>
      <w:r w:rsidR="00296E7C">
        <w:rPr>
          <w:sz w:val="24"/>
        </w:rPr>
        <w:t>any</w:t>
      </w:r>
      <w:r w:rsidR="003D5E60">
        <w:rPr>
          <w:sz w:val="24"/>
        </w:rPr>
        <w:t xml:space="preserve"> counsel</w:t>
      </w:r>
      <w:r w:rsidR="00651048">
        <w:rPr>
          <w:sz w:val="24"/>
        </w:rPr>
        <w:t xml:space="preserve"> present on November 19, 2015</w:t>
      </w:r>
      <w:r w:rsidR="00800FA1">
        <w:rPr>
          <w:sz w:val="24"/>
        </w:rPr>
        <w:t>,</w:t>
      </w:r>
      <w:r w:rsidR="00651048">
        <w:rPr>
          <w:sz w:val="24"/>
        </w:rPr>
        <w:t xml:space="preserve"> at the BAP.</w:t>
      </w:r>
      <w:r w:rsidR="00296E7C">
        <w:rPr>
          <w:rStyle w:val="FootnoteReference"/>
          <w:sz w:val="24"/>
        </w:rPr>
        <w:footnoteReference w:id="6"/>
      </w:r>
      <w:r w:rsidR="00651048">
        <w:rPr>
          <w:sz w:val="24"/>
        </w:rPr>
        <w:t xml:space="preserve"> In light of these facts, the decision by the ALJ to deny Blessed Limo’s motion for a continuance did not deny due process to </w:t>
      </w:r>
      <w:r w:rsidR="00296E7C">
        <w:rPr>
          <w:sz w:val="24"/>
        </w:rPr>
        <w:t>the Company</w:t>
      </w:r>
      <w:r w:rsidR="00651048">
        <w:rPr>
          <w:sz w:val="24"/>
        </w:rPr>
        <w:t>.</w:t>
      </w:r>
    </w:p>
    <w:p w14:paraId="68D652B1" w14:textId="2D60AD89" w:rsidR="00651048"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651048">
        <w:rPr>
          <w:sz w:val="24"/>
        </w:rPr>
        <w:t xml:space="preserve">Staff </w:t>
      </w:r>
      <w:r w:rsidR="00651048" w:rsidRPr="00B92E8F">
        <w:rPr>
          <w:bCs/>
          <w:sz w:val="24"/>
        </w:rPr>
        <w:t>disagrees</w:t>
      </w:r>
      <w:r w:rsidR="00651048">
        <w:rPr>
          <w:sz w:val="24"/>
        </w:rPr>
        <w:t xml:space="preserve"> with any implication in Blessed Limo’s petition that the BAP was unfair to Blessed Limo. Its petition characterizes the BAP as having a “rough start,” </w:t>
      </w:r>
      <w:r w:rsidR="006B6168">
        <w:rPr>
          <w:sz w:val="24"/>
        </w:rPr>
        <w:t xml:space="preserve">as not being “meaningful” to Mr. Bagby, and </w:t>
      </w:r>
      <w:r w:rsidR="00522E27">
        <w:rPr>
          <w:sz w:val="24"/>
        </w:rPr>
        <w:t xml:space="preserve">becoming </w:t>
      </w:r>
      <w:r w:rsidR="006B6168">
        <w:rPr>
          <w:sz w:val="24"/>
        </w:rPr>
        <w:t>“increasingly terse.” Staff’s position is that any perceived roughness or terseness in the hearing was a direct result of Blessed Limo’s uncooperative interactio</w:t>
      </w:r>
      <w:r w:rsidR="00296E7C">
        <w:rPr>
          <w:sz w:val="24"/>
        </w:rPr>
        <w:t>ns with the ALJ during the BAP.</w:t>
      </w:r>
    </w:p>
    <w:p w14:paraId="68D652B2" w14:textId="6FA970B9" w:rsidR="006B6168"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550042">
        <w:rPr>
          <w:sz w:val="24"/>
        </w:rPr>
        <w:t xml:space="preserve">The petition </w:t>
      </w:r>
      <w:r w:rsidR="00550042" w:rsidRPr="00B92E8F">
        <w:rPr>
          <w:bCs/>
          <w:sz w:val="24"/>
        </w:rPr>
        <w:t>also</w:t>
      </w:r>
      <w:r w:rsidR="00550042">
        <w:rPr>
          <w:sz w:val="24"/>
        </w:rPr>
        <w:t xml:space="preserve"> complains of</w:t>
      </w:r>
      <w:r w:rsidR="006B6168">
        <w:rPr>
          <w:sz w:val="24"/>
        </w:rPr>
        <w:t xml:space="preserve"> the ALJ’s admission of exhibits into evidence “</w:t>
      </w:r>
      <w:r w:rsidR="006B6168">
        <w:rPr>
          <w:i/>
          <w:sz w:val="24"/>
        </w:rPr>
        <w:t>before commission counsel even sought to have them admitted</w:t>
      </w:r>
      <w:r w:rsidR="006B6168">
        <w:rPr>
          <w:sz w:val="24"/>
        </w:rPr>
        <w:t>.”</w:t>
      </w:r>
      <w:r w:rsidR="006B6168">
        <w:rPr>
          <w:rStyle w:val="FootnoteReference"/>
          <w:sz w:val="24"/>
        </w:rPr>
        <w:footnoteReference w:id="7"/>
      </w:r>
      <w:r w:rsidR="006B6168">
        <w:rPr>
          <w:sz w:val="24"/>
        </w:rPr>
        <w:t xml:space="preserve"> </w:t>
      </w:r>
      <w:r w:rsidR="00550042">
        <w:rPr>
          <w:sz w:val="24"/>
        </w:rPr>
        <w:t>This issue</w:t>
      </w:r>
      <w:r w:rsidR="006B6168">
        <w:rPr>
          <w:sz w:val="24"/>
        </w:rPr>
        <w:t xml:space="preserve"> arises from </w:t>
      </w:r>
      <w:r w:rsidR="00550042">
        <w:rPr>
          <w:sz w:val="24"/>
        </w:rPr>
        <w:t xml:space="preserve">Blessed Limo’s </w:t>
      </w:r>
      <w:r w:rsidR="006B6168">
        <w:rPr>
          <w:sz w:val="24"/>
        </w:rPr>
        <w:t>misunderstanding of the Commission’s procedural rules. WAC 480-07-495 states that “All relevant evidence is admissible if the presiding officer believes it is the best evidence reasonably obtainable, considering its necessity, availability, and trustworthiness. The presiding officer will consider, but is not required to follow, the rules of evidence governing general civil proceedings. . . .” During this BAP, the ALJ</w:t>
      </w:r>
      <w:r w:rsidR="00B75F6B">
        <w:rPr>
          <w:sz w:val="24"/>
        </w:rPr>
        <w:t>, as the presiding officer,</w:t>
      </w:r>
      <w:r w:rsidR="006B6168">
        <w:rPr>
          <w:sz w:val="24"/>
        </w:rPr>
        <w:t xml:space="preserve"> admitted groups of related exhibits after hearing testimony from Staff </w:t>
      </w:r>
      <w:r w:rsidR="00B75F6B">
        <w:rPr>
          <w:sz w:val="24"/>
        </w:rPr>
        <w:t xml:space="preserve">and Blessed Limo </w:t>
      </w:r>
      <w:r w:rsidR="006B6168">
        <w:rPr>
          <w:sz w:val="24"/>
        </w:rPr>
        <w:t>regardin</w:t>
      </w:r>
      <w:r w:rsidR="00B75F6B">
        <w:rPr>
          <w:sz w:val="24"/>
        </w:rPr>
        <w:t xml:space="preserve">g </w:t>
      </w:r>
      <w:r w:rsidR="00B07A65">
        <w:rPr>
          <w:sz w:val="24"/>
        </w:rPr>
        <w:t>their</w:t>
      </w:r>
      <w:r w:rsidR="00B75F6B">
        <w:rPr>
          <w:sz w:val="24"/>
        </w:rPr>
        <w:t xml:space="preserve"> relevance and trustworthiness. The ALJ </w:t>
      </w:r>
      <w:r w:rsidR="00B07A65">
        <w:rPr>
          <w:sz w:val="24"/>
        </w:rPr>
        <w:t>exercised</w:t>
      </w:r>
      <w:r w:rsidR="00B75F6B">
        <w:rPr>
          <w:sz w:val="24"/>
        </w:rPr>
        <w:t xml:space="preserve"> her discretion to admit </w:t>
      </w:r>
      <w:r w:rsidR="00B75F6B">
        <w:rPr>
          <w:sz w:val="24"/>
        </w:rPr>
        <w:lastRenderedPageBreak/>
        <w:t xml:space="preserve">Exhibits PS-8 through PS-10 after Blessed Limo indicated </w:t>
      </w:r>
      <w:r w:rsidR="00E246DD">
        <w:rPr>
          <w:sz w:val="24"/>
        </w:rPr>
        <w:t xml:space="preserve">during the presentation of Exhibit PS-7 </w:t>
      </w:r>
      <w:r w:rsidR="00B75F6B">
        <w:rPr>
          <w:sz w:val="24"/>
        </w:rPr>
        <w:t>that the exhibits of its website were, in fact, printouts of its website.</w:t>
      </w:r>
      <w:r w:rsidR="00B75F6B">
        <w:rPr>
          <w:rStyle w:val="FootnoteReference"/>
          <w:sz w:val="24"/>
        </w:rPr>
        <w:footnoteReference w:id="8"/>
      </w:r>
      <w:r w:rsidR="00B75F6B">
        <w:rPr>
          <w:sz w:val="24"/>
        </w:rPr>
        <w:t xml:space="preserve"> The ALJ appropriately </w:t>
      </w:r>
      <w:r w:rsidR="00B07A65">
        <w:rPr>
          <w:sz w:val="24"/>
        </w:rPr>
        <w:t>exercised</w:t>
      </w:r>
      <w:r w:rsidR="00B75F6B">
        <w:rPr>
          <w:sz w:val="24"/>
        </w:rPr>
        <w:t xml:space="preserve"> her discretion in similar fashion regarding Exhibits PS-12</w:t>
      </w:r>
      <w:r w:rsidR="00B75F6B">
        <w:rPr>
          <w:rStyle w:val="FootnoteReference"/>
          <w:sz w:val="24"/>
        </w:rPr>
        <w:footnoteReference w:id="9"/>
      </w:r>
      <w:r w:rsidR="00B75F6B">
        <w:rPr>
          <w:sz w:val="24"/>
        </w:rPr>
        <w:t xml:space="preserve"> and PS</w:t>
      </w:r>
      <w:r w:rsidR="00B07A65">
        <w:rPr>
          <w:sz w:val="24"/>
        </w:rPr>
        <w:noBreakHyphen/>
      </w:r>
      <w:r w:rsidR="00B75F6B">
        <w:rPr>
          <w:sz w:val="24"/>
        </w:rPr>
        <w:t>14.</w:t>
      </w:r>
      <w:r w:rsidR="00B75F6B">
        <w:rPr>
          <w:rStyle w:val="FootnoteReference"/>
          <w:sz w:val="24"/>
        </w:rPr>
        <w:footnoteReference w:id="10"/>
      </w:r>
    </w:p>
    <w:p w14:paraId="68D652B3" w14:textId="4DCE3155" w:rsidR="00B75F6B"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B75F6B">
        <w:rPr>
          <w:sz w:val="24"/>
        </w:rPr>
        <w:t xml:space="preserve">In its </w:t>
      </w:r>
      <w:r w:rsidR="00B75F6B" w:rsidRPr="00B92E8F">
        <w:rPr>
          <w:bCs/>
          <w:sz w:val="24"/>
        </w:rPr>
        <w:t>Petition</w:t>
      </w:r>
      <w:r w:rsidR="00B75F6B">
        <w:rPr>
          <w:sz w:val="24"/>
        </w:rPr>
        <w:t xml:space="preserve"> for Administrative Review, Blessed Limo </w:t>
      </w:r>
      <w:r w:rsidR="00B07A65">
        <w:rPr>
          <w:sz w:val="24"/>
        </w:rPr>
        <w:t>reveals</w:t>
      </w:r>
      <w:r w:rsidR="00B75F6B">
        <w:rPr>
          <w:sz w:val="24"/>
        </w:rPr>
        <w:t xml:space="preserve"> a misunderstanding of the law. Blessed Limo does not deny the under</w:t>
      </w:r>
      <w:r w:rsidR="00E246DD">
        <w:rPr>
          <w:sz w:val="24"/>
        </w:rPr>
        <w:t>lying</w:t>
      </w:r>
      <w:r w:rsidR="00B75F6B">
        <w:rPr>
          <w:sz w:val="24"/>
        </w:rPr>
        <w:t xml:space="preserve"> facts that establish its violation</w:t>
      </w:r>
      <w:r w:rsidR="007E21E0">
        <w:rPr>
          <w:sz w:val="24"/>
        </w:rPr>
        <w:t>s</w:t>
      </w:r>
      <w:r w:rsidR="00B75F6B">
        <w:rPr>
          <w:sz w:val="24"/>
        </w:rPr>
        <w:t xml:space="preserve"> (that it has advertised and offered service as a charter party and excursion carrier without a UTC certificate)</w:t>
      </w:r>
      <w:r w:rsidR="007E21E0">
        <w:rPr>
          <w:sz w:val="24"/>
        </w:rPr>
        <w:t xml:space="preserve">, but mistakenly claims that if it does not own any vehicles it cannot be in violation of the law. First, Blessed Limo presented no evidence to show that it does not own any </w:t>
      </w:r>
      <w:r w:rsidR="00B07A65">
        <w:rPr>
          <w:sz w:val="24"/>
        </w:rPr>
        <w:t xml:space="preserve">of the </w:t>
      </w:r>
      <w:r w:rsidR="007E21E0">
        <w:rPr>
          <w:sz w:val="24"/>
        </w:rPr>
        <w:t xml:space="preserve">vehicles for which it was advertising and offering service, and evidence was presented </w:t>
      </w:r>
      <w:r w:rsidR="00B07A65">
        <w:rPr>
          <w:sz w:val="24"/>
        </w:rPr>
        <w:t>suggesting</w:t>
      </w:r>
      <w:r w:rsidR="00376E4A">
        <w:rPr>
          <w:sz w:val="24"/>
        </w:rPr>
        <w:t xml:space="preserve"> that</w:t>
      </w:r>
      <w:r w:rsidR="007E21E0">
        <w:rPr>
          <w:sz w:val="24"/>
        </w:rPr>
        <w:t xml:space="preserve"> Blessed Limo may own such vehicles.</w:t>
      </w:r>
      <w:r w:rsidR="007E21E0">
        <w:rPr>
          <w:rStyle w:val="FootnoteReference"/>
          <w:sz w:val="24"/>
        </w:rPr>
        <w:footnoteReference w:id="11"/>
      </w:r>
      <w:r w:rsidR="007E21E0">
        <w:rPr>
          <w:sz w:val="24"/>
        </w:rPr>
        <w:t xml:space="preserve"> Second, </w:t>
      </w:r>
      <w:r w:rsidR="006C6A41">
        <w:rPr>
          <w:sz w:val="24"/>
        </w:rPr>
        <w:t>as accurately cited in Order 02,</w:t>
      </w:r>
      <w:r w:rsidR="006C6A41">
        <w:rPr>
          <w:rStyle w:val="FootnoteReference"/>
          <w:sz w:val="24"/>
        </w:rPr>
        <w:footnoteReference w:id="12"/>
      </w:r>
      <w:r w:rsidR="006C6A41">
        <w:rPr>
          <w:sz w:val="24"/>
        </w:rPr>
        <w:t xml:space="preserve"> </w:t>
      </w:r>
      <w:r w:rsidR="007E21E0">
        <w:rPr>
          <w:sz w:val="24"/>
        </w:rPr>
        <w:t>RCW 81.70.220(1) clearly states that “No person may [advertise or solicit, offer, or enter into an agreement to provide the service of a] charter party carrier or excursion service carrier of passengers . . . without first having obtained a certificate from the commission to do so. . . .” A carrier can violate this law without owning a vehicle by advertising, “offering, or entering into an agreement to provide such service.”</w:t>
      </w:r>
      <w:r w:rsidR="007E21E0">
        <w:rPr>
          <w:rStyle w:val="FootnoteReference"/>
          <w:sz w:val="24"/>
        </w:rPr>
        <w:footnoteReference w:id="13"/>
      </w:r>
      <w:r w:rsidR="007E21E0">
        <w:rPr>
          <w:sz w:val="24"/>
        </w:rPr>
        <w:t xml:space="preserve"> Order 02 clearly presents the ALJ’s determination that Blessed Limo violated this applicable statute </w:t>
      </w:r>
      <w:r w:rsidR="001A017E">
        <w:rPr>
          <w:sz w:val="24"/>
        </w:rPr>
        <w:t>on</w:t>
      </w:r>
      <w:r w:rsidR="007E21E0">
        <w:rPr>
          <w:sz w:val="24"/>
        </w:rPr>
        <w:t xml:space="preserve"> four instances.</w:t>
      </w:r>
      <w:r w:rsidR="007E21E0">
        <w:rPr>
          <w:rStyle w:val="FootnoteReference"/>
          <w:sz w:val="24"/>
        </w:rPr>
        <w:footnoteReference w:id="14"/>
      </w:r>
    </w:p>
    <w:p w14:paraId="68D652B4" w14:textId="69B177A7" w:rsidR="001A017E" w:rsidRPr="004040DF"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lastRenderedPageBreak/>
        <w:tab/>
      </w:r>
      <w:r w:rsidR="001A017E" w:rsidRPr="004040DF">
        <w:rPr>
          <w:sz w:val="24"/>
        </w:rPr>
        <w:t xml:space="preserve">Blessed Limo also </w:t>
      </w:r>
      <w:r w:rsidR="00B07A65">
        <w:rPr>
          <w:sz w:val="24"/>
        </w:rPr>
        <w:t>argues</w:t>
      </w:r>
      <w:r w:rsidR="001A017E" w:rsidRPr="004040DF">
        <w:rPr>
          <w:sz w:val="24"/>
        </w:rPr>
        <w:t xml:space="preserve"> that the ALJ should not have been permitted to impose $20,000 in penalties on Blessed Limo.</w:t>
      </w:r>
      <w:r w:rsidR="001A017E">
        <w:rPr>
          <w:rStyle w:val="FootnoteReference"/>
          <w:sz w:val="24"/>
        </w:rPr>
        <w:footnoteReference w:id="15"/>
      </w:r>
      <w:r w:rsidR="001A017E" w:rsidRPr="004040DF">
        <w:rPr>
          <w:sz w:val="24"/>
        </w:rPr>
        <w:t xml:space="preserve"> Staff disagrees.</w:t>
      </w:r>
      <w:r w:rsidR="004040DF">
        <w:rPr>
          <w:sz w:val="24"/>
        </w:rPr>
        <w:t xml:space="preserve"> </w:t>
      </w:r>
      <w:r w:rsidR="001A017E" w:rsidRPr="004040DF">
        <w:rPr>
          <w:sz w:val="24"/>
        </w:rPr>
        <w:t xml:space="preserve">First, </w:t>
      </w:r>
      <w:r w:rsidR="007E54E9" w:rsidRPr="004040DF">
        <w:rPr>
          <w:sz w:val="24"/>
        </w:rPr>
        <w:t xml:space="preserve">Blessed Limo had notice that the </w:t>
      </w:r>
      <w:r w:rsidR="006C768E">
        <w:rPr>
          <w:sz w:val="24"/>
        </w:rPr>
        <w:t>C</w:t>
      </w:r>
      <w:r w:rsidR="007E54E9" w:rsidRPr="004040DF">
        <w:rPr>
          <w:sz w:val="24"/>
        </w:rPr>
        <w:t xml:space="preserve">ommission could impose penalties of up to $20,000. </w:t>
      </w:r>
      <w:r w:rsidR="001A017E" w:rsidRPr="004040DF">
        <w:rPr>
          <w:sz w:val="24"/>
        </w:rPr>
        <w:t>Order 01</w:t>
      </w:r>
      <w:r w:rsidR="00B07A65">
        <w:rPr>
          <w:sz w:val="24"/>
        </w:rPr>
        <w:t xml:space="preserve"> of this docket</w:t>
      </w:r>
      <w:r w:rsidR="001A017E" w:rsidRPr="004040DF">
        <w:rPr>
          <w:sz w:val="24"/>
        </w:rPr>
        <w:t xml:space="preserve"> cites the applicable RCW 81.70.220 and states that “the Commission may impose financial penalties of up to $5,000 for each violation.”</w:t>
      </w:r>
      <w:r w:rsidR="001A017E">
        <w:rPr>
          <w:rStyle w:val="FootnoteReference"/>
          <w:sz w:val="24"/>
        </w:rPr>
        <w:footnoteReference w:id="16"/>
      </w:r>
      <w:r w:rsidR="001A017E" w:rsidRPr="004040DF">
        <w:rPr>
          <w:sz w:val="24"/>
        </w:rPr>
        <w:t xml:space="preserve"> Four violations are </w:t>
      </w:r>
      <w:r w:rsidR="00B07A65">
        <w:rPr>
          <w:sz w:val="24"/>
        </w:rPr>
        <w:t>alleged</w:t>
      </w:r>
      <w:r w:rsidR="001A017E" w:rsidRPr="004040DF">
        <w:rPr>
          <w:sz w:val="24"/>
        </w:rPr>
        <w:t xml:space="preserve"> in the </w:t>
      </w:r>
      <w:r w:rsidR="00B07A65">
        <w:rPr>
          <w:sz w:val="24"/>
        </w:rPr>
        <w:t>Order 01</w:t>
      </w:r>
      <w:r w:rsidR="001A017E" w:rsidRPr="004040DF">
        <w:rPr>
          <w:sz w:val="24"/>
        </w:rPr>
        <w:t>.</w:t>
      </w:r>
      <w:r w:rsidR="001A017E">
        <w:rPr>
          <w:rStyle w:val="FootnoteReference"/>
          <w:sz w:val="24"/>
        </w:rPr>
        <w:footnoteReference w:id="17"/>
      </w:r>
      <w:r w:rsidR="007E54E9" w:rsidRPr="004040DF">
        <w:rPr>
          <w:sz w:val="24"/>
        </w:rPr>
        <w:t xml:space="preserve"> </w:t>
      </w:r>
    </w:p>
    <w:p w14:paraId="68D652B5" w14:textId="4E1BF94D" w:rsidR="007E54E9"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7E54E9">
        <w:rPr>
          <w:sz w:val="24"/>
        </w:rPr>
        <w:t xml:space="preserve">Second, despite Staff’s recommendation </w:t>
      </w:r>
      <w:r w:rsidR="004040DF">
        <w:rPr>
          <w:sz w:val="24"/>
        </w:rPr>
        <w:t xml:space="preserve">of penalties </w:t>
      </w:r>
      <w:r w:rsidR="007E54E9">
        <w:rPr>
          <w:sz w:val="24"/>
        </w:rPr>
        <w:t xml:space="preserve">at hearing, the </w:t>
      </w:r>
      <w:r w:rsidR="00254CD6">
        <w:rPr>
          <w:sz w:val="24"/>
        </w:rPr>
        <w:t xml:space="preserve">presiding officer or </w:t>
      </w:r>
      <w:r w:rsidR="004A078A">
        <w:rPr>
          <w:sz w:val="24"/>
        </w:rPr>
        <w:t xml:space="preserve">the </w:t>
      </w:r>
      <w:r w:rsidR="007E54E9" w:rsidRPr="00B92E8F">
        <w:rPr>
          <w:bCs/>
          <w:sz w:val="24"/>
        </w:rPr>
        <w:t>Commission</w:t>
      </w:r>
      <w:r w:rsidR="007E54E9">
        <w:rPr>
          <w:sz w:val="24"/>
        </w:rPr>
        <w:t xml:space="preserve"> makes the final determination of penalty amount and has the discretion to deviate from any that Staff</w:t>
      </w:r>
      <w:r w:rsidR="00254CD6">
        <w:rPr>
          <w:sz w:val="24"/>
        </w:rPr>
        <w:t>, who participates in a hearing like any other party,</w:t>
      </w:r>
      <w:r w:rsidR="007E54E9">
        <w:rPr>
          <w:sz w:val="24"/>
        </w:rPr>
        <w:t xml:space="preserve"> may recommend.</w:t>
      </w:r>
      <w:r w:rsidR="007E54E9">
        <w:rPr>
          <w:rStyle w:val="FootnoteReference"/>
          <w:sz w:val="24"/>
        </w:rPr>
        <w:footnoteReference w:id="18"/>
      </w:r>
      <w:r w:rsidR="007E54E9">
        <w:rPr>
          <w:sz w:val="24"/>
        </w:rPr>
        <w:t xml:space="preserve"> The ALJ in this matter </w:t>
      </w:r>
      <w:r w:rsidR="004A078A">
        <w:rPr>
          <w:sz w:val="24"/>
        </w:rPr>
        <w:t>ennumerated</w:t>
      </w:r>
      <w:r w:rsidR="007E54E9">
        <w:rPr>
          <w:sz w:val="24"/>
        </w:rPr>
        <w:t xml:space="preserve"> the factors contributing to the determination of the level of penalty imposed upon Blessed Limo.</w:t>
      </w:r>
      <w:r w:rsidR="0021152F">
        <w:rPr>
          <w:rStyle w:val="FootnoteReference"/>
          <w:sz w:val="24"/>
        </w:rPr>
        <w:footnoteReference w:id="19"/>
      </w:r>
      <w:r w:rsidR="007E54E9">
        <w:rPr>
          <w:sz w:val="24"/>
        </w:rPr>
        <w:t xml:space="preserve"> The ALJ </w:t>
      </w:r>
      <w:r w:rsidR="00376E4A">
        <w:rPr>
          <w:sz w:val="24"/>
        </w:rPr>
        <w:t>explained her determination</w:t>
      </w:r>
      <w:r w:rsidR="007E54E9">
        <w:rPr>
          <w:sz w:val="24"/>
        </w:rPr>
        <w:t xml:space="preserve"> that Blessed Limo’s violations</w:t>
      </w:r>
      <w:r w:rsidR="00376E4A">
        <w:rPr>
          <w:sz w:val="24"/>
        </w:rPr>
        <w:t xml:space="preserve"> were unmitigated by these factors and</w:t>
      </w:r>
      <w:r w:rsidR="007E54E9">
        <w:rPr>
          <w:sz w:val="24"/>
        </w:rPr>
        <w:t xml:space="preserve"> were “both intentional and ongoing,” </w:t>
      </w:r>
      <w:r w:rsidR="004040DF">
        <w:rPr>
          <w:sz w:val="24"/>
        </w:rPr>
        <w:t>that the Company was uncooperative and unresponsive, and that the Company failed “to take prompt corrective action.”</w:t>
      </w:r>
      <w:r w:rsidR="004040DF">
        <w:rPr>
          <w:rStyle w:val="FootnoteReference"/>
          <w:sz w:val="24"/>
        </w:rPr>
        <w:footnoteReference w:id="20"/>
      </w:r>
    </w:p>
    <w:p w14:paraId="68D652B6" w14:textId="0878EC94" w:rsidR="004040DF"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4040DF" w:rsidRPr="00B92E8F">
        <w:rPr>
          <w:bCs/>
          <w:sz w:val="24"/>
        </w:rPr>
        <w:t>Blessed</w:t>
      </w:r>
      <w:r w:rsidR="004040DF">
        <w:rPr>
          <w:sz w:val="24"/>
        </w:rPr>
        <w:t xml:space="preserve"> Limo </w:t>
      </w:r>
      <w:r w:rsidR="00B07A65">
        <w:rPr>
          <w:sz w:val="24"/>
        </w:rPr>
        <w:t>additionally argues that Mr. and M</w:t>
      </w:r>
      <w:r w:rsidR="004040DF">
        <w:rPr>
          <w:sz w:val="24"/>
        </w:rPr>
        <w:t xml:space="preserve">s. Bagby should not </w:t>
      </w:r>
      <w:r w:rsidR="008E5504">
        <w:rPr>
          <w:sz w:val="24"/>
        </w:rPr>
        <w:t>be assessed the penalty amount</w:t>
      </w:r>
      <w:r w:rsidR="00E57BB0">
        <w:rPr>
          <w:sz w:val="24"/>
        </w:rPr>
        <w:t xml:space="preserve"> </w:t>
      </w:r>
      <w:r w:rsidR="00BA6E89">
        <w:rPr>
          <w:sz w:val="24"/>
        </w:rPr>
        <w:t>along</w:t>
      </w:r>
      <w:r w:rsidR="00E57BB0">
        <w:rPr>
          <w:sz w:val="24"/>
        </w:rPr>
        <w:t xml:space="preserve"> with the Company</w:t>
      </w:r>
      <w:r w:rsidR="001B3353">
        <w:rPr>
          <w:sz w:val="24"/>
        </w:rPr>
        <w:t xml:space="preserve">, and should not be held jointly and severally liable </w:t>
      </w:r>
      <w:r w:rsidR="00C51F73">
        <w:rPr>
          <w:sz w:val="24"/>
        </w:rPr>
        <w:t xml:space="preserve">with the Company </w:t>
      </w:r>
      <w:r w:rsidR="00C41783">
        <w:rPr>
          <w:sz w:val="24"/>
        </w:rPr>
        <w:t>for the penalty amount</w:t>
      </w:r>
      <w:r w:rsidR="004040DF">
        <w:rPr>
          <w:sz w:val="24"/>
        </w:rPr>
        <w:t>. Staff notes that the Washington State Department of Licensing business license for Blessed Limousine, Inc. was presented and admitted into evidence at the BAP as Exhibit PS-1.</w:t>
      </w:r>
      <w:r w:rsidR="004040DF">
        <w:rPr>
          <w:rStyle w:val="FootnoteReference"/>
          <w:sz w:val="24"/>
        </w:rPr>
        <w:footnoteReference w:id="21"/>
      </w:r>
      <w:r w:rsidR="004040DF">
        <w:rPr>
          <w:sz w:val="24"/>
        </w:rPr>
        <w:t xml:space="preserve"> The owners of </w:t>
      </w:r>
      <w:r w:rsidR="004A01F7">
        <w:rPr>
          <w:sz w:val="24"/>
        </w:rPr>
        <w:t xml:space="preserve">the Company </w:t>
      </w:r>
      <w:r w:rsidR="004040DF">
        <w:rPr>
          <w:sz w:val="24"/>
        </w:rPr>
        <w:t>are Clussie Bagby and Genise Bagby.</w:t>
      </w:r>
      <w:r w:rsidR="004040DF">
        <w:rPr>
          <w:rStyle w:val="FootnoteReference"/>
          <w:sz w:val="24"/>
        </w:rPr>
        <w:footnoteReference w:id="22"/>
      </w:r>
      <w:r w:rsidR="004040DF">
        <w:rPr>
          <w:sz w:val="24"/>
        </w:rPr>
        <w:t xml:space="preserve"> Order 01 addresses the Complaint</w:t>
      </w:r>
      <w:r w:rsidR="000E1C39">
        <w:rPr>
          <w:sz w:val="24"/>
        </w:rPr>
        <w:t xml:space="preserve"> for Penalties against “BLESSED </w:t>
      </w:r>
      <w:r w:rsidR="000E1C39">
        <w:rPr>
          <w:sz w:val="24"/>
        </w:rPr>
        <w:lastRenderedPageBreak/>
        <w:t>LIMOUSINE INC.”</w:t>
      </w:r>
      <w:r w:rsidR="000E1C39">
        <w:rPr>
          <w:rStyle w:val="FootnoteReference"/>
          <w:sz w:val="24"/>
        </w:rPr>
        <w:footnoteReference w:id="23"/>
      </w:r>
      <w:r w:rsidR="000E1C39">
        <w:rPr>
          <w:sz w:val="24"/>
        </w:rPr>
        <w:t xml:space="preserve"> Order 01 identifies Mr. Clussie Bagby as the known representative for Blessed Limo.</w:t>
      </w:r>
      <w:r w:rsidR="000E1C39">
        <w:rPr>
          <w:rStyle w:val="FootnoteReference"/>
          <w:sz w:val="24"/>
        </w:rPr>
        <w:footnoteReference w:id="24"/>
      </w:r>
      <w:r w:rsidR="004A01F7">
        <w:rPr>
          <w:sz w:val="24"/>
        </w:rPr>
        <w:t xml:space="preserve"> </w:t>
      </w:r>
      <w:r w:rsidR="00B028A0">
        <w:rPr>
          <w:sz w:val="24"/>
        </w:rPr>
        <w:t xml:space="preserve">Blessed Limo raises this issue in its petition as a denial of due process. Staff submits that, regarding due process, Mr. Clussie Bagby and Ms. Genise Bagby </w:t>
      </w:r>
      <w:r w:rsidR="00AB6B8D">
        <w:rPr>
          <w:sz w:val="24"/>
        </w:rPr>
        <w:t xml:space="preserve">were </w:t>
      </w:r>
      <w:r w:rsidR="00B028A0">
        <w:rPr>
          <w:sz w:val="24"/>
        </w:rPr>
        <w:t xml:space="preserve">likely </w:t>
      </w:r>
      <w:r w:rsidR="00AB6B8D">
        <w:rPr>
          <w:sz w:val="24"/>
        </w:rPr>
        <w:t xml:space="preserve">uninformed by </w:t>
      </w:r>
      <w:r w:rsidR="004A078A">
        <w:rPr>
          <w:sz w:val="24"/>
        </w:rPr>
        <w:t>Order 01</w:t>
      </w:r>
      <w:r w:rsidR="00B028A0">
        <w:rPr>
          <w:sz w:val="24"/>
        </w:rPr>
        <w:t xml:space="preserve">, which was directed </w:t>
      </w:r>
      <w:r w:rsidR="00396DD1">
        <w:rPr>
          <w:sz w:val="24"/>
        </w:rPr>
        <w:t>specifically to</w:t>
      </w:r>
      <w:r w:rsidR="00B028A0">
        <w:rPr>
          <w:sz w:val="24"/>
        </w:rPr>
        <w:t xml:space="preserve"> Blessed Limo as the only named party, that they could be held jointly and severally liable if Blessed Limo was found to have violated RCW 81.70.220.</w:t>
      </w:r>
    </w:p>
    <w:p w14:paraId="1B62E040" w14:textId="40994D24" w:rsidR="00FD11F8"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ab/>
      </w:r>
      <w:r w:rsidR="00FD11F8" w:rsidRPr="00B92E8F">
        <w:rPr>
          <w:bCs/>
          <w:sz w:val="24"/>
        </w:rPr>
        <w:t>Blessed</w:t>
      </w:r>
      <w:r w:rsidR="00FD11F8">
        <w:rPr>
          <w:sz w:val="24"/>
        </w:rPr>
        <w:t xml:space="preserve"> Limo, in its Petition for Administrative Review, does not state “why oral argument is necessary to assist the </w:t>
      </w:r>
      <w:r w:rsidR="006C768E">
        <w:rPr>
          <w:sz w:val="24"/>
        </w:rPr>
        <w:t>C</w:t>
      </w:r>
      <w:r w:rsidR="00FD11F8">
        <w:rPr>
          <w:sz w:val="24"/>
        </w:rPr>
        <w:t xml:space="preserve">ommission in making its decision and why written presentations will be insufficient” as required by WAC 480-07-825(6). Staff does not believe oral argument is </w:t>
      </w:r>
      <w:r w:rsidR="0062122F">
        <w:rPr>
          <w:sz w:val="24"/>
        </w:rPr>
        <w:t>necessary</w:t>
      </w:r>
      <w:r w:rsidR="00FD11F8">
        <w:rPr>
          <w:sz w:val="24"/>
        </w:rPr>
        <w:t xml:space="preserve"> in</w:t>
      </w:r>
      <w:r w:rsidR="007D0C38">
        <w:rPr>
          <w:sz w:val="24"/>
        </w:rPr>
        <w:t xml:space="preserve"> this instance and</w:t>
      </w:r>
      <w:r w:rsidR="00BB5C34">
        <w:rPr>
          <w:sz w:val="24"/>
        </w:rPr>
        <w:t xml:space="preserve"> does not believe</w:t>
      </w:r>
      <w:r w:rsidR="007D0C38">
        <w:rPr>
          <w:sz w:val="24"/>
        </w:rPr>
        <w:t xml:space="preserve"> </w:t>
      </w:r>
      <w:r w:rsidR="00B07A65">
        <w:rPr>
          <w:sz w:val="24"/>
        </w:rPr>
        <w:t>additional argument</w:t>
      </w:r>
      <w:r w:rsidR="00BB5C34">
        <w:rPr>
          <w:sz w:val="24"/>
        </w:rPr>
        <w:t xml:space="preserve"> </w:t>
      </w:r>
      <w:r w:rsidR="007D0C38">
        <w:rPr>
          <w:sz w:val="24"/>
        </w:rPr>
        <w:t xml:space="preserve">would provide any </w:t>
      </w:r>
      <w:r w:rsidR="0062122F">
        <w:rPr>
          <w:sz w:val="24"/>
        </w:rPr>
        <w:t>more aid</w:t>
      </w:r>
      <w:r w:rsidR="0021152F">
        <w:rPr>
          <w:sz w:val="24"/>
        </w:rPr>
        <w:t xml:space="preserve"> to the C</w:t>
      </w:r>
      <w:r w:rsidR="007D0C38">
        <w:rPr>
          <w:sz w:val="24"/>
        </w:rPr>
        <w:t>ommis</w:t>
      </w:r>
      <w:r w:rsidR="0062122F">
        <w:rPr>
          <w:sz w:val="24"/>
        </w:rPr>
        <w:t>sion in making its decision than that already offered b</w:t>
      </w:r>
      <w:r w:rsidR="007D0C38">
        <w:rPr>
          <w:sz w:val="24"/>
        </w:rPr>
        <w:t>y the written presentations submitted by the parties.</w:t>
      </w:r>
    </w:p>
    <w:p w14:paraId="68D652B7" w14:textId="77777777" w:rsidR="005E51C2" w:rsidRPr="005E51C2" w:rsidRDefault="005B4C0B" w:rsidP="009543C5">
      <w:pPr>
        <w:tabs>
          <w:tab w:val="left" w:pos="0"/>
        </w:tabs>
        <w:spacing w:line="480" w:lineRule="auto"/>
        <w:jc w:val="center"/>
        <w:rPr>
          <w:b/>
          <w:sz w:val="24"/>
        </w:rPr>
      </w:pPr>
      <w:r>
        <w:rPr>
          <w:b/>
          <w:sz w:val="24"/>
        </w:rPr>
        <w:t>III.</w:t>
      </w:r>
      <w:r>
        <w:rPr>
          <w:b/>
          <w:sz w:val="24"/>
        </w:rPr>
        <w:tab/>
      </w:r>
      <w:r w:rsidR="005E51C2" w:rsidRPr="005E51C2">
        <w:rPr>
          <w:b/>
          <w:sz w:val="24"/>
        </w:rPr>
        <w:t>CONCLUSION</w:t>
      </w:r>
    </w:p>
    <w:p w14:paraId="68D652B9" w14:textId="0700CB5D" w:rsidR="005E51C2"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C47164" w:rsidRPr="00B92E8F">
        <w:rPr>
          <w:bCs/>
          <w:sz w:val="24"/>
        </w:rPr>
        <w:t>Staff</w:t>
      </w:r>
      <w:r w:rsidR="00C47164">
        <w:rPr>
          <w:sz w:val="24"/>
        </w:rPr>
        <w:t xml:space="preserve"> requests that the Commission deny the Company’s request to extend the time for filing a petition for administrative review </w:t>
      </w:r>
      <w:r w:rsidR="004A078A">
        <w:rPr>
          <w:sz w:val="24"/>
        </w:rPr>
        <w:t>because the Company has failed</w:t>
      </w:r>
      <w:r w:rsidR="00C47164">
        <w:rPr>
          <w:sz w:val="24"/>
        </w:rPr>
        <w:t xml:space="preserve"> to show good cause for doing so.</w:t>
      </w:r>
    </w:p>
    <w:p w14:paraId="488F974E" w14:textId="77777777" w:rsidR="006967E9" w:rsidRDefault="00B92E8F" w:rsidP="00B92E8F">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C47164" w:rsidRPr="00B92E8F">
        <w:rPr>
          <w:bCs/>
          <w:sz w:val="24"/>
        </w:rPr>
        <w:t>Regarding</w:t>
      </w:r>
      <w:r w:rsidR="00C47164">
        <w:rPr>
          <w:sz w:val="24"/>
        </w:rPr>
        <w:t xml:space="preserve"> the merits of the Company’s Petition for Administrative Review, the Company offers no persuasive basis on which to reverse the findings and decision made or the amount of penalties assessed by the ALJ in this docket. Staff requests that the Commission adopt the </w:t>
      </w:r>
      <w:r w:rsidR="00B07A65">
        <w:rPr>
          <w:sz w:val="24"/>
        </w:rPr>
        <w:t>I</w:t>
      </w:r>
      <w:r w:rsidR="00C47164">
        <w:rPr>
          <w:sz w:val="24"/>
        </w:rPr>
        <w:t xml:space="preserve">nitial </w:t>
      </w:r>
      <w:r w:rsidR="00B07A65">
        <w:rPr>
          <w:sz w:val="24"/>
        </w:rPr>
        <w:t>O</w:t>
      </w:r>
      <w:r w:rsidR="00C47164">
        <w:rPr>
          <w:sz w:val="24"/>
        </w:rPr>
        <w:t xml:space="preserve">rder in full, with the limited clarification that Blessed Limo </w:t>
      </w:r>
    </w:p>
    <w:p w14:paraId="3B05C8C8" w14:textId="77777777" w:rsidR="006967E9" w:rsidRDefault="006967E9">
      <w:pPr>
        <w:widowControl/>
        <w:autoSpaceDE/>
        <w:autoSpaceDN/>
        <w:adjustRightInd/>
        <w:rPr>
          <w:sz w:val="24"/>
        </w:rPr>
      </w:pPr>
      <w:r>
        <w:rPr>
          <w:sz w:val="24"/>
        </w:rPr>
        <w:br w:type="page"/>
      </w:r>
    </w:p>
    <w:p w14:paraId="35107225" w14:textId="47AC60AE" w:rsidR="00C47164" w:rsidRPr="005E51C2" w:rsidRDefault="00C47164" w:rsidP="006967E9">
      <w:pPr>
        <w:widowControl/>
        <w:tabs>
          <w:tab w:val="left" w:pos="0"/>
        </w:tabs>
        <w:autoSpaceDE/>
        <w:autoSpaceDN/>
        <w:adjustRightInd/>
        <w:spacing w:line="480" w:lineRule="auto"/>
        <w:rPr>
          <w:sz w:val="24"/>
        </w:rPr>
      </w:pPr>
      <w:r>
        <w:rPr>
          <w:sz w:val="24"/>
        </w:rPr>
        <w:lastRenderedPageBreak/>
        <w:t xml:space="preserve">is the entity against which </w:t>
      </w:r>
      <w:r w:rsidR="003339BF">
        <w:rPr>
          <w:sz w:val="24"/>
        </w:rPr>
        <w:t xml:space="preserve">the </w:t>
      </w:r>
      <w:r>
        <w:rPr>
          <w:sz w:val="24"/>
        </w:rPr>
        <w:t>penalties are being imposed</w:t>
      </w:r>
      <w:r w:rsidR="003339BF">
        <w:rPr>
          <w:sz w:val="24"/>
        </w:rPr>
        <w:t xml:space="preserve"> and </w:t>
      </w:r>
      <w:r w:rsidR="003F07C6">
        <w:rPr>
          <w:sz w:val="24"/>
        </w:rPr>
        <w:t>that</w:t>
      </w:r>
      <w:r w:rsidR="003339BF">
        <w:rPr>
          <w:sz w:val="24"/>
        </w:rPr>
        <w:t xml:space="preserve"> </w:t>
      </w:r>
      <w:r>
        <w:rPr>
          <w:sz w:val="24"/>
        </w:rPr>
        <w:t xml:space="preserve">any joint and several liability by </w:t>
      </w:r>
      <w:r w:rsidR="003339BF">
        <w:rPr>
          <w:sz w:val="24"/>
        </w:rPr>
        <w:t>Mr. </w:t>
      </w:r>
      <w:r>
        <w:rPr>
          <w:sz w:val="24"/>
        </w:rPr>
        <w:t>Clussie Bagby and Ms. Genise Bagby</w:t>
      </w:r>
      <w:r w:rsidR="003F07C6">
        <w:rPr>
          <w:sz w:val="24"/>
        </w:rPr>
        <w:t xml:space="preserve"> contained in Order 02 is excluded</w:t>
      </w:r>
      <w:r>
        <w:rPr>
          <w:sz w:val="24"/>
        </w:rPr>
        <w:t>.</w:t>
      </w:r>
    </w:p>
    <w:p w14:paraId="68D652BB" w14:textId="77777777" w:rsidR="005E51C2" w:rsidRPr="005E51C2" w:rsidRDefault="00CF3EBA" w:rsidP="00E064B6">
      <w:pPr>
        <w:tabs>
          <w:tab w:val="left" w:pos="0"/>
        </w:tabs>
        <w:rPr>
          <w:sz w:val="24"/>
        </w:rPr>
      </w:pPr>
      <w:r>
        <w:rPr>
          <w:sz w:val="24"/>
        </w:rPr>
        <w:tab/>
        <w:t>DATED January _____, 2016</w:t>
      </w:r>
      <w:r w:rsidR="005E51C2" w:rsidRPr="005E51C2">
        <w:rPr>
          <w:sz w:val="24"/>
        </w:rPr>
        <w:t>.</w:t>
      </w:r>
    </w:p>
    <w:p w14:paraId="65069C85" w14:textId="77777777" w:rsidR="0021152F" w:rsidRDefault="0021152F" w:rsidP="00E064B6">
      <w:pPr>
        <w:pStyle w:val="BodyTextIndent2"/>
        <w:ind w:left="4500"/>
        <w:rPr>
          <w:rFonts w:ascii="Times New Roman" w:hAnsi="Times New Roman"/>
        </w:rPr>
      </w:pPr>
    </w:p>
    <w:p w14:paraId="68D652BD" w14:textId="4B066918" w:rsidR="00F748D8" w:rsidRDefault="00B07A65" w:rsidP="00E064B6">
      <w:pPr>
        <w:pStyle w:val="BodyTextIndent2"/>
        <w:ind w:left="4500"/>
        <w:rPr>
          <w:rFonts w:ascii="Times New Roman" w:hAnsi="Times New Roman"/>
        </w:rPr>
      </w:pPr>
      <w:r>
        <w:rPr>
          <w:rFonts w:ascii="Times New Roman" w:hAnsi="Times New Roman"/>
        </w:rPr>
        <w:t>Respectfully submitted,</w:t>
      </w:r>
    </w:p>
    <w:p w14:paraId="3F45B63F" w14:textId="77777777" w:rsidR="00B07A65" w:rsidRPr="005E51C2" w:rsidRDefault="00B07A65" w:rsidP="00E064B6">
      <w:pPr>
        <w:pStyle w:val="BodyTextIndent2"/>
        <w:ind w:left="4500"/>
        <w:rPr>
          <w:rFonts w:ascii="Times New Roman" w:hAnsi="Times New Roman"/>
        </w:rPr>
      </w:pPr>
    </w:p>
    <w:p w14:paraId="68D652BE" w14:textId="77777777" w:rsidR="00F748D8" w:rsidRPr="005E51C2" w:rsidRDefault="00F748D8" w:rsidP="00E064B6">
      <w:pPr>
        <w:ind w:left="4500"/>
        <w:rPr>
          <w:sz w:val="24"/>
        </w:rPr>
      </w:pPr>
      <w:r w:rsidRPr="005E51C2">
        <w:rPr>
          <w:sz w:val="24"/>
        </w:rPr>
        <w:t>ROB</w:t>
      </w:r>
      <w:r w:rsidR="00BF3CD1" w:rsidRPr="005E51C2">
        <w:rPr>
          <w:sz w:val="24"/>
        </w:rPr>
        <w:t xml:space="preserve">ERT </w:t>
      </w:r>
      <w:r w:rsidR="005E51C2" w:rsidRPr="005E51C2">
        <w:rPr>
          <w:sz w:val="24"/>
        </w:rPr>
        <w:t>W. FERGUSON</w:t>
      </w:r>
      <w:r w:rsidRPr="005E51C2">
        <w:rPr>
          <w:sz w:val="24"/>
        </w:rPr>
        <w:t xml:space="preserve"> </w:t>
      </w:r>
    </w:p>
    <w:p w14:paraId="68D652BF" w14:textId="77777777" w:rsidR="00F748D8" w:rsidRPr="005E51C2" w:rsidRDefault="00F748D8" w:rsidP="00E064B6">
      <w:pPr>
        <w:ind w:left="4500"/>
        <w:rPr>
          <w:sz w:val="24"/>
        </w:rPr>
      </w:pPr>
      <w:r w:rsidRPr="005E51C2">
        <w:rPr>
          <w:sz w:val="24"/>
        </w:rPr>
        <w:t>Attorney General</w:t>
      </w:r>
    </w:p>
    <w:p w14:paraId="68D652C1" w14:textId="77777777" w:rsidR="00F748D8" w:rsidRDefault="00F748D8" w:rsidP="00E064B6">
      <w:pPr>
        <w:ind w:left="4500"/>
        <w:rPr>
          <w:sz w:val="24"/>
        </w:rPr>
      </w:pPr>
    </w:p>
    <w:p w14:paraId="71FBE62C" w14:textId="77777777" w:rsidR="0021152F" w:rsidRPr="005E51C2" w:rsidRDefault="0021152F" w:rsidP="00E064B6">
      <w:pPr>
        <w:ind w:left="4500"/>
        <w:rPr>
          <w:sz w:val="24"/>
        </w:rPr>
      </w:pPr>
    </w:p>
    <w:p w14:paraId="68D652C2" w14:textId="77777777" w:rsidR="005E07C2" w:rsidRPr="005E51C2" w:rsidRDefault="005E07C2" w:rsidP="00E064B6">
      <w:pPr>
        <w:ind w:left="4500"/>
        <w:rPr>
          <w:sz w:val="24"/>
        </w:rPr>
      </w:pPr>
    </w:p>
    <w:p w14:paraId="68D652C3" w14:textId="10EAC404" w:rsidR="00F748D8" w:rsidRPr="005E51C2" w:rsidRDefault="00F748D8" w:rsidP="00E064B6">
      <w:pPr>
        <w:ind w:left="4500"/>
        <w:rPr>
          <w:sz w:val="24"/>
        </w:rPr>
      </w:pPr>
      <w:r w:rsidRPr="005E51C2">
        <w:rPr>
          <w:sz w:val="24"/>
        </w:rPr>
        <w:t>___________________________</w:t>
      </w:r>
      <w:r w:rsidR="00FD3FCE" w:rsidRPr="005E51C2">
        <w:rPr>
          <w:sz w:val="24"/>
        </w:rPr>
        <w:t>___</w:t>
      </w:r>
      <w:r w:rsidRPr="005E51C2">
        <w:rPr>
          <w:sz w:val="24"/>
        </w:rPr>
        <w:t>_</w:t>
      </w:r>
      <w:r w:rsidR="00E064B6">
        <w:rPr>
          <w:sz w:val="24"/>
        </w:rPr>
        <w:t>___</w:t>
      </w:r>
      <w:r w:rsidRPr="005E51C2">
        <w:rPr>
          <w:sz w:val="24"/>
        </w:rPr>
        <w:t>__</w:t>
      </w:r>
    </w:p>
    <w:p w14:paraId="68D652C4" w14:textId="77777777" w:rsidR="00F748D8" w:rsidRPr="005E51C2" w:rsidRDefault="00CF3EBA" w:rsidP="00E064B6">
      <w:pPr>
        <w:ind w:left="4500"/>
        <w:rPr>
          <w:sz w:val="24"/>
        </w:rPr>
      </w:pPr>
      <w:r>
        <w:rPr>
          <w:sz w:val="24"/>
        </w:rPr>
        <w:t>ANDREW J. O’CONNELL</w:t>
      </w:r>
    </w:p>
    <w:p w14:paraId="68D652C5" w14:textId="77777777" w:rsidR="00F748D8" w:rsidRPr="005E51C2" w:rsidRDefault="00F748D8" w:rsidP="00E064B6">
      <w:pPr>
        <w:ind w:left="4500"/>
        <w:rPr>
          <w:sz w:val="24"/>
        </w:rPr>
      </w:pPr>
      <w:r w:rsidRPr="005E51C2">
        <w:rPr>
          <w:sz w:val="24"/>
        </w:rPr>
        <w:t>Assistant Attorney General</w:t>
      </w:r>
    </w:p>
    <w:p w14:paraId="68D652C6" w14:textId="77777777" w:rsidR="00F748D8" w:rsidRPr="005E51C2" w:rsidRDefault="00F748D8" w:rsidP="00E064B6">
      <w:pPr>
        <w:ind w:left="4500"/>
        <w:rPr>
          <w:sz w:val="24"/>
        </w:rPr>
      </w:pPr>
      <w:r w:rsidRPr="005E51C2">
        <w:rPr>
          <w:sz w:val="24"/>
        </w:rPr>
        <w:t>Counsel for Washington Utilities and</w:t>
      </w:r>
    </w:p>
    <w:p w14:paraId="68D652C8" w14:textId="0C8848A3" w:rsidR="00024E4A" w:rsidRDefault="004F69A5" w:rsidP="00E064B6">
      <w:pPr>
        <w:ind w:left="4500"/>
        <w:rPr>
          <w:sz w:val="24"/>
        </w:rPr>
      </w:pPr>
      <w:r w:rsidRPr="005E51C2">
        <w:rPr>
          <w:sz w:val="24"/>
        </w:rPr>
        <w:t>Transportation Commission</w:t>
      </w:r>
      <w:r w:rsidR="005E07C2" w:rsidRPr="005E51C2">
        <w:rPr>
          <w:sz w:val="24"/>
        </w:rPr>
        <w:t xml:space="preserve"> Staff</w:t>
      </w:r>
    </w:p>
    <w:sectPr w:rsidR="00024E4A"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652CB" w14:textId="77777777" w:rsidR="00EF1D62" w:rsidRDefault="00EF1D62">
      <w:r>
        <w:separator/>
      </w:r>
    </w:p>
  </w:endnote>
  <w:endnote w:type="continuationSeparator" w:id="0">
    <w:p w14:paraId="68D652CC" w14:textId="77777777" w:rsidR="00EF1D62" w:rsidRDefault="00EF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652CD" w14:textId="77777777" w:rsidR="002F2722" w:rsidRPr="002F2722" w:rsidRDefault="002F2722" w:rsidP="002F2722">
    <w:pPr>
      <w:pStyle w:val="Footer"/>
    </w:pPr>
    <w:r w:rsidRPr="002F2722">
      <w:t>COMMISSION STAFF’S ANSWER TO</w:t>
    </w:r>
  </w:p>
  <w:p w14:paraId="68D652CE" w14:textId="77777777" w:rsidR="002F2722" w:rsidRDefault="002F2722" w:rsidP="002F2722">
    <w:pPr>
      <w:pStyle w:val="Footer"/>
    </w:pPr>
    <w:r w:rsidRPr="002F2722">
      <w:t>PETITION FOR ADMINISTRATIVE REVIEW</w:t>
    </w:r>
    <w:r w:rsidRPr="002F2722">
      <w:tab/>
    </w:r>
    <w:r w:rsidRPr="002F2722">
      <w:tab/>
    </w:r>
    <w:sdt>
      <w:sdtPr>
        <w:id w:val="-250745750"/>
        <w:docPartObj>
          <w:docPartGallery w:val="Page Numbers (Top of Page)"/>
          <w:docPartUnique/>
        </w:docPartObj>
      </w:sdtPr>
      <w:sdtEndPr/>
      <w:sdtContent>
        <w:r w:rsidRPr="002F2722">
          <w:t xml:space="preserve">Page </w:t>
        </w:r>
        <w:r w:rsidRPr="002F2722">
          <w:rPr>
            <w:bCs/>
            <w:sz w:val="24"/>
          </w:rPr>
          <w:fldChar w:fldCharType="begin"/>
        </w:r>
        <w:r w:rsidRPr="002F2722">
          <w:rPr>
            <w:bCs/>
          </w:rPr>
          <w:instrText xml:space="preserve"> PAGE </w:instrText>
        </w:r>
        <w:r w:rsidRPr="002F2722">
          <w:rPr>
            <w:bCs/>
            <w:sz w:val="24"/>
          </w:rPr>
          <w:fldChar w:fldCharType="separate"/>
        </w:r>
        <w:r w:rsidR="00D03160">
          <w:rPr>
            <w:bCs/>
            <w:noProof/>
          </w:rPr>
          <w:t>1</w:t>
        </w:r>
        <w:r w:rsidRPr="002F2722">
          <w:rPr>
            <w:bCs/>
            <w:sz w:val="24"/>
          </w:rPr>
          <w:fldChar w:fldCharType="end"/>
        </w:r>
        <w:r w:rsidRPr="002F2722">
          <w:t xml:space="preserve"> of </w:t>
        </w:r>
        <w:r w:rsidRPr="002F2722">
          <w:rPr>
            <w:bCs/>
            <w:sz w:val="24"/>
          </w:rPr>
          <w:fldChar w:fldCharType="begin"/>
        </w:r>
        <w:r w:rsidRPr="002F2722">
          <w:rPr>
            <w:bCs/>
          </w:rPr>
          <w:instrText xml:space="preserve"> NUMPAGES  </w:instrText>
        </w:r>
        <w:r w:rsidRPr="002F2722">
          <w:rPr>
            <w:bCs/>
            <w:sz w:val="24"/>
          </w:rPr>
          <w:fldChar w:fldCharType="separate"/>
        </w:r>
        <w:r w:rsidR="00D03160">
          <w:rPr>
            <w:bCs/>
            <w:noProof/>
          </w:rPr>
          <w:t>8</w:t>
        </w:r>
        <w:r w:rsidRPr="002F2722">
          <w:rPr>
            <w:bCs/>
            <w:sz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652C9" w14:textId="77777777" w:rsidR="00EF1D62" w:rsidRDefault="00EF1D62">
      <w:r>
        <w:separator/>
      </w:r>
    </w:p>
  </w:footnote>
  <w:footnote w:type="continuationSeparator" w:id="0">
    <w:p w14:paraId="68D652CA" w14:textId="77777777" w:rsidR="00EF1D62" w:rsidRDefault="00EF1D62">
      <w:r>
        <w:continuationSeparator/>
      </w:r>
    </w:p>
  </w:footnote>
  <w:footnote w:id="1">
    <w:p w14:paraId="3B541A86" w14:textId="249E3F72" w:rsidR="00243729" w:rsidRDefault="00243729">
      <w:pPr>
        <w:pStyle w:val="FootnoteText"/>
      </w:pPr>
      <w:r>
        <w:rPr>
          <w:rStyle w:val="FootnoteReference"/>
        </w:rPr>
        <w:footnoteRef/>
      </w:r>
      <w:r>
        <w:t xml:space="preserve"> Docket TE-151667, Order 02, Initial Order Classifying Respondent as a Charter Party or Excursion Service Carrier; Ordering Respondent to Cease &amp; Desist; Imposing and Suspending Penalties on Condition of Future Compliance (Dec. 7, 2015).</w:t>
      </w:r>
    </w:p>
  </w:footnote>
  <w:footnote w:id="2">
    <w:p w14:paraId="032FEE2D" w14:textId="371AEEF8" w:rsidR="00C86440" w:rsidRPr="005C3759" w:rsidRDefault="00C86440" w:rsidP="00C86440">
      <w:pPr>
        <w:pStyle w:val="FootnoteText"/>
      </w:pPr>
      <w:r>
        <w:rPr>
          <w:rStyle w:val="FootnoteReference"/>
        </w:rPr>
        <w:footnoteRef/>
      </w:r>
      <w:r>
        <w:t xml:space="preserve"> </w:t>
      </w:r>
      <w:r w:rsidRPr="00113240">
        <w:t>WAC 480-07-825(2) requires any party to file and serve a petition “within twenty days after the initial order is served.” WAC 480-07-130(2) permits the commission to “modify the time limits stated in a commission rule, subject to other requirements of law.”</w:t>
      </w:r>
      <w:r w:rsidR="005C3759">
        <w:t xml:space="preserve"> RCW 34.05</w:t>
      </w:r>
      <w:r w:rsidR="00001D28">
        <w:t>.488 is the provision of the Washington Administrative Procedures Act that specifies the time period within which an agency must conduct an administrative review if requested by a party</w:t>
      </w:r>
      <w:r w:rsidR="00E077A9">
        <w:t xml:space="preserve"> (twenty-one days after service of the initial order)</w:t>
      </w:r>
      <w:r w:rsidR="00001D28">
        <w:t xml:space="preserve">. RCW 34.05.080 explains when an agency may modify the time limits of a petition for administrative review and, additionally, subsection (7) explains that “In an adjudicative proceeding, any agency whose time limits vary . . . shall provide reasonable and adequate notice of the pertinent time limits to persons affected. The notice may be given by the presiding . . . officer involved in the proceeding.” Such notice was given by the </w:t>
      </w:r>
      <w:r w:rsidR="00B92E8F">
        <w:t>ALJ</w:t>
      </w:r>
      <w:r w:rsidR="00001D28">
        <w:t xml:space="preserve"> in this matter in Order</w:t>
      </w:r>
      <w:r w:rsidR="00E077A9">
        <w:t> </w:t>
      </w:r>
      <w:r w:rsidR="00001D28">
        <w:t>02.</w:t>
      </w:r>
      <w:r w:rsidR="0021152F">
        <w:t xml:space="preserve"> Order 02, p. 9.</w:t>
      </w:r>
    </w:p>
  </w:footnote>
  <w:footnote w:id="3">
    <w:p w14:paraId="70433771" w14:textId="77777777" w:rsidR="003353D1" w:rsidRDefault="003353D1" w:rsidP="003353D1">
      <w:pPr>
        <w:pStyle w:val="FootnoteText"/>
      </w:pPr>
      <w:r>
        <w:rPr>
          <w:rStyle w:val="FootnoteReference"/>
        </w:rPr>
        <w:footnoteRef/>
      </w:r>
      <w:r>
        <w:t xml:space="preserve"> Docket TE-151667, Order 01, </w:t>
      </w:r>
      <w:r w:rsidRPr="00042C7D">
        <w:t>Order Instituting Special Proceeding; Complaint Seeking to Impose Penalties and Notice of Brief Adjudicative Proceeding</w:t>
      </w:r>
      <w:r>
        <w:t xml:space="preserve"> (Oct. 27, 2015).</w:t>
      </w:r>
    </w:p>
  </w:footnote>
  <w:footnote w:id="4">
    <w:p w14:paraId="68D652D3" w14:textId="39F5D253" w:rsidR="005E79D1" w:rsidRDefault="005E79D1">
      <w:pPr>
        <w:pStyle w:val="FootnoteText"/>
      </w:pPr>
      <w:r>
        <w:rPr>
          <w:rStyle w:val="FootnoteReference"/>
        </w:rPr>
        <w:footnoteRef/>
      </w:r>
      <w:r>
        <w:t xml:space="preserve"> Transcript (Nov. 19, 2015) (Tr.) 24 </w:t>
      </w:r>
      <w:r w:rsidR="007F17D4">
        <w:t>–</w:t>
      </w:r>
      <w:r>
        <w:t xml:space="preserve"> 26.</w:t>
      </w:r>
    </w:p>
  </w:footnote>
  <w:footnote w:id="5">
    <w:p w14:paraId="5272FF35" w14:textId="4AF5125B" w:rsidR="00A86085" w:rsidRDefault="00A86085">
      <w:pPr>
        <w:pStyle w:val="FootnoteText"/>
      </w:pPr>
      <w:r>
        <w:rPr>
          <w:rStyle w:val="FootnoteReference"/>
        </w:rPr>
        <w:footnoteRef/>
      </w:r>
      <w:r>
        <w:t xml:space="preserve"> Tr. 23 – 29.</w:t>
      </w:r>
    </w:p>
  </w:footnote>
  <w:footnote w:id="6">
    <w:p w14:paraId="231DDACE" w14:textId="789FED71" w:rsidR="00296E7C" w:rsidRPr="005C3759" w:rsidRDefault="00296E7C" w:rsidP="00296E7C">
      <w:pPr>
        <w:pStyle w:val="FootnoteText"/>
      </w:pPr>
      <w:r>
        <w:rPr>
          <w:rStyle w:val="FootnoteReference"/>
        </w:rPr>
        <w:footnoteRef/>
      </w:r>
      <w:r>
        <w:t xml:space="preserve"> Mr. Bagby testified at the BAP that he had spoken with an attorney but had not retained an attorney for representation at the BAP. Tr.</w:t>
      </w:r>
      <w:r w:rsidR="005C3759">
        <w:t xml:space="preserve"> 67, 91; </w:t>
      </w:r>
      <w:r w:rsidR="005C3759">
        <w:rPr>
          <w:i/>
        </w:rPr>
        <w:t xml:space="preserve">see also </w:t>
      </w:r>
      <w:r w:rsidR="005C3759">
        <w:t>Tr. 7 – 8.</w:t>
      </w:r>
    </w:p>
  </w:footnote>
  <w:footnote w:id="7">
    <w:p w14:paraId="68D652D6" w14:textId="03C46403" w:rsidR="006B6168" w:rsidRDefault="006B6168">
      <w:pPr>
        <w:pStyle w:val="FootnoteText"/>
      </w:pPr>
      <w:r>
        <w:rPr>
          <w:rStyle w:val="FootnoteReference"/>
        </w:rPr>
        <w:footnoteRef/>
      </w:r>
      <w:r>
        <w:t xml:space="preserve"> Pet</w:t>
      </w:r>
      <w:r w:rsidR="00B07A65">
        <w:t>ition for Administrative Review at</w:t>
      </w:r>
      <w:r>
        <w:t xml:space="preserve"> 6.</w:t>
      </w:r>
    </w:p>
  </w:footnote>
  <w:footnote w:id="8">
    <w:p w14:paraId="68D652D7" w14:textId="6FC0DEF0" w:rsidR="00B75F6B" w:rsidRDefault="00B75F6B">
      <w:pPr>
        <w:pStyle w:val="FootnoteText"/>
      </w:pPr>
      <w:r>
        <w:rPr>
          <w:rStyle w:val="FootnoteReference"/>
        </w:rPr>
        <w:footnoteRef/>
      </w:r>
      <w:r>
        <w:t xml:space="preserve"> Tr. 42 </w:t>
      </w:r>
      <w:r w:rsidR="00B07A65">
        <w:t>–</w:t>
      </w:r>
      <w:r>
        <w:t xml:space="preserve"> 46.</w:t>
      </w:r>
    </w:p>
  </w:footnote>
  <w:footnote w:id="9">
    <w:p w14:paraId="68D652D8" w14:textId="164FC531" w:rsidR="00B75F6B" w:rsidRDefault="00B75F6B">
      <w:pPr>
        <w:pStyle w:val="FootnoteText"/>
      </w:pPr>
      <w:r>
        <w:rPr>
          <w:rStyle w:val="FootnoteReference"/>
        </w:rPr>
        <w:footnoteRef/>
      </w:r>
      <w:r>
        <w:t xml:space="preserve"> Tr. 50 </w:t>
      </w:r>
      <w:r w:rsidR="00B07A65">
        <w:t>–</w:t>
      </w:r>
      <w:r>
        <w:t xml:space="preserve"> 51.</w:t>
      </w:r>
    </w:p>
  </w:footnote>
  <w:footnote w:id="10">
    <w:p w14:paraId="68D652D9" w14:textId="77777777" w:rsidR="00B75F6B" w:rsidRDefault="00B75F6B">
      <w:pPr>
        <w:pStyle w:val="FootnoteText"/>
      </w:pPr>
      <w:r>
        <w:rPr>
          <w:rStyle w:val="FootnoteReference"/>
        </w:rPr>
        <w:footnoteRef/>
      </w:r>
      <w:r>
        <w:t xml:space="preserve"> Tr. 53.</w:t>
      </w:r>
    </w:p>
  </w:footnote>
  <w:footnote w:id="11">
    <w:p w14:paraId="68D652DA" w14:textId="3646DA26" w:rsidR="007E21E0" w:rsidRDefault="007E21E0">
      <w:pPr>
        <w:pStyle w:val="FootnoteText"/>
      </w:pPr>
      <w:r>
        <w:rPr>
          <w:rStyle w:val="FootnoteReference"/>
        </w:rPr>
        <w:footnoteRef/>
      </w:r>
      <w:r>
        <w:t xml:space="preserve"> Tr. 86 </w:t>
      </w:r>
      <w:r w:rsidR="00B07A65">
        <w:t>–</w:t>
      </w:r>
      <w:r>
        <w:t xml:space="preserve"> 87.</w:t>
      </w:r>
    </w:p>
  </w:footnote>
  <w:footnote w:id="12">
    <w:p w14:paraId="7A4775EC" w14:textId="24E0E0A7" w:rsidR="006C6A41" w:rsidRDefault="006C6A41">
      <w:pPr>
        <w:pStyle w:val="FootnoteText"/>
      </w:pPr>
      <w:r>
        <w:rPr>
          <w:rStyle w:val="FootnoteReference"/>
        </w:rPr>
        <w:footnoteRef/>
      </w:r>
      <w:r>
        <w:t xml:space="preserve"> Order 02, </w:t>
      </w:r>
      <w:r w:rsidR="007F6E20">
        <w:t xml:space="preserve">¶ </w:t>
      </w:r>
      <w:r>
        <w:t>13.</w:t>
      </w:r>
    </w:p>
  </w:footnote>
  <w:footnote w:id="13">
    <w:p w14:paraId="68D652DB" w14:textId="73946D95" w:rsidR="007E21E0" w:rsidRDefault="007E21E0">
      <w:pPr>
        <w:pStyle w:val="FootnoteText"/>
      </w:pPr>
      <w:r>
        <w:rPr>
          <w:rStyle w:val="FootnoteReference"/>
        </w:rPr>
        <w:footnoteRef/>
      </w:r>
      <w:r>
        <w:t xml:space="preserve"> </w:t>
      </w:r>
      <w:r w:rsidR="009F7FC4">
        <w:rPr>
          <w:i/>
        </w:rPr>
        <w:t xml:space="preserve">See </w:t>
      </w:r>
      <w:r>
        <w:t>RCW 81.70.220(1)</w:t>
      </w:r>
    </w:p>
  </w:footnote>
  <w:footnote w:id="14">
    <w:p w14:paraId="68D652DC" w14:textId="4BCA939A" w:rsidR="007E21E0" w:rsidRDefault="007E21E0">
      <w:pPr>
        <w:pStyle w:val="FootnoteText"/>
      </w:pPr>
      <w:r>
        <w:rPr>
          <w:rStyle w:val="FootnoteReference"/>
        </w:rPr>
        <w:footnoteRef/>
      </w:r>
      <w:r>
        <w:t xml:space="preserve"> Order 02, </w:t>
      </w:r>
      <w:r w:rsidR="007F6E20">
        <w:t xml:space="preserve">¶ </w:t>
      </w:r>
      <w:r w:rsidR="007A3F23">
        <w:t xml:space="preserve">13, </w:t>
      </w:r>
      <w:r w:rsidR="007F6E20">
        <w:t xml:space="preserve">¶¶ </w:t>
      </w:r>
      <w:r w:rsidR="007E54E9">
        <w:t xml:space="preserve">21 </w:t>
      </w:r>
      <w:r w:rsidR="00B07A65">
        <w:t xml:space="preserve">– </w:t>
      </w:r>
      <w:r w:rsidR="007E54E9">
        <w:t>22</w:t>
      </w:r>
      <w:r>
        <w:t>.</w:t>
      </w:r>
    </w:p>
  </w:footnote>
  <w:footnote w:id="15">
    <w:p w14:paraId="68D652DD" w14:textId="7112842A" w:rsidR="001A017E" w:rsidRDefault="001A017E">
      <w:pPr>
        <w:pStyle w:val="FootnoteText"/>
      </w:pPr>
      <w:r>
        <w:rPr>
          <w:rStyle w:val="FootnoteReference"/>
        </w:rPr>
        <w:footnoteRef/>
      </w:r>
      <w:r>
        <w:t xml:space="preserve"> Peti</w:t>
      </w:r>
      <w:r w:rsidR="00B07A65">
        <w:t xml:space="preserve">tion for Administrative Review at </w:t>
      </w:r>
      <w:r>
        <w:t>7.</w:t>
      </w:r>
    </w:p>
  </w:footnote>
  <w:footnote w:id="16">
    <w:p w14:paraId="68D652DE" w14:textId="224786B2" w:rsidR="001A017E" w:rsidRDefault="001A017E">
      <w:pPr>
        <w:pStyle w:val="FootnoteText"/>
      </w:pPr>
      <w:r>
        <w:rPr>
          <w:rStyle w:val="FootnoteReference"/>
        </w:rPr>
        <w:footnoteRef/>
      </w:r>
      <w:r w:rsidR="00B07A65">
        <w:t xml:space="preserve"> Order 01, </w:t>
      </w:r>
      <w:r w:rsidR="007F6E20">
        <w:t xml:space="preserve">¶ </w:t>
      </w:r>
      <w:r w:rsidR="007E54E9">
        <w:t>3.</w:t>
      </w:r>
    </w:p>
  </w:footnote>
  <w:footnote w:id="17">
    <w:p w14:paraId="68D652DF" w14:textId="4351B534" w:rsidR="001A017E" w:rsidRDefault="001A017E">
      <w:pPr>
        <w:pStyle w:val="FootnoteText"/>
      </w:pPr>
      <w:r>
        <w:rPr>
          <w:rStyle w:val="FootnoteReference"/>
        </w:rPr>
        <w:footnoteRef/>
      </w:r>
      <w:r>
        <w:t xml:space="preserve"> </w:t>
      </w:r>
      <w:r w:rsidR="00B07A65">
        <w:t xml:space="preserve">Order 01, </w:t>
      </w:r>
      <w:r w:rsidR="007F6E20">
        <w:t xml:space="preserve">¶ </w:t>
      </w:r>
      <w:r w:rsidR="007E54E9">
        <w:t>2.</w:t>
      </w:r>
    </w:p>
  </w:footnote>
  <w:footnote w:id="18">
    <w:p w14:paraId="68D652E0" w14:textId="60C85D7A" w:rsidR="007E54E9" w:rsidRPr="00254CD6" w:rsidRDefault="007E54E9">
      <w:pPr>
        <w:pStyle w:val="FootnoteText"/>
      </w:pPr>
      <w:r>
        <w:rPr>
          <w:rStyle w:val="FootnoteReference"/>
        </w:rPr>
        <w:footnoteRef/>
      </w:r>
      <w:r>
        <w:t xml:space="preserve"> </w:t>
      </w:r>
      <w:r w:rsidR="00254CD6">
        <w:rPr>
          <w:i/>
        </w:rPr>
        <w:t xml:space="preserve">See </w:t>
      </w:r>
      <w:r w:rsidR="00254CD6">
        <w:t xml:space="preserve">Order 02, </w:t>
      </w:r>
      <w:r w:rsidR="00B07A65">
        <w:t>note</w:t>
      </w:r>
      <w:r w:rsidR="00254CD6">
        <w:t xml:space="preserve"> 2.</w:t>
      </w:r>
    </w:p>
  </w:footnote>
  <w:footnote w:id="19">
    <w:p w14:paraId="2237D644" w14:textId="54F74CD5" w:rsidR="0021152F" w:rsidRDefault="0021152F">
      <w:pPr>
        <w:pStyle w:val="FootnoteText"/>
      </w:pPr>
      <w:r>
        <w:rPr>
          <w:rStyle w:val="FootnoteReference"/>
        </w:rPr>
        <w:footnoteRef/>
      </w:r>
      <w:r>
        <w:t xml:space="preserve"> Order 02, </w:t>
      </w:r>
      <w:r w:rsidR="007F6E20">
        <w:t xml:space="preserve">¶ </w:t>
      </w:r>
      <w:r>
        <w:t>16.</w:t>
      </w:r>
    </w:p>
  </w:footnote>
  <w:footnote w:id="20">
    <w:p w14:paraId="68D652E1" w14:textId="274A6AC2" w:rsidR="004040DF" w:rsidRDefault="004040DF">
      <w:pPr>
        <w:pStyle w:val="FootnoteText"/>
      </w:pPr>
      <w:r>
        <w:rPr>
          <w:rStyle w:val="FootnoteReference"/>
        </w:rPr>
        <w:footnoteRef/>
      </w:r>
      <w:r w:rsidR="00B07A65">
        <w:t xml:space="preserve"> Order 02, </w:t>
      </w:r>
      <w:r w:rsidR="007F6E20">
        <w:t xml:space="preserve">¶¶ </w:t>
      </w:r>
      <w:r>
        <w:t xml:space="preserve">16 </w:t>
      </w:r>
      <w:r w:rsidR="00B07A65">
        <w:t>–</w:t>
      </w:r>
      <w:r w:rsidRPr="004040DF">
        <w:t xml:space="preserve"> </w:t>
      </w:r>
      <w:r>
        <w:t>17.</w:t>
      </w:r>
    </w:p>
  </w:footnote>
  <w:footnote w:id="21">
    <w:p w14:paraId="68D652E2" w14:textId="7811B197" w:rsidR="004040DF" w:rsidRDefault="004040DF">
      <w:pPr>
        <w:pStyle w:val="FootnoteText"/>
      </w:pPr>
      <w:r>
        <w:rPr>
          <w:rStyle w:val="FootnoteReference"/>
        </w:rPr>
        <w:footnoteRef/>
      </w:r>
      <w:r>
        <w:t xml:space="preserve"> Tr. 18 </w:t>
      </w:r>
      <w:r w:rsidR="00B07A65">
        <w:t>–</w:t>
      </w:r>
      <w:r>
        <w:t xml:space="preserve"> 19.</w:t>
      </w:r>
    </w:p>
  </w:footnote>
  <w:footnote w:id="22">
    <w:p w14:paraId="68D652E3" w14:textId="77777777" w:rsidR="004040DF" w:rsidRDefault="004040DF">
      <w:pPr>
        <w:pStyle w:val="FootnoteText"/>
      </w:pPr>
      <w:r>
        <w:rPr>
          <w:rStyle w:val="FootnoteReference"/>
        </w:rPr>
        <w:footnoteRef/>
      </w:r>
      <w:r>
        <w:t xml:space="preserve"> Tr. 18; Exhibit PS-1.</w:t>
      </w:r>
    </w:p>
  </w:footnote>
  <w:footnote w:id="23">
    <w:p w14:paraId="68D652E4" w14:textId="77777777" w:rsidR="000E1C39" w:rsidRDefault="000E1C39">
      <w:pPr>
        <w:pStyle w:val="FootnoteText"/>
      </w:pPr>
      <w:r>
        <w:rPr>
          <w:rStyle w:val="FootnoteReference"/>
        </w:rPr>
        <w:footnoteRef/>
      </w:r>
      <w:r>
        <w:t xml:space="preserve"> Order 01, Caption.</w:t>
      </w:r>
    </w:p>
  </w:footnote>
  <w:footnote w:id="24">
    <w:p w14:paraId="68D652E5" w14:textId="7387AF4C" w:rsidR="000E1C39" w:rsidRDefault="000E1C39">
      <w:pPr>
        <w:pStyle w:val="FootnoteText"/>
      </w:pPr>
      <w:r>
        <w:rPr>
          <w:rStyle w:val="FootnoteReference"/>
        </w:rPr>
        <w:footnoteRef/>
      </w:r>
      <w:r>
        <w:t xml:space="preserve"> Order 01, </w:t>
      </w:r>
      <w:r w:rsidR="007F6E20">
        <w:t xml:space="preserve">¶ </w:t>
      </w:r>
      <w:r>
        <w:t>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5A9471BC"/>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150D3"/>
    <w:rsid w:val="000151F5"/>
    <w:rsid w:val="00020E4B"/>
    <w:rsid w:val="00020F15"/>
    <w:rsid w:val="0002279A"/>
    <w:rsid w:val="00024E4A"/>
    <w:rsid w:val="00025DB8"/>
    <w:rsid w:val="00026636"/>
    <w:rsid w:val="00026829"/>
    <w:rsid w:val="00033E73"/>
    <w:rsid w:val="00036CCC"/>
    <w:rsid w:val="00042C7D"/>
    <w:rsid w:val="000440C8"/>
    <w:rsid w:val="0004790F"/>
    <w:rsid w:val="000531BD"/>
    <w:rsid w:val="0005473E"/>
    <w:rsid w:val="0005478B"/>
    <w:rsid w:val="0005674A"/>
    <w:rsid w:val="00062161"/>
    <w:rsid w:val="00065672"/>
    <w:rsid w:val="000705C6"/>
    <w:rsid w:val="00071733"/>
    <w:rsid w:val="0007184C"/>
    <w:rsid w:val="00073457"/>
    <w:rsid w:val="00074A1C"/>
    <w:rsid w:val="00082FAB"/>
    <w:rsid w:val="0008303B"/>
    <w:rsid w:val="0008387A"/>
    <w:rsid w:val="000A4A2C"/>
    <w:rsid w:val="000A755E"/>
    <w:rsid w:val="000B49A6"/>
    <w:rsid w:val="000B6E57"/>
    <w:rsid w:val="000C3CA8"/>
    <w:rsid w:val="000C70C7"/>
    <w:rsid w:val="000D48F4"/>
    <w:rsid w:val="000D63F3"/>
    <w:rsid w:val="000E18E3"/>
    <w:rsid w:val="000E1C39"/>
    <w:rsid w:val="000E3559"/>
    <w:rsid w:val="000E4569"/>
    <w:rsid w:val="000E48F6"/>
    <w:rsid w:val="000F445F"/>
    <w:rsid w:val="000F7BB5"/>
    <w:rsid w:val="001051B6"/>
    <w:rsid w:val="001076AF"/>
    <w:rsid w:val="00113240"/>
    <w:rsid w:val="00116211"/>
    <w:rsid w:val="00116E20"/>
    <w:rsid w:val="00120C9F"/>
    <w:rsid w:val="00122638"/>
    <w:rsid w:val="00125AEB"/>
    <w:rsid w:val="001265CF"/>
    <w:rsid w:val="001371F2"/>
    <w:rsid w:val="00152AEF"/>
    <w:rsid w:val="00165959"/>
    <w:rsid w:val="0017024A"/>
    <w:rsid w:val="00173668"/>
    <w:rsid w:val="00181515"/>
    <w:rsid w:val="00183C7F"/>
    <w:rsid w:val="00187C5F"/>
    <w:rsid w:val="0019604C"/>
    <w:rsid w:val="001A017E"/>
    <w:rsid w:val="001A05E8"/>
    <w:rsid w:val="001A1957"/>
    <w:rsid w:val="001A33A7"/>
    <w:rsid w:val="001A3B82"/>
    <w:rsid w:val="001A3E51"/>
    <w:rsid w:val="001A495D"/>
    <w:rsid w:val="001A6CF3"/>
    <w:rsid w:val="001B3353"/>
    <w:rsid w:val="001C3F85"/>
    <w:rsid w:val="001D5D07"/>
    <w:rsid w:val="001E5E9E"/>
    <w:rsid w:val="001F332D"/>
    <w:rsid w:val="001F4EF9"/>
    <w:rsid w:val="001F5010"/>
    <w:rsid w:val="001F6716"/>
    <w:rsid w:val="00200EAC"/>
    <w:rsid w:val="002037CC"/>
    <w:rsid w:val="002038CD"/>
    <w:rsid w:val="002040AC"/>
    <w:rsid w:val="002057C8"/>
    <w:rsid w:val="002061F2"/>
    <w:rsid w:val="002069EB"/>
    <w:rsid w:val="0021152F"/>
    <w:rsid w:val="0021431A"/>
    <w:rsid w:val="00216E13"/>
    <w:rsid w:val="00216EAE"/>
    <w:rsid w:val="00220D16"/>
    <w:rsid w:val="0022331C"/>
    <w:rsid w:val="0023198D"/>
    <w:rsid w:val="00232E44"/>
    <w:rsid w:val="00237E76"/>
    <w:rsid w:val="00243729"/>
    <w:rsid w:val="00246BF5"/>
    <w:rsid w:val="00251934"/>
    <w:rsid w:val="00251F75"/>
    <w:rsid w:val="002527EE"/>
    <w:rsid w:val="00254CD6"/>
    <w:rsid w:val="00255923"/>
    <w:rsid w:val="00256EE6"/>
    <w:rsid w:val="00257C2B"/>
    <w:rsid w:val="0026098F"/>
    <w:rsid w:val="002717B2"/>
    <w:rsid w:val="002724E8"/>
    <w:rsid w:val="002807E9"/>
    <w:rsid w:val="00285DAF"/>
    <w:rsid w:val="00287AEE"/>
    <w:rsid w:val="00290C55"/>
    <w:rsid w:val="002913FF"/>
    <w:rsid w:val="00296E7C"/>
    <w:rsid w:val="002A35D9"/>
    <w:rsid w:val="002A56E9"/>
    <w:rsid w:val="002A621E"/>
    <w:rsid w:val="002B2722"/>
    <w:rsid w:val="002B285A"/>
    <w:rsid w:val="002C1F67"/>
    <w:rsid w:val="002C6FE4"/>
    <w:rsid w:val="002C74C4"/>
    <w:rsid w:val="002D1A20"/>
    <w:rsid w:val="002E39B9"/>
    <w:rsid w:val="002E67CB"/>
    <w:rsid w:val="002E745E"/>
    <w:rsid w:val="002F2722"/>
    <w:rsid w:val="002F42E8"/>
    <w:rsid w:val="002F7225"/>
    <w:rsid w:val="002F7B8F"/>
    <w:rsid w:val="00300D69"/>
    <w:rsid w:val="00301085"/>
    <w:rsid w:val="00301413"/>
    <w:rsid w:val="00301503"/>
    <w:rsid w:val="00307F3E"/>
    <w:rsid w:val="003200B6"/>
    <w:rsid w:val="00320B15"/>
    <w:rsid w:val="00327DE5"/>
    <w:rsid w:val="00330D57"/>
    <w:rsid w:val="00332357"/>
    <w:rsid w:val="003339BF"/>
    <w:rsid w:val="003353D1"/>
    <w:rsid w:val="00341D66"/>
    <w:rsid w:val="00341F52"/>
    <w:rsid w:val="00352A71"/>
    <w:rsid w:val="0036095B"/>
    <w:rsid w:val="00363451"/>
    <w:rsid w:val="003702CC"/>
    <w:rsid w:val="00371ED6"/>
    <w:rsid w:val="00373CD2"/>
    <w:rsid w:val="00374FEB"/>
    <w:rsid w:val="00376E4A"/>
    <w:rsid w:val="003819A3"/>
    <w:rsid w:val="0038263B"/>
    <w:rsid w:val="0039300F"/>
    <w:rsid w:val="00395038"/>
    <w:rsid w:val="0039690C"/>
    <w:rsid w:val="00396DD1"/>
    <w:rsid w:val="00397BB7"/>
    <w:rsid w:val="003A1ECB"/>
    <w:rsid w:val="003B5A24"/>
    <w:rsid w:val="003B6AEC"/>
    <w:rsid w:val="003B7983"/>
    <w:rsid w:val="003C1A71"/>
    <w:rsid w:val="003C5390"/>
    <w:rsid w:val="003C6CF3"/>
    <w:rsid w:val="003C70FE"/>
    <w:rsid w:val="003D201B"/>
    <w:rsid w:val="003D2394"/>
    <w:rsid w:val="003D4350"/>
    <w:rsid w:val="003D5324"/>
    <w:rsid w:val="003D5E60"/>
    <w:rsid w:val="003D76B6"/>
    <w:rsid w:val="003E14DB"/>
    <w:rsid w:val="003E1E1A"/>
    <w:rsid w:val="003E3B7E"/>
    <w:rsid w:val="003F07C6"/>
    <w:rsid w:val="003F1945"/>
    <w:rsid w:val="004013EB"/>
    <w:rsid w:val="00402763"/>
    <w:rsid w:val="00403A63"/>
    <w:rsid w:val="00403C6E"/>
    <w:rsid w:val="004040DF"/>
    <w:rsid w:val="00420F5F"/>
    <w:rsid w:val="00422E32"/>
    <w:rsid w:val="00424EA6"/>
    <w:rsid w:val="004301D3"/>
    <w:rsid w:val="00431CF3"/>
    <w:rsid w:val="00435A10"/>
    <w:rsid w:val="00436753"/>
    <w:rsid w:val="00437B3E"/>
    <w:rsid w:val="00445F85"/>
    <w:rsid w:val="004513E6"/>
    <w:rsid w:val="00453C61"/>
    <w:rsid w:val="00462C2D"/>
    <w:rsid w:val="00466894"/>
    <w:rsid w:val="00472B83"/>
    <w:rsid w:val="00473D82"/>
    <w:rsid w:val="004753AE"/>
    <w:rsid w:val="00475D47"/>
    <w:rsid w:val="00475DE9"/>
    <w:rsid w:val="004846DC"/>
    <w:rsid w:val="00492B7A"/>
    <w:rsid w:val="0049536E"/>
    <w:rsid w:val="004A01F7"/>
    <w:rsid w:val="004A078A"/>
    <w:rsid w:val="004A428B"/>
    <w:rsid w:val="004A4F64"/>
    <w:rsid w:val="004A792E"/>
    <w:rsid w:val="004B0236"/>
    <w:rsid w:val="004B25E8"/>
    <w:rsid w:val="004B6A97"/>
    <w:rsid w:val="004B7092"/>
    <w:rsid w:val="004C14D5"/>
    <w:rsid w:val="004C2991"/>
    <w:rsid w:val="004C2E9F"/>
    <w:rsid w:val="004C39DA"/>
    <w:rsid w:val="004C3D65"/>
    <w:rsid w:val="004C46A5"/>
    <w:rsid w:val="004C4B5E"/>
    <w:rsid w:val="004C6FE4"/>
    <w:rsid w:val="004D19DD"/>
    <w:rsid w:val="004D437D"/>
    <w:rsid w:val="004D7CC1"/>
    <w:rsid w:val="004E1311"/>
    <w:rsid w:val="004E1EB8"/>
    <w:rsid w:val="004F5AF1"/>
    <w:rsid w:val="004F6899"/>
    <w:rsid w:val="004F69A5"/>
    <w:rsid w:val="00500322"/>
    <w:rsid w:val="005007CC"/>
    <w:rsid w:val="00501099"/>
    <w:rsid w:val="00501FFC"/>
    <w:rsid w:val="0050268E"/>
    <w:rsid w:val="005063EC"/>
    <w:rsid w:val="00510658"/>
    <w:rsid w:val="005144A4"/>
    <w:rsid w:val="00522E27"/>
    <w:rsid w:val="0053735C"/>
    <w:rsid w:val="0054238B"/>
    <w:rsid w:val="005452F0"/>
    <w:rsid w:val="005455EE"/>
    <w:rsid w:val="005465C8"/>
    <w:rsid w:val="00547C1A"/>
    <w:rsid w:val="00550042"/>
    <w:rsid w:val="0055076A"/>
    <w:rsid w:val="00553E6D"/>
    <w:rsid w:val="00565878"/>
    <w:rsid w:val="00565C62"/>
    <w:rsid w:val="00570C9A"/>
    <w:rsid w:val="00572E8D"/>
    <w:rsid w:val="0057472B"/>
    <w:rsid w:val="00581299"/>
    <w:rsid w:val="005822D2"/>
    <w:rsid w:val="005875A8"/>
    <w:rsid w:val="00595D41"/>
    <w:rsid w:val="005A24D1"/>
    <w:rsid w:val="005B1106"/>
    <w:rsid w:val="005B4C0B"/>
    <w:rsid w:val="005C27FE"/>
    <w:rsid w:val="005C3759"/>
    <w:rsid w:val="005C65E0"/>
    <w:rsid w:val="005C68A2"/>
    <w:rsid w:val="005E07C2"/>
    <w:rsid w:val="005E3556"/>
    <w:rsid w:val="005E51C2"/>
    <w:rsid w:val="005E5FB0"/>
    <w:rsid w:val="005E67AC"/>
    <w:rsid w:val="005E79D1"/>
    <w:rsid w:val="005F573F"/>
    <w:rsid w:val="005F5B22"/>
    <w:rsid w:val="006003B1"/>
    <w:rsid w:val="00600B66"/>
    <w:rsid w:val="006056DE"/>
    <w:rsid w:val="0062122F"/>
    <w:rsid w:val="006241BD"/>
    <w:rsid w:val="00624908"/>
    <w:rsid w:val="0063272B"/>
    <w:rsid w:val="00641F98"/>
    <w:rsid w:val="00651048"/>
    <w:rsid w:val="006510D8"/>
    <w:rsid w:val="00651AB5"/>
    <w:rsid w:val="00653E53"/>
    <w:rsid w:val="0065561B"/>
    <w:rsid w:val="006558A6"/>
    <w:rsid w:val="00656E01"/>
    <w:rsid w:val="0067645C"/>
    <w:rsid w:val="0068016D"/>
    <w:rsid w:val="00690224"/>
    <w:rsid w:val="00690C73"/>
    <w:rsid w:val="006923D9"/>
    <w:rsid w:val="00694140"/>
    <w:rsid w:val="006951F3"/>
    <w:rsid w:val="006967E9"/>
    <w:rsid w:val="006A7B1C"/>
    <w:rsid w:val="006B227F"/>
    <w:rsid w:val="006B6168"/>
    <w:rsid w:val="006C0FDA"/>
    <w:rsid w:val="006C4809"/>
    <w:rsid w:val="006C5B6D"/>
    <w:rsid w:val="006C681E"/>
    <w:rsid w:val="006C6A41"/>
    <w:rsid w:val="006C768E"/>
    <w:rsid w:val="006D75B8"/>
    <w:rsid w:val="006F0101"/>
    <w:rsid w:val="007011FE"/>
    <w:rsid w:val="0070572A"/>
    <w:rsid w:val="00712D97"/>
    <w:rsid w:val="00713531"/>
    <w:rsid w:val="00716A03"/>
    <w:rsid w:val="007241E1"/>
    <w:rsid w:val="00737B08"/>
    <w:rsid w:val="00737B83"/>
    <w:rsid w:val="0074026C"/>
    <w:rsid w:val="00745F1D"/>
    <w:rsid w:val="007464F1"/>
    <w:rsid w:val="00755A0D"/>
    <w:rsid w:val="00756B26"/>
    <w:rsid w:val="00761736"/>
    <w:rsid w:val="007661FD"/>
    <w:rsid w:val="0076699B"/>
    <w:rsid w:val="00766B21"/>
    <w:rsid w:val="0076703C"/>
    <w:rsid w:val="007701D7"/>
    <w:rsid w:val="007804C9"/>
    <w:rsid w:val="00781D1E"/>
    <w:rsid w:val="00782FA9"/>
    <w:rsid w:val="00790D98"/>
    <w:rsid w:val="007934DB"/>
    <w:rsid w:val="00797650"/>
    <w:rsid w:val="007A17BF"/>
    <w:rsid w:val="007A3F23"/>
    <w:rsid w:val="007A6428"/>
    <w:rsid w:val="007B6F44"/>
    <w:rsid w:val="007C09D8"/>
    <w:rsid w:val="007C1BA6"/>
    <w:rsid w:val="007C331B"/>
    <w:rsid w:val="007D0C38"/>
    <w:rsid w:val="007D4062"/>
    <w:rsid w:val="007D4400"/>
    <w:rsid w:val="007E0E3D"/>
    <w:rsid w:val="007E21E0"/>
    <w:rsid w:val="007E54E9"/>
    <w:rsid w:val="007F17D4"/>
    <w:rsid w:val="007F2CF8"/>
    <w:rsid w:val="007F6E20"/>
    <w:rsid w:val="008002CA"/>
    <w:rsid w:val="00800FA1"/>
    <w:rsid w:val="008048A5"/>
    <w:rsid w:val="00811AE1"/>
    <w:rsid w:val="008130C1"/>
    <w:rsid w:val="0081788F"/>
    <w:rsid w:val="008278BF"/>
    <w:rsid w:val="008313F2"/>
    <w:rsid w:val="00831CFC"/>
    <w:rsid w:val="00835BD3"/>
    <w:rsid w:val="008430FC"/>
    <w:rsid w:val="00843845"/>
    <w:rsid w:val="0084711F"/>
    <w:rsid w:val="0085277C"/>
    <w:rsid w:val="008567EE"/>
    <w:rsid w:val="00864F3C"/>
    <w:rsid w:val="0088278B"/>
    <w:rsid w:val="0089062F"/>
    <w:rsid w:val="00894945"/>
    <w:rsid w:val="00895062"/>
    <w:rsid w:val="008A0347"/>
    <w:rsid w:val="008A5182"/>
    <w:rsid w:val="008A5853"/>
    <w:rsid w:val="008A6401"/>
    <w:rsid w:val="008B4C53"/>
    <w:rsid w:val="008B5266"/>
    <w:rsid w:val="008B60A3"/>
    <w:rsid w:val="008B65C2"/>
    <w:rsid w:val="008C4DB3"/>
    <w:rsid w:val="008C7B03"/>
    <w:rsid w:val="008D06BE"/>
    <w:rsid w:val="008D1A59"/>
    <w:rsid w:val="008D21C9"/>
    <w:rsid w:val="008D25BA"/>
    <w:rsid w:val="008E1111"/>
    <w:rsid w:val="008E214D"/>
    <w:rsid w:val="008E22C8"/>
    <w:rsid w:val="008E5504"/>
    <w:rsid w:val="008E56C3"/>
    <w:rsid w:val="008F0F20"/>
    <w:rsid w:val="008F18CD"/>
    <w:rsid w:val="008F2014"/>
    <w:rsid w:val="008F2FDE"/>
    <w:rsid w:val="008F7A49"/>
    <w:rsid w:val="0091035F"/>
    <w:rsid w:val="009125B3"/>
    <w:rsid w:val="00913AF8"/>
    <w:rsid w:val="009158CE"/>
    <w:rsid w:val="00920A96"/>
    <w:rsid w:val="00931FB1"/>
    <w:rsid w:val="009404A3"/>
    <w:rsid w:val="00942442"/>
    <w:rsid w:val="009446D6"/>
    <w:rsid w:val="009543C5"/>
    <w:rsid w:val="00955650"/>
    <w:rsid w:val="00961ACE"/>
    <w:rsid w:val="00962F24"/>
    <w:rsid w:val="0096684F"/>
    <w:rsid w:val="00970C9E"/>
    <w:rsid w:val="00973D0C"/>
    <w:rsid w:val="00973F8D"/>
    <w:rsid w:val="00976D4F"/>
    <w:rsid w:val="009902D6"/>
    <w:rsid w:val="00992D8A"/>
    <w:rsid w:val="00994727"/>
    <w:rsid w:val="009A2238"/>
    <w:rsid w:val="009A2C70"/>
    <w:rsid w:val="009B10F1"/>
    <w:rsid w:val="009B4DA2"/>
    <w:rsid w:val="009B719D"/>
    <w:rsid w:val="009C2CC0"/>
    <w:rsid w:val="009C2DB0"/>
    <w:rsid w:val="009C4950"/>
    <w:rsid w:val="009D6057"/>
    <w:rsid w:val="009E2B70"/>
    <w:rsid w:val="009E2E50"/>
    <w:rsid w:val="009E3DC4"/>
    <w:rsid w:val="009E408B"/>
    <w:rsid w:val="009F7FC4"/>
    <w:rsid w:val="00A03EF4"/>
    <w:rsid w:val="00A078C1"/>
    <w:rsid w:val="00A15518"/>
    <w:rsid w:val="00A2032E"/>
    <w:rsid w:val="00A22136"/>
    <w:rsid w:val="00A22B44"/>
    <w:rsid w:val="00A2565F"/>
    <w:rsid w:val="00A264A5"/>
    <w:rsid w:val="00A43990"/>
    <w:rsid w:val="00A51B9E"/>
    <w:rsid w:val="00A57F3F"/>
    <w:rsid w:val="00A62D51"/>
    <w:rsid w:val="00A652FF"/>
    <w:rsid w:val="00A74623"/>
    <w:rsid w:val="00A771A1"/>
    <w:rsid w:val="00A80028"/>
    <w:rsid w:val="00A832C4"/>
    <w:rsid w:val="00A86085"/>
    <w:rsid w:val="00A918DE"/>
    <w:rsid w:val="00AA6C68"/>
    <w:rsid w:val="00AA75C5"/>
    <w:rsid w:val="00AB057A"/>
    <w:rsid w:val="00AB3768"/>
    <w:rsid w:val="00AB6B8D"/>
    <w:rsid w:val="00AC05CE"/>
    <w:rsid w:val="00AC12A1"/>
    <w:rsid w:val="00AC1781"/>
    <w:rsid w:val="00AC5144"/>
    <w:rsid w:val="00AD196B"/>
    <w:rsid w:val="00AD1A9B"/>
    <w:rsid w:val="00AE5760"/>
    <w:rsid w:val="00AE6F1C"/>
    <w:rsid w:val="00AF1BE3"/>
    <w:rsid w:val="00AF48E0"/>
    <w:rsid w:val="00B028A0"/>
    <w:rsid w:val="00B066EA"/>
    <w:rsid w:val="00B07A65"/>
    <w:rsid w:val="00B210E2"/>
    <w:rsid w:val="00B232E6"/>
    <w:rsid w:val="00B34BBD"/>
    <w:rsid w:val="00B35A7C"/>
    <w:rsid w:val="00B42871"/>
    <w:rsid w:val="00B512D5"/>
    <w:rsid w:val="00B53D41"/>
    <w:rsid w:val="00B568DB"/>
    <w:rsid w:val="00B7076C"/>
    <w:rsid w:val="00B72573"/>
    <w:rsid w:val="00B737DF"/>
    <w:rsid w:val="00B73973"/>
    <w:rsid w:val="00B73E83"/>
    <w:rsid w:val="00B75F6B"/>
    <w:rsid w:val="00B854A9"/>
    <w:rsid w:val="00B91684"/>
    <w:rsid w:val="00B92E8F"/>
    <w:rsid w:val="00BA6E89"/>
    <w:rsid w:val="00BA7598"/>
    <w:rsid w:val="00BB2AB6"/>
    <w:rsid w:val="00BB378B"/>
    <w:rsid w:val="00BB5C34"/>
    <w:rsid w:val="00BB7AFB"/>
    <w:rsid w:val="00BC0C30"/>
    <w:rsid w:val="00BC23FD"/>
    <w:rsid w:val="00BE051D"/>
    <w:rsid w:val="00BE391C"/>
    <w:rsid w:val="00BF1252"/>
    <w:rsid w:val="00BF3CD1"/>
    <w:rsid w:val="00BF45B5"/>
    <w:rsid w:val="00BF5A13"/>
    <w:rsid w:val="00C02C2F"/>
    <w:rsid w:val="00C14B13"/>
    <w:rsid w:val="00C1596F"/>
    <w:rsid w:val="00C273D4"/>
    <w:rsid w:val="00C3360A"/>
    <w:rsid w:val="00C34BC7"/>
    <w:rsid w:val="00C360A4"/>
    <w:rsid w:val="00C36EA6"/>
    <w:rsid w:val="00C37964"/>
    <w:rsid w:val="00C41783"/>
    <w:rsid w:val="00C4379C"/>
    <w:rsid w:val="00C46CB9"/>
    <w:rsid w:val="00C47164"/>
    <w:rsid w:val="00C51F73"/>
    <w:rsid w:val="00C5478B"/>
    <w:rsid w:val="00C62F6F"/>
    <w:rsid w:val="00C70471"/>
    <w:rsid w:val="00C82318"/>
    <w:rsid w:val="00C86440"/>
    <w:rsid w:val="00C8671D"/>
    <w:rsid w:val="00C91C3F"/>
    <w:rsid w:val="00C91EA3"/>
    <w:rsid w:val="00C9217A"/>
    <w:rsid w:val="00C935E7"/>
    <w:rsid w:val="00C96001"/>
    <w:rsid w:val="00CA357E"/>
    <w:rsid w:val="00CB3C27"/>
    <w:rsid w:val="00CC0B34"/>
    <w:rsid w:val="00CC1912"/>
    <w:rsid w:val="00CD0A16"/>
    <w:rsid w:val="00CD1BEE"/>
    <w:rsid w:val="00CD5153"/>
    <w:rsid w:val="00CE26AE"/>
    <w:rsid w:val="00CE401C"/>
    <w:rsid w:val="00CE4C27"/>
    <w:rsid w:val="00CE5688"/>
    <w:rsid w:val="00CF3EBA"/>
    <w:rsid w:val="00D01AB9"/>
    <w:rsid w:val="00D03160"/>
    <w:rsid w:val="00D03CE8"/>
    <w:rsid w:val="00D04866"/>
    <w:rsid w:val="00D111B6"/>
    <w:rsid w:val="00D113C1"/>
    <w:rsid w:val="00D13B6F"/>
    <w:rsid w:val="00D16D6D"/>
    <w:rsid w:val="00D17FE9"/>
    <w:rsid w:val="00D22173"/>
    <w:rsid w:val="00D22816"/>
    <w:rsid w:val="00D3439C"/>
    <w:rsid w:val="00D37D13"/>
    <w:rsid w:val="00D40341"/>
    <w:rsid w:val="00D40DF3"/>
    <w:rsid w:val="00D440A6"/>
    <w:rsid w:val="00D547F0"/>
    <w:rsid w:val="00D5645F"/>
    <w:rsid w:val="00D65730"/>
    <w:rsid w:val="00D70F04"/>
    <w:rsid w:val="00D759C6"/>
    <w:rsid w:val="00D75D95"/>
    <w:rsid w:val="00D81BFB"/>
    <w:rsid w:val="00D835BE"/>
    <w:rsid w:val="00D91B5E"/>
    <w:rsid w:val="00DA41A3"/>
    <w:rsid w:val="00DA492F"/>
    <w:rsid w:val="00DA6DC5"/>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2CC0"/>
    <w:rsid w:val="00E246DD"/>
    <w:rsid w:val="00E247CF"/>
    <w:rsid w:val="00E505BE"/>
    <w:rsid w:val="00E57BB0"/>
    <w:rsid w:val="00E57FAF"/>
    <w:rsid w:val="00E621D0"/>
    <w:rsid w:val="00E6475C"/>
    <w:rsid w:val="00E65091"/>
    <w:rsid w:val="00E67A1A"/>
    <w:rsid w:val="00E72B5B"/>
    <w:rsid w:val="00E76984"/>
    <w:rsid w:val="00E84CCF"/>
    <w:rsid w:val="00E87C49"/>
    <w:rsid w:val="00E90059"/>
    <w:rsid w:val="00E9492A"/>
    <w:rsid w:val="00E96E42"/>
    <w:rsid w:val="00EA350E"/>
    <w:rsid w:val="00EA76D8"/>
    <w:rsid w:val="00EB1151"/>
    <w:rsid w:val="00EB3263"/>
    <w:rsid w:val="00EB6E4E"/>
    <w:rsid w:val="00EC3875"/>
    <w:rsid w:val="00EC4665"/>
    <w:rsid w:val="00ED0A73"/>
    <w:rsid w:val="00ED57B0"/>
    <w:rsid w:val="00EE2C87"/>
    <w:rsid w:val="00EF1D62"/>
    <w:rsid w:val="00F00ABA"/>
    <w:rsid w:val="00F11986"/>
    <w:rsid w:val="00F1524F"/>
    <w:rsid w:val="00F1545F"/>
    <w:rsid w:val="00F223BA"/>
    <w:rsid w:val="00F22E5B"/>
    <w:rsid w:val="00F22E97"/>
    <w:rsid w:val="00F23BB1"/>
    <w:rsid w:val="00F30943"/>
    <w:rsid w:val="00F3392A"/>
    <w:rsid w:val="00F352E1"/>
    <w:rsid w:val="00F364BF"/>
    <w:rsid w:val="00F36C11"/>
    <w:rsid w:val="00F37B26"/>
    <w:rsid w:val="00F410EE"/>
    <w:rsid w:val="00F41400"/>
    <w:rsid w:val="00F42778"/>
    <w:rsid w:val="00F42F52"/>
    <w:rsid w:val="00F4336E"/>
    <w:rsid w:val="00F45BE8"/>
    <w:rsid w:val="00F46A39"/>
    <w:rsid w:val="00F50856"/>
    <w:rsid w:val="00F5449B"/>
    <w:rsid w:val="00F6496D"/>
    <w:rsid w:val="00F709A6"/>
    <w:rsid w:val="00F73BBB"/>
    <w:rsid w:val="00F748D8"/>
    <w:rsid w:val="00F75AA1"/>
    <w:rsid w:val="00F77C60"/>
    <w:rsid w:val="00F816B6"/>
    <w:rsid w:val="00F8318B"/>
    <w:rsid w:val="00F84E9F"/>
    <w:rsid w:val="00F864FC"/>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3FCE"/>
    <w:rsid w:val="00FD6DE5"/>
    <w:rsid w:val="00FE097F"/>
    <w:rsid w:val="00FE4D47"/>
    <w:rsid w:val="00FE5E9E"/>
    <w:rsid w:val="00FF2E42"/>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D65293"/>
  <w15:chartTrackingRefBased/>
  <w15:docId w15:val="{3E82D901-8690-4E3E-A805-B1AC62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Response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2015-08-12T07:00:00+00:00</OpenedDate>
    <Date1 xmlns="dc463f71-b30c-4ab2-9473-d307f9d35888">2016-01-15T00:04:23+00:00</Date1>
    <IsDocumentOrder xmlns="dc463f71-b30c-4ab2-9473-d307f9d35888" xsi:nil="true"/>
    <IsHighlyConfidential xmlns="dc463f71-b30c-4ab2-9473-d307f9d35888">false</IsHighlyConfidential>
    <CaseCompanyNames xmlns="dc463f71-b30c-4ab2-9473-d307f9d35888">Blessed Limousine, Inc.</CaseCompanyNames>
    <DocketNumber xmlns="dc463f71-b30c-4ab2-9473-d307f9d35888">151667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1DC5189441F3499102E25DCC821E8C" ma:contentTypeVersion="119" ma:contentTypeDescription="" ma:contentTypeScope="" ma:versionID="dba136fdede6535544935adfa1ddb2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828EF-E227-4AFF-995C-8CAC940F2139}"/>
</file>

<file path=customXml/itemProps2.xml><?xml version="1.0" encoding="utf-8"?>
<ds:datastoreItem xmlns:ds="http://schemas.openxmlformats.org/officeDocument/2006/customXml" ds:itemID="{4F97A112-5E01-4F22-80D1-B60ADE96BFBD}"/>
</file>

<file path=customXml/itemProps3.xml><?xml version="1.0" encoding="utf-8"?>
<ds:datastoreItem xmlns:ds="http://schemas.openxmlformats.org/officeDocument/2006/customXml" ds:itemID="{5029B77D-1215-477F-83D2-1E36EF688400}"/>
</file>

<file path=customXml/itemProps4.xml><?xml version="1.0" encoding="utf-8"?>
<ds:datastoreItem xmlns:ds="http://schemas.openxmlformats.org/officeDocument/2006/customXml" ds:itemID="{012E9302-4C70-47F9-BCE8-8FC3DA069896}"/>
</file>

<file path=customXml/itemProps5.xml><?xml version="1.0" encoding="utf-8"?>
<ds:datastoreItem xmlns:ds="http://schemas.openxmlformats.org/officeDocument/2006/customXml" ds:itemID="{3A678F14-64E2-45BB-ABF0-DCFEC8E3C303}"/>
</file>

<file path=customXml/itemProps6.xml><?xml version="1.0" encoding="utf-8"?>
<ds:datastoreItem xmlns:ds="http://schemas.openxmlformats.org/officeDocument/2006/customXml" ds:itemID="{0021BE10-3F52-474D-A847-1605EABCEDF7}"/>
</file>

<file path=docProps/app.xml><?xml version="1.0" encoding="utf-8"?>
<Properties xmlns="http://schemas.openxmlformats.org/officeDocument/2006/extended-properties" xmlns:vt="http://schemas.openxmlformats.org/officeDocument/2006/docPropsVTypes">
  <Template>Normal.dotm</Template>
  <TotalTime>520</TotalTime>
  <Pages>8</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O'Connell</dc:creator>
  <cp:keywords/>
  <dc:description/>
  <cp:lastModifiedBy>DeMarco, Betsy (UTC)</cp:lastModifiedBy>
  <cp:revision>53</cp:revision>
  <cp:lastPrinted>2014-12-05T16:47:00Z</cp:lastPrinted>
  <dcterms:created xsi:type="dcterms:W3CDTF">2016-01-13T14:55:00Z</dcterms:created>
  <dcterms:modified xsi:type="dcterms:W3CDTF">2016-01-14T19:04:00Z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0x0101006E56B4D1795A2E4DB2F0B01679ED314A00851DC5189441F3499102E25DCC821E8C</vt:lpwstr>
  </property>
  <property fmtid="{D5CDD505-2E9C-101B-9397-08002B2CF9AE}" pid="5" name="_docset_NoMedatataSyncRequired">
    <vt:lpwstr>False</vt:lpwstr>
  </property>
</Properties>
</file>