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9F" w:rsidRDefault="0091409F" w:rsidP="00965284">
      <w:pPr>
        <w:pStyle w:val="LetterDate"/>
        <w:spacing w:before="960" w:after="480"/>
        <w:ind w:left="2880" w:firstLine="720"/>
        <w:rPr>
          <w:noProof/>
          <w:szCs w:val="24"/>
        </w:rPr>
      </w:pPr>
    </w:p>
    <w:p w:rsidR="00442911" w:rsidRPr="009B0F15" w:rsidRDefault="00DE4995" w:rsidP="00965284">
      <w:pPr>
        <w:pStyle w:val="LetterDate"/>
        <w:spacing w:before="960" w:after="480"/>
        <w:ind w:left="2880" w:firstLine="720"/>
        <w:rPr>
          <w:szCs w:val="24"/>
        </w:rPr>
      </w:pPr>
      <w:r>
        <w:rPr>
          <w:noProof/>
          <w:szCs w:val="24"/>
        </w:rPr>
        <w:t>November 25</w:t>
      </w:r>
      <w:r w:rsidR="0096112A" w:rsidRPr="009B0F15">
        <w:rPr>
          <w:noProof/>
          <w:szCs w:val="24"/>
        </w:rPr>
        <w:t>, 2015</w:t>
      </w:r>
    </w:p>
    <w:p w:rsidR="00543F1E" w:rsidRDefault="00543F1E" w:rsidP="00965284">
      <w:pPr>
        <w:pStyle w:val="Addressee"/>
        <w:rPr>
          <w:b/>
          <w:i/>
          <w:szCs w:val="24"/>
        </w:rPr>
      </w:pPr>
    </w:p>
    <w:p w:rsidR="00DD4ECB" w:rsidRPr="009B0F15" w:rsidRDefault="00DE53A7" w:rsidP="00965284">
      <w:pPr>
        <w:pStyle w:val="Addressee"/>
        <w:rPr>
          <w:b/>
          <w:i/>
          <w:szCs w:val="24"/>
        </w:rPr>
      </w:pPr>
      <w:r w:rsidRPr="009B0F15">
        <w:rPr>
          <w:b/>
          <w:i/>
          <w:szCs w:val="24"/>
        </w:rPr>
        <w:t>V</w:t>
      </w:r>
      <w:r w:rsidR="00DD4ECB" w:rsidRPr="009B0F15">
        <w:rPr>
          <w:b/>
          <w:i/>
          <w:szCs w:val="24"/>
        </w:rPr>
        <w:t xml:space="preserve">ia </w:t>
      </w:r>
      <w:r w:rsidR="00DE4995">
        <w:rPr>
          <w:b/>
          <w:i/>
          <w:szCs w:val="24"/>
        </w:rPr>
        <w:t>Web Portal and Federal Express</w:t>
      </w:r>
    </w:p>
    <w:p w:rsidR="00DD4ECB" w:rsidRPr="009B0F15" w:rsidRDefault="00DD4ECB" w:rsidP="00965284">
      <w:pPr>
        <w:pStyle w:val="Addressee"/>
        <w:rPr>
          <w:b/>
          <w:szCs w:val="24"/>
        </w:rPr>
      </w:pPr>
    </w:p>
    <w:p w:rsidR="00442911" w:rsidRPr="009B0F15" w:rsidRDefault="00442911" w:rsidP="00965284">
      <w:pPr>
        <w:pStyle w:val="Addressee"/>
        <w:rPr>
          <w:szCs w:val="24"/>
        </w:rPr>
      </w:pPr>
      <w:r w:rsidRPr="009B0F15">
        <w:rPr>
          <w:szCs w:val="24"/>
        </w:rPr>
        <w:t>Steven V. King, Executive Director and Secretary</w:t>
      </w:r>
    </w:p>
    <w:p w:rsidR="00442911" w:rsidRPr="009B0F15" w:rsidRDefault="00442911" w:rsidP="00965284">
      <w:pPr>
        <w:pStyle w:val="Addressee"/>
        <w:rPr>
          <w:szCs w:val="24"/>
        </w:rPr>
      </w:pPr>
      <w:r w:rsidRPr="009B0F15">
        <w:rPr>
          <w:szCs w:val="24"/>
        </w:rPr>
        <w:t>Washington Utilities and Transportation Commission</w:t>
      </w:r>
    </w:p>
    <w:p w:rsidR="00442911" w:rsidRPr="009B0F15" w:rsidRDefault="00442911" w:rsidP="00965284">
      <w:pPr>
        <w:pStyle w:val="Addressee"/>
        <w:rPr>
          <w:szCs w:val="24"/>
        </w:rPr>
      </w:pPr>
      <w:r w:rsidRPr="009B0F15">
        <w:rPr>
          <w:szCs w:val="24"/>
        </w:rPr>
        <w:t>P.O. Box 47250</w:t>
      </w:r>
    </w:p>
    <w:p w:rsidR="00442911" w:rsidRPr="009B0F15" w:rsidRDefault="00442911" w:rsidP="00965284">
      <w:pPr>
        <w:pStyle w:val="Addressee"/>
        <w:rPr>
          <w:szCs w:val="24"/>
        </w:rPr>
      </w:pPr>
      <w:r w:rsidRPr="009B0F15">
        <w:rPr>
          <w:szCs w:val="24"/>
        </w:rPr>
        <w:t>1300 S. Evergreen Park Drive S.W.</w:t>
      </w:r>
    </w:p>
    <w:p w:rsidR="00442911" w:rsidRPr="009B0F15" w:rsidRDefault="00442911" w:rsidP="00965284">
      <w:pPr>
        <w:pStyle w:val="Addressee"/>
        <w:rPr>
          <w:szCs w:val="24"/>
        </w:rPr>
      </w:pPr>
      <w:r w:rsidRPr="009B0F15">
        <w:rPr>
          <w:szCs w:val="24"/>
        </w:rPr>
        <w:t>Olympia, Washington  98504-7250</w:t>
      </w:r>
    </w:p>
    <w:p w:rsidR="004F0A38" w:rsidRPr="009B0F15" w:rsidRDefault="004F0A38" w:rsidP="004F0A38">
      <w:pPr>
        <w:spacing w:line="288" w:lineRule="auto"/>
        <w:ind w:left="720" w:hanging="720"/>
        <w:rPr>
          <w:szCs w:val="24"/>
        </w:rPr>
      </w:pPr>
    </w:p>
    <w:p w:rsidR="009B0F15" w:rsidRPr="009B0F15" w:rsidRDefault="00442911" w:rsidP="009B0F15">
      <w:pPr>
        <w:rPr>
          <w:b/>
          <w:szCs w:val="24"/>
        </w:rPr>
      </w:pPr>
      <w:r w:rsidRPr="009B0F15">
        <w:rPr>
          <w:b/>
          <w:szCs w:val="24"/>
        </w:rPr>
        <w:t>Re:</w:t>
      </w:r>
      <w:r w:rsidRPr="009B0F15">
        <w:rPr>
          <w:b/>
          <w:szCs w:val="24"/>
        </w:rPr>
        <w:tab/>
      </w:r>
      <w:r w:rsidR="009B0F15" w:rsidRPr="009B0F15">
        <w:rPr>
          <w:b/>
          <w:szCs w:val="24"/>
        </w:rPr>
        <w:t>2015 Integrated Resource Plan</w:t>
      </w:r>
      <w:r w:rsidR="004F4CC4">
        <w:rPr>
          <w:b/>
          <w:szCs w:val="24"/>
        </w:rPr>
        <w:br/>
      </w:r>
      <w:r w:rsidR="004F4CC4">
        <w:rPr>
          <w:b/>
          <w:szCs w:val="24"/>
        </w:rPr>
        <w:tab/>
        <w:t>UG-141169 and UE-141170</w:t>
      </w:r>
      <w:bookmarkStart w:id="0" w:name="_GoBack"/>
      <w:bookmarkEnd w:id="0"/>
    </w:p>
    <w:p w:rsidR="009B0F15" w:rsidRPr="009B0F15" w:rsidRDefault="009B0F15" w:rsidP="009B0F15">
      <w:pPr>
        <w:rPr>
          <w:b/>
          <w:szCs w:val="24"/>
        </w:rPr>
      </w:pPr>
      <w:r w:rsidRPr="009B0F15">
        <w:rPr>
          <w:b/>
          <w:szCs w:val="24"/>
        </w:rPr>
        <w:tab/>
        <w:t>WAC Required Report, WAC 480-100-238 and</w:t>
      </w:r>
    </w:p>
    <w:p w:rsidR="009B0F15" w:rsidRPr="009B0F15" w:rsidRDefault="009B0F15" w:rsidP="009B0F15">
      <w:pPr>
        <w:rPr>
          <w:b/>
          <w:szCs w:val="24"/>
        </w:rPr>
      </w:pPr>
      <w:r w:rsidRPr="009B0F15">
        <w:rPr>
          <w:b/>
          <w:szCs w:val="24"/>
        </w:rPr>
        <w:tab/>
        <w:t>WAC-Required Report, WAC 480-90-238</w:t>
      </w:r>
    </w:p>
    <w:p w:rsidR="009B0F15" w:rsidRPr="009B0F15" w:rsidRDefault="009B0F15" w:rsidP="009B0F15">
      <w:pPr>
        <w:spacing w:line="288" w:lineRule="auto"/>
        <w:ind w:left="720" w:hanging="720"/>
        <w:rPr>
          <w:szCs w:val="24"/>
        </w:rPr>
      </w:pPr>
    </w:p>
    <w:p w:rsidR="00442911" w:rsidRPr="009B0F15" w:rsidRDefault="00442911" w:rsidP="00543F1E">
      <w:pPr>
        <w:spacing w:line="480" w:lineRule="auto"/>
        <w:ind w:left="720" w:hanging="720"/>
        <w:rPr>
          <w:szCs w:val="24"/>
        </w:rPr>
      </w:pPr>
      <w:r w:rsidRPr="009B0F15">
        <w:rPr>
          <w:szCs w:val="24"/>
        </w:rPr>
        <w:t>Dear Mr. King:</w:t>
      </w:r>
    </w:p>
    <w:p w:rsidR="009B0F15" w:rsidRPr="009B0F15" w:rsidRDefault="009B0F15" w:rsidP="009B0F15">
      <w:pPr>
        <w:ind w:firstLine="720"/>
        <w:rPr>
          <w:szCs w:val="24"/>
        </w:rPr>
      </w:pPr>
      <w:r w:rsidRPr="009B0F15">
        <w:rPr>
          <w:szCs w:val="24"/>
        </w:rPr>
        <w:t>Enclosed for filing, please find an original and six copies of Puget Sound Energy</w:t>
      </w:r>
      <w:r w:rsidR="00DE4995">
        <w:rPr>
          <w:szCs w:val="24"/>
        </w:rPr>
        <w:t>’s</w:t>
      </w:r>
      <w:r w:rsidRPr="009B0F15">
        <w:rPr>
          <w:szCs w:val="24"/>
        </w:rPr>
        <w:t xml:space="preserve"> (“PSE” or the “Company”) 2015 Integrated Resource Plan (“2015 IRP” or “IRP”) Chapters 1-7 and the Appendices A-O.  This document presents information and analysis to comply with both the electric utility integrated resource planning requirements under WAC 480-100-238 and the natural gas utility resource planning requirements under WAC 480-80-238.  It also meets the requirements under RCW 19.280.030.</w:t>
      </w:r>
    </w:p>
    <w:p w:rsidR="009B0F15" w:rsidRPr="009B0F15" w:rsidRDefault="009B0F15" w:rsidP="009B0F15">
      <w:pPr>
        <w:rPr>
          <w:szCs w:val="24"/>
        </w:rPr>
      </w:pPr>
    </w:p>
    <w:p w:rsidR="009B0F15" w:rsidRPr="009B0F15" w:rsidRDefault="009B0F15" w:rsidP="009B0F15">
      <w:pPr>
        <w:rPr>
          <w:i/>
          <w:szCs w:val="24"/>
        </w:rPr>
      </w:pPr>
      <w:r w:rsidRPr="009B0F15">
        <w:rPr>
          <w:i/>
          <w:szCs w:val="24"/>
        </w:rPr>
        <w:t>Regulatory Requirements</w:t>
      </w:r>
    </w:p>
    <w:p w:rsidR="009B0F15" w:rsidRPr="009B0F15" w:rsidRDefault="009B0F15" w:rsidP="009B0F15">
      <w:pPr>
        <w:rPr>
          <w:szCs w:val="24"/>
        </w:rPr>
      </w:pPr>
    </w:p>
    <w:p w:rsidR="009B0F15" w:rsidRPr="009B0F15" w:rsidRDefault="009B0F15" w:rsidP="009B0F15">
      <w:pPr>
        <w:ind w:firstLine="720"/>
        <w:rPr>
          <w:szCs w:val="24"/>
        </w:rPr>
      </w:pPr>
      <w:r w:rsidRPr="009B0F15">
        <w:rPr>
          <w:szCs w:val="24"/>
        </w:rPr>
        <w:t>As noted in Appendix B, this IRP meets all the requirements of WAC 480-100-238 and WAC 480-90-238.  The following table is a summary of the electric requirements under WAC 480-100-238 and the corresponding chapter(s) or appendices in the PSE IRP that address that requirement:</w:t>
      </w:r>
    </w:p>
    <w:p w:rsidR="009B0F15" w:rsidRPr="009B0F15" w:rsidRDefault="009B0F15">
      <w:pPr>
        <w:spacing w:after="200" w:line="276" w:lineRule="auto"/>
        <w:rPr>
          <w:rFonts w:ascii="Arial" w:eastAsia="MS Mincho" w:hAnsi="Arial"/>
          <w:i/>
          <w:sz w:val="20"/>
          <w:szCs w:val="22"/>
          <w:lang w:eastAsia="ja-JP"/>
        </w:rPr>
      </w:pPr>
      <w:r w:rsidRPr="009B0F15">
        <w:br w:type="page"/>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3960"/>
      </w:tblGrid>
      <w:tr w:rsidR="009B0F15" w:rsidRPr="009B0F15" w:rsidTr="005F6B1D">
        <w:trPr>
          <w:cantSplit/>
          <w:trHeight w:hRule="exact" w:val="781"/>
          <w:tblHeader/>
        </w:trPr>
        <w:tc>
          <w:tcPr>
            <w:tcW w:w="4680" w:type="dxa"/>
            <w:tcBorders>
              <w:bottom w:val="single" w:sz="4" w:space="0" w:color="auto"/>
            </w:tcBorders>
            <w:shd w:val="clear" w:color="auto" w:fill="006A71"/>
            <w:vAlign w:val="center"/>
          </w:tcPr>
          <w:p w:rsidR="009B0F15" w:rsidRPr="0091409F" w:rsidRDefault="009B0F15" w:rsidP="005F6B1D">
            <w:pPr>
              <w:spacing w:line="280" w:lineRule="exact"/>
              <w:jc w:val="center"/>
              <w:rPr>
                <w:rFonts w:ascii="Arial" w:hAnsi="Arial"/>
                <w:b/>
                <w:color w:val="FFFFFF" w:themeColor="background1"/>
              </w:rPr>
            </w:pPr>
            <w:r w:rsidRPr="0091409F">
              <w:rPr>
                <w:rFonts w:ascii="Arial" w:hAnsi="Arial"/>
                <w:b/>
                <w:color w:val="FFFFFF" w:themeColor="background1"/>
              </w:rPr>
              <w:lastRenderedPageBreak/>
              <w:t>Statutory or Regulatory Requirement</w:t>
            </w:r>
          </w:p>
        </w:tc>
        <w:tc>
          <w:tcPr>
            <w:tcW w:w="3960" w:type="dxa"/>
            <w:tcBorders>
              <w:bottom w:val="single" w:sz="4" w:space="0" w:color="auto"/>
            </w:tcBorders>
            <w:shd w:val="clear" w:color="auto" w:fill="006A71"/>
            <w:vAlign w:val="center"/>
          </w:tcPr>
          <w:p w:rsidR="009B0F15" w:rsidRPr="0091409F" w:rsidRDefault="009B0F15" w:rsidP="005F6B1D">
            <w:pPr>
              <w:spacing w:line="280" w:lineRule="exact"/>
              <w:jc w:val="center"/>
              <w:rPr>
                <w:rFonts w:ascii="Arial" w:hAnsi="Arial"/>
                <w:b/>
                <w:color w:val="FFFFFF" w:themeColor="background1"/>
              </w:rPr>
            </w:pPr>
            <w:r w:rsidRPr="0091409F">
              <w:rPr>
                <w:rFonts w:ascii="Arial" w:hAnsi="Arial"/>
                <w:b/>
                <w:color w:val="FFFFFF" w:themeColor="background1"/>
              </w:rPr>
              <w:t>Chapter and/or Appendix</w:t>
            </w:r>
          </w:p>
        </w:tc>
      </w:tr>
      <w:tr w:rsidR="009B0F15" w:rsidRPr="009B0F15" w:rsidTr="005F6B1D">
        <w:trPr>
          <w:cantSplit/>
          <w:trHeight w:hRule="exact" w:val="202"/>
          <w:tblHeader/>
        </w:trPr>
        <w:tc>
          <w:tcPr>
            <w:tcW w:w="8640" w:type="dxa"/>
            <w:gridSpan w:val="2"/>
            <w:shd w:val="clear" w:color="auto" w:fill="807F83"/>
          </w:tcPr>
          <w:p w:rsidR="009B0F15" w:rsidRPr="009B0F15" w:rsidRDefault="009B0F15" w:rsidP="005F6B1D">
            <w:pPr>
              <w:spacing w:after="60" w:line="280" w:lineRule="exact"/>
              <w:rPr>
                <w:rFonts w:ascii="Arial" w:hAnsi="Arial"/>
              </w:rPr>
            </w:pPr>
          </w:p>
        </w:tc>
      </w:tr>
      <w:tr w:rsidR="009B0F15" w:rsidRPr="009B0F15" w:rsidTr="005F6B1D">
        <w:trPr>
          <w:cantSplit/>
          <w:trHeight w:val="231"/>
        </w:trPr>
        <w:tc>
          <w:tcPr>
            <w:tcW w:w="4680" w:type="dxa"/>
          </w:tcPr>
          <w:p w:rsidR="009B0F15" w:rsidRPr="009B0F15" w:rsidRDefault="009B0F15" w:rsidP="005F6B1D">
            <w:pPr>
              <w:pStyle w:val="IRPsanstext"/>
              <w:spacing w:line="240" w:lineRule="exact"/>
              <w:rPr>
                <w:sz w:val="18"/>
                <w:szCs w:val="18"/>
              </w:rPr>
            </w:pPr>
            <w:r w:rsidRPr="009B0F15">
              <w:rPr>
                <w:b/>
                <w:i/>
                <w:sz w:val="18"/>
                <w:szCs w:val="18"/>
              </w:rPr>
              <w:t>WAC 480-100-238 (3) (a)</w:t>
            </w:r>
            <w:r w:rsidRPr="009B0F15">
              <w:rPr>
                <w:b/>
                <w:sz w:val="18"/>
                <w:szCs w:val="18"/>
              </w:rPr>
              <w:t xml:space="preserve"> </w:t>
            </w:r>
            <w:r w:rsidRPr="009B0F15">
              <w:rPr>
                <w:sz w:val="18"/>
                <w:szCs w:val="18"/>
              </w:rPr>
              <w:t>A range of forecasts of future demand using methods that examine the effect of economic forces on the consumption of electricity and that address changes in the number, type and efficiency of electrical end-uses.</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Chapter 4, Key Analytical Assumptions</w:t>
            </w:r>
          </w:p>
          <w:p w:rsidR="009B0F15" w:rsidRPr="009B0F15" w:rsidRDefault="009B0F15" w:rsidP="005F6B1D">
            <w:pPr>
              <w:pStyle w:val="IRPsanstext"/>
              <w:spacing w:line="240" w:lineRule="exact"/>
              <w:rPr>
                <w:sz w:val="18"/>
                <w:szCs w:val="18"/>
              </w:rPr>
            </w:pPr>
            <w:r w:rsidRPr="009B0F15">
              <w:rPr>
                <w:sz w:val="18"/>
                <w:szCs w:val="18"/>
              </w:rPr>
              <w:t>Chapter 5, Demand Forecasts</w:t>
            </w:r>
          </w:p>
          <w:p w:rsidR="009B0F15" w:rsidRPr="009B0F15" w:rsidRDefault="009B0F15" w:rsidP="005F6B1D">
            <w:pPr>
              <w:pStyle w:val="IRPsanstext"/>
              <w:spacing w:line="240" w:lineRule="exact"/>
              <w:rPr>
                <w:sz w:val="18"/>
                <w:szCs w:val="18"/>
              </w:rPr>
            </w:pPr>
            <w:r w:rsidRPr="009B0F15">
              <w:rPr>
                <w:sz w:val="18"/>
                <w:szCs w:val="18"/>
              </w:rPr>
              <w:t>Appendix E, Demand Forecasting Models</w:t>
            </w:r>
          </w:p>
        </w:tc>
      </w:tr>
      <w:tr w:rsidR="009B0F15" w:rsidRPr="009B0F15" w:rsidTr="005F6B1D">
        <w:trPr>
          <w:cantSplit/>
          <w:trHeight w:val="231"/>
        </w:trPr>
        <w:tc>
          <w:tcPr>
            <w:tcW w:w="4680" w:type="dxa"/>
          </w:tcPr>
          <w:p w:rsidR="009B0F15" w:rsidRPr="009B0F15" w:rsidRDefault="009B0F15" w:rsidP="005F6B1D">
            <w:pPr>
              <w:pStyle w:val="IRPsanstext"/>
              <w:spacing w:line="240" w:lineRule="exact"/>
              <w:rPr>
                <w:sz w:val="18"/>
                <w:szCs w:val="18"/>
              </w:rPr>
            </w:pPr>
            <w:r w:rsidRPr="009B0F15">
              <w:rPr>
                <w:b/>
                <w:i/>
                <w:sz w:val="18"/>
                <w:szCs w:val="18"/>
              </w:rPr>
              <w:t>WAC 480-100-238 (3) (b)</w:t>
            </w:r>
            <w:r w:rsidRPr="009B0F15">
              <w:rPr>
                <w:b/>
                <w:sz w:val="18"/>
                <w:szCs w:val="18"/>
              </w:rPr>
              <w:t xml:space="preserve"> </w:t>
            </w:r>
            <w:r w:rsidRPr="009B0F15">
              <w:rPr>
                <w:sz w:val="18"/>
                <w:szCs w:val="18"/>
              </w:rPr>
              <w:t>An assessment of commercially available conservation, including load management, as well as an assessment of currently employed and new policies and programs needed to obtain the conservation improvements.</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Chapter 6, Electric Analysis</w:t>
            </w:r>
          </w:p>
          <w:p w:rsidR="009B0F15" w:rsidRPr="009B0F15" w:rsidRDefault="009B0F15" w:rsidP="005F6B1D">
            <w:pPr>
              <w:pStyle w:val="IRPsanstext"/>
              <w:spacing w:line="240" w:lineRule="exact"/>
              <w:rPr>
                <w:sz w:val="18"/>
                <w:szCs w:val="18"/>
              </w:rPr>
            </w:pPr>
            <w:r w:rsidRPr="009B0F15">
              <w:rPr>
                <w:sz w:val="18"/>
                <w:szCs w:val="18"/>
              </w:rPr>
              <w:t xml:space="preserve">Appendix J, Demand-side Resources </w:t>
            </w:r>
          </w:p>
        </w:tc>
      </w:tr>
      <w:tr w:rsidR="009B0F15" w:rsidRPr="009B0F15" w:rsidTr="005F6B1D">
        <w:trPr>
          <w:cantSplit/>
          <w:trHeight w:val="231"/>
        </w:trPr>
        <w:tc>
          <w:tcPr>
            <w:tcW w:w="4680" w:type="dxa"/>
          </w:tcPr>
          <w:p w:rsidR="009B0F15" w:rsidRPr="009B0F15" w:rsidRDefault="009B0F15" w:rsidP="005F6B1D">
            <w:pPr>
              <w:pStyle w:val="IRPsanstext"/>
              <w:spacing w:line="240" w:lineRule="exact"/>
              <w:rPr>
                <w:sz w:val="18"/>
                <w:szCs w:val="18"/>
              </w:rPr>
            </w:pPr>
            <w:r w:rsidRPr="009B0F15">
              <w:rPr>
                <w:b/>
                <w:i/>
                <w:sz w:val="18"/>
                <w:szCs w:val="18"/>
              </w:rPr>
              <w:t>WAC 480-100-238 (3) (c)</w:t>
            </w:r>
            <w:r w:rsidRPr="009B0F15">
              <w:rPr>
                <w:b/>
                <w:sz w:val="18"/>
                <w:szCs w:val="18"/>
              </w:rPr>
              <w:t xml:space="preserve"> </w:t>
            </w:r>
            <w:r w:rsidRPr="009B0F15">
              <w:rPr>
                <w:sz w:val="18"/>
                <w:szCs w:val="18"/>
              </w:rPr>
              <w:t>An assessment of a wide range of conventional and commercially available non-conventional generating technologies.</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 xml:space="preserve">Chapter 6, Electric Analysis </w:t>
            </w:r>
          </w:p>
          <w:p w:rsidR="009B0F15" w:rsidRPr="009B0F15" w:rsidRDefault="009B0F15" w:rsidP="005F6B1D">
            <w:pPr>
              <w:pStyle w:val="IRPsanstext"/>
              <w:spacing w:line="240" w:lineRule="exact"/>
              <w:rPr>
                <w:sz w:val="18"/>
                <w:szCs w:val="18"/>
              </w:rPr>
            </w:pPr>
            <w:r w:rsidRPr="009B0F15">
              <w:rPr>
                <w:sz w:val="18"/>
                <w:szCs w:val="18"/>
              </w:rPr>
              <w:t>Appendix D, Electric Resources and Alternatives</w:t>
            </w:r>
          </w:p>
          <w:p w:rsidR="009B0F15" w:rsidRPr="009B0F15" w:rsidRDefault="009B0F15" w:rsidP="005F6B1D">
            <w:pPr>
              <w:pStyle w:val="IRPsanstext"/>
              <w:spacing w:line="240" w:lineRule="exact"/>
              <w:rPr>
                <w:sz w:val="18"/>
                <w:szCs w:val="18"/>
              </w:rPr>
            </w:pPr>
            <w:r w:rsidRPr="009B0F15">
              <w:rPr>
                <w:sz w:val="18"/>
                <w:szCs w:val="18"/>
              </w:rPr>
              <w:t>Appendix K, Colstrip</w:t>
            </w:r>
          </w:p>
          <w:p w:rsidR="009B0F15" w:rsidRPr="009B0F15" w:rsidRDefault="009B0F15" w:rsidP="005F6B1D">
            <w:pPr>
              <w:pStyle w:val="IRPsanstext"/>
              <w:spacing w:line="240" w:lineRule="exact"/>
              <w:rPr>
                <w:sz w:val="18"/>
                <w:szCs w:val="18"/>
              </w:rPr>
            </w:pPr>
            <w:r w:rsidRPr="009B0F15">
              <w:rPr>
                <w:sz w:val="18"/>
                <w:szCs w:val="18"/>
              </w:rPr>
              <w:t>Appendix L, Electric Energy Storage</w:t>
            </w:r>
          </w:p>
          <w:p w:rsidR="009B0F15" w:rsidRPr="009B0F15" w:rsidRDefault="009B0F15" w:rsidP="005F6B1D">
            <w:pPr>
              <w:pStyle w:val="IRPsanstext"/>
              <w:spacing w:line="240" w:lineRule="exact"/>
              <w:rPr>
                <w:sz w:val="18"/>
                <w:szCs w:val="18"/>
              </w:rPr>
            </w:pPr>
            <w:r w:rsidRPr="009B0F15">
              <w:rPr>
                <w:sz w:val="18"/>
                <w:szCs w:val="18"/>
              </w:rPr>
              <w:t>Appendix M, Distributed Solar</w:t>
            </w:r>
          </w:p>
        </w:tc>
      </w:tr>
      <w:tr w:rsidR="009B0F15" w:rsidRPr="009B0F15" w:rsidTr="005F6B1D">
        <w:trPr>
          <w:cantSplit/>
          <w:trHeight w:val="231"/>
        </w:trPr>
        <w:tc>
          <w:tcPr>
            <w:tcW w:w="4680" w:type="dxa"/>
          </w:tcPr>
          <w:p w:rsidR="009B0F15" w:rsidRPr="009B0F15" w:rsidRDefault="009B0F15" w:rsidP="005F6B1D">
            <w:pPr>
              <w:pStyle w:val="IRPsanstext"/>
              <w:spacing w:line="240" w:lineRule="exact"/>
              <w:rPr>
                <w:sz w:val="18"/>
                <w:szCs w:val="18"/>
              </w:rPr>
            </w:pPr>
            <w:r w:rsidRPr="009B0F15">
              <w:rPr>
                <w:b/>
                <w:i/>
                <w:sz w:val="18"/>
                <w:szCs w:val="18"/>
              </w:rPr>
              <w:t>WAC 480-100-238 (3) (d)</w:t>
            </w:r>
            <w:r w:rsidRPr="009B0F15">
              <w:rPr>
                <w:b/>
                <w:sz w:val="18"/>
                <w:szCs w:val="18"/>
              </w:rPr>
              <w:t xml:space="preserve"> </w:t>
            </w:r>
            <w:r w:rsidRPr="009B0F15">
              <w:rPr>
                <w:sz w:val="18"/>
                <w:szCs w:val="18"/>
              </w:rPr>
              <w:t>An assessment of transmission system capability and reliability, to the extent such information can be provided consistent with applicable laws.</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Appendix I, Regional Transmission Resources</w:t>
            </w:r>
          </w:p>
        </w:tc>
      </w:tr>
      <w:tr w:rsidR="009B0F15" w:rsidRPr="009B0F15" w:rsidTr="005F6B1D">
        <w:trPr>
          <w:cantSplit/>
          <w:trHeight w:val="231"/>
        </w:trPr>
        <w:tc>
          <w:tcPr>
            <w:tcW w:w="4680" w:type="dxa"/>
            <w:tcBorders>
              <w:bottom w:val="single" w:sz="4" w:space="0" w:color="auto"/>
            </w:tcBorders>
          </w:tcPr>
          <w:p w:rsidR="009B0F15" w:rsidRPr="009B0F15" w:rsidRDefault="009B0F15" w:rsidP="005F6B1D">
            <w:pPr>
              <w:pStyle w:val="IRPsanstext"/>
              <w:spacing w:line="240" w:lineRule="exact"/>
              <w:rPr>
                <w:sz w:val="18"/>
                <w:szCs w:val="18"/>
              </w:rPr>
            </w:pPr>
            <w:r w:rsidRPr="009B0F15">
              <w:rPr>
                <w:b/>
                <w:i/>
                <w:sz w:val="18"/>
                <w:szCs w:val="18"/>
              </w:rPr>
              <w:t>WAC 480-100-238 (3) (e)</w:t>
            </w:r>
            <w:r w:rsidRPr="009B0F15">
              <w:rPr>
                <w:b/>
                <w:sz w:val="18"/>
                <w:szCs w:val="18"/>
              </w:rPr>
              <w:t xml:space="preserve"> </w:t>
            </w:r>
            <w:r w:rsidRPr="009B0F15">
              <w:rPr>
                <w:sz w:val="18"/>
                <w:szCs w:val="18"/>
              </w:rPr>
              <w:t>A comparative evaluation of energy supply resources (including transmission and distribution) and improvements in conservation using the criteria specified in WAC 480-100-238 (2) (b), Lowest reasonable cost.</w:t>
            </w:r>
          </w:p>
        </w:tc>
        <w:tc>
          <w:tcPr>
            <w:tcW w:w="3960" w:type="dxa"/>
            <w:tcBorders>
              <w:bottom w:val="single" w:sz="4" w:space="0" w:color="auto"/>
            </w:tcBorders>
            <w:vAlign w:val="center"/>
          </w:tcPr>
          <w:p w:rsidR="009B0F15" w:rsidRPr="009B0F15" w:rsidRDefault="009B0F15" w:rsidP="005F6B1D">
            <w:pPr>
              <w:pStyle w:val="IRPsanstext"/>
              <w:spacing w:line="240" w:lineRule="exact"/>
              <w:rPr>
                <w:sz w:val="18"/>
                <w:szCs w:val="18"/>
              </w:rPr>
            </w:pPr>
            <w:r w:rsidRPr="009B0F15">
              <w:rPr>
                <w:sz w:val="18"/>
                <w:szCs w:val="18"/>
              </w:rPr>
              <w:t>Chapter 2, Resource Plan Decisions</w:t>
            </w:r>
          </w:p>
          <w:p w:rsidR="009B0F15" w:rsidRPr="009B0F15" w:rsidRDefault="009B0F15" w:rsidP="005F6B1D">
            <w:pPr>
              <w:pStyle w:val="IRPsanstext"/>
              <w:spacing w:line="240" w:lineRule="exact"/>
              <w:rPr>
                <w:sz w:val="18"/>
                <w:szCs w:val="18"/>
              </w:rPr>
            </w:pPr>
            <w:r w:rsidRPr="009B0F15">
              <w:rPr>
                <w:sz w:val="18"/>
                <w:szCs w:val="18"/>
              </w:rPr>
              <w:t>Chapter 6, Electric Analysis</w:t>
            </w:r>
          </w:p>
          <w:p w:rsidR="009B0F15" w:rsidRPr="009B0F15" w:rsidRDefault="009B0F15" w:rsidP="005F6B1D">
            <w:pPr>
              <w:pStyle w:val="IRPsanstext"/>
              <w:spacing w:line="240" w:lineRule="exact"/>
              <w:rPr>
                <w:sz w:val="18"/>
                <w:szCs w:val="18"/>
              </w:rPr>
            </w:pPr>
            <w:r w:rsidRPr="009B0F15">
              <w:rPr>
                <w:sz w:val="18"/>
                <w:szCs w:val="18"/>
              </w:rPr>
              <w:t>Appendix I, Regional Transmission Resources</w:t>
            </w:r>
          </w:p>
          <w:p w:rsidR="009B0F15" w:rsidRPr="009B0F15" w:rsidRDefault="009B0F15" w:rsidP="005F6B1D">
            <w:pPr>
              <w:pStyle w:val="IRPsanstext"/>
              <w:spacing w:line="240" w:lineRule="exact"/>
              <w:rPr>
                <w:sz w:val="18"/>
                <w:szCs w:val="18"/>
              </w:rPr>
            </w:pPr>
            <w:r w:rsidRPr="009B0F15">
              <w:rPr>
                <w:sz w:val="18"/>
                <w:szCs w:val="18"/>
              </w:rPr>
              <w:t xml:space="preserve">Appendix N, Electric Analysis </w:t>
            </w:r>
          </w:p>
          <w:p w:rsidR="009B0F15" w:rsidRPr="009B0F15" w:rsidRDefault="009B0F15" w:rsidP="005F6B1D">
            <w:pPr>
              <w:pStyle w:val="IRPsanstext"/>
              <w:spacing w:line="240" w:lineRule="exact"/>
              <w:rPr>
                <w:sz w:val="18"/>
                <w:szCs w:val="18"/>
              </w:rPr>
            </w:pPr>
            <w:r w:rsidRPr="009B0F15">
              <w:rPr>
                <w:sz w:val="18"/>
                <w:szCs w:val="18"/>
              </w:rPr>
              <w:t xml:space="preserve">Appendix J, Demand-side Resources </w:t>
            </w:r>
          </w:p>
        </w:tc>
      </w:tr>
      <w:tr w:rsidR="009B0F15" w:rsidRPr="009B0F15" w:rsidTr="005F6B1D">
        <w:trPr>
          <w:cantSplit/>
          <w:trHeight w:val="231"/>
        </w:trPr>
        <w:tc>
          <w:tcPr>
            <w:tcW w:w="4680" w:type="dxa"/>
          </w:tcPr>
          <w:p w:rsidR="009B0F15" w:rsidRPr="009B0F15" w:rsidRDefault="009B0F15" w:rsidP="005F6B1D">
            <w:pPr>
              <w:pStyle w:val="IRPsanstext"/>
              <w:spacing w:line="240" w:lineRule="exact"/>
              <w:rPr>
                <w:sz w:val="18"/>
                <w:szCs w:val="18"/>
              </w:rPr>
            </w:pPr>
            <w:r w:rsidRPr="009B0F15">
              <w:rPr>
                <w:b/>
                <w:i/>
                <w:sz w:val="18"/>
                <w:szCs w:val="18"/>
              </w:rPr>
              <w:t>WAC 480-100-238 (3) (f)</w:t>
            </w:r>
            <w:r w:rsidRPr="009B0F15">
              <w:rPr>
                <w:b/>
                <w:sz w:val="18"/>
                <w:szCs w:val="18"/>
              </w:rPr>
              <w:t xml:space="preserve"> </w:t>
            </w:r>
            <w:r w:rsidRPr="009B0F15">
              <w:rPr>
                <w:sz w:val="18"/>
                <w:szCs w:val="18"/>
              </w:rPr>
              <w:t>Integration of the demand forecasts and resource evaluations into a long-range (e.g., at least ten years; longer if appropriate to the life of the resources considered) integrated resource plan describing the mix of resources that is designated to meet current and projected future needs at the lowest reasonable cost to the utility and its ratepayers.</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Chapter 2, Resource Plan Decisions</w:t>
            </w:r>
          </w:p>
          <w:p w:rsidR="009B0F15" w:rsidRPr="009B0F15" w:rsidRDefault="009B0F15" w:rsidP="005F6B1D">
            <w:pPr>
              <w:pStyle w:val="IRPsanstext"/>
              <w:spacing w:line="240" w:lineRule="exact"/>
              <w:rPr>
                <w:sz w:val="18"/>
                <w:szCs w:val="18"/>
              </w:rPr>
            </w:pPr>
          </w:p>
        </w:tc>
      </w:tr>
      <w:tr w:rsidR="009B0F15" w:rsidRPr="009B0F15" w:rsidTr="005F6B1D">
        <w:trPr>
          <w:cantSplit/>
          <w:trHeight w:val="872"/>
        </w:trPr>
        <w:tc>
          <w:tcPr>
            <w:tcW w:w="4680" w:type="dxa"/>
          </w:tcPr>
          <w:p w:rsidR="009B0F15" w:rsidRPr="009B0F15" w:rsidRDefault="009B0F15" w:rsidP="005F6B1D">
            <w:pPr>
              <w:pStyle w:val="IRPsanstext"/>
              <w:spacing w:line="240" w:lineRule="exact"/>
              <w:rPr>
                <w:b/>
                <w:i/>
                <w:sz w:val="18"/>
                <w:szCs w:val="18"/>
              </w:rPr>
            </w:pPr>
            <w:r w:rsidRPr="009B0F15">
              <w:rPr>
                <w:b/>
                <w:i/>
                <w:sz w:val="18"/>
                <w:szCs w:val="18"/>
              </w:rPr>
              <w:t>WAC 480-100-238 (3) (g)</w:t>
            </w:r>
            <w:r w:rsidRPr="009B0F15">
              <w:rPr>
                <w:b/>
                <w:sz w:val="18"/>
                <w:szCs w:val="18"/>
              </w:rPr>
              <w:t xml:space="preserve"> </w:t>
            </w:r>
            <w:r w:rsidRPr="009B0F15">
              <w:rPr>
                <w:sz w:val="18"/>
                <w:szCs w:val="18"/>
              </w:rPr>
              <w:t>A short-term plan outlining the specific actions to be taken by the utility in implementing the long-range integrated resource plan during the two years following submission.</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 xml:space="preserve">Chapter 1, Executive Summary </w:t>
            </w:r>
          </w:p>
        </w:tc>
      </w:tr>
      <w:tr w:rsidR="009B0F15" w:rsidRPr="009B0F15" w:rsidTr="005F6B1D">
        <w:trPr>
          <w:cantSplit/>
          <w:trHeight w:val="1277"/>
        </w:trPr>
        <w:tc>
          <w:tcPr>
            <w:tcW w:w="4680" w:type="dxa"/>
          </w:tcPr>
          <w:p w:rsidR="009B0F15" w:rsidRPr="009B0F15" w:rsidRDefault="009B0F15" w:rsidP="005F6B1D">
            <w:pPr>
              <w:pStyle w:val="IRPsanstext"/>
              <w:spacing w:line="240" w:lineRule="exact"/>
              <w:rPr>
                <w:b/>
                <w:i/>
                <w:sz w:val="18"/>
                <w:szCs w:val="18"/>
              </w:rPr>
            </w:pPr>
            <w:r w:rsidRPr="009B0F15">
              <w:rPr>
                <w:b/>
                <w:i/>
                <w:sz w:val="18"/>
                <w:szCs w:val="18"/>
              </w:rPr>
              <w:lastRenderedPageBreak/>
              <w:t>WAC 480-100-238 (3) (h)</w:t>
            </w:r>
            <w:r w:rsidRPr="009B0F15">
              <w:rPr>
                <w:b/>
                <w:sz w:val="18"/>
                <w:szCs w:val="18"/>
              </w:rPr>
              <w:t xml:space="preserve"> </w:t>
            </w:r>
            <w:r w:rsidRPr="009B0F15">
              <w:rPr>
                <w:sz w:val="18"/>
                <w:szCs w:val="18"/>
              </w:rPr>
              <w:t>A report on the utility's progress towards implementing the recommendations contained in its previously filed plan.</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Appendix B, Legal Requirements and Other Reports</w:t>
            </w:r>
          </w:p>
        </w:tc>
      </w:tr>
      <w:tr w:rsidR="009B0F15" w:rsidRPr="009B0F15" w:rsidTr="005F6B1D">
        <w:trPr>
          <w:cantSplit/>
          <w:trHeight w:val="2294"/>
        </w:trPr>
        <w:tc>
          <w:tcPr>
            <w:tcW w:w="4680" w:type="dxa"/>
          </w:tcPr>
          <w:p w:rsidR="009B0F15" w:rsidRPr="009B0F15" w:rsidRDefault="009B0F15" w:rsidP="005F6B1D">
            <w:pPr>
              <w:pStyle w:val="IRPsanstext"/>
              <w:spacing w:line="240" w:lineRule="exact"/>
              <w:rPr>
                <w:sz w:val="18"/>
                <w:szCs w:val="18"/>
              </w:rPr>
            </w:pPr>
            <w:r w:rsidRPr="009B0F15">
              <w:rPr>
                <w:b/>
                <w:i/>
                <w:sz w:val="18"/>
                <w:szCs w:val="18"/>
              </w:rPr>
              <w:t xml:space="preserve">WAC 480-100-238 (4) </w:t>
            </w:r>
            <w:r w:rsidRPr="009B0F15">
              <w:rPr>
                <w:sz w:val="18"/>
                <w:szCs w:val="18"/>
              </w:rPr>
              <w:t>Timing. Unless otherwise ordered by the commission, each electric utility must submit a plan within two years after the date on which the previous plan was filed with the commission. 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2015 Integrated Resource Plan Work Plan filed with the WUTC May 29, 2014, and Updated Work Plan filed July 31, 2015</w:t>
            </w:r>
          </w:p>
        </w:tc>
      </w:tr>
      <w:tr w:rsidR="009B0F15" w:rsidRPr="009B0F15" w:rsidTr="005F6B1D">
        <w:trPr>
          <w:cantSplit/>
          <w:trHeight w:val="1880"/>
        </w:trPr>
        <w:tc>
          <w:tcPr>
            <w:tcW w:w="4680" w:type="dxa"/>
          </w:tcPr>
          <w:p w:rsidR="009B0F15" w:rsidRPr="009B0F15" w:rsidRDefault="009B0F15" w:rsidP="005F6B1D">
            <w:pPr>
              <w:pStyle w:val="IRPsanstext"/>
              <w:spacing w:line="240" w:lineRule="exact"/>
              <w:rPr>
                <w:b/>
                <w:i/>
                <w:sz w:val="18"/>
                <w:szCs w:val="18"/>
              </w:rPr>
            </w:pPr>
            <w:r w:rsidRPr="009B0F15">
              <w:rPr>
                <w:b/>
                <w:i/>
                <w:sz w:val="18"/>
                <w:szCs w:val="18"/>
              </w:rPr>
              <w:t xml:space="preserve">WAC 480-100-238 (5) </w:t>
            </w:r>
            <w:r w:rsidRPr="009B0F15">
              <w:rPr>
                <w:sz w:val="18"/>
                <w:szCs w:val="18"/>
              </w:rPr>
              <w:t>Public participation. Consultations with commission staff and public participation are essential to the development of an effective plan. The work plan must outline the timing and extent of public participation. In addition, the commission will hear comment on the plan at a public hearing scheduled after the utility submits its plan for commission review.</w:t>
            </w:r>
          </w:p>
        </w:tc>
        <w:tc>
          <w:tcPr>
            <w:tcW w:w="3960" w:type="dxa"/>
            <w:vAlign w:val="center"/>
          </w:tcPr>
          <w:p w:rsidR="009B0F15" w:rsidRPr="009B0F15" w:rsidRDefault="009B0F15" w:rsidP="005F6B1D">
            <w:pPr>
              <w:pStyle w:val="IRPsanstext"/>
              <w:spacing w:line="240" w:lineRule="exact"/>
              <w:rPr>
                <w:sz w:val="18"/>
                <w:szCs w:val="18"/>
                <w:lang w:val="fr-FR"/>
              </w:rPr>
            </w:pPr>
            <w:proofErr w:type="spellStart"/>
            <w:r w:rsidRPr="009B0F15">
              <w:rPr>
                <w:sz w:val="18"/>
                <w:szCs w:val="18"/>
                <w:lang w:val="fr-FR"/>
              </w:rPr>
              <w:t>Appendix</w:t>
            </w:r>
            <w:proofErr w:type="spellEnd"/>
            <w:r w:rsidRPr="009B0F15">
              <w:rPr>
                <w:sz w:val="18"/>
                <w:szCs w:val="18"/>
                <w:lang w:val="fr-FR"/>
              </w:rPr>
              <w:t xml:space="preserve"> A, Public Participation </w:t>
            </w:r>
          </w:p>
        </w:tc>
      </w:tr>
      <w:tr w:rsidR="009B0F15" w:rsidRPr="009B0F15" w:rsidTr="005F6B1D">
        <w:trPr>
          <w:cantSplit/>
          <w:trHeight w:val="1199"/>
        </w:trPr>
        <w:tc>
          <w:tcPr>
            <w:tcW w:w="4680" w:type="dxa"/>
          </w:tcPr>
          <w:p w:rsidR="009B0F15" w:rsidRPr="009B0F15" w:rsidRDefault="009B0F15" w:rsidP="005F6B1D">
            <w:pPr>
              <w:pStyle w:val="IRPsanstext"/>
              <w:spacing w:line="240" w:lineRule="exact"/>
              <w:rPr>
                <w:b/>
                <w:i/>
                <w:sz w:val="18"/>
                <w:szCs w:val="18"/>
              </w:rPr>
            </w:pPr>
            <w:r w:rsidRPr="009B0F15">
              <w:rPr>
                <w:b/>
                <w:i/>
                <w:sz w:val="18"/>
                <w:szCs w:val="18"/>
              </w:rPr>
              <w:t xml:space="preserve">RCW 19.280.030 (e) </w:t>
            </w:r>
            <w:r w:rsidRPr="009B0F15">
              <w:rPr>
                <w:sz w:val="18"/>
                <w:szCs w:val="18"/>
              </w:rPr>
              <w:t xml:space="preserve">An assessment of methods, commercially available technologies, or facilities for integrating renewable resources, and addressing </w:t>
            </w:r>
            <w:proofErr w:type="spellStart"/>
            <w:r w:rsidRPr="009B0F15">
              <w:rPr>
                <w:sz w:val="18"/>
                <w:szCs w:val="18"/>
              </w:rPr>
              <w:t>overgeneration</w:t>
            </w:r>
            <w:proofErr w:type="spellEnd"/>
            <w:r w:rsidRPr="009B0F15">
              <w:rPr>
                <w:sz w:val="18"/>
                <w:szCs w:val="18"/>
              </w:rPr>
              <w:t xml:space="preserve"> events, if applicable to the utility's resource portfolio.</w:t>
            </w:r>
          </w:p>
        </w:tc>
        <w:tc>
          <w:tcPr>
            <w:tcW w:w="3960" w:type="dxa"/>
            <w:vAlign w:val="center"/>
          </w:tcPr>
          <w:p w:rsidR="009B0F15" w:rsidRPr="009B0F15" w:rsidRDefault="009B0F15" w:rsidP="005F6B1D">
            <w:pPr>
              <w:pStyle w:val="IRPsanstext"/>
              <w:spacing w:line="240" w:lineRule="exact"/>
              <w:rPr>
                <w:sz w:val="18"/>
                <w:szCs w:val="18"/>
              </w:rPr>
            </w:pPr>
            <w:r w:rsidRPr="009B0F15">
              <w:rPr>
                <w:sz w:val="18"/>
                <w:szCs w:val="18"/>
              </w:rPr>
              <w:t>Appendix H, Operational Flexibility</w:t>
            </w:r>
          </w:p>
          <w:p w:rsidR="009B0F15" w:rsidRPr="009B0F15" w:rsidRDefault="009B0F15" w:rsidP="005F6B1D">
            <w:pPr>
              <w:pStyle w:val="IRPsanstext"/>
              <w:spacing w:line="240" w:lineRule="exact"/>
              <w:rPr>
                <w:sz w:val="18"/>
                <w:szCs w:val="18"/>
              </w:rPr>
            </w:pPr>
          </w:p>
          <w:p w:rsidR="009B0F15" w:rsidRPr="009B0F15" w:rsidRDefault="009B0F15" w:rsidP="005F6B1D">
            <w:pPr>
              <w:pStyle w:val="IRPsanstext"/>
              <w:spacing w:line="240" w:lineRule="exact"/>
              <w:rPr>
                <w:sz w:val="18"/>
                <w:szCs w:val="18"/>
                <w:lang w:val="fr-FR"/>
              </w:rPr>
            </w:pPr>
            <w:proofErr w:type="spellStart"/>
            <w:r w:rsidRPr="009B0F15">
              <w:rPr>
                <w:sz w:val="18"/>
                <w:szCs w:val="18"/>
              </w:rPr>
              <w:t>Overgeneration</w:t>
            </w:r>
            <w:proofErr w:type="spellEnd"/>
            <w:r w:rsidRPr="009B0F15">
              <w:rPr>
                <w:sz w:val="18"/>
                <w:szCs w:val="18"/>
              </w:rPr>
              <w:t xml:space="preserve"> events are not applicable to PSE.</w:t>
            </w:r>
          </w:p>
        </w:tc>
      </w:tr>
    </w:tbl>
    <w:p w:rsidR="009B0F15" w:rsidRDefault="009B0F15" w:rsidP="009B0F15">
      <w:pPr>
        <w:pStyle w:val="IRPFigureSub"/>
        <w:jc w:val="left"/>
      </w:pPr>
    </w:p>
    <w:p w:rsidR="009B0F15" w:rsidRDefault="009B0F15" w:rsidP="009B0F15">
      <w:pPr>
        <w:pStyle w:val="BodyText"/>
        <w:rPr>
          <w:rFonts w:ascii="Arial" w:eastAsia="MS Mincho" w:hAnsi="Arial"/>
          <w:sz w:val="20"/>
          <w:szCs w:val="22"/>
          <w:lang w:eastAsia="ja-JP"/>
        </w:rPr>
      </w:pPr>
      <w:r>
        <w:br w:type="page"/>
      </w:r>
    </w:p>
    <w:p w:rsidR="009B0F15" w:rsidRPr="009B0F15" w:rsidRDefault="009B0F15" w:rsidP="009B0F15">
      <w:pPr>
        <w:rPr>
          <w:szCs w:val="24"/>
        </w:rPr>
      </w:pPr>
      <w:r w:rsidRPr="009B0F15">
        <w:rPr>
          <w:szCs w:val="24"/>
        </w:rPr>
        <w:lastRenderedPageBreak/>
        <w:t>The following is a summary of the natural gas requirements under WAC 480-90-238 and the corresponding chapter(s) or appendices in the PSE IRP that address that requirement:</w:t>
      </w:r>
    </w:p>
    <w:p w:rsidR="009B0F15" w:rsidRPr="009B0F15" w:rsidRDefault="009B0F15" w:rsidP="009B0F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2"/>
        <w:gridCol w:w="3858"/>
      </w:tblGrid>
      <w:tr w:rsidR="009B0F15" w:rsidRPr="009B0F15" w:rsidTr="005F6B1D">
        <w:trPr>
          <w:cantSplit/>
          <w:trHeight w:val="348"/>
          <w:tblHeader/>
        </w:trPr>
        <w:tc>
          <w:tcPr>
            <w:tcW w:w="4782" w:type="dxa"/>
            <w:tcBorders>
              <w:bottom w:val="single" w:sz="4" w:space="0" w:color="auto"/>
            </w:tcBorders>
            <w:shd w:val="clear" w:color="auto" w:fill="006A71"/>
            <w:vAlign w:val="center"/>
          </w:tcPr>
          <w:p w:rsidR="009B0F15" w:rsidRPr="0091409F" w:rsidRDefault="009B0F15" w:rsidP="005F6B1D">
            <w:pPr>
              <w:spacing w:line="280" w:lineRule="exact"/>
              <w:jc w:val="center"/>
              <w:rPr>
                <w:rFonts w:ascii="Arial" w:hAnsi="Arial"/>
                <w:b/>
                <w:color w:val="FFFFFF" w:themeColor="background1"/>
              </w:rPr>
            </w:pPr>
            <w:r w:rsidRPr="0091409F">
              <w:rPr>
                <w:rFonts w:ascii="Arial" w:hAnsi="Arial"/>
                <w:b/>
                <w:color w:val="FFFFFF" w:themeColor="background1"/>
              </w:rPr>
              <w:t>Statutory or Regulatory Requirement</w:t>
            </w:r>
          </w:p>
        </w:tc>
        <w:tc>
          <w:tcPr>
            <w:tcW w:w="3858" w:type="dxa"/>
            <w:tcBorders>
              <w:bottom w:val="single" w:sz="4" w:space="0" w:color="auto"/>
            </w:tcBorders>
            <w:shd w:val="clear" w:color="auto" w:fill="006A71"/>
            <w:vAlign w:val="center"/>
          </w:tcPr>
          <w:p w:rsidR="009B0F15" w:rsidRPr="0091409F" w:rsidRDefault="009B0F15" w:rsidP="005F6B1D">
            <w:pPr>
              <w:spacing w:line="280" w:lineRule="exact"/>
              <w:jc w:val="center"/>
              <w:rPr>
                <w:rFonts w:ascii="Arial" w:hAnsi="Arial"/>
                <w:b/>
                <w:color w:val="FFFFFF" w:themeColor="background1"/>
              </w:rPr>
            </w:pPr>
            <w:r w:rsidRPr="0091409F">
              <w:rPr>
                <w:rFonts w:ascii="Arial" w:hAnsi="Arial"/>
                <w:b/>
                <w:color w:val="FFFFFF" w:themeColor="background1"/>
              </w:rPr>
              <w:t>Chapter and/or Appendix</w:t>
            </w:r>
          </w:p>
        </w:tc>
      </w:tr>
      <w:tr w:rsidR="009B0F15" w:rsidRPr="009B0F15" w:rsidTr="005F6B1D">
        <w:trPr>
          <w:cantSplit/>
          <w:trHeight w:hRule="exact" w:val="86"/>
          <w:tblHeader/>
        </w:trPr>
        <w:tc>
          <w:tcPr>
            <w:tcW w:w="8640" w:type="dxa"/>
            <w:gridSpan w:val="2"/>
            <w:shd w:val="clear" w:color="auto" w:fill="807F83"/>
          </w:tcPr>
          <w:p w:rsidR="009B0F15" w:rsidRPr="009B0F15" w:rsidRDefault="0091409F" w:rsidP="005F6B1D">
            <w:pPr>
              <w:spacing w:after="60" w:line="280" w:lineRule="exact"/>
              <w:rPr>
                <w:rFonts w:ascii="Arial" w:hAnsi="Arial"/>
              </w:rPr>
            </w:pPr>
            <w:r>
              <w:rPr>
                <w:rFonts w:ascii="Arial" w:hAnsi="Arial"/>
              </w:rPr>
              <w:t>+-</w:t>
            </w:r>
          </w:p>
        </w:tc>
      </w:tr>
      <w:tr w:rsidR="009B0F15" w:rsidRPr="009B0F15" w:rsidTr="005F6B1D">
        <w:trPr>
          <w:cantSplit/>
          <w:trHeight w:val="127"/>
        </w:trPr>
        <w:tc>
          <w:tcPr>
            <w:tcW w:w="4782" w:type="dxa"/>
          </w:tcPr>
          <w:p w:rsidR="009B0F15" w:rsidRPr="009B0F15" w:rsidRDefault="009B0F15" w:rsidP="005F6B1D">
            <w:pPr>
              <w:pStyle w:val="IRPsanstext"/>
              <w:spacing w:line="276" w:lineRule="auto"/>
              <w:rPr>
                <w:sz w:val="18"/>
                <w:szCs w:val="18"/>
              </w:rPr>
            </w:pPr>
            <w:r w:rsidRPr="009B0F15">
              <w:rPr>
                <w:b/>
                <w:i/>
                <w:sz w:val="18"/>
                <w:szCs w:val="18"/>
              </w:rPr>
              <w:t>WAC 480-90-238 (3) (a)</w:t>
            </w:r>
            <w:r w:rsidRPr="009B0F15">
              <w:rPr>
                <w:b/>
                <w:sz w:val="18"/>
                <w:szCs w:val="18"/>
              </w:rPr>
              <w:t xml:space="preserve"> </w:t>
            </w:r>
            <w:r w:rsidRPr="009B0F15">
              <w:rPr>
                <w:sz w:val="18"/>
                <w:szCs w:val="18"/>
              </w:rPr>
              <w:t>A range of forecasts of future natural gas demand in firm and interruptible markets for each customer class that examine the effect of economic forces on the consumption of natural gas and that address changes in the number, type and efficiency of natural gas end-uses.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4, Key Analytical Assumptions</w:t>
            </w:r>
          </w:p>
          <w:p w:rsidR="009B0F15" w:rsidRPr="009B0F15" w:rsidRDefault="009B0F15" w:rsidP="005F6B1D">
            <w:pPr>
              <w:pStyle w:val="IRPsanstext"/>
              <w:spacing w:line="276" w:lineRule="auto"/>
              <w:rPr>
                <w:sz w:val="18"/>
                <w:szCs w:val="18"/>
              </w:rPr>
            </w:pPr>
            <w:r w:rsidRPr="009B0F15">
              <w:rPr>
                <w:sz w:val="18"/>
                <w:szCs w:val="18"/>
              </w:rPr>
              <w:t>Chapter 5, Demand Forecasts</w:t>
            </w:r>
          </w:p>
          <w:p w:rsidR="009B0F15" w:rsidRPr="009B0F15" w:rsidRDefault="009B0F15" w:rsidP="005F6B1D">
            <w:pPr>
              <w:pStyle w:val="IRPsanstext"/>
              <w:spacing w:line="276" w:lineRule="auto"/>
              <w:rPr>
                <w:sz w:val="18"/>
                <w:szCs w:val="18"/>
              </w:rPr>
            </w:pPr>
            <w:r w:rsidRPr="009B0F15">
              <w:rPr>
                <w:sz w:val="18"/>
                <w:szCs w:val="18"/>
              </w:rPr>
              <w:t>Appendix E, Demand Forecasting Models</w:t>
            </w:r>
          </w:p>
        </w:tc>
      </w:tr>
      <w:tr w:rsidR="009B0F15" w:rsidRPr="009B0F15" w:rsidTr="005F6B1D">
        <w:trPr>
          <w:cantSplit/>
          <w:trHeight w:val="127"/>
        </w:trPr>
        <w:tc>
          <w:tcPr>
            <w:tcW w:w="4782" w:type="dxa"/>
          </w:tcPr>
          <w:p w:rsidR="009B0F15" w:rsidRPr="009B0F15" w:rsidRDefault="009B0F15" w:rsidP="005F6B1D">
            <w:pPr>
              <w:pStyle w:val="IRPsanstext"/>
              <w:spacing w:line="276" w:lineRule="auto"/>
              <w:rPr>
                <w:sz w:val="18"/>
                <w:szCs w:val="18"/>
              </w:rPr>
            </w:pPr>
            <w:r w:rsidRPr="009B0F15">
              <w:rPr>
                <w:b/>
                <w:i/>
                <w:sz w:val="18"/>
                <w:szCs w:val="18"/>
              </w:rPr>
              <w:t>WAC 480-90-238 (3) (b)</w:t>
            </w:r>
            <w:r w:rsidRPr="009B0F15">
              <w:rPr>
                <w:b/>
                <w:sz w:val="18"/>
                <w:szCs w:val="18"/>
              </w:rPr>
              <w:t xml:space="preserve"> </w:t>
            </w:r>
            <w:r w:rsidRPr="009B0F15">
              <w:rPr>
                <w:sz w:val="18"/>
                <w:szCs w:val="18"/>
              </w:rPr>
              <w:t>An assessment of commercially available conservation, including load management, as well as an assessment of currently employed and new policies and programs needed to obtain the conservation improvements.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7, Gas Analysis</w:t>
            </w:r>
          </w:p>
          <w:p w:rsidR="009B0F15" w:rsidRPr="009B0F15" w:rsidRDefault="009B0F15" w:rsidP="005F6B1D">
            <w:pPr>
              <w:pStyle w:val="IRPsanstext"/>
              <w:spacing w:line="276" w:lineRule="auto"/>
              <w:rPr>
                <w:sz w:val="18"/>
                <w:szCs w:val="18"/>
              </w:rPr>
            </w:pPr>
            <w:r w:rsidRPr="009B0F15">
              <w:rPr>
                <w:sz w:val="18"/>
                <w:szCs w:val="18"/>
              </w:rPr>
              <w:t xml:space="preserve">Appendix J, Demand-side Resources </w:t>
            </w:r>
          </w:p>
        </w:tc>
      </w:tr>
      <w:tr w:rsidR="009B0F15" w:rsidRPr="009B0F15" w:rsidTr="005F6B1D">
        <w:trPr>
          <w:cantSplit/>
          <w:trHeight w:val="127"/>
        </w:trPr>
        <w:tc>
          <w:tcPr>
            <w:tcW w:w="4782" w:type="dxa"/>
          </w:tcPr>
          <w:p w:rsidR="009B0F15" w:rsidRPr="009B0F15" w:rsidRDefault="009B0F15" w:rsidP="005F6B1D">
            <w:pPr>
              <w:pStyle w:val="IRPsanstext"/>
              <w:spacing w:line="276" w:lineRule="auto"/>
              <w:rPr>
                <w:sz w:val="18"/>
                <w:szCs w:val="18"/>
              </w:rPr>
            </w:pPr>
            <w:r w:rsidRPr="009B0F15">
              <w:rPr>
                <w:b/>
                <w:i/>
                <w:sz w:val="18"/>
                <w:szCs w:val="18"/>
              </w:rPr>
              <w:t>WAC 480-90-238 (3) (c)</w:t>
            </w:r>
            <w:r w:rsidRPr="009B0F15">
              <w:rPr>
                <w:b/>
                <w:sz w:val="18"/>
                <w:szCs w:val="18"/>
              </w:rPr>
              <w:t xml:space="preserve"> </w:t>
            </w:r>
            <w:r w:rsidRPr="009B0F15">
              <w:rPr>
                <w:sz w:val="18"/>
                <w:szCs w:val="18"/>
              </w:rPr>
              <w:t>An assessment of conventional and commercially available nonconventional gas supplies.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7, Gas Analysis</w:t>
            </w:r>
          </w:p>
        </w:tc>
      </w:tr>
      <w:tr w:rsidR="009B0F15" w:rsidRPr="009B0F15" w:rsidTr="005F6B1D">
        <w:trPr>
          <w:cantSplit/>
          <w:trHeight w:val="494"/>
        </w:trPr>
        <w:tc>
          <w:tcPr>
            <w:tcW w:w="4782" w:type="dxa"/>
          </w:tcPr>
          <w:p w:rsidR="009B0F15" w:rsidRPr="009B0F15" w:rsidRDefault="009B0F15" w:rsidP="005F6B1D">
            <w:pPr>
              <w:pStyle w:val="IRPsanstext"/>
              <w:spacing w:line="276" w:lineRule="auto"/>
              <w:rPr>
                <w:sz w:val="18"/>
                <w:szCs w:val="18"/>
              </w:rPr>
            </w:pPr>
            <w:r w:rsidRPr="009B0F15">
              <w:rPr>
                <w:b/>
                <w:i/>
                <w:sz w:val="18"/>
                <w:szCs w:val="18"/>
              </w:rPr>
              <w:t xml:space="preserve">WAC 480-90-238 (3) (d) </w:t>
            </w:r>
            <w:r w:rsidRPr="009B0F15">
              <w:rPr>
                <w:sz w:val="18"/>
                <w:szCs w:val="18"/>
              </w:rPr>
              <w:t>An assessment of opportunities for using company-owned or contracted storage.</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7, Gas Analysis</w:t>
            </w:r>
          </w:p>
          <w:p w:rsidR="009B0F15" w:rsidRPr="009B0F15" w:rsidRDefault="009B0F15" w:rsidP="005F6B1D">
            <w:pPr>
              <w:pStyle w:val="IRPsanstext"/>
              <w:spacing w:line="276" w:lineRule="auto"/>
              <w:rPr>
                <w:sz w:val="18"/>
                <w:szCs w:val="18"/>
              </w:rPr>
            </w:pPr>
            <w:r w:rsidRPr="009B0F15">
              <w:rPr>
                <w:sz w:val="18"/>
                <w:szCs w:val="18"/>
              </w:rPr>
              <w:t>Appendix O, Gas Analysis</w:t>
            </w:r>
          </w:p>
        </w:tc>
      </w:tr>
      <w:tr w:rsidR="009B0F15" w:rsidRPr="009B0F15" w:rsidTr="005F6B1D">
        <w:trPr>
          <w:cantSplit/>
          <w:trHeight w:val="635"/>
        </w:trPr>
        <w:tc>
          <w:tcPr>
            <w:tcW w:w="4782" w:type="dxa"/>
          </w:tcPr>
          <w:p w:rsidR="009B0F15" w:rsidRPr="009B0F15" w:rsidRDefault="009B0F15" w:rsidP="005F6B1D">
            <w:pPr>
              <w:pStyle w:val="IRPsanstext"/>
              <w:spacing w:line="276" w:lineRule="auto"/>
              <w:rPr>
                <w:sz w:val="18"/>
                <w:szCs w:val="18"/>
              </w:rPr>
            </w:pPr>
            <w:r w:rsidRPr="009B0F15">
              <w:rPr>
                <w:b/>
                <w:i/>
                <w:sz w:val="18"/>
                <w:szCs w:val="18"/>
              </w:rPr>
              <w:t>WAC 480-90-238 (3) (e)</w:t>
            </w:r>
            <w:r w:rsidRPr="009B0F15">
              <w:rPr>
                <w:b/>
                <w:sz w:val="18"/>
                <w:szCs w:val="18"/>
              </w:rPr>
              <w:t xml:space="preserve"> </w:t>
            </w:r>
            <w:r w:rsidRPr="009B0F15">
              <w:rPr>
                <w:sz w:val="18"/>
                <w:szCs w:val="18"/>
              </w:rPr>
              <w:t>An assessment of pipeline transmission capability and reliability and opportunities for additional pipeline transmission resources.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7, Gas Analysis</w:t>
            </w:r>
          </w:p>
          <w:p w:rsidR="009B0F15" w:rsidRPr="009B0F15" w:rsidRDefault="009B0F15" w:rsidP="005F6B1D">
            <w:pPr>
              <w:pStyle w:val="IRPsanstext"/>
              <w:spacing w:line="276" w:lineRule="auto"/>
              <w:rPr>
                <w:sz w:val="18"/>
                <w:szCs w:val="18"/>
              </w:rPr>
            </w:pPr>
            <w:r w:rsidRPr="009B0F15">
              <w:rPr>
                <w:sz w:val="18"/>
                <w:szCs w:val="18"/>
              </w:rPr>
              <w:t>Appendix O, Gas Analysis</w:t>
            </w:r>
          </w:p>
        </w:tc>
      </w:tr>
      <w:tr w:rsidR="009B0F15" w:rsidRPr="009B0F15" w:rsidTr="005F6B1D">
        <w:trPr>
          <w:cantSplit/>
          <w:trHeight w:val="818"/>
        </w:trPr>
        <w:tc>
          <w:tcPr>
            <w:tcW w:w="4782" w:type="dxa"/>
          </w:tcPr>
          <w:p w:rsidR="009B0F15" w:rsidRPr="009B0F15" w:rsidRDefault="009B0F15" w:rsidP="005F6B1D">
            <w:pPr>
              <w:pStyle w:val="IRPsanstext"/>
              <w:spacing w:line="276" w:lineRule="auto"/>
              <w:rPr>
                <w:sz w:val="18"/>
                <w:szCs w:val="18"/>
              </w:rPr>
            </w:pPr>
            <w:r w:rsidRPr="009B0F15">
              <w:rPr>
                <w:b/>
                <w:i/>
                <w:sz w:val="18"/>
                <w:szCs w:val="18"/>
              </w:rPr>
              <w:t>WAC 480-90-238 (3) (f)</w:t>
            </w:r>
            <w:r w:rsidRPr="009B0F15">
              <w:rPr>
                <w:b/>
                <w:sz w:val="18"/>
                <w:szCs w:val="18"/>
              </w:rPr>
              <w:t xml:space="preserve"> </w:t>
            </w:r>
            <w:r w:rsidRPr="009B0F15">
              <w:rPr>
                <w:sz w:val="18"/>
                <w:szCs w:val="18"/>
              </w:rPr>
              <w:t>A comparative evaluation of the cost of natural gas purchasing strategies, storage options, delivery resources, and improvements in conservation using a consistent method to calculate cost-effectiveness.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7, Gas Analysis</w:t>
            </w:r>
          </w:p>
          <w:p w:rsidR="009B0F15" w:rsidRPr="009B0F15" w:rsidRDefault="009B0F15" w:rsidP="005F6B1D">
            <w:pPr>
              <w:pStyle w:val="IRPsanstext"/>
              <w:spacing w:line="276" w:lineRule="auto"/>
              <w:rPr>
                <w:sz w:val="18"/>
                <w:szCs w:val="18"/>
              </w:rPr>
            </w:pPr>
            <w:r w:rsidRPr="009B0F15">
              <w:rPr>
                <w:sz w:val="18"/>
                <w:szCs w:val="18"/>
              </w:rPr>
              <w:t>Appendix O, Gas Analysis</w:t>
            </w:r>
          </w:p>
          <w:p w:rsidR="009B0F15" w:rsidRPr="009B0F15" w:rsidRDefault="009B0F15" w:rsidP="005F6B1D">
            <w:pPr>
              <w:pStyle w:val="IRPsanstext"/>
              <w:spacing w:line="276" w:lineRule="auto"/>
              <w:rPr>
                <w:sz w:val="18"/>
                <w:szCs w:val="18"/>
              </w:rPr>
            </w:pPr>
            <w:r w:rsidRPr="009B0F15">
              <w:rPr>
                <w:sz w:val="18"/>
                <w:szCs w:val="18"/>
              </w:rPr>
              <w:t xml:space="preserve">Appendix J, Demand-side Resources </w:t>
            </w:r>
          </w:p>
        </w:tc>
      </w:tr>
      <w:tr w:rsidR="009B0F15" w:rsidRPr="009B0F15" w:rsidTr="005F6B1D">
        <w:trPr>
          <w:cantSplit/>
          <w:trHeight w:val="1185"/>
        </w:trPr>
        <w:tc>
          <w:tcPr>
            <w:tcW w:w="4782" w:type="dxa"/>
          </w:tcPr>
          <w:p w:rsidR="009B0F15" w:rsidRPr="009B0F15" w:rsidRDefault="009B0F15" w:rsidP="005F6B1D">
            <w:pPr>
              <w:pStyle w:val="IRPsanstext"/>
              <w:spacing w:line="276" w:lineRule="auto"/>
              <w:rPr>
                <w:b/>
                <w:i/>
                <w:sz w:val="18"/>
                <w:szCs w:val="18"/>
              </w:rPr>
            </w:pPr>
            <w:r w:rsidRPr="009B0F15">
              <w:rPr>
                <w:b/>
                <w:i/>
                <w:sz w:val="18"/>
                <w:szCs w:val="18"/>
              </w:rPr>
              <w:t xml:space="preserve">WAC 480-90-238 (3) (g) </w:t>
            </w:r>
            <w:r w:rsidRPr="009B0F15">
              <w:rPr>
                <w:sz w:val="18"/>
                <w:szCs w:val="18"/>
              </w:rPr>
              <w:t>The integration of the demand forecasts and resource evaluations into a long-range (e.g., at least ten years; longer if appropriate to the life of the resources considered) integrated resource plan describing the mix of resources that is designated to meet current and future needs at the lowest reasonable cost to the utility and its ratepayers.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Chapter 2, Resource Plan Decisions</w:t>
            </w:r>
          </w:p>
        </w:tc>
      </w:tr>
      <w:tr w:rsidR="009B0F15" w:rsidRPr="009B0F15" w:rsidTr="005F6B1D">
        <w:trPr>
          <w:cantSplit/>
          <w:trHeight w:val="818"/>
        </w:trPr>
        <w:tc>
          <w:tcPr>
            <w:tcW w:w="4782" w:type="dxa"/>
          </w:tcPr>
          <w:p w:rsidR="009B0F15" w:rsidRPr="009B0F15" w:rsidRDefault="009B0F15" w:rsidP="005F6B1D">
            <w:pPr>
              <w:pStyle w:val="IRPsanstext"/>
              <w:spacing w:line="276" w:lineRule="auto"/>
              <w:rPr>
                <w:b/>
                <w:i/>
                <w:sz w:val="18"/>
                <w:szCs w:val="18"/>
              </w:rPr>
            </w:pPr>
            <w:r w:rsidRPr="009B0F15">
              <w:rPr>
                <w:b/>
                <w:i/>
                <w:sz w:val="18"/>
                <w:szCs w:val="18"/>
              </w:rPr>
              <w:t xml:space="preserve">WAC 480-90-238 (3) (h) </w:t>
            </w:r>
            <w:r w:rsidRPr="009B0F15">
              <w:rPr>
                <w:sz w:val="18"/>
                <w:szCs w:val="18"/>
              </w:rPr>
              <w:t>A short-term plan outlining the specific actions to be taken by the utility in implementing the long-range integrated resource plan during the two years following submission.</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 xml:space="preserve">Chapter 1, Executive Summary </w:t>
            </w:r>
          </w:p>
        </w:tc>
      </w:tr>
      <w:tr w:rsidR="009B0F15" w:rsidRPr="009B0F15" w:rsidTr="005F6B1D">
        <w:trPr>
          <w:cantSplit/>
          <w:trHeight w:val="635"/>
        </w:trPr>
        <w:tc>
          <w:tcPr>
            <w:tcW w:w="4782" w:type="dxa"/>
          </w:tcPr>
          <w:p w:rsidR="009B0F15" w:rsidRPr="009B0F15" w:rsidRDefault="009B0F15" w:rsidP="005F6B1D">
            <w:pPr>
              <w:pStyle w:val="IRPsanstext"/>
              <w:spacing w:line="276" w:lineRule="auto"/>
              <w:rPr>
                <w:b/>
                <w:i/>
                <w:sz w:val="18"/>
                <w:szCs w:val="18"/>
              </w:rPr>
            </w:pPr>
            <w:r w:rsidRPr="009B0F15">
              <w:rPr>
                <w:b/>
                <w:i/>
                <w:sz w:val="18"/>
                <w:szCs w:val="18"/>
              </w:rPr>
              <w:t>WAC 480-90-238 (3) (</w:t>
            </w:r>
            <w:proofErr w:type="spellStart"/>
            <w:r w:rsidRPr="009B0F15">
              <w:rPr>
                <w:b/>
                <w:i/>
                <w:sz w:val="18"/>
                <w:szCs w:val="18"/>
              </w:rPr>
              <w:t>i</w:t>
            </w:r>
            <w:proofErr w:type="spellEnd"/>
            <w:r w:rsidRPr="009B0F15">
              <w:rPr>
                <w:b/>
                <w:i/>
                <w:sz w:val="18"/>
                <w:szCs w:val="18"/>
              </w:rPr>
              <w:t>)</w:t>
            </w:r>
            <w:r w:rsidRPr="009B0F15">
              <w:rPr>
                <w:sz w:val="18"/>
                <w:szCs w:val="18"/>
              </w:rPr>
              <w:t xml:space="preserve"> A report on the utility's progress towards implementing the recommendations contained in its previously filed plan.</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Appendix B, Legal Requirements and Other Reports</w:t>
            </w:r>
          </w:p>
        </w:tc>
      </w:tr>
      <w:tr w:rsidR="009B0F15" w:rsidRPr="009B0F15" w:rsidTr="005F6B1D">
        <w:trPr>
          <w:cantSplit/>
          <w:trHeight w:val="1537"/>
        </w:trPr>
        <w:tc>
          <w:tcPr>
            <w:tcW w:w="4782" w:type="dxa"/>
          </w:tcPr>
          <w:p w:rsidR="009B0F15" w:rsidRPr="009B0F15" w:rsidRDefault="009B0F15" w:rsidP="005F6B1D">
            <w:pPr>
              <w:pStyle w:val="IRPsanstext"/>
              <w:spacing w:line="276" w:lineRule="auto"/>
              <w:rPr>
                <w:sz w:val="18"/>
                <w:szCs w:val="18"/>
              </w:rPr>
            </w:pPr>
            <w:r w:rsidRPr="009B0F15">
              <w:rPr>
                <w:b/>
                <w:i/>
                <w:sz w:val="18"/>
                <w:szCs w:val="18"/>
              </w:rPr>
              <w:lastRenderedPageBreak/>
              <w:t xml:space="preserve">WAC 480-90-238 (4) </w:t>
            </w:r>
            <w:r w:rsidRPr="009B0F15">
              <w:rPr>
                <w:sz w:val="18"/>
                <w:szCs w:val="18"/>
              </w:rPr>
              <w:t>Timing. Unless otherwise ordered by the commission, each natural gas utility must submit a plan within two years after the date on which the previous plan was filed with the commission. 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tc>
        <w:tc>
          <w:tcPr>
            <w:tcW w:w="3858" w:type="dxa"/>
            <w:vAlign w:val="center"/>
          </w:tcPr>
          <w:p w:rsidR="009B0F15" w:rsidRPr="009B0F15" w:rsidRDefault="009B0F15" w:rsidP="005F6B1D">
            <w:pPr>
              <w:pStyle w:val="IRPsanstext"/>
              <w:spacing w:line="276" w:lineRule="auto"/>
              <w:rPr>
                <w:sz w:val="18"/>
                <w:szCs w:val="18"/>
              </w:rPr>
            </w:pPr>
            <w:r w:rsidRPr="009B0F15">
              <w:rPr>
                <w:sz w:val="18"/>
                <w:szCs w:val="18"/>
              </w:rPr>
              <w:t>2015 Integrated Resource Plan Work Plan filed with the WUTC May 29, 2014, and Updated Work Plan filed July 31, 2015</w:t>
            </w:r>
          </w:p>
          <w:p w:rsidR="009B0F15" w:rsidRPr="009B0F15" w:rsidRDefault="009B0F15" w:rsidP="005F6B1D">
            <w:pPr>
              <w:pStyle w:val="IRPsanstext"/>
              <w:spacing w:line="276" w:lineRule="auto"/>
              <w:rPr>
                <w:sz w:val="18"/>
                <w:szCs w:val="18"/>
              </w:rPr>
            </w:pPr>
          </w:p>
        </w:tc>
      </w:tr>
      <w:tr w:rsidR="009B0F15" w:rsidRPr="009B0F15" w:rsidTr="005F6B1D">
        <w:trPr>
          <w:cantSplit/>
          <w:trHeight w:val="1199"/>
        </w:trPr>
        <w:tc>
          <w:tcPr>
            <w:tcW w:w="4782" w:type="dxa"/>
          </w:tcPr>
          <w:p w:rsidR="009B0F15" w:rsidRPr="009B0F15" w:rsidRDefault="009B0F15" w:rsidP="005F6B1D">
            <w:pPr>
              <w:pStyle w:val="IRPsanstext"/>
              <w:spacing w:line="276" w:lineRule="auto"/>
              <w:rPr>
                <w:b/>
                <w:i/>
                <w:sz w:val="18"/>
                <w:szCs w:val="18"/>
              </w:rPr>
            </w:pPr>
            <w:r w:rsidRPr="009B0F15">
              <w:rPr>
                <w:b/>
                <w:i/>
                <w:sz w:val="18"/>
                <w:szCs w:val="18"/>
              </w:rPr>
              <w:t xml:space="preserve">WAC 480-90-238 (5) </w:t>
            </w:r>
            <w:r w:rsidRPr="009B0F15">
              <w:rPr>
                <w:sz w:val="18"/>
                <w:szCs w:val="18"/>
              </w:rPr>
              <w:t>Public participation. Consultations with commission staff and public participation are essential to the development of an effective plan. The work plan must outline the timing and extent of public participation. In addition, the commission will hear comment on the plan at a public hearing scheduled after the utility submits its plan for commission review.</w:t>
            </w:r>
          </w:p>
        </w:tc>
        <w:tc>
          <w:tcPr>
            <w:tcW w:w="3858" w:type="dxa"/>
            <w:vAlign w:val="center"/>
          </w:tcPr>
          <w:p w:rsidR="009B0F15" w:rsidRPr="009B0F15" w:rsidRDefault="009B0F15" w:rsidP="005F6B1D">
            <w:pPr>
              <w:pStyle w:val="IRPsanstext"/>
              <w:spacing w:line="276" w:lineRule="auto"/>
              <w:rPr>
                <w:sz w:val="18"/>
                <w:szCs w:val="18"/>
                <w:lang w:val="fr-FR"/>
              </w:rPr>
            </w:pPr>
            <w:proofErr w:type="spellStart"/>
            <w:r w:rsidRPr="009B0F15">
              <w:rPr>
                <w:sz w:val="18"/>
                <w:szCs w:val="18"/>
                <w:lang w:val="fr-FR"/>
              </w:rPr>
              <w:t>Appendix</w:t>
            </w:r>
            <w:proofErr w:type="spellEnd"/>
            <w:r w:rsidRPr="009B0F15">
              <w:rPr>
                <w:sz w:val="18"/>
                <w:szCs w:val="18"/>
                <w:lang w:val="fr-FR"/>
              </w:rPr>
              <w:t xml:space="preserve"> A, Public Participation </w:t>
            </w:r>
          </w:p>
        </w:tc>
      </w:tr>
    </w:tbl>
    <w:p w:rsidR="009B0F15" w:rsidRDefault="009B0F15" w:rsidP="009B0F15">
      <w:pPr>
        <w:pStyle w:val="IRPFigureSub"/>
        <w:rPr>
          <w:rFonts w:ascii="Times New Roman" w:hAnsi="Times New Roman"/>
          <w:sz w:val="24"/>
          <w:szCs w:val="24"/>
        </w:rPr>
      </w:pPr>
    </w:p>
    <w:p w:rsidR="009B0F15" w:rsidRPr="009B0F15" w:rsidRDefault="009B0F15" w:rsidP="009B0F15">
      <w:pPr>
        <w:pStyle w:val="IRPFigureSub"/>
        <w:rPr>
          <w:rFonts w:ascii="Times New Roman" w:hAnsi="Times New Roman"/>
          <w:sz w:val="24"/>
          <w:szCs w:val="24"/>
        </w:rPr>
      </w:pPr>
    </w:p>
    <w:p w:rsidR="009B0F15" w:rsidRPr="009B0F15" w:rsidRDefault="009B0F15" w:rsidP="009B0F15">
      <w:pPr>
        <w:pStyle w:val="BodyText"/>
        <w:spacing w:line="249" w:lineRule="auto"/>
        <w:ind w:right="147" w:firstLine="4"/>
        <w:rPr>
          <w:b/>
        </w:rPr>
      </w:pPr>
      <w:r w:rsidRPr="009B0F15">
        <w:rPr>
          <w:b/>
        </w:rPr>
        <w:t>Importance of Regional Load/Resource Balance and Implications for Timing RFP Filing</w:t>
      </w:r>
    </w:p>
    <w:p w:rsidR="009B0F15" w:rsidRPr="009B0F15" w:rsidRDefault="009B0F15" w:rsidP="009B0F15">
      <w:pPr>
        <w:pStyle w:val="BodyText"/>
        <w:spacing w:line="249" w:lineRule="auto"/>
        <w:ind w:right="147" w:firstLine="720"/>
      </w:pPr>
      <w:r w:rsidRPr="009B0F15">
        <w:t xml:space="preserve">It is important to note that recent changes in the regional resource adequacy projections from the Northwest Power and Conversation Council (NPCC) will impact PSE’s resource needs assessment and the timing of a Request for Proposal (RFP).  The extent of that impact will be determined after further meetings with the NPCC in early 2016. </w:t>
      </w:r>
    </w:p>
    <w:p w:rsidR="009B0F15" w:rsidRPr="009B0F15" w:rsidRDefault="009B0F15" w:rsidP="009B0F15">
      <w:pPr>
        <w:pStyle w:val="BodyText"/>
        <w:spacing w:line="249" w:lineRule="auto"/>
        <w:ind w:right="147" w:firstLine="720"/>
      </w:pPr>
      <w:r w:rsidRPr="009B0F15">
        <w:t>PSE relies on short-term wholesale markets to meet over 1,600 MW of its customers peak capacity needs.  In this IRP, PSE has incorporated the regional resource adequacy outlook from the NPCC Resource Adequacy Advisory Committee.  In May 2015, that report showed the region would fall short of the established resource adequacy target by 1,150 MW of capacity by 2021 due mostly to the closure of the Boardman and Centralia Unit 1 coal plants.  Then, in late August 2015, the NPCC’s Draft 7</w:t>
      </w:r>
      <w:r w:rsidRPr="009B0F15">
        <w:rPr>
          <w:vertAlign w:val="superscript"/>
        </w:rPr>
        <w:t>th</w:t>
      </w:r>
      <w:r w:rsidRPr="009B0F15">
        <w:t xml:space="preserve"> Power Plan reported a different conclusion—it suggests the region will not be deficit capacity by 2021. There has not been time for the NPCC to work with regional stakeholders to fully understand which assumptions were changed, why, and the implications.  PSE will join with others early next year, working with the NPCC staff on the details of what assumptions changed, along with the basis for those changes, and how those changes impact the resource adequacy assessment.  </w:t>
      </w:r>
    </w:p>
    <w:p w:rsidR="009B0F15" w:rsidRPr="009B0F15" w:rsidRDefault="009B0F15" w:rsidP="009B0F15">
      <w:pPr>
        <w:pStyle w:val="BodyText"/>
        <w:spacing w:line="249" w:lineRule="auto"/>
        <w:ind w:right="147" w:firstLine="720"/>
      </w:pPr>
      <w:r w:rsidRPr="009B0F15">
        <w:lastRenderedPageBreak/>
        <w:t>The changes in the NPCC’s finding on resource adequacy could have a significant impact on PSE’s assessment of its resource needs.  The Company anticipates the NPCC process will be completed in the second quarter of 2016.  Therefore, the Company plans to file for a waiver of the RFP rule, under WAC 480-107, to extend the timing of the Request for Proposals (“RFP”) filing, to allow PSE to reassess capacity needs before issuing an All-Source RFP.</w:t>
      </w:r>
    </w:p>
    <w:p w:rsidR="009B0F15" w:rsidRPr="009B0F15" w:rsidRDefault="009B0F15" w:rsidP="009B0F15">
      <w:pPr>
        <w:pStyle w:val="BodyText"/>
        <w:spacing w:line="249" w:lineRule="auto"/>
        <w:ind w:right="147" w:firstLine="720"/>
      </w:pPr>
      <w:r w:rsidRPr="009B0F15">
        <w:t>Note, as described in the 2015 IRP</w:t>
      </w:r>
      <w:r w:rsidR="00543F1E">
        <w:t xml:space="preserve"> (Executive Summary, page 1-10)</w:t>
      </w:r>
      <w:r w:rsidRPr="009B0F15">
        <w:t>, PSE will be developing a separate acquisition process for demand response resources.  Analysis in the IRP demonstrates that changes to the load forecast—thus resource need—do not reduce the level of demand response that appears cost effective.  Therefore, PSE does not plan to delay the demand-response RFP process.  The Company will endeavor to work with WUTC Staff, Public Coun</w:t>
      </w:r>
      <w:r w:rsidR="002B077A">
        <w:t>se</w:t>
      </w:r>
      <w:r w:rsidRPr="009B0F15">
        <w:t xml:space="preserve">l, and other stakeholders as the demand-response acquisition process is developed in the first quarter of 2016.  </w:t>
      </w:r>
    </w:p>
    <w:p w:rsidR="009B0F15" w:rsidRPr="009B0F15" w:rsidRDefault="009B0F15" w:rsidP="009B0F15">
      <w:pPr>
        <w:pStyle w:val="BodyText"/>
        <w:spacing w:line="249" w:lineRule="auto"/>
        <w:ind w:right="147" w:firstLine="4"/>
        <w:rPr>
          <w:i/>
        </w:rPr>
      </w:pPr>
      <w:r w:rsidRPr="009B0F15">
        <w:rPr>
          <w:i/>
        </w:rPr>
        <w:t>Conclusion</w:t>
      </w:r>
    </w:p>
    <w:p w:rsidR="00BE0E91" w:rsidRPr="009B0F15" w:rsidRDefault="009B0F15" w:rsidP="009B0F15">
      <w:pPr>
        <w:pStyle w:val="BodyText"/>
        <w:spacing w:line="249" w:lineRule="auto"/>
        <w:ind w:right="147" w:firstLine="720"/>
      </w:pPr>
      <w:r w:rsidRPr="009B0F15">
        <w:t xml:space="preserve">The Company looks forward to presenting the 2015 IRP to the Commissioners, when it is most convenient for the Commission.  The Company looks forward to a dialogue and receiving feedback in order to improve and refine its resource planning process. If you have any questions about the information contained in this filing, please contact Phillip Popoff, Manager, Integrated Resource Planning, at 425-462-3229 </w:t>
      </w:r>
      <w:r w:rsidR="00AB7737" w:rsidRPr="009B0F15">
        <w:rPr>
          <w:szCs w:val="24"/>
        </w:rPr>
        <w:t xml:space="preserve">or </w:t>
      </w:r>
      <w:r w:rsidR="00DD4ECB" w:rsidRPr="009B0F15">
        <w:rPr>
          <w:szCs w:val="24"/>
        </w:rPr>
        <w:t xml:space="preserve">myself </w:t>
      </w:r>
      <w:r w:rsidR="00AB7737" w:rsidRPr="009B0F15">
        <w:rPr>
          <w:szCs w:val="24"/>
        </w:rPr>
        <w:t xml:space="preserve">at (425) </w:t>
      </w:r>
      <w:r w:rsidR="0063515C" w:rsidRPr="009B0F15">
        <w:rPr>
          <w:szCs w:val="24"/>
        </w:rPr>
        <w:t>456</w:t>
      </w:r>
      <w:r w:rsidR="00AB7737" w:rsidRPr="009B0F15">
        <w:rPr>
          <w:szCs w:val="24"/>
        </w:rPr>
        <w:t>-</w:t>
      </w:r>
      <w:r w:rsidR="0063515C" w:rsidRPr="009B0F15">
        <w:rPr>
          <w:szCs w:val="24"/>
        </w:rPr>
        <w:t>2110</w:t>
      </w:r>
      <w:r w:rsidR="00AB7737" w:rsidRPr="009B0F15">
        <w:rPr>
          <w:szCs w:val="24"/>
        </w:rPr>
        <w:t xml:space="preserve"> for additional information about this filing.</w:t>
      </w:r>
    </w:p>
    <w:p w:rsidR="00B410CB" w:rsidRPr="009B0F15" w:rsidRDefault="00B410CB" w:rsidP="008868BA">
      <w:pPr>
        <w:pStyle w:val="LetterSignature"/>
        <w:keepNext w:val="0"/>
        <w:keepLines w:val="0"/>
        <w:ind w:left="4320"/>
        <w:rPr>
          <w:szCs w:val="24"/>
        </w:rPr>
      </w:pPr>
    </w:p>
    <w:p w:rsidR="008901F0" w:rsidRPr="009B0F15" w:rsidRDefault="008901F0" w:rsidP="008868BA">
      <w:pPr>
        <w:pStyle w:val="LetterSignature"/>
        <w:keepNext w:val="0"/>
        <w:keepLines w:val="0"/>
        <w:ind w:left="4320"/>
        <w:rPr>
          <w:szCs w:val="24"/>
        </w:rPr>
      </w:pPr>
    </w:p>
    <w:p w:rsidR="00442911" w:rsidRPr="009B0F15" w:rsidRDefault="003A3E45" w:rsidP="008868BA">
      <w:pPr>
        <w:pStyle w:val="LetterSignature"/>
        <w:keepNext w:val="0"/>
        <w:keepLines w:val="0"/>
        <w:ind w:left="4320"/>
        <w:rPr>
          <w:szCs w:val="24"/>
        </w:rPr>
      </w:pPr>
      <w:r w:rsidRPr="009B0F15">
        <w:rPr>
          <w:szCs w:val="24"/>
        </w:rPr>
        <w:t>Sincerely</w:t>
      </w:r>
      <w:r w:rsidR="00442911" w:rsidRPr="009B0F15">
        <w:rPr>
          <w:szCs w:val="24"/>
        </w:rPr>
        <w:t>,</w:t>
      </w:r>
    </w:p>
    <w:p w:rsidR="009177F6" w:rsidRPr="009B0F15" w:rsidRDefault="009177F6" w:rsidP="008868BA">
      <w:pPr>
        <w:pStyle w:val="LetterSignature"/>
        <w:keepNext w:val="0"/>
        <w:keepLines w:val="0"/>
        <w:ind w:left="4320"/>
        <w:rPr>
          <w:szCs w:val="24"/>
        </w:rPr>
      </w:pPr>
    </w:p>
    <w:p w:rsidR="009177F6" w:rsidRPr="009B0F15" w:rsidRDefault="009177F6" w:rsidP="008868BA">
      <w:pPr>
        <w:pStyle w:val="LetterSignature"/>
        <w:keepNext w:val="0"/>
        <w:keepLines w:val="0"/>
        <w:ind w:left="4320"/>
        <w:rPr>
          <w:szCs w:val="24"/>
        </w:rPr>
      </w:pPr>
    </w:p>
    <w:p w:rsidR="00B410CB" w:rsidRPr="009B0F15" w:rsidRDefault="00B410CB" w:rsidP="008868BA">
      <w:pPr>
        <w:pStyle w:val="LetterSignature"/>
        <w:keepNext w:val="0"/>
        <w:keepLines w:val="0"/>
        <w:ind w:left="4320"/>
        <w:rPr>
          <w:szCs w:val="24"/>
        </w:rPr>
      </w:pPr>
    </w:p>
    <w:p w:rsidR="003A3E45" w:rsidRPr="009B0F15" w:rsidRDefault="003A3E45" w:rsidP="008868BA">
      <w:pPr>
        <w:pStyle w:val="LetterSignature"/>
        <w:keepNext w:val="0"/>
        <w:keepLines w:val="0"/>
        <w:ind w:left="4320"/>
        <w:rPr>
          <w:szCs w:val="24"/>
        </w:rPr>
      </w:pPr>
      <w:r w:rsidRPr="009B0F15">
        <w:rPr>
          <w:szCs w:val="24"/>
        </w:rPr>
        <w:t>Ken Johnson</w:t>
      </w:r>
    </w:p>
    <w:p w:rsidR="006639E9" w:rsidRPr="009B0F15" w:rsidRDefault="003A3E45" w:rsidP="008868BA">
      <w:pPr>
        <w:pStyle w:val="LetterSignature"/>
        <w:keepNext w:val="0"/>
        <w:keepLines w:val="0"/>
        <w:ind w:left="4320"/>
        <w:rPr>
          <w:szCs w:val="24"/>
        </w:rPr>
      </w:pPr>
      <w:r w:rsidRPr="009B0F15">
        <w:rPr>
          <w:szCs w:val="24"/>
        </w:rPr>
        <w:t>Di</w:t>
      </w:r>
      <w:r w:rsidR="00B410CB" w:rsidRPr="009B0F15">
        <w:rPr>
          <w:szCs w:val="24"/>
        </w:rPr>
        <w:t>rector, State Regulatory Affairs</w:t>
      </w:r>
    </w:p>
    <w:p w:rsidR="00B410CB" w:rsidRPr="009B0F15" w:rsidRDefault="00B410CB" w:rsidP="003A0736">
      <w:pPr>
        <w:pStyle w:val="LetterSignature"/>
        <w:keepNext w:val="0"/>
        <w:keepLines w:val="0"/>
        <w:ind w:left="4320"/>
        <w:rPr>
          <w:szCs w:val="24"/>
        </w:rPr>
      </w:pPr>
    </w:p>
    <w:p w:rsidR="006033FF" w:rsidRPr="009B0F15" w:rsidRDefault="002B077A" w:rsidP="00503A21">
      <w:pPr>
        <w:pStyle w:val="PlainText"/>
        <w:widowControl w:val="0"/>
        <w:rPr>
          <w:rFonts w:ascii="Times New Roman" w:hAnsi="Times New Roman" w:cs="Times New Roman"/>
          <w:sz w:val="24"/>
          <w:szCs w:val="24"/>
        </w:rPr>
      </w:pPr>
      <w:r>
        <w:rPr>
          <w:rFonts w:ascii="Times New Roman" w:hAnsi="Times New Roman" w:cs="Times New Roman"/>
          <w:sz w:val="24"/>
          <w:szCs w:val="24"/>
        </w:rPr>
        <w:t>cc:  </w:t>
      </w:r>
      <w:r w:rsidR="00503A21" w:rsidRPr="009B0F15">
        <w:rPr>
          <w:rFonts w:ascii="Times New Roman" w:hAnsi="Times New Roman" w:cs="Times New Roman"/>
          <w:sz w:val="24"/>
          <w:szCs w:val="24"/>
        </w:rPr>
        <w:t>Sheree Carson</w:t>
      </w:r>
    </w:p>
    <w:sectPr w:rsidR="006033FF" w:rsidRPr="009B0F15" w:rsidSect="008901F0">
      <w:headerReference w:type="default" r:id="rId9"/>
      <w:headerReference w:type="first" r:id="rId10"/>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29" w:rsidRDefault="002B1029" w:rsidP="00442911">
      <w:r>
        <w:separator/>
      </w:r>
    </w:p>
  </w:endnote>
  <w:endnote w:type="continuationSeparator" w:id="0">
    <w:p w:rsidR="002B1029" w:rsidRDefault="002B1029"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29" w:rsidRDefault="002B1029" w:rsidP="00442911">
      <w:r>
        <w:separator/>
      </w:r>
    </w:p>
  </w:footnote>
  <w:footnote w:type="continuationSeparator" w:id="0">
    <w:p w:rsidR="002B1029" w:rsidRDefault="002B1029" w:rsidP="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82" w:rsidRDefault="00D74BC0">
    <w:pPr>
      <w:pStyle w:val="Header"/>
    </w:pPr>
    <w:r>
      <w:t>Mr. Steven V. King</w:t>
    </w:r>
  </w:p>
  <w:p w:rsidR="00D74BC0" w:rsidRDefault="00DE4995">
    <w:pPr>
      <w:pStyle w:val="Header"/>
      <w:rPr>
        <w:noProof/>
      </w:rPr>
    </w:pPr>
    <w:r>
      <w:t>November 25</w:t>
    </w:r>
    <w:r w:rsidR="00D74BC0">
      <w:t>, 2015</w:t>
    </w:r>
    <w:r w:rsidR="00D74BC0">
      <w:br/>
      <w:t xml:space="preserve">Page </w:t>
    </w:r>
    <w:r w:rsidR="00D74BC0">
      <w:fldChar w:fldCharType="begin"/>
    </w:r>
    <w:r w:rsidR="00D74BC0">
      <w:instrText xml:space="preserve"> PAGE   \* MERGEFORMAT </w:instrText>
    </w:r>
    <w:r w:rsidR="00D74BC0">
      <w:fldChar w:fldCharType="separate"/>
    </w:r>
    <w:r w:rsidR="004F4CC4">
      <w:rPr>
        <w:noProof/>
      </w:rPr>
      <w:t>6</w:t>
    </w:r>
    <w:r w:rsidR="00D74BC0">
      <w:rPr>
        <w:noProof/>
      </w:rPr>
      <w:fldChar w:fldCharType="end"/>
    </w:r>
  </w:p>
  <w:p w:rsidR="00D74BC0" w:rsidRDefault="00D74BC0">
    <w:pPr>
      <w:pStyle w:val="Header"/>
    </w:pPr>
  </w:p>
  <w:p w:rsidR="00D74BC0" w:rsidRDefault="00D74BC0">
    <w:pPr>
      <w:pStyle w:val="Header"/>
    </w:pPr>
  </w:p>
  <w:p w:rsidR="00D74BC0" w:rsidRDefault="00D7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C0" w:rsidRDefault="00D74BC0" w:rsidP="008901F0">
    <w:pPr>
      <w:pStyle w:val="Header"/>
    </w:pPr>
    <w:r>
      <w:rPr>
        <w:noProof/>
        <w:szCs w:val="24"/>
      </w:rPr>
      <w:drawing>
        <wp:anchor distT="0" distB="0" distL="114300" distR="114300" simplePos="0" relativeHeight="251657216" behindDoc="0" locked="0" layoutInCell="1" allowOverlap="1" wp14:anchorId="19D1954D" wp14:editId="18595E14">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D74BC0" w:rsidRPr="00B410CB" w:rsidRDefault="00D74BC0"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nsid w:val="007D5C12"/>
    <w:multiLevelType w:val="hybridMultilevel"/>
    <w:tmpl w:val="D49AA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4A736FC"/>
    <w:multiLevelType w:val="hybridMultilevel"/>
    <w:tmpl w:val="34EEE68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04D04E19"/>
    <w:multiLevelType w:val="hybridMultilevel"/>
    <w:tmpl w:val="91AAB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6076287"/>
    <w:multiLevelType w:val="hybridMultilevel"/>
    <w:tmpl w:val="227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C7232BA"/>
    <w:multiLevelType w:val="hybridMultilevel"/>
    <w:tmpl w:val="6E2E6A5A"/>
    <w:lvl w:ilvl="0" w:tplc="9FE459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736C00"/>
    <w:multiLevelType w:val="hybridMultilevel"/>
    <w:tmpl w:val="1FB4AF66"/>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0FB4168A"/>
    <w:multiLevelType w:val="hybridMultilevel"/>
    <w:tmpl w:val="DC380DD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194525F4"/>
    <w:multiLevelType w:val="hybridMultilevel"/>
    <w:tmpl w:val="5CD48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24D1A"/>
    <w:multiLevelType w:val="hybridMultilevel"/>
    <w:tmpl w:val="6318E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2635BF5"/>
    <w:multiLevelType w:val="hybridMultilevel"/>
    <w:tmpl w:val="1120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F43513"/>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2B6334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67F541C"/>
    <w:multiLevelType w:val="hybridMultilevel"/>
    <w:tmpl w:val="AC04BC88"/>
    <w:lvl w:ilvl="0" w:tplc="C7AE0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90E1B"/>
    <w:multiLevelType w:val="hybridMultilevel"/>
    <w:tmpl w:val="8544136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4">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5">
    <w:nsid w:val="43281471"/>
    <w:multiLevelType w:val="hybridMultilevel"/>
    <w:tmpl w:val="A9C094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CD4075"/>
    <w:multiLevelType w:val="hybridMultilevel"/>
    <w:tmpl w:val="1232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21A2F"/>
    <w:multiLevelType w:val="hybridMultilevel"/>
    <w:tmpl w:val="A142D068"/>
    <w:lvl w:ilvl="0" w:tplc="A64E7E1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570DA"/>
    <w:multiLevelType w:val="hybridMultilevel"/>
    <w:tmpl w:val="90AA40FE"/>
    <w:lvl w:ilvl="0" w:tplc="9A1EF4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A6977"/>
    <w:multiLevelType w:val="hybridMultilevel"/>
    <w:tmpl w:val="D6C4C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A6FDF"/>
    <w:multiLevelType w:val="hybridMultilevel"/>
    <w:tmpl w:val="347AB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301F28"/>
    <w:multiLevelType w:val="hybridMultilevel"/>
    <w:tmpl w:val="0816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FE1170"/>
    <w:multiLevelType w:val="hybridMultilevel"/>
    <w:tmpl w:val="743812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4A50D5F"/>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58404F55"/>
    <w:multiLevelType w:val="hybridMultilevel"/>
    <w:tmpl w:val="AB6CD52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59C34D2B"/>
    <w:multiLevelType w:val="hybridMultilevel"/>
    <w:tmpl w:val="815A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37FC4"/>
    <w:multiLevelType w:val="hybridMultilevel"/>
    <w:tmpl w:val="9B3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725FA"/>
    <w:multiLevelType w:val="hybridMultilevel"/>
    <w:tmpl w:val="2CDA0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95743"/>
    <w:multiLevelType w:val="hybridMultilevel"/>
    <w:tmpl w:val="BED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35E92"/>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68042438"/>
    <w:multiLevelType w:val="hybridMultilevel"/>
    <w:tmpl w:val="2E82A768"/>
    <w:lvl w:ilvl="0" w:tplc="CB724F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E4B68"/>
    <w:multiLevelType w:val="hybridMultilevel"/>
    <w:tmpl w:val="15EE9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EC96052"/>
    <w:multiLevelType w:val="hybridMultilevel"/>
    <w:tmpl w:val="09E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92E16"/>
    <w:multiLevelType w:val="hybridMultilevel"/>
    <w:tmpl w:val="63E832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40"/>
  </w:num>
  <w:num w:numId="13">
    <w:abstractNumId w:val="2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4"/>
  </w:num>
  <w:num w:numId="18">
    <w:abstractNumId w:val="31"/>
  </w:num>
  <w:num w:numId="19">
    <w:abstractNumId w:val="34"/>
  </w:num>
  <w:num w:numId="20">
    <w:abstractNumId w:val="23"/>
  </w:num>
  <w:num w:numId="21">
    <w:abstractNumId w:val="36"/>
  </w:num>
  <w:num w:numId="22">
    <w:abstractNumId w:val="37"/>
  </w:num>
  <w:num w:numId="23">
    <w:abstractNumId w:val="43"/>
  </w:num>
  <w:num w:numId="24">
    <w:abstractNumId w:val="10"/>
  </w:num>
  <w:num w:numId="25">
    <w:abstractNumId w:val="32"/>
  </w:num>
  <w:num w:numId="26">
    <w:abstractNumId w:val="16"/>
  </w:num>
  <w:num w:numId="27">
    <w:abstractNumId w:val="28"/>
  </w:num>
  <w:num w:numId="28">
    <w:abstractNumId w:val="30"/>
  </w:num>
  <w:num w:numId="29">
    <w:abstractNumId w:val="25"/>
  </w:num>
  <w:num w:numId="30">
    <w:abstractNumId w:val="29"/>
  </w:num>
  <w:num w:numId="31">
    <w:abstractNumId w:val="38"/>
  </w:num>
  <w:num w:numId="32">
    <w:abstractNumId w:val="12"/>
  </w:num>
  <w:num w:numId="33">
    <w:abstractNumId w:val="41"/>
  </w:num>
  <w:num w:numId="34">
    <w:abstractNumId w:val="27"/>
  </w:num>
  <w:num w:numId="35">
    <w:abstractNumId w:val="33"/>
  </w:num>
  <w:num w:numId="36">
    <w:abstractNumId w:val="14"/>
  </w:num>
  <w:num w:numId="37">
    <w:abstractNumId w:val="35"/>
  </w:num>
  <w:num w:numId="38">
    <w:abstractNumId w:val="39"/>
  </w:num>
  <w:num w:numId="39">
    <w:abstractNumId w:val="20"/>
  </w:num>
  <w:num w:numId="40">
    <w:abstractNumId w:val="11"/>
  </w:num>
  <w:num w:numId="41">
    <w:abstractNumId w:val="19"/>
  </w:num>
  <w:num w:numId="42">
    <w:abstractNumId w:val="42"/>
  </w:num>
  <w:num w:numId="43">
    <w:abstractNumId w:val="2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01418"/>
    <w:rsid w:val="00006BF4"/>
    <w:rsid w:val="00025CB4"/>
    <w:rsid w:val="00030BA0"/>
    <w:rsid w:val="00031506"/>
    <w:rsid w:val="0003568D"/>
    <w:rsid w:val="00043DF2"/>
    <w:rsid w:val="000605C5"/>
    <w:rsid w:val="00061488"/>
    <w:rsid w:val="00070E31"/>
    <w:rsid w:val="00071B78"/>
    <w:rsid w:val="00074007"/>
    <w:rsid w:val="00074EA7"/>
    <w:rsid w:val="00080981"/>
    <w:rsid w:val="00081B03"/>
    <w:rsid w:val="0009002C"/>
    <w:rsid w:val="00096F74"/>
    <w:rsid w:val="00097B39"/>
    <w:rsid w:val="000A000A"/>
    <w:rsid w:val="000A166C"/>
    <w:rsid w:val="000A4096"/>
    <w:rsid w:val="000B33E1"/>
    <w:rsid w:val="000B3DE9"/>
    <w:rsid w:val="000B69E2"/>
    <w:rsid w:val="000C3776"/>
    <w:rsid w:val="000D0622"/>
    <w:rsid w:val="000D3B6C"/>
    <w:rsid w:val="000E0D55"/>
    <w:rsid w:val="000E2339"/>
    <w:rsid w:val="00100F01"/>
    <w:rsid w:val="00101FF5"/>
    <w:rsid w:val="00104A50"/>
    <w:rsid w:val="001073D7"/>
    <w:rsid w:val="001236EA"/>
    <w:rsid w:val="0012555D"/>
    <w:rsid w:val="00125892"/>
    <w:rsid w:val="00125B03"/>
    <w:rsid w:val="00153CB3"/>
    <w:rsid w:val="001622C9"/>
    <w:rsid w:val="00174FBB"/>
    <w:rsid w:val="00175168"/>
    <w:rsid w:val="00175960"/>
    <w:rsid w:val="00176DD1"/>
    <w:rsid w:val="001850CD"/>
    <w:rsid w:val="00191749"/>
    <w:rsid w:val="00194C44"/>
    <w:rsid w:val="00194FFA"/>
    <w:rsid w:val="00196E4E"/>
    <w:rsid w:val="001A486F"/>
    <w:rsid w:val="001B65B1"/>
    <w:rsid w:val="001C45AF"/>
    <w:rsid w:val="001C5F4E"/>
    <w:rsid w:val="001C6062"/>
    <w:rsid w:val="001D0AC2"/>
    <w:rsid w:val="001E6335"/>
    <w:rsid w:val="00205F7F"/>
    <w:rsid w:val="00205FF7"/>
    <w:rsid w:val="002071DD"/>
    <w:rsid w:val="00212C7B"/>
    <w:rsid w:val="00212E4D"/>
    <w:rsid w:val="00227419"/>
    <w:rsid w:val="00227629"/>
    <w:rsid w:val="00227A65"/>
    <w:rsid w:val="00235598"/>
    <w:rsid w:val="00235ED6"/>
    <w:rsid w:val="002364E9"/>
    <w:rsid w:val="00236B6E"/>
    <w:rsid w:val="002404F7"/>
    <w:rsid w:val="002429EE"/>
    <w:rsid w:val="00246212"/>
    <w:rsid w:val="00246481"/>
    <w:rsid w:val="0024707B"/>
    <w:rsid w:val="002476B8"/>
    <w:rsid w:val="00255A9F"/>
    <w:rsid w:val="002625A9"/>
    <w:rsid w:val="00265E20"/>
    <w:rsid w:val="00275885"/>
    <w:rsid w:val="00275D26"/>
    <w:rsid w:val="00286134"/>
    <w:rsid w:val="002960E6"/>
    <w:rsid w:val="0029709E"/>
    <w:rsid w:val="002A088C"/>
    <w:rsid w:val="002A3591"/>
    <w:rsid w:val="002B077A"/>
    <w:rsid w:val="002B1029"/>
    <w:rsid w:val="002B3EF8"/>
    <w:rsid w:val="002B4AE5"/>
    <w:rsid w:val="002C027E"/>
    <w:rsid w:val="002C59B1"/>
    <w:rsid w:val="002D0773"/>
    <w:rsid w:val="002D2B57"/>
    <w:rsid w:val="002D47DE"/>
    <w:rsid w:val="002D4979"/>
    <w:rsid w:val="002D683B"/>
    <w:rsid w:val="002F14C5"/>
    <w:rsid w:val="00301743"/>
    <w:rsid w:val="003057BF"/>
    <w:rsid w:val="003067D9"/>
    <w:rsid w:val="003203AB"/>
    <w:rsid w:val="00324CD6"/>
    <w:rsid w:val="00334E79"/>
    <w:rsid w:val="0034462E"/>
    <w:rsid w:val="00352066"/>
    <w:rsid w:val="003528B3"/>
    <w:rsid w:val="00352C5F"/>
    <w:rsid w:val="00356ADE"/>
    <w:rsid w:val="00362CE3"/>
    <w:rsid w:val="0036373E"/>
    <w:rsid w:val="003637AE"/>
    <w:rsid w:val="003656BE"/>
    <w:rsid w:val="00371AB7"/>
    <w:rsid w:val="0037574B"/>
    <w:rsid w:val="00377531"/>
    <w:rsid w:val="00377C94"/>
    <w:rsid w:val="00384164"/>
    <w:rsid w:val="0038648E"/>
    <w:rsid w:val="00391667"/>
    <w:rsid w:val="003A018F"/>
    <w:rsid w:val="003A0736"/>
    <w:rsid w:val="003A3E45"/>
    <w:rsid w:val="003A5032"/>
    <w:rsid w:val="003A6D0E"/>
    <w:rsid w:val="003B02D4"/>
    <w:rsid w:val="003B29EB"/>
    <w:rsid w:val="003B4904"/>
    <w:rsid w:val="003C20B7"/>
    <w:rsid w:val="003C2E57"/>
    <w:rsid w:val="003C40F4"/>
    <w:rsid w:val="003C4851"/>
    <w:rsid w:val="003C4B8E"/>
    <w:rsid w:val="003C5DC7"/>
    <w:rsid w:val="003C64E2"/>
    <w:rsid w:val="003D10AD"/>
    <w:rsid w:val="003D3760"/>
    <w:rsid w:val="003E10A9"/>
    <w:rsid w:val="003E3780"/>
    <w:rsid w:val="003E7B8C"/>
    <w:rsid w:val="003F0586"/>
    <w:rsid w:val="003F26E0"/>
    <w:rsid w:val="003F39AC"/>
    <w:rsid w:val="003F5EFF"/>
    <w:rsid w:val="00400FDF"/>
    <w:rsid w:val="0041337F"/>
    <w:rsid w:val="00413B54"/>
    <w:rsid w:val="00426428"/>
    <w:rsid w:val="00431785"/>
    <w:rsid w:val="00437D4E"/>
    <w:rsid w:val="00442911"/>
    <w:rsid w:val="00442E8F"/>
    <w:rsid w:val="00461811"/>
    <w:rsid w:val="004623D4"/>
    <w:rsid w:val="00470D52"/>
    <w:rsid w:val="00472B9C"/>
    <w:rsid w:val="00475160"/>
    <w:rsid w:val="00476C3F"/>
    <w:rsid w:val="00480CCF"/>
    <w:rsid w:val="004839CB"/>
    <w:rsid w:val="00492F85"/>
    <w:rsid w:val="00493B9A"/>
    <w:rsid w:val="00494DE8"/>
    <w:rsid w:val="00494F12"/>
    <w:rsid w:val="00495BCD"/>
    <w:rsid w:val="00496712"/>
    <w:rsid w:val="00496844"/>
    <w:rsid w:val="004B06E4"/>
    <w:rsid w:val="004B4505"/>
    <w:rsid w:val="004C05FD"/>
    <w:rsid w:val="004D1BCD"/>
    <w:rsid w:val="004E1EA0"/>
    <w:rsid w:val="004E6A46"/>
    <w:rsid w:val="004F0A38"/>
    <w:rsid w:val="004F4CC4"/>
    <w:rsid w:val="00502780"/>
    <w:rsid w:val="00503A21"/>
    <w:rsid w:val="00505AEB"/>
    <w:rsid w:val="0051087C"/>
    <w:rsid w:val="00511DDD"/>
    <w:rsid w:val="005141F9"/>
    <w:rsid w:val="00515A94"/>
    <w:rsid w:val="00526CF3"/>
    <w:rsid w:val="00526F13"/>
    <w:rsid w:val="00541324"/>
    <w:rsid w:val="00543F1E"/>
    <w:rsid w:val="00544280"/>
    <w:rsid w:val="005442EC"/>
    <w:rsid w:val="00545D8F"/>
    <w:rsid w:val="0054636A"/>
    <w:rsid w:val="00552374"/>
    <w:rsid w:val="00553CA2"/>
    <w:rsid w:val="00554212"/>
    <w:rsid w:val="00557437"/>
    <w:rsid w:val="00562B4E"/>
    <w:rsid w:val="005719ED"/>
    <w:rsid w:val="00576C91"/>
    <w:rsid w:val="0057719F"/>
    <w:rsid w:val="00587807"/>
    <w:rsid w:val="005918BE"/>
    <w:rsid w:val="005920CA"/>
    <w:rsid w:val="00595EC4"/>
    <w:rsid w:val="00596AFF"/>
    <w:rsid w:val="005A0D75"/>
    <w:rsid w:val="005A4D15"/>
    <w:rsid w:val="005A757F"/>
    <w:rsid w:val="005B0059"/>
    <w:rsid w:val="005B0634"/>
    <w:rsid w:val="005B0A6C"/>
    <w:rsid w:val="005C4592"/>
    <w:rsid w:val="005C561D"/>
    <w:rsid w:val="005D0E8C"/>
    <w:rsid w:val="005D13AE"/>
    <w:rsid w:val="005E33B9"/>
    <w:rsid w:val="005E6A1D"/>
    <w:rsid w:val="005E6D6D"/>
    <w:rsid w:val="005F224C"/>
    <w:rsid w:val="006033FF"/>
    <w:rsid w:val="00606A82"/>
    <w:rsid w:val="00613410"/>
    <w:rsid w:val="006176B5"/>
    <w:rsid w:val="0063515C"/>
    <w:rsid w:val="00644C6E"/>
    <w:rsid w:val="006477E6"/>
    <w:rsid w:val="00651B1B"/>
    <w:rsid w:val="00656B6B"/>
    <w:rsid w:val="006639E9"/>
    <w:rsid w:val="00670AD5"/>
    <w:rsid w:val="00672B7C"/>
    <w:rsid w:val="00676B2E"/>
    <w:rsid w:val="00683022"/>
    <w:rsid w:val="00687D1C"/>
    <w:rsid w:val="00694559"/>
    <w:rsid w:val="006A00B3"/>
    <w:rsid w:val="006A22CB"/>
    <w:rsid w:val="006B256E"/>
    <w:rsid w:val="006B60F0"/>
    <w:rsid w:val="006C05E7"/>
    <w:rsid w:val="006C186C"/>
    <w:rsid w:val="006C5409"/>
    <w:rsid w:val="006E03F5"/>
    <w:rsid w:val="006E1700"/>
    <w:rsid w:val="006E28C8"/>
    <w:rsid w:val="006E6387"/>
    <w:rsid w:val="006F0FC4"/>
    <w:rsid w:val="006F608B"/>
    <w:rsid w:val="006F6ECC"/>
    <w:rsid w:val="006F6FD4"/>
    <w:rsid w:val="00704E0E"/>
    <w:rsid w:val="00720093"/>
    <w:rsid w:val="0072125D"/>
    <w:rsid w:val="00721395"/>
    <w:rsid w:val="00722369"/>
    <w:rsid w:val="00724CDD"/>
    <w:rsid w:val="00725535"/>
    <w:rsid w:val="007336EF"/>
    <w:rsid w:val="00733C58"/>
    <w:rsid w:val="00740085"/>
    <w:rsid w:val="007401AA"/>
    <w:rsid w:val="007406D0"/>
    <w:rsid w:val="0074403E"/>
    <w:rsid w:val="00745FF7"/>
    <w:rsid w:val="0075095F"/>
    <w:rsid w:val="00752B3E"/>
    <w:rsid w:val="0076119A"/>
    <w:rsid w:val="007636CE"/>
    <w:rsid w:val="00763DE6"/>
    <w:rsid w:val="00765009"/>
    <w:rsid w:val="0076515C"/>
    <w:rsid w:val="00766522"/>
    <w:rsid w:val="00767990"/>
    <w:rsid w:val="00770B67"/>
    <w:rsid w:val="00773795"/>
    <w:rsid w:val="00775DAB"/>
    <w:rsid w:val="00784FA9"/>
    <w:rsid w:val="00790484"/>
    <w:rsid w:val="00796290"/>
    <w:rsid w:val="00796994"/>
    <w:rsid w:val="007975A6"/>
    <w:rsid w:val="007A251C"/>
    <w:rsid w:val="007B06A1"/>
    <w:rsid w:val="007B202F"/>
    <w:rsid w:val="007B4219"/>
    <w:rsid w:val="007B6004"/>
    <w:rsid w:val="007C0ACA"/>
    <w:rsid w:val="007C4AE6"/>
    <w:rsid w:val="007C7F66"/>
    <w:rsid w:val="007D07CF"/>
    <w:rsid w:val="007E3E09"/>
    <w:rsid w:val="007E75EB"/>
    <w:rsid w:val="007F232D"/>
    <w:rsid w:val="007F4D0E"/>
    <w:rsid w:val="007F6617"/>
    <w:rsid w:val="008038C8"/>
    <w:rsid w:val="00825AEE"/>
    <w:rsid w:val="0083031C"/>
    <w:rsid w:val="00835475"/>
    <w:rsid w:val="00837BD2"/>
    <w:rsid w:val="008403A4"/>
    <w:rsid w:val="008409CA"/>
    <w:rsid w:val="0084690A"/>
    <w:rsid w:val="008469F6"/>
    <w:rsid w:val="00847CC8"/>
    <w:rsid w:val="00855E7B"/>
    <w:rsid w:val="008611D4"/>
    <w:rsid w:val="00873B97"/>
    <w:rsid w:val="008854FA"/>
    <w:rsid w:val="008854FB"/>
    <w:rsid w:val="0088644E"/>
    <w:rsid w:val="008868BA"/>
    <w:rsid w:val="008901F0"/>
    <w:rsid w:val="008902D9"/>
    <w:rsid w:val="0089083D"/>
    <w:rsid w:val="0089114E"/>
    <w:rsid w:val="00894347"/>
    <w:rsid w:val="00894B11"/>
    <w:rsid w:val="008A0501"/>
    <w:rsid w:val="008A22C3"/>
    <w:rsid w:val="008B0814"/>
    <w:rsid w:val="008B156C"/>
    <w:rsid w:val="008B4016"/>
    <w:rsid w:val="008C4930"/>
    <w:rsid w:val="008C61A3"/>
    <w:rsid w:val="008D383E"/>
    <w:rsid w:val="008D40D9"/>
    <w:rsid w:val="008E09A4"/>
    <w:rsid w:val="008E4AF5"/>
    <w:rsid w:val="008E552C"/>
    <w:rsid w:val="008E565D"/>
    <w:rsid w:val="008E7D23"/>
    <w:rsid w:val="008F5159"/>
    <w:rsid w:val="009014A8"/>
    <w:rsid w:val="00903EF0"/>
    <w:rsid w:val="009040B7"/>
    <w:rsid w:val="0090676F"/>
    <w:rsid w:val="0090748A"/>
    <w:rsid w:val="0091409F"/>
    <w:rsid w:val="00915DA9"/>
    <w:rsid w:val="009177F6"/>
    <w:rsid w:val="00917AAD"/>
    <w:rsid w:val="00920BC9"/>
    <w:rsid w:val="0092194E"/>
    <w:rsid w:val="00933692"/>
    <w:rsid w:val="00933E47"/>
    <w:rsid w:val="009343CC"/>
    <w:rsid w:val="0093563F"/>
    <w:rsid w:val="009430BB"/>
    <w:rsid w:val="009520D5"/>
    <w:rsid w:val="00952C25"/>
    <w:rsid w:val="009561F2"/>
    <w:rsid w:val="00957C62"/>
    <w:rsid w:val="0096112A"/>
    <w:rsid w:val="00963873"/>
    <w:rsid w:val="00965284"/>
    <w:rsid w:val="009661B9"/>
    <w:rsid w:val="00973257"/>
    <w:rsid w:val="009732BA"/>
    <w:rsid w:val="0097514E"/>
    <w:rsid w:val="00976740"/>
    <w:rsid w:val="0097776B"/>
    <w:rsid w:val="00981954"/>
    <w:rsid w:val="00984639"/>
    <w:rsid w:val="00994087"/>
    <w:rsid w:val="00995B31"/>
    <w:rsid w:val="00995F0D"/>
    <w:rsid w:val="009B062F"/>
    <w:rsid w:val="009B0F15"/>
    <w:rsid w:val="009C09CD"/>
    <w:rsid w:val="009C6E41"/>
    <w:rsid w:val="009D34D0"/>
    <w:rsid w:val="009E19FA"/>
    <w:rsid w:val="009E2B02"/>
    <w:rsid w:val="009F7261"/>
    <w:rsid w:val="00A002B0"/>
    <w:rsid w:val="00A00543"/>
    <w:rsid w:val="00A02CB8"/>
    <w:rsid w:val="00A06591"/>
    <w:rsid w:val="00A0659E"/>
    <w:rsid w:val="00A15D1A"/>
    <w:rsid w:val="00A24C04"/>
    <w:rsid w:val="00A265E7"/>
    <w:rsid w:val="00A30C96"/>
    <w:rsid w:val="00A40E99"/>
    <w:rsid w:val="00A51B74"/>
    <w:rsid w:val="00A5454A"/>
    <w:rsid w:val="00A5788F"/>
    <w:rsid w:val="00A60602"/>
    <w:rsid w:val="00A6548C"/>
    <w:rsid w:val="00A851B0"/>
    <w:rsid w:val="00A87EDE"/>
    <w:rsid w:val="00A91748"/>
    <w:rsid w:val="00A97661"/>
    <w:rsid w:val="00AA13D3"/>
    <w:rsid w:val="00AA5412"/>
    <w:rsid w:val="00AA7039"/>
    <w:rsid w:val="00AB6B6C"/>
    <w:rsid w:val="00AB7737"/>
    <w:rsid w:val="00AC1195"/>
    <w:rsid w:val="00AD243C"/>
    <w:rsid w:val="00AD27A0"/>
    <w:rsid w:val="00AE1C18"/>
    <w:rsid w:val="00AE7439"/>
    <w:rsid w:val="00AF1E63"/>
    <w:rsid w:val="00B0586A"/>
    <w:rsid w:val="00B23BA5"/>
    <w:rsid w:val="00B23C28"/>
    <w:rsid w:val="00B30A16"/>
    <w:rsid w:val="00B35150"/>
    <w:rsid w:val="00B410CB"/>
    <w:rsid w:val="00B505FE"/>
    <w:rsid w:val="00B656FC"/>
    <w:rsid w:val="00B7165B"/>
    <w:rsid w:val="00B754EE"/>
    <w:rsid w:val="00B83235"/>
    <w:rsid w:val="00B85202"/>
    <w:rsid w:val="00B85405"/>
    <w:rsid w:val="00B902C2"/>
    <w:rsid w:val="00B944AC"/>
    <w:rsid w:val="00B95E67"/>
    <w:rsid w:val="00BA1EB6"/>
    <w:rsid w:val="00BA41C9"/>
    <w:rsid w:val="00BB5D58"/>
    <w:rsid w:val="00BC7B58"/>
    <w:rsid w:val="00BD05D3"/>
    <w:rsid w:val="00BD20FB"/>
    <w:rsid w:val="00BD51B5"/>
    <w:rsid w:val="00BE0E91"/>
    <w:rsid w:val="00BE3EDD"/>
    <w:rsid w:val="00BE6E4C"/>
    <w:rsid w:val="00BF1BA9"/>
    <w:rsid w:val="00BF392B"/>
    <w:rsid w:val="00C022F1"/>
    <w:rsid w:val="00C03F32"/>
    <w:rsid w:val="00C059DA"/>
    <w:rsid w:val="00C07DE0"/>
    <w:rsid w:val="00C12E9B"/>
    <w:rsid w:val="00C1749F"/>
    <w:rsid w:val="00C2381C"/>
    <w:rsid w:val="00C2419F"/>
    <w:rsid w:val="00C246E0"/>
    <w:rsid w:val="00C30C55"/>
    <w:rsid w:val="00C332F6"/>
    <w:rsid w:val="00C40E4E"/>
    <w:rsid w:val="00C43D4C"/>
    <w:rsid w:val="00C50C31"/>
    <w:rsid w:val="00C5665B"/>
    <w:rsid w:val="00C67EC8"/>
    <w:rsid w:val="00C71A35"/>
    <w:rsid w:val="00C72F75"/>
    <w:rsid w:val="00C75B5A"/>
    <w:rsid w:val="00C75E32"/>
    <w:rsid w:val="00C762FF"/>
    <w:rsid w:val="00C765DB"/>
    <w:rsid w:val="00C76922"/>
    <w:rsid w:val="00C829B7"/>
    <w:rsid w:val="00C87584"/>
    <w:rsid w:val="00C90073"/>
    <w:rsid w:val="00CB26E2"/>
    <w:rsid w:val="00CB417D"/>
    <w:rsid w:val="00CD2E9D"/>
    <w:rsid w:val="00CD58CC"/>
    <w:rsid w:val="00CE2BB6"/>
    <w:rsid w:val="00CE42FB"/>
    <w:rsid w:val="00CE7882"/>
    <w:rsid w:val="00CF185A"/>
    <w:rsid w:val="00CF2CA1"/>
    <w:rsid w:val="00CF453B"/>
    <w:rsid w:val="00CF47D0"/>
    <w:rsid w:val="00D03263"/>
    <w:rsid w:val="00D03C74"/>
    <w:rsid w:val="00D06A04"/>
    <w:rsid w:val="00D07C3E"/>
    <w:rsid w:val="00D14CA1"/>
    <w:rsid w:val="00D206D5"/>
    <w:rsid w:val="00D26E0A"/>
    <w:rsid w:val="00D31EC3"/>
    <w:rsid w:val="00D541C1"/>
    <w:rsid w:val="00D559EF"/>
    <w:rsid w:val="00D55E45"/>
    <w:rsid w:val="00D63DBF"/>
    <w:rsid w:val="00D64E52"/>
    <w:rsid w:val="00D65F3B"/>
    <w:rsid w:val="00D72A1C"/>
    <w:rsid w:val="00D731F1"/>
    <w:rsid w:val="00D74BC0"/>
    <w:rsid w:val="00D86490"/>
    <w:rsid w:val="00D92069"/>
    <w:rsid w:val="00D92EB9"/>
    <w:rsid w:val="00D94971"/>
    <w:rsid w:val="00DA1154"/>
    <w:rsid w:val="00DA5A29"/>
    <w:rsid w:val="00DB2AF6"/>
    <w:rsid w:val="00DD4D34"/>
    <w:rsid w:val="00DD4ECB"/>
    <w:rsid w:val="00DD5E10"/>
    <w:rsid w:val="00DE4995"/>
    <w:rsid w:val="00DE4BF5"/>
    <w:rsid w:val="00DE5110"/>
    <w:rsid w:val="00DE53A7"/>
    <w:rsid w:val="00DE63BD"/>
    <w:rsid w:val="00DF4466"/>
    <w:rsid w:val="00DF53B8"/>
    <w:rsid w:val="00DF76AF"/>
    <w:rsid w:val="00E015CF"/>
    <w:rsid w:val="00E07C9D"/>
    <w:rsid w:val="00E13E63"/>
    <w:rsid w:val="00E159DF"/>
    <w:rsid w:val="00E211EC"/>
    <w:rsid w:val="00E27D79"/>
    <w:rsid w:val="00E3743B"/>
    <w:rsid w:val="00E525C7"/>
    <w:rsid w:val="00E54BA0"/>
    <w:rsid w:val="00E56F9F"/>
    <w:rsid w:val="00E71453"/>
    <w:rsid w:val="00E7324D"/>
    <w:rsid w:val="00E73AE7"/>
    <w:rsid w:val="00E81AF8"/>
    <w:rsid w:val="00E81E24"/>
    <w:rsid w:val="00E84C47"/>
    <w:rsid w:val="00E84FD9"/>
    <w:rsid w:val="00E854DC"/>
    <w:rsid w:val="00E96AB8"/>
    <w:rsid w:val="00EA29CB"/>
    <w:rsid w:val="00EA6E7A"/>
    <w:rsid w:val="00EB11D4"/>
    <w:rsid w:val="00EB244A"/>
    <w:rsid w:val="00EB45E7"/>
    <w:rsid w:val="00EB6A68"/>
    <w:rsid w:val="00EC6E3B"/>
    <w:rsid w:val="00ED0026"/>
    <w:rsid w:val="00ED1899"/>
    <w:rsid w:val="00ED2FF7"/>
    <w:rsid w:val="00ED70FF"/>
    <w:rsid w:val="00EE3B8B"/>
    <w:rsid w:val="00EE52E3"/>
    <w:rsid w:val="00EE7CB1"/>
    <w:rsid w:val="00EF0ABD"/>
    <w:rsid w:val="00EF11E3"/>
    <w:rsid w:val="00EF1762"/>
    <w:rsid w:val="00EF45BD"/>
    <w:rsid w:val="00F01F58"/>
    <w:rsid w:val="00F043A6"/>
    <w:rsid w:val="00F05B4E"/>
    <w:rsid w:val="00F2313A"/>
    <w:rsid w:val="00F24A06"/>
    <w:rsid w:val="00F24D1B"/>
    <w:rsid w:val="00F24ED4"/>
    <w:rsid w:val="00F32437"/>
    <w:rsid w:val="00F35556"/>
    <w:rsid w:val="00F356FD"/>
    <w:rsid w:val="00F44CCC"/>
    <w:rsid w:val="00F47CD0"/>
    <w:rsid w:val="00F51057"/>
    <w:rsid w:val="00F5144B"/>
    <w:rsid w:val="00F52392"/>
    <w:rsid w:val="00F556EB"/>
    <w:rsid w:val="00F773E3"/>
    <w:rsid w:val="00F80D56"/>
    <w:rsid w:val="00F822D2"/>
    <w:rsid w:val="00FA27D2"/>
    <w:rsid w:val="00FA664A"/>
    <w:rsid w:val="00FC5996"/>
    <w:rsid w:val="00FD05AF"/>
    <w:rsid w:val="00FE1F2E"/>
    <w:rsid w:val="00FF6D10"/>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9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 w:type="paragraph" w:customStyle="1" w:styleId="IRPsanstext">
    <w:name w:val="IRPsanstext"/>
    <w:basedOn w:val="Normal"/>
    <w:link w:val="IRPsanstextChar1"/>
    <w:rsid w:val="009B0F15"/>
    <w:pPr>
      <w:spacing w:line="320" w:lineRule="exact"/>
    </w:pPr>
    <w:rPr>
      <w:rFonts w:ascii="Arial" w:eastAsia="MS Mincho" w:hAnsi="Arial"/>
      <w:sz w:val="20"/>
      <w:lang w:eastAsia="ja-JP"/>
    </w:rPr>
  </w:style>
  <w:style w:type="character" w:customStyle="1" w:styleId="IRPsanstextChar1">
    <w:name w:val="IRPsanstext Char1"/>
    <w:link w:val="IRPsanstext"/>
    <w:locked/>
    <w:rsid w:val="009B0F15"/>
    <w:rPr>
      <w:rFonts w:ascii="Arial" w:eastAsia="MS Mincho" w:hAnsi="Arial" w:cs="Times New Roman"/>
      <w:sz w:val="20"/>
      <w:szCs w:val="20"/>
      <w:lang w:eastAsia="ja-JP"/>
    </w:rPr>
  </w:style>
  <w:style w:type="paragraph" w:customStyle="1" w:styleId="IRPFigureSub">
    <w:name w:val="IRPFigureSub"/>
    <w:basedOn w:val="IRPsanstext"/>
    <w:link w:val="IRPFigureSubChar"/>
    <w:qFormat/>
    <w:rsid w:val="009B0F15"/>
    <w:pPr>
      <w:spacing w:after="120"/>
      <w:jc w:val="center"/>
    </w:pPr>
    <w:rPr>
      <w:i/>
      <w:szCs w:val="22"/>
    </w:rPr>
  </w:style>
  <w:style w:type="character" w:customStyle="1" w:styleId="IRPFigureSubChar">
    <w:name w:val="IRPFigureSub Char"/>
    <w:link w:val="IRPFigureSub"/>
    <w:rsid w:val="009B0F15"/>
    <w:rPr>
      <w:rFonts w:ascii="Arial" w:eastAsia="MS Mincho" w:hAnsi="Arial" w:cs="Times New Roman"/>
      <w:i/>
      <w:sz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9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 w:type="paragraph" w:customStyle="1" w:styleId="IRPsanstext">
    <w:name w:val="IRPsanstext"/>
    <w:basedOn w:val="Normal"/>
    <w:link w:val="IRPsanstextChar1"/>
    <w:rsid w:val="009B0F15"/>
    <w:pPr>
      <w:spacing w:line="320" w:lineRule="exact"/>
    </w:pPr>
    <w:rPr>
      <w:rFonts w:ascii="Arial" w:eastAsia="MS Mincho" w:hAnsi="Arial"/>
      <w:sz w:val="20"/>
      <w:lang w:eastAsia="ja-JP"/>
    </w:rPr>
  </w:style>
  <w:style w:type="character" w:customStyle="1" w:styleId="IRPsanstextChar1">
    <w:name w:val="IRPsanstext Char1"/>
    <w:link w:val="IRPsanstext"/>
    <w:locked/>
    <w:rsid w:val="009B0F15"/>
    <w:rPr>
      <w:rFonts w:ascii="Arial" w:eastAsia="MS Mincho" w:hAnsi="Arial" w:cs="Times New Roman"/>
      <w:sz w:val="20"/>
      <w:szCs w:val="20"/>
      <w:lang w:eastAsia="ja-JP"/>
    </w:rPr>
  </w:style>
  <w:style w:type="paragraph" w:customStyle="1" w:styleId="IRPFigureSub">
    <w:name w:val="IRPFigureSub"/>
    <w:basedOn w:val="IRPsanstext"/>
    <w:link w:val="IRPFigureSubChar"/>
    <w:qFormat/>
    <w:rsid w:val="009B0F15"/>
    <w:pPr>
      <w:spacing w:after="120"/>
      <w:jc w:val="center"/>
    </w:pPr>
    <w:rPr>
      <w:i/>
      <w:szCs w:val="22"/>
    </w:rPr>
  </w:style>
  <w:style w:type="character" w:customStyle="1" w:styleId="IRPFigureSubChar">
    <w:name w:val="IRPFigureSub Char"/>
    <w:link w:val="IRPFigureSub"/>
    <w:rsid w:val="009B0F15"/>
    <w:rPr>
      <w:rFonts w:ascii="Arial" w:eastAsia="MS Mincho" w:hAnsi="Arial" w:cs="Times New Roman"/>
      <w:i/>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8717">
      <w:bodyDiv w:val="1"/>
      <w:marLeft w:val="0"/>
      <w:marRight w:val="0"/>
      <w:marTop w:val="0"/>
      <w:marBottom w:val="0"/>
      <w:divBdr>
        <w:top w:val="none" w:sz="0" w:space="0" w:color="auto"/>
        <w:left w:val="none" w:sz="0" w:space="0" w:color="auto"/>
        <w:bottom w:val="none" w:sz="0" w:space="0" w:color="auto"/>
        <w:right w:val="none" w:sz="0" w:space="0" w:color="auto"/>
      </w:divBdr>
    </w:div>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61639622">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096515113">
      <w:bodyDiv w:val="1"/>
      <w:marLeft w:val="0"/>
      <w:marRight w:val="0"/>
      <w:marTop w:val="0"/>
      <w:marBottom w:val="0"/>
      <w:divBdr>
        <w:top w:val="none" w:sz="0" w:space="0" w:color="auto"/>
        <w:left w:val="none" w:sz="0" w:space="0" w:color="auto"/>
        <w:bottom w:val="none" w:sz="0" w:space="0" w:color="auto"/>
        <w:right w:val="none" w:sz="0" w:space="0" w:color="auto"/>
      </w:divBdr>
    </w:div>
    <w:div w:id="1160074935">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 w:id="2019887801">
      <w:bodyDiv w:val="1"/>
      <w:marLeft w:val="0"/>
      <w:marRight w:val="0"/>
      <w:marTop w:val="0"/>
      <w:marBottom w:val="0"/>
      <w:divBdr>
        <w:top w:val="none" w:sz="0" w:space="0" w:color="auto"/>
        <w:left w:val="none" w:sz="0" w:space="0" w:color="auto"/>
        <w:bottom w:val="none" w:sz="0" w:space="0" w:color="auto"/>
        <w:right w:val="none" w:sz="0" w:space="0" w:color="auto"/>
      </w:divBdr>
    </w:div>
    <w:div w:id="2024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A29753-84D0-4F4D-871B-7C11079139B1}"/>
</file>

<file path=customXml/itemProps2.xml><?xml version="1.0" encoding="utf-8"?>
<ds:datastoreItem xmlns:ds="http://schemas.openxmlformats.org/officeDocument/2006/customXml" ds:itemID="{D05678B2-B366-4000-8163-15F8278AB424}"/>
</file>

<file path=customXml/itemProps3.xml><?xml version="1.0" encoding="utf-8"?>
<ds:datastoreItem xmlns:ds="http://schemas.openxmlformats.org/officeDocument/2006/customXml" ds:itemID="{6EF1564C-2D6E-4534-85BE-E65505C52AAA}"/>
</file>

<file path=customXml/itemProps4.xml><?xml version="1.0" encoding="utf-8"?>
<ds:datastoreItem xmlns:ds="http://schemas.openxmlformats.org/officeDocument/2006/customXml" ds:itemID="{AD1F9D66-E023-4AD9-9B70-5388B02E9902}"/>
</file>

<file path=customXml/itemProps5.xml><?xml version="1.0" encoding="utf-8"?>
<ds:datastoreItem xmlns:ds="http://schemas.openxmlformats.org/officeDocument/2006/customXml" ds:itemID="{1DEAE66D-C0AD-4CF2-B7D1-51094321CB14}"/>
</file>

<file path=docProps/app.xml><?xml version="1.0" encoding="utf-8"?>
<Properties xmlns="http://schemas.openxmlformats.org/officeDocument/2006/extended-properties" xmlns:vt="http://schemas.openxmlformats.org/officeDocument/2006/docPropsVTypes">
  <Template>Letter.dotx</Template>
  <TotalTime>101</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3</cp:revision>
  <cp:lastPrinted>2015-11-25T19:20:00Z</cp:lastPrinted>
  <dcterms:created xsi:type="dcterms:W3CDTF">2015-11-25T17:24:00Z</dcterms:created>
  <dcterms:modified xsi:type="dcterms:W3CDTF">2015-11-25T19:20:00Z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0x0101006E56B4D1795A2E4DB2F0B01679ED314A00CD7830C01A199B4B9669B9266D9E57D0</vt:lpwstr>
  </property>
  <property fmtid="{D5CDD505-2E9C-101B-9397-08002B2CF9AE}" pid="7" name="_docset_NoMedatataSyncRequired">
    <vt:lpwstr>False</vt:lpwstr>
  </property>
</Properties>
</file>