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1E5" w:rsidRPr="00892A0D" w:rsidRDefault="005711E5">
      <w:pPr>
        <w:pStyle w:val="BodyText"/>
        <w:rPr>
          <w:b/>
          <w:bCs/>
          <w:sz w:val="25"/>
          <w:szCs w:val="25"/>
        </w:rPr>
      </w:pPr>
      <w:r w:rsidRPr="00892A0D">
        <w:rPr>
          <w:b/>
          <w:bCs/>
          <w:sz w:val="25"/>
          <w:szCs w:val="25"/>
        </w:rPr>
        <w:t>BEFORE THE WASHINGTON</w:t>
      </w:r>
    </w:p>
    <w:p w:rsidR="005711E5" w:rsidRPr="00892A0D" w:rsidRDefault="005711E5">
      <w:pPr>
        <w:pStyle w:val="BodyText"/>
        <w:rPr>
          <w:b/>
          <w:bCs/>
          <w:sz w:val="25"/>
          <w:szCs w:val="25"/>
        </w:rPr>
      </w:pPr>
      <w:r w:rsidRPr="00892A0D">
        <w:rPr>
          <w:b/>
          <w:bCs/>
          <w:sz w:val="25"/>
          <w:szCs w:val="25"/>
        </w:rPr>
        <w:t>UTILITIES AND TRANSPORTATION COMMISSION</w:t>
      </w:r>
    </w:p>
    <w:p w:rsidR="00DC39A1" w:rsidRDefault="00DC39A1">
      <w:pPr>
        <w:pStyle w:val="BodyText"/>
        <w:rPr>
          <w:sz w:val="25"/>
          <w:szCs w:val="25"/>
        </w:rPr>
      </w:pPr>
    </w:p>
    <w:p w:rsidR="00892A0D" w:rsidRDefault="00892A0D">
      <w:pPr>
        <w:pStyle w:val="BodyText"/>
        <w:rPr>
          <w:sz w:val="25"/>
          <w:szCs w:val="25"/>
        </w:rPr>
      </w:pPr>
    </w:p>
    <w:tbl>
      <w:tblPr>
        <w:tblStyle w:val="TableGrid"/>
        <w:tblW w:w="89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50"/>
        <w:gridCol w:w="4248"/>
      </w:tblGrid>
      <w:tr w:rsidR="00892A0D" w:rsidTr="00892A0D">
        <w:tc>
          <w:tcPr>
            <w:tcW w:w="4248" w:type="dxa"/>
          </w:tcPr>
          <w:p w:rsidR="00892A0D" w:rsidRDefault="00892A0D" w:rsidP="00892A0D">
            <w:pPr>
              <w:pStyle w:val="BodyText"/>
              <w:tabs>
                <w:tab w:val="left" w:pos="2174"/>
              </w:tabs>
              <w:jc w:val="left"/>
              <w:rPr>
                <w:sz w:val="25"/>
                <w:szCs w:val="25"/>
              </w:rPr>
            </w:pPr>
          </w:p>
        </w:tc>
        <w:tc>
          <w:tcPr>
            <w:tcW w:w="450" w:type="dxa"/>
          </w:tcPr>
          <w:p w:rsidR="000A30D2" w:rsidRDefault="000A30D2" w:rsidP="001C5C92">
            <w:pPr>
              <w:pStyle w:val="BodyText"/>
              <w:jc w:val="left"/>
              <w:rPr>
                <w:sz w:val="25"/>
                <w:szCs w:val="25"/>
              </w:rPr>
            </w:pPr>
          </w:p>
        </w:tc>
        <w:tc>
          <w:tcPr>
            <w:tcW w:w="4248" w:type="dxa"/>
          </w:tcPr>
          <w:p w:rsidR="00892A0D" w:rsidRDefault="00892A0D">
            <w:pPr>
              <w:pStyle w:val="BodyText"/>
              <w:jc w:val="left"/>
              <w:rPr>
                <w:sz w:val="25"/>
                <w:szCs w:val="25"/>
              </w:rPr>
            </w:pPr>
          </w:p>
        </w:tc>
      </w:tr>
    </w:tbl>
    <w:tbl>
      <w:tblPr>
        <w:tblW w:w="0" w:type="auto"/>
        <w:tblLook w:val="0000" w:firstRow="0" w:lastRow="0" w:firstColumn="0" w:lastColumn="0" w:noHBand="0" w:noVBand="0"/>
      </w:tblPr>
      <w:tblGrid>
        <w:gridCol w:w="4248"/>
        <w:gridCol w:w="360"/>
        <w:gridCol w:w="4248"/>
      </w:tblGrid>
      <w:tr w:rsidR="00150B1F" w:rsidRPr="00652981" w:rsidTr="00150B1F">
        <w:tc>
          <w:tcPr>
            <w:tcW w:w="4248" w:type="dxa"/>
          </w:tcPr>
          <w:p w:rsidR="00150B1F" w:rsidRDefault="00150B1F" w:rsidP="00150B1F">
            <w:pPr>
              <w:tabs>
                <w:tab w:val="left" w:pos="2160"/>
              </w:tabs>
              <w:spacing w:line="264" w:lineRule="auto"/>
              <w:rPr>
                <w:bCs/>
                <w:sz w:val="25"/>
                <w:szCs w:val="25"/>
              </w:rPr>
            </w:pPr>
            <w:r>
              <w:rPr>
                <w:bCs/>
                <w:sz w:val="25"/>
                <w:szCs w:val="25"/>
              </w:rPr>
              <w:t>In the Matter of the Petition of</w:t>
            </w:r>
          </w:p>
          <w:p w:rsidR="00150B1F" w:rsidRDefault="00150B1F" w:rsidP="00150B1F">
            <w:pPr>
              <w:tabs>
                <w:tab w:val="left" w:pos="2160"/>
              </w:tabs>
              <w:spacing w:line="264" w:lineRule="auto"/>
              <w:rPr>
                <w:bCs/>
                <w:sz w:val="25"/>
                <w:szCs w:val="25"/>
              </w:rPr>
            </w:pPr>
          </w:p>
          <w:p w:rsidR="00150B1F" w:rsidRDefault="00150B1F" w:rsidP="00150B1F">
            <w:pPr>
              <w:tabs>
                <w:tab w:val="left" w:pos="2160"/>
              </w:tabs>
              <w:spacing w:line="264" w:lineRule="auto"/>
              <w:rPr>
                <w:bCs/>
                <w:sz w:val="25"/>
                <w:szCs w:val="25"/>
              </w:rPr>
            </w:pPr>
            <w:r>
              <w:rPr>
                <w:bCs/>
                <w:sz w:val="25"/>
                <w:szCs w:val="25"/>
              </w:rPr>
              <w:t>QWEST CORPORATION d/b/a CENTURYLINK QC</w:t>
            </w:r>
          </w:p>
          <w:p w:rsidR="00150B1F" w:rsidRDefault="00150B1F" w:rsidP="00150B1F">
            <w:pPr>
              <w:tabs>
                <w:tab w:val="left" w:pos="2160"/>
              </w:tabs>
              <w:spacing w:line="264" w:lineRule="auto"/>
              <w:rPr>
                <w:bCs/>
                <w:sz w:val="25"/>
                <w:szCs w:val="25"/>
              </w:rPr>
            </w:pPr>
          </w:p>
          <w:p w:rsidR="00150B1F" w:rsidRDefault="00150B1F" w:rsidP="00150B1F">
            <w:pPr>
              <w:tabs>
                <w:tab w:val="left" w:pos="2160"/>
              </w:tabs>
              <w:spacing w:line="264" w:lineRule="auto"/>
              <w:rPr>
                <w:bCs/>
                <w:sz w:val="25"/>
                <w:szCs w:val="25"/>
              </w:rPr>
            </w:pPr>
            <w:r>
              <w:rPr>
                <w:bCs/>
                <w:sz w:val="25"/>
                <w:szCs w:val="25"/>
              </w:rPr>
              <w:t>For Commission Approval of 2013 Additions to its Non-Impaired Wire Center List</w:t>
            </w:r>
          </w:p>
          <w:p w:rsidR="00150B1F" w:rsidRPr="00652981" w:rsidRDefault="00150B1F" w:rsidP="00150B1F">
            <w:pPr>
              <w:tabs>
                <w:tab w:val="left" w:pos="2160"/>
              </w:tabs>
              <w:spacing w:line="264" w:lineRule="auto"/>
              <w:rPr>
                <w:sz w:val="25"/>
                <w:szCs w:val="25"/>
              </w:rPr>
            </w:pPr>
            <w:r w:rsidRPr="00652981">
              <w:rPr>
                <w:sz w:val="25"/>
                <w:szCs w:val="25"/>
              </w:rPr>
              <w:t xml:space="preserve">. . . . . . . . . . . . . . . . . . . . . . . . . . . . . . . . </w:t>
            </w:r>
          </w:p>
        </w:tc>
        <w:tc>
          <w:tcPr>
            <w:tcW w:w="360" w:type="dxa"/>
          </w:tcPr>
          <w:p w:rsidR="00150B1F" w:rsidRPr="00652981" w:rsidRDefault="00150B1F" w:rsidP="00150B1F">
            <w:pPr>
              <w:spacing w:line="264" w:lineRule="auto"/>
              <w:rPr>
                <w:sz w:val="25"/>
                <w:szCs w:val="25"/>
              </w:rPr>
            </w:pPr>
            <w:r w:rsidRPr="00652981">
              <w:rPr>
                <w:sz w:val="25"/>
                <w:szCs w:val="25"/>
              </w:rPr>
              <w:t>)</w:t>
            </w:r>
          </w:p>
          <w:p w:rsidR="00150B1F" w:rsidRPr="00652981" w:rsidRDefault="00150B1F" w:rsidP="00150B1F">
            <w:pPr>
              <w:spacing w:line="264" w:lineRule="auto"/>
              <w:rPr>
                <w:sz w:val="25"/>
                <w:szCs w:val="25"/>
              </w:rPr>
            </w:pPr>
            <w:r w:rsidRPr="00652981">
              <w:rPr>
                <w:sz w:val="25"/>
                <w:szCs w:val="25"/>
              </w:rPr>
              <w:t>)</w:t>
            </w:r>
          </w:p>
          <w:p w:rsidR="00150B1F" w:rsidRPr="00652981" w:rsidRDefault="00150B1F" w:rsidP="00150B1F">
            <w:pPr>
              <w:spacing w:line="264" w:lineRule="auto"/>
              <w:rPr>
                <w:sz w:val="25"/>
                <w:szCs w:val="25"/>
              </w:rPr>
            </w:pPr>
            <w:r w:rsidRPr="00652981">
              <w:rPr>
                <w:sz w:val="25"/>
                <w:szCs w:val="25"/>
              </w:rPr>
              <w:t>)</w:t>
            </w:r>
          </w:p>
          <w:p w:rsidR="00150B1F" w:rsidRPr="00652981" w:rsidRDefault="00150B1F" w:rsidP="00150B1F">
            <w:pPr>
              <w:spacing w:line="264" w:lineRule="auto"/>
              <w:rPr>
                <w:sz w:val="25"/>
                <w:szCs w:val="25"/>
              </w:rPr>
            </w:pPr>
            <w:r w:rsidRPr="00652981">
              <w:rPr>
                <w:sz w:val="25"/>
                <w:szCs w:val="25"/>
              </w:rPr>
              <w:t>)</w:t>
            </w:r>
          </w:p>
          <w:p w:rsidR="00150B1F" w:rsidRPr="00652981" w:rsidRDefault="00150B1F" w:rsidP="00150B1F">
            <w:pPr>
              <w:spacing w:line="264" w:lineRule="auto"/>
              <w:rPr>
                <w:sz w:val="25"/>
                <w:szCs w:val="25"/>
              </w:rPr>
            </w:pPr>
            <w:r w:rsidRPr="00652981">
              <w:rPr>
                <w:sz w:val="25"/>
                <w:szCs w:val="25"/>
              </w:rPr>
              <w:t>)</w:t>
            </w:r>
          </w:p>
          <w:p w:rsidR="00150B1F" w:rsidRPr="00652981" w:rsidRDefault="00150B1F" w:rsidP="00150B1F">
            <w:pPr>
              <w:spacing w:line="264" w:lineRule="auto"/>
              <w:rPr>
                <w:sz w:val="25"/>
                <w:szCs w:val="25"/>
              </w:rPr>
            </w:pPr>
            <w:r w:rsidRPr="00652981">
              <w:rPr>
                <w:sz w:val="25"/>
                <w:szCs w:val="25"/>
              </w:rPr>
              <w:t>)</w:t>
            </w:r>
          </w:p>
          <w:p w:rsidR="00150B1F" w:rsidRPr="00652981" w:rsidRDefault="00150B1F" w:rsidP="00150B1F">
            <w:pPr>
              <w:spacing w:line="264" w:lineRule="auto"/>
              <w:rPr>
                <w:sz w:val="25"/>
                <w:szCs w:val="25"/>
              </w:rPr>
            </w:pPr>
            <w:r w:rsidRPr="00652981">
              <w:rPr>
                <w:sz w:val="25"/>
                <w:szCs w:val="25"/>
              </w:rPr>
              <w:t>)</w:t>
            </w:r>
          </w:p>
          <w:p w:rsidR="00150B1F" w:rsidRPr="00652981" w:rsidRDefault="00150B1F" w:rsidP="00150B1F">
            <w:pPr>
              <w:spacing w:line="264" w:lineRule="auto"/>
              <w:rPr>
                <w:sz w:val="25"/>
                <w:szCs w:val="25"/>
              </w:rPr>
            </w:pPr>
            <w:r w:rsidRPr="00652981">
              <w:rPr>
                <w:sz w:val="25"/>
                <w:szCs w:val="25"/>
              </w:rPr>
              <w:t>)</w:t>
            </w:r>
          </w:p>
          <w:p w:rsidR="00150B1F" w:rsidRPr="00652981" w:rsidRDefault="00150B1F" w:rsidP="00150B1F">
            <w:pPr>
              <w:spacing w:line="264" w:lineRule="auto"/>
              <w:rPr>
                <w:sz w:val="25"/>
                <w:szCs w:val="25"/>
              </w:rPr>
            </w:pPr>
            <w:r w:rsidRPr="00652981">
              <w:rPr>
                <w:sz w:val="25"/>
                <w:szCs w:val="25"/>
              </w:rPr>
              <w:t>)</w:t>
            </w:r>
          </w:p>
        </w:tc>
        <w:tc>
          <w:tcPr>
            <w:tcW w:w="4248" w:type="dxa"/>
          </w:tcPr>
          <w:p w:rsidR="00150B1F" w:rsidRPr="00652981" w:rsidRDefault="00150B1F" w:rsidP="00150B1F">
            <w:pPr>
              <w:spacing w:line="264" w:lineRule="auto"/>
              <w:rPr>
                <w:sz w:val="25"/>
                <w:szCs w:val="25"/>
              </w:rPr>
            </w:pPr>
            <w:r w:rsidRPr="00652981">
              <w:rPr>
                <w:sz w:val="25"/>
                <w:szCs w:val="25"/>
              </w:rPr>
              <w:t>DOCKET</w:t>
            </w:r>
            <w:r>
              <w:rPr>
                <w:sz w:val="25"/>
                <w:szCs w:val="25"/>
              </w:rPr>
              <w:t xml:space="preserve"> UT-132282</w:t>
            </w:r>
          </w:p>
          <w:p w:rsidR="00150B1F" w:rsidRPr="00652981" w:rsidRDefault="00150B1F" w:rsidP="00150B1F">
            <w:pPr>
              <w:spacing w:line="264" w:lineRule="auto"/>
              <w:rPr>
                <w:sz w:val="25"/>
                <w:szCs w:val="25"/>
              </w:rPr>
            </w:pPr>
          </w:p>
          <w:p w:rsidR="00150B1F" w:rsidRPr="00652981" w:rsidRDefault="00150B1F" w:rsidP="00150B1F">
            <w:pPr>
              <w:spacing w:line="264" w:lineRule="auto"/>
              <w:rPr>
                <w:sz w:val="25"/>
                <w:szCs w:val="25"/>
              </w:rPr>
            </w:pPr>
            <w:r w:rsidRPr="00652981">
              <w:rPr>
                <w:sz w:val="25"/>
                <w:szCs w:val="25"/>
              </w:rPr>
              <w:t xml:space="preserve">PREHEARING CONFERENCE </w:t>
            </w:r>
          </w:p>
          <w:p w:rsidR="00150B1F" w:rsidRDefault="00150B1F" w:rsidP="00150B1F">
            <w:pPr>
              <w:spacing w:line="264" w:lineRule="auto"/>
              <w:rPr>
                <w:sz w:val="25"/>
                <w:szCs w:val="25"/>
              </w:rPr>
            </w:pPr>
            <w:r>
              <w:rPr>
                <w:sz w:val="25"/>
                <w:szCs w:val="25"/>
              </w:rPr>
              <w:t>ORDER</w:t>
            </w:r>
          </w:p>
          <w:p w:rsidR="000E1020" w:rsidRDefault="000E1020" w:rsidP="00150B1F">
            <w:pPr>
              <w:spacing w:line="264" w:lineRule="auto"/>
              <w:rPr>
                <w:sz w:val="25"/>
                <w:szCs w:val="25"/>
              </w:rPr>
            </w:pPr>
          </w:p>
          <w:p w:rsidR="00150B1F" w:rsidRDefault="000E1020" w:rsidP="00150B1F">
            <w:pPr>
              <w:spacing w:line="264" w:lineRule="auto"/>
              <w:rPr>
                <w:sz w:val="25"/>
                <w:szCs w:val="25"/>
              </w:rPr>
            </w:pPr>
            <w:r w:rsidRPr="000E1020">
              <w:rPr>
                <w:sz w:val="25"/>
                <w:szCs w:val="25"/>
              </w:rPr>
              <w:t>STATUS CONFERENCE SET FOR</w:t>
            </w:r>
            <w:r>
              <w:rPr>
                <w:sz w:val="25"/>
                <w:szCs w:val="25"/>
              </w:rPr>
              <w:t xml:space="preserve"> FEBRUARY </w:t>
            </w:r>
            <w:r w:rsidR="00AD665C" w:rsidRPr="000E1020">
              <w:rPr>
                <w:sz w:val="25"/>
                <w:szCs w:val="25"/>
              </w:rPr>
              <w:t xml:space="preserve">26, 2014 </w:t>
            </w:r>
          </w:p>
          <w:p w:rsidR="000E1020" w:rsidRPr="000E1020" w:rsidRDefault="000E1020" w:rsidP="00150B1F">
            <w:pPr>
              <w:spacing w:line="264" w:lineRule="auto"/>
              <w:rPr>
                <w:sz w:val="25"/>
                <w:szCs w:val="25"/>
              </w:rPr>
            </w:pPr>
          </w:p>
          <w:p w:rsidR="00150B1F" w:rsidRPr="00652981" w:rsidRDefault="00150B1F" w:rsidP="00150B1F">
            <w:pPr>
              <w:spacing w:line="264" w:lineRule="auto"/>
              <w:rPr>
                <w:sz w:val="25"/>
                <w:szCs w:val="25"/>
              </w:rPr>
            </w:pPr>
            <w:r>
              <w:rPr>
                <w:sz w:val="25"/>
                <w:szCs w:val="25"/>
              </w:rPr>
              <w:t>ORDER 02</w:t>
            </w:r>
          </w:p>
        </w:tc>
      </w:tr>
    </w:tbl>
    <w:p w:rsidR="005711E5" w:rsidRPr="00892A0D" w:rsidRDefault="005711E5">
      <w:pPr>
        <w:pStyle w:val="Header"/>
        <w:tabs>
          <w:tab w:val="clear" w:pos="4320"/>
          <w:tab w:val="clear" w:pos="8640"/>
        </w:tabs>
        <w:rPr>
          <w:sz w:val="25"/>
          <w:szCs w:val="25"/>
        </w:rPr>
        <w:sectPr w:rsidR="005711E5" w:rsidRPr="00892A0D">
          <w:headerReference w:type="default" r:id="rId9"/>
          <w:headerReference w:type="first" r:id="rId10"/>
          <w:pgSz w:w="12240" w:h="15840"/>
          <w:pgMar w:top="1440" w:right="1440" w:bottom="1440" w:left="2160" w:header="720" w:footer="720" w:gutter="0"/>
          <w:cols w:space="720"/>
          <w:titlePg/>
          <w:docGrid w:linePitch="360"/>
        </w:sectPr>
      </w:pPr>
    </w:p>
    <w:p w:rsidR="00CC64FE" w:rsidRDefault="00CC64FE" w:rsidP="00892A0D">
      <w:pPr>
        <w:rPr>
          <w:sz w:val="25"/>
          <w:szCs w:val="25"/>
        </w:rPr>
      </w:pPr>
    </w:p>
    <w:p w:rsidR="001C5C92" w:rsidRPr="00892A0D" w:rsidRDefault="001C5C92" w:rsidP="00892A0D">
      <w:pPr>
        <w:rPr>
          <w:sz w:val="25"/>
          <w:szCs w:val="25"/>
        </w:rPr>
      </w:pPr>
    </w:p>
    <w:p w:rsidR="00150B1F" w:rsidRDefault="00DC3D40" w:rsidP="00150B1F">
      <w:pPr>
        <w:numPr>
          <w:ilvl w:val="0"/>
          <w:numId w:val="2"/>
        </w:numPr>
        <w:spacing w:line="288" w:lineRule="auto"/>
        <w:rPr>
          <w:sz w:val="25"/>
          <w:szCs w:val="25"/>
        </w:rPr>
      </w:pPr>
      <w:r>
        <w:rPr>
          <w:b/>
          <w:sz w:val="25"/>
          <w:szCs w:val="25"/>
        </w:rPr>
        <w:t>NATURE OF PROCEEDING.</w:t>
      </w:r>
      <w:r w:rsidR="004059E6" w:rsidRPr="002B02ED">
        <w:rPr>
          <w:b/>
          <w:sz w:val="25"/>
          <w:szCs w:val="25"/>
        </w:rPr>
        <w:t xml:space="preserve">  </w:t>
      </w:r>
      <w:r w:rsidR="004059E6" w:rsidRPr="002B02ED">
        <w:rPr>
          <w:sz w:val="25"/>
          <w:szCs w:val="25"/>
        </w:rPr>
        <w:t xml:space="preserve">On </w:t>
      </w:r>
      <w:r w:rsidR="00150B1F">
        <w:rPr>
          <w:sz w:val="25"/>
          <w:szCs w:val="25"/>
        </w:rPr>
        <w:t>December 13</w:t>
      </w:r>
      <w:r w:rsidR="004059E6" w:rsidRPr="002B02ED">
        <w:rPr>
          <w:sz w:val="25"/>
          <w:szCs w:val="25"/>
        </w:rPr>
        <w:t>, 201</w:t>
      </w:r>
      <w:r w:rsidR="000F6A61" w:rsidRPr="002B02ED">
        <w:rPr>
          <w:sz w:val="25"/>
          <w:szCs w:val="25"/>
        </w:rPr>
        <w:t>3</w:t>
      </w:r>
      <w:r w:rsidR="004059E6" w:rsidRPr="002B02ED">
        <w:rPr>
          <w:sz w:val="25"/>
          <w:szCs w:val="25"/>
        </w:rPr>
        <w:t xml:space="preserve">, </w:t>
      </w:r>
      <w:r w:rsidR="00150B1F" w:rsidRPr="00150B1F">
        <w:rPr>
          <w:bCs/>
          <w:sz w:val="25"/>
          <w:szCs w:val="25"/>
        </w:rPr>
        <w:t xml:space="preserve">Qwest Corporation d/b/a CenturyLink QC (CenturyLink) </w:t>
      </w:r>
      <w:r w:rsidR="00150B1F" w:rsidRPr="00150B1F">
        <w:rPr>
          <w:sz w:val="25"/>
          <w:szCs w:val="25"/>
        </w:rPr>
        <w:t xml:space="preserve">filed with the Washington Utilities and Transportation Commission (Commission) a petition </w:t>
      </w:r>
      <w:r w:rsidR="005A3025">
        <w:rPr>
          <w:sz w:val="25"/>
          <w:szCs w:val="25"/>
        </w:rPr>
        <w:t>seeking</w:t>
      </w:r>
      <w:r w:rsidR="005A3025" w:rsidRPr="00150B1F">
        <w:rPr>
          <w:sz w:val="25"/>
          <w:szCs w:val="25"/>
        </w:rPr>
        <w:t xml:space="preserve"> </w:t>
      </w:r>
      <w:r w:rsidR="00150B1F" w:rsidRPr="00150B1F">
        <w:rPr>
          <w:sz w:val="25"/>
          <w:szCs w:val="25"/>
        </w:rPr>
        <w:t xml:space="preserve">approval of </w:t>
      </w:r>
      <w:r w:rsidR="005A3025">
        <w:rPr>
          <w:sz w:val="25"/>
          <w:szCs w:val="25"/>
        </w:rPr>
        <w:t xml:space="preserve">proposed </w:t>
      </w:r>
      <w:r w:rsidR="00150B1F" w:rsidRPr="00150B1F">
        <w:rPr>
          <w:sz w:val="25"/>
          <w:szCs w:val="25"/>
        </w:rPr>
        <w:t>additions to its non-impaired wire center list</w:t>
      </w:r>
      <w:r w:rsidR="00F05768">
        <w:rPr>
          <w:sz w:val="25"/>
          <w:szCs w:val="25"/>
        </w:rPr>
        <w:t xml:space="preserve"> </w:t>
      </w:r>
      <w:r w:rsidR="005A3025">
        <w:rPr>
          <w:sz w:val="25"/>
          <w:szCs w:val="25"/>
        </w:rPr>
        <w:t>for calendar year 2013</w:t>
      </w:r>
      <w:r w:rsidR="00150B1F" w:rsidRPr="00150B1F">
        <w:rPr>
          <w:sz w:val="25"/>
          <w:szCs w:val="25"/>
        </w:rPr>
        <w:t xml:space="preserve"> (Petition).  Specifically, CenturyLink requests the Commission approve the addition of CenturyLink’s Yakima Chestnut wire center to its non-impaired wire center list in accordance with the F</w:t>
      </w:r>
      <w:r w:rsidR="000E1020">
        <w:rPr>
          <w:sz w:val="25"/>
          <w:szCs w:val="25"/>
        </w:rPr>
        <w:t xml:space="preserve">ederal </w:t>
      </w:r>
      <w:r w:rsidR="00150B1F" w:rsidRPr="00150B1F">
        <w:rPr>
          <w:sz w:val="25"/>
          <w:szCs w:val="25"/>
        </w:rPr>
        <w:t>C</w:t>
      </w:r>
      <w:r w:rsidR="000E1020">
        <w:rPr>
          <w:sz w:val="25"/>
          <w:szCs w:val="25"/>
        </w:rPr>
        <w:t xml:space="preserve">ommunication </w:t>
      </w:r>
      <w:r w:rsidR="00150B1F" w:rsidRPr="00150B1F">
        <w:rPr>
          <w:sz w:val="25"/>
          <w:szCs w:val="25"/>
        </w:rPr>
        <w:t>C</w:t>
      </w:r>
      <w:r w:rsidR="000E1020">
        <w:rPr>
          <w:sz w:val="25"/>
          <w:szCs w:val="25"/>
        </w:rPr>
        <w:t>ommission</w:t>
      </w:r>
      <w:r w:rsidR="00150B1F" w:rsidRPr="00150B1F">
        <w:rPr>
          <w:sz w:val="25"/>
          <w:szCs w:val="25"/>
        </w:rPr>
        <w:t xml:space="preserve">’s Triennial Review Remand Order.  </w:t>
      </w:r>
    </w:p>
    <w:p w:rsidR="00DE545F" w:rsidRDefault="00DE545F" w:rsidP="00DE545F">
      <w:pPr>
        <w:spacing w:line="288" w:lineRule="auto"/>
        <w:rPr>
          <w:sz w:val="25"/>
          <w:szCs w:val="25"/>
        </w:rPr>
      </w:pPr>
    </w:p>
    <w:p w:rsidR="004059E6" w:rsidRDefault="004059E6" w:rsidP="004059E6">
      <w:pPr>
        <w:numPr>
          <w:ilvl w:val="0"/>
          <w:numId w:val="2"/>
        </w:numPr>
        <w:spacing w:line="288" w:lineRule="auto"/>
        <w:rPr>
          <w:sz w:val="25"/>
          <w:szCs w:val="25"/>
        </w:rPr>
      </w:pPr>
      <w:r w:rsidRPr="00F05768">
        <w:rPr>
          <w:b/>
          <w:sz w:val="25"/>
          <w:szCs w:val="25"/>
        </w:rPr>
        <w:t>CONFERENCE</w:t>
      </w:r>
      <w:r w:rsidRPr="00F05768">
        <w:rPr>
          <w:b/>
          <w:bCs/>
          <w:sz w:val="25"/>
          <w:szCs w:val="25"/>
        </w:rPr>
        <w:t>/PRESIDING OFFICER.</w:t>
      </w:r>
      <w:r w:rsidRPr="00F05768">
        <w:rPr>
          <w:sz w:val="25"/>
          <w:szCs w:val="25"/>
        </w:rPr>
        <w:t xml:space="preserve">  The Commission convened a prehearing conference in this proceeding at </w:t>
      </w:r>
      <w:r w:rsidRPr="00F05768">
        <w:rPr>
          <w:bCs/>
          <w:sz w:val="25"/>
          <w:szCs w:val="25"/>
        </w:rPr>
        <w:t>Olympia</w:t>
      </w:r>
      <w:r w:rsidRPr="00F05768">
        <w:rPr>
          <w:sz w:val="25"/>
          <w:szCs w:val="25"/>
        </w:rPr>
        <w:t xml:space="preserve">, Washington on January </w:t>
      </w:r>
      <w:r w:rsidR="00B0790B" w:rsidRPr="00F05768">
        <w:rPr>
          <w:sz w:val="25"/>
          <w:szCs w:val="25"/>
        </w:rPr>
        <w:t>22</w:t>
      </w:r>
      <w:r w:rsidRPr="00F05768">
        <w:rPr>
          <w:sz w:val="25"/>
          <w:szCs w:val="25"/>
        </w:rPr>
        <w:t>, 201</w:t>
      </w:r>
      <w:r w:rsidR="004661ED" w:rsidRPr="00F05768">
        <w:rPr>
          <w:sz w:val="25"/>
          <w:szCs w:val="25"/>
        </w:rPr>
        <w:t>4</w:t>
      </w:r>
      <w:r w:rsidRPr="00F05768">
        <w:rPr>
          <w:sz w:val="25"/>
          <w:szCs w:val="25"/>
        </w:rPr>
        <w:t>, before Administrative Law Judge</w:t>
      </w:r>
      <w:r w:rsidR="005F41C0" w:rsidRPr="00F05768">
        <w:rPr>
          <w:sz w:val="25"/>
          <w:szCs w:val="25"/>
        </w:rPr>
        <w:t xml:space="preserve"> Stephany A. Watson</w:t>
      </w:r>
      <w:r w:rsidR="00F05768">
        <w:rPr>
          <w:sz w:val="25"/>
          <w:szCs w:val="25"/>
        </w:rPr>
        <w:t>.</w:t>
      </w:r>
    </w:p>
    <w:p w:rsidR="00F05768" w:rsidRPr="00F05768" w:rsidRDefault="00F05768" w:rsidP="00F05768">
      <w:pPr>
        <w:spacing w:line="288" w:lineRule="auto"/>
        <w:rPr>
          <w:sz w:val="25"/>
          <w:szCs w:val="25"/>
        </w:rPr>
      </w:pPr>
    </w:p>
    <w:p w:rsidR="004059E6" w:rsidRDefault="004059E6" w:rsidP="004059E6">
      <w:pPr>
        <w:numPr>
          <w:ilvl w:val="0"/>
          <w:numId w:val="2"/>
        </w:numPr>
        <w:spacing w:line="288" w:lineRule="auto"/>
        <w:rPr>
          <w:sz w:val="25"/>
          <w:szCs w:val="25"/>
        </w:rPr>
      </w:pPr>
      <w:r w:rsidRPr="0031548C">
        <w:rPr>
          <w:b/>
          <w:sz w:val="25"/>
          <w:szCs w:val="25"/>
        </w:rPr>
        <w:t>PARTY</w:t>
      </w:r>
      <w:r w:rsidRPr="0031548C">
        <w:rPr>
          <w:b/>
          <w:bCs/>
          <w:sz w:val="25"/>
          <w:szCs w:val="25"/>
        </w:rPr>
        <w:t xml:space="preserve"> REPRESENTATIVES</w:t>
      </w:r>
      <w:r w:rsidR="00DC3D40" w:rsidRPr="0031548C">
        <w:rPr>
          <w:b/>
          <w:bCs/>
          <w:sz w:val="25"/>
          <w:szCs w:val="25"/>
        </w:rPr>
        <w:t>.</w:t>
      </w:r>
      <w:r w:rsidRPr="0031548C">
        <w:rPr>
          <w:sz w:val="25"/>
          <w:szCs w:val="25"/>
        </w:rPr>
        <w:t xml:space="preserve">  </w:t>
      </w:r>
      <w:r w:rsidR="00B0790B" w:rsidRPr="0031548C">
        <w:rPr>
          <w:sz w:val="25"/>
          <w:szCs w:val="25"/>
        </w:rPr>
        <w:t>Lisa Anderl</w:t>
      </w:r>
      <w:r w:rsidR="00F342D5" w:rsidRPr="0031548C">
        <w:rPr>
          <w:sz w:val="25"/>
          <w:szCs w:val="25"/>
        </w:rPr>
        <w:t xml:space="preserve">, </w:t>
      </w:r>
      <w:r w:rsidR="00B0790B" w:rsidRPr="0031548C">
        <w:rPr>
          <w:sz w:val="25"/>
          <w:szCs w:val="25"/>
        </w:rPr>
        <w:t xml:space="preserve">Senior Associate General Counsel, </w:t>
      </w:r>
      <w:r w:rsidR="00F7277C" w:rsidRPr="0031548C">
        <w:rPr>
          <w:sz w:val="25"/>
          <w:szCs w:val="25"/>
        </w:rPr>
        <w:t>Seattle</w:t>
      </w:r>
      <w:r w:rsidR="008A195B">
        <w:rPr>
          <w:sz w:val="25"/>
          <w:szCs w:val="25"/>
        </w:rPr>
        <w:t xml:space="preserve">, </w:t>
      </w:r>
      <w:r w:rsidR="001C37C8" w:rsidRPr="0031548C">
        <w:rPr>
          <w:sz w:val="25"/>
          <w:szCs w:val="25"/>
        </w:rPr>
        <w:t xml:space="preserve">represents </w:t>
      </w:r>
      <w:r w:rsidR="00B0790B" w:rsidRPr="0031548C">
        <w:rPr>
          <w:sz w:val="25"/>
          <w:szCs w:val="25"/>
        </w:rPr>
        <w:t>CenturyLink</w:t>
      </w:r>
      <w:r w:rsidR="00F342D5" w:rsidRPr="0031548C">
        <w:rPr>
          <w:sz w:val="25"/>
          <w:szCs w:val="25"/>
        </w:rPr>
        <w:t xml:space="preserve">.  </w:t>
      </w:r>
      <w:r w:rsidR="00B0790B" w:rsidRPr="0031548C">
        <w:rPr>
          <w:sz w:val="25"/>
          <w:szCs w:val="25"/>
        </w:rPr>
        <w:t>Jennifer Cameron-Rulkowski</w:t>
      </w:r>
      <w:r w:rsidR="004661ED" w:rsidRPr="0031548C">
        <w:rPr>
          <w:sz w:val="25"/>
          <w:szCs w:val="25"/>
        </w:rPr>
        <w:t xml:space="preserve">, </w:t>
      </w:r>
      <w:r w:rsidR="006D2993" w:rsidRPr="0031548C">
        <w:rPr>
          <w:sz w:val="25"/>
          <w:szCs w:val="25"/>
        </w:rPr>
        <w:t xml:space="preserve">Assistant Attorney General, </w:t>
      </w:r>
      <w:r w:rsidR="00A12760" w:rsidRPr="0031548C">
        <w:rPr>
          <w:sz w:val="25"/>
          <w:szCs w:val="25"/>
        </w:rPr>
        <w:t>Olympia,</w:t>
      </w:r>
      <w:r w:rsidR="008A195B">
        <w:rPr>
          <w:sz w:val="25"/>
          <w:szCs w:val="25"/>
        </w:rPr>
        <w:t xml:space="preserve"> </w:t>
      </w:r>
      <w:r w:rsidR="006D2993" w:rsidRPr="0031548C">
        <w:rPr>
          <w:sz w:val="25"/>
          <w:szCs w:val="25"/>
        </w:rPr>
        <w:t>represents the Commission’s regulatory staff (Commission Staff or Staff).</w:t>
      </w:r>
      <w:r w:rsidR="006D2993">
        <w:rPr>
          <w:rStyle w:val="FootnoteReference"/>
          <w:sz w:val="25"/>
          <w:szCs w:val="25"/>
        </w:rPr>
        <w:footnoteReference w:id="1"/>
      </w:r>
      <w:r w:rsidR="00DC3D40" w:rsidRPr="0031548C">
        <w:rPr>
          <w:sz w:val="25"/>
          <w:szCs w:val="25"/>
        </w:rPr>
        <w:t xml:space="preserve"> </w:t>
      </w:r>
      <w:r w:rsidR="00B0790B" w:rsidRPr="0031548C">
        <w:rPr>
          <w:sz w:val="25"/>
          <w:szCs w:val="25"/>
        </w:rPr>
        <w:t xml:space="preserve">Douglas Denney, Vice President, </w:t>
      </w:r>
      <w:r w:rsidR="00DF4015" w:rsidRPr="0031548C">
        <w:rPr>
          <w:sz w:val="25"/>
          <w:szCs w:val="25"/>
        </w:rPr>
        <w:t xml:space="preserve">Costs &amp; Policy, </w:t>
      </w:r>
      <w:r w:rsidR="0031548C" w:rsidRPr="0031548C">
        <w:rPr>
          <w:sz w:val="25"/>
          <w:szCs w:val="25"/>
        </w:rPr>
        <w:t xml:space="preserve">Portland, Oregon, </w:t>
      </w:r>
      <w:r w:rsidR="00B0790B" w:rsidRPr="0031548C">
        <w:rPr>
          <w:sz w:val="25"/>
          <w:szCs w:val="25"/>
        </w:rPr>
        <w:t>represents Integra Telecom (Integra</w:t>
      </w:r>
      <w:r w:rsidR="0031548C">
        <w:rPr>
          <w:sz w:val="25"/>
          <w:szCs w:val="25"/>
        </w:rPr>
        <w:t>).</w:t>
      </w:r>
    </w:p>
    <w:p w:rsidR="0031548C" w:rsidRPr="0031548C" w:rsidRDefault="0031548C" w:rsidP="0031548C">
      <w:pPr>
        <w:spacing w:line="288" w:lineRule="auto"/>
        <w:rPr>
          <w:sz w:val="25"/>
          <w:szCs w:val="25"/>
        </w:rPr>
      </w:pPr>
    </w:p>
    <w:p w:rsidR="00A12760" w:rsidRPr="00E70B26" w:rsidRDefault="004059E6" w:rsidP="00A12760">
      <w:pPr>
        <w:numPr>
          <w:ilvl w:val="0"/>
          <w:numId w:val="2"/>
        </w:numPr>
        <w:spacing w:line="288" w:lineRule="auto"/>
        <w:rPr>
          <w:sz w:val="25"/>
          <w:szCs w:val="25"/>
        </w:rPr>
      </w:pPr>
      <w:r w:rsidRPr="00A12760">
        <w:rPr>
          <w:b/>
          <w:sz w:val="25"/>
          <w:szCs w:val="25"/>
        </w:rPr>
        <w:lastRenderedPageBreak/>
        <w:t>PETITIONS</w:t>
      </w:r>
      <w:r w:rsidRPr="00A12760">
        <w:rPr>
          <w:b/>
          <w:bCs/>
          <w:sz w:val="25"/>
          <w:szCs w:val="25"/>
        </w:rPr>
        <w:t xml:space="preserve"> FOR INTERVENTION.</w:t>
      </w:r>
      <w:r w:rsidRPr="00A12760">
        <w:rPr>
          <w:sz w:val="25"/>
          <w:szCs w:val="25"/>
        </w:rPr>
        <w:t xml:space="preserve">  </w:t>
      </w:r>
      <w:r w:rsidR="007A140E">
        <w:rPr>
          <w:sz w:val="25"/>
          <w:szCs w:val="25"/>
        </w:rPr>
        <w:t xml:space="preserve">On January 10, 2014, </w:t>
      </w:r>
      <w:r w:rsidR="003A7E28">
        <w:rPr>
          <w:sz w:val="25"/>
          <w:szCs w:val="25"/>
        </w:rPr>
        <w:t>Integra</w:t>
      </w:r>
      <w:r w:rsidR="005D7742" w:rsidRPr="00A12760">
        <w:rPr>
          <w:sz w:val="25"/>
          <w:szCs w:val="25"/>
        </w:rPr>
        <w:t xml:space="preserve"> </w:t>
      </w:r>
      <w:r w:rsidR="00E3735C" w:rsidRPr="00A12760">
        <w:rPr>
          <w:sz w:val="25"/>
          <w:szCs w:val="25"/>
        </w:rPr>
        <w:t>filed a petition</w:t>
      </w:r>
      <w:r w:rsidR="00B132CB" w:rsidRPr="00A12760">
        <w:rPr>
          <w:sz w:val="25"/>
          <w:szCs w:val="25"/>
        </w:rPr>
        <w:t xml:space="preserve"> for intervention</w:t>
      </w:r>
      <w:r w:rsidR="0031548C">
        <w:rPr>
          <w:sz w:val="25"/>
          <w:szCs w:val="25"/>
        </w:rPr>
        <w:t>.  Integra</w:t>
      </w:r>
      <w:r w:rsidR="008A195B">
        <w:rPr>
          <w:sz w:val="25"/>
          <w:szCs w:val="25"/>
        </w:rPr>
        <w:t xml:space="preserve"> is a </w:t>
      </w:r>
      <w:r w:rsidR="003A7E28">
        <w:rPr>
          <w:sz w:val="25"/>
          <w:szCs w:val="25"/>
        </w:rPr>
        <w:t xml:space="preserve">competitively classified telecommunications company authorized to provide both intraexchange and interexchange telecommunications services </w:t>
      </w:r>
      <w:r w:rsidR="00F326EC" w:rsidRPr="00A12760">
        <w:rPr>
          <w:sz w:val="25"/>
          <w:szCs w:val="25"/>
        </w:rPr>
        <w:t>in</w:t>
      </w:r>
      <w:r w:rsidR="00F326EC">
        <w:rPr>
          <w:sz w:val="25"/>
          <w:szCs w:val="25"/>
        </w:rPr>
        <w:t xml:space="preserve"> </w:t>
      </w:r>
      <w:r w:rsidR="00F326EC" w:rsidRPr="00A12760">
        <w:rPr>
          <w:sz w:val="25"/>
          <w:szCs w:val="25"/>
        </w:rPr>
        <w:t>Washington</w:t>
      </w:r>
      <w:r w:rsidR="008A195B">
        <w:rPr>
          <w:sz w:val="25"/>
          <w:szCs w:val="25"/>
        </w:rPr>
        <w:t xml:space="preserve">.  </w:t>
      </w:r>
      <w:r w:rsidR="00FD16D5" w:rsidRPr="00A12760">
        <w:rPr>
          <w:sz w:val="25"/>
          <w:szCs w:val="25"/>
        </w:rPr>
        <w:t>The parties did not object to the intervention.</w:t>
      </w:r>
      <w:r w:rsidR="0031548C">
        <w:rPr>
          <w:sz w:val="25"/>
          <w:szCs w:val="25"/>
        </w:rPr>
        <w:t xml:space="preserve">  </w:t>
      </w:r>
      <w:r w:rsidR="008C3602" w:rsidRPr="00A12760">
        <w:rPr>
          <w:sz w:val="25"/>
          <w:szCs w:val="25"/>
        </w:rPr>
        <w:t xml:space="preserve">The Commission </w:t>
      </w:r>
      <w:r w:rsidR="00F7277C">
        <w:rPr>
          <w:sz w:val="25"/>
          <w:szCs w:val="25"/>
        </w:rPr>
        <w:t xml:space="preserve">recognizes Integra’s </w:t>
      </w:r>
      <w:r w:rsidR="0071495E" w:rsidRPr="00A12760">
        <w:rPr>
          <w:sz w:val="25"/>
          <w:szCs w:val="25"/>
        </w:rPr>
        <w:t xml:space="preserve">substantial </w:t>
      </w:r>
      <w:r w:rsidR="008C3602" w:rsidRPr="00A12760">
        <w:rPr>
          <w:sz w:val="25"/>
          <w:szCs w:val="25"/>
        </w:rPr>
        <w:t xml:space="preserve">interest in the </w:t>
      </w:r>
      <w:r w:rsidR="0071495E" w:rsidRPr="00A12760">
        <w:rPr>
          <w:sz w:val="25"/>
          <w:szCs w:val="25"/>
        </w:rPr>
        <w:t>proceeding</w:t>
      </w:r>
      <w:r w:rsidR="0031548C">
        <w:rPr>
          <w:sz w:val="25"/>
          <w:szCs w:val="25"/>
        </w:rPr>
        <w:t xml:space="preserve"> and grants the petition for intervention.  </w:t>
      </w:r>
    </w:p>
    <w:p w:rsidR="004059E6" w:rsidRPr="00BB0E3C" w:rsidRDefault="004059E6" w:rsidP="00BB0E3C">
      <w:pPr>
        <w:rPr>
          <w:sz w:val="25"/>
          <w:szCs w:val="25"/>
        </w:rPr>
      </w:pPr>
    </w:p>
    <w:p w:rsidR="004059E6" w:rsidRPr="00E70B26" w:rsidRDefault="004059E6" w:rsidP="00427395">
      <w:pPr>
        <w:numPr>
          <w:ilvl w:val="0"/>
          <w:numId w:val="2"/>
        </w:numPr>
        <w:spacing w:line="264" w:lineRule="auto"/>
        <w:rPr>
          <w:color w:val="000000"/>
          <w:sz w:val="25"/>
          <w:szCs w:val="25"/>
        </w:rPr>
      </w:pPr>
      <w:r w:rsidRPr="007F70C5">
        <w:rPr>
          <w:b/>
          <w:sz w:val="25"/>
          <w:szCs w:val="25"/>
        </w:rPr>
        <w:t>PROCEDURAL</w:t>
      </w:r>
      <w:r w:rsidRPr="007F70C5">
        <w:rPr>
          <w:b/>
          <w:bCs/>
          <w:sz w:val="25"/>
          <w:szCs w:val="25"/>
        </w:rPr>
        <w:t xml:space="preserve"> SCHEDULE</w:t>
      </w:r>
      <w:r w:rsidR="00EB0FEA">
        <w:rPr>
          <w:b/>
          <w:bCs/>
          <w:sz w:val="25"/>
          <w:szCs w:val="25"/>
        </w:rPr>
        <w:t xml:space="preserve"> AND STATUS CONFERENCE</w:t>
      </w:r>
      <w:r w:rsidRPr="007F70C5">
        <w:rPr>
          <w:b/>
          <w:bCs/>
          <w:sz w:val="25"/>
          <w:szCs w:val="25"/>
        </w:rPr>
        <w:t>.</w:t>
      </w:r>
      <w:r w:rsidRPr="007F70C5">
        <w:rPr>
          <w:sz w:val="25"/>
          <w:szCs w:val="25"/>
        </w:rPr>
        <w:t xml:space="preserve">  </w:t>
      </w:r>
      <w:r w:rsidR="00EB0FEA">
        <w:rPr>
          <w:sz w:val="25"/>
          <w:szCs w:val="25"/>
        </w:rPr>
        <w:t>The parties will file and serve any</w:t>
      </w:r>
      <w:r w:rsidR="008A195B">
        <w:rPr>
          <w:sz w:val="25"/>
          <w:szCs w:val="25"/>
        </w:rPr>
        <w:t xml:space="preserve"> </w:t>
      </w:r>
      <w:r w:rsidR="00EB0FEA">
        <w:rPr>
          <w:sz w:val="25"/>
          <w:szCs w:val="25"/>
        </w:rPr>
        <w:t xml:space="preserve">objections and issues related to the Petition on or before February 14, 2014.  </w:t>
      </w:r>
      <w:r w:rsidR="008A195B">
        <w:rPr>
          <w:sz w:val="25"/>
          <w:szCs w:val="25"/>
        </w:rPr>
        <w:t xml:space="preserve">The Commission will conduct a status conference on </w:t>
      </w:r>
      <w:r w:rsidR="00AD665C" w:rsidRPr="00EB0FEA">
        <w:rPr>
          <w:b/>
          <w:sz w:val="25"/>
          <w:szCs w:val="25"/>
        </w:rPr>
        <w:t xml:space="preserve">February 26, 2014, </w:t>
      </w:r>
      <w:r w:rsidR="008A195B">
        <w:rPr>
          <w:b/>
          <w:sz w:val="25"/>
          <w:szCs w:val="25"/>
        </w:rPr>
        <w:t xml:space="preserve">at </w:t>
      </w:r>
      <w:r w:rsidR="00EB0FEA" w:rsidRPr="00EB0FEA">
        <w:rPr>
          <w:b/>
          <w:sz w:val="25"/>
          <w:szCs w:val="25"/>
        </w:rPr>
        <w:t xml:space="preserve">1:30 p.m., </w:t>
      </w:r>
      <w:r w:rsidR="008A195B" w:rsidRPr="008A195B">
        <w:rPr>
          <w:sz w:val="25"/>
          <w:szCs w:val="25"/>
        </w:rPr>
        <w:t>during which</w:t>
      </w:r>
      <w:r w:rsidR="008A195B">
        <w:rPr>
          <w:b/>
          <w:sz w:val="25"/>
          <w:szCs w:val="25"/>
        </w:rPr>
        <w:t xml:space="preserve"> </w:t>
      </w:r>
      <w:r w:rsidR="00AD665C">
        <w:rPr>
          <w:sz w:val="25"/>
          <w:szCs w:val="25"/>
        </w:rPr>
        <w:t xml:space="preserve">the parties will advise the </w:t>
      </w:r>
      <w:r w:rsidR="001C7B06">
        <w:rPr>
          <w:sz w:val="25"/>
          <w:szCs w:val="25"/>
        </w:rPr>
        <w:t xml:space="preserve">Commission of their positions on the Petition, including </w:t>
      </w:r>
      <w:r w:rsidR="00AD665C">
        <w:rPr>
          <w:sz w:val="25"/>
          <w:szCs w:val="25"/>
        </w:rPr>
        <w:t>the need for further evidentiary proceedings</w:t>
      </w:r>
      <w:r w:rsidR="008A195B">
        <w:rPr>
          <w:sz w:val="25"/>
          <w:szCs w:val="25"/>
        </w:rPr>
        <w:t>.  Before the status conference, the parties will confer and if further evidentiary proceedings are needed, present a proposed schedule for them.</w:t>
      </w:r>
    </w:p>
    <w:p w:rsidR="00BB0E3C" w:rsidRPr="00EB0FEA" w:rsidRDefault="00BB0E3C" w:rsidP="00EB0FEA">
      <w:pPr>
        <w:rPr>
          <w:color w:val="000000"/>
          <w:sz w:val="25"/>
          <w:szCs w:val="25"/>
        </w:rPr>
      </w:pPr>
    </w:p>
    <w:p w:rsidR="004059E6" w:rsidRPr="00BB0E3C" w:rsidRDefault="00BB0E3C" w:rsidP="00427395">
      <w:pPr>
        <w:numPr>
          <w:ilvl w:val="0"/>
          <w:numId w:val="2"/>
        </w:numPr>
        <w:spacing w:line="264" w:lineRule="auto"/>
        <w:rPr>
          <w:color w:val="000000"/>
          <w:sz w:val="25"/>
          <w:szCs w:val="25"/>
        </w:rPr>
      </w:pPr>
      <w:r w:rsidRPr="00BB0E3C">
        <w:rPr>
          <w:b/>
          <w:sz w:val="25"/>
          <w:szCs w:val="25"/>
        </w:rPr>
        <w:t>DISCOVERY</w:t>
      </w:r>
      <w:r w:rsidRPr="00BB0E3C">
        <w:rPr>
          <w:b/>
          <w:bCs/>
          <w:sz w:val="25"/>
          <w:szCs w:val="25"/>
        </w:rPr>
        <w:t xml:space="preserve">.  </w:t>
      </w:r>
      <w:r w:rsidRPr="00BB0E3C">
        <w:rPr>
          <w:bCs/>
          <w:sz w:val="25"/>
          <w:szCs w:val="25"/>
        </w:rPr>
        <w:t>At the prehearing conference, the parties stated that they have no current need for formal discovery.  The parties will advise the Commission of any change in this position at the status conference</w:t>
      </w:r>
      <w:r>
        <w:rPr>
          <w:bCs/>
          <w:sz w:val="25"/>
          <w:szCs w:val="25"/>
        </w:rPr>
        <w:t>.</w:t>
      </w:r>
    </w:p>
    <w:p w:rsidR="00BB0E3C" w:rsidRPr="00BB0E3C" w:rsidRDefault="00BB0E3C" w:rsidP="00BB0E3C">
      <w:pPr>
        <w:spacing w:line="264" w:lineRule="auto"/>
        <w:rPr>
          <w:color w:val="000000"/>
          <w:sz w:val="25"/>
          <w:szCs w:val="25"/>
        </w:rPr>
      </w:pPr>
    </w:p>
    <w:p w:rsidR="004059E6" w:rsidRPr="00DC26B5" w:rsidRDefault="004059E6" w:rsidP="00427395">
      <w:pPr>
        <w:numPr>
          <w:ilvl w:val="0"/>
          <w:numId w:val="2"/>
        </w:numPr>
        <w:spacing w:line="264" w:lineRule="auto"/>
        <w:rPr>
          <w:sz w:val="25"/>
          <w:szCs w:val="25"/>
        </w:rPr>
      </w:pPr>
      <w:r w:rsidRPr="00DC26B5">
        <w:rPr>
          <w:b/>
          <w:sz w:val="25"/>
          <w:szCs w:val="25"/>
        </w:rPr>
        <w:t>DOCUMENT</w:t>
      </w:r>
      <w:r w:rsidRPr="00DC26B5">
        <w:rPr>
          <w:b/>
          <w:bCs/>
          <w:sz w:val="25"/>
          <w:szCs w:val="25"/>
        </w:rPr>
        <w:t xml:space="preserve"> PREPARATION AND FILING REQUIREMENTS.</w:t>
      </w:r>
      <w:r w:rsidRPr="00DC26B5">
        <w:rPr>
          <w:sz w:val="25"/>
          <w:szCs w:val="25"/>
        </w:rPr>
        <w:t xml:space="preserve">  </w:t>
      </w:r>
      <w:r w:rsidR="00C508F7">
        <w:rPr>
          <w:sz w:val="25"/>
          <w:szCs w:val="25"/>
        </w:rPr>
        <w:t>The p</w:t>
      </w:r>
      <w:r w:rsidRPr="00DC26B5">
        <w:rPr>
          <w:sz w:val="25"/>
          <w:szCs w:val="25"/>
        </w:rPr>
        <w:t xml:space="preserve">arties must file the original plus </w:t>
      </w:r>
      <w:r w:rsidR="00837B26">
        <w:rPr>
          <w:sz w:val="25"/>
          <w:szCs w:val="25"/>
        </w:rPr>
        <w:t>two</w:t>
      </w:r>
      <w:r w:rsidR="00E37F95" w:rsidRPr="00F97419">
        <w:rPr>
          <w:b/>
          <w:sz w:val="25"/>
          <w:szCs w:val="25"/>
        </w:rPr>
        <w:t xml:space="preserve"> </w:t>
      </w:r>
      <w:r w:rsidR="00E37F95">
        <w:rPr>
          <w:sz w:val="25"/>
          <w:szCs w:val="25"/>
        </w:rPr>
        <w:t>copies of</w:t>
      </w:r>
      <w:r w:rsidRPr="00DC26B5">
        <w:rPr>
          <w:sz w:val="25"/>
          <w:szCs w:val="25"/>
        </w:rPr>
        <w:t xml:space="preserve"> all pleadings, motions, briefs, and other prefiled materials.  These materials must conform to the format and publication guidelines in WAC 480-07-395 and WAC 480-07-460.  The Commission prefers that materials be three-hole punched with </w:t>
      </w:r>
      <w:r w:rsidRPr="00DC26B5">
        <w:rPr>
          <w:i/>
          <w:iCs/>
          <w:sz w:val="25"/>
          <w:szCs w:val="25"/>
        </w:rPr>
        <w:t>oversized</w:t>
      </w:r>
      <w:r w:rsidRPr="00DC26B5">
        <w:rPr>
          <w:sz w:val="25"/>
          <w:szCs w:val="25"/>
        </w:rPr>
        <w:t xml:space="preserve"> holes to allow easy handling.  The Commission may require a party to refile any document that fails to conform to these standards.  </w:t>
      </w:r>
    </w:p>
    <w:p w:rsidR="004059E6" w:rsidRPr="00DA5DBB" w:rsidRDefault="004059E6" w:rsidP="004059E6">
      <w:pPr>
        <w:spacing w:line="264" w:lineRule="auto"/>
        <w:rPr>
          <w:sz w:val="25"/>
          <w:szCs w:val="25"/>
        </w:rPr>
      </w:pPr>
    </w:p>
    <w:p w:rsidR="004059E6" w:rsidRPr="00DA5DBB" w:rsidRDefault="004059E6" w:rsidP="00427395">
      <w:pPr>
        <w:numPr>
          <w:ilvl w:val="0"/>
          <w:numId w:val="2"/>
        </w:numPr>
        <w:spacing w:line="264" w:lineRule="auto"/>
        <w:rPr>
          <w:sz w:val="25"/>
          <w:szCs w:val="25"/>
        </w:rPr>
      </w:pPr>
      <w:r w:rsidRPr="00DA5DBB">
        <w:rPr>
          <w:sz w:val="25"/>
          <w:szCs w:val="25"/>
        </w:rPr>
        <w:t xml:space="preserve">All filings must be mailed or delivered to the Executive </w:t>
      </w:r>
      <w:r>
        <w:rPr>
          <w:sz w:val="25"/>
          <w:szCs w:val="25"/>
        </w:rPr>
        <w:t xml:space="preserve">Director and </w:t>
      </w:r>
      <w:r w:rsidRPr="00DA5DBB">
        <w:rPr>
          <w:sz w:val="25"/>
          <w:szCs w:val="25"/>
        </w:rPr>
        <w:t xml:space="preserve">Secretary, Washington </w:t>
      </w:r>
      <w:r w:rsidRPr="00471A92">
        <w:rPr>
          <w:sz w:val="25"/>
          <w:szCs w:val="25"/>
        </w:rPr>
        <w:t>Utilities</w:t>
      </w:r>
      <w:r w:rsidRPr="00DA5DBB">
        <w:rPr>
          <w:sz w:val="25"/>
          <w:szCs w:val="25"/>
        </w:rPr>
        <w:t xml:space="preserve"> and Transportation Commission, P.O. Box 47250, 1300 S. Evergreen Park Drive S.W.</w:t>
      </w:r>
      <w:r>
        <w:rPr>
          <w:sz w:val="25"/>
          <w:szCs w:val="25"/>
        </w:rPr>
        <w:t xml:space="preserve">, </w:t>
      </w:r>
      <w:r w:rsidRPr="00DA5DBB">
        <w:rPr>
          <w:sz w:val="25"/>
          <w:szCs w:val="25"/>
        </w:rPr>
        <w:t>Olympia, Washington 98504-7250.  Both the post office box and street address are required to expedite deliv</w:t>
      </w:r>
      <w:r w:rsidR="00BF6AAC">
        <w:rPr>
          <w:sz w:val="25"/>
          <w:szCs w:val="25"/>
        </w:rPr>
        <w:t>eries</w:t>
      </w:r>
      <w:r w:rsidRPr="00DA5DBB">
        <w:rPr>
          <w:sz w:val="25"/>
          <w:szCs w:val="25"/>
        </w:rPr>
        <w:t>.</w:t>
      </w:r>
    </w:p>
    <w:p w:rsidR="004059E6" w:rsidRPr="00DA5DBB" w:rsidRDefault="004059E6" w:rsidP="004059E6">
      <w:pPr>
        <w:spacing w:line="264" w:lineRule="auto"/>
        <w:rPr>
          <w:sz w:val="25"/>
          <w:szCs w:val="25"/>
        </w:rPr>
      </w:pPr>
    </w:p>
    <w:p w:rsidR="004059E6" w:rsidRPr="006E4A01" w:rsidRDefault="004059E6" w:rsidP="00427395">
      <w:pPr>
        <w:numPr>
          <w:ilvl w:val="0"/>
          <w:numId w:val="2"/>
        </w:numPr>
        <w:spacing w:line="264" w:lineRule="auto"/>
        <w:rPr>
          <w:sz w:val="25"/>
          <w:szCs w:val="25"/>
        </w:rPr>
      </w:pPr>
      <w:r w:rsidRPr="006E4A01">
        <w:rPr>
          <w:sz w:val="25"/>
          <w:szCs w:val="25"/>
        </w:rPr>
        <w:t>An electronic copy of all filings must be provided through the Commission’s Web Portal (</w:t>
      </w:r>
      <w:hyperlink r:id="rId11" w:history="1">
        <w:r w:rsidRPr="00BF45A0">
          <w:rPr>
            <w:rStyle w:val="Hyperlink"/>
            <w:sz w:val="25"/>
            <w:szCs w:val="25"/>
          </w:rPr>
          <w:t>www.utc.wa.gov/e-filing</w:t>
        </w:r>
      </w:hyperlink>
      <w:r>
        <w:rPr>
          <w:sz w:val="25"/>
          <w:szCs w:val="25"/>
        </w:rPr>
        <w:t>)</w:t>
      </w:r>
      <w:r w:rsidRPr="006E4A01">
        <w:rPr>
          <w:sz w:val="25"/>
          <w:szCs w:val="25"/>
        </w:rPr>
        <w:t xml:space="preserve"> or by e-mail delivery to </w:t>
      </w:r>
      <w:r>
        <w:rPr>
          <w:sz w:val="25"/>
          <w:szCs w:val="25"/>
        </w:rPr>
        <w:t>(</w:t>
      </w:r>
      <w:hyperlink r:id="rId12" w:history="1">
        <w:r w:rsidRPr="00BF45A0">
          <w:rPr>
            <w:rStyle w:val="Hyperlink"/>
            <w:sz w:val="25"/>
            <w:szCs w:val="25"/>
          </w:rPr>
          <w:t>records@utc.wa.gov</w:t>
        </w:r>
      </w:hyperlink>
      <w:r>
        <w:rPr>
          <w:sz w:val="25"/>
          <w:szCs w:val="25"/>
          <w:u w:val="single"/>
        </w:rPr>
        <w:t>)</w:t>
      </w:r>
      <w:r w:rsidRPr="006E4A01">
        <w:rPr>
          <w:sz w:val="25"/>
          <w:szCs w:val="25"/>
        </w:rPr>
        <w:t xml:space="preserve">.  </w:t>
      </w:r>
      <w:r w:rsidRPr="00471A92">
        <w:rPr>
          <w:sz w:val="25"/>
          <w:szCs w:val="25"/>
        </w:rPr>
        <w:t>Alternatively</w:t>
      </w:r>
      <w:r w:rsidRPr="006E4A01">
        <w:rPr>
          <w:sz w:val="25"/>
          <w:szCs w:val="25"/>
        </w:rPr>
        <w:t xml:space="preserve">, parties may furnish an electronic copy by delivering with each filing a </w:t>
      </w:r>
      <w:r w:rsidR="0088564D">
        <w:rPr>
          <w:sz w:val="25"/>
          <w:szCs w:val="25"/>
        </w:rPr>
        <w:t>flash drive or CD including the filed document</w:t>
      </w:r>
      <w:r w:rsidRPr="006E4A01">
        <w:rPr>
          <w:sz w:val="25"/>
          <w:szCs w:val="25"/>
        </w:rPr>
        <w:t>s.  Parties must furnish electronic copies in MS Word 6.0 (or later) supplemented by a separate file in .pdf (Adobe Acrobat) format.  Parties must follow WAC 480-07-140(5) in organizing and identifying electronic files.</w:t>
      </w:r>
      <w:r w:rsidR="0088564D">
        <w:rPr>
          <w:sz w:val="25"/>
          <w:szCs w:val="25"/>
        </w:rPr>
        <w:t xml:space="preserve">  The parties agree that </w:t>
      </w:r>
      <w:r w:rsidR="0088564D">
        <w:rPr>
          <w:sz w:val="25"/>
          <w:szCs w:val="25"/>
        </w:rPr>
        <w:lastRenderedPageBreak/>
        <w:t>the Commission may serve all Commission orders, notices, and other issuances on the p</w:t>
      </w:r>
      <w:r w:rsidR="00900204">
        <w:rPr>
          <w:sz w:val="25"/>
          <w:szCs w:val="25"/>
        </w:rPr>
        <w:t>a</w:t>
      </w:r>
      <w:r w:rsidR="0088564D">
        <w:rPr>
          <w:sz w:val="25"/>
          <w:szCs w:val="25"/>
        </w:rPr>
        <w:t>rties via email delivery to the parties at the a</w:t>
      </w:r>
      <w:r w:rsidR="00C2536E">
        <w:rPr>
          <w:sz w:val="25"/>
          <w:szCs w:val="25"/>
        </w:rPr>
        <w:t xml:space="preserve">ddresses set forth in Appendix </w:t>
      </w:r>
      <w:r w:rsidR="00DE545F">
        <w:rPr>
          <w:sz w:val="25"/>
          <w:szCs w:val="25"/>
        </w:rPr>
        <w:t>A</w:t>
      </w:r>
      <w:r w:rsidR="0088564D">
        <w:rPr>
          <w:sz w:val="25"/>
          <w:szCs w:val="25"/>
        </w:rPr>
        <w:t>.</w:t>
      </w:r>
    </w:p>
    <w:p w:rsidR="004059E6" w:rsidRPr="00DA5DBB" w:rsidRDefault="004059E6" w:rsidP="004059E6">
      <w:pPr>
        <w:pStyle w:val="Header"/>
        <w:tabs>
          <w:tab w:val="clear" w:pos="4320"/>
          <w:tab w:val="clear" w:pos="8640"/>
        </w:tabs>
        <w:spacing w:line="264" w:lineRule="auto"/>
        <w:rPr>
          <w:sz w:val="25"/>
          <w:szCs w:val="25"/>
        </w:rPr>
      </w:pPr>
    </w:p>
    <w:p w:rsidR="004059E6" w:rsidRPr="00EF001D" w:rsidRDefault="004059E6" w:rsidP="00427395">
      <w:pPr>
        <w:numPr>
          <w:ilvl w:val="0"/>
          <w:numId w:val="2"/>
        </w:numPr>
        <w:spacing w:line="264" w:lineRule="auto"/>
        <w:rPr>
          <w:sz w:val="25"/>
          <w:szCs w:val="25"/>
        </w:rPr>
      </w:pPr>
      <w:r w:rsidRPr="00DA5DBB">
        <w:rPr>
          <w:b/>
          <w:bCs/>
          <w:sz w:val="25"/>
          <w:szCs w:val="25"/>
        </w:rPr>
        <w:t>ELECTRONIC SUBMISSION OF DOCUMENTS.</w:t>
      </w:r>
      <w:r w:rsidRPr="00DA5DBB">
        <w:rPr>
          <w:sz w:val="25"/>
          <w:szCs w:val="25"/>
        </w:rPr>
        <w:t xml:space="preserve">  Parties must submit documents </w:t>
      </w:r>
      <w:r w:rsidRPr="00DA5DBB">
        <w:rPr>
          <w:bCs/>
          <w:sz w:val="25"/>
          <w:szCs w:val="25"/>
        </w:rPr>
        <w:t xml:space="preserve">through the </w:t>
      </w:r>
      <w:r w:rsidRPr="00471A92">
        <w:rPr>
          <w:sz w:val="25"/>
          <w:szCs w:val="25"/>
        </w:rPr>
        <w:t>Commission’s</w:t>
      </w:r>
      <w:r w:rsidRPr="00471A92">
        <w:rPr>
          <w:bCs/>
          <w:sz w:val="25"/>
          <w:szCs w:val="25"/>
        </w:rPr>
        <w:t xml:space="preserve"> </w:t>
      </w:r>
      <w:r w:rsidR="00DE545F">
        <w:rPr>
          <w:bCs/>
          <w:sz w:val="25"/>
          <w:szCs w:val="25"/>
        </w:rPr>
        <w:t>w</w:t>
      </w:r>
      <w:r w:rsidRPr="00DA5DBB">
        <w:rPr>
          <w:bCs/>
          <w:sz w:val="25"/>
          <w:szCs w:val="25"/>
        </w:rPr>
        <w:t xml:space="preserve">eb </w:t>
      </w:r>
      <w:r w:rsidR="00DE545F">
        <w:rPr>
          <w:bCs/>
          <w:sz w:val="25"/>
          <w:szCs w:val="25"/>
        </w:rPr>
        <w:t>p</w:t>
      </w:r>
      <w:r w:rsidRPr="00DA5DBB">
        <w:rPr>
          <w:bCs/>
          <w:sz w:val="25"/>
          <w:szCs w:val="25"/>
        </w:rPr>
        <w:t>ortal (</w:t>
      </w:r>
      <w:hyperlink r:id="rId13" w:history="1">
        <w:r w:rsidRPr="00BF45A0">
          <w:rPr>
            <w:rStyle w:val="Hyperlink"/>
            <w:bCs/>
            <w:sz w:val="25"/>
            <w:szCs w:val="25"/>
          </w:rPr>
          <w:t>www.utc.wa.gov/e-filing</w:t>
        </w:r>
      </w:hyperlink>
      <w:r w:rsidRPr="00DA5DBB">
        <w:rPr>
          <w:bCs/>
          <w:sz w:val="25"/>
          <w:szCs w:val="25"/>
        </w:rPr>
        <w:t>) or</w:t>
      </w:r>
      <w:r w:rsidRPr="00DA5DBB">
        <w:rPr>
          <w:sz w:val="25"/>
          <w:szCs w:val="25"/>
        </w:rPr>
        <w:t xml:space="preserve"> by e-mail to </w:t>
      </w:r>
      <w:r>
        <w:rPr>
          <w:sz w:val="25"/>
          <w:szCs w:val="25"/>
        </w:rPr>
        <w:t>(</w:t>
      </w:r>
      <w:hyperlink r:id="rId14" w:history="1">
        <w:r w:rsidRPr="00BF45A0">
          <w:rPr>
            <w:rStyle w:val="Hyperlink"/>
            <w:sz w:val="25"/>
            <w:szCs w:val="25"/>
          </w:rPr>
          <w:t>records@utc.wa.gov</w:t>
        </w:r>
      </w:hyperlink>
      <w:r>
        <w:rPr>
          <w:sz w:val="25"/>
          <w:szCs w:val="25"/>
        </w:rPr>
        <w:t>)</w:t>
      </w:r>
      <w:r w:rsidRPr="00DA5DBB">
        <w:rPr>
          <w:sz w:val="25"/>
          <w:szCs w:val="25"/>
        </w:rPr>
        <w:t>, and file an original plus</w:t>
      </w:r>
      <w:r w:rsidR="00C508F7">
        <w:rPr>
          <w:sz w:val="25"/>
          <w:szCs w:val="25"/>
        </w:rPr>
        <w:t xml:space="preserve"> </w:t>
      </w:r>
      <w:r w:rsidR="00837B26">
        <w:rPr>
          <w:sz w:val="25"/>
          <w:szCs w:val="25"/>
        </w:rPr>
        <w:t>two</w:t>
      </w:r>
      <w:r>
        <w:rPr>
          <w:sz w:val="25"/>
          <w:szCs w:val="25"/>
        </w:rPr>
        <w:t xml:space="preserve"> </w:t>
      </w:r>
      <w:r w:rsidRPr="00DA5DBB">
        <w:rPr>
          <w:sz w:val="25"/>
          <w:szCs w:val="25"/>
        </w:rPr>
        <w:t>paper copies of the documents with the Commission by the following business day.</w:t>
      </w:r>
      <w:r w:rsidRPr="00DA5DBB">
        <w:rPr>
          <w:b/>
          <w:bCs/>
          <w:sz w:val="25"/>
          <w:szCs w:val="25"/>
        </w:rPr>
        <w:t xml:space="preserve">  </w:t>
      </w:r>
      <w:r w:rsidRPr="00DA5DBB">
        <w:rPr>
          <w:bCs/>
          <w:sz w:val="25"/>
          <w:szCs w:val="25"/>
        </w:rPr>
        <w:t>Parties must provide courtesy copies of their electronic submissions to</w:t>
      </w:r>
      <w:r w:rsidR="00900204">
        <w:rPr>
          <w:bCs/>
          <w:sz w:val="25"/>
          <w:szCs w:val="25"/>
        </w:rPr>
        <w:t xml:space="preserve"> </w:t>
      </w:r>
      <w:r w:rsidR="0011065E">
        <w:rPr>
          <w:bCs/>
          <w:sz w:val="25"/>
          <w:szCs w:val="25"/>
        </w:rPr>
        <w:t>the presiding officer</w:t>
      </w:r>
      <w:r w:rsidR="00585DDF">
        <w:rPr>
          <w:bCs/>
          <w:sz w:val="25"/>
          <w:szCs w:val="25"/>
        </w:rPr>
        <w:t xml:space="preserve"> </w:t>
      </w:r>
      <w:r w:rsidRPr="00DA5DBB">
        <w:rPr>
          <w:bCs/>
          <w:sz w:val="25"/>
          <w:szCs w:val="25"/>
        </w:rPr>
        <w:t xml:space="preserve">and </w:t>
      </w:r>
      <w:r w:rsidR="00585DDF">
        <w:rPr>
          <w:bCs/>
          <w:sz w:val="25"/>
          <w:szCs w:val="25"/>
        </w:rPr>
        <w:t xml:space="preserve">to </w:t>
      </w:r>
      <w:r w:rsidRPr="00DA5DBB">
        <w:rPr>
          <w:bCs/>
          <w:sz w:val="25"/>
          <w:szCs w:val="25"/>
        </w:rPr>
        <w:t>the parties to the proceeding.</w:t>
      </w:r>
      <w:r w:rsidR="0092713B">
        <w:rPr>
          <w:bCs/>
          <w:sz w:val="25"/>
          <w:szCs w:val="25"/>
        </w:rPr>
        <w:t xml:space="preserve">  Parties may agree to waive the requirement to serve paper copies of all documents on each other and may serve such copies electronically if they memorialize such agreement by letter</w:t>
      </w:r>
      <w:r w:rsidR="00C27E41">
        <w:rPr>
          <w:bCs/>
          <w:sz w:val="25"/>
          <w:szCs w:val="25"/>
        </w:rPr>
        <w:t xml:space="preserve"> </w:t>
      </w:r>
      <w:r w:rsidR="00624601">
        <w:rPr>
          <w:bCs/>
          <w:sz w:val="25"/>
          <w:szCs w:val="25"/>
        </w:rPr>
        <w:t xml:space="preserve">and provide a </w:t>
      </w:r>
      <w:r w:rsidR="00C27E41">
        <w:rPr>
          <w:bCs/>
          <w:sz w:val="25"/>
          <w:szCs w:val="25"/>
        </w:rPr>
        <w:t>courtesy cop</w:t>
      </w:r>
      <w:r w:rsidR="00624601">
        <w:rPr>
          <w:bCs/>
          <w:sz w:val="25"/>
          <w:szCs w:val="25"/>
        </w:rPr>
        <w:t>y of the letter</w:t>
      </w:r>
      <w:r w:rsidR="00C27E41">
        <w:rPr>
          <w:bCs/>
          <w:sz w:val="25"/>
          <w:szCs w:val="25"/>
        </w:rPr>
        <w:t xml:space="preserve"> to the Commission.</w:t>
      </w:r>
    </w:p>
    <w:p w:rsidR="004059E6" w:rsidRDefault="004059E6" w:rsidP="004059E6">
      <w:pPr>
        <w:pStyle w:val="ListParagraph"/>
        <w:spacing w:line="264" w:lineRule="auto"/>
        <w:rPr>
          <w:bCs/>
          <w:sz w:val="25"/>
          <w:szCs w:val="25"/>
        </w:rPr>
      </w:pPr>
    </w:p>
    <w:p w:rsidR="004059E6" w:rsidRPr="00DA5DBB" w:rsidRDefault="004059E6" w:rsidP="00427395">
      <w:pPr>
        <w:numPr>
          <w:ilvl w:val="0"/>
          <w:numId w:val="2"/>
        </w:numPr>
        <w:spacing w:line="264" w:lineRule="auto"/>
        <w:rPr>
          <w:sz w:val="25"/>
          <w:szCs w:val="25"/>
        </w:rPr>
      </w:pPr>
      <w:r>
        <w:rPr>
          <w:bCs/>
          <w:sz w:val="25"/>
          <w:szCs w:val="25"/>
        </w:rPr>
        <w:t xml:space="preserve">The Commission requires parties to submit documents in adjudicative proceedings no later than </w:t>
      </w:r>
      <w:r w:rsidR="00881A92">
        <w:rPr>
          <w:bCs/>
          <w:sz w:val="25"/>
          <w:szCs w:val="25"/>
        </w:rPr>
        <w:t>3</w:t>
      </w:r>
      <w:r>
        <w:rPr>
          <w:bCs/>
          <w:sz w:val="25"/>
          <w:szCs w:val="25"/>
        </w:rPr>
        <w:t xml:space="preserve">:00 p.m. on the deadline date to give Records Center personnel adequate time to post and distribute them.  </w:t>
      </w:r>
    </w:p>
    <w:p w:rsidR="004059E6" w:rsidRPr="00DA5DBB" w:rsidRDefault="004059E6" w:rsidP="004059E6">
      <w:pPr>
        <w:spacing w:line="264" w:lineRule="auto"/>
        <w:rPr>
          <w:sz w:val="25"/>
          <w:szCs w:val="25"/>
        </w:rPr>
      </w:pPr>
    </w:p>
    <w:p w:rsidR="004059E6" w:rsidRPr="00344815" w:rsidRDefault="004059E6" w:rsidP="00427395">
      <w:pPr>
        <w:numPr>
          <w:ilvl w:val="0"/>
          <w:numId w:val="2"/>
        </w:numPr>
        <w:spacing w:line="264" w:lineRule="auto"/>
        <w:rPr>
          <w:sz w:val="25"/>
          <w:szCs w:val="25"/>
        </w:rPr>
      </w:pPr>
      <w:r w:rsidRPr="00344815">
        <w:rPr>
          <w:b/>
          <w:bCs/>
          <w:sz w:val="25"/>
          <w:szCs w:val="25"/>
        </w:rPr>
        <w:t>ALTERNAT</w:t>
      </w:r>
      <w:r w:rsidR="00407582">
        <w:rPr>
          <w:b/>
          <w:bCs/>
          <w:sz w:val="25"/>
          <w:szCs w:val="25"/>
        </w:rPr>
        <w:t>IV</w:t>
      </w:r>
      <w:r w:rsidRPr="00344815">
        <w:rPr>
          <w:b/>
          <w:bCs/>
          <w:sz w:val="25"/>
          <w:szCs w:val="25"/>
        </w:rPr>
        <w:t>E DISPUTE RESOLUTION</w:t>
      </w:r>
      <w:r w:rsidRPr="00344815">
        <w:rPr>
          <w:sz w:val="25"/>
          <w:szCs w:val="25"/>
        </w:rPr>
        <w:t xml:space="preserve">.  The Commission supports the informal settlement of matters before it.  </w:t>
      </w:r>
      <w:r w:rsidR="00C508F7">
        <w:rPr>
          <w:sz w:val="25"/>
          <w:szCs w:val="25"/>
        </w:rPr>
        <w:t>The p</w:t>
      </w:r>
      <w:r w:rsidRPr="00344815">
        <w:rPr>
          <w:sz w:val="25"/>
          <w:szCs w:val="25"/>
        </w:rPr>
        <w:t>arties are encouraged to consider means of resolving disputes informally.  The Commission ha</w:t>
      </w:r>
      <w:r w:rsidR="00E50DC4">
        <w:rPr>
          <w:sz w:val="25"/>
          <w:szCs w:val="25"/>
        </w:rPr>
        <w:t>s</w:t>
      </w:r>
      <w:r w:rsidRPr="00344815">
        <w:rPr>
          <w:sz w:val="25"/>
          <w:szCs w:val="25"/>
        </w:rPr>
        <w:t xml:space="preserve"> </w:t>
      </w:r>
      <w:r w:rsidR="00E50DC4">
        <w:rPr>
          <w:sz w:val="25"/>
          <w:szCs w:val="25"/>
        </w:rPr>
        <w:t xml:space="preserve">a </w:t>
      </w:r>
      <w:r w:rsidRPr="00344815">
        <w:rPr>
          <w:sz w:val="25"/>
          <w:szCs w:val="25"/>
        </w:rPr>
        <w:t>limited ability to provide dispute resolution services;</w:t>
      </w:r>
      <w:r w:rsidR="002C137C">
        <w:rPr>
          <w:sz w:val="25"/>
          <w:szCs w:val="25"/>
        </w:rPr>
        <w:t xml:space="preserve"> if desired,</w:t>
      </w:r>
      <w:r w:rsidRPr="00344815">
        <w:rPr>
          <w:sz w:val="25"/>
          <w:szCs w:val="25"/>
        </w:rPr>
        <w:t xml:space="preserve"> </w:t>
      </w:r>
      <w:r w:rsidR="00922D7C">
        <w:rPr>
          <w:sz w:val="25"/>
          <w:szCs w:val="25"/>
        </w:rPr>
        <w:t xml:space="preserve">the parties </w:t>
      </w:r>
      <w:r w:rsidR="002C137C">
        <w:rPr>
          <w:sz w:val="25"/>
          <w:szCs w:val="25"/>
        </w:rPr>
        <w:t xml:space="preserve">must </w:t>
      </w:r>
      <w:r w:rsidRPr="00344815">
        <w:rPr>
          <w:sz w:val="25"/>
          <w:szCs w:val="25"/>
        </w:rPr>
        <w:t>call the Director, Administrative Law Division, at 360-664-1355</w:t>
      </w:r>
      <w:r w:rsidR="00922D7C">
        <w:rPr>
          <w:sz w:val="25"/>
          <w:szCs w:val="25"/>
        </w:rPr>
        <w:t xml:space="preserve"> at l</w:t>
      </w:r>
      <w:r w:rsidR="00E77C95">
        <w:rPr>
          <w:sz w:val="25"/>
          <w:szCs w:val="25"/>
        </w:rPr>
        <w:t>east two weeks before the date</w:t>
      </w:r>
      <w:r w:rsidR="00272DB6">
        <w:rPr>
          <w:sz w:val="25"/>
          <w:szCs w:val="25"/>
        </w:rPr>
        <w:t xml:space="preserve"> that the parties requ</w:t>
      </w:r>
      <w:r w:rsidR="00922D7C">
        <w:rPr>
          <w:sz w:val="25"/>
          <w:szCs w:val="25"/>
        </w:rPr>
        <w:t xml:space="preserve">est </w:t>
      </w:r>
      <w:r w:rsidR="00272DB6">
        <w:rPr>
          <w:sz w:val="25"/>
          <w:szCs w:val="25"/>
        </w:rPr>
        <w:t xml:space="preserve">for </w:t>
      </w:r>
      <w:r w:rsidR="00922D7C">
        <w:rPr>
          <w:sz w:val="25"/>
          <w:szCs w:val="25"/>
        </w:rPr>
        <w:t>alternative dispute resolution</w:t>
      </w:r>
      <w:r w:rsidRPr="00344815">
        <w:rPr>
          <w:sz w:val="25"/>
          <w:szCs w:val="25"/>
        </w:rPr>
        <w:t>.</w:t>
      </w:r>
    </w:p>
    <w:p w:rsidR="004059E6" w:rsidRPr="00DA5DBB" w:rsidRDefault="004059E6" w:rsidP="004059E6">
      <w:pPr>
        <w:pStyle w:val="Header"/>
        <w:tabs>
          <w:tab w:val="clear" w:pos="4320"/>
          <w:tab w:val="clear" w:pos="8640"/>
        </w:tabs>
        <w:spacing w:line="264" w:lineRule="auto"/>
        <w:rPr>
          <w:sz w:val="25"/>
          <w:szCs w:val="25"/>
        </w:rPr>
      </w:pPr>
    </w:p>
    <w:p w:rsidR="004059E6" w:rsidRPr="00DA5DBB" w:rsidRDefault="004059E6" w:rsidP="00427395">
      <w:pPr>
        <w:numPr>
          <w:ilvl w:val="0"/>
          <w:numId w:val="2"/>
        </w:numPr>
        <w:spacing w:line="264" w:lineRule="auto"/>
        <w:rPr>
          <w:sz w:val="25"/>
          <w:szCs w:val="25"/>
        </w:rPr>
      </w:pPr>
      <w:r w:rsidRPr="00DA5DBB">
        <w:rPr>
          <w:b/>
          <w:sz w:val="25"/>
          <w:szCs w:val="25"/>
        </w:rPr>
        <w:t>NOTICE TO PARTIES:  A party who objects to any portion of this Order must file a written objection within 10 calendar days after the service date of this Order, pursuant to WAC 480-07-430 and WAC 480-07-810.  The service date appears on the first page of the order in the upper right-hand corner.  Absent such objection, this Order will control further proceedings in this matter, subject to Commission review.</w:t>
      </w:r>
    </w:p>
    <w:p w:rsidR="004059E6" w:rsidRPr="00DA5DBB" w:rsidRDefault="004059E6" w:rsidP="004059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88" w:lineRule="auto"/>
        <w:rPr>
          <w:color w:val="000000"/>
          <w:sz w:val="25"/>
          <w:szCs w:val="25"/>
        </w:rPr>
      </w:pPr>
    </w:p>
    <w:p w:rsidR="004059E6" w:rsidRPr="00DA5DBB" w:rsidRDefault="004059E6" w:rsidP="004059E6">
      <w:pPr>
        <w:spacing w:line="288" w:lineRule="auto"/>
        <w:rPr>
          <w:sz w:val="25"/>
          <w:szCs w:val="25"/>
        </w:rPr>
      </w:pPr>
      <w:r w:rsidRPr="00DA5DBB">
        <w:rPr>
          <w:sz w:val="25"/>
          <w:szCs w:val="25"/>
        </w:rPr>
        <w:t xml:space="preserve">Dated at Olympia, Washington, and effective </w:t>
      </w:r>
      <w:r w:rsidR="00781A64">
        <w:rPr>
          <w:sz w:val="25"/>
          <w:szCs w:val="25"/>
        </w:rPr>
        <w:t>January 23</w:t>
      </w:r>
      <w:r w:rsidR="00614AA9">
        <w:rPr>
          <w:sz w:val="25"/>
          <w:szCs w:val="25"/>
        </w:rPr>
        <w:t>, 2014</w:t>
      </w:r>
      <w:r w:rsidRPr="00DA5DBB">
        <w:rPr>
          <w:sz w:val="25"/>
          <w:szCs w:val="25"/>
        </w:rPr>
        <w:t>.</w:t>
      </w:r>
    </w:p>
    <w:p w:rsidR="004059E6" w:rsidRPr="00DA5DBB" w:rsidRDefault="004059E6" w:rsidP="004059E6">
      <w:pPr>
        <w:pStyle w:val="Header"/>
        <w:tabs>
          <w:tab w:val="clear" w:pos="4320"/>
          <w:tab w:val="clear" w:pos="8640"/>
        </w:tabs>
        <w:spacing w:line="288" w:lineRule="auto"/>
        <w:rPr>
          <w:sz w:val="25"/>
          <w:szCs w:val="25"/>
        </w:rPr>
      </w:pPr>
    </w:p>
    <w:p w:rsidR="004059E6" w:rsidRPr="00DA5DBB" w:rsidRDefault="004059E6" w:rsidP="004059E6">
      <w:pPr>
        <w:spacing w:line="288" w:lineRule="auto"/>
        <w:jc w:val="center"/>
        <w:rPr>
          <w:sz w:val="25"/>
          <w:szCs w:val="25"/>
        </w:rPr>
      </w:pPr>
      <w:r w:rsidRPr="00DA5DBB">
        <w:rPr>
          <w:sz w:val="25"/>
          <w:szCs w:val="25"/>
        </w:rPr>
        <w:t>WASHINGTON UTILITIES AND TRANSPORTATION COMMISSION</w:t>
      </w:r>
    </w:p>
    <w:p w:rsidR="004059E6" w:rsidRPr="00DA5DBB" w:rsidRDefault="004059E6" w:rsidP="004059E6">
      <w:pPr>
        <w:spacing w:line="288" w:lineRule="auto"/>
        <w:rPr>
          <w:sz w:val="25"/>
          <w:szCs w:val="25"/>
        </w:rPr>
      </w:pPr>
    </w:p>
    <w:p w:rsidR="004059E6" w:rsidRDefault="004059E6" w:rsidP="004059E6">
      <w:pPr>
        <w:spacing w:line="288" w:lineRule="auto"/>
        <w:rPr>
          <w:sz w:val="25"/>
          <w:szCs w:val="25"/>
        </w:rPr>
      </w:pPr>
    </w:p>
    <w:p w:rsidR="00024CD1" w:rsidRDefault="00024CD1" w:rsidP="004059E6">
      <w:pPr>
        <w:spacing w:line="288" w:lineRule="auto"/>
        <w:rPr>
          <w:sz w:val="25"/>
          <w:szCs w:val="25"/>
        </w:rPr>
      </w:pPr>
    </w:p>
    <w:p w:rsidR="00024CD1" w:rsidRPr="00024CD1" w:rsidRDefault="00024CD1" w:rsidP="00024CD1">
      <w:pPr>
        <w:spacing w:line="288" w:lineRule="auto"/>
        <w:ind w:left="3600" w:firstLine="720"/>
        <w:rPr>
          <w:sz w:val="25"/>
          <w:szCs w:val="25"/>
        </w:rPr>
      </w:pPr>
      <w:r w:rsidRPr="00024CD1">
        <w:rPr>
          <w:sz w:val="25"/>
          <w:szCs w:val="25"/>
        </w:rPr>
        <w:t>STEPHANY A. WATSON</w:t>
      </w:r>
    </w:p>
    <w:p w:rsidR="00DA664A" w:rsidRDefault="00024CD1" w:rsidP="00024CD1">
      <w:pPr>
        <w:spacing w:line="288" w:lineRule="auto"/>
        <w:rPr>
          <w:sz w:val="25"/>
          <w:szCs w:val="25"/>
        </w:rPr>
      </w:pPr>
      <w:r w:rsidRPr="00024CD1">
        <w:rPr>
          <w:sz w:val="25"/>
          <w:szCs w:val="25"/>
        </w:rPr>
        <w:tab/>
      </w:r>
      <w:r w:rsidRPr="00024CD1">
        <w:rPr>
          <w:sz w:val="25"/>
          <w:szCs w:val="25"/>
        </w:rPr>
        <w:tab/>
      </w:r>
      <w:r w:rsidRPr="00024CD1">
        <w:rPr>
          <w:sz w:val="25"/>
          <w:szCs w:val="25"/>
        </w:rPr>
        <w:tab/>
      </w:r>
      <w:r w:rsidRPr="00024CD1">
        <w:rPr>
          <w:sz w:val="25"/>
          <w:szCs w:val="25"/>
        </w:rPr>
        <w:tab/>
      </w:r>
      <w:r w:rsidRPr="00024CD1">
        <w:rPr>
          <w:sz w:val="25"/>
          <w:szCs w:val="25"/>
        </w:rPr>
        <w:tab/>
      </w:r>
      <w:r w:rsidRPr="00024CD1">
        <w:rPr>
          <w:sz w:val="25"/>
          <w:szCs w:val="25"/>
        </w:rPr>
        <w:tab/>
        <w:t>Administrative Law Judge</w:t>
      </w:r>
    </w:p>
    <w:p w:rsidR="00024CD1" w:rsidRPr="007B4D08" w:rsidRDefault="008A195B" w:rsidP="007B4D08">
      <w:pPr>
        <w:spacing w:line="288" w:lineRule="auto"/>
        <w:jc w:val="center"/>
        <w:rPr>
          <w:sz w:val="25"/>
          <w:szCs w:val="25"/>
        </w:rPr>
      </w:pPr>
      <w:r>
        <w:rPr>
          <w:b/>
          <w:sz w:val="25"/>
          <w:szCs w:val="25"/>
        </w:rPr>
        <w:t>APPENDIX A</w:t>
      </w:r>
    </w:p>
    <w:p w:rsidR="007B4D08" w:rsidRDefault="007B4D08" w:rsidP="007B4D08">
      <w:pPr>
        <w:jc w:val="center"/>
        <w:rPr>
          <w:b/>
          <w:sz w:val="25"/>
          <w:szCs w:val="25"/>
        </w:rPr>
      </w:pPr>
    </w:p>
    <w:p w:rsidR="007B4D08" w:rsidRDefault="007B4D08" w:rsidP="007B4D08">
      <w:pPr>
        <w:spacing w:after="60" w:line="288" w:lineRule="auto"/>
        <w:jc w:val="center"/>
        <w:rPr>
          <w:b/>
          <w:sz w:val="25"/>
          <w:szCs w:val="25"/>
        </w:rPr>
      </w:pPr>
      <w:r>
        <w:rPr>
          <w:b/>
          <w:sz w:val="25"/>
          <w:szCs w:val="25"/>
        </w:rPr>
        <w:t>PARTY REPRESENTATIVES</w:t>
      </w:r>
    </w:p>
    <w:tbl>
      <w:tblPr>
        <w:tblpPr w:leftFromText="180" w:rightFromText="180" w:vertAnchor="page" w:horzAnchor="margin" w:tblpY="3736"/>
        <w:tblW w:w="9180"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Look w:val="0000" w:firstRow="0" w:lastRow="0" w:firstColumn="0" w:lastColumn="0" w:noHBand="0" w:noVBand="0"/>
      </w:tblPr>
      <w:tblGrid>
        <w:gridCol w:w="1512"/>
        <w:gridCol w:w="2988"/>
        <w:gridCol w:w="1620"/>
        <w:gridCol w:w="3060"/>
      </w:tblGrid>
      <w:tr w:rsidR="007B4D08" w:rsidRPr="00024CD1" w:rsidTr="007B4D08">
        <w:tc>
          <w:tcPr>
            <w:tcW w:w="1512" w:type="dxa"/>
            <w:shd w:val="clear" w:color="auto" w:fill="D9D9D9" w:themeFill="background1" w:themeFillShade="D9"/>
          </w:tcPr>
          <w:p w:rsidR="007B4D08" w:rsidRPr="00024CD1" w:rsidRDefault="007B4D08" w:rsidP="007B4D08">
            <w:pPr>
              <w:spacing w:line="288" w:lineRule="auto"/>
              <w:rPr>
                <w:b/>
                <w:sz w:val="26"/>
                <w:szCs w:val="25"/>
              </w:rPr>
            </w:pPr>
            <w:r w:rsidRPr="00024CD1">
              <w:rPr>
                <w:b/>
                <w:sz w:val="26"/>
                <w:szCs w:val="25"/>
              </w:rPr>
              <w:t>PARTY</w:t>
            </w:r>
          </w:p>
        </w:tc>
        <w:tc>
          <w:tcPr>
            <w:tcW w:w="2988" w:type="dxa"/>
            <w:shd w:val="clear" w:color="auto" w:fill="D9D9D9" w:themeFill="background1" w:themeFillShade="D9"/>
          </w:tcPr>
          <w:p w:rsidR="007B4D08" w:rsidRPr="00024CD1" w:rsidRDefault="007B4D08" w:rsidP="007B4D08">
            <w:pPr>
              <w:spacing w:line="288" w:lineRule="auto"/>
              <w:rPr>
                <w:b/>
                <w:sz w:val="25"/>
                <w:szCs w:val="25"/>
              </w:rPr>
            </w:pPr>
            <w:r w:rsidRPr="00024CD1">
              <w:rPr>
                <w:b/>
                <w:sz w:val="25"/>
                <w:szCs w:val="25"/>
              </w:rPr>
              <w:t>REPRESENTATIVE</w:t>
            </w:r>
          </w:p>
        </w:tc>
        <w:tc>
          <w:tcPr>
            <w:tcW w:w="1620" w:type="dxa"/>
            <w:shd w:val="clear" w:color="auto" w:fill="D9D9D9" w:themeFill="background1" w:themeFillShade="D9"/>
          </w:tcPr>
          <w:p w:rsidR="007B4D08" w:rsidRPr="00024CD1" w:rsidRDefault="007B4D08" w:rsidP="007B4D08">
            <w:pPr>
              <w:spacing w:line="288" w:lineRule="auto"/>
              <w:rPr>
                <w:b/>
                <w:sz w:val="25"/>
                <w:szCs w:val="25"/>
              </w:rPr>
            </w:pPr>
            <w:r w:rsidRPr="00024CD1">
              <w:rPr>
                <w:b/>
                <w:sz w:val="25"/>
                <w:szCs w:val="25"/>
              </w:rPr>
              <w:t>PHONE</w:t>
            </w:r>
          </w:p>
        </w:tc>
        <w:tc>
          <w:tcPr>
            <w:tcW w:w="3060" w:type="dxa"/>
            <w:shd w:val="clear" w:color="auto" w:fill="D9D9D9" w:themeFill="background1" w:themeFillShade="D9"/>
          </w:tcPr>
          <w:p w:rsidR="007B4D08" w:rsidRPr="00024CD1" w:rsidRDefault="007B4D08" w:rsidP="007B4D08">
            <w:pPr>
              <w:spacing w:line="288" w:lineRule="auto"/>
              <w:rPr>
                <w:b/>
                <w:sz w:val="25"/>
                <w:szCs w:val="25"/>
              </w:rPr>
            </w:pPr>
            <w:r w:rsidRPr="00024CD1">
              <w:rPr>
                <w:b/>
                <w:sz w:val="25"/>
                <w:szCs w:val="25"/>
              </w:rPr>
              <w:t>E-MAIL</w:t>
            </w:r>
          </w:p>
        </w:tc>
      </w:tr>
      <w:tr w:rsidR="007B4D08" w:rsidRPr="00024CD1" w:rsidTr="007B4D08">
        <w:trPr>
          <w:trHeight w:val="908"/>
        </w:trPr>
        <w:tc>
          <w:tcPr>
            <w:tcW w:w="1512" w:type="dxa"/>
          </w:tcPr>
          <w:p w:rsidR="007B4D08" w:rsidRPr="00077947" w:rsidRDefault="007B4D08" w:rsidP="007B4D08">
            <w:pPr>
              <w:spacing w:line="288" w:lineRule="auto"/>
              <w:rPr>
                <w:b/>
                <w:sz w:val="21"/>
                <w:szCs w:val="21"/>
              </w:rPr>
            </w:pPr>
            <w:r>
              <w:rPr>
                <w:b/>
                <w:sz w:val="21"/>
                <w:szCs w:val="21"/>
              </w:rPr>
              <w:t>CenturyLink</w:t>
            </w:r>
          </w:p>
        </w:tc>
        <w:tc>
          <w:tcPr>
            <w:tcW w:w="2988" w:type="dxa"/>
          </w:tcPr>
          <w:p w:rsidR="007B4D08" w:rsidRDefault="007B4D08" w:rsidP="007B4D08">
            <w:pPr>
              <w:rPr>
                <w:bCs/>
                <w:sz w:val="21"/>
                <w:szCs w:val="21"/>
              </w:rPr>
            </w:pPr>
            <w:r>
              <w:rPr>
                <w:bCs/>
                <w:sz w:val="21"/>
                <w:szCs w:val="21"/>
              </w:rPr>
              <w:t>Lisa A. Anderl</w:t>
            </w:r>
          </w:p>
          <w:p w:rsidR="007B4D08" w:rsidRDefault="007B4D08" w:rsidP="007B4D08">
            <w:pPr>
              <w:rPr>
                <w:bCs/>
                <w:sz w:val="21"/>
                <w:szCs w:val="21"/>
              </w:rPr>
            </w:pPr>
            <w:r>
              <w:rPr>
                <w:bCs/>
                <w:sz w:val="21"/>
                <w:szCs w:val="21"/>
              </w:rPr>
              <w:t>Senior Associate General Counsel</w:t>
            </w:r>
          </w:p>
          <w:p w:rsidR="007B4D08" w:rsidRDefault="007B4D08" w:rsidP="007B4D08">
            <w:pPr>
              <w:rPr>
                <w:bCs/>
                <w:sz w:val="21"/>
                <w:szCs w:val="21"/>
              </w:rPr>
            </w:pPr>
            <w:r>
              <w:rPr>
                <w:bCs/>
                <w:sz w:val="21"/>
                <w:szCs w:val="21"/>
              </w:rPr>
              <w:t>CenturyLink</w:t>
            </w:r>
          </w:p>
          <w:p w:rsidR="007B4D08" w:rsidRDefault="007B4D08" w:rsidP="007B4D08">
            <w:pPr>
              <w:rPr>
                <w:bCs/>
                <w:sz w:val="21"/>
                <w:szCs w:val="21"/>
              </w:rPr>
            </w:pPr>
            <w:r>
              <w:rPr>
                <w:bCs/>
                <w:sz w:val="21"/>
                <w:szCs w:val="21"/>
              </w:rPr>
              <w:t>1600 7</w:t>
            </w:r>
            <w:r w:rsidRPr="003032BD">
              <w:rPr>
                <w:bCs/>
                <w:sz w:val="21"/>
                <w:szCs w:val="21"/>
                <w:vertAlign w:val="superscript"/>
              </w:rPr>
              <w:t>th</w:t>
            </w:r>
            <w:r>
              <w:rPr>
                <w:bCs/>
                <w:sz w:val="21"/>
                <w:szCs w:val="21"/>
              </w:rPr>
              <w:t xml:space="preserve"> Ave., Suite 1506</w:t>
            </w:r>
          </w:p>
          <w:p w:rsidR="007B4D08" w:rsidRPr="00077947" w:rsidRDefault="007B4D08" w:rsidP="007B4D08">
            <w:pPr>
              <w:rPr>
                <w:bCs/>
                <w:sz w:val="21"/>
                <w:szCs w:val="21"/>
              </w:rPr>
            </w:pPr>
            <w:r>
              <w:rPr>
                <w:bCs/>
                <w:sz w:val="21"/>
                <w:szCs w:val="21"/>
              </w:rPr>
              <w:t>Seattle, WA  98191</w:t>
            </w:r>
          </w:p>
        </w:tc>
        <w:tc>
          <w:tcPr>
            <w:tcW w:w="1620" w:type="dxa"/>
          </w:tcPr>
          <w:p w:rsidR="007B4D08" w:rsidRPr="00077947" w:rsidRDefault="007B4D08" w:rsidP="007B4D08">
            <w:pPr>
              <w:spacing w:line="288" w:lineRule="auto"/>
              <w:rPr>
                <w:bCs/>
                <w:sz w:val="21"/>
                <w:szCs w:val="21"/>
              </w:rPr>
            </w:pPr>
            <w:r>
              <w:rPr>
                <w:bCs/>
                <w:sz w:val="21"/>
                <w:szCs w:val="21"/>
              </w:rPr>
              <w:t>(206) 398-2500</w:t>
            </w:r>
          </w:p>
        </w:tc>
        <w:tc>
          <w:tcPr>
            <w:tcW w:w="3060" w:type="dxa"/>
          </w:tcPr>
          <w:p w:rsidR="007B4D08" w:rsidRPr="00077947" w:rsidRDefault="007B4D08" w:rsidP="007B4D08">
            <w:pPr>
              <w:spacing w:line="288" w:lineRule="auto"/>
              <w:rPr>
                <w:b/>
                <w:sz w:val="21"/>
                <w:szCs w:val="21"/>
              </w:rPr>
            </w:pPr>
            <w:r>
              <w:rPr>
                <w:b/>
                <w:sz w:val="21"/>
                <w:szCs w:val="21"/>
              </w:rPr>
              <w:t>lisa.anderl@centurylink.com</w:t>
            </w:r>
          </w:p>
        </w:tc>
      </w:tr>
      <w:tr w:rsidR="007B4D08" w:rsidRPr="00024CD1" w:rsidTr="007B4D08">
        <w:tc>
          <w:tcPr>
            <w:tcW w:w="1512" w:type="dxa"/>
          </w:tcPr>
          <w:p w:rsidR="007B4D08" w:rsidRPr="00077947" w:rsidRDefault="007B4D08" w:rsidP="007B4D08">
            <w:pPr>
              <w:spacing w:line="288" w:lineRule="auto"/>
              <w:rPr>
                <w:b/>
                <w:sz w:val="21"/>
                <w:szCs w:val="21"/>
              </w:rPr>
            </w:pPr>
            <w:r w:rsidRPr="00077947">
              <w:rPr>
                <w:b/>
                <w:sz w:val="21"/>
                <w:szCs w:val="21"/>
              </w:rPr>
              <w:t>Commission Staff</w:t>
            </w:r>
          </w:p>
        </w:tc>
        <w:tc>
          <w:tcPr>
            <w:tcW w:w="2988" w:type="dxa"/>
          </w:tcPr>
          <w:p w:rsidR="007B4D08" w:rsidRDefault="007B4D08" w:rsidP="007B4D08">
            <w:pPr>
              <w:rPr>
                <w:sz w:val="21"/>
                <w:szCs w:val="21"/>
              </w:rPr>
            </w:pPr>
            <w:r>
              <w:rPr>
                <w:sz w:val="21"/>
                <w:szCs w:val="21"/>
              </w:rPr>
              <w:t>Jennifer Cameron-Rulkowski</w:t>
            </w:r>
          </w:p>
          <w:p w:rsidR="007B4D08" w:rsidRDefault="007B4D08" w:rsidP="007B4D08">
            <w:pPr>
              <w:rPr>
                <w:sz w:val="21"/>
                <w:szCs w:val="21"/>
              </w:rPr>
            </w:pPr>
            <w:r>
              <w:rPr>
                <w:sz w:val="21"/>
                <w:szCs w:val="21"/>
              </w:rPr>
              <w:t>Office of the Attorney General</w:t>
            </w:r>
          </w:p>
          <w:p w:rsidR="007B4D08" w:rsidRDefault="007B4D08" w:rsidP="007B4D08">
            <w:pPr>
              <w:rPr>
                <w:sz w:val="21"/>
                <w:szCs w:val="21"/>
              </w:rPr>
            </w:pPr>
            <w:r>
              <w:rPr>
                <w:sz w:val="21"/>
                <w:szCs w:val="21"/>
              </w:rPr>
              <w:t>Utilities and Transportation Division</w:t>
            </w:r>
          </w:p>
          <w:p w:rsidR="007B4D08" w:rsidRDefault="007B4D08" w:rsidP="007B4D08">
            <w:pPr>
              <w:rPr>
                <w:sz w:val="21"/>
                <w:szCs w:val="21"/>
              </w:rPr>
            </w:pPr>
            <w:r>
              <w:rPr>
                <w:sz w:val="21"/>
                <w:szCs w:val="21"/>
              </w:rPr>
              <w:t>1400 Evergreen Park Dr. S.W.</w:t>
            </w:r>
          </w:p>
          <w:p w:rsidR="007B4D08" w:rsidRDefault="007B4D08" w:rsidP="007B4D08">
            <w:pPr>
              <w:rPr>
                <w:sz w:val="21"/>
                <w:szCs w:val="21"/>
              </w:rPr>
            </w:pPr>
            <w:r>
              <w:rPr>
                <w:sz w:val="21"/>
                <w:szCs w:val="21"/>
              </w:rPr>
              <w:t>P.O. Box 40128</w:t>
            </w:r>
          </w:p>
          <w:p w:rsidR="007B4D08" w:rsidRPr="00077947" w:rsidRDefault="007B4D08" w:rsidP="007B4D08">
            <w:pPr>
              <w:rPr>
                <w:sz w:val="21"/>
                <w:szCs w:val="21"/>
              </w:rPr>
            </w:pPr>
            <w:r>
              <w:rPr>
                <w:sz w:val="21"/>
                <w:szCs w:val="21"/>
              </w:rPr>
              <w:t>Olympia, WA 98504-0128</w:t>
            </w:r>
          </w:p>
        </w:tc>
        <w:tc>
          <w:tcPr>
            <w:tcW w:w="1620" w:type="dxa"/>
          </w:tcPr>
          <w:p w:rsidR="007B4D08" w:rsidRPr="00077947" w:rsidRDefault="007B4D08" w:rsidP="007B4D08">
            <w:pPr>
              <w:spacing w:line="288" w:lineRule="auto"/>
              <w:rPr>
                <w:sz w:val="21"/>
                <w:szCs w:val="21"/>
              </w:rPr>
            </w:pPr>
            <w:r>
              <w:rPr>
                <w:sz w:val="21"/>
                <w:szCs w:val="21"/>
              </w:rPr>
              <w:t>(360) 664-1186</w:t>
            </w:r>
          </w:p>
        </w:tc>
        <w:tc>
          <w:tcPr>
            <w:tcW w:w="3060" w:type="dxa"/>
          </w:tcPr>
          <w:p w:rsidR="007B4D08" w:rsidRPr="00077947" w:rsidRDefault="007B4D08" w:rsidP="007B4D08">
            <w:pPr>
              <w:spacing w:line="288" w:lineRule="auto"/>
              <w:rPr>
                <w:b/>
                <w:sz w:val="21"/>
                <w:szCs w:val="21"/>
              </w:rPr>
            </w:pPr>
            <w:r>
              <w:rPr>
                <w:b/>
                <w:sz w:val="21"/>
                <w:szCs w:val="21"/>
              </w:rPr>
              <w:t>jcamero@utc.wa.gov</w:t>
            </w:r>
          </w:p>
        </w:tc>
      </w:tr>
      <w:tr w:rsidR="007B4D08" w:rsidRPr="00024CD1" w:rsidTr="007B4D08">
        <w:tc>
          <w:tcPr>
            <w:tcW w:w="1512" w:type="dxa"/>
          </w:tcPr>
          <w:p w:rsidR="007B4D08" w:rsidRPr="00077947" w:rsidRDefault="007B4D08" w:rsidP="007B4D08">
            <w:pPr>
              <w:spacing w:line="288" w:lineRule="auto"/>
              <w:rPr>
                <w:b/>
                <w:sz w:val="21"/>
                <w:szCs w:val="21"/>
              </w:rPr>
            </w:pPr>
            <w:r>
              <w:rPr>
                <w:b/>
                <w:sz w:val="21"/>
                <w:szCs w:val="21"/>
              </w:rPr>
              <w:t>Integra</w:t>
            </w:r>
          </w:p>
          <w:p w:rsidR="007B4D08" w:rsidRPr="00077947" w:rsidRDefault="007B4D08" w:rsidP="007B4D08">
            <w:pPr>
              <w:spacing w:line="288" w:lineRule="auto"/>
              <w:rPr>
                <w:b/>
                <w:sz w:val="21"/>
                <w:szCs w:val="21"/>
              </w:rPr>
            </w:pPr>
          </w:p>
          <w:p w:rsidR="007B4D08" w:rsidRPr="00077947" w:rsidRDefault="007B4D08" w:rsidP="007B4D08">
            <w:pPr>
              <w:spacing w:line="288" w:lineRule="auto"/>
              <w:rPr>
                <w:b/>
                <w:sz w:val="21"/>
                <w:szCs w:val="21"/>
              </w:rPr>
            </w:pPr>
          </w:p>
          <w:p w:rsidR="007B4D08" w:rsidRPr="00077947" w:rsidRDefault="007B4D08" w:rsidP="007B4D08">
            <w:pPr>
              <w:spacing w:line="288" w:lineRule="auto"/>
              <w:rPr>
                <w:b/>
                <w:sz w:val="21"/>
                <w:szCs w:val="21"/>
              </w:rPr>
            </w:pPr>
          </w:p>
        </w:tc>
        <w:tc>
          <w:tcPr>
            <w:tcW w:w="2988" w:type="dxa"/>
          </w:tcPr>
          <w:p w:rsidR="007B4D08" w:rsidRDefault="007B4D08" w:rsidP="007B4D08">
            <w:pPr>
              <w:rPr>
                <w:bCs/>
                <w:sz w:val="21"/>
                <w:szCs w:val="21"/>
              </w:rPr>
            </w:pPr>
            <w:r>
              <w:rPr>
                <w:bCs/>
                <w:sz w:val="21"/>
                <w:szCs w:val="21"/>
              </w:rPr>
              <w:t>Douglas Denney</w:t>
            </w:r>
          </w:p>
          <w:p w:rsidR="007B4D08" w:rsidRDefault="007B4D08" w:rsidP="007B4D08">
            <w:pPr>
              <w:rPr>
                <w:bCs/>
                <w:sz w:val="21"/>
                <w:szCs w:val="21"/>
              </w:rPr>
            </w:pPr>
            <w:r>
              <w:rPr>
                <w:bCs/>
                <w:sz w:val="21"/>
                <w:szCs w:val="21"/>
              </w:rPr>
              <w:t>Vice President, Costs &amp; Policy</w:t>
            </w:r>
          </w:p>
          <w:p w:rsidR="007B4D08" w:rsidRDefault="007B4D08" w:rsidP="007B4D08">
            <w:pPr>
              <w:rPr>
                <w:bCs/>
                <w:sz w:val="21"/>
                <w:szCs w:val="21"/>
              </w:rPr>
            </w:pPr>
            <w:r>
              <w:rPr>
                <w:bCs/>
                <w:sz w:val="21"/>
                <w:szCs w:val="21"/>
              </w:rPr>
              <w:t>Integra Telecom</w:t>
            </w:r>
          </w:p>
          <w:p w:rsidR="007B4D08" w:rsidRDefault="007B4D08" w:rsidP="007B4D08">
            <w:pPr>
              <w:rPr>
                <w:bCs/>
                <w:sz w:val="21"/>
                <w:szCs w:val="21"/>
              </w:rPr>
            </w:pPr>
            <w:r>
              <w:rPr>
                <w:bCs/>
                <w:sz w:val="21"/>
                <w:szCs w:val="21"/>
              </w:rPr>
              <w:t>1201 NE Lloyd Blvd., Suite 500</w:t>
            </w:r>
          </w:p>
          <w:p w:rsidR="007B4D08" w:rsidRPr="00077947" w:rsidRDefault="007B4D08" w:rsidP="007B4D08">
            <w:pPr>
              <w:rPr>
                <w:bCs/>
                <w:sz w:val="21"/>
                <w:szCs w:val="21"/>
              </w:rPr>
            </w:pPr>
            <w:r>
              <w:rPr>
                <w:bCs/>
                <w:sz w:val="21"/>
                <w:szCs w:val="21"/>
              </w:rPr>
              <w:t>Portland, OR  97232</w:t>
            </w:r>
          </w:p>
        </w:tc>
        <w:tc>
          <w:tcPr>
            <w:tcW w:w="1620" w:type="dxa"/>
          </w:tcPr>
          <w:p w:rsidR="007B4D08" w:rsidRPr="00077947" w:rsidRDefault="007B4D08" w:rsidP="007B4D08">
            <w:pPr>
              <w:spacing w:line="288" w:lineRule="auto"/>
              <w:rPr>
                <w:bCs/>
                <w:sz w:val="21"/>
                <w:szCs w:val="21"/>
              </w:rPr>
            </w:pPr>
            <w:r>
              <w:rPr>
                <w:bCs/>
                <w:sz w:val="21"/>
                <w:szCs w:val="21"/>
              </w:rPr>
              <w:t>(503) 453-8285</w:t>
            </w:r>
          </w:p>
        </w:tc>
        <w:tc>
          <w:tcPr>
            <w:tcW w:w="3060" w:type="dxa"/>
          </w:tcPr>
          <w:p w:rsidR="007B4D08" w:rsidRPr="00077947" w:rsidRDefault="007B4D08" w:rsidP="007B4D08">
            <w:pPr>
              <w:spacing w:line="288" w:lineRule="auto"/>
              <w:rPr>
                <w:b/>
                <w:bCs/>
                <w:color w:val="0000FF"/>
                <w:sz w:val="21"/>
                <w:szCs w:val="21"/>
                <w:u w:val="single"/>
                <w:lang w:val="fr-FR"/>
              </w:rPr>
            </w:pPr>
            <w:r>
              <w:rPr>
                <w:b/>
                <w:bCs/>
                <w:color w:val="0000FF"/>
                <w:sz w:val="21"/>
                <w:szCs w:val="21"/>
                <w:u w:val="single"/>
                <w:lang w:val="fr-FR"/>
              </w:rPr>
              <w:t>dkd</w:t>
            </w:r>
            <w:bookmarkStart w:id="0" w:name="_GoBack"/>
            <w:bookmarkEnd w:id="0"/>
            <w:r>
              <w:rPr>
                <w:b/>
                <w:bCs/>
                <w:color w:val="0000FF"/>
                <w:sz w:val="21"/>
                <w:szCs w:val="21"/>
                <w:u w:val="single"/>
                <w:lang w:val="fr-FR"/>
              </w:rPr>
              <w:t>enney@integratelecom.com</w:t>
            </w:r>
          </w:p>
        </w:tc>
      </w:tr>
    </w:tbl>
    <w:p w:rsidR="007B4D08" w:rsidRPr="007B4D08" w:rsidRDefault="007B4D08" w:rsidP="007B4D08">
      <w:pPr>
        <w:spacing w:after="60" w:line="288" w:lineRule="auto"/>
        <w:jc w:val="center"/>
        <w:rPr>
          <w:b/>
          <w:sz w:val="25"/>
          <w:szCs w:val="25"/>
        </w:rPr>
      </w:pPr>
      <w:r>
        <w:rPr>
          <w:b/>
          <w:sz w:val="25"/>
          <w:szCs w:val="25"/>
        </w:rPr>
        <w:t>DOCKET UT-132282</w:t>
      </w:r>
    </w:p>
    <w:p w:rsidR="007B4D08" w:rsidRPr="007B4D08" w:rsidRDefault="007B4D08" w:rsidP="007B4D08">
      <w:pPr>
        <w:spacing w:after="60" w:line="288" w:lineRule="auto"/>
        <w:jc w:val="center"/>
        <w:rPr>
          <w:b/>
          <w:sz w:val="25"/>
          <w:szCs w:val="25"/>
        </w:rPr>
      </w:pPr>
    </w:p>
    <w:p w:rsidR="004059E6" w:rsidRPr="00DA5DBB" w:rsidRDefault="004059E6" w:rsidP="007B4D08">
      <w:pPr>
        <w:spacing w:line="288" w:lineRule="auto"/>
        <w:rPr>
          <w:sz w:val="25"/>
          <w:szCs w:val="25"/>
        </w:rPr>
      </w:pPr>
    </w:p>
    <w:sectPr w:rsidR="004059E6" w:rsidRPr="00DA5DBB" w:rsidSect="00CC64FE">
      <w:headerReference w:type="default" r:id="rId15"/>
      <w:type w:val="continuous"/>
      <w:pgSz w:w="12240" w:h="15840"/>
      <w:pgMar w:top="1440" w:right="1440" w:bottom="1440" w:left="2160" w:header="1440" w:footer="720" w:gutter="0"/>
      <w:cols w:space="0" w:equalWidth="0">
        <w:col w:w="9000" w:space="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252" w:rsidRDefault="00E92252">
      <w:r>
        <w:separator/>
      </w:r>
    </w:p>
  </w:endnote>
  <w:endnote w:type="continuationSeparator" w:id="0">
    <w:p w:rsidR="00E92252" w:rsidRDefault="00E92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252" w:rsidRDefault="00E92252">
      <w:r>
        <w:separator/>
      </w:r>
    </w:p>
  </w:footnote>
  <w:footnote w:type="continuationSeparator" w:id="0">
    <w:p w:rsidR="00E92252" w:rsidRDefault="00E92252">
      <w:r>
        <w:continuationSeparator/>
      </w:r>
    </w:p>
  </w:footnote>
  <w:footnote w:id="1">
    <w:p w:rsidR="00B0607B" w:rsidRDefault="00B0607B" w:rsidP="002C137C">
      <w:pPr>
        <w:pStyle w:val="FootnoteText"/>
      </w:pPr>
      <w:r>
        <w:rPr>
          <w:rStyle w:val="FootnoteReference"/>
        </w:rPr>
        <w:footnoteRef/>
      </w:r>
      <w:r>
        <w:t xml:space="preserve"> In a formal proceeding</w:t>
      </w:r>
      <w:r w:rsidRPr="006D2993">
        <w:t xml:space="preserve">, such as this, the Commission’s regulatory staff participates like any other party, while the Commissioners make the decision.  To assure fairness, the Commissioners, the presiding administrative law judge, and the Commissioners’ policy and accounting advisors do not discuss the merits of this proceeding with the regulatory staff, or any other party, without giving notice and opportunity for all parties to participate.  </w:t>
      </w:r>
      <w:r w:rsidRPr="006D2993">
        <w:rPr>
          <w:i/>
        </w:rPr>
        <w:t>See</w:t>
      </w:r>
      <w:r w:rsidRPr="006D2993">
        <w:t xml:space="preserve"> RCW 34.05.455</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07B" w:rsidRDefault="00B0607B">
    <w:pPr>
      <w:pStyle w:val="Header"/>
    </w:pPr>
    <w:r>
      <w:t>DOCKET NO</w:t>
    </w:r>
    <w:r>
      <w:rPr>
        <w:b/>
        <w:bCs/>
      </w:rPr>
      <w:t xml:space="preserve">. </w:t>
    </w:r>
    <w:r>
      <w:t>UW-</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07B" w:rsidRPr="004F3DA4" w:rsidRDefault="004F3DA4" w:rsidP="004F3DA4">
    <w:pPr>
      <w:pStyle w:val="Header"/>
      <w:jc w:val="right"/>
      <w:rPr>
        <w:b/>
        <w:sz w:val="20"/>
        <w:szCs w:val="20"/>
      </w:rPr>
    </w:pPr>
    <w:r>
      <w:rPr>
        <w:b/>
        <w:sz w:val="20"/>
        <w:szCs w:val="20"/>
      </w:rPr>
      <w:t>[Service date January 23, 2014]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07B" w:rsidRPr="00F523EC" w:rsidRDefault="00B0607B">
    <w:pPr>
      <w:pStyle w:val="Header"/>
      <w:rPr>
        <w:rStyle w:val="PageNumber"/>
        <w:b/>
        <w:bCs/>
        <w:sz w:val="20"/>
      </w:rPr>
    </w:pPr>
    <w:r>
      <w:rPr>
        <w:b/>
        <w:bCs/>
        <w:sz w:val="20"/>
      </w:rPr>
      <w:t>DOCKET UT-132282</w:t>
    </w:r>
    <w:r w:rsidRPr="00F523EC">
      <w:rPr>
        <w:b/>
        <w:bCs/>
        <w:sz w:val="20"/>
      </w:rPr>
      <w:tab/>
    </w:r>
    <w:r w:rsidRPr="00F523EC">
      <w:rPr>
        <w:b/>
        <w:bCs/>
        <w:sz w:val="20"/>
      </w:rPr>
      <w:tab/>
      <w:t xml:space="preserve">PAGE </w:t>
    </w:r>
    <w:r w:rsidRPr="00F523EC">
      <w:rPr>
        <w:rStyle w:val="PageNumber"/>
        <w:b/>
        <w:bCs/>
        <w:sz w:val="20"/>
      </w:rPr>
      <w:fldChar w:fldCharType="begin"/>
    </w:r>
    <w:r w:rsidRPr="00F523EC">
      <w:rPr>
        <w:rStyle w:val="PageNumber"/>
        <w:b/>
        <w:bCs/>
        <w:sz w:val="20"/>
      </w:rPr>
      <w:instrText xml:space="preserve"> PAGE </w:instrText>
    </w:r>
    <w:r w:rsidRPr="00F523EC">
      <w:rPr>
        <w:rStyle w:val="PageNumber"/>
        <w:b/>
        <w:bCs/>
        <w:sz w:val="20"/>
      </w:rPr>
      <w:fldChar w:fldCharType="separate"/>
    </w:r>
    <w:r w:rsidR="00D97EA3">
      <w:rPr>
        <w:rStyle w:val="PageNumber"/>
        <w:b/>
        <w:bCs/>
        <w:noProof/>
        <w:sz w:val="20"/>
      </w:rPr>
      <w:t>4</w:t>
    </w:r>
    <w:r w:rsidRPr="00F523EC">
      <w:rPr>
        <w:rStyle w:val="PageNumber"/>
        <w:b/>
        <w:bCs/>
        <w:sz w:val="20"/>
      </w:rPr>
      <w:fldChar w:fldCharType="end"/>
    </w:r>
  </w:p>
  <w:p w:rsidR="00B0607B" w:rsidRPr="00F523EC" w:rsidRDefault="00B0607B">
    <w:pPr>
      <w:pStyle w:val="Header"/>
      <w:rPr>
        <w:rStyle w:val="PageNumber"/>
        <w:b/>
        <w:bCs/>
        <w:sz w:val="20"/>
      </w:rPr>
    </w:pPr>
    <w:r w:rsidRPr="00F523EC">
      <w:rPr>
        <w:rStyle w:val="PageNumber"/>
        <w:b/>
        <w:bCs/>
        <w:sz w:val="20"/>
      </w:rPr>
      <w:t>ORDER 0</w:t>
    </w:r>
    <w:r>
      <w:rPr>
        <w:rStyle w:val="PageNumber"/>
        <w:b/>
        <w:bCs/>
        <w:sz w:val="20"/>
      </w:rPr>
      <w:t>2</w:t>
    </w:r>
  </w:p>
  <w:p w:rsidR="00B0607B" w:rsidRPr="00F523EC" w:rsidRDefault="00B0607B" w:rsidP="007B4D08">
    <w:pPr>
      <w:pStyle w:val="Header"/>
      <w:ind w:left="-720"/>
      <w:rPr>
        <w:b/>
        <w:bCs/>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1C8E2B15"/>
    <w:multiLevelType w:val="hybridMultilevel"/>
    <w:tmpl w:val="6B2E5F6E"/>
    <w:lvl w:ilvl="0" w:tplc="0E2E59A4">
      <w:start w:val="1"/>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1171526"/>
    <w:multiLevelType w:val="hybridMultilevel"/>
    <w:tmpl w:val="276CB9F2"/>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7E063A0"/>
    <w:multiLevelType w:val="hybridMultilevel"/>
    <w:tmpl w:val="9B72CAE0"/>
    <w:lvl w:ilvl="0" w:tplc="A51478C6">
      <w:start w:val="1"/>
      <w:numFmt w:val="decimal"/>
      <w:lvlText w:val="%1"/>
      <w:lvlJc w:val="left"/>
      <w:pPr>
        <w:tabs>
          <w:tab w:val="num" w:pos="0"/>
        </w:tabs>
        <w:ind w:left="0" w:hanging="720"/>
      </w:pPr>
      <w:rPr>
        <w:rFonts w:ascii="Times New Roman" w:hAnsi="Times New Roman"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67E0338"/>
    <w:multiLevelType w:val="hybridMultilevel"/>
    <w:tmpl w:val="34AE47BE"/>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1280986"/>
    <w:multiLevelType w:val="hybridMultilevel"/>
    <w:tmpl w:val="88747476"/>
    <w:lvl w:ilvl="0" w:tplc="8E1080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2AA32DC"/>
    <w:multiLevelType w:val="hybridMultilevel"/>
    <w:tmpl w:val="08B429A0"/>
    <w:lvl w:ilvl="0" w:tplc="B05076C0">
      <w:start w:val="9"/>
      <w:numFmt w:val="upperLetter"/>
      <w:lvlText w:val="%1."/>
      <w:lvlJc w:val="left"/>
      <w:pPr>
        <w:tabs>
          <w:tab w:val="num" w:pos="720"/>
        </w:tabs>
        <w:ind w:left="720" w:hanging="360"/>
      </w:pPr>
      <w:rPr>
        <w:rFonts w:hint="default"/>
      </w:rPr>
    </w:lvl>
    <w:lvl w:ilvl="1" w:tplc="22124DCE">
      <w:start w:val="1"/>
      <w:numFmt w:val="upperLetter"/>
      <w:lvlText w:val="%2."/>
      <w:lvlJc w:val="left"/>
      <w:pPr>
        <w:tabs>
          <w:tab w:val="num" w:pos="450"/>
        </w:tabs>
        <w:ind w:left="450" w:hanging="360"/>
      </w:pPr>
      <w:rPr>
        <w:rFonts w:ascii="Times New Roman" w:eastAsia="Times New Roman" w:hAnsi="Times New Roman" w:cs="Times New Roman"/>
      </w:rPr>
    </w:lvl>
    <w:lvl w:ilvl="2" w:tplc="39640320">
      <w:start w:val="1"/>
      <w:numFmt w:val="decimal"/>
      <w:lvlText w:val="%3."/>
      <w:lvlJc w:val="right"/>
      <w:pPr>
        <w:tabs>
          <w:tab w:val="num" w:pos="180"/>
        </w:tabs>
        <w:ind w:left="180" w:hanging="180"/>
      </w:pPr>
      <w:rPr>
        <w:rFonts w:ascii="Times New Roman" w:eastAsia="Times New Roman" w:hAnsi="Times New Roman" w:cs="Times New Roman"/>
        <w:b/>
      </w:rPr>
    </w:lvl>
    <w:lvl w:ilvl="3" w:tplc="DF181820">
      <w:start w:val="1"/>
      <w:numFmt w:val="decimal"/>
      <w:lvlText w:val="%4."/>
      <w:lvlJc w:val="left"/>
      <w:pPr>
        <w:tabs>
          <w:tab w:val="num" w:pos="2880"/>
        </w:tabs>
        <w:ind w:left="2880" w:hanging="360"/>
      </w:pPr>
    </w:lvl>
    <w:lvl w:ilvl="4" w:tplc="04090019">
      <w:start w:val="2"/>
      <w:numFmt w:val="lowerRoman"/>
      <w:lvlText w:val="%5."/>
      <w:lvlJc w:val="left"/>
      <w:pPr>
        <w:tabs>
          <w:tab w:val="num" w:pos="3960"/>
        </w:tabs>
        <w:ind w:left="3960" w:hanging="720"/>
      </w:pPr>
      <w:rPr>
        <w:rFonts w:hint="default"/>
        <w:sz w:val="24"/>
      </w:rPr>
    </w:lvl>
    <w:lvl w:ilvl="5" w:tplc="0409000F">
      <w:start w:val="1"/>
      <w:numFmt w:val="decimal"/>
      <w:lvlText w:val="%6."/>
      <w:lvlJc w:val="left"/>
      <w:pPr>
        <w:tabs>
          <w:tab w:val="num" w:pos="4500"/>
        </w:tabs>
        <w:ind w:left="4500" w:hanging="360"/>
      </w:pPr>
      <w:rPr>
        <w:rFonts w:hint="default"/>
        <w:i w:val="0"/>
      </w:rPr>
    </w:lvl>
    <w:lvl w:ilvl="6" w:tplc="9A8A3250">
      <w:start w:val="2"/>
      <w:numFmt w:val="lowerLetter"/>
      <w:lvlText w:val="%7."/>
      <w:lvlJc w:val="left"/>
      <w:pPr>
        <w:ind w:left="5040" w:hanging="360"/>
      </w:pPr>
      <w:rPr>
        <w:rFonts w:hint="default"/>
      </w:rPr>
    </w:lvl>
    <w:lvl w:ilvl="7" w:tplc="59E6484E">
      <w:start w:val="7"/>
      <w:numFmt w:val="bullet"/>
      <w:lvlText w:val=""/>
      <w:lvlJc w:val="left"/>
      <w:pPr>
        <w:ind w:left="5760" w:hanging="360"/>
      </w:pPr>
      <w:rPr>
        <w:rFonts w:ascii="Symbol" w:eastAsia="Times New Roman" w:hAnsi="Symbol" w:cs="Times New Roman" w:hint="default"/>
      </w:r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4"/>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oNotTrackMoves/>
  <w:defaultTabStop w:val="720"/>
  <w:drawingGridHorizontalSpacing w:val="55"/>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A1B"/>
    <w:rsid w:val="00024BC5"/>
    <w:rsid w:val="00024CD1"/>
    <w:rsid w:val="000477A6"/>
    <w:rsid w:val="00061E67"/>
    <w:rsid w:val="00077947"/>
    <w:rsid w:val="00083556"/>
    <w:rsid w:val="000A30D2"/>
    <w:rsid w:val="000A5CAE"/>
    <w:rsid w:val="000B4295"/>
    <w:rsid w:val="000C200E"/>
    <w:rsid w:val="000C468E"/>
    <w:rsid w:val="000D5F40"/>
    <w:rsid w:val="000D6A1B"/>
    <w:rsid w:val="000E1020"/>
    <w:rsid w:val="000E14C0"/>
    <w:rsid w:val="000E4BC9"/>
    <w:rsid w:val="000E75B5"/>
    <w:rsid w:val="000F1D22"/>
    <w:rsid w:val="000F45EC"/>
    <w:rsid w:val="000F6A61"/>
    <w:rsid w:val="0011065E"/>
    <w:rsid w:val="0012336B"/>
    <w:rsid w:val="00150B1F"/>
    <w:rsid w:val="00161DE2"/>
    <w:rsid w:val="0017428F"/>
    <w:rsid w:val="00177BFE"/>
    <w:rsid w:val="00181093"/>
    <w:rsid w:val="001851E1"/>
    <w:rsid w:val="00185245"/>
    <w:rsid w:val="001C37C8"/>
    <w:rsid w:val="001C5C92"/>
    <w:rsid w:val="001C7B06"/>
    <w:rsid w:val="001D5D9E"/>
    <w:rsid w:val="001E456A"/>
    <w:rsid w:val="00200E0C"/>
    <w:rsid w:val="00242283"/>
    <w:rsid w:val="002427AA"/>
    <w:rsid w:val="002458F0"/>
    <w:rsid w:val="00245E9C"/>
    <w:rsid w:val="00257F90"/>
    <w:rsid w:val="0026515A"/>
    <w:rsid w:val="00272DB6"/>
    <w:rsid w:val="00286C6E"/>
    <w:rsid w:val="00293CC3"/>
    <w:rsid w:val="002B02ED"/>
    <w:rsid w:val="002B7624"/>
    <w:rsid w:val="002C137C"/>
    <w:rsid w:val="002D6D88"/>
    <w:rsid w:val="003032BD"/>
    <w:rsid w:val="0031548C"/>
    <w:rsid w:val="00321F71"/>
    <w:rsid w:val="0032503C"/>
    <w:rsid w:val="00343481"/>
    <w:rsid w:val="00373A0E"/>
    <w:rsid w:val="00396A24"/>
    <w:rsid w:val="003A7E28"/>
    <w:rsid w:val="003B4DD0"/>
    <w:rsid w:val="003C3D41"/>
    <w:rsid w:val="003D0A22"/>
    <w:rsid w:val="003E7566"/>
    <w:rsid w:val="004059E6"/>
    <w:rsid w:val="00407582"/>
    <w:rsid w:val="00410180"/>
    <w:rsid w:val="00416DB9"/>
    <w:rsid w:val="00427395"/>
    <w:rsid w:val="00434B19"/>
    <w:rsid w:val="004661ED"/>
    <w:rsid w:val="00474753"/>
    <w:rsid w:val="004806A5"/>
    <w:rsid w:val="00483D29"/>
    <w:rsid w:val="004B7A43"/>
    <w:rsid w:val="004C18CB"/>
    <w:rsid w:val="004F0ABB"/>
    <w:rsid w:val="004F3DA4"/>
    <w:rsid w:val="00504B40"/>
    <w:rsid w:val="0052470A"/>
    <w:rsid w:val="00524B07"/>
    <w:rsid w:val="00533D33"/>
    <w:rsid w:val="00535C63"/>
    <w:rsid w:val="005711E5"/>
    <w:rsid w:val="00576CE9"/>
    <w:rsid w:val="00577714"/>
    <w:rsid w:val="00585DDF"/>
    <w:rsid w:val="005872A3"/>
    <w:rsid w:val="00590813"/>
    <w:rsid w:val="005A3025"/>
    <w:rsid w:val="005D7742"/>
    <w:rsid w:val="005E6F51"/>
    <w:rsid w:val="005F1D52"/>
    <w:rsid w:val="005F41C0"/>
    <w:rsid w:val="006034BA"/>
    <w:rsid w:val="00614AA9"/>
    <w:rsid w:val="00624601"/>
    <w:rsid w:val="00637A82"/>
    <w:rsid w:val="006406DC"/>
    <w:rsid w:val="0065632A"/>
    <w:rsid w:val="0067482D"/>
    <w:rsid w:val="006858F9"/>
    <w:rsid w:val="00687C38"/>
    <w:rsid w:val="006B008C"/>
    <w:rsid w:val="006B3251"/>
    <w:rsid w:val="006C3612"/>
    <w:rsid w:val="006D2993"/>
    <w:rsid w:val="006E0032"/>
    <w:rsid w:val="006E11B3"/>
    <w:rsid w:val="00707479"/>
    <w:rsid w:val="0071495E"/>
    <w:rsid w:val="00723E4D"/>
    <w:rsid w:val="00773130"/>
    <w:rsid w:val="007772CB"/>
    <w:rsid w:val="00781A64"/>
    <w:rsid w:val="00790181"/>
    <w:rsid w:val="00795186"/>
    <w:rsid w:val="007A140E"/>
    <w:rsid w:val="007B4D08"/>
    <w:rsid w:val="007B6EBB"/>
    <w:rsid w:val="007C50E4"/>
    <w:rsid w:val="007C6396"/>
    <w:rsid w:val="007E1D89"/>
    <w:rsid w:val="00815A2E"/>
    <w:rsid w:val="00816F71"/>
    <w:rsid w:val="00817AF5"/>
    <w:rsid w:val="008265F4"/>
    <w:rsid w:val="00835849"/>
    <w:rsid w:val="00837849"/>
    <w:rsid w:val="00837B26"/>
    <w:rsid w:val="00841C4C"/>
    <w:rsid w:val="0086626A"/>
    <w:rsid w:val="00871AF0"/>
    <w:rsid w:val="00871C36"/>
    <w:rsid w:val="00872A89"/>
    <w:rsid w:val="00881A92"/>
    <w:rsid w:val="0088564D"/>
    <w:rsid w:val="00892A0D"/>
    <w:rsid w:val="008A195B"/>
    <w:rsid w:val="008A68AC"/>
    <w:rsid w:val="008B0AC8"/>
    <w:rsid w:val="008B626F"/>
    <w:rsid w:val="008C0C7D"/>
    <w:rsid w:val="008C3602"/>
    <w:rsid w:val="008D1805"/>
    <w:rsid w:val="008D2E86"/>
    <w:rsid w:val="008F1FCE"/>
    <w:rsid w:val="008F6E81"/>
    <w:rsid w:val="00900204"/>
    <w:rsid w:val="00922D7C"/>
    <w:rsid w:val="00923999"/>
    <w:rsid w:val="0092713B"/>
    <w:rsid w:val="00965F84"/>
    <w:rsid w:val="00972457"/>
    <w:rsid w:val="00973B3C"/>
    <w:rsid w:val="0097454A"/>
    <w:rsid w:val="009766F2"/>
    <w:rsid w:val="009A04BC"/>
    <w:rsid w:val="009B0D06"/>
    <w:rsid w:val="009D1BF4"/>
    <w:rsid w:val="009E53D2"/>
    <w:rsid w:val="009F53BE"/>
    <w:rsid w:val="00A05A5E"/>
    <w:rsid w:val="00A11DD7"/>
    <w:rsid w:val="00A12760"/>
    <w:rsid w:val="00A1514B"/>
    <w:rsid w:val="00A3253B"/>
    <w:rsid w:val="00A5248D"/>
    <w:rsid w:val="00A64AED"/>
    <w:rsid w:val="00A7450F"/>
    <w:rsid w:val="00A81DE4"/>
    <w:rsid w:val="00A84830"/>
    <w:rsid w:val="00A8530D"/>
    <w:rsid w:val="00A912B3"/>
    <w:rsid w:val="00AA3CB6"/>
    <w:rsid w:val="00AD5050"/>
    <w:rsid w:val="00AD665C"/>
    <w:rsid w:val="00AE1F2C"/>
    <w:rsid w:val="00AE2198"/>
    <w:rsid w:val="00AE5D30"/>
    <w:rsid w:val="00AF6C67"/>
    <w:rsid w:val="00B0607B"/>
    <w:rsid w:val="00B0790B"/>
    <w:rsid w:val="00B116CA"/>
    <w:rsid w:val="00B132CB"/>
    <w:rsid w:val="00B154B4"/>
    <w:rsid w:val="00B42B7C"/>
    <w:rsid w:val="00B4570A"/>
    <w:rsid w:val="00B61BF7"/>
    <w:rsid w:val="00B8506F"/>
    <w:rsid w:val="00B91D7E"/>
    <w:rsid w:val="00B93370"/>
    <w:rsid w:val="00BA3DC9"/>
    <w:rsid w:val="00BA4E78"/>
    <w:rsid w:val="00BB0E3C"/>
    <w:rsid w:val="00BB23F4"/>
    <w:rsid w:val="00BC1B21"/>
    <w:rsid w:val="00BF481F"/>
    <w:rsid w:val="00BF5430"/>
    <w:rsid w:val="00BF6AAC"/>
    <w:rsid w:val="00C2536E"/>
    <w:rsid w:val="00C2749F"/>
    <w:rsid w:val="00C27E41"/>
    <w:rsid w:val="00C35593"/>
    <w:rsid w:val="00C50397"/>
    <w:rsid w:val="00C508F7"/>
    <w:rsid w:val="00C6151D"/>
    <w:rsid w:val="00C81123"/>
    <w:rsid w:val="00CB1D76"/>
    <w:rsid w:val="00CC64FE"/>
    <w:rsid w:val="00CD3241"/>
    <w:rsid w:val="00CE551A"/>
    <w:rsid w:val="00D0002C"/>
    <w:rsid w:val="00D04018"/>
    <w:rsid w:val="00D47014"/>
    <w:rsid w:val="00D53941"/>
    <w:rsid w:val="00D55305"/>
    <w:rsid w:val="00D80B74"/>
    <w:rsid w:val="00D97EA3"/>
    <w:rsid w:val="00DA664A"/>
    <w:rsid w:val="00DC31FE"/>
    <w:rsid w:val="00DC39A1"/>
    <w:rsid w:val="00DC3D40"/>
    <w:rsid w:val="00DC5382"/>
    <w:rsid w:val="00DD0DE6"/>
    <w:rsid w:val="00DE068F"/>
    <w:rsid w:val="00DE545F"/>
    <w:rsid w:val="00DF4015"/>
    <w:rsid w:val="00DF7FC4"/>
    <w:rsid w:val="00E3735C"/>
    <w:rsid w:val="00E37F95"/>
    <w:rsid w:val="00E50DC4"/>
    <w:rsid w:val="00E61EF1"/>
    <w:rsid w:val="00E6570A"/>
    <w:rsid w:val="00E70B26"/>
    <w:rsid w:val="00E720B0"/>
    <w:rsid w:val="00E77C95"/>
    <w:rsid w:val="00E77D3F"/>
    <w:rsid w:val="00E92252"/>
    <w:rsid w:val="00E93208"/>
    <w:rsid w:val="00EB0FEA"/>
    <w:rsid w:val="00EC3B3D"/>
    <w:rsid w:val="00EE31EA"/>
    <w:rsid w:val="00EE5CE7"/>
    <w:rsid w:val="00EF45DF"/>
    <w:rsid w:val="00F01266"/>
    <w:rsid w:val="00F05768"/>
    <w:rsid w:val="00F13B83"/>
    <w:rsid w:val="00F22970"/>
    <w:rsid w:val="00F24673"/>
    <w:rsid w:val="00F326EC"/>
    <w:rsid w:val="00F342D5"/>
    <w:rsid w:val="00F365CE"/>
    <w:rsid w:val="00F523EC"/>
    <w:rsid w:val="00F578A6"/>
    <w:rsid w:val="00F7277C"/>
    <w:rsid w:val="00F74FE3"/>
    <w:rsid w:val="00F7532D"/>
    <w:rsid w:val="00F97419"/>
    <w:rsid w:val="00FC4B3F"/>
    <w:rsid w:val="00FC630D"/>
    <w:rsid w:val="00FD007B"/>
    <w:rsid w:val="00FD16D5"/>
    <w:rsid w:val="00FF5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jc w:val="center"/>
      <w:outlineLvl w:val="0"/>
    </w:pPr>
    <w:rPr>
      <w:rFonts w:ascii="Arial" w:hAnsi="Arial" w:cs="Arial"/>
    </w:rPr>
  </w:style>
  <w:style w:type="paragraph" w:styleId="Heading2">
    <w:name w:val="heading 2"/>
    <w:basedOn w:val="Normal"/>
    <w:next w:val="Normal"/>
    <w:qFormat/>
    <w:pPr>
      <w:keepNext/>
      <w:jc w:val="center"/>
      <w:outlineLvl w:val="1"/>
    </w:pPr>
    <w:rPr>
      <w:rFonts w:ascii="Palatino Linotype" w:hAnsi="Palatino Linotype"/>
      <w:b/>
      <w:bCs/>
    </w:rPr>
  </w:style>
  <w:style w:type="paragraph" w:styleId="Heading3">
    <w:name w:val="heading 3"/>
    <w:basedOn w:val="Normal"/>
    <w:next w:val="Normal"/>
    <w:link w:val="Heading3Char"/>
    <w:uiPriority w:val="9"/>
    <w:semiHidden/>
    <w:unhideWhenUsed/>
    <w:qFormat/>
    <w:rsid w:val="00024C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5040" w:firstLine="8640"/>
    </w:pPr>
    <w:rPr>
      <w:rFonts w:ascii="Palatino Linotype" w:hAnsi="Palatino Linotype" w:cs="Arial"/>
    </w:rPr>
  </w:style>
  <w:style w:type="paragraph" w:styleId="BodyTextIndent2">
    <w:name w:val="Body Text Indent 2"/>
    <w:basedOn w:val="Normal"/>
    <w:semiHidden/>
    <w:pPr>
      <w:ind w:left="385"/>
    </w:pPr>
    <w:rPr>
      <w:rFonts w:ascii="Palatino Linotype" w:hAnsi="Palatino Linotype"/>
    </w:rPr>
  </w:style>
  <w:style w:type="character" w:styleId="CommentReference">
    <w:name w:val="annotation reference"/>
    <w:uiPriority w:val="99"/>
    <w:semiHidden/>
    <w:unhideWhenUsed/>
    <w:rsid w:val="00A1514B"/>
    <w:rPr>
      <w:sz w:val="16"/>
      <w:szCs w:val="16"/>
    </w:rPr>
  </w:style>
  <w:style w:type="paragraph" w:styleId="CommentText">
    <w:name w:val="annotation text"/>
    <w:basedOn w:val="Normal"/>
    <w:link w:val="CommentTextChar"/>
    <w:uiPriority w:val="99"/>
    <w:semiHidden/>
    <w:unhideWhenUsed/>
    <w:rsid w:val="00A1514B"/>
    <w:rPr>
      <w:sz w:val="20"/>
      <w:szCs w:val="20"/>
    </w:rPr>
  </w:style>
  <w:style w:type="character" w:customStyle="1" w:styleId="CommentTextChar">
    <w:name w:val="Comment Text Char"/>
    <w:basedOn w:val="DefaultParagraphFont"/>
    <w:link w:val="CommentText"/>
    <w:uiPriority w:val="99"/>
    <w:semiHidden/>
    <w:rsid w:val="00A1514B"/>
  </w:style>
  <w:style w:type="paragraph" w:styleId="CommentSubject">
    <w:name w:val="annotation subject"/>
    <w:basedOn w:val="CommentText"/>
    <w:next w:val="CommentText"/>
    <w:link w:val="CommentSubjectChar"/>
    <w:uiPriority w:val="99"/>
    <w:semiHidden/>
    <w:unhideWhenUsed/>
    <w:rsid w:val="00A1514B"/>
    <w:rPr>
      <w:b/>
      <w:bCs/>
    </w:rPr>
  </w:style>
  <w:style w:type="character" w:customStyle="1" w:styleId="CommentSubjectChar">
    <w:name w:val="Comment Subject Char"/>
    <w:link w:val="CommentSubject"/>
    <w:uiPriority w:val="99"/>
    <w:semiHidden/>
    <w:rsid w:val="00A1514B"/>
    <w:rPr>
      <w:b/>
      <w:bCs/>
    </w:rPr>
  </w:style>
  <w:style w:type="paragraph" w:styleId="BalloonText">
    <w:name w:val="Balloon Text"/>
    <w:basedOn w:val="Normal"/>
    <w:link w:val="BalloonTextChar"/>
    <w:uiPriority w:val="99"/>
    <w:semiHidden/>
    <w:unhideWhenUsed/>
    <w:rsid w:val="00A1514B"/>
    <w:rPr>
      <w:rFonts w:ascii="Tahoma" w:hAnsi="Tahoma" w:cs="Tahoma"/>
      <w:sz w:val="16"/>
      <w:szCs w:val="16"/>
    </w:rPr>
  </w:style>
  <w:style w:type="character" w:customStyle="1" w:styleId="BalloonTextChar">
    <w:name w:val="Balloon Text Char"/>
    <w:link w:val="BalloonText"/>
    <w:uiPriority w:val="99"/>
    <w:semiHidden/>
    <w:rsid w:val="00A1514B"/>
    <w:rPr>
      <w:rFonts w:ascii="Tahoma" w:hAnsi="Tahoma" w:cs="Tahoma"/>
      <w:sz w:val="16"/>
      <w:szCs w:val="16"/>
    </w:rPr>
  </w:style>
  <w:style w:type="table" w:styleId="TableGrid">
    <w:name w:val="Table Grid"/>
    <w:basedOn w:val="TableNormal"/>
    <w:uiPriority w:val="59"/>
    <w:rsid w:val="00892A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C5C92"/>
    <w:pPr>
      <w:ind w:left="720"/>
      <w:contextualSpacing/>
    </w:pPr>
  </w:style>
  <w:style w:type="character" w:styleId="Hyperlink">
    <w:name w:val="Hyperlink"/>
    <w:uiPriority w:val="99"/>
    <w:rsid w:val="004059E6"/>
    <w:rPr>
      <w:color w:val="0000FF"/>
      <w:u w:val="single"/>
    </w:rPr>
  </w:style>
  <w:style w:type="character" w:customStyle="1" w:styleId="HeaderChar">
    <w:name w:val="Header Char"/>
    <w:link w:val="Header"/>
    <w:uiPriority w:val="99"/>
    <w:rsid w:val="004059E6"/>
    <w:rPr>
      <w:sz w:val="24"/>
      <w:szCs w:val="24"/>
    </w:rPr>
  </w:style>
  <w:style w:type="character" w:customStyle="1" w:styleId="Heading3Char">
    <w:name w:val="Heading 3 Char"/>
    <w:basedOn w:val="DefaultParagraphFont"/>
    <w:link w:val="Heading3"/>
    <w:uiPriority w:val="9"/>
    <w:semiHidden/>
    <w:rsid w:val="00024CD1"/>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unhideWhenUsed/>
    <w:rsid w:val="002C137C"/>
    <w:rPr>
      <w:sz w:val="22"/>
      <w:szCs w:val="20"/>
    </w:rPr>
  </w:style>
  <w:style w:type="character" w:customStyle="1" w:styleId="FootnoteTextChar">
    <w:name w:val="Footnote Text Char"/>
    <w:basedOn w:val="DefaultParagraphFont"/>
    <w:link w:val="FootnoteText"/>
    <w:uiPriority w:val="99"/>
    <w:rsid w:val="002C137C"/>
    <w:rPr>
      <w:sz w:val="22"/>
    </w:rPr>
  </w:style>
  <w:style w:type="character" w:styleId="FootnoteReference">
    <w:name w:val="footnote reference"/>
    <w:basedOn w:val="DefaultParagraphFont"/>
    <w:uiPriority w:val="99"/>
    <w:semiHidden/>
    <w:unhideWhenUsed/>
    <w:rsid w:val="006D2993"/>
    <w:rPr>
      <w:vertAlign w:val="superscript"/>
    </w:rPr>
  </w:style>
  <w:style w:type="paragraph" w:styleId="Revision">
    <w:name w:val="Revision"/>
    <w:hidden/>
    <w:uiPriority w:val="99"/>
    <w:semiHidden/>
    <w:rsid w:val="000E75B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jc w:val="center"/>
      <w:outlineLvl w:val="0"/>
    </w:pPr>
    <w:rPr>
      <w:rFonts w:ascii="Arial" w:hAnsi="Arial" w:cs="Arial"/>
    </w:rPr>
  </w:style>
  <w:style w:type="paragraph" w:styleId="Heading2">
    <w:name w:val="heading 2"/>
    <w:basedOn w:val="Normal"/>
    <w:next w:val="Normal"/>
    <w:qFormat/>
    <w:pPr>
      <w:keepNext/>
      <w:jc w:val="center"/>
      <w:outlineLvl w:val="1"/>
    </w:pPr>
    <w:rPr>
      <w:rFonts w:ascii="Palatino Linotype" w:hAnsi="Palatino Linotype"/>
      <w:b/>
      <w:bCs/>
    </w:rPr>
  </w:style>
  <w:style w:type="paragraph" w:styleId="Heading3">
    <w:name w:val="heading 3"/>
    <w:basedOn w:val="Normal"/>
    <w:next w:val="Normal"/>
    <w:link w:val="Heading3Char"/>
    <w:uiPriority w:val="9"/>
    <w:semiHidden/>
    <w:unhideWhenUsed/>
    <w:qFormat/>
    <w:rsid w:val="00024C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5040" w:firstLine="8640"/>
    </w:pPr>
    <w:rPr>
      <w:rFonts w:ascii="Palatino Linotype" w:hAnsi="Palatino Linotype" w:cs="Arial"/>
    </w:rPr>
  </w:style>
  <w:style w:type="paragraph" w:styleId="BodyTextIndent2">
    <w:name w:val="Body Text Indent 2"/>
    <w:basedOn w:val="Normal"/>
    <w:semiHidden/>
    <w:pPr>
      <w:ind w:left="385"/>
    </w:pPr>
    <w:rPr>
      <w:rFonts w:ascii="Palatino Linotype" w:hAnsi="Palatino Linotype"/>
    </w:rPr>
  </w:style>
  <w:style w:type="character" w:styleId="CommentReference">
    <w:name w:val="annotation reference"/>
    <w:uiPriority w:val="99"/>
    <w:semiHidden/>
    <w:unhideWhenUsed/>
    <w:rsid w:val="00A1514B"/>
    <w:rPr>
      <w:sz w:val="16"/>
      <w:szCs w:val="16"/>
    </w:rPr>
  </w:style>
  <w:style w:type="paragraph" w:styleId="CommentText">
    <w:name w:val="annotation text"/>
    <w:basedOn w:val="Normal"/>
    <w:link w:val="CommentTextChar"/>
    <w:uiPriority w:val="99"/>
    <w:semiHidden/>
    <w:unhideWhenUsed/>
    <w:rsid w:val="00A1514B"/>
    <w:rPr>
      <w:sz w:val="20"/>
      <w:szCs w:val="20"/>
    </w:rPr>
  </w:style>
  <w:style w:type="character" w:customStyle="1" w:styleId="CommentTextChar">
    <w:name w:val="Comment Text Char"/>
    <w:basedOn w:val="DefaultParagraphFont"/>
    <w:link w:val="CommentText"/>
    <w:uiPriority w:val="99"/>
    <w:semiHidden/>
    <w:rsid w:val="00A1514B"/>
  </w:style>
  <w:style w:type="paragraph" w:styleId="CommentSubject">
    <w:name w:val="annotation subject"/>
    <w:basedOn w:val="CommentText"/>
    <w:next w:val="CommentText"/>
    <w:link w:val="CommentSubjectChar"/>
    <w:uiPriority w:val="99"/>
    <w:semiHidden/>
    <w:unhideWhenUsed/>
    <w:rsid w:val="00A1514B"/>
    <w:rPr>
      <w:b/>
      <w:bCs/>
    </w:rPr>
  </w:style>
  <w:style w:type="character" w:customStyle="1" w:styleId="CommentSubjectChar">
    <w:name w:val="Comment Subject Char"/>
    <w:link w:val="CommentSubject"/>
    <w:uiPriority w:val="99"/>
    <w:semiHidden/>
    <w:rsid w:val="00A1514B"/>
    <w:rPr>
      <w:b/>
      <w:bCs/>
    </w:rPr>
  </w:style>
  <w:style w:type="paragraph" w:styleId="BalloonText">
    <w:name w:val="Balloon Text"/>
    <w:basedOn w:val="Normal"/>
    <w:link w:val="BalloonTextChar"/>
    <w:uiPriority w:val="99"/>
    <w:semiHidden/>
    <w:unhideWhenUsed/>
    <w:rsid w:val="00A1514B"/>
    <w:rPr>
      <w:rFonts w:ascii="Tahoma" w:hAnsi="Tahoma" w:cs="Tahoma"/>
      <w:sz w:val="16"/>
      <w:szCs w:val="16"/>
    </w:rPr>
  </w:style>
  <w:style w:type="character" w:customStyle="1" w:styleId="BalloonTextChar">
    <w:name w:val="Balloon Text Char"/>
    <w:link w:val="BalloonText"/>
    <w:uiPriority w:val="99"/>
    <w:semiHidden/>
    <w:rsid w:val="00A1514B"/>
    <w:rPr>
      <w:rFonts w:ascii="Tahoma" w:hAnsi="Tahoma" w:cs="Tahoma"/>
      <w:sz w:val="16"/>
      <w:szCs w:val="16"/>
    </w:rPr>
  </w:style>
  <w:style w:type="table" w:styleId="TableGrid">
    <w:name w:val="Table Grid"/>
    <w:basedOn w:val="TableNormal"/>
    <w:uiPriority w:val="59"/>
    <w:rsid w:val="00892A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C5C92"/>
    <w:pPr>
      <w:ind w:left="720"/>
      <w:contextualSpacing/>
    </w:pPr>
  </w:style>
  <w:style w:type="character" w:styleId="Hyperlink">
    <w:name w:val="Hyperlink"/>
    <w:uiPriority w:val="99"/>
    <w:rsid w:val="004059E6"/>
    <w:rPr>
      <w:color w:val="0000FF"/>
      <w:u w:val="single"/>
    </w:rPr>
  </w:style>
  <w:style w:type="character" w:customStyle="1" w:styleId="HeaderChar">
    <w:name w:val="Header Char"/>
    <w:link w:val="Header"/>
    <w:uiPriority w:val="99"/>
    <w:rsid w:val="004059E6"/>
    <w:rPr>
      <w:sz w:val="24"/>
      <w:szCs w:val="24"/>
    </w:rPr>
  </w:style>
  <w:style w:type="character" w:customStyle="1" w:styleId="Heading3Char">
    <w:name w:val="Heading 3 Char"/>
    <w:basedOn w:val="DefaultParagraphFont"/>
    <w:link w:val="Heading3"/>
    <w:uiPriority w:val="9"/>
    <w:semiHidden/>
    <w:rsid w:val="00024CD1"/>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unhideWhenUsed/>
    <w:rsid w:val="002C137C"/>
    <w:rPr>
      <w:sz w:val="22"/>
      <w:szCs w:val="20"/>
    </w:rPr>
  </w:style>
  <w:style w:type="character" w:customStyle="1" w:styleId="FootnoteTextChar">
    <w:name w:val="Footnote Text Char"/>
    <w:basedOn w:val="DefaultParagraphFont"/>
    <w:link w:val="FootnoteText"/>
    <w:uiPriority w:val="99"/>
    <w:rsid w:val="002C137C"/>
    <w:rPr>
      <w:sz w:val="22"/>
    </w:rPr>
  </w:style>
  <w:style w:type="character" w:styleId="FootnoteReference">
    <w:name w:val="footnote reference"/>
    <w:basedOn w:val="DefaultParagraphFont"/>
    <w:uiPriority w:val="99"/>
    <w:semiHidden/>
    <w:unhideWhenUsed/>
    <w:rsid w:val="006D2993"/>
    <w:rPr>
      <w:vertAlign w:val="superscript"/>
    </w:rPr>
  </w:style>
  <w:style w:type="paragraph" w:styleId="Revision">
    <w:name w:val="Revision"/>
    <w:hidden/>
    <w:uiPriority w:val="99"/>
    <w:semiHidden/>
    <w:rsid w:val="000E75B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tc.wa.gov/e-filing" TargetMode="Externa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hyperlink" Target="mailto:records@utc.w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tc.wa.gov/e-filing"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records@utc.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B4AC6DFA7BFA34F97C5FC024ED39B9A" ma:contentTypeVersion="135" ma:contentTypeDescription="" ma:contentTypeScope="" ma:versionID="e8457f1481c1ca4eff4df766b776c24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Prehearing Conference</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2013-12-13T08:00:00+00:00</OpenedDate>
    <Date1 xmlns="dc463f71-b30c-4ab2-9473-d307f9d35888">2014-01-23T08:00:00+00:00</Date1>
    <IsDocumentOrder xmlns="dc463f71-b30c-4ab2-9473-d307f9d35888">true</IsDocumentOrder>
    <IsHighlyConfidential xmlns="dc463f71-b30c-4ab2-9473-d307f9d35888">false</IsHighlyConfidential>
    <CaseCompanyNames xmlns="dc463f71-b30c-4ab2-9473-d307f9d35888">Qwest Corporation</CaseCompanyNames>
    <DocketNumber xmlns="dc463f71-b30c-4ab2-9473-d307f9d35888">132282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C01E996-4240-4C3F-B1ED-63DDF34B0165}"/>
</file>

<file path=customXml/itemProps2.xml><?xml version="1.0" encoding="utf-8"?>
<ds:datastoreItem xmlns:ds="http://schemas.openxmlformats.org/officeDocument/2006/customXml" ds:itemID="{D4DC4633-D0EF-494A-A04A-50FD4DB3D145}"/>
</file>

<file path=customXml/itemProps3.xml><?xml version="1.0" encoding="utf-8"?>
<ds:datastoreItem xmlns:ds="http://schemas.openxmlformats.org/officeDocument/2006/customXml" ds:itemID="{0EE5BBA7-18C6-4DF5-B520-876C860D5BD0}"/>
</file>

<file path=customXml/itemProps4.xml><?xml version="1.0" encoding="utf-8"?>
<ds:datastoreItem xmlns:ds="http://schemas.openxmlformats.org/officeDocument/2006/customXml" ds:itemID="{BC736FEC-598F-4024-BB33-3701DEE7E14C}"/>
</file>

<file path=customXml/itemProps5.xml><?xml version="1.0" encoding="utf-8"?>
<ds:datastoreItem xmlns:ds="http://schemas.openxmlformats.org/officeDocument/2006/customXml" ds:itemID="{D947DDC4-FE8B-48E6-A24E-7A4659B6C02A}"/>
</file>

<file path=docProps/app.xml><?xml version="1.0" encoding="utf-8"?>
<Properties xmlns="http://schemas.openxmlformats.org/officeDocument/2006/extended-properties" xmlns:vt="http://schemas.openxmlformats.org/officeDocument/2006/docPropsVTypes">
  <Template>Normal.dotm</Template>
  <TotalTime>0</TotalTime>
  <Pages>4</Pages>
  <Words>982</Words>
  <Characters>5882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2014-01-23T22:25:00Z</dcterms:created>
  <dcterms:modified xsi:type="dcterms:W3CDTF">2014-01-23T22:27:00Z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0x0101006E56B4D1795A2E4DB2F0B01679ED314A00EB4AC6DFA7BFA34F97C5FC024ED39B9A</vt:lpwstr>
  </property>
  <property fmtid="{D5CDD505-2E9C-101B-9397-08002B2CF9AE}" pid="3" name="_docset_NoMedatataSyncRequired">
    <vt:lpwstr>False</vt:lpwstr>
  </property>
</Properties>
</file>