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590A03A8" w:rsidR="006C48F0" w:rsidRPr="007137D9" w:rsidRDefault="006C48F0" w:rsidP="007137D9">
      <w:pPr>
        <w:jc w:val="center"/>
        <w:rPr>
          <w:b/>
          <w:sz w:val="25"/>
          <w:szCs w:val="25"/>
        </w:rPr>
      </w:pPr>
      <w:bookmarkStart w:id="0" w:name="_GoBack"/>
      <w:bookmarkEnd w:id="0"/>
      <w:r w:rsidRPr="007137D9">
        <w:rPr>
          <w:b/>
          <w:sz w:val="25"/>
          <w:szCs w:val="25"/>
        </w:rPr>
        <w:t>BEFORE THE WASHINGTON</w:t>
      </w:r>
    </w:p>
    <w:p w14:paraId="1C9BD868" w14:textId="77777777" w:rsidR="006C48F0" w:rsidRPr="00DA5DBB" w:rsidRDefault="006C48F0">
      <w:pPr>
        <w:pStyle w:val="BodyText"/>
        <w:rPr>
          <w:b/>
          <w:bCs/>
          <w:sz w:val="25"/>
          <w:szCs w:val="25"/>
        </w:rPr>
      </w:pPr>
      <w:r w:rsidRPr="00DA5DBB">
        <w:rPr>
          <w:b/>
          <w:bCs/>
          <w:sz w:val="25"/>
          <w:szCs w:val="25"/>
        </w:rPr>
        <w:t>UTILITIES AND TRANSPORTATION COMMISSION</w:t>
      </w:r>
    </w:p>
    <w:p w14:paraId="21C9C2C2" w14:textId="77777777" w:rsidR="00B90CB9" w:rsidRDefault="00B90CB9">
      <w:pPr>
        <w:rPr>
          <w:sz w:val="25"/>
          <w:szCs w:val="25"/>
        </w:rPr>
      </w:pPr>
    </w:p>
    <w:p w14:paraId="54415010" w14:textId="77777777" w:rsidR="00D32478" w:rsidRPr="00DA5DBB" w:rsidRDefault="00D32478">
      <w:pPr>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DA5DBB" w14:paraId="25FF6146" w14:textId="77777777">
        <w:tc>
          <w:tcPr>
            <w:tcW w:w="4308" w:type="dxa"/>
          </w:tcPr>
          <w:p w14:paraId="68A94981" w14:textId="388A083C" w:rsidR="006640FE" w:rsidRPr="001A0894" w:rsidRDefault="006640FE" w:rsidP="00CF7DE1">
            <w:pPr>
              <w:pStyle w:val="NoSpacing"/>
            </w:pPr>
            <w:r w:rsidRPr="001A0894">
              <w:t>W</w:t>
            </w:r>
            <w:r w:rsidR="00CF7DE1">
              <w:t>ASHINGTON</w:t>
            </w:r>
            <w:r w:rsidRPr="001A0894">
              <w:t xml:space="preserve"> U</w:t>
            </w:r>
            <w:r w:rsidR="00CF7DE1">
              <w:t>TILITIES AND</w:t>
            </w:r>
            <w:r w:rsidRPr="001A0894">
              <w:t xml:space="preserve"> T</w:t>
            </w:r>
            <w:r w:rsidR="00CF7DE1">
              <w:t>RANSPORTATION</w:t>
            </w:r>
            <w:r w:rsidRPr="001A0894">
              <w:t xml:space="preserve"> C</w:t>
            </w:r>
            <w:r w:rsidR="00CF7DE1">
              <w:t>OMMISSION</w:t>
            </w:r>
            <w:r w:rsidRPr="001A0894">
              <w:t>,</w:t>
            </w:r>
          </w:p>
          <w:p w14:paraId="4175D5F2" w14:textId="5E2BF994" w:rsidR="006640FE" w:rsidRPr="001A0894" w:rsidRDefault="006640FE" w:rsidP="00CF7DE1">
            <w:pPr>
              <w:pStyle w:val="NoSpacing"/>
            </w:pPr>
          </w:p>
          <w:p w14:paraId="609D76F5" w14:textId="75EA4F01" w:rsidR="006640FE" w:rsidRPr="001A0894" w:rsidRDefault="006640FE" w:rsidP="00CF7DE1">
            <w:pPr>
              <w:pStyle w:val="NoSpacing"/>
            </w:pPr>
            <w:r w:rsidRPr="001A0894">
              <w:tab/>
            </w:r>
            <w:r w:rsidR="00CF7DE1">
              <w:tab/>
            </w:r>
            <w:r w:rsidR="00CF7DE1">
              <w:tab/>
            </w:r>
            <w:r w:rsidRPr="001A0894">
              <w:t>Complainant,</w:t>
            </w:r>
          </w:p>
          <w:p w14:paraId="13E9913D" w14:textId="516DFA70" w:rsidR="006640FE" w:rsidRPr="001A0894" w:rsidRDefault="006640FE" w:rsidP="00CF7DE1">
            <w:pPr>
              <w:pStyle w:val="NoSpacing"/>
            </w:pPr>
          </w:p>
          <w:p w14:paraId="02758AC9" w14:textId="77777777" w:rsidR="006640FE" w:rsidRPr="001A0894" w:rsidRDefault="006640FE" w:rsidP="00CF7DE1">
            <w:pPr>
              <w:pStyle w:val="NoSpacing"/>
            </w:pPr>
            <w:proofErr w:type="gramStart"/>
            <w:r w:rsidRPr="001A0894">
              <w:t>v</w:t>
            </w:r>
            <w:proofErr w:type="gramEnd"/>
            <w:r w:rsidRPr="001A0894">
              <w:t>.</w:t>
            </w:r>
          </w:p>
          <w:p w14:paraId="7259E847" w14:textId="4E71F97C" w:rsidR="006640FE" w:rsidRPr="001A0894" w:rsidRDefault="006640FE" w:rsidP="00CF7DE1">
            <w:pPr>
              <w:pStyle w:val="NoSpacing"/>
            </w:pPr>
          </w:p>
          <w:p w14:paraId="7E30F2E3" w14:textId="7B4DA522" w:rsidR="006640FE" w:rsidRPr="001A0894" w:rsidRDefault="00D335C5" w:rsidP="00CF7DE1">
            <w:pPr>
              <w:pStyle w:val="NoSpacing"/>
              <w:rPr>
                <w:color w:val="000000"/>
              </w:rPr>
            </w:pPr>
            <w:r>
              <w:t xml:space="preserve">OLYMPIC MOVING </w:t>
            </w:r>
            <w:r w:rsidR="00A10CDD">
              <w:t>&amp;</w:t>
            </w:r>
            <w:r>
              <w:t xml:space="preserve"> STORAGE, INC., </w:t>
            </w:r>
            <w:r w:rsidR="00CF7DE1">
              <w:t>d/b/a</w:t>
            </w:r>
            <w:r w:rsidR="00CF7DE1">
              <w:t xml:space="preserve"> </w:t>
            </w:r>
            <w:r>
              <w:t>OLY</w:t>
            </w:r>
            <w:r w:rsidR="00CF7DE1">
              <w:t>M</w:t>
            </w:r>
            <w:r>
              <w:t>PIC MOVERS,</w:t>
            </w:r>
            <w:r w:rsidR="006640FE">
              <w:rPr>
                <w:color w:val="000000"/>
              </w:rPr>
              <w:t xml:space="preserve"> </w:t>
            </w:r>
          </w:p>
          <w:p w14:paraId="36E2F26A" w14:textId="77777777" w:rsidR="006640FE" w:rsidRPr="001A0894" w:rsidRDefault="006640FE" w:rsidP="00CF7DE1">
            <w:pPr>
              <w:pStyle w:val="NoSpacing"/>
            </w:pPr>
          </w:p>
          <w:p w14:paraId="3B7AA167" w14:textId="77777777" w:rsidR="006640FE" w:rsidRDefault="006640FE" w:rsidP="00CF7DE1">
            <w:pPr>
              <w:pStyle w:val="NoSpacing"/>
            </w:pPr>
            <w:r w:rsidRPr="001A0894">
              <w:tab/>
            </w:r>
            <w:r>
              <w:tab/>
            </w:r>
            <w:r>
              <w:tab/>
            </w:r>
            <w:r w:rsidRPr="001A0894">
              <w:t>Respondent</w:t>
            </w:r>
            <w:r>
              <w:t>.</w:t>
            </w:r>
          </w:p>
          <w:p w14:paraId="057CF37A" w14:textId="77777777" w:rsidR="00CF7DE1" w:rsidRDefault="00CF7DE1" w:rsidP="00CF7DE1">
            <w:pPr>
              <w:pStyle w:val="NoSpacing"/>
            </w:pPr>
          </w:p>
          <w:p w14:paraId="6A8EBE89" w14:textId="77777777" w:rsidR="006C48F0" w:rsidRPr="00DA5DBB" w:rsidRDefault="006C48F0" w:rsidP="00CF7DE1">
            <w:pPr>
              <w:pStyle w:val="NoSpacing"/>
              <w:rPr>
                <w:szCs w:val="25"/>
              </w:rPr>
            </w:pPr>
            <w:r w:rsidRPr="00DA5DBB">
              <w:rPr>
                <w:szCs w:val="25"/>
              </w:rPr>
              <w:t xml:space="preserve">. . . . . . . . . . . . . . . . . . . . . . . . . . . . . . . . . </w:t>
            </w:r>
          </w:p>
        </w:tc>
        <w:tc>
          <w:tcPr>
            <w:tcW w:w="300" w:type="dxa"/>
          </w:tcPr>
          <w:p w14:paraId="013090F9" w14:textId="77777777" w:rsidR="006C48F0" w:rsidRPr="00DA5DBB" w:rsidRDefault="006C48F0" w:rsidP="00CF7DE1">
            <w:pPr>
              <w:pStyle w:val="NoSpacing"/>
              <w:rPr>
                <w:szCs w:val="25"/>
              </w:rPr>
            </w:pPr>
            <w:r w:rsidRPr="00DA5DBB">
              <w:rPr>
                <w:szCs w:val="25"/>
              </w:rPr>
              <w:t>)</w:t>
            </w:r>
          </w:p>
          <w:p w14:paraId="3F3655F5" w14:textId="77777777" w:rsidR="006C48F0" w:rsidRPr="00DA5DBB" w:rsidRDefault="006C48F0" w:rsidP="00CF7DE1">
            <w:pPr>
              <w:pStyle w:val="NoSpacing"/>
              <w:rPr>
                <w:szCs w:val="25"/>
              </w:rPr>
            </w:pPr>
            <w:r w:rsidRPr="00DA5DBB">
              <w:rPr>
                <w:szCs w:val="25"/>
              </w:rPr>
              <w:t>)</w:t>
            </w:r>
          </w:p>
          <w:p w14:paraId="228C6602" w14:textId="77777777" w:rsidR="006C48F0" w:rsidRPr="00DA5DBB" w:rsidRDefault="006C48F0" w:rsidP="00CF7DE1">
            <w:pPr>
              <w:pStyle w:val="NoSpacing"/>
              <w:rPr>
                <w:szCs w:val="25"/>
              </w:rPr>
            </w:pPr>
            <w:r w:rsidRPr="00DA5DBB">
              <w:rPr>
                <w:szCs w:val="25"/>
              </w:rPr>
              <w:t>)</w:t>
            </w:r>
          </w:p>
          <w:p w14:paraId="7F321D09" w14:textId="77777777" w:rsidR="006C48F0" w:rsidRPr="00DA5DBB" w:rsidRDefault="006C48F0" w:rsidP="00CF7DE1">
            <w:pPr>
              <w:pStyle w:val="NoSpacing"/>
              <w:rPr>
                <w:szCs w:val="25"/>
              </w:rPr>
            </w:pPr>
            <w:r w:rsidRPr="00DA5DBB">
              <w:rPr>
                <w:szCs w:val="25"/>
              </w:rPr>
              <w:t>)</w:t>
            </w:r>
          </w:p>
          <w:p w14:paraId="4090D8F5" w14:textId="77777777" w:rsidR="006C48F0" w:rsidRPr="00DA5DBB" w:rsidRDefault="006C48F0" w:rsidP="00CF7DE1">
            <w:pPr>
              <w:pStyle w:val="NoSpacing"/>
              <w:rPr>
                <w:szCs w:val="25"/>
              </w:rPr>
            </w:pPr>
            <w:r w:rsidRPr="00DA5DBB">
              <w:rPr>
                <w:szCs w:val="25"/>
              </w:rPr>
              <w:t>)</w:t>
            </w:r>
          </w:p>
          <w:p w14:paraId="0FDFFE0E" w14:textId="77777777" w:rsidR="006C48F0" w:rsidRPr="00DA5DBB" w:rsidRDefault="006C48F0" w:rsidP="00CF7DE1">
            <w:pPr>
              <w:pStyle w:val="NoSpacing"/>
              <w:rPr>
                <w:szCs w:val="25"/>
              </w:rPr>
            </w:pPr>
            <w:r w:rsidRPr="00DA5DBB">
              <w:rPr>
                <w:szCs w:val="25"/>
              </w:rPr>
              <w:t>)</w:t>
            </w:r>
          </w:p>
          <w:p w14:paraId="1F222AC4" w14:textId="77777777" w:rsidR="006C48F0" w:rsidRPr="00DA5DBB" w:rsidRDefault="006C48F0" w:rsidP="00CF7DE1">
            <w:pPr>
              <w:pStyle w:val="NoSpacing"/>
              <w:rPr>
                <w:szCs w:val="25"/>
              </w:rPr>
            </w:pPr>
            <w:r w:rsidRPr="00DA5DBB">
              <w:rPr>
                <w:szCs w:val="25"/>
              </w:rPr>
              <w:t>)</w:t>
            </w:r>
          </w:p>
          <w:p w14:paraId="7CCF6635" w14:textId="77777777" w:rsidR="006C48F0" w:rsidRPr="00DA5DBB" w:rsidRDefault="006C48F0" w:rsidP="00CF7DE1">
            <w:pPr>
              <w:pStyle w:val="NoSpacing"/>
              <w:rPr>
                <w:szCs w:val="25"/>
              </w:rPr>
            </w:pPr>
            <w:r w:rsidRPr="00DA5DBB">
              <w:rPr>
                <w:szCs w:val="25"/>
              </w:rPr>
              <w:t>)</w:t>
            </w:r>
          </w:p>
          <w:p w14:paraId="3B910A9F" w14:textId="77777777" w:rsidR="006C48F0" w:rsidRPr="00DA5DBB" w:rsidRDefault="006C48F0" w:rsidP="00CF7DE1">
            <w:pPr>
              <w:pStyle w:val="NoSpacing"/>
              <w:rPr>
                <w:szCs w:val="25"/>
              </w:rPr>
            </w:pPr>
            <w:r w:rsidRPr="00DA5DBB">
              <w:rPr>
                <w:szCs w:val="25"/>
              </w:rPr>
              <w:t>)</w:t>
            </w:r>
          </w:p>
          <w:p w14:paraId="465149E8" w14:textId="77777777" w:rsidR="00CC764F" w:rsidRDefault="006640FE" w:rsidP="00CF7DE1">
            <w:pPr>
              <w:pStyle w:val="NoSpacing"/>
              <w:rPr>
                <w:szCs w:val="25"/>
              </w:rPr>
            </w:pPr>
            <w:r>
              <w:rPr>
                <w:szCs w:val="25"/>
              </w:rPr>
              <w:t>)</w:t>
            </w:r>
          </w:p>
          <w:p w14:paraId="19874C3E" w14:textId="77777777" w:rsidR="00A37402" w:rsidRDefault="00A37402" w:rsidP="00CF7DE1">
            <w:pPr>
              <w:pStyle w:val="NoSpacing"/>
              <w:rPr>
                <w:szCs w:val="25"/>
              </w:rPr>
            </w:pPr>
            <w:r>
              <w:rPr>
                <w:szCs w:val="25"/>
              </w:rPr>
              <w:t>)</w:t>
            </w:r>
          </w:p>
          <w:p w14:paraId="2595323D" w14:textId="77777777" w:rsidR="00A37402" w:rsidRDefault="00A37402" w:rsidP="00CF7DE1">
            <w:pPr>
              <w:pStyle w:val="NoSpacing"/>
              <w:rPr>
                <w:szCs w:val="25"/>
              </w:rPr>
            </w:pPr>
            <w:r>
              <w:rPr>
                <w:szCs w:val="25"/>
              </w:rPr>
              <w:t>)</w:t>
            </w:r>
          </w:p>
          <w:p w14:paraId="378D2272" w14:textId="67B51A5C" w:rsidR="00CF7DE1" w:rsidRPr="00DA5DBB" w:rsidRDefault="00CF7DE1" w:rsidP="00CF7DE1">
            <w:pPr>
              <w:pStyle w:val="NoSpacing"/>
              <w:rPr>
                <w:szCs w:val="25"/>
              </w:rPr>
            </w:pPr>
            <w:r>
              <w:rPr>
                <w:szCs w:val="25"/>
              </w:rPr>
              <w:t>)</w:t>
            </w:r>
          </w:p>
        </w:tc>
        <w:tc>
          <w:tcPr>
            <w:tcW w:w="4288" w:type="dxa"/>
          </w:tcPr>
          <w:p w14:paraId="3C6F4F19" w14:textId="341D91C5" w:rsidR="006C48F0" w:rsidRPr="00DA5DBB" w:rsidRDefault="006C48F0" w:rsidP="00CF7DE1">
            <w:pPr>
              <w:pStyle w:val="NoSpacing"/>
              <w:rPr>
                <w:szCs w:val="25"/>
              </w:rPr>
            </w:pPr>
            <w:r w:rsidRPr="00DA5DBB">
              <w:rPr>
                <w:szCs w:val="25"/>
              </w:rPr>
              <w:t xml:space="preserve">DOCKET </w:t>
            </w:r>
            <w:r w:rsidR="00A37402">
              <w:rPr>
                <w:szCs w:val="25"/>
              </w:rPr>
              <w:t>T</w:t>
            </w:r>
            <w:r w:rsidR="00D335C5">
              <w:rPr>
                <w:szCs w:val="25"/>
              </w:rPr>
              <w:t>V-122004</w:t>
            </w:r>
          </w:p>
          <w:p w14:paraId="153A4A33" w14:textId="77777777" w:rsidR="0094070D" w:rsidRDefault="0094070D" w:rsidP="00CF7DE1">
            <w:pPr>
              <w:pStyle w:val="NoSpacing"/>
              <w:rPr>
                <w:szCs w:val="25"/>
              </w:rPr>
            </w:pPr>
          </w:p>
          <w:p w14:paraId="783D5161" w14:textId="77777777" w:rsidR="00415CCC" w:rsidRPr="00DA5DBB" w:rsidRDefault="00415CCC" w:rsidP="00CF7DE1">
            <w:pPr>
              <w:pStyle w:val="NoSpacing"/>
              <w:rPr>
                <w:szCs w:val="25"/>
              </w:rPr>
            </w:pPr>
          </w:p>
          <w:p w14:paraId="6367E1AF" w14:textId="3A07EBE0" w:rsidR="006C48F0" w:rsidRPr="00DA5DBB" w:rsidRDefault="006C48F0" w:rsidP="00CF7DE1">
            <w:pPr>
              <w:pStyle w:val="NoSpacing"/>
              <w:rPr>
                <w:szCs w:val="25"/>
              </w:rPr>
            </w:pPr>
            <w:r w:rsidRPr="00DA5DBB">
              <w:rPr>
                <w:szCs w:val="25"/>
              </w:rPr>
              <w:t>ORDER 0</w:t>
            </w:r>
            <w:r w:rsidR="002A7DF6">
              <w:rPr>
                <w:szCs w:val="25"/>
              </w:rPr>
              <w:t>3</w:t>
            </w:r>
          </w:p>
          <w:p w14:paraId="2349E2B3" w14:textId="77777777" w:rsidR="0094070D" w:rsidRPr="00DA5DBB" w:rsidRDefault="0094070D" w:rsidP="00CF7DE1">
            <w:pPr>
              <w:pStyle w:val="NoSpacing"/>
              <w:rPr>
                <w:szCs w:val="25"/>
              </w:rPr>
            </w:pPr>
          </w:p>
          <w:p w14:paraId="648AA49F" w14:textId="77777777" w:rsidR="006C48F0" w:rsidRPr="00DA5DBB" w:rsidRDefault="006C48F0" w:rsidP="00CF7DE1">
            <w:pPr>
              <w:pStyle w:val="NoSpacing"/>
              <w:rPr>
                <w:b/>
                <w:bCs/>
                <w:szCs w:val="25"/>
              </w:rPr>
            </w:pPr>
          </w:p>
          <w:p w14:paraId="35DA5F6C" w14:textId="5F1BABAE" w:rsidR="006C48F0" w:rsidRDefault="00F26FCC" w:rsidP="00CF7DE1">
            <w:pPr>
              <w:pStyle w:val="NoSpacing"/>
              <w:rPr>
                <w:szCs w:val="25"/>
              </w:rPr>
            </w:pPr>
            <w:r>
              <w:rPr>
                <w:szCs w:val="25"/>
              </w:rPr>
              <w:t xml:space="preserve">INITIAL </w:t>
            </w:r>
            <w:r w:rsidR="00317165">
              <w:rPr>
                <w:szCs w:val="25"/>
              </w:rPr>
              <w:t xml:space="preserve">ORDER </w:t>
            </w:r>
            <w:r>
              <w:rPr>
                <w:szCs w:val="25"/>
              </w:rPr>
              <w:t>APPROVING SETTLEMENT AGREEMENT</w:t>
            </w:r>
            <w:r w:rsidR="00034C9D">
              <w:rPr>
                <w:szCs w:val="25"/>
              </w:rPr>
              <w:t xml:space="preserve"> WITH ONE CONDITION</w:t>
            </w:r>
            <w:r w:rsidR="00C84EFC">
              <w:rPr>
                <w:szCs w:val="25"/>
              </w:rPr>
              <w:t xml:space="preserve"> </w:t>
            </w:r>
          </w:p>
          <w:p w14:paraId="158B8F26" w14:textId="77777777" w:rsidR="00603378" w:rsidRPr="00603378" w:rsidRDefault="00603378" w:rsidP="00CF7DE1">
            <w:pPr>
              <w:pStyle w:val="NoSpacing"/>
              <w:rPr>
                <w:b/>
                <w:szCs w:val="25"/>
              </w:rPr>
            </w:pPr>
          </w:p>
        </w:tc>
      </w:tr>
    </w:tbl>
    <w:p w14:paraId="5143844F" w14:textId="69617E6F" w:rsidR="00C41DF9" w:rsidRDefault="00C41DF9" w:rsidP="005055F3">
      <w:pPr>
        <w:spacing w:line="264" w:lineRule="auto"/>
        <w:rPr>
          <w:sz w:val="25"/>
          <w:szCs w:val="25"/>
        </w:rPr>
      </w:pPr>
    </w:p>
    <w:p w14:paraId="39AB6212" w14:textId="54EC964C" w:rsidR="002F0912" w:rsidRDefault="002F0912" w:rsidP="005055F3">
      <w:pPr>
        <w:spacing w:line="264" w:lineRule="auto"/>
        <w:rPr>
          <w:sz w:val="25"/>
          <w:szCs w:val="25"/>
        </w:rPr>
      </w:pPr>
    </w:p>
    <w:p w14:paraId="2637A849" w14:textId="77777777" w:rsidR="002851A4" w:rsidRPr="002851A4" w:rsidRDefault="002851A4" w:rsidP="005055F3">
      <w:pPr>
        <w:spacing w:line="264" w:lineRule="auto"/>
        <w:jc w:val="center"/>
        <w:rPr>
          <w:b/>
          <w:sz w:val="25"/>
          <w:szCs w:val="25"/>
        </w:rPr>
      </w:pPr>
      <w:r w:rsidRPr="002851A4">
        <w:rPr>
          <w:b/>
          <w:sz w:val="25"/>
          <w:szCs w:val="25"/>
        </w:rPr>
        <w:t>BACKGROUND</w:t>
      </w:r>
    </w:p>
    <w:p w14:paraId="403FCD57" w14:textId="77777777" w:rsidR="002851A4" w:rsidRPr="002851A4" w:rsidRDefault="002851A4" w:rsidP="005055F3">
      <w:pPr>
        <w:spacing w:line="264" w:lineRule="auto"/>
        <w:rPr>
          <w:sz w:val="25"/>
          <w:szCs w:val="25"/>
        </w:rPr>
      </w:pPr>
    </w:p>
    <w:p w14:paraId="6AB54DC2" w14:textId="6FC68425" w:rsidR="00D96159" w:rsidRPr="00503CF0" w:rsidRDefault="00715964" w:rsidP="005055F3">
      <w:pPr>
        <w:numPr>
          <w:ilvl w:val="0"/>
          <w:numId w:val="10"/>
        </w:numPr>
        <w:spacing w:line="264" w:lineRule="auto"/>
        <w:ind w:hanging="720"/>
        <w:rPr>
          <w:sz w:val="25"/>
          <w:szCs w:val="25"/>
        </w:rPr>
      </w:pPr>
      <w:r>
        <w:rPr>
          <w:sz w:val="25"/>
          <w:szCs w:val="25"/>
        </w:rPr>
        <w:t>On July 3, 2014, the Washington Utilities and Transportation Commission (Commission) through its regulatory Staff (Staff)</w:t>
      </w:r>
      <w:r w:rsidRPr="00FD7165">
        <w:rPr>
          <w:rStyle w:val="FootnoteReference"/>
          <w:bCs/>
          <w:sz w:val="25"/>
          <w:szCs w:val="25"/>
        </w:rPr>
        <w:footnoteReference w:id="1"/>
      </w:r>
      <w:r>
        <w:rPr>
          <w:sz w:val="25"/>
          <w:szCs w:val="25"/>
        </w:rPr>
        <w:t xml:space="preserve"> filed a complaint against Olympic Moving &amp; Storage, Inc., d/b/a Olympic Movers (Olympic Movers</w:t>
      </w:r>
      <w:r w:rsidR="00026A7E">
        <w:rPr>
          <w:sz w:val="25"/>
          <w:szCs w:val="25"/>
        </w:rPr>
        <w:t xml:space="preserve"> or Company</w:t>
      </w:r>
      <w:r>
        <w:rPr>
          <w:sz w:val="25"/>
          <w:szCs w:val="25"/>
        </w:rPr>
        <w:t>).</w:t>
      </w:r>
      <w:r w:rsidRPr="00CB7F45">
        <w:rPr>
          <w:sz w:val="25"/>
          <w:szCs w:val="25"/>
        </w:rPr>
        <w:t xml:space="preserve"> </w:t>
      </w:r>
      <w:r>
        <w:rPr>
          <w:sz w:val="25"/>
          <w:szCs w:val="25"/>
        </w:rPr>
        <w:t xml:space="preserve"> The complaint alleges that Olympic Movers committed 320 violations o</w:t>
      </w:r>
      <w:r w:rsidR="001F77D4">
        <w:rPr>
          <w:sz w:val="25"/>
          <w:szCs w:val="25"/>
        </w:rPr>
        <w:t>f Commission rules and state statute</w:t>
      </w:r>
      <w:r>
        <w:rPr>
          <w:sz w:val="25"/>
          <w:szCs w:val="25"/>
        </w:rPr>
        <w:t>s</w:t>
      </w:r>
      <w:r w:rsidR="00503CF0" w:rsidRPr="001674B5">
        <w:rPr>
          <w:sz w:val="25"/>
          <w:szCs w:val="25"/>
        </w:rPr>
        <w:t>.</w:t>
      </w:r>
      <w:r>
        <w:rPr>
          <w:sz w:val="25"/>
          <w:szCs w:val="25"/>
        </w:rPr>
        <w:t xml:space="preserve">  The Commission entered Order 01, Prehearing Conference Order, on September 23, 2014</w:t>
      </w:r>
      <w:r w:rsidRPr="008E1E85">
        <w:rPr>
          <w:sz w:val="25"/>
          <w:szCs w:val="25"/>
        </w:rPr>
        <w:t>, adopt</w:t>
      </w:r>
      <w:r>
        <w:rPr>
          <w:sz w:val="25"/>
          <w:szCs w:val="25"/>
        </w:rPr>
        <w:t>ing</w:t>
      </w:r>
      <w:r w:rsidRPr="008E1E85">
        <w:rPr>
          <w:sz w:val="25"/>
          <w:szCs w:val="25"/>
        </w:rPr>
        <w:t xml:space="preserve"> a procedural schedule for this proceeding</w:t>
      </w:r>
      <w:r>
        <w:rPr>
          <w:sz w:val="25"/>
          <w:szCs w:val="25"/>
        </w:rPr>
        <w:t xml:space="preserve">.  The Commission suspended that schedule by notice </w:t>
      </w:r>
      <w:r w:rsidR="005D3919">
        <w:rPr>
          <w:sz w:val="25"/>
          <w:szCs w:val="25"/>
        </w:rPr>
        <w:t>issued on</w:t>
      </w:r>
      <w:r>
        <w:rPr>
          <w:sz w:val="25"/>
          <w:szCs w:val="25"/>
        </w:rPr>
        <w:t xml:space="preserve"> November 17, 2014, and established a revised schedule in Order 02, Second Prehearing Conference Order, entered on January 5, 2015.</w:t>
      </w:r>
      <w:r w:rsidR="00E814B6" w:rsidRPr="00503CF0">
        <w:rPr>
          <w:sz w:val="25"/>
          <w:szCs w:val="25"/>
        </w:rPr>
        <w:br/>
      </w:r>
    </w:p>
    <w:p w14:paraId="35AFBFF2" w14:textId="7E0123B1" w:rsidR="00026A7E" w:rsidRDefault="00E814B6" w:rsidP="00715964">
      <w:pPr>
        <w:numPr>
          <w:ilvl w:val="0"/>
          <w:numId w:val="10"/>
        </w:numPr>
        <w:tabs>
          <w:tab w:val="clear" w:pos="0"/>
          <w:tab w:val="num" w:pos="720"/>
        </w:tabs>
        <w:spacing w:after="240" w:line="264" w:lineRule="auto"/>
        <w:ind w:hanging="720"/>
        <w:rPr>
          <w:sz w:val="25"/>
          <w:szCs w:val="25"/>
        </w:rPr>
      </w:pPr>
      <w:r w:rsidRPr="00FD7165">
        <w:rPr>
          <w:sz w:val="25"/>
          <w:szCs w:val="25"/>
        </w:rPr>
        <w:t xml:space="preserve">On </w:t>
      </w:r>
      <w:r w:rsidR="00503CF0">
        <w:rPr>
          <w:sz w:val="25"/>
          <w:szCs w:val="25"/>
        </w:rPr>
        <w:t xml:space="preserve">January </w:t>
      </w:r>
      <w:r w:rsidR="00715964">
        <w:rPr>
          <w:sz w:val="25"/>
          <w:szCs w:val="25"/>
        </w:rPr>
        <w:t>23</w:t>
      </w:r>
      <w:r w:rsidR="00503CF0">
        <w:rPr>
          <w:sz w:val="25"/>
          <w:szCs w:val="25"/>
        </w:rPr>
        <w:t>, 2015</w:t>
      </w:r>
      <w:r w:rsidR="00602D0D">
        <w:rPr>
          <w:sz w:val="25"/>
          <w:szCs w:val="25"/>
        </w:rPr>
        <w:t xml:space="preserve">, Staff </w:t>
      </w:r>
      <w:r w:rsidR="00FA0A8F" w:rsidRPr="00FD7165">
        <w:rPr>
          <w:sz w:val="25"/>
          <w:szCs w:val="25"/>
        </w:rPr>
        <w:t xml:space="preserve">filed a </w:t>
      </w:r>
      <w:r w:rsidR="00507042">
        <w:rPr>
          <w:sz w:val="25"/>
          <w:szCs w:val="25"/>
        </w:rPr>
        <w:t>S</w:t>
      </w:r>
      <w:r w:rsidR="00D10D07">
        <w:rPr>
          <w:sz w:val="25"/>
          <w:szCs w:val="25"/>
        </w:rPr>
        <w:t>e</w:t>
      </w:r>
      <w:r w:rsidRPr="00FD7165">
        <w:rPr>
          <w:sz w:val="25"/>
          <w:szCs w:val="25"/>
        </w:rPr>
        <w:t xml:space="preserve">ttlement </w:t>
      </w:r>
      <w:r w:rsidR="00507042">
        <w:rPr>
          <w:sz w:val="25"/>
          <w:szCs w:val="25"/>
        </w:rPr>
        <w:t>A</w:t>
      </w:r>
      <w:r w:rsidR="00FA0A8F" w:rsidRPr="00FD7165">
        <w:rPr>
          <w:sz w:val="25"/>
          <w:szCs w:val="25"/>
        </w:rPr>
        <w:t xml:space="preserve">greement </w:t>
      </w:r>
      <w:r w:rsidR="00507042">
        <w:rPr>
          <w:sz w:val="25"/>
          <w:szCs w:val="25"/>
        </w:rPr>
        <w:t xml:space="preserve">between Staff and Olympic Movers (Settlement) </w:t>
      </w:r>
      <w:r w:rsidR="00FA0A8F" w:rsidRPr="00FD7165">
        <w:rPr>
          <w:sz w:val="25"/>
          <w:szCs w:val="25"/>
        </w:rPr>
        <w:t>on behalf of the parties</w:t>
      </w:r>
      <w:r w:rsidR="001F77D4">
        <w:rPr>
          <w:sz w:val="25"/>
          <w:szCs w:val="25"/>
        </w:rPr>
        <w:t xml:space="preserve"> resolving all issues in this docket</w:t>
      </w:r>
      <w:r w:rsidR="00B2030A" w:rsidRPr="00FD7165">
        <w:rPr>
          <w:sz w:val="25"/>
          <w:szCs w:val="25"/>
        </w:rPr>
        <w:t xml:space="preserve">.  </w:t>
      </w:r>
      <w:r w:rsidR="00026A7E">
        <w:rPr>
          <w:sz w:val="25"/>
          <w:szCs w:val="25"/>
        </w:rPr>
        <w:t>T</w:t>
      </w:r>
      <w:r w:rsidR="005D3919">
        <w:rPr>
          <w:sz w:val="25"/>
          <w:szCs w:val="25"/>
        </w:rPr>
        <w:t>he S</w:t>
      </w:r>
      <w:r w:rsidR="001657C6" w:rsidRPr="00715964">
        <w:rPr>
          <w:sz w:val="25"/>
          <w:szCs w:val="25"/>
        </w:rPr>
        <w:t>ettlement</w:t>
      </w:r>
      <w:r w:rsidR="00026A7E">
        <w:rPr>
          <w:sz w:val="25"/>
          <w:szCs w:val="25"/>
        </w:rPr>
        <w:t xml:space="preserve"> includes the following provisions:</w:t>
      </w:r>
    </w:p>
    <w:p w14:paraId="62F06CF4" w14:textId="5B343522" w:rsidR="00507042" w:rsidRDefault="00715964" w:rsidP="00026A7E">
      <w:pPr>
        <w:pStyle w:val="ListParagraph"/>
        <w:numPr>
          <w:ilvl w:val="0"/>
          <w:numId w:val="23"/>
        </w:numPr>
        <w:spacing w:after="240" w:line="264" w:lineRule="auto"/>
        <w:rPr>
          <w:sz w:val="25"/>
          <w:szCs w:val="25"/>
        </w:rPr>
      </w:pPr>
      <w:r w:rsidRPr="00026A7E">
        <w:rPr>
          <w:sz w:val="25"/>
          <w:szCs w:val="25"/>
        </w:rPr>
        <w:lastRenderedPageBreak/>
        <w:t>Staff withdraws the third cause of action a</w:t>
      </w:r>
      <w:r w:rsidR="00507042">
        <w:rPr>
          <w:sz w:val="25"/>
          <w:szCs w:val="25"/>
        </w:rPr>
        <w:t>lleged</w:t>
      </w:r>
      <w:r w:rsidRPr="00026A7E">
        <w:rPr>
          <w:sz w:val="25"/>
          <w:szCs w:val="25"/>
        </w:rPr>
        <w:t xml:space="preserve"> in the complaint</w:t>
      </w:r>
      <w:r w:rsidR="00507042">
        <w:rPr>
          <w:sz w:val="25"/>
          <w:szCs w:val="25"/>
        </w:rPr>
        <w:t>.</w:t>
      </w:r>
      <w:r w:rsidR="00143ECB">
        <w:rPr>
          <w:rStyle w:val="FootnoteReference"/>
          <w:sz w:val="25"/>
          <w:szCs w:val="25"/>
        </w:rPr>
        <w:footnoteReference w:id="2"/>
      </w:r>
    </w:p>
    <w:p w14:paraId="7C788015" w14:textId="02A938C2" w:rsidR="00026A7E" w:rsidRDefault="00715964" w:rsidP="00026A7E">
      <w:pPr>
        <w:pStyle w:val="ListParagraph"/>
        <w:numPr>
          <w:ilvl w:val="0"/>
          <w:numId w:val="23"/>
        </w:numPr>
        <w:spacing w:after="240" w:line="264" w:lineRule="auto"/>
        <w:rPr>
          <w:sz w:val="25"/>
          <w:szCs w:val="25"/>
        </w:rPr>
      </w:pPr>
      <w:r w:rsidRPr="00026A7E">
        <w:rPr>
          <w:sz w:val="25"/>
          <w:szCs w:val="25"/>
        </w:rPr>
        <w:t>Olympic Movers</w:t>
      </w:r>
      <w:r w:rsidR="00FD7165" w:rsidRPr="00026A7E">
        <w:rPr>
          <w:sz w:val="25"/>
          <w:szCs w:val="25"/>
        </w:rPr>
        <w:t xml:space="preserve"> </w:t>
      </w:r>
      <w:r w:rsidR="004E752F" w:rsidRPr="00026A7E">
        <w:rPr>
          <w:sz w:val="25"/>
          <w:szCs w:val="25"/>
        </w:rPr>
        <w:t xml:space="preserve">admits that it violated </w:t>
      </w:r>
      <w:r w:rsidR="003614B1" w:rsidRPr="00026A7E">
        <w:rPr>
          <w:sz w:val="25"/>
          <w:szCs w:val="25"/>
        </w:rPr>
        <w:t>RCW 81.</w:t>
      </w:r>
      <w:r w:rsidRPr="00026A7E">
        <w:rPr>
          <w:sz w:val="25"/>
          <w:szCs w:val="25"/>
        </w:rPr>
        <w:t xml:space="preserve">04.070, WAC 480-15, and Tariff 15-C as alleged in the </w:t>
      </w:r>
      <w:r w:rsidR="00507042">
        <w:rPr>
          <w:sz w:val="25"/>
          <w:szCs w:val="25"/>
        </w:rPr>
        <w:t xml:space="preserve">first and second </w:t>
      </w:r>
      <w:r w:rsidRPr="00026A7E">
        <w:rPr>
          <w:sz w:val="25"/>
          <w:szCs w:val="25"/>
        </w:rPr>
        <w:t>causes of action.</w:t>
      </w:r>
      <w:r w:rsidR="005D3919">
        <w:rPr>
          <w:rStyle w:val="FootnoteReference"/>
          <w:sz w:val="25"/>
          <w:szCs w:val="25"/>
        </w:rPr>
        <w:footnoteReference w:id="3"/>
      </w:r>
      <w:r w:rsidRPr="00026A7E">
        <w:rPr>
          <w:sz w:val="25"/>
          <w:szCs w:val="25"/>
        </w:rPr>
        <w:t xml:space="preserve">  </w:t>
      </w:r>
    </w:p>
    <w:p w14:paraId="754E7258" w14:textId="77777777" w:rsidR="00026A7E" w:rsidRDefault="004E752F" w:rsidP="00026A7E">
      <w:pPr>
        <w:pStyle w:val="ListParagraph"/>
        <w:numPr>
          <w:ilvl w:val="0"/>
          <w:numId w:val="23"/>
        </w:numPr>
        <w:spacing w:after="240" w:line="264" w:lineRule="auto"/>
        <w:rPr>
          <w:sz w:val="25"/>
          <w:szCs w:val="25"/>
        </w:rPr>
      </w:pPr>
      <w:r w:rsidRPr="00026A7E">
        <w:rPr>
          <w:sz w:val="25"/>
          <w:szCs w:val="25"/>
        </w:rPr>
        <w:t>The Commission should assess a penalty of $</w:t>
      </w:r>
      <w:r w:rsidR="005D3919" w:rsidRPr="00026A7E">
        <w:rPr>
          <w:sz w:val="25"/>
          <w:szCs w:val="25"/>
        </w:rPr>
        <w:t>45,000 for the violations alleged in the second cause of action, to be paid in 18 monthly installments.</w:t>
      </w:r>
      <w:r w:rsidR="005D3919">
        <w:rPr>
          <w:rStyle w:val="FootnoteReference"/>
          <w:sz w:val="25"/>
          <w:szCs w:val="25"/>
        </w:rPr>
        <w:footnoteReference w:id="4"/>
      </w:r>
      <w:r w:rsidR="005D3919" w:rsidRPr="00026A7E">
        <w:rPr>
          <w:sz w:val="25"/>
          <w:szCs w:val="25"/>
        </w:rPr>
        <w:t xml:space="preserve">  </w:t>
      </w:r>
    </w:p>
    <w:p w14:paraId="021BC363" w14:textId="7209C906" w:rsidR="00026A7E" w:rsidRPr="00026A7E" w:rsidRDefault="005D3919" w:rsidP="00026A7E">
      <w:pPr>
        <w:pStyle w:val="ListParagraph"/>
        <w:numPr>
          <w:ilvl w:val="0"/>
          <w:numId w:val="23"/>
        </w:numPr>
        <w:spacing w:after="240" w:line="264" w:lineRule="auto"/>
        <w:rPr>
          <w:sz w:val="25"/>
          <w:szCs w:val="25"/>
        </w:rPr>
      </w:pPr>
      <w:r w:rsidRPr="00026A7E">
        <w:rPr>
          <w:sz w:val="25"/>
          <w:szCs w:val="25"/>
        </w:rPr>
        <w:t xml:space="preserve">The Commission should </w:t>
      </w:r>
      <w:r w:rsidR="00BC3FDA">
        <w:rPr>
          <w:sz w:val="25"/>
          <w:szCs w:val="25"/>
        </w:rPr>
        <w:t>assess</w:t>
      </w:r>
      <w:r w:rsidRPr="00026A7E">
        <w:rPr>
          <w:sz w:val="25"/>
          <w:szCs w:val="25"/>
        </w:rPr>
        <w:t xml:space="preserve"> a penalty of $43,000 for the violations </w:t>
      </w:r>
      <w:r w:rsidR="00BC3FDA">
        <w:rPr>
          <w:sz w:val="25"/>
          <w:szCs w:val="25"/>
        </w:rPr>
        <w:t>alleged in</w:t>
      </w:r>
      <w:r w:rsidRPr="00026A7E">
        <w:rPr>
          <w:sz w:val="25"/>
          <w:szCs w:val="25"/>
        </w:rPr>
        <w:t xml:space="preserve"> the first cause of action, which should be suspended on condition of future compliance with the Settlement.</w:t>
      </w:r>
      <w:r>
        <w:rPr>
          <w:rStyle w:val="FootnoteReference"/>
          <w:sz w:val="25"/>
          <w:szCs w:val="25"/>
        </w:rPr>
        <w:footnoteReference w:id="5"/>
      </w:r>
      <w:r w:rsidRPr="00026A7E">
        <w:rPr>
          <w:sz w:val="25"/>
          <w:szCs w:val="25"/>
        </w:rPr>
        <w:t xml:space="preserve"> </w:t>
      </w:r>
      <w:r w:rsidR="00E5282B" w:rsidRPr="00026A7E">
        <w:rPr>
          <w:sz w:val="25"/>
          <w:szCs w:val="25"/>
        </w:rPr>
        <w:t xml:space="preserve"> </w:t>
      </w:r>
    </w:p>
    <w:p w14:paraId="0EF8BD18" w14:textId="77777777" w:rsidR="00026A7E" w:rsidRDefault="005D3919" w:rsidP="00026A7E">
      <w:pPr>
        <w:pStyle w:val="ListParagraph"/>
        <w:numPr>
          <w:ilvl w:val="0"/>
          <w:numId w:val="23"/>
        </w:numPr>
        <w:spacing w:after="240" w:line="264" w:lineRule="auto"/>
        <w:rPr>
          <w:sz w:val="25"/>
          <w:szCs w:val="25"/>
        </w:rPr>
      </w:pPr>
      <w:r w:rsidRPr="00026A7E">
        <w:rPr>
          <w:sz w:val="25"/>
          <w:szCs w:val="25"/>
        </w:rPr>
        <w:t xml:space="preserve">Olympic Movers </w:t>
      </w:r>
      <w:r w:rsidR="00026A7E">
        <w:rPr>
          <w:sz w:val="25"/>
          <w:szCs w:val="25"/>
        </w:rPr>
        <w:t>will</w:t>
      </w:r>
      <w:r w:rsidRPr="00026A7E">
        <w:rPr>
          <w:sz w:val="25"/>
          <w:szCs w:val="25"/>
        </w:rPr>
        <w:t xml:space="preserve"> issue refunds to its customers totaling $4,175.44 as detailed in Staff’s investigation report within 30 days of the effective date of the Settlement</w:t>
      </w:r>
      <w:r w:rsidR="00FD7165" w:rsidRPr="00026A7E">
        <w:rPr>
          <w:sz w:val="25"/>
          <w:szCs w:val="25"/>
        </w:rPr>
        <w:t>.</w:t>
      </w:r>
      <w:r>
        <w:rPr>
          <w:rStyle w:val="FootnoteReference"/>
          <w:sz w:val="25"/>
          <w:szCs w:val="25"/>
        </w:rPr>
        <w:footnoteReference w:id="6"/>
      </w:r>
      <w:r w:rsidR="00FD7165" w:rsidRPr="00026A7E">
        <w:rPr>
          <w:sz w:val="25"/>
          <w:szCs w:val="25"/>
        </w:rPr>
        <w:t xml:space="preserve">  </w:t>
      </w:r>
    </w:p>
    <w:p w14:paraId="2887845D" w14:textId="6F88434E" w:rsidR="00026A7E" w:rsidRDefault="00026A7E" w:rsidP="00026A7E">
      <w:pPr>
        <w:pStyle w:val="ListParagraph"/>
        <w:numPr>
          <w:ilvl w:val="0"/>
          <w:numId w:val="23"/>
        </w:numPr>
        <w:spacing w:after="240" w:line="264" w:lineRule="auto"/>
        <w:rPr>
          <w:sz w:val="25"/>
          <w:szCs w:val="25"/>
        </w:rPr>
      </w:pPr>
      <w:r w:rsidRPr="00026A7E">
        <w:rPr>
          <w:sz w:val="25"/>
          <w:szCs w:val="25"/>
        </w:rPr>
        <w:t>Within 45 days o</w:t>
      </w:r>
      <w:r>
        <w:rPr>
          <w:sz w:val="25"/>
          <w:szCs w:val="25"/>
        </w:rPr>
        <w:t>f the Settlement effective date</w:t>
      </w:r>
      <w:r w:rsidRPr="00026A7E">
        <w:rPr>
          <w:sz w:val="25"/>
          <w:szCs w:val="25"/>
        </w:rPr>
        <w:t xml:space="preserve">, Olympic Movers must submit a written compliance plan establishing the Company’s procedures to prevent future violations of the type </w:t>
      </w:r>
      <w:r w:rsidR="00507042">
        <w:rPr>
          <w:sz w:val="25"/>
          <w:szCs w:val="25"/>
        </w:rPr>
        <w:t>detailed</w:t>
      </w:r>
      <w:r w:rsidRPr="00026A7E">
        <w:rPr>
          <w:sz w:val="25"/>
          <w:szCs w:val="25"/>
        </w:rPr>
        <w:t xml:space="preserve"> in Staff’s investigation report.</w:t>
      </w:r>
      <w:r>
        <w:rPr>
          <w:rStyle w:val="FootnoteReference"/>
          <w:sz w:val="25"/>
          <w:szCs w:val="25"/>
        </w:rPr>
        <w:footnoteReference w:id="7"/>
      </w:r>
      <w:r w:rsidRPr="00026A7E">
        <w:rPr>
          <w:sz w:val="25"/>
          <w:szCs w:val="25"/>
        </w:rPr>
        <w:t xml:space="preserve">  </w:t>
      </w:r>
    </w:p>
    <w:p w14:paraId="4382EEFE" w14:textId="77777777" w:rsidR="00026A7E" w:rsidRDefault="00026A7E" w:rsidP="00026A7E">
      <w:pPr>
        <w:pStyle w:val="ListParagraph"/>
        <w:numPr>
          <w:ilvl w:val="0"/>
          <w:numId w:val="23"/>
        </w:numPr>
        <w:spacing w:after="240" w:line="264" w:lineRule="auto"/>
        <w:rPr>
          <w:sz w:val="25"/>
          <w:szCs w:val="25"/>
        </w:rPr>
      </w:pPr>
      <w:r w:rsidRPr="00026A7E">
        <w:rPr>
          <w:sz w:val="25"/>
          <w:szCs w:val="25"/>
        </w:rPr>
        <w:t>Within one year, specified Company employees must attend a Commission-sponsored household goods carrier training.</w:t>
      </w:r>
      <w:r>
        <w:rPr>
          <w:rStyle w:val="FootnoteReference"/>
          <w:sz w:val="25"/>
          <w:szCs w:val="25"/>
        </w:rPr>
        <w:footnoteReference w:id="8"/>
      </w:r>
      <w:r w:rsidRPr="00026A7E">
        <w:rPr>
          <w:sz w:val="25"/>
          <w:szCs w:val="25"/>
        </w:rPr>
        <w:t xml:space="preserve">  </w:t>
      </w:r>
    </w:p>
    <w:p w14:paraId="7BF58911" w14:textId="1FC2C75E" w:rsidR="009A6407" w:rsidRPr="00026A7E" w:rsidRDefault="004E752F" w:rsidP="00026A7E">
      <w:pPr>
        <w:pStyle w:val="ListParagraph"/>
        <w:numPr>
          <w:ilvl w:val="0"/>
          <w:numId w:val="23"/>
        </w:numPr>
        <w:spacing w:after="240" w:line="264" w:lineRule="auto"/>
        <w:rPr>
          <w:sz w:val="25"/>
          <w:szCs w:val="25"/>
        </w:rPr>
      </w:pPr>
      <w:r w:rsidRPr="00026A7E">
        <w:rPr>
          <w:sz w:val="25"/>
          <w:szCs w:val="25"/>
        </w:rPr>
        <w:t xml:space="preserve">Staff will conduct a follow-up </w:t>
      </w:r>
      <w:r w:rsidR="00FD7165" w:rsidRPr="00026A7E">
        <w:rPr>
          <w:sz w:val="25"/>
          <w:szCs w:val="25"/>
        </w:rPr>
        <w:t xml:space="preserve">investigation </w:t>
      </w:r>
      <w:r w:rsidRPr="00026A7E">
        <w:rPr>
          <w:sz w:val="25"/>
          <w:szCs w:val="25"/>
        </w:rPr>
        <w:t xml:space="preserve">within one year and provide a recommendation regarding whether the </w:t>
      </w:r>
      <w:r w:rsidR="00395E32" w:rsidRPr="00026A7E">
        <w:rPr>
          <w:sz w:val="25"/>
          <w:szCs w:val="25"/>
        </w:rPr>
        <w:t xml:space="preserve">Commission should waive or impose the </w:t>
      </w:r>
      <w:r w:rsidRPr="00026A7E">
        <w:rPr>
          <w:sz w:val="25"/>
          <w:szCs w:val="25"/>
        </w:rPr>
        <w:t>suspended portion of the penalty.</w:t>
      </w:r>
      <w:r w:rsidR="00026A7E">
        <w:rPr>
          <w:rStyle w:val="FootnoteReference"/>
          <w:sz w:val="25"/>
          <w:szCs w:val="25"/>
        </w:rPr>
        <w:footnoteReference w:id="9"/>
      </w:r>
      <w:r w:rsidR="00D10D07" w:rsidRPr="00026A7E">
        <w:rPr>
          <w:sz w:val="25"/>
          <w:szCs w:val="25"/>
        </w:rPr>
        <w:t xml:space="preserve">  </w:t>
      </w:r>
    </w:p>
    <w:p w14:paraId="10F9267D" w14:textId="0C2906A9" w:rsidR="008E05AC" w:rsidRDefault="008E05AC" w:rsidP="008E05AC">
      <w:pPr>
        <w:numPr>
          <w:ilvl w:val="0"/>
          <w:numId w:val="10"/>
        </w:numPr>
        <w:spacing w:after="240" w:line="264" w:lineRule="auto"/>
        <w:ind w:hanging="720"/>
        <w:rPr>
          <w:sz w:val="25"/>
          <w:szCs w:val="25"/>
        </w:rPr>
      </w:pPr>
      <w:r>
        <w:rPr>
          <w:sz w:val="25"/>
          <w:szCs w:val="25"/>
        </w:rPr>
        <w:t xml:space="preserve">On February 11, 2015, the Commission conducted a hearing on the </w:t>
      </w:r>
      <w:r w:rsidR="00034C9D">
        <w:rPr>
          <w:sz w:val="25"/>
          <w:szCs w:val="25"/>
        </w:rPr>
        <w:t>Settlement (Settlement Hearing)</w:t>
      </w:r>
      <w:r>
        <w:rPr>
          <w:sz w:val="25"/>
          <w:szCs w:val="25"/>
        </w:rPr>
        <w:t xml:space="preserve"> to address issues identified in the Notice of </w:t>
      </w:r>
      <w:r w:rsidR="00323F91">
        <w:rPr>
          <w:sz w:val="25"/>
          <w:szCs w:val="25"/>
        </w:rPr>
        <w:t xml:space="preserve">Hearing issued on </w:t>
      </w:r>
      <w:r w:rsidR="00323F91">
        <w:rPr>
          <w:sz w:val="25"/>
          <w:szCs w:val="25"/>
        </w:rPr>
        <w:lastRenderedPageBreak/>
        <w:t>February 3, 2015.  The parties clarified the following aspects of the Settlement during the hearing:</w:t>
      </w:r>
    </w:p>
    <w:p w14:paraId="4C735E97" w14:textId="38BA822E" w:rsidR="00323F91" w:rsidRDefault="00323F91" w:rsidP="00323F91">
      <w:pPr>
        <w:pStyle w:val="ListParagraph"/>
        <w:numPr>
          <w:ilvl w:val="0"/>
          <w:numId w:val="24"/>
        </w:numPr>
        <w:spacing w:after="240" w:line="264" w:lineRule="auto"/>
        <w:rPr>
          <w:sz w:val="25"/>
          <w:szCs w:val="25"/>
        </w:rPr>
      </w:pPr>
      <w:r>
        <w:rPr>
          <w:sz w:val="25"/>
          <w:szCs w:val="25"/>
        </w:rPr>
        <w:t>The Settlement is a holistic resolution of all causes of action alleged in the complaint, even though the agreement only specifically addresses the first three causes of action.</w:t>
      </w:r>
    </w:p>
    <w:p w14:paraId="62F84F51" w14:textId="23BBA00E" w:rsidR="00323F91" w:rsidRDefault="00323F91" w:rsidP="00323F91">
      <w:pPr>
        <w:pStyle w:val="ListParagraph"/>
        <w:numPr>
          <w:ilvl w:val="0"/>
          <w:numId w:val="24"/>
        </w:numPr>
        <w:spacing w:after="240" w:line="264" w:lineRule="auto"/>
        <w:rPr>
          <w:sz w:val="25"/>
          <w:szCs w:val="25"/>
        </w:rPr>
      </w:pPr>
      <w:r>
        <w:rPr>
          <w:sz w:val="25"/>
          <w:szCs w:val="25"/>
        </w:rPr>
        <w:t>Olympic Movers admits to unspecified violations of RCW 81.04.070, WAC 480-15, and Tariff 15-C alleged in the complaint, but the parties intend the compliance plan the Company must submit and implement to address all of the alleged violations.</w:t>
      </w:r>
    </w:p>
    <w:p w14:paraId="6FF806EF" w14:textId="61AA6562" w:rsidR="00323F91" w:rsidRDefault="00323F91" w:rsidP="00323F91">
      <w:pPr>
        <w:pStyle w:val="ListParagraph"/>
        <w:numPr>
          <w:ilvl w:val="0"/>
          <w:numId w:val="24"/>
        </w:numPr>
        <w:spacing w:after="240" w:line="264" w:lineRule="auto"/>
        <w:rPr>
          <w:sz w:val="25"/>
          <w:szCs w:val="25"/>
        </w:rPr>
      </w:pPr>
      <w:r>
        <w:rPr>
          <w:sz w:val="25"/>
          <w:szCs w:val="25"/>
        </w:rPr>
        <w:t xml:space="preserve">The Settlement refers to the Staff investigation report rather than the complaint because the report </w:t>
      </w:r>
      <w:r w:rsidR="00333309">
        <w:rPr>
          <w:sz w:val="25"/>
          <w:szCs w:val="25"/>
        </w:rPr>
        <w:t>is</w:t>
      </w:r>
      <w:r>
        <w:rPr>
          <w:sz w:val="25"/>
          <w:szCs w:val="25"/>
        </w:rPr>
        <w:t xml:space="preserve"> more detail</w:t>
      </w:r>
      <w:r w:rsidR="00333309">
        <w:rPr>
          <w:sz w:val="25"/>
          <w:szCs w:val="25"/>
        </w:rPr>
        <w:t>ed</w:t>
      </w:r>
      <w:r>
        <w:rPr>
          <w:sz w:val="25"/>
          <w:szCs w:val="25"/>
        </w:rPr>
        <w:t>.  The Company will work with Staff to develop and file a mutually acceptable compliance plan</w:t>
      </w:r>
      <w:r w:rsidR="00333309">
        <w:rPr>
          <w:sz w:val="25"/>
          <w:szCs w:val="25"/>
        </w:rPr>
        <w:t>,</w:t>
      </w:r>
      <w:r>
        <w:rPr>
          <w:sz w:val="25"/>
          <w:szCs w:val="25"/>
        </w:rPr>
        <w:t xml:space="preserve"> and </w:t>
      </w:r>
      <w:r w:rsidR="00333309">
        <w:rPr>
          <w:sz w:val="25"/>
          <w:szCs w:val="25"/>
        </w:rPr>
        <w:t xml:space="preserve">the parties </w:t>
      </w:r>
      <w:r>
        <w:rPr>
          <w:sz w:val="25"/>
          <w:szCs w:val="25"/>
        </w:rPr>
        <w:t xml:space="preserve">will raise any unresolved disagreements over the provisions of that plan by the date Olympic Movers must file it.  </w:t>
      </w:r>
    </w:p>
    <w:p w14:paraId="299AFC27" w14:textId="1EAC9723" w:rsidR="00323F91" w:rsidRDefault="00CF73E8" w:rsidP="00323F91">
      <w:pPr>
        <w:pStyle w:val="ListParagraph"/>
        <w:numPr>
          <w:ilvl w:val="0"/>
          <w:numId w:val="24"/>
        </w:numPr>
        <w:spacing w:after="240" w:line="264" w:lineRule="auto"/>
        <w:rPr>
          <w:sz w:val="25"/>
          <w:szCs w:val="25"/>
        </w:rPr>
      </w:pPr>
      <w:r>
        <w:rPr>
          <w:sz w:val="25"/>
          <w:szCs w:val="25"/>
        </w:rPr>
        <w:t xml:space="preserve">Staff’s reinvestigation of the Company within one year will include determining whether Olympic Movers has made a good faith and diligent effort to comply with the legal requirements </w:t>
      </w:r>
      <w:r w:rsidR="00333309">
        <w:rPr>
          <w:sz w:val="25"/>
          <w:szCs w:val="25"/>
        </w:rPr>
        <w:t>identified</w:t>
      </w:r>
      <w:r>
        <w:rPr>
          <w:sz w:val="25"/>
          <w:szCs w:val="25"/>
        </w:rPr>
        <w:t xml:space="preserve"> in the Staff investigation report.  That reinvestigation must begin within one year and </w:t>
      </w:r>
      <w:r w:rsidR="00333309">
        <w:rPr>
          <w:sz w:val="25"/>
          <w:szCs w:val="25"/>
        </w:rPr>
        <w:t xml:space="preserve">with the exception of payment of the penalty amount due, </w:t>
      </w:r>
      <w:r>
        <w:rPr>
          <w:sz w:val="25"/>
          <w:szCs w:val="25"/>
        </w:rPr>
        <w:t>will review the Company’s compliance only within one year following the effective date of the Settlement, even if the reinvestigation is not be completed within that time.  Staff, however, will not recommend waiver of the suspended penalty amounts unless and until the Company has paid the entirety of the penalty amount Olympic Movers must pay</w:t>
      </w:r>
      <w:r w:rsidR="005B3E0A">
        <w:rPr>
          <w:sz w:val="25"/>
          <w:szCs w:val="25"/>
        </w:rPr>
        <w:t>, even if that payment extends beyond one year</w:t>
      </w:r>
      <w:r>
        <w:rPr>
          <w:sz w:val="25"/>
          <w:szCs w:val="25"/>
        </w:rPr>
        <w:t>.</w:t>
      </w:r>
    </w:p>
    <w:p w14:paraId="45D9DB87" w14:textId="5E2EE0AC" w:rsidR="00CF73E8" w:rsidRDefault="00CF73E8" w:rsidP="00323F91">
      <w:pPr>
        <w:pStyle w:val="ListParagraph"/>
        <w:numPr>
          <w:ilvl w:val="0"/>
          <w:numId w:val="24"/>
        </w:numPr>
        <w:spacing w:after="240" w:line="264" w:lineRule="auto"/>
        <w:rPr>
          <w:sz w:val="25"/>
          <w:szCs w:val="25"/>
        </w:rPr>
      </w:pPr>
      <w:r>
        <w:rPr>
          <w:sz w:val="25"/>
          <w:szCs w:val="25"/>
        </w:rPr>
        <w:t>Installment payments are due on the 10</w:t>
      </w:r>
      <w:r w:rsidRPr="00CF73E8">
        <w:rPr>
          <w:sz w:val="25"/>
          <w:szCs w:val="25"/>
          <w:vertAlign w:val="superscript"/>
        </w:rPr>
        <w:t>th</w:t>
      </w:r>
      <w:r>
        <w:rPr>
          <w:sz w:val="25"/>
          <w:szCs w:val="25"/>
        </w:rPr>
        <w:t xml:space="preserve"> </w:t>
      </w:r>
      <w:r w:rsidR="005B3E0A">
        <w:rPr>
          <w:sz w:val="25"/>
          <w:szCs w:val="25"/>
        </w:rPr>
        <w:t xml:space="preserve">of each month.  Any prepayment of the penalty amount will be credited to the last date </w:t>
      </w:r>
      <w:r w:rsidR="00333309">
        <w:rPr>
          <w:sz w:val="25"/>
          <w:szCs w:val="25"/>
        </w:rPr>
        <w:t xml:space="preserve">or dates </w:t>
      </w:r>
      <w:r w:rsidR="005B3E0A">
        <w:rPr>
          <w:sz w:val="25"/>
          <w:szCs w:val="25"/>
        </w:rPr>
        <w:t xml:space="preserve">an installment is due unless Olympic Mover requests, and the Commission approves, a different accounting treatment. </w:t>
      </w:r>
    </w:p>
    <w:p w14:paraId="5F966A54" w14:textId="6B1346A3" w:rsidR="005B3E0A" w:rsidRPr="00323F91" w:rsidRDefault="005B3E0A" w:rsidP="00323F91">
      <w:pPr>
        <w:pStyle w:val="ListParagraph"/>
        <w:numPr>
          <w:ilvl w:val="0"/>
          <w:numId w:val="24"/>
        </w:numPr>
        <w:spacing w:after="240" w:line="264" w:lineRule="auto"/>
        <w:rPr>
          <w:sz w:val="25"/>
          <w:szCs w:val="25"/>
        </w:rPr>
      </w:pPr>
      <w:r>
        <w:rPr>
          <w:sz w:val="25"/>
          <w:szCs w:val="25"/>
        </w:rPr>
        <w:t>Olympic Movers does not object to the standard Commission requirement for installment payment</w:t>
      </w:r>
      <w:r w:rsidR="00333309">
        <w:rPr>
          <w:sz w:val="25"/>
          <w:szCs w:val="25"/>
        </w:rPr>
        <w:t xml:space="preserve"> plan</w:t>
      </w:r>
      <w:r>
        <w:rPr>
          <w:sz w:val="25"/>
          <w:szCs w:val="25"/>
        </w:rPr>
        <w:t>s that if the Company fails to make a timely payment</w:t>
      </w:r>
      <w:r w:rsidR="00333309">
        <w:rPr>
          <w:sz w:val="25"/>
          <w:szCs w:val="25"/>
        </w:rPr>
        <w:t xml:space="preserve"> of an installment</w:t>
      </w:r>
      <w:r>
        <w:rPr>
          <w:sz w:val="25"/>
          <w:szCs w:val="25"/>
        </w:rPr>
        <w:t xml:space="preserve">, the entire remaining balance of the penalty immediately will be due and payable without further Commission </w:t>
      </w:r>
      <w:r w:rsidR="00333309">
        <w:rPr>
          <w:sz w:val="25"/>
          <w:szCs w:val="25"/>
        </w:rPr>
        <w:t>order</w:t>
      </w:r>
      <w:r>
        <w:rPr>
          <w:sz w:val="25"/>
          <w:szCs w:val="25"/>
        </w:rPr>
        <w:t>.</w:t>
      </w:r>
    </w:p>
    <w:p w14:paraId="489F39D0" w14:textId="5D89DB0B" w:rsidR="00CC5973" w:rsidRDefault="00D335C5" w:rsidP="005055F3">
      <w:pPr>
        <w:numPr>
          <w:ilvl w:val="0"/>
          <w:numId w:val="10"/>
        </w:numPr>
        <w:spacing w:line="264" w:lineRule="auto"/>
        <w:ind w:hanging="720"/>
        <w:rPr>
          <w:sz w:val="25"/>
          <w:szCs w:val="25"/>
        </w:rPr>
      </w:pPr>
      <w:r>
        <w:rPr>
          <w:sz w:val="25"/>
          <w:szCs w:val="25"/>
        </w:rPr>
        <w:lastRenderedPageBreak/>
        <w:t>Julian Beattie</w:t>
      </w:r>
      <w:r w:rsidR="00E31BE9" w:rsidRPr="006749DE">
        <w:rPr>
          <w:sz w:val="25"/>
          <w:szCs w:val="25"/>
        </w:rPr>
        <w:t xml:space="preserve">, Assistant Attorney General, Olympia, Washington, represents the Staff.  </w:t>
      </w:r>
      <w:r w:rsidR="003614B1">
        <w:rPr>
          <w:sz w:val="25"/>
          <w:szCs w:val="25"/>
        </w:rPr>
        <w:t>J</w:t>
      </w:r>
      <w:r>
        <w:rPr>
          <w:sz w:val="25"/>
          <w:szCs w:val="25"/>
        </w:rPr>
        <w:t>oseph A. Rehberger, Cascade Law Group PLLC</w:t>
      </w:r>
      <w:r w:rsidR="00E31BE9">
        <w:rPr>
          <w:sz w:val="25"/>
          <w:szCs w:val="25"/>
        </w:rPr>
        <w:t>,</w:t>
      </w:r>
      <w:r w:rsidR="00E31BE9" w:rsidRPr="006749DE">
        <w:rPr>
          <w:sz w:val="25"/>
          <w:szCs w:val="25"/>
        </w:rPr>
        <w:t xml:space="preserve"> </w:t>
      </w:r>
      <w:r>
        <w:rPr>
          <w:sz w:val="25"/>
          <w:szCs w:val="25"/>
        </w:rPr>
        <w:t>Olympia</w:t>
      </w:r>
      <w:r w:rsidR="00E31BE9" w:rsidRPr="006749DE">
        <w:rPr>
          <w:sz w:val="25"/>
          <w:szCs w:val="25"/>
        </w:rPr>
        <w:t>, Washington, represent</w:t>
      </w:r>
      <w:r w:rsidR="00212638">
        <w:rPr>
          <w:sz w:val="25"/>
          <w:szCs w:val="25"/>
        </w:rPr>
        <w:t>s</w:t>
      </w:r>
      <w:r w:rsidR="00E31BE9" w:rsidRPr="006749DE">
        <w:rPr>
          <w:sz w:val="25"/>
          <w:szCs w:val="25"/>
        </w:rPr>
        <w:t xml:space="preserve"> </w:t>
      </w:r>
      <w:r>
        <w:rPr>
          <w:sz w:val="25"/>
          <w:szCs w:val="25"/>
        </w:rPr>
        <w:t>Olympic Movers</w:t>
      </w:r>
      <w:r w:rsidR="00E31BE9" w:rsidRPr="006749DE">
        <w:rPr>
          <w:sz w:val="25"/>
          <w:szCs w:val="25"/>
        </w:rPr>
        <w:t>.</w:t>
      </w:r>
    </w:p>
    <w:p w14:paraId="598B05F7" w14:textId="77777777" w:rsidR="00507042" w:rsidRDefault="00507042" w:rsidP="005055F3">
      <w:pPr>
        <w:spacing w:line="264" w:lineRule="auto"/>
        <w:jc w:val="center"/>
        <w:rPr>
          <w:rFonts w:eastAsia="Calibri"/>
          <w:b/>
          <w:sz w:val="25"/>
          <w:szCs w:val="25"/>
        </w:rPr>
      </w:pPr>
    </w:p>
    <w:p w14:paraId="1F79B216" w14:textId="77777777" w:rsidR="002851A4" w:rsidRPr="002851A4" w:rsidRDefault="002851A4" w:rsidP="005055F3">
      <w:pPr>
        <w:spacing w:line="264" w:lineRule="auto"/>
        <w:jc w:val="center"/>
        <w:rPr>
          <w:rFonts w:eastAsia="Calibri"/>
          <w:b/>
          <w:sz w:val="25"/>
          <w:szCs w:val="25"/>
        </w:rPr>
      </w:pPr>
      <w:r w:rsidRPr="002851A4">
        <w:rPr>
          <w:rFonts w:eastAsia="Calibri"/>
          <w:b/>
          <w:sz w:val="25"/>
          <w:szCs w:val="25"/>
        </w:rPr>
        <w:t>DISCUSSION AND DECISION</w:t>
      </w:r>
    </w:p>
    <w:p w14:paraId="1AB1C173" w14:textId="77777777" w:rsidR="002851A4" w:rsidRPr="00A43DC9" w:rsidRDefault="002851A4" w:rsidP="005055F3">
      <w:pPr>
        <w:spacing w:line="264" w:lineRule="auto"/>
        <w:rPr>
          <w:rFonts w:eastAsia="Calibri"/>
          <w:sz w:val="25"/>
          <w:szCs w:val="25"/>
        </w:rPr>
      </w:pPr>
    </w:p>
    <w:p w14:paraId="305708E2" w14:textId="77777777" w:rsidR="007069FF" w:rsidRPr="007069FF" w:rsidRDefault="007069FF" w:rsidP="005055F3">
      <w:pPr>
        <w:numPr>
          <w:ilvl w:val="0"/>
          <w:numId w:val="10"/>
        </w:numPr>
        <w:spacing w:line="264" w:lineRule="auto"/>
        <w:ind w:hanging="720"/>
        <w:rPr>
          <w:sz w:val="25"/>
          <w:szCs w:val="25"/>
        </w:rPr>
      </w:pPr>
      <w:r w:rsidRPr="007069FF">
        <w:rPr>
          <w:color w:val="000000"/>
          <w:sz w:val="25"/>
          <w:szCs w:val="25"/>
        </w:rPr>
        <w:t xml:space="preserve">WAC 480-07-750(1) states in part: “The commission will approve settlements when doing so is lawful, the settlement terms are supported by an appropriate record, and when the result is consistent with the public interest in light of all the information available to </w:t>
      </w:r>
      <w:r w:rsidRPr="007069FF">
        <w:rPr>
          <w:sz w:val="25"/>
          <w:szCs w:val="25"/>
        </w:rPr>
        <w:t>the</w:t>
      </w:r>
      <w:r w:rsidRPr="007069FF">
        <w:rPr>
          <w:color w:val="000000"/>
          <w:sz w:val="25"/>
          <w:szCs w:val="25"/>
        </w:rPr>
        <w:t xml:space="preserve"> commission.”  </w:t>
      </w:r>
      <w:r w:rsidRPr="007069FF">
        <w:rPr>
          <w:sz w:val="25"/>
          <w:szCs w:val="25"/>
        </w:rPr>
        <w:t>Thus</w:t>
      </w:r>
      <w:r w:rsidRPr="007069FF">
        <w:rPr>
          <w:color w:val="000000"/>
          <w:sz w:val="25"/>
          <w:szCs w:val="25"/>
        </w:rPr>
        <w:t>, the Commission considers the individual components of the Settlement Agreement under a three-part inquiry, asking:</w:t>
      </w:r>
    </w:p>
    <w:p w14:paraId="15FC911C" w14:textId="77777777" w:rsidR="007069FF" w:rsidRPr="007069FF" w:rsidRDefault="007069FF" w:rsidP="005055F3">
      <w:pPr>
        <w:spacing w:line="264" w:lineRule="auto"/>
        <w:rPr>
          <w:sz w:val="25"/>
          <w:szCs w:val="25"/>
        </w:rPr>
      </w:pPr>
    </w:p>
    <w:p w14:paraId="15578BD5" w14:textId="77777777" w:rsidR="007069FF" w:rsidRPr="007069FF" w:rsidRDefault="007069FF" w:rsidP="005055F3">
      <w:pPr>
        <w:numPr>
          <w:ilvl w:val="0"/>
          <w:numId w:val="20"/>
        </w:numPr>
        <w:spacing w:line="264" w:lineRule="auto"/>
        <w:ind w:left="720"/>
        <w:rPr>
          <w:color w:val="000000"/>
          <w:sz w:val="25"/>
          <w:szCs w:val="25"/>
        </w:rPr>
      </w:pPr>
      <w:r w:rsidRPr="007069FF">
        <w:rPr>
          <w:color w:val="000000"/>
          <w:sz w:val="25"/>
          <w:szCs w:val="25"/>
        </w:rPr>
        <w:t xml:space="preserve">Whether any aspect of the proposal is contrary to law. </w:t>
      </w:r>
    </w:p>
    <w:p w14:paraId="5A9C27BE" w14:textId="77777777" w:rsidR="007069FF" w:rsidRPr="007069FF" w:rsidRDefault="007069FF" w:rsidP="005055F3">
      <w:pPr>
        <w:numPr>
          <w:ilvl w:val="0"/>
          <w:numId w:val="20"/>
        </w:numPr>
        <w:spacing w:line="264" w:lineRule="auto"/>
        <w:ind w:left="720"/>
        <w:rPr>
          <w:color w:val="000000"/>
          <w:sz w:val="25"/>
          <w:szCs w:val="25"/>
        </w:rPr>
      </w:pPr>
      <w:r w:rsidRPr="007069FF">
        <w:rPr>
          <w:color w:val="000000"/>
          <w:sz w:val="25"/>
          <w:szCs w:val="25"/>
        </w:rPr>
        <w:t xml:space="preserve">Whether any aspect of the proposal offends public policy. </w:t>
      </w:r>
    </w:p>
    <w:p w14:paraId="33AD9B29" w14:textId="77777777" w:rsidR="007069FF" w:rsidRPr="007069FF" w:rsidRDefault="007069FF" w:rsidP="005055F3">
      <w:pPr>
        <w:numPr>
          <w:ilvl w:val="0"/>
          <w:numId w:val="20"/>
        </w:numPr>
        <w:spacing w:line="264" w:lineRule="auto"/>
        <w:ind w:left="720"/>
        <w:rPr>
          <w:color w:val="000000"/>
          <w:sz w:val="25"/>
          <w:szCs w:val="25"/>
        </w:rPr>
      </w:pPr>
      <w:r w:rsidRPr="007069FF">
        <w:rPr>
          <w:color w:val="000000"/>
          <w:sz w:val="25"/>
          <w:szCs w:val="25"/>
        </w:rPr>
        <w:t>Whether the evidence supports the proposed elements of the Settlement Agreement as a reasonable resolution of the issue(s) at hand.</w:t>
      </w:r>
    </w:p>
    <w:p w14:paraId="26264664" w14:textId="77777777" w:rsidR="007069FF" w:rsidRPr="007069FF" w:rsidRDefault="007069FF" w:rsidP="005055F3">
      <w:pPr>
        <w:spacing w:line="264" w:lineRule="auto"/>
        <w:rPr>
          <w:sz w:val="25"/>
          <w:szCs w:val="25"/>
        </w:rPr>
      </w:pPr>
    </w:p>
    <w:p w14:paraId="256743A5" w14:textId="77777777" w:rsidR="007069FF" w:rsidRPr="007069FF" w:rsidRDefault="007069FF" w:rsidP="005055F3">
      <w:pPr>
        <w:spacing w:line="264" w:lineRule="auto"/>
        <w:rPr>
          <w:sz w:val="25"/>
          <w:szCs w:val="25"/>
        </w:rPr>
      </w:pPr>
      <w:r w:rsidRPr="007069FF">
        <w:rPr>
          <w:color w:val="000000"/>
          <w:sz w:val="25"/>
          <w:szCs w:val="25"/>
        </w:rPr>
        <w:t>The Commission must determine one of three possible results:</w:t>
      </w:r>
    </w:p>
    <w:p w14:paraId="059AD834" w14:textId="77777777" w:rsidR="007069FF" w:rsidRPr="007069FF" w:rsidRDefault="007069FF" w:rsidP="005055F3">
      <w:pPr>
        <w:spacing w:line="264" w:lineRule="auto"/>
        <w:rPr>
          <w:sz w:val="25"/>
          <w:szCs w:val="25"/>
        </w:rPr>
      </w:pPr>
    </w:p>
    <w:p w14:paraId="2064EC67" w14:textId="77777777" w:rsidR="007069FF" w:rsidRPr="007069FF" w:rsidRDefault="007069FF" w:rsidP="005055F3">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without condition. </w:t>
      </w:r>
    </w:p>
    <w:p w14:paraId="5ACDF705" w14:textId="77777777" w:rsidR="007069FF" w:rsidRPr="007069FF" w:rsidRDefault="007069FF" w:rsidP="005055F3">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subject to conditions. </w:t>
      </w:r>
    </w:p>
    <w:p w14:paraId="2A8A5F39" w14:textId="77777777" w:rsidR="007069FF" w:rsidRPr="007069FF" w:rsidRDefault="007069FF" w:rsidP="005055F3">
      <w:pPr>
        <w:numPr>
          <w:ilvl w:val="0"/>
          <w:numId w:val="20"/>
        </w:numPr>
        <w:spacing w:line="264" w:lineRule="auto"/>
        <w:ind w:left="720"/>
        <w:rPr>
          <w:color w:val="000000"/>
          <w:sz w:val="25"/>
          <w:szCs w:val="25"/>
        </w:rPr>
      </w:pPr>
      <w:r w:rsidRPr="007069FF">
        <w:rPr>
          <w:sz w:val="25"/>
          <w:szCs w:val="25"/>
        </w:rPr>
        <w:t>Reject</w:t>
      </w:r>
      <w:r w:rsidRPr="007069FF">
        <w:rPr>
          <w:color w:val="000000"/>
          <w:sz w:val="25"/>
          <w:szCs w:val="25"/>
        </w:rPr>
        <w:t xml:space="preserve"> the proposed settlement.</w:t>
      </w:r>
      <w:r w:rsidRPr="007069FF">
        <w:rPr>
          <w:color w:val="000000"/>
          <w:position w:val="8"/>
          <w:sz w:val="25"/>
          <w:szCs w:val="25"/>
          <w:vertAlign w:val="superscript"/>
        </w:rPr>
        <w:t xml:space="preserve"> </w:t>
      </w:r>
    </w:p>
    <w:p w14:paraId="1973D079" w14:textId="77777777" w:rsidR="007069FF" w:rsidRPr="007069FF" w:rsidRDefault="007069FF" w:rsidP="005055F3">
      <w:pPr>
        <w:spacing w:line="264" w:lineRule="auto"/>
        <w:ind w:left="720"/>
        <w:rPr>
          <w:sz w:val="25"/>
          <w:szCs w:val="25"/>
        </w:rPr>
      </w:pPr>
    </w:p>
    <w:p w14:paraId="11E99645" w14:textId="6220FF8E" w:rsidR="00F77831" w:rsidRDefault="00F77831" w:rsidP="00F77831">
      <w:pPr>
        <w:numPr>
          <w:ilvl w:val="0"/>
          <w:numId w:val="10"/>
        </w:numPr>
        <w:spacing w:after="240" w:line="264" w:lineRule="auto"/>
        <w:ind w:hanging="720"/>
        <w:rPr>
          <w:sz w:val="25"/>
          <w:szCs w:val="25"/>
        </w:rPr>
      </w:pPr>
      <w:r>
        <w:rPr>
          <w:sz w:val="25"/>
          <w:szCs w:val="25"/>
        </w:rPr>
        <w:t>T</w:t>
      </w:r>
      <w:r w:rsidR="007069FF" w:rsidRPr="00F227AF">
        <w:rPr>
          <w:sz w:val="25"/>
          <w:szCs w:val="25"/>
        </w:rPr>
        <w:t xml:space="preserve">he </w:t>
      </w:r>
      <w:r w:rsidR="00A32857">
        <w:rPr>
          <w:sz w:val="25"/>
          <w:szCs w:val="25"/>
        </w:rPr>
        <w:t>Commission approve</w:t>
      </w:r>
      <w:r w:rsidR="00507042">
        <w:rPr>
          <w:sz w:val="25"/>
          <w:szCs w:val="25"/>
        </w:rPr>
        <w:t>s</w:t>
      </w:r>
      <w:r w:rsidR="00A32857">
        <w:rPr>
          <w:sz w:val="25"/>
          <w:szCs w:val="25"/>
        </w:rPr>
        <w:t xml:space="preserve"> the </w:t>
      </w:r>
      <w:r w:rsidR="007069FF" w:rsidRPr="00F227AF">
        <w:rPr>
          <w:sz w:val="25"/>
          <w:szCs w:val="25"/>
        </w:rPr>
        <w:t>Settlement</w:t>
      </w:r>
      <w:r>
        <w:rPr>
          <w:sz w:val="25"/>
          <w:szCs w:val="25"/>
        </w:rPr>
        <w:t xml:space="preserve"> </w:t>
      </w:r>
      <w:r w:rsidR="005B3E0A">
        <w:rPr>
          <w:sz w:val="25"/>
          <w:szCs w:val="25"/>
        </w:rPr>
        <w:t xml:space="preserve">as clarified </w:t>
      </w:r>
      <w:r w:rsidR="00333309">
        <w:rPr>
          <w:sz w:val="25"/>
          <w:szCs w:val="25"/>
        </w:rPr>
        <w:t xml:space="preserve">during the Settlement Hearing </w:t>
      </w:r>
      <w:r w:rsidR="007069FF" w:rsidRPr="00F227AF">
        <w:rPr>
          <w:sz w:val="25"/>
          <w:szCs w:val="25"/>
        </w:rPr>
        <w:t>with</w:t>
      </w:r>
      <w:r w:rsidR="00034C9D">
        <w:rPr>
          <w:sz w:val="25"/>
          <w:szCs w:val="25"/>
        </w:rPr>
        <w:t xml:space="preserve"> one condition</w:t>
      </w:r>
      <w:r w:rsidR="007069FF" w:rsidRPr="00F227AF">
        <w:rPr>
          <w:sz w:val="25"/>
          <w:szCs w:val="25"/>
        </w:rPr>
        <w:t xml:space="preserve">.  </w:t>
      </w:r>
      <w:r w:rsidR="008452EF" w:rsidRPr="00F227AF">
        <w:rPr>
          <w:sz w:val="25"/>
          <w:szCs w:val="25"/>
        </w:rPr>
        <w:t xml:space="preserve">The parties made concessions </w:t>
      </w:r>
      <w:r>
        <w:rPr>
          <w:sz w:val="25"/>
          <w:szCs w:val="25"/>
        </w:rPr>
        <w:t>in the</w:t>
      </w:r>
      <w:r w:rsidR="00891A8A">
        <w:rPr>
          <w:sz w:val="25"/>
          <w:szCs w:val="25"/>
        </w:rPr>
        <w:t xml:space="preserve"> Settlement</w:t>
      </w:r>
      <w:r>
        <w:rPr>
          <w:sz w:val="25"/>
          <w:szCs w:val="25"/>
        </w:rPr>
        <w:t xml:space="preserve"> </w:t>
      </w:r>
      <w:r w:rsidR="008452EF" w:rsidRPr="00F227AF">
        <w:rPr>
          <w:sz w:val="25"/>
          <w:szCs w:val="25"/>
        </w:rPr>
        <w:t>relative to their respective litigation positions to arrive at end results that are support</w:t>
      </w:r>
      <w:r w:rsidR="003614B1">
        <w:rPr>
          <w:sz w:val="25"/>
          <w:szCs w:val="25"/>
        </w:rPr>
        <w:t xml:space="preserve">ed by the evidence in the record.  </w:t>
      </w:r>
      <w:r w:rsidR="00847C90">
        <w:rPr>
          <w:sz w:val="25"/>
          <w:szCs w:val="25"/>
        </w:rPr>
        <w:t>Olympic Movers</w:t>
      </w:r>
      <w:r w:rsidR="00212638" w:rsidRPr="00F227AF">
        <w:rPr>
          <w:sz w:val="25"/>
          <w:szCs w:val="25"/>
        </w:rPr>
        <w:t xml:space="preserve"> </w:t>
      </w:r>
      <w:r w:rsidR="008452EF" w:rsidRPr="00F227AF">
        <w:rPr>
          <w:sz w:val="25"/>
          <w:szCs w:val="25"/>
        </w:rPr>
        <w:t xml:space="preserve">admits </w:t>
      </w:r>
      <w:r w:rsidR="00212638" w:rsidRPr="00F227AF">
        <w:rPr>
          <w:sz w:val="25"/>
          <w:szCs w:val="25"/>
        </w:rPr>
        <w:t xml:space="preserve">that </w:t>
      </w:r>
      <w:r w:rsidR="00F227AF" w:rsidRPr="00F227AF">
        <w:rPr>
          <w:sz w:val="25"/>
          <w:szCs w:val="25"/>
        </w:rPr>
        <w:t>its conduct violated</w:t>
      </w:r>
      <w:r w:rsidR="00212638" w:rsidRPr="00F227AF">
        <w:rPr>
          <w:sz w:val="25"/>
          <w:szCs w:val="25"/>
        </w:rPr>
        <w:t xml:space="preserve"> </w:t>
      </w:r>
      <w:r w:rsidR="00847C90" w:rsidRPr="00026A7E">
        <w:rPr>
          <w:sz w:val="25"/>
          <w:szCs w:val="25"/>
        </w:rPr>
        <w:t>RCW 81.04.070, WAC 480-15, and Tariff 15-C</w:t>
      </w:r>
      <w:r w:rsidR="008452EF" w:rsidRPr="00F227AF">
        <w:rPr>
          <w:sz w:val="25"/>
          <w:szCs w:val="25"/>
        </w:rPr>
        <w:t xml:space="preserve">.  </w:t>
      </w:r>
      <w:r w:rsidR="00C747F9" w:rsidRPr="00F227AF">
        <w:rPr>
          <w:sz w:val="25"/>
          <w:szCs w:val="25"/>
        </w:rPr>
        <w:t xml:space="preserve">The </w:t>
      </w:r>
      <w:r w:rsidR="00847C90">
        <w:rPr>
          <w:sz w:val="25"/>
          <w:szCs w:val="25"/>
        </w:rPr>
        <w:t>$88</w:t>
      </w:r>
      <w:r w:rsidR="00DC419F">
        <w:rPr>
          <w:sz w:val="25"/>
          <w:szCs w:val="25"/>
        </w:rPr>
        <w:t>,000 penalty, $</w:t>
      </w:r>
      <w:r w:rsidR="00847C90">
        <w:rPr>
          <w:sz w:val="25"/>
          <w:szCs w:val="25"/>
        </w:rPr>
        <w:t>43</w:t>
      </w:r>
      <w:r w:rsidR="003614B1">
        <w:rPr>
          <w:sz w:val="25"/>
          <w:szCs w:val="25"/>
        </w:rPr>
        <w:t>,</w:t>
      </w:r>
      <w:r w:rsidR="00847C90">
        <w:rPr>
          <w:sz w:val="25"/>
          <w:szCs w:val="25"/>
        </w:rPr>
        <w:t>0</w:t>
      </w:r>
      <w:r w:rsidR="003614B1">
        <w:rPr>
          <w:sz w:val="25"/>
          <w:szCs w:val="25"/>
        </w:rPr>
        <w:t>00</w:t>
      </w:r>
      <w:r w:rsidR="00DC419F">
        <w:rPr>
          <w:sz w:val="25"/>
          <w:szCs w:val="25"/>
        </w:rPr>
        <w:t xml:space="preserve"> of which is suspended, is reasonable, both in terms of the $</w:t>
      </w:r>
      <w:r w:rsidR="00847C90">
        <w:rPr>
          <w:sz w:val="25"/>
          <w:szCs w:val="25"/>
        </w:rPr>
        <w:t>45</w:t>
      </w:r>
      <w:r w:rsidR="00DC419F">
        <w:rPr>
          <w:sz w:val="25"/>
          <w:szCs w:val="25"/>
        </w:rPr>
        <w:t>,</w:t>
      </w:r>
      <w:r w:rsidR="00847C90">
        <w:rPr>
          <w:sz w:val="25"/>
          <w:szCs w:val="25"/>
        </w:rPr>
        <w:t>0</w:t>
      </w:r>
      <w:r w:rsidR="00DC419F">
        <w:rPr>
          <w:sz w:val="25"/>
          <w:szCs w:val="25"/>
        </w:rPr>
        <w:t>00</w:t>
      </w:r>
      <w:r w:rsidR="003614B1">
        <w:rPr>
          <w:sz w:val="25"/>
          <w:szCs w:val="25"/>
        </w:rPr>
        <w:t xml:space="preserve"> </w:t>
      </w:r>
      <w:r w:rsidR="00C747F9" w:rsidRPr="00F227AF">
        <w:rPr>
          <w:sz w:val="25"/>
          <w:szCs w:val="25"/>
        </w:rPr>
        <w:t>penalty</w:t>
      </w:r>
      <w:r w:rsidR="008452EF" w:rsidRPr="00F227AF">
        <w:rPr>
          <w:sz w:val="25"/>
          <w:szCs w:val="25"/>
        </w:rPr>
        <w:t xml:space="preserve"> the Company </w:t>
      </w:r>
      <w:r w:rsidR="00DC419F">
        <w:rPr>
          <w:sz w:val="25"/>
          <w:szCs w:val="25"/>
        </w:rPr>
        <w:t>must pay now, and the suspended amount it must pay if it fails to comply with the Order</w:t>
      </w:r>
      <w:r w:rsidR="00087CFD">
        <w:rPr>
          <w:sz w:val="25"/>
          <w:szCs w:val="25"/>
        </w:rPr>
        <w:t>.</w:t>
      </w:r>
      <w:r w:rsidR="00847C90">
        <w:rPr>
          <w:sz w:val="25"/>
          <w:szCs w:val="25"/>
        </w:rPr>
        <w:t xml:space="preserve">  The Settlement also properly requires Olympic Movers to refund the </w:t>
      </w:r>
      <w:r w:rsidR="00847C90" w:rsidRPr="00026A7E">
        <w:rPr>
          <w:sz w:val="25"/>
          <w:szCs w:val="25"/>
        </w:rPr>
        <w:t>$4,175.44</w:t>
      </w:r>
      <w:r w:rsidR="00847C90">
        <w:rPr>
          <w:sz w:val="25"/>
          <w:szCs w:val="25"/>
        </w:rPr>
        <w:t xml:space="preserve"> in </w:t>
      </w:r>
      <w:r w:rsidR="00891A8A">
        <w:rPr>
          <w:sz w:val="25"/>
          <w:szCs w:val="25"/>
        </w:rPr>
        <w:t xml:space="preserve">incorrectly billed </w:t>
      </w:r>
      <w:r w:rsidR="00847C90">
        <w:rPr>
          <w:sz w:val="25"/>
          <w:szCs w:val="25"/>
        </w:rPr>
        <w:t>charges to its customers</w:t>
      </w:r>
      <w:r w:rsidR="00034C9D">
        <w:rPr>
          <w:sz w:val="25"/>
          <w:szCs w:val="25"/>
        </w:rPr>
        <w:t xml:space="preserve"> and</w:t>
      </w:r>
      <w:r w:rsidR="00847C90">
        <w:rPr>
          <w:sz w:val="25"/>
          <w:szCs w:val="25"/>
        </w:rPr>
        <w:t xml:space="preserve"> </w:t>
      </w:r>
      <w:r w:rsidR="00034C9D">
        <w:rPr>
          <w:sz w:val="25"/>
          <w:szCs w:val="25"/>
        </w:rPr>
        <w:t xml:space="preserve">undertake a good faith and diligent compliance effort, including but not limited to </w:t>
      </w:r>
      <w:r w:rsidR="00847C90">
        <w:rPr>
          <w:sz w:val="25"/>
          <w:szCs w:val="25"/>
        </w:rPr>
        <w:t>submit</w:t>
      </w:r>
      <w:r w:rsidR="00034C9D">
        <w:rPr>
          <w:sz w:val="25"/>
          <w:szCs w:val="25"/>
        </w:rPr>
        <w:t>ting</w:t>
      </w:r>
      <w:r w:rsidR="00847C90">
        <w:rPr>
          <w:sz w:val="25"/>
          <w:szCs w:val="25"/>
        </w:rPr>
        <w:t xml:space="preserve"> a</w:t>
      </w:r>
      <w:r w:rsidR="005B3E0A">
        <w:rPr>
          <w:sz w:val="25"/>
          <w:szCs w:val="25"/>
        </w:rPr>
        <w:t>n acceptable</w:t>
      </w:r>
      <w:r w:rsidR="00847C90">
        <w:rPr>
          <w:sz w:val="25"/>
          <w:szCs w:val="25"/>
        </w:rPr>
        <w:t xml:space="preserve"> compliance plan and attend</w:t>
      </w:r>
      <w:r w:rsidR="00034C9D">
        <w:rPr>
          <w:sz w:val="25"/>
          <w:szCs w:val="25"/>
        </w:rPr>
        <w:t>ing</w:t>
      </w:r>
      <w:r w:rsidR="00847C90">
        <w:rPr>
          <w:sz w:val="25"/>
          <w:szCs w:val="25"/>
        </w:rPr>
        <w:t xml:space="preserve"> Commission-sponsored training to assist in preventing future violations of the legal requirements addressed in Staff’s investigation report.</w:t>
      </w:r>
    </w:p>
    <w:p w14:paraId="34844F79" w14:textId="07AB6C7D" w:rsidR="007069FF" w:rsidRPr="00BC2B36" w:rsidRDefault="00F77831" w:rsidP="005055F3">
      <w:pPr>
        <w:numPr>
          <w:ilvl w:val="0"/>
          <w:numId w:val="10"/>
        </w:numPr>
        <w:spacing w:line="264" w:lineRule="auto"/>
        <w:ind w:hanging="720"/>
        <w:rPr>
          <w:sz w:val="25"/>
          <w:szCs w:val="25"/>
        </w:rPr>
      </w:pPr>
      <w:r>
        <w:rPr>
          <w:sz w:val="25"/>
          <w:szCs w:val="25"/>
        </w:rPr>
        <w:t xml:space="preserve">The parties agreed that the Commission should permit Olympic Movers to pay the $45,000 penalty that is not suspended in 18 equal monthly installments.  The Commission generally does not permit such an extended payment schedule, but </w:t>
      </w:r>
      <w:r w:rsidR="00A32857">
        <w:rPr>
          <w:sz w:val="25"/>
          <w:szCs w:val="25"/>
        </w:rPr>
        <w:t xml:space="preserve">in light of the amount of the penalty relative to the size of the Company, the parties’ agreed repayment plan is acceptable with one </w:t>
      </w:r>
      <w:r w:rsidR="00034C9D">
        <w:rPr>
          <w:sz w:val="25"/>
          <w:szCs w:val="25"/>
        </w:rPr>
        <w:t>condition</w:t>
      </w:r>
      <w:r w:rsidR="00A32857">
        <w:rPr>
          <w:sz w:val="25"/>
          <w:szCs w:val="25"/>
        </w:rPr>
        <w:t xml:space="preserve">.  Consistent with the Commission’s standard requirements for </w:t>
      </w:r>
      <w:r w:rsidR="00034C9D">
        <w:rPr>
          <w:sz w:val="25"/>
          <w:szCs w:val="25"/>
        </w:rPr>
        <w:t>all installment payment plan</w:t>
      </w:r>
      <w:r w:rsidR="00A32857">
        <w:rPr>
          <w:sz w:val="25"/>
          <w:szCs w:val="25"/>
        </w:rPr>
        <w:t>s, if Olympic Movers fails to pay any installment by the date it is due, the entire remaining balance will become immediately due and payable without further Commission order.  We also note that failure to make timely payments is a violation of the Settlement</w:t>
      </w:r>
      <w:r w:rsidR="00891A8A">
        <w:rPr>
          <w:sz w:val="25"/>
          <w:szCs w:val="25"/>
        </w:rPr>
        <w:t>,</w:t>
      </w:r>
      <w:r w:rsidR="00A32857">
        <w:rPr>
          <w:sz w:val="25"/>
          <w:szCs w:val="25"/>
        </w:rPr>
        <w:t xml:space="preserve"> which under its terms would authorize Staff to seek imposition of the $43,000 suspended portion of the total penalty amount.</w:t>
      </w:r>
      <w:r w:rsidR="00EE2AB9" w:rsidRPr="00BC2B36">
        <w:rPr>
          <w:sz w:val="25"/>
          <w:szCs w:val="25"/>
        </w:rPr>
        <w:br/>
      </w:r>
    </w:p>
    <w:p w14:paraId="52E9A2E2" w14:textId="7EDE1C69" w:rsidR="007069FF" w:rsidRPr="00F227AF" w:rsidRDefault="00F77831" w:rsidP="005055F3">
      <w:pPr>
        <w:numPr>
          <w:ilvl w:val="0"/>
          <w:numId w:val="10"/>
        </w:numPr>
        <w:spacing w:line="264" w:lineRule="auto"/>
        <w:ind w:hanging="720"/>
        <w:rPr>
          <w:sz w:val="25"/>
          <w:szCs w:val="25"/>
        </w:rPr>
      </w:pPr>
      <w:r>
        <w:rPr>
          <w:sz w:val="25"/>
          <w:szCs w:val="25"/>
        </w:rPr>
        <w:t xml:space="preserve">With this </w:t>
      </w:r>
      <w:r w:rsidR="00034C9D">
        <w:rPr>
          <w:sz w:val="25"/>
          <w:szCs w:val="25"/>
        </w:rPr>
        <w:t>condition</w:t>
      </w:r>
      <w:r>
        <w:rPr>
          <w:sz w:val="25"/>
          <w:szCs w:val="25"/>
        </w:rPr>
        <w:t>, t</w:t>
      </w:r>
      <w:r w:rsidR="007069FF" w:rsidRPr="00F227AF">
        <w:rPr>
          <w:sz w:val="25"/>
          <w:szCs w:val="25"/>
        </w:rPr>
        <w:t xml:space="preserve">he terms </w:t>
      </w:r>
      <w:r w:rsidR="0074419B" w:rsidRPr="00F227AF">
        <w:rPr>
          <w:sz w:val="25"/>
          <w:szCs w:val="25"/>
        </w:rPr>
        <w:t>of</w:t>
      </w:r>
      <w:r w:rsidR="007069FF" w:rsidRPr="00F227AF">
        <w:rPr>
          <w:sz w:val="25"/>
          <w:szCs w:val="25"/>
        </w:rPr>
        <w:t xml:space="preserve"> the Settlement Agreement are not contrary to law or public policy and reasonably resolve </w:t>
      </w:r>
      <w:r w:rsidR="00347C31" w:rsidRPr="00F227AF">
        <w:rPr>
          <w:sz w:val="25"/>
          <w:szCs w:val="25"/>
        </w:rPr>
        <w:t xml:space="preserve">all issues in this proceeding.  </w:t>
      </w:r>
      <w:r w:rsidR="00891A8A">
        <w:rPr>
          <w:sz w:val="25"/>
          <w:szCs w:val="25"/>
        </w:rPr>
        <w:t>The Settlement</w:t>
      </w:r>
      <w:r w:rsidR="00230229">
        <w:rPr>
          <w:sz w:val="25"/>
          <w:szCs w:val="25"/>
        </w:rPr>
        <w:t xml:space="preserve"> supports the Commission’s goal of deterring illegal operations and permits the Company to pay a reduced penalty contingent on the Company </w:t>
      </w:r>
      <w:r w:rsidR="00891A8A">
        <w:rPr>
          <w:sz w:val="25"/>
          <w:szCs w:val="25"/>
        </w:rPr>
        <w:t>complying with the Settlement</w:t>
      </w:r>
      <w:r w:rsidR="00230229">
        <w:rPr>
          <w:sz w:val="25"/>
          <w:szCs w:val="25"/>
        </w:rPr>
        <w:t xml:space="preserve"> for one year, which provides an incentive for ongoing compliance. </w:t>
      </w:r>
      <w:r w:rsidR="002F0912">
        <w:rPr>
          <w:sz w:val="25"/>
          <w:szCs w:val="25"/>
        </w:rPr>
        <w:t xml:space="preserve"> </w:t>
      </w:r>
      <w:r w:rsidR="00347C31" w:rsidRPr="00F227AF">
        <w:rPr>
          <w:sz w:val="25"/>
          <w:szCs w:val="25"/>
        </w:rPr>
        <w:t xml:space="preserve">Given these factors, we </w:t>
      </w:r>
      <w:r w:rsidR="007069FF" w:rsidRPr="00F227AF">
        <w:rPr>
          <w:sz w:val="25"/>
          <w:szCs w:val="25"/>
        </w:rPr>
        <w:t>find the Settlement</w:t>
      </w:r>
      <w:r w:rsidR="00847C90">
        <w:rPr>
          <w:sz w:val="25"/>
          <w:szCs w:val="25"/>
        </w:rPr>
        <w:t xml:space="preserve"> </w:t>
      </w:r>
      <w:r w:rsidR="007069FF" w:rsidRPr="00F227AF">
        <w:rPr>
          <w:sz w:val="25"/>
          <w:szCs w:val="25"/>
        </w:rPr>
        <w:t>is consistent with the public interest</w:t>
      </w:r>
      <w:r>
        <w:rPr>
          <w:sz w:val="25"/>
          <w:szCs w:val="25"/>
        </w:rPr>
        <w:t xml:space="preserve"> and should be approved</w:t>
      </w:r>
      <w:r w:rsidR="006B4B79" w:rsidRPr="00F227AF">
        <w:rPr>
          <w:sz w:val="25"/>
          <w:szCs w:val="25"/>
        </w:rPr>
        <w:t>.</w:t>
      </w:r>
    </w:p>
    <w:p w14:paraId="681A8E58" w14:textId="77777777" w:rsidR="00A43DC9" w:rsidRPr="00A43DC9" w:rsidRDefault="00A43DC9" w:rsidP="005055F3">
      <w:pPr>
        <w:pStyle w:val="ListParagraph"/>
        <w:spacing w:line="264" w:lineRule="auto"/>
        <w:rPr>
          <w:sz w:val="25"/>
          <w:szCs w:val="25"/>
        </w:rPr>
      </w:pPr>
    </w:p>
    <w:p w14:paraId="5DD3A26E" w14:textId="77777777" w:rsidR="00A43DC9" w:rsidRPr="00A43DC9" w:rsidRDefault="00A43DC9" w:rsidP="005055F3">
      <w:pPr>
        <w:pStyle w:val="ListParagraph"/>
        <w:tabs>
          <w:tab w:val="left" w:pos="0"/>
        </w:tabs>
        <w:spacing w:line="264" w:lineRule="auto"/>
        <w:ind w:left="0"/>
        <w:jc w:val="center"/>
        <w:rPr>
          <w:b/>
          <w:sz w:val="25"/>
          <w:szCs w:val="25"/>
        </w:rPr>
      </w:pPr>
      <w:r w:rsidRPr="00A43DC9">
        <w:rPr>
          <w:b/>
          <w:sz w:val="25"/>
          <w:szCs w:val="25"/>
        </w:rPr>
        <w:t>ORDER</w:t>
      </w:r>
    </w:p>
    <w:p w14:paraId="1B0B3559" w14:textId="77777777" w:rsidR="00A43DC9" w:rsidRDefault="00A43DC9" w:rsidP="005055F3">
      <w:pPr>
        <w:spacing w:line="264" w:lineRule="auto"/>
        <w:ind w:left="-720" w:firstLine="720"/>
        <w:rPr>
          <w:b/>
          <w:sz w:val="25"/>
          <w:szCs w:val="25"/>
        </w:rPr>
      </w:pPr>
    </w:p>
    <w:p w14:paraId="180A5394" w14:textId="77777777" w:rsidR="00A43DC9" w:rsidRPr="00D87220" w:rsidRDefault="00A43DC9" w:rsidP="005055F3">
      <w:pPr>
        <w:spacing w:line="264" w:lineRule="auto"/>
        <w:ind w:left="-720" w:firstLine="720"/>
        <w:rPr>
          <w:sz w:val="25"/>
          <w:szCs w:val="25"/>
        </w:rPr>
      </w:pPr>
      <w:r w:rsidRPr="00A43DC9">
        <w:rPr>
          <w:sz w:val="25"/>
          <w:szCs w:val="25"/>
        </w:rPr>
        <w:t>THE COMMISSION ORDERS:</w:t>
      </w:r>
    </w:p>
    <w:p w14:paraId="5F3509BD" w14:textId="77777777" w:rsidR="00A43DC9" w:rsidRPr="00A43DC9" w:rsidRDefault="00A43DC9" w:rsidP="005055F3">
      <w:pPr>
        <w:spacing w:line="264" w:lineRule="auto"/>
        <w:ind w:left="-720" w:firstLine="720"/>
        <w:rPr>
          <w:sz w:val="25"/>
          <w:szCs w:val="25"/>
        </w:rPr>
      </w:pPr>
    </w:p>
    <w:p w14:paraId="10C3819D" w14:textId="2FC3B21E" w:rsidR="00A43DC9" w:rsidRDefault="00A43DC9" w:rsidP="005055F3">
      <w:pPr>
        <w:numPr>
          <w:ilvl w:val="0"/>
          <w:numId w:val="10"/>
        </w:numPr>
        <w:spacing w:line="264" w:lineRule="auto"/>
        <w:ind w:left="720" w:hanging="1440"/>
        <w:rPr>
          <w:rFonts w:eastAsia="Calibri"/>
          <w:sz w:val="25"/>
          <w:szCs w:val="25"/>
        </w:rPr>
      </w:pPr>
      <w:r w:rsidRPr="002851A4">
        <w:rPr>
          <w:rFonts w:eastAsia="Calibri"/>
          <w:sz w:val="25"/>
          <w:szCs w:val="25"/>
        </w:rPr>
        <w:t>(1)</w:t>
      </w:r>
      <w:r w:rsidRPr="002851A4">
        <w:rPr>
          <w:rFonts w:eastAsia="Calibri"/>
          <w:sz w:val="25"/>
          <w:szCs w:val="25"/>
        </w:rPr>
        <w:tab/>
      </w:r>
      <w:r w:rsidR="002851A4" w:rsidRPr="002851A4">
        <w:rPr>
          <w:rFonts w:eastAsia="Calibri"/>
          <w:sz w:val="25"/>
          <w:szCs w:val="25"/>
        </w:rPr>
        <w:t xml:space="preserve">The </w:t>
      </w:r>
      <w:r w:rsidR="00847C90">
        <w:rPr>
          <w:rFonts w:eastAsia="Calibri"/>
          <w:sz w:val="25"/>
          <w:szCs w:val="25"/>
        </w:rPr>
        <w:t xml:space="preserve">Commission approves the </w:t>
      </w:r>
      <w:r w:rsidR="002851A4">
        <w:rPr>
          <w:sz w:val="25"/>
          <w:szCs w:val="25"/>
        </w:rPr>
        <w:t>Settlement</w:t>
      </w:r>
      <w:r w:rsidR="00507042">
        <w:rPr>
          <w:sz w:val="25"/>
          <w:szCs w:val="25"/>
        </w:rPr>
        <w:t xml:space="preserve"> Agreement</w:t>
      </w:r>
      <w:r w:rsidR="00395E32">
        <w:rPr>
          <w:sz w:val="25"/>
          <w:szCs w:val="25"/>
        </w:rPr>
        <w:t>,</w:t>
      </w:r>
      <w:r w:rsidR="002851A4">
        <w:rPr>
          <w:sz w:val="25"/>
          <w:szCs w:val="25"/>
        </w:rPr>
        <w:t xml:space="preserve"> </w:t>
      </w:r>
      <w:r w:rsidR="00847C90">
        <w:rPr>
          <w:sz w:val="25"/>
          <w:szCs w:val="25"/>
        </w:rPr>
        <w:t xml:space="preserve">which </w:t>
      </w:r>
      <w:r w:rsidR="002851A4">
        <w:rPr>
          <w:sz w:val="25"/>
          <w:szCs w:val="25"/>
        </w:rPr>
        <w:t>is attached as Exhibit A to, and incorporated into, this Order</w:t>
      </w:r>
      <w:r w:rsidR="00395E32">
        <w:rPr>
          <w:sz w:val="25"/>
          <w:szCs w:val="25"/>
        </w:rPr>
        <w:t>,</w:t>
      </w:r>
      <w:r w:rsidR="002851A4">
        <w:rPr>
          <w:sz w:val="25"/>
          <w:szCs w:val="25"/>
        </w:rPr>
        <w:t xml:space="preserve"> </w:t>
      </w:r>
      <w:r w:rsidR="00333309">
        <w:rPr>
          <w:sz w:val="25"/>
          <w:szCs w:val="25"/>
        </w:rPr>
        <w:t>as clarified by the parties during the S</w:t>
      </w:r>
      <w:r w:rsidR="00034C9D">
        <w:rPr>
          <w:sz w:val="25"/>
          <w:szCs w:val="25"/>
        </w:rPr>
        <w:t>ettlement H</w:t>
      </w:r>
      <w:r w:rsidR="00333309">
        <w:rPr>
          <w:sz w:val="25"/>
          <w:szCs w:val="25"/>
        </w:rPr>
        <w:t xml:space="preserve">earing, </w:t>
      </w:r>
      <w:r w:rsidR="002851A4">
        <w:rPr>
          <w:sz w:val="25"/>
          <w:szCs w:val="25"/>
        </w:rPr>
        <w:t xml:space="preserve">and </w:t>
      </w:r>
      <w:r w:rsidR="008D5433">
        <w:rPr>
          <w:sz w:val="25"/>
          <w:szCs w:val="25"/>
        </w:rPr>
        <w:t xml:space="preserve">the Commission </w:t>
      </w:r>
      <w:r w:rsidR="002851A4">
        <w:rPr>
          <w:sz w:val="25"/>
          <w:szCs w:val="25"/>
        </w:rPr>
        <w:t>adopt</w:t>
      </w:r>
      <w:r w:rsidR="00847C90">
        <w:rPr>
          <w:sz w:val="25"/>
          <w:szCs w:val="25"/>
        </w:rPr>
        <w:t>s th</w:t>
      </w:r>
      <w:r w:rsidR="008D5433">
        <w:rPr>
          <w:sz w:val="25"/>
          <w:szCs w:val="25"/>
        </w:rPr>
        <w:t>e Settlement A</w:t>
      </w:r>
      <w:r w:rsidR="00847C90">
        <w:rPr>
          <w:sz w:val="25"/>
          <w:szCs w:val="25"/>
        </w:rPr>
        <w:t>greement</w:t>
      </w:r>
      <w:r w:rsidR="002851A4">
        <w:rPr>
          <w:sz w:val="25"/>
          <w:szCs w:val="25"/>
        </w:rPr>
        <w:t xml:space="preserve"> as the final resolution of the disputed issues in th</w:t>
      </w:r>
      <w:r w:rsidR="00395E32">
        <w:rPr>
          <w:sz w:val="25"/>
          <w:szCs w:val="25"/>
        </w:rPr>
        <w:t>is</w:t>
      </w:r>
      <w:r w:rsidR="002851A4">
        <w:rPr>
          <w:sz w:val="25"/>
          <w:szCs w:val="25"/>
        </w:rPr>
        <w:t xml:space="preserve"> docket</w:t>
      </w:r>
      <w:r w:rsidR="00847C90">
        <w:rPr>
          <w:sz w:val="25"/>
          <w:szCs w:val="25"/>
        </w:rPr>
        <w:t xml:space="preserve"> as modified in this Order</w:t>
      </w:r>
      <w:r w:rsidR="008452EF">
        <w:rPr>
          <w:sz w:val="25"/>
          <w:szCs w:val="25"/>
        </w:rPr>
        <w:t>.</w:t>
      </w:r>
    </w:p>
    <w:p w14:paraId="3750115E" w14:textId="77777777" w:rsidR="002851A4" w:rsidRPr="002851A4" w:rsidRDefault="002851A4" w:rsidP="005055F3">
      <w:pPr>
        <w:spacing w:line="264" w:lineRule="auto"/>
        <w:rPr>
          <w:rFonts w:eastAsia="Calibri"/>
          <w:sz w:val="25"/>
          <w:szCs w:val="25"/>
        </w:rPr>
      </w:pPr>
    </w:p>
    <w:p w14:paraId="6BB5A2B9" w14:textId="2CF94840" w:rsidR="00477074" w:rsidRPr="00477074" w:rsidRDefault="00A43DC9" w:rsidP="00A32857">
      <w:pPr>
        <w:numPr>
          <w:ilvl w:val="0"/>
          <w:numId w:val="10"/>
        </w:numPr>
        <w:spacing w:line="264" w:lineRule="auto"/>
        <w:ind w:left="720" w:hanging="1440"/>
        <w:rPr>
          <w:rFonts w:eastAsia="Calibri"/>
          <w:sz w:val="25"/>
          <w:szCs w:val="25"/>
        </w:rPr>
      </w:pPr>
      <w:r w:rsidRPr="00230229">
        <w:rPr>
          <w:rFonts w:eastAsia="Calibri"/>
          <w:sz w:val="25"/>
          <w:szCs w:val="25"/>
        </w:rPr>
        <w:t>(2)</w:t>
      </w:r>
      <w:r w:rsidRPr="00230229">
        <w:rPr>
          <w:rFonts w:eastAsia="Calibri"/>
          <w:sz w:val="25"/>
          <w:szCs w:val="25"/>
        </w:rPr>
        <w:tab/>
      </w:r>
      <w:r w:rsidR="00A32857">
        <w:rPr>
          <w:rFonts w:eastAsia="Calibri"/>
          <w:sz w:val="25"/>
          <w:szCs w:val="25"/>
        </w:rPr>
        <w:t xml:space="preserve">The Commission assesses Olympic </w:t>
      </w:r>
      <w:r w:rsidR="00A32857">
        <w:rPr>
          <w:sz w:val="25"/>
          <w:szCs w:val="25"/>
        </w:rPr>
        <w:t>Moving &amp; Storage, Inc., d/b/a Olympic Movers a penalty of $88,000</w:t>
      </w:r>
      <w:r w:rsidR="007634C9">
        <w:rPr>
          <w:sz w:val="25"/>
          <w:szCs w:val="25"/>
        </w:rPr>
        <w:t xml:space="preserve"> of which $43,000 is suspended for </w:t>
      </w:r>
      <w:r w:rsidR="00333309">
        <w:rPr>
          <w:sz w:val="25"/>
          <w:szCs w:val="25"/>
        </w:rPr>
        <w:t>up to eighteen months</w:t>
      </w:r>
      <w:r w:rsidR="007634C9">
        <w:rPr>
          <w:sz w:val="25"/>
          <w:szCs w:val="25"/>
        </w:rPr>
        <w:t xml:space="preserve"> from the effective date of this Order conditioned on </w:t>
      </w:r>
      <w:r w:rsidR="007634C9">
        <w:rPr>
          <w:rFonts w:eastAsia="Calibri"/>
          <w:sz w:val="25"/>
          <w:szCs w:val="25"/>
        </w:rPr>
        <w:t xml:space="preserve">Olympic </w:t>
      </w:r>
      <w:r w:rsidR="007634C9">
        <w:rPr>
          <w:sz w:val="25"/>
          <w:szCs w:val="25"/>
        </w:rPr>
        <w:t>Moving &amp; Storage, Inc., d/b/a Olympic Movers</w:t>
      </w:r>
      <w:r w:rsidR="00CA56F2">
        <w:rPr>
          <w:sz w:val="25"/>
          <w:szCs w:val="25"/>
        </w:rPr>
        <w:t xml:space="preserve"> complying with the terms of this Order</w:t>
      </w:r>
      <w:r w:rsidR="00230229">
        <w:rPr>
          <w:sz w:val="25"/>
          <w:szCs w:val="25"/>
        </w:rPr>
        <w:t>.</w:t>
      </w:r>
      <w:r w:rsidR="00CA56F2">
        <w:rPr>
          <w:sz w:val="25"/>
          <w:szCs w:val="25"/>
        </w:rPr>
        <w:t xml:space="preserve">  </w:t>
      </w:r>
    </w:p>
    <w:p w14:paraId="0C09FB1A" w14:textId="77777777" w:rsidR="00477074" w:rsidRDefault="00477074" w:rsidP="00477074">
      <w:pPr>
        <w:pStyle w:val="ListParagraph"/>
        <w:rPr>
          <w:rFonts w:eastAsia="Calibri"/>
          <w:sz w:val="25"/>
          <w:szCs w:val="25"/>
        </w:rPr>
      </w:pPr>
    </w:p>
    <w:p w14:paraId="2C41CEB2" w14:textId="2A207E18" w:rsidR="0043009C" w:rsidRPr="00230229" w:rsidRDefault="00477074" w:rsidP="00A32857">
      <w:pPr>
        <w:numPr>
          <w:ilvl w:val="0"/>
          <w:numId w:val="10"/>
        </w:numPr>
        <w:spacing w:line="264" w:lineRule="auto"/>
        <w:ind w:left="720" w:hanging="1440"/>
        <w:rPr>
          <w:rFonts w:eastAsia="Calibri"/>
          <w:sz w:val="25"/>
          <w:szCs w:val="25"/>
        </w:rPr>
      </w:pPr>
      <w:r>
        <w:rPr>
          <w:rFonts w:eastAsia="Calibri"/>
          <w:sz w:val="25"/>
          <w:szCs w:val="25"/>
        </w:rPr>
        <w:t>(3)</w:t>
      </w:r>
      <w:r>
        <w:rPr>
          <w:rFonts w:eastAsia="Calibri"/>
          <w:sz w:val="25"/>
          <w:szCs w:val="25"/>
        </w:rPr>
        <w:tab/>
      </w:r>
      <w:r w:rsidR="00CA56F2">
        <w:rPr>
          <w:rFonts w:eastAsia="Calibri"/>
          <w:sz w:val="25"/>
          <w:szCs w:val="25"/>
        </w:rPr>
        <w:t xml:space="preserve">Olympic </w:t>
      </w:r>
      <w:r w:rsidR="00CA56F2">
        <w:rPr>
          <w:sz w:val="25"/>
          <w:szCs w:val="25"/>
        </w:rPr>
        <w:t xml:space="preserve">Moving &amp; Storage, Inc., d/b/a Olympic Movers may pay the $45,000 of the penalty that is not suspended in </w:t>
      </w:r>
      <w:r w:rsidR="008D5433">
        <w:rPr>
          <w:sz w:val="25"/>
          <w:szCs w:val="25"/>
        </w:rPr>
        <w:t xml:space="preserve">consecutive </w:t>
      </w:r>
      <w:r w:rsidR="00CA56F2">
        <w:rPr>
          <w:sz w:val="25"/>
          <w:szCs w:val="25"/>
        </w:rPr>
        <w:t>monthly installments</w:t>
      </w:r>
      <w:r w:rsidR="008D5433">
        <w:rPr>
          <w:sz w:val="25"/>
          <w:szCs w:val="25"/>
        </w:rPr>
        <w:t xml:space="preserve"> of $2,500</w:t>
      </w:r>
      <w:r w:rsidR="00CA56F2">
        <w:rPr>
          <w:sz w:val="25"/>
          <w:szCs w:val="25"/>
        </w:rPr>
        <w:t xml:space="preserve">, each of which is due and payable </w:t>
      </w:r>
      <w:r w:rsidR="008D5433">
        <w:rPr>
          <w:sz w:val="25"/>
          <w:szCs w:val="25"/>
        </w:rPr>
        <w:t>no later than</w:t>
      </w:r>
      <w:r w:rsidR="00CA56F2">
        <w:rPr>
          <w:sz w:val="25"/>
          <w:szCs w:val="25"/>
        </w:rPr>
        <w:t xml:space="preserve"> the tenth day of each month </w:t>
      </w:r>
      <w:r w:rsidR="008D5433">
        <w:rPr>
          <w:sz w:val="25"/>
          <w:szCs w:val="25"/>
        </w:rPr>
        <w:t xml:space="preserve">for 18 months </w:t>
      </w:r>
      <w:r w:rsidR="00CA56F2">
        <w:rPr>
          <w:sz w:val="25"/>
          <w:szCs w:val="25"/>
        </w:rPr>
        <w:t xml:space="preserve">beginning the first full month after the effective date of this Order.  </w:t>
      </w:r>
      <w:r>
        <w:rPr>
          <w:rFonts w:eastAsia="Calibri"/>
          <w:sz w:val="25"/>
          <w:szCs w:val="25"/>
        </w:rPr>
        <w:t xml:space="preserve">Olympic </w:t>
      </w:r>
      <w:r>
        <w:rPr>
          <w:sz w:val="25"/>
          <w:szCs w:val="25"/>
        </w:rPr>
        <w:t xml:space="preserve">Moving &amp; Storage, Inc., d/b/a Olympic Movers may make payments in advance of these due dates to discharge its </w:t>
      </w:r>
      <w:r w:rsidR="008D5433">
        <w:rPr>
          <w:sz w:val="25"/>
          <w:szCs w:val="25"/>
        </w:rPr>
        <w:t xml:space="preserve">payment </w:t>
      </w:r>
      <w:r>
        <w:rPr>
          <w:sz w:val="25"/>
          <w:szCs w:val="25"/>
        </w:rPr>
        <w:t>obligation, but if it fails to pay any installment by the due date, the entire remaining balance of payments will become immediately due and payable without further Commission order.</w:t>
      </w:r>
      <w:r w:rsidR="00230229">
        <w:rPr>
          <w:sz w:val="25"/>
          <w:szCs w:val="25"/>
        </w:rPr>
        <w:br/>
      </w:r>
    </w:p>
    <w:p w14:paraId="71FD777E" w14:textId="4E6AB504" w:rsidR="00230229" w:rsidRDefault="00477074" w:rsidP="005055F3">
      <w:pPr>
        <w:numPr>
          <w:ilvl w:val="0"/>
          <w:numId w:val="10"/>
        </w:numPr>
        <w:spacing w:line="264" w:lineRule="auto"/>
        <w:ind w:left="720" w:hanging="1440"/>
        <w:rPr>
          <w:rFonts w:eastAsia="Calibri"/>
          <w:sz w:val="25"/>
          <w:szCs w:val="25"/>
        </w:rPr>
      </w:pPr>
      <w:r>
        <w:rPr>
          <w:rFonts w:eastAsia="Calibri"/>
          <w:sz w:val="25"/>
          <w:szCs w:val="25"/>
        </w:rPr>
        <w:t>(4</w:t>
      </w:r>
      <w:r w:rsidR="0043009C" w:rsidRPr="00230229">
        <w:rPr>
          <w:rFonts w:eastAsia="Calibri"/>
          <w:sz w:val="25"/>
          <w:szCs w:val="25"/>
        </w:rPr>
        <w:t>)</w:t>
      </w:r>
      <w:r w:rsidR="0043009C" w:rsidRPr="00230229">
        <w:rPr>
          <w:rFonts w:eastAsia="Calibri"/>
          <w:sz w:val="25"/>
          <w:szCs w:val="25"/>
        </w:rPr>
        <w:tab/>
      </w:r>
      <w:r w:rsidR="00CA56F2">
        <w:rPr>
          <w:rFonts w:eastAsia="Calibri"/>
          <w:sz w:val="25"/>
          <w:szCs w:val="25"/>
        </w:rPr>
        <w:t xml:space="preserve">Olympic </w:t>
      </w:r>
      <w:r w:rsidR="00CA56F2">
        <w:rPr>
          <w:sz w:val="25"/>
          <w:szCs w:val="25"/>
        </w:rPr>
        <w:t>Moving &amp; Storage, Inc., d/b/a Olympic Movers must issue refunds to its customers totaling $4,175.44 as required under paragraph 9 of the Settlement Agreement within 30 days of the effective date of this Order</w:t>
      </w:r>
      <w:r w:rsidR="00DC419F">
        <w:rPr>
          <w:sz w:val="25"/>
          <w:szCs w:val="25"/>
        </w:rPr>
        <w:t>.</w:t>
      </w:r>
    </w:p>
    <w:p w14:paraId="0A55CA98" w14:textId="77777777" w:rsidR="0066216E" w:rsidRDefault="0066216E" w:rsidP="005055F3">
      <w:pPr>
        <w:pStyle w:val="ListParagraph"/>
        <w:spacing w:line="264" w:lineRule="auto"/>
        <w:rPr>
          <w:rFonts w:eastAsia="Calibri"/>
          <w:sz w:val="25"/>
          <w:szCs w:val="25"/>
        </w:rPr>
      </w:pPr>
    </w:p>
    <w:p w14:paraId="692B958B" w14:textId="54A0B9F5" w:rsidR="00CA56F2" w:rsidRDefault="0066216E" w:rsidP="005055F3">
      <w:pPr>
        <w:numPr>
          <w:ilvl w:val="0"/>
          <w:numId w:val="10"/>
        </w:numPr>
        <w:spacing w:line="264" w:lineRule="auto"/>
        <w:ind w:left="720" w:hanging="1440"/>
        <w:rPr>
          <w:rFonts w:eastAsia="Calibri"/>
          <w:sz w:val="25"/>
          <w:szCs w:val="25"/>
        </w:rPr>
      </w:pPr>
      <w:r>
        <w:rPr>
          <w:rFonts w:eastAsia="Calibri"/>
          <w:sz w:val="25"/>
          <w:szCs w:val="25"/>
        </w:rPr>
        <w:t>(</w:t>
      </w:r>
      <w:r w:rsidR="00477074">
        <w:rPr>
          <w:rFonts w:eastAsia="Calibri"/>
          <w:sz w:val="25"/>
          <w:szCs w:val="25"/>
        </w:rPr>
        <w:t>5</w:t>
      </w:r>
      <w:r>
        <w:rPr>
          <w:rFonts w:eastAsia="Calibri"/>
          <w:sz w:val="25"/>
          <w:szCs w:val="25"/>
        </w:rPr>
        <w:t>)</w:t>
      </w:r>
      <w:r>
        <w:rPr>
          <w:rFonts w:eastAsia="Calibri"/>
          <w:sz w:val="25"/>
          <w:szCs w:val="25"/>
        </w:rPr>
        <w:tab/>
      </w:r>
      <w:r w:rsidR="00CA56F2">
        <w:rPr>
          <w:rFonts w:eastAsia="Calibri"/>
          <w:sz w:val="25"/>
          <w:szCs w:val="25"/>
        </w:rPr>
        <w:t xml:space="preserve">Olympic </w:t>
      </w:r>
      <w:r w:rsidR="00CA56F2">
        <w:rPr>
          <w:sz w:val="25"/>
          <w:szCs w:val="25"/>
        </w:rPr>
        <w:t>Moving &amp; Storage, Inc., d/b/a Olympic Movers must submit a compliance plan as required under paragraph 10 of the Settlement Agreement within 45 days of the effective date of this Order</w:t>
      </w:r>
      <w:r w:rsidR="00CA56F2">
        <w:rPr>
          <w:rFonts w:eastAsia="Calibri"/>
          <w:sz w:val="25"/>
          <w:szCs w:val="25"/>
        </w:rPr>
        <w:t>.</w:t>
      </w:r>
    </w:p>
    <w:p w14:paraId="54D46089" w14:textId="77777777" w:rsidR="00CA56F2" w:rsidRDefault="00CA56F2" w:rsidP="00CA56F2">
      <w:pPr>
        <w:pStyle w:val="ListParagraph"/>
        <w:rPr>
          <w:rFonts w:eastAsia="Calibri"/>
          <w:sz w:val="25"/>
          <w:szCs w:val="25"/>
        </w:rPr>
      </w:pPr>
    </w:p>
    <w:p w14:paraId="0D4261A6" w14:textId="7AD03011" w:rsidR="00CA56F2" w:rsidRDefault="00477074" w:rsidP="005055F3">
      <w:pPr>
        <w:numPr>
          <w:ilvl w:val="0"/>
          <w:numId w:val="10"/>
        </w:numPr>
        <w:spacing w:line="264" w:lineRule="auto"/>
        <w:ind w:left="720" w:hanging="1440"/>
        <w:rPr>
          <w:rFonts w:eastAsia="Calibri"/>
          <w:sz w:val="25"/>
          <w:szCs w:val="25"/>
        </w:rPr>
      </w:pPr>
      <w:r>
        <w:rPr>
          <w:rFonts w:eastAsia="Calibri"/>
          <w:sz w:val="25"/>
          <w:szCs w:val="25"/>
        </w:rPr>
        <w:t>(6</w:t>
      </w:r>
      <w:r w:rsidR="00CA56F2">
        <w:rPr>
          <w:rFonts w:eastAsia="Calibri"/>
          <w:sz w:val="25"/>
          <w:szCs w:val="25"/>
        </w:rPr>
        <w:t>)</w:t>
      </w:r>
      <w:r w:rsidR="00CA56F2">
        <w:rPr>
          <w:rFonts w:eastAsia="Calibri"/>
          <w:sz w:val="25"/>
          <w:szCs w:val="25"/>
        </w:rPr>
        <w:tab/>
        <w:t xml:space="preserve">Olympic </w:t>
      </w:r>
      <w:r w:rsidR="00CA56F2">
        <w:rPr>
          <w:sz w:val="25"/>
          <w:szCs w:val="25"/>
        </w:rPr>
        <w:t>Moving &amp; Storage, Inc., d/b/a Olympic Movers must have its employees attend a Commission-sponsored household goods carrier training as required under paragraph 12 of the Settlement Agreement within one year of the effective date of this Order</w:t>
      </w:r>
      <w:r w:rsidR="00CA56F2">
        <w:rPr>
          <w:rFonts w:eastAsia="Calibri"/>
          <w:sz w:val="25"/>
          <w:szCs w:val="25"/>
        </w:rPr>
        <w:t>.</w:t>
      </w:r>
    </w:p>
    <w:p w14:paraId="63AD4D88" w14:textId="77777777" w:rsidR="00CA56F2" w:rsidRDefault="00CA56F2" w:rsidP="00CA56F2">
      <w:pPr>
        <w:pStyle w:val="ListParagraph"/>
        <w:rPr>
          <w:rFonts w:eastAsia="Calibri"/>
          <w:sz w:val="25"/>
          <w:szCs w:val="25"/>
        </w:rPr>
      </w:pPr>
    </w:p>
    <w:p w14:paraId="1849F007" w14:textId="3EF799B4" w:rsidR="0066216E" w:rsidRPr="008D5433" w:rsidRDefault="00477074" w:rsidP="008D5433">
      <w:pPr>
        <w:numPr>
          <w:ilvl w:val="0"/>
          <w:numId w:val="10"/>
        </w:numPr>
        <w:spacing w:line="264" w:lineRule="auto"/>
        <w:ind w:left="720" w:hanging="1440"/>
        <w:rPr>
          <w:rFonts w:eastAsia="Calibri"/>
          <w:sz w:val="25"/>
          <w:szCs w:val="25"/>
        </w:rPr>
      </w:pPr>
      <w:r>
        <w:rPr>
          <w:rFonts w:eastAsia="Calibri"/>
          <w:sz w:val="25"/>
          <w:szCs w:val="25"/>
        </w:rPr>
        <w:t>(7</w:t>
      </w:r>
      <w:r w:rsidR="00CA56F2">
        <w:rPr>
          <w:rFonts w:eastAsia="Calibri"/>
          <w:sz w:val="25"/>
          <w:szCs w:val="25"/>
        </w:rPr>
        <w:t>)</w:t>
      </w:r>
      <w:r w:rsidR="00CA56F2">
        <w:rPr>
          <w:rFonts w:eastAsia="Calibri"/>
          <w:sz w:val="25"/>
          <w:szCs w:val="25"/>
        </w:rPr>
        <w:tab/>
      </w:r>
      <w:r w:rsidR="008D5433">
        <w:rPr>
          <w:rFonts w:eastAsia="Calibri"/>
          <w:sz w:val="25"/>
          <w:szCs w:val="25"/>
        </w:rPr>
        <w:t>W</w:t>
      </w:r>
      <w:r w:rsidR="008D5433" w:rsidRPr="008D5433">
        <w:rPr>
          <w:rFonts w:eastAsia="Calibri"/>
          <w:sz w:val="25"/>
          <w:szCs w:val="25"/>
        </w:rPr>
        <w:t>ithin one year of the effective date of this Order</w:t>
      </w:r>
      <w:r w:rsidR="008D5433">
        <w:rPr>
          <w:rFonts w:eastAsia="Calibri"/>
          <w:sz w:val="25"/>
          <w:szCs w:val="25"/>
        </w:rPr>
        <w:t>,</w:t>
      </w:r>
      <w:r w:rsidR="008D5433" w:rsidRPr="008D5433">
        <w:rPr>
          <w:rFonts w:eastAsia="Calibri"/>
          <w:sz w:val="25"/>
          <w:szCs w:val="25"/>
        </w:rPr>
        <w:t xml:space="preserve"> </w:t>
      </w:r>
      <w:r w:rsidR="0066216E" w:rsidRPr="008D5433">
        <w:rPr>
          <w:rFonts w:eastAsia="Calibri"/>
          <w:sz w:val="25"/>
          <w:szCs w:val="25"/>
        </w:rPr>
        <w:t xml:space="preserve">Commission Staff </w:t>
      </w:r>
      <w:r w:rsidR="00377724" w:rsidRPr="008D5433">
        <w:rPr>
          <w:rFonts w:eastAsia="Calibri"/>
          <w:sz w:val="25"/>
          <w:szCs w:val="25"/>
        </w:rPr>
        <w:t>must</w:t>
      </w:r>
      <w:r w:rsidR="0066216E" w:rsidRPr="008D5433">
        <w:rPr>
          <w:rFonts w:eastAsia="Calibri"/>
          <w:sz w:val="25"/>
          <w:szCs w:val="25"/>
        </w:rPr>
        <w:t xml:space="preserve"> </w:t>
      </w:r>
      <w:r w:rsidR="00333309">
        <w:rPr>
          <w:rFonts w:eastAsia="Calibri"/>
          <w:sz w:val="25"/>
          <w:szCs w:val="25"/>
        </w:rPr>
        <w:t xml:space="preserve">initiate a </w:t>
      </w:r>
      <w:r w:rsidR="008D5433" w:rsidRPr="008D5433">
        <w:rPr>
          <w:rFonts w:eastAsia="Calibri"/>
          <w:sz w:val="25"/>
          <w:szCs w:val="25"/>
        </w:rPr>
        <w:t>reinvestigat</w:t>
      </w:r>
      <w:r w:rsidR="00333309">
        <w:rPr>
          <w:rFonts w:eastAsia="Calibri"/>
          <w:sz w:val="25"/>
          <w:szCs w:val="25"/>
        </w:rPr>
        <w:t>ion of</w:t>
      </w:r>
      <w:r w:rsidR="008D5433" w:rsidRPr="008D5433">
        <w:rPr>
          <w:rFonts w:eastAsia="Calibri"/>
          <w:sz w:val="25"/>
          <w:szCs w:val="25"/>
        </w:rPr>
        <w:t xml:space="preserve"> </w:t>
      </w:r>
      <w:r w:rsidR="00A32857" w:rsidRPr="008D5433">
        <w:rPr>
          <w:rFonts w:eastAsia="Calibri"/>
          <w:sz w:val="25"/>
          <w:szCs w:val="25"/>
        </w:rPr>
        <w:t xml:space="preserve">Olympic </w:t>
      </w:r>
      <w:r w:rsidR="00A32857" w:rsidRPr="008D5433">
        <w:rPr>
          <w:sz w:val="25"/>
          <w:szCs w:val="25"/>
        </w:rPr>
        <w:t>Moving &amp; Storage, Inc., d/b/a Olympic Movers</w:t>
      </w:r>
      <w:r w:rsidR="00A32857" w:rsidRPr="008D5433">
        <w:rPr>
          <w:rFonts w:eastAsia="Calibri"/>
          <w:sz w:val="25"/>
          <w:szCs w:val="25"/>
        </w:rPr>
        <w:t xml:space="preserve"> </w:t>
      </w:r>
      <w:r w:rsidR="0066216E" w:rsidRPr="008D5433">
        <w:rPr>
          <w:rFonts w:eastAsia="Calibri"/>
          <w:sz w:val="25"/>
          <w:szCs w:val="25"/>
        </w:rPr>
        <w:t xml:space="preserve">to determine </w:t>
      </w:r>
      <w:r w:rsidR="003C416A" w:rsidRPr="008D5433">
        <w:rPr>
          <w:rFonts w:eastAsia="Calibri"/>
          <w:sz w:val="25"/>
          <w:szCs w:val="25"/>
        </w:rPr>
        <w:t>its compliance</w:t>
      </w:r>
      <w:r w:rsidR="00A32857" w:rsidRPr="008D5433">
        <w:rPr>
          <w:rFonts w:eastAsia="Calibri"/>
          <w:sz w:val="25"/>
          <w:szCs w:val="25"/>
        </w:rPr>
        <w:t xml:space="preserve"> with the terms of this Order</w:t>
      </w:r>
      <w:r w:rsidR="00034C9D">
        <w:rPr>
          <w:rFonts w:eastAsia="Calibri"/>
          <w:sz w:val="25"/>
          <w:szCs w:val="25"/>
        </w:rPr>
        <w:t>.  B</w:t>
      </w:r>
      <w:r w:rsidR="00333309">
        <w:rPr>
          <w:rFonts w:eastAsia="Calibri"/>
          <w:sz w:val="25"/>
          <w:szCs w:val="25"/>
        </w:rPr>
        <w:t xml:space="preserve">ased on the results of that reinvestigation, Staff must </w:t>
      </w:r>
      <w:r w:rsidR="00A32857" w:rsidRPr="008D5433">
        <w:rPr>
          <w:rFonts w:eastAsia="Calibri"/>
          <w:sz w:val="25"/>
          <w:szCs w:val="25"/>
        </w:rPr>
        <w:t xml:space="preserve">recommend </w:t>
      </w:r>
      <w:r w:rsidR="00034C9D">
        <w:rPr>
          <w:rFonts w:eastAsia="Calibri"/>
          <w:sz w:val="25"/>
          <w:szCs w:val="25"/>
        </w:rPr>
        <w:t xml:space="preserve">to the Commission </w:t>
      </w:r>
      <w:r w:rsidR="00A32857" w:rsidRPr="008D5433">
        <w:rPr>
          <w:rFonts w:eastAsia="Calibri"/>
          <w:sz w:val="25"/>
          <w:szCs w:val="25"/>
        </w:rPr>
        <w:t xml:space="preserve">whether </w:t>
      </w:r>
      <w:r w:rsidR="00034C9D">
        <w:rPr>
          <w:rFonts w:eastAsia="Calibri"/>
          <w:sz w:val="25"/>
          <w:szCs w:val="25"/>
        </w:rPr>
        <w:t>to</w:t>
      </w:r>
      <w:r w:rsidR="007634C9" w:rsidRPr="008D5433">
        <w:rPr>
          <w:rFonts w:eastAsia="Calibri"/>
          <w:sz w:val="25"/>
          <w:szCs w:val="25"/>
        </w:rPr>
        <w:t xml:space="preserve"> waive or impose the $43,000 suspended penalty amount</w:t>
      </w:r>
      <w:r w:rsidR="003C416A" w:rsidRPr="008D5433">
        <w:rPr>
          <w:rFonts w:eastAsia="Calibri"/>
          <w:sz w:val="25"/>
          <w:szCs w:val="25"/>
        </w:rPr>
        <w:t>.</w:t>
      </w:r>
    </w:p>
    <w:p w14:paraId="678A08F8" w14:textId="77777777" w:rsidR="00DB55BB" w:rsidRDefault="00DB55BB" w:rsidP="005055F3">
      <w:pPr>
        <w:pStyle w:val="ListParagraph"/>
        <w:spacing w:line="264" w:lineRule="auto"/>
        <w:rPr>
          <w:rFonts w:eastAsia="Calibri"/>
          <w:sz w:val="25"/>
          <w:szCs w:val="25"/>
        </w:rPr>
      </w:pPr>
    </w:p>
    <w:p w14:paraId="3586F66C" w14:textId="7570A783" w:rsidR="00A43DC9" w:rsidRDefault="00DB55BB" w:rsidP="005055F3">
      <w:pPr>
        <w:numPr>
          <w:ilvl w:val="0"/>
          <w:numId w:val="10"/>
        </w:numPr>
        <w:spacing w:line="264" w:lineRule="auto"/>
        <w:ind w:hanging="720"/>
        <w:rPr>
          <w:rFonts w:eastAsia="Calibri"/>
          <w:sz w:val="25"/>
          <w:szCs w:val="25"/>
        </w:rPr>
      </w:pPr>
      <w:r>
        <w:rPr>
          <w:rFonts w:eastAsia="Calibri"/>
          <w:sz w:val="25"/>
          <w:szCs w:val="25"/>
        </w:rPr>
        <w:t>(</w:t>
      </w:r>
      <w:r w:rsidR="00477074">
        <w:rPr>
          <w:rFonts w:eastAsia="Calibri"/>
          <w:sz w:val="25"/>
          <w:szCs w:val="25"/>
        </w:rPr>
        <w:t>8</w:t>
      </w:r>
      <w:r>
        <w:rPr>
          <w:rFonts w:eastAsia="Calibri"/>
          <w:sz w:val="25"/>
          <w:szCs w:val="25"/>
        </w:rPr>
        <w:t>)</w:t>
      </w:r>
      <w:r>
        <w:rPr>
          <w:rFonts w:eastAsia="Calibri"/>
          <w:sz w:val="25"/>
          <w:szCs w:val="25"/>
        </w:rPr>
        <w:tab/>
      </w:r>
      <w:r w:rsidR="00A43DC9">
        <w:rPr>
          <w:rFonts w:eastAsia="Calibri"/>
          <w:sz w:val="25"/>
          <w:szCs w:val="25"/>
        </w:rPr>
        <w:t xml:space="preserve">The </w:t>
      </w:r>
      <w:r w:rsidR="002851A4">
        <w:rPr>
          <w:rFonts w:eastAsia="Calibri"/>
          <w:sz w:val="25"/>
          <w:szCs w:val="25"/>
        </w:rPr>
        <w:t>Commission retains jurisdiction to e</w:t>
      </w:r>
      <w:r w:rsidR="005611B5">
        <w:rPr>
          <w:rFonts w:eastAsia="Calibri"/>
          <w:sz w:val="25"/>
          <w:szCs w:val="25"/>
        </w:rPr>
        <w:t>nforce</w:t>
      </w:r>
      <w:r w:rsidR="002851A4">
        <w:rPr>
          <w:rFonts w:eastAsia="Calibri"/>
          <w:sz w:val="25"/>
          <w:szCs w:val="25"/>
        </w:rPr>
        <w:t xml:space="preserve"> the terms of this Order</w:t>
      </w:r>
      <w:r w:rsidR="008E5161">
        <w:rPr>
          <w:rFonts w:eastAsia="Calibri"/>
          <w:sz w:val="25"/>
          <w:szCs w:val="25"/>
        </w:rPr>
        <w:t>.</w:t>
      </w:r>
    </w:p>
    <w:p w14:paraId="15A86F65" w14:textId="77777777" w:rsidR="005E28EE" w:rsidRPr="00A43DC9" w:rsidRDefault="005E28EE" w:rsidP="005055F3">
      <w:pPr>
        <w:spacing w:line="264" w:lineRule="auto"/>
        <w:rPr>
          <w:sz w:val="25"/>
          <w:szCs w:val="25"/>
        </w:rPr>
      </w:pPr>
      <w:bookmarkStart w:id="1" w:name="OLE_LINK3"/>
      <w:bookmarkStart w:id="2" w:name="OLE_LINK4"/>
    </w:p>
    <w:p w14:paraId="79C62737" w14:textId="316048A7" w:rsidR="00C34B05" w:rsidRPr="00A43DC9" w:rsidRDefault="00C34B05" w:rsidP="005055F3">
      <w:pPr>
        <w:spacing w:line="264" w:lineRule="auto"/>
        <w:rPr>
          <w:sz w:val="25"/>
          <w:szCs w:val="25"/>
        </w:rPr>
      </w:pPr>
      <w:r w:rsidRPr="00A43DC9">
        <w:rPr>
          <w:sz w:val="25"/>
          <w:szCs w:val="25"/>
        </w:rPr>
        <w:t xml:space="preserve">Dated at Olympia, Washington, and effective </w:t>
      </w:r>
      <w:r w:rsidR="00333309">
        <w:rPr>
          <w:sz w:val="25"/>
          <w:szCs w:val="25"/>
        </w:rPr>
        <w:t>February 1</w:t>
      </w:r>
      <w:r w:rsidR="002F0912">
        <w:rPr>
          <w:sz w:val="25"/>
          <w:szCs w:val="25"/>
        </w:rPr>
        <w:t>2</w:t>
      </w:r>
      <w:r w:rsidR="00230229">
        <w:rPr>
          <w:sz w:val="25"/>
          <w:szCs w:val="25"/>
        </w:rPr>
        <w:t>, 2015</w:t>
      </w:r>
      <w:r w:rsidRPr="00A43DC9">
        <w:rPr>
          <w:sz w:val="25"/>
          <w:szCs w:val="25"/>
        </w:rPr>
        <w:t>.</w:t>
      </w:r>
    </w:p>
    <w:p w14:paraId="41DB6BA8" w14:textId="77777777" w:rsidR="00C34B05" w:rsidRPr="00A43DC9" w:rsidRDefault="00C34B05" w:rsidP="005055F3">
      <w:pPr>
        <w:pStyle w:val="Header"/>
        <w:tabs>
          <w:tab w:val="clear" w:pos="4320"/>
          <w:tab w:val="clear" w:pos="8640"/>
        </w:tabs>
        <w:spacing w:line="264" w:lineRule="auto"/>
        <w:rPr>
          <w:sz w:val="25"/>
          <w:szCs w:val="25"/>
        </w:rPr>
      </w:pPr>
    </w:p>
    <w:p w14:paraId="19BDDD7B" w14:textId="77777777" w:rsidR="00C34B05" w:rsidRPr="00A43DC9" w:rsidRDefault="00C34B05" w:rsidP="005055F3">
      <w:pPr>
        <w:spacing w:line="264" w:lineRule="auto"/>
        <w:jc w:val="center"/>
        <w:rPr>
          <w:sz w:val="25"/>
          <w:szCs w:val="25"/>
        </w:rPr>
      </w:pPr>
      <w:r w:rsidRPr="00A43DC9">
        <w:rPr>
          <w:sz w:val="25"/>
          <w:szCs w:val="25"/>
        </w:rPr>
        <w:t>WASHINGTON UTILITIES AND TRANSPORTATION COMMISSION</w:t>
      </w:r>
    </w:p>
    <w:p w14:paraId="23E67C2C" w14:textId="77777777" w:rsidR="00C34B05" w:rsidRPr="00A43DC9" w:rsidRDefault="00C34B05" w:rsidP="005055F3">
      <w:pPr>
        <w:spacing w:line="264" w:lineRule="auto"/>
        <w:rPr>
          <w:sz w:val="25"/>
          <w:szCs w:val="25"/>
        </w:rPr>
      </w:pPr>
    </w:p>
    <w:p w14:paraId="5C365835" w14:textId="77777777" w:rsidR="00C34B05" w:rsidRPr="00A43DC9" w:rsidRDefault="00C34B05" w:rsidP="005055F3">
      <w:pPr>
        <w:spacing w:line="264" w:lineRule="auto"/>
        <w:rPr>
          <w:sz w:val="25"/>
          <w:szCs w:val="25"/>
        </w:rPr>
      </w:pPr>
    </w:p>
    <w:p w14:paraId="2BE2DA3F" w14:textId="77777777" w:rsidR="00161D01" w:rsidRPr="00A43DC9" w:rsidRDefault="00C34B05" w:rsidP="005055F3">
      <w:pPr>
        <w:spacing w:line="264" w:lineRule="auto"/>
        <w:rPr>
          <w:sz w:val="25"/>
          <w:szCs w:val="25"/>
        </w:rPr>
      </w:pP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r>
    </w:p>
    <w:p w14:paraId="38DB796E" w14:textId="07F16A56" w:rsidR="00161D01" w:rsidRPr="00A43DC9" w:rsidRDefault="00D335C5" w:rsidP="005055F3">
      <w:pPr>
        <w:spacing w:line="264" w:lineRule="auto"/>
        <w:ind w:left="4320"/>
        <w:rPr>
          <w:bCs/>
          <w:sz w:val="25"/>
          <w:szCs w:val="25"/>
        </w:rPr>
      </w:pPr>
      <w:r>
        <w:rPr>
          <w:bCs/>
          <w:sz w:val="25"/>
          <w:szCs w:val="25"/>
        </w:rPr>
        <w:t>GREGORY J. KOPTA</w:t>
      </w:r>
    </w:p>
    <w:p w14:paraId="56CE42EE" w14:textId="77777777" w:rsidR="002851A4" w:rsidRDefault="00161D01" w:rsidP="005055F3">
      <w:pPr>
        <w:spacing w:line="264" w:lineRule="auto"/>
        <w:rPr>
          <w:sz w:val="25"/>
          <w:szCs w:val="25"/>
        </w:rPr>
      </w:pP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t>Administrative Law Judge</w:t>
      </w:r>
      <w:bookmarkEnd w:id="1"/>
      <w:bookmarkEnd w:id="2"/>
    </w:p>
    <w:p w14:paraId="41EA99B9" w14:textId="77777777" w:rsidR="002851A4" w:rsidRDefault="002851A4" w:rsidP="005055F3">
      <w:pPr>
        <w:spacing w:line="264" w:lineRule="auto"/>
        <w:rPr>
          <w:sz w:val="25"/>
          <w:szCs w:val="25"/>
        </w:rPr>
      </w:pPr>
    </w:p>
    <w:p w14:paraId="6018324F" w14:textId="77777777" w:rsidR="002851A4" w:rsidRPr="0018595A" w:rsidRDefault="002851A4" w:rsidP="002851A4">
      <w:pPr>
        <w:spacing w:after="240" w:line="264" w:lineRule="auto"/>
        <w:rPr>
          <w:b/>
          <w:sz w:val="25"/>
          <w:szCs w:val="25"/>
        </w:rPr>
      </w:pPr>
      <w:r>
        <w:rPr>
          <w:b/>
          <w:sz w:val="25"/>
          <w:szCs w:val="25"/>
        </w:rPr>
        <w:br w:type="page"/>
      </w:r>
      <w:r w:rsidRPr="0018595A">
        <w:rPr>
          <w:b/>
          <w:sz w:val="25"/>
          <w:szCs w:val="25"/>
        </w:rPr>
        <w:t>NOTICE TO PARTIES</w:t>
      </w:r>
    </w:p>
    <w:p w14:paraId="1B4EF451" w14:textId="77777777" w:rsidR="002851A4" w:rsidRPr="0018595A" w:rsidRDefault="002851A4" w:rsidP="002851A4">
      <w:pPr>
        <w:spacing w:line="264" w:lineRule="auto"/>
        <w:rPr>
          <w:sz w:val="25"/>
          <w:szCs w:val="25"/>
        </w:rPr>
      </w:pPr>
      <w:r w:rsidRPr="0018595A">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EFF8551" w14:textId="77777777" w:rsidR="002851A4" w:rsidRPr="0018595A" w:rsidRDefault="002851A4" w:rsidP="002851A4">
      <w:pPr>
        <w:spacing w:line="264" w:lineRule="auto"/>
        <w:rPr>
          <w:sz w:val="25"/>
          <w:szCs w:val="25"/>
        </w:rPr>
      </w:pPr>
    </w:p>
    <w:p w14:paraId="6BAA4F9C" w14:textId="77777777" w:rsidR="002851A4" w:rsidRPr="0018595A" w:rsidRDefault="002851A4" w:rsidP="002851A4">
      <w:pPr>
        <w:spacing w:line="264" w:lineRule="auto"/>
        <w:rPr>
          <w:sz w:val="25"/>
          <w:szCs w:val="25"/>
        </w:rPr>
      </w:pPr>
      <w:r w:rsidRPr="0018595A">
        <w:rPr>
          <w:sz w:val="25"/>
          <w:szCs w:val="25"/>
        </w:rPr>
        <w:t xml:space="preserve">WAC 480-07-825(2) provides that any party to this proceeding has twenty (20) days after the entry of this Initial Order to file a </w:t>
      </w:r>
      <w:r w:rsidRPr="0018595A">
        <w:rPr>
          <w:i/>
          <w:sz w:val="25"/>
          <w:szCs w:val="25"/>
        </w:rPr>
        <w:t>Petition for Administrative Review</w:t>
      </w:r>
      <w:r w:rsidRPr="0018595A">
        <w:rPr>
          <w:sz w:val="25"/>
          <w:szCs w:val="25"/>
        </w:rPr>
        <w:t xml:space="preserve">.  What must be included in any Petition and other requirements for a Petition are stated in WAC 480-07-825(3).  WAC 480-07-825(4) states that any party may file an </w:t>
      </w:r>
      <w:r w:rsidRPr="0018595A">
        <w:rPr>
          <w:i/>
          <w:sz w:val="25"/>
          <w:szCs w:val="25"/>
        </w:rPr>
        <w:t xml:space="preserve">Answer </w:t>
      </w:r>
      <w:r w:rsidRPr="0018595A">
        <w:rPr>
          <w:sz w:val="25"/>
          <w:szCs w:val="25"/>
        </w:rPr>
        <w:t xml:space="preserve">to a Petition for review within ten (10) days after service of the Petition.  </w:t>
      </w:r>
    </w:p>
    <w:p w14:paraId="7FBD160B" w14:textId="77777777" w:rsidR="002851A4" w:rsidRPr="0018595A" w:rsidRDefault="002851A4" w:rsidP="002851A4">
      <w:pPr>
        <w:spacing w:line="264" w:lineRule="auto"/>
        <w:rPr>
          <w:sz w:val="25"/>
          <w:szCs w:val="25"/>
        </w:rPr>
      </w:pPr>
    </w:p>
    <w:p w14:paraId="1403A64D" w14:textId="77777777" w:rsidR="002851A4" w:rsidRPr="0018595A" w:rsidRDefault="002851A4" w:rsidP="002851A4">
      <w:pPr>
        <w:spacing w:line="264" w:lineRule="auto"/>
        <w:rPr>
          <w:sz w:val="25"/>
          <w:szCs w:val="25"/>
        </w:rPr>
      </w:pPr>
      <w:r w:rsidRPr="0018595A">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6B0F86A7" w14:textId="77777777" w:rsidR="002851A4" w:rsidRPr="0018595A" w:rsidRDefault="002851A4" w:rsidP="002851A4">
      <w:pPr>
        <w:spacing w:line="264" w:lineRule="auto"/>
        <w:rPr>
          <w:sz w:val="25"/>
          <w:szCs w:val="25"/>
        </w:rPr>
      </w:pPr>
    </w:p>
    <w:p w14:paraId="4DAD94BA" w14:textId="77777777" w:rsidR="002851A4" w:rsidRPr="0018595A" w:rsidRDefault="002851A4" w:rsidP="002851A4">
      <w:pPr>
        <w:spacing w:line="264" w:lineRule="auto"/>
        <w:rPr>
          <w:sz w:val="25"/>
          <w:szCs w:val="25"/>
        </w:rPr>
      </w:pPr>
      <w:r w:rsidRPr="0018595A">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172F7851" w14:textId="77777777" w:rsidR="002851A4" w:rsidRPr="0018595A" w:rsidRDefault="002851A4" w:rsidP="002851A4">
      <w:pPr>
        <w:spacing w:line="264" w:lineRule="auto"/>
        <w:rPr>
          <w:sz w:val="25"/>
          <w:szCs w:val="25"/>
        </w:rPr>
      </w:pPr>
    </w:p>
    <w:p w14:paraId="13277F9D" w14:textId="77777777" w:rsidR="002851A4" w:rsidRPr="0018595A" w:rsidRDefault="002851A4" w:rsidP="002851A4">
      <w:pPr>
        <w:spacing w:line="264" w:lineRule="auto"/>
        <w:rPr>
          <w:sz w:val="25"/>
          <w:szCs w:val="25"/>
        </w:rPr>
      </w:pPr>
      <w:r w:rsidRPr="0018595A">
        <w:rPr>
          <w:sz w:val="25"/>
          <w:szCs w:val="25"/>
        </w:rPr>
        <w:t xml:space="preserve">One copy of any Petition or Answer filed must be served on each party of record with proof of service as required by WAC 480-07-150(8) and (9).  An original and </w:t>
      </w:r>
      <w:r>
        <w:rPr>
          <w:b/>
          <w:sz w:val="25"/>
          <w:szCs w:val="25"/>
        </w:rPr>
        <w:t>five</w:t>
      </w:r>
      <w:r w:rsidRPr="0018595A">
        <w:rPr>
          <w:b/>
          <w:sz w:val="25"/>
          <w:szCs w:val="25"/>
        </w:rPr>
        <w:t xml:space="preserve"> (</w:t>
      </w:r>
      <w:r>
        <w:rPr>
          <w:b/>
          <w:sz w:val="25"/>
          <w:szCs w:val="25"/>
        </w:rPr>
        <w:t>5</w:t>
      </w:r>
      <w:r w:rsidRPr="0018595A">
        <w:rPr>
          <w:b/>
          <w:sz w:val="25"/>
          <w:szCs w:val="25"/>
        </w:rPr>
        <w:t>)</w:t>
      </w:r>
      <w:r w:rsidRPr="0018595A">
        <w:rPr>
          <w:sz w:val="25"/>
          <w:szCs w:val="25"/>
        </w:rPr>
        <w:t xml:space="preserve"> copies of any Petition or Answer must be filed by mail delivery to:</w:t>
      </w:r>
    </w:p>
    <w:p w14:paraId="6D5768BF" w14:textId="77777777" w:rsidR="002851A4" w:rsidRPr="0018595A" w:rsidRDefault="002851A4" w:rsidP="002851A4">
      <w:pPr>
        <w:spacing w:line="264" w:lineRule="auto"/>
        <w:rPr>
          <w:sz w:val="25"/>
          <w:szCs w:val="25"/>
        </w:rPr>
      </w:pPr>
    </w:p>
    <w:p w14:paraId="4D5A68DD" w14:textId="44151AF1" w:rsidR="002851A4" w:rsidRPr="0018595A" w:rsidRDefault="002851A4" w:rsidP="002851A4">
      <w:pPr>
        <w:spacing w:line="264" w:lineRule="auto"/>
        <w:rPr>
          <w:sz w:val="25"/>
          <w:szCs w:val="25"/>
        </w:rPr>
      </w:pPr>
      <w:r w:rsidRPr="0018595A">
        <w:rPr>
          <w:sz w:val="25"/>
          <w:szCs w:val="25"/>
        </w:rPr>
        <w:t xml:space="preserve">Attn:  </w:t>
      </w:r>
      <w:r w:rsidR="00655F16">
        <w:rPr>
          <w:sz w:val="25"/>
          <w:szCs w:val="25"/>
        </w:rPr>
        <w:t>Steven V. King</w:t>
      </w:r>
      <w:r w:rsidRPr="0018595A">
        <w:rPr>
          <w:sz w:val="25"/>
          <w:szCs w:val="25"/>
        </w:rPr>
        <w:t>, Executive Director and Secretary</w:t>
      </w:r>
    </w:p>
    <w:p w14:paraId="2075BB55" w14:textId="77777777" w:rsidR="002851A4" w:rsidRPr="0018595A" w:rsidRDefault="002851A4" w:rsidP="002851A4">
      <w:pPr>
        <w:spacing w:line="264" w:lineRule="auto"/>
        <w:rPr>
          <w:sz w:val="25"/>
          <w:szCs w:val="25"/>
        </w:rPr>
      </w:pPr>
      <w:r w:rsidRPr="0018595A">
        <w:rPr>
          <w:sz w:val="25"/>
          <w:szCs w:val="25"/>
        </w:rPr>
        <w:t>Washington Utilities and Transportation Commission</w:t>
      </w:r>
    </w:p>
    <w:p w14:paraId="5FA06592" w14:textId="77777777" w:rsidR="002851A4" w:rsidRPr="0018595A" w:rsidRDefault="002851A4" w:rsidP="002851A4">
      <w:pPr>
        <w:spacing w:line="264" w:lineRule="auto"/>
        <w:rPr>
          <w:sz w:val="25"/>
          <w:szCs w:val="25"/>
        </w:rPr>
      </w:pPr>
      <w:r w:rsidRPr="0018595A">
        <w:rPr>
          <w:sz w:val="25"/>
          <w:szCs w:val="25"/>
        </w:rPr>
        <w:t>P.O. Box 47250</w:t>
      </w:r>
    </w:p>
    <w:p w14:paraId="27658D00" w14:textId="77777777" w:rsidR="002851A4" w:rsidRDefault="002851A4" w:rsidP="002851A4">
      <w:pPr>
        <w:spacing w:line="264" w:lineRule="auto"/>
        <w:rPr>
          <w:sz w:val="25"/>
          <w:szCs w:val="25"/>
        </w:rPr>
      </w:pPr>
      <w:r w:rsidRPr="0018595A">
        <w:rPr>
          <w:sz w:val="25"/>
          <w:szCs w:val="25"/>
        </w:rPr>
        <w:t>Olympia, Washington  98504-7250</w:t>
      </w:r>
    </w:p>
    <w:p w14:paraId="7DDEEF3F" w14:textId="77777777" w:rsidR="002851A4" w:rsidRDefault="002851A4" w:rsidP="002851A4">
      <w:pPr>
        <w:spacing w:line="264" w:lineRule="auto"/>
        <w:rPr>
          <w:sz w:val="25"/>
          <w:szCs w:val="25"/>
        </w:rPr>
      </w:pPr>
      <w:r>
        <w:rPr>
          <w:sz w:val="25"/>
          <w:szCs w:val="25"/>
        </w:rPr>
        <w:br w:type="page"/>
      </w:r>
    </w:p>
    <w:p w14:paraId="6C8D3134" w14:textId="77777777" w:rsidR="002851A4" w:rsidRDefault="002851A4" w:rsidP="002851A4">
      <w:pPr>
        <w:spacing w:line="264" w:lineRule="auto"/>
        <w:rPr>
          <w:sz w:val="25"/>
          <w:szCs w:val="25"/>
        </w:rPr>
      </w:pPr>
    </w:p>
    <w:p w14:paraId="7FA598B0" w14:textId="77777777" w:rsidR="002851A4" w:rsidRDefault="002851A4" w:rsidP="002851A4">
      <w:pPr>
        <w:spacing w:line="264" w:lineRule="auto"/>
        <w:rPr>
          <w:sz w:val="25"/>
          <w:szCs w:val="25"/>
        </w:rPr>
      </w:pPr>
    </w:p>
    <w:p w14:paraId="0EDFA16F" w14:textId="77777777" w:rsidR="002851A4" w:rsidRDefault="002851A4" w:rsidP="002851A4">
      <w:pPr>
        <w:spacing w:line="264" w:lineRule="auto"/>
        <w:rPr>
          <w:sz w:val="25"/>
          <w:szCs w:val="25"/>
        </w:rPr>
      </w:pPr>
    </w:p>
    <w:p w14:paraId="3440DECA" w14:textId="77777777" w:rsidR="002851A4" w:rsidRDefault="002851A4" w:rsidP="002851A4">
      <w:pPr>
        <w:spacing w:line="264" w:lineRule="auto"/>
        <w:rPr>
          <w:sz w:val="25"/>
          <w:szCs w:val="25"/>
        </w:rPr>
      </w:pPr>
    </w:p>
    <w:p w14:paraId="37AFBF74" w14:textId="77777777" w:rsidR="002851A4" w:rsidRDefault="002851A4" w:rsidP="002851A4">
      <w:pPr>
        <w:spacing w:line="264" w:lineRule="auto"/>
        <w:rPr>
          <w:sz w:val="25"/>
          <w:szCs w:val="25"/>
        </w:rPr>
      </w:pPr>
    </w:p>
    <w:p w14:paraId="6C509756" w14:textId="77777777" w:rsidR="002851A4" w:rsidRDefault="002851A4" w:rsidP="002851A4">
      <w:pPr>
        <w:spacing w:line="264" w:lineRule="auto"/>
        <w:rPr>
          <w:sz w:val="25"/>
          <w:szCs w:val="25"/>
        </w:rPr>
      </w:pPr>
    </w:p>
    <w:p w14:paraId="6ACAA20B" w14:textId="77777777" w:rsidR="002851A4" w:rsidRDefault="002851A4" w:rsidP="002851A4">
      <w:pPr>
        <w:spacing w:line="264" w:lineRule="auto"/>
        <w:rPr>
          <w:sz w:val="25"/>
          <w:szCs w:val="25"/>
        </w:rPr>
      </w:pPr>
    </w:p>
    <w:p w14:paraId="7AB77E19" w14:textId="77777777" w:rsidR="002851A4" w:rsidRDefault="002851A4" w:rsidP="002851A4">
      <w:pPr>
        <w:spacing w:line="264" w:lineRule="auto"/>
        <w:rPr>
          <w:sz w:val="25"/>
          <w:szCs w:val="25"/>
        </w:rPr>
      </w:pPr>
    </w:p>
    <w:p w14:paraId="6C6D79E5" w14:textId="77777777" w:rsidR="002851A4" w:rsidRDefault="002851A4" w:rsidP="002851A4">
      <w:pPr>
        <w:spacing w:line="264" w:lineRule="auto"/>
        <w:rPr>
          <w:sz w:val="25"/>
          <w:szCs w:val="25"/>
        </w:rPr>
      </w:pPr>
    </w:p>
    <w:p w14:paraId="3EEA26ED" w14:textId="77777777" w:rsidR="002851A4" w:rsidRDefault="002851A4" w:rsidP="002851A4">
      <w:pPr>
        <w:spacing w:line="264" w:lineRule="auto"/>
        <w:rPr>
          <w:sz w:val="25"/>
          <w:szCs w:val="25"/>
        </w:rPr>
      </w:pPr>
    </w:p>
    <w:p w14:paraId="37E418C1" w14:textId="77777777" w:rsidR="002851A4" w:rsidRPr="00B45E50" w:rsidRDefault="002851A4" w:rsidP="002851A4">
      <w:pPr>
        <w:spacing w:line="264" w:lineRule="auto"/>
        <w:jc w:val="center"/>
        <w:rPr>
          <w:sz w:val="40"/>
          <w:szCs w:val="40"/>
        </w:rPr>
      </w:pPr>
      <w:r>
        <w:rPr>
          <w:sz w:val="40"/>
          <w:szCs w:val="40"/>
        </w:rPr>
        <w:t>Exhibit</w:t>
      </w:r>
      <w:r w:rsidRPr="00B45E50">
        <w:rPr>
          <w:sz w:val="40"/>
          <w:szCs w:val="40"/>
        </w:rPr>
        <w:t xml:space="preserve"> A</w:t>
      </w:r>
    </w:p>
    <w:p w14:paraId="449688F8" w14:textId="77777777" w:rsidR="002851A4" w:rsidRPr="00B45E50" w:rsidRDefault="002851A4" w:rsidP="002851A4">
      <w:pPr>
        <w:spacing w:line="264" w:lineRule="auto"/>
        <w:jc w:val="center"/>
        <w:rPr>
          <w:sz w:val="40"/>
          <w:szCs w:val="40"/>
        </w:rPr>
      </w:pPr>
      <w:r w:rsidRPr="00B45E50">
        <w:rPr>
          <w:sz w:val="40"/>
          <w:szCs w:val="40"/>
        </w:rPr>
        <w:t>Settlement Agreement</w:t>
      </w:r>
    </w:p>
    <w:p w14:paraId="5E11584D" w14:textId="77777777" w:rsidR="002851A4" w:rsidRPr="00553558" w:rsidRDefault="002851A4" w:rsidP="002851A4">
      <w:pPr>
        <w:spacing w:line="264" w:lineRule="auto"/>
        <w:rPr>
          <w:sz w:val="25"/>
          <w:szCs w:val="25"/>
        </w:rPr>
      </w:pPr>
    </w:p>
    <w:p w14:paraId="5A756361" w14:textId="77777777" w:rsidR="00D52D0C" w:rsidRPr="00A43DC9"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rPr>
          <w:sz w:val="25"/>
          <w:szCs w:val="25"/>
        </w:rPr>
      </w:pPr>
    </w:p>
    <w:sectPr w:rsidR="00D52D0C" w:rsidRPr="00A43DC9" w:rsidSect="002F0912">
      <w:headerReference w:type="default" r:id="rId11"/>
      <w:headerReference w:type="firs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BC79" w14:textId="77777777" w:rsidR="00B2477A" w:rsidRDefault="00B2477A">
      <w:r>
        <w:separator/>
      </w:r>
    </w:p>
  </w:endnote>
  <w:endnote w:type="continuationSeparator" w:id="0">
    <w:p w14:paraId="101B1A26" w14:textId="77777777" w:rsidR="00B2477A" w:rsidRDefault="00B2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D7EC6" w14:textId="77777777" w:rsidR="00B2477A" w:rsidRDefault="00B2477A">
      <w:r>
        <w:separator/>
      </w:r>
    </w:p>
  </w:footnote>
  <w:footnote w:type="continuationSeparator" w:id="0">
    <w:p w14:paraId="196518E2" w14:textId="77777777" w:rsidR="00B2477A" w:rsidRDefault="00B2477A">
      <w:r>
        <w:continuationSeparator/>
      </w:r>
    </w:p>
  </w:footnote>
  <w:footnote w:id="1">
    <w:p w14:paraId="35FC2637" w14:textId="23C1768D" w:rsidR="00715964" w:rsidRPr="005D3919" w:rsidRDefault="00715964" w:rsidP="005D3919">
      <w:pPr>
        <w:spacing w:after="120"/>
        <w:rPr>
          <w:i/>
          <w:iCs/>
          <w:sz w:val="22"/>
          <w:szCs w:val="22"/>
        </w:rPr>
      </w:pPr>
      <w:r w:rsidRPr="008738B8">
        <w:rPr>
          <w:rStyle w:val="FootnoteReference"/>
          <w:sz w:val="22"/>
          <w:szCs w:val="22"/>
        </w:rPr>
        <w:footnoteRef/>
      </w:r>
      <w:r w:rsidRPr="008738B8">
        <w:rPr>
          <w:sz w:val="22"/>
          <w:szCs w:val="22"/>
        </w:rPr>
        <w:t xml:space="preserve"> </w:t>
      </w:r>
      <w:r w:rsidRPr="009D593C">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D593C">
        <w:rPr>
          <w:i/>
          <w:sz w:val="22"/>
          <w:szCs w:val="22"/>
        </w:rPr>
        <w:t xml:space="preserve">See </w:t>
      </w:r>
      <w:r w:rsidRPr="003613CA">
        <w:rPr>
          <w:sz w:val="22"/>
          <w:szCs w:val="22"/>
        </w:rPr>
        <w:t>RCW 34.05.455.</w:t>
      </w:r>
    </w:p>
  </w:footnote>
  <w:footnote w:id="2">
    <w:p w14:paraId="1B4D387D" w14:textId="77777777" w:rsidR="00143ECB" w:rsidRPr="005D3919" w:rsidRDefault="00143ECB" w:rsidP="00143ECB">
      <w:pPr>
        <w:pStyle w:val="FootnoteText"/>
        <w:spacing w:after="120"/>
        <w:rPr>
          <w:rFonts w:ascii="Times New Roman" w:hAnsi="Times New Roman"/>
          <w:sz w:val="22"/>
          <w:szCs w:val="22"/>
        </w:rPr>
      </w:pPr>
      <w:r w:rsidRPr="005D3919">
        <w:rPr>
          <w:rStyle w:val="FootnoteReference"/>
          <w:rFonts w:ascii="Times New Roman" w:hAnsi="Times New Roman"/>
          <w:sz w:val="22"/>
          <w:szCs w:val="22"/>
        </w:rPr>
        <w:footnoteRef/>
      </w:r>
      <w:r w:rsidRPr="005D3919">
        <w:rPr>
          <w:rFonts w:ascii="Times New Roman" w:hAnsi="Times New Roman"/>
          <w:sz w:val="22"/>
          <w:szCs w:val="22"/>
        </w:rPr>
        <w:t xml:space="preserve"> Settlement </w:t>
      </w:r>
      <w:r>
        <w:rPr>
          <w:rFonts w:ascii="Times New Roman" w:hAnsi="Times New Roman"/>
          <w:sz w:val="22"/>
          <w:szCs w:val="22"/>
        </w:rPr>
        <w:t>¶ 5.</w:t>
      </w:r>
    </w:p>
  </w:footnote>
  <w:footnote w:id="3">
    <w:p w14:paraId="2FA47E4C" w14:textId="69866DC1" w:rsidR="005D3919" w:rsidRPr="005D3919" w:rsidRDefault="005D3919" w:rsidP="005D3919">
      <w:pPr>
        <w:pStyle w:val="FootnoteText"/>
        <w:spacing w:after="120"/>
        <w:rPr>
          <w:rFonts w:ascii="Times New Roman" w:hAnsi="Times New Roman"/>
          <w:sz w:val="22"/>
          <w:szCs w:val="22"/>
        </w:rPr>
      </w:pPr>
      <w:r w:rsidRPr="005D3919">
        <w:rPr>
          <w:rStyle w:val="FootnoteReference"/>
          <w:rFonts w:ascii="Times New Roman" w:hAnsi="Times New Roman"/>
          <w:sz w:val="22"/>
          <w:szCs w:val="22"/>
        </w:rPr>
        <w:footnoteRef/>
      </w:r>
      <w:r w:rsidR="00143ECB">
        <w:rPr>
          <w:rFonts w:ascii="Times New Roman" w:hAnsi="Times New Roman"/>
          <w:sz w:val="22"/>
          <w:szCs w:val="22"/>
        </w:rPr>
        <w:t xml:space="preserve"> </w:t>
      </w:r>
      <w:r w:rsidR="00143ECB" w:rsidRPr="00143ECB">
        <w:rPr>
          <w:rFonts w:ascii="Times New Roman" w:hAnsi="Times New Roman"/>
          <w:i/>
          <w:sz w:val="22"/>
          <w:szCs w:val="22"/>
        </w:rPr>
        <w:t>Id</w:t>
      </w:r>
      <w:r>
        <w:rPr>
          <w:rFonts w:ascii="Times New Roman" w:hAnsi="Times New Roman"/>
          <w:sz w:val="22"/>
          <w:szCs w:val="22"/>
        </w:rPr>
        <w:t>.</w:t>
      </w:r>
    </w:p>
  </w:footnote>
  <w:footnote w:id="4">
    <w:p w14:paraId="4608709E" w14:textId="2E7F4FBA" w:rsidR="005D3919" w:rsidRPr="005D3919" w:rsidRDefault="005D3919" w:rsidP="005D3919">
      <w:pPr>
        <w:pStyle w:val="FootnoteText"/>
        <w:spacing w:after="120"/>
        <w:rPr>
          <w:rFonts w:ascii="Times New Roman" w:hAnsi="Times New Roman"/>
          <w:sz w:val="22"/>
          <w:szCs w:val="22"/>
        </w:rPr>
      </w:pPr>
      <w:r w:rsidRPr="005D3919">
        <w:rPr>
          <w:rStyle w:val="FootnoteReference"/>
          <w:rFonts w:ascii="Times New Roman" w:hAnsi="Times New Roman"/>
          <w:sz w:val="22"/>
          <w:szCs w:val="22"/>
        </w:rPr>
        <w:footnoteRef/>
      </w:r>
      <w:r w:rsidRPr="005D3919">
        <w:rPr>
          <w:rFonts w:ascii="Times New Roman" w:hAnsi="Times New Roman"/>
          <w:sz w:val="22"/>
          <w:szCs w:val="22"/>
        </w:rPr>
        <w:t xml:space="preserve"> </w:t>
      </w:r>
      <w:r w:rsidRPr="005D3919">
        <w:rPr>
          <w:rFonts w:ascii="Times New Roman" w:hAnsi="Times New Roman"/>
          <w:i/>
          <w:sz w:val="22"/>
          <w:szCs w:val="22"/>
        </w:rPr>
        <w:t>Id.</w:t>
      </w:r>
      <w:r w:rsidRPr="005D3919">
        <w:rPr>
          <w:rFonts w:ascii="Times New Roman" w:hAnsi="Times New Roman"/>
          <w:sz w:val="22"/>
          <w:szCs w:val="22"/>
        </w:rPr>
        <w:t xml:space="preserve"> </w:t>
      </w:r>
      <w:r>
        <w:rPr>
          <w:rFonts w:ascii="Times New Roman" w:hAnsi="Times New Roman"/>
          <w:sz w:val="22"/>
          <w:szCs w:val="22"/>
        </w:rPr>
        <w:t>¶ 7.</w:t>
      </w:r>
    </w:p>
  </w:footnote>
  <w:footnote w:id="5">
    <w:p w14:paraId="1D5559CF" w14:textId="73DE3AE3" w:rsidR="005D3919" w:rsidRPr="005D3919" w:rsidRDefault="005D3919" w:rsidP="005D3919">
      <w:pPr>
        <w:pStyle w:val="FootnoteText"/>
        <w:spacing w:after="120"/>
        <w:rPr>
          <w:rFonts w:ascii="Times New Roman" w:hAnsi="Times New Roman"/>
          <w:sz w:val="22"/>
          <w:szCs w:val="22"/>
        </w:rPr>
      </w:pPr>
      <w:r w:rsidRPr="005D3919">
        <w:rPr>
          <w:rStyle w:val="FootnoteReference"/>
          <w:rFonts w:ascii="Times New Roman" w:hAnsi="Times New Roman"/>
          <w:sz w:val="22"/>
          <w:szCs w:val="22"/>
        </w:rPr>
        <w:footnoteRef/>
      </w:r>
      <w:r w:rsidRPr="005D3919">
        <w:rPr>
          <w:rFonts w:ascii="Times New Roman" w:hAnsi="Times New Roman"/>
          <w:sz w:val="22"/>
          <w:szCs w:val="22"/>
        </w:rPr>
        <w:t xml:space="preserve"> </w:t>
      </w:r>
      <w:r w:rsidRPr="005D3919">
        <w:rPr>
          <w:rFonts w:ascii="Times New Roman" w:hAnsi="Times New Roman"/>
          <w:i/>
          <w:sz w:val="22"/>
          <w:szCs w:val="22"/>
        </w:rPr>
        <w:t>Id.</w:t>
      </w:r>
      <w:r w:rsidRPr="005D3919">
        <w:rPr>
          <w:rFonts w:ascii="Times New Roman" w:hAnsi="Times New Roman"/>
          <w:sz w:val="22"/>
          <w:szCs w:val="22"/>
        </w:rPr>
        <w:t xml:space="preserve"> </w:t>
      </w:r>
      <w:r>
        <w:rPr>
          <w:rFonts w:ascii="Times New Roman" w:hAnsi="Times New Roman"/>
          <w:sz w:val="22"/>
          <w:szCs w:val="22"/>
        </w:rPr>
        <w:t>¶ 6.</w:t>
      </w:r>
    </w:p>
  </w:footnote>
  <w:footnote w:id="6">
    <w:p w14:paraId="46FAE60A" w14:textId="2ED024AD" w:rsidR="005D3919" w:rsidRPr="005D3919" w:rsidRDefault="005D3919" w:rsidP="005D3919">
      <w:pPr>
        <w:pStyle w:val="FootnoteText"/>
        <w:spacing w:after="120"/>
        <w:rPr>
          <w:rFonts w:ascii="Times New Roman" w:hAnsi="Times New Roman"/>
          <w:sz w:val="22"/>
          <w:szCs w:val="22"/>
        </w:rPr>
      </w:pPr>
      <w:r w:rsidRPr="005D3919">
        <w:rPr>
          <w:rStyle w:val="FootnoteReference"/>
          <w:rFonts w:ascii="Times New Roman" w:hAnsi="Times New Roman"/>
          <w:sz w:val="22"/>
          <w:szCs w:val="22"/>
        </w:rPr>
        <w:footnoteRef/>
      </w:r>
      <w:r w:rsidRPr="005D3919">
        <w:rPr>
          <w:rFonts w:ascii="Times New Roman" w:hAnsi="Times New Roman"/>
          <w:sz w:val="22"/>
          <w:szCs w:val="22"/>
        </w:rPr>
        <w:t xml:space="preserve"> </w:t>
      </w:r>
      <w:r w:rsidRPr="005D3919">
        <w:rPr>
          <w:rFonts w:ascii="Times New Roman" w:hAnsi="Times New Roman"/>
          <w:i/>
          <w:sz w:val="22"/>
          <w:szCs w:val="22"/>
        </w:rPr>
        <w:t>Id.</w:t>
      </w:r>
      <w:r w:rsidRPr="005D3919">
        <w:rPr>
          <w:rFonts w:ascii="Times New Roman" w:hAnsi="Times New Roman"/>
          <w:sz w:val="22"/>
          <w:szCs w:val="22"/>
        </w:rPr>
        <w:t xml:space="preserve"> </w:t>
      </w:r>
      <w:r>
        <w:rPr>
          <w:rFonts w:ascii="Times New Roman" w:hAnsi="Times New Roman"/>
          <w:sz w:val="22"/>
          <w:szCs w:val="22"/>
        </w:rPr>
        <w:t xml:space="preserve">¶ </w:t>
      </w:r>
      <w:r w:rsidR="00026A7E">
        <w:rPr>
          <w:rFonts w:ascii="Times New Roman" w:hAnsi="Times New Roman"/>
          <w:sz w:val="22"/>
          <w:szCs w:val="22"/>
        </w:rPr>
        <w:t>9</w:t>
      </w:r>
      <w:r>
        <w:rPr>
          <w:rFonts w:ascii="Times New Roman" w:hAnsi="Times New Roman"/>
          <w:sz w:val="22"/>
          <w:szCs w:val="22"/>
        </w:rPr>
        <w:t>.</w:t>
      </w:r>
    </w:p>
  </w:footnote>
  <w:footnote w:id="7">
    <w:p w14:paraId="4CB3838A" w14:textId="0D9AFE1E" w:rsidR="00026A7E" w:rsidRPr="005D3919" w:rsidRDefault="00026A7E" w:rsidP="00026A7E">
      <w:pPr>
        <w:pStyle w:val="FootnoteText"/>
        <w:spacing w:after="120"/>
        <w:rPr>
          <w:rFonts w:ascii="Times New Roman" w:hAnsi="Times New Roman"/>
          <w:sz w:val="22"/>
          <w:szCs w:val="22"/>
        </w:rPr>
      </w:pPr>
      <w:r w:rsidRPr="005D3919">
        <w:rPr>
          <w:rStyle w:val="FootnoteReference"/>
          <w:rFonts w:ascii="Times New Roman" w:hAnsi="Times New Roman"/>
          <w:sz w:val="22"/>
          <w:szCs w:val="22"/>
        </w:rPr>
        <w:footnoteRef/>
      </w:r>
      <w:r w:rsidRPr="005D3919">
        <w:rPr>
          <w:rFonts w:ascii="Times New Roman" w:hAnsi="Times New Roman"/>
          <w:sz w:val="22"/>
          <w:szCs w:val="22"/>
        </w:rPr>
        <w:t xml:space="preserve"> </w:t>
      </w:r>
      <w:r w:rsidRPr="005D3919">
        <w:rPr>
          <w:rFonts w:ascii="Times New Roman" w:hAnsi="Times New Roman"/>
          <w:i/>
          <w:sz w:val="22"/>
          <w:szCs w:val="22"/>
        </w:rPr>
        <w:t>Id.</w:t>
      </w:r>
      <w:r w:rsidRPr="005D3919">
        <w:rPr>
          <w:rFonts w:ascii="Times New Roman" w:hAnsi="Times New Roman"/>
          <w:sz w:val="22"/>
          <w:szCs w:val="22"/>
        </w:rPr>
        <w:t xml:space="preserve"> </w:t>
      </w:r>
      <w:r>
        <w:rPr>
          <w:rFonts w:ascii="Times New Roman" w:hAnsi="Times New Roman"/>
          <w:sz w:val="22"/>
          <w:szCs w:val="22"/>
        </w:rPr>
        <w:t>¶ 10.</w:t>
      </w:r>
    </w:p>
  </w:footnote>
  <w:footnote w:id="8">
    <w:p w14:paraId="4F7448FD" w14:textId="73F6D4D6" w:rsidR="00026A7E" w:rsidRPr="005D3919" w:rsidRDefault="00026A7E" w:rsidP="00026A7E">
      <w:pPr>
        <w:pStyle w:val="FootnoteText"/>
        <w:spacing w:after="120"/>
        <w:rPr>
          <w:rFonts w:ascii="Times New Roman" w:hAnsi="Times New Roman"/>
          <w:sz w:val="22"/>
          <w:szCs w:val="22"/>
        </w:rPr>
      </w:pPr>
      <w:r w:rsidRPr="005D3919">
        <w:rPr>
          <w:rStyle w:val="FootnoteReference"/>
          <w:rFonts w:ascii="Times New Roman" w:hAnsi="Times New Roman"/>
          <w:sz w:val="22"/>
          <w:szCs w:val="22"/>
        </w:rPr>
        <w:footnoteRef/>
      </w:r>
      <w:r w:rsidRPr="005D3919">
        <w:rPr>
          <w:rFonts w:ascii="Times New Roman" w:hAnsi="Times New Roman"/>
          <w:sz w:val="22"/>
          <w:szCs w:val="22"/>
        </w:rPr>
        <w:t xml:space="preserve"> </w:t>
      </w:r>
      <w:r w:rsidRPr="005D3919">
        <w:rPr>
          <w:rFonts w:ascii="Times New Roman" w:hAnsi="Times New Roman"/>
          <w:i/>
          <w:sz w:val="22"/>
          <w:szCs w:val="22"/>
        </w:rPr>
        <w:t>Id.</w:t>
      </w:r>
      <w:r w:rsidRPr="005D3919">
        <w:rPr>
          <w:rFonts w:ascii="Times New Roman" w:hAnsi="Times New Roman"/>
          <w:sz w:val="22"/>
          <w:szCs w:val="22"/>
        </w:rPr>
        <w:t xml:space="preserve"> </w:t>
      </w:r>
      <w:r>
        <w:rPr>
          <w:rFonts w:ascii="Times New Roman" w:hAnsi="Times New Roman"/>
          <w:sz w:val="22"/>
          <w:szCs w:val="22"/>
        </w:rPr>
        <w:t>¶ 12.</w:t>
      </w:r>
    </w:p>
  </w:footnote>
  <w:footnote w:id="9">
    <w:p w14:paraId="27FCEA47" w14:textId="25E21507" w:rsidR="00026A7E" w:rsidRPr="005D3919" w:rsidRDefault="00026A7E" w:rsidP="00026A7E">
      <w:pPr>
        <w:pStyle w:val="FootnoteText"/>
        <w:spacing w:after="120"/>
        <w:rPr>
          <w:rFonts w:ascii="Times New Roman" w:hAnsi="Times New Roman"/>
          <w:sz w:val="22"/>
          <w:szCs w:val="22"/>
        </w:rPr>
      </w:pPr>
      <w:r w:rsidRPr="005D3919">
        <w:rPr>
          <w:rStyle w:val="FootnoteReference"/>
          <w:rFonts w:ascii="Times New Roman" w:hAnsi="Times New Roman"/>
          <w:sz w:val="22"/>
          <w:szCs w:val="22"/>
        </w:rPr>
        <w:footnoteRef/>
      </w:r>
      <w:r w:rsidRPr="005D3919">
        <w:rPr>
          <w:rFonts w:ascii="Times New Roman" w:hAnsi="Times New Roman"/>
          <w:sz w:val="22"/>
          <w:szCs w:val="22"/>
        </w:rPr>
        <w:t xml:space="preserve"> </w:t>
      </w:r>
      <w:r w:rsidRPr="005D3919">
        <w:rPr>
          <w:rFonts w:ascii="Times New Roman" w:hAnsi="Times New Roman"/>
          <w:i/>
          <w:sz w:val="22"/>
          <w:szCs w:val="22"/>
        </w:rPr>
        <w:t>Id.</w:t>
      </w:r>
      <w:r w:rsidRPr="005D3919">
        <w:rPr>
          <w:rFonts w:ascii="Times New Roman" w:hAnsi="Times New Roman"/>
          <w:sz w:val="22"/>
          <w:szCs w:val="22"/>
        </w:rPr>
        <w:t xml:space="preserve"> </w:t>
      </w:r>
      <w:r>
        <w:rPr>
          <w:rFonts w:ascii="Times New Roman" w:hAnsi="Times New Roman"/>
          <w:sz w:val="22"/>
          <w:szCs w:val="22"/>
        </w:rPr>
        <w:t>¶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4CBF7250" w:rsidR="00F660C7" w:rsidRPr="009926F4" w:rsidRDefault="00F660C7">
    <w:pPr>
      <w:pStyle w:val="Header"/>
      <w:tabs>
        <w:tab w:val="left" w:pos="7500"/>
      </w:tabs>
      <w:rPr>
        <w:b/>
        <w:i/>
        <w:sz w:val="20"/>
        <w:szCs w:val="20"/>
      </w:rPr>
    </w:pPr>
    <w:r w:rsidRPr="00A3058F">
      <w:rPr>
        <w:b/>
        <w:sz w:val="20"/>
        <w:szCs w:val="20"/>
      </w:rPr>
      <w:t xml:space="preserve">DOCKET </w:t>
    </w:r>
    <w:r w:rsidR="00503CF0">
      <w:rPr>
        <w:b/>
        <w:sz w:val="20"/>
        <w:szCs w:val="20"/>
      </w:rPr>
      <w:t>T</w:t>
    </w:r>
    <w:r w:rsidR="005611B5">
      <w:rPr>
        <w:b/>
        <w:sz w:val="20"/>
        <w:szCs w:val="20"/>
      </w:rPr>
      <w:t>V</w:t>
    </w:r>
    <w:r w:rsidR="00503CF0">
      <w:rPr>
        <w:b/>
        <w:sz w:val="20"/>
        <w:szCs w:val="20"/>
      </w:rPr>
      <w:t>-1</w:t>
    </w:r>
    <w:r w:rsidR="005611B5">
      <w:rPr>
        <w:b/>
        <w:sz w:val="20"/>
        <w:szCs w:val="20"/>
      </w:rPr>
      <w:t>22004</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583AC1">
      <w:rPr>
        <w:rStyle w:val="PageNumber"/>
        <w:b/>
        <w:noProof/>
        <w:sz w:val="20"/>
        <w:szCs w:val="20"/>
      </w:rPr>
      <w:t>8</w:t>
    </w:r>
    <w:r w:rsidRPr="00A3058F">
      <w:rPr>
        <w:rStyle w:val="PageNumber"/>
        <w:b/>
        <w:sz w:val="20"/>
        <w:szCs w:val="20"/>
      </w:rPr>
      <w:fldChar w:fldCharType="end"/>
    </w:r>
  </w:p>
  <w:p w14:paraId="5185AB29" w14:textId="0D8EB8B0"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2A7DF6">
      <w:rPr>
        <w:b/>
        <w:sz w:val="20"/>
        <w:szCs w:val="20"/>
      </w:rPr>
      <w:t>3</w:t>
    </w:r>
  </w:p>
  <w:p w14:paraId="10041C77"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4BAD0C52" w:rsidR="00F660C7" w:rsidRDefault="00F660C7" w:rsidP="004303C5">
    <w:pPr>
      <w:pStyle w:val="Header"/>
      <w:tabs>
        <w:tab w:val="clear" w:pos="4320"/>
        <w:tab w:val="clear" w:pos="8640"/>
        <w:tab w:val="right" w:pos="8500"/>
      </w:tabs>
      <w:jc w:val="right"/>
    </w:pPr>
    <w:r>
      <w:rPr>
        <w:b/>
        <w:sz w:val="20"/>
        <w:szCs w:val="20"/>
      </w:rPr>
      <w:tab/>
    </w:r>
    <w:r w:rsidR="005D136D">
      <w:rPr>
        <w:b/>
        <w:sz w:val="20"/>
        <w:szCs w:val="20"/>
      </w:rPr>
      <w:t>[Service Date February 12,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2241000"/>
    <w:multiLevelType w:val="hybridMultilevel"/>
    <w:tmpl w:val="E398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4A10F53"/>
    <w:multiLevelType w:val="hybridMultilevel"/>
    <w:tmpl w:val="CC7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6"/>
  </w:num>
  <w:num w:numId="3">
    <w:abstractNumId w:val="1"/>
  </w:num>
  <w:num w:numId="4">
    <w:abstractNumId w:val="22"/>
  </w:num>
  <w:num w:numId="5">
    <w:abstractNumId w:val="4"/>
  </w:num>
  <w:num w:numId="6">
    <w:abstractNumId w:val="17"/>
  </w:num>
  <w:num w:numId="7">
    <w:abstractNumId w:val="10"/>
  </w:num>
  <w:num w:numId="8">
    <w:abstractNumId w:val="21"/>
  </w:num>
  <w:num w:numId="9">
    <w:abstractNumId w:val="15"/>
  </w:num>
  <w:num w:numId="10">
    <w:abstractNumId w:val="5"/>
  </w:num>
  <w:num w:numId="11">
    <w:abstractNumId w:val="9"/>
  </w:num>
  <w:num w:numId="12">
    <w:abstractNumId w:val="20"/>
  </w:num>
  <w:num w:numId="13">
    <w:abstractNumId w:val="0"/>
  </w:num>
  <w:num w:numId="14">
    <w:abstractNumId w:val="3"/>
  </w:num>
  <w:num w:numId="15">
    <w:abstractNumId w:val="6"/>
  </w:num>
  <w:num w:numId="16">
    <w:abstractNumId w:val="5"/>
  </w:num>
  <w:num w:numId="17">
    <w:abstractNumId w:val="13"/>
  </w:num>
  <w:num w:numId="18">
    <w:abstractNumId w:val="8"/>
  </w:num>
  <w:num w:numId="19">
    <w:abstractNumId w:val="7"/>
  </w:num>
  <w:num w:numId="20">
    <w:abstractNumId w:val="18"/>
  </w:num>
  <w:num w:numId="21">
    <w:abstractNumId w:val="19"/>
  </w:num>
  <w:num w:numId="22">
    <w:abstractNumId w:val="12"/>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4F34"/>
    <w:rsid w:val="00025520"/>
    <w:rsid w:val="00026A7E"/>
    <w:rsid w:val="00033960"/>
    <w:rsid w:val="00034C9D"/>
    <w:rsid w:val="00040E03"/>
    <w:rsid w:val="0004583F"/>
    <w:rsid w:val="00050223"/>
    <w:rsid w:val="000539B5"/>
    <w:rsid w:val="00056896"/>
    <w:rsid w:val="00060E92"/>
    <w:rsid w:val="00066BD7"/>
    <w:rsid w:val="000743E1"/>
    <w:rsid w:val="000749EC"/>
    <w:rsid w:val="00087CFD"/>
    <w:rsid w:val="00087F33"/>
    <w:rsid w:val="00091417"/>
    <w:rsid w:val="00093519"/>
    <w:rsid w:val="00093E12"/>
    <w:rsid w:val="000A18F8"/>
    <w:rsid w:val="000A65AE"/>
    <w:rsid w:val="000B1755"/>
    <w:rsid w:val="000C1BF5"/>
    <w:rsid w:val="000C45ED"/>
    <w:rsid w:val="000C48F0"/>
    <w:rsid w:val="000D09CD"/>
    <w:rsid w:val="000D0CEC"/>
    <w:rsid w:val="000D27AA"/>
    <w:rsid w:val="000D416C"/>
    <w:rsid w:val="000D7085"/>
    <w:rsid w:val="000E16D7"/>
    <w:rsid w:val="000F2CED"/>
    <w:rsid w:val="000F5858"/>
    <w:rsid w:val="001066EB"/>
    <w:rsid w:val="00110852"/>
    <w:rsid w:val="0011087F"/>
    <w:rsid w:val="0011708E"/>
    <w:rsid w:val="00122A12"/>
    <w:rsid w:val="00124E4D"/>
    <w:rsid w:val="001305AB"/>
    <w:rsid w:val="0013106B"/>
    <w:rsid w:val="00135F80"/>
    <w:rsid w:val="001413A3"/>
    <w:rsid w:val="00143ECB"/>
    <w:rsid w:val="00156E38"/>
    <w:rsid w:val="00161D01"/>
    <w:rsid w:val="00161E52"/>
    <w:rsid w:val="00162AD7"/>
    <w:rsid w:val="00163943"/>
    <w:rsid w:val="001657C6"/>
    <w:rsid w:val="00165D2E"/>
    <w:rsid w:val="001668DF"/>
    <w:rsid w:val="001743C6"/>
    <w:rsid w:val="0018207C"/>
    <w:rsid w:val="001843ED"/>
    <w:rsid w:val="00190527"/>
    <w:rsid w:val="00193EA4"/>
    <w:rsid w:val="001A10BC"/>
    <w:rsid w:val="001A6C13"/>
    <w:rsid w:val="001B1DE9"/>
    <w:rsid w:val="001B20FC"/>
    <w:rsid w:val="001B21C9"/>
    <w:rsid w:val="001B37E2"/>
    <w:rsid w:val="001B5A4D"/>
    <w:rsid w:val="001B76E5"/>
    <w:rsid w:val="001D36D6"/>
    <w:rsid w:val="001D38C1"/>
    <w:rsid w:val="001D38CD"/>
    <w:rsid w:val="001E224F"/>
    <w:rsid w:val="001E2D07"/>
    <w:rsid w:val="001E4C32"/>
    <w:rsid w:val="001E7255"/>
    <w:rsid w:val="001E7E97"/>
    <w:rsid w:val="001F093B"/>
    <w:rsid w:val="001F77D4"/>
    <w:rsid w:val="00203AED"/>
    <w:rsid w:val="0020555B"/>
    <w:rsid w:val="0020787F"/>
    <w:rsid w:val="00210B72"/>
    <w:rsid w:val="00212638"/>
    <w:rsid w:val="002130A7"/>
    <w:rsid w:val="0021399F"/>
    <w:rsid w:val="00216A6C"/>
    <w:rsid w:val="00222C70"/>
    <w:rsid w:val="00223D09"/>
    <w:rsid w:val="00224ED6"/>
    <w:rsid w:val="00226213"/>
    <w:rsid w:val="002267F5"/>
    <w:rsid w:val="00230229"/>
    <w:rsid w:val="0023263D"/>
    <w:rsid w:val="002327A0"/>
    <w:rsid w:val="00237564"/>
    <w:rsid w:val="0024536A"/>
    <w:rsid w:val="00246271"/>
    <w:rsid w:val="0025149F"/>
    <w:rsid w:val="00253B84"/>
    <w:rsid w:val="00253DC6"/>
    <w:rsid w:val="00257E99"/>
    <w:rsid w:val="00267BBF"/>
    <w:rsid w:val="0027078C"/>
    <w:rsid w:val="002723D0"/>
    <w:rsid w:val="002851A4"/>
    <w:rsid w:val="00290475"/>
    <w:rsid w:val="002905AB"/>
    <w:rsid w:val="00294903"/>
    <w:rsid w:val="002959DD"/>
    <w:rsid w:val="002A1059"/>
    <w:rsid w:val="002A202A"/>
    <w:rsid w:val="002A7DF6"/>
    <w:rsid w:val="002B411C"/>
    <w:rsid w:val="002B4CAE"/>
    <w:rsid w:val="002B638C"/>
    <w:rsid w:val="002B65F7"/>
    <w:rsid w:val="002C3999"/>
    <w:rsid w:val="002C39E5"/>
    <w:rsid w:val="002C4B2D"/>
    <w:rsid w:val="002D64F4"/>
    <w:rsid w:val="002D72C4"/>
    <w:rsid w:val="002E561A"/>
    <w:rsid w:val="002F0912"/>
    <w:rsid w:val="002F288C"/>
    <w:rsid w:val="002F4A1C"/>
    <w:rsid w:val="002F4B2B"/>
    <w:rsid w:val="003032DB"/>
    <w:rsid w:val="0030533C"/>
    <w:rsid w:val="003057EE"/>
    <w:rsid w:val="003123EC"/>
    <w:rsid w:val="00314DE5"/>
    <w:rsid w:val="0031555F"/>
    <w:rsid w:val="00315AF5"/>
    <w:rsid w:val="00317165"/>
    <w:rsid w:val="00323F91"/>
    <w:rsid w:val="00333288"/>
    <w:rsid w:val="00333309"/>
    <w:rsid w:val="003370BA"/>
    <w:rsid w:val="003376CA"/>
    <w:rsid w:val="00341F6A"/>
    <w:rsid w:val="00347C31"/>
    <w:rsid w:val="003518AF"/>
    <w:rsid w:val="00360219"/>
    <w:rsid w:val="003613CA"/>
    <w:rsid w:val="003614B1"/>
    <w:rsid w:val="003633BB"/>
    <w:rsid w:val="00377724"/>
    <w:rsid w:val="003814A6"/>
    <w:rsid w:val="003816EA"/>
    <w:rsid w:val="00382D56"/>
    <w:rsid w:val="00394F38"/>
    <w:rsid w:val="00395E32"/>
    <w:rsid w:val="003A315B"/>
    <w:rsid w:val="003A3E3D"/>
    <w:rsid w:val="003A65D0"/>
    <w:rsid w:val="003A6AEF"/>
    <w:rsid w:val="003B015D"/>
    <w:rsid w:val="003B48E5"/>
    <w:rsid w:val="003C3C3E"/>
    <w:rsid w:val="003C416A"/>
    <w:rsid w:val="003C556C"/>
    <w:rsid w:val="003C5820"/>
    <w:rsid w:val="003C5E10"/>
    <w:rsid w:val="003D179D"/>
    <w:rsid w:val="003D2157"/>
    <w:rsid w:val="003D2C5B"/>
    <w:rsid w:val="003D35F1"/>
    <w:rsid w:val="003D6235"/>
    <w:rsid w:val="003D6D99"/>
    <w:rsid w:val="003D7256"/>
    <w:rsid w:val="003E02BF"/>
    <w:rsid w:val="003F0395"/>
    <w:rsid w:val="003F1521"/>
    <w:rsid w:val="003F26CE"/>
    <w:rsid w:val="003F3547"/>
    <w:rsid w:val="00401346"/>
    <w:rsid w:val="00401BBF"/>
    <w:rsid w:val="00402A2F"/>
    <w:rsid w:val="00402C78"/>
    <w:rsid w:val="00407DE0"/>
    <w:rsid w:val="0041067D"/>
    <w:rsid w:val="00412AB8"/>
    <w:rsid w:val="0041407F"/>
    <w:rsid w:val="00415CCC"/>
    <w:rsid w:val="00415CF5"/>
    <w:rsid w:val="00417E14"/>
    <w:rsid w:val="00426D95"/>
    <w:rsid w:val="0043009C"/>
    <w:rsid w:val="004303C5"/>
    <w:rsid w:val="0043262B"/>
    <w:rsid w:val="004363C5"/>
    <w:rsid w:val="00436809"/>
    <w:rsid w:val="00440C11"/>
    <w:rsid w:val="00441A6D"/>
    <w:rsid w:val="00444E8D"/>
    <w:rsid w:val="004450F8"/>
    <w:rsid w:val="00445BEE"/>
    <w:rsid w:val="00446D7F"/>
    <w:rsid w:val="00450BD1"/>
    <w:rsid w:val="0045398B"/>
    <w:rsid w:val="00457065"/>
    <w:rsid w:val="004671E9"/>
    <w:rsid w:val="0047091D"/>
    <w:rsid w:val="00471CF2"/>
    <w:rsid w:val="00472937"/>
    <w:rsid w:val="00477074"/>
    <w:rsid w:val="0048227E"/>
    <w:rsid w:val="00491163"/>
    <w:rsid w:val="004963E4"/>
    <w:rsid w:val="004A50F1"/>
    <w:rsid w:val="004A5B95"/>
    <w:rsid w:val="004A755E"/>
    <w:rsid w:val="004B3C0B"/>
    <w:rsid w:val="004B3DC3"/>
    <w:rsid w:val="004B5CFA"/>
    <w:rsid w:val="004C18B6"/>
    <w:rsid w:val="004C24B6"/>
    <w:rsid w:val="004C7DB2"/>
    <w:rsid w:val="004D1122"/>
    <w:rsid w:val="004D41BB"/>
    <w:rsid w:val="004D52C8"/>
    <w:rsid w:val="004D5C4D"/>
    <w:rsid w:val="004D6327"/>
    <w:rsid w:val="004D7500"/>
    <w:rsid w:val="004E144F"/>
    <w:rsid w:val="004E4C1F"/>
    <w:rsid w:val="004E521E"/>
    <w:rsid w:val="004E752F"/>
    <w:rsid w:val="004F0424"/>
    <w:rsid w:val="004F3E1C"/>
    <w:rsid w:val="004F4C07"/>
    <w:rsid w:val="004F5D4C"/>
    <w:rsid w:val="00501BDD"/>
    <w:rsid w:val="00503866"/>
    <w:rsid w:val="00503CF0"/>
    <w:rsid w:val="005055F3"/>
    <w:rsid w:val="0050560B"/>
    <w:rsid w:val="00506493"/>
    <w:rsid w:val="0050663B"/>
    <w:rsid w:val="00506765"/>
    <w:rsid w:val="00507042"/>
    <w:rsid w:val="00511797"/>
    <w:rsid w:val="00516891"/>
    <w:rsid w:val="00522B65"/>
    <w:rsid w:val="005266CF"/>
    <w:rsid w:val="00526C60"/>
    <w:rsid w:val="00532CAF"/>
    <w:rsid w:val="005332E5"/>
    <w:rsid w:val="00540FC5"/>
    <w:rsid w:val="00547DFD"/>
    <w:rsid w:val="00550283"/>
    <w:rsid w:val="005578B1"/>
    <w:rsid w:val="005611B5"/>
    <w:rsid w:val="00566525"/>
    <w:rsid w:val="00566ABC"/>
    <w:rsid w:val="00566F0F"/>
    <w:rsid w:val="00570C58"/>
    <w:rsid w:val="00574824"/>
    <w:rsid w:val="005759DF"/>
    <w:rsid w:val="00583AC1"/>
    <w:rsid w:val="00592F9C"/>
    <w:rsid w:val="00593955"/>
    <w:rsid w:val="005971DF"/>
    <w:rsid w:val="005A22D0"/>
    <w:rsid w:val="005A272D"/>
    <w:rsid w:val="005A2B62"/>
    <w:rsid w:val="005A37BC"/>
    <w:rsid w:val="005A608F"/>
    <w:rsid w:val="005B3E0A"/>
    <w:rsid w:val="005B3E8B"/>
    <w:rsid w:val="005C14C5"/>
    <w:rsid w:val="005C152F"/>
    <w:rsid w:val="005C50F9"/>
    <w:rsid w:val="005D136D"/>
    <w:rsid w:val="005D3919"/>
    <w:rsid w:val="005E28EE"/>
    <w:rsid w:val="005E2EFB"/>
    <w:rsid w:val="005F0FAE"/>
    <w:rsid w:val="00602D0D"/>
    <w:rsid w:val="00603378"/>
    <w:rsid w:val="00604FA8"/>
    <w:rsid w:val="00606933"/>
    <w:rsid w:val="0062391D"/>
    <w:rsid w:val="00625260"/>
    <w:rsid w:val="00632FFB"/>
    <w:rsid w:val="00635B01"/>
    <w:rsid w:val="006418A3"/>
    <w:rsid w:val="0064523D"/>
    <w:rsid w:val="00645388"/>
    <w:rsid w:val="006463BF"/>
    <w:rsid w:val="00647302"/>
    <w:rsid w:val="00652713"/>
    <w:rsid w:val="00653F70"/>
    <w:rsid w:val="00655F16"/>
    <w:rsid w:val="006574F1"/>
    <w:rsid w:val="00657C3C"/>
    <w:rsid w:val="00661B90"/>
    <w:rsid w:val="0066216E"/>
    <w:rsid w:val="006640FE"/>
    <w:rsid w:val="0066529F"/>
    <w:rsid w:val="00665E12"/>
    <w:rsid w:val="006673D8"/>
    <w:rsid w:val="00671609"/>
    <w:rsid w:val="00671D25"/>
    <w:rsid w:val="006749DE"/>
    <w:rsid w:val="00693159"/>
    <w:rsid w:val="006A4CAF"/>
    <w:rsid w:val="006B2415"/>
    <w:rsid w:val="006B4B79"/>
    <w:rsid w:val="006B7DFD"/>
    <w:rsid w:val="006C0E03"/>
    <w:rsid w:val="006C48F0"/>
    <w:rsid w:val="006D1AC9"/>
    <w:rsid w:val="006D28B7"/>
    <w:rsid w:val="006E0530"/>
    <w:rsid w:val="006E1E9F"/>
    <w:rsid w:val="006E29D9"/>
    <w:rsid w:val="006E33BA"/>
    <w:rsid w:val="006E4A01"/>
    <w:rsid w:val="006E5595"/>
    <w:rsid w:val="006F1F39"/>
    <w:rsid w:val="006F6299"/>
    <w:rsid w:val="00701A3A"/>
    <w:rsid w:val="00704413"/>
    <w:rsid w:val="00705F32"/>
    <w:rsid w:val="007069FF"/>
    <w:rsid w:val="0071069F"/>
    <w:rsid w:val="007137D9"/>
    <w:rsid w:val="00715964"/>
    <w:rsid w:val="00721611"/>
    <w:rsid w:val="007243BB"/>
    <w:rsid w:val="00737BB8"/>
    <w:rsid w:val="00740ED6"/>
    <w:rsid w:val="0074419B"/>
    <w:rsid w:val="0075002E"/>
    <w:rsid w:val="00751AD5"/>
    <w:rsid w:val="0075236E"/>
    <w:rsid w:val="00753E7A"/>
    <w:rsid w:val="007544DE"/>
    <w:rsid w:val="007634C9"/>
    <w:rsid w:val="00765FAD"/>
    <w:rsid w:val="00773B07"/>
    <w:rsid w:val="0077488A"/>
    <w:rsid w:val="00776562"/>
    <w:rsid w:val="00776F97"/>
    <w:rsid w:val="0077744C"/>
    <w:rsid w:val="00777A91"/>
    <w:rsid w:val="007825EA"/>
    <w:rsid w:val="00782D3C"/>
    <w:rsid w:val="00783100"/>
    <w:rsid w:val="00787DAE"/>
    <w:rsid w:val="007A0E80"/>
    <w:rsid w:val="007A6909"/>
    <w:rsid w:val="007B37AC"/>
    <w:rsid w:val="007B4E87"/>
    <w:rsid w:val="007C080A"/>
    <w:rsid w:val="007C091F"/>
    <w:rsid w:val="007C2A48"/>
    <w:rsid w:val="007C2B76"/>
    <w:rsid w:val="007C2BFB"/>
    <w:rsid w:val="007D31C1"/>
    <w:rsid w:val="007E09AC"/>
    <w:rsid w:val="007F5092"/>
    <w:rsid w:val="00802153"/>
    <w:rsid w:val="00804F1F"/>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47C90"/>
    <w:rsid w:val="00855941"/>
    <w:rsid w:val="008560D7"/>
    <w:rsid w:val="00856D2B"/>
    <w:rsid w:val="00860100"/>
    <w:rsid w:val="00861C6B"/>
    <w:rsid w:val="0086319F"/>
    <w:rsid w:val="0086445E"/>
    <w:rsid w:val="00871A60"/>
    <w:rsid w:val="008738B8"/>
    <w:rsid w:val="00875A80"/>
    <w:rsid w:val="00875DD8"/>
    <w:rsid w:val="008859A7"/>
    <w:rsid w:val="00885A30"/>
    <w:rsid w:val="00891A8A"/>
    <w:rsid w:val="008A1A57"/>
    <w:rsid w:val="008A1F84"/>
    <w:rsid w:val="008A3826"/>
    <w:rsid w:val="008A4D72"/>
    <w:rsid w:val="008A5A4F"/>
    <w:rsid w:val="008A7705"/>
    <w:rsid w:val="008B1AB6"/>
    <w:rsid w:val="008B23AC"/>
    <w:rsid w:val="008C3790"/>
    <w:rsid w:val="008C3A8A"/>
    <w:rsid w:val="008D0447"/>
    <w:rsid w:val="008D06E8"/>
    <w:rsid w:val="008D1A3D"/>
    <w:rsid w:val="008D3550"/>
    <w:rsid w:val="008D5433"/>
    <w:rsid w:val="008E05AC"/>
    <w:rsid w:val="008E1A4D"/>
    <w:rsid w:val="008E29F3"/>
    <w:rsid w:val="008E5161"/>
    <w:rsid w:val="008F01FD"/>
    <w:rsid w:val="008F7B23"/>
    <w:rsid w:val="009053D1"/>
    <w:rsid w:val="0090632B"/>
    <w:rsid w:val="00921118"/>
    <w:rsid w:val="00921CA5"/>
    <w:rsid w:val="00935719"/>
    <w:rsid w:val="00936308"/>
    <w:rsid w:val="0093784D"/>
    <w:rsid w:val="0094070D"/>
    <w:rsid w:val="009418E1"/>
    <w:rsid w:val="0094428E"/>
    <w:rsid w:val="0094590A"/>
    <w:rsid w:val="00955D5D"/>
    <w:rsid w:val="009573C9"/>
    <w:rsid w:val="009624C7"/>
    <w:rsid w:val="0096446E"/>
    <w:rsid w:val="00965E80"/>
    <w:rsid w:val="00982357"/>
    <w:rsid w:val="00991A0D"/>
    <w:rsid w:val="009926F4"/>
    <w:rsid w:val="009A04F7"/>
    <w:rsid w:val="009A14DC"/>
    <w:rsid w:val="009A1AAC"/>
    <w:rsid w:val="009A576B"/>
    <w:rsid w:val="009A6407"/>
    <w:rsid w:val="009B0BED"/>
    <w:rsid w:val="009B16FE"/>
    <w:rsid w:val="009B4586"/>
    <w:rsid w:val="009B50FC"/>
    <w:rsid w:val="009B5AAE"/>
    <w:rsid w:val="009B75CE"/>
    <w:rsid w:val="009C1CBE"/>
    <w:rsid w:val="009D593C"/>
    <w:rsid w:val="009D6DA9"/>
    <w:rsid w:val="009E0A5F"/>
    <w:rsid w:val="009E2756"/>
    <w:rsid w:val="009E771B"/>
    <w:rsid w:val="009F03CC"/>
    <w:rsid w:val="009F0ACA"/>
    <w:rsid w:val="009F1E33"/>
    <w:rsid w:val="009F5811"/>
    <w:rsid w:val="009F6C2C"/>
    <w:rsid w:val="009F7EA7"/>
    <w:rsid w:val="00A10CDD"/>
    <w:rsid w:val="00A1302C"/>
    <w:rsid w:val="00A15598"/>
    <w:rsid w:val="00A1599D"/>
    <w:rsid w:val="00A213B7"/>
    <w:rsid w:val="00A22808"/>
    <w:rsid w:val="00A24A68"/>
    <w:rsid w:val="00A3058F"/>
    <w:rsid w:val="00A32857"/>
    <w:rsid w:val="00A348A1"/>
    <w:rsid w:val="00A37402"/>
    <w:rsid w:val="00A42996"/>
    <w:rsid w:val="00A43DC9"/>
    <w:rsid w:val="00A44D90"/>
    <w:rsid w:val="00A47C2B"/>
    <w:rsid w:val="00A55AFF"/>
    <w:rsid w:val="00A55FC7"/>
    <w:rsid w:val="00A56A49"/>
    <w:rsid w:val="00A572F7"/>
    <w:rsid w:val="00A57DAC"/>
    <w:rsid w:val="00A60CFB"/>
    <w:rsid w:val="00A61EA6"/>
    <w:rsid w:val="00A62FCE"/>
    <w:rsid w:val="00A67096"/>
    <w:rsid w:val="00A70D52"/>
    <w:rsid w:val="00A80B43"/>
    <w:rsid w:val="00A812B5"/>
    <w:rsid w:val="00AA13A1"/>
    <w:rsid w:val="00AA1962"/>
    <w:rsid w:val="00AA5C0C"/>
    <w:rsid w:val="00AB1E17"/>
    <w:rsid w:val="00AB3F5E"/>
    <w:rsid w:val="00AD4C84"/>
    <w:rsid w:val="00AD70E0"/>
    <w:rsid w:val="00AE03DD"/>
    <w:rsid w:val="00AE1A00"/>
    <w:rsid w:val="00AE4895"/>
    <w:rsid w:val="00AE75C2"/>
    <w:rsid w:val="00AF3E15"/>
    <w:rsid w:val="00AF4DD1"/>
    <w:rsid w:val="00AF6EA4"/>
    <w:rsid w:val="00B0319E"/>
    <w:rsid w:val="00B03C88"/>
    <w:rsid w:val="00B10005"/>
    <w:rsid w:val="00B13A14"/>
    <w:rsid w:val="00B2030A"/>
    <w:rsid w:val="00B2284E"/>
    <w:rsid w:val="00B235D5"/>
    <w:rsid w:val="00B2477A"/>
    <w:rsid w:val="00B337DF"/>
    <w:rsid w:val="00B47765"/>
    <w:rsid w:val="00B51389"/>
    <w:rsid w:val="00B517F6"/>
    <w:rsid w:val="00B520DA"/>
    <w:rsid w:val="00B64E29"/>
    <w:rsid w:val="00B65376"/>
    <w:rsid w:val="00B664D3"/>
    <w:rsid w:val="00B72462"/>
    <w:rsid w:val="00B773CD"/>
    <w:rsid w:val="00B86658"/>
    <w:rsid w:val="00B90CB9"/>
    <w:rsid w:val="00B91677"/>
    <w:rsid w:val="00BA5BA7"/>
    <w:rsid w:val="00BB0EDB"/>
    <w:rsid w:val="00BB40CE"/>
    <w:rsid w:val="00BB5222"/>
    <w:rsid w:val="00BC17A4"/>
    <w:rsid w:val="00BC1F6D"/>
    <w:rsid w:val="00BC2995"/>
    <w:rsid w:val="00BC2B36"/>
    <w:rsid w:val="00BC3FDA"/>
    <w:rsid w:val="00BC4ADB"/>
    <w:rsid w:val="00BC54C9"/>
    <w:rsid w:val="00BC688C"/>
    <w:rsid w:val="00BD161A"/>
    <w:rsid w:val="00BD6BDF"/>
    <w:rsid w:val="00BD7482"/>
    <w:rsid w:val="00BE287B"/>
    <w:rsid w:val="00BE5F3B"/>
    <w:rsid w:val="00BF0D7E"/>
    <w:rsid w:val="00BF5C27"/>
    <w:rsid w:val="00C05FF3"/>
    <w:rsid w:val="00C0605F"/>
    <w:rsid w:val="00C12D92"/>
    <w:rsid w:val="00C12E31"/>
    <w:rsid w:val="00C13EF9"/>
    <w:rsid w:val="00C233C5"/>
    <w:rsid w:val="00C23C7E"/>
    <w:rsid w:val="00C26469"/>
    <w:rsid w:val="00C30AAA"/>
    <w:rsid w:val="00C3302B"/>
    <w:rsid w:val="00C34B05"/>
    <w:rsid w:val="00C41DF9"/>
    <w:rsid w:val="00C46A9E"/>
    <w:rsid w:val="00C529DB"/>
    <w:rsid w:val="00C5360E"/>
    <w:rsid w:val="00C550DC"/>
    <w:rsid w:val="00C56310"/>
    <w:rsid w:val="00C61727"/>
    <w:rsid w:val="00C67FF4"/>
    <w:rsid w:val="00C72E68"/>
    <w:rsid w:val="00C747F9"/>
    <w:rsid w:val="00C7603A"/>
    <w:rsid w:val="00C84EFC"/>
    <w:rsid w:val="00C87793"/>
    <w:rsid w:val="00C942B7"/>
    <w:rsid w:val="00CA56F2"/>
    <w:rsid w:val="00CA73CC"/>
    <w:rsid w:val="00CB3A38"/>
    <w:rsid w:val="00CB5BA3"/>
    <w:rsid w:val="00CC032B"/>
    <w:rsid w:val="00CC5973"/>
    <w:rsid w:val="00CC764F"/>
    <w:rsid w:val="00CC7A16"/>
    <w:rsid w:val="00CE00E1"/>
    <w:rsid w:val="00CE57E3"/>
    <w:rsid w:val="00CE7D37"/>
    <w:rsid w:val="00CF193D"/>
    <w:rsid w:val="00CF1FE2"/>
    <w:rsid w:val="00CF3AD9"/>
    <w:rsid w:val="00CF73E8"/>
    <w:rsid w:val="00CF784B"/>
    <w:rsid w:val="00CF7DE1"/>
    <w:rsid w:val="00D01377"/>
    <w:rsid w:val="00D0255A"/>
    <w:rsid w:val="00D0339B"/>
    <w:rsid w:val="00D03BDE"/>
    <w:rsid w:val="00D1007C"/>
    <w:rsid w:val="00D10D07"/>
    <w:rsid w:val="00D123B7"/>
    <w:rsid w:val="00D23426"/>
    <w:rsid w:val="00D24472"/>
    <w:rsid w:val="00D27AAC"/>
    <w:rsid w:val="00D30650"/>
    <w:rsid w:val="00D32478"/>
    <w:rsid w:val="00D335C5"/>
    <w:rsid w:val="00D37044"/>
    <w:rsid w:val="00D37088"/>
    <w:rsid w:val="00D413FF"/>
    <w:rsid w:val="00D42611"/>
    <w:rsid w:val="00D42AC8"/>
    <w:rsid w:val="00D46E3F"/>
    <w:rsid w:val="00D4799C"/>
    <w:rsid w:val="00D52D0C"/>
    <w:rsid w:val="00D532ED"/>
    <w:rsid w:val="00D55F69"/>
    <w:rsid w:val="00D57049"/>
    <w:rsid w:val="00D60475"/>
    <w:rsid w:val="00D65108"/>
    <w:rsid w:val="00D8365F"/>
    <w:rsid w:val="00D84C1C"/>
    <w:rsid w:val="00D84CB1"/>
    <w:rsid w:val="00D87220"/>
    <w:rsid w:val="00D92D5F"/>
    <w:rsid w:val="00D95410"/>
    <w:rsid w:val="00D96159"/>
    <w:rsid w:val="00DA5DBB"/>
    <w:rsid w:val="00DB2066"/>
    <w:rsid w:val="00DB55BB"/>
    <w:rsid w:val="00DC1377"/>
    <w:rsid w:val="00DC2871"/>
    <w:rsid w:val="00DC419F"/>
    <w:rsid w:val="00DD0DCE"/>
    <w:rsid w:val="00DD1B44"/>
    <w:rsid w:val="00DE1A51"/>
    <w:rsid w:val="00DE1B7E"/>
    <w:rsid w:val="00DE62A6"/>
    <w:rsid w:val="00DF60A2"/>
    <w:rsid w:val="00E00106"/>
    <w:rsid w:val="00E06387"/>
    <w:rsid w:val="00E064C0"/>
    <w:rsid w:val="00E105D7"/>
    <w:rsid w:val="00E12B40"/>
    <w:rsid w:val="00E17F82"/>
    <w:rsid w:val="00E27AAB"/>
    <w:rsid w:val="00E27B1E"/>
    <w:rsid w:val="00E30EFE"/>
    <w:rsid w:val="00E31BE9"/>
    <w:rsid w:val="00E37F39"/>
    <w:rsid w:val="00E4229A"/>
    <w:rsid w:val="00E42483"/>
    <w:rsid w:val="00E42F47"/>
    <w:rsid w:val="00E45EB0"/>
    <w:rsid w:val="00E468F3"/>
    <w:rsid w:val="00E512B4"/>
    <w:rsid w:val="00E52504"/>
    <w:rsid w:val="00E5282B"/>
    <w:rsid w:val="00E65763"/>
    <w:rsid w:val="00E65AB7"/>
    <w:rsid w:val="00E67A29"/>
    <w:rsid w:val="00E71B2D"/>
    <w:rsid w:val="00E72785"/>
    <w:rsid w:val="00E77DD3"/>
    <w:rsid w:val="00E814B6"/>
    <w:rsid w:val="00E85339"/>
    <w:rsid w:val="00E9026F"/>
    <w:rsid w:val="00E924CE"/>
    <w:rsid w:val="00E9557D"/>
    <w:rsid w:val="00E95B1E"/>
    <w:rsid w:val="00E9644B"/>
    <w:rsid w:val="00EA388B"/>
    <w:rsid w:val="00EB2091"/>
    <w:rsid w:val="00EB3543"/>
    <w:rsid w:val="00EB55B2"/>
    <w:rsid w:val="00EC7486"/>
    <w:rsid w:val="00EC7B8E"/>
    <w:rsid w:val="00ED1AE4"/>
    <w:rsid w:val="00ED39BC"/>
    <w:rsid w:val="00ED5D28"/>
    <w:rsid w:val="00ED763D"/>
    <w:rsid w:val="00EE103B"/>
    <w:rsid w:val="00EE2AB9"/>
    <w:rsid w:val="00EF1C56"/>
    <w:rsid w:val="00EF21C4"/>
    <w:rsid w:val="00EF3031"/>
    <w:rsid w:val="00EF6067"/>
    <w:rsid w:val="00EF6CD2"/>
    <w:rsid w:val="00EF7771"/>
    <w:rsid w:val="00F02A47"/>
    <w:rsid w:val="00F03D4E"/>
    <w:rsid w:val="00F174BF"/>
    <w:rsid w:val="00F227AF"/>
    <w:rsid w:val="00F268BC"/>
    <w:rsid w:val="00F26D2F"/>
    <w:rsid w:val="00F26FCC"/>
    <w:rsid w:val="00F31319"/>
    <w:rsid w:val="00F374A2"/>
    <w:rsid w:val="00F37BD1"/>
    <w:rsid w:val="00F40811"/>
    <w:rsid w:val="00F43C59"/>
    <w:rsid w:val="00F5751D"/>
    <w:rsid w:val="00F57C7A"/>
    <w:rsid w:val="00F61764"/>
    <w:rsid w:val="00F61E9A"/>
    <w:rsid w:val="00F638CF"/>
    <w:rsid w:val="00F660C7"/>
    <w:rsid w:val="00F6611F"/>
    <w:rsid w:val="00F74668"/>
    <w:rsid w:val="00F7491D"/>
    <w:rsid w:val="00F77831"/>
    <w:rsid w:val="00F90585"/>
    <w:rsid w:val="00F93FB7"/>
    <w:rsid w:val="00FA0564"/>
    <w:rsid w:val="00FA0A8F"/>
    <w:rsid w:val="00FA1E5A"/>
    <w:rsid w:val="00FA2E4B"/>
    <w:rsid w:val="00FC2AA6"/>
    <w:rsid w:val="00FC65B8"/>
    <w:rsid w:val="00FD354C"/>
    <w:rsid w:val="00FD7165"/>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2012-12-28T08:00:00+00:00</OpenedDate>
    <Date1 xmlns="dc463f71-b30c-4ab2-9473-d307f9d35888">2015-02-12T08:00:00+00:00</Date1>
    <IsDocumentOrder xmlns="dc463f71-b30c-4ab2-9473-d307f9d35888">true</IsDocumentOrder>
    <IsHighlyConfidential xmlns="dc463f71-b30c-4ab2-9473-d307f9d35888">false</IsHighlyConfidential>
    <CaseCompanyNames xmlns="dc463f71-b30c-4ab2-9473-d307f9d35888">OLYMPIC MOVING AND STORAGE, INC.</CaseCompanyNames>
    <DocketNumber xmlns="dc463f71-b30c-4ab2-9473-d307f9d35888">122004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317E06C118D9469EE585BC929ED237" ma:contentTypeVersion="139" ma:contentTypeDescription="" ma:contentTypeScope="" ma:versionID="22c572be811e4c473b7fc5ada5adde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97066-0B13-46CE-8F84-1FEEE56AF20D}"/>
</file>

<file path=customXml/itemProps2.xml><?xml version="1.0" encoding="utf-8"?>
<ds:datastoreItem xmlns:ds="http://schemas.openxmlformats.org/officeDocument/2006/customXml" ds:itemID="{55E4ECFC-3661-4299-A9BB-E66B00B08558}"/>
</file>

<file path=customXml/itemProps3.xml><?xml version="1.0" encoding="utf-8"?>
<ds:datastoreItem xmlns:ds="http://schemas.openxmlformats.org/officeDocument/2006/customXml" ds:itemID="{8CB68D94-8860-4CD6-AC5C-C23EEF7851E9}"/>
</file>

<file path=customXml/itemProps4.xml><?xml version="1.0" encoding="utf-8"?>
<ds:datastoreItem xmlns:ds="http://schemas.openxmlformats.org/officeDocument/2006/customXml" ds:itemID="{2BEEA352-CAC8-4E77-89C1-6D4EC40028B6}"/>
</file>

<file path=customXml/itemProps5.xml><?xml version="1.0" encoding="utf-8"?>
<ds:datastoreItem xmlns:ds="http://schemas.openxmlformats.org/officeDocument/2006/customXml" ds:itemID="{64836BC7-561C-4252-B2EF-FD1C37376A9B}"/>
</file>

<file path=docProps/app.xml><?xml version="1.0" encoding="utf-8"?>
<Properties xmlns="http://schemas.openxmlformats.org/officeDocument/2006/extended-properties" xmlns:vt="http://schemas.openxmlformats.org/officeDocument/2006/docPropsVTypes">
  <Template>Normal</Template>
  <TotalTime>0</TotalTime>
  <Pages>8</Pages>
  <Words>2023</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2015-02-12T19:12:00Z</dcterms:created>
  <dcterms:modified xsi:type="dcterms:W3CDTF">2015-02-12T19:12:00Z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0x0101006E56B4D1795A2E4DB2F0B01679ED314A0060317E06C118D9469EE585BC929ED237</vt:lpwstr>
  </property>
  <property fmtid="{D5CDD505-2E9C-101B-9397-08002B2CF9AE}" pid="3" name="_docset_NoMedatataSyncRequired">
    <vt:lpwstr>False</vt:lpwstr>
  </property>
</Properties>
</file>