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49" w:rsidRDefault="00F831D3" w:rsidP="00F831D3">
      <w:pPr>
        <w:ind w:left="-1260" w:right="-900"/>
        <w:jc w:val="center"/>
        <w:rPr>
          <w:b/>
          <w:sz w:val="24"/>
          <w:szCs w:val="24"/>
        </w:rPr>
      </w:pPr>
      <w:r w:rsidRPr="00F831D3">
        <w:rPr>
          <w:b/>
          <w:noProof/>
          <w:sz w:val="24"/>
          <w:szCs w:val="24"/>
        </w:rPr>
        <w:drawing>
          <wp:inline distT="0" distB="0" distL="0" distR="0">
            <wp:extent cx="6955682" cy="1342246"/>
            <wp:effectExtent l="1905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7" cstate="print"/>
                    <a:srcRect/>
                    <a:stretch>
                      <a:fillRect/>
                    </a:stretch>
                  </pic:blipFill>
                  <pic:spPr bwMode="auto">
                    <a:xfrm>
                      <a:off x="0" y="0"/>
                      <a:ext cx="6955672" cy="1342244"/>
                    </a:xfrm>
                    <a:prstGeom prst="rect">
                      <a:avLst/>
                    </a:prstGeom>
                    <a:noFill/>
                    <a:ln w="9525">
                      <a:noFill/>
                      <a:miter lim="800000"/>
                      <a:headEnd/>
                      <a:tailEnd/>
                    </a:ln>
                  </pic:spPr>
                </pic:pic>
              </a:graphicData>
            </a:graphic>
          </wp:inline>
        </w:drawing>
      </w: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86549" w:rsidRDefault="00086549" w:rsidP="000C2BDA">
      <w:pPr>
        <w:jc w:val="center"/>
        <w:rPr>
          <w:b/>
          <w:sz w:val="24"/>
          <w:szCs w:val="24"/>
        </w:rPr>
      </w:pPr>
    </w:p>
    <w:p w:rsidR="000C2BDA" w:rsidRPr="00F97BE8" w:rsidRDefault="000C2BDA" w:rsidP="000C2BDA">
      <w:pPr>
        <w:jc w:val="center"/>
        <w:rPr>
          <w:b/>
          <w:sz w:val="44"/>
          <w:szCs w:val="44"/>
        </w:rPr>
      </w:pPr>
      <w:r w:rsidRPr="00F97BE8">
        <w:rPr>
          <w:b/>
          <w:sz w:val="44"/>
          <w:szCs w:val="44"/>
        </w:rPr>
        <w:t>2013 Interim Avista Natural Gas Demand-Side Management Portfolio Business Plan</w:t>
      </w:r>
    </w:p>
    <w:p w:rsidR="00F97BE8" w:rsidRDefault="00F97BE8">
      <w:pPr>
        <w:rPr>
          <w:b/>
          <w:sz w:val="24"/>
          <w:szCs w:val="24"/>
        </w:rPr>
      </w:pPr>
    </w:p>
    <w:p w:rsidR="00F97BE8" w:rsidRDefault="00F97BE8">
      <w:pPr>
        <w:rPr>
          <w:b/>
          <w:sz w:val="24"/>
          <w:szCs w:val="24"/>
        </w:rPr>
      </w:pPr>
    </w:p>
    <w:p w:rsidR="00F97BE8" w:rsidRDefault="00F97BE8">
      <w:pPr>
        <w:rPr>
          <w:b/>
          <w:sz w:val="24"/>
          <w:szCs w:val="24"/>
        </w:rPr>
      </w:pPr>
    </w:p>
    <w:p w:rsidR="00F97BE8" w:rsidRDefault="00F97BE8">
      <w:pPr>
        <w:rPr>
          <w:b/>
          <w:sz w:val="24"/>
          <w:szCs w:val="24"/>
        </w:rPr>
      </w:pPr>
    </w:p>
    <w:p w:rsidR="00F97BE8" w:rsidRDefault="00F97BE8">
      <w:pPr>
        <w:rPr>
          <w:b/>
          <w:sz w:val="24"/>
          <w:szCs w:val="24"/>
        </w:rPr>
      </w:pPr>
    </w:p>
    <w:p w:rsidR="00F97BE8" w:rsidRDefault="00F97BE8">
      <w:pPr>
        <w:rPr>
          <w:b/>
          <w:sz w:val="24"/>
          <w:szCs w:val="24"/>
        </w:rPr>
      </w:pPr>
    </w:p>
    <w:p w:rsidR="00F97BE8" w:rsidRDefault="00F97BE8" w:rsidP="00F97BE8">
      <w:pPr>
        <w:spacing w:after="0" w:line="240" w:lineRule="auto"/>
        <w:jc w:val="right"/>
        <w:rPr>
          <w:b/>
          <w:sz w:val="24"/>
          <w:szCs w:val="24"/>
        </w:rPr>
      </w:pPr>
      <w:r>
        <w:rPr>
          <w:b/>
          <w:sz w:val="24"/>
          <w:szCs w:val="24"/>
        </w:rPr>
        <w:t>Avista Utilities</w:t>
      </w:r>
    </w:p>
    <w:p w:rsidR="000C2BDA" w:rsidRDefault="00F97BE8" w:rsidP="00F97BE8">
      <w:pPr>
        <w:spacing w:after="0" w:line="240" w:lineRule="auto"/>
        <w:jc w:val="right"/>
        <w:rPr>
          <w:b/>
          <w:sz w:val="24"/>
          <w:szCs w:val="24"/>
        </w:rPr>
      </w:pPr>
      <w:r>
        <w:rPr>
          <w:b/>
          <w:sz w:val="24"/>
          <w:szCs w:val="24"/>
        </w:rPr>
        <w:t xml:space="preserve">August </w:t>
      </w:r>
      <w:r w:rsidR="00812BC9">
        <w:rPr>
          <w:b/>
          <w:sz w:val="24"/>
          <w:szCs w:val="24"/>
        </w:rPr>
        <w:t>8</w:t>
      </w:r>
      <w:r w:rsidRPr="00F97BE8">
        <w:rPr>
          <w:b/>
          <w:sz w:val="24"/>
          <w:szCs w:val="24"/>
          <w:vertAlign w:val="superscript"/>
        </w:rPr>
        <w:t>th</w:t>
      </w:r>
      <w:r>
        <w:rPr>
          <w:b/>
          <w:sz w:val="24"/>
          <w:szCs w:val="24"/>
        </w:rPr>
        <w:t>, 2013</w:t>
      </w:r>
      <w:r w:rsidR="000C2BDA">
        <w:rPr>
          <w:b/>
          <w:sz w:val="24"/>
          <w:szCs w:val="24"/>
        </w:rPr>
        <w:br w:type="page"/>
      </w:r>
    </w:p>
    <w:p w:rsidR="000C2BDA" w:rsidRPr="00F831D3" w:rsidRDefault="000C2BDA" w:rsidP="000C2BDA">
      <w:pPr>
        <w:rPr>
          <w:rFonts w:ascii="Times New Roman" w:hAnsi="Times New Roman" w:cs="Times New Roman"/>
          <w:b/>
          <w:sz w:val="24"/>
          <w:szCs w:val="24"/>
          <w:u w:val="single"/>
        </w:rPr>
      </w:pPr>
      <w:r w:rsidRPr="00F831D3">
        <w:rPr>
          <w:rFonts w:ascii="Times New Roman" w:hAnsi="Times New Roman" w:cs="Times New Roman"/>
          <w:b/>
          <w:sz w:val="24"/>
          <w:szCs w:val="24"/>
          <w:u w:val="single"/>
        </w:rPr>
        <w:lastRenderedPageBreak/>
        <w:t>Introduction</w:t>
      </w:r>
    </w:p>
    <w:p w:rsidR="000C2BDA" w:rsidRPr="00F831D3" w:rsidRDefault="00F831D3" w:rsidP="00F831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Avista’s</w:t>
      </w:r>
      <w:r w:rsidR="000C2BDA" w:rsidRPr="00F831D3">
        <w:rPr>
          <w:rFonts w:ascii="Times New Roman" w:hAnsi="Times New Roman" w:cs="Times New Roman"/>
          <w:sz w:val="24"/>
          <w:szCs w:val="24"/>
        </w:rPr>
        <w:t xml:space="preserve"> </w:t>
      </w:r>
      <w:r w:rsidR="009E5C25" w:rsidRPr="00F831D3">
        <w:rPr>
          <w:rFonts w:ascii="Times New Roman" w:hAnsi="Times New Roman" w:cs="Times New Roman"/>
          <w:sz w:val="24"/>
          <w:szCs w:val="24"/>
        </w:rPr>
        <w:t>Interim B</w:t>
      </w:r>
      <w:r w:rsidR="000C2BDA" w:rsidRPr="00F831D3">
        <w:rPr>
          <w:rFonts w:ascii="Times New Roman" w:hAnsi="Times New Roman" w:cs="Times New Roman"/>
          <w:sz w:val="24"/>
          <w:szCs w:val="24"/>
        </w:rPr>
        <w:t xml:space="preserve">usiness </w:t>
      </w:r>
      <w:r w:rsidR="009E5C25" w:rsidRPr="00F831D3">
        <w:rPr>
          <w:rFonts w:ascii="Times New Roman" w:hAnsi="Times New Roman" w:cs="Times New Roman"/>
          <w:sz w:val="24"/>
          <w:szCs w:val="24"/>
        </w:rPr>
        <w:t>P</w:t>
      </w:r>
      <w:r w:rsidR="000C2BDA" w:rsidRPr="00F831D3">
        <w:rPr>
          <w:rFonts w:ascii="Times New Roman" w:hAnsi="Times New Roman" w:cs="Times New Roman"/>
          <w:sz w:val="24"/>
          <w:szCs w:val="24"/>
        </w:rPr>
        <w:t xml:space="preserve">lan represents </w:t>
      </w:r>
      <w:r>
        <w:rPr>
          <w:rFonts w:ascii="Times New Roman" w:hAnsi="Times New Roman" w:cs="Times New Roman"/>
          <w:sz w:val="24"/>
          <w:szCs w:val="24"/>
        </w:rPr>
        <w:t>a</w:t>
      </w:r>
      <w:r w:rsidR="000C2BDA" w:rsidRPr="00F831D3">
        <w:rPr>
          <w:rFonts w:ascii="Times New Roman" w:hAnsi="Times New Roman" w:cs="Times New Roman"/>
          <w:sz w:val="24"/>
          <w:szCs w:val="24"/>
        </w:rPr>
        <w:t xml:space="preserve"> commitment to </w:t>
      </w:r>
      <w:r w:rsidR="008350FA" w:rsidRPr="00F831D3">
        <w:rPr>
          <w:rFonts w:ascii="Times New Roman" w:hAnsi="Times New Roman" w:cs="Times New Roman"/>
          <w:sz w:val="24"/>
          <w:szCs w:val="24"/>
        </w:rPr>
        <w:t xml:space="preserve">documenting </w:t>
      </w:r>
      <w:r w:rsidR="000C2BDA" w:rsidRPr="00F831D3">
        <w:rPr>
          <w:rFonts w:ascii="Times New Roman" w:hAnsi="Times New Roman" w:cs="Times New Roman"/>
          <w:sz w:val="24"/>
          <w:szCs w:val="24"/>
        </w:rPr>
        <w:t xml:space="preserve">the outcome of an ongoing business planning effort </w:t>
      </w:r>
      <w:r w:rsidR="008350FA" w:rsidRPr="00F831D3">
        <w:rPr>
          <w:rFonts w:ascii="Times New Roman" w:hAnsi="Times New Roman" w:cs="Times New Roman"/>
          <w:sz w:val="24"/>
          <w:szCs w:val="24"/>
        </w:rPr>
        <w:t>that occurred</w:t>
      </w:r>
      <w:r w:rsidR="000C2BDA" w:rsidRPr="00F831D3">
        <w:rPr>
          <w:rFonts w:ascii="Times New Roman" w:hAnsi="Times New Roman" w:cs="Times New Roman"/>
          <w:sz w:val="24"/>
          <w:szCs w:val="24"/>
        </w:rPr>
        <w:t xml:space="preserve"> between May 2012 and July 2013.  Th</w:t>
      </w:r>
      <w:r w:rsidR="008350FA" w:rsidRPr="00F831D3">
        <w:rPr>
          <w:rFonts w:ascii="Times New Roman" w:hAnsi="Times New Roman" w:cs="Times New Roman"/>
          <w:sz w:val="24"/>
          <w:szCs w:val="24"/>
        </w:rPr>
        <w:t xml:space="preserve">e business planning </w:t>
      </w:r>
      <w:r w:rsidR="000C2BDA" w:rsidRPr="00F831D3">
        <w:rPr>
          <w:rFonts w:ascii="Times New Roman" w:hAnsi="Times New Roman" w:cs="Times New Roman"/>
          <w:sz w:val="24"/>
          <w:szCs w:val="24"/>
        </w:rPr>
        <w:t xml:space="preserve">effort </w:t>
      </w:r>
      <w:r w:rsidR="008350FA" w:rsidRPr="00F831D3">
        <w:rPr>
          <w:rFonts w:ascii="Times New Roman" w:hAnsi="Times New Roman" w:cs="Times New Roman"/>
          <w:sz w:val="24"/>
          <w:szCs w:val="24"/>
        </w:rPr>
        <w:t>w</w:t>
      </w:r>
      <w:r w:rsidR="000C2BDA" w:rsidRPr="00F831D3">
        <w:rPr>
          <w:rFonts w:ascii="Times New Roman" w:hAnsi="Times New Roman" w:cs="Times New Roman"/>
          <w:sz w:val="24"/>
          <w:szCs w:val="24"/>
        </w:rPr>
        <w:t xml:space="preserve">as specifically designed to be responsive, in a timely manner, to </w:t>
      </w:r>
      <w:r w:rsidR="008350FA" w:rsidRPr="00F831D3">
        <w:rPr>
          <w:rFonts w:ascii="Times New Roman" w:hAnsi="Times New Roman" w:cs="Times New Roman"/>
          <w:sz w:val="24"/>
          <w:szCs w:val="24"/>
        </w:rPr>
        <w:t xml:space="preserve">a </w:t>
      </w:r>
      <w:r w:rsidR="000C2BDA" w:rsidRPr="00F831D3">
        <w:rPr>
          <w:rFonts w:ascii="Times New Roman" w:hAnsi="Times New Roman" w:cs="Times New Roman"/>
          <w:sz w:val="24"/>
          <w:szCs w:val="24"/>
        </w:rPr>
        <w:t>Washington Utilities and Tran</w:t>
      </w:r>
      <w:r w:rsidR="008350FA" w:rsidRPr="00F831D3">
        <w:rPr>
          <w:rFonts w:ascii="Times New Roman" w:hAnsi="Times New Roman" w:cs="Times New Roman"/>
          <w:sz w:val="24"/>
          <w:szCs w:val="24"/>
        </w:rPr>
        <w:t>sportation Commission directive</w:t>
      </w:r>
      <w:r w:rsidR="000C2BDA" w:rsidRPr="00F831D3">
        <w:rPr>
          <w:rFonts w:ascii="Times New Roman" w:hAnsi="Times New Roman" w:cs="Times New Roman"/>
          <w:sz w:val="24"/>
          <w:szCs w:val="24"/>
        </w:rPr>
        <w:t xml:space="preserve"> to shift from the Company’s optimization of the natural gas DSM portfolio around a net Total Resource Cost</w:t>
      </w:r>
      <w:r>
        <w:rPr>
          <w:rFonts w:ascii="Times New Roman" w:hAnsi="Times New Roman" w:cs="Times New Roman"/>
          <w:sz w:val="24"/>
          <w:szCs w:val="24"/>
        </w:rPr>
        <w:t xml:space="preserve"> (TRC</w:t>
      </w:r>
      <w:proofErr w:type="gramStart"/>
      <w:r>
        <w:rPr>
          <w:rFonts w:ascii="Times New Roman" w:hAnsi="Times New Roman" w:cs="Times New Roman"/>
          <w:sz w:val="24"/>
          <w:szCs w:val="24"/>
        </w:rPr>
        <w:t xml:space="preserve">) </w:t>
      </w:r>
      <w:r w:rsidR="000C2BDA" w:rsidRPr="00F831D3">
        <w:rPr>
          <w:rFonts w:ascii="Times New Roman" w:hAnsi="Times New Roman" w:cs="Times New Roman"/>
          <w:sz w:val="24"/>
          <w:szCs w:val="24"/>
        </w:rPr>
        <w:t xml:space="preserve"> test</w:t>
      </w:r>
      <w:proofErr w:type="gramEnd"/>
      <w:r w:rsidR="000C2BDA" w:rsidRPr="00F831D3">
        <w:rPr>
          <w:rFonts w:ascii="Times New Roman" w:hAnsi="Times New Roman" w:cs="Times New Roman"/>
          <w:sz w:val="24"/>
          <w:szCs w:val="24"/>
        </w:rPr>
        <w:t xml:space="preserve"> to </w:t>
      </w:r>
      <w:r w:rsidR="008350FA" w:rsidRPr="00F831D3">
        <w:rPr>
          <w:rFonts w:ascii="Times New Roman" w:hAnsi="Times New Roman" w:cs="Times New Roman"/>
          <w:sz w:val="24"/>
          <w:szCs w:val="24"/>
        </w:rPr>
        <w:t xml:space="preserve">the use of the </w:t>
      </w:r>
      <w:r w:rsidR="000C2BDA" w:rsidRPr="00F831D3">
        <w:rPr>
          <w:rFonts w:ascii="Times New Roman" w:hAnsi="Times New Roman" w:cs="Times New Roman"/>
          <w:sz w:val="24"/>
          <w:szCs w:val="24"/>
        </w:rPr>
        <w:t>gross Utility Cost Test</w:t>
      </w:r>
      <w:r>
        <w:rPr>
          <w:rFonts w:ascii="Times New Roman" w:hAnsi="Times New Roman" w:cs="Times New Roman"/>
          <w:sz w:val="24"/>
          <w:szCs w:val="24"/>
        </w:rPr>
        <w:t xml:space="preserve"> (UCT)</w:t>
      </w:r>
      <w:r w:rsidR="000C2BDA" w:rsidRPr="00F831D3">
        <w:rPr>
          <w:rFonts w:ascii="Times New Roman" w:hAnsi="Times New Roman" w:cs="Times New Roman"/>
          <w:sz w:val="24"/>
          <w:szCs w:val="24"/>
        </w:rPr>
        <w:t xml:space="preserve">.  (The details of these tests and the implications upon the management of the portfolio will be elaborated upon </w:t>
      </w:r>
      <w:r>
        <w:rPr>
          <w:rFonts w:ascii="Times New Roman" w:hAnsi="Times New Roman" w:cs="Times New Roman"/>
          <w:sz w:val="24"/>
          <w:szCs w:val="24"/>
        </w:rPr>
        <w:t>later in</w:t>
      </w:r>
      <w:r w:rsidR="000C2BDA" w:rsidRPr="00F831D3">
        <w:rPr>
          <w:rFonts w:ascii="Times New Roman" w:hAnsi="Times New Roman" w:cs="Times New Roman"/>
          <w:sz w:val="24"/>
          <w:szCs w:val="24"/>
        </w:rPr>
        <w:t xml:space="preserve"> this document).</w:t>
      </w:r>
    </w:p>
    <w:p w:rsidR="00F831D3" w:rsidRDefault="00F831D3" w:rsidP="00F831D3">
      <w:pPr>
        <w:spacing w:after="0" w:line="240" w:lineRule="auto"/>
        <w:rPr>
          <w:rFonts w:ascii="Times New Roman" w:hAnsi="Times New Roman" w:cs="Times New Roman"/>
          <w:sz w:val="24"/>
          <w:szCs w:val="24"/>
        </w:rPr>
      </w:pPr>
    </w:p>
    <w:p w:rsidR="000C2BDA" w:rsidRDefault="00EF4619" w:rsidP="00F831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Company engages in o</w:t>
      </w:r>
      <w:r w:rsidRPr="00EF4619">
        <w:rPr>
          <w:rFonts w:ascii="Times New Roman" w:hAnsi="Times New Roman" w:cs="Times New Roman"/>
          <w:sz w:val="24"/>
          <w:szCs w:val="24"/>
        </w:rPr>
        <w:t>ngoing business planning efforts in response to changes in markets, techno</w:t>
      </w:r>
      <w:r>
        <w:rPr>
          <w:rFonts w:ascii="Times New Roman" w:hAnsi="Times New Roman" w:cs="Times New Roman"/>
          <w:sz w:val="24"/>
          <w:szCs w:val="24"/>
        </w:rPr>
        <w:t>logies and regulatory direction.</w:t>
      </w:r>
      <w:r w:rsidRPr="00EF4619">
        <w:rPr>
          <w:rFonts w:ascii="Times New Roman" w:hAnsi="Times New Roman" w:cs="Times New Roman"/>
          <w:sz w:val="24"/>
          <w:szCs w:val="24"/>
        </w:rPr>
        <w:t xml:space="preserve"> In recent months, several changes to the demand side management (DSM) </w:t>
      </w:r>
      <w:r>
        <w:rPr>
          <w:rFonts w:ascii="Times New Roman" w:hAnsi="Times New Roman" w:cs="Times New Roman"/>
          <w:sz w:val="24"/>
          <w:szCs w:val="24"/>
        </w:rPr>
        <w:t xml:space="preserve">natural gas </w:t>
      </w:r>
      <w:r w:rsidRPr="00EF4619">
        <w:rPr>
          <w:rFonts w:ascii="Times New Roman" w:hAnsi="Times New Roman" w:cs="Times New Roman"/>
          <w:sz w:val="24"/>
          <w:szCs w:val="24"/>
        </w:rPr>
        <w:t xml:space="preserve">portfolio that the Company believes would lead to improved portfolio performance </w:t>
      </w:r>
      <w:r>
        <w:rPr>
          <w:rFonts w:ascii="Times New Roman" w:hAnsi="Times New Roman" w:cs="Times New Roman"/>
          <w:sz w:val="24"/>
          <w:szCs w:val="24"/>
        </w:rPr>
        <w:t xml:space="preserve">warranted a revision to tariff Schedule </w:t>
      </w:r>
      <w:r w:rsidRPr="00EF4619">
        <w:rPr>
          <w:rFonts w:ascii="Times New Roman" w:hAnsi="Times New Roman" w:cs="Times New Roman"/>
          <w:sz w:val="24"/>
          <w:szCs w:val="24"/>
        </w:rPr>
        <w:t>190 “Natural Gas Efficiency Programs”</w:t>
      </w:r>
      <w:r w:rsidR="000C2BDA" w:rsidRPr="00EF4619">
        <w:rPr>
          <w:rFonts w:ascii="Times New Roman" w:hAnsi="Times New Roman" w:cs="Times New Roman"/>
          <w:sz w:val="24"/>
          <w:szCs w:val="24"/>
        </w:rPr>
        <w:t xml:space="preserve"> </w:t>
      </w:r>
      <w:r w:rsidR="000C2BDA" w:rsidRPr="00F831D3">
        <w:rPr>
          <w:rFonts w:ascii="Times New Roman" w:hAnsi="Times New Roman" w:cs="Times New Roman"/>
          <w:sz w:val="24"/>
          <w:szCs w:val="24"/>
        </w:rPr>
        <w:t xml:space="preserve">and the need to </w:t>
      </w:r>
      <w:r>
        <w:rPr>
          <w:rFonts w:ascii="Times New Roman" w:hAnsi="Times New Roman" w:cs="Times New Roman"/>
          <w:sz w:val="24"/>
          <w:szCs w:val="24"/>
        </w:rPr>
        <w:t>make revisions</w:t>
      </w:r>
      <w:r w:rsidR="000C2BDA" w:rsidRPr="00F831D3">
        <w:rPr>
          <w:rFonts w:ascii="Times New Roman" w:hAnsi="Times New Roman" w:cs="Times New Roman"/>
          <w:sz w:val="24"/>
          <w:szCs w:val="24"/>
        </w:rPr>
        <w:t xml:space="preserve"> prior to the completion of the full 2014 DSM Business Plan.  </w:t>
      </w:r>
    </w:p>
    <w:p w:rsidR="00F831D3" w:rsidRPr="00F831D3" w:rsidRDefault="00F831D3" w:rsidP="00F831D3">
      <w:pPr>
        <w:spacing w:after="0" w:line="240" w:lineRule="auto"/>
        <w:jc w:val="both"/>
        <w:rPr>
          <w:rFonts w:ascii="Times New Roman" w:hAnsi="Times New Roman" w:cs="Times New Roman"/>
          <w:sz w:val="24"/>
          <w:szCs w:val="24"/>
        </w:rPr>
      </w:pPr>
    </w:p>
    <w:p w:rsidR="000C2BDA" w:rsidRPr="00F831D3" w:rsidRDefault="000C2BDA" w:rsidP="00F831D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This </w:t>
      </w:r>
      <w:r w:rsidR="009E5C25" w:rsidRPr="00F831D3">
        <w:rPr>
          <w:rFonts w:ascii="Times New Roman" w:hAnsi="Times New Roman" w:cs="Times New Roman"/>
          <w:sz w:val="24"/>
          <w:szCs w:val="24"/>
        </w:rPr>
        <w:t>I</w:t>
      </w:r>
      <w:r w:rsidRPr="00F831D3">
        <w:rPr>
          <w:rFonts w:ascii="Times New Roman" w:hAnsi="Times New Roman" w:cs="Times New Roman"/>
          <w:sz w:val="24"/>
          <w:szCs w:val="24"/>
        </w:rPr>
        <w:t xml:space="preserve">nterim </w:t>
      </w:r>
      <w:r w:rsidR="009E5C25" w:rsidRPr="00F831D3">
        <w:rPr>
          <w:rFonts w:ascii="Times New Roman" w:hAnsi="Times New Roman" w:cs="Times New Roman"/>
          <w:sz w:val="24"/>
          <w:szCs w:val="24"/>
        </w:rPr>
        <w:t>B</w:t>
      </w:r>
      <w:r w:rsidRPr="00F831D3">
        <w:rPr>
          <w:rFonts w:ascii="Times New Roman" w:hAnsi="Times New Roman" w:cs="Times New Roman"/>
          <w:sz w:val="24"/>
          <w:szCs w:val="24"/>
        </w:rPr>
        <w:t xml:space="preserve">usiness </w:t>
      </w:r>
      <w:r w:rsidR="009E5C25" w:rsidRPr="00F831D3">
        <w:rPr>
          <w:rFonts w:ascii="Times New Roman" w:hAnsi="Times New Roman" w:cs="Times New Roman"/>
          <w:sz w:val="24"/>
          <w:szCs w:val="24"/>
        </w:rPr>
        <w:t>P</w:t>
      </w:r>
      <w:r w:rsidRPr="00F831D3">
        <w:rPr>
          <w:rFonts w:ascii="Times New Roman" w:hAnsi="Times New Roman" w:cs="Times New Roman"/>
          <w:sz w:val="24"/>
          <w:szCs w:val="24"/>
        </w:rPr>
        <w:t>lan will explain and document the planning effort that ha</w:t>
      </w:r>
      <w:r w:rsidR="008350FA" w:rsidRPr="00F831D3">
        <w:rPr>
          <w:rFonts w:ascii="Times New Roman" w:hAnsi="Times New Roman" w:cs="Times New Roman"/>
          <w:sz w:val="24"/>
          <w:szCs w:val="24"/>
        </w:rPr>
        <w:t>s</w:t>
      </w:r>
      <w:r w:rsidRPr="00F831D3">
        <w:rPr>
          <w:rFonts w:ascii="Times New Roman" w:hAnsi="Times New Roman" w:cs="Times New Roman"/>
          <w:sz w:val="24"/>
          <w:szCs w:val="24"/>
        </w:rPr>
        <w:t xml:space="preserve"> been completed up to the initiation of the regularly scheduled comprehensive annual </w:t>
      </w:r>
      <w:r w:rsidR="008350FA" w:rsidRPr="00F831D3">
        <w:rPr>
          <w:rFonts w:ascii="Times New Roman" w:hAnsi="Times New Roman" w:cs="Times New Roman"/>
          <w:sz w:val="24"/>
          <w:szCs w:val="24"/>
        </w:rPr>
        <w:t xml:space="preserve">business </w:t>
      </w:r>
      <w:r w:rsidRPr="00F831D3">
        <w:rPr>
          <w:rFonts w:ascii="Times New Roman" w:hAnsi="Times New Roman" w:cs="Times New Roman"/>
          <w:sz w:val="24"/>
          <w:szCs w:val="24"/>
        </w:rPr>
        <w:t>planning process.  The result</w:t>
      </w:r>
      <w:r w:rsidR="008350FA" w:rsidRPr="00F831D3">
        <w:rPr>
          <w:rFonts w:ascii="Times New Roman" w:hAnsi="Times New Roman" w:cs="Times New Roman"/>
          <w:sz w:val="24"/>
          <w:szCs w:val="24"/>
        </w:rPr>
        <w:t>s</w:t>
      </w:r>
      <w:r w:rsidRPr="00F831D3">
        <w:rPr>
          <w:rFonts w:ascii="Times New Roman" w:hAnsi="Times New Roman" w:cs="Times New Roman"/>
          <w:sz w:val="24"/>
          <w:szCs w:val="24"/>
        </w:rPr>
        <w:t xml:space="preserve"> of these </w:t>
      </w:r>
      <w:r w:rsidR="008350FA" w:rsidRPr="00F831D3">
        <w:rPr>
          <w:rFonts w:ascii="Times New Roman" w:hAnsi="Times New Roman" w:cs="Times New Roman"/>
          <w:sz w:val="24"/>
          <w:szCs w:val="24"/>
        </w:rPr>
        <w:t xml:space="preserve">planning </w:t>
      </w:r>
      <w:r w:rsidRPr="00F831D3">
        <w:rPr>
          <w:rFonts w:ascii="Times New Roman" w:hAnsi="Times New Roman" w:cs="Times New Roman"/>
          <w:sz w:val="24"/>
          <w:szCs w:val="24"/>
        </w:rPr>
        <w:t xml:space="preserve">efforts </w:t>
      </w:r>
      <w:r w:rsidR="008350FA" w:rsidRPr="00F831D3">
        <w:rPr>
          <w:rFonts w:ascii="Times New Roman" w:hAnsi="Times New Roman" w:cs="Times New Roman"/>
          <w:sz w:val="24"/>
          <w:szCs w:val="24"/>
        </w:rPr>
        <w:t>have moved seamlessly forward into the development of a</w:t>
      </w:r>
      <w:r w:rsidRPr="00F831D3">
        <w:rPr>
          <w:rFonts w:ascii="Times New Roman" w:hAnsi="Times New Roman" w:cs="Times New Roman"/>
          <w:sz w:val="24"/>
          <w:szCs w:val="24"/>
        </w:rPr>
        <w:t xml:space="preserve"> 2014 DSM Business Plan</w:t>
      </w:r>
      <w:r w:rsidR="008350FA" w:rsidRPr="00F831D3">
        <w:rPr>
          <w:rFonts w:ascii="Times New Roman" w:hAnsi="Times New Roman" w:cs="Times New Roman"/>
          <w:sz w:val="24"/>
          <w:szCs w:val="24"/>
        </w:rPr>
        <w:t>.</w:t>
      </w:r>
      <w:r w:rsidR="008A70B9" w:rsidRPr="00F831D3">
        <w:rPr>
          <w:rFonts w:ascii="Times New Roman" w:hAnsi="Times New Roman" w:cs="Times New Roman"/>
          <w:sz w:val="24"/>
          <w:szCs w:val="24"/>
        </w:rPr>
        <w:t xml:space="preserve"> </w:t>
      </w:r>
      <w:r w:rsidR="008350FA" w:rsidRPr="00F831D3">
        <w:rPr>
          <w:rFonts w:ascii="Times New Roman" w:hAnsi="Times New Roman" w:cs="Times New Roman"/>
          <w:sz w:val="24"/>
          <w:szCs w:val="24"/>
        </w:rPr>
        <w:t xml:space="preserve"> T</w:t>
      </w:r>
      <w:r w:rsidR="008A70B9" w:rsidRPr="00F831D3">
        <w:rPr>
          <w:rFonts w:ascii="Times New Roman" w:hAnsi="Times New Roman" w:cs="Times New Roman"/>
          <w:sz w:val="24"/>
          <w:szCs w:val="24"/>
        </w:rPr>
        <w:t xml:space="preserve">hat </w:t>
      </w:r>
      <w:r w:rsidR="008350FA" w:rsidRPr="00F831D3">
        <w:rPr>
          <w:rFonts w:ascii="Times New Roman" w:hAnsi="Times New Roman" w:cs="Times New Roman"/>
          <w:sz w:val="24"/>
          <w:szCs w:val="24"/>
        </w:rPr>
        <w:t xml:space="preserve">planning effort </w:t>
      </w:r>
      <w:r w:rsidR="008A70B9" w:rsidRPr="00F831D3">
        <w:rPr>
          <w:rFonts w:ascii="Times New Roman" w:hAnsi="Times New Roman" w:cs="Times New Roman"/>
          <w:sz w:val="24"/>
          <w:szCs w:val="24"/>
        </w:rPr>
        <w:t xml:space="preserve">is currently underway and scheduled for </w:t>
      </w:r>
      <w:r w:rsidR="008350FA" w:rsidRPr="00F831D3">
        <w:rPr>
          <w:rFonts w:ascii="Times New Roman" w:hAnsi="Times New Roman" w:cs="Times New Roman"/>
          <w:sz w:val="24"/>
          <w:szCs w:val="24"/>
        </w:rPr>
        <w:t>completion</w:t>
      </w:r>
      <w:r w:rsidR="005D5CE9">
        <w:rPr>
          <w:rFonts w:ascii="Times New Roman" w:hAnsi="Times New Roman" w:cs="Times New Roman"/>
          <w:sz w:val="24"/>
          <w:szCs w:val="24"/>
        </w:rPr>
        <w:t xml:space="preserve"> and filed on or before November 1, 2013</w:t>
      </w:r>
      <w:r w:rsidR="00EF4619">
        <w:rPr>
          <w:rFonts w:ascii="Times New Roman" w:hAnsi="Times New Roman" w:cs="Times New Roman"/>
          <w:sz w:val="24"/>
          <w:szCs w:val="24"/>
        </w:rPr>
        <w:t>.</w:t>
      </w:r>
    </w:p>
    <w:p w:rsidR="00EF4619" w:rsidRDefault="00EF4619" w:rsidP="00EF4619">
      <w:pPr>
        <w:spacing w:after="0" w:line="240" w:lineRule="auto"/>
        <w:rPr>
          <w:rFonts w:ascii="Times New Roman" w:hAnsi="Times New Roman" w:cs="Times New Roman"/>
          <w:sz w:val="24"/>
          <w:szCs w:val="24"/>
          <w:u w:val="single"/>
        </w:rPr>
      </w:pPr>
    </w:p>
    <w:p w:rsidR="00BE48E3" w:rsidRPr="00EF4619" w:rsidRDefault="00BE48E3" w:rsidP="00BE48E3">
      <w:pPr>
        <w:rPr>
          <w:rFonts w:ascii="Times New Roman" w:hAnsi="Times New Roman" w:cs="Times New Roman"/>
          <w:b/>
          <w:sz w:val="24"/>
          <w:szCs w:val="24"/>
          <w:u w:val="single"/>
        </w:rPr>
      </w:pPr>
      <w:r w:rsidRPr="00EF4619">
        <w:rPr>
          <w:rFonts w:ascii="Times New Roman" w:hAnsi="Times New Roman" w:cs="Times New Roman"/>
          <w:b/>
          <w:sz w:val="24"/>
          <w:szCs w:val="24"/>
          <w:u w:val="single"/>
        </w:rPr>
        <w:t>Background</w:t>
      </w:r>
    </w:p>
    <w:p w:rsidR="00BE48E3" w:rsidRPr="00F831D3" w:rsidRDefault="00BE48E3" w:rsidP="00EF461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Natural gas DSM programs have</w:t>
      </w:r>
      <w:r w:rsidR="00AE264C" w:rsidRPr="00F831D3">
        <w:rPr>
          <w:rFonts w:ascii="Times New Roman" w:hAnsi="Times New Roman" w:cs="Times New Roman"/>
          <w:sz w:val="24"/>
          <w:szCs w:val="24"/>
        </w:rPr>
        <w:t xml:space="preserve"> been</w:t>
      </w:r>
      <w:r w:rsidR="009E5C25" w:rsidRPr="00F831D3">
        <w:rPr>
          <w:rFonts w:ascii="Times New Roman" w:hAnsi="Times New Roman" w:cs="Times New Roman"/>
          <w:sz w:val="24"/>
          <w:szCs w:val="24"/>
        </w:rPr>
        <w:t xml:space="preserve"> </w:t>
      </w:r>
      <w:r w:rsidRPr="00F831D3">
        <w:rPr>
          <w:rFonts w:ascii="Times New Roman" w:hAnsi="Times New Roman" w:cs="Times New Roman"/>
          <w:sz w:val="24"/>
          <w:szCs w:val="24"/>
        </w:rPr>
        <w:t xml:space="preserve">difficult to deliver in a </w:t>
      </w:r>
      <w:r w:rsidR="00EF4619">
        <w:rPr>
          <w:rFonts w:ascii="Times New Roman" w:hAnsi="Times New Roman" w:cs="Times New Roman"/>
          <w:sz w:val="24"/>
          <w:szCs w:val="24"/>
        </w:rPr>
        <w:t>TRC</w:t>
      </w:r>
      <w:r w:rsidRPr="00F831D3">
        <w:rPr>
          <w:rFonts w:ascii="Times New Roman" w:hAnsi="Times New Roman" w:cs="Times New Roman"/>
          <w:sz w:val="24"/>
          <w:szCs w:val="24"/>
        </w:rPr>
        <w:t xml:space="preserve"> effective manner.  The elements of the total resource cost (summarized in the table below) are heavily reliant upon the customer incremental cost in comparison to the present value of the stream of avoided energy cost savings.  </w:t>
      </w:r>
    </w:p>
    <w:p w:rsidR="00AE264C" w:rsidRDefault="00AE264C" w:rsidP="00BE48E3">
      <w:pPr>
        <w:rPr>
          <w:rFonts w:ascii="Times New Roman" w:hAnsi="Times New Roman" w:cs="Times New Roman"/>
          <w:sz w:val="24"/>
          <w:szCs w:val="24"/>
        </w:rPr>
      </w:pPr>
    </w:p>
    <w:p w:rsidR="00EF4619" w:rsidRDefault="00EF4619" w:rsidP="00BE48E3">
      <w:pPr>
        <w:rPr>
          <w:rFonts w:ascii="Times New Roman" w:hAnsi="Times New Roman" w:cs="Times New Roman"/>
          <w:sz w:val="24"/>
          <w:szCs w:val="24"/>
        </w:rPr>
      </w:pPr>
    </w:p>
    <w:p w:rsidR="00EF4619" w:rsidRDefault="00EF4619" w:rsidP="00BE48E3">
      <w:pPr>
        <w:rPr>
          <w:rFonts w:ascii="Times New Roman" w:hAnsi="Times New Roman" w:cs="Times New Roman"/>
          <w:sz w:val="24"/>
          <w:szCs w:val="24"/>
        </w:rPr>
      </w:pPr>
    </w:p>
    <w:p w:rsidR="00EF4619" w:rsidRPr="00F831D3" w:rsidRDefault="00EF4619" w:rsidP="00BE48E3">
      <w:pPr>
        <w:rPr>
          <w:rFonts w:ascii="Times New Roman" w:hAnsi="Times New Roman" w:cs="Times New Roman"/>
          <w:sz w:val="24"/>
          <w:szCs w:val="24"/>
        </w:rPr>
      </w:pPr>
    </w:p>
    <w:p w:rsidR="00BE48E3" w:rsidRPr="00F831D3" w:rsidRDefault="00BE48E3" w:rsidP="00BE48E3">
      <w:pPr>
        <w:ind w:left="720"/>
        <w:rPr>
          <w:rFonts w:ascii="Times New Roman" w:hAnsi="Times New Roman" w:cs="Times New Roman"/>
          <w:sz w:val="24"/>
          <w:szCs w:val="24"/>
        </w:rPr>
      </w:pPr>
      <w:r w:rsidRPr="00F831D3">
        <w:rPr>
          <w:rFonts w:ascii="Times New Roman" w:hAnsi="Times New Roman" w:cs="Times New Roman"/>
          <w:sz w:val="24"/>
          <w:szCs w:val="24"/>
          <w:u w:val="single"/>
        </w:rPr>
        <w:lastRenderedPageBreak/>
        <w:t>Table 1</w:t>
      </w:r>
      <w:r w:rsidRPr="00F831D3">
        <w:rPr>
          <w:rFonts w:ascii="Times New Roman" w:hAnsi="Times New Roman" w:cs="Times New Roman"/>
          <w:sz w:val="24"/>
          <w:szCs w:val="24"/>
        </w:rPr>
        <w:t xml:space="preserve">: Total Resource Cost </w:t>
      </w:r>
      <w:r w:rsidR="006A0D57" w:rsidRPr="00F831D3">
        <w:rPr>
          <w:rFonts w:ascii="Times New Roman" w:hAnsi="Times New Roman" w:cs="Times New Roman"/>
          <w:sz w:val="24"/>
          <w:szCs w:val="24"/>
        </w:rPr>
        <w:t xml:space="preserve">(TRC) </w:t>
      </w:r>
      <w:r w:rsidRPr="00F831D3">
        <w:rPr>
          <w:rFonts w:ascii="Times New Roman" w:hAnsi="Times New Roman" w:cs="Times New Roman"/>
          <w:sz w:val="24"/>
          <w:szCs w:val="24"/>
        </w:rPr>
        <w:t>test benefits and costs</w:t>
      </w:r>
    </w:p>
    <w:p w:rsidR="00BE48E3" w:rsidRPr="00F831D3" w:rsidRDefault="00BE48E3" w:rsidP="00EF4619">
      <w:pPr>
        <w:spacing w:after="0" w:line="240" w:lineRule="auto"/>
        <w:ind w:left="720" w:firstLine="360"/>
        <w:jc w:val="both"/>
        <w:rPr>
          <w:rFonts w:ascii="Times New Roman" w:hAnsi="Times New Roman" w:cs="Times New Roman"/>
          <w:sz w:val="24"/>
          <w:szCs w:val="24"/>
        </w:rPr>
      </w:pPr>
      <w:r w:rsidRPr="00F831D3">
        <w:rPr>
          <w:rFonts w:ascii="Times New Roman" w:hAnsi="Times New Roman" w:cs="Times New Roman"/>
          <w:sz w:val="24"/>
          <w:szCs w:val="24"/>
        </w:rPr>
        <w:t>Benefits:</w:t>
      </w:r>
    </w:p>
    <w:p w:rsidR="00BE48E3" w:rsidRPr="00EF4619" w:rsidRDefault="00BE48E3" w:rsidP="00EF4619">
      <w:pPr>
        <w:pStyle w:val="ListParagraph"/>
        <w:numPr>
          <w:ilvl w:val="0"/>
          <w:numId w:val="4"/>
        </w:numPr>
        <w:spacing w:after="0" w:line="240" w:lineRule="auto"/>
        <w:jc w:val="both"/>
        <w:rPr>
          <w:rFonts w:ascii="Times New Roman" w:hAnsi="Times New Roman" w:cs="Times New Roman"/>
          <w:sz w:val="24"/>
          <w:szCs w:val="24"/>
        </w:rPr>
      </w:pPr>
      <w:r w:rsidRPr="00EF4619">
        <w:rPr>
          <w:rFonts w:ascii="Times New Roman" w:hAnsi="Times New Roman" w:cs="Times New Roman"/>
          <w:sz w:val="24"/>
          <w:szCs w:val="24"/>
        </w:rPr>
        <w:t>Present value of the future stream of avoided cost of natural gas</w:t>
      </w:r>
    </w:p>
    <w:p w:rsidR="00BE48E3" w:rsidRPr="00EF4619" w:rsidRDefault="00BE48E3" w:rsidP="00EF4619">
      <w:pPr>
        <w:pStyle w:val="ListParagraph"/>
        <w:numPr>
          <w:ilvl w:val="0"/>
          <w:numId w:val="4"/>
        </w:numPr>
        <w:spacing w:after="0" w:line="240" w:lineRule="auto"/>
        <w:jc w:val="both"/>
        <w:rPr>
          <w:rFonts w:ascii="Times New Roman" w:hAnsi="Times New Roman" w:cs="Times New Roman"/>
          <w:sz w:val="24"/>
          <w:szCs w:val="24"/>
        </w:rPr>
      </w:pPr>
      <w:r w:rsidRPr="00EF4619">
        <w:rPr>
          <w:rFonts w:ascii="Times New Roman" w:hAnsi="Times New Roman" w:cs="Times New Roman"/>
          <w:sz w:val="24"/>
          <w:szCs w:val="24"/>
        </w:rPr>
        <w:t>Present value of the future stream of avoided cost of electricity (positive or negative)</w:t>
      </w:r>
    </w:p>
    <w:p w:rsidR="00BE48E3" w:rsidRPr="00EF4619" w:rsidRDefault="00BE48E3" w:rsidP="00EF4619">
      <w:pPr>
        <w:pStyle w:val="ListParagraph"/>
        <w:numPr>
          <w:ilvl w:val="0"/>
          <w:numId w:val="4"/>
        </w:numPr>
        <w:spacing w:after="0" w:line="240" w:lineRule="auto"/>
        <w:jc w:val="both"/>
        <w:rPr>
          <w:rFonts w:ascii="Times New Roman" w:hAnsi="Times New Roman" w:cs="Times New Roman"/>
          <w:sz w:val="24"/>
          <w:szCs w:val="24"/>
        </w:rPr>
      </w:pPr>
      <w:r w:rsidRPr="00EF4619">
        <w:rPr>
          <w:rFonts w:ascii="Times New Roman" w:hAnsi="Times New Roman" w:cs="Times New Roman"/>
          <w:sz w:val="24"/>
          <w:szCs w:val="24"/>
        </w:rPr>
        <w:t>Present value of the future stream of the benefits of non-utility energy</w:t>
      </w:r>
    </w:p>
    <w:p w:rsidR="00BE48E3" w:rsidRPr="00F831D3" w:rsidRDefault="00BE48E3" w:rsidP="00EF4619">
      <w:pPr>
        <w:spacing w:after="0" w:line="240" w:lineRule="auto"/>
        <w:ind w:left="720" w:firstLine="360"/>
        <w:jc w:val="both"/>
        <w:rPr>
          <w:rFonts w:ascii="Times New Roman" w:hAnsi="Times New Roman" w:cs="Times New Roman"/>
          <w:sz w:val="24"/>
          <w:szCs w:val="24"/>
        </w:rPr>
      </w:pPr>
      <w:r w:rsidRPr="00F831D3">
        <w:rPr>
          <w:rFonts w:ascii="Times New Roman" w:hAnsi="Times New Roman" w:cs="Times New Roman"/>
          <w:sz w:val="24"/>
          <w:szCs w:val="24"/>
        </w:rPr>
        <w:t>Costs:</w:t>
      </w:r>
    </w:p>
    <w:p w:rsidR="00BE48E3" w:rsidRPr="00EF4619" w:rsidRDefault="00BE48E3" w:rsidP="00EF4619">
      <w:pPr>
        <w:pStyle w:val="ListParagraph"/>
        <w:numPr>
          <w:ilvl w:val="0"/>
          <w:numId w:val="5"/>
        </w:numPr>
        <w:spacing w:after="0" w:line="240" w:lineRule="auto"/>
        <w:jc w:val="both"/>
        <w:rPr>
          <w:rFonts w:ascii="Times New Roman" w:hAnsi="Times New Roman" w:cs="Times New Roman"/>
          <w:sz w:val="24"/>
          <w:szCs w:val="24"/>
        </w:rPr>
      </w:pPr>
      <w:r w:rsidRPr="00EF4619">
        <w:rPr>
          <w:rFonts w:ascii="Times New Roman" w:hAnsi="Times New Roman" w:cs="Times New Roman"/>
          <w:sz w:val="24"/>
          <w:szCs w:val="24"/>
        </w:rPr>
        <w:t>The customer incremental cost of the efficiency measure (using symmetric base case assumptions for the determination of both cost and savings)</w:t>
      </w:r>
    </w:p>
    <w:p w:rsidR="00BE48E3" w:rsidRPr="00EF4619" w:rsidRDefault="00BE48E3" w:rsidP="00EF4619">
      <w:pPr>
        <w:pStyle w:val="ListParagraph"/>
        <w:numPr>
          <w:ilvl w:val="0"/>
          <w:numId w:val="5"/>
        </w:numPr>
        <w:spacing w:after="0" w:line="240" w:lineRule="auto"/>
        <w:jc w:val="both"/>
        <w:rPr>
          <w:rFonts w:ascii="Times New Roman" w:hAnsi="Times New Roman" w:cs="Times New Roman"/>
          <w:sz w:val="24"/>
          <w:szCs w:val="24"/>
        </w:rPr>
      </w:pPr>
      <w:r w:rsidRPr="00EF4619">
        <w:rPr>
          <w:rFonts w:ascii="Times New Roman" w:hAnsi="Times New Roman" w:cs="Times New Roman"/>
          <w:sz w:val="24"/>
          <w:szCs w:val="24"/>
        </w:rPr>
        <w:t>The non-incentive utility cost of the program</w:t>
      </w:r>
    </w:p>
    <w:p w:rsidR="0042181F" w:rsidRPr="00F831D3" w:rsidRDefault="0042181F" w:rsidP="00EF4619">
      <w:pPr>
        <w:spacing w:after="0" w:line="240" w:lineRule="auto"/>
        <w:ind w:left="1440" w:hanging="360"/>
        <w:jc w:val="both"/>
        <w:rPr>
          <w:rFonts w:ascii="Times New Roman" w:hAnsi="Times New Roman" w:cs="Times New Roman"/>
          <w:sz w:val="24"/>
          <w:szCs w:val="24"/>
        </w:rPr>
      </w:pPr>
    </w:p>
    <w:p w:rsidR="0042181F" w:rsidRPr="00F831D3" w:rsidRDefault="0042181F" w:rsidP="00EF4619">
      <w:pPr>
        <w:spacing w:after="0" w:line="240" w:lineRule="auto"/>
        <w:ind w:left="1080"/>
        <w:jc w:val="both"/>
        <w:rPr>
          <w:rFonts w:ascii="Times New Roman" w:hAnsi="Times New Roman" w:cs="Times New Roman"/>
          <w:sz w:val="24"/>
          <w:szCs w:val="24"/>
        </w:rPr>
      </w:pPr>
      <w:r w:rsidRPr="00F831D3">
        <w:rPr>
          <w:rFonts w:ascii="Times New Roman" w:hAnsi="Times New Roman" w:cs="Times New Roman"/>
          <w:sz w:val="24"/>
          <w:szCs w:val="24"/>
        </w:rPr>
        <w:t>The TRC test defines the costs and benefits based upon the perspective of the customer population of a specific utility.  Optimizing for the TRC test will minimize the customer populations total energy cost.</w:t>
      </w:r>
    </w:p>
    <w:p w:rsidR="00BE48E3" w:rsidRPr="00F831D3" w:rsidRDefault="00BE48E3" w:rsidP="00BE48E3">
      <w:pPr>
        <w:rPr>
          <w:rFonts w:ascii="Times New Roman" w:hAnsi="Times New Roman" w:cs="Times New Roman"/>
          <w:sz w:val="24"/>
          <w:szCs w:val="24"/>
        </w:rPr>
      </w:pPr>
    </w:p>
    <w:p w:rsidR="00BE48E3" w:rsidRDefault="00EF4619" w:rsidP="00EF46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relatively slow</w:t>
      </w:r>
      <w:r w:rsidR="009E5FC2" w:rsidRPr="00F831D3">
        <w:rPr>
          <w:rFonts w:ascii="Times New Roman" w:hAnsi="Times New Roman" w:cs="Times New Roman"/>
          <w:sz w:val="24"/>
          <w:szCs w:val="24"/>
        </w:rPr>
        <w:t xml:space="preserve"> </w:t>
      </w:r>
      <w:r>
        <w:rPr>
          <w:rFonts w:ascii="Times New Roman" w:hAnsi="Times New Roman" w:cs="Times New Roman"/>
          <w:sz w:val="24"/>
          <w:szCs w:val="24"/>
        </w:rPr>
        <w:t>improvement in</w:t>
      </w:r>
      <w:r w:rsidR="009E5C25" w:rsidRPr="00F831D3">
        <w:rPr>
          <w:rFonts w:ascii="Times New Roman" w:hAnsi="Times New Roman" w:cs="Times New Roman"/>
          <w:sz w:val="24"/>
          <w:szCs w:val="24"/>
        </w:rPr>
        <w:t xml:space="preserve"> natural gas</w:t>
      </w:r>
      <w:r w:rsidR="009E5FC2" w:rsidRPr="00F831D3">
        <w:rPr>
          <w:rFonts w:ascii="Times New Roman" w:hAnsi="Times New Roman" w:cs="Times New Roman"/>
          <w:sz w:val="24"/>
          <w:szCs w:val="24"/>
        </w:rPr>
        <w:t xml:space="preserve"> efficiency technologies</w:t>
      </w:r>
      <w:r w:rsidR="00AE264C" w:rsidRPr="00F831D3">
        <w:rPr>
          <w:rFonts w:ascii="Times New Roman" w:hAnsi="Times New Roman" w:cs="Times New Roman"/>
          <w:sz w:val="24"/>
          <w:szCs w:val="24"/>
        </w:rPr>
        <w:t xml:space="preserve"> and </w:t>
      </w:r>
      <w:r w:rsidR="009E5FC2" w:rsidRPr="00F831D3">
        <w:rPr>
          <w:rFonts w:ascii="Times New Roman" w:hAnsi="Times New Roman" w:cs="Times New Roman"/>
          <w:sz w:val="24"/>
          <w:szCs w:val="24"/>
        </w:rPr>
        <w:t>avoided cost</w:t>
      </w:r>
      <w:r w:rsidR="00AE264C" w:rsidRPr="00F831D3">
        <w:rPr>
          <w:rFonts w:ascii="Times New Roman" w:hAnsi="Times New Roman" w:cs="Times New Roman"/>
          <w:sz w:val="24"/>
          <w:szCs w:val="24"/>
        </w:rPr>
        <w:t>s that are less than 30% of their electric</w:t>
      </w:r>
      <w:r w:rsidR="009E5C25" w:rsidRPr="00F831D3">
        <w:rPr>
          <w:rFonts w:ascii="Times New Roman" w:hAnsi="Times New Roman" w:cs="Times New Roman"/>
          <w:sz w:val="24"/>
          <w:szCs w:val="24"/>
        </w:rPr>
        <w:t xml:space="preserve"> counterpart</w:t>
      </w:r>
      <w:r>
        <w:rPr>
          <w:rFonts w:ascii="Times New Roman" w:hAnsi="Times New Roman" w:cs="Times New Roman"/>
          <w:sz w:val="24"/>
          <w:szCs w:val="24"/>
        </w:rPr>
        <w:t>,</w:t>
      </w:r>
      <w:r w:rsidR="009E5C25" w:rsidRPr="00F831D3">
        <w:rPr>
          <w:rFonts w:ascii="Times New Roman" w:hAnsi="Times New Roman" w:cs="Times New Roman"/>
          <w:sz w:val="24"/>
          <w:szCs w:val="24"/>
        </w:rPr>
        <w:t xml:space="preserve"> (on an </w:t>
      </w:r>
      <w:proofErr w:type="spellStart"/>
      <w:r w:rsidR="009E5C25" w:rsidRPr="00F831D3">
        <w:rPr>
          <w:rFonts w:ascii="Times New Roman" w:hAnsi="Times New Roman" w:cs="Times New Roman"/>
          <w:sz w:val="24"/>
          <w:szCs w:val="24"/>
        </w:rPr>
        <w:t>mmBTU</w:t>
      </w:r>
      <w:proofErr w:type="spellEnd"/>
      <w:r w:rsidR="009E5C25" w:rsidRPr="00F831D3">
        <w:rPr>
          <w:rFonts w:ascii="Times New Roman" w:hAnsi="Times New Roman" w:cs="Times New Roman"/>
          <w:sz w:val="24"/>
          <w:szCs w:val="24"/>
        </w:rPr>
        <w:t xml:space="preserve"> basis</w:t>
      </w:r>
      <w:r w:rsidR="009E5FC2" w:rsidRPr="00F831D3">
        <w:rPr>
          <w:rFonts w:ascii="Times New Roman" w:hAnsi="Times New Roman" w:cs="Times New Roman"/>
          <w:sz w:val="24"/>
          <w:szCs w:val="24"/>
        </w:rPr>
        <w:t>) create inheren</w:t>
      </w:r>
      <w:r w:rsidR="00AE264C" w:rsidRPr="00F831D3">
        <w:rPr>
          <w:rFonts w:ascii="Times New Roman" w:hAnsi="Times New Roman" w:cs="Times New Roman"/>
          <w:sz w:val="24"/>
          <w:szCs w:val="24"/>
        </w:rPr>
        <w:t>t cost-effectiveness challenges for the delivery of natural gas DSM in comparison to electric DSM offerings.</w:t>
      </w:r>
    </w:p>
    <w:p w:rsidR="00644743" w:rsidRPr="00F831D3" w:rsidRDefault="00644743" w:rsidP="00644743">
      <w:pPr>
        <w:spacing w:after="0" w:line="240" w:lineRule="auto"/>
        <w:jc w:val="both"/>
        <w:rPr>
          <w:rFonts w:ascii="Times New Roman" w:hAnsi="Times New Roman" w:cs="Times New Roman"/>
          <w:sz w:val="24"/>
          <w:szCs w:val="24"/>
        </w:rPr>
      </w:pPr>
    </w:p>
    <w:p w:rsidR="009E5FC2" w:rsidRDefault="009E5FC2"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Quantum leap</w:t>
      </w:r>
      <w:r w:rsidR="00644743">
        <w:rPr>
          <w:rFonts w:ascii="Times New Roman" w:hAnsi="Times New Roman" w:cs="Times New Roman"/>
          <w:sz w:val="24"/>
          <w:szCs w:val="24"/>
        </w:rPr>
        <w:t>s in the development of low-</w:t>
      </w:r>
      <w:r w:rsidRPr="00F831D3">
        <w:rPr>
          <w:rFonts w:ascii="Times New Roman" w:hAnsi="Times New Roman" w:cs="Times New Roman"/>
          <w:sz w:val="24"/>
          <w:szCs w:val="24"/>
        </w:rPr>
        <w:t xml:space="preserve">cost natural gas gathering technologies have led to </w:t>
      </w:r>
      <w:r w:rsidR="00AE264C" w:rsidRPr="00F831D3">
        <w:rPr>
          <w:rFonts w:ascii="Times New Roman" w:hAnsi="Times New Roman" w:cs="Times New Roman"/>
          <w:sz w:val="24"/>
          <w:szCs w:val="24"/>
        </w:rPr>
        <w:t xml:space="preserve">yet further </w:t>
      </w:r>
      <w:r w:rsidRPr="00F831D3">
        <w:rPr>
          <w:rFonts w:ascii="Times New Roman" w:hAnsi="Times New Roman" w:cs="Times New Roman"/>
          <w:sz w:val="24"/>
          <w:szCs w:val="24"/>
        </w:rPr>
        <w:t>reductions in the market price of natural</w:t>
      </w:r>
      <w:r w:rsidR="00AE264C" w:rsidRPr="00F831D3">
        <w:rPr>
          <w:rFonts w:ascii="Times New Roman" w:hAnsi="Times New Roman" w:cs="Times New Roman"/>
          <w:sz w:val="24"/>
          <w:szCs w:val="24"/>
        </w:rPr>
        <w:t xml:space="preserve"> gas.  The Company has been observing these drastic cost reductions in market prices over the past few years.  Though the avoided cost is based upon the incremental</w:t>
      </w:r>
      <w:r w:rsidR="00644743">
        <w:rPr>
          <w:rFonts w:ascii="Times New Roman" w:hAnsi="Times New Roman" w:cs="Times New Roman"/>
          <w:sz w:val="24"/>
          <w:szCs w:val="24"/>
        </w:rPr>
        <w:t>,</w:t>
      </w:r>
      <w:r w:rsidR="00AE264C" w:rsidRPr="00F831D3">
        <w:rPr>
          <w:rFonts w:ascii="Times New Roman" w:hAnsi="Times New Roman" w:cs="Times New Roman"/>
          <w:sz w:val="24"/>
          <w:szCs w:val="24"/>
        </w:rPr>
        <w:t xml:space="preserve"> and not the average or market commodity cost, the two measures are tied closely enough that this market direction did indicate an impending decrease in avoided costs as well.</w:t>
      </w:r>
      <w:r w:rsidR="00C802D4" w:rsidRPr="00F831D3">
        <w:rPr>
          <w:rFonts w:ascii="Times New Roman" w:hAnsi="Times New Roman" w:cs="Times New Roman"/>
          <w:sz w:val="24"/>
          <w:szCs w:val="24"/>
        </w:rPr>
        <w:t xml:space="preserve">  </w:t>
      </w:r>
      <w:r w:rsidRPr="00F831D3">
        <w:rPr>
          <w:rFonts w:ascii="Times New Roman" w:hAnsi="Times New Roman" w:cs="Times New Roman"/>
          <w:sz w:val="24"/>
          <w:szCs w:val="24"/>
        </w:rPr>
        <w:t>Thus</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it was anticipated that the 201</w:t>
      </w:r>
      <w:r w:rsidR="00644743">
        <w:rPr>
          <w:rFonts w:ascii="Times New Roman" w:hAnsi="Times New Roman" w:cs="Times New Roman"/>
          <w:sz w:val="24"/>
          <w:szCs w:val="24"/>
        </w:rPr>
        <w:t>2</w:t>
      </w:r>
      <w:r w:rsidRPr="00F831D3">
        <w:rPr>
          <w:rFonts w:ascii="Times New Roman" w:hAnsi="Times New Roman" w:cs="Times New Roman"/>
          <w:sz w:val="24"/>
          <w:szCs w:val="24"/>
        </w:rPr>
        <w:t xml:space="preserve"> Natural Gas Integrated Resource Pla</w:t>
      </w:r>
      <w:r w:rsidR="005A0FF1" w:rsidRPr="00F831D3">
        <w:rPr>
          <w:rFonts w:ascii="Times New Roman" w:hAnsi="Times New Roman" w:cs="Times New Roman"/>
          <w:sz w:val="24"/>
          <w:szCs w:val="24"/>
        </w:rPr>
        <w:t>n (IRP) would lead to much lower avoided cost</w:t>
      </w:r>
      <w:r w:rsidR="00644743">
        <w:rPr>
          <w:rFonts w:ascii="Times New Roman" w:hAnsi="Times New Roman" w:cs="Times New Roman"/>
          <w:sz w:val="24"/>
          <w:szCs w:val="24"/>
        </w:rPr>
        <w:t>s</w:t>
      </w:r>
      <w:r w:rsidR="005A0FF1" w:rsidRPr="00F831D3">
        <w:rPr>
          <w:rFonts w:ascii="Times New Roman" w:hAnsi="Times New Roman" w:cs="Times New Roman"/>
          <w:sz w:val="24"/>
          <w:szCs w:val="24"/>
        </w:rPr>
        <w:t xml:space="preserve">.  This future challenge has been a topic of discussion for the Company’s </w:t>
      </w:r>
      <w:r w:rsidR="00644743">
        <w:rPr>
          <w:rFonts w:ascii="Times New Roman" w:hAnsi="Times New Roman" w:cs="Times New Roman"/>
          <w:sz w:val="24"/>
          <w:szCs w:val="24"/>
        </w:rPr>
        <w:t>external energy e</w:t>
      </w:r>
      <w:r w:rsidR="009E5C25" w:rsidRPr="00F831D3">
        <w:rPr>
          <w:rFonts w:ascii="Times New Roman" w:hAnsi="Times New Roman" w:cs="Times New Roman"/>
          <w:sz w:val="24"/>
          <w:szCs w:val="24"/>
        </w:rPr>
        <w:t xml:space="preserve">fficiency </w:t>
      </w:r>
      <w:r w:rsidR="00644743">
        <w:rPr>
          <w:rFonts w:ascii="Times New Roman" w:hAnsi="Times New Roman" w:cs="Times New Roman"/>
          <w:sz w:val="24"/>
          <w:szCs w:val="24"/>
        </w:rPr>
        <w:t>technical c</w:t>
      </w:r>
      <w:r w:rsidR="009F256F" w:rsidRPr="00F831D3">
        <w:rPr>
          <w:rFonts w:ascii="Times New Roman" w:hAnsi="Times New Roman" w:cs="Times New Roman"/>
          <w:sz w:val="24"/>
          <w:szCs w:val="24"/>
        </w:rPr>
        <w:t>ommittee</w:t>
      </w:r>
      <w:r w:rsidR="005A0FF1" w:rsidRPr="00F831D3">
        <w:rPr>
          <w:rFonts w:ascii="Times New Roman" w:hAnsi="Times New Roman" w:cs="Times New Roman"/>
          <w:sz w:val="24"/>
          <w:szCs w:val="24"/>
        </w:rPr>
        <w:t xml:space="preserve"> as early as </w:t>
      </w:r>
      <w:r w:rsidR="009F256F" w:rsidRPr="00F831D3">
        <w:rPr>
          <w:rFonts w:ascii="Times New Roman" w:hAnsi="Times New Roman" w:cs="Times New Roman"/>
          <w:sz w:val="24"/>
          <w:szCs w:val="24"/>
        </w:rPr>
        <w:t xml:space="preserve">May </w:t>
      </w:r>
      <w:r w:rsidR="005A0FF1" w:rsidRPr="00F831D3">
        <w:rPr>
          <w:rFonts w:ascii="Times New Roman" w:hAnsi="Times New Roman" w:cs="Times New Roman"/>
          <w:sz w:val="24"/>
          <w:szCs w:val="24"/>
        </w:rPr>
        <w:t>201</w:t>
      </w:r>
      <w:r w:rsidR="00C802D4" w:rsidRPr="00F831D3">
        <w:rPr>
          <w:rFonts w:ascii="Times New Roman" w:hAnsi="Times New Roman" w:cs="Times New Roman"/>
          <w:sz w:val="24"/>
          <w:szCs w:val="24"/>
        </w:rPr>
        <w:t>1</w:t>
      </w:r>
      <w:r w:rsidR="005A0FF1" w:rsidRPr="00F831D3">
        <w:rPr>
          <w:rFonts w:ascii="Times New Roman" w:hAnsi="Times New Roman" w:cs="Times New Roman"/>
          <w:sz w:val="24"/>
          <w:szCs w:val="24"/>
        </w:rPr>
        <w:t>.</w:t>
      </w:r>
    </w:p>
    <w:p w:rsidR="00644743" w:rsidRPr="00F831D3" w:rsidRDefault="00644743" w:rsidP="00644743">
      <w:pPr>
        <w:spacing w:after="0" w:line="360" w:lineRule="auto"/>
        <w:jc w:val="both"/>
        <w:rPr>
          <w:rFonts w:ascii="Times New Roman" w:hAnsi="Times New Roman" w:cs="Times New Roman"/>
          <w:sz w:val="24"/>
          <w:szCs w:val="24"/>
        </w:rPr>
      </w:pPr>
    </w:p>
    <w:p w:rsidR="00644743" w:rsidRDefault="005A0FF1"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In May 2012</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the </w:t>
      </w:r>
      <w:r w:rsidR="00C802D4" w:rsidRPr="00F831D3">
        <w:rPr>
          <w:rFonts w:ascii="Times New Roman" w:hAnsi="Times New Roman" w:cs="Times New Roman"/>
          <w:sz w:val="24"/>
          <w:szCs w:val="24"/>
        </w:rPr>
        <w:t xml:space="preserve">first calculations of the </w:t>
      </w:r>
      <w:r w:rsidRPr="00F831D3">
        <w:rPr>
          <w:rFonts w:ascii="Times New Roman" w:hAnsi="Times New Roman" w:cs="Times New Roman"/>
          <w:sz w:val="24"/>
          <w:szCs w:val="24"/>
        </w:rPr>
        <w:t>avoided cost stream for the 201</w:t>
      </w:r>
      <w:r w:rsidR="00644743">
        <w:rPr>
          <w:rFonts w:ascii="Times New Roman" w:hAnsi="Times New Roman" w:cs="Times New Roman"/>
          <w:sz w:val="24"/>
          <w:szCs w:val="24"/>
        </w:rPr>
        <w:t>2</w:t>
      </w:r>
      <w:r w:rsidRPr="00F831D3">
        <w:rPr>
          <w:rFonts w:ascii="Times New Roman" w:hAnsi="Times New Roman" w:cs="Times New Roman"/>
          <w:sz w:val="24"/>
          <w:szCs w:val="24"/>
        </w:rPr>
        <w:t xml:space="preserve"> natural gas IRP </w:t>
      </w:r>
      <w:r w:rsidR="00C802D4" w:rsidRPr="00F831D3">
        <w:rPr>
          <w:rFonts w:ascii="Times New Roman" w:hAnsi="Times New Roman" w:cs="Times New Roman"/>
          <w:sz w:val="24"/>
          <w:szCs w:val="24"/>
        </w:rPr>
        <w:t>w</w:t>
      </w:r>
      <w:r w:rsidR="009E5C25" w:rsidRPr="00F831D3">
        <w:rPr>
          <w:rFonts w:ascii="Times New Roman" w:hAnsi="Times New Roman" w:cs="Times New Roman"/>
          <w:sz w:val="24"/>
          <w:szCs w:val="24"/>
        </w:rPr>
        <w:t>ere</w:t>
      </w:r>
      <w:r w:rsidR="00C802D4" w:rsidRPr="00F831D3">
        <w:rPr>
          <w:rFonts w:ascii="Times New Roman" w:hAnsi="Times New Roman" w:cs="Times New Roman"/>
          <w:sz w:val="24"/>
          <w:szCs w:val="24"/>
        </w:rPr>
        <w:t xml:space="preserve"> completed</w:t>
      </w:r>
      <w:r w:rsidRPr="00F831D3">
        <w:rPr>
          <w:rFonts w:ascii="Times New Roman" w:hAnsi="Times New Roman" w:cs="Times New Roman"/>
          <w:sz w:val="24"/>
          <w:szCs w:val="24"/>
        </w:rPr>
        <w:t xml:space="preserve">.  </w:t>
      </w:r>
      <w:r w:rsidR="00C802D4" w:rsidRPr="00F831D3">
        <w:rPr>
          <w:rFonts w:ascii="Times New Roman" w:hAnsi="Times New Roman" w:cs="Times New Roman"/>
          <w:sz w:val="24"/>
          <w:szCs w:val="24"/>
        </w:rPr>
        <w:t xml:space="preserve">The avoided cost stream actually fell by more than was </w:t>
      </w:r>
      <w:r w:rsidRPr="00F831D3">
        <w:rPr>
          <w:rFonts w:ascii="Times New Roman" w:hAnsi="Times New Roman" w:cs="Times New Roman"/>
          <w:sz w:val="24"/>
          <w:szCs w:val="24"/>
        </w:rPr>
        <w:t xml:space="preserve">previously anticipated.  A review of the existing natural gas portfolio indicated that the portfolio would no longer be TRC cost-effective </w:t>
      </w:r>
      <w:r w:rsidR="00C802D4" w:rsidRPr="00F831D3">
        <w:rPr>
          <w:rFonts w:ascii="Times New Roman" w:hAnsi="Times New Roman" w:cs="Times New Roman"/>
          <w:sz w:val="24"/>
          <w:szCs w:val="24"/>
        </w:rPr>
        <w:t>under the updated</w:t>
      </w:r>
      <w:r w:rsidRPr="00F831D3">
        <w:rPr>
          <w:rFonts w:ascii="Times New Roman" w:hAnsi="Times New Roman" w:cs="Times New Roman"/>
          <w:sz w:val="24"/>
          <w:szCs w:val="24"/>
        </w:rPr>
        <w:t xml:space="preserve"> avoided cost</w:t>
      </w:r>
      <w:r w:rsidR="00C802D4" w:rsidRPr="00F831D3">
        <w:rPr>
          <w:rFonts w:ascii="Times New Roman" w:hAnsi="Times New Roman" w:cs="Times New Roman"/>
          <w:sz w:val="24"/>
          <w:szCs w:val="24"/>
        </w:rPr>
        <w:t>s</w:t>
      </w:r>
      <w:r w:rsidRPr="00F831D3">
        <w:rPr>
          <w:rFonts w:ascii="Times New Roman" w:hAnsi="Times New Roman" w:cs="Times New Roman"/>
          <w:sz w:val="24"/>
          <w:szCs w:val="24"/>
        </w:rPr>
        <w:t xml:space="preserve">. </w:t>
      </w:r>
    </w:p>
    <w:p w:rsidR="005A0FF1" w:rsidRPr="00F831D3" w:rsidRDefault="005A0FF1"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 </w:t>
      </w:r>
    </w:p>
    <w:p w:rsidR="005A0FF1" w:rsidRDefault="005A0FF1"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lastRenderedPageBreak/>
        <w:t xml:space="preserve">Various optimization scenarios were performed to determine if a cost-effective </w:t>
      </w:r>
      <w:r w:rsidR="00C802D4" w:rsidRPr="00F831D3">
        <w:rPr>
          <w:rFonts w:ascii="Times New Roman" w:hAnsi="Times New Roman" w:cs="Times New Roman"/>
          <w:sz w:val="24"/>
          <w:szCs w:val="24"/>
        </w:rPr>
        <w:t>portfolio could be developed</w:t>
      </w:r>
      <w:r w:rsidRPr="00F831D3">
        <w:rPr>
          <w:rFonts w:ascii="Times New Roman" w:hAnsi="Times New Roman" w:cs="Times New Roman"/>
          <w:sz w:val="24"/>
          <w:szCs w:val="24"/>
        </w:rPr>
        <w:t>.  Unfortunately</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there were very few programs that were </w:t>
      </w:r>
      <w:r w:rsidR="00C802D4" w:rsidRPr="00F831D3">
        <w:rPr>
          <w:rFonts w:ascii="Times New Roman" w:hAnsi="Times New Roman" w:cs="Times New Roman"/>
          <w:sz w:val="24"/>
          <w:szCs w:val="24"/>
        </w:rPr>
        <w:t xml:space="preserve">incrementally </w:t>
      </w:r>
      <w:r w:rsidRPr="00F831D3">
        <w:rPr>
          <w:rFonts w:ascii="Times New Roman" w:hAnsi="Times New Roman" w:cs="Times New Roman"/>
          <w:sz w:val="24"/>
          <w:szCs w:val="24"/>
        </w:rPr>
        <w:t>cost-effective</w:t>
      </w:r>
      <w:r w:rsidR="00644743">
        <w:rPr>
          <w:rFonts w:ascii="Times New Roman" w:hAnsi="Times New Roman" w:cs="Times New Roman"/>
          <w:sz w:val="24"/>
          <w:szCs w:val="24"/>
        </w:rPr>
        <w:t xml:space="preserve"> on an individual basis</w:t>
      </w:r>
      <w:r w:rsidR="00C802D4" w:rsidRPr="00F831D3">
        <w:rPr>
          <w:rFonts w:ascii="Times New Roman" w:hAnsi="Times New Roman" w:cs="Times New Roman"/>
          <w:sz w:val="24"/>
          <w:szCs w:val="24"/>
        </w:rPr>
        <w:t>, even without consideration of relatively fixed infrastructure costs.  Those few programs that were incrementally cost-effective were narrowly so</w:t>
      </w:r>
      <w:r w:rsidR="00644743">
        <w:rPr>
          <w:rFonts w:ascii="Times New Roman" w:hAnsi="Times New Roman" w:cs="Times New Roman"/>
          <w:sz w:val="24"/>
          <w:szCs w:val="24"/>
        </w:rPr>
        <w:t>,</w:t>
      </w:r>
      <w:r w:rsidR="00C802D4" w:rsidRPr="00F831D3">
        <w:rPr>
          <w:rFonts w:ascii="Times New Roman" w:hAnsi="Times New Roman" w:cs="Times New Roman"/>
          <w:sz w:val="24"/>
          <w:szCs w:val="24"/>
        </w:rPr>
        <w:t xml:space="preserve"> and had </w:t>
      </w:r>
      <w:r w:rsidRPr="00F831D3">
        <w:rPr>
          <w:rFonts w:ascii="Times New Roman" w:hAnsi="Times New Roman" w:cs="Times New Roman"/>
          <w:sz w:val="24"/>
          <w:szCs w:val="24"/>
        </w:rPr>
        <w:t xml:space="preserve">insufficient residual benefits to </w:t>
      </w:r>
      <w:r w:rsidR="00811FAD" w:rsidRPr="00F831D3">
        <w:rPr>
          <w:rFonts w:ascii="Times New Roman" w:hAnsi="Times New Roman" w:cs="Times New Roman"/>
          <w:sz w:val="24"/>
          <w:szCs w:val="24"/>
        </w:rPr>
        <w:t>support</w:t>
      </w:r>
      <w:r w:rsidRPr="00F831D3">
        <w:rPr>
          <w:rFonts w:ascii="Times New Roman" w:hAnsi="Times New Roman" w:cs="Times New Roman"/>
          <w:sz w:val="24"/>
          <w:szCs w:val="24"/>
        </w:rPr>
        <w:t xml:space="preserve"> any reasonable allocation of non-incentive utility costs.  The most favorable scenarios yielded benefit-to-cost ratios of approximately 0.6 (a benefit-to-cost ratio below 1.0 indicates that the costs exceed the benefits and that the program is not cost-effective).</w:t>
      </w:r>
    </w:p>
    <w:p w:rsidR="00644743" w:rsidRPr="00F831D3" w:rsidRDefault="00644743" w:rsidP="00644743">
      <w:pPr>
        <w:spacing w:after="0" w:line="360" w:lineRule="auto"/>
        <w:jc w:val="both"/>
        <w:rPr>
          <w:rFonts w:ascii="Times New Roman" w:hAnsi="Times New Roman" w:cs="Times New Roman"/>
          <w:sz w:val="24"/>
          <w:szCs w:val="24"/>
        </w:rPr>
      </w:pPr>
    </w:p>
    <w:p w:rsidR="005A0FF1" w:rsidRDefault="005A0FF1"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Given the Company’s commitment to delivering a TRC cost-effective program</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and the </w:t>
      </w:r>
      <w:r w:rsidR="00B96EA2" w:rsidRPr="00F831D3">
        <w:rPr>
          <w:rFonts w:ascii="Times New Roman" w:hAnsi="Times New Roman" w:cs="Times New Roman"/>
          <w:sz w:val="24"/>
          <w:szCs w:val="24"/>
        </w:rPr>
        <w:t>clear inability to do so under expected circumstances</w:t>
      </w:r>
      <w:r w:rsidR="00644743">
        <w:rPr>
          <w:rFonts w:ascii="Times New Roman" w:hAnsi="Times New Roman" w:cs="Times New Roman"/>
          <w:sz w:val="24"/>
          <w:szCs w:val="24"/>
        </w:rPr>
        <w:t>,</w:t>
      </w:r>
      <w:r w:rsidR="00B96EA2" w:rsidRPr="00F831D3">
        <w:rPr>
          <w:rFonts w:ascii="Times New Roman" w:hAnsi="Times New Roman" w:cs="Times New Roman"/>
          <w:sz w:val="24"/>
          <w:szCs w:val="24"/>
        </w:rPr>
        <w:t xml:space="preserve"> the Company felt the obligation to file </w:t>
      </w:r>
      <w:r w:rsidR="00811FAD" w:rsidRPr="00F831D3">
        <w:rPr>
          <w:rFonts w:ascii="Times New Roman" w:hAnsi="Times New Roman" w:cs="Times New Roman"/>
          <w:sz w:val="24"/>
          <w:szCs w:val="24"/>
        </w:rPr>
        <w:t xml:space="preserve">in a timely manner </w:t>
      </w:r>
      <w:r w:rsidR="00B96EA2" w:rsidRPr="00F831D3">
        <w:rPr>
          <w:rFonts w:ascii="Times New Roman" w:hAnsi="Times New Roman" w:cs="Times New Roman"/>
          <w:sz w:val="24"/>
          <w:szCs w:val="24"/>
        </w:rPr>
        <w:t xml:space="preserve">for the indefinite suspension of the natural gas DSM portfolio.  The Company committed to evaluating the prospects for re-initiating the portfolio in the event that a cost-effective program could be delivered in the future.  This commitment explicitly included frequent review of the impact of </w:t>
      </w:r>
      <w:r w:rsidR="00811FAD" w:rsidRPr="00F831D3">
        <w:rPr>
          <w:rFonts w:ascii="Times New Roman" w:hAnsi="Times New Roman" w:cs="Times New Roman"/>
          <w:sz w:val="24"/>
          <w:szCs w:val="24"/>
        </w:rPr>
        <w:t>future</w:t>
      </w:r>
      <w:r w:rsidR="00B96EA2" w:rsidRPr="00F831D3">
        <w:rPr>
          <w:rFonts w:ascii="Times New Roman" w:hAnsi="Times New Roman" w:cs="Times New Roman"/>
          <w:sz w:val="24"/>
          <w:szCs w:val="24"/>
        </w:rPr>
        <w:t xml:space="preserve"> natural gas avoided cost</w:t>
      </w:r>
      <w:r w:rsidR="00811FAD" w:rsidRPr="00F831D3">
        <w:rPr>
          <w:rFonts w:ascii="Times New Roman" w:hAnsi="Times New Roman" w:cs="Times New Roman"/>
          <w:sz w:val="24"/>
          <w:szCs w:val="24"/>
        </w:rPr>
        <w:t>s</w:t>
      </w:r>
      <w:r w:rsidR="00B96EA2" w:rsidRPr="00F831D3">
        <w:rPr>
          <w:rFonts w:ascii="Times New Roman" w:hAnsi="Times New Roman" w:cs="Times New Roman"/>
          <w:sz w:val="24"/>
          <w:szCs w:val="24"/>
        </w:rPr>
        <w:t xml:space="preserve">, the cost and efficacy of efficiency technologies or </w:t>
      </w:r>
      <w:r w:rsidR="00811FAD" w:rsidRPr="00F831D3">
        <w:rPr>
          <w:rFonts w:ascii="Times New Roman" w:hAnsi="Times New Roman" w:cs="Times New Roman"/>
          <w:sz w:val="24"/>
          <w:szCs w:val="24"/>
        </w:rPr>
        <w:t xml:space="preserve">improvements in </w:t>
      </w:r>
      <w:r w:rsidR="00B96EA2" w:rsidRPr="00F831D3">
        <w:rPr>
          <w:rFonts w:ascii="Times New Roman" w:hAnsi="Times New Roman" w:cs="Times New Roman"/>
          <w:sz w:val="24"/>
          <w:szCs w:val="24"/>
        </w:rPr>
        <w:t>delivery technologies (including regional market transformation opportunities).</w:t>
      </w:r>
    </w:p>
    <w:p w:rsidR="00644743" w:rsidRPr="00F831D3" w:rsidRDefault="00644743" w:rsidP="00644743">
      <w:pPr>
        <w:spacing w:after="0" w:line="240" w:lineRule="auto"/>
        <w:jc w:val="both"/>
        <w:rPr>
          <w:rFonts w:ascii="Times New Roman" w:hAnsi="Times New Roman" w:cs="Times New Roman"/>
          <w:sz w:val="24"/>
          <w:szCs w:val="24"/>
        </w:rPr>
      </w:pPr>
    </w:p>
    <w:p w:rsidR="00B96EA2" w:rsidRPr="00F831D3" w:rsidRDefault="00B96EA2"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The timing of Avista’s natural gas IRP</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and the rapidity </w:t>
      </w:r>
      <w:r w:rsidR="00811FAD" w:rsidRPr="00F831D3">
        <w:rPr>
          <w:rFonts w:ascii="Times New Roman" w:hAnsi="Times New Roman" w:cs="Times New Roman"/>
          <w:sz w:val="24"/>
          <w:szCs w:val="24"/>
        </w:rPr>
        <w:t xml:space="preserve">with </w:t>
      </w:r>
      <w:r w:rsidRPr="00F831D3">
        <w:rPr>
          <w:rFonts w:ascii="Times New Roman" w:hAnsi="Times New Roman" w:cs="Times New Roman"/>
          <w:sz w:val="24"/>
          <w:szCs w:val="24"/>
        </w:rPr>
        <w:t>which the Company responded to the changing market conditions</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placed Avista’s natural gas DSM conundrum </w:t>
      </w:r>
      <w:r w:rsidR="00811FAD" w:rsidRPr="00F831D3">
        <w:rPr>
          <w:rFonts w:ascii="Times New Roman" w:hAnsi="Times New Roman" w:cs="Times New Roman"/>
          <w:sz w:val="24"/>
          <w:szCs w:val="24"/>
        </w:rPr>
        <w:t xml:space="preserve">into </w:t>
      </w:r>
      <w:r w:rsidR="00644743">
        <w:rPr>
          <w:rFonts w:ascii="Times New Roman" w:hAnsi="Times New Roman" w:cs="Times New Roman"/>
          <w:sz w:val="24"/>
          <w:szCs w:val="24"/>
        </w:rPr>
        <w:t>a</w:t>
      </w:r>
      <w:r w:rsidR="00811FAD" w:rsidRPr="00F831D3">
        <w:rPr>
          <w:rFonts w:ascii="Times New Roman" w:hAnsi="Times New Roman" w:cs="Times New Roman"/>
          <w:sz w:val="24"/>
          <w:szCs w:val="24"/>
        </w:rPr>
        <w:t xml:space="preserve"> policy discussion earlier than most other utilities</w:t>
      </w:r>
      <w:r w:rsidRPr="00F831D3">
        <w:rPr>
          <w:rFonts w:ascii="Times New Roman" w:hAnsi="Times New Roman" w:cs="Times New Roman"/>
          <w:sz w:val="24"/>
          <w:szCs w:val="24"/>
        </w:rPr>
        <w:t xml:space="preserve">.  </w:t>
      </w:r>
    </w:p>
    <w:p w:rsidR="00644743" w:rsidRDefault="00644743" w:rsidP="00644743">
      <w:pPr>
        <w:spacing w:after="0" w:line="240" w:lineRule="auto"/>
        <w:rPr>
          <w:rFonts w:ascii="Times New Roman" w:hAnsi="Times New Roman" w:cs="Times New Roman"/>
          <w:sz w:val="24"/>
          <w:szCs w:val="24"/>
        </w:rPr>
      </w:pPr>
    </w:p>
    <w:p w:rsidR="007E3BCD" w:rsidRDefault="00811FAD"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A </w:t>
      </w:r>
      <w:r w:rsidR="009E5C25" w:rsidRPr="00F831D3">
        <w:rPr>
          <w:rFonts w:ascii="Times New Roman" w:hAnsi="Times New Roman" w:cs="Times New Roman"/>
          <w:sz w:val="24"/>
          <w:szCs w:val="24"/>
        </w:rPr>
        <w:t>comprehensive</w:t>
      </w:r>
      <w:r w:rsidR="00B96EA2" w:rsidRPr="00F831D3">
        <w:rPr>
          <w:rFonts w:ascii="Times New Roman" w:hAnsi="Times New Roman" w:cs="Times New Roman"/>
          <w:sz w:val="24"/>
          <w:szCs w:val="24"/>
        </w:rPr>
        <w:t xml:space="preserve"> discussion of the viability of the natural gas DSM portfolio ensued, including a discussion of the appropriate performance metrics and policies that should be applied to the decision to continue or suspend such programs.</w:t>
      </w:r>
      <w:r w:rsidR="007E3BCD" w:rsidRPr="00F831D3">
        <w:rPr>
          <w:rFonts w:ascii="Times New Roman" w:hAnsi="Times New Roman" w:cs="Times New Roman"/>
          <w:sz w:val="24"/>
          <w:szCs w:val="24"/>
        </w:rPr>
        <w:t xml:space="preserve">  The discussion included consideration of alternative discount rates, increased avoided cost preferences</w:t>
      </w:r>
      <w:r w:rsidR="00644743">
        <w:rPr>
          <w:rFonts w:ascii="Times New Roman" w:hAnsi="Times New Roman" w:cs="Times New Roman"/>
          <w:sz w:val="24"/>
          <w:szCs w:val="24"/>
        </w:rPr>
        <w:t>,</w:t>
      </w:r>
      <w:r w:rsidR="007E3BCD" w:rsidRPr="00F831D3">
        <w:rPr>
          <w:rFonts w:ascii="Times New Roman" w:hAnsi="Times New Roman" w:cs="Times New Roman"/>
          <w:sz w:val="24"/>
          <w:szCs w:val="24"/>
        </w:rPr>
        <w:t xml:space="preserve"> and the use of the utility cost test (UCT) in place of the TRC test</w:t>
      </w:r>
      <w:r w:rsidR="006A0D57" w:rsidRPr="00F831D3">
        <w:rPr>
          <w:rFonts w:ascii="Times New Roman" w:hAnsi="Times New Roman" w:cs="Times New Roman"/>
          <w:sz w:val="24"/>
          <w:szCs w:val="24"/>
        </w:rPr>
        <w:t xml:space="preserve"> as the key portfolio cost-effectiveness metric</w:t>
      </w:r>
      <w:r w:rsidR="007E3BCD" w:rsidRPr="00F831D3">
        <w:rPr>
          <w:rFonts w:ascii="Times New Roman" w:hAnsi="Times New Roman" w:cs="Times New Roman"/>
          <w:sz w:val="24"/>
          <w:szCs w:val="24"/>
        </w:rPr>
        <w:t>.</w:t>
      </w:r>
    </w:p>
    <w:p w:rsidR="00644743" w:rsidRPr="00F831D3" w:rsidRDefault="00644743" w:rsidP="00644743">
      <w:pPr>
        <w:spacing w:after="0" w:line="360" w:lineRule="auto"/>
        <w:jc w:val="both"/>
        <w:rPr>
          <w:rFonts w:ascii="Times New Roman" w:hAnsi="Times New Roman" w:cs="Times New Roman"/>
          <w:sz w:val="24"/>
          <w:szCs w:val="24"/>
        </w:rPr>
      </w:pPr>
    </w:p>
    <w:p w:rsidR="006A0D57" w:rsidRDefault="006A0D57" w:rsidP="0064474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During the </w:t>
      </w:r>
      <w:r w:rsidR="00BF49A9" w:rsidRPr="00F831D3">
        <w:rPr>
          <w:rFonts w:ascii="Times New Roman" w:hAnsi="Times New Roman" w:cs="Times New Roman"/>
          <w:sz w:val="24"/>
          <w:szCs w:val="24"/>
        </w:rPr>
        <w:t xml:space="preserve">natural gas DSM in general </w:t>
      </w:r>
      <w:r w:rsidRPr="00F831D3">
        <w:rPr>
          <w:rFonts w:ascii="Times New Roman" w:hAnsi="Times New Roman" w:cs="Times New Roman"/>
          <w:sz w:val="24"/>
          <w:szCs w:val="24"/>
        </w:rPr>
        <w:t>discussion</w:t>
      </w:r>
      <w:r w:rsidR="00644743">
        <w:rPr>
          <w:rFonts w:ascii="Times New Roman" w:hAnsi="Times New Roman" w:cs="Times New Roman"/>
          <w:sz w:val="24"/>
          <w:szCs w:val="24"/>
        </w:rPr>
        <w:t>,</w:t>
      </w:r>
      <w:r w:rsidRPr="00F831D3">
        <w:rPr>
          <w:rFonts w:ascii="Times New Roman" w:hAnsi="Times New Roman" w:cs="Times New Roman"/>
          <w:sz w:val="24"/>
          <w:szCs w:val="24"/>
        </w:rPr>
        <w:t xml:space="preserve"> there appeared to be a strong consensus that, regardless of the outcome, the n</w:t>
      </w:r>
      <w:r w:rsidR="00BF49A9">
        <w:rPr>
          <w:rFonts w:ascii="Times New Roman" w:hAnsi="Times New Roman" w:cs="Times New Roman"/>
          <w:sz w:val="24"/>
          <w:szCs w:val="24"/>
        </w:rPr>
        <w:t>atural gas component of the low-</w:t>
      </w:r>
      <w:r w:rsidRPr="00F831D3">
        <w:rPr>
          <w:rFonts w:ascii="Times New Roman" w:hAnsi="Times New Roman" w:cs="Times New Roman"/>
          <w:sz w:val="24"/>
          <w:szCs w:val="24"/>
        </w:rPr>
        <w:t>income program would not be impacted.  The reasons cited for such a position was the heav</w:t>
      </w:r>
      <w:r w:rsidR="00BF49A9">
        <w:rPr>
          <w:rFonts w:ascii="Times New Roman" w:hAnsi="Times New Roman" w:cs="Times New Roman"/>
          <w:sz w:val="24"/>
          <w:szCs w:val="24"/>
        </w:rPr>
        <w:t>y</w:t>
      </w:r>
      <w:r w:rsidRPr="00F831D3">
        <w:rPr>
          <w:rFonts w:ascii="Times New Roman" w:hAnsi="Times New Roman" w:cs="Times New Roman"/>
          <w:sz w:val="24"/>
          <w:szCs w:val="24"/>
        </w:rPr>
        <w:t xml:space="preserve"> emphasis on non-resource acquisition attributes of this portfolio</w:t>
      </w:r>
      <w:r w:rsidR="00BF49A9">
        <w:rPr>
          <w:rFonts w:ascii="Times New Roman" w:hAnsi="Times New Roman" w:cs="Times New Roman"/>
          <w:sz w:val="24"/>
          <w:szCs w:val="24"/>
        </w:rPr>
        <w:t>,</w:t>
      </w:r>
      <w:r w:rsidRPr="00F831D3">
        <w:rPr>
          <w:rFonts w:ascii="Times New Roman" w:hAnsi="Times New Roman" w:cs="Times New Roman"/>
          <w:sz w:val="24"/>
          <w:szCs w:val="24"/>
        </w:rPr>
        <w:t xml:space="preserve"> as well as the individual assessment of each </w:t>
      </w:r>
      <w:r w:rsidR="00811FAD" w:rsidRPr="00F831D3">
        <w:rPr>
          <w:rFonts w:ascii="Times New Roman" w:hAnsi="Times New Roman" w:cs="Times New Roman"/>
          <w:sz w:val="24"/>
          <w:szCs w:val="24"/>
        </w:rPr>
        <w:t>measure application</w:t>
      </w:r>
      <w:r w:rsidRPr="00F831D3">
        <w:rPr>
          <w:rFonts w:ascii="Times New Roman" w:hAnsi="Times New Roman" w:cs="Times New Roman"/>
          <w:sz w:val="24"/>
          <w:szCs w:val="24"/>
        </w:rPr>
        <w:t xml:space="preserve"> by the community action agencies delivering these programs under annual funding </w:t>
      </w:r>
      <w:r w:rsidRPr="00F831D3">
        <w:rPr>
          <w:rFonts w:ascii="Times New Roman" w:hAnsi="Times New Roman" w:cs="Times New Roman"/>
          <w:sz w:val="24"/>
          <w:szCs w:val="24"/>
        </w:rPr>
        <w:lastRenderedPageBreak/>
        <w:t xml:space="preserve">contracts </w:t>
      </w:r>
      <w:r w:rsidR="00BF49A9">
        <w:rPr>
          <w:rFonts w:ascii="Times New Roman" w:hAnsi="Times New Roman" w:cs="Times New Roman"/>
          <w:sz w:val="24"/>
          <w:szCs w:val="24"/>
        </w:rPr>
        <w:t>with</w:t>
      </w:r>
      <w:r w:rsidRPr="00F831D3">
        <w:rPr>
          <w:rFonts w:ascii="Times New Roman" w:hAnsi="Times New Roman" w:cs="Times New Roman"/>
          <w:sz w:val="24"/>
          <w:szCs w:val="24"/>
        </w:rPr>
        <w:t xml:space="preserve"> Avista.</w:t>
      </w:r>
      <w:r w:rsidR="00811FAD" w:rsidRPr="00F831D3">
        <w:rPr>
          <w:rFonts w:ascii="Times New Roman" w:hAnsi="Times New Roman" w:cs="Times New Roman"/>
          <w:sz w:val="24"/>
          <w:szCs w:val="24"/>
        </w:rPr>
        <w:t xml:space="preserve">  Thus</w:t>
      </w:r>
      <w:r w:rsidR="00BF49A9">
        <w:rPr>
          <w:rFonts w:ascii="Times New Roman" w:hAnsi="Times New Roman" w:cs="Times New Roman"/>
          <w:sz w:val="24"/>
          <w:szCs w:val="24"/>
        </w:rPr>
        <w:t>,</w:t>
      </w:r>
      <w:r w:rsidR="00811FAD" w:rsidRPr="00F831D3">
        <w:rPr>
          <w:rFonts w:ascii="Times New Roman" w:hAnsi="Times New Roman" w:cs="Times New Roman"/>
          <w:sz w:val="24"/>
          <w:szCs w:val="24"/>
        </w:rPr>
        <w:t xml:space="preserve"> the low</w:t>
      </w:r>
      <w:r w:rsidR="00BF49A9">
        <w:rPr>
          <w:rFonts w:ascii="Times New Roman" w:hAnsi="Times New Roman" w:cs="Times New Roman"/>
          <w:sz w:val="24"/>
          <w:szCs w:val="24"/>
        </w:rPr>
        <w:t>-</w:t>
      </w:r>
      <w:r w:rsidR="00811FAD" w:rsidRPr="00F831D3">
        <w:rPr>
          <w:rFonts w:ascii="Times New Roman" w:hAnsi="Times New Roman" w:cs="Times New Roman"/>
          <w:sz w:val="24"/>
          <w:szCs w:val="24"/>
        </w:rPr>
        <w:t>income portion of the natural gas portfolio was excluded from planning efforts on the presumption that the existing annual contracts would go forward without revision.</w:t>
      </w:r>
    </w:p>
    <w:p w:rsidR="00BF49A9" w:rsidRPr="00F831D3" w:rsidRDefault="00BF49A9" w:rsidP="00BF49A9">
      <w:pPr>
        <w:spacing w:after="0" w:line="240" w:lineRule="auto"/>
        <w:jc w:val="both"/>
        <w:rPr>
          <w:rFonts w:ascii="Times New Roman" w:hAnsi="Times New Roman" w:cs="Times New Roman"/>
          <w:sz w:val="24"/>
          <w:szCs w:val="24"/>
        </w:rPr>
      </w:pPr>
    </w:p>
    <w:p w:rsidR="007E3BCD" w:rsidRDefault="007E3BCD"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Ultimately</w:t>
      </w:r>
      <w:r w:rsidR="00BF49A9">
        <w:rPr>
          <w:rFonts w:ascii="Times New Roman" w:hAnsi="Times New Roman" w:cs="Times New Roman"/>
          <w:sz w:val="24"/>
          <w:szCs w:val="24"/>
        </w:rPr>
        <w:t>,</w:t>
      </w:r>
      <w:r w:rsidRPr="00F831D3">
        <w:rPr>
          <w:rFonts w:ascii="Times New Roman" w:hAnsi="Times New Roman" w:cs="Times New Roman"/>
          <w:sz w:val="24"/>
          <w:szCs w:val="24"/>
        </w:rPr>
        <w:t xml:space="preserve"> the </w:t>
      </w:r>
      <w:r w:rsidR="006A0D57" w:rsidRPr="00F831D3">
        <w:rPr>
          <w:rFonts w:ascii="Times New Roman" w:hAnsi="Times New Roman" w:cs="Times New Roman"/>
          <w:sz w:val="24"/>
          <w:szCs w:val="24"/>
        </w:rPr>
        <w:t xml:space="preserve">Washington Utilities and Transportation Commission provided the </w:t>
      </w:r>
      <w:r w:rsidRPr="00F831D3">
        <w:rPr>
          <w:rFonts w:ascii="Times New Roman" w:hAnsi="Times New Roman" w:cs="Times New Roman"/>
          <w:sz w:val="24"/>
          <w:szCs w:val="24"/>
        </w:rPr>
        <w:t>Company w</w:t>
      </w:r>
      <w:r w:rsidR="006A0D57" w:rsidRPr="00F831D3">
        <w:rPr>
          <w:rFonts w:ascii="Times New Roman" w:hAnsi="Times New Roman" w:cs="Times New Roman"/>
          <w:sz w:val="24"/>
          <w:szCs w:val="24"/>
        </w:rPr>
        <w:t>ith</w:t>
      </w:r>
      <w:r w:rsidRPr="00F831D3">
        <w:rPr>
          <w:rFonts w:ascii="Times New Roman" w:hAnsi="Times New Roman" w:cs="Times New Roman"/>
          <w:sz w:val="24"/>
          <w:szCs w:val="24"/>
        </w:rPr>
        <w:t xml:space="preserve"> the regulatory gu</w:t>
      </w:r>
      <w:r w:rsidR="006A0D57" w:rsidRPr="00F831D3">
        <w:rPr>
          <w:rFonts w:ascii="Times New Roman" w:hAnsi="Times New Roman" w:cs="Times New Roman"/>
          <w:sz w:val="24"/>
          <w:szCs w:val="24"/>
        </w:rPr>
        <w:t>idance to apply the UCT test in place of the TRC test for purposes of the natural gas DSM portfolio.</w:t>
      </w:r>
    </w:p>
    <w:p w:rsidR="00BF49A9" w:rsidRPr="00F831D3" w:rsidRDefault="00BF49A9" w:rsidP="00BF49A9">
      <w:pPr>
        <w:spacing w:after="0" w:line="360" w:lineRule="auto"/>
        <w:jc w:val="both"/>
        <w:rPr>
          <w:rFonts w:ascii="Times New Roman" w:hAnsi="Times New Roman" w:cs="Times New Roman"/>
          <w:sz w:val="24"/>
          <w:szCs w:val="24"/>
        </w:rPr>
      </w:pPr>
    </w:p>
    <w:p w:rsidR="006A0D57" w:rsidRPr="00F831D3" w:rsidRDefault="006A0D57"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The UCT metric differs substantially from the TRC metric currently summarized.  The benefits and costs of the UCT metric are as represented below:</w:t>
      </w:r>
    </w:p>
    <w:p w:rsidR="006A0D57" w:rsidRPr="00F831D3" w:rsidRDefault="006A0D57" w:rsidP="006A0D57">
      <w:pPr>
        <w:ind w:left="720"/>
        <w:rPr>
          <w:rFonts w:ascii="Times New Roman" w:hAnsi="Times New Roman" w:cs="Times New Roman"/>
          <w:sz w:val="24"/>
          <w:szCs w:val="24"/>
          <w:u w:val="single"/>
        </w:rPr>
      </w:pPr>
      <w:r w:rsidRPr="00F831D3">
        <w:rPr>
          <w:rFonts w:ascii="Times New Roman" w:hAnsi="Times New Roman" w:cs="Times New Roman"/>
          <w:sz w:val="24"/>
          <w:szCs w:val="24"/>
          <w:u w:val="single"/>
        </w:rPr>
        <w:t>Table 2: Utility Cost Test (UCT) benefits and costs</w:t>
      </w:r>
    </w:p>
    <w:p w:rsidR="006A0D57" w:rsidRPr="00F831D3" w:rsidRDefault="006A0D57" w:rsidP="006A0D57">
      <w:pPr>
        <w:spacing w:after="0" w:line="240" w:lineRule="auto"/>
        <w:ind w:left="720"/>
        <w:rPr>
          <w:rFonts w:ascii="Times New Roman" w:hAnsi="Times New Roman" w:cs="Times New Roman"/>
          <w:sz w:val="24"/>
          <w:szCs w:val="24"/>
        </w:rPr>
      </w:pPr>
      <w:r w:rsidRPr="00F831D3">
        <w:rPr>
          <w:rFonts w:ascii="Times New Roman" w:hAnsi="Times New Roman" w:cs="Times New Roman"/>
          <w:sz w:val="24"/>
          <w:szCs w:val="24"/>
        </w:rPr>
        <w:t>Benefits:</w:t>
      </w:r>
    </w:p>
    <w:p w:rsidR="006A0D57" w:rsidRPr="00BF49A9" w:rsidRDefault="006A0D57" w:rsidP="00BF49A9">
      <w:pPr>
        <w:pStyle w:val="ListParagraph"/>
        <w:numPr>
          <w:ilvl w:val="0"/>
          <w:numId w:val="6"/>
        </w:numPr>
        <w:spacing w:after="0" w:line="240" w:lineRule="auto"/>
        <w:ind w:left="1440"/>
        <w:rPr>
          <w:rFonts w:ascii="Times New Roman" w:hAnsi="Times New Roman" w:cs="Times New Roman"/>
          <w:sz w:val="24"/>
          <w:szCs w:val="24"/>
        </w:rPr>
      </w:pPr>
      <w:r w:rsidRPr="00BF49A9">
        <w:rPr>
          <w:rFonts w:ascii="Times New Roman" w:hAnsi="Times New Roman" w:cs="Times New Roman"/>
          <w:sz w:val="24"/>
          <w:szCs w:val="24"/>
        </w:rPr>
        <w:t>Present value of the future stream of avoided cost of natural gas</w:t>
      </w:r>
    </w:p>
    <w:p w:rsidR="006A0D57" w:rsidRPr="00BF49A9" w:rsidRDefault="006A0D57" w:rsidP="00BF49A9">
      <w:pPr>
        <w:pStyle w:val="ListParagraph"/>
        <w:numPr>
          <w:ilvl w:val="0"/>
          <w:numId w:val="6"/>
        </w:numPr>
        <w:spacing w:after="0" w:line="240" w:lineRule="auto"/>
        <w:ind w:left="1440"/>
        <w:rPr>
          <w:rFonts w:ascii="Times New Roman" w:hAnsi="Times New Roman" w:cs="Times New Roman"/>
          <w:sz w:val="24"/>
          <w:szCs w:val="24"/>
        </w:rPr>
      </w:pPr>
      <w:r w:rsidRPr="00BF49A9">
        <w:rPr>
          <w:rFonts w:ascii="Times New Roman" w:hAnsi="Times New Roman" w:cs="Times New Roman"/>
          <w:sz w:val="24"/>
          <w:szCs w:val="24"/>
        </w:rPr>
        <w:t>Present value of the future stream of avoided cost of electricity (positive or negative)</w:t>
      </w:r>
    </w:p>
    <w:p w:rsidR="006A0D57" w:rsidRPr="00F831D3" w:rsidRDefault="006A0D57" w:rsidP="006A0D57">
      <w:pPr>
        <w:spacing w:after="0" w:line="240" w:lineRule="auto"/>
        <w:ind w:left="720"/>
        <w:rPr>
          <w:rFonts w:ascii="Times New Roman" w:hAnsi="Times New Roman" w:cs="Times New Roman"/>
          <w:sz w:val="24"/>
          <w:szCs w:val="24"/>
        </w:rPr>
      </w:pPr>
    </w:p>
    <w:p w:rsidR="006A0D57" w:rsidRPr="00F831D3" w:rsidRDefault="006A0D57" w:rsidP="006A0D57">
      <w:pPr>
        <w:spacing w:after="0" w:line="240" w:lineRule="auto"/>
        <w:ind w:left="720"/>
        <w:rPr>
          <w:rFonts w:ascii="Times New Roman" w:hAnsi="Times New Roman" w:cs="Times New Roman"/>
          <w:sz w:val="24"/>
          <w:szCs w:val="24"/>
        </w:rPr>
      </w:pPr>
      <w:r w:rsidRPr="00F831D3">
        <w:rPr>
          <w:rFonts w:ascii="Times New Roman" w:hAnsi="Times New Roman" w:cs="Times New Roman"/>
          <w:sz w:val="24"/>
          <w:szCs w:val="24"/>
        </w:rPr>
        <w:t>Costs:</w:t>
      </w:r>
    </w:p>
    <w:p w:rsidR="006A0D57" w:rsidRPr="00BF49A9" w:rsidRDefault="006A0D57" w:rsidP="00BF49A9">
      <w:pPr>
        <w:pStyle w:val="ListParagraph"/>
        <w:numPr>
          <w:ilvl w:val="0"/>
          <w:numId w:val="7"/>
        </w:numPr>
        <w:spacing w:after="0" w:line="240" w:lineRule="auto"/>
        <w:ind w:left="1440"/>
        <w:rPr>
          <w:rFonts w:ascii="Times New Roman" w:hAnsi="Times New Roman" w:cs="Times New Roman"/>
          <w:sz w:val="24"/>
          <w:szCs w:val="24"/>
        </w:rPr>
      </w:pPr>
      <w:r w:rsidRPr="00BF49A9">
        <w:rPr>
          <w:rFonts w:ascii="Times New Roman" w:hAnsi="Times New Roman" w:cs="Times New Roman"/>
          <w:sz w:val="24"/>
          <w:szCs w:val="24"/>
        </w:rPr>
        <w:t>The incentive cost of the utility program</w:t>
      </w:r>
    </w:p>
    <w:p w:rsidR="006A0D57" w:rsidRPr="00BF49A9" w:rsidRDefault="006A0D57" w:rsidP="00BF49A9">
      <w:pPr>
        <w:pStyle w:val="ListParagraph"/>
        <w:numPr>
          <w:ilvl w:val="0"/>
          <w:numId w:val="7"/>
        </w:numPr>
        <w:spacing w:after="0" w:line="240" w:lineRule="auto"/>
        <w:ind w:left="1440"/>
        <w:rPr>
          <w:rFonts w:ascii="Times New Roman" w:hAnsi="Times New Roman" w:cs="Times New Roman"/>
          <w:sz w:val="24"/>
          <w:szCs w:val="24"/>
        </w:rPr>
      </w:pPr>
      <w:r w:rsidRPr="00BF49A9">
        <w:rPr>
          <w:rFonts w:ascii="Times New Roman" w:hAnsi="Times New Roman" w:cs="Times New Roman"/>
          <w:sz w:val="24"/>
          <w:szCs w:val="24"/>
        </w:rPr>
        <w:t>The non-incentive utility cost of the program</w:t>
      </w:r>
    </w:p>
    <w:p w:rsidR="006A0D57" w:rsidRPr="00F831D3" w:rsidRDefault="006A0D57" w:rsidP="0042181F">
      <w:pPr>
        <w:ind w:left="720"/>
        <w:rPr>
          <w:rFonts w:ascii="Times New Roman" w:hAnsi="Times New Roman" w:cs="Times New Roman"/>
          <w:sz w:val="24"/>
          <w:szCs w:val="24"/>
        </w:rPr>
      </w:pPr>
    </w:p>
    <w:p w:rsidR="0042181F" w:rsidRPr="00F831D3" w:rsidRDefault="0042181F" w:rsidP="00BF49A9">
      <w:pPr>
        <w:ind w:left="720" w:right="720"/>
        <w:jc w:val="both"/>
        <w:rPr>
          <w:rFonts w:ascii="Times New Roman" w:hAnsi="Times New Roman" w:cs="Times New Roman"/>
          <w:sz w:val="24"/>
          <w:szCs w:val="24"/>
        </w:rPr>
      </w:pPr>
      <w:r w:rsidRPr="00F831D3">
        <w:rPr>
          <w:rFonts w:ascii="Times New Roman" w:hAnsi="Times New Roman" w:cs="Times New Roman"/>
          <w:sz w:val="24"/>
          <w:szCs w:val="24"/>
        </w:rPr>
        <w:t xml:space="preserve">The UCT test defines costs and benefits based upon the perspective of the utility and how the cost that the utility incurs will be passed on to their customers.  Optimizing for the UCT test will minimize the </w:t>
      </w:r>
      <w:proofErr w:type="gramStart"/>
      <w:r w:rsidRPr="00F831D3">
        <w:rPr>
          <w:rFonts w:ascii="Times New Roman" w:hAnsi="Times New Roman" w:cs="Times New Roman"/>
          <w:sz w:val="24"/>
          <w:szCs w:val="24"/>
        </w:rPr>
        <w:t>customers</w:t>
      </w:r>
      <w:proofErr w:type="gramEnd"/>
      <w:r w:rsidRPr="00F831D3">
        <w:rPr>
          <w:rFonts w:ascii="Times New Roman" w:hAnsi="Times New Roman" w:cs="Times New Roman"/>
          <w:sz w:val="24"/>
          <w:szCs w:val="24"/>
        </w:rPr>
        <w:t xml:space="preserve"> utility bill.</w:t>
      </w:r>
    </w:p>
    <w:p w:rsidR="0042181F" w:rsidRPr="00F831D3" w:rsidRDefault="0042181F" w:rsidP="00BE48E3">
      <w:pPr>
        <w:rPr>
          <w:rFonts w:ascii="Times New Roman" w:hAnsi="Times New Roman" w:cs="Times New Roman"/>
          <w:sz w:val="24"/>
          <w:szCs w:val="24"/>
        </w:rPr>
      </w:pPr>
    </w:p>
    <w:p w:rsidR="006A0D57" w:rsidRDefault="006A0D57"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The costs o</w:t>
      </w:r>
      <w:r w:rsidR="00BF49A9">
        <w:rPr>
          <w:rFonts w:ascii="Times New Roman" w:hAnsi="Times New Roman" w:cs="Times New Roman"/>
          <w:sz w:val="24"/>
          <w:szCs w:val="24"/>
        </w:rPr>
        <w:t>f the TRC and UCT metric differ</w:t>
      </w:r>
      <w:r w:rsidRPr="00F831D3">
        <w:rPr>
          <w:rFonts w:ascii="Times New Roman" w:hAnsi="Times New Roman" w:cs="Times New Roman"/>
          <w:sz w:val="24"/>
          <w:szCs w:val="24"/>
        </w:rPr>
        <w:t xml:space="preserve"> in that the TRC test includes the customers full incremental cost of the measure </w:t>
      </w:r>
      <w:r w:rsidR="00AE264C" w:rsidRPr="00F831D3">
        <w:rPr>
          <w:rFonts w:ascii="Times New Roman" w:hAnsi="Times New Roman" w:cs="Times New Roman"/>
          <w:sz w:val="24"/>
          <w:szCs w:val="24"/>
        </w:rPr>
        <w:t>prior to the receipt of any utility incentive</w:t>
      </w:r>
      <w:r w:rsidRPr="00F831D3">
        <w:rPr>
          <w:rFonts w:ascii="Times New Roman" w:hAnsi="Times New Roman" w:cs="Times New Roman"/>
          <w:sz w:val="24"/>
          <w:szCs w:val="24"/>
        </w:rPr>
        <w:t xml:space="preserve">.  The UCT test replaces this </w:t>
      </w:r>
      <w:r w:rsidR="00AE264C" w:rsidRPr="00F831D3">
        <w:rPr>
          <w:rFonts w:ascii="Times New Roman" w:hAnsi="Times New Roman" w:cs="Times New Roman"/>
          <w:sz w:val="24"/>
          <w:szCs w:val="24"/>
        </w:rPr>
        <w:t xml:space="preserve">incremental customer </w:t>
      </w:r>
      <w:r w:rsidRPr="00F831D3">
        <w:rPr>
          <w:rFonts w:ascii="Times New Roman" w:hAnsi="Times New Roman" w:cs="Times New Roman"/>
          <w:sz w:val="24"/>
          <w:szCs w:val="24"/>
        </w:rPr>
        <w:t xml:space="preserve">cost with the </w:t>
      </w:r>
      <w:r w:rsidR="00AE264C" w:rsidRPr="00F831D3">
        <w:rPr>
          <w:rFonts w:ascii="Times New Roman" w:hAnsi="Times New Roman" w:cs="Times New Roman"/>
          <w:sz w:val="24"/>
          <w:szCs w:val="24"/>
        </w:rPr>
        <w:t xml:space="preserve">cost of the </w:t>
      </w:r>
      <w:r w:rsidRPr="00F831D3">
        <w:rPr>
          <w:rFonts w:ascii="Times New Roman" w:hAnsi="Times New Roman" w:cs="Times New Roman"/>
          <w:sz w:val="24"/>
          <w:szCs w:val="24"/>
        </w:rPr>
        <w:t xml:space="preserve">incentive only.  Since the incentive cost is invariably well below the customers </w:t>
      </w:r>
      <w:r w:rsidR="00DF28EC" w:rsidRPr="00F831D3">
        <w:rPr>
          <w:rFonts w:ascii="Times New Roman" w:hAnsi="Times New Roman" w:cs="Times New Roman"/>
          <w:sz w:val="24"/>
          <w:szCs w:val="24"/>
        </w:rPr>
        <w:t xml:space="preserve">full incremental </w:t>
      </w:r>
      <w:r w:rsidR="00AE264C" w:rsidRPr="00F831D3">
        <w:rPr>
          <w:rFonts w:ascii="Times New Roman" w:hAnsi="Times New Roman" w:cs="Times New Roman"/>
          <w:sz w:val="24"/>
          <w:szCs w:val="24"/>
        </w:rPr>
        <w:t xml:space="preserve">measure </w:t>
      </w:r>
      <w:r w:rsidR="00DF28EC" w:rsidRPr="00F831D3">
        <w:rPr>
          <w:rFonts w:ascii="Times New Roman" w:hAnsi="Times New Roman" w:cs="Times New Roman"/>
          <w:sz w:val="24"/>
          <w:szCs w:val="24"/>
        </w:rPr>
        <w:t>cost</w:t>
      </w:r>
      <w:r w:rsidR="00BF49A9">
        <w:rPr>
          <w:rFonts w:ascii="Times New Roman" w:hAnsi="Times New Roman" w:cs="Times New Roman"/>
          <w:sz w:val="24"/>
          <w:szCs w:val="24"/>
        </w:rPr>
        <w:t>,</w:t>
      </w:r>
      <w:r w:rsidR="00DF28EC" w:rsidRPr="00F831D3">
        <w:rPr>
          <w:rFonts w:ascii="Times New Roman" w:hAnsi="Times New Roman" w:cs="Times New Roman"/>
          <w:sz w:val="24"/>
          <w:szCs w:val="24"/>
        </w:rPr>
        <w:t xml:space="preserve"> the UCT is </w:t>
      </w:r>
      <w:r w:rsidR="00811FAD" w:rsidRPr="00F831D3">
        <w:rPr>
          <w:rFonts w:ascii="Times New Roman" w:hAnsi="Times New Roman" w:cs="Times New Roman"/>
          <w:sz w:val="24"/>
          <w:szCs w:val="24"/>
        </w:rPr>
        <w:t>nearly guaranteed to be</w:t>
      </w:r>
      <w:r w:rsidR="00DF28EC" w:rsidRPr="00F831D3">
        <w:rPr>
          <w:rFonts w:ascii="Times New Roman" w:hAnsi="Times New Roman" w:cs="Times New Roman"/>
          <w:sz w:val="24"/>
          <w:szCs w:val="24"/>
        </w:rPr>
        <w:t xml:space="preserve"> easier to pass than the TRC test.  The TRC test does include the value of non-energy </w:t>
      </w:r>
      <w:r w:rsidR="00BF49A9" w:rsidRPr="00F831D3">
        <w:rPr>
          <w:rFonts w:ascii="Times New Roman" w:hAnsi="Times New Roman" w:cs="Times New Roman"/>
          <w:sz w:val="24"/>
          <w:szCs w:val="24"/>
        </w:rPr>
        <w:t>benefits;</w:t>
      </w:r>
      <w:r w:rsidR="00DF28EC" w:rsidRPr="00F831D3">
        <w:rPr>
          <w:rFonts w:ascii="Times New Roman" w:hAnsi="Times New Roman" w:cs="Times New Roman"/>
          <w:sz w:val="24"/>
          <w:szCs w:val="24"/>
        </w:rPr>
        <w:t xml:space="preserve"> </w:t>
      </w:r>
      <w:r w:rsidR="00BF49A9">
        <w:rPr>
          <w:rFonts w:ascii="Times New Roman" w:hAnsi="Times New Roman" w:cs="Times New Roman"/>
          <w:sz w:val="24"/>
          <w:szCs w:val="24"/>
        </w:rPr>
        <w:t>however</w:t>
      </w:r>
      <w:r w:rsidR="00DF28EC" w:rsidRPr="00F831D3">
        <w:rPr>
          <w:rFonts w:ascii="Times New Roman" w:hAnsi="Times New Roman" w:cs="Times New Roman"/>
          <w:sz w:val="24"/>
          <w:szCs w:val="24"/>
        </w:rPr>
        <w:t xml:space="preserve"> these benefits are almost never sufficient to offset the </w:t>
      </w:r>
      <w:r w:rsidR="00AE264C" w:rsidRPr="00F831D3">
        <w:rPr>
          <w:rFonts w:ascii="Times New Roman" w:hAnsi="Times New Roman" w:cs="Times New Roman"/>
          <w:sz w:val="24"/>
          <w:szCs w:val="24"/>
        </w:rPr>
        <w:t xml:space="preserve">TRC’s </w:t>
      </w:r>
      <w:r w:rsidR="00DF28EC" w:rsidRPr="00F831D3">
        <w:rPr>
          <w:rFonts w:ascii="Times New Roman" w:hAnsi="Times New Roman" w:cs="Times New Roman"/>
          <w:sz w:val="24"/>
          <w:szCs w:val="24"/>
        </w:rPr>
        <w:t xml:space="preserve">much higher </w:t>
      </w:r>
      <w:r w:rsidR="00AE264C" w:rsidRPr="00F831D3">
        <w:rPr>
          <w:rFonts w:ascii="Times New Roman" w:hAnsi="Times New Roman" w:cs="Times New Roman"/>
          <w:sz w:val="24"/>
          <w:szCs w:val="24"/>
        </w:rPr>
        <w:t xml:space="preserve">cost </w:t>
      </w:r>
      <w:r w:rsidR="00DF28EC" w:rsidRPr="00F831D3">
        <w:rPr>
          <w:rFonts w:ascii="Times New Roman" w:hAnsi="Times New Roman" w:cs="Times New Roman"/>
          <w:sz w:val="24"/>
          <w:szCs w:val="24"/>
        </w:rPr>
        <w:t>definition.</w:t>
      </w:r>
    </w:p>
    <w:p w:rsidR="00BF49A9" w:rsidRPr="00F831D3" w:rsidRDefault="00BF49A9" w:rsidP="00BF49A9">
      <w:pPr>
        <w:spacing w:after="0" w:line="360" w:lineRule="auto"/>
        <w:jc w:val="both"/>
        <w:rPr>
          <w:rFonts w:ascii="Times New Roman" w:hAnsi="Times New Roman" w:cs="Times New Roman"/>
          <w:sz w:val="24"/>
          <w:szCs w:val="24"/>
        </w:rPr>
      </w:pPr>
    </w:p>
    <w:p w:rsidR="0042181F" w:rsidRDefault="00BF49A9" w:rsidP="00BF49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F831D3">
        <w:rPr>
          <w:rFonts w:ascii="Times New Roman" w:hAnsi="Times New Roman" w:cs="Times New Roman"/>
          <w:sz w:val="24"/>
          <w:szCs w:val="24"/>
        </w:rPr>
        <w:t>dditionally</w:t>
      </w:r>
      <w:r>
        <w:rPr>
          <w:rFonts w:ascii="Times New Roman" w:hAnsi="Times New Roman" w:cs="Times New Roman"/>
          <w:sz w:val="24"/>
          <w:szCs w:val="24"/>
        </w:rPr>
        <w:t>,</w:t>
      </w:r>
      <w:r w:rsidRPr="00F831D3">
        <w:rPr>
          <w:rFonts w:ascii="Times New Roman" w:hAnsi="Times New Roman" w:cs="Times New Roman"/>
          <w:sz w:val="24"/>
          <w:szCs w:val="24"/>
        </w:rPr>
        <w:t xml:space="preserve"> </w:t>
      </w:r>
      <w:r>
        <w:rPr>
          <w:rFonts w:ascii="Times New Roman" w:hAnsi="Times New Roman" w:cs="Times New Roman"/>
          <w:sz w:val="24"/>
          <w:szCs w:val="24"/>
        </w:rPr>
        <w:t>t</w:t>
      </w:r>
      <w:r w:rsidR="00DF28EC" w:rsidRPr="00F831D3">
        <w:rPr>
          <w:rFonts w:ascii="Times New Roman" w:hAnsi="Times New Roman" w:cs="Times New Roman"/>
          <w:sz w:val="24"/>
          <w:szCs w:val="24"/>
        </w:rPr>
        <w:t xml:space="preserve">he regulatory direction indicated that the UCT test was to be defined based upon all program participants.  Previously the Company adjusted the calculation of the TRC test to measure the incremental cost and benefits </w:t>
      </w:r>
      <w:r w:rsidR="00AE264C" w:rsidRPr="00F831D3">
        <w:rPr>
          <w:rFonts w:ascii="Times New Roman" w:hAnsi="Times New Roman" w:cs="Times New Roman"/>
          <w:sz w:val="24"/>
          <w:szCs w:val="24"/>
        </w:rPr>
        <w:t xml:space="preserve">of </w:t>
      </w:r>
      <w:r w:rsidR="00DF28EC" w:rsidRPr="00F831D3">
        <w:rPr>
          <w:rFonts w:ascii="Times New Roman" w:hAnsi="Times New Roman" w:cs="Times New Roman"/>
          <w:sz w:val="24"/>
          <w:szCs w:val="24"/>
        </w:rPr>
        <w:t xml:space="preserve">only of those customers who were determined to have adopted the measure only as a </w:t>
      </w:r>
      <w:r w:rsidR="00AE264C" w:rsidRPr="00F831D3">
        <w:rPr>
          <w:rFonts w:ascii="Times New Roman" w:hAnsi="Times New Roman" w:cs="Times New Roman"/>
          <w:sz w:val="24"/>
          <w:szCs w:val="24"/>
        </w:rPr>
        <w:t>consequence of the utility</w:t>
      </w:r>
      <w:r w:rsidR="00DF28EC" w:rsidRPr="00F831D3">
        <w:rPr>
          <w:rFonts w:ascii="Times New Roman" w:hAnsi="Times New Roman" w:cs="Times New Roman"/>
          <w:sz w:val="24"/>
          <w:szCs w:val="24"/>
        </w:rPr>
        <w:t xml:space="preserve"> program.  This adjustment, termed a “net-to-gross” adjustment, is based upon a periodic evaluation of the programs within the portfolio.</w:t>
      </w:r>
    </w:p>
    <w:p w:rsidR="00BF49A9" w:rsidRPr="00F831D3" w:rsidRDefault="00BF49A9" w:rsidP="00BF49A9">
      <w:pPr>
        <w:spacing w:after="0" w:line="240" w:lineRule="auto"/>
        <w:jc w:val="both"/>
        <w:rPr>
          <w:rFonts w:ascii="Times New Roman" w:hAnsi="Times New Roman" w:cs="Times New Roman"/>
          <w:sz w:val="24"/>
          <w:szCs w:val="24"/>
        </w:rPr>
      </w:pPr>
    </w:p>
    <w:p w:rsidR="0042181F" w:rsidRPr="00F831D3" w:rsidRDefault="0042181F"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Avista expressed concern</w:t>
      </w:r>
      <w:r w:rsidR="009E5C25" w:rsidRPr="00F831D3">
        <w:rPr>
          <w:rFonts w:ascii="Times New Roman" w:hAnsi="Times New Roman" w:cs="Times New Roman"/>
          <w:sz w:val="24"/>
          <w:szCs w:val="24"/>
        </w:rPr>
        <w:t>, and the Commission concurred,</w:t>
      </w:r>
      <w:r w:rsidRPr="00F831D3">
        <w:rPr>
          <w:rFonts w:ascii="Times New Roman" w:hAnsi="Times New Roman" w:cs="Times New Roman"/>
          <w:sz w:val="24"/>
          <w:szCs w:val="24"/>
        </w:rPr>
        <w:t xml:space="preserve"> that a narrowly focused optimization upon the UCT test could lead the Company to promote measures that did not necessarily </w:t>
      </w:r>
      <w:r w:rsidR="00D03C01" w:rsidRPr="00F831D3">
        <w:rPr>
          <w:rFonts w:ascii="Times New Roman" w:hAnsi="Times New Roman" w:cs="Times New Roman"/>
          <w:sz w:val="24"/>
          <w:szCs w:val="24"/>
        </w:rPr>
        <w:t>pass an assessment of participant cost</w:t>
      </w:r>
      <w:r w:rsidR="00811FAD" w:rsidRPr="00F831D3">
        <w:rPr>
          <w:rFonts w:ascii="Times New Roman" w:hAnsi="Times New Roman" w:cs="Times New Roman"/>
          <w:sz w:val="24"/>
          <w:szCs w:val="24"/>
        </w:rPr>
        <w:t>-effectiveness</w:t>
      </w:r>
      <w:r w:rsidR="00D03C01" w:rsidRPr="00F831D3">
        <w:rPr>
          <w:rFonts w:ascii="Times New Roman" w:hAnsi="Times New Roman" w:cs="Times New Roman"/>
          <w:sz w:val="24"/>
          <w:szCs w:val="24"/>
        </w:rPr>
        <w:t>.  To the extent that utility incentives could be considered a</w:t>
      </w:r>
      <w:r w:rsidR="00811FAD" w:rsidRPr="00F831D3">
        <w:rPr>
          <w:rFonts w:ascii="Times New Roman" w:hAnsi="Times New Roman" w:cs="Times New Roman"/>
          <w:sz w:val="24"/>
          <w:szCs w:val="24"/>
        </w:rPr>
        <w:t>n endorsement</w:t>
      </w:r>
      <w:r w:rsidR="00BF49A9">
        <w:rPr>
          <w:rFonts w:ascii="Times New Roman" w:hAnsi="Times New Roman" w:cs="Times New Roman"/>
          <w:sz w:val="24"/>
          <w:szCs w:val="24"/>
        </w:rPr>
        <w:t>, the Company believes</w:t>
      </w:r>
      <w:r w:rsidR="00D03C01" w:rsidRPr="00F831D3">
        <w:rPr>
          <w:rFonts w:ascii="Times New Roman" w:hAnsi="Times New Roman" w:cs="Times New Roman"/>
          <w:sz w:val="24"/>
          <w:szCs w:val="24"/>
        </w:rPr>
        <w:t xml:space="preserve"> it </w:t>
      </w:r>
      <w:r w:rsidR="00BF49A9">
        <w:rPr>
          <w:rFonts w:ascii="Times New Roman" w:hAnsi="Times New Roman" w:cs="Times New Roman"/>
          <w:sz w:val="24"/>
          <w:szCs w:val="24"/>
        </w:rPr>
        <w:t>is</w:t>
      </w:r>
      <w:r w:rsidR="00D03C01" w:rsidRPr="00F831D3">
        <w:rPr>
          <w:rFonts w:ascii="Times New Roman" w:hAnsi="Times New Roman" w:cs="Times New Roman"/>
          <w:sz w:val="24"/>
          <w:szCs w:val="24"/>
        </w:rPr>
        <w:t xml:space="preserve"> necessary to exercise a degree of caution to ensure that the spirit of the Commissions guidance </w:t>
      </w:r>
      <w:r w:rsidR="00BF49A9">
        <w:rPr>
          <w:rFonts w:ascii="Times New Roman" w:hAnsi="Times New Roman" w:cs="Times New Roman"/>
          <w:sz w:val="24"/>
          <w:szCs w:val="24"/>
        </w:rPr>
        <w:t>is</w:t>
      </w:r>
      <w:r w:rsidR="00D03C01" w:rsidRPr="00F831D3">
        <w:rPr>
          <w:rFonts w:ascii="Times New Roman" w:hAnsi="Times New Roman" w:cs="Times New Roman"/>
          <w:sz w:val="24"/>
          <w:szCs w:val="24"/>
        </w:rPr>
        <w:t xml:space="preserve"> fully considered within the planning process.  </w:t>
      </w:r>
    </w:p>
    <w:p w:rsidR="00BF49A9" w:rsidRDefault="00BF49A9" w:rsidP="00BE48E3">
      <w:pPr>
        <w:rPr>
          <w:rFonts w:ascii="Times New Roman" w:hAnsi="Times New Roman" w:cs="Times New Roman"/>
          <w:sz w:val="24"/>
          <w:szCs w:val="24"/>
          <w:u w:val="single"/>
        </w:rPr>
      </w:pPr>
    </w:p>
    <w:p w:rsidR="00DF28EC" w:rsidRPr="00BF49A9" w:rsidRDefault="0042181F" w:rsidP="00BE48E3">
      <w:pPr>
        <w:rPr>
          <w:rFonts w:ascii="Times New Roman" w:hAnsi="Times New Roman" w:cs="Times New Roman"/>
          <w:b/>
          <w:sz w:val="24"/>
          <w:szCs w:val="24"/>
          <w:u w:val="single"/>
        </w:rPr>
      </w:pPr>
      <w:r w:rsidRPr="00BF49A9">
        <w:rPr>
          <w:rFonts w:ascii="Times New Roman" w:hAnsi="Times New Roman" w:cs="Times New Roman"/>
          <w:b/>
          <w:sz w:val="24"/>
          <w:szCs w:val="24"/>
          <w:u w:val="single"/>
        </w:rPr>
        <w:t>Developing a Revised Natural Gas DSM Portfolio</w:t>
      </w:r>
    </w:p>
    <w:p w:rsidR="0042181F" w:rsidRDefault="00D03C01"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Upon the receipt of the above outlined regulatory guidance</w:t>
      </w:r>
      <w:r w:rsidR="00BF49A9">
        <w:rPr>
          <w:rFonts w:ascii="Times New Roman" w:hAnsi="Times New Roman" w:cs="Times New Roman"/>
          <w:sz w:val="24"/>
          <w:szCs w:val="24"/>
        </w:rPr>
        <w:t>,</w:t>
      </w:r>
      <w:r w:rsidRPr="00F831D3">
        <w:rPr>
          <w:rFonts w:ascii="Times New Roman" w:hAnsi="Times New Roman" w:cs="Times New Roman"/>
          <w:sz w:val="24"/>
          <w:szCs w:val="24"/>
        </w:rPr>
        <w:t xml:space="preserve"> the Company immediately re-opened the planning process with the intent to determine what, if any, revisions were necessary to optimize the portfolio based upon a gross UCT test metric.  </w:t>
      </w:r>
    </w:p>
    <w:p w:rsidR="00BF49A9" w:rsidRPr="00F831D3" w:rsidRDefault="00BF49A9" w:rsidP="00BF49A9">
      <w:pPr>
        <w:spacing w:after="0" w:line="240" w:lineRule="auto"/>
        <w:jc w:val="both"/>
        <w:rPr>
          <w:rFonts w:ascii="Times New Roman" w:hAnsi="Times New Roman" w:cs="Times New Roman"/>
          <w:sz w:val="24"/>
          <w:szCs w:val="24"/>
        </w:rPr>
      </w:pPr>
    </w:p>
    <w:p w:rsidR="009E5C25" w:rsidRDefault="00587017" w:rsidP="00BF49A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An updated estimate of the portfolio performance on a </w:t>
      </w:r>
      <w:r w:rsidR="00D03C01" w:rsidRPr="00F831D3">
        <w:rPr>
          <w:rFonts w:ascii="Times New Roman" w:hAnsi="Times New Roman" w:cs="Times New Roman"/>
          <w:sz w:val="24"/>
          <w:szCs w:val="24"/>
        </w:rPr>
        <w:t xml:space="preserve">gross UCT </w:t>
      </w:r>
      <w:r w:rsidRPr="00F831D3">
        <w:rPr>
          <w:rFonts w:ascii="Times New Roman" w:hAnsi="Times New Roman" w:cs="Times New Roman"/>
          <w:sz w:val="24"/>
          <w:szCs w:val="24"/>
        </w:rPr>
        <w:t xml:space="preserve">basis </w:t>
      </w:r>
      <w:r w:rsidR="00D03C01" w:rsidRPr="00F831D3">
        <w:rPr>
          <w:rFonts w:ascii="Times New Roman" w:hAnsi="Times New Roman" w:cs="Times New Roman"/>
          <w:sz w:val="24"/>
          <w:szCs w:val="24"/>
        </w:rPr>
        <w:t xml:space="preserve">was </w:t>
      </w:r>
      <w:r w:rsidRPr="00F831D3">
        <w:rPr>
          <w:rFonts w:ascii="Times New Roman" w:hAnsi="Times New Roman" w:cs="Times New Roman"/>
          <w:sz w:val="24"/>
          <w:szCs w:val="24"/>
        </w:rPr>
        <w:t>projected to yield a benefit</w:t>
      </w:r>
      <w:r w:rsidR="00D03C01" w:rsidRPr="00F831D3">
        <w:rPr>
          <w:rFonts w:ascii="Times New Roman" w:hAnsi="Times New Roman" w:cs="Times New Roman"/>
          <w:sz w:val="24"/>
          <w:szCs w:val="24"/>
        </w:rPr>
        <w:t>-to-cost ratio of 0.88.  This is a moderately significant failure to reach cost-effectiveness even based upon the UCT metric</w:t>
      </w:r>
      <w:r w:rsidR="009E5C25" w:rsidRPr="00F831D3">
        <w:rPr>
          <w:rFonts w:ascii="Times New Roman" w:hAnsi="Times New Roman" w:cs="Times New Roman"/>
          <w:sz w:val="24"/>
          <w:szCs w:val="24"/>
        </w:rPr>
        <w:t xml:space="preserve"> (with its lower hurdle for cost-effectiveness)</w:t>
      </w:r>
      <w:r w:rsidR="00D03C01" w:rsidRPr="00F831D3">
        <w:rPr>
          <w:rFonts w:ascii="Times New Roman" w:hAnsi="Times New Roman" w:cs="Times New Roman"/>
          <w:sz w:val="24"/>
          <w:szCs w:val="24"/>
        </w:rPr>
        <w:t>.  All three of the major components of the natural gas DSM portfolio</w:t>
      </w:r>
      <w:r w:rsidR="00BF49A9">
        <w:rPr>
          <w:rFonts w:ascii="Times New Roman" w:hAnsi="Times New Roman" w:cs="Times New Roman"/>
          <w:sz w:val="24"/>
          <w:szCs w:val="24"/>
        </w:rPr>
        <w:t xml:space="preserve"> (excluding the low-</w:t>
      </w:r>
      <w:r w:rsidRPr="00F831D3">
        <w:rPr>
          <w:rFonts w:ascii="Times New Roman" w:hAnsi="Times New Roman" w:cs="Times New Roman"/>
          <w:sz w:val="24"/>
          <w:szCs w:val="24"/>
        </w:rPr>
        <w:t>income portfolio)</w:t>
      </w:r>
      <w:r w:rsidR="00D03C01" w:rsidRPr="00F831D3">
        <w:rPr>
          <w:rFonts w:ascii="Times New Roman" w:hAnsi="Times New Roman" w:cs="Times New Roman"/>
          <w:sz w:val="24"/>
          <w:szCs w:val="24"/>
        </w:rPr>
        <w:t xml:space="preserve"> also individually failed to be cost-effective (residential prescriptive programs delivering a 0.85 benefit-to-cost ratio, non-residential prescriptive programs a 0.89 and the non-residential site-specific program being nearly cost-effective at a 0.96 benefit-to-cost ratio).</w:t>
      </w:r>
      <w:r w:rsidR="006531AD" w:rsidRPr="00F831D3">
        <w:rPr>
          <w:rFonts w:ascii="Times New Roman" w:hAnsi="Times New Roman" w:cs="Times New Roman"/>
          <w:sz w:val="24"/>
          <w:szCs w:val="24"/>
        </w:rPr>
        <w:t xml:space="preserve">  </w:t>
      </w:r>
    </w:p>
    <w:p w:rsidR="008245C3" w:rsidRPr="00F831D3" w:rsidRDefault="008245C3" w:rsidP="008245C3">
      <w:pPr>
        <w:spacing w:after="0" w:line="240" w:lineRule="auto"/>
        <w:jc w:val="both"/>
        <w:rPr>
          <w:rFonts w:ascii="Times New Roman" w:hAnsi="Times New Roman" w:cs="Times New Roman"/>
          <w:sz w:val="24"/>
          <w:szCs w:val="24"/>
        </w:rPr>
      </w:pPr>
    </w:p>
    <w:p w:rsidR="00587017" w:rsidRDefault="00587017" w:rsidP="008245C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Direct financial utility incentives are by far the largest cost within the UCT test.  </w:t>
      </w:r>
      <w:r w:rsidR="006531AD" w:rsidRPr="00F831D3">
        <w:rPr>
          <w:rFonts w:ascii="Times New Roman" w:hAnsi="Times New Roman" w:cs="Times New Roman"/>
          <w:sz w:val="24"/>
          <w:szCs w:val="24"/>
        </w:rPr>
        <w:t xml:space="preserve">Avista’s Schedule 190 tariff (governing the implementation of the natural gas DSM programs) defines </w:t>
      </w:r>
      <w:r w:rsidRPr="00F831D3">
        <w:rPr>
          <w:rFonts w:ascii="Times New Roman" w:hAnsi="Times New Roman" w:cs="Times New Roman"/>
          <w:sz w:val="24"/>
          <w:szCs w:val="24"/>
        </w:rPr>
        <w:t xml:space="preserve">a tiered </w:t>
      </w:r>
      <w:r w:rsidR="006531AD" w:rsidRPr="00F831D3">
        <w:rPr>
          <w:rFonts w:ascii="Times New Roman" w:hAnsi="Times New Roman" w:cs="Times New Roman"/>
          <w:sz w:val="24"/>
          <w:szCs w:val="24"/>
        </w:rPr>
        <w:t>incentive level</w:t>
      </w:r>
      <w:r w:rsidRPr="00F831D3">
        <w:rPr>
          <w:rFonts w:ascii="Times New Roman" w:hAnsi="Times New Roman" w:cs="Times New Roman"/>
          <w:sz w:val="24"/>
          <w:szCs w:val="24"/>
        </w:rPr>
        <w:t xml:space="preserve"> structure for all measures with a life of ten years or greater</w:t>
      </w:r>
      <w:r w:rsidR="006531AD" w:rsidRPr="00F831D3">
        <w:rPr>
          <w:rFonts w:ascii="Times New Roman" w:hAnsi="Times New Roman" w:cs="Times New Roman"/>
          <w:sz w:val="24"/>
          <w:szCs w:val="24"/>
        </w:rPr>
        <w:t xml:space="preserve">.  The tiers are established based upon the energy simple payback of the measure.  The incentive level provided </w:t>
      </w:r>
      <w:r w:rsidR="006531AD" w:rsidRPr="00F831D3">
        <w:rPr>
          <w:rFonts w:ascii="Times New Roman" w:hAnsi="Times New Roman" w:cs="Times New Roman"/>
          <w:sz w:val="24"/>
          <w:szCs w:val="24"/>
        </w:rPr>
        <w:lastRenderedPageBreak/>
        <w:t>(stated in terms of the incentive per first-year therm saved) increases as the simple payback increases</w:t>
      </w:r>
      <w:r w:rsidR="008245C3">
        <w:rPr>
          <w:rFonts w:ascii="Times New Roman" w:hAnsi="Times New Roman" w:cs="Times New Roman"/>
          <w:sz w:val="24"/>
          <w:szCs w:val="24"/>
        </w:rPr>
        <w:t>,</w:t>
      </w:r>
      <w:r w:rsidR="006531AD" w:rsidRPr="00F831D3">
        <w:rPr>
          <w:rFonts w:ascii="Times New Roman" w:hAnsi="Times New Roman" w:cs="Times New Roman"/>
          <w:sz w:val="24"/>
          <w:szCs w:val="24"/>
        </w:rPr>
        <w:t xml:space="preserve"> until a simple payback of 13 years is reached.  Measures with a simple payback of over 13 years </w:t>
      </w:r>
      <w:r w:rsidRPr="00F831D3">
        <w:rPr>
          <w:rFonts w:ascii="Times New Roman" w:hAnsi="Times New Roman" w:cs="Times New Roman"/>
          <w:sz w:val="24"/>
          <w:szCs w:val="24"/>
        </w:rPr>
        <w:t xml:space="preserve">are not eligible for an </w:t>
      </w:r>
      <w:r w:rsidR="006531AD" w:rsidRPr="00F831D3">
        <w:rPr>
          <w:rFonts w:ascii="Times New Roman" w:hAnsi="Times New Roman" w:cs="Times New Roman"/>
          <w:sz w:val="24"/>
          <w:szCs w:val="24"/>
        </w:rPr>
        <w:t>incentive</w:t>
      </w:r>
      <w:r w:rsidRPr="00F831D3">
        <w:rPr>
          <w:rFonts w:ascii="Times New Roman" w:hAnsi="Times New Roman" w:cs="Times New Roman"/>
          <w:sz w:val="24"/>
          <w:szCs w:val="24"/>
        </w:rPr>
        <w:t xml:space="preserve"> under the current tariff</w:t>
      </w:r>
      <w:r w:rsidR="006531AD" w:rsidRPr="00F831D3">
        <w:rPr>
          <w:rFonts w:ascii="Times New Roman" w:hAnsi="Times New Roman" w:cs="Times New Roman"/>
          <w:sz w:val="24"/>
          <w:szCs w:val="24"/>
        </w:rPr>
        <w:t xml:space="preserve">.  </w:t>
      </w:r>
    </w:p>
    <w:p w:rsidR="008245C3" w:rsidRPr="00F831D3" w:rsidRDefault="008245C3" w:rsidP="008245C3">
      <w:pPr>
        <w:spacing w:after="0" w:line="240" w:lineRule="auto"/>
        <w:jc w:val="both"/>
        <w:rPr>
          <w:rFonts w:ascii="Times New Roman" w:hAnsi="Times New Roman" w:cs="Times New Roman"/>
          <w:sz w:val="24"/>
          <w:szCs w:val="24"/>
        </w:rPr>
      </w:pPr>
    </w:p>
    <w:p w:rsidR="00587017" w:rsidRDefault="006531AD" w:rsidP="008245C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The substantial majority of the</w:t>
      </w:r>
      <w:r w:rsidR="00587017" w:rsidRPr="00F831D3">
        <w:rPr>
          <w:rFonts w:ascii="Times New Roman" w:hAnsi="Times New Roman" w:cs="Times New Roman"/>
          <w:sz w:val="24"/>
          <w:szCs w:val="24"/>
        </w:rPr>
        <w:t xml:space="preserve"> long simple payback (over 13 year) </w:t>
      </w:r>
      <w:r w:rsidRPr="00F831D3">
        <w:rPr>
          <w:rFonts w:ascii="Times New Roman" w:hAnsi="Times New Roman" w:cs="Times New Roman"/>
          <w:sz w:val="24"/>
          <w:szCs w:val="24"/>
        </w:rPr>
        <w:t xml:space="preserve">projects </w:t>
      </w:r>
      <w:r w:rsidR="00587017" w:rsidRPr="00F831D3">
        <w:rPr>
          <w:rFonts w:ascii="Times New Roman" w:hAnsi="Times New Roman" w:cs="Times New Roman"/>
          <w:sz w:val="24"/>
          <w:szCs w:val="24"/>
        </w:rPr>
        <w:t>are TRC</w:t>
      </w:r>
      <w:r w:rsidRPr="00F831D3">
        <w:rPr>
          <w:rFonts w:ascii="Times New Roman" w:hAnsi="Times New Roman" w:cs="Times New Roman"/>
          <w:sz w:val="24"/>
          <w:szCs w:val="24"/>
        </w:rPr>
        <w:t xml:space="preserve"> cost-</w:t>
      </w:r>
      <w:r w:rsidRPr="008245C3">
        <w:rPr>
          <w:rFonts w:ascii="Times New Roman" w:hAnsi="Times New Roman" w:cs="Times New Roman"/>
          <w:sz w:val="24"/>
          <w:szCs w:val="24"/>
          <w:u w:val="single"/>
        </w:rPr>
        <w:t>in</w:t>
      </w:r>
      <w:r w:rsidRPr="00F831D3">
        <w:rPr>
          <w:rFonts w:ascii="Times New Roman" w:hAnsi="Times New Roman" w:cs="Times New Roman"/>
          <w:sz w:val="24"/>
          <w:szCs w:val="24"/>
        </w:rPr>
        <w:t>effective due to high customer incremental costs</w:t>
      </w:r>
      <w:r w:rsidR="00587017" w:rsidRPr="00F831D3">
        <w:rPr>
          <w:rFonts w:ascii="Times New Roman" w:hAnsi="Times New Roman" w:cs="Times New Roman"/>
          <w:sz w:val="24"/>
          <w:szCs w:val="24"/>
        </w:rPr>
        <w:t xml:space="preserve">.  In previous years, when these projects were eligible for incentives, these long-payback projects have </w:t>
      </w:r>
      <w:r w:rsidRPr="00F831D3">
        <w:rPr>
          <w:rFonts w:ascii="Times New Roman" w:hAnsi="Times New Roman" w:cs="Times New Roman"/>
          <w:sz w:val="24"/>
          <w:szCs w:val="24"/>
        </w:rPr>
        <w:t xml:space="preserve">detracted (sometimes substantially) from the TRC cost-effectiveness of the portfolio.  </w:t>
      </w:r>
      <w:r w:rsidR="00587017" w:rsidRPr="00F831D3">
        <w:rPr>
          <w:rFonts w:ascii="Times New Roman" w:hAnsi="Times New Roman" w:cs="Times New Roman"/>
          <w:sz w:val="24"/>
          <w:szCs w:val="24"/>
        </w:rPr>
        <w:t>The current exclusion of projects with simple paybacks in excess of 13 years was driven by the need to deliver a TRC cost-effective portfolio.</w:t>
      </w:r>
    </w:p>
    <w:p w:rsidR="008245C3" w:rsidRPr="00F831D3" w:rsidRDefault="008245C3" w:rsidP="008245C3">
      <w:pPr>
        <w:spacing w:after="0" w:line="240" w:lineRule="auto"/>
        <w:jc w:val="both"/>
        <w:rPr>
          <w:rFonts w:ascii="Times New Roman" w:hAnsi="Times New Roman" w:cs="Times New Roman"/>
          <w:sz w:val="24"/>
          <w:szCs w:val="24"/>
        </w:rPr>
      </w:pPr>
    </w:p>
    <w:p w:rsidR="00D03C01" w:rsidRPr="00F831D3" w:rsidRDefault="00D03C01" w:rsidP="008245C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It </w:t>
      </w:r>
      <w:r w:rsidR="008245C3">
        <w:rPr>
          <w:rFonts w:ascii="Times New Roman" w:hAnsi="Times New Roman" w:cs="Times New Roman"/>
          <w:sz w:val="24"/>
          <w:szCs w:val="24"/>
        </w:rPr>
        <w:t>should be</w:t>
      </w:r>
      <w:r w:rsidRPr="00F831D3">
        <w:rPr>
          <w:rFonts w:ascii="Times New Roman" w:hAnsi="Times New Roman" w:cs="Times New Roman"/>
          <w:sz w:val="24"/>
          <w:szCs w:val="24"/>
        </w:rPr>
        <w:t xml:space="preserve"> noted that </w:t>
      </w:r>
      <w:r w:rsidR="006531AD" w:rsidRPr="00F831D3">
        <w:rPr>
          <w:rFonts w:ascii="Times New Roman" w:hAnsi="Times New Roman" w:cs="Times New Roman"/>
          <w:sz w:val="24"/>
          <w:szCs w:val="24"/>
        </w:rPr>
        <w:t xml:space="preserve">the incentive levels defined within Avista’s </w:t>
      </w:r>
      <w:r w:rsidR="00587017" w:rsidRPr="00F831D3">
        <w:rPr>
          <w:rFonts w:ascii="Times New Roman" w:hAnsi="Times New Roman" w:cs="Times New Roman"/>
          <w:sz w:val="24"/>
          <w:szCs w:val="24"/>
        </w:rPr>
        <w:t xml:space="preserve">current </w:t>
      </w:r>
      <w:r w:rsidR="006531AD" w:rsidRPr="00F831D3">
        <w:rPr>
          <w:rFonts w:ascii="Times New Roman" w:hAnsi="Times New Roman" w:cs="Times New Roman"/>
          <w:sz w:val="24"/>
          <w:szCs w:val="24"/>
        </w:rPr>
        <w:t>tariff came close to and under some unusual circumstances could exceed the comparable avoided cost, as illustrated below.</w:t>
      </w:r>
      <w:r w:rsidR="00563E5D" w:rsidRPr="00F831D3">
        <w:rPr>
          <w:rFonts w:ascii="Times New Roman" w:hAnsi="Times New Roman" w:cs="Times New Roman"/>
          <w:sz w:val="24"/>
          <w:szCs w:val="24"/>
        </w:rPr>
        <w:t xml:space="preserve">  The illustration also indicates the impact of a realization rate (the percentage of energy savings anticipated from the project at time the incentive was granted vs. the verified savings) upon the relationship between the incentive and the avoided cost value.</w:t>
      </w:r>
    </w:p>
    <w:p w:rsidR="00357CD9" w:rsidRPr="00F831D3" w:rsidRDefault="00357CD9" w:rsidP="00BE48E3">
      <w:pPr>
        <w:rPr>
          <w:rFonts w:ascii="Times New Roman" w:hAnsi="Times New Roman" w:cs="Times New Roman"/>
          <w:sz w:val="24"/>
          <w:szCs w:val="24"/>
        </w:rPr>
      </w:pPr>
    </w:p>
    <w:p w:rsidR="00AE7B89" w:rsidRDefault="008245C3" w:rsidP="00BE48E3">
      <w:pPr>
        <w:rPr>
          <w:sz w:val="24"/>
          <w:szCs w:val="24"/>
        </w:rPr>
      </w:pPr>
      <w:r>
        <w:rPr>
          <w:rFonts w:ascii="Times New Roman" w:hAnsi="Times New Roman" w:cs="Times New Roman"/>
          <w:sz w:val="24"/>
          <w:szCs w:val="24"/>
          <w:u w:val="single"/>
        </w:rPr>
        <w:t>Illustration No.</w:t>
      </w:r>
      <w:r w:rsidR="00AE7B89" w:rsidRPr="00F831D3">
        <w:rPr>
          <w:rFonts w:ascii="Times New Roman" w:hAnsi="Times New Roman" w:cs="Times New Roman"/>
          <w:sz w:val="24"/>
          <w:szCs w:val="24"/>
          <w:u w:val="single"/>
        </w:rPr>
        <w:t xml:space="preserve"> 1</w:t>
      </w:r>
      <w:r w:rsidR="00AE7B89" w:rsidRPr="00F831D3">
        <w:rPr>
          <w:rFonts w:ascii="Times New Roman" w:hAnsi="Times New Roman" w:cs="Times New Roman"/>
          <w:sz w:val="24"/>
          <w:szCs w:val="24"/>
        </w:rPr>
        <w:t>: Comparison of incentive levels and avoided cost values for winter and annual load shapes and 100% and 87% realization rates</w:t>
      </w:r>
      <w:r>
        <w:rPr>
          <w:rFonts w:ascii="Times New Roman" w:hAnsi="Times New Roman" w:cs="Times New Roman"/>
          <w:sz w:val="24"/>
          <w:szCs w:val="24"/>
        </w:rPr>
        <w:t>.</w:t>
      </w:r>
    </w:p>
    <w:p w:rsidR="00AE7B89" w:rsidRDefault="00AE7B89" w:rsidP="00BE48E3">
      <w:pPr>
        <w:rPr>
          <w:sz w:val="24"/>
          <w:szCs w:val="24"/>
        </w:rPr>
      </w:pPr>
      <w:r>
        <w:rPr>
          <w:noProof/>
        </w:rPr>
        <w:drawing>
          <wp:inline distT="0" distB="0" distL="0" distR="0">
            <wp:extent cx="5943600" cy="3435985"/>
            <wp:effectExtent l="0" t="0" r="1905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7B89" w:rsidRDefault="00563E5D" w:rsidP="008245C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lastRenderedPageBreak/>
        <w:t xml:space="preserve">Since the avoided costs must not only be sufficient to allow for the recovery of the incentive costs but also the non-incentive cost related to the program, the above </w:t>
      </w:r>
      <w:r w:rsidR="008245C3">
        <w:rPr>
          <w:rFonts w:ascii="Times New Roman" w:hAnsi="Times New Roman" w:cs="Times New Roman"/>
          <w:sz w:val="24"/>
          <w:szCs w:val="24"/>
        </w:rPr>
        <w:t>illustration</w:t>
      </w:r>
      <w:r w:rsidRPr="00F831D3">
        <w:rPr>
          <w:rFonts w:ascii="Times New Roman" w:hAnsi="Times New Roman" w:cs="Times New Roman"/>
          <w:sz w:val="24"/>
          <w:szCs w:val="24"/>
        </w:rPr>
        <w:t xml:space="preserve"> indic</w:t>
      </w:r>
      <w:r w:rsidR="008245C3">
        <w:rPr>
          <w:rFonts w:ascii="Times New Roman" w:hAnsi="Times New Roman" w:cs="Times New Roman"/>
          <w:sz w:val="24"/>
          <w:szCs w:val="24"/>
        </w:rPr>
        <w:t>ates that projects with measure</w:t>
      </w:r>
      <w:r w:rsidRPr="00F831D3">
        <w:rPr>
          <w:rFonts w:ascii="Times New Roman" w:hAnsi="Times New Roman" w:cs="Times New Roman"/>
          <w:sz w:val="24"/>
          <w:szCs w:val="24"/>
        </w:rPr>
        <w:t xml:space="preserve"> lives of between 10 and 13 years have insufficient </w:t>
      </w:r>
      <w:r w:rsidR="00F363F1" w:rsidRPr="00F831D3">
        <w:rPr>
          <w:rFonts w:ascii="Times New Roman" w:hAnsi="Times New Roman" w:cs="Times New Roman"/>
          <w:sz w:val="24"/>
          <w:szCs w:val="24"/>
        </w:rPr>
        <w:t>residual value</w:t>
      </w:r>
      <w:r w:rsidRPr="00F831D3">
        <w:rPr>
          <w:rFonts w:ascii="Times New Roman" w:hAnsi="Times New Roman" w:cs="Times New Roman"/>
          <w:sz w:val="24"/>
          <w:szCs w:val="24"/>
        </w:rPr>
        <w:t xml:space="preserve"> to allow for the recovery of </w:t>
      </w:r>
      <w:r w:rsidR="00F363F1" w:rsidRPr="00F831D3">
        <w:rPr>
          <w:rFonts w:ascii="Times New Roman" w:hAnsi="Times New Roman" w:cs="Times New Roman"/>
          <w:sz w:val="24"/>
          <w:szCs w:val="24"/>
        </w:rPr>
        <w:t>the supporting</w:t>
      </w:r>
      <w:r w:rsidRPr="00F831D3">
        <w:rPr>
          <w:rFonts w:ascii="Times New Roman" w:hAnsi="Times New Roman" w:cs="Times New Roman"/>
          <w:sz w:val="24"/>
          <w:szCs w:val="24"/>
        </w:rPr>
        <w:t xml:space="preserve"> utility </w:t>
      </w:r>
      <w:r w:rsidR="00F363F1" w:rsidRPr="00F831D3">
        <w:rPr>
          <w:rFonts w:ascii="Times New Roman" w:hAnsi="Times New Roman" w:cs="Times New Roman"/>
          <w:sz w:val="24"/>
          <w:szCs w:val="24"/>
        </w:rPr>
        <w:t>infrastructure</w:t>
      </w:r>
      <w:r w:rsidRPr="00F831D3">
        <w:rPr>
          <w:rFonts w:ascii="Times New Roman" w:hAnsi="Times New Roman" w:cs="Times New Roman"/>
          <w:sz w:val="24"/>
          <w:szCs w:val="24"/>
        </w:rPr>
        <w:t xml:space="preserve">.  Only when the incentive drops to zero (for projects with simple paybacks over 13 years) is there a substantial amount of residual benefit.  Given that these </w:t>
      </w:r>
      <w:r w:rsidR="008245C3">
        <w:rPr>
          <w:rFonts w:ascii="Times New Roman" w:hAnsi="Times New Roman" w:cs="Times New Roman"/>
          <w:sz w:val="24"/>
          <w:szCs w:val="24"/>
        </w:rPr>
        <w:t>“</w:t>
      </w:r>
      <w:r w:rsidRPr="00F831D3">
        <w:rPr>
          <w:rFonts w:ascii="Times New Roman" w:hAnsi="Times New Roman" w:cs="Times New Roman"/>
          <w:sz w:val="24"/>
          <w:szCs w:val="24"/>
        </w:rPr>
        <w:t>over 13 year</w:t>
      </w:r>
      <w:r w:rsidR="008245C3">
        <w:rPr>
          <w:rFonts w:ascii="Times New Roman" w:hAnsi="Times New Roman" w:cs="Times New Roman"/>
          <w:sz w:val="24"/>
          <w:szCs w:val="24"/>
        </w:rPr>
        <w:t>”</w:t>
      </w:r>
      <w:r w:rsidRPr="00F831D3">
        <w:rPr>
          <w:rFonts w:ascii="Times New Roman" w:hAnsi="Times New Roman" w:cs="Times New Roman"/>
          <w:sz w:val="24"/>
          <w:szCs w:val="24"/>
        </w:rPr>
        <w:t xml:space="preserve"> simple payback projects do not qualify for an incentive</w:t>
      </w:r>
      <w:r w:rsidR="008245C3">
        <w:rPr>
          <w:rFonts w:ascii="Times New Roman" w:hAnsi="Times New Roman" w:cs="Times New Roman"/>
          <w:sz w:val="24"/>
          <w:szCs w:val="24"/>
        </w:rPr>
        <w:t>,</w:t>
      </w:r>
      <w:r w:rsidRPr="00F831D3">
        <w:rPr>
          <w:rFonts w:ascii="Times New Roman" w:hAnsi="Times New Roman" w:cs="Times New Roman"/>
          <w:sz w:val="24"/>
          <w:szCs w:val="24"/>
        </w:rPr>
        <w:t xml:space="preserve"> they are not materially present in the portfolio.</w:t>
      </w:r>
    </w:p>
    <w:p w:rsidR="008245C3" w:rsidRPr="00F831D3" w:rsidRDefault="008245C3" w:rsidP="008245C3">
      <w:pPr>
        <w:spacing w:after="0" w:line="240" w:lineRule="auto"/>
        <w:jc w:val="both"/>
        <w:rPr>
          <w:rFonts w:ascii="Times New Roman" w:hAnsi="Times New Roman" w:cs="Times New Roman"/>
          <w:sz w:val="24"/>
          <w:szCs w:val="24"/>
        </w:rPr>
      </w:pPr>
    </w:p>
    <w:p w:rsidR="00563E5D" w:rsidRPr="00F831D3" w:rsidRDefault="00563E5D" w:rsidP="008245C3">
      <w:pPr>
        <w:spacing w:after="0" w:line="360" w:lineRule="auto"/>
        <w:rPr>
          <w:rFonts w:ascii="Times New Roman" w:hAnsi="Times New Roman" w:cs="Times New Roman"/>
          <w:sz w:val="24"/>
          <w:szCs w:val="24"/>
        </w:rPr>
      </w:pPr>
      <w:r w:rsidRPr="00F831D3">
        <w:rPr>
          <w:rFonts w:ascii="Times New Roman" w:hAnsi="Times New Roman" w:cs="Times New Roman"/>
          <w:sz w:val="24"/>
          <w:szCs w:val="24"/>
        </w:rPr>
        <w:t>A review of the portfolio diagnostics indicates three</w:t>
      </w:r>
      <w:r w:rsidR="00824C84" w:rsidRPr="00F831D3">
        <w:rPr>
          <w:rFonts w:ascii="Times New Roman" w:hAnsi="Times New Roman" w:cs="Times New Roman"/>
          <w:sz w:val="24"/>
          <w:szCs w:val="24"/>
        </w:rPr>
        <w:t xml:space="preserve"> related</w:t>
      </w:r>
      <w:r w:rsidRPr="00F831D3">
        <w:rPr>
          <w:rFonts w:ascii="Times New Roman" w:hAnsi="Times New Roman" w:cs="Times New Roman"/>
          <w:sz w:val="24"/>
          <w:szCs w:val="24"/>
        </w:rPr>
        <w:t xml:space="preserve"> issues in need of review as part of the gross UCT optimization of the natural gas portfolio:</w:t>
      </w:r>
    </w:p>
    <w:p w:rsidR="00563E5D" w:rsidRPr="00F831D3" w:rsidRDefault="00563E5D" w:rsidP="00563E5D">
      <w:pPr>
        <w:pStyle w:val="ListParagraph"/>
        <w:numPr>
          <w:ilvl w:val="0"/>
          <w:numId w:val="3"/>
        </w:numPr>
        <w:rPr>
          <w:rFonts w:ascii="Times New Roman" w:hAnsi="Times New Roman" w:cs="Times New Roman"/>
          <w:sz w:val="24"/>
          <w:szCs w:val="24"/>
        </w:rPr>
      </w:pPr>
      <w:r w:rsidRPr="00F831D3">
        <w:rPr>
          <w:rFonts w:ascii="Times New Roman" w:hAnsi="Times New Roman" w:cs="Times New Roman"/>
          <w:sz w:val="24"/>
          <w:szCs w:val="24"/>
        </w:rPr>
        <w:t>The current incentive is too high to allow for sufficient residual benefits to cover non-incentive costs.</w:t>
      </w:r>
    </w:p>
    <w:p w:rsidR="00563E5D" w:rsidRPr="00F831D3" w:rsidRDefault="00563E5D" w:rsidP="00563E5D">
      <w:pPr>
        <w:pStyle w:val="ListParagraph"/>
        <w:numPr>
          <w:ilvl w:val="0"/>
          <w:numId w:val="3"/>
        </w:numPr>
        <w:rPr>
          <w:rFonts w:ascii="Times New Roman" w:hAnsi="Times New Roman" w:cs="Times New Roman"/>
          <w:sz w:val="24"/>
          <w:szCs w:val="24"/>
        </w:rPr>
      </w:pPr>
      <w:r w:rsidRPr="00F831D3">
        <w:rPr>
          <w:rFonts w:ascii="Times New Roman" w:hAnsi="Times New Roman" w:cs="Times New Roman"/>
          <w:sz w:val="24"/>
          <w:szCs w:val="24"/>
        </w:rPr>
        <w:t xml:space="preserve">Projects with simple paybacks in excess of 13 years </w:t>
      </w:r>
      <w:r w:rsidR="00824C84" w:rsidRPr="00F831D3">
        <w:rPr>
          <w:rFonts w:ascii="Times New Roman" w:hAnsi="Times New Roman" w:cs="Times New Roman"/>
          <w:sz w:val="24"/>
          <w:szCs w:val="24"/>
        </w:rPr>
        <w:t>and possessing</w:t>
      </w:r>
      <w:r w:rsidRPr="00F831D3">
        <w:rPr>
          <w:rFonts w:ascii="Times New Roman" w:hAnsi="Times New Roman" w:cs="Times New Roman"/>
          <w:sz w:val="24"/>
          <w:szCs w:val="24"/>
        </w:rPr>
        <w:t xml:space="preserve"> significant avoided cost value</w:t>
      </w:r>
      <w:r w:rsidR="00824C84" w:rsidRPr="00F831D3">
        <w:rPr>
          <w:rFonts w:ascii="Times New Roman" w:hAnsi="Times New Roman" w:cs="Times New Roman"/>
          <w:sz w:val="24"/>
          <w:szCs w:val="24"/>
        </w:rPr>
        <w:t xml:space="preserve"> are being excluded from the portfolio based upon their generally unfavorable (now less relevant) TRC cost-ineffectiveness.</w:t>
      </w:r>
    </w:p>
    <w:p w:rsidR="00824C84" w:rsidRPr="00F831D3" w:rsidRDefault="00824C84" w:rsidP="00563E5D">
      <w:pPr>
        <w:pStyle w:val="ListParagraph"/>
        <w:numPr>
          <w:ilvl w:val="0"/>
          <w:numId w:val="3"/>
        </w:numPr>
        <w:rPr>
          <w:rFonts w:ascii="Times New Roman" w:hAnsi="Times New Roman" w:cs="Times New Roman"/>
          <w:sz w:val="24"/>
          <w:szCs w:val="24"/>
        </w:rPr>
      </w:pPr>
      <w:r w:rsidRPr="00F831D3">
        <w:rPr>
          <w:rFonts w:ascii="Times New Roman" w:hAnsi="Times New Roman" w:cs="Times New Roman"/>
          <w:sz w:val="24"/>
          <w:szCs w:val="24"/>
        </w:rPr>
        <w:t>The minimum measure life of 10 years may be too short for the current incentive tier structure.</w:t>
      </w:r>
    </w:p>
    <w:p w:rsidR="00824C84" w:rsidRPr="00F831D3" w:rsidRDefault="00824C84" w:rsidP="008245C3">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A fourth factor was identified as being inevitably part of the optimization discussion; that of the level of non-incentive utility cost</w:t>
      </w:r>
      <w:r w:rsidR="00F363F1" w:rsidRPr="00F831D3">
        <w:rPr>
          <w:rFonts w:ascii="Times New Roman" w:hAnsi="Times New Roman" w:cs="Times New Roman"/>
          <w:sz w:val="24"/>
          <w:szCs w:val="24"/>
        </w:rPr>
        <w:t>s</w:t>
      </w:r>
      <w:r w:rsidRPr="00F831D3">
        <w:rPr>
          <w:rFonts w:ascii="Times New Roman" w:hAnsi="Times New Roman" w:cs="Times New Roman"/>
          <w:sz w:val="24"/>
          <w:szCs w:val="24"/>
        </w:rPr>
        <w:t>.  Reductions in non-incentive utility cost would benefit the UCT cost-effectiveness if they could be achieved without reducing the throughput of otherwise UCT cost-effective projects.  Reductions in non-incentive utility cost may also adversely impact relatively non-quantifiable portfolio values such as customer education and awareness that may not create an immediate measureable impact upon the portfolio but could have long-term consequences.</w:t>
      </w:r>
    </w:p>
    <w:p w:rsidR="008245C3" w:rsidRDefault="008245C3" w:rsidP="00697E05">
      <w:pPr>
        <w:spacing w:after="0" w:line="240" w:lineRule="auto"/>
        <w:rPr>
          <w:rFonts w:ascii="Times New Roman" w:hAnsi="Times New Roman" w:cs="Times New Roman"/>
          <w:sz w:val="24"/>
          <w:szCs w:val="24"/>
        </w:rPr>
      </w:pPr>
    </w:p>
    <w:p w:rsidR="00697E05" w:rsidRDefault="0022008B" w:rsidP="00697E05">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Based upon the determination that these four factors would likely be the most important tools for use in optimizing the portfolio for the gross UCT test, the Company developed a </w:t>
      </w:r>
      <w:r w:rsidR="004173FF" w:rsidRPr="00F831D3">
        <w:rPr>
          <w:rFonts w:ascii="Times New Roman" w:hAnsi="Times New Roman" w:cs="Times New Roman"/>
          <w:sz w:val="24"/>
          <w:szCs w:val="24"/>
        </w:rPr>
        <w:t xml:space="preserve">planning </w:t>
      </w:r>
      <w:r w:rsidRPr="00F831D3">
        <w:rPr>
          <w:rFonts w:ascii="Times New Roman" w:hAnsi="Times New Roman" w:cs="Times New Roman"/>
          <w:sz w:val="24"/>
          <w:szCs w:val="24"/>
        </w:rPr>
        <w:t xml:space="preserve">model allowing for the adjustment of these factors and </w:t>
      </w:r>
      <w:r w:rsidR="004173FF" w:rsidRPr="00F831D3">
        <w:rPr>
          <w:rFonts w:ascii="Times New Roman" w:hAnsi="Times New Roman" w:cs="Times New Roman"/>
          <w:sz w:val="24"/>
          <w:szCs w:val="24"/>
        </w:rPr>
        <w:t>their consequential impact upon cost-effectiveness and other characteristics.</w:t>
      </w:r>
    </w:p>
    <w:p w:rsidR="00F363F1" w:rsidRPr="00F831D3" w:rsidRDefault="00F363F1" w:rsidP="00697E05">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  </w:t>
      </w:r>
    </w:p>
    <w:p w:rsidR="00F363F1" w:rsidRDefault="00F363F1" w:rsidP="00697E05">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To maximize the clarity of the customer-facing elements of the portfolio</w:t>
      </w:r>
      <w:r w:rsidR="00697E05">
        <w:rPr>
          <w:rFonts w:ascii="Times New Roman" w:hAnsi="Times New Roman" w:cs="Times New Roman"/>
          <w:sz w:val="24"/>
          <w:szCs w:val="24"/>
        </w:rPr>
        <w:t>,</w:t>
      </w:r>
      <w:r w:rsidRPr="00F831D3">
        <w:rPr>
          <w:rFonts w:ascii="Times New Roman" w:hAnsi="Times New Roman" w:cs="Times New Roman"/>
          <w:sz w:val="24"/>
          <w:szCs w:val="24"/>
        </w:rPr>
        <w:t xml:space="preserve"> it was </w:t>
      </w:r>
      <w:r w:rsidR="00697E05">
        <w:rPr>
          <w:rFonts w:ascii="Times New Roman" w:hAnsi="Times New Roman" w:cs="Times New Roman"/>
          <w:sz w:val="24"/>
          <w:szCs w:val="24"/>
        </w:rPr>
        <w:t>determined</w:t>
      </w:r>
      <w:r w:rsidRPr="00F831D3">
        <w:rPr>
          <w:rFonts w:ascii="Times New Roman" w:hAnsi="Times New Roman" w:cs="Times New Roman"/>
          <w:sz w:val="24"/>
          <w:szCs w:val="24"/>
        </w:rPr>
        <w:t xml:space="preserve"> that the tier structure itself (the simple payback range associated with each tier) would not change given that this same structure was also used in the electric DSM portfolio.  Additionally</w:t>
      </w:r>
      <w:r w:rsidR="00FC0CC0">
        <w:rPr>
          <w:rFonts w:ascii="Times New Roman" w:hAnsi="Times New Roman" w:cs="Times New Roman"/>
          <w:sz w:val="24"/>
          <w:szCs w:val="24"/>
        </w:rPr>
        <w:t>,</w:t>
      </w:r>
      <w:r w:rsidRPr="00F831D3">
        <w:rPr>
          <w:rFonts w:ascii="Times New Roman" w:hAnsi="Times New Roman" w:cs="Times New Roman"/>
          <w:sz w:val="24"/>
          <w:szCs w:val="24"/>
        </w:rPr>
        <w:t xml:space="preserve"> it was </w:t>
      </w:r>
      <w:r w:rsidRPr="00F831D3">
        <w:rPr>
          <w:rFonts w:ascii="Times New Roman" w:hAnsi="Times New Roman" w:cs="Times New Roman"/>
          <w:sz w:val="24"/>
          <w:szCs w:val="24"/>
        </w:rPr>
        <w:lastRenderedPageBreak/>
        <w:t>believed that any revision in the incentive level should be first evaluated as a proportionate reduction across all tiers.</w:t>
      </w:r>
    </w:p>
    <w:p w:rsidR="00FC0CC0" w:rsidRPr="00F831D3" w:rsidRDefault="00FC0CC0" w:rsidP="00FC0CC0">
      <w:pPr>
        <w:spacing w:after="0" w:line="240" w:lineRule="auto"/>
        <w:jc w:val="both"/>
        <w:rPr>
          <w:rFonts w:ascii="Times New Roman" w:hAnsi="Times New Roman" w:cs="Times New Roman"/>
          <w:sz w:val="24"/>
          <w:szCs w:val="24"/>
        </w:rPr>
      </w:pPr>
    </w:p>
    <w:p w:rsidR="00FC0CC0" w:rsidRDefault="00FC0CC0" w:rsidP="00FC0C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F363F1" w:rsidRPr="00F831D3">
        <w:rPr>
          <w:rFonts w:ascii="Times New Roman" w:hAnsi="Times New Roman" w:cs="Times New Roman"/>
          <w:sz w:val="24"/>
          <w:szCs w:val="24"/>
        </w:rPr>
        <w:t xml:space="preserve">ne important characteristic of the portfolio, </w:t>
      </w:r>
      <w:r w:rsidR="004173FF" w:rsidRPr="00F831D3">
        <w:rPr>
          <w:rFonts w:ascii="Times New Roman" w:hAnsi="Times New Roman" w:cs="Times New Roman"/>
          <w:sz w:val="24"/>
          <w:szCs w:val="24"/>
        </w:rPr>
        <w:t>the projection of therm throughput</w:t>
      </w:r>
      <w:r w:rsidR="00F363F1" w:rsidRPr="00F831D3">
        <w:rPr>
          <w:rFonts w:ascii="Times New Roman" w:hAnsi="Times New Roman" w:cs="Times New Roman"/>
          <w:sz w:val="24"/>
          <w:szCs w:val="24"/>
        </w:rPr>
        <w:t xml:space="preserve">, was likely to be impacted by any adjustment in the four previously mentioned portfolio management elements.  The </w:t>
      </w:r>
      <w:r w:rsidR="004173FF" w:rsidRPr="00F831D3">
        <w:rPr>
          <w:rFonts w:ascii="Times New Roman" w:hAnsi="Times New Roman" w:cs="Times New Roman"/>
          <w:sz w:val="24"/>
          <w:szCs w:val="24"/>
        </w:rPr>
        <w:t>incentive level and the maximum permissible simple payback</w:t>
      </w:r>
      <w:r w:rsidR="00F363F1" w:rsidRPr="00F831D3">
        <w:rPr>
          <w:rFonts w:ascii="Times New Roman" w:hAnsi="Times New Roman" w:cs="Times New Roman"/>
          <w:sz w:val="24"/>
          <w:szCs w:val="24"/>
        </w:rPr>
        <w:t xml:space="preserve"> were likely to have a particular impact</w:t>
      </w:r>
      <w:r w:rsidR="004173FF" w:rsidRPr="00F831D3">
        <w:rPr>
          <w:rFonts w:ascii="Times New Roman" w:hAnsi="Times New Roman" w:cs="Times New Roman"/>
          <w:sz w:val="24"/>
          <w:szCs w:val="24"/>
        </w:rPr>
        <w:t>.  The Company rarely has the opportunity to experiment with alternative incentive levels under circumstances when other factors are not also in flux.  Previous tentative evaluations indicated an incentive elasticity of 25% (a doubling of the incentive would lead to 25% greater therm throughput).  This evaluation is many years old and based upon an increase in the electric incentives and not a decrease in the natural gas incentives.  Additionally</w:t>
      </w:r>
      <w:r>
        <w:rPr>
          <w:rFonts w:ascii="Times New Roman" w:hAnsi="Times New Roman" w:cs="Times New Roman"/>
          <w:sz w:val="24"/>
          <w:szCs w:val="24"/>
        </w:rPr>
        <w:t>,</w:t>
      </w:r>
      <w:r w:rsidR="004173FF" w:rsidRPr="00F831D3">
        <w:rPr>
          <w:rFonts w:ascii="Times New Roman" w:hAnsi="Times New Roman" w:cs="Times New Roman"/>
          <w:sz w:val="24"/>
          <w:szCs w:val="24"/>
        </w:rPr>
        <w:t xml:space="preserve"> the impact of </w:t>
      </w:r>
      <w:r w:rsidR="00F363F1" w:rsidRPr="00F831D3">
        <w:rPr>
          <w:rFonts w:ascii="Times New Roman" w:hAnsi="Times New Roman" w:cs="Times New Roman"/>
          <w:sz w:val="24"/>
          <w:szCs w:val="24"/>
        </w:rPr>
        <w:t xml:space="preserve">these revisions may be </w:t>
      </w:r>
      <w:r w:rsidR="004173FF" w:rsidRPr="00F831D3">
        <w:rPr>
          <w:rFonts w:ascii="Times New Roman" w:hAnsi="Times New Roman" w:cs="Times New Roman"/>
          <w:sz w:val="24"/>
          <w:szCs w:val="24"/>
        </w:rPr>
        <w:t>mitigated by the net-</w:t>
      </w:r>
      <w:r w:rsidR="00F363F1" w:rsidRPr="00F831D3">
        <w:rPr>
          <w:rFonts w:ascii="Times New Roman" w:hAnsi="Times New Roman" w:cs="Times New Roman"/>
          <w:sz w:val="24"/>
          <w:szCs w:val="24"/>
        </w:rPr>
        <w:t>to-gross ratio of the portfolio.</w:t>
      </w:r>
    </w:p>
    <w:p w:rsidR="004173FF" w:rsidRPr="00F831D3" w:rsidRDefault="004173FF" w:rsidP="00FC0CC0">
      <w:pPr>
        <w:spacing w:after="0" w:line="24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 </w:t>
      </w:r>
    </w:p>
    <w:p w:rsidR="00FC0CC0" w:rsidRDefault="004173FF"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It is recognized that some of the optimization scenarios may increase throughput (increasing the maximum energy simple payback) while others would reduce throughput (reducing incentives, reducing non-incentive utility cost or increasing the minimum measure life).  Depending on the final adjustments made to the portfolio</w:t>
      </w:r>
      <w:r w:rsidR="00FC0CC0">
        <w:rPr>
          <w:rFonts w:ascii="Times New Roman" w:hAnsi="Times New Roman" w:cs="Times New Roman"/>
          <w:sz w:val="24"/>
          <w:szCs w:val="24"/>
        </w:rPr>
        <w:t>,</w:t>
      </w:r>
      <w:r w:rsidRPr="00F831D3">
        <w:rPr>
          <w:rFonts w:ascii="Times New Roman" w:hAnsi="Times New Roman" w:cs="Times New Roman"/>
          <w:sz w:val="24"/>
          <w:szCs w:val="24"/>
        </w:rPr>
        <w:t xml:space="preserve"> it is possible that even the direction of the impact upon energy acquisition could be </w:t>
      </w:r>
      <w:r w:rsidR="00FC0CC0" w:rsidRPr="00F831D3">
        <w:rPr>
          <w:rFonts w:ascii="Times New Roman" w:hAnsi="Times New Roman" w:cs="Times New Roman"/>
          <w:sz w:val="24"/>
          <w:szCs w:val="24"/>
        </w:rPr>
        <w:t>indeterminate</w:t>
      </w:r>
      <w:r w:rsidRPr="00F831D3">
        <w:rPr>
          <w:rFonts w:ascii="Times New Roman" w:hAnsi="Times New Roman" w:cs="Times New Roman"/>
          <w:sz w:val="24"/>
          <w:szCs w:val="24"/>
        </w:rPr>
        <w:t>.</w:t>
      </w:r>
    </w:p>
    <w:p w:rsidR="00FC0CC0" w:rsidRPr="00F831D3" w:rsidRDefault="00FC0CC0" w:rsidP="00FC0CC0">
      <w:pPr>
        <w:spacing w:after="0" w:line="240" w:lineRule="auto"/>
        <w:jc w:val="both"/>
        <w:rPr>
          <w:rFonts w:ascii="Times New Roman" w:hAnsi="Times New Roman" w:cs="Times New Roman"/>
          <w:sz w:val="24"/>
          <w:szCs w:val="24"/>
        </w:rPr>
      </w:pPr>
    </w:p>
    <w:p w:rsidR="0022008B" w:rsidRPr="00F831D3" w:rsidRDefault="004173FF"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To further define the objective function of the planning process, it has long been Avista’s intent to maximize the </w:t>
      </w:r>
      <w:r w:rsidR="000F4E32" w:rsidRPr="00F831D3">
        <w:rPr>
          <w:rFonts w:ascii="Times New Roman" w:hAnsi="Times New Roman" w:cs="Times New Roman"/>
          <w:sz w:val="24"/>
          <w:szCs w:val="24"/>
        </w:rPr>
        <w:t xml:space="preserve">residual benefits of the portfolio (benefits less costs) rather than the </w:t>
      </w:r>
      <w:r w:rsidRPr="00F831D3">
        <w:rPr>
          <w:rFonts w:ascii="Times New Roman" w:hAnsi="Times New Roman" w:cs="Times New Roman"/>
          <w:sz w:val="24"/>
          <w:szCs w:val="24"/>
        </w:rPr>
        <w:t>benefit-to-cost ratio</w:t>
      </w:r>
      <w:r w:rsidR="000F4E32" w:rsidRPr="00F831D3">
        <w:rPr>
          <w:rFonts w:ascii="Times New Roman" w:hAnsi="Times New Roman" w:cs="Times New Roman"/>
          <w:sz w:val="24"/>
          <w:szCs w:val="24"/>
        </w:rPr>
        <w:t xml:space="preserve">.  A narrow focus on maximizing the benefit-to-cost ratio could lead to a very cost-effective but small portfolio that excludes marginally cost-effective resource opportunities.  Maximizing residual benefits encourages </w:t>
      </w:r>
      <w:r w:rsidR="00712246" w:rsidRPr="00F831D3">
        <w:rPr>
          <w:rFonts w:ascii="Times New Roman" w:hAnsi="Times New Roman" w:cs="Times New Roman"/>
          <w:sz w:val="24"/>
          <w:szCs w:val="24"/>
        </w:rPr>
        <w:t>the adoption of any measure which is incrementally cost-effective and delivers higher net benefits to customers.</w:t>
      </w:r>
    </w:p>
    <w:p w:rsidR="00FC0CC0" w:rsidRDefault="00FC0CC0" w:rsidP="00FC0CC0">
      <w:pPr>
        <w:spacing w:after="0" w:line="240" w:lineRule="auto"/>
        <w:rPr>
          <w:rFonts w:ascii="Times New Roman" w:hAnsi="Times New Roman" w:cs="Times New Roman"/>
          <w:sz w:val="24"/>
          <w:szCs w:val="24"/>
        </w:rPr>
      </w:pPr>
    </w:p>
    <w:p w:rsidR="00712246" w:rsidRDefault="00712246"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Applying all optimization factors with particular attention to the four identified above</w:t>
      </w:r>
      <w:r w:rsidR="009E5C25" w:rsidRPr="00F831D3">
        <w:rPr>
          <w:rFonts w:ascii="Times New Roman" w:hAnsi="Times New Roman" w:cs="Times New Roman"/>
          <w:sz w:val="24"/>
          <w:szCs w:val="24"/>
        </w:rPr>
        <w:t>,</w:t>
      </w:r>
      <w:r w:rsidRPr="00F831D3">
        <w:rPr>
          <w:rFonts w:ascii="Times New Roman" w:hAnsi="Times New Roman" w:cs="Times New Roman"/>
          <w:sz w:val="24"/>
          <w:szCs w:val="24"/>
        </w:rPr>
        <w:t xml:space="preserve"> the Company experimented with several scenarios with the objective to maximize the residual gross UCT benefits. </w:t>
      </w:r>
    </w:p>
    <w:p w:rsidR="00FC0CC0" w:rsidRPr="00F831D3" w:rsidRDefault="00FC0CC0" w:rsidP="00FC0CC0">
      <w:pPr>
        <w:spacing w:after="0" w:line="240" w:lineRule="auto"/>
        <w:jc w:val="both"/>
        <w:rPr>
          <w:rFonts w:ascii="Times New Roman" w:hAnsi="Times New Roman" w:cs="Times New Roman"/>
          <w:sz w:val="24"/>
          <w:szCs w:val="24"/>
        </w:rPr>
      </w:pPr>
    </w:p>
    <w:p w:rsidR="00712246" w:rsidRDefault="00712246"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It was subjectively determined that reductions to the non-incentive utility cost would lead to an unacceptable compromise in the ability to recruit projects, inform customers of their alternatives and to efficiently implement and evaluate those projects.  Based upon these conclusions no </w:t>
      </w:r>
      <w:r w:rsidRPr="00F831D3">
        <w:rPr>
          <w:rFonts w:ascii="Times New Roman" w:hAnsi="Times New Roman" w:cs="Times New Roman"/>
          <w:sz w:val="24"/>
          <w:szCs w:val="24"/>
        </w:rPr>
        <w:lastRenderedPageBreak/>
        <w:t xml:space="preserve">adjustments to the non-incentive utility costs were assumed in the plan.  A comprehensive review of the Avista DSM portfolio (included the shared electric and natural gas infrastructure) will be reviewed as part of the 2014 DSM Business Plan to be filed on </w:t>
      </w:r>
      <w:r w:rsidR="00FC0CC0">
        <w:rPr>
          <w:rFonts w:ascii="Times New Roman" w:hAnsi="Times New Roman" w:cs="Times New Roman"/>
          <w:sz w:val="24"/>
          <w:szCs w:val="24"/>
        </w:rPr>
        <w:t xml:space="preserve">or before </w:t>
      </w:r>
      <w:r w:rsidRPr="00F831D3">
        <w:rPr>
          <w:rFonts w:ascii="Times New Roman" w:hAnsi="Times New Roman" w:cs="Times New Roman"/>
          <w:sz w:val="24"/>
          <w:szCs w:val="24"/>
        </w:rPr>
        <w:t>November 1, 2013.</w:t>
      </w:r>
    </w:p>
    <w:p w:rsidR="00FC0CC0" w:rsidRPr="00F831D3" w:rsidRDefault="00FC0CC0" w:rsidP="00FC0CC0">
      <w:pPr>
        <w:spacing w:after="0" w:line="240" w:lineRule="auto"/>
        <w:jc w:val="both"/>
        <w:rPr>
          <w:rFonts w:ascii="Times New Roman" w:hAnsi="Times New Roman" w:cs="Times New Roman"/>
          <w:sz w:val="24"/>
          <w:szCs w:val="24"/>
        </w:rPr>
      </w:pPr>
    </w:p>
    <w:p w:rsidR="009F256F" w:rsidRPr="00F831D3" w:rsidRDefault="00712246"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A review of the related opportunities to adjust the </w:t>
      </w:r>
      <w:r w:rsidR="009F256F" w:rsidRPr="00F831D3">
        <w:rPr>
          <w:rFonts w:ascii="Times New Roman" w:hAnsi="Times New Roman" w:cs="Times New Roman"/>
          <w:sz w:val="24"/>
          <w:szCs w:val="24"/>
        </w:rPr>
        <w:t xml:space="preserve">ten-year </w:t>
      </w:r>
      <w:r w:rsidRPr="00F831D3">
        <w:rPr>
          <w:rFonts w:ascii="Times New Roman" w:hAnsi="Times New Roman" w:cs="Times New Roman"/>
          <w:sz w:val="24"/>
          <w:szCs w:val="24"/>
        </w:rPr>
        <w:t xml:space="preserve">minimum measure life </w:t>
      </w:r>
      <w:r w:rsidR="009F256F" w:rsidRPr="00F831D3">
        <w:rPr>
          <w:rFonts w:ascii="Times New Roman" w:hAnsi="Times New Roman" w:cs="Times New Roman"/>
          <w:sz w:val="24"/>
          <w:szCs w:val="24"/>
        </w:rPr>
        <w:t>applicable to the tiered incentive structure was found to be unnecessary if the level of the incentive itself was revised downward.  As various scenarios rapidly demonstrated such a downward modification in the incentive was necessary to optimize the UCT performance of the portfolio.  This incentive adjustment would remove the need to modify the minimum measure life necessary to be eligible for the tariffs tiered incentive structure.</w:t>
      </w:r>
    </w:p>
    <w:p w:rsidR="00FC0CC0" w:rsidRDefault="00FC0CC0" w:rsidP="00FC0CC0">
      <w:pPr>
        <w:spacing w:after="0" w:line="240" w:lineRule="auto"/>
        <w:rPr>
          <w:rFonts w:ascii="Times New Roman" w:hAnsi="Times New Roman" w:cs="Times New Roman"/>
          <w:sz w:val="24"/>
          <w:szCs w:val="24"/>
        </w:rPr>
      </w:pPr>
    </w:p>
    <w:p w:rsidR="00712246" w:rsidRDefault="009F256F"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A series of experiments and calculations of alternative incentive levels based upon various assumptions regarding incentive elasticity and the net-to-gross ratio ensued.  Th</w:t>
      </w:r>
      <w:r w:rsidR="009E5C25" w:rsidRPr="00F831D3">
        <w:rPr>
          <w:rFonts w:ascii="Times New Roman" w:hAnsi="Times New Roman" w:cs="Times New Roman"/>
          <w:sz w:val="24"/>
          <w:szCs w:val="24"/>
        </w:rPr>
        <w:t xml:space="preserve">ese calculations were </w:t>
      </w:r>
      <w:r w:rsidRPr="00F831D3">
        <w:rPr>
          <w:rFonts w:ascii="Times New Roman" w:hAnsi="Times New Roman" w:cs="Times New Roman"/>
          <w:sz w:val="24"/>
          <w:szCs w:val="24"/>
        </w:rPr>
        <w:t xml:space="preserve">performed with ample input from not only the analytical and planning staff but also from </w:t>
      </w:r>
      <w:r w:rsidR="00712246" w:rsidRPr="00F831D3">
        <w:rPr>
          <w:rFonts w:ascii="Times New Roman" w:hAnsi="Times New Roman" w:cs="Times New Roman"/>
          <w:sz w:val="24"/>
          <w:szCs w:val="24"/>
        </w:rPr>
        <w:t>program managers, field engineers</w:t>
      </w:r>
      <w:r w:rsidRPr="00F831D3">
        <w:rPr>
          <w:rFonts w:ascii="Times New Roman" w:hAnsi="Times New Roman" w:cs="Times New Roman"/>
          <w:sz w:val="24"/>
          <w:szCs w:val="24"/>
        </w:rPr>
        <w:t xml:space="preserve"> and</w:t>
      </w:r>
      <w:r w:rsidR="00712246" w:rsidRPr="00F831D3">
        <w:rPr>
          <w:rFonts w:ascii="Times New Roman" w:hAnsi="Times New Roman" w:cs="Times New Roman"/>
          <w:sz w:val="24"/>
          <w:szCs w:val="24"/>
        </w:rPr>
        <w:t xml:space="preserve"> account executives</w:t>
      </w:r>
      <w:r w:rsidRPr="00F831D3">
        <w:rPr>
          <w:rFonts w:ascii="Times New Roman" w:hAnsi="Times New Roman" w:cs="Times New Roman"/>
          <w:sz w:val="24"/>
          <w:szCs w:val="24"/>
        </w:rPr>
        <w:t xml:space="preserve">.  This process concluded with a </w:t>
      </w:r>
      <w:r w:rsidR="00712246" w:rsidRPr="00F831D3">
        <w:rPr>
          <w:rFonts w:ascii="Times New Roman" w:hAnsi="Times New Roman" w:cs="Times New Roman"/>
          <w:sz w:val="24"/>
          <w:szCs w:val="24"/>
        </w:rPr>
        <w:t>consensus for a</w:t>
      </w:r>
      <w:r w:rsidRPr="00F831D3">
        <w:rPr>
          <w:rFonts w:ascii="Times New Roman" w:hAnsi="Times New Roman" w:cs="Times New Roman"/>
          <w:sz w:val="24"/>
          <w:szCs w:val="24"/>
        </w:rPr>
        <w:t xml:space="preserve"> 33% </w:t>
      </w:r>
      <w:r w:rsidR="00712246" w:rsidRPr="00F831D3">
        <w:rPr>
          <w:rFonts w:ascii="Times New Roman" w:hAnsi="Times New Roman" w:cs="Times New Roman"/>
          <w:sz w:val="24"/>
          <w:szCs w:val="24"/>
        </w:rPr>
        <w:t>reduction in the incentive level (across all tiers) as</w:t>
      </w:r>
      <w:r w:rsidRPr="00F831D3">
        <w:rPr>
          <w:rFonts w:ascii="Times New Roman" w:hAnsi="Times New Roman" w:cs="Times New Roman"/>
          <w:sz w:val="24"/>
          <w:szCs w:val="24"/>
        </w:rPr>
        <w:t xml:space="preserve"> the best </w:t>
      </w:r>
      <w:r w:rsidR="00712246" w:rsidRPr="00F831D3">
        <w:rPr>
          <w:rFonts w:ascii="Times New Roman" w:hAnsi="Times New Roman" w:cs="Times New Roman"/>
          <w:sz w:val="24"/>
          <w:szCs w:val="24"/>
        </w:rPr>
        <w:t>compromise</w:t>
      </w:r>
      <w:r w:rsidR="00740999" w:rsidRPr="00F831D3">
        <w:rPr>
          <w:rFonts w:ascii="Times New Roman" w:hAnsi="Times New Roman" w:cs="Times New Roman"/>
          <w:sz w:val="24"/>
          <w:szCs w:val="24"/>
        </w:rPr>
        <w:t xml:space="preserve"> between cost-effectiveness, acquisition objectives</w:t>
      </w:r>
      <w:r w:rsidRPr="00F831D3">
        <w:rPr>
          <w:rFonts w:ascii="Times New Roman" w:hAnsi="Times New Roman" w:cs="Times New Roman"/>
          <w:sz w:val="24"/>
          <w:szCs w:val="24"/>
        </w:rPr>
        <w:t>, returning a reasonable percentage of utility cost to customers in the form of incentives</w:t>
      </w:r>
      <w:r w:rsidR="00740999" w:rsidRPr="00F831D3">
        <w:rPr>
          <w:rFonts w:ascii="Times New Roman" w:hAnsi="Times New Roman" w:cs="Times New Roman"/>
          <w:sz w:val="24"/>
          <w:szCs w:val="24"/>
        </w:rPr>
        <w:t xml:space="preserve"> and responsibly managing the net-to-gross relationship.  </w:t>
      </w:r>
    </w:p>
    <w:p w:rsidR="00FC0CC0" w:rsidRPr="00F831D3" w:rsidRDefault="00FC0CC0" w:rsidP="00FC0CC0">
      <w:pPr>
        <w:spacing w:after="0" w:line="240" w:lineRule="auto"/>
        <w:jc w:val="both"/>
        <w:rPr>
          <w:rFonts w:ascii="Times New Roman" w:hAnsi="Times New Roman" w:cs="Times New Roman"/>
          <w:sz w:val="24"/>
          <w:szCs w:val="24"/>
        </w:rPr>
      </w:pPr>
    </w:p>
    <w:p w:rsidR="00740999" w:rsidRDefault="00740999"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Various </w:t>
      </w:r>
      <w:r w:rsidR="009F256F" w:rsidRPr="00F831D3">
        <w:rPr>
          <w:rFonts w:ascii="Times New Roman" w:hAnsi="Times New Roman" w:cs="Times New Roman"/>
          <w:sz w:val="24"/>
          <w:szCs w:val="24"/>
        </w:rPr>
        <w:t xml:space="preserve">scenarios establishing different (higher) </w:t>
      </w:r>
      <w:r w:rsidRPr="00F831D3">
        <w:rPr>
          <w:rFonts w:ascii="Times New Roman" w:hAnsi="Times New Roman" w:cs="Times New Roman"/>
          <w:sz w:val="24"/>
          <w:szCs w:val="24"/>
        </w:rPr>
        <w:t xml:space="preserve">maximum simple paybacks </w:t>
      </w:r>
      <w:r w:rsidR="009F256F" w:rsidRPr="00F831D3">
        <w:rPr>
          <w:rFonts w:ascii="Times New Roman" w:hAnsi="Times New Roman" w:cs="Times New Roman"/>
          <w:sz w:val="24"/>
          <w:szCs w:val="24"/>
        </w:rPr>
        <w:t>for incentive eligibility were also evaluated</w:t>
      </w:r>
      <w:r w:rsidRPr="00F831D3">
        <w:rPr>
          <w:rFonts w:ascii="Times New Roman" w:hAnsi="Times New Roman" w:cs="Times New Roman"/>
          <w:sz w:val="24"/>
          <w:szCs w:val="24"/>
        </w:rPr>
        <w:t xml:space="preserve">.  These long simple payback projects that are very likely to be cost-ineffective from a TRC standpoint do </w:t>
      </w:r>
      <w:r w:rsidR="009F256F" w:rsidRPr="00F831D3">
        <w:rPr>
          <w:rFonts w:ascii="Times New Roman" w:hAnsi="Times New Roman" w:cs="Times New Roman"/>
          <w:sz w:val="24"/>
          <w:szCs w:val="24"/>
        </w:rPr>
        <w:t xml:space="preserve">nevertheless contain </w:t>
      </w:r>
      <w:r w:rsidRPr="00F831D3">
        <w:rPr>
          <w:rFonts w:ascii="Times New Roman" w:hAnsi="Times New Roman" w:cs="Times New Roman"/>
          <w:sz w:val="24"/>
          <w:szCs w:val="24"/>
        </w:rPr>
        <w:t xml:space="preserve">an avoided cost value.  When one disregards the incremental cost that the customer invests in the project (as is the case when the UCT test is applied) and substitutes the cost of the utility incentive it is possible to redefine these projects </w:t>
      </w:r>
      <w:r w:rsidR="009F256F" w:rsidRPr="00F831D3">
        <w:rPr>
          <w:rFonts w:ascii="Times New Roman" w:hAnsi="Times New Roman" w:cs="Times New Roman"/>
          <w:sz w:val="24"/>
          <w:szCs w:val="24"/>
        </w:rPr>
        <w:t xml:space="preserve">in a UCT </w:t>
      </w:r>
      <w:r w:rsidRPr="00F831D3">
        <w:rPr>
          <w:rFonts w:ascii="Times New Roman" w:hAnsi="Times New Roman" w:cs="Times New Roman"/>
          <w:sz w:val="24"/>
          <w:szCs w:val="24"/>
        </w:rPr>
        <w:t>cost-effective</w:t>
      </w:r>
      <w:r w:rsidR="009F256F" w:rsidRPr="00F831D3">
        <w:rPr>
          <w:rFonts w:ascii="Times New Roman" w:hAnsi="Times New Roman" w:cs="Times New Roman"/>
          <w:sz w:val="24"/>
          <w:szCs w:val="24"/>
        </w:rPr>
        <w:t xml:space="preserve"> manner</w:t>
      </w:r>
      <w:r w:rsidRPr="00F831D3">
        <w:rPr>
          <w:rFonts w:ascii="Times New Roman" w:hAnsi="Times New Roman" w:cs="Times New Roman"/>
          <w:sz w:val="24"/>
          <w:szCs w:val="24"/>
        </w:rPr>
        <w:t xml:space="preserve">.  </w:t>
      </w:r>
      <w:r w:rsidR="009F256F" w:rsidRPr="00F831D3">
        <w:rPr>
          <w:rFonts w:ascii="Times New Roman" w:hAnsi="Times New Roman" w:cs="Times New Roman"/>
          <w:sz w:val="24"/>
          <w:szCs w:val="24"/>
        </w:rPr>
        <w:t xml:space="preserve">Applying a 33% reduction to all incentive levels created an environment where these projects favorably contributed to the portfolio UCT cost-effectiveness.  Lifting </w:t>
      </w:r>
      <w:r w:rsidRPr="00F831D3">
        <w:rPr>
          <w:rFonts w:ascii="Times New Roman" w:hAnsi="Times New Roman" w:cs="Times New Roman"/>
          <w:sz w:val="24"/>
          <w:szCs w:val="24"/>
        </w:rPr>
        <w:t xml:space="preserve">the </w:t>
      </w:r>
      <w:r w:rsidR="009F256F" w:rsidRPr="00F831D3">
        <w:rPr>
          <w:rFonts w:ascii="Times New Roman" w:hAnsi="Times New Roman" w:cs="Times New Roman"/>
          <w:sz w:val="24"/>
          <w:szCs w:val="24"/>
        </w:rPr>
        <w:t>maximum current en</w:t>
      </w:r>
      <w:r w:rsidRPr="00F831D3">
        <w:rPr>
          <w:rFonts w:ascii="Times New Roman" w:hAnsi="Times New Roman" w:cs="Times New Roman"/>
          <w:sz w:val="24"/>
          <w:szCs w:val="24"/>
        </w:rPr>
        <w:t xml:space="preserve">ergy simple payback </w:t>
      </w:r>
      <w:r w:rsidR="009F256F" w:rsidRPr="00F831D3">
        <w:rPr>
          <w:rFonts w:ascii="Times New Roman" w:hAnsi="Times New Roman" w:cs="Times New Roman"/>
          <w:sz w:val="24"/>
          <w:szCs w:val="24"/>
        </w:rPr>
        <w:t xml:space="preserve">criteria for incentive eligibility led to increased portfolio </w:t>
      </w:r>
      <w:r w:rsidRPr="00F831D3">
        <w:rPr>
          <w:rFonts w:ascii="Times New Roman" w:hAnsi="Times New Roman" w:cs="Times New Roman"/>
          <w:sz w:val="24"/>
          <w:szCs w:val="24"/>
        </w:rPr>
        <w:t xml:space="preserve">UCT cost-effectiveness </w:t>
      </w:r>
      <w:r w:rsidR="009F256F" w:rsidRPr="00F831D3">
        <w:rPr>
          <w:rFonts w:ascii="Times New Roman" w:hAnsi="Times New Roman" w:cs="Times New Roman"/>
          <w:sz w:val="24"/>
          <w:szCs w:val="24"/>
        </w:rPr>
        <w:t xml:space="preserve">while increasing therm acquisition and the number of customers served.  It is likely that the favorable influence of eliminating the simple payback has been underestimated since these projects have not been marketed in the </w:t>
      </w:r>
      <w:r w:rsidR="009F256F" w:rsidRPr="00F831D3">
        <w:rPr>
          <w:rFonts w:ascii="Times New Roman" w:hAnsi="Times New Roman" w:cs="Times New Roman"/>
          <w:sz w:val="24"/>
          <w:szCs w:val="24"/>
        </w:rPr>
        <w:lastRenderedPageBreak/>
        <w:t>recent past and may</w:t>
      </w:r>
      <w:r w:rsidR="00FC0CC0">
        <w:rPr>
          <w:rFonts w:ascii="Times New Roman" w:hAnsi="Times New Roman" w:cs="Times New Roman"/>
          <w:sz w:val="24"/>
          <w:szCs w:val="24"/>
        </w:rPr>
        <w:t>,</w:t>
      </w:r>
      <w:r w:rsidR="009F256F" w:rsidRPr="00F831D3">
        <w:rPr>
          <w:rFonts w:ascii="Times New Roman" w:hAnsi="Times New Roman" w:cs="Times New Roman"/>
          <w:sz w:val="24"/>
          <w:szCs w:val="24"/>
        </w:rPr>
        <w:t xml:space="preserve"> therefore</w:t>
      </w:r>
      <w:r w:rsidR="00FC0CC0">
        <w:rPr>
          <w:rFonts w:ascii="Times New Roman" w:hAnsi="Times New Roman" w:cs="Times New Roman"/>
          <w:sz w:val="24"/>
          <w:szCs w:val="24"/>
        </w:rPr>
        <w:t>,</w:t>
      </w:r>
      <w:r w:rsidR="009F256F" w:rsidRPr="00F831D3">
        <w:rPr>
          <w:rFonts w:ascii="Times New Roman" w:hAnsi="Times New Roman" w:cs="Times New Roman"/>
          <w:sz w:val="24"/>
          <w:szCs w:val="24"/>
        </w:rPr>
        <w:t xml:space="preserve"> be underrepresented within the updated portfolio mix.  (“Legacy” projects eligible prior to the imposition of the simple payback maximum were retained in the portfolio mix used for purposes of this planning exercise).</w:t>
      </w:r>
    </w:p>
    <w:p w:rsidR="00FC0CC0" w:rsidRPr="00F831D3" w:rsidRDefault="00FC0CC0" w:rsidP="00FC0CC0">
      <w:pPr>
        <w:spacing w:after="0" w:line="240" w:lineRule="auto"/>
        <w:jc w:val="both"/>
        <w:rPr>
          <w:rFonts w:ascii="Times New Roman" w:hAnsi="Times New Roman" w:cs="Times New Roman"/>
          <w:sz w:val="24"/>
          <w:szCs w:val="24"/>
        </w:rPr>
      </w:pPr>
    </w:p>
    <w:p w:rsidR="00740999" w:rsidRPr="00F831D3" w:rsidRDefault="00740999" w:rsidP="00FC0CC0">
      <w:pPr>
        <w:spacing w:after="0" w:line="360" w:lineRule="auto"/>
        <w:rPr>
          <w:rFonts w:ascii="Times New Roman" w:hAnsi="Times New Roman" w:cs="Times New Roman"/>
          <w:sz w:val="24"/>
          <w:szCs w:val="24"/>
        </w:rPr>
      </w:pPr>
      <w:r w:rsidRPr="00F831D3">
        <w:rPr>
          <w:rFonts w:ascii="Times New Roman" w:hAnsi="Times New Roman" w:cs="Times New Roman"/>
          <w:sz w:val="24"/>
          <w:szCs w:val="24"/>
        </w:rPr>
        <w:t xml:space="preserve">Applying </w:t>
      </w:r>
      <w:r w:rsidR="009F256F" w:rsidRPr="00F831D3">
        <w:rPr>
          <w:rFonts w:ascii="Times New Roman" w:hAnsi="Times New Roman" w:cs="Times New Roman"/>
          <w:sz w:val="24"/>
          <w:szCs w:val="24"/>
        </w:rPr>
        <w:t xml:space="preserve">the consensus 33% </w:t>
      </w:r>
      <w:r w:rsidRPr="00F831D3">
        <w:rPr>
          <w:rFonts w:ascii="Times New Roman" w:hAnsi="Times New Roman" w:cs="Times New Roman"/>
          <w:sz w:val="24"/>
          <w:szCs w:val="24"/>
        </w:rPr>
        <w:t xml:space="preserve">reduction in the incentive tiers and the elimination of any simple payback maximum from the tariff requirements leads to the program revisions represented in the </w:t>
      </w:r>
      <w:r w:rsidR="00FC0CC0">
        <w:rPr>
          <w:rFonts w:ascii="Times New Roman" w:hAnsi="Times New Roman" w:cs="Times New Roman"/>
          <w:sz w:val="24"/>
          <w:szCs w:val="24"/>
        </w:rPr>
        <w:t>illustration</w:t>
      </w:r>
      <w:r w:rsidRPr="00F831D3">
        <w:rPr>
          <w:rFonts w:ascii="Times New Roman" w:hAnsi="Times New Roman" w:cs="Times New Roman"/>
          <w:sz w:val="24"/>
          <w:szCs w:val="24"/>
        </w:rPr>
        <w:t xml:space="preserve"> below:</w:t>
      </w:r>
    </w:p>
    <w:p w:rsidR="00357CD9" w:rsidRPr="00F831D3" w:rsidRDefault="00357CD9" w:rsidP="00BE48E3">
      <w:pPr>
        <w:rPr>
          <w:rFonts w:ascii="Times New Roman" w:hAnsi="Times New Roman" w:cs="Times New Roman"/>
          <w:sz w:val="24"/>
          <w:szCs w:val="24"/>
        </w:rPr>
      </w:pPr>
    </w:p>
    <w:p w:rsidR="00740999" w:rsidRPr="00F831D3" w:rsidRDefault="00FC0CC0" w:rsidP="00BE48E3">
      <w:pPr>
        <w:rPr>
          <w:rFonts w:ascii="Times New Roman" w:hAnsi="Times New Roman" w:cs="Times New Roman"/>
          <w:sz w:val="24"/>
          <w:szCs w:val="24"/>
        </w:rPr>
      </w:pPr>
      <w:r>
        <w:rPr>
          <w:rFonts w:ascii="Times New Roman" w:hAnsi="Times New Roman" w:cs="Times New Roman"/>
          <w:sz w:val="24"/>
          <w:szCs w:val="24"/>
          <w:u w:val="single"/>
        </w:rPr>
        <w:t>Illustration No. 2</w:t>
      </w:r>
      <w:r w:rsidR="00740999" w:rsidRPr="00F831D3">
        <w:rPr>
          <w:rFonts w:ascii="Times New Roman" w:hAnsi="Times New Roman" w:cs="Times New Roman"/>
          <w:sz w:val="24"/>
          <w:szCs w:val="24"/>
        </w:rPr>
        <w:t xml:space="preserve">: </w:t>
      </w:r>
      <w:r>
        <w:rPr>
          <w:rFonts w:ascii="Times New Roman" w:hAnsi="Times New Roman" w:cs="Times New Roman"/>
          <w:sz w:val="24"/>
          <w:szCs w:val="24"/>
        </w:rPr>
        <w:t>R</w:t>
      </w:r>
      <w:r w:rsidR="00740999" w:rsidRPr="00F831D3">
        <w:rPr>
          <w:rFonts w:ascii="Times New Roman" w:hAnsi="Times New Roman" w:cs="Times New Roman"/>
          <w:sz w:val="24"/>
          <w:szCs w:val="24"/>
        </w:rPr>
        <w:t>evisions to incentive levels and simple payback maximum tariff criteria</w:t>
      </w:r>
    </w:p>
    <w:p w:rsidR="00AE7B89" w:rsidRDefault="0022008B" w:rsidP="00BE48E3">
      <w:pPr>
        <w:rPr>
          <w:sz w:val="24"/>
          <w:szCs w:val="24"/>
        </w:rPr>
      </w:pPr>
      <w:r>
        <w:rPr>
          <w:noProof/>
        </w:rPr>
        <w:drawing>
          <wp:inline distT="0" distB="0" distL="0" distR="0">
            <wp:extent cx="6108970" cy="3190672"/>
            <wp:effectExtent l="0" t="0" r="2540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24C84">
        <w:rPr>
          <w:sz w:val="24"/>
          <w:szCs w:val="24"/>
        </w:rPr>
        <w:t xml:space="preserve"> </w:t>
      </w:r>
    </w:p>
    <w:p w:rsidR="008350FA" w:rsidRPr="00F831D3" w:rsidRDefault="008350FA" w:rsidP="00BE48E3">
      <w:pPr>
        <w:rPr>
          <w:rFonts w:ascii="Times New Roman" w:hAnsi="Times New Roman" w:cs="Times New Roman"/>
          <w:sz w:val="24"/>
          <w:szCs w:val="24"/>
        </w:rPr>
      </w:pPr>
      <w:r w:rsidRPr="00F831D3">
        <w:rPr>
          <w:rFonts w:ascii="Times New Roman" w:hAnsi="Times New Roman" w:cs="Times New Roman"/>
          <w:sz w:val="24"/>
          <w:szCs w:val="24"/>
          <w:u w:val="single"/>
        </w:rPr>
        <w:t xml:space="preserve">Table </w:t>
      </w:r>
      <w:r w:rsidR="00AE264C" w:rsidRPr="00F831D3">
        <w:rPr>
          <w:rFonts w:ascii="Times New Roman" w:hAnsi="Times New Roman" w:cs="Times New Roman"/>
          <w:sz w:val="24"/>
          <w:szCs w:val="24"/>
          <w:u w:val="single"/>
        </w:rPr>
        <w:t>3</w:t>
      </w:r>
      <w:r w:rsidRPr="00F831D3">
        <w:rPr>
          <w:rFonts w:ascii="Times New Roman" w:hAnsi="Times New Roman" w:cs="Times New Roman"/>
          <w:sz w:val="24"/>
          <w:szCs w:val="24"/>
        </w:rPr>
        <w:t xml:space="preserve">: </w:t>
      </w:r>
      <w:r w:rsidR="00C56156" w:rsidRPr="00F831D3">
        <w:rPr>
          <w:rFonts w:ascii="Times New Roman" w:hAnsi="Times New Roman" w:cs="Times New Roman"/>
          <w:sz w:val="24"/>
          <w:szCs w:val="24"/>
        </w:rPr>
        <w:t>Existing and proposed Schedule 190 incentive levels</w:t>
      </w:r>
    </w:p>
    <w:p w:rsidR="00C56156" w:rsidRPr="00F831D3" w:rsidRDefault="00C56156" w:rsidP="00C56156">
      <w:pPr>
        <w:tabs>
          <w:tab w:val="right" w:pos="2520"/>
          <w:tab w:val="center" w:pos="4050"/>
          <w:tab w:val="center" w:pos="6210"/>
          <w:tab w:val="center" w:pos="6480"/>
          <w:tab w:val="center"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Energy Simple Payback</w:t>
      </w:r>
      <w:r w:rsidRPr="00F831D3">
        <w:rPr>
          <w:rFonts w:ascii="Times New Roman" w:hAnsi="Times New Roman" w:cs="Times New Roman"/>
          <w:sz w:val="24"/>
          <w:szCs w:val="24"/>
        </w:rPr>
        <w:tab/>
        <w:t xml:space="preserve">Existing </w:t>
      </w:r>
      <w:proofErr w:type="spellStart"/>
      <w:r w:rsidRPr="00F831D3">
        <w:rPr>
          <w:rFonts w:ascii="Times New Roman" w:hAnsi="Times New Roman" w:cs="Times New Roman"/>
          <w:sz w:val="24"/>
          <w:szCs w:val="24"/>
        </w:rPr>
        <w:t>Sch</w:t>
      </w:r>
      <w:proofErr w:type="spellEnd"/>
      <w:r w:rsidRPr="00F831D3">
        <w:rPr>
          <w:rFonts w:ascii="Times New Roman" w:hAnsi="Times New Roman" w:cs="Times New Roman"/>
          <w:sz w:val="24"/>
          <w:szCs w:val="24"/>
        </w:rPr>
        <w:t xml:space="preserve"> 190</w:t>
      </w:r>
      <w:r w:rsidRPr="00F831D3">
        <w:rPr>
          <w:rFonts w:ascii="Times New Roman" w:hAnsi="Times New Roman" w:cs="Times New Roman"/>
          <w:sz w:val="24"/>
          <w:szCs w:val="24"/>
        </w:rPr>
        <w:tab/>
        <w:t xml:space="preserve">Proposed </w:t>
      </w:r>
      <w:proofErr w:type="spellStart"/>
      <w:r w:rsidRPr="00F831D3">
        <w:rPr>
          <w:rFonts w:ascii="Times New Roman" w:hAnsi="Times New Roman" w:cs="Times New Roman"/>
          <w:sz w:val="24"/>
          <w:szCs w:val="24"/>
        </w:rPr>
        <w:t>Sch</w:t>
      </w:r>
      <w:proofErr w:type="spellEnd"/>
      <w:r w:rsidRPr="00F831D3">
        <w:rPr>
          <w:rFonts w:ascii="Times New Roman" w:hAnsi="Times New Roman" w:cs="Times New Roman"/>
          <w:sz w:val="24"/>
          <w:szCs w:val="24"/>
        </w:rPr>
        <w:t xml:space="preserve"> 190</w:t>
      </w:r>
      <w:r w:rsidRPr="00F831D3">
        <w:rPr>
          <w:rFonts w:ascii="Times New Roman" w:hAnsi="Times New Roman" w:cs="Times New Roman"/>
          <w:sz w:val="24"/>
          <w:szCs w:val="24"/>
        </w:rPr>
        <w:tab/>
        <w:t>% change</w:t>
      </w:r>
    </w:p>
    <w:p w:rsidR="00C56156" w:rsidRPr="00F831D3" w:rsidRDefault="00C56156" w:rsidP="00C56156">
      <w:pPr>
        <w:tabs>
          <w:tab w:val="right" w:pos="2520"/>
          <w:tab w:val="center" w:pos="4590"/>
          <w:tab w:val="decimal" w:pos="6030"/>
          <w:tab w:val="decimal"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Under 1 year</w:t>
      </w:r>
      <w:r w:rsidRPr="00F831D3">
        <w:rPr>
          <w:rFonts w:ascii="Times New Roman" w:hAnsi="Times New Roman" w:cs="Times New Roman"/>
          <w:sz w:val="24"/>
          <w:szCs w:val="24"/>
        </w:rPr>
        <w:tab/>
        <w:t>$0.00</w:t>
      </w:r>
      <w:r w:rsidRPr="00F831D3">
        <w:rPr>
          <w:rFonts w:ascii="Times New Roman" w:hAnsi="Times New Roman" w:cs="Times New Roman"/>
          <w:sz w:val="24"/>
          <w:szCs w:val="24"/>
        </w:rPr>
        <w:tab/>
        <w:t>$0.00</w:t>
      </w:r>
      <w:r w:rsidRPr="00F831D3">
        <w:rPr>
          <w:rFonts w:ascii="Times New Roman" w:hAnsi="Times New Roman" w:cs="Times New Roman"/>
          <w:sz w:val="24"/>
          <w:szCs w:val="24"/>
        </w:rPr>
        <w:tab/>
        <w:t>0%</w:t>
      </w:r>
    </w:p>
    <w:p w:rsidR="00C56156" w:rsidRPr="00F831D3" w:rsidRDefault="00C56156" w:rsidP="00C56156">
      <w:pPr>
        <w:tabs>
          <w:tab w:val="right" w:pos="2520"/>
          <w:tab w:val="center" w:pos="4590"/>
          <w:tab w:val="decimal" w:pos="6030"/>
          <w:tab w:val="decimal"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1 to 2 years</w:t>
      </w:r>
      <w:r w:rsidRPr="00F831D3">
        <w:rPr>
          <w:rFonts w:ascii="Times New Roman" w:hAnsi="Times New Roman" w:cs="Times New Roman"/>
          <w:sz w:val="24"/>
          <w:szCs w:val="24"/>
        </w:rPr>
        <w:tab/>
        <w:t>$2.00</w:t>
      </w:r>
      <w:r w:rsidRPr="00F831D3">
        <w:rPr>
          <w:rFonts w:ascii="Times New Roman" w:hAnsi="Times New Roman" w:cs="Times New Roman"/>
          <w:sz w:val="24"/>
          <w:szCs w:val="24"/>
        </w:rPr>
        <w:tab/>
        <w:t>$1.30</w:t>
      </w:r>
      <w:r w:rsidRPr="00F831D3">
        <w:rPr>
          <w:rFonts w:ascii="Times New Roman" w:hAnsi="Times New Roman" w:cs="Times New Roman"/>
          <w:sz w:val="24"/>
          <w:szCs w:val="24"/>
        </w:rPr>
        <w:tab/>
        <w:t>-35%</w:t>
      </w:r>
    </w:p>
    <w:p w:rsidR="00C56156" w:rsidRPr="00F831D3" w:rsidRDefault="00C56156" w:rsidP="00C56156">
      <w:pPr>
        <w:tabs>
          <w:tab w:val="right" w:pos="2520"/>
          <w:tab w:val="center" w:pos="4590"/>
          <w:tab w:val="decimal" w:pos="6030"/>
          <w:tab w:val="decimal"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2 to 4 years</w:t>
      </w:r>
      <w:r w:rsidRPr="00F831D3">
        <w:rPr>
          <w:rFonts w:ascii="Times New Roman" w:hAnsi="Times New Roman" w:cs="Times New Roman"/>
          <w:sz w:val="24"/>
          <w:szCs w:val="24"/>
        </w:rPr>
        <w:tab/>
        <w:t>$2.50</w:t>
      </w:r>
      <w:r w:rsidRPr="00F831D3">
        <w:rPr>
          <w:rFonts w:ascii="Times New Roman" w:hAnsi="Times New Roman" w:cs="Times New Roman"/>
          <w:sz w:val="24"/>
          <w:szCs w:val="24"/>
        </w:rPr>
        <w:tab/>
        <w:t>$1.70</w:t>
      </w:r>
      <w:r w:rsidRPr="00F831D3">
        <w:rPr>
          <w:rFonts w:ascii="Times New Roman" w:hAnsi="Times New Roman" w:cs="Times New Roman"/>
          <w:sz w:val="24"/>
          <w:szCs w:val="24"/>
        </w:rPr>
        <w:tab/>
        <w:t>-32%</w:t>
      </w:r>
    </w:p>
    <w:p w:rsidR="00C56156" w:rsidRPr="00F831D3" w:rsidRDefault="00C56156" w:rsidP="00C56156">
      <w:pPr>
        <w:tabs>
          <w:tab w:val="right" w:pos="2520"/>
          <w:tab w:val="center" w:pos="4590"/>
          <w:tab w:val="decimal" w:pos="6030"/>
          <w:tab w:val="decimal"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4 to 6 years</w:t>
      </w:r>
      <w:r w:rsidRPr="00F831D3">
        <w:rPr>
          <w:rFonts w:ascii="Times New Roman" w:hAnsi="Times New Roman" w:cs="Times New Roman"/>
          <w:sz w:val="24"/>
          <w:szCs w:val="24"/>
        </w:rPr>
        <w:tab/>
        <w:t>$3.00</w:t>
      </w:r>
      <w:r w:rsidRPr="00F831D3">
        <w:rPr>
          <w:rFonts w:ascii="Times New Roman" w:hAnsi="Times New Roman" w:cs="Times New Roman"/>
          <w:sz w:val="24"/>
          <w:szCs w:val="24"/>
        </w:rPr>
        <w:tab/>
        <w:t>$2.00</w:t>
      </w:r>
      <w:r w:rsidRPr="00F831D3">
        <w:rPr>
          <w:rFonts w:ascii="Times New Roman" w:hAnsi="Times New Roman" w:cs="Times New Roman"/>
          <w:sz w:val="24"/>
          <w:szCs w:val="24"/>
        </w:rPr>
        <w:tab/>
        <w:t>-33%</w:t>
      </w:r>
    </w:p>
    <w:p w:rsidR="00C56156" w:rsidRPr="00F831D3" w:rsidRDefault="00C56156" w:rsidP="00C56156">
      <w:pPr>
        <w:tabs>
          <w:tab w:val="right" w:pos="2520"/>
          <w:tab w:val="center" w:pos="4590"/>
          <w:tab w:val="decimal" w:pos="6030"/>
          <w:tab w:val="decimal" w:pos="819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6 to 13 years</w:t>
      </w:r>
      <w:r w:rsidRPr="00F831D3">
        <w:rPr>
          <w:rFonts w:ascii="Times New Roman" w:hAnsi="Times New Roman" w:cs="Times New Roman"/>
          <w:sz w:val="24"/>
          <w:szCs w:val="24"/>
        </w:rPr>
        <w:tab/>
        <w:t>$3.50</w:t>
      </w:r>
      <w:r w:rsidRPr="00F831D3">
        <w:rPr>
          <w:rFonts w:ascii="Times New Roman" w:hAnsi="Times New Roman" w:cs="Times New Roman"/>
          <w:sz w:val="24"/>
          <w:szCs w:val="24"/>
        </w:rPr>
        <w:tab/>
        <w:t>$2.30</w:t>
      </w:r>
      <w:r w:rsidRPr="00F831D3">
        <w:rPr>
          <w:rFonts w:ascii="Times New Roman" w:hAnsi="Times New Roman" w:cs="Times New Roman"/>
          <w:sz w:val="24"/>
          <w:szCs w:val="24"/>
        </w:rPr>
        <w:tab/>
        <w:t>-34%</w:t>
      </w:r>
    </w:p>
    <w:p w:rsidR="00C56156" w:rsidRPr="00F831D3" w:rsidRDefault="00C56156" w:rsidP="00C56156">
      <w:pPr>
        <w:tabs>
          <w:tab w:val="right" w:pos="2520"/>
          <w:tab w:val="center" w:pos="4590"/>
          <w:tab w:val="decimal" w:pos="6030"/>
          <w:tab w:val="center" w:pos="8100"/>
        </w:tabs>
        <w:spacing w:after="0" w:line="240" w:lineRule="auto"/>
        <w:ind w:left="360"/>
        <w:rPr>
          <w:rFonts w:ascii="Times New Roman" w:hAnsi="Times New Roman" w:cs="Times New Roman"/>
          <w:sz w:val="24"/>
          <w:szCs w:val="24"/>
        </w:rPr>
      </w:pPr>
      <w:r w:rsidRPr="00F831D3">
        <w:rPr>
          <w:rFonts w:ascii="Times New Roman" w:hAnsi="Times New Roman" w:cs="Times New Roman"/>
          <w:sz w:val="24"/>
          <w:szCs w:val="24"/>
        </w:rPr>
        <w:tab/>
        <w:t>Over 13 years</w:t>
      </w:r>
      <w:r w:rsidRPr="00F831D3">
        <w:rPr>
          <w:rFonts w:ascii="Times New Roman" w:hAnsi="Times New Roman" w:cs="Times New Roman"/>
          <w:sz w:val="24"/>
          <w:szCs w:val="24"/>
        </w:rPr>
        <w:tab/>
        <w:t>$0.00</w:t>
      </w:r>
      <w:r w:rsidRPr="00F831D3">
        <w:rPr>
          <w:rFonts w:ascii="Times New Roman" w:hAnsi="Times New Roman" w:cs="Times New Roman"/>
          <w:sz w:val="24"/>
          <w:szCs w:val="24"/>
        </w:rPr>
        <w:tab/>
        <w:t>$2.30</w:t>
      </w:r>
      <w:r w:rsidRPr="00F831D3">
        <w:rPr>
          <w:rFonts w:ascii="Times New Roman" w:hAnsi="Times New Roman" w:cs="Times New Roman"/>
          <w:sz w:val="24"/>
          <w:szCs w:val="24"/>
        </w:rPr>
        <w:tab/>
        <w:t>+ NA %</w:t>
      </w:r>
    </w:p>
    <w:p w:rsidR="00C56156" w:rsidRPr="00F831D3" w:rsidRDefault="00C56156" w:rsidP="00BE48E3">
      <w:pPr>
        <w:rPr>
          <w:rFonts w:ascii="Times New Roman" w:hAnsi="Times New Roman" w:cs="Times New Roman"/>
          <w:sz w:val="24"/>
          <w:szCs w:val="24"/>
        </w:rPr>
      </w:pPr>
    </w:p>
    <w:p w:rsidR="00740999" w:rsidRDefault="00740999"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lastRenderedPageBreak/>
        <w:t>When translated to the actual tariffed incentives</w:t>
      </w:r>
      <w:r w:rsidR="00FC0CC0">
        <w:rPr>
          <w:rFonts w:ascii="Times New Roman" w:hAnsi="Times New Roman" w:cs="Times New Roman"/>
          <w:sz w:val="24"/>
          <w:szCs w:val="24"/>
        </w:rPr>
        <w:t>,</w:t>
      </w:r>
      <w:r w:rsidRPr="00F831D3">
        <w:rPr>
          <w:rFonts w:ascii="Times New Roman" w:hAnsi="Times New Roman" w:cs="Times New Roman"/>
          <w:sz w:val="24"/>
          <w:szCs w:val="24"/>
        </w:rPr>
        <w:t xml:space="preserve"> each individual tier is reduced by between 32% and 35% of the previous levels (consistent with a 33% numerical reduction </w:t>
      </w:r>
      <w:r w:rsidR="009F256F" w:rsidRPr="00F831D3">
        <w:rPr>
          <w:rFonts w:ascii="Times New Roman" w:hAnsi="Times New Roman" w:cs="Times New Roman"/>
          <w:sz w:val="24"/>
          <w:szCs w:val="24"/>
        </w:rPr>
        <w:t>developed within</w:t>
      </w:r>
      <w:r w:rsidRPr="00F831D3">
        <w:rPr>
          <w:rFonts w:ascii="Times New Roman" w:hAnsi="Times New Roman" w:cs="Times New Roman"/>
          <w:sz w:val="24"/>
          <w:szCs w:val="24"/>
        </w:rPr>
        <w:t xml:space="preserve"> the planning </w:t>
      </w:r>
      <w:r w:rsidR="009F256F" w:rsidRPr="00F831D3">
        <w:rPr>
          <w:rFonts w:ascii="Times New Roman" w:hAnsi="Times New Roman" w:cs="Times New Roman"/>
          <w:sz w:val="24"/>
          <w:szCs w:val="24"/>
        </w:rPr>
        <w:t>process</w:t>
      </w:r>
      <w:r w:rsidRPr="00F831D3">
        <w:rPr>
          <w:rFonts w:ascii="Times New Roman" w:hAnsi="Times New Roman" w:cs="Times New Roman"/>
          <w:sz w:val="24"/>
          <w:szCs w:val="24"/>
        </w:rPr>
        <w:t>).</w:t>
      </w:r>
    </w:p>
    <w:p w:rsidR="00FC0CC0" w:rsidRPr="00F831D3" w:rsidRDefault="00FC0CC0" w:rsidP="00FC0CC0">
      <w:pPr>
        <w:spacing w:after="0" w:line="240" w:lineRule="auto"/>
        <w:jc w:val="both"/>
        <w:rPr>
          <w:rFonts w:ascii="Times New Roman" w:hAnsi="Times New Roman" w:cs="Times New Roman"/>
          <w:sz w:val="24"/>
          <w:szCs w:val="24"/>
        </w:rPr>
      </w:pPr>
    </w:p>
    <w:p w:rsidR="00740999" w:rsidRDefault="00740999"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Before finalizing the scenario above the prescriptive programs within the portfolio were reviewed</w:t>
      </w:r>
      <w:r w:rsidR="009F256F" w:rsidRPr="00F831D3">
        <w:rPr>
          <w:rFonts w:ascii="Times New Roman" w:hAnsi="Times New Roman" w:cs="Times New Roman"/>
          <w:sz w:val="24"/>
          <w:szCs w:val="24"/>
        </w:rPr>
        <w:t xml:space="preserve"> in greater detail</w:t>
      </w:r>
      <w:r w:rsidRPr="00F831D3">
        <w:rPr>
          <w:rFonts w:ascii="Times New Roman" w:hAnsi="Times New Roman" w:cs="Times New Roman"/>
          <w:sz w:val="24"/>
          <w:szCs w:val="24"/>
        </w:rPr>
        <w:t>.  No prescriptive programs with significant customer participation were found to individually fail the UCT cost-effectiveness test by a significant degree (recognizing that fixed non-incentive utility costs were not allocated to the individual measure and program review).  Furthermore</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continuation of any of these programs </w:t>
      </w:r>
      <w:r w:rsidR="001B3370">
        <w:rPr>
          <w:rFonts w:ascii="Times New Roman" w:hAnsi="Times New Roman" w:cs="Times New Roman"/>
          <w:sz w:val="24"/>
          <w:szCs w:val="24"/>
        </w:rPr>
        <w:t>may</w:t>
      </w:r>
      <w:r w:rsidRPr="00F831D3">
        <w:rPr>
          <w:rFonts w:ascii="Times New Roman" w:hAnsi="Times New Roman" w:cs="Times New Roman"/>
          <w:sz w:val="24"/>
          <w:szCs w:val="24"/>
        </w:rPr>
        <w:t xml:space="preserve"> misrepresent or mislead customer decisions when they are acting on their own best judgment as applied to their individual circumstances.</w:t>
      </w:r>
    </w:p>
    <w:p w:rsidR="001B3370" w:rsidRPr="00F831D3" w:rsidRDefault="001B3370" w:rsidP="001B3370">
      <w:pPr>
        <w:spacing w:after="0" w:line="240" w:lineRule="auto"/>
        <w:jc w:val="both"/>
        <w:rPr>
          <w:rFonts w:ascii="Times New Roman" w:hAnsi="Times New Roman" w:cs="Times New Roman"/>
          <w:sz w:val="24"/>
          <w:szCs w:val="24"/>
        </w:rPr>
      </w:pPr>
    </w:p>
    <w:p w:rsidR="00740999" w:rsidRDefault="003528E7"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It is recognized that the 2014 DSM Business Plan will comprehensively review all electric and natural gas programs in </w:t>
      </w:r>
      <w:r w:rsidR="009E5C25" w:rsidRPr="00F831D3">
        <w:rPr>
          <w:rFonts w:ascii="Times New Roman" w:hAnsi="Times New Roman" w:cs="Times New Roman"/>
          <w:sz w:val="24"/>
          <w:szCs w:val="24"/>
        </w:rPr>
        <w:t xml:space="preserve">less than three </w:t>
      </w:r>
      <w:r w:rsidRPr="00F831D3">
        <w:rPr>
          <w:rFonts w:ascii="Times New Roman" w:hAnsi="Times New Roman" w:cs="Times New Roman"/>
          <w:sz w:val="24"/>
          <w:szCs w:val="24"/>
        </w:rPr>
        <w:t>months after the requested effective date of the revision to the Schedule 190 tariff.  It is also recognized that the adjustment, launch or termination of prescriptive programs must occur with a significant degree of notice given that the programs permit customers to apply for rebates up to 90 days after the purchase or installation of the measure.  Typically</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a longer transition period is necessary to accommodate the need to communicate with both customers and trade allies.  Consequently</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any change in the eligibility, the launch or termination</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or the incentive levels of these programs h</w:t>
      </w:r>
      <w:r w:rsidR="001B3370">
        <w:rPr>
          <w:rFonts w:ascii="Times New Roman" w:hAnsi="Times New Roman" w:cs="Times New Roman"/>
          <w:sz w:val="24"/>
          <w:szCs w:val="24"/>
        </w:rPr>
        <w:t>ave</w:t>
      </w:r>
      <w:r w:rsidRPr="00F831D3">
        <w:rPr>
          <w:rFonts w:ascii="Times New Roman" w:hAnsi="Times New Roman" w:cs="Times New Roman"/>
          <w:sz w:val="24"/>
          <w:szCs w:val="24"/>
        </w:rPr>
        <w:t xml:space="preserve"> been deemed to be combined with adjustments that may occur as part of the 2014 DSM Business Plan.  </w:t>
      </w:r>
      <w:r w:rsidR="009F256F" w:rsidRPr="00F831D3">
        <w:rPr>
          <w:rFonts w:ascii="Times New Roman" w:hAnsi="Times New Roman" w:cs="Times New Roman"/>
          <w:sz w:val="24"/>
          <w:szCs w:val="24"/>
        </w:rPr>
        <w:t>Customer-facing revisions to the program</w:t>
      </w:r>
      <w:r w:rsidRPr="00F831D3">
        <w:rPr>
          <w:rFonts w:ascii="Times New Roman" w:hAnsi="Times New Roman" w:cs="Times New Roman"/>
          <w:sz w:val="24"/>
          <w:szCs w:val="24"/>
        </w:rPr>
        <w:t>, including revisions to prescriptive incentive level</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resulting from the adjustment to Schedule 190 incentive levels when and if proposed Schedule 190 tariff revisions are approved, are likely to take place in January of 2014.</w:t>
      </w:r>
    </w:p>
    <w:p w:rsidR="001B3370" w:rsidRPr="00F831D3" w:rsidRDefault="001B3370" w:rsidP="001B3370">
      <w:pPr>
        <w:spacing w:after="0" w:line="240" w:lineRule="auto"/>
        <w:jc w:val="both"/>
        <w:rPr>
          <w:rFonts w:ascii="Times New Roman" w:hAnsi="Times New Roman" w:cs="Times New Roman"/>
          <w:sz w:val="24"/>
          <w:szCs w:val="24"/>
        </w:rPr>
      </w:pPr>
    </w:p>
    <w:p w:rsidR="00740999" w:rsidRDefault="001B3370" w:rsidP="00FC0C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3528E7" w:rsidRPr="00F831D3">
        <w:rPr>
          <w:rFonts w:ascii="Times New Roman" w:hAnsi="Times New Roman" w:cs="Times New Roman"/>
          <w:sz w:val="24"/>
          <w:szCs w:val="24"/>
        </w:rPr>
        <w:t xml:space="preserve">process led to the change of only two tariff factors; a </w:t>
      </w:r>
      <w:r w:rsidR="009F256F" w:rsidRPr="00F831D3">
        <w:rPr>
          <w:rFonts w:ascii="Times New Roman" w:hAnsi="Times New Roman" w:cs="Times New Roman"/>
          <w:sz w:val="24"/>
          <w:szCs w:val="24"/>
        </w:rPr>
        <w:t>33%</w:t>
      </w:r>
      <w:r w:rsidR="003528E7" w:rsidRPr="00F831D3">
        <w:rPr>
          <w:rFonts w:ascii="Times New Roman" w:hAnsi="Times New Roman" w:cs="Times New Roman"/>
          <w:sz w:val="24"/>
          <w:szCs w:val="24"/>
        </w:rPr>
        <w:t xml:space="preserve"> reduction in incentives and lifting the simple payback maximum.  These adjustments should not overshadow a general discussion of targeting and future program development.  The extended discussion, both externally and internally within Avista, of the relative merits of the TRC and UCT test have increased the fundamental understanding of how the change in </w:t>
      </w:r>
      <w:r w:rsidR="009E5C25" w:rsidRPr="00F831D3">
        <w:rPr>
          <w:rFonts w:ascii="Times New Roman" w:hAnsi="Times New Roman" w:cs="Times New Roman"/>
          <w:sz w:val="24"/>
          <w:szCs w:val="24"/>
        </w:rPr>
        <w:t>cost-effectiveness tests</w:t>
      </w:r>
      <w:r w:rsidR="003528E7" w:rsidRPr="00F831D3">
        <w:rPr>
          <w:rFonts w:ascii="Times New Roman" w:hAnsi="Times New Roman" w:cs="Times New Roman"/>
          <w:sz w:val="24"/>
          <w:szCs w:val="24"/>
        </w:rPr>
        <w:t xml:space="preserve"> impact the targeting of both site-specific and prescriptive programs.  The portfolio has not been adjusted for any improvement in targeting</w:t>
      </w:r>
      <w:r>
        <w:rPr>
          <w:rFonts w:ascii="Times New Roman" w:hAnsi="Times New Roman" w:cs="Times New Roman"/>
          <w:sz w:val="24"/>
          <w:szCs w:val="24"/>
        </w:rPr>
        <w:t>,</w:t>
      </w:r>
      <w:r w:rsidR="003528E7" w:rsidRPr="00F831D3">
        <w:rPr>
          <w:rFonts w:ascii="Times New Roman" w:hAnsi="Times New Roman" w:cs="Times New Roman"/>
          <w:sz w:val="24"/>
          <w:szCs w:val="24"/>
        </w:rPr>
        <w:t xml:space="preserve"> given that the impact upon near-term performance is speculative.  It is </w:t>
      </w:r>
      <w:r w:rsidR="003528E7" w:rsidRPr="00F831D3">
        <w:rPr>
          <w:rFonts w:ascii="Times New Roman" w:hAnsi="Times New Roman" w:cs="Times New Roman"/>
          <w:sz w:val="24"/>
          <w:szCs w:val="24"/>
        </w:rPr>
        <w:lastRenderedPageBreak/>
        <w:t xml:space="preserve">also likely that the greatest impact, particularly on site-specific projects with long sales cycles, will be more of a long-term </w:t>
      </w:r>
      <w:r w:rsidR="009E5C25" w:rsidRPr="00F831D3">
        <w:rPr>
          <w:rFonts w:ascii="Times New Roman" w:hAnsi="Times New Roman" w:cs="Times New Roman"/>
          <w:sz w:val="24"/>
          <w:szCs w:val="24"/>
        </w:rPr>
        <w:t>situation</w:t>
      </w:r>
      <w:r w:rsidR="003528E7" w:rsidRPr="00F831D3">
        <w:rPr>
          <w:rFonts w:ascii="Times New Roman" w:hAnsi="Times New Roman" w:cs="Times New Roman"/>
          <w:sz w:val="24"/>
          <w:szCs w:val="24"/>
        </w:rPr>
        <w:t>.</w:t>
      </w:r>
    </w:p>
    <w:p w:rsidR="001B3370" w:rsidRPr="00F831D3" w:rsidRDefault="001B3370" w:rsidP="00FC0CC0">
      <w:pPr>
        <w:spacing w:after="0" w:line="360" w:lineRule="auto"/>
        <w:jc w:val="both"/>
        <w:rPr>
          <w:rFonts w:ascii="Times New Roman" w:hAnsi="Times New Roman" w:cs="Times New Roman"/>
          <w:sz w:val="24"/>
          <w:szCs w:val="24"/>
        </w:rPr>
      </w:pPr>
    </w:p>
    <w:p w:rsidR="003528E7" w:rsidRPr="001B3370" w:rsidRDefault="003528E7" w:rsidP="00FC0CC0">
      <w:pPr>
        <w:spacing w:after="0" w:line="360" w:lineRule="auto"/>
        <w:jc w:val="both"/>
        <w:rPr>
          <w:rFonts w:ascii="Times New Roman" w:hAnsi="Times New Roman" w:cs="Times New Roman"/>
          <w:b/>
          <w:sz w:val="24"/>
          <w:szCs w:val="24"/>
          <w:u w:val="single"/>
        </w:rPr>
      </w:pPr>
      <w:r w:rsidRPr="001B3370">
        <w:rPr>
          <w:rFonts w:ascii="Times New Roman" w:hAnsi="Times New Roman" w:cs="Times New Roman"/>
          <w:b/>
          <w:sz w:val="24"/>
          <w:szCs w:val="24"/>
          <w:u w:val="single"/>
        </w:rPr>
        <w:t>Anticipated Portfolio Performance</w:t>
      </w:r>
    </w:p>
    <w:p w:rsidR="001B3370" w:rsidRDefault="003528E7" w:rsidP="00FC0CC0">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Based upon the adjustments previously cited</w:t>
      </w:r>
      <w:r w:rsidR="001B3370">
        <w:rPr>
          <w:rFonts w:ascii="Times New Roman" w:hAnsi="Times New Roman" w:cs="Times New Roman"/>
          <w:sz w:val="24"/>
          <w:szCs w:val="24"/>
        </w:rPr>
        <w:t>,</w:t>
      </w:r>
      <w:r w:rsidRPr="00F831D3">
        <w:rPr>
          <w:rFonts w:ascii="Times New Roman" w:hAnsi="Times New Roman" w:cs="Times New Roman"/>
          <w:sz w:val="24"/>
          <w:szCs w:val="24"/>
        </w:rPr>
        <w:t xml:space="preserve"> the planning model predicts an improvement in the gross UCT of the </w:t>
      </w:r>
      <w:r w:rsidR="009F256F" w:rsidRPr="00F831D3">
        <w:rPr>
          <w:rFonts w:ascii="Times New Roman" w:hAnsi="Times New Roman" w:cs="Times New Roman"/>
          <w:sz w:val="24"/>
          <w:szCs w:val="24"/>
        </w:rPr>
        <w:t xml:space="preserve">existing </w:t>
      </w:r>
      <w:r w:rsidRPr="00F831D3">
        <w:rPr>
          <w:rFonts w:ascii="Times New Roman" w:hAnsi="Times New Roman" w:cs="Times New Roman"/>
          <w:sz w:val="24"/>
          <w:szCs w:val="24"/>
        </w:rPr>
        <w:t>portfolio from 0.88 (moderately cost-ineffective) to 1.20 (moderately cost-effective)</w:t>
      </w:r>
      <w:r w:rsidR="009F256F" w:rsidRPr="00F831D3">
        <w:rPr>
          <w:rFonts w:ascii="Times New Roman" w:hAnsi="Times New Roman" w:cs="Times New Roman"/>
          <w:sz w:val="24"/>
          <w:szCs w:val="24"/>
        </w:rPr>
        <w:t xml:space="preserve"> based upon a portfolio operating under revised tariff guidelines</w:t>
      </w:r>
      <w:r w:rsidRPr="00F831D3">
        <w:rPr>
          <w:rFonts w:ascii="Times New Roman" w:hAnsi="Times New Roman" w:cs="Times New Roman"/>
          <w:sz w:val="24"/>
          <w:szCs w:val="24"/>
        </w:rPr>
        <w:t xml:space="preserve">. </w:t>
      </w:r>
    </w:p>
    <w:p w:rsidR="006A0D57" w:rsidRPr="00F831D3" w:rsidRDefault="003528E7" w:rsidP="001B3370">
      <w:pPr>
        <w:spacing w:after="0" w:line="24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 </w:t>
      </w:r>
    </w:p>
    <w:p w:rsidR="00C42C40" w:rsidRDefault="00C42C40" w:rsidP="005D5CE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The revisions to the portfolio have decreased the TRC performance, as might be expected given that the very long simple payback projects are being returned to the portfolio.  The TRC benefit-to-cost ratio decreases from 0.56 to a less favorable 0.44.</w:t>
      </w:r>
    </w:p>
    <w:p w:rsidR="005D5CE9" w:rsidRPr="00F831D3" w:rsidRDefault="005D5CE9" w:rsidP="005D5CE9">
      <w:pPr>
        <w:spacing w:after="0" w:line="240" w:lineRule="auto"/>
        <w:jc w:val="both"/>
        <w:rPr>
          <w:rFonts w:ascii="Times New Roman" w:hAnsi="Times New Roman" w:cs="Times New Roman"/>
          <w:sz w:val="24"/>
          <w:szCs w:val="24"/>
        </w:rPr>
      </w:pPr>
    </w:p>
    <w:p w:rsidR="00C42C40" w:rsidRPr="00F831D3" w:rsidRDefault="00C42C40" w:rsidP="005D5CE9">
      <w:pPr>
        <w:spacing w:after="0" w:line="360" w:lineRule="auto"/>
        <w:jc w:val="both"/>
        <w:rPr>
          <w:rFonts w:ascii="Times New Roman" w:hAnsi="Times New Roman" w:cs="Times New Roman"/>
          <w:sz w:val="24"/>
          <w:szCs w:val="24"/>
        </w:rPr>
      </w:pPr>
      <w:r w:rsidRPr="00F831D3">
        <w:rPr>
          <w:rFonts w:ascii="Times New Roman" w:hAnsi="Times New Roman" w:cs="Times New Roman"/>
          <w:sz w:val="24"/>
          <w:szCs w:val="24"/>
        </w:rPr>
        <w:t xml:space="preserve">The major revisions to the portfolio consist of adjustments that will both increase (lifting the simple payback maximum) and decrease (reducing incentive levels) resource acquisition.  Thus, within the ability to estimate such acquisition, the net impact is </w:t>
      </w:r>
      <w:r w:rsidR="009F256F" w:rsidRPr="00F831D3">
        <w:rPr>
          <w:rFonts w:ascii="Times New Roman" w:hAnsi="Times New Roman" w:cs="Times New Roman"/>
          <w:sz w:val="24"/>
          <w:szCs w:val="24"/>
        </w:rPr>
        <w:t xml:space="preserve">upon acquisition is </w:t>
      </w:r>
      <w:r w:rsidR="005D5CE9" w:rsidRPr="00F831D3">
        <w:rPr>
          <w:rFonts w:ascii="Times New Roman" w:hAnsi="Times New Roman" w:cs="Times New Roman"/>
          <w:sz w:val="24"/>
          <w:szCs w:val="24"/>
        </w:rPr>
        <w:t>indeterminate</w:t>
      </w:r>
      <w:r w:rsidRPr="00F831D3">
        <w:rPr>
          <w:rFonts w:ascii="Times New Roman" w:hAnsi="Times New Roman" w:cs="Times New Roman"/>
          <w:sz w:val="24"/>
          <w:szCs w:val="24"/>
        </w:rPr>
        <w:t>.</w:t>
      </w:r>
    </w:p>
    <w:p w:rsidR="005D5CE9" w:rsidRDefault="005D5CE9" w:rsidP="005D5CE9">
      <w:pPr>
        <w:spacing w:after="0" w:line="240" w:lineRule="auto"/>
        <w:rPr>
          <w:rFonts w:ascii="Times New Roman" w:hAnsi="Times New Roman" w:cs="Times New Roman"/>
          <w:sz w:val="24"/>
          <w:szCs w:val="24"/>
        </w:rPr>
      </w:pPr>
    </w:p>
    <w:p w:rsidR="00C42C40" w:rsidRPr="00F831D3" w:rsidRDefault="005D5CE9" w:rsidP="005D5C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w:t>
      </w:r>
      <w:r w:rsidR="00C42C40" w:rsidRPr="00F831D3">
        <w:rPr>
          <w:rFonts w:ascii="Times New Roman" w:hAnsi="Times New Roman" w:cs="Times New Roman"/>
          <w:sz w:val="24"/>
          <w:szCs w:val="24"/>
        </w:rPr>
        <w:t>the actual portfolio performance can be improved when the degree of comprehensiveness of the portfolio is expanded.  Thus</w:t>
      </w:r>
      <w:r>
        <w:rPr>
          <w:rFonts w:ascii="Times New Roman" w:hAnsi="Times New Roman" w:cs="Times New Roman"/>
          <w:sz w:val="24"/>
          <w:szCs w:val="24"/>
        </w:rPr>
        <w:t>,</w:t>
      </w:r>
      <w:r w:rsidR="00C42C40" w:rsidRPr="00F831D3">
        <w:rPr>
          <w:rFonts w:ascii="Times New Roman" w:hAnsi="Times New Roman" w:cs="Times New Roman"/>
          <w:sz w:val="24"/>
          <w:szCs w:val="24"/>
        </w:rPr>
        <w:t xml:space="preserve"> it is quite possible that a comprehensive review of the full portfolio within the 2014 DSM Business Plan may identify additional opportunities to improve portfolio performance.  However</w:t>
      </w:r>
      <w:r>
        <w:rPr>
          <w:rFonts w:ascii="Times New Roman" w:hAnsi="Times New Roman" w:cs="Times New Roman"/>
          <w:sz w:val="24"/>
          <w:szCs w:val="24"/>
        </w:rPr>
        <w:t>,</w:t>
      </w:r>
      <w:r w:rsidR="00C42C40" w:rsidRPr="00F831D3">
        <w:rPr>
          <w:rFonts w:ascii="Times New Roman" w:hAnsi="Times New Roman" w:cs="Times New Roman"/>
          <w:sz w:val="24"/>
          <w:szCs w:val="24"/>
        </w:rPr>
        <w:t xml:space="preserve"> it was the consensus of all involved in the planning process that it was unnecessary </w:t>
      </w:r>
      <w:r w:rsidR="009F256F" w:rsidRPr="00F831D3">
        <w:rPr>
          <w:rFonts w:ascii="Times New Roman" w:hAnsi="Times New Roman" w:cs="Times New Roman"/>
          <w:sz w:val="24"/>
          <w:szCs w:val="24"/>
        </w:rPr>
        <w:t xml:space="preserve">and unwise </w:t>
      </w:r>
      <w:r w:rsidR="00C42C40" w:rsidRPr="00F831D3">
        <w:rPr>
          <w:rFonts w:ascii="Times New Roman" w:hAnsi="Times New Roman" w:cs="Times New Roman"/>
          <w:sz w:val="24"/>
          <w:szCs w:val="24"/>
        </w:rPr>
        <w:t>to delay pursuing revisions to the tariff for the full comprehensive portfolio review.  Revisions to Schedule 90 (governing the electric DSM portfolio) have been under discussion since early 2013 and the Company was similarly concerned that delaying the filing of these tariffs would deny the opportunity to reap the benefits as quickly as possible.</w:t>
      </w:r>
      <w:bookmarkStart w:id="0" w:name="_GoBack"/>
      <w:bookmarkEnd w:id="0"/>
    </w:p>
    <w:p w:rsidR="006A0D57" w:rsidRDefault="006A0D57" w:rsidP="00BE48E3">
      <w:pPr>
        <w:rPr>
          <w:sz w:val="24"/>
          <w:szCs w:val="24"/>
        </w:rPr>
      </w:pPr>
    </w:p>
    <w:p w:rsidR="006A0D57" w:rsidRDefault="006A0D57" w:rsidP="00BE48E3">
      <w:pPr>
        <w:rPr>
          <w:sz w:val="24"/>
          <w:szCs w:val="24"/>
        </w:rPr>
      </w:pPr>
    </w:p>
    <w:sectPr w:rsidR="006A0D57" w:rsidSect="00F831D3">
      <w:footerReference w:type="default" r:id="rId10"/>
      <w:pgSz w:w="12240" w:h="15840"/>
      <w:pgMar w:top="153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C0" w:rsidRDefault="00FC0CC0" w:rsidP="009E5C25">
      <w:pPr>
        <w:spacing w:after="0" w:line="240" w:lineRule="auto"/>
      </w:pPr>
      <w:r>
        <w:separator/>
      </w:r>
    </w:p>
  </w:endnote>
  <w:endnote w:type="continuationSeparator" w:id="0">
    <w:p w:rsidR="00FC0CC0" w:rsidRDefault="00FC0CC0" w:rsidP="009E5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6613"/>
      <w:docPartObj>
        <w:docPartGallery w:val="Page Numbers (Bottom of Page)"/>
        <w:docPartUnique/>
      </w:docPartObj>
    </w:sdtPr>
    <w:sdtContent>
      <w:p w:rsidR="00FC0CC0" w:rsidRDefault="00FC0CC0">
        <w:pPr>
          <w:pStyle w:val="Footer"/>
          <w:jc w:val="center"/>
        </w:pPr>
        <w:r>
          <w:t xml:space="preserve">Page </w:t>
        </w:r>
        <w:fldSimple w:instr=" PAGE   \* MERGEFORMAT ">
          <w:r w:rsidR="00812BC9">
            <w:rPr>
              <w:noProof/>
            </w:rPr>
            <w:t>1</w:t>
          </w:r>
        </w:fldSimple>
      </w:p>
    </w:sdtContent>
  </w:sdt>
  <w:p w:rsidR="00FC0CC0" w:rsidRDefault="00FC0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C0" w:rsidRDefault="00FC0CC0" w:rsidP="009E5C25">
      <w:pPr>
        <w:spacing w:after="0" w:line="240" w:lineRule="auto"/>
      </w:pPr>
      <w:r>
        <w:separator/>
      </w:r>
    </w:p>
  </w:footnote>
  <w:footnote w:type="continuationSeparator" w:id="0">
    <w:p w:rsidR="00FC0CC0" w:rsidRDefault="00FC0CC0" w:rsidP="009E5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7736"/>
    <w:multiLevelType w:val="hybridMultilevel"/>
    <w:tmpl w:val="8C168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E20A8"/>
    <w:multiLevelType w:val="hybridMultilevel"/>
    <w:tmpl w:val="E72C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0615B"/>
    <w:multiLevelType w:val="hybridMultilevel"/>
    <w:tmpl w:val="4A3A2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4231AF"/>
    <w:multiLevelType w:val="hybridMultilevel"/>
    <w:tmpl w:val="93E2E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05C2D73"/>
    <w:multiLevelType w:val="hybridMultilevel"/>
    <w:tmpl w:val="BF801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FB96022"/>
    <w:multiLevelType w:val="hybridMultilevel"/>
    <w:tmpl w:val="A70E5C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C452D79"/>
    <w:multiLevelType w:val="hybridMultilevel"/>
    <w:tmpl w:val="4FC0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304B"/>
    <w:rsid w:val="00086549"/>
    <w:rsid w:val="000C2BDA"/>
    <w:rsid w:val="000F4E32"/>
    <w:rsid w:val="001B3370"/>
    <w:rsid w:val="0022008B"/>
    <w:rsid w:val="0025764A"/>
    <w:rsid w:val="003528E7"/>
    <w:rsid w:val="00357CD9"/>
    <w:rsid w:val="004173FF"/>
    <w:rsid w:val="0042181F"/>
    <w:rsid w:val="00463BF9"/>
    <w:rsid w:val="004A6124"/>
    <w:rsid w:val="004F5F6A"/>
    <w:rsid w:val="00563E5D"/>
    <w:rsid w:val="00574BAE"/>
    <w:rsid w:val="00587017"/>
    <w:rsid w:val="005A0FF1"/>
    <w:rsid w:val="005D5CE9"/>
    <w:rsid w:val="00644743"/>
    <w:rsid w:val="006531AD"/>
    <w:rsid w:val="00697E05"/>
    <w:rsid w:val="006A0D57"/>
    <w:rsid w:val="00712246"/>
    <w:rsid w:val="00740999"/>
    <w:rsid w:val="0075304B"/>
    <w:rsid w:val="007E3BCD"/>
    <w:rsid w:val="007F2010"/>
    <w:rsid w:val="00811FAD"/>
    <w:rsid w:val="00812BC9"/>
    <w:rsid w:val="008245C3"/>
    <w:rsid w:val="00824C84"/>
    <w:rsid w:val="008350FA"/>
    <w:rsid w:val="008A70B9"/>
    <w:rsid w:val="009E35FB"/>
    <w:rsid w:val="009E420D"/>
    <w:rsid w:val="009E5C25"/>
    <w:rsid w:val="009E5FC2"/>
    <w:rsid w:val="009F256F"/>
    <w:rsid w:val="00AA1684"/>
    <w:rsid w:val="00AB7A13"/>
    <w:rsid w:val="00AE264C"/>
    <w:rsid w:val="00AE7B89"/>
    <w:rsid w:val="00B96EA2"/>
    <w:rsid w:val="00BE48E3"/>
    <w:rsid w:val="00BF49A9"/>
    <w:rsid w:val="00C42C40"/>
    <w:rsid w:val="00C56156"/>
    <w:rsid w:val="00C802D4"/>
    <w:rsid w:val="00CB61D5"/>
    <w:rsid w:val="00D03C01"/>
    <w:rsid w:val="00D267E7"/>
    <w:rsid w:val="00DF28EC"/>
    <w:rsid w:val="00EF4619"/>
    <w:rsid w:val="00F05734"/>
    <w:rsid w:val="00F363F1"/>
    <w:rsid w:val="00F831D3"/>
    <w:rsid w:val="00F97BE8"/>
    <w:rsid w:val="00FB1A3E"/>
    <w:rsid w:val="00FC0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4B"/>
    <w:pPr>
      <w:ind w:left="720"/>
      <w:contextualSpacing/>
    </w:pPr>
  </w:style>
  <w:style w:type="paragraph" w:styleId="BalloonText">
    <w:name w:val="Balloon Text"/>
    <w:basedOn w:val="Normal"/>
    <w:link w:val="BalloonTextChar"/>
    <w:uiPriority w:val="99"/>
    <w:semiHidden/>
    <w:unhideWhenUsed/>
    <w:rsid w:val="00AE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89"/>
    <w:rPr>
      <w:rFonts w:ascii="Tahoma" w:hAnsi="Tahoma" w:cs="Tahoma"/>
      <w:sz w:val="16"/>
      <w:szCs w:val="16"/>
    </w:rPr>
  </w:style>
  <w:style w:type="paragraph" w:styleId="Header">
    <w:name w:val="header"/>
    <w:basedOn w:val="Normal"/>
    <w:link w:val="HeaderChar"/>
    <w:uiPriority w:val="99"/>
    <w:semiHidden/>
    <w:unhideWhenUsed/>
    <w:rsid w:val="009E5C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C25"/>
  </w:style>
  <w:style w:type="paragraph" w:styleId="Footer">
    <w:name w:val="footer"/>
    <w:basedOn w:val="Normal"/>
    <w:link w:val="FooterChar"/>
    <w:uiPriority w:val="99"/>
    <w:unhideWhenUsed/>
    <w:rsid w:val="009E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E:\2014%20WA%20gas%20DSM%20business%20plan%20G%20gas%20only%20w%20UCT%20calculator%20disc%20rate%20rewire%20B%20cust%20suppressed%20interim%20bus%20pl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4%20WA%20gas%20DSM%20business%20plan%20G%20gas%20only%20w%20UCT%20calculator%20disc%20rate%20rewire%20B%20cust%20suppressed%20interim%20bus%20pl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Graphs!$C$20</c:f>
              <c:strCache>
                <c:ptCount val="1"/>
                <c:pt idx="0">
                  <c:v>Current</c:v>
                </c:pt>
              </c:strCache>
            </c:strRef>
          </c:tx>
          <c:spPr>
            <a:ln w="38100" cmpd="tri">
              <a:solidFill>
                <a:schemeClr val="tx1"/>
              </a:solidFill>
            </a:ln>
          </c:spPr>
          <c:marker>
            <c:symbol val="none"/>
          </c:marker>
          <c:xVal>
            <c:numRef>
              <c:f>Graphs!$B$21:$B$46</c:f>
              <c:numCache>
                <c:formatCode>General</c:formatCode>
                <c:ptCount val="26"/>
                <c:pt idx="0">
                  <c:v>0</c:v>
                </c:pt>
                <c:pt idx="1">
                  <c:v>0.99999990000000005</c:v>
                </c:pt>
                <c:pt idx="2">
                  <c:v>1</c:v>
                </c:pt>
                <c:pt idx="3">
                  <c:v>1.9999998999999984</c:v>
                </c:pt>
                <c:pt idx="4">
                  <c:v>2</c:v>
                </c:pt>
                <c:pt idx="5">
                  <c:v>3</c:v>
                </c:pt>
                <c:pt idx="6">
                  <c:v>3.9999899999999977</c:v>
                </c:pt>
                <c:pt idx="7">
                  <c:v>4</c:v>
                </c:pt>
                <c:pt idx="8">
                  <c:v>5</c:v>
                </c:pt>
                <c:pt idx="9">
                  <c:v>5.9999989999999999</c:v>
                </c:pt>
                <c:pt idx="10">
                  <c:v>6</c:v>
                </c:pt>
                <c:pt idx="11">
                  <c:v>7</c:v>
                </c:pt>
                <c:pt idx="12">
                  <c:v>8</c:v>
                </c:pt>
                <c:pt idx="13">
                  <c:v>9</c:v>
                </c:pt>
                <c:pt idx="14">
                  <c:v>10</c:v>
                </c:pt>
                <c:pt idx="15">
                  <c:v>11</c:v>
                </c:pt>
                <c:pt idx="16">
                  <c:v>12</c:v>
                </c:pt>
                <c:pt idx="17">
                  <c:v>12.999999000000004</c:v>
                </c:pt>
                <c:pt idx="18">
                  <c:v>13</c:v>
                </c:pt>
                <c:pt idx="19">
                  <c:v>14</c:v>
                </c:pt>
                <c:pt idx="20">
                  <c:v>15</c:v>
                </c:pt>
                <c:pt idx="21">
                  <c:v>16</c:v>
                </c:pt>
                <c:pt idx="22">
                  <c:v>17</c:v>
                </c:pt>
                <c:pt idx="23">
                  <c:v>18</c:v>
                </c:pt>
                <c:pt idx="24">
                  <c:v>19</c:v>
                </c:pt>
                <c:pt idx="25">
                  <c:v>20</c:v>
                </c:pt>
              </c:numCache>
            </c:numRef>
          </c:xVal>
          <c:yVal>
            <c:numRef>
              <c:f>Graphs!$C$21:$C$46</c:f>
              <c:numCache>
                <c:formatCode>_("$"* #,##0.00_);_("$"* \(#,##0.00\);_("$"* "-"??_);_(@_)</c:formatCode>
                <c:ptCount val="26"/>
                <c:pt idx="0">
                  <c:v>0</c:v>
                </c:pt>
                <c:pt idx="1">
                  <c:v>0</c:v>
                </c:pt>
                <c:pt idx="2">
                  <c:v>2</c:v>
                </c:pt>
                <c:pt idx="3">
                  <c:v>2</c:v>
                </c:pt>
                <c:pt idx="4">
                  <c:v>2.5</c:v>
                </c:pt>
                <c:pt idx="5">
                  <c:v>2.5</c:v>
                </c:pt>
                <c:pt idx="6">
                  <c:v>2.5</c:v>
                </c:pt>
                <c:pt idx="7">
                  <c:v>3</c:v>
                </c:pt>
                <c:pt idx="8">
                  <c:v>3</c:v>
                </c:pt>
                <c:pt idx="9">
                  <c:v>3</c:v>
                </c:pt>
                <c:pt idx="10">
                  <c:v>3.5</c:v>
                </c:pt>
                <c:pt idx="11">
                  <c:v>3.5</c:v>
                </c:pt>
                <c:pt idx="12">
                  <c:v>3.5</c:v>
                </c:pt>
                <c:pt idx="13">
                  <c:v>3.5</c:v>
                </c:pt>
                <c:pt idx="14">
                  <c:v>3.5</c:v>
                </c:pt>
                <c:pt idx="15">
                  <c:v>3.5</c:v>
                </c:pt>
                <c:pt idx="16">
                  <c:v>3.5</c:v>
                </c:pt>
                <c:pt idx="17">
                  <c:v>3.5</c:v>
                </c:pt>
                <c:pt idx="18">
                  <c:v>0</c:v>
                </c:pt>
                <c:pt idx="19">
                  <c:v>0</c:v>
                </c:pt>
                <c:pt idx="20">
                  <c:v>0</c:v>
                </c:pt>
                <c:pt idx="21">
                  <c:v>0</c:v>
                </c:pt>
                <c:pt idx="22">
                  <c:v>0</c:v>
                </c:pt>
                <c:pt idx="23">
                  <c:v>0</c:v>
                </c:pt>
                <c:pt idx="24">
                  <c:v>0</c:v>
                </c:pt>
                <c:pt idx="25">
                  <c:v>0</c:v>
                </c:pt>
              </c:numCache>
            </c:numRef>
          </c:yVal>
        </c:ser>
        <c:ser>
          <c:idx val="1"/>
          <c:order val="1"/>
          <c:tx>
            <c:strRef>
              <c:f>Graphs!$D$20</c:f>
              <c:strCache>
                <c:ptCount val="1"/>
                <c:pt idx="0">
                  <c:v>100% realization winter</c:v>
                </c:pt>
              </c:strCache>
            </c:strRef>
          </c:tx>
          <c:spPr>
            <a:ln>
              <a:solidFill>
                <a:srgbClr val="FF0000"/>
              </a:solidFill>
              <a:prstDash val="dash"/>
            </a:ln>
          </c:spPr>
          <c:marker>
            <c:symbol val="none"/>
          </c:marker>
          <c:xVal>
            <c:numRef>
              <c:f>Graphs!$B$21:$B$46</c:f>
              <c:numCache>
                <c:formatCode>General</c:formatCode>
                <c:ptCount val="26"/>
                <c:pt idx="0">
                  <c:v>0</c:v>
                </c:pt>
                <c:pt idx="1">
                  <c:v>0.99999990000000005</c:v>
                </c:pt>
                <c:pt idx="2">
                  <c:v>1</c:v>
                </c:pt>
                <c:pt idx="3">
                  <c:v>1.9999998999999984</c:v>
                </c:pt>
                <c:pt idx="4">
                  <c:v>2</c:v>
                </c:pt>
                <c:pt idx="5">
                  <c:v>3</c:v>
                </c:pt>
                <c:pt idx="6">
                  <c:v>3.9999899999999977</c:v>
                </c:pt>
                <c:pt idx="7">
                  <c:v>4</c:v>
                </c:pt>
                <c:pt idx="8">
                  <c:v>5</c:v>
                </c:pt>
                <c:pt idx="9">
                  <c:v>5.9999989999999999</c:v>
                </c:pt>
                <c:pt idx="10">
                  <c:v>6</c:v>
                </c:pt>
                <c:pt idx="11">
                  <c:v>7</c:v>
                </c:pt>
                <c:pt idx="12">
                  <c:v>8</c:v>
                </c:pt>
                <c:pt idx="13">
                  <c:v>9</c:v>
                </c:pt>
                <c:pt idx="14">
                  <c:v>10</c:v>
                </c:pt>
                <c:pt idx="15">
                  <c:v>11</c:v>
                </c:pt>
                <c:pt idx="16">
                  <c:v>12</c:v>
                </c:pt>
                <c:pt idx="17">
                  <c:v>12.999999000000004</c:v>
                </c:pt>
                <c:pt idx="18">
                  <c:v>13</c:v>
                </c:pt>
                <c:pt idx="19">
                  <c:v>14</c:v>
                </c:pt>
                <c:pt idx="20">
                  <c:v>15</c:v>
                </c:pt>
                <c:pt idx="21">
                  <c:v>16</c:v>
                </c:pt>
                <c:pt idx="22">
                  <c:v>17</c:v>
                </c:pt>
                <c:pt idx="23">
                  <c:v>18</c:v>
                </c:pt>
                <c:pt idx="24">
                  <c:v>19</c:v>
                </c:pt>
                <c:pt idx="25">
                  <c:v>20</c:v>
                </c:pt>
              </c:numCache>
            </c:numRef>
          </c:xVal>
          <c:yVal>
            <c:numRef>
              <c:f>Graphs!$D$21:$D$46</c:f>
              <c:numCache>
                <c:formatCode>General</c:formatCode>
                <c:ptCount val="26"/>
                <c:pt idx="14" formatCode="_(&quot;$&quot;* #,##0.00_);_(&quot;$&quot;* \(#,##0.00\);_(&quot;$&quot;* &quot;-&quot;??_);_(@_)">
                  <c:v>3.5051897141713306</c:v>
                </c:pt>
                <c:pt idx="15" formatCode="_(&quot;$&quot;* #,##0.00_);_(&quot;$&quot;* \(#,##0.00\);_(&quot;$&quot;* &quot;-&quot;??_);_(@_)">
                  <c:v>3.8157373009060604</c:v>
                </c:pt>
                <c:pt idx="16" formatCode="_(&quot;$&quot;* #,##0.00_);_(&quot;$&quot;* \(#,##0.00\);_(&quot;$&quot;* &quot;-&quot;??_);_(@_)">
                  <c:v>4.1177797006302415</c:v>
                </c:pt>
                <c:pt idx="17" formatCode="_(&quot;$&quot;* #,##0.00_);_(&quot;$&quot;* \(#,##0.00\);_(&quot;$&quot;* &quot;-&quot;??_);_(@_)">
                  <c:v>4.3997830298207186</c:v>
                </c:pt>
                <c:pt idx="18" formatCode="_(&quot;$&quot;* #,##0.00_);_(&quot;$&quot;* \(#,##0.00\);_(&quot;$&quot;* &quot;-&quot;??_);_(@_)">
                  <c:v>4.3997830298207186</c:v>
                </c:pt>
                <c:pt idx="19" formatCode="_(&quot;$&quot;* #,##0.00_);_(&quot;$&quot;* \(#,##0.00\);_(&quot;$&quot;* &quot;-&quot;??_);_(@_)">
                  <c:v>4.669886736455406</c:v>
                </c:pt>
                <c:pt idx="20" formatCode="_(&quot;$&quot;* #,##0.00_);_(&quot;$&quot;* \(#,##0.00\);_(&quot;$&quot;* &quot;-&quot;??_);_(@_)">
                  <c:v>4.9318092361093679</c:v>
                </c:pt>
                <c:pt idx="21" formatCode="_(&quot;$&quot;* #,##0.00_);_(&quot;$&quot;* \(#,##0.00\);_(&quot;$&quot;* &quot;-&quot;??_);_(@_)">
                  <c:v>5.1787350982758795</c:v>
                </c:pt>
                <c:pt idx="22" formatCode="_(&quot;$&quot;* #,##0.00_);_(&quot;$&quot;* \(#,##0.00\);_(&quot;$&quot;* &quot;-&quot;??_);_(@_)">
                  <c:v>5.4141124729197685</c:v>
                </c:pt>
                <c:pt idx="23" formatCode="_(&quot;$&quot;* #,##0.00_);_(&quot;$&quot;* \(#,##0.00\);_(&quot;$&quot;* &quot;-&quot;??_);_(@_)">
                  <c:v>5.63930606640045</c:v>
                </c:pt>
                <c:pt idx="24" formatCode="_(&quot;$&quot;* #,##0.00_);_(&quot;$&quot;* \(#,##0.00\);_(&quot;$&quot;* &quot;-&quot;??_);_(@_)">
                  <c:v>5.8529650429141515</c:v>
                </c:pt>
                <c:pt idx="25" formatCode="_(&quot;$&quot;* #,##0.00_);_(&quot;$&quot;* \(#,##0.00\);_(&quot;$&quot;* &quot;-&quot;??_);_(@_)">
                  <c:v>6.0604972098156553</c:v>
                </c:pt>
              </c:numCache>
            </c:numRef>
          </c:yVal>
          <c:smooth val="1"/>
        </c:ser>
        <c:ser>
          <c:idx val="2"/>
          <c:order val="2"/>
          <c:tx>
            <c:strRef>
              <c:f>Graphs!$E$20</c:f>
              <c:strCache>
                <c:ptCount val="1"/>
                <c:pt idx="0">
                  <c:v>100% realization annual</c:v>
                </c:pt>
              </c:strCache>
            </c:strRef>
          </c:tx>
          <c:spPr>
            <a:ln>
              <a:solidFill>
                <a:srgbClr val="FF0000"/>
              </a:solidFill>
            </a:ln>
          </c:spPr>
          <c:marker>
            <c:symbol val="none"/>
          </c:marker>
          <c:xVal>
            <c:numRef>
              <c:f>Graphs!$B$21:$B$46</c:f>
              <c:numCache>
                <c:formatCode>General</c:formatCode>
                <c:ptCount val="26"/>
                <c:pt idx="0">
                  <c:v>0</c:v>
                </c:pt>
                <c:pt idx="1">
                  <c:v>0.99999990000000005</c:v>
                </c:pt>
                <c:pt idx="2">
                  <c:v>1</c:v>
                </c:pt>
                <c:pt idx="3">
                  <c:v>1.9999998999999984</c:v>
                </c:pt>
                <c:pt idx="4">
                  <c:v>2</c:v>
                </c:pt>
                <c:pt idx="5">
                  <c:v>3</c:v>
                </c:pt>
                <c:pt idx="6">
                  <c:v>3.9999899999999977</c:v>
                </c:pt>
                <c:pt idx="7">
                  <c:v>4</c:v>
                </c:pt>
                <c:pt idx="8">
                  <c:v>5</c:v>
                </c:pt>
                <c:pt idx="9">
                  <c:v>5.9999989999999999</c:v>
                </c:pt>
                <c:pt idx="10">
                  <c:v>6</c:v>
                </c:pt>
                <c:pt idx="11">
                  <c:v>7</c:v>
                </c:pt>
                <c:pt idx="12">
                  <c:v>8</c:v>
                </c:pt>
                <c:pt idx="13">
                  <c:v>9</c:v>
                </c:pt>
                <c:pt idx="14">
                  <c:v>10</c:v>
                </c:pt>
                <c:pt idx="15">
                  <c:v>11</c:v>
                </c:pt>
                <c:pt idx="16">
                  <c:v>12</c:v>
                </c:pt>
                <c:pt idx="17">
                  <c:v>12.999999000000004</c:v>
                </c:pt>
                <c:pt idx="18">
                  <c:v>13</c:v>
                </c:pt>
                <c:pt idx="19">
                  <c:v>14</c:v>
                </c:pt>
                <c:pt idx="20">
                  <c:v>15</c:v>
                </c:pt>
                <c:pt idx="21">
                  <c:v>16</c:v>
                </c:pt>
                <c:pt idx="22">
                  <c:v>17</c:v>
                </c:pt>
                <c:pt idx="23">
                  <c:v>18</c:v>
                </c:pt>
                <c:pt idx="24">
                  <c:v>19</c:v>
                </c:pt>
                <c:pt idx="25">
                  <c:v>20</c:v>
                </c:pt>
              </c:numCache>
            </c:numRef>
          </c:xVal>
          <c:yVal>
            <c:numRef>
              <c:f>Graphs!$E$21:$E$46</c:f>
              <c:numCache>
                <c:formatCode>General</c:formatCode>
                <c:ptCount val="26"/>
                <c:pt idx="14" formatCode="_(&quot;$&quot;* #,##0.00_);_(&quot;$&quot;* \(#,##0.00\);_(&quot;$&quot;* &quot;-&quot;??_);_(@_)">
                  <c:v>3.6120349441415316</c:v>
                </c:pt>
                <c:pt idx="15" formatCode="_(&quot;$&quot;* #,##0.00_);_(&quot;$&quot;* \(#,##0.00\);_(&quot;$&quot;* &quot;-&quot;??_);_(@_)">
                  <c:v>3.9335521042447916</c:v>
                </c:pt>
                <c:pt idx="16" formatCode="_(&quot;$&quot;* #,##0.00_);_(&quot;$&quot;* \(#,##0.00\);_(&quot;$&quot;* &quot;-&quot;??_);_(@_)">
                  <c:v>4.2422035290305073</c:v>
                </c:pt>
                <c:pt idx="17" formatCode="_(&quot;$&quot;* #,##0.00_);_(&quot;$&quot;* \(#,##0.00\);_(&quot;$&quot;* &quot;-&quot;??_);_(@_)">
                  <c:v>4.5330135088053485</c:v>
                </c:pt>
                <c:pt idx="18" formatCode="_(&quot;$&quot;* #,##0.00_);_(&quot;$&quot;* \(#,##0.00\);_(&quot;$&quot;* &quot;-&quot;??_);_(@_)">
                  <c:v>4.5330135088053485</c:v>
                </c:pt>
                <c:pt idx="19" formatCode="_(&quot;$&quot;* #,##0.00_);_(&quot;$&quot;* \(#,##0.00\);_(&quot;$&quot;* &quot;-&quot;??_);_(@_)">
                  <c:v>4.8090350876743724</c:v>
                </c:pt>
                <c:pt idx="20" formatCode="_(&quot;$&quot;* #,##0.00_);_(&quot;$&quot;* \(#,##0.00\);_(&quot;$&quot;* &quot;-&quot;??_);_(@_)">
                  <c:v>5.0803265859288329</c:v>
                </c:pt>
                <c:pt idx="21" formatCode="_(&quot;$&quot;* #,##0.00_);_(&quot;$&quot;* \(#,##0.00\);_(&quot;$&quot;* &quot;-&quot;??_);_(@_)">
                  <c:v>5.3376871160733383</c:v>
                </c:pt>
                <c:pt idx="22" formatCode="_(&quot;$&quot;* #,##0.00_);_(&quot;$&quot;* \(#,##0.00\);_(&quot;$&quot;* &quot;-&quot;??_);_(@_)">
                  <c:v>5.5810532440101115</c:v>
                </c:pt>
                <c:pt idx="23" formatCode="_(&quot;$&quot;* #,##0.00_);_(&quot;$&quot;* \(#,##0.00\);_(&quot;$&quot;* &quot;-&quot;??_);_(@_)">
                  <c:v>5.8137402788890276</c:v>
                </c:pt>
                <c:pt idx="24" formatCode="_(&quot;$&quot;* #,##0.00_);_(&quot;$&quot;* \(#,##0.00\);_(&quot;$&quot;* &quot;-&quot;??_);_(@_)">
                  <c:v>6.0347530423086884</c:v>
                </c:pt>
                <c:pt idx="25" formatCode="_(&quot;$&quot;* #,##0.00_);_(&quot;$&quot;* \(#,##0.00\);_(&quot;$&quot;* &quot;-&quot;??_);_(@_)">
                  <c:v>6.2497392502614728</c:v>
                </c:pt>
              </c:numCache>
            </c:numRef>
          </c:yVal>
          <c:smooth val="1"/>
        </c:ser>
        <c:ser>
          <c:idx val="3"/>
          <c:order val="3"/>
          <c:tx>
            <c:strRef>
              <c:f>Graphs!$F$20</c:f>
              <c:strCache>
                <c:ptCount val="1"/>
                <c:pt idx="0">
                  <c:v>87% realization winter</c:v>
                </c:pt>
              </c:strCache>
            </c:strRef>
          </c:tx>
          <c:spPr>
            <a:ln w="28575">
              <a:solidFill>
                <a:srgbClr val="0000FF"/>
              </a:solidFill>
              <a:prstDash val="dash"/>
            </a:ln>
          </c:spPr>
          <c:marker>
            <c:symbol val="none"/>
          </c:marker>
          <c:xVal>
            <c:numRef>
              <c:f>Graphs!$B$21:$B$46</c:f>
              <c:numCache>
                <c:formatCode>General</c:formatCode>
                <c:ptCount val="26"/>
                <c:pt idx="0">
                  <c:v>0</c:v>
                </c:pt>
                <c:pt idx="1">
                  <c:v>0.99999990000000005</c:v>
                </c:pt>
                <c:pt idx="2">
                  <c:v>1</c:v>
                </c:pt>
                <c:pt idx="3">
                  <c:v>1.9999998999999984</c:v>
                </c:pt>
                <c:pt idx="4">
                  <c:v>2</c:v>
                </c:pt>
                <c:pt idx="5">
                  <c:v>3</c:v>
                </c:pt>
                <c:pt idx="6">
                  <c:v>3.9999899999999977</c:v>
                </c:pt>
                <c:pt idx="7">
                  <c:v>4</c:v>
                </c:pt>
                <c:pt idx="8">
                  <c:v>5</c:v>
                </c:pt>
                <c:pt idx="9">
                  <c:v>5.9999989999999999</c:v>
                </c:pt>
                <c:pt idx="10">
                  <c:v>6</c:v>
                </c:pt>
                <c:pt idx="11">
                  <c:v>7</c:v>
                </c:pt>
                <c:pt idx="12">
                  <c:v>8</c:v>
                </c:pt>
                <c:pt idx="13">
                  <c:v>9</c:v>
                </c:pt>
                <c:pt idx="14">
                  <c:v>10</c:v>
                </c:pt>
                <c:pt idx="15">
                  <c:v>11</c:v>
                </c:pt>
                <c:pt idx="16">
                  <c:v>12</c:v>
                </c:pt>
                <c:pt idx="17">
                  <c:v>12.999999000000004</c:v>
                </c:pt>
                <c:pt idx="18">
                  <c:v>13</c:v>
                </c:pt>
                <c:pt idx="19">
                  <c:v>14</c:v>
                </c:pt>
                <c:pt idx="20">
                  <c:v>15</c:v>
                </c:pt>
                <c:pt idx="21">
                  <c:v>16</c:v>
                </c:pt>
                <c:pt idx="22">
                  <c:v>17</c:v>
                </c:pt>
                <c:pt idx="23">
                  <c:v>18</c:v>
                </c:pt>
                <c:pt idx="24">
                  <c:v>19</c:v>
                </c:pt>
                <c:pt idx="25">
                  <c:v>20</c:v>
                </c:pt>
              </c:numCache>
            </c:numRef>
          </c:xVal>
          <c:yVal>
            <c:numRef>
              <c:f>Graphs!$F$21:$F$46</c:f>
              <c:numCache>
                <c:formatCode>General</c:formatCode>
                <c:ptCount val="26"/>
                <c:pt idx="14" formatCode="_(&quot;$&quot;* #,##0.00_);_(&quot;$&quot;* \(#,##0.00\);_(&quot;$&quot;* &quot;-&quot;??_);_(@_)">
                  <c:v>3.0495150513290556</c:v>
                </c:pt>
                <c:pt idx="15" formatCode="_(&quot;$&quot;* #,##0.00_);_(&quot;$&quot;* \(#,##0.00\);_(&quot;$&quot;* &quot;-&quot;??_);_(@_)">
                  <c:v>3.3196914517882727</c:v>
                </c:pt>
                <c:pt idx="16" formatCode="_(&quot;$&quot;* #,##0.00_);_(&quot;$&quot;* \(#,##0.00\);_(&quot;$&quot;* &quot;-&quot;??_);_(@_)">
                  <c:v>3.5824683395483072</c:v>
                </c:pt>
                <c:pt idx="17" formatCode="_(&quot;$&quot;* #,##0.00_);_(&quot;$&quot;* \(#,##0.00\);_(&quot;$&quot;* &quot;-&quot;??_);_(@_)">
                  <c:v>3.8278112359440257</c:v>
                </c:pt>
                <c:pt idx="18" formatCode="_(&quot;$&quot;* #,##0.00_);_(&quot;$&quot;* \(#,##0.00\);_(&quot;$&quot;* &quot;-&quot;??_);_(@_)">
                  <c:v>3.8278112359440257</c:v>
                </c:pt>
                <c:pt idx="19" formatCode="_(&quot;$&quot;* #,##0.00_);_(&quot;$&quot;* \(#,##0.00\);_(&quot;$&quot;* &quot;-&quot;??_);_(@_)">
                  <c:v>4.062801460716206</c:v>
                </c:pt>
                <c:pt idx="20" formatCode="_(&quot;$&quot;* #,##0.00_);_(&quot;$&quot;* \(#,##0.00\);_(&quot;$&quot;* &quot;-&quot;??_);_(@_)">
                  <c:v>4.2906740354151474</c:v>
                </c:pt>
                <c:pt idx="21" formatCode="_(&quot;$&quot;* #,##0.00_);_(&quot;$&quot;* \(#,##0.00\);_(&quot;$&quot;* &quot;-&quot;??_);_(@_)">
                  <c:v>4.5054995355000171</c:v>
                </c:pt>
                <c:pt idx="22" formatCode="_(&quot;$&quot;* #,##0.00_);_(&quot;$&quot;* \(#,##0.00\);_(&quot;$&quot;* &quot;-&quot;??_);_(@_)">
                  <c:v>4.7102778514401997</c:v>
                </c:pt>
                <c:pt idx="23" formatCode="_(&quot;$&quot;* #,##0.00_);_(&quot;$&quot;* \(#,##0.00\);_(&quot;$&quot;* &quot;-&quot;??_);_(@_)">
                  <c:v>4.9061962777683945</c:v>
                </c:pt>
                <c:pt idx="24" formatCode="_(&quot;$&quot;* #,##0.00_);_(&quot;$&quot;* \(#,##0.00\);_(&quot;$&quot;* &quot;-&quot;??_);_(@_)">
                  <c:v>5.0920795873353084</c:v>
                </c:pt>
                <c:pt idx="25" formatCode="_(&quot;$&quot;* #,##0.00_);_(&quot;$&quot;* \(#,##0.00\);_(&quot;$&quot;* &quot;-&quot;??_);_(@_)">
                  <c:v>5.2726325725396288</c:v>
                </c:pt>
              </c:numCache>
            </c:numRef>
          </c:yVal>
          <c:smooth val="1"/>
        </c:ser>
        <c:ser>
          <c:idx val="4"/>
          <c:order val="4"/>
          <c:tx>
            <c:strRef>
              <c:f>Graphs!$G$20</c:f>
              <c:strCache>
                <c:ptCount val="1"/>
                <c:pt idx="0">
                  <c:v>87% realization annual</c:v>
                </c:pt>
              </c:strCache>
            </c:strRef>
          </c:tx>
          <c:spPr>
            <a:ln w="28575">
              <a:solidFill>
                <a:srgbClr val="0000FF"/>
              </a:solidFill>
              <a:prstDash val="solid"/>
            </a:ln>
          </c:spPr>
          <c:marker>
            <c:symbol val="none"/>
          </c:marker>
          <c:xVal>
            <c:numRef>
              <c:f>Graphs!$B$21:$B$46</c:f>
              <c:numCache>
                <c:formatCode>General</c:formatCode>
                <c:ptCount val="26"/>
                <c:pt idx="0">
                  <c:v>0</c:v>
                </c:pt>
                <c:pt idx="1">
                  <c:v>0.99999990000000005</c:v>
                </c:pt>
                <c:pt idx="2">
                  <c:v>1</c:v>
                </c:pt>
                <c:pt idx="3">
                  <c:v>1.9999998999999984</c:v>
                </c:pt>
                <c:pt idx="4">
                  <c:v>2</c:v>
                </c:pt>
                <c:pt idx="5">
                  <c:v>3</c:v>
                </c:pt>
                <c:pt idx="6">
                  <c:v>3.9999899999999977</c:v>
                </c:pt>
                <c:pt idx="7">
                  <c:v>4</c:v>
                </c:pt>
                <c:pt idx="8">
                  <c:v>5</c:v>
                </c:pt>
                <c:pt idx="9">
                  <c:v>5.9999989999999999</c:v>
                </c:pt>
                <c:pt idx="10">
                  <c:v>6</c:v>
                </c:pt>
                <c:pt idx="11">
                  <c:v>7</c:v>
                </c:pt>
                <c:pt idx="12">
                  <c:v>8</c:v>
                </c:pt>
                <c:pt idx="13">
                  <c:v>9</c:v>
                </c:pt>
                <c:pt idx="14">
                  <c:v>10</c:v>
                </c:pt>
                <c:pt idx="15">
                  <c:v>11</c:v>
                </c:pt>
                <c:pt idx="16">
                  <c:v>12</c:v>
                </c:pt>
                <c:pt idx="17">
                  <c:v>12.999999000000004</c:v>
                </c:pt>
                <c:pt idx="18">
                  <c:v>13</c:v>
                </c:pt>
                <c:pt idx="19">
                  <c:v>14</c:v>
                </c:pt>
                <c:pt idx="20">
                  <c:v>15</c:v>
                </c:pt>
                <c:pt idx="21">
                  <c:v>16</c:v>
                </c:pt>
                <c:pt idx="22">
                  <c:v>17</c:v>
                </c:pt>
                <c:pt idx="23">
                  <c:v>18</c:v>
                </c:pt>
                <c:pt idx="24">
                  <c:v>19</c:v>
                </c:pt>
                <c:pt idx="25">
                  <c:v>20</c:v>
                </c:pt>
              </c:numCache>
            </c:numRef>
          </c:xVal>
          <c:yVal>
            <c:numRef>
              <c:f>Graphs!$G$21:$G$46</c:f>
              <c:numCache>
                <c:formatCode>General</c:formatCode>
                <c:ptCount val="26"/>
                <c:pt idx="14" formatCode="_(&quot;$&quot;* #,##0.00_);_(&quot;$&quot;* \(#,##0.00\);_(&quot;$&quot;* &quot;-&quot;??_);_(@_)">
                  <c:v>3.1424704014031324</c:v>
                </c:pt>
                <c:pt idx="15" formatCode="_(&quot;$&quot;* #,##0.00_);_(&quot;$&quot;* \(#,##0.00\);_(&quot;$&quot;* &quot;-&quot;??_);_(@_)">
                  <c:v>3.4221903306929731</c:v>
                </c:pt>
                <c:pt idx="16" formatCode="_(&quot;$&quot;* #,##0.00_);_(&quot;$&quot;* \(#,##0.00\);_(&quot;$&quot;* &quot;-&quot;??_);_(@_)">
                  <c:v>3.6907170702565413</c:v>
                </c:pt>
                <c:pt idx="17" formatCode="_(&quot;$&quot;* #,##0.00_);_(&quot;$&quot;* \(#,##0.00\);_(&quot;$&quot;* &quot;-&quot;??_);_(@_)">
                  <c:v>3.9437217526606609</c:v>
                </c:pt>
                <c:pt idx="18" formatCode="_(&quot;$&quot;* #,##0.00_);_(&quot;$&quot;* \(#,##0.00\);_(&quot;$&quot;* &quot;-&quot;??_);_(@_)">
                  <c:v>3.9437217526606609</c:v>
                </c:pt>
                <c:pt idx="19" formatCode="_(&quot;$&quot;* #,##0.00_);_(&quot;$&quot;* \(#,##0.00\);_(&quot;$&quot;* &quot;-&quot;??_);_(@_)">
                  <c:v>4.1838605262766952</c:v>
                </c:pt>
                <c:pt idx="20" formatCode="_(&quot;$&quot;* #,##0.00_);_(&quot;$&quot;* \(#,##0.00\);_(&quot;$&quot;* &quot;-&quot;??_);_(@_)">
                  <c:v>4.4198841297580795</c:v>
                </c:pt>
                <c:pt idx="21" formatCode="_(&quot;$&quot;* #,##0.00_);_(&quot;$&quot;* \(#,##0.00\);_(&quot;$&quot;* &quot;-&quot;??_);_(@_)">
                  <c:v>4.6437877909838061</c:v>
                </c:pt>
                <c:pt idx="22" formatCode="_(&quot;$&quot;* #,##0.00_);_(&quot;$&quot;* \(#,##0.00\);_(&quot;$&quot;* &quot;-&quot;??_);_(@_)">
                  <c:v>4.8555163222887847</c:v>
                </c:pt>
                <c:pt idx="23" formatCode="_(&quot;$&quot;* #,##0.00_);_(&quot;$&quot;* \(#,##0.00\);_(&quot;$&quot;* &quot;-&quot;??_);_(@_)">
                  <c:v>5.0579540426334466</c:v>
                </c:pt>
                <c:pt idx="24" formatCode="_(&quot;$&quot;* #,##0.00_);_(&quot;$&quot;* \(#,##0.00\);_(&quot;$&quot;* &quot;-&quot;??_);_(@_)">
                  <c:v>5.2502351468085555</c:v>
                </c:pt>
                <c:pt idx="25" formatCode="_(&quot;$&quot;* #,##0.00_);_(&quot;$&quot;* \(#,##0.00\);_(&quot;$&quot;* &quot;-&quot;??_);_(@_)">
                  <c:v>5.4372731477274812</c:v>
                </c:pt>
              </c:numCache>
            </c:numRef>
          </c:yVal>
          <c:smooth val="1"/>
        </c:ser>
        <c:axId val="78977280"/>
        <c:axId val="78996224"/>
      </c:scatterChart>
      <c:valAx>
        <c:axId val="78977280"/>
        <c:scaling>
          <c:orientation val="minMax"/>
          <c:max val="20"/>
        </c:scaling>
        <c:axPos val="b"/>
        <c:title>
          <c:tx>
            <c:rich>
              <a:bodyPr/>
              <a:lstStyle/>
              <a:p>
                <a:pPr>
                  <a:defRPr/>
                </a:pPr>
                <a:r>
                  <a:rPr lang="en-US"/>
                  <a:t>Measure life</a:t>
                </a:r>
              </a:p>
            </c:rich>
          </c:tx>
        </c:title>
        <c:numFmt formatCode="General" sourceLinked="1"/>
        <c:tickLblPos val="nextTo"/>
        <c:crossAx val="78996224"/>
        <c:crosses val="autoZero"/>
        <c:crossBetween val="midCat"/>
      </c:valAx>
      <c:valAx>
        <c:axId val="78996224"/>
        <c:scaling>
          <c:orientation val="minMax"/>
        </c:scaling>
        <c:axPos val="l"/>
        <c:majorGridlines/>
        <c:title>
          <c:tx>
            <c:rich>
              <a:bodyPr rot="0" vert="wordArtVert"/>
              <a:lstStyle/>
              <a:p>
                <a:pPr>
                  <a:defRPr/>
                </a:pPr>
                <a:r>
                  <a:rPr lang="en-US"/>
                  <a:t>Incentive per first-year therm</a:t>
                </a:r>
              </a:p>
            </c:rich>
          </c:tx>
        </c:title>
        <c:numFmt formatCode="_(&quot;$&quot;* #,##0.00_);_(&quot;$&quot;* \(#,##0.00\);_(&quot;$&quot;* &quot;-&quot;??_);_(@_)" sourceLinked="1"/>
        <c:tickLblPos val="nextTo"/>
        <c:crossAx val="78977280"/>
        <c:crosses val="autoZero"/>
        <c:crossBetween val="midCat"/>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Graphs!$C$4</c:f>
              <c:strCache>
                <c:ptCount val="1"/>
                <c:pt idx="0">
                  <c:v>Revised</c:v>
                </c:pt>
              </c:strCache>
            </c:strRef>
          </c:tx>
          <c:spPr>
            <a:ln>
              <a:solidFill>
                <a:schemeClr val="tx1"/>
              </a:solidFill>
            </a:ln>
          </c:spPr>
          <c:marker>
            <c:symbol val="none"/>
          </c:marker>
          <c:xVal>
            <c:numRef>
              <c:f>Graphs!$B$5:$B$16</c:f>
              <c:numCache>
                <c:formatCode>General</c:formatCode>
                <c:ptCount val="12"/>
                <c:pt idx="0">
                  <c:v>0</c:v>
                </c:pt>
                <c:pt idx="1">
                  <c:v>0.99999990000000005</c:v>
                </c:pt>
                <c:pt idx="2">
                  <c:v>1</c:v>
                </c:pt>
                <c:pt idx="3">
                  <c:v>1.9999998999999988</c:v>
                </c:pt>
                <c:pt idx="4">
                  <c:v>2</c:v>
                </c:pt>
                <c:pt idx="5">
                  <c:v>3.9999899999999977</c:v>
                </c:pt>
                <c:pt idx="6">
                  <c:v>4</c:v>
                </c:pt>
                <c:pt idx="7">
                  <c:v>5.9999989999999999</c:v>
                </c:pt>
                <c:pt idx="8">
                  <c:v>6</c:v>
                </c:pt>
                <c:pt idx="9">
                  <c:v>12.999999000000004</c:v>
                </c:pt>
                <c:pt idx="10">
                  <c:v>13</c:v>
                </c:pt>
                <c:pt idx="11">
                  <c:v>20</c:v>
                </c:pt>
              </c:numCache>
            </c:numRef>
          </c:xVal>
          <c:yVal>
            <c:numRef>
              <c:f>Graphs!$C$5:$C$16</c:f>
              <c:numCache>
                <c:formatCode>_("$"* #,##0.00_);_("$"* \(#,##0.00\);_("$"* "-"??_);_(@_)</c:formatCode>
                <c:ptCount val="12"/>
                <c:pt idx="0">
                  <c:v>0</c:v>
                </c:pt>
                <c:pt idx="1">
                  <c:v>0</c:v>
                </c:pt>
                <c:pt idx="2">
                  <c:v>1.3</c:v>
                </c:pt>
                <c:pt idx="3">
                  <c:v>1.3</c:v>
                </c:pt>
                <c:pt idx="4">
                  <c:v>1.7</c:v>
                </c:pt>
                <c:pt idx="5">
                  <c:v>1.7</c:v>
                </c:pt>
                <c:pt idx="6">
                  <c:v>2</c:v>
                </c:pt>
                <c:pt idx="7">
                  <c:v>2</c:v>
                </c:pt>
                <c:pt idx="8">
                  <c:v>2.2999999999999998</c:v>
                </c:pt>
                <c:pt idx="9">
                  <c:v>2.2999999999999998</c:v>
                </c:pt>
                <c:pt idx="10">
                  <c:v>2.2999999999999998</c:v>
                </c:pt>
                <c:pt idx="11">
                  <c:v>2.2999999999999998</c:v>
                </c:pt>
              </c:numCache>
            </c:numRef>
          </c:yVal>
        </c:ser>
        <c:ser>
          <c:idx val="1"/>
          <c:order val="1"/>
          <c:tx>
            <c:strRef>
              <c:f>Graphs!$D$4</c:f>
              <c:strCache>
                <c:ptCount val="1"/>
                <c:pt idx="0">
                  <c:v>Current</c:v>
                </c:pt>
              </c:strCache>
            </c:strRef>
          </c:tx>
          <c:spPr>
            <a:ln>
              <a:solidFill>
                <a:schemeClr val="tx1"/>
              </a:solidFill>
              <a:prstDash val="dash"/>
            </a:ln>
          </c:spPr>
          <c:marker>
            <c:symbol val="none"/>
          </c:marker>
          <c:xVal>
            <c:numRef>
              <c:f>Graphs!$B$5:$B$16</c:f>
              <c:numCache>
                <c:formatCode>General</c:formatCode>
                <c:ptCount val="12"/>
                <c:pt idx="0">
                  <c:v>0</c:v>
                </c:pt>
                <c:pt idx="1">
                  <c:v>0.99999990000000005</c:v>
                </c:pt>
                <c:pt idx="2">
                  <c:v>1</c:v>
                </c:pt>
                <c:pt idx="3">
                  <c:v>1.9999998999999988</c:v>
                </c:pt>
                <c:pt idx="4">
                  <c:v>2</c:v>
                </c:pt>
                <c:pt idx="5">
                  <c:v>3.9999899999999977</c:v>
                </c:pt>
                <c:pt idx="6">
                  <c:v>4</c:v>
                </c:pt>
                <c:pt idx="7">
                  <c:v>5.9999989999999999</c:v>
                </c:pt>
                <c:pt idx="8">
                  <c:v>6</c:v>
                </c:pt>
                <c:pt idx="9">
                  <c:v>12.999999000000004</c:v>
                </c:pt>
                <c:pt idx="10">
                  <c:v>13</c:v>
                </c:pt>
                <c:pt idx="11">
                  <c:v>20</c:v>
                </c:pt>
              </c:numCache>
            </c:numRef>
          </c:xVal>
          <c:yVal>
            <c:numRef>
              <c:f>Graphs!$D$5:$D$16</c:f>
              <c:numCache>
                <c:formatCode>_("$"* #,##0.00_);_("$"* \(#,##0.00\);_("$"* "-"??_);_(@_)</c:formatCode>
                <c:ptCount val="12"/>
                <c:pt idx="0">
                  <c:v>0</c:v>
                </c:pt>
                <c:pt idx="1">
                  <c:v>0</c:v>
                </c:pt>
                <c:pt idx="2">
                  <c:v>2</c:v>
                </c:pt>
                <c:pt idx="3">
                  <c:v>2</c:v>
                </c:pt>
                <c:pt idx="4">
                  <c:v>2.5</c:v>
                </c:pt>
                <c:pt idx="5">
                  <c:v>2.5</c:v>
                </c:pt>
                <c:pt idx="6">
                  <c:v>3</c:v>
                </c:pt>
                <c:pt idx="7">
                  <c:v>3</c:v>
                </c:pt>
                <c:pt idx="8">
                  <c:v>3.5</c:v>
                </c:pt>
                <c:pt idx="9">
                  <c:v>3.5</c:v>
                </c:pt>
                <c:pt idx="10">
                  <c:v>0</c:v>
                </c:pt>
                <c:pt idx="11">
                  <c:v>0</c:v>
                </c:pt>
              </c:numCache>
            </c:numRef>
          </c:yVal>
        </c:ser>
        <c:axId val="79017856"/>
        <c:axId val="19791872"/>
      </c:scatterChart>
      <c:valAx>
        <c:axId val="79017856"/>
        <c:scaling>
          <c:orientation val="minMax"/>
          <c:max val="20"/>
        </c:scaling>
        <c:axPos val="b"/>
        <c:title>
          <c:tx>
            <c:rich>
              <a:bodyPr/>
              <a:lstStyle/>
              <a:p>
                <a:pPr>
                  <a:defRPr/>
                </a:pPr>
                <a:r>
                  <a:rPr lang="en-US"/>
                  <a:t>Energy Simple Payback (years)</a:t>
                </a:r>
              </a:p>
            </c:rich>
          </c:tx>
        </c:title>
        <c:numFmt formatCode="General" sourceLinked="1"/>
        <c:tickLblPos val="nextTo"/>
        <c:crossAx val="19791872"/>
        <c:crosses val="autoZero"/>
        <c:crossBetween val="midCat"/>
      </c:valAx>
      <c:valAx>
        <c:axId val="19791872"/>
        <c:scaling>
          <c:orientation val="minMax"/>
        </c:scaling>
        <c:axPos val="l"/>
        <c:majorGridlines/>
        <c:title>
          <c:tx>
            <c:rich>
              <a:bodyPr rot="0" vert="wordArtVert"/>
              <a:lstStyle/>
              <a:p>
                <a:pPr>
                  <a:defRPr/>
                </a:pPr>
                <a:r>
                  <a:rPr lang="en-US"/>
                  <a:t>Incentive per first-year therm</a:t>
                </a:r>
              </a:p>
            </c:rich>
          </c:tx>
        </c:title>
        <c:numFmt formatCode="_(&quot;$&quot;* #,##0.00_);_(&quot;$&quot;* \(#,##0.00\);_(&quot;$&quot;* &quot;-&quot;??_);_(@_)" sourceLinked="1"/>
        <c:tickLblPos val="nextTo"/>
        <c:crossAx val="79017856"/>
        <c:crosses val="autoZero"/>
        <c:crossBetween val="midCat"/>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2012-06-29T07:00:00+00:00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352D969DC0246BF312F63C2250349" ma:contentTypeVersion="139" ma:contentTypeDescription="" ma:contentTypeScope="" ma:versionID="32b1db3d6db5a37f5d1a1e0b07421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4AE68-70A6-4F2D-954F-E40EB23B6F96}"/>
</file>

<file path=customXml/itemProps2.xml><?xml version="1.0" encoding="utf-8"?>
<ds:datastoreItem xmlns:ds="http://schemas.openxmlformats.org/officeDocument/2006/customXml" ds:itemID="{23CA0A11-D9AA-4323-81FD-BAB1BCA2FA78}"/>
</file>

<file path=customXml/itemProps3.xml><?xml version="1.0" encoding="utf-8"?>
<ds:datastoreItem xmlns:ds="http://schemas.openxmlformats.org/officeDocument/2006/customXml" ds:itemID="{93C5EF7B-2196-456E-8152-C85374FAF821}"/>
</file>

<file path=customXml/itemProps4.xml><?xml version="1.0" encoding="utf-8"?>
<ds:datastoreItem xmlns:ds="http://schemas.openxmlformats.org/officeDocument/2006/customXml" ds:itemID="{D2CD16DB-328C-43FB-888E-EA19ECDBE196}"/>
</file>

<file path=docProps/app.xml><?xml version="1.0" encoding="utf-8"?>
<Properties xmlns="http://schemas.openxmlformats.org/officeDocument/2006/extended-properties" xmlns:vt="http://schemas.openxmlformats.org/officeDocument/2006/docPropsVTypes">
  <Template>Normal.dotm</Template>
  <TotalTime>2</TotalTime>
  <Pages>13</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jp4047</dc:creator>
  <cp:keywords/>
  <dc:description/>
  <cp:lastModifiedBy>Linda Gervais</cp:lastModifiedBy>
  <cp:revision>3</cp:revision>
  <cp:lastPrinted>2013-08-07T20:54:00Z</cp:lastPrinted>
  <dcterms:created xsi:type="dcterms:W3CDTF">2013-08-08T23:10:00Z</dcterms:created>
  <dcterms:modified xsi:type="dcterms:W3CDTF">2013-08-08T23:18:00Z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0x0101006E56B4D1795A2E4DB2F0B01679ED314A00818352D969DC0246BF312F63C2250349</vt:lpwstr>
  </property>
  <property fmtid="{D5CDD505-2E9C-101B-9397-08002B2CF9AE}" pid="3" name="_docset_NoMedatataSyncRequired">
    <vt:lpwstr>False</vt:lpwstr>
  </property>
</Properties>
</file>