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07F83" w14:textId="77777777" w:rsidR="00501FFC" w:rsidRDefault="00501FFC" w:rsidP="00F748D8">
      <w:pPr>
        <w:tabs>
          <w:tab w:val="center" w:pos="4680"/>
        </w:tabs>
        <w:ind w:right="-108" w:hanging="180"/>
        <w:jc w:val="both"/>
        <w:rPr>
          <w:sz w:val="24"/>
        </w:rPr>
      </w:pPr>
    </w:p>
    <w:p w14:paraId="62907F84" w14:textId="77777777" w:rsidR="00501FFC" w:rsidRDefault="00501FFC" w:rsidP="00F748D8">
      <w:pPr>
        <w:tabs>
          <w:tab w:val="center" w:pos="4680"/>
        </w:tabs>
        <w:ind w:right="-108" w:hanging="180"/>
        <w:jc w:val="both"/>
        <w:rPr>
          <w:sz w:val="24"/>
        </w:rPr>
      </w:pPr>
    </w:p>
    <w:p w14:paraId="62907F85" w14:textId="77777777" w:rsidR="00501FFC" w:rsidRDefault="00501FFC" w:rsidP="00F748D8">
      <w:pPr>
        <w:tabs>
          <w:tab w:val="center" w:pos="4680"/>
        </w:tabs>
        <w:ind w:right="-108" w:hanging="180"/>
        <w:jc w:val="both"/>
        <w:rPr>
          <w:sz w:val="24"/>
        </w:rPr>
      </w:pPr>
    </w:p>
    <w:p w14:paraId="62907F86" w14:textId="77777777" w:rsidR="00501FFC" w:rsidRDefault="00501FFC" w:rsidP="00F748D8">
      <w:pPr>
        <w:tabs>
          <w:tab w:val="center" w:pos="4680"/>
        </w:tabs>
        <w:ind w:right="-108" w:hanging="180"/>
        <w:jc w:val="both"/>
        <w:rPr>
          <w:sz w:val="24"/>
        </w:rPr>
      </w:pPr>
    </w:p>
    <w:p w14:paraId="62907F87" w14:textId="77777777" w:rsidR="00501FFC" w:rsidRDefault="00501FFC" w:rsidP="00F748D8">
      <w:pPr>
        <w:tabs>
          <w:tab w:val="center" w:pos="4680"/>
        </w:tabs>
        <w:ind w:right="-108" w:hanging="180"/>
        <w:jc w:val="both"/>
        <w:rPr>
          <w:sz w:val="24"/>
        </w:rPr>
      </w:pPr>
    </w:p>
    <w:p w14:paraId="62907F88" w14:textId="77777777" w:rsidR="00F748D8" w:rsidRPr="004A2910" w:rsidRDefault="00F748D8" w:rsidP="00F748D8">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14:paraId="62907F89" w14:textId="77777777" w:rsidR="00F748D8" w:rsidRPr="004A2910" w:rsidRDefault="00F748D8" w:rsidP="00F748D8">
      <w:pPr>
        <w:jc w:val="both"/>
        <w:rPr>
          <w:sz w:val="24"/>
        </w:rPr>
      </w:pPr>
    </w:p>
    <w:p w14:paraId="62907F8A" w14:textId="77777777" w:rsidR="00F748D8" w:rsidRPr="004A2910" w:rsidRDefault="00F748D8"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14:paraId="62907F97" w14:textId="77777777">
        <w:tc>
          <w:tcPr>
            <w:tcW w:w="4590" w:type="dxa"/>
            <w:tcBorders>
              <w:top w:val="single" w:sz="6" w:space="0" w:color="FFFFFF"/>
              <w:left w:val="single" w:sz="6" w:space="0" w:color="FFFFFF"/>
              <w:bottom w:val="single" w:sz="7" w:space="0" w:color="000000"/>
              <w:right w:val="single" w:sz="6" w:space="0" w:color="FFFFFF"/>
            </w:tcBorders>
          </w:tcPr>
          <w:p w14:paraId="62907F8B" w14:textId="104D2562" w:rsidR="00595D41" w:rsidRPr="00595D41" w:rsidRDefault="0046791A" w:rsidP="00595D41">
            <w:pPr>
              <w:rPr>
                <w:sz w:val="24"/>
              </w:rPr>
            </w:pPr>
            <w:r>
              <w:rPr>
                <w:sz w:val="24"/>
              </w:rPr>
              <w:t>WASHINGTON UTILITIES AND T</w:t>
            </w:r>
            <w:r w:rsidR="004C4FE7">
              <w:rPr>
                <w:sz w:val="24"/>
              </w:rPr>
              <w:t>RANSPORTATION COMMISSION</w:t>
            </w:r>
          </w:p>
          <w:p w14:paraId="62907F8C" w14:textId="77777777" w:rsidR="00595D41" w:rsidRPr="00595D41" w:rsidRDefault="00595D41" w:rsidP="00595D41">
            <w:pPr>
              <w:rPr>
                <w:sz w:val="24"/>
              </w:rPr>
            </w:pPr>
          </w:p>
          <w:p w14:paraId="62907F8D" w14:textId="77777777" w:rsidR="00595D41" w:rsidRPr="00595D41" w:rsidRDefault="00595D41" w:rsidP="00595D41">
            <w:pPr>
              <w:rPr>
                <w:sz w:val="24"/>
              </w:rPr>
            </w:pPr>
            <w:r w:rsidRPr="00595D41">
              <w:rPr>
                <w:sz w:val="24"/>
              </w:rPr>
              <w:tab/>
            </w:r>
            <w:r w:rsidRPr="00595D41">
              <w:rPr>
                <w:sz w:val="24"/>
              </w:rPr>
              <w:tab/>
              <w:t>Complainant,</w:t>
            </w:r>
          </w:p>
          <w:p w14:paraId="62907F8E" w14:textId="77777777" w:rsidR="00595D41" w:rsidRPr="00595D41" w:rsidRDefault="00595D41" w:rsidP="00595D41">
            <w:pPr>
              <w:rPr>
                <w:sz w:val="24"/>
              </w:rPr>
            </w:pPr>
          </w:p>
          <w:p w14:paraId="62907F8F" w14:textId="77777777" w:rsidR="00595D41" w:rsidRPr="00595D41" w:rsidRDefault="00595D41" w:rsidP="00595D41">
            <w:pPr>
              <w:rPr>
                <w:sz w:val="24"/>
              </w:rPr>
            </w:pPr>
            <w:r w:rsidRPr="00595D41">
              <w:rPr>
                <w:sz w:val="24"/>
              </w:rPr>
              <w:tab/>
              <w:t>v.</w:t>
            </w:r>
          </w:p>
          <w:p w14:paraId="62907F90" w14:textId="77777777" w:rsidR="00595D41" w:rsidRDefault="00595D41" w:rsidP="00595D41">
            <w:pPr>
              <w:rPr>
                <w:sz w:val="24"/>
              </w:rPr>
            </w:pPr>
          </w:p>
          <w:p w14:paraId="7A9FE0E3" w14:textId="62835ED2" w:rsidR="004C4FE7" w:rsidRPr="00595D41" w:rsidRDefault="004C4FE7" w:rsidP="00595D41">
            <w:pPr>
              <w:rPr>
                <w:sz w:val="24"/>
              </w:rPr>
            </w:pPr>
            <w:r>
              <w:rPr>
                <w:sz w:val="24"/>
              </w:rPr>
              <w:t>WASTE CONTROL, INC.</w:t>
            </w:r>
          </w:p>
          <w:p w14:paraId="62907F91" w14:textId="77777777" w:rsidR="00595D41" w:rsidRPr="00595D41" w:rsidRDefault="00595D41" w:rsidP="00595D41">
            <w:pPr>
              <w:rPr>
                <w:sz w:val="24"/>
              </w:rPr>
            </w:pPr>
          </w:p>
          <w:p w14:paraId="62907F92" w14:textId="77777777" w:rsidR="00F748D8" w:rsidRDefault="00595D41" w:rsidP="00595D41">
            <w:pPr>
              <w:spacing w:after="19"/>
              <w:rPr>
                <w:sz w:val="24"/>
              </w:rPr>
            </w:pPr>
            <w:r w:rsidRPr="00595D41">
              <w:rPr>
                <w:sz w:val="24"/>
              </w:rPr>
              <w:tab/>
            </w:r>
            <w:r w:rsidRPr="00595D41">
              <w:rPr>
                <w:sz w:val="24"/>
              </w:rPr>
              <w:tab/>
              <w:t>Respondent.</w:t>
            </w:r>
          </w:p>
          <w:p w14:paraId="62907F93" w14:textId="77777777" w:rsidR="004F69A5" w:rsidRPr="004A2910" w:rsidRDefault="004F69A5" w:rsidP="00595D41">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14:paraId="62907F94" w14:textId="64D98FF4" w:rsidR="00F748D8" w:rsidRPr="004A2910" w:rsidRDefault="004C3D65" w:rsidP="00C5478B">
            <w:pPr>
              <w:ind w:firstLine="720"/>
              <w:rPr>
                <w:sz w:val="24"/>
              </w:rPr>
            </w:pPr>
            <w:r>
              <w:rPr>
                <w:sz w:val="24"/>
              </w:rPr>
              <w:t xml:space="preserve">DOCKET </w:t>
            </w:r>
            <w:r w:rsidR="004C4FE7">
              <w:rPr>
                <w:sz w:val="24"/>
              </w:rPr>
              <w:t>TG-140560</w:t>
            </w:r>
          </w:p>
          <w:p w14:paraId="62907F95" w14:textId="77777777" w:rsidR="00F748D8" w:rsidRPr="004A2910" w:rsidRDefault="00F748D8" w:rsidP="00C5478B">
            <w:pPr>
              <w:rPr>
                <w:sz w:val="24"/>
              </w:rPr>
            </w:pPr>
          </w:p>
          <w:p w14:paraId="62907F96" w14:textId="5152967A" w:rsidR="00F748D8" w:rsidRPr="004A2910" w:rsidRDefault="00983B53" w:rsidP="00C5478B">
            <w:pPr>
              <w:spacing w:after="19"/>
              <w:ind w:left="720"/>
              <w:rPr>
                <w:sz w:val="24"/>
              </w:rPr>
            </w:pPr>
            <w:r>
              <w:rPr>
                <w:sz w:val="24"/>
              </w:rPr>
              <w:t>COMMISSION STAFF</w:t>
            </w:r>
            <w:r w:rsidR="004C4FE7">
              <w:rPr>
                <w:sz w:val="24"/>
              </w:rPr>
              <w:t xml:space="preserve"> ANSWER TO WCI’S PETITION FOR ADMINISTRATIVE REVIEW</w:t>
            </w:r>
          </w:p>
        </w:tc>
      </w:tr>
    </w:tbl>
    <w:p w14:paraId="62907F98" w14:textId="77777777" w:rsidR="00F748D8" w:rsidRDefault="00F748D8" w:rsidP="00F748D8">
      <w:pPr>
        <w:jc w:val="both"/>
        <w:rPr>
          <w:sz w:val="24"/>
        </w:rPr>
      </w:pPr>
    </w:p>
    <w:p w14:paraId="62907F99" w14:textId="2B99F913" w:rsidR="00F748D8" w:rsidRDefault="005F606E" w:rsidP="00922B71">
      <w:pPr>
        <w:pStyle w:val="ListParagraph"/>
        <w:numPr>
          <w:ilvl w:val="0"/>
          <w:numId w:val="5"/>
        </w:numPr>
        <w:spacing w:line="480" w:lineRule="auto"/>
        <w:jc w:val="center"/>
        <w:rPr>
          <w:b/>
        </w:rPr>
      </w:pPr>
      <w:r>
        <w:rPr>
          <w:b/>
        </w:rPr>
        <w:t>INTRODUCTION</w:t>
      </w:r>
    </w:p>
    <w:p w14:paraId="31DAA288" w14:textId="1C010A89" w:rsidR="005F606E" w:rsidRPr="002228E8" w:rsidRDefault="005F606E" w:rsidP="00983B53">
      <w:pPr>
        <w:pStyle w:val="ListParagraph"/>
        <w:numPr>
          <w:ilvl w:val="0"/>
          <w:numId w:val="6"/>
        </w:numPr>
        <w:spacing w:line="480" w:lineRule="auto"/>
        <w:ind w:left="720" w:hanging="720"/>
        <w:jc w:val="both"/>
        <w:rPr>
          <w:b/>
        </w:rPr>
      </w:pPr>
      <w:r>
        <w:rPr>
          <w:b/>
        </w:rPr>
        <w:t>Overview</w:t>
      </w:r>
    </w:p>
    <w:p w14:paraId="29C2431F" w14:textId="5F3CFE25" w:rsidR="002228E8" w:rsidRDefault="002228E8" w:rsidP="00983B53">
      <w:pPr>
        <w:numPr>
          <w:ilvl w:val="0"/>
          <w:numId w:val="2"/>
        </w:numPr>
        <w:spacing w:line="480" w:lineRule="auto"/>
        <w:rPr>
          <w:sz w:val="24"/>
        </w:rPr>
      </w:pPr>
      <w:r>
        <w:rPr>
          <w:sz w:val="24"/>
        </w:rPr>
        <w:t xml:space="preserve"> </w:t>
      </w:r>
      <w:r>
        <w:rPr>
          <w:sz w:val="24"/>
        </w:rPr>
        <w:tab/>
      </w:r>
      <w:r w:rsidR="0046791A">
        <w:rPr>
          <w:sz w:val="24"/>
        </w:rPr>
        <w:t xml:space="preserve">The Commission Staff (“Staff”) and Waste Control, Incorporated (“WCI” or “Company”) (collectively “Parties”)  have spent approximately 21 months </w:t>
      </w:r>
      <w:r w:rsidR="00FB114D">
        <w:rPr>
          <w:sz w:val="24"/>
        </w:rPr>
        <w:t>and two dockets</w:t>
      </w:r>
      <w:r w:rsidR="00224148">
        <w:rPr>
          <w:rStyle w:val="FootnoteReference"/>
          <w:sz w:val="24"/>
        </w:rPr>
        <w:footnoteReference w:id="2"/>
      </w:r>
      <w:r w:rsidR="00FB114D">
        <w:rPr>
          <w:sz w:val="24"/>
        </w:rPr>
        <w:t xml:space="preserve"> </w:t>
      </w:r>
      <w:r w:rsidR="0046791A">
        <w:rPr>
          <w:sz w:val="24"/>
        </w:rPr>
        <w:t>engaged in a lengthy and, often times, contentious general rate proceeding</w:t>
      </w:r>
      <w:r w:rsidR="00F748D8">
        <w:rPr>
          <w:sz w:val="24"/>
        </w:rPr>
        <w:t>.</w:t>
      </w:r>
      <w:r w:rsidR="00F748D8">
        <w:rPr>
          <w:rStyle w:val="FootnoteReference"/>
          <w:sz w:val="24"/>
        </w:rPr>
        <w:footnoteReference w:id="3"/>
      </w:r>
      <w:r w:rsidR="0046791A">
        <w:rPr>
          <w:sz w:val="24"/>
        </w:rPr>
        <w:t xml:space="preserve">  The Parties did settle a number of issues in late 2014</w:t>
      </w:r>
      <w:r>
        <w:t>, t</w:t>
      </w:r>
      <w:r w:rsidRPr="002228E8">
        <w:rPr>
          <w:sz w:val="24"/>
        </w:rPr>
        <w:t xml:space="preserve">he Initial Order approved the </w:t>
      </w:r>
      <w:r>
        <w:rPr>
          <w:sz w:val="24"/>
        </w:rPr>
        <w:t>settlement,</w:t>
      </w:r>
      <w:r w:rsidRPr="002228E8">
        <w:rPr>
          <w:rStyle w:val="FootnoteReference"/>
          <w:sz w:val="24"/>
        </w:rPr>
        <w:t xml:space="preserve"> </w:t>
      </w:r>
      <w:r>
        <w:rPr>
          <w:rStyle w:val="FootnoteReference"/>
          <w:sz w:val="24"/>
        </w:rPr>
        <w:footnoteReference w:id="4"/>
      </w:r>
      <w:r>
        <w:rPr>
          <w:sz w:val="24"/>
        </w:rPr>
        <w:t xml:space="preserve"> and</w:t>
      </w:r>
      <w:r w:rsidR="0046791A">
        <w:rPr>
          <w:sz w:val="24"/>
        </w:rPr>
        <w:t xml:space="preserve"> </w:t>
      </w:r>
      <w:r w:rsidR="00632EC3">
        <w:rPr>
          <w:sz w:val="24"/>
        </w:rPr>
        <w:t>all Parties</w:t>
      </w:r>
      <w:r w:rsidR="0046791A">
        <w:rPr>
          <w:sz w:val="24"/>
        </w:rPr>
        <w:t xml:space="preserve"> continue to support</w:t>
      </w:r>
      <w:r w:rsidR="004C4FE7">
        <w:rPr>
          <w:sz w:val="24"/>
        </w:rPr>
        <w:t xml:space="preserve"> the</w:t>
      </w:r>
      <w:r w:rsidR="00FB114D">
        <w:rPr>
          <w:sz w:val="24"/>
        </w:rPr>
        <w:t xml:space="preserve"> partial settlement. </w:t>
      </w:r>
    </w:p>
    <w:p w14:paraId="165B4057" w14:textId="77777777" w:rsidR="00A01A30" w:rsidRDefault="002228E8" w:rsidP="00983B53">
      <w:pPr>
        <w:widowControl/>
        <w:numPr>
          <w:ilvl w:val="0"/>
          <w:numId w:val="2"/>
        </w:numPr>
        <w:spacing w:line="480" w:lineRule="auto"/>
        <w:rPr>
          <w:sz w:val="24"/>
        </w:rPr>
      </w:pPr>
      <w:r>
        <w:rPr>
          <w:sz w:val="24"/>
        </w:rPr>
        <w:t xml:space="preserve"> </w:t>
      </w:r>
      <w:r>
        <w:rPr>
          <w:sz w:val="24"/>
        </w:rPr>
        <w:tab/>
      </w:r>
      <w:r w:rsidR="00C40312">
        <w:rPr>
          <w:sz w:val="24"/>
        </w:rPr>
        <w:t xml:space="preserve">Four issues remain in dispute, and the Commission’s Initial Order largely sided with Staff’s position on all four of those disputed issues.  </w:t>
      </w:r>
      <w:r w:rsidR="00632EC3">
        <w:rPr>
          <w:sz w:val="24"/>
        </w:rPr>
        <w:t xml:space="preserve">The </w:t>
      </w:r>
      <w:r w:rsidR="00FB114D">
        <w:rPr>
          <w:sz w:val="24"/>
        </w:rPr>
        <w:t xml:space="preserve">extensive evidentiary record, </w:t>
      </w:r>
      <w:r w:rsidR="00FB114D">
        <w:rPr>
          <w:sz w:val="24"/>
        </w:rPr>
        <w:lastRenderedPageBreak/>
        <w:t>longstanding Commission precedent, and basic regulatory accounting principles support the Initial Ord</w:t>
      </w:r>
      <w:r w:rsidR="00C759F8">
        <w:rPr>
          <w:sz w:val="24"/>
        </w:rPr>
        <w:t>er’s findings and conclusions.</w:t>
      </w:r>
      <w:r w:rsidR="00FB114D">
        <w:rPr>
          <w:sz w:val="24"/>
        </w:rPr>
        <w:t xml:space="preserve">  </w:t>
      </w:r>
    </w:p>
    <w:p w14:paraId="62907F9A" w14:textId="4B258080" w:rsidR="00F748D8" w:rsidRDefault="00A01A30" w:rsidP="00983B53">
      <w:pPr>
        <w:numPr>
          <w:ilvl w:val="0"/>
          <w:numId w:val="2"/>
        </w:numPr>
        <w:spacing w:line="480" w:lineRule="auto"/>
        <w:rPr>
          <w:sz w:val="24"/>
        </w:rPr>
      </w:pPr>
      <w:r>
        <w:rPr>
          <w:sz w:val="24"/>
        </w:rPr>
        <w:t xml:space="preserve"> </w:t>
      </w:r>
      <w:r>
        <w:rPr>
          <w:sz w:val="24"/>
        </w:rPr>
        <w:tab/>
      </w:r>
      <w:r w:rsidR="00B97F19">
        <w:rPr>
          <w:sz w:val="24"/>
        </w:rPr>
        <w:t>Staff recognizes that the Commission’s obligation is to set fair, just, re</w:t>
      </w:r>
      <w:r w:rsidR="004C4FE7">
        <w:rPr>
          <w:sz w:val="24"/>
        </w:rPr>
        <w:t>asonable, and sufficient rates</w:t>
      </w:r>
      <w:r w:rsidR="003D312E">
        <w:rPr>
          <w:sz w:val="24"/>
        </w:rPr>
        <w:t>,</w:t>
      </w:r>
      <w:r w:rsidR="004C4FE7">
        <w:rPr>
          <w:sz w:val="24"/>
        </w:rPr>
        <w:t xml:space="preserve"> and</w:t>
      </w:r>
      <w:r w:rsidR="003D312E">
        <w:rPr>
          <w:sz w:val="24"/>
        </w:rPr>
        <w:t xml:space="preserve"> the</w:t>
      </w:r>
      <w:r w:rsidR="004C4FE7">
        <w:rPr>
          <w:sz w:val="24"/>
        </w:rPr>
        <w:t xml:space="preserve"> a</w:t>
      </w:r>
      <w:r w:rsidR="00C759F8">
        <w:rPr>
          <w:sz w:val="24"/>
        </w:rPr>
        <w:t>doption of</w:t>
      </w:r>
      <w:r w:rsidR="00B97F19">
        <w:rPr>
          <w:sz w:val="24"/>
        </w:rPr>
        <w:t xml:space="preserve"> Staff’</w:t>
      </w:r>
      <w:r>
        <w:rPr>
          <w:sz w:val="24"/>
        </w:rPr>
        <w:t xml:space="preserve">s three factor allocator or </w:t>
      </w:r>
      <w:r w:rsidR="00B97F19">
        <w:rPr>
          <w:sz w:val="24"/>
        </w:rPr>
        <w:t>affiliate rents transactions</w:t>
      </w:r>
      <w:r w:rsidR="00C759F8">
        <w:rPr>
          <w:sz w:val="24"/>
        </w:rPr>
        <w:t xml:space="preserve"> methodology</w:t>
      </w:r>
      <w:r w:rsidR="00B97F19">
        <w:rPr>
          <w:sz w:val="24"/>
        </w:rPr>
        <w:t xml:space="preserve"> in this case do</w:t>
      </w:r>
      <w:r w:rsidR="004C4FE7">
        <w:rPr>
          <w:sz w:val="24"/>
        </w:rPr>
        <w:t xml:space="preserve">es </w:t>
      </w:r>
      <w:r w:rsidR="004903AA">
        <w:rPr>
          <w:sz w:val="24"/>
        </w:rPr>
        <w:t xml:space="preserve">not </w:t>
      </w:r>
      <w:r w:rsidR="004C4FE7">
        <w:rPr>
          <w:sz w:val="24"/>
        </w:rPr>
        <w:t>permanently bind the Commission or the solid waste industry</w:t>
      </w:r>
      <w:r w:rsidR="00B97F19">
        <w:rPr>
          <w:sz w:val="24"/>
        </w:rPr>
        <w:t xml:space="preserve"> </w:t>
      </w:r>
      <w:r w:rsidR="003D312E">
        <w:rPr>
          <w:sz w:val="24"/>
        </w:rPr>
        <w:t xml:space="preserve">to those specific calculations </w:t>
      </w:r>
      <w:r w:rsidR="00B97F19">
        <w:rPr>
          <w:sz w:val="24"/>
        </w:rPr>
        <w:t>across all cases and circumstances.</w:t>
      </w:r>
      <w:r w:rsidR="004C4FE7">
        <w:rPr>
          <w:sz w:val="24"/>
        </w:rPr>
        <w:t xml:space="preserve"> </w:t>
      </w:r>
      <w:r w:rsidR="00EE6412">
        <w:rPr>
          <w:sz w:val="24"/>
        </w:rPr>
        <w:t xml:space="preserve"> </w:t>
      </w:r>
      <w:r w:rsidR="00C759F8">
        <w:rPr>
          <w:sz w:val="24"/>
        </w:rPr>
        <w:t xml:space="preserve">Staff’s recommendations are, however, the most fair and reasonable proposals in this case and the Commission should adopt the entirety of the Initial Order as a Final Order. </w:t>
      </w:r>
      <w:r w:rsidR="00B97F19">
        <w:rPr>
          <w:sz w:val="24"/>
        </w:rPr>
        <w:t xml:space="preserve"> </w:t>
      </w:r>
    </w:p>
    <w:p w14:paraId="7AACB7B0" w14:textId="78317EB0" w:rsidR="00FB114D" w:rsidRPr="005F606E" w:rsidRDefault="00FB114D" w:rsidP="00983B53">
      <w:pPr>
        <w:pStyle w:val="ListParagraph"/>
        <w:numPr>
          <w:ilvl w:val="0"/>
          <w:numId w:val="6"/>
        </w:numPr>
        <w:spacing w:line="480" w:lineRule="auto"/>
        <w:ind w:left="720" w:hanging="720"/>
        <w:jc w:val="both"/>
        <w:rPr>
          <w:b/>
        </w:rPr>
      </w:pPr>
      <w:r w:rsidRPr="005F606E">
        <w:rPr>
          <w:b/>
        </w:rPr>
        <w:t>Summary of Remaining Issues</w:t>
      </w:r>
    </w:p>
    <w:p w14:paraId="07091F90" w14:textId="65EC0BCD" w:rsidR="00992E21" w:rsidRDefault="009706E4" w:rsidP="00F748D8">
      <w:pPr>
        <w:numPr>
          <w:ilvl w:val="0"/>
          <w:numId w:val="2"/>
        </w:numPr>
        <w:spacing w:line="480" w:lineRule="auto"/>
        <w:jc w:val="both"/>
        <w:rPr>
          <w:sz w:val="24"/>
        </w:rPr>
      </w:pPr>
      <w:r>
        <w:rPr>
          <w:sz w:val="24"/>
        </w:rPr>
        <w:t>T</w:t>
      </w:r>
      <w:r w:rsidR="00992E21">
        <w:rPr>
          <w:sz w:val="24"/>
        </w:rPr>
        <w:t xml:space="preserve">he ALJ’s Initial </w:t>
      </w:r>
      <w:r>
        <w:rPr>
          <w:sz w:val="24"/>
        </w:rPr>
        <w:t>Order</w:t>
      </w:r>
      <w:r w:rsidR="00992E21">
        <w:rPr>
          <w:sz w:val="24"/>
        </w:rPr>
        <w:t xml:space="preserve"> address</w:t>
      </w:r>
      <w:r>
        <w:rPr>
          <w:sz w:val="24"/>
        </w:rPr>
        <w:t>ed the</w:t>
      </w:r>
      <w:r w:rsidR="00992E21">
        <w:rPr>
          <w:sz w:val="24"/>
        </w:rPr>
        <w:t xml:space="preserve"> four</w:t>
      </w:r>
      <w:r>
        <w:rPr>
          <w:sz w:val="24"/>
        </w:rPr>
        <w:t xml:space="preserve"> remaining</w:t>
      </w:r>
      <w:r w:rsidR="00992E21">
        <w:rPr>
          <w:sz w:val="24"/>
        </w:rPr>
        <w:t xml:space="preserve"> issues</w:t>
      </w:r>
      <w:r w:rsidR="00FB114D">
        <w:rPr>
          <w:sz w:val="24"/>
        </w:rPr>
        <w:t>:</w:t>
      </w:r>
    </w:p>
    <w:p w14:paraId="77E24B86" w14:textId="01876B7F" w:rsidR="00992E21" w:rsidRPr="00735A6A" w:rsidRDefault="00992E21" w:rsidP="00992E21">
      <w:pPr>
        <w:pStyle w:val="ListParagraph"/>
        <w:ind w:left="1440" w:hanging="720"/>
      </w:pPr>
      <w:r w:rsidRPr="007F0B76">
        <w:t xml:space="preserve">1. </w:t>
      </w:r>
      <w:r>
        <w:tab/>
      </w:r>
      <w:r w:rsidRPr="00735A6A">
        <w:rPr>
          <w:u w:val="single"/>
        </w:rPr>
        <w:t>Shared Utilities Expense, Adjustment R-6D.</w:t>
      </w:r>
      <w:r w:rsidRPr="00735A6A">
        <w:rPr>
          <w:b/>
        </w:rPr>
        <w:t xml:space="preserve">  </w:t>
      </w:r>
      <w:r>
        <w:t xml:space="preserve">WCI has numerous affiliates. The Company and its affiliates share facilities.  Staff and the Company dispute the amount of utility expenses from those shared facilities that should be allocated to WCI.  The Initial Order adopted Staff’s allocation methodology and allowed WCI to recover $15,424 of shared utility expenses in rates. </w:t>
      </w:r>
    </w:p>
    <w:p w14:paraId="3F7843FF" w14:textId="4AF0EC69" w:rsidR="00992E21" w:rsidRPr="00735A6A" w:rsidRDefault="00992E21" w:rsidP="00992E21">
      <w:pPr>
        <w:pStyle w:val="ListParagraph"/>
        <w:ind w:left="1440" w:hanging="720"/>
      </w:pPr>
      <w:r w:rsidRPr="007F0B76">
        <w:t xml:space="preserve">2. </w:t>
      </w:r>
      <w:r>
        <w:tab/>
      </w:r>
      <w:r w:rsidRPr="00735A6A">
        <w:rPr>
          <w:u w:val="single"/>
        </w:rPr>
        <w:t>Affiliate Land Rents, Adjustment R-6E.</w:t>
      </w:r>
      <w:r w:rsidRPr="00735A6A">
        <w:rPr>
          <w:b/>
        </w:rPr>
        <w:t xml:space="preserve">  </w:t>
      </w:r>
      <w:r>
        <w:t xml:space="preserve">WCI leases its facilities from affiliated entities.  Staff and the Company dispute the allowable amount of affiliate land rents between WCI and its affiliate landlords.  The Initial Order adopted Staff’s calculation and allowed WCI to recover $85,217 </w:t>
      </w:r>
      <w:r w:rsidR="00990140">
        <w:t>for</w:t>
      </w:r>
      <w:r>
        <w:t xml:space="preserve"> affiliate rent transactions in </w:t>
      </w:r>
      <w:r w:rsidR="00990140">
        <w:t xml:space="preserve">regulated </w:t>
      </w:r>
      <w:r>
        <w:t>rates</w:t>
      </w:r>
      <w:r w:rsidR="00990140">
        <w:t>.</w:t>
      </w:r>
    </w:p>
    <w:p w14:paraId="03D57245" w14:textId="482C440C" w:rsidR="00992E21" w:rsidRPr="00735A6A" w:rsidRDefault="00992E21" w:rsidP="00992E21">
      <w:pPr>
        <w:pStyle w:val="ListParagraph"/>
        <w:ind w:left="1440" w:hanging="720"/>
      </w:pPr>
      <w:r w:rsidRPr="007F0B76">
        <w:t xml:space="preserve">3. </w:t>
      </w:r>
      <w:r>
        <w:tab/>
      </w:r>
      <w:r w:rsidRPr="00735A6A">
        <w:rPr>
          <w:u w:val="single"/>
        </w:rPr>
        <w:t>Rate Case Expenses, Adjustments P-2 and P-3.</w:t>
      </w:r>
      <w:r w:rsidRPr="00735A6A">
        <w:t xml:space="preserve">  </w:t>
      </w:r>
      <w:r>
        <w:t xml:space="preserve">Staff and the Company dispute the amount of rate case costs that should be recoverable in rates. </w:t>
      </w:r>
      <w:r w:rsidR="00EE6412">
        <w:t xml:space="preserve"> </w:t>
      </w:r>
      <w:r w:rsidR="00990140">
        <w:t xml:space="preserve">The Initial Order found the rate case costs </w:t>
      </w:r>
      <w:r w:rsidR="005F606E">
        <w:t>imprudent</w:t>
      </w:r>
      <w:r w:rsidR="00990140">
        <w:t xml:space="preserve"> and adopted Staff’s proposal to allow the Company to recover 100% of costs for the informal audit process in Docket TG-131794, 50% of costs for the formal adjudicative proceeding in Docket TG-131794, and 50% of costs for the formal adjudicative proceeding in Docket </w:t>
      </w:r>
      <w:r w:rsidR="00844940">
        <w:t>TG-</w:t>
      </w:r>
      <w:r w:rsidR="00990140">
        <w:t xml:space="preserve">140560. </w:t>
      </w:r>
    </w:p>
    <w:p w14:paraId="2E8D725F" w14:textId="23DC8661" w:rsidR="00992E21" w:rsidRDefault="00992E21" w:rsidP="00992E21">
      <w:pPr>
        <w:pStyle w:val="ListParagraph"/>
        <w:ind w:left="1440" w:hanging="720"/>
      </w:pPr>
      <w:r w:rsidRPr="007F0B76">
        <w:t xml:space="preserve">4. </w:t>
      </w:r>
      <w:r>
        <w:tab/>
      </w:r>
      <w:r w:rsidRPr="00735A6A">
        <w:rPr>
          <w:u w:val="single"/>
        </w:rPr>
        <w:t>Investigation Fees.</w:t>
      </w:r>
      <w:r w:rsidRPr="00735A6A">
        <w:t xml:space="preserve">  </w:t>
      </w:r>
      <w:r>
        <w:t>Staff and the Company dispute whether the Commission should require WCI to pay the cost</w:t>
      </w:r>
      <w:r w:rsidR="00990140">
        <w:t>s of Staff’s investigation fees</w:t>
      </w:r>
      <w:r w:rsidRPr="00E90242">
        <w:t>.</w:t>
      </w:r>
      <w:r>
        <w:rPr>
          <w:rStyle w:val="FootnoteReference"/>
          <w:rFonts w:eastAsiaTheme="minorHAnsi"/>
        </w:rPr>
        <w:footnoteReference w:id="5"/>
      </w:r>
      <w:r>
        <w:t xml:space="preserve"> </w:t>
      </w:r>
      <w:r w:rsidR="00990140">
        <w:t xml:space="preserve"> The Initial Order required the Company to pay </w:t>
      </w:r>
      <w:r w:rsidR="00990140" w:rsidRPr="00FE0738">
        <w:t>$43,818.82</w:t>
      </w:r>
      <w:r w:rsidR="00990140">
        <w:t xml:space="preserve"> for investigation fees. </w:t>
      </w:r>
    </w:p>
    <w:p w14:paraId="713ACD49" w14:textId="77777777" w:rsidR="00992E21" w:rsidRDefault="00992E21" w:rsidP="00992E21">
      <w:pPr>
        <w:spacing w:line="480" w:lineRule="auto"/>
        <w:jc w:val="both"/>
        <w:rPr>
          <w:sz w:val="24"/>
        </w:rPr>
      </w:pPr>
    </w:p>
    <w:p w14:paraId="24FBC1A3" w14:textId="2477C7C2" w:rsidR="009706E4" w:rsidRDefault="00990140" w:rsidP="00983B53">
      <w:pPr>
        <w:numPr>
          <w:ilvl w:val="0"/>
          <w:numId w:val="2"/>
        </w:numPr>
        <w:spacing w:line="480" w:lineRule="auto"/>
        <w:rPr>
          <w:sz w:val="24"/>
        </w:rPr>
      </w:pPr>
      <w:r>
        <w:rPr>
          <w:sz w:val="24"/>
        </w:rPr>
        <w:t xml:space="preserve"> </w:t>
      </w:r>
      <w:r>
        <w:rPr>
          <w:sz w:val="24"/>
        </w:rPr>
        <w:tab/>
      </w:r>
      <w:r w:rsidR="005F606E">
        <w:rPr>
          <w:sz w:val="24"/>
        </w:rPr>
        <w:t xml:space="preserve">The first two issues noted above, </w:t>
      </w:r>
      <w:r>
        <w:rPr>
          <w:sz w:val="24"/>
        </w:rPr>
        <w:t>Shared Utilities Expense and Affiliate Land Rents</w:t>
      </w:r>
      <w:r w:rsidR="005F606E">
        <w:rPr>
          <w:sz w:val="24"/>
        </w:rPr>
        <w:t>,</w:t>
      </w:r>
      <w:r>
        <w:rPr>
          <w:sz w:val="24"/>
        </w:rPr>
        <w:t xml:space="preserve"> are </w:t>
      </w:r>
      <w:r w:rsidR="00FB114D">
        <w:rPr>
          <w:sz w:val="24"/>
        </w:rPr>
        <w:t xml:space="preserve">fairly straightforward </w:t>
      </w:r>
      <w:r>
        <w:rPr>
          <w:sz w:val="24"/>
        </w:rPr>
        <w:t>accounting disputes</w:t>
      </w:r>
      <w:r w:rsidR="00224148">
        <w:rPr>
          <w:sz w:val="24"/>
        </w:rPr>
        <w:t xml:space="preserve"> that relate to affiliate transactions and cross-subsidies</w:t>
      </w:r>
      <w:r>
        <w:rPr>
          <w:sz w:val="24"/>
        </w:rPr>
        <w:t xml:space="preserve">.  </w:t>
      </w:r>
      <w:r w:rsidR="002E00ED">
        <w:rPr>
          <w:sz w:val="24"/>
        </w:rPr>
        <w:t>The Initial Order found in favor of Staff on thes</w:t>
      </w:r>
      <w:r w:rsidR="005F606E">
        <w:rPr>
          <w:sz w:val="24"/>
        </w:rPr>
        <w:t>e substantive accounting issues</w:t>
      </w:r>
      <w:r w:rsidR="002E00ED">
        <w:rPr>
          <w:sz w:val="24"/>
        </w:rPr>
        <w:t xml:space="preserve"> </w:t>
      </w:r>
      <w:r w:rsidR="005F606E">
        <w:rPr>
          <w:sz w:val="24"/>
        </w:rPr>
        <w:t>because of both</w:t>
      </w:r>
      <w:r w:rsidR="002E00ED">
        <w:rPr>
          <w:sz w:val="24"/>
        </w:rPr>
        <w:t xml:space="preserve"> expert testimony and </w:t>
      </w:r>
      <w:r w:rsidR="005F606E">
        <w:rPr>
          <w:sz w:val="24"/>
        </w:rPr>
        <w:t xml:space="preserve">a series of very </w:t>
      </w:r>
      <w:r>
        <w:rPr>
          <w:sz w:val="24"/>
        </w:rPr>
        <w:t>basic accounting concepts that are well-understood and well-documented in regulatory ratemaking.  The Company’s arguments o</w:t>
      </w:r>
      <w:r w:rsidR="009706E4">
        <w:rPr>
          <w:sz w:val="24"/>
        </w:rPr>
        <w:t>n these accounting</w:t>
      </w:r>
      <w:r>
        <w:rPr>
          <w:sz w:val="24"/>
        </w:rPr>
        <w:t xml:space="preserve"> issues are </w:t>
      </w:r>
      <w:r w:rsidR="00E9739C">
        <w:rPr>
          <w:sz w:val="24"/>
        </w:rPr>
        <w:t xml:space="preserve">simply </w:t>
      </w:r>
      <w:r>
        <w:rPr>
          <w:sz w:val="24"/>
        </w:rPr>
        <w:t xml:space="preserve">misguided </w:t>
      </w:r>
      <w:r w:rsidR="00C90BC7">
        <w:rPr>
          <w:sz w:val="24"/>
        </w:rPr>
        <w:t>and inaccurate</w:t>
      </w:r>
      <w:r w:rsidR="002E00ED">
        <w:rPr>
          <w:sz w:val="24"/>
        </w:rPr>
        <w:t xml:space="preserve">.  </w:t>
      </w:r>
    </w:p>
    <w:p w14:paraId="62907F9B" w14:textId="5FA4EA4A" w:rsidR="00F748D8" w:rsidRDefault="009706E4" w:rsidP="00983B53">
      <w:pPr>
        <w:numPr>
          <w:ilvl w:val="0"/>
          <w:numId w:val="2"/>
        </w:numPr>
        <w:spacing w:line="480" w:lineRule="auto"/>
        <w:rPr>
          <w:sz w:val="24"/>
        </w:rPr>
      </w:pPr>
      <w:r>
        <w:rPr>
          <w:sz w:val="24"/>
        </w:rPr>
        <w:t xml:space="preserve"> </w:t>
      </w:r>
      <w:r>
        <w:rPr>
          <w:sz w:val="24"/>
        </w:rPr>
        <w:tab/>
      </w:r>
      <w:r w:rsidR="005F606E">
        <w:rPr>
          <w:sz w:val="24"/>
        </w:rPr>
        <w:t xml:space="preserve">The third and fourth issues listed above are slightly different.  </w:t>
      </w:r>
      <w:r w:rsidR="00224148">
        <w:rPr>
          <w:sz w:val="24"/>
        </w:rPr>
        <w:t>The disputes surrounding Rate Case Expenses and Investigation Fees are largely unique to this proceeding.  Under the circumstances in this case</w:t>
      </w:r>
      <w:r w:rsidR="00C90BC7">
        <w:rPr>
          <w:sz w:val="24"/>
        </w:rPr>
        <w:t>,</w:t>
      </w:r>
      <w:r w:rsidR="00224148">
        <w:rPr>
          <w:sz w:val="24"/>
        </w:rPr>
        <w:t xml:space="preserve"> where the Company filed a statutorily inadequate rate case in Docket TG-131794 and then took </w:t>
      </w:r>
      <w:r w:rsidR="00A01A30">
        <w:rPr>
          <w:sz w:val="24"/>
        </w:rPr>
        <w:t>illogical</w:t>
      </w:r>
      <w:r w:rsidR="00224148">
        <w:rPr>
          <w:sz w:val="24"/>
        </w:rPr>
        <w:t xml:space="preserve"> positions in both Docket TG-131794 and TG-140560, Staff argued, and the Initial Order found, that the Company should not be able to recoup all of its rate case costs from ratepayers.  </w:t>
      </w:r>
      <w:r>
        <w:rPr>
          <w:sz w:val="24"/>
        </w:rPr>
        <w:t xml:space="preserve">The Initial Order also imposed Investigation Fees on the Company under RCW 81.20.020. </w:t>
      </w:r>
      <w:r w:rsidR="00224148">
        <w:rPr>
          <w:sz w:val="24"/>
        </w:rPr>
        <w:t xml:space="preserve"> </w:t>
      </w:r>
    </w:p>
    <w:p w14:paraId="6B807E74" w14:textId="4B877EEE" w:rsidR="00E9739C" w:rsidRPr="005F606E" w:rsidRDefault="005F606E" w:rsidP="00983B53">
      <w:pPr>
        <w:pStyle w:val="ListParagraph"/>
        <w:keepNext/>
        <w:numPr>
          <w:ilvl w:val="0"/>
          <w:numId w:val="5"/>
        </w:numPr>
        <w:spacing w:line="480" w:lineRule="auto"/>
        <w:jc w:val="center"/>
        <w:rPr>
          <w:b/>
        </w:rPr>
      </w:pPr>
      <w:r>
        <w:rPr>
          <w:b/>
        </w:rPr>
        <w:t>SHARED UTILITY EXPENSE</w:t>
      </w:r>
    </w:p>
    <w:p w14:paraId="5B6636EB" w14:textId="77777777" w:rsidR="008C59BE" w:rsidRPr="00D3767F" w:rsidRDefault="008C59BE" w:rsidP="00983B53">
      <w:pPr>
        <w:pStyle w:val="ListParagraph"/>
        <w:numPr>
          <w:ilvl w:val="0"/>
          <w:numId w:val="7"/>
        </w:numPr>
        <w:spacing w:line="480" w:lineRule="auto"/>
        <w:ind w:hanging="720"/>
        <w:jc w:val="both"/>
        <w:rPr>
          <w:b/>
        </w:rPr>
      </w:pPr>
      <w:r w:rsidRPr="00D3767F">
        <w:rPr>
          <w:b/>
        </w:rPr>
        <w:t>Initial Order Findings</w:t>
      </w:r>
    </w:p>
    <w:p w14:paraId="03D34762" w14:textId="5ABD0D98" w:rsidR="008C59BE" w:rsidRPr="008C59BE" w:rsidRDefault="008C59BE" w:rsidP="00983B53">
      <w:pPr>
        <w:numPr>
          <w:ilvl w:val="0"/>
          <w:numId w:val="2"/>
        </w:numPr>
        <w:spacing w:line="480" w:lineRule="auto"/>
        <w:rPr>
          <w:sz w:val="24"/>
        </w:rPr>
      </w:pPr>
      <w:r>
        <w:rPr>
          <w:sz w:val="24"/>
        </w:rPr>
        <w:t xml:space="preserve"> </w:t>
      </w:r>
      <w:r>
        <w:rPr>
          <w:sz w:val="24"/>
        </w:rPr>
        <w:tab/>
        <w:t xml:space="preserve">The </w:t>
      </w:r>
      <w:r w:rsidR="000B07A3">
        <w:rPr>
          <w:sz w:val="24"/>
        </w:rPr>
        <w:t>Initial Order found that WCI’s first</w:t>
      </w:r>
      <w:r>
        <w:rPr>
          <w:sz w:val="24"/>
        </w:rPr>
        <w:t xml:space="preserve"> proposals were unsubstantiated and the Company’s final proposal contravened generally accepted allocation principles.</w:t>
      </w:r>
      <w:r>
        <w:rPr>
          <w:rStyle w:val="FootnoteReference"/>
          <w:sz w:val="24"/>
        </w:rPr>
        <w:footnoteReference w:id="6"/>
      </w:r>
      <w:r>
        <w:rPr>
          <w:sz w:val="24"/>
        </w:rPr>
        <w:t xml:space="preserve">  Both conclusions are accurate and fully supported by the evidentiary record. </w:t>
      </w:r>
    </w:p>
    <w:p w14:paraId="640EEBE1" w14:textId="672D3E24" w:rsidR="002E00ED" w:rsidRPr="005F606E" w:rsidRDefault="002E00ED" w:rsidP="00983B53">
      <w:pPr>
        <w:pStyle w:val="ListParagraph"/>
        <w:numPr>
          <w:ilvl w:val="0"/>
          <w:numId w:val="7"/>
        </w:numPr>
        <w:spacing w:line="480" w:lineRule="auto"/>
        <w:ind w:hanging="720"/>
        <w:jc w:val="both"/>
        <w:rPr>
          <w:b/>
        </w:rPr>
      </w:pPr>
      <w:r w:rsidRPr="005F606E">
        <w:rPr>
          <w:b/>
        </w:rPr>
        <w:t>Background</w:t>
      </w:r>
    </w:p>
    <w:p w14:paraId="512BEEC4" w14:textId="77A0CDC4" w:rsidR="00304FCC" w:rsidRDefault="005F606E" w:rsidP="00983B53">
      <w:pPr>
        <w:numPr>
          <w:ilvl w:val="0"/>
          <w:numId w:val="2"/>
        </w:numPr>
        <w:spacing w:line="480" w:lineRule="auto"/>
        <w:rPr>
          <w:sz w:val="24"/>
        </w:rPr>
      </w:pPr>
      <w:r>
        <w:rPr>
          <w:sz w:val="24"/>
        </w:rPr>
        <w:t xml:space="preserve"> </w:t>
      </w:r>
      <w:r>
        <w:rPr>
          <w:sz w:val="24"/>
        </w:rPr>
        <w:tab/>
      </w:r>
      <w:r w:rsidR="002E00ED">
        <w:rPr>
          <w:sz w:val="24"/>
        </w:rPr>
        <w:t xml:space="preserve">WCI and its affiliates share certain facilities and employees. </w:t>
      </w:r>
      <w:r w:rsidR="00B07B4A">
        <w:rPr>
          <w:sz w:val="24"/>
        </w:rPr>
        <w:t>Those</w:t>
      </w:r>
      <w:r w:rsidR="002E00ED">
        <w:rPr>
          <w:sz w:val="24"/>
        </w:rPr>
        <w:t xml:space="preserve"> facilities incur utility expenses for power, water, etc.  The Parties disputed the proper allocation of those utility expenses between WCI and its affiliates.  </w:t>
      </w:r>
      <w:r w:rsidR="00304FCC">
        <w:rPr>
          <w:sz w:val="24"/>
        </w:rPr>
        <w:t>Staff advocated allocating common, indirect utilities costs using a three-factor allocator.</w:t>
      </w:r>
      <w:r w:rsidR="00304FCC">
        <w:rPr>
          <w:rStyle w:val="FootnoteReference"/>
          <w:sz w:val="24"/>
        </w:rPr>
        <w:footnoteReference w:id="7"/>
      </w:r>
      <w:r w:rsidR="00304FCC">
        <w:rPr>
          <w:sz w:val="24"/>
        </w:rPr>
        <w:t xml:space="preserve">  </w:t>
      </w:r>
      <w:r w:rsidR="00304FCC" w:rsidRPr="00304FCC">
        <w:rPr>
          <w:sz w:val="24"/>
        </w:rPr>
        <w:t xml:space="preserve">Staff’s “three factor” recommendation allocates </w:t>
      </w:r>
      <w:r w:rsidR="004D1895">
        <w:rPr>
          <w:sz w:val="24"/>
        </w:rPr>
        <w:t>common utilities costs</w:t>
      </w:r>
      <w:r w:rsidR="00304FCC" w:rsidRPr="00304FCC">
        <w:rPr>
          <w:sz w:val="24"/>
        </w:rPr>
        <w:t xml:space="preserve"> on the basis of each entity’s overall impact on those shared costs.</w:t>
      </w:r>
      <w:r w:rsidR="003D312E">
        <w:rPr>
          <w:rStyle w:val="FootnoteReference"/>
          <w:sz w:val="24"/>
        </w:rPr>
        <w:footnoteReference w:id="8"/>
      </w:r>
      <w:r w:rsidR="00304FCC" w:rsidRPr="00304FCC">
        <w:rPr>
          <w:sz w:val="24"/>
        </w:rPr>
        <w:t xml:space="preserve"> </w:t>
      </w:r>
      <w:r w:rsidR="00EE6412">
        <w:rPr>
          <w:sz w:val="24"/>
        </w:rPr>
        <w:t xml:space="preserve"> </w:t>
      </w:r>
      <w:r w:rsidR="00304FCC" w:rsidRPr="00304FCC">
        <w:rPr>
          <w:sz w:val="24"/>
        </w:rPr>
        <w:t xml:space="preserve">The </w:t>
      </w:r>
      <w:r w:rsidR="00304FCC" w:rsidRPr="00304FCC">
        <w:rPr>
          <w:i/>
          <w:sz w:val="24"/>
        </w:rPr>
        <w:t xml:space="preserve">overall </w:t>
      </w:r>
      <w:r w:rsidR="00304FCC" w:rsidRPr="00304FCC">
        <w:rPr>
          <w:sz w:val="24"/>
        </w:rPr>
        <w:t xml:space="preserve">impact </w:t>
      </w:r>
      <w:r w:rsidR="002110CD">
        <w:rPr>
          <w:sz w:val="24"/>
        </w:rPr>
        <w:t>is measured by size and scope of each</w:t>
      </w:r>
      <w:r w:rsidR="00304FCC" w:rsidRPr="00304FCC">
        <w:rPr>
          <w:sz w:val="24"/>
        </w:rPr>
        <w:t xml:space="preserve"> affiliate’s </w:t>
      </w:r>
      <w:r w:rsidR="00304FCC" w:rsidRPr="00304FCC">
        <w:rPr>
          <w:i/>
          <w:sz w:val="24"/>
        </w:rPr>
        <w:t>overall</w:t>
      </w:r>
      <w:r w:rsidR="00304FCC" w:rsidRPr="00304FCC">
        <w:rPr>
          <w:sz w:val="24"/>
        </w:rPr>
        <w:t xml:space="preserve"> operations. </w:t>
      </w:r>
      <w:r w:rsidR="00EE6412">
        <w:rPr>
          <w:sz w:val="24"/>
        </w:rPr>
        <w:t xml:space="preserve"> </w:t>
      </w:r>
      <w:r w:rsidR="00304FCC" w:rsidRPr="00304FCC">
        <w:rPr>
          <w:sz w:val="24"/>
        </w:rPr>
        <w:t xml:space="preserve">The concept is transparent and reasonable. </w:t>
      </w:r>
      <w:r w:rsidR="00D3767F">
        <w:rPr>
          <w:sz w:val="24"/>
        </w:rPr>
        <w:t xml:space="preserve"> </w:t>
      </w:r>
      <w:r w:rsidR="00304FCC" w:rsidRPr="004A43A4">
        <w:rPr>
          <w:sz w:val="24"/>
        </w:rPr>
        <w:t xml:space="preserve">The Company’s proposals </w:t>
      </w:r>
      <w:r w:rsidR="00304FCC">
        <w:rPr>
          <w:sz w:val="24"/>
        </w:rPr>
        <w:t>were</w:t>
      </w:r>
      <w:r w:rsidR="00304FCC" w:rsidRPr="004A43A4">
        <w:rPr>
          <w:sz w:val="24"/>
        </w:rPr>
        <w:t xml:space="preserve"> either unsupported, not actually provided at all, or contravene fundamental accounting principles and Commission precedent</w:t>
      </w:r>
      <w:r w:rsidR="00304FCC">
        <w:rPr>
          <w:sz w:val="24"/>
        </w:rPr>
        <w:t>.</w:t>
      </w:r>
      <w:r w:rsidR="00304FCC" w:rsidRPr="004A43A4">
        <w:rPr>
          <w:sz w:val="24"/>
        </w:rPr>
        <w:t xml:space="preserve"> </w:t>
      </w:r>
    </w:p>
    <w:p w14:paraId="63864101" w14:textId="7EDBD814" w:rsidR="004A43A4" w:rsidRPr="00D3767F" w:rsidRDefault="002E00ED" w:rsidP="00983B53">
      <w:pPr>
        <w:pStyle w:val="ListParagraph"/>
        <w:numPr>
          <w:ilvl w:val="0"/>
          <w:numId w:val="7"/>
        </w:numPr>
        <w:spacing w:line="480" w:lineRule="auto"/>
        <w:ind w:hanging="720"/>
        <w:jc w:val="both"/>
        <w:rPr>
          <w:b/>
        </w:rPr>
      </w:pPr>
      <w:r w:rsidRPr="00D3767F">
        <w:rPr>
          <w:b/>
        </w:rPr>
        <w:t>Company’s</w:t>
      </w:r>
      <w:r w:rsidR="004A43A4" w:rsidRPr="00D3767F">
        <w:rPr>
          <w:b/>
        </w:rPr>
        <w:t xml:space="preserve"> Proposals</w:t>
      </w:r>
    </w:p>
    <w:p w14:paraId="339AA92D" w14:textId="2A0EFBB8" w:rsidR="00FA6DA1" w:rsidRPr="00D3767F" w:rsidRDefault="00FA6DA1" w:rsidP="003D312E">
      <w:pPr>
        <w:pStyle w:val="ListParagraph"/>
        <w:numPr>
          <w:ilvl w:val="0"/>
          <w:numId w:val="8"/>
        </w:numPr>
        <w:spacing w:line="480" w:lineRule="auto"/>
        <w:ind w:left="1440"/>
        <w:jc w:val="both"/>
        <w:rPr>
          <w:b/>
        </w:rPr>
      </w:pPr>
      <w:r w:rsidRPr="00D3767F">
        <w:rPr>
          <w:b/>
        </w:rPr>
        <w:t>“1-divided by 3”</w:t>
      </w:r>
    </w:p>
    <w:p w14:paraId="57B4C305" w14:textId="318D66DF" w:rsidR="002E00ED" w:rsidRDefault="00FA6DA1" w:rsidP="00983B53">
      <w:pPr>
        <w:numPr>
          <w:ilvl w:val="0"/>
          <w:numId w:val="2"/>
        </w:numPr>
        <w:spacing w:line="480" w:lineRule="auto"/>
        <w:rPr>
          <w:sz w:val="24"/>
        </w:rPr>
      </w:pPr>
      <w:r>
        <w:rPr>
          <w:sz w:val="24"/>
        </w:rPr>
        <w:t xml:space="preserve"> </w:t>
      </w:r>
      <w:r>
        <w:rPr>
          <w:sz w:val="24"/>
        </w:rPr>
        <w:tab/>
      </w:r>
      <w:r w:rsidR="004A43A4" w:rsidRPr="004A43A4">
        <w:rPr>
          <w:sz w:val="24"/>
        </w:rPr>
        <w:t>First, in its direct testimony, the Company proposed to allocate shared utilities expense based on the number of af</w:t>
      </w:r>
      <w:r w:rsidR="002E00ED">
        <w:rPr>
          <w:sz w:val="24"/>
        </w:rPr>
        <w:t xml:space="preserve">filiates sharing a facility. </w:t>
      </w:r>
      <w:r w:rsidR="00EE6412">
        <w:rPr>
          <w:sz w:val="24"/>
        </w:rPr>
        <w:t xml:space="preserve"> </w:t>
      </w:r>
      <w:r w:rsidR="002E00ED">
        <w:rPr>
          <w:sz w:val="24"/>
        </w:rPr>
        <w:t>For</w:t>
      </w:r>
      <w:r w:rsidR="004A43A4" w:rsidRPr="004A43A4">
        <w:rPr>
          <w:sz w:val="24"/>
        </w:rPr>
        <w:t xml:space="preserve"> example, if three affiliates share space, WCI advocated a one-third (1/3) allocation of shared utilities expenses for each entity without any further analysis.</w:t>
      </w:r>
      <w:r w:rsidR="004A43A4" w:rsidRPr="004A43A4">
        <w:rPr>
          <w:rStyle w:val="FootnoteReference"/>
          <w:sz w:val="24"/>
        </w:rPr>
        <w:footnoteReference w:id="9"/>
      </w:r>
      <w:r w:rsidR="004A43A4" w:rsidRPr="004A43A4">
        <w:rPr>
          <w:sz w:val="24"/>
        </w:rPr>
        <w:t xml:space="preserve"> </w:t>
      </w:r>
      <w:r w:rsidR="002E00ED">
        <w:rPr>
          <w:sz w:val="24"/>
        </w:rPr>
        <w:t xml:space="preserve"> </w:t>
      </w:r>
      <w:r w:rsidR="00A01A30">
        <w:rPr>
          <w:sz w:val="24"/>
        </w:rPr>
        <w:t>The Company did not provide any</w:t>
      </w:r>
      <w:r w:rsidR="00D3767F">
        <w:rPr>
          <w:sz w:val="24"/>
        </w:rPr>
        <w:t xml:space="preserve"> </w:t>
      </w:r>
      <w:r w:rsidR="00CF4D24">
        <w:rPr>
          <w:sz w:val="24"/>
        </w:rPr>
        <w:t xml:space="preserve">support, data, or </w:t>
      </w:r>
      <w:r w:rsidR="00D3767F">
        <w:rPr>
          <w:sz w:val="24"/>
        </w:rPr>
        <w:t>even an explanation for the “1-divided by-3</w:t>
      </w:r>
      <w:r w:rsidR="00CF4D24">
        <w:rPr>
          <w:sz w:val="24"/>
        </w:rPr>
        <w:t>” methodology</w:t>
      </w:r>
      <w:r w:rsidR="00D3767F">
        <w:rPr>
          <w:sz w:val="24"/>
        </w:rPr>
        <w:t xml:space="preserve"> anywhere in the record</w:t>
      </w:r>
      <w:r w:rsidR="00CF4D24">
        <w:rPr>
          <w:sz w:val="24"/>
        </w:rPr>
        <w:t xml:space="preserve">. </w:t>
      </w:r>
      <w:r w:rsidR="00EE6412">
        <w:rPr>
          <w:sz w:val="24"/>
        </w:rPr>
        <w:t xml:space="preserve"> </w:t>
      </w:r>
      <w:r w:rsidR="002E00ED">
        <w:rPr>
          <w:sz w:val="24"/>
        </w:rPr>
        <w:t xml:space="preserve">The Initial Order </w:t>
      </w:r>
      <w:r w:rsidR="00CF4D24">
        <w:rPr>
          <w:sz w:val="24"/>
        </w:rPr>
        <w:t xml:space="preserve">thus </w:t>
      </w:r>
      <w:r w:rsidR="002E00ED">
        <w:rPr>
          <w:sz w:val="24"/>
        </w:rPr>
        <w:t>reasonably concluded that such a proposal was unsupported</w:t>
      </w:r>
      <w:r w:rsidR="00A01A30">
        <w:rPr>
          <w:sz w:val="24"/>
        </w:rPr>
        <w:t xml:space="preserve"> and unreasonable</w:t>
      </w:r>
      <w:r w:rsidR="002E00ED">
        <w:rPr>
          <w:sz w:val="24"/>
        </w:rPr>
        <w:t xml:space="preserve">. </w:t>
      </w:r>
    </w:p>
    <w:p w14:paraId="3E163C10" w14:textId="49AE520E" w:rsidR="00FA6DA1" w:rsidRPr="00D3767F" w:rsidRDefault="00DF679D" w:rsidP="003D312E">
      <w:pPr>
        <w:pStyle w:val="ListParagraph"/>
        <w:numPr>
          <w:ilvl w:val="0"/>
          <w:numId w:val="8"/>
        </w:numPr>
        <w:tabs>
          <w:tab w:val="left" w:pos="630"/>
        </w:tabs>
        <w:spacing w:line="480" w:lineRule="auto"/>
        <w:ind w:left="1440"/>
        <w:jc w:val="both"/>
        <w:rPr>
          <w:b/>
        </w:rPr>
      </w:pPr>
      <w:r>
        <w:rPr>
          <w:b/>
        </w:rPr>
        <w:t xml:space="preserve">The </w:t>
      </w:r>
      <w:r w:rsidR="00FA6DA1" w:rsidRPr="00D3767F">
        <w:rPr>
          <w:b/>
        </w:rPr>
        <w:t>Imaginary Square Footage</w:t>
      </w:r>
      <w:r w:rsidR="00CF4D24" w:rsidRPr="00D3767F">
        <w:rPr>
          <w:b/>
        </w:rPr>
        <w:t xml:space="preserve"> Proposal</w:t>
      </w:r>
    </w:p>
    <w:p w14:paraId="08EA520F" w14:textId="18B03BC7" w:rsidR="009706E4" w:rsidRDefault="002E00ED" w:rsidP="00983B53">
      <w:pPr>
        <w:numPr>
          <w:ilvl w:val="0"/>
          <w:numId w:val="2"/>
        </w:numPr>
        <w:spacing w:line="480" w:lineRule="auto"/>
        <w:rPr>
          <w:sz w:val="24"/>
        </w:rPr>
      </w:pPr>
      <w:r>
        <w:rPr>
          <w:sz w:val="24"/>
        </w:rPr>
        <w:t xml:space="preserve"> </w:t>
      </w:r>
      <w:r>
        <w:rPr>
          <w:sz w:val="24"/>
        </w:rPr>
        <w:tab/>
      </w:r>
      <w:r w:rsidR="004A43A4" w:rsidRPr="004A43A4">
        <w:rPr>
          <w:sz w:val="24"/>
        </w:rPr>
        <w:t xml:space="preserve">In rebuttal testimony, </w:t>
      </w:r>
      <w:r w:rsidR="004A43A4">
        <w:rPr>
          <w:sz w:val="24"/>
        </w:rPr>
        <w:t>the Company advocated</w:t>
      </w:r>
      <w:r w:rsidR="004A43A4" w:rsidRPr="004A43A4">
        <w:rPr>
          <w:sz w:val="24"/>
        </w:rPr>
        <w:t xml:space="preserve"> the use of another, unspecified allocation methodology apparently based on</w:t>
      </w:r>
      <w:r>
        <w:rPr>
          <w:sz w:val="24"/>
        </w:rPr>
        <w:t xml:space="preserve"> square footage.</w:t>
      </w:r>
      <w:r w:rsidR="00D3767F" w:rsidRPr="00D3767F">
        <w:rPr>
          <w:rStyle w:val="FootnoteReference"/>
        </w:rPr>
        <w:t xml:space="preserve"> </w:t>
      </w:r>
      <w:r w:rsidR="00D3767F" w:rsidRPr="00735A6A">
        <w:rPr>
          <w:rStyle w:val="FootnoteReference"/>
        </w:rPr>
        <w:footnoteReference w:id="10"/>
      </w:r>
      <w:r>
        <w:rPr>
          <w:sz w:val="24"/>
        </w:rPr>
        <w:t xml:space="preserve"> </w:t>
      </w:r>
      <w:r w:rsidR="00EE6412">
        <w:rPr>
          <w:sz w:val="24"/>
        </w:rPr>
        <w:t xml:space="preserve"> </w:t>
      </w:r>
      <w:r>
        <w:rPr>
          <w:sz w:val="24"/>
        </w:rPr>
        <w:t>But</w:t>
      </w:r>
      <w:r w:rsidR="004A43A4" w:rsidRPr="004A43A4">
        <w:rPr>
          <w:sz w:val="24"/>
        </w:rPr>
        <w:t xml:space="preserve"> WCI </w:t>
      </w:r>
      <w:r w:rsidR="00A84B4F">
        <w:rPr>
          <w:sz w:val="24"/>
        </w:rPr>
        <w:t>did not</w:t>
      </w:r>
      <w:r w:rsidR="004A43A4" w:rsidRPr="004A43A4">
        <w:rPr>
          <w:sz w:val="24"/>
        </w:rPr>
        <w:t xml:space="preserve"> propose a narrative of its methodology, supporting data and calculations, or even the resulting allocator.</w:t>
      </w:r>
      <w:r w:rsidR="004A43A4" w:rsidRPr="00735A6A">
        <w:rPr>
          <w:rStyle w:val="FootnoteReference"/>
        </w:rPr>
        <w:footnoteReference w:id="11"/>
      </w:r>
      <w:r w:rsidR="00FA6DA1">
        <w:rPr>
          <w:sz w:val="24"/>
        </w:rPr>
        <w:t xml:space="preserve">  The Company never put forward an actual square footage allocation, and the Initial Order rightly concluded that the proposal, or lack thereof, was unsupported and unreasonable.</w:t>
      </w:r>
      <w:r w:rsidR="00DF679D">
        <w:rPr>
          <w:rStyle w:val="FootnoteReference"/>
          <w:sz w:val="24"/>
        </w:rPr>
        <w:footnoteReference w:id="12"/>
      </w:r>
      <w:r w:rsidR="00FA6DA1">
        <w:rPr>
          <w:sz w:val="24"/>
        </w:rPr>
        <w:t xml:space="preserve"> </w:t>
      </w:r>
      <w:r w:rsidR="006300B6">
        <w:rPr>
          <w:sz w:val="24"/>
        </w:rPr>
        <w:t xml:space="preserve"> Staff also </w:t>
      </w:r>
      <w:r w:rsidR="00DF679D">
        <w:rPr>
          <w:sz w:val="24"/>
        </w:rPr>
        <w:t>noted</w:t>
      </w:r>
      <w:r w:rsidR="006300B6">
        <w:rPr>
          <w:sz w:val="24"/>
        </w:rPr>
        <w:t xml:space="preserve"> that allocating by square footage was </w:t>
      </w:r>
      <w:r w:rsidR="00DF679D">
        <w:rPr>
          <w:sz w:val="24"/>
        </w:rPr>
        <w:t>impossible</w:t>
      </w:r>
      <w:r w:rsidR="006300B6">
        <w:rPr>
          <w:sz w:val="24"/>
        </w:rPr>
        <w:t xml:space="preserve"> in this case because WCI and its affiliates all share </w:t>
      </w:r>
      <w:r w:rsidR="00DF679D">
        <w:rPr>
          <w:sz w:val="24"/>
        </w:rPr>
        <w:t xml:space="preserve">the same </w:t>
      </w:r>
      <w:r w:rsidR="006300B6">
        <w:rPr>
          <w:sz w:val="24"/>
        </w:rPr>
        <w:t xml:space="preserve">employees, </w:t>
      </w:r>
      <w:r w:rsidR="00DF679D">
        <w:rPr>
          <w:sz w:val="24"/>
        </w:rPr>
        <w:t xml:space="preserve">physical space, </w:t>
      </w:r>
      <w:r w:rsidR="006300B6">
        <w:rPr>
          <w:sz w:val="24"/>
        </w:rPr>
        <w:t>and equipment.</w:t>
      </w:r>
      <w:r w:rsidR="006300B6">
        <w:rPr>
          <w:rStyle w:val="FootnoteReference"/>
          <w:sz w:val="24"/>
        </w:rPr>
        <w:footnoteReference w:id="13"/>
      </w:r>
      <w:r w:rsidR="006300B6">
        <w:rPr>
          <w:sz w:val="24"/>
        </w:rPr>
        <w:t xml:space="preserve">  </w:t>
      </w:r>
    </w:p>
    <w:p w14:paraId="52873A87" w14:textId="788E04EE" w:rsidR="00A84B4F" w:rsidRPr="00DF679D" w:rsidRDefault="003D312E" w:rsidP="003D312E">
      <w:pPr>
        <w:pStyle w:val="ListParagraph"/>
        <w:numPr>
          <w:ilvl w:val="0"/>
          <w:numId w:val="8"/>
        </w:numPr>
        <w:spacing w:line="480" w:lineRule="auto"/>
        <w:ind w:left="1440"/>
        <w:jc w:val="both"/>
        <w:rPr>
          <w:b/>
        </w:rPr>
      </w:pPr>
      <w:r>
        <w:rPr>
          <w:b/>
        </w:rPr>
        <w:t>Allocating Direct Costs to Subsidize Non-R</w:t>
      </w:r>
      <w:r w:rsidR="00DF679D">
        <w:rPr>
          <w:b/>
        </w:rPr>
        <w:t xml:space="preserve">egulated </w:t>
      </w:r>
      <w:r>
        <w:rPr>
          <w:b/>
        </w:rPr>
        <w:t>Operations</w:t>
      </w:r>
    </w:p>
    <w:p w14:paraId="1FA5F309" w14:textId="370323E7" w:rsidR="009706E4" w:rsidRPr="0060419B" w:rsidRDefault="0060419B" w:rsidP="00983B53">
      <w:pPr>
        <w:numPr>
          <w:ilvl w:val="0"/>
          <w:numId w:val="2"/>
        </w:numPr>
        <w:spacing w:line="480" w:lineRule="auto"/>
        <w:rPr>
          <w:sz w:val="24"/>
        </w:rPr>
      </w:pPr>
      <w:r>
        <w:rPr>
          <w:sz w:val="24"/>
        </w:rPr>
        <w:t xml:space="preserve"> </w:t>
      </w:r>
      <w:r>
        <w:rPr>
          <w:sz w:val="24"/>
        </w:rPr>
        <w:tab/>
      </w:r>
      <w:r w:rsidR="00A84B4F" w:rsidRPr="0060419B">
        <w:rPr>
          <w:sz w:val="24"/>
        </w:rPr>
        <w:t xml:space="preserve">The Company’s </w:t>
      </w:r>
      <w:r w:rsidR="002110CD">
        <w:rPr>
          <w:sz w:val="24"/>
        </w:rPr>
        <w:t>last</w:t>
      </w:r>
      <w:r w:rsidR="00A84B4F" w:rsidRPr="0060419B">
        <w:rPr>
          <w:sz w:val="24"/>
        </w:rPr>
        <w:t xml:space="preserve"> proposal violates basic accounting principles. </w:t>
      </w:r>
      <w:r w:rsidR="00BD79C5">
        <w:rPr>
          <w:sz w:val="24"/>
        </w:rPr>
        <w:t>The Company argued</w:t>
      </w:r>
      <w:r w:rsidR="00CF4D24" w:rsidRPr="0060419B">
        <w:rPr>
          <w:sz w:val="24"/>
        </w:rPr>
        <w:t xml:space="preserve"> </w:t>
      </w:r>
      <w:r>
        <w:rPr>
          <w:sz w:val="24"/>
        </w:rPr>
        <w:t>to reduce its affiliates’ allocation of expense for shared facilities because of approximately $59,000 the affiliates incurred for expenses in their own, exclusive-use facilities</w:t>
      </w:r>
      <w:r w:rsidR="00BD79C5">
        <w:rPr>
          <w:sz w:val="24"/>
        </w:rPr>
        <w:t>.</w:t>
      </w:r>
      <w:r w:rsidR="00BD79C5">
        <w:rPr>
          <w:rStyle w:val="FootnoteReference"/>
          <w:rFonts w:eastAsiaTheme="minorHAnsi"/>
        </w:rPr>
        <w:footnoteReference w:id="14"/>
      </w:r>
      <w:r w:rsidR="00EF6FCA">
        <w:rPr>
          <w:sz w:val="24"/>
        </w:rPr>
        <w:t xml:space="preserve"> </w:t>
      </w:r>
      <w:r w:rsidR="004903AA">
        <w:rPr>
          <w:sz w:val="24"/>
        </w:rPr>
        <w:t xml:space="preserve"> </w:t>
      </w:r>
      <w:r w:rsidR="00EF6FCA">
        <w:rPr>
          <w:sz w:val="24"/>
        </w:rPr>
        <w:t>WCI</w:t>
      </w:r>
      <w:r w:rsidR="00BD79C5">
        <w:rPr>
          <w:sz w:val="24"/>
        </w:rPr>
        <w:t>’s</w:t>
      </w:r>
      <w:r w:rsidR="00EF6FCA">
        <w:rPr>
          <w:sz w:val="24"/>
        </w:rPr>
        <w:t xml:space="preserve"> </w:t>
      </w:r>
      <w:r w:rsidR="00BD79C5">
        <w:rPr>
          <w:sz w:val="24"/>
        </w:rPr>
        <w:t>is asking the Commission</w:t>
      </w:r>
      <w:r w:rsidR="00EF6FCA">
        <w:rPr>
          <w:sz w:val="24"/>
        </w:rPr>
        <w:t xml:space="preserve"> to allocate shared costs using non-shared costs.  More simply, </w:t>
      </w:r>
      <w:r>
        <w:rPr>
          <w:sz w:val="24"/>
        </w:rPr>
        <w:t xml:space="preserve">WCI is asking regulated ratepayers to pay costs that WCI did not cause. </w:t>
      </w:r>
      <w:r w:rsidR="00EE6412">
        <w:rPr>
          <w:sz w:val="24"/>
        </w:rPr>
        <w:t xml:space="preserve"> </w:t>
      </w:r>
      <w:r w:rsidR="00EF6FCA">
        <w:rPr>
          <w:sz w:val="24"/>
        </w:rPr>
        <w:t>S</w:t>
      </w:r>
      <w:r w:rsidR="00CB75D3">
        <w:rPr>
          <w:sz w:val="24"/>
        </w:rPr>
        <w:t xml:space="preserve">uch a proposal is inconsistent </w:t>
      </w:r>
      <w:r w:rsidR="00EF6FCA">
        <w:rPr>
          <w:sz w:val="24"/>
        </w:rPr>
        <w:t xml:space="preserve">and </w:t>
      </w:r>
      <w:r>
        <w:rPr>
          <w:sz w:val="24"/>
        </w:rPr>
        <w:t xml:space="preserve">a clear request for subsidy from regulated operations to non-regulated operations.  </w:t>
      </w:r>
    </w:p>
    <w:p w14:paraId="2016BA7E" w14:textId="5221F2B7" w:rsidR="004D1895" w:rsidRDefault="0060419B" w:rsidP="00983B53">
      <w:pPr>
        <w:numPr>
          <w:ilvl w:val="0"/>
          <w:numId w:val="2"/>
        </w:numPr>
        <w:spacing w:line="480" w:lineRule="auto"/>
        <w:rPr>
          <w:sz w:val="24"/>
        </w:rPr>
      </w:pPr>
      <w:r>
        <w:rPr>
          <w:sz w:val="24"/>
        </w:rPr>
        <w:t xml:space="preserve"> </w:t>
      </w:r>
      <w:r>
        <w:rPr>
          <w:sz w:val="24"/>
        </w:rPr>
        <w:tab/>
      </w:r>
      <w:r w:rsidR="00573C5D">
        <w:rPr>
          <w:sz w:val="24"/>
        </w:rPr>
        <w:t>As Staff pointed out numerous times, t</w:t>
      </w:r>
      <w:r w:rsidR="004D1895">
        <w:rPr>
          <w:sz w:val="24"/>
        </w:rPr>
        <w:t xml:space="preserve">he Commission, along with virtually every text on regulatory ratemaking, has stated that direct costs should </w:t>
      </w:r>
      <w:r>
        <w:rPr>
          <w:sz w:val="24"/>
        </w:rPr>
        <w:t>be directly assigned.</w:t>
      </w:r>
      <w:r w:rsidR="00BD79C5">
        <w:rPr>
          <w:rStyle w:val="FootnoteReference"/>
          <w:sz w:val="24"/>
        </w:rPr>
        <w:footnoteReference w:id="15"/>
      </w:r>
      <w:r>
        <w:rPr>
          <w:sz w:val="24"/>
        </w:rPr>
        <w:t xml:space="preserve"> </w:t>
      </w:r>
      <w:r w:rsidR="00EE6412">
        <w:rPr>
          <w:sz w:val="24"/>
        </w:rPr>
        <w:t xml:space="preserve"> </w:t>
      </w:r>
      <w:r>
        <w:rPr>
          <w:sz w:val="24"/>
        </w:rPr>
        <w:t xml:space="preserve">Where costs cannot be directly assigned, </w:t>
      </w:r>
      <w:r w:rsidR="00573C5D">
        <w:rPr>
          <w:sz w:val="24"/>
        </w:rPr>
        <w:t>th</w:t>
      </w:r>
      <w:r>
        <w:rPr>
          <w:sz w:val="24"/>
        </w:rPr>
        <w:t>e</w:t>
      </w:r>
      <w:r w:rsidR="002110CD">
        <w:rPr>
          <w:sz w:val="24"/>
        </w:rPr>
        <w:t xml:space="preserve"> remaining</w:t>
      </w:r>
      <w:r>
        <w:rPr>
          <w:sz w:val="24"/>
        </w:rPr>
        <w:t xml:space="preserve"> common</w:t>
      </w:r>
      <w:r w:rsidR="00573C5D">
        <w:rPr>
          <w:sz w:val="24"/>
        </w:rPr>
        <w:t>, indirect</w:t>
      </w:r>
      <w:r>
        <w:rPr>
          <w:sz w:val="24"/>
        </w:rPr>
        <w:t xml:space="preserve"> costs should be allocated to reasonably reflect cost causation.</w:t>
      </w:r>
      <w:r w:rsidR="00E563E0">
        <w:rPr>
          <w:rStyle w:val="FootnoteReference"/>
          <w:sz w:val="24"/>
        </w:rPr>
        <w:footnoteReference w:id="16"/>
      </w:r>
      <w:r>
        <w:rPr>
          <w:sz w:val="24"/>
        </w:rPr>
        <w:t xml:space="preserve">  </w:t>
      </w:r>
      <w:r w:rsidR="00E563E0">
        <w:rPr>
          <w:sz w:val="24"/>
        </w:rPr>
        <w:t>Even the Company’s expert witness acknowledged in oral testimony that only indirect costs are allocated.</w:t>
      </w:r>
      <w:r w:rsidR="00E563E0">
        <w:rPr>
          <w:rStyle w:val="FootnoteReference"/>
          <w:sz w:val="24"/>
        </w:rPr>
        <w:footnoteReference w:id="17"/>
      </w:r>
      <w:r w:rsidR="00E563E0">
        <w:rPr>
          <w:sz w:val="24"/>
        </w:rPr>
        <w:t xml:space="preserve">  </w:t>
      </w:r>
      <w:r>
        <w:rPr>
          <w:sz w:val="24"/>
        </w:rPr>
        <w:t>WCI’s proposal to offset common, indirect costs w</w:t>
      </w:r>
      <w:r w:rsidR="00EF6FCA">
        <w:rPr>
          <w:sz w:val="24"/>
        </w:rPr>
        <w:t>ith direct costs plainly contradicts the</w:t>
      </w:r>
      <w:r>
        <w:rPr>
          <w:sz w:val="24"/>
        </w:rPr>
        <w:t xml:space="preserve"> longstanding regulatory principle.  Therefore,</w:t>
      </w:r>
      <w:r w:rsidR="00EF6FCA">
        <w:rPr>
          <w:sz w:val="24"/>
        </w:rPr>
        <w:t xml:space="preserve"> the Initial Order correctly concluded that</w:t>
      </w:r>
      <w:r>
        <w:rPr>
          <w:sz w:val="24"/>
        </w:rPr>
        <w:t xml:space="preserve"> the Company’s la</w:t>
      </w:r>
      <w:r w:rsidR="00EF6FCA">
        <w:rPr>
          <w:sz w:val="24"/>
        </w:rPr>
        <w:t>st proposal goes against basic ratemaking concepts</w:t>
      </w:r>
      <w:r w:rsidR="008C59BE">
        <w:rPr>
          <w:sz w:val="24"/>
        </w:rPr>
        <w:t xml:space="preserve"> </w:t>
      </w:r>
      <w:r w:rsidR="00E563E0">
        <w:rPr>
          <w:sz w:val="24"/>
        </w:rPr>
        <w:t>and is thus unreasonable</w:t>
      </w:r>
      <w:r>
        <w:rPr>
          <w:sz w:val="24"/>
        </w:rPr>
        <w:t>.</w:t>
      </w:r>
      <w:r w:rsidR="00EF6FCA">
        <w:rPr>
          <w:sz w:val="24"/>
        </w:rPr>
        <w:t xml:space="preserve"> </w:t>
      </w:r>
      <w:r>
        <w:rPr>
          <w:sz w:val="24"/>
        </w:rPr>
        <w:t xml:space="preserve"> </w:t>
      </w:r>
    </w:p>
    <w:p w14:paraId="54A71F3C" w14:textId="6FBC0CC3" w:rsidR="009706E4" w:rsidRPr="008C59BE" w:rsidRDefault="00573C5D" w:rsidP="003D312E">
      <w:pPr>
        <w:pStyle w:val="ListParagraph"/>
        <w:numPr>
          <w:ilvl w:val="0"/>
          <w:numId w:val="8"/>
        </w:numPr>
        <w:spacing w:line="480" w:lineRule="auto"/>
        <w:ind w:left="1440"/>
        <w:jc w:val="both"/>
        <w:rPr>
          <w:b/>
        </w:rPr>
      </w:pPr>
      <w:r w:rsidRPr="008C59BE">
        <w:rPr>
          <w:b/>
        </w:rPr>
        <w:t>WCI did not put for</w:t>
      </w:r>
      <w:r w:rsidR="008C59BE">
        <w:rPr>
          <w:b/>
        </w:rPr>
        <w:t>ward any supported alternative</w:t>
      </w:r>
    </w:p>
    <w:p w14:paraId="1CA4C527" w14:textId="4684CD19" w:rsidR="009706E4" w:rsidRDefault="002110CD" w:rsidP="00983B53">
      <w:pPr>
        <w:numPr>
          <w:ilvl w:val="0"/>
          <w:numId w:val="2"/>
        </w:numPr>
        <w:spacing w:line="480" w:lineRule="auto"/>
        <w:rPr>
          <w:sz w:val="24"/>
        </w:rPr>
      </w:pPr>
      <w:r>
        <w:rPr>
          <w:sz w:val="24"/>
        </w:rPr>
        <w:t xml:space="preserve"> </w:t>
      </w:r>
      <w:r>
        <w:rPr>
          <w:sz w:val="24"/>
        </w:rPr>
        <w:tab/>
      </w:r>
      <w:r w:rsidR="009706E4">
        <w:rPr>
          <w:sz w:val="24"/>
        </w:rPr>
        <w:t>A</w:t>
      </w:r>
      <w:r w:rsidR="00573C5D">
        <w:rPr>
          <w:sz w:val="24"/>
        </w:rPr>
        <w:t>t the evidentiary hearing, Staff counsel asked the Company’s expert witness whether WCI had put forward and adequately supported an alternative allocation methodology.</w:t>
      </w:r>
      <w:r w:rsidR="00573C5D">
        <w:rPr>
          <w:rStyle w:val="FootnoteReference"/>
          <w:sz w:val="24"/>
        </w:rPr>
        <w:footnoteReference w:id="18"/>
      </w:r>
      <w:r w:rsidR="00573C5D">
        <w:rPr>
          <w:sz w:val="24"/>
        </w:rPr>
        <w:t xml:space="preserve">  The Company’s own expert witness responded that he was unaware of any alternative proposal from the Company. </w:t>
      </w:r>
      <w:r>
        <w:rPr>
          <w:sz w:val="24"/>
        </w:rPr>
        <w:t xml:space="preserve"> </w:t>
      </w:r>
      <w:r w:rsidR="00573C5D">
        <w:rPr>
          <w:sz w:val="24"/>
        </w:rPr>
        <w:t>Staff</w:t>
      </w:r>
      <w:r w:rsidR="00B07B4A">
        <w:rPr>
          <w:sz w:val="24"/>
        </w:rPr>
        <w:t>, on the other hand,</w:t>
      </w:r>
      <w:r w:rsidR="00573C5D">
        <w:rPr>
          <w:sz w:val="24"/>
        </w:rPr>
        <w:t xml:space="preserve"> thoroughly explained its recommendation and provided the relevant supporting rationale a</w:t>
      </w:r>
      <w:r>
        <w:rPr>
          <w:sz w:val="24"/>
        </w:rPr>
        <w:t>nd regulatory bases.</w:t>
      </w:r>
      <w:r w:rsidR="00176F5D">
        <w:rPr>
          <w:rStyle w:val="FootnoteReference"/>
          <w:sz w:val="24"/>
        </w:rPr>
        <w:footnoteReference w:id="19"/>
      </w:r>
      <w:r>
        <w:rPr>
          <w:sz w:val="24"/>
        </w:rPr>
        <w:t xml:space="preserve"> </w:t>
      </w:r>
      <w:r w:rsidR="00EE6412">
        <w:rPr>
          <w:sz w:val="24"/>
        </w:rPr>
        <w:t xml:space="preserve"> </w:t>
      </w:r>
      <w:r w:rsidR="00B07B4A">
        <w:rPr>
          <w:sz w:val="24"/>
        </w:rPr>
        <w:t xml:space="preserve">Therefore, the </w:t>
      </w:r>
      <w:r>
        <w:rPr>
          <w:sz w:val="24"/>
        </w:rPr>
        <w:t xml:space="preserve">Initial Order’s findings and conclusions </w:t>
      </w:r>
      <w:r w:rsidR="00B07B4A">
        <w:rPr>
          <w:sz w:val="24"/>
        </w:rPr>
        <w:t xml:space="preserve">that largely support Staff’s proposal </w:t>
      </w:r>
      <w:r>
        <w:rPr>
          <w:sz w:val="24"/>
        </w:rPr>
        <w:t xml:space="preserve">for Shared Utilities Expense are fair, just, reasonable, and sufficient. </w:t>
      </w:r>
    </w:p>
    <w:p w14:paraId="282D1B72" w14:textId="67EC8DAF" w:rsidR="009706E4" w:rsidRPr="008C59BE" w:rsidRDefault="002110CD" w:rsidP="00922B71">
      <w:pPr>
        <w:pStyle w:val="ListParagraph"/>
        <w:numPr>
          <w:ilvl w:val="0"/>
          <w:numId w:val="5"/>
        </w:numPr>
        <w:spacing w:line="480" w:lineRule="auto"/>
        <w:jc w:val="center"/>
        <w:rPr>
          <w:b/>
        </w:rPr>
      </w:pPr>
      <w:r w:rsidRPr="008C59BE">
        <w:rPr>
          <w:b/>
        </w:rPr>
        <w:t>AFFILIATE LAND RENTS</w:t>
      </w:r>
    </w:p>
    <w:p w14:paraId="6664C3C4" w14:textId="3C5AAC02" w:rsidR="008C59BE" w:rsidRPr="008C59BE" w:rsidRDefault="008C59BE" w:rsidP="00983B53">
      <w:pPr>
        <w:pStyle w:val="ListParagraph"/>
        <w:numPr>
          <w:ilvl w:val="0"/>
          <w:numId w:val="9"/>
        </w:numPr>
        <w:spacing w:line="480" w:lineRule="auto"/>
        <w:ind w:hanging="720"/>
        <w:jc w:val="both"/>
        <w:rPr>
          <w:b/>
        </w:rPr>
      </w:pPr>
      <w:r w:rsidRPr="008C59BE">
        <w:rPr>
          <w:b/>
        </w:rPr>
        <w:t>Initial Order Findings</w:t>
      </w:r>
    </w:p>
    <w:p w14:paraId="42B724F3" w14:textId="25A0F2F5" w:rsidR="008C59BE" w:rsidRDefault="008C59BE" w:rsidP="002F6F5F">
      <w:pPr>
        <w:numPr>
          <w:ilvl w:val="0"/>
          <w:numId w:val="2"/>
        </w:numPr>
        <w:spacing w:line="480" w:lineRule="auto"/>
        <w:ind w:right="-72"/>
        <w:rPr>
          <w:sz w:val="24"/>
        </w:rPr>
      </w:pPr>
      <w:r>
        <w:rPr>
          <w:sz w:val="24"/>
        </w:rPr>
        <w:t xml:space="preserve"> </w:t>
      </w:r>
      <w:r>
        <w:rPr>
          <w:sz w:val="24"/>
        </w:rPr>
        <w:tab/>
        <w:t>The Initial Order adopted Staff’s recommendations for each of the inputs in the affiliate lease calculation</w:t>
      </w:r>
      <w:r w:rsidR="004903AA">
        <w:rPr>
          <w:sz w:val="24"/>
        </w:rPr>
        <w:t xml:space="preserve"> (i.e. capital structure, return on equity, cost of debt, and allocation of depreciation and average net investment)</w:t>
      </w:r>
      <w:r>
        <w:rPr>
          <w:sz w:val="24"/>
        </w:rPr>
        <w:t xml:space="preserve">.  Again, the common theme is that WCI’s proposals are either unsubstantiated or contradict basic regulatory accounting principles. </w:t>
      </w:r>
      <w:r w:rsidR="00EE6412">
        <w:rPr>
          <w:sz w:val="24"/>
        </w:rPr>
        <w:t xml:space="preserve"> </w:t>
      </w:r>
      <w:r>
        <w:rPr>
          <w:sz w:val="24"/>
        </w:rPr>
        <w:t xml:space="preserve">The Initial Order’s conclusions are both correct and fully supported by the evidentiary record. </w:t>
      </w:r>
    </w:p>
    <w:p w14:paraId="6582A620" w14:textId="6A929E38" w:rsidR="009706E4" w:rsidRPr="00154132" w:rsidRDefault="002110CD" w:rsidP="002F6F5F">
      <w:pPr>
        <w:pStyle w:val="ListParagraph"/>
        <w:keepNext/>
        <w:numPr>
          <w:ilvl w:val="0"/>
          <w:numId w:val="9"/>
        </w:numPr>
        <w:spacing w:line="480" w:lineRule="auto"/>
        <w:ind w:hanging="720"/>
        <w:jc w:val="both"/>
        <w:rPr>
          <w:b/>
        </w:rPr>
      </w:pPr>
      <w:r w:rsidRPr="00154132">
        <w:rPr>
          <w:b/>
        </w:rPr>
        <w:t>Background</w:t>
      </w:r>
    </w:p>
    <w:p w14:paraId="2FC21A0E" w14:textId="37374AC1" w:rsidR="002110CD" w:rsidRDefault="00154132" w:rsidP="00983B53">
      <w:pPr>
        <w:numPr>
          <w:ilvl w:val="0"/>
          <w:numId w:val="2"/>
        </w:numPr>
        <w:spacing w:line="480" w:lineRule="auto"/>
        <w:rPr>
          <w:sz w:val="24"/>
        </w:rPr>
      </w:pPr>
      <w:r>
        <w:rPr>
          <w:sz w:val="24"/>
        </w:rPr>
        <w:t xml:space="preserve"> </w:t>
      </w:r>
      <w:r>
        <w:rPr>
          <w:sz w:val="24"/>
        </w:rPr>
        <w:tab/>
      </w:r>
      <w:r w:rsidR="002110CD">
        <w:rPr>
          <w:sz w:val="24"/>
        </w:rPr>
        <w:t>WCI leases all of its facilities from Heirborne Investments I LLC (“HBI”) and Heirborne Investments II (“HBII”)</w:t>
      </w:r>
      <w:r w:rsidR="004903AA">
        <w:rPr>
          <w:sz w:val="24"/>
        </w:rPr>
        <w:t xml:space="preserve"> (collectively “landlords”)</w:t>
      </w:r>
      <w:r w:rsidR="002110CD">
        <w:rPr>
          <w:sz w:val="24"/>
        </w:rPr>
        <w:t xml:space="preserve">.  WCI shares 100% common ownership with HBI and HBII.  </w:t>
      </w:r>
      <w:r w:rsidR="00844940">
        <w:rPr>
          <w:sz w:val="24"/>
        </w:rPr>
        <w:t xml:space="preserve">Consequently, </w:t>
      </w:r>
      <w:r>
        <w:rPr>
          <w:sz w:val="24"/>
        </w:rPr>
        <w:t xml:space="preserve">WCI’s rent payments to HBI and HBII are affiliate transactions.  </w:t>
      </w:r>
      <w:r w:rsidR="002110CD">
        <w:rPr>
          <w:sz w:val="24"/>
        </w:rPr>
        <w:t>The Parties agreed t</w:t>
      </w:r>
      <w:r w:rsidR="006F093F">
        <w:rPr>
          <w:sz w:val="24"/>
        </w:rPr>
        <w:t>o an affiliate lease calculation/methodology</w:t>
      </w:r>
      <w:r w:rsidR="002110CD">
        <w:rPr>
          <w:sz w:val="24"/>
        </w:rPr>
        <w:t xml:space="preserve"> previo</w:t>
      </w:r>
      <w:r w:rsidR="006F093F">
        <w:rPr>
          <w:sz w:val="24"/>
        </w:rPr>
        <w:t>usly endorsed by the Commission.</w:t>
      </w:r>
      <w:r>
        <w:rPr>
          <w:rStyle w:val="FootnoteReference"/>
          <w:sz w:val="24"/>
        </w:rPr>
        <w:footnoteReference w:id="20"/>
      </w:r>
      <w:r w:rsidR="002110CD">
        <w:rPr>
          <w:sz w:val="24"/>
        </w:rPr>
        <w:t xml:space="preserve"> </w:t>
      </w:r>
      <w:r w:rsidR="009E7E0F">
        <w:rPr>
          <w:sz w:val="24"/>
        </w:rPr>
        <w:t xml:space="preserve"> </w:t>
      </w:r>
      <w:r w:rsidR="006F093F" w:rsidRPr="006F093F">
        <w:rPr>
          <w:sz w:val="24"/>
        </w:rPr>
        <w:t>The Commission’s previously-accepted calculation relies on capital structure, cost of debt, cost of equity, and allocation of depreciation and average net investment.  Staff and WCI disagree as to the appropriate values for all of these terms.</w:t>
      </w:r>
      <w:r w:rsidR="006F093F" w:rsidRPr="00BE28D4">
        <w:t xml:space="preserve">  </w:t>
      </w:r>
    </w:p>
    <w:p w14:paraId="0B2CCAE1" w14:textId="447740BD" w:rsidR="00FB258B" w:rsidRPr="00154132" w:rsidRDefault="00154132" w:rsidP="00983B53">
      <w:pPr>
        <w:pStyle w:val="ListParagraph"/>
        <w:numPr>
          <w:ilvl w:val="0"/>
          <w:numId w:val="9"/>
        </w:numPr>
        <w:spacing w:line="480" w:lineRule="auto"/>
        <w:ind w:hanging="720"/>
        <w:jc w:val="both"/>
        <w:rPr>
          <w:b/>
        </w:rPr>
      </w:pPr>
      <w:r w:rsidRPr="00154132">
        <w:rPr>
          <w:b/>
        </w:rPr>
        <w:t xml:space="preserve">Staff’s </w:t>
      </w:r>
      <w:r w:rsidR="009742D5" w:rsidRPr="00154132">
        <w:rPr>
          <w:b/>
        </w:rPr>
        <w:t>Response to WCI’s</w:t>
      </w:r>
      <w:r w:rsidR="00FB258B" w:rsidRPr="00154132">
        <w:rPr>
          <w:b/>
        </w:rPr>
        <w:t xml:space="preserve"> List in </w:t>
      </w:r>
      <w:r w:rsidR="004A2112">
        <w:rPr>
          <w:b/>
        </w:rPr>
        <w:t xml:space="preserve">the </w:t>
      </w:r>
      <w:r w:rsidR="00FB258B" w:rsidRPr="00154132">
        <w:rPr>
          <w:b/>
        </w:rPr>
        <w:t>Petition for Administrative Review</w:t>
      </w:r>
    </w:p>
    <w:p w14:paraId="69385BE8" w14:textId="50557663" w:rsidR="00FB258B" w:rsidRDefault="00154132" w:rsidP="00983B53">
      <w:pPr>
        <w:numPr>
          <w:ilvl w:val="0"/>
          <w:numId w:val="2"/>
        </w:numPr>
        <w:spacing w:line="480" w:lineRule="auto"/>
        <w:rPr>
          <w:sz w:val="24"/>
        </w:rPr>
      </w:pPr>
      <w:r>
        <w:rPr>
          <w:sz w:val="24"/>
        </w:rPr>
        <w:t xml:space="preserve"> </w:t>
      </w:r>
      <w:r>
        <w:rPr>
          <w:sz w:val="24"/>
        </w:rPr>
        <w:tab/>
      </w:r>
      <w:r w:rsidR="00FB258B">
        <w:rPr>
          <w:sz w:val="24"/>
        </w:rPr>
        <w:t>WCI’s petition for re</w:t>
      </w:r>
      <w:r w:rsidR="009742D5">
        <w:rPr>
          <w:sz w:val="24"/>
        </w:rPr>
        <w:t>view includes a list of arguments against the Staff recommendations and the Initial Order’s findings related to affiliate land rents</w:t>
      </w:r>
      <w:r w:rsidR="00FB258B">
        <w:rPr>
          <w:sz w:val="24"/>
        </w:rPr>
        <w:t>.</w:t>
      </w:r>
      <w:r w:rsidR="000C1059">
        <w:rPr>
          <w:rStyle w:val="FootnoteReference"/>
          <w:sz w:val="24"/>
        </w:rPr>
        <w:footnoteReference w:id="21"/>
      </w:r>
      <w:r w:rsidR="009E7E0F">
        <w:rPr>
          <w:sz w:val="24"/>
        </w:rPr>
        <w:t xml:space="preserve">  </w:t>
      </w:r>
      <w:r w:rsidR="00FB258B">
        <w:rPr>
          <w:sz w:val="24"/>
        </w:rPr>
        <w:t xml:space="preserve">Each of the Company’s </w:t>
      </w:r>
      <w:r w:rsidR="000C1059">
        <w:rPr>
          <w:sz w:val="24"/>
        </w:rPr>
        <w:t>listed</w:t>
      </w:r>
      <w:r w:rsidR="00FB258B">
        <w:rPr>
          <w:sz w:val="24"/>
        </w:rPr>
        <w:t xml:space="preserve"> position</w:t>
      </w:r>
      <w:r w:rsidR="000C1059">
        <w:rPr>
          <w:sz w:val="24"/>
        </w:rPr>
        <w:t>s</w:t>
      </w:r>
      <w:r w:rsidR="00FB258B">
        <w:rPr>
          <w:sz w:val="24"/>
        </w:rPr>
        <w:t xml:space="preserve"> demonstrates </w:t>
      </w:r>
      <w:r w:rsidR="009742D5">
        <w:rPr>
          <w:sz w:val="24"/>
        </w:rPr>
        <w:t>a</w:t>
      </w:r>
      <w:r w:rsidR="000C1059">
        <w:rPr>
          <w:sz w:val="24"/>
        </w:rPr>
        <w:t xml:space="preserve"> </w:t>
      </w:r>
      <w:r w:rsidR="00CB75D3">
        <w:rPr>
          <w:sz w:val="24"/>
        </w:rPr>
        <w:t>misunderstanding of</w:t>
      </w:r>
      <w:r w:rsidR="00FB258B">
        <w:rPr>
          <w:sz w:val="24"/>
        </w:rPr>
        <w:t xml:space="preserve"> regulatory accounting and financial concepts. </w:t>
      </w:r>
      <w:r w:rsidR="004A2112">
        <w:rPr>
          <w:sz w:val="24"/>
        </w:rPr>
        <w:t xml:space="preserve"> </w:t>
      </w:r>
      <w:r w:rsidR="009742D5">
        <w:rPr>
          <w:sz w:val="24"/>
        </w:rPr>
        <w:t>Staff provides the following list of responses in order:</w:t>
      </w:r>
    </w:p>
    <w:p w14:paraId="3BC139CB" w14:textId="2D5E30C4" w:rsidR="00FB258B" w:rsidRPr="004A2112" w:rsidRDefault="00FB258B" w:rsidP="00983B53">
      <w:pPr>
        <w:numPr>
          <w:ilvl w:val="0"/>
          <w:numId w:val="11"/>
        </w:numPr>
        <w:tabs>
          <w:tab w:val="clear" w:pos="720"/>
          <w:tab w:val="num" w:pos="1440"/>
        </w:tabs>
        <w:spacing w:line="480" w:lineRule="auto"/>
        <w:ind w:left="1440"/>
        <w:rPr>
          <w:sz w:val="24"/>
        </w:rPr>
      </w:pPr>
      <w:r w:rsidRPr="004A2112">
        <w:rPr>
          <w:sz w:val="24"/>
        </w:rPr>
        <w:t xml:space="preserve">WCI begins by arguing that there is no evidence </w:t>
      </w:r>
      <w:r w:rsidR="009742D5" w:rsidRPr="004A2112">
        <w:rPr>
          <w:sz w:val="24"/>
        </w:rPr>
        <w:t xml:space="preserve">in this case </w:t>
      </w:r>
      <w:r w:rsidRPr="004A2112">
        <w:rPr>
          <w:sz w:val="24"/>
        </w:rPr>
        <w:t xml:space="preserve">of manipulating equity and debt ratios.  </w:t>
      </w:r>
      <w:r w:rsidR="009742D5" w:rsidRPr="004A2112">
        <w:rPr>
          <w:sz w:val="24"/>
        </w:rPr>
        <w:t>First, t</w:t>
      </w:r>
      <w:r w:rsidRPr="004A2112">
        <w:rPr>
          <w:sz w:val="24"/>
        </w:rPr>
        <w:t>he Company does not dispute that</w:t>
      </w:r>
      <w:r w:rsidR="004A2112">
        <w:rPr>
          <w:sz w:val="24"/>
        </w:rPr>
        <w:t xml:space="preserve"> its </w:t>
      </w:r>
      <w:r w:rsidRPr="004A2112">
        <w:rPr>
          <w:sz w:val="24"/>
        </w:rPr>
        <w:t>proposed arrangement incen</w:t>
      </w:r>
      <w:r w:rsidR="000C1059" w:rsidRPr="004A2112">
        <w:rPr>
          <w:sz w:val="24"/>
        </w:rPr>
        <w:t>ts</w:t>
      </w:r>
      <w:r w:rsidR="004A2112">
        <w:rPr>
          <w:sz w:val="24"/>
        </w:rPr>
        <w:t xml:space="preserve"> and allows for</w:t>
      </w:r>
      <w:r w:rsidR="000C1059" w:rsidRPr="004A2112">
        <w:rPr>
          <w:sz w:val="24"/>
        </w:rPr>
        <w:t xml:space="preserve"> such manipulation. </w:t>
      </w:r>
      <w:r w:rsidR="00EE6412">
        <w:rPr>
          <w:sz w:val="24"/>
        </w:rPr>
        <w:t xml:space="preserve"> </w:t>
      </w:r>
      <w:r w:rsidR="000C1059" w:rsidRPr="004A2112">
        <w:rPr>
          <w:sz w:val="24"/>
        </w:rPr>
        <w:t>The</w:t>
      </w:r>
      <w:r w:rsidRPr="004A2112">
        <w:rPr>
          <w:sz w:val="24"/>
        </w:rPr>
        <w:t xml:space="preserve"> economic incentive alone is sufficient</w:t>
      </w:r>
      <w:r w:rsidR="005D340C" w:rsidRPr="004A2112">
        <w:rPr>
          <w:sz w:val="24"/>
        </w:rPr>
        <w:t xml:space="preserve"> for the Commission</w:t>
      </w:r>
      <w:r w:rsidRPr="004A2112">
        <w:rPr>
          <w:sz w:val="24"/>
        </w:rPr>
        <w:t xml:space="preserve"> to disallow the Company’s proposal.  In any event, as Staff explained, its concerns are not hypothetical.  Although all of the affiliate entities’ assets secure HBI’s and HBII’s debts,</w:t>
      </w:r>
      <w:r w:rsidRPr="004A2112">
        <w:rPr>
          <w:rStyle w:val="FootnoteReference"/>
          <w:sz w:val="24"/>
        </w:rPr>
        <w:footnoteReference w:id="22"/>
      </w:r>
      <w:r w:rsidRPr="004A2112">
        <w:rPr>
          <w:sz w:val="24"/>
        </w:rPr>
        <w:t xml:space="preserve"> WCI argues in this proceeding that the vast majority of HBI and HBII debt is associated only with non-regulated operations.</w:t>
      </w:r>
      <w:r w:rsidRPr="004A2112">
        <w:rPr>
          <w:rStyle w:val="FootnoteReference"/>
          <w:sz w:val="24"/>
        </w:rPr>
        <w:footnoteReference w:id="23"/>
      </w:r>
      <w:r w:rsidRPr="004A2112">
        <w:rPr>
          <w:sz w:val="24"/>
        </w:rPr>
        <w:t xml:space="preserve">  </w:t>
      </w:r>
      <w:r w:rsidR="005D340C" w:rsidRPr="004A2112">
        <w:rPr>
          <w:sz w:val="24"/>
        </w:rPr>
        <w:t xml:space="preserve">WCI and its affiliates have </w:t>
      </w:r>
      <w:r w:rsidR="004903AA">
        <w:rPr>
          <w:sz w:val="24"/>
        </w:rPr>
        <w:t xml:space="preserve">thus </w:t>
      </w:r>
      <w:r w:rsidR="005D340C" w:rsidRPr="004A2112">
        <w:rPr>
          <w:sz w:val="24"/>
        </w:rPr>
        <w:t xml:space="preserve">already implemented a series of financial transactions to </w:t>
      </w:r>
      <w:r w:rsidR="00012ABB">
        <w:rPr>
          <w:sz w:val="24"/>
        </w:rPr>
        <w:t>selectively apportion</w:t>
      </w:r>
      <w:r w:rsidR="005D340C" w:rsidRPr="004A2112">
        <w:rPr>
          <w:sz w:val="24"/>
        </w:rPr>
        <w:t xml:space="preserve"> debt to non-regulated operations and equity to regulated operations.</w:t>
      </w:r>
      <w:r w:rsidR="00012ABB">
        <w:rPr>
          <w:rStyle w:val="FootnoteReference"/>
          <w:sz w:val="24"/>
        </w:rPr>
        <w:footnoteReference w:id="24"/>
      </w:r>
      <w:r w:rsidR="005D340C" w:rsidRPr="004A2112">
        <w:rPr>
          <w:sz w:val="24"/>
        </w:rPr>
        <w:t xml:space="preserve"> </w:t>
      </w:r>
      <w:r w:rsidR="009E7E0F">
        <w:rPr>
          <w:sz w:val="24"/>
        </w:rPr>
        <w:t xml:space="preserve"> </w:t>
      </w:r>
      <w:r w:rsidR="00012ABB">
        <w:rPr>
          <w:sz w:val="24"/>
        </w:rPr>
        <w:t xml:space="preserve">Whether intentional or </w:t>
      </w:r>
      <w:r w:rsidR="009E7E0F">
        <w:rPr>
          <w:sz w:val="24"/>
        </w:rPr>
        <w:t>not</w:t>
      </w:r>
      <w:r w:rsidR="005D340C" w:rsidRPr="004A2112">
        <w:rPr>
          <w:sz w:val="24"/>
        </w:rPr>
        <w:t xml:space="preserve">, the Company’s proposal incents manipulation of </w:t>
      </w:r>
      <w:r w:rsidR="00CB75D3">
        <w:rPr>
          <w:sz w:val="24"/>
        </w:rPr>
        <w:t xml:space="preserve">asset-specific </w:t>
      </w:r>
      <w:r w:rsidR="005D340C" w:rsidRPr="004A2112">
        <w:rPr>
          <w:sz w:val="24"/>
        </w:rPr>
        <w:t xml:space="preserve">debt ratios through affiliate transactions with no corresponding change in risk profile </w:t>
      </w:r>
      <w:r w:rsidR="00EE6412">
        <w:rPr>
          <w:sz w:val="24"/>
        </w:rPr>
        <w:t xml:space="preserve">or benefits to ratepayers.  </w:t>
      </w:r>
    </w:p>
    <w:p w14:paraId="0AEC7BFE" w14:textId="09107192" w:rsidR="00FB258B" w:rsidRPr="004A2112" w:rsidRDefault="001675E4" w:rsidP="00983B53">
      <w:pPr>
        <w:numPr>
          <w:ilvl w:val="0"/>
          <w:numId w:val="11"/>
        </w:numPr>
        <w:tabs>
          <w:tab w:val="clear" w:pos="720"/>
          <w:tab w:val="num" w:pos="1440"/>
        </w:tabs>
        <w:spacing w:line="480" w:lineRule="auto"/>
        <w:ind w:left="1440"/>
        <w:rPr>
          <w:sz w:val="24"/>
        </w:rPr>
      </w:pPr>
      <w:r w:rsidRPr="004A2112">
        <w:rPr>
          <w:sz w:val="24"/>
        </w:rPr>
        <w:t xml:space="preserve">The Company next attempts to distinguish cross-collateralization from mortgaging real </w:t>
      </w:r>
      <w:r w:rsidR="009E7E0F">
        <w:rPr>
          <w:sz w:val="24"/>
        </w:rPr>
        <w:t>property.  This argument is</w:t>
      </w:r>
      <w:r w:rsidRPr="004A2112">
        <w:rPr>
          <w:sz w:val="24"/>
        </w:rPr>
        <w:t xml:space="preserve"> </w:t>
      </w:r>
      <w:r w:rsidR="00637DF0">
        <w:rPr>
          <w:sz w:val="24"/>
        </w:rPr>
        <w:t>a</w:t>
      </w:r>
      <w:r w:rsidRPr="004A2112">
        <w:rPr>
          <w:sz w:val="24"/>
        </w:rPr>
        <w:t xml:space="preserve"> fiction. </w:t>
      </w:r>
      <w:r w:rsidR="00EE6412">
        <w:rPr>
          <w:sz w:val="24"/>
        </w:rPr>
        <w:t xml:space="preserve"> </w:t>
      </w:r>
      <w:r w:rsidR="00EF65E0">
        <w:rPr>
          <w:sz w:val="24"/>
        </w:rPr>
        <w:t xml:space="preserve">The Company acknowledged and </w:t>
      </w:r>
      <w:r w:rsidRPr="004A2112">
        <w:rPr>
          <w:sz w:val="24"/>
        </w:rPr>
        <w:t>Staff explained that the landlords pledged all of their assets, including all real estate, to guarantee debt financing.</w:t>
      </w:r>
      <w:r w:rsidR="00EF65E0" w:rsidRPr="00EF65E0">
        <w:rPr>
          <w:rStyle w:val="FootnoteReference"/>
          <w:sz w:val="24"/>
        </w:rPr>
        <w:t xml:space="preserve"> </w:t>
      </w:r>
      <w:r w:rsidR="00EF65E0">
        <w:rPr>
          <w:rStyle w:val="FootnoteReference"/>
          <w:sz w:val="24"/>
        </w:rPr>
        <w:footnoteReference w:id="25"/>
      </w:r>
      <w:r w:rsidR="00EF65E0" w:rsidRPr="004A2112">
        <w:rPr>
          <w:sz w:val="24"/>
        </w:rPr>
        <w:t xml:space="preserve"> </w:t>
      </w:r>
      <w:r w:rsidR="00EE6412">
        <w:rPr>
          <w:sz w:val="24"/>
        </w:rPr>
        <w:t xml:space="preserve"> </w:t>
      </w:r>
      <w:r w:rsidRPr="004A2112">
        <w:rPr>
          <w:sz w:val="24"/>
        </w:rPr>
        <w:t xml:space="preserve">The landlords then use rental transactions from the tenant, </w:t>
      </w:r>
      <w:r w:rsidR="009742D5" w:rsidRPr="004A2112">
        <w:rPr>
          <w:sz w:val="24"/>
        </w:rPr>
        <w:t>i.e.</w:t>
      </w:r>
      <w:r w:rsidRPr="004A2112">
        <w:rPr>
          <w:sz w:val="24"/>
        </w:rPr>
        <w:t xml:space="preserve"> WCI, to repay </w:t>
      </w:r>
      <w:r w:rsidR="009742D5" w:rsidRPr="004A2112">
        <w:rPr>
          <w:sz w:val="24"/>
        </w:rPr>
        <w:t>the same debt financing</w:t>
      </w:r>
      <w:r w:rsidRPr="004A2112">
        <w:rPr>
          <w:sz w:val="24"/>
        </w:rPr>
        <w:t>.</w:t>
      </w:r>
      <w:r w:rsidR="00EF65E0">
        <w:rPr>
          <w:rStyle w:val="FootnoteReference"/>
          <w:rFonts w:eastAsiaTheme="minorHAnsi"/>
        </w:rPr>
        <w:footnoteReference w:id="26"/>
      </w:r>
      <w:r w:rsidR="00EF65E0">
        <w:t xml:space="preserve"> </w:t>
      </w:r>
      <w:r w:rsidRPr="004A2112">
        <w:rPr>
          <w:sz w:val="24"/>
        </w:rPr>
        <w:t xml:space="preserve"> </w:t>
      </w:r>
      <w:r w:rsidR="009742D5" w:rsidRPr="004A2112">
        <w:rPr>
          <w:sz w:val="24"/>
        </w:rPr>
        <w:t>Staff explained that t</w:t>
      </w:r>
      <w:r w:rsidRPr="004A2112">
        <w:rPr>
          <w:sz w:val="24"/>
        </w:rPr>
        <w:t>he transaction is economically identical to a mortgage.</w:t>
      </w:r>
      <w:r w:rsidR="00EF65E0">
        <w:rPr>
          <w:rStyle w:val="FootnoteReference"/>
          <w:sz w:val="24"/>
        </w:rPr>
        <w:footnoteReference w:id="27"/>
      </w:r>
      <w:r w:rsidRPr="004A2112">
        <w:rPr>
          <w:sz w:val="24"/>
        </w:rPr>
        <w:t xml:space="preserve"> </w:t>
      </w:r>
      <w:r w:rsidR="00B84E18">
        <w:rPr>
          <w:sz w:val="24"/>
        </w:rPr>
        <w:t xml:space="preserve"> </w:t>
      </w:r>
      <w:r w:rsidRPr="004A2112">
        <w:rPr>
          <w:sz w:val="24"/>
        </w:rPr>
        <w:t>The Company’s attempt to distinguish th</w:t>
      </w:r>
      <w:r w:rsidR="009742D5" w:rsidRPr="004A2112">
        <w:rPr>
          <w:sz w:val="24"/>
        </w:rPr>
        <w:t>e two types of transactions relies</w:t>
      </w:r>
      <w:r w:rsidRPr="004A2112">
        <w:rPr>
          <w:sz w:val="24"/>
        </w:rPr>
        <w:t xml:space="preserve"> purely on semantics</w:t>
      </w:r>
      <w:r w:rsidR="009742D5" w:rsidRPr="004A2112">
        <w:rPr>
          <w:sz w:val="24"/>
        </w:rPr>
        <w:t xml:space="preserve"> and ignores the basic</w:t>
      </w:r>
      <w:r w:rsidR="00012ABB">
        <w:rPr>
          <w:sz w:val="24"/>
        </w:rPr>
        <w:t xml:space="preserve"> economic reality</w:t>
      </w:r>
      <w:r w:rsidR="009742D5" w:rsidRPr="004A2112">
        <w:rPr>
          <w:sz w:val="24"/>
        </w:rPr>
        <w:t xml:space="preserve"> that all of the buildings are encumbered with a pro rata share of all of the own</w:t>
      </w:r>
      <w:r w:rsidR="00CB75D3">
        <w:rPr>
          <w:sz w:val="24"/>
        </w:rPr>
        <w:t xml:space="preserve">ership </w:t>
      </w:r>
      <w:r w:rsidR="00287BF6">
        <w:rPr>
          <w:sz w:val="24"/>
        </w:rPr>
        <w:t>entitie</w:t>
      </w:r>
      <w:r w:rsidR="009742D5" w:rsidRPr="004A2112">
        <w:rPr>
          <w:sz w:val="24"/>
        </w:rPr>
        <w:t>s</w:t>
      </w:r>
      <w:r w:rsidR="00287BF6">
        <w:rPr>
          <w:sz w:val="24"/>
        </w:rPr>
        <w:t>’</w:t>
      </w:r>
      <w:r w:rsidR="009742D5" w:rsidRPr="004A2112">
        <w:rPr>
          <w:sz w:val="24"/>
        </w:rPr>
        <w:t xml:space="preserve"> debts</w:t>
      </w:r>
      <w:r w:rsidRPr="004A2112">
        <w:rPr>
          <w:sz w:val="24"/>
        </w:rPr>
        <w:t xml:space="preserve">. </w:t>
      </w:r>
      <w:r w:rsidR="00B84E18">
        <w:rPr>
          <w:sz w:val="24"/>
        </w:rPr>
        <w:t xml:space="preserve"> </w:t>
      </w:r>
    </w:p>
    <w:p w14:paraId="150DF003" w14:textId="5F3B96B8" w:rsidR="001675E4" w:rsidRPr="004A2112" w:rsidRDefault="001675E4" w:rsidP="00983B53">
      <w:pPr>
        <w:numPr>
          <w:ilvl w:val="0"/>
          <w:numId w:val="11"/>
        </w:numPr>
        <w:tabs>
          <w:tab w:val="clear" w:pos="720"/>
          <w:tab w:val="num" w:pos="1440"/>
        </w:tabs>
        <w:spacing w:line="480" w:lineRule="auto"/>
        <w:ind w:left="1440"/>
        <w:rPr>
          <w:sz w:val="24"/>
        </w:rPr>
      </w:pPr>
      <w:r w:rsidRPr="004A2112">
        <w:rPr>
          <w:sz w:val="24"/>
        </w:rPr>
        <w:t xml:space="preserve">WCI then points to Lurito-Gallagher as not sanctioning consolidation of assets of sister companies. </w:t>
      </w:r>
      <w:r w:rsidR="00EE6412">
        <w:rPr>
          <w:sz w:val="24"/>
        </w:rPr>
        <w:t xml:space="preserve"> </w:t>
      </w:r>
      <w:r w:rsidR="009742D5" w:rsidRPr="004A2112">
        <w:rPr>
          <w:sz w:val="24"/>
        </w:rPr>
        <w:t xml:space="preserve">This argument </w:t>
      </w:r>
      <w:r w:rsidR="00637DF0">
        <w:rPr>
          <w:sz w:val="24"/>
        </w:rPr>
        <w:t xml:space="preserve">confuses </w:t>
      </w:r>
      <w:r w:rsidR="005A4FE9">
        <w:rPr>
          <w:sz w:val="24"/>
        </w:rPr>
        <w:t>financial concepts</w:t>
      </w:r>
      <w:r w:rsidR="009742D5" w:rsidRPr="004A2112">
        <w:rPr>
          <w:sz w:val="24"/>
        </w:rPr>
        <w:t xml:space="preserve">. </w:t>
      </w:r>
      <w:r w:rsidR="00EE6412">
        <w:rPr>
          <w:sz w:val="24"/>
        </w:rPr>
        <w:t xml:space="preserve"> </w:t>
      </w:r>
      <w:r w:rsidRPr="004A2112">
        <w:rPr>
          <w:sz w:val="24"/>
        </w:rPr>
        <w:t>The computation for affiliate lease transactions</w:t>
      </w:r>
      <w:r w:rsidR="005D340C" w:rsidRPr="004A2112">
        <w:rPr>
          <w:sz w:val="24"/>
        </w:rPr>
        <w:t xml:space="preserve"> between WCI and its landlords</w:t>
      </w:r>
      <w:r w:rsidRPr="004A2112">
        <w:rPr>
          <w:sz w:val="24"/>
        </w:rPr>
        <w:t xml:space="preserve"> is </w:t>
      </w:r>
      <w:r w:rsidR="009E7E0F">
        <w:rPr>
          <w:sz w:val="24"/>
        </w:rPr>
        <w:t>distinct from</w:t>
      </w:r>
      <w:r w:rsidRPr="004A2112">
        <w:rPr>
          <w:sz w:val="24"/>
        </w:rPr>
        <w:t xml:space="preserve"> the Lurito-Gallagher regression used to calculate solid waste revenue requirements.  </w:t>
      </w:r>
      <w:r w:rsidR="009E7E0F">
        <w:rPr>
          <w:sz w:val="24"/>
        </w:rPr>
        <w:t xml:space="preserve">They are two different formulas used in two different circumstances.  The Lurito-Gallagher formula is not used to calculate affiliate land rents.  </w:t>
      </w:r>
      <w:r w:rsidRPr="004A2112">
        <w:rPr>
          <w:sz w:val="24"/>
        </w:rPr>
        <w:t xml:space="preserve">The Company’s argument </w:t>
      </w:r>
      <w:r w:rsidR="005A4FE9">
        <w:rPr>
          <w:sz w:val="24"/>
        </w:rPr>
        <w:t xml:space="preserve">on this point </w:t>
      </w:r>
      <w:r w:rsidRPr="004A2112">
        <w:rPr>
          <w:sz w:val="24"/>
        </w:rPr>
        <w:t xml:space="preserve">is </w:t>
      </w:r>
      <w:r w:rsidR="00CB75D3">
        <w:rPr>
          <w:sz w:val="24"/>
        </w:rPr>
        <w:t xml:space="preserve">thus </w:t>
      </w:r>
      <w:r w:rsidRPr="004A2112">
        <w:rPr>
          <w:sz w:val="24"/>
        </w:rPr>
        <w:t>irrelevant.</w:t>
      </w:r>
    </w:p>
    <w:p w14:paraId="4C930413" w14:textId="54445A6F" w:rsidR="001675E4" w:rsidRPr="004A2112" w:rsidRDefault="001675E4" w:rsidP="00983B53">
      <w:pPr>
        <w:numPr>
          <w:ilvl w:val="0"/>
          <w:numId w:val="11"/>
        </w:numPr>
        <w:tabs>
          <w:tab w:val="clear" w:pos="720"/>
          <w:tab w:val="num" w:pos="1440"/>
        </w:tabs>
        <w:spacing w:line="480" w:lineRule="auto"/>
        <w:ind w:left="1440"/>
        <w:rPr>
          <w:sz w:val="24"/>
        </w:rPr>
      </w:pPr>
      <w:r w:rsidRPr="004A2112">
        <w:rPr>
          <w:sz w:val="24"/>
        </w:rPr>
        <w:t xml:space="preserve">The Company next argues against any analogies to regulated utility rate cases for cost of debt and cost of equity for solid waste companies.  </w:t>
      </w:r>
      <w:r w:rsidR="005A4FE9">
        <w:rPr>
          <w:sz w:val="24"/>
        </w:rPr>
        <w:t>First</w:t>
      </w:r>
      <w:r w:rsidR="004903AA">
        <w:rPr>
          <w:sz w:val="24"/>
        </w:rPr>
        <w:t xml:space="preserve">, </w:t>
      </w:r>
      <w:r w:rsidRPr="004A2112">
        <w:rPr>
          <w:sz w:val="24"/>
        </w:rPr>
        <w:t xml:space="preserve">the landlords are not solid waste companies. </w:t>
      </w:r>
      <w:r w:rsidR="005A4FE9">
        <w:rPr>
          <w:sz w:val="24"/>
        </w:rPr>
        <w:t xml:space="preserve"> </w:t>
      </w:r>
      <w:r w:rsidRPr="004A2112">
        <w:rPr>
          <w:sz w:val="24"/>
        </w:rPr>
        <w:t xml:space="preserve">More important, Staff’s positions rely on overarching, basic financial concepts such as balance sheets, </w:t>
      </w:r>
      <w:r w:rsidR="005D340C" w:rsidRPr="004A2112">
        <w:rPr>
          <w:sz w:val="24"/>
        </w:rPr>
        <w:t>financial reporting</w:t>
      </w:r>
      <w:r w:rsidRPr="004A2112">
        <w:rPr>
          <w:sz w:val="24"/>
        </w:rPr>
        <w:t xml:space="preserve">, discounted cash flow valuations, and public security filings.  These concepts are widely understood across all industries, including solid waste and real estate companies.  </w:t>
      </w:r>
    </w:p>
    <w:p w14:paraId="5A59F760" w14:textId="08797E4B" w:rsidR="009109F2" w:rsidRPr="004A2112" w:rsidRDefault="001675E4" w:rsidP="00983B53">
      <w:pPr>
        <w:numPr>
          <w:ilvl w:val="0"/>
          <w:numId w:val="11"/>
        </w:numPr>
        <w:tabs>
          <w:tab w:val="clear" w:pos="720"/>
          <w:tab w:val="num" w:pos="1440"/>
        </w:tabs>
        <w:spacing w:line="480" w:lineRule="auto"/>
        <w:ind w:left="1440"/>
        <w:rPr>
          <w:sz w:val="24"/>
        </w:rPr>
      </w:pPr>
      <w:r w:rsidRPr="004A2112">
        <w:rPr>
          <w:sz w:val="24"/>
        </w:rPr>
        <w:t>WCI goes on to claim that Staff’s DCF analysis relied on an inappropriate sample group and that the Initial Order should not have adopted a dynamic cost of capital approach for landlords of solid waste companies.  First, it is important to note that the Company did not provide any alternative sample group</w:t>
      </w:r>
      <w:r w:rsidR="005A4FE9">
        <w:rPr>
          <w:rStyle w:val="FootnoteReference"/>
          <w:sz w:val="24"/>
        </w:rPr>
        <w:footnoteReference w:id="28"/>
      </w:r>
      <w:r w:rsidRPr="004A2112">
        <w:rPr>
          <w:sz w:val="24"/>
        </w:rPr>
        <w:t xml:space="preserve"> and </w:t>
      </w:r>
      <w:r w:rsidR="005A4FE9">
        <w:rPr>
          <w:sz w:val="24"/>
        </w:rPr>
        <w:t>readily stated</w:t>
      </w:r>
      <w:r w:rsidRPr="004A2112">
        <w:rPr>
          <w:sz w:val="24"/>
        </w:rPr>
        <w:t xml:space="preserve"> that its proposed ROE was not supported by any form of quantitative analysis.</w:t>
      </w:r>
      <w:r w:rsidR="005A4FE9">
        <w:rPr>
          <w:rStyle w:val="FootnoteReference"/>
          <w:sz w:val="24"/>
        </w:rPr>
        <w:footnoteReference w:id="29"/>
      </w:r>
      <w:r w:rsidRPr="004A2112">
        <w:rPr>
          <w:sz w:val="24"/>
        </w:rPr>
        <w:t xml:space="preserve">  </w:t>
      </w:r>
      <w:r w:rsidR="009742D5" w:rsidRPr="004A2112">
        <w:rPr>
          <w:sz w:val="24"/>
        </w:rPr>
        <w:t>Staff, on the other hand, explained the basis for its sample group and documented its analysis.</w:t>
      </w:r>
      <w:r w:rsidR="005A4FE9">
        <w:rPr>
          <w:rStyle w:val="FootnoteReference"/>
          <w:sz w:val="24"/>
        </w:rPr>
        <w:footnoteReference w:id="30"/>
      </w:r>
      <w:r w:rsidR="009742D5" w:rsidRPr="004A2112">
        <w:rPr>
          <w:sz w:val="24"/>
        </w:rPr>
        <w:t xml:space="preserve">  </w:t>
      </w:r>
      <w:r w:rsidRPr="004A2112">
        <w:rPr>
          <w:sz w:val="24"/>
        </w:rPr>
        <w:t>Second, the Company’s argument that fundamental financial concepts such as ROE should somehow c</w:t>
      </w:r>
      <w:r w:rsidR="005A4FE9">
        <w:rPr>
          <w:sz w:val="24"/>
        </w:rPr>
        <w:t>ease to exist within the confines</w:t>
      </w:r>
      <w:r w:rsidRPr="004A2112">
        <w:rPr>
          <w:sz w:val="24"/>
        </w:rPr>
        <w:t xml:space="preserve"> of </w:t>
      </w:r>
      <w:r w:rsidR="009109F2" w:rsidRPr="004A2112">
        <w:rPr>
          <w:sz w:val="24"/>
        </w:rPr>
        <w:t xml:space="preserve">WCI’s </w:t>
      </w:r>
      <w:r w:rsidRPr="004A2112">
        <w:rPr>
          <w:sz w:val="24"/>
        </w:rPr>
        <w:t>affiliate transactions</w:t>
      </w:r>
      <w:r w:rsidR="005A4FE9">
        <w:rPr>
          <w:sz w:val="24"/>
        </w:rPr>
        <w:t xml:space="preserve"> with its landlords</w:t>
      </w:r>
      <w:r w:rsidRPr="004A2112">
        <w:rPr>
          <w:sz w:val="24"/>
        </w:rPr>
        <w:t xml:space="preserve"> is not supported in any academic literature or legal precedent.</w:t>
      </w:r>
      <w:r w:rsidR="009742D5" w:rsidRPr="004A2112">
        <w:rPr>
          <w:sz w:val="24"/>
        </w:rPr>
        <w:t xml:space="preserve"> </w:t>
      </w:r>
      <w:r w:rsidR="00EE6412">
        <w:rPr>
          <w:sz w:val="24"/>
        </w:rPr>
        <w:t xml:space="preserve"> </w:t>
      </w:r>
    </w:p>
    <w:p w14:paraId="32BDD4BA" w14:textId="4A2346B3" w:rsidR="009109F2" w:rsidRPr="004A2112" w:rsidRDefault="009109F2" w:rsidP="00983B53">
      <w:pPr>
        <w:numPr>
          <w:ilvl w:val="0"/>
          <w:numId w:val="11"/>
        </w:numPr>
        <w:tabs>
          <w:tab w:val="clear" w:pos="720"/>
          <w:tab w:val="num" w:pos="1440"/>
        </w:tabs>
        <w:spacing w:line="480" w:lineRule="auto"/>
        <w:ind w:left="1440"/>
        <w:rPr>
          <w:sz w:val="24"/>
        </w:rPr>
      </w:pPr>
      <w:r w:rsidRPr="004A2112">
        <w:rPr>
          <w:sz w:val="24"/>
        </w:rPr>
        <w:t>The Company then notes that Dr. Lurito specifically rejected analogies of comparative risk factors between garbage companies and public utility companies.  Again, HBI and HBII are not garbage companies, they are real estate ventures. Staff’s analysis for equity returns appropriately focused on real estate companies.  It is also important to note that Dr. Lurito’s testimony took place more than two decades ago in an unrelated proceeding.</w:t>
      </w:r>
      <w:r w:rsidR="001422E5">
        <w:rPr>
          <w:rStyle w:val="FootnoteReference"/>
          <w:rFonts w:eastAsiaTheme="minorHAnsi"/>
        </w:rPr>
        <w:footnoteReference w:id="31"/>
      </w:r>
      <w:r w:rsidRPr="004A2112">
        <w:rPr>
          <w:sz w:val="24"/>
        </w:rPr>
        <w:t xml:space="preserve"> </w:t>
      </w:r>
      <w:r w:rsidR="009742D5" w:rsidRPr="004A2112">
        <w:rPr>
          <w:sz w:val="24"/>
        </w:rPr>
        <w:t xml:space="preserve"> Such testimony is not relevant to current cost of capital discussions.</w:t>
      </w:r>
    </w:p>
    <w:p w14:paraId="36408E33" w14:textId="1FA7BDE7" w:rsidR="009109F2" w:rsidRPr="004A2112" w:rsidRDefault="009109F2" w:rsidP="00983B53">
      <w:pPr>
        <w:numPr>
          <w:ilvl w:val="0"/>
          <w:numId w:val="11"/>
        </w:numPr>
        <w:tabs>
          <w:tab w:val="clear" w:pos="720"/>
          <w:tab w:val="num" w:pos="1440"/>
        </w:tabs>
        <w:spacing w:line="480" w:lineRule="auto"/>
        <w:ind w:left="1440"/>
        <w:rPr>
          <w:sz w:val="24"/>
        </w:rPr>
      </w:pPr>
      <w:r w:rsidRPr="004A2112">
        <w:rPr>
          <w:sz w:val="24"/>
        </w:rPr>
        <w:t>WCI next points to the lack of precedent for Title 81 cases to update return for affiliate rent transactions.  The Company presumably refers to Staff’</w:t>
      </w:r>
      <w:r w:rsidR="001422E5">
        <w:rPr>
          <w:sz w:val="24"/>
        </w:rPr>
        <w:t>s recommended return on equity</w:t>
      </w:r>
      <w:r w:rsidRPr="004A2112">
        <w:rPr>
          <w:sz w:val="24"/>
        </w:rPr>
        <w:t xml:space="preserve"> for HBI and HBII.  Again, as Staff explained numerous times, basic financial theory states the return on equity fluctuates over time.</w:t>
      </w:r>
      <w:r w:rsidR="001422E5">
        <w:rPr>
          <w:rStyle w:val="FootnoteReference"/>
          <w:sz w:val="24"/>
        </w:rPr>
        <w:footnoteReference w:id="32"/>
      </w:r>
      <w:r w:rsidRPr="004A2112">
        <w:rPr>
          <w:sz w:val="24"/>
        </w:rPr>
        <w:t xml:space="preserve">  WCI is effectively asking</w:t>
      </w:r>
      <w:r w:rsidR="004903AA">
        <w:rPr>
          <w:sz w:val="24"/>
        </w:rPr>
        <w:t xml:space="preserve"> the Commission to pretend the cost of capital is static</w:t>
      </w:r>
      <w:r w:rsidRPr="004A2112">
        <w:rPr>
          <w:sz w:val="24"/>
        </w:rPr>
        <w:t xml:space="preserve"> and guarantee its </w:t>
      </w:r>
      <w:r w:rsidR="00936447">
        <w:rPr>
          <w:sz w:val="24"/>
        </w:rPr>
        <w:t xml:space="preserve">affiliated </w:t>
      </w:r>
      <w:r w:rsidRPr="004A2112">
        <w:rPr>
          <w:sz w:val="24"/>
        </w:rPr>
        <w:t>landlords an unsupported return</w:t>
      </w:r>
      <w:r w:rsidR="004A2112">
        <w:rPr>
          <w:sz w:val="24"/>
        </w:rPr>
        <w:t>.</w:t>
      </w:r>
      <w:r w:rsidRPr="004A2112">
        <w:rPr>
          <w:sz w:val="24"/>
        </w:rPr>
        <w:t xml:space="preserve"> </w:t>
      </w:r>
    </w:p>
    <w:p w14:paraId="2CFC0C63" w14:textId="351A14BB" w:rsidR="001675E4" w:rsidRPr="004A2112" w:rsidRDefault="009109F2" w:rsidP="00983B53">
      <w:pPr>
        <w:numPr>
          <w:ilvl w:val="0"/>
          <w:numId w:val="11"/>
        </w:numPr>
        <w:tabs>
          <w:tab w:val="clear" w:pos="720"/>
          <w:tab w:val="num" w:pos="1440"/>
        </w:tabs>
        <w:spacing w:line="480" w:lineRule="auto"/>
        <w:ind w:left="1440"/>
        <w:rPr>
          <w:sz w:val="24"/>
        </w:rPr>
      </w:pPr>
      <w:r w:rsidRPr="004A2112">
        <w:rPr>
          <w:sz w:val="24"/>
        </w:rPr>
        <w:t xml:space="preserve">The Company goes onto argue that a 15% return on equity for affiliate rent transactions had somehow been permanently ratified by the Commission in prior cases. </w:t>
      </w:r>
      <w:r w:rsidR="00521D15">
        <w:rPr>
          <w:sz w:val="24"/>
        </w:rPr>
        <w:t xml:space="preserve"> </w:t>
      </w:r>
      <w:r w:rsidRPr="004A2112">
        <w:rPr>
          <w:sz w:val="24"/>
        </w:rPr>
        <w:t>This is simply inaccurate.</w:t>
      </w:r>
      <w:r w:rsidR="00521D15">
        <w:rPr>
          <w:sz w:val="24"/>
        </w:rPr>
        <w:t xml:space="preserve"> </w:t>
      </w:r>
      <w:r w:rsidRPr="004A2112">
        <w:rPr>
          <w:sz w:val="24"/>
        </w:rPr>
        <w:t xml:space="preserve"> The case the Company cites took place nearly 15 years ago</w:t>
      </w:r>
      <w:r w:rsidR="005D340C" w:rsidRPr="004A2112">
        <w:rPr>
          <w:sz w:val="24"/>
        </w:rPr>
        <w:t xml:space="preserve"> and does not guarantee or even speak to the permanence of a 15% ROE</w:t>
      </w:r>
      <w:r w:rsidRPr="004A2112">
        <w:rPr>
          <w:sz w:val="24"/>
        </w:rPr>
        <w:t>.</w:t>
      </w:r>
      <w:r w:rsidR="006D145D">
        <w:rPr>
          <w:rStyle w:val="FootnoteReference"/>
          <w:sz w:val="24"/>
        </w:rPr>
        <w:footnoteReference w:id="33"/>
      </w:r>
      <w:r w:rsidRPr="004A2112">
        <w:rPr>
          <w:sz w:val="24"/>
        </w:rPr>
        <w:t xml:space="preserve">  There have not been any fully-litigated solid rate cases in that time.  Most important, the Commission, and every legitimate financial text, recognize</w:t>
      </w:r>
      <w:r w:rsidR="00844940">
        <w:rPr>
          <w:sz w:val="24"/>
        </w:rPr>
        <w:t>s</w:t>
      </w:r>
      <w:r w:rsidRPr="004A2112">
        <w:rPr>
          <w:sz w:val="24"/>
        </w:rPr>
        <w:t xml:space="preserve"> that equity returns fluctuate over time</w:t>
      </w:r>
      <w:r w:rsidR="00B84E18">
        <w:rPr>
          <w:sz w:val="24"/>
        </w:rPr>
        <w:t xml:space="preserve"> and capital market conditions</w:t>
      </w:r>
      <w:r w:rsidRPr="004A2112">
        <w:rPr>
          <w:sz w:val="24"/>
        </w:rPr>
        <w:t>.</w:t>
      </w:r>
      <w:r w:rsidR="007E3BEA">
        <w:rPr>
          <w:rStyle w:val="FootnoteReference"/>
          <w:sz w:val="24"/>
        </w:rPr>
        <w:footnoteReference w:id="34"/>
      </w:r>
      <w:r w:rsidRPr="004A2112">
        <w:rPr>
          <w:sz w:val="24"/>
        </w:rPr>
        <w:t xml:space="preserve">  The Commission is not </w:t>
      </w:r>
      <w:r w:rsidR="007E3BEA">
        <w:rPr>
          <w:sz w:val="24"/>
        </w:rPr>
        <w:t xml:space="preserve">inflexibly </w:t>
      </w:r>
      <w:r w:rsidRPr="004A2112">
        <w:rPr>
          <w:sz w:val="24"/>
        </w:rPr>
        <w:t>bound by decade</w:t>
      </w:r>
      <w:r w:rsidR="007E3BEA">
        <w:rPr>
          <w:sz w:val="24"/>
        </w:rPr>
        <w:t>s</w:t>
      </w:r>
      <w:r w:rsidRPr="004A2112">
        <w:rPr>
          <w:sz w:val="24"/>
        </w:rPr>
        <w:t>-old c</w:t>
      </w:r>
      <w:r w:rsidR="006D145D">
        <w:rPr>
          <w:sz w:val="24"/>
        </w:rPr>
        <w:t xml:space="preserve">ases and </w:t>
      </w:r>
      <w:r w:rsidRPr="004A2112">
        <w:rPr>
          <w:sz w:val="24"/>
        </w:rPr>
        <w:t>circumstances</w:t>
      </w:r>
      <w:r w:rsidR="00DB08BF" w:rsidRPr="004A2112">
        <w:rPr>
          <w:sz w:val="24"/>
        </w:rPr>
        <w:t>,</w:t>
      </w:r>
      <w:r w:rsidRPr="004A2112">
        <w:rPr>
          <w:sz w:val="24"/>
        </w:rPr>
        <w:t xml:space="preserve"> and regulatory ratemaking clearly</w:t>
      </w:r>
      <w:r w:rsidR="00637DF0">
        <w:rPr>
          <w:sz w:val="24"/>
        </w:rPr>
        <w:t xml:space="preserve"> sides with financial theory </w:t>
      </w:r>
      <w:r w:rsidR="004903AA">
        <w:rPr>
          <w:sz w:val="24"/>
        </w:rPr>
        <w:t xml:space="preserve">in recognizing </w:t>
      </w:r>
      <w:r w:rsidRPr="004A2112">
        <w:rPr>
          <w:sz w:val="24"/>
        </w:rPr>
        <w:t>changing ROEs.</w:t>
      </w:r>
      <w:r w:rsidR="007E3BEA">
        <w:rPr>
          <w:rStyle w:val="FootnoteReference"/>
          <w:sz w:val="24"/>
        </w:rPr>
        <w:footnoteReference w:id="35"/>
      </w:r>
      <w:r w:rsidR="00DB08BF" w:rsidRPr="004A2112">
        <w:rPr>
          <w:sz w:val="24"/>
        </w:rPr>
        <w:t xml:space="preserve"> </w:t>
      </w:r>
    </w:p>
    <w:p w14:paraId="468E9BFE" w14:textId="7722901B" w:rsidR="009109F2" w:rsidRPr="004A2112" w:rsidRDefault="007E3BEA" w:rsidP="00983B53">
      <w:pPr>
        <w:numPr>
          <w:ilvl w:val="0"/>
          <w:numId w:val="11"/>
        </w:numPr>
        <w:tabs>
          <w:tab w:val="clear" w:pos="720"/>
          <w:tab w:val="num" w:pos="1440"/>
        </w:tabs>
        <w:spacing w:line="480" w:lineRule="auto"/>
        <w:ind w:left="1440"/>
        <w:rPr>
          <w:sz w:val="24"/>
        </w:rPr>
      </w:pPr>
      <w:r>
        <w:rPr>
          <w:sz w:val="24"/>
        </w:rPr>
        <w:t>WCI then argues against Staff’s</w:t>
      </w:r>
      <w:r w:rsidR="00F67D30" w:rsidRPr="004A2112">
        <w:rPr>
          <w:sz w:val="24"/>
        </w:rPr>
        <w:t xml:space="preserve"> three factor </w:t>
      </w:r>
      <w:r>
        <w:rPr>
          <w:sz w:val="24"/>
        </w:rPr>
        <w:t>allocation for depreciation and net investments</w:t>
      </w:r>
      <w:r w:rsidR="00DB08BF" w:rsidRPr="004A2112">
        <w:rPr>
          <w:sz w:val="24"/>
        </w:rPr>
        <w:t>. Conspicuously absent</w:t>
      </w:r>
      <w:r w:rsidR="00F67D30" w:rsidRPr="004A2112">
        <w:rPr>
          <w:sz w:val="24"/>
        </w:rPr>
        <w:t xml:space="preserve"> is the Company’s acknowledgement that it did not put forward any legitimate and supported allocator in this proceeding.</w:t>
      </w:r>
      <w:r>
        <w:rPr>
          <w:rStyle w:val="FootnoteReference"/>
          <w:sz w:val="24"/>
        </w:rPr>
        <w:footnoteReference w:id="36"/>
      </w:r>
      <w:r w:rsidR="00F67D30" w:rsidRPr="004A2112">
        <w:rPr>
          <w:sz w:val="24"/>
        </w:rPr>
        <w:t xml:space="preserve"> </w:t>
      </w:r>
      <w:r w:rsidR="00521D15">
        <w:rPr>
          <w:sz w:val="24"/>
        </w:rPr>
        <w:t xml:space="preserve"> </w:t>
      </w:r>
      <w:r w:rsidR="00DB08BF" w:rsidRPr="004A2112">
        <w:rPr>
          <w:sz w:val="24"/>
        </w:rPr>
        <w:t>Staff’s allocator is documented, transparent, and reasonably estimates cost causation.</w:t>
      </w:r>
      <w:r w:rsidR="00176F5D">
        <w:rPr>
          <w:rStyle w:val="FootnoteReference"/>
          <w:sz w:val="24"/>
        </w:rPr>
        <w:footnoteReference w:id="37"/>
      </w:r>
      <w:r w:rsidR="00DB08BF" w:rsidRPr="004A2112">
        <w:rPr>
          <w:sz w:val="24"/>
        </w:rPr>
        <w:t xml:space="preserve"> </w:t>
      </w:r>
      <w:r w:rsidR="00521D15">
        <w:rPr>
          <w:sz w:val="24"/>
        </w:rPr>
        <w:t xml:space="preserve"> </w:t>
      </w:r>
      <w:r w:rsidR="00DB08BF" w:rsidRPr="004A2112">
        <w:rPr>
          <w:sz w:val="24"/>
        </w:rPr>
        <w:t xml:space="preserve">The Initial Order correctly recognized that’s Staff’s allocation methodology was the only legitimate and supported recommendation in this proceeding. </w:t>
      </w:r>
    </w:p>
    <w:p w14:paraId="115855AB" w14:textId="09971BCB" w:rsidR="00F67D30" w:rsidRPr="004A2112" w:rsidRDefault="00F67D30" w:rsidP="00983B53">
      <w:pPr>
        <w:numPr>
          <w:ilvl w:val="0"/>
          <w:numId w:val="11"/>
        </w:numPr>
        <w:tabs>
          <w:tab w:val="clear" w:pos="720"/>
          <w:tab w:val="num" w:pos="1440"/>
        </w:tabs>
        <w:spacing w:line="480" w:lineRule="auto"/>
        <w:ind w:left="1440"/>
        <w:rPr>
          <w:sz w:val="24"/>
        </w:rPr>
      </w:pPr>
      <w:r w:rsidRPr="004A2112">
        <w:rPr>
          <w:sz w:val="24"/>
        </w:rPr>
        <w:t>T</w:t>
      </w:r>
      <w:r w:rsidR="00EA4AC9">
        <w:rPr>
          <w:sz w:val="24"/>
        </w:rPr>
        <w:t>he Company next takes issue with the concept of</w:t>
      </w:r>
      <w:r w:rsidRPr="004A2112">
        <w:rPr>
          <w:sz w:val="24"/>
        </w:rPr>
        <w:t xml:space="preserve"> declining returns on depreciating ass</w:t>
      </w:r>
      <w:r w:rsidR="009742D5" w:rsidRPr="004A2112">
        <w:rPr>
          <w:sz w:val="24"/>
        </w:rPr>
        <w:t>ets.</w:t>
      </w:r>
      <w:r w:rsidRPr="004A2112">
        <w:rPr>
          <w:sz w:val="24"/>
        </w:rPr>
        <w:t xml:space="preserve"> </w:t>
      </w:r>
      <w:r w:rsidR="00521D15">
        <w:rPr>
          <w:sz w:val="24"/>
        </w:rPr>
        <w:t xml:space="preserve"> </w:t>
      </w:r>
      <w:r w:rsidRPr="004A2112">
        <w:rPr>
          <w:sz w:val="24"/>
        </w:rPr>
        <w:t xml:space="preserve">Staff </w:t>
      </w:r>
      <w:r w:rsidR="009742D5" w:rsidRPr="004A2112">
        <w:rPr>
          <w:sz w:val="24"/>
        </w:rPr>
        <w:t>testified</w:t>
      </w:r>
      <w:r w:rsidRPr="004A2112">
        <w:rPr>
          <w:sz w:val="24"/>
        </w:rPr>
        <w:t xml:space="preserve"> that the nominal amount of returns does decrease over the life of an asset</w:t>
      </w:r>
      <w:r w:rsidR="00EA4AC9">
        <w:rPr>
          <w:sz w:val="24"/>
        </w:rPr>
        <w:t xml:space="preserve"> because c</w:t>
      </w:r>
      <w:r w:rsidR="001C40F2">
        <w:rPr>
          <w:sz w:val="24"/>
        </w:rPr>
        <w:t>ustomers should not</w:t>
      </w:r>
      <w:r w:rsidRPr="004A2112">
        <w:rPr>
          <w:sz w:val="24"/>
        </w:rPr>
        <w:t xml:space="preserve"> pay for depreciated assets forever.</w:t>
      </w:r>
      <w:r w:rsidR="007A2F77">
        <w:rPr>
          <w:rStyle w:val="FootnoteReference"/>
          <w:sz w:val="24"/>
        </w:rPr>
        <w:footnoteReference w:id="38"/>
      </w:r>
      <w:r w:rsidRPr="004A2112">
        <w:rPr>
          <w:sz w:val="24"/>
        </w:rPr>
        <w:t xml:space="preserve">  The Commission does not allow companies to collect returns on fully depreciated assets forever, and it should not allow a Company to achieve such treatment through affiliate transactions.</w:t>
      </w:r>
      <w:r w:rsidR="007A2F77">
        <w:rPr>
          <w:rStyle w:val="FootnoteReference"/>
          <w:sz w:val="24"/>
        </w:rPr>
        <w:footnoteReference w:id="39"/>
      </w:r>
      <w:r w:rsidRPr="004A2112">
        <w:rPr>
          <w:sz w:val="24"/>
        </w:rPr>
        <w:t xml:space="preserve"> </w:t>
      </w:r>
      <w:r w:rsidR="009742D5" w:rsidRPr="004A2112">
        <w:rPr>
          <w:sz w:val="24"/>
        </w:rPr>
        <w:t xml:space="preserve"> WCI’s </w:t>
      </w:r>
      <w:r w:rsidR="00EA4AC9">
        <w:rPr>
          <w:sz w:val="24"/>
        </w:rPr>
        <w:t>argument</w:t>
      </w:r>
      <w:r w:rsidR="00DB08BF" w:rsidRPr="004A2112">
        <w:rPr>
          <w:sz w:val="24"/>
        </w:rPr>
        <w:t xml:space="preserve"> to </w:t>
      </w:r>
      <w:r w:rsidR="007A2F77">
        <w:rPr>
          <w:sz w:val="24"/>
        </w:rPr>
        <w:t>use affiliate transactions to engineer permanent recovery of</w:t>
      </w:r>
      <w:r w:rsidR="00DB08BF" w:rsidRPr="004A2112">
        <w:rPr>
          <w:sz w:val="24"/>
        </w:rPr>
        <w:t xml:space="preserve"> depreciated asset</w:t>
      </w:r>
      <w:r w:rsidR="007A2F77">
        <w:rPr>
          <w:sz w:val="24"/>
        </w:rPr>
        <w:t>s</w:t>
      </w:r>
      <w:r w:rsidR="009742D5" w:rsidRPr="004A2112">
        <w:rPr>
          <w:sz w:val="24"/>
        </w:rPr>
        <w:t xml:space="preserve"> </w:t>
      </w:r>
      <w:r w:rsidR="00844940">
        <w:rPr>
          <w:sz w:val="24"/>
        </w:rPr>
        <w:t>reflects a misunderstanding of regulatory accounting</w:t>
      </w:r>
      <w:r w:rsidR="009742D5" w:rsidRPr="004A2112">
        <w:rPr>
          <w:sz w:val="24"/>
        </w:rPr>
        <w:t xml:space="preserve">. </w:t>
      </w:r>
    </w:p>
    <w:p w14:paraId="57BF622C" w14:textId="1F2F6989" w:rsidR="00F67D30" w:rsidRPr="004A2112" w:rsidRDefault="00F67D30" w:rsidP="00983B53">
      <w:pPr>
        <w:numPr>
          <w:ilvl w:val="0"/>
          <w:numId w:val="11"/>
        </w:numPr>
        <w:tabs>
          <w:tab w:val="clear" w:pos="720"/>
          <w:tab w:val="num" w:pos="1440"/>
        </w:tabs>
        <w:spacing w:line="480" w:lineRule="auto"/>
        <w:ind w:left="1440"/>
        <w:rPr>
          <w:sz w:val="24"/>
        </w:rPr>
      </w:pPr>
      <w:r w:rsidRPr="004A2112">
        <w:rPr>
          <w:sz w:val="24"/>
        </w:rPr>
        <w:t xml:space="preserve">Lastly, WCI makes a general accusation that Staff is mistreating the Company and intentionally seeking the lowest possible returns. </w:t>
      </w:r>
      <w:r w:rsidR="00521D15">
        <w:rPr>
          <w:sz w:val="24"/>
        </w:rPr>
        <w:t xml:space="preserve"> </w:t>
      </w:r>
      <w:r w:rsidRPr="004A2112">
        <w:rPr>
          <w:sz w:val="24"/>
        </w:rPr>
        <w:t>WCI also argues that Staff’s approach is unprecedented.  Absent the Company’s continuing and unsubstantiated accusations, there is absolutely no evidence in this proceeding that Staff mistreated or otherwise intentionally targeted WCI.  Further, the affiliate rent calculation methodology chosen by Staff is the exact methodology endorsed by the Commission more than a decade ago.</w:t>
      </w:r>
      <w:r w:rsidR="00637DF0">
        <w:rPr>
          <w:rStyle w:val="FootnoteReference"/>
          <w:sz w:val="24"/>
        </w:rPr>
        <w:footnoteReference w:id="40"/>
      </w:r>
      <w:r w:rsidRPr="004A2112">
        <w:rPr>
          <w:sz w:val="24"/>
        </w:rPr>
        <w:t xml:space="preserve"> </w:t>
      </w:r>
      <w:r w:rsidR="00521D15">
        <w:rPr>
          <w:sz w:val="24"/>
        </w:rPr>
        <w:t xml:space="preserve"> </w:t>
      </w:r>
      <w:r w:rsidRPr="004A2112">
        <w:rPr>
          <w:sz w:val="24"/>
        </w:rPr>
        <w:t>As for the specific inputs, Staff has provided extensive testimony documenting the reasons and regulatory bases for its recommendations.</w:t>
      </w:r>
      <w:r w:rsidR="00B94C54">
        <w:rPr>
          <w:rStyle w:val="FootnoteReference"/>
          <w:sz w:val="24"/>
        </w:rPr>
        <w:footnoteReference w:id="41"/>
      </w:r>
      <w:r w:rsidRPr="004A2112">
        <w:rPr>
          <w:sz w:val="24"/>
        </w:rPr>
        <w:t xml:space="preserve"> </w:t>
      </w:r>
      <w:r w:rsidR="00521D15">
        <w:rPr>
          <w:sz w:val="24"/>
        </w:rPr>
        <w:t xml:space="preserve"> </w:t>
      </w:r>
    </w:p>
    <w:p w14:paraId="017B026C" w14:textId="792E5524" w:rsidR="00932B5C" w:rsidRDefault="00FB258B" w:rsidP="00521D15">
      <w:pPr>
        <w:pStyle w:val="ListParagraph"/>
        <w:numPr>
          <w:ilvl w:val="0"/>
          <w:numId w:val="9"/>
        </w:numPr>
        <w:ind w:hanging="720"/>
        <w:rPr>
          <w:b/>
        </w:rPr>
      </w:pPr>
      <w:r w:rsidRPr="00932B5C">
        <w:rPr>
          <w:b/>
        </w:rPr>
        <w:t xml:space="preserve">Summary of Staff Positions and Support for </w:t>
      </w:r>
      <w:r w:rsidR="005C1CA6">
        <w:rPr>
          <w:b/>
        </w:rPr>
        <w:t xml:space="preserve">the Initial Orders findings for </w:t>
      </w:r>
      <w:r w:rsidR="00637DF0">
        <w:rPr>
          <w:b/>
        </w:rPr>
        <w:t xml:space="preserve">each of the inputs in </w:t>
      </w:r>
      <w:r w:rsidRPr="00932B5C">
        <w:rPr>
          <w:b/>
        </w:rPr>
        <w:t xml:space="preserve">Affiliate </w:t>
      </w:r>
      <w:r w:rsidR="006535C9" w:rsidRPr="00932B5C">
        <w:rPr>
          <w:b/>
        </w:rPr>
        <w:t xml:space="preserve">Land </w:t>
      </w:r>
      <w:r w:rsidRPr="00932B5C">
        <w:rPr>
          <w:b/>
        </w:rPr>
        <w:t>Rents</w:t>
      </w:r>
      <w:r w:rsidR="005C1CA6">
        <w:rPr>
          <w:rStyle w:val="FootnoteReference"/>
          <w:b/>
        </w:rPr>
        <w:footnoteReference w:id="42"/>
      </w:r>
    </w:p>
    <w:p w14:paraId="54005D73" w14:textId="77777777" w:rsidR="00983B53" w:rsidRPr="00983B53" w:rsidRDefault="00983B53" w:rsidP="00983B53">
      <w:pPr>
        <w:jc w:val="both"/>
        <w:rPr>
          <w:b/>
        </w:rPr>
      </w:pPr>
    </w:p>
    <w:p w14:paraId="748B3866" w14:textId="01116148" w:rsidR="009706E4" w:rsidRPr="00AB6000" w:rsidRDefault="009706E4" w:rsidP="00932B5C">
      <w:pPr>
        <w:pStyle w:val="ListParagraph"/>
        <w:numPr>
          <w:ilvl w:val="0"/>
          <w:numId w:val="12"/>
        </w:numPr>
        <w:spacing w:line="480" w:lineRule="auto"/>
        <w:jc w:val="both"/>
        <w:rPr>
          <w:b/>
        </w:rPr>
      </w:pPr>
      <w:r w:rsidRPr="00AB6000">
        <w:rPr>
          <w:b/>
        </w:rPr>
        <w:t>C</w:t>
      </w:r>
      <w:r w:rsidR="00A66B6B" w:rsidRPr="00AB6000">
        <w:rPr>
          <w:b/>
        </w:rPr>
        <w:t>apital Structure</w:t>
      </w:r>
    </w:p>
    <w:p w14:paraId="1CD94218" w14:textId="4D95623B" w:rsidR="009706E4" w:rsidRDefault="006D6288" w:rsidP="00983B53">
      <w:pPr>
        <w:numPr>
          <w:ilvl w:val="0"/>
          <w:numId w:val="2"/>
        </w:numPr>
        <w:spacing w:line="480" w:lineRule="auto"/>
        <w:rPr>
          <w:sz w:val="24"/>
        </w:rPr>
      </w:pPr>
      <w:r>
        <w:rPr>
          <w:sz w:val="24"/>
        </w:rPr>
        <w:t xml:space="preserve"> </w:t>
      </w:r>
      <w:r>
        <w:rPr>
          <w:sz w:val="24"/>
        </w:rPr>
        <w:tab/>
      </w:r>
      <w:r w:rsidR="00A66B6B">
        <w:rPr>
          <w:sz w:val="24"/>
        </w:rPr>
        <w:t>The Parties</w:t>
      </w:r>
      <w:r w:rsidR="00BA07F2">
        <w:rPr>
          <w:sz w:val="24"/>
        </w:rPr>
        <w:t>’</w:t>
      </w:r>
      <w:r w:rsidR="00A66B6B">
        <w:rPr>
          <w:sz w:val="24"/>
        </w:rPr>
        <w:t xml:space="preserve"> dispute over capital structure is the most significant </w:t>
      </w:r>
      <w:r w:rsidR="006F093F">
        <w:rPr>
          <w:sz w:val="24"/>
        </w:rPr>
        <w:t>accounting dispute</w:t>
      </w:r>
      <w:r w:rsidR="00A66B6B">
        <w:rPr>
          <w:sz w:val="24"/>
        </w:rPr>
        <w:t xml:space="preserve"> in this case. The </w:t>
      </w:r>
      <w:r w:rsidR="006F093F">
        <w:rPr>
          <w:sz w:val="24"/>
        </w:rPr>
        <w:t>underlying facts</w:t>
      </w:r>
      <w:r w:rsidR="00A66B6B">
        <w:rPr>
          <w:sz w:val="24"/>
        </w:rPr>
        <w:t>,</w:t>
      </w:r>
      <w:r w:rsidR="006F093F">
        <w:rPr>
          <w:sz w:val="24"/>
        </w:rPr>
        <w:t xml:space="preserve"> positions of the parties,</w:t>
      </w:r>
      <w:r w:rsidR="00A66B6B">
        <w:rPr>
          <w:sz w:val="24"/>
        </w:rPr>
        <w:t xml:space="preserve"> and the </w:t>
      </w:r>
      <w:r w:rsidR="00224B86">
        <w:rPr>
          <w:sz w:val="24"/>
        </w:rPr>
        <w:t>accompanying evidentiary record</w:t>
      </w:r>
      <w:r w:rsidR="00A66B6B">
        <w:rPr>
          <w:sz w:val="24"/>
        </w:rPr>
        <w:t xml:space="preserve"> are fairly straightforward.  WCI argues for a building-specific capital structure, while Staff advocates </w:t>
      </w:r>
      <w:r w:rsidR="00224B86">
        <w:rPr>
          <w:sz w:val="24"/>
        </w:rPr>
        <w:t xml:space="preserve">use of </w:t>
      </w:r>
      <w:r w:rsidR="00AB6000">
        <w:rPr>
          <w:sz w:val="24"/>
        </w:rPr>
        <w:t xml:space="preserve">each of </w:t>
      </w:r>
      <w:r w:rsidR="00A66B6B">
        <w:rPr>
          <w:sz w:val="24"/>
        </w:rPr>
        <w:t xml:space="preserve">the </w:t>
      </w:r>
      <w:r w:rsidR="00AB6000">
        <w:rPr>
          <w:sz w:val="24"/>
        </w:rPr>
        <w:t xml:space="preserve">landlords’ </w:t>
      </w:r>
      <w:r w:rsidR="00A66B6B">
        <w:rPr>
          <w:sz w:val="24"/>
        </w:rPr>
        <w:t>actual, company-wide capital structures</w:t>
      </w:r>
      <w:r w:rsidR="006F093F">
        <w:rPr>
          <w:sz w:val="24"/>
        </w:rPr>
        <w:t>.</w:t>
      </w:r>
      <w:r w:rsidR="00C01DA2">
        <w:rPr>
          <w:sz w:val="24"/>
        </w:rPr>
        <w:t xml:space="preserve"> </w:t>
      </w:r>
      <w:r w:rsidR="00521D15">
        <w:rPr>
          <w:sz w:val="24"/>
        </w:rPr>
        <w:t xml:space="preserve"> </w:t>
      </w:r>
      <w:r w:rsidR="00C01DA2">
        <w:rPr>
          <w:sz w:val="24"/>
        </w:rPr>
        <w:t>WCI also notes its objection to calculating affiliate land rents on the basis of non-regulated affiliates</w:t>
      </w:r>
      <w:r w:rsidR="00C4293F">
        <w:rPr>
          <w:sz w:val="24"/>
        </w:rPr>
        <w:t>; that is, the</w:t>
      </w:r>
      <w:r w:rsidR="00637DF0">
        <w:rPr>
          <w:sz w:val="24"/>
        </w:rPr>
        <w:t xml:space="preserve"> Company believes its</w:t>
      </w:r>
      <w:r w:rsidR="00C4293F">
        <w:rPr>
          <w:sz w:val="24"/>
        </w:rPr>
        <w:t xml:space="preserve"> landlords’ capital structures are inappropriate because those companies are not directly regulated</w:t>
      </w:r>
      <w:r w:rsidR="00C01DA2">
        <w:rPr>
          <w:sz w:val="24"/>
        </w:rPr>
        <w:t>.</w:t>
      </w:r>
      <w:r w:rsidR="006F093F">
        <w:rPr>
          <w:sz w:val="24"/>
        </w:rPr>
        <w:t xml:space="preserve">  </w:t>
      </w:r>
      <w:r w:rsidR="00C4293F">
        <w:rPr>
          <w:sz w:val="24"/>
        </w:rPr>
        <w:t>The</w:t>
      </w:r>
      <w:r w:rsidR="00FB258B">
        <w:rPr>
          <w:sz w:val="24"/>
        </w:rPr>
        <w:t xml:space="preserve"> Company’s position</w:t>
      </w:r>
      <w:r w:rsidR="00C01DA2">
        <w:rPr>
          <w:sz w:val="24"/>
        </w:rPr>
        <w:t>s</w:t>
      </w:r>
      <w:r w:rsidR="00C4293F">
        <w:rPr>
          <w:sz w:val="24"/>
        </w:rPr>
        <w:t xml:space="preserve"> </w:t>
      </w:r>
      <w:r w:rsidR="00C01DA2">
        <w:rPr>
          <w:sz w:val="24"/>
        </w:rPr>
        <w:t xml:space="preserve">demonstrate </w:t>
      </w:r>
      <w:r w:rsidR="00FB258B">
        <w:rPr>
          <w:sz w:val="24"/>
        </w:rPr>
        <w:t xml:space="preserve">a fundamental misunderstanding of regulatory accounting and financial concepts. </w:t>
      </w:r>
    </w:p>
    <w:p w14:paraId="6A22CA12" w14:textId="4BC7DEE0" w:rsidR="005C1CA6" w:rsidRPr="005C1CA6" w:rsidRDefault="005C1CA6" w:rsidP="00983B53">
      <w:pPr>
        <w:pStyle w:val="ListParagraph"/>
        <w:spacing w:line="480" w:lineRule="auto"/>
        <w:ind w:left="1800" w:hanging="360"/>
        <w:jc w:val="both"/>
        <w:rPr>
          <w:b/>
        </w:rPr>
      </w:pPr>
      <w:r>
        <w:rPr>
          <w:b/>
        </w:rPr>
        <w:t xml:space="preserve">a. </w:t>
      </w:r>
      <w:r w:rsidR="00983B53">
        <w:rPr>
          <w:b/>
        </w:rPr>
        <w:tab/>
      </w:r>
      <w:r w:rsidRPr="005C1CA6">
        <w:rPr>
          <w:b/>
        </w:rPr>
        <w:t>Actual sources of financing</w:t>
      </w:r>
    </w:p>
    <w:p w14:paraId="28C0AD2D" w14:textId="0BF1C1EE" w:rsidR="006D6288" w:rsidRDefault="00224B86" w:rsidP="00983B53">
      <w:pPr>
        <w:numPr>
          <w:ilvl w:val="0"/>
          <w:numId w:val="2"/>
        </w:numPr>
        <w:spacing w:line="480" w:lineRule="auto"/>
        <w:rPr>
          <w:sz w:val="24"/>
        </w:rPr>
      </w:pPr>
      <w:r>
        <w:rPr>
          <w:sz w:val="24"/>
        </w:rPr>
        <w:tab/>
      </w:r>
      <w:r w:rsidR="00D41793">
        <w:rPr>
          <w:sz w:val="24"/>
        </w:rPr>
        <w:t>Staff explained that HBI’s and HBII’s balance sheets document those entities’ sources of financing.</w:t>
      </w:r>
      <w:r w:rsidR="00C4293F">
        <w:rPr>
          <w:rStyle w:val="FootnoteReference"/>
          <w:sz w:val="24"/>
        </w:rPr>
        <w:footnoteReference w:id="43"/>
      </w:r>
      <w:r w:rsidR="00D41793">
        <w:rPr>
          <w:sz w:val="24"/>
        </w:rPr>
        <w:t xml:space="preserve">  </w:t>
      </w:r>
      <w:r w:rsidR="008700C7" w:rsidRPr="008700C7">
        <w:rPr>
          <w:sz w:val="24"/>
        </w:rPr>
        <w:t>Staff calculates a return on the basis of those actual sources of financing and associated costs.</w:t>
      </w:r>
      <w:r w:rsidR="008700C7" w:rsidRPr="008700C7">
        <w:rPr>
          <w:rStyle w:val="FootnoteReference"/>
          <w:rFonts w:eastAsiaTheme="minorHAnsi"/>
          <w:sz w:val="24"/>
        </w:rPr>
        <w:footnoteReference w:id="44"/>
      </w:r>
      <w:r w:rsidR="008700C7">
        <w:t xml:space="preserve">  </w:t>
      </w:r>
      <w:r w:rsidR="00D41793">
        <w:rPr>
          <w:sz w:val="24"/>
        </w:rPr>
        <w:t xml:space="preserve">There is thus nothing hypothetical about Staff’s proposal. </w:t>
      </w:r>
      <w:r w:rsidR="008700C7">
        <w:rPr>
          <w:sz w:val="24"/>
        </w:rPr>
        <w:t>The Company proposes a building- or asset-speci</w:t>
      </w:r>
      <w:r w:rsidR="00C4293F">
        <w:rPr>
          <w:sz w:val="24"/>
        </w:rPr>
        <w:t xml:space="preserve">fic capital structure. </w:t>
      </w:r>
      <w:r w:rsidR="008700C7">
        <w:rPr>
          <w:sz w:val="24"/>
        </w:rPr>
        <w:t xml:space="preserve"> </w:t>
      </w:r>
      <w:r w:rsidR="00C4293F">
        <w:rPr>
          <w:sz w:val="24"/>
        </w:rPr>
        <w:t xml:space="preserve">In substance, </w:t>
      </w:r>
      <w:r w:rsidR="008700C7">
        <w:rPr>
          <w:sz w:val="24"/>
        </w:rPr>
        <w:t xml:space="preserve">WCI argues that its landlords should be able to apportion debt and equity among assets at their discretion.  </w:t>
      </w:r>
      <w:r w:rsidR="00637DF0">
        <w:rPr>
          <w:sz w:val="24"/>
        </w:rPr>
        <w:t>Staff testified that</w:t>
      </w:r>
      <w:r w:rsidR="008700C7">
        <w:rPr>
          <w:sz w:val="24"/>
        </w:rPr>
        <w:t xml:space="preserve"> the term capital structure refers to an entity’s debt and equity positions</w:t>
      </w:r>
      <w:r w:rsidR="00C4293F">
        <w:rPr>
          <w:sz w:val="24"/>
        </w:rPr>
        <w:t xml:space="preserve"> on its balance sheet</w:t>
      </w:r>
      <w:r w:rsidR="008700C7">
        <w:rPr>
          <w:sz w:val="24"/>
        </w:rPr>
        <w:t>.</w:t>
      </w:r>
      <w:r w:rsidR="00C4293F">
        <w:rPr>
          <w:rStyle w:val="FootnoteReference"/>
          <w:sz w:val="24"/>
        </w:rPr>
        <w:footnoteReference w:id="45"/>
      </w:r>
      <w:r w:rsidR="008700C7">
        <w:rPr>
          <w:sz w:val="24"/>
        </w:rPr>
        <w:t xml:space="preserve">  The Company’s proposal to deviate from the standard accounting definition </w:t>
      </w:r>
      <w:r>
        <w:rPr>
          <w:sz w:val="24"/>
        </w:rPr>
        <w:t>is thus a hypothetical capital structure that invites cross-subsidies.</w:t>
      </w:r>
      <w:r w:rsidR="005C1CA6">
        <w:rPr>
          <w:sz w:val="24"/>
        </w:rPr>
        <w:t xml:space="preserve">  The Initial Order appropriately rejected the Company’s position</w:t>
      </w:r>
      <w:r w:rsidR="00C4293F">
        <w:rPr>
          <w:sz w:val="24"/>
        </w:rPr>
        <w:t xml:space="preserve"> for hypothetical, and easily manipulated, asset-based capital structures</w:t>
      </w:r>
      <w:r w:rsidR="005C1CA6">
        <w:rPr>
          <w:sz w:val="24"/>
        </w:rPr>
        <w:t xml:space="preserve">. </w:t>
      </w:r>
    </w:p>
    <w:p w14:paraId="03664CA8" w14:textId="74497C53" w:rsidR="005C1CA6" w:rsidRPr="005C1CA6" w:rsidRDefault="005C1CA6" w:rsidP="00983B53">
      <w:pPr>
        <w:tabs>
          <w:tab w:val="left" w:pos="1800"/>
        </w:tabs>
        <w:spacing w:line="480" w:lineRule="auto"/>
        <w:ind w:left="720" w:firstLine="720"/>
        <w:jc w:val="both"/>
        <w:rPr>
          <w:b/>
          <w:sz w:val="24"/>
        </w:rPr>
      </w:pPr>
      <w:r w:rsidRPr="005C1CA6">
        <w:rPr>
          <w:b/>
          <w:sz w:val="24"/>
        </w:rPr>
        <w:t xml:space="preserve">b. </w:t>
      </w:r>
      <w:r w:rsidR="00983B53">
        <w:rPr>
          <w:b/>
          <w:sz w:val="24"/>
        </w:rPr>
        <w:tab/>
      </w:r>
      <w:r w:rsidRPr="005C1CA6">
        <w:rPr>
          <w:b/>
          <w:sz w:val="24"/>
        </w:rPr>
        <w:t>Cross Subsidies</w:t>
      </w:r>
    </w:p>
    <w:p w14:paraId="06BB72BF" w14:textId="39F691E3" w:rsidR="009706E4" w:rsidRPr="006D6288" w:rsidRDefault="006D6288" w:rsidP="00983B53">
      <w:pPr>
        <w:numPr>
          <w:ilvl w:val="0"/>
          <w:numId w:val="2"/>
        </w:numPr>
        <w:spacing w:line="480" w:lineRule="auto"/>
        <w:rPr>
          <w:sz w:val="24"/>
        </w:rPr>
      </w:pPr>
      <w:r>
        <w:rPr>
          <w:sz w:val="24"/>
        </w:rPr>
        <w:t xml:space="preserve"> </w:t>
      </w:r>
      <w:r>
        <w:rPr>
          <w:sz w:val="24"/>
        </w:rPr>
        <w:tab/>
        <w:t xml:space="preserve">The Company’s proposal allows for and incents cross-subsidies. </w:t>
      </w:r>
      <w:r w:rsidR="00D41793">
        <w:rPr>
          <w:sz w:val="24"/>
        </w:rPr>
        <w:t>Staff’s expert explained that c</w:t>
      </w:r>
      <w:r w:rsidRPr="006D6288">
        <w:rPr>
          <w:sz w:val="24"/>
        </w:rPr>
        <w:t>ash flows from the regulated company through a real estate holding company to repay loans that other affiliates used to finance regulated and non-regulated operations.</w:t>
      </w:r>
      <w:r w:rsidRPr="006D6288">
        <w:rPr>
          <w:rStyle w:val="FootnoteReference"/>
          <w:rFonts w:eastAsiaTheme="minorHAnsi"/>
          <w:sz w:val="24"/>
        </w:rPr>
        <w:footnoteReference w:id="46"/>
      </w:r>
      <w:r w:rsidRPr="006D6288">
        <w:rPr>
          <w:sz w:val="24"/>
        </w:rPr>
        <w:t xml:space="preserve">  WCI also guarantees </w:t>
      </w:r>
      <w:r w:rsidR="00D41793">
        <w:rPr>
          <w:sz w:val="24"/>
        </w:rPr>
        <w:t xml:space="preserve">those loans, which are </w:t>
      </w:r>
      <w:r w:rsidRPr="006D6288">
        <w:rPr>
          <w:sz w:val="24"/>
        </w:rPr>
        <w:t>HBI and HBII debts.</w:t>
      </w:r>
      <w:r w:rsidRPr="006D6288">
        <w:rPr>
          <w:rStyle w:val="FootnoteReference"/>
          <w:rFonts w:eastAsiaTheme="minorHAnsi"/>
          <w:sz w:val="24"/>
        </w:rPr>
        <w:footnoteReference w:id="47"/>
      </w:r>
      <w:r w:rsidRPr="006D6288">
        <w:rPr>
          <w:sz w:val="24"/>
        </w:rPr>
        <w:t xml:space="preserve">  The regulated company, WCI, thus subsidizes the cost of debt to the holding companies through an express guarantee and then pays for that same debt through affiliate rent transactions.  Even though those transactions are largely debt-financed, </w:t>
      </w:r>
      <w:r w:rsidR="00D41793">
        <w:rPr>
          <w:sz w:val="24"/>
        </w:rPr>
        <w:t>t</w:t>
      </w:r>
      <w:r w:rsidRPr="006D6288">
        <w:rPr>
          <w:sz w:val="24"/>
        </w:rPr>
        <w:t>he Company argues that its landlords should be able to apportion debt and equity percentages among the buildings</w:t>
      </w:r>
      <w:r>
        <w:rPr>
          <w:sz w:val="24"/>
        </w:rPr>
        <w:t xml:space="preserve"> and other assets</w:t>
      </w:r>
      <w:r w:rsidRPr="006D6288">
        <w:rPr>
          <w:sz w:val="24"/>
        </w:rPr>
        <w:t xml:space="preserve">.  </w:t>
      </w:r>
      <w:r w:rsidR="00DB08BF">
        <w:rPr>
          <w:sz w:val="24"/>
        </w:rPr>
        <w:t xml:space="preserve">The Company then </w:t>
      </w:r>
      <w:r w:rsidRPr="006D6288">
        <w:rPr>
          <w:sz w:val="24"/>
        </w:rPr>
        <w:t xml:space="preserve">argues that the landlords’ equity should be apportioned to facilities leased to regulated operations and debt should be apportioned to those facilities associated with the owners’ non-regulated business ventures.  </w:t>
      </w:r>
      <w:r w:rsidR="00637DF0">
        <w:rPr>
          <w:sz w:val="24"/>
        </w:rPr>
        <w:t xml:space="preserve">In substance, </w:t>
      </w:r>
      <w:r w:rsidR="005C1CA6">
        <w:rPr>
          <w:sz w:val="24"/>
        </w:rPr>
        <w:t xml:space="preserve">WCI is asking the Commission to </w:t>
      </w:r>
      <w:r w:rsidR="00A42CE0">
        <w:rPr>
          <w:sz w:val="24"/>
        </w:rPr>
        <w:t>ap</w:t>
      </w:r>
      <w:r w:rsidR="005C1CA6">
        <w:rPr>
          <w:sz w:val="24"/>
        </w:rPr>
        <w:t>prove equity-priced payments for debt financing</w:t>
      </w:r>
      <w:r w:rsidR="00DD1B6A">
        <w:rPr>
          <w:sz w:val="24"/>
        </w:rPr>
        <w:t>,</w:t>
      </w:r>
      <w:r w:rsidR="00DD1B6A" w:rsidRPr="00DD1B6A">
        <w:rPr>
          <w:sz w:val="24"/>
        </w:rPr>
        <w:t xml:space="preserve"> </w:t>
      </w:r>
      <w:r w:rsidR="00DD1B6A">
        <w:rPr>
          <w:sz w:val="24"/>
        </w:rPr>
        <w:t>with the difference going to its shareholders’ outside business ventures</w:t>
      </w:r>
      <w:r w:rsidR="005C1CA6">
        <w:rPr>
          <w:sz w:val="24"/>
        </w:rPr>
        <w:t xml:space="preserve">.  </w:t>
      </w:r>
      <w:r w:rsidR="00D41793">
        <w:rPr>
          <w:sz w:val="24"/>
        </w:rPr>
        <w:t xml:space="preserve">Staff pointed out that such an arrangement results in </w:t>
      </w:r>
      <w:r>
        <w:rPr>
          <w:sz w:val="24"/>
        </w:rPr>
        <w:t>r</w:t>
      </w:r>
      <w:r w:rsidR="00D41793">
        <w:rPr>
          <w:sz w:val="24"/>
        </w:rPr>
        <w:t>egulated ratepayers subsidizing</w:t>
      </w:r>
      <w:r>
        <w:rPr>
          <w:sz w:val="24"/>
        </w:rPr>
        <w:t xml:space="preserve"> non-regulated operations.</w:t>
      </w:r>
      <w:r w:rsidR="00A42CE0">
        <w:rPr>
          <w:rStyle w:val="FootnoteReference"/>
          <w:sz w:val="24"/>
        </w:rPr>
        <w:footnoteReference w:id="48"/>
      </w:r>
      <w:r w:rsidR="00A42CE0">
        <w:rPr>
          <w:sz w:val="24"/>
        </w:rPr>
        <w:t xml:space="preserve"> </w:t>
      </w:r>
      <w:r w:rsidR="00DB08BF">
        <w:rPr>
          <w:sz w:val="24"/>
        </w:rPr>
        <w:t xml:space="preserve"> Regulated ratepayers should not subsidize shareholders’ non-regulated business ventures. </w:t>
      </w:r>
    </w:p>
    <w:p w14:paraId="565EC969" w14:textId="40E86B77" w:rsidR="009706E4" w:rsidRPr="00983C10" w:rsidRDefault="005C1CA6" w:rsidP="00983B53">
      <w:pPr>
        <w:tabs>
          <w:tab w:val="left" w:pos="1800"/>
        </w:tabs>
        <w:spacing w:line="480" w:lineRule="auto"/>
        <w:ind w:left="720" w:firstLine="720"/>
        <w:jc w:val="both"/>
        <w:rPr>
          <w:b/>
          <w:sz w:val="24"/>
        </w:rPr>
      </w:pPr>
      <w:r w:rsidRPr="00983C10">
        <w:rPr>
          <w:b/>
          <w:sz w:val="24"/>
        </w:rPr>
        <w:t xml:space="preserve">c. </w:t>
      </w:r>
      <w:r w:rsidR="00983B53">
        <w:rPr>
          <w:b/>
          <w:sz w:val="24"/>
        </w:rPr>
        <w:tab/>
      </w:r>
      <w:r w:rsidR="00D41793" w:rsidRPr="00983C10">
        <w:rPr>
          <w:b/>
          <w:sz w:val="24"/>
        </w:rPr>
        <w:t>Encumbrances</w:t>
      </w:r>
    </w:p>
    <w:p w14:paraId="115F2938" w14:textId="7F49E2CF" w:rsidR="00224B86" w:rsidRDefault="00983C10" w:rsidP="00983B53">
      <w:pPr>
        <w:numPr>
          <w:ilvl w:val="0"/>
          <w:numId w:val="2"/>
        </w:numPr>
        <w:spacing w:line="480" w:lineRule="auto"/>
        <w:rPr>
          <w:sz w:val="24"/>
        </w:rPr>
      </w:pPr>
      <w:r>
        <w:rPr>
          <w:sz w:val="24"/>
        </w:rPr>
        <w:t xml:space="preserve"> </w:t>
      </w:r>
      <w:r>
        <w:rPr>
          <w:sz w:val="24"/>
        </w:rPr>
        <w:tab/>
      </w:r>
      <w:r w:rsidR="00D41793">
        <w:rPr>
          <w:sz w:val="24"/>
        </w:rPr>
        <w:t>WCI argues that its landlords’ buildings are not encumbered with debt.  Staff explained that the Company’s position is based on a false distinction.</w:t>
      </w:r>
      <w:r>
        <w:rPr>
          <w:rStyle w:val="FootnoteReference"/>
          <w:rFonts w:eastAsiaTheme="minorHAnsi"/>
        </w:rPr>
        <w:footnoteReference w:id="49"/>
      </w:r>
      <w:r w:rsidR="00D41793">
        <w:rPr>
          <w:sz w:val="24"/>
        </w:rPr>
        <w:t xml:space="preserve">  Staff demonstrated numerous times that the landlords’ creditors hold claims against all of the landlords’ assets, not just those that are rented to non-regulated businesses.</w:t>
      </w:r>
      <w:r>
        <w:rPr>
          <w:rStyle w:val="FootnoteReference"/>
          <w:rFonts w:eastAsiaTheme="minorHAnsi"/>
        </w:rPr>
        <w:footnoteReference w:id="50"/>
      </w:r>
      <w:r>
        <w:rPr>
          <w:sz w:val="24"/>
        </w:rPr>
        <w:t xml:space="preserve"> </w:t>
      </w:r>
      <w:r w:rsidR="00D41793">
        <w:rPr>
          <w:sz w:val="24"/>
        </w:rPr>
        <w:t xml:space="preserve"> The buildings leased to WCI are thus encumbered for all practical purposes. </w:t>
      </w:r>
      <w:r w:rsidR="00521D15">
        <w:rPr>
          <w:sz w:val="24"/>
        </w:rPr>
        <w:t xml:space="preserve"> </w:t>
      </w:r>
      <w:r w:rsidR="00D41793">
        <w:rPr>
          <w:sz w:val="24"/>
        </w:rPr>
        <w:t>There is simply no economic difference between pledging assets to obtain debt financing and mortgaging those assets directly to obtain debt financing.</w:t>
      </w:r>
      <w:r w:rsidRPr="00983C10">
        <w:rPr>
          <w:rStyle w:val="FootnoteReference"/>
          <w:rFonts w:eastAsiaTheme="minorHAnsi"/>
        </w:rPr>
        <w:t xml:space="preserve"> </w:t>
      </w:r>
      <w:r>
        <w:rPr>
          <w:rStyle w:val="FootnoteReference"/>
          <w:rFonts w:eastAsiaTheme="minorHAnsi"/>
        </w:rPr>
        <w:footnoteReference w:id="51"/>
      </w:r>
      <w:r w:rsidR="00D41793">
        <w:rPr>
          <w:sz w:val="24"/>
        </w:rPr>
        <w:t xml:space="preserve">  The difference is particularly fictional where the Company is using income from the pledged assets to repay the debt.</w:t>
      </w:r>
    </w:p>
    <w:p w14:paraId="1AFF6811" w14:textId="5525BB64" w:rsidR="005C1CA6" w:rsidRPr="00983C10" w:rsidRDefault="00983C10" w:rsidP="00983B53">
      <w:pPr>
        <w:keepNext/>
        <w:tabs>
          <w:tab w:val="left" w:pos="1800"/>
        </w:tabs>
        <w:spacing w:line="480" w:lineRule="auto"/>
        <w:ind w:left="720" w:firstLine="720"/>
        <w:jc w:val="both"/>
        <w:rPr>
          <w:b/>
          <w:sz w:val="24"/>
        </w:rPr>
      </w:pPr>
      <w:r w:rsidRPr="00983C10">
        <w:rPr>
          <w:b/>
          <w:sz w:val="24"/>
        </w:rPr>
        <w:t xml:space="preserve">d. </w:t>
      </w:r>
      <w:r w:rsidR="00983B53">
        <w:rPr>
          <w:b/>
          <w:sz w:val="24"/>
        </w:rPr>
        <w:tab/>
      </w:r>
      <w:r w:rsidR="00C642E3">
        <w:rPr>
          <w:b/>
          <w:sz w:val="24"/>
        </w:rPr>
        <w:t>Using affiliate l</w:t>
      </w:r>
      <w:r w:rsidR="005C1CA6" w:rsidRPr="00983C10">
        <w:rPr>
          <w:b/>
          <w:sz w:val="24"/>
        </w:rPr>
        <w:t>andlords to calculate rents</w:t>
      </w:r>
    </w:p>
    <w:p w14:paraId="47582139" w14:textId="0511DF64" w:rsidR="005C1CA6" w:rsidRPr="00C642E3" w:rsidRDefault="005C1CA6" w:rsidP="00983B53">
      <w:pPr>
        <w:numPr>
          <w:ilvl w:val="0"/>
          <w:numId w:val="2"/>
        </w:numPr>
        <w:spacing w:line="480" w:lineRule="auto"/>
        <w:rPr>
          <w:sz w:val="24"/>
        </w:rPr>
      </w:pPr>
      <w:r>
        <w:rPr>
          <w:sz w:val="24"/>
        </w:rPr>
        <w:t xml:space="preserve"> </w:t>
      </w:r>
      <w:r>
        <w:rPr>
          <w:sz w:val="24"/>
        </w:rPr>
        <w:tab/>
        <w:t>The concept of cost-plus-return is inherently linked to the entity that incurs the cost and is entitled to the return.  In land rent transactions, the appropriate party is, of course, the landlord.  The landlord owns the building and presumably incurs the costs associated with maintaining the asset.  Therefore, it is appropriate to calculate rents in this case based on the financial structure of the landlords, HBI and HBII.</w:t>
      </w:r>
      <w:r w:rsidR="00DD1B6A">
        <w:rPr>
          <w:rStyle w:val="FootnoteReference"/>
          <w:sz w:val="24"/>
        </w:rPr>
        <w:footnoteReference w:id="52"/>
      </w:r>
      <w:r>
        <w:rPr>
          <w:sz w:val="24"/>
        </w:rPr>
        <w:t xml:space="preserve">  WCI’s arguments to calculate cost-plus-return rates on the basis of a tenant instead of the landlord </w:t>
      </w:r>
      <w:r w:rsidR="0046023B">
        <w:rPr>
          <w:sz w:val="24"/>
        </w:rPr>
        <w:t>demonstrate</w:t>
      </w:r>
      <w:r w:rsidR="00DD1B6A">
        <w:rPr>
          <w:sz w:val="24"/>
        </w:rPr>
        <w:t xml:space="preserve"> a</w:t>
      </w:r>
      <w:r>
        <w:rPr>
          <w:sz w:val="24"/>
        </w:rPr>
        <w:t xml:space="preserve"> misunderstanding of </w:t>
      </w:r>
      <w:r w:rsidR="0046023B">
        <w:rPr>
          <w:sz w:val="24"/>
        </w:rPr>
        <w:t>cost-plus-return pricing and regulatory accounting</w:t>
      </w:r>
      <w:r>
        <w:rPr>
          <w:sz w:val="24"/>
        </w:rPr>
        <w:t xml:space="preserve">.  </w:t>
      </w:r>
    </w:p>
    <w:p w14:paraId="119D3A8C" w14:textId="6DF533FD" w:rsidR="00224B86" w:rsidRPr="00C642E3" w:rsidRDefault="00C642E3" w:rsidP="00983B53">
      <w:pPr>
        <w:tabs>
          <w:tab w:val="left" w:pos="1800"/>
        </w:tabs>
        <w:spacing w:line="480" w:lineRule="auto"/>
        <w:ind w:left="720" w:firstLine="720"/>
        <w:jc w:val="both"/>
        <w:rPr>
          <w:b/>
          <w:sz w:val="24"/>
        </w:rPr>
      </w:pPr>
      <w:r w:rsidRPr="00C642E3">
        <w:rPr>
          <w:b/>
          <w:sz w:val="24"/>
        </w:rPr>
        <w:t xml:space="preserve">e. </w:t>
      </w:r>
      <w:r w:rsidR="00983B53">
        <w:rPr>
          <w:b/>
          <w:sz w:val="24"/>
        </w:rPr>
        <w:tab/>
      </w:r>
      <w:r w:rsidRPr="00C642E3">
        <w:rPr>
          <w:b/>
          <w:sz w:val="24"/>
        </w:rPr>
        <w:t>General bases for Staff’s recommendation</w:t>
      </w:r>
      <w:r>
        <w:rPr>
          <w:b/>
          <w:sz w:val="24"/>
        </w:rPr>
        <w:t xml:space="preserve"> on capital structure</w:t>
      </w:r>
    </w:p>
    <w:p w14:paraId="25AAA6B1" w14:textId="39B1FD3B" w:rsidR="00224B86" w:rsidRDefault="00C642E3" w:rsidP="00854528">
      <w:pPr>
        <w:widowControl/>
        <w:numPr>
          <w:ilvl w:val="0"/>
          <w:numId w:val="2"/>
        </w:numPr>
        <w:spacing w:line="480" w:lineRule="auto"/>
        <w:rPr>
          <w:sz w:val="24"/>
        </w:rPr>
      </w:pPr>
      <w:r>
        <w:rPr>
          <w:sz w:val="24"/>
        </w:rPr>
        <w:t xml:space="preserve"> </w:t>
      </w:r>
      <w:r>
        <w:rPr>
          <w:sz w:val="24"/>
        </w:rPr>
        <w:tab/>
      </w:r>
      <w:r w:rsidR="00224B86">
        <w:rPr>
          <w:sz w:val="24"/>
        </w:rPr>
        <w:t xml:space="preserve">Although RCW 81.16.030 is aimed at removing cross-subsidies and the Commission has long taken the position that regulated entities should not subsidize non-regulated businesses, WCI argues that the Commission should ignore its landlords’ financing arrangements, cross-subsidies, and the various </w:t>
      </w:r>
      <w:r w:rsidR="00844940">
        <w:rPr>
          <w:sz w:val="24"/>
        </w:rPr>
        <w:t xml:space="preserve">affiliate </w:t>
      </w:r>
      <w:r w:rsidR="00224B86">
        <w:rPr>
          <w:sz w:val="24"/>
        </w:rPr>
        <w:t xml:space="preserve">companies’ economic obligations to creditors.  Given Staff’s detailed testimony, the statutory regime, </w:t>
      </w:r>
      <w:r w:rsidR="0015431B">
        <w:rPr>
          <w:sz w:val="24"/>
        </w:rPr>
        <w:t xml:space="preserve">and a few </w:t>
      </w:r>
      <w:r w:rsidR="00224B86">
        <w:rPr>
          <w:sz w:val="24"/>
        </w:rPr>
        <w:t xml:space="preserve">fundamental regulatory principles, the Initial Order reasonably and fairly adopted Staff’s recommended capital structure for calculating affiliate lease payments. </w:t>
      </w:r>
      <w:r w:rsidR="0046023B">
        <w:rPr>
          <w:sz w:val="24"/>
        </w:rPr>
        <w:t xml:space="preserve"> </w:t>
      </w:r>
    </w:p>
    <w:p w14:paraId="4170EC55" w14:textId="29D272EB" w:rsidR="00224B86" w:rsidRPr="00AB6000" w:rsidRDefault="0015431B" w:rsidP="00983B53">
      <w:pPr>
        <w:pStyle w:val="ListParagraph"/>
        <w:keepNext/>
        <w:numPr>
          <w:ilvl w:val="0"/>
          <w:numId w:val="12"/>
        </w:numPr>
        <w:spacing w:line="480" w:lineRule="auto"/>
        <w:jc w:val="both"/>
        <w:rPr>
          <w:b/>
        </w:rPr>
      </w:pPr>
      <w:r w:rsidRPr="00AB6000">
        <w:rPr>
          <w:b/>
        </w:rPr>
        <w:t>Return on Equity</w:t>
      </w:r>
    </w:p>
    <w:p w14:paraId="572F192C" w14:textId="21698DB4" w:rsidR="0015431B" w:rsidRDefault="0015431B" w:rsidP="00983B53">
      <w:pPr>
        <w:widowControl/>
        <w:numPr>
          <w:ilvl w:val="0"/>
          <w:numId w:val="2"/>
        </w:numPr>
        <w:spacing w:line="480" w:lineRule="auto"/>
        <w:rPr>
          <w:sz w:val="24"/>
        </w:rPr>
      </w:pPr>
      <w:r>
        <w:rPr>
          <w:sz w:val="24"/>
        </w:rPr>
        <w:t xml:space="preserve"> </w:t>
      </w:r>
      <w:r>
        <w:rPr>
          <w:sz w:val="24"/>
        </w:rPr>
        <w:tab/>
        <w:t xml:space="preserve">WCI argues that its landlords are entitled to a flat 15 percent return on equity. </w:t>
      </w:r>
      <w:r w:rsidR="00521D15">
        <w:rPr>
          <w:sz w:val="24"/>
        </w:rPr>
        <w:t xml:space="preserve"> </w:t>
      </w:r>
      <w:r>
        <w:rPr>
          <w:sz w:val="24"/>
        </w:rPr>
        <w:t>The Company acknowledges that there is no quantitative basis for its proposal.</w:t>
      </w:r>
      <w:r w:rsidR="002B565F" w:rsidRPr="002B565F">
        <w:rPr>
          <w:rStyle w:val="FootnoteReference"/>
        </w:rPr>
        <w:t xml:space="preserve"> </w:t>
      </w:r>
      <w:r w:rsidR="002B565F" w:rsidRPr="00735A6A">
        <w:rPr>
          <w:rStyle w:val="FootnoteReference"/>
        </w:rPr>
        <w:footnoteReference w:id="53"/>
      </w:r>
      <w:r w:rsidR="002B565F" w:rsidRPr="00F02100">
        <w:t xml:space="preserve"> </w:t>
      </w:r>
      <w:r>
        <w:rPr>
          <w:sz w:val="24"/>
        </w:rPr>
        <w:t xml:space="preserve">  </w:t>
      </w:r>
    </w:p>
    <w:p w14:paraId="21422AF7" w14:textId="596F34A8" w:rsidR="00224B86" w:rsidRDefault="0015431B" w:rsidP="00983B53">
      <w:pPr>
        <w:numPr>
          <w:ilvl w:val="0"/>
          <w:numId w:val="2"/>
        </w:numPr>
        <w:spacing w:line="480" w:lineRule="auto"/>
        <w:rPr>
          <w:sz w:val="24"/>
        </w:rPr>
      </w:pPr>
      <w:r>
        <w:rPr>
          <w:sz w:val="24"/>
        </w:rPr>
        <w:t xml:space="preserve"> </w:t>
      </w:r>
      <w:r>
        <w:rPr>
          <w:sz w:val="24"/>
        </w:rPr>
        <w:tab/>
        <w:t>Staff argues that the return on equity is a dynamic number that changes from time period to time period.</w:t>
      </w:r>
      <w:r w:rsidR="00C642E3">
        <w:rPr>
          <w:rStyle w:val="FootnoteReference"/>
          <w:sz w:val="24"/>
        </w:rPr>
        <w:footnoteReference w:id="54"/>
      </w:r>
      <w:r>
        <w:rPr>
          <w:sz w:val="24"/>
        </w:rPr>
        <w:t xml:space="preserve">  Staff’s proposal is supported by a discounted cash flow (“DCF”) calculation using a sample group of real estate investment companies with similar capital structures to HBI and HBII.</w:t>
      </w:r>
      <w:r w:rsidR="00C642E3">
        <w:rPr>
          <w:rStyle w:val="FootnoteReference"/>
          <w:sz w:val="24"/>
        </w:rPr>
        <w:footnoteReference w:id="55"/>
      </w:r>
      <w:r>
        <w:rPr>
          <w:sz w:val="24"/>
        </w:rPr>
        <w:t xml:space="preserve">  Staff obtained financial data from the Securities and Exchange Commission’s database and the ValueLine Investment Survey database.</w:t>
      </w:r>
      <w:r w:rsidR="00C642E3">
        <w:rPr>
          <w:rStyle w:val="FootnoteReference"/>
          <w:sz w:val="24"/>
        </w:rPr>
        <w:footnoteReference w:id="56"/>
      </w:r>
      <w:r>
        <w:rPr>
          <w:sz w:val="24"/>
        </w:rPr>
        <w:t xml:space="preserve">  Staff explained that both of these sources </w:t>
      </w:r>
      <w:r w:rsidR="00A01A30">
        <w:rPr>
          <w:sz w:val="24"/>
        </w:rPr>
        <w:t xml:space="preserve">are </w:t>
      </w:r>
      <w:r w:rsidR="002B565F">
        <w:rPr>
          <w:sz w:val="24"/>
        </w:rPr>
        <w:t>credible, primary sources within</w:t>
      </w:r>
      <w:r>
        <w:rPr>
          <w:sz w:val="24"/>
        </w:rPr>
        <w:t xml:space="preserve"> the financial community.</w:t>
      </w:r>
      <w:r w:rsidR="00C642E3">
        <w:rPr>
          <w:rStyle w:val="FootnoteReference"/>
          <w:sz w:val="24"/>
        </w:rPr>
        <w:footnoteReference w:id="57"/>
      </w:r>
      <w:r>
        <w:rPr>
          <w:sz w:val="24"/>
        </w:rPr>
        <w:t xml:space="preserve"> </w:t>
      </w:r>
    </w:p>
    <w:p w14:paraId="6DBAD308" w14:textId="38B32E88" w:rsidR="00224B86" w:rsidRDefault="00180029" w:rsidP="00983B53">
      <w:pPr>
        <w:numPr>
          <w:ilvl w:val="0"/>
          <w:numId w:val="2"/>
        </w:numPr>
        <w:spacing w:line="480" w:lineRule="auto"/>
        <w:rPr>
          <w:sz w:val="24"/>
        </w:rPr>
      </w:pPr>
      <w:r>
        <w:rPr>
          <w:sz w:val="24"/>
        </w:rPr>
        <w:t xml:space="preserve"> </w:t>
      </w:r>
      <w:r>
        <w:rPr>
          <w:sz w:val="24"/>
        </w:rPr>
        <w:tab/>
        <w:t xml:space="preserve">The Company again failed to put forward any support for its recommendation.  Staff, on the other hand, conducted a thorough, transparent analysis that is documented and explained multiple times in the record.  The Initial Order’s conclusion </w:t>
      </w:r>
      <w:r w:rsidR="004020F3">
        <w:rPr>
          <w:sz w:val="24"/>
        </w:rPr>
        <w:t xml:space="preserve">to follow Staff’s recommendation </w:t>
      </w:r>
      <w:r>
        <w:rPr>
          <w:sz w:val="24"/>
        </w:rPr>
        <w:t xml:space="preserve">is thus reasonable and fully supported. </w:t>
      </w:r>
    </w:p>
    <w:p w14:paraId="1D2B9DAC" w14:textId="1E6BF734" w:rsidR="00224B86" w:rsidRPr="00C642E3" w:rsidRDefault="00180029" w:rsidP="00983B53">
      <w:pPr>
        <w:spacing w:line="480" w:lineRule="auto"/>
        <w:ind w:left="1080" w:hanging="360"/>
        <w:jc w:val="both"/>
        <w:rPr>
          <w:b/>
          <w:sz w:val="24"/>
        </w:rPr>
      </w:pPr>
      <w:r w:rsidRPr="00C642E3">
        <w:rPr>
          <w:b/>
          <w:sz w:val="24"/>
        </w:rPr>
        <w:t>3. Cost of Debt</w:t>
      </w:r>
    </w:p>
    <w:p w14:paraId="4B4706C7" w14:textId="7831544E" w:rsidR="00224B86" w:rsidRDefault="004020F3" w:rsidP="00983B53">
      <w:pPr>
        <w:numPr>
          <w:ilvl w:val="0"/>
          <w:numId w:val="2"/>
        </w:numPr>
        <w:spacing w:line="480" w:lineRule="auto"/>
        <w:rPr>
          <w:sz w:val="24"/>
        </w:rPr>
      </w:pPr>
      <w:r>
        <w:rPr>
          <w:sz w:val="24"/>
        </w:rPr>
        <w:t xml:space="preserve"> </w:t>
      </w:r>
      <w:r>
        <w:rPr>
          <w:sz w:val="24"/>
        </w:rPr>
        <w:tab/>
        <w:t>Cost of debt is also a straightforward dispute.  The Company advocates for an asset-specific cost of debt.</w:t>
      </w:r>
      <w:r w:rsidR="00261E18" w:rsidRPr="00735A6A">
        <w:rPr>
          <w:rStyle w:val="FootnoteReference"/>
        </w:rPr>
        <w:footnoteReference w:id="58"/>
      </w:r>
      <w:r>
        <w:rPr>
          <w:sz w:val="24"/>
        </w:rPr>
        <w:t xml:space="preserve">  That is, WCI argues that its landlords should be allowed to allocate specific debt obligations to specific assets.  Staff recommends using the cost of debt readily observable on the landlords’ financial statements.</w:t>
      </w:r>
      <w:r w:rsidR="00261E18">
        <w:rPr>
          <w:rStyle w:val="FootnoteReference"/>
          <w:sz w:val="24"/>
        </w:rPr>
        <w:footnoteReference w:id="59"/>
      </w:r>
      <w:r>
        <w:rPr>
          <w:sz w:val="24"/>
        </w:rPr>
        <w:t xml:space="preserve">  The actual, company-wide costs of debt are transparent, measurable, and easily verified.  And, as Staff testified, use of the landlords’ company-wide debt costs </w:t>
      </w:r>
      <w:r w:rsidR="00261E18">
        <w:rPr>
          <w:sz w:val="24"/>
        </w:rPr>
        <w:t xml:space="preserve">avoids cross-subsidies and </w:t>
      </w:r>
      <w:r>
        <w:rPr>
          <w:sz w:val="24"/>
        </w:rPr>
        <w:t>recognizes the underlying economic reality that creditors hold equal claims against all of the landlords’ assets.</w:t>
      </w:r>
      <w:r w:rsidR="00261E18">
        <w:rPr>
          <w:rStyle w:val="FootnoteReference"/>
          <w:rFonts w:eastAsiaTheme="minorHAnsi"/>
        </w:rPr>
        <w:footnoteReference w:id="60"/>
      </w:r>
      <w:r>
        <w:rPr>
          <w:sz w:val="24"/>
        </w:rPr>
        <w:t xml:space="preserve">  </w:t>
      </w:r>
    </w:p>
    <w:p w14:paraId="3115025B" w14:textId="0A1CBC5C" w:rsidR="00224B86" w:rsidRDefault="004020F3" w:rsidP="00521D15">
      <w:pPr>
        <w:numPr>
          <w:ilvl w:val="0"/>
          <w:numId w:val="2"/>
        </w:numPr>
        <w:spacing w:line="480" w:lineRule="auto"/>
        <w:rPr>
          <w:sz w:val="24"/>
        </w:rPr>
      </w:pPr>
      <w:r>
        <w:rPr>
          <w:sz w:val="24"/>
        </w:rPr>
        <w:t xml:space="preserve"> </w:t>
      </w:r>
      <w:r w:rsidR="00C24BFD">
        <w:rPr>
          <w:sz w:val="24"/>
        </w:rPr>
        <w:t xml:space="preserve"> </w:t>
      </w:r>
      <w:r w:rsidR="00C24BFD">
        <w:rPr>
          <w:sz w:val="24"/>
        </w:rPr>
        <w:tab/>
      </w:r>
      <w:r>
        <w:rPr>
          <w:sz w:val="24"/>
        </w:rPr>
        <w:t xml:space="preserve">Staff’s proposal </w:t>
      </w:r>
      <w:r w:rsidR="00E5753B">
        <w:rPr>
          <w:sz w:val="24"/>
        </w:rPr>
        <w:t>is reasonable and the</w:t>
      </w:r>
      <w:r w:rsidR="00844940">
        <w:rPr>
          <w:sz w:val="24"/>
        </w:rPr>
        <w:t xml:space="preserve"> Staff</w:t>
      </w:r>
      <w:r w:rsidR="00E5753B">
        <w:rPr>
          <w:sz w:val="24"/>
        </w:rPr>
        <w:t xml:space="preserve"> analyst</w:t>
      </w:r>
      <w:r>
        <w:rPr>
          <w:sz w:val="24"/>
        </w:rPr>
        <w:t xml:space="preserve"> explained and documented</w:t>
      </w:r>
      <w:r w:rsidR="00E5753B">
        <w:rPr>
          <w:sz w:val="24"/>
        </w:rPr>
        <w:t xml:space="preserve"> her rationale</w:t>
      </w:r>
      <w:r>
        <w:rPr>
          <w:sz w:val="24"/>
        </w:rPr>
        <w:t xml:space="preserve"> numerous times.  The Initial Order’s conclusion is thus </w:t>
      </w:r>
      <w:r w:rsidR="00C24BFD">
        <w:rPr>
          <w:sz w:val="24"/>
        </w:rPr>
        <w:t xml:space="preserve">fair and reasonable. </w:t>
      </w:r>
    </w:p>
    <w:p w14:paraId="3A4C48B6" w14:textId="3B222B40" w:rsidR="00224B86" w:rsidRPr="00C642E3" w:rsidRDefault="00C24BFD" w:rsidP="00983B53">
      <w:pPr>
        <w:spacing w:line="480" w:lineRule="auto"/>
        <w:ind w:left="1080" w:hanging="360"/>
        <w:jc w:val="both"/>
        <w:rPr>
          <w:b/>
          <w:sz w:val="24"/>
        </w:rPr>
      </w:pPr>
      <w:r w:rsidRPr="00C642E3">
        <w:rPr>
          <w:b/>
          <w:sz w:val="24"/>
        </w:rPr>
        <w:t xml:space="preserve">4. </w:t>
      </w:r>
      <w:r w:rsidR="00983B53">
        <w:rPr>
          <w:b/>
          <w:sz w:val="24"/>
        </w:rPr>
        <w:tab/>
      </w:r>
      <w:r w:rsidRPr="00C642E3">
        <w:rPr>
          <w:b/>
          <w:sz w:val="24"/>
        </w:rPr>
        <w:t>Allocation of Depreciation and Average Net Investment</w:t>
      </w:r>
    </w:p>
    <w:p w14:paraId="138BB76B" w14:textId="0B72D4D1" w:rsidR="00C24BFD" w:rsidRDefault="00C642E3" w:rsidP="00C24BFD">
      <w:pPr>
        <w:pStyle w:val="ListParagraph"/>
        <w:numPr>
          <w:ilvl w:val="0"/>
          <w:numId w:val="2"/>
        </w:numPr>
        <w:spacing w:line="480" w:lineRule="auto"/>
      </w:pPr>
      <w:r>
        <w:t xml:space="preserve"> </w:t>
      </w:r>
      <w:r>
        <w:tab/>
      </w:r>
      <w:r w:rsidR="00C24BFD">
        <w:t>Staff allocates depreciation and average net investment using its three-factor allocator.</w:t>
      </w:r>
      <w:r w:rsidR="00C24BFD">
        <w:rPr>
          <w:rStyle w:val="FootnoteReference"/>
          <w:rFonts w:eastAsiaTheme="minorHAnsi"/>
        </w:rPr>
        <w:footnoteReference w:id="61"/>
      </w:r>
      <w:r w:rsidR="00C24BFD">
        <w:t xml:space="preserve">  Staff testified to the rationale behinds its allocator multiple times in oral and written testimony.</w:t>
      </w:r>
      <w:r w:rsidR="00C24BFD">
        <w:rPr>
          <w:rStyle w:val="FootnoteReference"/>
          <w:rFonts w:eastAsiaTheme="minorHAnsi"/>
        </w:rPr>
        <w:footnoteReference w:id="62"/>
      </w:r>
      <w:r w:rsidR="00C24BFD">
        <w:t xml:space="preserve">  Most important, the Commission should recognize that Staff has put forward a reasonable analytical methodology wh</w:t>
      </w:r>
      <w:r>
        <w:t>ile the Company has proposed “1-</w:t>
      </w:r>
      <w:r w:rsidR="00C24BFD">
        <w:t xml:space="preserve">divided </w:t>
      </w:r>
      <w:r>
        <w:t>by-</w:t>
      </w:r>
      <w:r w:rsidR="00C24BFD">
        <w:t>3.”</w:t>
      </w:r>
      <w:r w:rsidR="00C24BFD">
        <w:rPr>
          <w:rStyle w:val="FootnoteReference"/>
          <w:rFonts w:eastAsiaTheme="minorHAnsi"/>
        </w:rPr>
        <w:footnoteReference w:id="63"/>
      </w:r>
      <w:r w:rsidR="00C24BFD">
        <w:t xml:space="preserve">  WCI has not offered any analysis, documentation, or even an explanatory narrative of its proposal.</w:t>
      </w:r>
      <w:r w:rsidR="00C24BFD">
        <w:rPr>
          <w:rStyle w:val="FootnoteReference"/>
          <w:rFonts w:eastAsiaTheme="minorHAnsi"/>
        </w:rPr>
        <w:footnoteReference w:id="64"/>
      </w:r>
      <w:r w:rsidR="00C24BFD">
        <w:t xml:space="preserve">  Staff was the only party providing analysis on this issue</w:t>
      </w:r>
      <w:r w:rsidR="00844940">
        <w:t>,</w:t>
      </w:r>
      <w:r w:rsidR="00C24BFD">
        <w:t xml:space="preserve"> and Staff’s proposal was the only supported recommendation in the record of this proceeding. Therefore, the Initial Order correctly and reasonably adopted Staff’s proposal. </w:t>
      </w:r>
    </w:p>
    <w:p w14:paraId="15494BEE" w14:textId="4127F90B" w:rsidR="006535C9" w:rsidRPr="00C642E3" w:rsidRDefault="00C642E3" w:rsidP="00854528">
      <w:pPr>
        <w:pStyle w:val="ListParagraph"/>
        <w:keepNext/>
        <w:spacing w:line="480" w:lineRule="auto"/>
        <w:ind w:left="1080" w:hanging="360"/>
        <w:rPr>
          <w:b/>
        </w:rPr>
      </w:pPr>
      <w:r w:rsidRPr="00C642E3">
        <w:rPr>
          <w:b/>
        </w:rPr>
        <w:t xml:space="preserve">5. </w:t>
      </w:r>
      <w:r w:rsidR="00983B53">
        <w:rPr>
          <w:b/>
        </w:rPr>
        <w:tab/>
      </w:r>
      <w:r w:rsidR="00CD2A94">
        <w:rPr>
          <w:b/>
        </w:rPr>
        <w:t>Staff’s p</w:t>
      </w:r>
      <w:r w:rsidR="00E5753B">
        <w:rPr>
          <w:b/>
        </w:rPr>
        <w:t xml:space="preserve">ositions are not </w:t>
      </w:r>
      <w:r w:rsidR="00CD2A94">
        <w:rPr>
          <w:b/>
        </w:rPr>
        <w:t>n</w:t>
      </w:r>
      <w:r w:rsidR="00E5753B">
        <w:rPr>
          <w:b/>
        </w:rPr>
        <w:t>ew</w:t>
      </w:r>
    </w:p>
    <w:p w14:paraId="21625940" w14:textId="081A5F83" w:rsidR="00844940" w:rsidRDefault="00C642E3" w:rsidP="00844940">
      <w:pPr>
        <w:pStyle w:val="ListParagraph"/>
        <w:numPr>
          <w:ilvl w:val="0"/>
          <w:numId w:val="2"/>
        </w:numPr>
        <w:spacing w:line="480" w:lineRule="auto"/>
      </w:pPr>
      <w:r>
        <w:t xml:space="preserve"> </w:t>
      </w:r>
      <w:r>
        <w:tab/>
      </w:r>
      <w:r w:rsidR="006535C9">
        <w:t xml:space="preserve">Staff’s testimony </w:t>
      </w:r>
      <w:r w:rsidR="008B0840">
        <w:t>documents</w:t>
      </w:r>
      <w:r w:rsidR="006535C9">
        <w:t xml:space="preserve"> the regulatory basis for each of its recommendations.</w:t>
      </w:r>
      <w:r>
        <w:rPr>
          <w:rStyle w:val="FootnoteReference"/>
        </w:rPr>
        <w:footnoteReference w:id="65"/>
      </w:r>
      <w:r w:rsidR="006535C9">
        <w:t xml:space="preserve">  </w:t>
      </w:r>
      <w:r w:rsidR="008B0840">
        <w:t>Nearly all of Staff’s positions, including</w:t>
      </w:r>
      <w:r w:rsidR="006535C9">
        <w:t xml:space="preserve"> ideas of </w:t>
      </w:r>
      <w:r w:rsidR="008B0840">
        <w:t xml:space="preserve">allocating </w:t>
      </w:r>
      <w:r w:rsidR="00006347">
        <w:t xml:space="preserve">only </w:t>
      </w:r>
      <w:r w:rsidR="008B0840">
        <w:t xml:space="preserve">indirect costs, </w:t>
      </w:r>
      <w:r w:rsidR="006535C9">
        <w:t>cost-plus-return, disallowing cross subsidies, and closely reviewing affiliate lease transactions and non-regulated operations</w:t>
      </w:r>
      <w:r w:rsidR="008B0840">
        <w:t>,</w:t>
      </w:r>
      <w:r w:rsidR="006535C9">
        <w:t xml:space="preserve"> are not new.  Indeed, many of these regulatory concepts go back </w:t>
      </w:r>
      <w:r w:rsidR="00813CC3">
        <w:t>several decades</w:t>
      </w:r>
      <w:r w:rsidR="008B0840">
        <w:t>,</w:t>
      </w:r>
      <w:r w:rsidR="006535C9">
        <w:t xml:space="preserve"> and the Commission’s statutory authority to disallow unreasonable affiliate</w:t>
      </w:r>
      <w:r w:rsidR="00CD2A94">
        <w:t xml:space="preserve"> transactions dates to 1933</w:t>
      </w:r>
      <w:r w:rsidR="006535C9">
        <w:t>.</w:t>
      </w:r>
      <w:r>
        <w:rPr>
          <w:rStyle w:val="FootnoteReference"/>
        </w:rPr>
        <w:footnoteReference w:id="66"/>
      </w:r>
      <w:r w:rsidR="006535C9">
        <w:t xml:space="preserve">  The Uniform System of Accounts, which documents general accounting standards for regulated solid waste companies</w:t>
      </w:r>
      <w:r w:rsidR="00CD2A94">
        <w:t xml:space="preserve"> and includes a section on affiliate transactions</w:t>
      </w:r>
      <w:r w:rsidR="008B0840">
        <w:t xml:space="preserve"> was initially published in the 1960s and has remained completely unchanged</w:t>
      </w:r>
      <w:r w:rsidR="006535C9">
        <w:t xml:space="preserve"> for </w:t>
      </w:r>
      <w:r w:rsidR="00CD2A94">
        <w:t xml:space="preserve">over </w:t>
      </w:r>
      <w:r w:rsidR="00354E00">
        <w:t>20</w:t>
      </w:r>
      <w:r w:rsidR="006535C9">
        <w:t xml:space="preserve"> years.</w:t>
      </w:r>
      <w:r>
        <w:rPr>
          <w:rStyle w:val="FootnoteReference"/>
        </w:rPr>
        <w:footnoteReference w:id="67"/>
      </w:r>
      <w:r w:rsidR="006535C9">
        <w:t xml:space="preserve">  </w:t>
      </w:r>
    </w:p>
    <w:p w14:paraId="185D9FA5" w14:textId="1D5ED237" w:rsidR="00224B86" w:rsidRPr="00F54459" w:rsidRDefault="00B07B4A" w:rsidP="001B0426">
      <w:pPr>
        <w:pStyle w:val="ListParagraph"/>
        <w:numPr>
          <w:ilvl w:val="0"/>
          <w:numId w:val="5"/>
        </w:numPr>
        <w:spacing w:line="480" w:lineRule="auto"/>
        <w:jc w:val="center"/>
        <w:rPr>
          <w:b/>
        </w:rPr>
      </w:pPr>
      <w:r w:rsidRPr="00F54459">
        <w:rPr>
          <w:b/>
        </w:rPr>
        <w:t>GENERAL RATE CASE COSTS</w:t>
      </w:r>
    </w:p>
    <w:p w14:paraId="087033C5" w14:textId="66EBD539" w:rsidR="00F54459" w:rsidRPr="00F54459" w:rsidRDefault="00F54459" w:rsidP="008D070F">
      <w:pPr>
        <w:pStyle w:val="ListParagraph"/>
        <w:numPr>
          <w:ilvl w:val="0"/>
          <w:numId w:val="13"/>
        </w:numPr>
        <w:spacing w:line="480" w:lineRule="auto"/>
        <w:ind w:hanging="720"/>
        <w:jc w:val="both"/>
        <w:rPr>
          <w:b/>
        </w:rPr>
      </w:pPr>
      <w:r w:rsidRPr="00F54459">
        <w:rPr>
          <w:b/>
        </w:rPr>
        <w:t>Initial Order Findings</w:t>
      </w:r>
    </w:p>
    <w:p w14:paraId="537EC849" w14:textId="287311F3" w:rsidR="00F54459" w:rsidRDefault="00F54459" w:rsidP="008D070F">
      <w:pPr>
        <w:numPr>
          <w:ilvl w:val="0"/>
          <w:numId w:val="2"/>
        </w:numPr>
        <w:spacing w:line="480" w:lineRule="auto"/>
        <w:rPr>
          <w:sz w:val="24"/>
        </w:rPr>
      </w:pPr>
      <w:r>
        <w:rPr>
          <w:sz w:val="24"/>
        </w:rPr>
        <w:t xml:space="preserve"> </w:t>
      </w:r>
      <w:r>
        <w:rPr>
          <w:sz w:val="24"/>
        </w:rPr>
        <w:tab/>
        <w:t xml:space="preserve">The Initial Order found the Company’s rate case costs exorbitant.  The ALJ subsequently adopted Staff’s proposal to allow the Company to recoup in rates 100% of costs in the informal auditing process and then 50% of costs associated with the adjudicative proceedings in TG-131794 and TG-140560.  The Initial Order </w:t>
      </w:r>
      <w:r w:rsidR="001B0426">
        <w:rPr>
          <w:sz w:val="24"/>
        </w:rPr>
        <w:t xml:space="preserve">appropriately </w:t>
      </w:r>
      <w:r>
        <w:rPr>
          <w:sz w:val="24"/>
        </w:rPr>
        <w:t xml:space="preserve">cites to the </w:t>
      </w:r>
      <w:r w:rsidR="001B0426">
        <w:rPr>
          <w:sz w:val="24"/>
        </w:rPr>
        <w:t xml:space="preserve">Company’s conduct during the rate proceeding and </w:t>
      </w:r>
      <w:r>
        <w:rPr>
          <w:sz w:val="24"/>
        </w:rPr>
        <w:t>Commission’s obligation to balance shareholder and ratepayer interests</w:t>
      </w:r>
      <w:r w:rsidR="001B0426">
        <w:rPr>
          <w:sz w:val="24"/>
        </w:rPr>
        <w:t xml:space="preserve"> in allowing only prudently incurred costs. </w:t>
      </w:r>
    </w:p>
    <w:p w14:paraId="59D5A0D9" w14:textId="3647324D" w:rsidR="00F54459" w:rsidRPr="00F54459" w:rsidRDefault="00F54459" w:rsidP="008D070F">
      <w:pPr>
        <w:pStyle w:val="ListParagraph"/>
        <w:keepNext/>
        <w:numPr>
          <w:ilvl w:val="0"/>
          <w:numId w:val="13"/>
        </w:numPr>
        <w:spacing w:line="480" w:lineRule="auto"/>
        <w:ind w:hanging="720"/>
        <w:jc w:val="both"/>
        <w:rPr>
          <w:b/>
        </w:rPr>
      </w:pPr>
      <w:r w:rsidRPr="00F54459">
        <w:rPr>
          <w:b/>
        </w:rPr>
        <w:t>Background</w:t>
      </w:r>
    </w:p>
    <w:p w14:paraId="54E4BF6A" w14:textId="70FA332F" w:rsidR="00224B86" w:rsidRDefault="00354E00" w:rsidP="008D070F">
      <w:pPr>
        <w:widowControl/>
        <w:numPr>
          <w:ilvl w:val="0"/>
          <w:numId w:val="2"/>
        </w:numPr>
        <w:spacing w:line="480" w:lineRule="auto"/>
        <w:rPr>
          <w:sz w:val="24"/>
        </w:rPr>
      </w:pPr>
      <w:r>
        <w:rPr>
          <w:sz w:val="24"/>
        </w:rPr>
        <w:tab/>
      </w:r>
      <w:r w:rsidR="00F54459">
        <w:rPr>
          <w:sz w:val="24"/>
        </w:rPr>
        <w:t xml:space="preserve">It is important to note that </w:t>
      </w:r>
      <w:r w:rsidR="00B710CB">
        <w:rPr>
          <w:sz w:val="24"/>
        </w:rPr>
        <w:t>WCI’s petition for review</w:t>
      </w:r>
      <w:r w:rsidR="006D4AB8">
        <w:rPr>
          <w:sz w:val="24"/>
        </w:rPr>
        <w:t xml:space="preserve"> </w:t>
      </w:r>
      <w:r w:rsidR="00F54459">
        <w:rPr>
          <w:sz w:val="24"/>
        </w:rPr>
        <w:t>changes</w:t>
      </w:r>
      <w:r w:rsidR="00C642E3">
        <w:rPr>
          <w:sz w:val="24"/>
        </w:rPr>
        <w:t xml:space="preserve"> the Company’s position on rate case costs.</w:t>
      </w:r>
      <w:r w:rsidR="001B0426">
        <w:rPr>
          <w:rStyle w:val="FootnoteReference"/>
          <w:sz w:val="24"/>
        </w:rPr>
        <w:footnoteReference w:id="68"/>
      </w:r>
      <w:r w:rsidR="00C642E3">
        <w:rPr>
          <w:sz w:val="24"/>
        </w:rPr>
        <w:t xml:space="preserve">  The Company </w:t>
      </w:r>
      <w:r w:rsidR="006D4AB8">
        <w:rPr>
          <w:sz w:val="24"/>
        </w:rPr>
        <w:t>now</w:t>
      </w:r>
      <w:r w:rsidR="00B710CB">
        <w:rPr>
          <w:sz w:val="24"/>
        </w:rPr>
        <w:t xml:space="preserve"> seeks 100% of costs associated with the informal process in TG-131794, 50% of costs associated with the formal adjudicated process in TG-131794, and 100% of costs associated with TG-140560.  Therefore, the Company</w:t>
      </w:r>
      <w:r>
        <w:rPr>
          <w:sz w:val="24"/>
        </w:rPr>
        <w:t>’s petition</w:t>
      </w:r>
      <w:r w:rsidR="00B710CB">
        <w:rPr>
          <w:sz w:val="24"/>
        </w:rPr>
        <w:t xml:space="preserve"> appears to contest only the Initial</w:t>
      </w:r>
      <w:r w:rsidR="001B0426">
        <w:rPr>
          <w:sz w:val="24"/>
        </w:rPr>
        <w:t xml:space="preserve"> Order’s determination to reduced recovery of</w:t>
      </w:r>
      <w:r w:rsidR="00B710CB">
        <w:rPr>
          <w:sz w:val="24"/>
        </w:rPr>
        <w:t xml:space="preserve"> rate case costs associated with TG-140560. </w:t>
      </w:r>
    </w:p>
    <w:p w14:paraId="7A983294" w14:textId="62B04FD5" w:rsidR="00354E00" w:rsidRPr="001B0426" w:rsidRDefault="00354E00" w:rsidP="008D070F">
      <w:pPr>
        <w:pStyle w:val="ListParagraph"/>
        <w:numPr>
          <w:ilvl w:val="0"/>
          <w:numId w:val="13"/>
        </w:numPr>
        <w:spacing w:line="480" w:lineRule="auto"/>
        <w:ind w:hanging="720"/>
        <w:jc w:val="both"/>
        <w:rPr>
          <w:b/>
        </w:rPr>
      </w:pPr>
      <w:r w:rsidRPr="001B0426">
        <w:rPr>
          <w:b/>
        </w:rPr>
        <w:t>Rationale and Support</w:t>
      </w:r>
    </w:p>
    <w:p w14:paraId="59CD51F0" w14:textId="4000350C" w:rsidR="0003595B" w:rsidRPr="0003595B" w:rsidRDefault="000F4DE8" w:rsidP="008D070F">
      <w:pPr>
        <w:numPr>
          <w:ilvl w:val="0"/>
          <w:numId w:val="2"/>
        </w:numPr>
        <w:spacing w:line="480" w:lineRule="auto"/>
        <w:rPr>
          <w:sz w:val="24"/>
        </w:rPr>
      </w:pPr>
      <w:r w:rsidRPr="000F4DE8">
        <w:rPr>
          <w:sz w:val="24"/>
        </w:rPr>
        <w:t xml:space="preserve"> </w:t>
      </w:r>
      <w:r w:rsidRPr="000F4DE8">
        <w:rPr>
          <w:sz w:val="24"/>
        </w:rPr>
        <w:tab/>
      </w:r>
      <w:r w:rsidR="00354E00">
        <w:rPr>
          <w:sz w:val="24"/>
        </w:rPr>
        <w:t>The core rationale behind Staff’s recommendation is simply that it is unfair for the Company to ask ratepayers to pay for multiple, fully-litigated rate cases.</w:t>
      </w:r>
      <w:r w:rsidR="001B0426">
        <w:rPr>
          <w:rStyle w:val="FootnoteReference"/>
          <w:rFonts w:eastAsiaTheme="minorHAnsi"/>
        </w:rPr>
        <w:footnoteReference w:id="69"/>
      </w:r>
      <w:r w:rsidR="00354E00">
        <w:rPr>
          <w:sz w:val="24"/>
        </w:rPr>
        <w:t xml:space="preserve">  </w:t>
      </w:r>
      <w:r w:rsidR="0003595B">
        <w:rPr>
          <w:sz w:val="24"/>
        </w:rPr>
        <w:t xml:space="preserve">Staff explained </w:t>
      </w:r>
      <w:r w:rsidR="00354E00" w:rsidRPr="0003595B">
        <w:rPr>
          <w:sz w:val="24"/>
        </w:rPr>
        <w:t>why the Company is responsible for the extraordinary costs associated with TG-140560, pointing to the Company’s convoluted filing, refusal to explain its hardcodes, and delay in filing supporting information until rebuttal testimony.</w:t>
      </w:r>
      <w:r w:rsidR="00354E00" w:rsidRPr="0003595B">
        <w:rPr>
          <w:rStyle w:val="FootnoteReference"/>
          <w:rFonts w:eastAsiaTheme="minorHAnsi"/>
          <w:sz w:val="24"/>
        </w:rPr>
        <w:footnoteReference w:id="70"/>
      </w:r>
      <w:r w:rsidR="00354E00" w:rsidRPr="0003595B">
        <w:rPr>
          <w:sz w:val="24"/>
        </w:rPr>
        <w:t xml:space="preserve">  The history of a dismissal, an order to compel discovery, not meeting minimum filing requirements, and the significant amount of new information provided on rebuttal testimony were each the fault of the Company and played a central role in delaying WCI’s general rate filing.</w:t>
      </w:r>
      <w:r w:rsidR="00C5316B">
        <w:rPr>
          <w:rStyle w:val="FootnoteReference"/>
          <w:sz w:val="24"/>
        </w:rPr>
        <w:footnoteReference w:id="71"/>
      </w:r>
      <w:r w:rsidR="00354E00" w:rsidRPr="0003595B">
        <w:rPr>
          <w:sz w:val="24"/>
        </w:rPr>
        <w:t xml:space="preserve"> </w:t>
      </w:r>
      <w:r w:rsidR="0003595B" w:rsidRPr="0003595B">
        <w:rPr>
          <w:sz w:val="24"/>
        </w:rPr>
        <w:t xml:space="preserve"> The Company’s proposal to recoup 100% of costs associated with TG-140560 </w:t>
      </w:r>
      <w:r w:rsidR="00C5316B">
        <w:rPr>
          <w:sz w:val="24"/>
        </w:rPr>
        <w:t xml:space="preserve">from ratepayers </w:t>
      </w:r>
      <w:r w:rsidR="0003595B" w:rsidRPr="0003595B">
        <w:rPr>
          <w:sz w:val="24"/>
        </w:rPr>
        <w:t xml:space="preserve">is </w:t>
      </w:r>
      <w:r w:rsidR="009D7089">
        <w:rPr>
          <w:sz w:val="24"/>
        </w:rPr>
        <w:t xml:space="preserve">thus </w:t>
      </w:r>
      <w:r w:rsidR="0003595B" w:rsidRPr="0003595B">
        <w:rPr>
          <w:sz w:val="24"/>
        </w:rPr>
        <w:t>unfair and unreasonable.</w:t>
      </w:r>
      <w:r w:rsidR="0003595B">
        <w:t xml:space="preserve"> </w:t>
      </w:r>
    </w:p>
    <w:p w14:paraId="40F0A072" w14:textId="362A07BA" w:rsidR="00354E00" w:rsidRPr="0003595B" w:rsidRDefault="0003595B" w:rsidP="008D070F">
      <w:pPr>
        <w:numPr>
          <w:ilvl w:val="0"/>
          <w:numId w:val="2"/>
        </w:numPr>
        <w:spacing w:line="480" w:lineRule="auto"/>
        <w:rPr>
          <w:sz w:val="24"/>
        </w:rPr>
      </w:pPr>
      <w:r>
        <w:t xml:space="preserve"> </w:t>
      </w:r>
      <w:r>
        <w:tab/>
      </w:r>
      <w:r w:rsidR="000F4DE8" w:rsidRPr="0003595B">
        <w:rPr>
          <w:sz w:val="24"/>
        </w:rPr>
        <w:t>Staff recommended the Commission balance shareholder and ratepayer interests and allow WCI to recoup the cost of one fully litigated case in rates.</w:t>
      </w:r>
      <w:r w:rsidR="000F4DE8" w:rsidRPr="000F4DE8">
        <w:rPr>
          <w:rStyle w:val="FootnoteReference"/>
          <w:rFonts w:eastAsiaTheme="minorHAnsi"/>
          <w:sz w:val="24"/>
        </w:rPr>
        <w:footnoteReference w:id="72"/>
      </w:r>
      <w:r w:rsidR="00354E00" w:rsidRPr="0003595B">
        <w:rPr>
          <w:sz w:val="24"/>
        </w:rPr>
        <w:t xml:space="preserve">  Staff accomplished</w:t>
      </w:r>
      <w:r w:rsidR="000F4DE8" w:rsidRPr="0003595B">
        <w:rPr>
          <w:sz w:val="24"/>
        </w:rPr>
        <w:t xml:space="preserve"> its proposal by allowing 50 percent of costs associated with the formal adjudicative processes in both TG-131794 and TG-140560.</w:t>
      </w:r>
      <w:r w:rsidR="000F4DE8" w:rsidRPr="000F4DE8">
        <w:rPr>
          <w:rStyle w:val="FootnoteReference"/>
          <w:rFonts w:eastAsiaTheme="minorHAnsi"/>
          <w:sz w:val="24"/>
        </w:rPr>
        <w:footnoteReference w:id="73"/>
      </w:r>
      <w:r w:rsidR="000F4DE8" w:rsidRPr="0003595B">
        <w:rPr>
          <w:sz w:val="24"/>
        </w:rPr>
        <w:t xml:space="preserve">  Staff explained that the Commission has long held the responsibility to balance competing interests in a rate proceeding to achieve a fair result.</w:t>
      </w:r>
      <w:r w:rsidR="005F3F86" w:rsidRPr="00735A6A">
        <w:rPr>
          <w:rStyle w:val="FootnoteReference"/>
        </w:rPr>
        <w:footnoteReference w:id="74"/>
      </w:r>
      <w:r w:rsidR="000F4DE8" w:rsidRPr="0003595B">
        <w:rPr>
          <w:sz w:val="24"/>
        </w:rPr>
        <w:t xml:space="preserve">  Staff’s recommendation literally balanced interests by allocating 50% </w:t>
      </w:r>
      <w:r w:rsidR="006D4AB8" w:rsidRPr="0003595B">
        <w:rPr>
          <w:sz w:val="24"/>
        </w:rPr>
        <w:t xml:space="preserve">of rate case costs </w:t>
      </w:r>
      <w:r w:rsidR="000F4DE8" w:rsidRPr="0003595B">
        <w:rPr>
          <w:sz w:val="24"/>
        </w:rPr>
        <w:t xml:space="preserve">to ratepayers and 50% to shareholders. </w:t>
      </w:r>
    </w:p>
    <w:p w14:paraId="7F4DF4DE" w14:textId="49ED344F" w:rsidR="00224B86" w:rsidRPr="005F3F86" w:rsidRDefault="00354E00" w:rsidP="00922B71">
      <w:pPr>
        <w:pStyle w:val="ListParagraph"/>
        <w:numPr>
          <w:ilvl w:val="0"/>
          <w:numId w:val="5"/>
        </w:numPr>
        <w:spacing w:line="480" w:lineRule="auto"/>
        <w:jc w:val="center"/>
        <w:rPr>
          <w:b/>
        </w:rPr>
      </w:pPr>
      <w:r w:rsidRPr="005F3F86">
        <w:rPr>
          <w:b/>
        </w:rPr>
        <w:t>INVESTIGATION FEES</w:t>
      </w:r>
    </w:p>
    <w:p w14:paraId="2B0BC1A8" w14:textId="787E8AFC" w:rsidR="009706E4" w:rsidRDefault="005F3F86" w:rsidP="008D070F">
      <w:pPr>
        <w:numPr>
          <w:ilvl w:val="0"/>
          <w:numId w:val="2"/>
        </w:numPr>
        <w:spacing w:line="480" w:lineRule="auto"/>
        <w:rPr>
          <w:sz w:val="24"/>
        </w:rPr>
      </w:pPr>
      <w:r>
        <w:rPr>
          <w:sz w:val="24"/>
        </w:rPr>
        <w:t xml:space="preserve"> </w:t>
      </w:r>
      <w:r>
        <w:rPr>
          <w:sz w:val="24"/>
        </w:rPr>
        <w:tab/>
      </w:r>
      <w:r w:rsidR="0003595B" w:rsidRPr="0003595B">
        <w:rPr>
          <w:sz w:val="24"/>
        </w:rPr>
        <w:t>RCW 81.20.020 authorizes the Commission to impose investigation fees.</w:t>
      </w:r>
      <w:r w:rsidR="0003595B">
        <w:rPr>
          <w:sz w:val="24"/>
        </w:rPr>
        <w:t xml:space="preserve">  </w:t>
      </w:r>
      <w:r w:rsidR="0003595B" w:rsidRPr="0003595B">
        <w:rPr>
          <w:sz w:val="24"/>
        </w:rPr>
        <w:t xml:space="preserve">WCI filed an inadequate case, disputed discovery, and remains responsible for much of the extraordinary time and expense this case has the cost the Commission.  </w:t>
      </w:r>
      <w:r w:rsidR="0003595B">
        <w:rPr>
          <w:sz w:val="24"/>
        </w:rPr>
        <w:t>Regardless of how the Commission interprets its discretion</w:t>
      </w:r>
      <w:r>
        <w:rPr>
          <w:sz w:val="24"/>
        </w:rPr>
        <w:t xml:space="preserve"> or lack thereof under</w:t>
      </w:r>
      <w:r w:rsidR="0003595B">
        <w:rPr>
          <w:sz w:val="24"/>
        </w:rPr>
        <w:t xml:space="preserve"> RCW 81.20.020, </w:t>
      </w:r>
      <w:r w:rsidR="0003595B" w:rsidRPr="0003595B">
        <w:rPr>
          <w:sz w:val="24"/>
        </w:rPr>
        <w:t>the ass</w:t>
      </w:r>
      <w:r w:rsidR="0003595B">
        <w:rPr>
          <w:sz w:val="24"/>
        </w:rPr>
        <w:t>essment of investigation fees presents</w:t>
      </w:r>
      <w:r w:rsidR="0003595B" w:rsidRPr="0003595B">
        <w:rPr>
          <w:sz w:val="24"/>
        </w:rPr>
        <w:t xml:space="preserve"> an appropriate and commensurate response to allow the Commission to</w:t>
      </w:r>
      <w:r w:rsidR="0003595B">
        <w:rPr>
          <w:sz w:val="24"/>
        </w:rPr>
        <w:t xml:space="preserve"> recoup its extraordinary costs in this case.</w:t>
      </w:r>
    </w:p>
    <w:p w14:paraId="644CE375" w14:textId="51A1E2A6" w:rsidR="00F22F8C" w:rsidRDefault="0046023B" w:rsidP="00F22F8C">
      <w:pPr>
        <w:numPr>
          <w:ilvl w:val="0"/>
          <w:numId w:val="2"/>
        </w:numPr>
        <w:spacing w:line="480" w:lineRule="auto"/>
        <w:rPr>
          <w:sz w:val="24"/>
        </w:rPr>
      </w:pPr>
      <w:r>
        <w:rPr>
          <w:sz w:val="24"/>
        </w:rPr>
        <w:t xml:space="preserve"> </w:t>
      </w:r>
      <w:r>
        <w:rPr>
          <w:sz w:val="24"/>
        </w:rPr>
        <w:tab/>
        <w:t xml:space="preserve">Staff disputes WCI’s and WRRA’s arguments </w:t>
      </w:r>
      <w:r w:rsidR="00F22F8C">
        <w:rPr>
          <w:sz w:val="24"/>
        </w:rPr>
        <w:t>claiming</w:t>
      </w:r>
      <w:r>
        <w:rPr>
          <w:sz w:val="24"/>
        </w:rPr>
        <w:t xml:space="preserve"> a lack of notice and process.  Staff’s recommendation that the Commission impose investiga</w:t>
      </w:r>
      <w:r w:rsidR="00813CC3">
        <w:rPr>
          <w:sz w:val="24"/>
        </w:rPr>
        <w:t xml:space="preserve">tion fees first appeared in Staff </w:t>
      </w:r>
      <w:r>
        <w:rPr>
          <w:sz w:val="24"/>
        </w:rPr>
        <w:t>testimony on July 18, 2014.</w:t>
      </w:r>
      <w:r>
        <w:rPr>
          <w:rStyle w:val="FootnoteReference"/>
          <w:sz w:val="24"/>
        </w:rPr>
        <w:footnoteReference w:id="75"/>
      </w:r>
      <w:r>
        <w:rPr>
          <w:sz w:val="24"/>
        </w:rPr>
        <w:t xml:space="preserve">  That position was reiterated in settlement throughout the fall of 2014</w:t>
      </w:r>
      <w:r w:rsidR="00813CC3">
        <w:rPr>
          <w:sz w:val="24"/>
        </w:rPr>
        <w:t>,</w:t>
      </w:r>
      <w:r>
        <w:rPr>
          <w:rStyle w:val="FootnoteReference"/>
          <w:sz w:val="24"/>
        </w:rPr>
        <w:footnoteReference w:id="76"/>
      </w:r>
      <w:r>
        <w:rPr>
          <w:sz w:val="24"/>
        </w:rPr>
        <w:t xml:space="preserve"> and in supplemental testimony on February 2, 2015.</w:t>
      </w:r>
      <w:r>
        <w:rPr>
          <w:rStyle w:val="FootnoteReference"/>
          <w:sz w:val="24"/>
        </w:rPr>
        <w:footnoteReference w:id="77"/>
      </w:r>
      <w:r>
        <w:rPr>
          <w:sz w:val="24"/>
        </w:rPr>
        <w:t xml:space="preserve">  </w:t>
      </w:r>
      <w:r w:rsidR="00813CC3">
        <w:rPr>
          <w:sz w:val="24"/>
        </w:rPr>
        <w:t>Therefore, the Company and Intervenor had notice of the recommendation and the Commission’s consideration of the issue</w:t>
      </w:r>
      <w:r>
        <w:rPr>
          <w:sz w:val="24"/>
        </w:rPr>
        <w:t>, were able to brief the issue twice, engage</w:t>
      </w:r>
      <w:r w:rsidR="00813CC3">
        <w:rPr>
          <w:sz w:val="24"/>
        </w:rPr>
        <w:t>d</w:t>
      </w:r>
      <w:r>
        <w:rPr>
          <w:sz w:val="24"/>
        </w:rPr>
        <w:t xml:space="preserve"> in settlement talks, </w:t>
      </w:r>
      <w:r w:rsidR="00813CC3">
        <w:rPr>
          <w:sz w:val="24"/>
        </w:rPr>
        <w:t xml:space="preserve">had the opportunity to </w:t>
      </w:r>
      <w:r>
        <w:rPr>
          <w:sz w:val="24"/>
        </w:rPr>
        <w:t>provide responsive testimony on two occasions,</w:t>
      </w:r>
      <w:r w:rsidR="00813CC3">
        <w:rPr>
          <w:rStyle w:val="FootnoteReference"/>
          <w:sz w:val="24"/>
        </w:rPr>
        <w:footnoteReference w:id="78"/>
      </w:r>
      <w:r>
        <w:rPr>
          <w:sz w:val="24"/>
        </w:rPr>
        <w:t xml:space="preserve"> and cross-examine</w:t>
      </w:r>
      <w:r w:rsidR="00813CC3">
        <w:rPr>
          <w:sz w:val="24"/>
        </w:rPr>
        <w:t>d</w:t>
      </w:r>
      <w:r>
        <w:rPr>
          <w:sz w:val="24"/>
        </w:rPr>
        <w:t xml:space="preserve"> Staff’s expert at a live evidentiary hearing.  Any reasonable interpretation of adequate notice and due process has been met. </w:t>
      </w:r>
    </w:p>
    <w:p w14:paraId="2764C090" w14:textId="5C0F2FC1" w:rsidR="002F6F5F" w:rsidRDefault="002F6F5F" w:rsidP="002F6F5F">
      <w:pPr>
        <w:spacing w:line="480" w:lineRule="auto"/>
        <w:rPr>
          <w:sz w:val="24"/>
        </w:rPr>
      </w:pPr>
      <w:r>
        <w:rPr>
          <w:sz w:val="24"/>
        </w:rPr>
        <w:t>//</w:t>
      </w:r>
    </w:p>
    <w:p w14:paraId="16191A35" w14:textId="4E245C10" w:rsidR="002F6F5F" w:rsidRDefault="002F6F5F" w:rsidP="002F6F5F">
      <w:pPr>
        <w:spacing w:line="480" w:lineRule="auto"/>
        <w:rPr>
          <w:sz w:val="24"/>
        </w:rPr>
      </w:pPr>
      <w:r>
        <w:rPr>
          <w:sz w:val="24"/>
        </w:rPr>
        <w:t>//</w:t>
      </w:r>
    </w:p>
    <w:p w14:paraId="53FDE418" w14:textId="5F40889D" w:rsidR="002F6F5F" w:rsidRDefault="002F6F5F" w:rsidP="002F6F5F">
      <w:pPr>
        <w:spacing w:line="480" w:lineRule="auto"/>
        <w:rPr>
          <w:sz w:val="24"/>
        </w:rPr>
      </w:pPr>
      <w:r>
        <w:rPr>
          <w:sz w:val="24"/>
        </w:rPr>
        <w:t>//</w:t>
      </w:r>
    </w:p>
    <w:p w14:paraId="47994D8A" w14:textId="25C6DFFC" w:rsidR="002F6F5F" w:rsidRDefault="002F6F5F" w:rsidP="002F6F5F">
      <w:pPr>
        <w:spacing w:line="480" w:lineRule="auto"/>
        <w:rPr>
          <w:sz w:val="24"/>
        </w:rPr>
      </w:pPr>
      <w:r>
        <w:rPr>
          <w:sz w:val="24"/>
        </w:rPr>
        <w:t>//</w:t>
      </w:r>
      <w:bookmarkStart w:id="0" w:name="_GoBack"/>
      <w:bookmarkEnd w:id="0"/>
    </w:p>
    <w:p w14:paraId="5266287E" w14:textId="792170E6" w:rsidR="00F22F8C" w:rsidRPr="00F22F8C" w:rsidRDefault="00F22F8C" w:rsidP="00F22F8C">
      <w:pPr>
        <w:pStyle w:val="ListParagraph"/>
        <w:numPr>
          <w:ilvl w:val="0"/>
          <w:numId w:val="5"/>
        </w:numPr>
        <w:spacing w:line="480" w:lineRule="auto"/>
        <w:jc w:val="center"/>
        <w:rPr>
          <w:b/>
        </w:rPr>
      </w:pPr>
      <w:r w:rsidRPr="00F22F8C">
        <w:rPr>
          <w:b/>
        </w:rPr>
        <w:t>CONCLUSION</w:t>
      </w:r>
    </w:p>
    <w:p w14:paraId="17206A7C" w14:textId="5C2ADCF8" w:rsidR="00F22F8C" w:rsidRPr="00F22F8C" w:rsidRDefault="00F22F8C" w:rsidP="00F22F8C">
      <w:pPr>
        <w:numPr>
          <w:ilvl w:val="0"/>
          <w:numId w:val="2"/>
        </w:numPr>
        <w:spacing w:line="480" w:lineRule="auto"/>
        <w:rPr>
          <w:sz w:val="24"/>
        </w:rPr>
      </w:pPr>
      <w:r>
        <w:rPr>
          <w:sz w:val="24"/>
        </w:rPr>
        <w:t xml:space="preserve"> </w:t>
      </w:r>
      <w:r>
        <w:rPr>
          <w:sz w:val="24"/>
        </w:rPr>
        <w:tab/>
        <w:t xml:space="preserve">For the foregoing reasons, Staff requests the Commission adopt the entirety of the Initial Order as a Final Order. </w:t>
      </w:r>
    </w:p>
    <w:p w14:paraId="62907F9C" w14:textId="63E6B5F9" w:rsidR="00F748D8" w:rsidRDefault="00F748D8" w:rsidP="00F748D8">
      <w:pPr>
        <w:ind w:left="720"/>
        <w:rPr>
          <w:sz w:val="24"/>
        </w:rPr>
      </w:pPr>
      <w:r w:rsidRPr="004A2910">
        <w:rPr>
          <w:sz w:val="24"/>
        </w:rPr>
        <w:t xml:space="preserve">DATED this </w:t>
      </w:r>
      <w:r w:rsidR="008D070F">
        <w:rPr>
          <w:sz w:val="24"/>
        </w:rPr>
        <w:t>9</w:t>
      </w:r>
      <w:r w:rsidR="008D070F" w:rsidRPr="008D070F">
        <w:rPr>
          <w:sz w:val="24"/>
          <w:vertAlign w:val="superscript"/>
        </w:rPr>
        <w:t>th</w:t>
      </w:r>
      <w:r w:rsidR="008D070F">
        <w:rPr>
          <w:sz w:val="24"/>
        </w:rPr>
        <w:t xml:space="preserve"> </w:t>
      </w:r>
      <w:r w:rsidRPr="004A2910">
        <w:rPr>
          <w:sz w:val="24"/>
        </w:rPr>
        <w:t xml:space="preserve">day of </w:t>
      </w:r>
      <w:r w:rsidR="008D070F">
        <w:rPr>
          <w:sz w:val="24"/>
        </w:rPr>
        <w:t>July</w:t>
      </w:r>
      <w:r w:rsidRPr="004A2910">
        <w:rPr>
          <w:sz w:val="24"/>
        </w:rPr>
        <w:t xml:space="preserve"> 20</w:t>
      </w:r>
      <w:r w:rsidR="004A26FF">
        <w:rPr>
          <w:sz w:val="24"/>
        </w:rPr>
        <w:t>1</w:t>
      </w:r>
      <w:r w:rsidR="008D070F">
        <w:rPr>
          <w:sz w:val="24"/>
        </w:rPr>
        <w:t>5</w:t>
      </w:r>
      <w:r w:rsidRPr="004A2910">
        <w:rPr>
          <w:sz w:val="24"/>
        </w:rPr>
        <w:t>.</w:t>
      </w:r>
    </w:p>
    <w:p w14:paraId="62907F9D" w14:textId="77777777" w:rsidR="00F748D8" w:rsidRDefault="00F748D8" w:rsidP="00F748D8">
      <w:pPr>
        <w:ind w:left="720"/>
        <w:rPr>
          <w:sz w:val="24"/>
        </w:rPr>
      </w:pPr>
    </w:p>
    <w:p w14:paraId="62907F9E" w14:textId="77777777"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14:paraId="62907F9F" w14:textId="77777777" w:rsidR="00F748D8" w:rsidRPr="004A2910" w:rsidRDefault="00F748D8" w:rsidP="00F748D8">
      <w:pPr>
        <w:pStyle w:val="BodyTextIndent2"/>
        <w:rPr>
          <w:rFonts w:ascii="Times New Roman" w:hAnsi="Times New Roman"/>
        </w:rPr>
      </w:pPr>
    </w:p>
    <w:p w14:paraId="62907FA0" w14:textId="77777777" w:rsidR="00F748D8" w:rsidRPr="004A2910" w:rsidRDefault="00F748D8" w:rsidP="00F748D8">
      <w:pPr>
        <w:ind w:left="5040"/>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p>
    <w:p w14:paraId="62907FA1" w14:textId="77777777" w:rsidR="00F748D8" w:rsidRPr="004A2910" w:rsidRDefault="00F748D8" w:rsidP="00F748D8">
      <w:pPr>
        <w:ind w:firstLine="5040"/>
        <w:jc w:val="both"/>
        <w:rPr>
          <w:sz w:val="24"/>
        </w:rPr>
      </w:pPr>
      <w:r w:rsidRPr="004A2910">
        <w:rPr>
          <w:sz w:val="24"/>
        </w:rPr>
        <w:t>Attorney General</w:t>
      </w:r>
    </w:p>
    <w:p w14:paraId="62907FA2" w14:textId="77777777" w:rsidR="00F748D8" w:rsidRPr="004A2910" w:rsidRDefault="00F748D8" w:rsidP="00F748D8">
      <w:pPr>
        <w:jc w:val="both"/>
        <w:rPr>
          <w:sz w:val="24"/>
        </w:rPr>
      </w:pPr>
    </w:p>
    <w:p w14:paraId="62907FA3" w14:textId="77777777" w:rsidR="00F748D8" w:rsidRDefault="00F748D8" w:rsidP="00F748D8">
      <w:pPr>
        <w:jc w:val="both"/>
        <w:rPr>
          <w:sz w:val="24"/>
        </w:rPr>
      </w:pPr>
    </w:p>
    <w:p w14:paraId="62907FA4" w14:textId="77777777" w:rsidR="005E07C2" w:rsidRPr="004A2910" w:rsidRDefault="005E07C2" w:rsidP="00F748D8">
      <w:pPr>
        <w:jc w:val="both"/>
        <w:rPr>
          <w:sz w:val="24"/>
        </w:rPr>
      </w:pPr>
    </w:p>
    <w:p w14:paraId="62907FA5" w14:textId="77777777" w:rsidR="00F748D8" w:rsidRPr="004A2910" w:rsidRDefault="00F748D8" w:rsidP="00F748D8">
      <w:pPr>
        <w:ind w:left="1440" w:firstLine="3600"/>
        <w:jc w:val="both"/>
        <w:rPr>
          <w:sz w:val="24"/>
        </w:rPr>
      </w:pPr>
      <w:r w:rsidRPr="004A2910">
        <w:rPr>
          <w:sz w:val="24"/>
        </w:rPr>
        <w:t>______________________________</w:t>
      </w:r>
    </w:p>
    <w:p w14:paraId="62907FA6" w14:textId="1D6719B8" w:rsidR="00F748D8" w:rsidRPr="004A2910" w:rsidRDefault="008D070F" w:rsidP="00F748D8">
      <w:pPr>
        <w:ind w:firstLine="5040"/>
        <w:jc w:val="both"/>
        <w:rPr>
          <w:sz w:val="24"/>
        </w:rPr>
      </w:pPr>
      <w:r>
        <w:rPr>
          <w:sz w:val="24"/>
        </w:rPr>
        <w:t>BRETT P. SHEARER</w:t>
      </w:r>
    </w:p>
    <w:p w14:paraId="62907FA7" w14:textId="77777777" w:rsidR="00F748D8" w:rsidRPr="004A2910" w:rsidRDefault="00F748D8" w:rsidP="00F748D8">
      <w:pPr>
        <w:ind w:left="1440" w:firstLine="3600"/>
        <w:jc w:val="both"/>
        <w:rPr>
          <w:sz w:val="24"/>
        </w:rPr>
      </w:pPr>
      <w:r w:rsidRPr="004A2910">
        <w:rPr>
          <w:sz w:val="24"/>
        </w:rPr>
        <w:t>Assistant Attorney General</w:t>
      </w:r>
    </w:p>
    <w:p w14:paraId="62907FA8" w14:textId="77777777"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14:paraId="62907FA9" w14:textId="77777777" w:rsidR="00F748D8" w:rsidRPr="004A2910" w:rsidRDefault="004F69A5" w:rsidP="00F748D8">
      <w:pPr>
        <w:ind w:left="2880" w:firstLine="2160"/>
        <w:jc w:val="both"/>
        <w:rPr>
          <w:sz w:val="24"/>
        </w:rPr>
      </w:pPr>
      <w:r>
        <w:rPr>
          <w:sz w:val="24"/>
        </w:rPr>
        <w:t>Transportation Commission</w:t>
      </w:r>
      <w:r w:rsidR="005E07C2">
        <w:rPr>
          <w:sz w:val="24"/>
        </w:rPr>
        <w:t xml:space="preserve"> Staff</w:t>
      </w:r>
    </w:p>
    <w:p w14:paraId="62907FAA" w14:textId="77777777" w:rsidR="00F748D8" w:rsidRDefault="00F748D8"/>
    <w:sectPr w:rsidR="00F748D8"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25F8E" w14:textId="77777777" w:rsidR="00EE6412" w:rsidRDefault="00EE6412">
      <w:r>
        <w:separator/>
      </w:r>
    </w:p>
  </w:endnote>
  <w:endnote w:type="continuationSeparator" w:id="0">
    <w:p w14:paraId="38AC897F" w14:textId="77777777" w:rsidR="00EE6412" w:rsidRDefault="00EE6412">
      <w:r>
        <w:continuationSeparator/>
      </w:r>
    </w:p>
  </w:endnote>
  <w:endnote w:type="continuationNotice" w:id="1">
    <w:p w14:paraId="47AA236D" w14:textId="77777777" w:rsidR="00E953B2" w:rsidRDefault="00E95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07FAF" w14:textId="77777777" w:rsidR="00EE6412" w:rsidRPr="00854528" w:rsidRDefault="00EE6412">
    <w:pPr>
      <w:pStyle w:val="Footer"/>
      <w:rPr>
        <w:szCs w:val="20"/>
      </w:rPr>
    </w:pPr>
  </w:p>
  <w:p w14:paraId="1D4515DF" w14:textId="77777777" w:rsidR="00854528" w:rsidRDefault="00854528">
    <w:pPr>
      <w:pStyle w:val="Footer"/>
      <w:rPr>
        <w:szCs w:val="20"/>
      </w:rPr>
    </w:pPr>
    <w:r w:rsidRPr="00854528">
      <w:rPr>
        <w:szCs w:val="20"/>
      </w:rPr>
      <w:t xml:space="preserve">COMMISSION STAFF ANSWER TO WCI’S </w:t>
    </w:r>
  </w:p>
  <w:p w14:paraId="62907FB0" w14:textId="7E64C554" w:rsidR="00EE6412" w:rsidRPr="00854528" w:rsidRDefault="00854528">
    <w:pPr>
      <w:pStyle w:val="Footer"/>
      <w:rPr>
        <w:szCs w:val="20"/>
      </w:rPr>
    </w:pPr>
    <w:r w:rsidRPr="00854528">
      <w:rPr>
        <w:szCs w:val="20"/>
      </w:rPr>
      <w:t xml:space="preserve">PETITION FOR ADMINISTRATIVE REVIEW </w:t>
    </w:r>
    <w:r w:rsidR="00EE6412" w:rsidRPr="00854528">
      <w:rPr>
        <w:szCs w:val="20"/>
      </w:rPr>
      <w:t xml:space="preserve">- </w:t>
    </w:r>
    <w:r w:rsidR="00EE6412" w:rsidRPr="00854528">
      <w:rPr>
        <w:rStyle w:val="PageNumber"/>
        <w:szCs w:val="20"/>
      </w:rPr>
      <w:fldChar w:fldCharType="begin"/>
    </w:r>
    <w:r w:rsidR="00EE6412" w:rsidRPr="00854528">
      <w:rPr>
        <w:rStyle w:val="PageNumber"/>
        <w:szCs w:val="20"/>
      </w:rPr>
      <w:instrText xml:space="preserve"> PAGE </w:instrText>
    </w:r>
    <w:r w:rsidR="00EE6412" w:rsidRPr="00854528">
      <w:rPr>
        <w:rStyle w:val="PageNumber"/>
        <w:szCs w:val="20"/>
      </w:rPr>
      <w:fldChar w:fldCharType="separate"/>
    </w:r>
    <w:r w:rsidR="002F6F5F">
      <w:rPr>
        <w:rStyle w:val="PageNumber"/>
        <w:noProof/>
        <w:szCs w:val="20"/>
      </w:rPr>
      <w:t>20</w:t>
    </w:r>
    <w:r w:rsidR="00EE6412" w:rsidRPr="00854528">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B03A9" w14:textId="77777777" w:rsidR="00EE6412" w:rsidRDefault="00EE6412">
      <w:r>
        <w:separator/>
      </w:r>
    </w:p>
  </w:footnote>
  <w:footnote w:type="continuationSeparator" w:id="0">
    <w:p w14:paraId="05966664" w14:textId="77777777" w:rsidR="00EE6412" w:rsidRDefault="00EE6412">
      <w:r>
        <w:continuationSeparator/>
      </w:r>
    </w:p>
  </w:footnote>
  <w:footnote w:type="continuationNotice" w:id="1">
    <w:p w14:paraId="168CDA07" w14:textId="77777777" w:rsidR="00E953B2" w:rsidRDefault="00E953B2"/>
  </w:footnote>
  <w:footnote w:id="2">
    <w:p w14:paraId="7DE998F9" w14:textId="6DFB7B0E" w:rsidR="00EE6412" w:rsidRDefault="00EE6412">
      <w:pPr>
        <w:pStyle w:val="FootnoteText"/>
      </w:pPr>
      <w:r>
        <w:rPr>
          <w:rStyle w:val="FootnoteReference"/>
        </w:rPr>
        <w:footnoteRef/>
      </w:r>
      <w:r>
        <w:t xml:space="preserve"> For reference, WCI initially filed its general rate case as TG-131794 in September 2013.  The Commission dismissed that filing as inadequate on March 25, 2014.  The Company then re-filed its general rate proceeding as Docket TG-140560 on April 4, 2014.  </w:t>
      </w:r>
    </w:p>
  </w:footnote>
  <w:footnote w:id="3">
    <w:p w14:paraId="62907FB1" w14:textId="1949562F" w:rsidR="00EE6412" w:rsidRDefault="00EE6412">
      <w:pPr>
        <w:pStyle w:val="FootnoteText"/>
      </w:pPr>
      <w:r>
        <w:rPr>
          <w:rStyle w:val="FootnoteReference"/>
        </w:rPr>
        <w:footnoteRef/>
      </w:r>
      <w:r>
        <w:t xml:space="preserve"> Washington Refuse and Recycling Association (“WRRA”) is also an intervening party in this proceeding.</w:t>
      </w:r>
    </w:p>
  </w:footnote>
  <w:footnote w:id="4">
    <w:p w14:paraId="752820ED" w14:textId="374A3359" w:rsidR="00EE6412" w:rsidRPr="002228E8" w:rsidRDefault="00EE6412" w:rsidP="002228E8">
      <w:pPr>
        <w:pStyle w:val="FootnoteText"/>
      </w:pPr>
      <w:r>
        <w:rPr>
          <w:rStyle w:val="FootnoteReference"/>
        </w:rPr>
        <w:footnoteRef/>
      </w:r>
      <w:r>
        <w:t xml:space="preserve"> </w:t>
      </w:r>
      <w:r>
        <w:rPr>
          <w:i/>
        </w:rPr>
        <w:t>WUTC v. Waste Control, Inc.</w:t>
      </w:r>
      <w:r>
        <w:t>, Order 12 (Initial Order), p.</w:t>
      </w:r>
      <w:r w:rsidR="00854528">
        <w:t xml:space="preserve"> </w:t>
      </w:r>
      <w:r>
        <w:t xml:space="preserve">8 </w:t>
      </w:r>
      <w:r w:rsidRPr="002228E8">
        <w:t>¶</w:t>
      </w:r>
      <w:r>
        <w:t>22 (June 8, 2015).</w:t>
      </w:r>
    </w:p>
  </w:footnote>
  <w:footnote w:id="5">
    <w:p w14:paraId="2A5BFB8E" w14:textId="77777777" w:rsidR="00EE6412" w:rsidRDefault="00EE6412" w:rsidP="00992E21">
      <w:pPr>
        <w:pStyle w:val="FootnoteText"/>
      </w:pPr>
      <w:r>
        <w:rPr>
          <w:rStyle w:val="FootnoteReference"/>
          <w:rFonts w:eastAsiaTheme="minorHAnsi"/>
        </w:rPr>
        <w:footnoteRef/>
      </w:r>
      <w:r>
        <w:t xml:space="preserve"> Supplemental Testimony of Melissa Cheesman, Exhibit No. ___ (MC-13T), p. 7 lines 8:11 (Feb. 2, 2015); Initial Brief on Behalf of Staff, p. 29 ¶68 (Nov. 7, 2014). </w:t>
      </w:r>
    </w:p>
  </w:footnote>
  <w:footnote w:id="6">
    <w:p w14:paraId="22744DAD" w14:textId="77777777" w:rsidR="00EE6412" w:rsidRDefault="00EE6412" w:rsidP="008C59BE">
      <w:pPr>
        <w:pStyle w:val="FootnoteText"/>
      </w:pPr>
      <w:r>
        <w:rPr>
          <w:rStyle w:val="FootnoteReference"/>
        </w:rPr>
        <w:footnoteRef/>
      </w:r>
      <w:r>
        <w:t xml:space="preserve"> Initial Order, pp. 12-13, ¶33; Initial Order, p. 31 ¶90 (Findings and Conclusions (8)). </w:t>
      </w:r>
    </w:p>
  </w:footnote>
  <w:footnote w:id="7">
    <w:p w14:paraId="73EBA199" w14:textId="44A0AEBD" w:rsidR="00EE6412" w:rsidRDefault="00EE6412">
      <w:pPr>
        <w:pStyle w:val="FootnoteText"/>
      </w:pPr>
      <w:r>
        <w:rPr>
          <w:rStyle w:val="FootnoteReference"/>
        </w:rPr>
        <w:footnoteRef/>
      </w:r>
      <w:r>
        <w:t xml:space="preserve"> The Initial Order accurately summarizes Staff’s three-factor allocator. Initial Order, pp. 9-10 ¶¶23-24. Staff’s testimony also explained the purpose and methodology of its allocator several times throughout the record.  </w:t>
      </w:r>
      <w:r>
        <w:rPr>
          <w:i/>
        </w:rPr>
        <w:t>See, e.g.</w:t>
      </w:r>
      <w:r>
        <w:t>, Testimony of Melissa Cheesman, Exhibit No. ___ (MC-1T), p. 15:9 – p. 17:11 (July 18, 2014).</w:t>
      </w:r>
    </w:p>
  </w:footnote>
  <w:footnote w:id="8">
    <w:p w14:paraId="6015A7F0" w14:textId="2D7C1256" w:rsidR="00EE6412" w:rsidRDefault="00EE6412">
      <w:pPr>
        <w:pStyle w:val="FootnoteText"/>
      </w:pPr>
      <w:r>
        <w:rPr>
          <w:rStyle w:val="FootnoteReference"/>
        </w:rPr>
        <w:footnoteRef/>
      </w:r>
      <w:r>
        <w:t xml:space="preserve"> Cheesman, MC-1T, pp. 15:6 – 17:19 (July 18, 2014). </w:t>
      </w:r>
    </w:p>
  </w:footnote>
  <w:footnote w:id="9">
    <w:p w14:paraId="411484BD" w14:textId="460360A1" w:rsidR="00EE6412" w:rsidRPr="006C6AE4" w:rsidRDefault="00EE6412" w:rsidP="004A43A4">
      <w:pPr>
        <w:pStyle w:val="FootnoteText"/>
      </w:pPr>
      <w:r w:rsidRPr="006C6AE4">
        <w:rPr>
          <w:rStyle w:val="FootnoteReference"/>
        </w:rPr>
        <w:footnoteRef/>
      </w:r>
      <w:r w:rsidRPr="006C6AE4">
        <w:t xml:space="preserve"> Cheesman, </w:t>
      </w:r>
      <w:r>
        <w:t xml:space="preserve">MC-1T, p. 18: </w:t>
      </w:r>
      <w:r w:rsidRPr="006C6AE4">
        <w:t xml:space="preserve">3-9 (July 18, 2014). </w:t>
      </w:r>
    </w:p>
  </w:footnote>
  <w:footnote w:id="10">
    <w:p w14:paraId="0E2B0BBB" w14:textId="77777777" w:rsidR="00EE6412" w:rsidRPr="006C6AE4" w:rsidRDefault="00EE6412" w:rsidP="00D3767F">
      <w:pPr>
        <w:pStyle w:val="FootnoteText"/>
      </w:pPr>
      <w:r w:rsidRPr="006C6AE4">
        <w:rPr>
          <w:rStyle w:val="FootnoteReference"/>
        </w:rPr>
        <w:footnoteRef/>
      </w:r>
      <w:r w:rsidRPr="006C6AE4">
        <w:t xml:space="preserve"> </w:t>
      </w:r>
      <w:r w:rsidRPr="006C6AE4">
        <w:rPr>
          <w:i/>
        </w:rPr>
        <w:t xml:space="preserve">See </w:t>
      </w:r>
      <w:r w:rsidRPr="006C6AE4">
        <w:t>Rebuttal Testimony of Jackie Davis, Exhibit No. __ (JD-41T), pp. 11-12 (August 20, 2014).</w:t>
      </w:r>
    </w:p>
  </w:footnote>
  <w:footnote w:id="11">
    <w:p w14:paraId="4B352DB0" w14:textId="7D8B6E54" w:rsidR="00EE6412" w:rsidRPr="006C6AE4" w:rsidRDefault="00EE6412" w:rsidP="004A43A4">
      <w:pPr>
        <w:pStyle w:val="FootnoteText"/>
      </w:pPr>
      <w:r w:rsidRPr="006C6AE4">
        <w:rPr>
          <w:rStyle w:val="FootnoteReference"/>
        </w:rPr>
        <w:footnoteRef/>
      </w:r>
      <w:r w:rsidRPr="006C6AE4">
        <w:t xml:space="preserve"> </w:t>
      </w:r>
      <w:r w:rsidRPr="006C6AE4">
        <w:rPr>
          <w:i/>
        </w:rPr>
        <w:t>See</w:t>
      </w:r>
      <w:r w:rsidRPr="006C6AE4">
        <w:t xml:space="preserve"> Rebuttal Testimony of Layne </w:t>
      </w:r>
      <w:r>
        <w:t>Demas</w:t>
      </w:r>
      <w:r w:rsidRPr="006C6AE4">
        <w:t>, Exhi</w:t>
      </w:r>
      <w:r>
        <w:t xml:space="preserve">bit No. __ (LD-1T), at pp. 7-8 (Aug. 20, 2014) </w:t>
      </w:r>
      <w:r>
        <w:rPr>
          <w:i/>
        </w:rPr>
        <w:t xml:space="preserve">and </w:t>
      </w:r>
      <w:r>
        <w:t>Davis, JD-41T</w:t>
      </w:r>
      <w:r w:rsidRPr="006C6AE4">
        <w:t xml:space="preserve">, pp. 11-13. </w:t>
      </w:r>
    </w:p>
  </w:footnote>
  <w:footnote w:id="12">
    <w:p w14:paraId="6426086B" w14:textId="03C3908C" w:rsidR="00EE6412" w:rsidRDefault="00EE6412">
      <w:pPr>
        <w:pStyle w:val="FootnoteText"/>
      </w:pPr>
      <w:r>
        <w:rPr>
          <w:rStyle w:val="FootnoteReference"/>
        </w:rPr>
        <w:footnoteRef/>
      </w:r>
      <w:r>
        <w:t xml:space="preserve"> Initial Order, pp. 12-13 ¶33 (“</w:t>
      </w:r>
      <w:r w:rsidRPr="00FE0738">
        <w:t>The other alternatives proposed by WCI also lack substantive justification</w:t>
      </w:r>
      <w:r>
        <w:t>”).</w:t>
      </w:r>
    </w:p>
  </w:footnote>
  <w:footnote w:id="13">
    <w:p w14:paraId="12BD199B" w14:textId="7E1E2D54" w:rsidR="00EE6412" w:rsidRDefault="00EE6412">
      <w:pPr>
        <w:pStyle w:val="FootnoteText"/>
      </w:pPr>
      <w:r>
        <w:rPr>
          <w:rStyle w:val="FootnoteReference"/>
        </w:rPr>
        <w:footnoteRef/>
      </w:r>
      <w:r>
        <w:t xml:space="preserve"> Initial Brief on Behalf of Commission Staff, p. 9 at footnote 31 (Nov. 7, 2014).  </w:t>
      </w:r>
    </w:p>
  </w:footnote>
  <w:footnote w:id="14">
    <w:p w14:paraId="5247A4AC" w14:textId="4858A811" w:rsidR="00EE6412" w:rsidRDefault="00EE6412" w:rsidP="00BD79C5">
      <w:pPr>
        <w:pStyle w:val="FootnoteText"/>
      </w:pPr>
      <w:r>
        <w:rPr>
          <w:rStyle w:val="FootnoteReference"/>
          <w:rFonts w:eastAsiaTheme="minorHAnsi"/>
        </w:rPr>
        <w:footnoteRef/>
      </w:r>
      <w:r>
        <w:t xml:space="preserve"> Demas, LD-2T, p. 2:22-24, (Nov. 7, 2014) </w:t>
      </w:r>
      <w:r>
        <w:rPr>
          <w:i/>
        </w:rPr>
        <w:t>and</w:t>
      </w:r>
      <w:r>
        <w:t xml:space="preserve"> Cross-examination of Layne </w:t>
      </w:r>
      <w:r w:rsidRPr="00C145CA">
        <w:t>Demas, TR. 51 lines 5:22.</w:t>
      </w:r>
      <w:r>
        <w:t xml:space="preserve"> </w:t>
      </w:r>
    </w:p>
  </w:footnote>
  <w:footnote w:id="15">
    <w:p w14:paraId="6E4EE696" w14:textId="04FC26DF" w:rsidR="00EE6412" w:rsidRPr="008C59BE" w:rsidRDefault="00EE6412">
      <w:pPr>
        <w:pStyle w:val="FootnoteText"/>
      </w:pPr>
      <w:r>
        <w:rPr>
          <w:rStyle w:val="FootnoteReference"/>
        </w:rPr>
        <w:footnoteRef/>
      </w:r>
      <w:r>
        <w:t xml:space="preserve"> Cheesman, MC-1T at 15:18-20;  Initial Brief on Behalf of Commission Staff, p. 6 ¶¶12-13 and accompanying footnotes. </w:t>
      </w:r>
      <w:r>
        <w:rPr>
          <w:i/>
        </w:rPr>
        <w:t xml:space="preserve">See also </w:t>
      </w:r>
      <w:r>
        <w:t xml:space="preserve">Redirect of Melissa Cheesman, TR. 301:14-20 (explaining that the allocator applied only to shared facilities). </w:t>
      </w:r>
    </w:p>
  </w:footnote>
  <w:footnote w:id="16">
    <w:p w14:paraId="0A162DFF" w14:textId="4329E0A1" w:rsidR="00EE6412" w:rsidRPr="00E563E0" w:rsidRDefault="00EE6412">
      <w:pPr>
        <w:pStyle w:val="FootnoteText"/>
      </w:pPr>
      <w:r>
        <w:rPr>
          <w:rStyle w:val="FootnoteReference"/>
        </w:rPr>
        <w:footnoteRef/>
      </w:r>
      <w:r>
        <w:t xml:space="preserve"> </w:t>
      </w:r>
      <w:r>
        <w:rPr>
          <w:i/>
        </w:rPr>
        <w:t>See, e.g.</w:t>
      </w:r>
      <w:r>
        <w:t xml:space="preserve"> </w:t>
      </w:r>
      <w:r>
        <w:rPr>
          <w:i/>
        </w:rPr>
        <w:t xml:space="preserve">supra </w:t>
      </w:r>
      <w:r>
        <w:t>note 14.</w:t>
      </w:r>
    </w:p>
  </w:footnote>
  <w:footnote w:id="17">
    <w:p w14:paraId="18C0F456" w14:textId="0A24BD52" w:rsidR="00EE6412" w:rsidRDefault="00EE6412">
      <w:pPr>
        <w:pStyle w:val="FootnoteText"/>
      </w:pPr>
      <w:r>
        <w:rPr>
          <w:rStyle w:val="FootnoteReference"/>
        </w:rPr>
        <w:footnoteRef/>
      </w:r>
      <w:r>
        <w:t xml:space="preserve"> </w:t>
      </w:r>
      <w:r>
        <w:rPr>
          <w:i/>
        </w:rPr>
        <w:t xml:space="preserve">See </w:t>
      </w:r>
      <w:r>
        <w:t>Demas, TR. 60 line 17 (“Indirect cost is allocated cost.”)</w:t>
      </w:r>
    </w:p>
  </w:footnote>
  <w:footnote w:id="18">
    <w:p w14:paraId="5FF40FEF" w14:textId="3E7FB64D" w:rsidR="00EE6412" w:rsidRDefault="00EE6412" w:rsidP="00573C5D">
      <w:pPr>
        <w:pStyle w:val="PlainText"/>
        <w:rPr>
          <w:rFonts w:ascii="Times New Roman" w:hAnsi="Times New Roman" w:cs="Times New Roman"/>
          <w:sz w:val="20"/>
          <w:szCs w:val="20"/>
        </w:rPr>
      </w:pPr>
      <w:r w:rsidRPr="008C59BE">
        <w:rPr>
          <w:rStyle w:val="FootnoteReference"/>
          <w:rFonts w:ascii="Times New Roman" w:hAnsi="Times New Roman" w:cs="Times New Roman"/>
          <w:sz w:val="20"/>
          <w:szCs w:val="20"/>
        </w:rPr>
        <w:footnoteRef/>
      </w:r>
      <w:r w:rsidRPr="008C59BE">
        <w:rPr>
          <w:rFonts w:ascii="Times New Roman" w:hAnsi="Times New Roman" w:cs="Times New Roman"/>
          <w:sz w:val="20"/>
          <w:szCs w:val="20"/>
        </w:rPr>
        <w:t xml:space="preserve"> Demas, TR. 49:17-20</w:t>
      </w:r>
      <w:r w:rsidRPr="00573C5D">
        <w:rPr>
          <w:rFonts w:ascii="Times New Roman" w:hAnsi="Times New Roman" w:cs="Times New Roman"/>
          <w:sz w:val="20"/>
          <w:szCs w:val="20"/>
        </w:rPr>
        <w:t xml:space="preserve">. </w:t>
      </w:r>
    </w:p>
    <w:p w14:paraId="082A2EFF" w14:textId="0773B0FA" w:rsidR="00EE6412" w:rsidRPr="00573C5D" w:rsidRDefault="00EE6412" w:rsidP="008C59BE">
      <w:pPr>
        <w:pStyle w:val="PlainText"/>
        <w:ind w:firstLine="720"/>
        <w:rPr>
          <w:rFonts w:ascii="Times New Roman" w:hAnsi="Times New Roman" w:cs="Times New Roman"/>
          <w:sz w:val="20"/>
          <w:szCs w:val="20"/>
        </w:rPr>
      </w:pPr>
      <w:r>
        <w:rPr>
          <w:rFonts w:ascii="Times New Roman" w:hAnsi="Times New Roman" w:cs="Times New Roman"/>
          <w:sz w:val="20"/>
          <w:szCs w:val="20"/>
        </w:rPr>
        <w:t>Q.</w:t>
      </w:r>
      <w:r>
        <w:rPr>
          <w:rFonts w:ascii="Times New Roman" w:hAnsi="Times New Roman" w:cs="Times New Roman"/>
          <w:sz w:val="20"/>
          <w:szCs w:val="20"/>
        </w:rPr>
        <w:tab/>
      </w:r>
      <w:r w:rsidRPr="00573C5D">
        <w:rPr>
          <w:rFonts w:ascii="Times New Roman" w:hAnsi="Times New Roman" w:cs="Times New Roman"/>
          <w:sz w:val="20"/>
          <w:szCs w:val="20"/>
        </w:rPr>
        <w:t>Now, in your opinion, has the Company put forward</w:t>
      </w:r>
    </w:p>
    <w:p w14:paraId="5559AA3A" w14:textId="234A2949" w:rsidR="00EE6412" w:rsidRPr="00573C5D" w:rsidRDefault="00EE6412" w:rsidP="008C59BE">
      <w:pPr>
        <w:pStyle w:val="PlainText"/>
        <w:ind w:left="720" w:firstLine="720"/>
        <w:rPr>
          <w:rFonts w:ascii="Times New Roman" w:hAnsi="Times New Roman" w:cs="Times New Roman"/>
          <w:sz w:val="20"/>
          <w:szCs w:val="20"/>
        </w:rPr>
      </w:pPr>
      <w:r w:rsidRPr="00573C5D">
        <w:rPr>
          <w:rFonts w:ascii="Times New Roman" w:hAnsi="Times New Roman" w:cs="Times New Roman"/>
          <w:sz w:val="20"/>
          <w:szCs w:val="20"/>
        </w:rPr>
        <w:t>an alternative allocation methodology and adequately</w:t>
      </w:r>
    </w:p>
    <w:p w14:paraId="0323DD2C" w14:textId="77777777" w:rsidR="00EE6412" w:rsidRPr="00573C5D" w:rsidRDefault="00EE6412" w:rsidP="008C59BE">
      <w:pPr>
        <w:pStyle w:val="PlainText"/>
        <w:ind w:left="720" w:firstLine="720"/>
        <w:rPr>
          <w:rFonts w:ascii="Times New Roman" w:hAnsi="Times New Roman" w:cs="Times New Roman"/>
          <w:sz w:val="20"/>
          <w:szCs w:val="20"/>
        </w:rPr>
      </w:pPr>
      <w:r w:rsidRPr="00573C5D">
        <w:rPr>
          <w:rFonts w:ascii="Times New Roman" w:hAnsi="Times New Roman" w:cs="Times New Roman"/>
          <w:sz w:val="20"/>
          <w:szCs w:val="20"/>
        </w:rPr>
        <w:t>supported it on this record?</w:t>
      </w:r>
    </w:p>
    <w:p w14:paraId="2C056291" w14:textId="14CEC85D" w:rsidR="00EE6412" w:rsidRPr="002243C8" w:rsidRDefault="00EE6412" w:rsidP="002243C8">
      <w:pPr>
        <w:pStyle w:val="PlainText"/>
        <w:ind w:firstLine="720"/>
        <w:rPr>
          <w:rFonts w:ascii="Times New Roman" w:hAnsi="Times New Roman" w:cs="Times New Roman"/>
          <w:sz w:val="20"/>
          <w:szCs w:val="20"/>
        </w:rPr>
      </w:pPr>
      <w:r w:rsidRPr="00573C5D">
        <w:rPr>
          <w:rFonts w:ascii="Times New Roman" w:hAnsi="Times New Roman" w:cs="Times New Roman"/>
          <w:sz w:val="20"/>
          <w:szCs w:val="20"/>
        </w:rPr>
        <w:t xml:space="preserve">A. </w:t>
      </w:r>
      <w:r>
        <w:rPr>
          <w:rFonts w:ascii="Times New Roman" w:hAnsi="Times New Roman" w:cs="Times New Roman"/>
          <w:sz w:val="20"/>
          <w:szCs w:val="20"/>
        </w:rPr>
        <w:tab/>
      </w:r>
      <w:r w:rsidRPr="00573C5D">
        <w:rPr>
          <w:rFonts w:ascii="Times New Roman" w:hAnsi="Times New Roman" w:cs="Times New Roman"/>
          <w:sz w:val="20"/>
          <w:szCs w:val="20"/>
        </w:rPr>
        <w:t>Not that I'm aware of.</w:t>
      </w:r>
    </w:p>
  </w:footnote>
  <w:footnote w:id="19">
    <w:p w14:paraId="4104335A" w14:textId="68296698" w:rsidR="00EE6412" w:rsidRDefault="00EE6412">
      <w:pPr>
        <w:pStyle w:val="FootnoteText"/>
      </w:pPr>
      <w:r>
        <w:rPr>
          <w:rStyle w:val="FootnoteReference"/>
        </w:rPr>
        <w:footnoteRef/>
      </w:r>
      <w:r>
        <w:t xml:space="preserve"> Cheesman, MC</w:t>
      </w:r>
      <w:r w:rsidR="00854528">
        <w:t>-1T, pp. 15-17 generally and 16:13-</w:t>
      </w:r>
      <w:r>
        <w:t xml:space="preserve">17:6 specifically (July 18, 2014); Testimony of Melissa Cheesman in Support of Proposed Partial Settlement Agreement, Section V.C., p. 21, lines 10 through 22 (Oct. 13, 2014); Cheesman, TR. 299:20 – 303:2. </w:t>
      </w:r>
    </w:p>
  </w:footnote>
  <w:footnote w:id="20">
    <w:p w14:paraId="4A871781" w14:textId="07222878" w:rsidR="00EE6412" w:rsidRPr="00154132" w:rsidRDefault="00EE6412">
      <w:pPr>
        <w:pStyle w:val="FootnoteText"/>
      </w:pPr>
      <w:r>
        <w:rPr>
          <w:rStyle w:val="FootnoteReference"/>
        </w:rPr>
        <w:footnoteRef/>
      </w:r>
      <w:r>
        <w:t xml:space="preserve"> </w:t>
      </w:r>
      <w:r>
        <w:rPr>
          <w:i/>
        </w:rPr>
        <w:t xml:space="preserve">See </w:t>
      </w:r>
      <w:r>
        <w:t xml:space="preserve">Partial Settlement Agreement, ¶8.  The Parties’ agreed methodology derives from </w:t>
      </w:r>
      <w:r w:rsidRPr="00154132">
        <w:rPr>
          <w:i/>
        </w:rPr>
        <w:t>WUTC v. Bremerton-Kitsap Airporter</w:t>
      </w:r>
      <w:r w:rsidRPr="00154132">
        <w:t>, Docket TC-001846, Fifth Supplemental Order, Appendix C (August 2, 2002).</w:t>
      </w:r>
    </w:p>
  </w:footnote>
  <w:footnote w:id="21">
    <w:p w14:paraId="5882DCE8" w14:textId="3B3610DE" w:rsidR="00EE6412" w:rsidRDefault="00EE6412">
      <w:pPr>
        <w:pStyle w:val="FootnoteText"/>
      </w:pPr>
      <w:r>
        <w:rPr>
          <w:rStyle w:val="FootnoteReference"/>
        </w:rPr>
        <w:footnoteRef/>
      </w:r>
      <w:r>
        <w:t xml:space="preserve"> WCI Petition for Administrative Review, pp. 14-15 ¶24.</w:t>
      </w:r>
    </w:p>
  </w:footnote>
  <w:footnote w:id="22">
    <w:p w14:paraId="10AB1460" w14:textId="58FEF0FB" w:rsidR="00EE6412" w:rsidRPr="006C6AE4" w:rsidRDefault="00EE6412" w:rsidP="00FB258B">
      <w:pPr>
        <w:pStyle w:val="FootnoteText"/>
      </w:pPr>
      <w:r w:rsidRPr="006C6AE4">
        <w:rPr>
          <w:rStyle w:val="FootnoteReference"/>
        </w:rPr>
        <w:footnoteRef/>
      </w:r>
      <w:r w:rsidRPr="006C6AE4">
        <w:t xml:space="preserve"> Rebuttal Testimony of Joe Willis, Exhibit No. __ </w:t>
      </w:r>
      <w:r>
        <w:t>(JW-7), p. 2 (August 20, 2014);</w:t>
      </w:r>
      <w:r w:rsidRPr="006C6AE4">
        <w:t xml:space="preserve"> Cheesman, MC-1T, p. 20 footnote 19</w:t>
      </w:r>
      <w:r>
        <w:t xml:space="preserve">, Cheesman, </w:t>
      </w:r>
      <w:r w:rsidRPr="006C6AE4">
        <w:t>Exhibit No. __ (MC-3), pp. 1-4 (July 18, 2014).</w:t>
      </w:r>
    </w:p>
  </w:footnote>
  <w:footnote w:id="23">
    <w:p w14:paraId="0E395DF3" w14:textId="35040532" w:rsidR="00EE6412" w:rsidRPr="006C6AE4" w:rsidRDefault="00EE6412" w:rsidP="00FB258B">
      <w:pPr>
        <w:pStyle w:val="FootnoteText"/>
      </w:pPr>
      <w:r w:rsidRPr="006C6AE4">
        <w:rPr>
          <w:rStyle w:val="FootnoteReference"/>
        </w:rPr>
        <w:footnoteRef/>
      </w:r>
      <w:r w:rsidRPr="006C6AE4">
        <w:t xml:space="preserve"> </w:t>
      </w:r>
      <w:r w:rsidRPr="006C6AE4">
        <w:rPr>
          <w:i/>
        </w:rPr>
        <w:t xml:space="preserve">See </w:t>
      </w:r>
      <w:r>
        <w:t>Davis, JD-1T</w:t>
      </w:r>
      <w:r w:rsidRPr="006C6AE4">
        <w:t>, p. 4</w:t>
      </w:r>
      <w:r>
        <w:t xml:space="preserve">: 22-25 </w:t>
      </w:r>
      <w:r>
        <w:rPr>
          <w:i/>
        </w:rPr>
        <w:t>and</w:t>
      </w:r>
      <w:r w:rsidRPr="006C6AE4">
        <w:t xml:space="preserve"> p. 9</w:t>
      </w:r>
      <w:r>
        <w:t xml:space="preserve">:21 – 10:3 (April 3, 2014); </w:t>
      </w:r>
      <w:r w:rsidRPr="006C6AE4">
        <w:rPr>
          <w:i/>
        </w:rPr>
        <w:t xml:space="preserve">see also </w:t>
      </w:r>
      <w:r>
        <w:t>Davis, JD-41T</w:t>
      </w:r>
      <w:r w:rsidRPr="006C6AE4">
        <w:t xml:space="preserve">, pp. </w:t>
      </w:r>
      <w:r>
        <w:t>14-16, and JD-43T (Aug.</w:t>
      </w:r>
      <w:r w:rsidRPr="006C6AE4">
        <w:t xml:space="preserve"> 20, 2014) (prop</w:t>
      </w:r>
      <w:r>
        <w:t>osed land rents calculation); Willis, JW-7T (Aug. 20, 2014)</w:t>
      </w:r>
      <w:r w:rsidRPr="006C6AE4">
        <w:t>, p. 2 (“each of the entities . . . are guarantors”).</w:t>
      </w:r>
      <w:r>
        <w:t xml:space="preserve"> </w:t>
      </w:r>
      <w:r w:rsidRPr="006C6AE4">
        <w:rPr>
          <w:i/>
        </w:rPr>
        <w:t xml:space="preserve"> See also </w:t>
      </w:r>
      <w:r>
        <w:t>Cheesman, MC-1T</w:t>
      </w:r>
      <w:r w:rsidRPr="006C6AE4">
        <w:t>, p. 20, lines 3-4</w:t>
      </w:r>
    </w:p>
  </w:footnote>
  <w:footnote w:id="24">
    <w:p w14:paraId="18254144" w14:textId="79600EE3" w:rsidR="00EE6412" w:rsidRPr="00012ABB" w:rsidRDefault="00EE6412">
      <w:pPr>
        <w:pStyle w:val="FootnoteText"/>
      </w:pPr>
      <w:r>
        <w:rPr>
          <w:rStyle w:val="FootnoteReference"/>
        </w:rPr>
        <w:footnoteRef/>
      </w:r>
      <w:r>
        <w:t xml:space="preserve"> </w:t>
      </w:r>
      <w:r>
        <w:rPr>
          <w:i/>
        </w:rPr>
        <w:t xml:space="preserve">See </w:t>
      </w:r>
      <w:r>
        <w:t>Cheesman, MC-13T, p. 5:13-16 (Feb. 2, 2015); Demas, LD-1T, p. 4 (Aug. 20, 2014) (claiming that the landlords’ debts are associated only with non-regulated operations)</w:t>
      </w:r>
    </w:p>
  </w:footnote>
  <w:footnote w:id="25">
    <w:p w14:paraId="7ED081DE" w14:textId="591591C7" w:rsidR="00EE6412" w:rsidRDefault="00EE6412" w:rsidP="00854528">
      <w:pPr>
        <w:pStyle w:val="FootnoteText"/>
        <w:ind w:right="-162"/>
      </w:pPr>
      <w:r>
        <w:rPr>
          <w:rStyle w:val="FootnoteReference"/>
        </w:rPr>
        <w:footnoteRef/>
      </w:r>
      <w:r>
        <w:t xml:space="preserve"> Willis, </w:t>
      </w:r>
      <w:r w:rsidRPr="006C6AE4">
        <w:t>JW-7</w:t>
      </w:r>
      <w:r>
        <w:t>, p. 2</w:t>
      </w:r>
      <w:r w:rsidRPr="006C6AE4">
        <w:t xml:space="preserve">.  </w:t>
      </w:r>
      <w:r w:rsidRPr="006C6AE4">
        <w:rPr>
          <w:i/>
        </w:rPr>
        <w:t xml:space="preserve">See also </w:t>
      </w:r>
      <w:r>
        <w:t>Cheesman, MC-1T</w:t>
      </w:r>
      <w:r w:rsidRPr="006C6AE4">
        <w:t>, p. 20 footnote 19</w:t>
      </w:r>
      <w:r>
        <w:t>; Cheesman, MC-3, pp. </w:t>
      </w:r>
      <w:r w:rsidRPr="006C6AE4">
        <w:t>1-4 (July 18, 2014).</w:t>
      </w:r>
    </w:p>
  </w:footnote>
  <w:footnote w:id="26">
    <w:p w14:paraId="6FFF2D15" w14:textId="4A5111EA" w:rsidR="00EE6412" w:rsidRPr="00FC47BF" w:rsidRDefault="00EE6412" w:rsidP="00EF65E0">
      <w:pPr>
        <w:pStyle w:val="FootnoteText"/>
        <w:rPr>
          <w:i/>
        </w:rPr>
      </w:pPr>
      <w:r>
        <w:rPr>
          <w:rStyle w:val="FootnoteReference"/>
          <w:rFonts w:eastAsiaTheme="minorHAnsi"/>
        </w:rPr>
        <w:footnoteRef/>
      </w:r>
      <w:r>
        <w:t xml:space="preserve"> </w:t>
      </w:r>
      <w:r>
        <w:rPr>
          <w:i/>
        </w:rPr>
        <w:t xml:space="preserve">See </w:t>
      </w:r>
      <w:r>
        <w:t>Cheesman, TR. 305 lines 10:19.</w:t>
      </w:r>
    </w:p>
  </w:footnote>
  <w:footnote w:id="27">
    <w:p w14:paraId="21EC17DE" w14:textId="18DD67D7" w:rsidR="00EE6412" w:rsidRDefault="00EE6412">
      <w:pPr>
        <w:pStyle w:val="FootnoteText"/>
      </w:pPr>
      <w:r>
        <w:rPr>
          <w:rStyle w:val="FootnoteReference"/>
        </w:rPr>
        <w:footnoteRef/>
      </w:r>
      <w:r>
        <w:t xml:space="preserve"> Cheesman, TR. 305 lines 13:19.</w:t>
      </w:r>
    </w:p>
  </w:footnote>
  <w:footnote w:id="28">
    <w:p w14:paraId="5CC8294B" w14:textId="41B4A1B9" w:rsidR="00EE6412" w:rsidRDefault="00EE6412">
      <w:pPr>
        <w:pStyle w:val="FootnoteText"/>
      </w:pPr>
      <w:r>
        <w:rPr>
          <w:rStyle w:val="FootnoteReference"/>
        </w:rPr>
        <w:footnoteRef/>
      </w:r>
      <w:r>
        <w:t xml:space="preserve"> Cheesman, TR. 307:16-20. </w:t>
      </w:r>
    </w:p>
  </w:footnote>
  <w:footnote w:id="29">
    <w:p w14:paraId="1B984781" w14:textId="6BEA0A05" w:rsidR="00EE6412" w:rsidRDefault="00EE6412">
      <w:pPr>
        <w:pStyle w:val="FootnoteText"/>
      </w:pPr>
      <w:r>
        <w:rPr>
          <w:rStyle w:val="FootnoteReference"/>
        </w:rPr>
        <w:footnoteRef/>
      </w:r>
      <w:r>
        <w:t xml:space="preserve"> Demas, LD-1T, p. 6:15-17 (Aug. 20, 2014).</w:t>
      </w:r>
    </w:p>
  </w:footnote>
  <w:footnote w:id="30">
    <w:p w14:paraId="216658E5" w14:textId="501B9E0F" w:rsidR="00EE6412" w:rsidRPr="005A4FE9" w:rsidRDefault="00EE6412">
      <w:pPr>
        <w:pStyle w:val="FootnoteText"/>
      </w:pPr>
      <w:r>
        <w:rPr>
          <w:rStyle w:val="FootnoteReference"/>
        </w:rPr>
        <w:footnoteRef/>
      </w:r>
      <w:r>
        <w:t xml:space="preserve"> </w:t>
      </w:r>
      <w:r>
        <w:rPr>
          <w:i/>
        </w:rPr>
        <w:t>E.g.</w:t>
      </w:r>
      <w:r>
        <w:t xml:space="preserve">, Cheesman, MC-1T, p. 21:12-17 (July 18, 2014); Initial Brief on Behalf of Staff, pp. 18-19 ¶43; Cheesman, TR. 203-215.  </w:t>
      </w:r>
    </w:p>
  </w:footnote>
  <w:footnote w:id="31">
    <w:p w14:paraId="79A4D753" w14:textId="2BE03ABA" w:rsidR="00EE6412" w:rsidRPr="0031618E" w:rsidRDefault="00EE6412" w:rsidP="001422E5">
      <w:pPr>
        <w:pStyle w:val="FootnoteText"/>
      </w:pPr>
      <w:r>
        <w:rPr>
          <w:rStyle w:val="FootnoteReference"/>
          <w:rFonts w:eastAsiaTheme="minorHAnsi"/>
        </w:rPr>
        <w:footnoteRef/>
      </w:r>
      <w:r>
        <w:t xml:space="preserve"> Dr. Lurito’s testimony took place in approximately 1990 and focused on </w:t>
      </w:r>
      <w:r w:rsidRPr="006C6AE4">
        <w:t>the continued use of the Lurito-Gallagher regression in solid waste ratemaking and an additional 75 bas</w:t>
      </w:r>
      <w:r>
        <w:t xml:space="preserve">is points to be added to the ROE.  </w:t>
      </w:r>
      <w:r w:rsidRPr="006C6AE4">
        <w:t xml:space="preserve">  </w:t>
      </w:r>
      <w:r w:rsidRPr="006C6AE4">
        <w:rPr>
          <w:i/>
        </w:rPr>
        <w:t>WUTC v. Sno-King Garbage Co.</w:t>
      </w:r>
      <w:r w:rsidRPr="008D79A6">
        <w:t xml:space="preserve">, </w:t>
      </w:r>
      <w:r w:rsidRPr="006C6AE4">
        <w:t>Dockets TG-900657/TG-900658 (consolidated), Fourth Supplemental Or</w:t>
      </w:r>
      <w:r>
        <w:t xml:space="preserve">der (Final) (December 10, 1991). </w:t>
      </w:r>
      <w:r w:rsidRPr="006C6AE4">
        <w:t xml:space="preserve"> </w:t>
      </w:r>
      <w:r>
        <w:rPr>
          <w:i/>
        </w:rPr>
        <w:t>See also</w:t>
      </w:r>
      <w:r>
        <w:t xml:space="preserve"> Demas, LD-1T, p. 6:16-18 (Aug. 20, 2014) </w:t>
      </w:r>
      <w:r>
        <w:rPr>
          <w:i/>
        </w:rPr>
        <w:t xml:space="preserve">and </w:t>
      </w:r>
      <w:r>
        <w:t xml:space="preserve">Initial Brief on Behalf of Staff, p. 19 ¶44. </w:t>
      </w:r>
    </w:p>
  </w:footnote>
  <w:footnote w:id="32">
    <w:p w14:paraId="37789DED" w14:textId="088EA241" w:rsidR="00EE6412" w:rsidRDefault="00EE6412">
      <w:pPr>
        <w:pStyle w:val="FootnoteText"/>
      </w:pPr>
      <w:r>
        <w:rPr>
          <w:rStyle w:val="FootnoteReference"/>
        </w:rPr>
        <w:footnoteRef/>
      </w:r>
      <w:r>
        <w:t xml:space="preserve"> Cheesman, MC-1T, p. 22:16-18 (July 18, 2014) (“the cost of equity has a temporal component . . .”); Initial Brief on Behalf of Staff, p. 18 ¶43; Cheesman, TR. 306:13-22. </w:t>
      </w:r>
    </w:p>
  </w:footnote>
  <w:footnote w:id="33">
    <w:p w14:paraId="3EB98EA4" w14:textId="0A7F23E4" w:rsidR="00EE6412" w:rsidRDefault="00EE6412" w:rsidP="00854528">
      <w:pPr>
        <w:pStyle w:val="FootnoteText"/>
        <w:ind w:right="-432"/>
      </w:pPr>
      <w:r>
        <w:rPr>
          <w:rStyle w:val="FootnoteReference"/>
        </w:rPr>
        <w:footnoteRef/>
      </w:r>
      <w:r>
        <w:t xml:space="preserve"> </w:t>
      </w:r>
      <w:r w:rsidRPr="006C6AE4">
        <w:rPr>
          <w:i/>
        </w:rPr>
        <w:t>WUTC v. Bremerton-Kitsap Airporter, Inc.</w:t>
      </w:r>
      <w:r w:rsidRPr="006C6AE4">
        <w:t>, Docket TC-001846, Fif</w:t>
      </w:r>
      <w:r>
        <w:t>th Supplemental Order (Final) (Aug. 2, 2002).</w:t>
      </w:r>
    </w:p>
  </w:footnote>
  <w:footnote w:id="34">
    <w:p w14:paraId="08396404" w14:textId="1E5D115B" w:rsidR="00EE6412" w:rsidRDefault="00EE6412">
      <w:pPr>
        <w:pStyle w:val="FootnoteText"/>
      </w:pPr>
      <w:r>
        <w:rPr>
          <w:rStyle w:val="FootnoteReference"/>
        </w:rPr>
        <w:footnoteRef/>
      </w:r>
      <w:r>
        <w:t xml:space="preserve"> </w:t>
      </w:r>
      <w:r w:rsidRPr="007E3BEA">
        <w:rPr>
          <w:i/>
        </w:rPr>
        <w:t>E.g.</w:t>
      </w:r>
      <w:r>
        <w:t xml:space="preserve">, </w:t>
      </w:r>
      <w:r w:rsidRPr="00052128">
        <w:rPr>
          <w:smallCaps/>
        </w:rPr>
        <w:t>Charles F. Phillips Jr., The Regulation of Public Utilities</w:t>
      </w:r>
      <w:r>
        <w:t xml:space="preserve">, p. 380 (1993); </w:t>
      </w:r>
      <w:r w:rsidRPr="00052128">
        <w:rPr>
          <w:i/>
        </w:rPr>
        <w:t>WUTC v. Pacific Power &amp; Light Co.</w:t>
      </w:r>
      <w:r w:rsidRPr="00052128">
        <w:t>, Docket UE-130043, Order 05 (Final Order), p. 8 ¶24 (Dec. 4, 2014).</w:t>
      </w:r>
      <w:r>
        <w:t xml:space="preserve">  For long-term analyses of the fluctuating costs of capital throughout human history, </w:t>
      </w:r>
      <w:r>
        <w:rPr>
          <w:i/>
        </w:rPr>
        <w:t>see generally</w:t>
      </w:r>
      <w:r>
        <w:t xml:space="preserve"> </w:t>
      </w:r>
      <w:r w:rsidRPr="001C40F2">
        <w:rPr>
          <w:smallCaps/>
        </w:rPr>
        <w:t>William J. Bernstein, Birth of Plenty: How the Prosperity of the Modern World was Created</w:t>
      </w:r>
      <w:r>
        <w:t xml:space="preserve"> (2004) </w:t>
      </w:r>
      <w:r>
        <w:rPr>
          <w:i/>
        </w:rPr>
        <w:t xml:space="preserve">and </w:t>
      </w:r>
      <w:r w:rsidRPr="001C40F2">
        <w:rPr>
          <w:smallCaps/>
        </w:rPr>
        <w:t>William J. Bernstein, A Splendid Exchange: How Trade Shaped the World</w:t>
      </w:r>
      <w:r>
        <w:t xml:space="preserve"> (2009).  </w:t>
      </w:r>
    </w:p>
  </w:footnote>
  <w:footnote w:id="35">
    <w:p w14:paraId="1FCAE7C0" w14:textId="3C9D6D6D" w:rsidR="00EE6412" w:rsidRDefault="00EE6412">
      <w:pPr>
        <w:pStyle w:val="FootnoteText"/>
      </w:pPr>
      <w:r>
        <w:rPr>
          <w:rStyle w:val="FootnoteReference"/>
        </w:rPr>
        <w:footnoteRef/>
      </w:r>
      <w:r>
        <w:t xml:space="preserve"> </w:t>
      </w:r>
      <w:r>
        <w:rPr>
          <w:i/>
        </w:rPr>
        <w:t xml:space="preserve">See </w:t>
      </w:r>
      <w:r w:rsidRPr="00052128">
        <w:rPr>
          <w:smallCaps/>
        </w:rPr>
        <w:t>Leonard Saul Goodman, The Process of Ratemaking, Volume I</w:t>
      </w:r>
      <w:r>
        <w:t>, pp. 606 (1988) (describing “Cost of Equity. General Principles”)</w:t>
      </w:r>
    </w:p>
  </w:footnote>
  <w:footnote w:id="36">
    <w:p w14:paraId="6CBFAE20" w14:textId="1FAA43D3" w:rsidR="00EE6412" w:rsidRPr="007E3BEA" w:rsidRDefault="00EE6412">
      <w:pPr>
        <w:pStyle w:val="FootnoteText"/>
      </w:pPr>
      <w:r>
        <w:rPr>
          <w:rStyle w:val="FootnoteReference"/>
        </w:rPr>
        <w:footnoteRef/>
      </w:r>
      <w:r>
        <w:t xml:space="preserve"> </w:t>
      </w:r>
      <w:r>
        <w:rPr>
          <w:i/>
        </w:rPr>
        <w:t xml:space="preserve">Supra </w:t>
      </w:r>
      <w:r>
        <w:t xml:space="preserve">note 17 (citing </w:t>
      </w:r>
      <w:r w:rsidRPr="008C59BE">
        <w:t>Demas, TR. 49:17-20</w:t>
      </w:r>
      <w:r>
        <w:t xml:space="preserve"> for the proposition that the Company did not put forward any supported allocation methodology). </w:t>
      </w:r>
    </w:p>
  </w:footnote>
  <w:footnote w:id="37">
    <w:p w14:paraId="22C2F963" w14:textId="6F1BB02E" w:rsidR="00EE6412" w:rsidRDefault="00EE6412" w:rsidP="00854528">
      <w:pPr>
        <w:pStyle w:val="FootnoteText"/>
        <w:ind w:right="-612"/>
      </w:pPr>
      <w:r>
        <w:rPr>
          <w:rStyle w:val="FootnoteReference"/>
        </w:rPr>
        <w:footnoteRef/>
      </w:r>
      <w:r>
        <w:t xml:space="preserve"> Cheesman, MC</w:t>
      </w:r>
      <w:r w:rsidR="00854528">
        <w:t>-1T, pp. 15-17 generally and 16:13-</w:t>
      </w:r>
      <w:r>
        <w:t xml:space="preserve">17:6 specifically (July 18, 2014); Cheesman in Support of Partial Settlement Agreement, Section V.C., p. 21, lines 10 through 22 (Oct. </w:t>
      </w:r>
      <w:r w:rsidR="00854528">
        <w:t>13, 2014); Cheesman, TR. 299:20–</w:t>
      </w:r>
      <w:r>
        <w:t>303:2.</w:t>
      </w:r>
    </w:p>
  </w:footnote>
  <w:footnote w:id="38">
    <w:p w14:paraId="4AFB8F5B" w14:textId="5729D5DE" w:rsidR="00EE6412" w:rsidRDefault="00EE6412">
      <w:pPr>
        <w:pStyle w:val="FootnoteText"/>
      </w:pPr>
      <w:r>
        <w:rPr>
          <w:rStyle w:val="FootnoteReference"/>
        </w:rPr>
        <w:footnoteRef/>
      </w:r>
      <w:r>
        <w:t xml:space="preserve"> Cheesman, MC-1T, p. 20:11-18 (July 18, 2014) (“The very nature of cost plus a return has a declining cost recovery when assets are fully depreciated and no new improvements are placed into service.  If this was not the case, ratepayers would have to pay for a fully depreciated asset forever.”)</w:t>
      </w:r>
    </w:p>
  </w:footnote>
  <w:footnote w:id="39">
    <w:p w14:paraId="561CFEC0" w14:textId="25ACDF34" w:rsidR="00EE6412" w:rsidRPr="007A2F77" w:rsidRDefault="00EE6412">
      <w:pPr>
        <w:pStyle w:val="FootnoteText"/>
        <w:rPr>
          <w:i/>
        </w:rPr>
      </w:pPr>
      <w:r>
        <w:rPr>
          <w:rStyle w:val="FootnoteReference"/>
        </w:rPr>
        <w:footnoteRef/>
      </w:r>
      <w:r>
        <w:t xml:space="preserve"> </w:t>
      </w:r>
      <w:r>
        <w:rPr>
          <w:i/>
        </w:rPr>
        <w:t>Id.</w:t>
      </w:r>
    </w:p>
  </w:footnote>
  <w:footnote w:id="40">
    <w:p w14:paraId="32CE9D54" w14:textId="4E8671F3" w:rsidR="00637DF0" w:rsidRDefault="00637DF0" w:rsidP="00854528">
      <w:pPr>
        <w:pStyle w:val="FootnoteText"/>
        <w:ind w:right="-252"/>
      </w:pPr>
      <w:r>
        <w:rPr>
          <w:rStyle w:val="FootnoteReference"/>
        </w:rPr>
        <w:footnoteRef/>
      </w:r>
      <w:r>
        <w:t xml:space="preserve"> </w:t>
      </w:r>
      <w:r w:rsidRPr="006C6AE4">
        <w:rPr>
          <w:i/>
        </w:rPr>
        <w:t>WUTC v. Bremerton-Kitsap Airporter, Inc.</w:t>
      </w:r>
      <w:r w:rsidRPr="006C6AE4">
        <w:t>, Docket TC-001846, Fif</w:t>
      </w:r>
      <w:r>
        <w:t>th Supplemental Order (Final) Appendix C (Aug. 2, 2002).</w:t>
      </w:r>
    </w:p>
  </w:footnote>
  <w:footnote w:id="41">
    <w:p w14:paraId="0C4AF14E" w14:textId="287DF621" w:rsidR="00EE6412" w:rsidRDefault="00EE6412">
      <w:pPr>
        <w:pStyle w:val="FootnoteText"/>
      </w:pPr>
      <w:r>
        <w:rPr>
          <w:rStyle w:val="FootnoteReference"/>
        </w:rPr>
        <w:footnoteRef/>
      </w:r>
      <w:r>
        <w:t xml:space="preserve"> Cheesman, MC-1T, pp. 18-22 (July 18, 2014); Initial Brief on Behalf of Staff pp. 11-21; Cheesman, MC-13T pp.</w:t>
      </w:r>
      <w:r w:rsidR="00854528">
        <w:t xml:space="preserve"> </w:t>
      </w:r>
      <w:r>
        <w:t xml:space="preserve">4-6 and p. 14 (February 2, 2015); Cheesman, TR. 303:3 – 308:4; Reply Brief on Behalf of Staff p. 6 ¶12 through p. 11 ¶23 (Mar. 27, 2015). </w:t>
      </w:r>
    </w:p>
  </w:footnote>
  <w:footnote w:id="42">
    <w:p w14:paraId="0082E638" w14:textId="0B6DAB89" w:rsidR="00EE6412" w:rsidRDefault="00EE6412">
      <w:pPr>
        <w:pStyle w:val="FootnoteText"/>
      </w:pPr>
      <w:r>
        <w:rPr>
          <w:rStyle w:val="FootnoteReference"/>
        </w:rPr>
        <w:footnoteRef/>
      </w:r>
      <w:r>
        <w:t xml:space="preserve"> This section gives an ov</w:t>
      </w:r>
      <w:r w:rsidR="00F22F8C">
        <w:t>erview of the basic premises supporting</w:t>
      </w:r>
      <w:r>
        <w:t xml:space="preserve"> Staff’s positions </w:t>
      </w:r>
      <w:r w:rsidR="00F22F8C">
        <w:t xml:space="preserve">on each of the four inputs in the affiliate lease calculation (Capital structure, return on equity, cost of debt, and allocation of depreciation and average net investment) </w:t>
      </w:r>
      <w:r>
        <w:t>and the Initial Order’s findings related to affiliate land rents. Portions of this section do admittedly, and unavoidab</w:t>
      </w:r>
      <w:r w:rsidR="00F22F8C">
        <w:t>ly, repeat the previous section responding to WCI’s arguments.</w:t>
      </w:r>
    </w:p>
  </w:footnote>
  <w:footnote w:id="43">
    <w:p w14:paraId="13B738AD" w14:textId="2BFEEDA5" w:rsidR="00EE6412" w:rsidRDefault="00EE6412">
      <w:pPr>
        <w:pStyle w:val="FootnoteText"/>
      </w:pPr>
      <w:r>
        <w:rPr>
          <w:rStyle w:val="FootnoteReference"/>
        </w:rPr>
        <w:footnoteRef/>
      </w:r>
      <w:r>
        <w:t xml:space="preserve"> Cheesman, TR. 303 line 4 through 304 line 8.</w:t>
      </w:r>
    </w:p>
  </w:footnote>
  <w:footnote w:id="44">
    <w:p w14:paraId="21E779FD" w14:textId="082D98E0" w:rsidR="00EE6412" w:rsidRDefault="00EE6412" w:rsidP="008700C7">
      <w:pPr>
        <w:pStyle w:val="FootnoteText"/>
      </w:pPr>
      <w:r>
        <w:rPr>
          <w:rStyle w:val="FootnoteReference"/>
          <w:rFonts w:eastAsiaTheme="minorHAnsi"/>
        </w:rPr>
        <w:footnoteRef/>
      </w:r>
      <w:r>
        <w:t xml:space="preserve"> Cheesman, MC-1T, p. 18 lines 17:21 and p. 20 lines 1:3 (July 18, 2014)</w:t>
      </w:r>
    </w:p>
  </w:footnote>
  <w:footnote w:id="45">
    <w:p w14:paraId="372ABF0E" w14:textId="4216855D" w:rsidR="00EE6412" w:rsidRDefault="00EE6412">
      <w:pPr>
        <w:pStyle w:val="FootnoteText"/>
      </w:pPr>
      <w:r>
        <w:rPr>
          <w:rStyle w:val="FootnoteReference"/>
        </w:rPr>
        <w:footnoteRef/>
      </w:r>
      <w:r>
        <w:t xml:space="preserve"> Cheesman, TR. 303:7 – 304:8. </w:t>
      </w:r>
    </w:p>
  </w:footnote>
  <w:footnote w:id="46">
    <w:p w14:paraId="71A70FCC" w14:textId="6B1545A8" w:rsidR="00EE6412" w:rsidRDefault="00EE6412" w:rsidP="006D6288">
      <w:pPr>
        <w:pStyle w:val="FootnoteText"/>
      </w:pPr>
      <w:r>
        <w:rPr>
          <w:rStyle w:val="FootnoteReference"/>
          <w:rFonts w:eastAsiaTheme="minorHAnsi"/>
        </w:rPr>
        <w:footnoteRef/>
      </w:r>
      <w:r>
        <w:t xml:space="preserve"> </w:t>
      </w:r>
      <w:r>
        <w:rPr>
          <w:i/>
        </w:rPr>
        <w:t xml:space="preserve">See </w:t>
      </w:r>
      <w:r>
        <w:t xml:space="preserve">Cheesman, Exhibit MC-3, July 18, 2014, at pp. 3-4.  </w:t>
      </w:r>
      <w:r>
        <w:rPr>
          <w:i/>
        </w:rPr>
        <w:t xml:space="preserve">See also </w:t>
      </w:r>
      <w:r>
        <w:t>Demas, LD-1T, p. 4 lines 23:25 (describing landlords HBI and HBII as “entities that carry a large amount of debt for projects and investments that have no bearing on the actual properties being leased to WCI.”)</w:t>
      </w:r>
    </w:p>
  </w:footnote>
  <w:footnote w:id="47">
    <w:p w14:paraId="3115F4C1" w14:textId="67676706" w:rsidR="00EE6412" w:rsidRDefault="00EE6412" w:rsidP="006D6288">
      <w:pPr>
        <w:pStyle w:val="FootnoteText"/>
      </w:pPr>
      <w:r>
        <w:rPr>
          <w:rStyle w:val="FootnoteReference"/>
          <w:rFonts w:eastAsiaTheme="minorHAnsi"/>
        </w:rPr>
        <w:footnoteRef/>
      </w:r>
      <w:r>
        <w:t xml:space="preserve"> Willis, Exhibit JW-7 (letter from WCI counsel explaining that lendors hold claims against WCI’s assets, including its cash flows); Willis, TR. 82:18 through 83:1.</w:t>
      </w:r>
    </w:p>
  </w:footnote>
  <w:footnote w:id="48">
    <w:p w14:paraId="67D7A97D" w14:textId="71D43AA2" w:rsidR="00EE6412" w:rsidRDefault="00EE6412">
      <w:pPr>
        <w:pStyle w:val="FootnoteText"/>
      </w:pPr>
      <w:r>
        <w:rPr>
          <w:rStyle w:val="FootnoteReference"/>
        </w:rPr>
        <w:footnoteRef/>
      </w:r>
      <w:r>
        <w:t xml:space="preserve"> Cheesman, MC-1T, p. 22:7:11 (July 18, 2014); Cheesman, MC-13T, p. 5:13-16 (Feb. 2, 2015).</w:t>
      </w:r>
    </w:p>
  </w:footnote>
  <w:footnote w:id="49">
    <w:p w14:paraId="0A0B1FEB" w14:textId="77777777" w:rsidR="00EE6412" w:rsidRDefault="00EE6412" w:rsidP="00983C10">
      <w:pPr>
        <w:pStyle w:val="FootnoteText"/>
      </w:pPr>
      <w:r>
        <w:rPr>
          <w:rStyle w:val="FootnoteReference"/>
          <w:rFonts w:eastAsiaTheme="minorHAnsi"/>
        </w:rPr>
        <w:footnoteRef/>
      </w:r>
      <w:r>
        <w:t xml:space="preserve"> Cheesman, TR. 305 lines 13:19.</w:t>
      </w:r>
    </w:p>
  </w:footnote>
  <w:footnote w:id="50">
    <w:p w14:paraId="63E2B724" w14:textId="77777777" w:rsidR="00EE6412" w:rsidRDefault="00EE6412" w:rsidP="00983C10">
      <w:pPr>
        <w:pStyle w:val="FootnoteText"/>
      </w:pPr>
      <w:r>
        <w:rPr>
          <w:rStyle w:val="FootnoteReference"/>
          <w:rFonts w:eastAsiaTheme="minorHAnsi"/>
        </w:rPr>
        <w:footnoteRef/>
      </w:r>
      <w:r>
        <w:t xml:space="preserve"> Willis, Exhibit JW-7 (letter from WCI counsel explaining that lendors hold claims against all assets of HBI and HBII as well as the assets of all other affiliates); </w:t>
      </w:r>
      <w:r>
        <w:rPr>
          <w:i/>
        </w:rPr>
        <w:t xml:space="preserve">see also </w:t>
      </w:r>
      <w:r>
        <w:t xml:space="preserve">Cheesman, Exhibit MC-3.  </w:t>
      </w:r>
    </w:p>
  </w:footnote>
  <w:footnote w:id="51">
    <w:p w14:paraId="485E5CDA" w14:textId="77777777" w:rsidR="00EE6412" w:rsidRDefault="00EE6412" w:rsidP="00983C10">
      <w:pPr>
        <w:pStyle w:val="FootnoteText"/>
      </w:pPr>
      <w:r>
        <w:rPr>
          <w:rStyle w:val="FootnoteReference"/>
          <w:rFonts w:eastAsiaTheme="minorHAnsi"/>
        </w:rPr>
        <w:footnoteRef/>
      </w:r>
      <w:r>
        <w:t xml:space="preserve"> Cheesman, TR. 305 lines 13:19.</w:t>
      </w:r>
    </w:p>
  </w:footnote>
  <w:footnote w:id="52">
    <w:p w14:paraId="3870F088" w14:textId="2D9DF91B" w:rsidR="00EE6412" w:rsidRDefault="00EE6412">
      <w:pPr>
        <w:pStyle w:val="FootnoteText"/>
      </w:pPr>
      <w:r>
        <w:rPr>
          <w:rStyle w:val="FootnoteReference"/>
        </w:rPr>
        <w:footnoteRef/>
      </w:r>
      <w:r>
        <w:t xml:space="preserve"> It is also well within the Commission’s statutory authority because it is an affiliate transaction. </w:t>
      </w:r>
      <w:r w:rsidR="00854528">
        <w:t xml:space="preserve"> RCW </w:t>
      </w:r>
      <w:r>
        <w:t>81.16.030.</w:t>
      </w:r>
    </w:p>
  </w:footnote>
  <w:footnote w:id="53">
    <w:p w14:paraId="3A72DC72" w14:textId="31688E5C" w:rsidR="00EE6412" w:rsidRPr="006C6AE4" w:rsidRDefault="00EE6412" w:rsidP="002B565F">
      <w:pPr>
        <w:pStyle w:val="FootnoteText"/>
      </w:pPr>
      <w:r w:rsidRPr="006C6AE4">
        <w:rPr>
          <w:rStyle w:val="FootnoteReference"/>
        </w:rPr>
        <w:footnoteRef/>
      </w:r>
      <w:r w:rsidRPr="006C6AE4">
        <w:t xml:space="preserve"> </w:t>
      </w:r>
      <w:r>
        <w:t>Demas, LD-1T</w:t>
      </w:r>
      <w:r w:rsidRPr="006C6AE4">
        <w:t>, p. 6</w:t>
      </w:r>
      <w:r>
        <w:t>:15-16 (August 20, 2014); Initial Brief on Behalf of Staff, p. 19 ¶44 (Nov. 7, 2014).</w:t>
      </w:r>
    </w:p>
  </w:footnote>
  <w:footnote w:id="54">
    <w:p w14:paraId="0B2415A0" w14:textId="664A78C0" w:rsidR="00EE6412" w:rsidRDefault="00EE6412">
      <w:pPr>
        <w:pStyle w:val="FootnoteText"/>
      </w:pPr>
      <w:r>
        <w:rPr>
          <w:rStyle w:val="FootnoteReference"/>
        </w:rPr>
        <w:footnoteRef/>
      </w:r>
      <w:r>
        <w:t xml:space="preserve"> Cheesman, MC-1T, p. 22:16-18 (July 18, 2014). </w:t>
      </w:r>
    </w:p>
  </w:footnote>
  <w:footnote w:id="55">
    <w:p w14:paraId="1DB7A516" w14:textId="49396A53" w:rsidR="00EE6412" w:rsidRDefault="00EE6412">
      <w:pPr>
        <w:pStyle w:val="FootnoteText"/>
      </w:pPr>
      <w:r>
        <w:rPr>
          <w:rStyle w:val="FootnoteReference"/>
        </w:rPr>
        <w:footnoteRef/>
      </w:r>
      <w:r>
        <w:t xml:space="preserve"> Cheesman, MC-1T, p. 21:12-17 (July 18, 2014); Cheesman, TR. 307:1-10.</w:t>
      </w:r>
    </w:p>
  </w:footnote>
  <w:footnote w:id="56">
    <w:p w14:paraId="5A2E14EE" w14:textId="04D22201" w:rsidR="00EE6412" w:rsidRPr="002B565F" w:rsidRDefault="00EE6412">
      <w:pPr>
        <w:pStyle w:val="FootnoteText"/>
      </w:pPr>
      <w:r>
        <w:rPr>
          <w:rStyle w:val="FootnoteReference"/>
        </w:rPr>
        <w:footnoteRef/>
      </w:r>
      <w:r>
        <w:t xml:space="preserve"> Cheesman, MC-1T, p. 21 at footnote 21 (July 18, 2014). </w:t>
      </w:r>
    </w:p>
  </w:footnote>
  <w:footnote w:id="57">
    <w:p w14:paraId="4011B769" w14:textId="0E3BB4EC" w:rsidR="00EE6412" w:rsidRDefault="00EE6412">
      <w:pPr>
        <w:pStyle w:val="FootnoteText"/>
      </w:pPr>
      <w:r>
        <w:rPr>
          <w:rStyle w:val="FootnoteReference"/>
        </w:rPr>
        <w:footnoteRef/>
      </w:r>
      <w:r>
        <w:t xml:space="preserve"> Cheesman, TR. 307:11-15.</w:t>
      </w:r>
    </w:p>
  </w:footnote>
  <w:footnote w:id="58">
    <w:p w14:paraId="034A9236" w14:textId="6BC0532D" w:rsidR="00EE6412" w:rsidRPr="006C6AE4" w:rsidRDefault="00EE6412" w:rsidP="00261E18">
      <w:pPr>
        <w:pStyle w:val="FootnoteText"/>
      </w:pPr>
      <w:r w:rsidRPr="006C6AE4">
        <w:rPr>
          <w:rStyle w:val="FootnoteReference"/>
        </w:rPr>
        <w:footnoteRef/>
      </w:r>
      <w:r w:rsidRPr="006C6AE4">
        <w:t xml:space="preserve"> </w:t>
      </w:r>
      <w:r>
        <w:t>Davis, JD-41T</w:t>
      </w:r>
      <w:r w:rsidRPr="006C6AE4">
        <w:t xml:space="preserve">, p. 21 (August 20, 2014). </w:t>
      </w:r>
    </w:p>
  </w:footnote>
  <w:footnote w:id="59">
    <w:p w14:paraId="5904F953" w14:textId="58C985FC" w:rsidR="00EE6412" w:rsidRDefault="00EE6412">
      <w:pPr>
        <w:pStyle w:val="FootnoteText"/>
      </w:pPr>
      <w:r>
        <w:rPr>
          <w:rStyle w:val="FootnoteReference"/>
        </w:rPr>
        <w:footnoteRef/>
      </w:r>
      <w:r>
        <w:t xml:space="preserve"> Cheesman, MC-1T, p. 21:5-9 (July 18, 2014).  Staff also agreed to amortize the loan origination fees over the life of the loan and add those to the cost of debt figures.  Cheesman, MC-13T, p. 5:7-8 and footnote 7 (Feb. 2, 2015). </w:t>
      </w:r>
    </w:p>
  </w:footnote>
  <w:footnote w:id="60">
    <w:p w14:paraId="3757A3AD" w14:textId="1AA99E79" w:rsidR="00EE6412" w:rsidRDefault="00EE6412" w:rsidP="00261E18">
      <w:pPr>
        <w:pStyle w:val="FootnoteText"/>
      </w:pPr>
      <w:r>
        <w:rPr>
          <w:rStyle w:val="FootnoteReference"/>
          <w:rFonts w:eastAsiaTheme="minorHAnsi"/>
        </w:rPr>
        <w:footnoteRef/>
      </w:r>
      <w:r>
        <w:t xml:space="preserve"> </w:t>
      </w:r>
      <w:r>
        <w:rPr>
          <w:i/>
        </w:rPr>
        <w:t xml:space="preserve">See </w:t>
      </w:r>
      <w:r>
        <w:t>Cheesman, MC-1T, p. 22:12-14 (July 18, 2014); Cheesman, MC-13T, p. 5:13-16 (Feb. 2, 2015); Initial Brief on Behalf of Staff, pp. 17-18 ¶41 (Nov. 7, 2014).</w:t>
      </w:r>
    </w:p>
  </w:footnote>
  <w:footnote w:id="61">
    <w:p w14:paraId="72083FD0" w14:textId="558E34AC" w:rsidR="00EE6412" w:rsidRDefault="00EE6412" w:rsidP="00C24BFD">
      <w:pPr>
        <w:pStyle w:val="FootnoteText"/>
      </w:pPr>
      <w:r>
        <w:rPr>
          <w:rStyle w:val="FootnoteReference"/>
          <w:rFonts w:eastAsiaTheme="minorHAnsi"/>
        </w:rPr>
        <w:footnoteRef/>
      </w:r>
      <w:r>
        <w:t xml:space="preserve"> Cheesman, MC-1T, p. 20:6-9 (July 18, 2014); Cheesman, MC-13T, p. 5:9-10 (Feb. 2, 2015) (recommending use of the updated three factor allocator).</w:t>
      </w:r>
    </w:p>
  </w:footnote>
  <w:footnote w:id="62">
    <w:p w14:paraId="4184F464" w14:textId="394E2DF8" w:rsidR="00EE6412" w:rsidRPr="0061240C" w:rsidRDefault="00EE6412" w:rsidP="00C24BFD">
      <w:pPr>
        <w:pStyle w:val="FootnoteText"/>
      </w:pPr>
      <w:r>
        <w:rPr>
          <w:rStyle w:val="FootnoteReference"/>
          <w:rFonts w:eastAsiaTheme="minorHAnsi"/>
        </w:rPr>
        <w:footnoteRef/>
      </w:r>
      <w:r>
        <w:t xml:space="preserve"> </w:t>
      </w:r>
      <w:r>
        <w:rPr>
          <w:i/>
        </w:rPr>
        <w:t xml:space="preserve">See </w:t>
      </w:r>
      <w:r>
        <w:t xml:space="preserve">Initial Brief on Behalf of Staff, pp. 2-3 ¶¶4,5, p. 5 ¶10, and pp. 6-8 ¶¶12:16; Cheesman, MC-1T, pp. 16:13 - 17:6 (citing to Exhibit MC-7); Cheesman, TR. 300 lines 7:16. </w:t>
      </w:r>
    </w:p>
  </w:footnote>
  <w:footnote w:id="63">
    <w:p w14:paraId="24A07479" w14:textId="0820904E" w:rsidR="00EE6412" w:rsidRDefault="00EE6412" w:rsidP="00C24BFD">
      <w:pPr>
        <w:pStyle w:val="FootnoteText"/>
      </w:pPr>
      <w:r>
        <w:rPr>
          <w:rStyle w:val="FootnoteReference"/>
          <w:rFonts w:eastAsiaTheme="minorHAnsi"/>
        </w:rPr>
        <w:footnoteRef/>
      </w:r>
      <w:r>
        <w:t xml:space="preserve"> </w:t>
      </w:r>
      <w:r>
        <w:rPr>
          <w:i/>
        </w:rPr>
        <w:t xml:space="preserve">See </w:t>
      </w:r>
      <w:r>
        <w:t xml:space="preserve">Cheesman, TR. 299:20 – 302:19. </w:t>
      </w:r>
    </w:p>
  </w:footnote>
  <w:footnote w:id="64">
    <w:p w14:paraId="3AA11F1F" w14:textId="1C5E330F" w:rsidR="00EE6412" w:rsidRPr="00995500" w:rsidRDefault="00EE6412" w:rsidP="00C24BFD">
      <w:pPr>
        <w:pStyle w:val="FootnoteText"/>
        <w:rPr>
          <w:i/>
        </w:rPr>
      </w:pPr>
      <w:r>
        <w:rPr>
          <w:rStyle w:val="FootnoteReference"/>
          <w:rFonts w:eastAsiaTheme="minorHAnsi"/>
        </w:rPr>
        <w:footnoteRef/>
      </w:r>
      <w:r>
        <w:t xml:space="preserve"> Cheesman, TR. 299:20 – 300:3.</w:t>
      </w:r>
    </w:p>
  </w:footnote>
  <w:footnote w:id="65">
    <w:p w14:paraId="6052B994" w14:textId="39C39641" w:rsidR="00EE6412" w:rsidRPr="00CD2A94" w:rsidRDefault="00EE6412">
      <w:pPr>
        <w:pStyle w:val="FootnoteText"/>
      </w:pPr>
      <w:r>
        <w:rPr>
          <w:rStyle w:val="FootnoteReference"/>
        </w:rPr>
        <w:footnoteRef/>
      </w:r>
      <w:r>
        <w:t xml:space="preserve"> </w:t>
      </w:r>
      <w:r>
        <w:rPr>
          <w:i/>
        </w:rPr>
        <w:t>See generally, e.g.</w:t>
      </w:r>
      <w:r>
        <w:t>,</w:t>
      </w:r>
      <w:r>
        <w:rPr>
          <w:i/>
        </w:rPr>
        <w:t xml:space="preserve"> </w:t>
      </w:r>
      <w:r>
        <w:t xml:space="preserve">Cheesman, MC-1T (July 18, 2014) (where each recommendation includes a response to the question “What is the regulatory basis for your recommendation?”). </w:t>
      </w:r>
    </w:p>
  </w:footnote>
  <w:footnote w:id="66">
    <w:p w14:paraId="2992F81B" w14:textId="44353AB2" w:rsidR="00EE6412" w:rsidRDefault="00EE6412">
      <w:pPr>
        <w:pStyle w:val="FootnoteText"/>
      </w:pPr>
      <w:r>
        <w:rPr>
          <w:rStyle w:val="FootnoteReference"/>
        </w:rPr>
        <w:footnoteRef/>
      </w:r>
      <w:r>
        <w:t xml:space="preserve"> RCW 81.16.030. </w:t>
      </w:r>
    </w:p>
  </w:footnote>
  <w:footnote w:id="67">
    <w:p w14:paraId="1F6E380C" w14:textId="0947810E" w:rsidR="00EE6412" w:rsidRDefault="00EE6412">
      <w:pPr>
        <w:pStyle w:val="FootnoteText"/>
      </w:pPr>
      <w:r>
        <w:rPr>
          <w:rStyle w:val="FootnoteReference"/>
        </w:rPr>
        <w:footnoteRef/>
      </w:r>
      <w:r>
        <w:t xml:space="preserve"> Uniform System of Accounts for Class A and B Solid Waste Collection Companies (“USOA”), Prescribed by the Washington Utilities and Transportation Commission, p. 14 (Revised ed. Jan. 1992)</w:t>
      </w:r>
    </w:p>
  </w:footnote>
  <w:footnote w:id="68">
    <w:p w14:paraId="19324B90" w14:textId="77777777" w:rsidR="00EE6412" w:rsidRDefault="00EE6412" w:rsidP="001B0426">
      <w:pPr>
        <w:pStyle w:val="FootnoteText"/>
      </w:pPr>
      <w:r>
        <w:rPr>
          <w:rStyle w:val="FootnoteReference"/>
        </w:rPr>
        <w:footnoteRef/>
      </w:r>
      <w:r>
        <w:t xml:space="preserve"> Prior to filing its petition, the Company’s litigation position was recovery of 100% of all rate case costs. WCI’s Initial Brief, p. 8 ¶15 (Nov. 7, 2014).</w:t>
      </w:r>
    </w:p>
  </w:footnote>
  <w:footnote w:id="69">
    <w:p w14:paraId="5BC51C1B" w14:textId="40C9DBC6" w:rsidR="00EE6412" w:rsidRDefault="00EE6412" w:rsidP="001B0426">
      <w:pPr>
        <w:pStyle w:val="FootnoteText"/>
      </w:pPr>
      <w:r>
        <w:rPr>
          <w:rStyle w:val="FootnoteReference"/>
          <w:rFonts w:eastAsiaTheme="minorHAnsi"/>
        </w:rPr>
        <w:footnoteRef/>
      </w:r>
      <w:r>
        <w:t xml:space="preserve"> Cheesman, MC-1T, p. 47:1-5 (July 18, 2014); Cheesman, MC-13T, p. 12:13-15 (Feb. 2, 2015).</w:t>
      </w:r>
    </w:p>
  </w:footnote>
  <w:footnote w:id="70">
    <w:p w14:paraId="1AD3CD12" w14:textId="196F6B77" w:rsidR="00EE6412" w:rsidRDefault="00EE6412" w:rsidP="00354E00">
      <w:pPr>
        <w:pStyle w:val="FootnoteText"/>
      </w:pPr>
      <w:r>
        <w:rPr>
          <w:rStyle w:val="FootnoteReference"/>
          <w:rFonts w:eastAsiaTheme="minorHAnsi"/>
        </w:rPr>
        <w:footnoteRef/>
      </w:r>
      <w:r>
        <w:t xml:space="preserve"> Cheesman, MC-1T, pp. 25-26 ¶¶57-60 (July 18, 2014); Cheesman, MC-13T, pp. 13:7 – 14:8 (Feb. 2, 2015).</w:t>
      </w:r>
    </w:p>
  </w:footnote>
  <w:footnote w:id="71">
    <w:p w14:paraId="627AD932" w14:textId="6B687575" w:rsidR="00EE6412" w:rsidRDefault="00EE6412">
      <w:pPr>
        <w:pStyle w:val="FootnoteText"/>
      </w:pPr>
      <w:r>
        <w:rPr>
          <w:rStyle w:val="FootnoteReference"/>
        </w:rPr>
        <w:footnoteRef/>
      </w:r>
      <w:r>
        <w:rPr>
          <w:i/>
        </w:rPr>
        <w:t>See id.</w:t>
      </w:r>
    </w:p>
  </w:footnote>
  <w:footnote w:id="72">
    <w:p w14:paraId="4B08C788" w14:textId="73B352C9" w:rsidR="00EE6412" w:rsidRDefault="00EE6412" w:rsidP="000F4DE8">
      <w:pPr>
        <w:pStyle w:val="FootnoteText"/>
      </w:pPr>
      <w:r>
        <w:rPr>
          <w:rStyle w:val="FootnoteReference"/>
          <w:rFonts w:eastAsiaTheme="minorHAnsi"/>
        </w:rPr>
        <w:footnoteRef/>
      </w:r>
      <w:r>
        <w:t xml:space="preserve"> Cheesman, MC-1T, p. 47:1-5 (July 18, 2014); Cheesman, MC-13T, p. 12:13-15 (Feb. 2, 2015).</w:t>
      </w:r>
    </w:p>
  </w:footnote>
  <w:footnote w:id="73">
    <w:p w14:paraId="6B392E3E" w14:textId="456EA016" w:rsidR="00EE6412" w:rsidRDefault="00EE6412" w:rsidP="000F4DE8">
      <w:pPr>
        <w:pStyle w:val="FootnoteText"/>
      </w:pPr>
      <w:r>
        <w:rPr>
          <w:rStyle w:val="FootnoteReference"/>
          <w:rFonts w:eastAsiaTheme="minorHAnsi"/>
        </w:rPr>
        <w:footnoteRef/>
      </w:r>
      <w:r>
        <w:t xml:space="preserve"> Cheesman, MC-1T, p. 47 lines 1:5 (July 18, 2014); Cheesman, TR. 308 lines 9:18.</w:t>
      </w:r>
    </w:p>
  </w:footnote>
  <w:footnote w:id="74">
    <w:p w14:paraId="2A16489D" w14:textId="63DA6692" w:rsidR="00EE6412" w:rsidRPr="006C6AE4" w:rsidRDefault="00EE6412" w:rsidP="005F3F86">
      <w:pPr>
        <w:pStyle w:val="FootnoteText"/>
      </w:pPr>
      <w:r w:rsidRPr="006C6AE4">
        <w:rPr>
          <w:rStyle w:val="FootnoteReference"/>
        </w:rPr>
        <w:footnoteRef/>
      </w:r>
      <w:r w:rsidRPr="006C6AE4">
        <w:t xml:space="preserve"> </w:t>
      </w:r>
      <w:r>
        <w:t xml:space="preserve">Initial Brief on Behalf of Staff, p. 23 ¶54 (citing RCW 81.28.010 and </w:t>
      </w:r>
      <w:r w:rsidRPr="006C6AE4">
        <w:rPr>
          <w:i/>
        </w:rPr>
        <w:t>POWER v. Utilities &amp; Transp. Comm’n.</w:t>
      </w:r>
      <w:r w:rsidRPr="006C6AE4">
        <w:t xml:space="preserve">, </w:t>
      </w:r>
      <w:r>
        <w:t>711 P.2d 319, 326 (Wash. 1985)).</w:t>
      </w:r>
    </w:p>
  </w:footnote>
  <w:footnote w:id="75">
    <w:p w14:paraId="20F5C022" w14:textId="64984C26" w:rsidR="0046023B" w:rsidRDefault="0046023B">
      <w:pPr>
        <w:pStyle w:val="FootnoteText"/>
      </w:pPr>
      <w:r>
        <w:rPr>
          <w:rStyle w:val="FootnoteReference"/>
        </w:rPr>
        <w:footnoteRef/>
      </w:r>
      <w:r>
        <w:t xml:space="preserve"> Cheesman, MC-1T, pp. 54:18 – 56:12 (July 18, 2014). </w:t>
      </w:r>
    </w:p>
  </w:footnote>
  <w:footnote w:id="76">
    <w:p w14:paraId="564F9BC5" w14:textId="4516F9B0" w:rsidR="0046023B" w:rsidRPr="0046023B" w:rsidRDefault="0046023B">
      <w:pPr>
        <w:pStyle w:val="FootnoteText"/>
      </w:pPr>
      <w:r>
        <w:rPr>
          <w:rStyle w:val="FootnoteReference"/>
        </w:rPr>
        <w:footnoteRef/>
      </w:r>
      <w:r>
        <w:t xml:space="preserve"> </w:t>
      </w:r>
      <w:r>
        <w:rPr>
          <w:i/>
        </w:rPr>
        <w:t xml:space="preserve">See </w:t>
      </w:r>
      <w:r>
        <w:t>Partial Settlement Agreement (noting discussions between the parties and listing investigation fees as a remaining contested issue)</w:t>
      </w:r>
    </w:p>
  </w:footnote>
  <w:footnote w:id="77">
    <w:p w14:paraId="767DD172" w14:textId="70D12021" w:rsidR="0046023B" w:rsidRDefault="0046023B">
      <w:pPr>
        <w:pStyle w:val="FootnoteText"/>
      </w:pPr>
      <w:r>
        <w:rPr>
          <w:rStyle w:val="FootnoteReference"/>
        </w:rPr>
        <w:footnoteRef/>
      </w:r>
      <w:r>
        <w:t xml:space="preserve"> Cheesman, MC-13T, p. 7:5-19 (Feb. 2, 2015). </w:t>
      </w:r>
    </w:p>
  </w:footnote>
  <w:footnote w:id="78">
    <w:p w14:paraId="63D938CC" w14:textId="0088180F" w:rsidR="00813CC3" w:rsidRDefault="00813CC3">
      <w:pPr>
        <w:pStyle w:val="FootnoteText"/>
      </w:pPr>
      <w:r>
        <w:rPr>
          <w:rStyle w:val="FootnoteReference"/>
        </w:rPr>
        <w:footnoteRef/>
      </w:r>
      <w:r>
        <w:t xml:space="preserve"> The Company filed its Responsive Testimony on August 20, 2014, and then filed supplemental testimony with its initial briefing on November 7, 2014.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648"/>
    <w:multiLevelType w:val="hybridMultilevel"/>
    <w:tmpl w:val="4EFC8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D7AD2"/>
    <w:multiLevelType w:val="hybridMultilevel"/>
    <w:tmpl w:val="6B587914"/>
    <w:lvl w:ilvl="0" w:tplc="7B640E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D81767"/>
    <w:multiLevelType w:val="hybridMultilevel"/>
    <w:tmpl w:val="F8C8B16A"/>
    <w:lvl w:ilvl="0" w:tplc="CB1A20DE">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DB5165"/>
    <w:multiLevelType w:val="hybridMultilevel"/>
    <w:tmpl w:val="C71AD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A195B"/>
    <w:multiLevelType w:val="hybridMultilevel"/>
    <w:tmpl w:val="D78C9FF2"/>
    <w:lvl w:ilvl="0" w:tplc="04090001">
      <w:start w:val="1"/>
      <w:numFmt w:val="bullet"/>
      <w:lvlText w:val=""/>
      <w:lvlJc w:val="left"/>
      <w:pPr>
        <w:tabs>
          <w:tab w:val="num" w:pos="720"/>
        </w:tabs>
        <w:ind w:left="0" w:hanging="720"/>
      </w:pPr>
      <w:rPr>
        <w:rFonts w:ascii="Symbol" w:hAnsi="Symbol"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B9540B"/>
    <w:multiLevelType w:val="hybridMultilevel"/>
    <w:tmpl w:val="C102060C"/>
    <w:lvl w:ilvl="0" w:tplc="04090001">
      <w:start w:val="1"/>
      <w:numFmt w:val="bullet"/>
      <w:lvlText w:val=""/>
      <w:lvlJc w:val="left"/>
      <w:pPr>
        <w:tabs>
          <w:tab w:val="num" w:pos="720"/>
        </w:tabs>
        <w:ind w:left="0" w:hanging="720"/>
      </w:pPr>
      <w:rPr>
        <w:rFonts w:ascii="Symbol" w:hAnsi="Symbol"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9F2ACF"/>
    <w:multiLevelType w:val="hybridMultilevel"/>
    <w:tmpl w:val="30BE2E94"/>
    <w:lvl w:ilvl="0" w:tplc="E3362E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9266D9"/>
    <w:multiLevelType w:val="hybridMultilevel"/>
    <w:tmpl w:val="CA42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554E4"/>
    <w:multiLevelType w:val="hybridMultilevel"/>
    <w:tmpl w:val="22800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616704"/>
    <w:multiLevelType w:val="hybridMultilevel"/>
    <w:tmpl w:val="495CBDD4"/>
    <w:lvl w:ilvl="0" w:tplc="D7600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840767"/>
    <w:multiLevelType w:val="hybridMultilevel"/>
    <w:tmpl w:val="8812A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9"/>
  </w:num>
  <w:num w:numId="5">
    <w:abstractNumId w:val="11"/>
  </w:num>
  <w:num w:numId="6">
    <w:abstractNumId w:val="8"/>
  </w:num>
  <w:num w:numId="7">
    <w:abstractNumId w:val="10"/>
  </w:num>
  <w:num w:numId="8">
    <w:abstractNumId w:val="4"/>
  </w:num>
  <w:num w:numId="9">
    <w:abstractNumId w:val="12"/>
  </w:num>
  <w:num w:numId="10">
    <w:abstractNumId w:val="6"/>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6347"/>
    <w:rsid w:val="00012ABB"/>
    <w:rsid w:val="00025DB8"/>
    <w:rsid w:val="0003595B"/>
    <w:rsid w:val="000B07A3"/>
    <w:rsid w:val="000C1059"/>
    <w:rsid w:val="000F4DE8"/>
    <w:rsid w:val="00115F59"/>
    <w:rsid w:val="001422E5"/>
    <w:rsid w:val="00154132"/>
    <w:rsid w:val="0015431B"/>
    <w:rsid w:val="001675E4"/>
    <w:rsid w:val="00176F5D"/>
    <w:rsid w:val="00180029"/>
    <w:rsid w:val="001A3E51"/>
    <w:rsid w:val="001B0426"/>
    <w:rsid w:val="001B5CEB"/>
    <w:rsid w:val="001C40F2"/>
    <w:rsid w:val="002110CD"/>
    <w:rsid w:val="002228E8"/>
    <w:rsid w:val="00224148"/>
    <w:rsid w:val="002243C8"/>
    <w:rsid w:val="00224B86"/>
    <w:rsid w:val="00255923"/>
    <w:rsid w:val="00261E18"/>
    <w:rsid w:val="00287BF6"/>
    <w:rsid w:val="002B565F"/>
    <w:rsid w:val="002D719A"/>
    <w:rsid w:val="002E00ED"/>
    <w:rsid w:val="002F6F5F"/>
    <w:rsid w:val="00301085"/>
    <w:rsid w:val="00304FCC"/>
    <w:rsid w:val="00354E00"/>
    <w:rsid w:val="003C5390"/>
    <w:rsid w:val="003D312E"/>
    <w:rsid w:val="003E3B7E"/>
    <w:rsid w:val="003F1945"/>
    <w:rsid w:val="004020F3"/>
    <w:rsid w:val="00420F5F"/>
    <w:rsid w:val="00434BD7"/>
    <w:rsid w:val="00440C2A"/>
    <w:rsid w:val="0046023B"/>
    <w:rsid w:val="0046791A"/>
    <w:rsid w:val="00486894"/>
    <w:rsid w:val="004903AA"/>
    <w:rsid w:val="004A2112"/>
    <w:rsid w:val="004A26FF"/>
    <w:rsid w:val="004A43A4"/>
    <w:rsid w:val="004A4F64"/>
    <w:rsid w:val="004C3D65"/>
    <w:rsid w:val="004C4FE7"/>
    <w:rsid w:val="004D1895"/>
    <w:rsid w:val="004F69A5"/>
    <w:rsid w:val="00501FFC"/>
    <w:rsid w:val="00521D15"/>
    <w:rsid w:val="00563D71"/>
    <w:rsid w:val="00573C5D"/>
    <w:rsid w:val="00595D41"/>
    <w:rsid w:val="005A4FE9"/>
    <w:rsid w:val="005A5091"/>
    <w:rsid w:val="005C1CA6"/>
    <w:rsid w:val="005D340C"/>
    <w:rsid w:val="005E07C2"/>
    <w:rsid w:val="005F3F86"/>
    <w:rsid w:val="005F606E"/>
    <w:rsid w:val="0060419B"/>
    <w:rsid w:val="006300B6"/>
    <w:rsid w:val="00632EC3"/>
    <w:rsid w:val="00637DF0"/>
    <w:rsid w:val="00641F98"/>
    <w:rsid w:val="006535C9"/>
    <w:rsid w:val="0065561B"/>
    <w:rsid w:val="006D145D"/>
    <w:rsid w:val="006D4AB8"/>
    <w:rsid w:val="006D6288"/>
    <w:rsid w:val="006F093F"/>
    <w:rsid w:val="00710A51"/>
    <w:rsid w:val="007142E2"/>
    <w:rsid w:val="00737B08"/>
    <w:rsid w:val="007464F1"/>
    <w:rsid w:val="0076699B"/>
    <w:rsid w:val="007928F8"/>
    <w:rsid w:val="0079659F"/>
    <w:rsid w:val="007A2F77"/>
    <w:rsid w:val="007C1BA6"/>
    <w:rsid w:val="007E3BEA"/>
    <w:rsid w:val="00813CC3"/>
    <w:rsid w:val="00835284"/>
    <w:rsid w:val="00844940"/>
    <w:rsid w:val="00854528"/>
    <w:rsid w:val="008700C7"/>
    <w:rsid w:val="0089062F"/>
    <w:rsid w:val="008B0840"/>
    <w:rsid w:val="008C59BE"/>
    <w:rsid w:val="008D070F"/>
    <w:rsid w:val="009109F2"/>
    <w:rsid w:val="00922B71"/>
    <w:rsid w:val="00932B5C"/>
    <w:rsid w:val="00936447"/>
    <w:rsid w:val="009706E4"/>
    <w:rsid w:val="009742D5"/>
    <w:rsid w:val="00983B53"/>
    <w:rsid w:val="00983C10"/>
    <w:rsid w:val="00990140"/>
    <w:rsid w:val="00992E21"/>
    <w:rsid w:val="009C2DB0"/>
    <w:rsid w:val="009D3E3D"/>
    <w:rsid w:val="009D6057"/>
    <w:rsid w:val="009D7089"/>
    <w:rsid w:val="009E7E0F"/>
    <w:rsid w:val="00A01A30"/>
    <w:rsid w:val="00A30C52"/>
    <w:rsid w:val="00A42CE0"/>
    <w:rsid w:val="00A66B6B"/>
    <w:rsid w:val="00A80028"/>
    <w:rsid w:val="00A84B4F"/>
    <w:rsid w:val="00A918DE"/>
    <w:rsid w:val="00A94974"/>
    <w:rsid w:val="00AB6000"/>
    <w:rsid w:val="00AC74FE"/>
    <w:rsid w:val="00B07B4A"/>
    <w:rsid w:val="00B5032A"/>
    <w:rsid w:val="00B566B6"/>
    <w:rsid w:val="00B710CB"/>
    <w:rsid w:val="00B73973"/>
    <w:rsid w:val="00B84E18"/>
    <w:rsid w:val="00B94C54"/>
    <w:rsid w:val="00B97F19"/>
    <w:rsid w:val="00BA07F2"/>
    <w:rsid w:val="00BA694C"/>
    <w:rsid w:val="00BD79C5"/>
    <w:rsid w:val="00BF1B75"/>
    <w:rsid w:val="00BF2F67"/>
    <w:rsid w:val="00BF3CD1"/>
    <w:rsid w:val="00C01DA2"/>
    <w:rsid w:val="00C24BFD"/>
    <w:rsid w:val="00C360A4"/>
    <w:rsid w:val="00C40312"/>
    <w:rsid w:val="00C4293F"/>
    <w:rsid w:val="00C5316B"/>
    <w:rsid w:val="00C5478B"/>
    <w:rsid w:val="00C642E3"/>
    <w:rsid w:val="00C759F8"/>
    <w:rsid w:val="00C90BC7"/>
    <w:rsid w:val="00CB75D3"/>
    <w:rsid w:val="00CD2A94"/>
    <w:rsid w:val="00CF4D24"/>
    <w:rsid w:val="00D22816"/>
    <w:rsid w:val="00D3767F"/>
    <w:rsid w:val="00D41793"/>
    <w:rsid w:val="00DA492F"/>
    <w:rsid w:val="00DB08BF"/>
    <w:rsid w:val="00DD1B6A"/>
    <w:rsid w:val="00DF679D"/>
    <w:rsid w:val="00E563E0"/>
    <w:rsid w:val="00E5753B"/>
    <w:rsid w:val="00E953B2"/>
    <w:rsid w:val="00E9739C"/>
    <w:rsid w:val="00EA4AC9"/>
    <w:rsid w:val="00EB12ED"/>
    <w:rsid w:val="00EE6412"/>
    <w:rsid w:val="00EF65E0"/>
    <w:rsid w:val="00EF6FCA"/>
    <w:rsid w:val="00F22F8C"/>
    <w:rsid w:val="00F54459"/>
    <w:rsid w:val="00F67D30"/>
    <w:rsid w:val="00F748D8"/>
    <w:rsid w:val="00F77C60"/>
    <w:rsid w:val="00FA6DA1"/>
    <w:rsid w:val="00FB114D"/>
    <w:rsid w:val="00FB258B"/>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62907F83"/>
  <w15:docId w15:val="{BA5E01FC-12C5-4648-BAAD-71CF1439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rsid w:val="00F748D8"/>
    <w:rPr>
      <w:szCs w:val="20"/>
    </w:rPr>
  </w:style>
  <w:style w:type="character" w:styleId="FootnoteReference">
    <w:name w:val="footnote reference"/>
    <w:uiPriority w:val="99"/>
    <w:qFormat/>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992E21"/>
    <w:pPr>
      <w:widowControl/>
      <w:autoSpaceDE/>
      <w:autoSpaceDN/>
      <w:adjustRightInd/>
      <w:ind w:left="720"/>
      <w:contextualSpacing/>
    </w:pPr>
    <w:rPr>
      <w:sz w:val="24"/>
    </w:rPr>
  </w:style>
  <w:style w:type="character" w:customStyle="1" w:styleId="FootnoteTextChar">
    <w:name w:val="Footnote Text Char"/>
    <w:basedOn w:val="DefaultParagraphFont"/>
    <w:link w:val="FootnoteText"/>
    <w:uiPriority w:val="99"/>
    <w:rsid w:val="00992E21"/>
  </w:style>
  <w:style w:type="paragraph" w:styleId="PlainText">
    <w:name w:val="Plain Text"/>
    <w:basedOn w:val="Normal"/>
    <w:link w:val="PlainTextChar"/>
    <w:uiPriority w:val="99"/>
    <w:unhideWhenUsed/>
    <w:rsid w:val="00573C5D"/>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73C5D"/>
    <w:rPr>
      <w:rFonts w:ascii="Consolas" w:eastAsiaTheme="minorHAnsi" w:hAnsi="Consolas" w:cstheme="minorBidi"/>
      <w:sz w:val="21"/>
      <w:szCs w:val="21"/>
    </w:rPr>
  </w:style>
  <w:style w:type="character" w:styleId="PlaceholderText">
    <w:name w:val="Placeholder Text"/>
    <w:basedOn w:val="DefaultParagraphFont"/>
    <w:uiPriority w:val="99"/>
    <w:semiHidden/>
    <w:rsid w:val="005F60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Formal</CaseStatus>
    <OpenedDate xmlns="dc463f71-b30c-4ab2-9473-d307f9d35888">2014-04-03T07:00:00+00:00</OpenedDate>
    <Date1 xmlns="dc463f71-b30c-4ab2-9473-d307f9d35888">2015-07-09T22:04:54+00:00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F9F7276-283B-45E5-9727-AE04BC856181}"/>
</file>

<file path=customXml/itemProps2.xml><?xml version="1.0" encoding="utf-8"?>
<ds:datastoreItem xmlns:ds="http://schemas.openxmlformats.org/officeDocument/2006/customXml" ds:itemID="{C191DCFB-D936-49D9-B154-DE0CE7473E1C}"/>
</file>

<file path=customXml/itemProps3.xml><?xml version="1.0" encoding="utf-8"?>
<ds:datastoreItem xmlns:ds="http://schemas.openxmlformats.org/officeDocument/2006/customXml" ds:itemID="{53EAE6C6-77F2-4948-BA97-2BC0DD74AB4B}"/>
</file>

<file path=customXml/itemProps4.xml><?xml version="1.0" encoding="utf-8"?>
<ds:datastoreItem xmlns:ds="http://schemas.openxmlformats.org/officeDocument/2006/customXml" ds:itemID="{8C3BFB25-AFE3-42A7-B922-1897847C9A48}"/>
</file>

<file path=customXml/itemProps5.xml><?xml version="1.0" encoding="utf-8"?>
<ds:datastoreItem xmlns:ds="http://schemas.openxmlformats.org/officeDocument/2006/customXml" ds:itemID="{882C8C64-C985-4F38-AFC7-B936F54AF9FF}"/>
</file>

<file path=docProps/app.xml><?xml version="1.0" encoding="utf-8"?>
<Properties xmlns="http://schemas.openxmlformats.org/officeDocument/2006/extended-properties" xmlns:vt="http://schemas.openxmlformats.org/officeDocument/2006/docPropsVTypes">
  <Template>Normal.dotm</Template>
  <TotalTime>1202</TotalTime>
  <Pages>21</Pages>
  <Words>4390</Words>
  <Characters>25024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Linley</dc:creator>
  <cp:keywords/>
  <dc:description/>
  <cp:lastModifiedBy>Gross, Krista (UTC)</cp:lastModifiedBy>
  <cp:revision>33</cp:revision>
  <dcterms:created xsi:type="dcterms:W3CDTF">2015-07-06T20:52:00Z</dcterms:created>
  <dcterms:modified xsi:type="dcterms:W3CDTF">2015-07-09T20:58:00Z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