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p>
    <w:p w:rsidR="000B3F3B" w:rsidRDefault="000B3F3B">
      <w:pPr>
        <w:spacing w:line="480" w:lineRule="auto"/>
        <w:jc w:val="center"/>
      </w:pPr>
      <w:r>
        <w:t xml:space="preserve">BEFORE THE </w:t>
      </w:r>
      <w:smartTag w:uri="urn:schemas-microsoft-com:office:smarttags" w:element="State">
        <w:smartTag w:uri="urn:schemas-microsoft-com:office:smarttags" w:element="place">
          <w:r>
            <w:t>WASHINGTON</w:t>
          </w:r>
        </w:smartTag>
      </w:smartTag>
      <w:r>
        <w:t xml:space="preserve"> UTILITIES AND TRANSPORTATION COMMISSION</w:t>
      </w:r>
    </w:p>
    <w:p w:rsidR="000B3F3B" w:rsidRDefault="000B3F3B">
      <w:pPr>
        <w:tabs>
          <w:tab w:val="left" w:pos="1260"/>
        </w:tabs>
        <w:spacing w:line="480" w:lineRule="auto"/>
      </w:pPr>
    </w:p>
    <w:p w:rsidR="000B3F3B" w:rsidRPr="00604F8C" w:rsidRDefault="000B3F3B">
      <w:pPr>
        <w:tabs>
          <w:tab w:val="left" w:pos="1260"/>
        </w:tabs>
        <w:spacing w:line="480" w:lineRule="auto"/>
        <w:jc w:val="center"/>
      </w:pPr>
      <w:r>
        <w:t xml:space="preserve">DOCKET </w:t>
      </w:r>
      <w:r w:rsidRPr="00604F8C">
        <w:t>UE-</w:t>
      </w:r>
      <w:r w:rsidR="00574E7B" w:rsidRPr="00604F8C">
        <w:t>1</w:t>
      </w:r>
      <w:r w:rsidR="00387F4C">
        <w:t>50204</w:t>
      </w:r>
    </w:p>
    <w:p w:rsidR="000B3F3B" w:rsidRDefault="000B3F3B">
      <w:pPr>
        <w:tabs>
          <w:tab w:val="left" w:pos="1260"/>
        </w:tabs>
        <w:spacing w:line="480" w:lineRule="auto"/>
        <w:jc w:val="center"/>
      </w:pPr>
      <w:r w:rsidRPr="00604F8C">
        <w:t>DOCKET UG-</w:t>
      </w:r>
      <w:r w:rsidR="00574E7B" w:rsidRPr="00604F8C">
        <w:t>1</w:t>
      </w:r>
      <w:r w:rsidR="00387F4C">
        <w:t>50205</w:t>
      </w:r>
    </w:p>
    <w:p w:rsidR="000B3F3B" w:rsidRDefault="000B3F3B">
      <w:pPr>
        <w:tabs>
          <w:tab w:val="left" w:pos="1260"/>
        </w:tabs>
        <w:spacing w:line="480" w:lineRule="auto"/>
        <w:ind w:firstLine="720"/>
        <w:jc w:val="center"/>
      </w:pPr>
    </w:p>
    <w:p w:rsidR="000B3F3B" w:rsidRDefault="000B3F3B">
      <w:pPr>
        <w:tabs>
          <w:tab w:val="left" w:pos="1260"/>
        </w:tabs>
        <w:spacing w:line="480" w:lineRule="auto"/>
        <w:jc w:val="center"/>
      </w:pPr>
      <w:r>
        <w:t xml:space="preserve">JOINT TESTIMONY OF </w:t>
      </w:r>
    </w:p>
    <w:p w:rsidR="000B3F3B" w:rsidRDefault="000B3F3B">
      <w:pPr>
        <w:tabs>
          <w:tab w:val="left" w:pos="1260"/>
        </w:tabs>
        <w:jc w:val="center"/>
      </w:pPr>
      <w:r>
        <w:t>KELLY</w:t>
      </w:r>
      <w:r w:rsidR="00AF770C">
        <w:t xml:space="preserve"> O.</w:t>
      </w:r>
      <w:r>
        <w:t xml:space="preserve"> </w:t>
      </w:r>
      <w:proofErr w:type="gramStart"/>
      <w:r>
        <w:t>NORWOOD  (</w:t>
      </w:r>
      <w:proofErr w:type="gramEnd"/>
      <w:r>
        <w:rPr>
          <w:caps/>
        </w:rPr>
        <w:t>Avista</w:t>
      </w:r>
      <w:r>
        <w:t>)</w:t>
      </w:r>
    </w:p>
    <w:p w:rsidR="000B3F3B" w:rsidRDefault="00E97177">
      <w:pPr>
        <w:tabs>
          <w:tab w:val="left" w:pos="1260"/>
        </w:tabs>
        <w:jc w:val="center"/>
      </w:pPr>
      <w:r>
        <w:t xml:space="preserve">CHRIS R. </w:t>
      </w:r>
      <w:proofErr w:type="gramStart"/>
      <w:r>
        <w:t>MCGUIRE</w:t>
      </w:r>
      <w:r w:rsidR="000B3F3B">
        <w:t xml:space="preserve">  (</w:t>
      </w:r>
      <w:proofErr w:type="gramEnd"/>
      <w:r w:rsidR="000B3F3B">
        <w:t>STAFF)</w:t>
      </w:r>
    </w:p>
    <w:p w:rsidR="00733B6E" w:rsidRDefault="00001B69" w:rsidP="00733B6E">
      <w:pPr>
        <w:tabs>
          <w:tab w:val="left" w:pos="1260"/>
        </w:tabs>
        <w:jc w:val="center"/>
      </w:pPr>
      <w:r>
        <w:t xml:space="preserve">STEFANIE A. </w:t>
      </w:r>
      <w:proofErr w:type="gramStart"/>
      <w:r>
        <w:t>JOHNSON</w:t>
      </w:r>
      <w:r w:rsidR="00733B6E">
        <w:t xml:space="preserve">  (</w:t>
      </w:r>
      <w:proofErr w:type="gramEnd"/>
      <w:r w:rsidR="00733B6E">
        <w:t>PUBLIC COUNSEL)</w:t>
      </w:r>
    </w:p>
    <w:p w:rsidR="00DC35BB" w:rsidRDefault="001A11B5">
      <w:pPr>
        <w:tabs>
          <w:tab w:val="left" w:pos="1260"/>
        </w:tabs>
        <w:jc w:val="center"/>
      </w:pPr>
      <w:r w:rsidRPr="001B5A81">
        <w:t xml:space="preserve">BRADLEY G. </w:t>
      </w:r>
      <w:proofErr w:type="gramStart"/>
      <w:r w:rsidRPr="001B5A81">
        <w:t>MULLINS</w:t>
      </w:r>
      <w:r w:rsidR="009E1A56" w:rsidRPr="001B5A81">
        <w:t xml:space="preserve"> </w:t>
      </w:r>
      <w:r w:rsidR="00B8689B" w:rsidRPr="001B5A81">
        <w:t xml:space="preserve"> </w:t>
      </w:r>
      <w:r w:rsidR="00DC35BB" w:rsidRPr="001B5A81">
        <w:t>(</w:t>
      </w:r>
      <w:proofErr w:type="gramEnd"/>
      <w:r w:rsidR="00DC35BB" w:rsidRPr="001B5A81">
        <w:t>ICNU)</w:t>
      </w:r>
    </w:p>
    <w:p w:rsidR="00343EEA" w:rsidRDefault="00343EEA">
      <w:pPr>
        <w:tabs>
          <w:tab w:val="left" w:pos="1260"/>
        </w:tabs>
        <w:jc w:val="center"/>
      </w:pPr>
      <w:r>
        <w:t>EDWARD A. FINKLEA (NWIGU)</w:t>
      </w:r>
    </w:p>
    <w:p w:rsidR="000B3F3B" w:rsidRDefault="000B3F3B">
      <w:pPr>
        <w:pStyle w:val="Header"/>
        <w:tabs>
          <w:tab w:val="clear" w:pos="4320"/>
          <w:tab w:val="clear" w:pos="8640"/>
          <w:tab w:val="left" w:pos="1260"/>
        </w:tabs>
        <w:spacing w:line="480" w:lineRule="auto"/>
        <w:rPr>
          <w:rFonts w:ascii="Palatino Linotype" w:hAnsi="Palatino Linotype"/>
        </w:rPr>
      </w:pPr>
    </w:p>
    <w:p w:rsidR="000B3F3B" w:rsidRDefault="000B3F3B">
      <w:pPr>
        <w:tabs>
          <w:tab w:val="left" w:pos="1260"/>
        </w:tabs>
        <w:jc w:val="center"/>
      </w:pPr>
      <w:r>
        <w:t>IN SUPPORT OF</w:t>
      </w:r>
    </w:p>
    <w:p w:rsidR="000B3F3B" w:rsidRDefault="000B3F3B">
      <w:pPr>
        <w:tabs>
          <w:tab w:val="left" w:pos="1260"/>
        </w:tabs>
        <w:jc w:val="center"/>
      </w:pPr>
      <w:r>
        <w:t>THE</w:t>
      </w:r>
      <w:r w:rsidR="00FE1D47">
        <w:t xml:space="preserve"> </w:t>
      </w:r>
      <w:r w:rsidR="00387F4C">
        <w:t xml:space="preserve">MULTIPARTY </w:t>
      </w:r>
      <w:r w:rsidR="00FE1D47">
        <w:t xml:space="preserve">SETTLEMENT </w:t>
      </w:r>
      <w:r w:rsidR="00B0038A">
        <w:t>STIPULATION</w:t>
      </w:r>
    </w:p>
    <w:p w:rsidR="000B3F3B" w:rsidRDefault="000B3F3B">
      <w:pPr>
        <w:tabs>
          <w:tab w:val="left" w:pos="1260"/>
        </w:tabs>
        <w:spacing w:line="480" w:lineRule="auto"/>
        <w:rPr>
          <w:rFonts w:ascii="Palatino Linotype" w:hAnsi="Palatino Linotype"/>
        </w:rPr>
      </w:pPr>
    </w:p>
    <w:p w:rsidR="00540C5A" w:rsidRDefault="00540C5A">
      <w:pPr>
        <w:tabs>
          <w:tab w:val="left" w:pos="1260"/>
        </w:tabs>
        <w:spacing w:line="480" w:lineRule="auto"/>
        <w:rPr>
          <w:rFonts w:ascii="Palatino Linotype" w:hAnsi="Palatino Linotype"/>
        </w:rPr>
      </w:pPr>
    </w:p>
    <w:p w:rsidR="006D3FDA" w:rsidRDefault="006D3FDA">
      <w:pPr>
        <w:tabs>
          <w:tab w:val="left" w:pos="1260"/>
        </w:tabs>
        <w:spacing w:line="480" w:lineRule="auto"/>
        <w:rPr>
          <w:rFonts w:ascii="Palatino Linotype" w:hAnsi="Palatino Linotype"/>
        </w:rPr>
      </w:pPr>
    </w:p>
    <w:p w:rsidR="000B3F3B" w:rsidRDefault="000B3F3B">
      <w:pPr>
        <w:pStyle w:val="Heading5"/>
        <w:jc w:val="left"/>
        <w:rPr>
          <w:u w:val="single"/>
        </w:rPr>
      </w:pPr>
    </w:p>
    <w:p w:rsidR="000B3F3B" w:rsidRDefault="000B3F3B">
      <w:pPr>
        <w:pStyle w:val="Heading5"/>
        <w:rPr>
          <w:u w:val="single"/>
        </w:rPr>
      </w:pPr>
    </w:p>
    <w:p w:rsidR="000B3F3B" w:rsidRDefault="000B3F3B">
      <w:pPr>
        <w:pStyle w:val="Heading5"/>
        <w:rPr>
          <w:u w:val="single"/>
        </w:rPr>
        <w:sectPr w:rsidR="000B3F3B" w:rsidSect="000843F8">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016"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0B3F3B" w:rsidRDefault="000B3F3B">
      <w:pPr>
        <w:pStyle w:val="Heading5"/>
        <w:rPr>
          <w:u w:val="single"/>
        </w:rPr>
      </w:pPr>
      <w:r>
        <w:rPr>
          <w:u w:val="single"/>
        </w:rPr>
        <w:lastRenderedPageBreak/>
        <w:t>I.</w:t>
      </w:r>
      <w:r w:rsidR="00CC2AE4">
        <w:rPr>
          <w:u w:val="single"/>
        </w:rPr>
        <w:t xml:space="preserve">  </w:t>
      </w:r>
      <w:r>
        <w:rPr>
          <w:u w:val="single"/>
        </w:rPr>
        <w:t>INTRODUCTION</w:t>
      </w:r>
    </w:p>
    <w:p w:rsidR="000B3F3B" w:rsidRDefault="000B3F3B">
      <w:pPr>
        <w:pStyle w:val="BodyTextIndent3"/>
        <w:tabs>
          <w:tab w:val="clear" w:pos="1260"/>
          <w:tab w:val="left" w:pos="1440"/>
        </w:tabs>
      </w:pPr>
      <w:r>
        <w:t>Q.</w:t>
      </w:r>
      <w:r>
        <w:tab/>
        <w:t xml:space="preserve">Please state your names, titles, and </w:t>
      </w:r>
      <w:r w:rsidR="00B75A7E">
        <w:t xml:space="preserve">the </w:t>
      </w:r>
      <w:r w:rsidR="0010301E">
        <w:t xml:space="preserve">party </w:t>
      </w:r>
      <w:r>
        <w:t>you represent in this matter</w:t>
      </w:r>
      <w:r w:rsidR="00B75A7E">
        <w:t>.</w:t>
      </w:r>
    </w:p>
    <w:p w:rsidR="000B3F3B" w:rsidRDefault="000B3F3B">
      <w:pPr>
        <w:pStyle w:val="BodyTextIndent"/>
        <w:tabs>
          <w:tab w:val="clear" w:pos="1260"/>
          <w:tab w:val="left" w:pos="1440"/>
        </w:tabs>
      </w:pPr>
      <w:r>
        <w:t>A.</w:t>
      </w:r>
      <w:r>
        <w:tab/>
        <w:t>Our names, titles, and representation are as follows:</w:t>
      </w:r>
    </w:p>
    <w:p w:rsidR="00E32C99" w:rsidRDefault="000B3F3B" w:rsidP="00E32C99">
      <w:pPr>
        <w:pStyle w:val="BodyTextIndent"/>
        <w:numPr>
          <w:ilvl w:val="0"/>
          <w:numId w:val="3"/>
        </w:numPr>
        <w:tabs>
          <w:tab w:val="clear" w:pos="1260"/>
          <w:tab w:val="left" w:pos="1440"/>
        </w:tabs>
        <w:spacing w:line="240" w:lineRule="auto"/>
        <w:ind w:left="1440" w:hanging="432"/>
      </w:pPr>
      <w:r>
        <w:t xml:space="preserve">Kelly O. Norwood, Vice-President of State and Federal Regulation, Avista </w:t>
      </w:r>
      <w:r w:rsidR="00F01C3C">
        <w:t>(or “Company”)</w:t>
      </w:r>
    </w:p>
    <w:p w:rsidR="000B3F3B" w:rsidRDefault="00E97177" w:rsidP="001614CB">
      <w:pPr>
        <w:pStyle w:val="BodyTextIndent"/>
        <w:numPr>
          <w:ilvl w:val="0"/>
          <w:numId w:val="3"/>
        </w:numPr>
        <w:tabs>
          <w:tab w:val="clear" w:pos="1260"/>
          <w:tab w:val="left" w:pos="1440"/>
        </w:tabs>
        <w:spacing w:line="240" w:lineRule="auto"/>
        <w:ind w:left="1440" w:hanging="432"/>
      </w:pPr>
      <w:r>
        <w:t>Chris R. McGuire</w:t>
      </w:r>
      <w:r w:rsidR="0050707D">
        <w:t xml:space="preserve">, </w:t>
      </w:r>
      <w:r>
        <w:t>Regulatory Analyst</w:t>
      </w:r>
      <w:r w:rsidR="0050707D">
        <w:t>,</w:t>
      </w:r>
      <w:r w:rsidR="00F16B0E">
        <w:t xml:space="preserve"> </w:t>
      </w:r>
      <w:r w:rsidR="001614CB">
        <w:t>Washington Utilities and Transportation Commission</w:t>
      </w:r>
      <w:r w:rsidR="001614CB" w:rsidDel="001614CB">
        <w:t xml:space="preserve"> </w:t>
      </w:r>
      <w:r w:rsidR="000B3F3B">
        <w:t>Staff</w:t>
      </w:r>
      <w:r w:rsidR="003C78A8">
        <w:t xml:space="preserve"> (Staff)</w:t>
      </w:r>
    </w:p>
    <w:p w:rsidR="00733B6E" w:rsidRDefault="00001B69" w:rsidP="001614CB">
      <w:pPr>
        <w:pStyle w:val="BodyTextIndent"/>
        <w:numPr>
          <w:ilvl w:val="0"/>
          <w:numId w:val="3"/>
        </w:numPr>
        <w:tabs>
          <w:tab w:val="clear" w:pos="1260"/>
          <w:tab w:val="clear" w:pos="1800"/>
          <w:tab w:val="left" w:pos="1440"/>
        </w:tabs>
        <w:spacing w:line="240" w:lineRule="auto"/>
        <w:ind w:left="1440" w:hanging="432"/>
      </w:pPr>
      <w:r>
        <w:t>Stefanie A. Johnson</w:t>
      </w:r>
      <w:r w:rsidR="00471BCA">
        <w:t>,</w:t>
      </w:r>
      <w:r w:rsidR="00733B6E">
        <w:t xml:space="preserve"> Regulatory Analyst, Public Counsel </w:t>
      </w:r>
      <w:r>
        <w:t>Unit</w:t>
      </w:r>
      <w:r w:rsidR="00733B6E">
        <w:t xml:space="preserve"> of the Washington Office of Attorney General (Public Counsel)</w:t>
      </w:r>
    </w:p>
    <w:p w:rsidR="009E1A56" w:rsidRDefault="001A11B5" w:rsidP="0009497C">
      <w:pPr>
        <w:pStyle w:val="BodyTextIndent"/>
        <w:numPr>
          <w:ilvl w:val="0"/>
          <w:numId w:val="3"/>
        </w:numPr>
        <w:tabs>
          <w:tab w:val="clear" w:pos="1260"/>
          <w:tab w:val="left" w:pos="1440"/>
        </w:tabs>
        <w:spacing w:line="240" w:lineRule="auto"/>
        <w:ind w:left="1440" w:hanging="432"/>
      </w:pPr>
      <w:r>
        <w:t>Brad</w:t>
      </w:r>
      <w:r w:rsidR="00343EEA">
        <w:t xml:space="preserve">ley G. </w:t>
      </w:r>
      <w:r>
        <w:t>Mullins</w:t>
      </w:r>
      <w:r w:rsidR="009E1A56" w:rsidRPr="00AA4C9E">
        <w:t xml:space="preserve">, </w:t>
      </w:r>
      <w:r w:rsidR="00343EEA">
        <w:t xml:space="preserve">Independent Consultant, </w:t>
      </w:r>
      <w:r w:rsidR="009E1A56" w:rsidRPr="00AA4C9E">
        <w:t>representing Industrial Customers of Northwest Utilities (ICNU</w:t>
      </w:r>
      <w:r w:rsidR="00E26046">
        <w:t>)</w:t>
      </w:r>
    </w:p>
    <w:p w:rsidR="00343EEA" w:rsidRPr="00AA4C9E" w:rsidRDefault="00343EEA" w:rsidP="0009497C">
      <w:pPr>
        <w:pStyle w:val="BodyTextIndent"/>
        <w:numPr>
          <w:ilvl w:val="0"/>
          <w:numId w:val="3"/>
        </w:numPr>
        <w:tabs>
          <w:tab w:val="clear" w:pos="1260"/>
          <w:tab w:val="left" w:pos="1440"/>
        </w:tabs>
        <w:spacing w:line="240" w:lineRule="auto"/>
        <w:ind w:left="1440" w:hanging="432"/>
      </w:pPr>
      <w:r>
        <w:t>Edward A. Finklea, Executive Director, Northwest Industrial Gas Users (NWIGU)</w:t>
      </w:r>
    </w:p>
    <w:p w:rsidR="00733B6E" w:rsidRDefault="00733B6E" w:rsidP="0009497C">
      <w:pPr>
        <w:pStyle w:val="BodyTextIndent"/>
        <w:tabs>
          <w:tab w:val="clear" w:pos="1260"/>
          <w:tab w:val="left" w:pos="1440"/>
        </w:tabs>
        <w:spacing w:line="240" w:lineRule="auto"/>
        <w:ind w:left="2448" w:firstLine="0"/>
      </w:pPr>
    </w:p>
    <w:p w:rsidR="0005544B" w:rsidRDefault="0005544B" w:rsidP="0009497C">
      <w:pPr>
        <w:pStyle w:val="BodyTextIndent"/>
        <w:tabs>
          <w:tab w:val="clear" w:pos="1260"/>
          <w:tab w:val="left" w:pos="1440"/>
        </w:tabs>
        <w:ind w:left="1008" w:firstLine="0"/>
      </w:pPr>
      <w:r>
        <w:t xml:space="preserve">Together we are </w:t>
      </w:r>
      <w:r w:rsidR="002E2DD4">
        <w:t>representatives of</w:t>
      </w:r>
      <w:r>
        <w:t xml:space="preserve"> the “Parties” in this Joint Testimony.</w:t>
      </w:r>
    </w:p>
    <w:p w:rsidR="000B3F3B" w:rsidRDefault="000B3F3B">
      <w:pPr>
        <w:pStyle w:val="BodyTextIndent"/>
        <w:tabs>
          <w:tab w:val="clear" w:pos="1260"/>
          <w:tab w:val="left" w:pos="1440"/>
        </w:tabs>
        <w:rPr>
          <w:b/>
        </w:rPr>
      </w:pPr>
      <w:r>
        <w:rPr>
          <w:b/>
        </w:rPr>
        <w:t>Q.</w:t>
      </w:r>
      <w:r>
        <w:rPr>
          <w:b/>
        </w:rPr>
        <w:tab/>
        <w:t xml:space="preserve">Are you sponsoring </w:t>
      </w:r>
      <w:r w:rsidR="0005544B">
        <w:rPr>
          <w:b/>
        </w:rPr>
        <w:t>J</w:t>
      </w:r>
      <w:r>
        <w:rPr>
          <w:b/>
        </w:rPr>
        <w:t xml:space="preserve">oint </w:t>
      </w:r>
      <w:r w:rsidR="0005544B">
        <w:rPr>
          <w:b/>
        </w:rPr>
        <w:t>T</w:t>
      </w:r>
      <w:r>
        <w:rPr>
          <w:b/>
        </w:rPr>
        <w:t>est</w:t>
      </w:r>
      <w:r w:rsidR="00FE1D47">
        <w:rPr>
          <w:b/>
        </w:rPr>
        <w:t xml:space="preserve">imony in support of the </w:t>
      </w:r>
      <w:r w:rsidR="00A03249">
        <w:rPr>
          <w:b/>
        </w:rPr>
        <w:t xml:space="preserve">Multiparty </w:t>
      </w:r>
      <w:r w:rsidR="00DC35BB">
        <w:rPr>
          <w:b/>
        </w:rPr>
        <w:t>Settlement Stipulation</w:t>
      </w:r>
      <w:r>
        <w:rPr>
          <w:b/>
        </w:rPr>
        <w:t xml:space="preserve"> filed with th</w:t>
      </w:r>
      <w:r w:rsidR="0063031B">
        <w:rPr>
          <w:b/>
        </w:rPr>
        <w:t>e</w:t>
      </w:r>
      <w:r>
        <w:rPr>
          <w:b/>
        </w:rPr>
        <w:t xml:space="preserve"> </w:t>
      </w:r>
      <w:r w:rsidR="0063031B">
        <w:rPr>
          <w:b/>
        </w:rPr>
        <w:t xml:space="preserve">Washington Utilities and Transportation </w:t>
      </w:r>
      <w:r>
        <w:rPr>
          <w:b/>
        </w:rPr>
        <w:t xml:space="preserve">Commission </w:t>
      </w:r>
      <w:r w:rsidR="0063031B">
        <w:rPr>
          <w:b/>
        </w:rPr>
        <w:t xml:space="preserve">(Commission) </w:t>
      </w:r>
      <w:r>
        <w:rPr>
          <w:b/>
        </w:rPr>
        <w:t xml:space="preserve">on </w:t>
      </w:r>
      <w:r w:rsidR="00A03249">
        <w:rPr>
          <w:b/>
        </w:rPr>
        <w:t>May 1, 2015</w:t>
      </w:r>
      <w:r>
        <w:rPr>
          <w:b/>
        </w:rPr>
        <w:t>?</w:t>
      </w:r>
    </w:p>
    <w:p w:rsidR="000B3F3B" w:rsidRDefault="000B3F3B">
      <w:pPr>
        <w:spacing w:line="480" w:lineRule="auto"/>
        <w:ind w:firstLine="720"/>
        <w:jc w:val="both"/>
      </w:pPr>
      <w:r>
        <w:t>A.</w:t>
      </w:r>
      <w:r>
        <w:tab/>
        <w:t xml:space="preserve">Yes.  This </w:t>
      </w:r>
      <w:r w:rsidR="0005544B">
        <w:t>J</w:t>
      </w:r>
      <w:r>
        <w:t xml:space="preserve">oint </w:t>
      </w:r>
      <w:r w:rsidR="0005544B">
        <w:t>T</w:t>
      </w:r>
      <w:r>
        <w:t xml:space="preserve">estimony </w:t>
      </w:r>
      <w:r w:rsidR="007658AB">
        <w:t xml:space="preserve">of the </w:t>
      </w:r>
      <w:r w:rsidR="00A55AD6">
        <w:t xml:space="preserve">Parties </w:t>
      </w:r>
      <w:r>
        <w:t xml:space="preserve">recommends approval of the </w:t>
      </w:r>
      <w:r w:rsidR="00A03249">
        <w:t xml:space="preserve">Multiparty </w:t>
      </w:r>
      <w:r w:rsidR="00FE1D47">
        <w:t xml:space="preserve">Settlement </w:t>
      </w:r>
      <w:r w:rsidR="00B0038A">
        <w:t>Stipulation</w:t>
      </w:r>
      <w:r>
        <w:t xml:space="preserve"> </w:t>
      </w:r>
      <w:r w:rsidR="000E576C">
        <w:t xml:space="preserve">(Settlement) </w:t>
      </w:r>
      <w:r>
        <w:t xml:space="preserve">by the Commission.  The </w:t>
      </w:r>
      <w:r w:rsidR="00DC35BB">
        <w:t xml:space="preserve">Settlement </w:t>
      </w:r>
      <w:r>
        <w:t xml:space="preserve">represents a compromise among differing points of view.  Concessions were made by </w:t>
      </w:r>
      <w:r w:rsidR="00C01142">
        <w:t>the Pa</w:t>
      </w:r>
      <w:r w:rsidR="00513EF3">
        <w:t>rties</w:t>
      </w:r>
      <w:r>
        <w:t xml:space="preserve"> to reach a reasonable balancing of interests.  Its approval is in the public interest.  The </w:t>
      </w:r>
      <w:r w:rsidR="00DC35BB">
        <w:t xml:space="preserve">Settlement </w:t>
      </w:r>
      <w:r>
        <w:t>has been marked as Exhibit ____.</w:t>
      </w:r>
    </w:p>
    <w:p w:rsidR="00513EF3" w:rsidRDefault="00513EF3" w:rsidP="00513EF3">
      <w:pPr>
        <w:pStyle w:val="BodyTextIndent"/>
        <w:tabs>
          <w:tab w:val="clear" w:pos="1260"/>
          <w:tab w:val="left" w:pos="1440"/>
        </w:tabs>
        <w:rPr>
          <w:b/>
        </w:rPr>
      </w:pPr>
      <w:r>
        <w:rPr>
          <w:b/>
        </w:rPr>
        <w:t>Q.</w:t>
      </w:r>
      <w:r>
        <w:rPr>
          <w:b/>
        </w:rPr>
        <w:tab/>
        <w:t>What is the scope of your testimony?</w:t>
      </w:r>
    </w:p>
    <w:p w:rsidR="00513EF3" w:rsidRPr="00513EF3" w:rsidRDefault="00513EF3" w:rsidP="00513EF3">
      <w:pPr>
        <w:spacing w:line="480" w:lineRule="auto"/>
        <w:ind w:firstLine="720"/>
        <w:jc w:val="both"/>
      </w:pPr>
      <w:r w:rsidRPr="00513EF3">
        <w:rPr>
          <w:bCs/>
        </w:rPr>
        <w:t>A.</w:t>
      </w:r>
      <w:r w:rsidRPr="00513EF3">
        <w:rPr>
          <w:bCs/>
        </w:rPr>
        <w:tab/>
      </w:r>
      <w:r w:rsidR="00901B69">
        <w:rPr>
          <w:bCs/>
        </w:rPr>
        <w:t xml:space="preserve">This Joint Testimony addresses </w:t>
      </w:r>
      <w:r w:rsidR="00A03249">
        <w:rPr>
          <w:bCs/>
        </w:rPr>
        <w:t xml:space="preserve">several issues raised in </w:t>
      </w:r>
      <w:r w:rsidR="00901B69">
        <w:rPr>
          <w:bCs/>
        </w:rPr>
        <w:t>Avista's general rate case filings in these dockets</w:t>
      </w:r>
      <w:r w:rsidR="00A03249">
        <w:rPr>
          <w:bCs/>
        </w:rPr>
        <w:t>, as well as</w:t>
      </w:r>
      <w:r w:rsidR="00901B69">
        <w:rPr>
          <w:bCs/>
        </w:rPr>
        <w:t xml:space="preserve"> the scope of the Settlement and its principal aspects.  It also includes a statement of the Parties' views about why the Settlement </w:t>
      </w:r>
      <w:r w:rsidR="00901B69">
        <w:rPr>
          <w:bCs/>
        </w:rPr>
        <w:lastRenderedPageBreak/>
        <w:t>satisfies their interests</w:t>
      </w:r>
      <w:r w:rsidR="00EE03E4">
        <w:rPr>
          <w:bCs/>
        </w:rPr>
        <w:t xml:space="preserve"> </w:t>
      </w:r>
      <w:r w:rsidR="00901B69">
        <w:rPr>
          <w:bCs/>
        </w:rPr>
        <w:t>and the public interest, as well as any legal points that bear on the proposed Settlement.</w:t>
      </w:r>
      <w:r w:rsidRPr="00513EF3">
        <w:rPr>
          <w:bCs/>
        </w:rPr>
        <w:t xml:space="preserve">  </w:t>
      </w:r>
    </w:p>
    <w:p w:rsidR="00F02F5D" w:rsidRDefault="00F02F5D" w:rsidP="00F02F5D">
      <w:pPr>
        <w:pStyle w:val="BodyTextIndent"/>
        <w:tabs>
          <w:tab w:val="clear" w:pos="1260"/>
          <w:tab w:val="left" w:pos="1440"/>
        </w:tabs>
        <w:rPr>
          <w:b/>
        </w:rPr>
      </w:pPr>
      <w:r>
        <w:rPr>
          <w:b/>
        </w:rPr>
        <w:t>Q.</w:t>
      </w:r>
      <w:r>
        <w:rPr>
          <w:b/>
        </w:rPr>
        <w:tab/>
        <w:t>Would you briefly summarize the</w:t>
      </w:r>
      <w:r w:rsidR="00A03249">
        <w:rPr>
          <w:b/>
        </w:rPr>
        <w:t xml:space="preserve"> </w:t>
      </w:r>
      <w:r>
        <w:rPr>
          <w:b/>
        </w:rPr>
        <w:t>Settlement?</w:t>
      </w:r>
    </w:p>
    <w:p w:rsidR="00F02F5D" w:rsidRPr="000C78CC" w:rsidRDefault="00F02F5D" w:rsidP="00503CDC">
      <w:pPr>
        <w:pStyle w:val="BodyText"/>
        <w:rPr>
          <w:b w:val="0"/>
        </w:rPr>
      </w:pPr>
      <w:r w:rsidRPr="000C78CC">
        <w:rPr>
          <w:b w:val="0"/>
          <w:bCs/>
        </w:rPr>
        <w:t>A.</w:t>
      </w:r>
      <w:r w:rsidRPr="000C78CC">
        <w:rPr>
          <w:b w:val="0"/>
          <w:bCs/>
        </w:rPr>
        <w:tab/>
        <w:t xml:space="preserve">Yes.  </w:t>
      </w:r>
      <w:r w:rsidR="00A03249">
        <w:rPr>
          <w:b w:val="0"/>
        </w:rPr>
        <w:t>T</w:t>
      </w:r>
      <w:r w:rsidRPr="000C78CC">
        <w:rPr>
          <w:b w:val="0"/>
        </w:rPr>
        <w:t xml:space="preserve">he </w:t>
      </w:r>
      <w:r w:rsidR="00A03249">
        <w:rPr>
          <w:b w:val="0"/>
        </w:rPr>
        <w:t xml:space="preserve">Settlement </w:t>
      </w:r>
      <w:r w:rsidR="00A03249" w:rsidRPr="00A03249">
        <w:rPr>
          <w:b w:val="0"/>
        </w:rPr>
        <w:t>resolve</w:t>
      </w:r>
      <w:r w:rsidR="00A03249">
        <w:rPr>
          <w:b w:val="0"/>
        </w:rPr>
        <w:t>s</w:t>
      </w:r>
      <w:r w:rsidR="00A03249" w:rsidRPr="00A03249">
        <w:rPr>
          <w:b w:val="0"/>
        </w:rPr>
        <w:t xml:space="preserve"> all issues pertaining to cost of capital, </w:t>
      </w:r>
      <w:r w:rsidR="004A150E">
        <w:rPr>
          <w:b w:val="0"/>
        </w:rPr>
        <w:t xml:space="preserve">current </w:t>
      </w:r>
      <w:r w:rsidR="00A03249" w:rsidRPr="00A03249">
        <w:rPr>
          <w:b w:val="0"/>
        </w:rPr>
        <w:t xml:space="preserve">power supply, </w:t>
      </w:r>
      <w:proofErr w:type="gramStart"/>
      <w:r w:rsidR="00A03249" w:rsidRPr="00A03249">
        <w:rPr>
          <w:b w:val="0"/>
        </w:rPr>
        <w:t>rate</w:t>
      </w:r>
      <w:proofErr w:type="gramEnd"/>
      <w:r w:rsidR="00A03249" w:rsidRPr="00A03249">
        <w:rPr>
          <w:b w:val="0"/>
        </w:rPr>
        <w:t xml:space="preserve"> spread and rate design</w:t>
      </w:r>
      <w:r w:rsidR="00A03249">
        <w:rPr>
          <w:b w:val="0"/>
        </w:rPr>
        <w:t xml:space="preserve">.  </w:t>
      </w:r>
      <w:r w:rsidRPr="000C78CC">
        <w:rPr>
          <w:b w:val="0"/>
        </w:rPr>
        <w:t xml:space="preserve">Later in our testimony, we discuss in more detail the elements of the Settlement. </w:t>
      </w:r>
    </w:p>
    <w:p w:rsidR="00F02F5D" w:rsidRDefault="00F02F5D" w:rsidP="00503CDC">
      <w:pPr>
        <w:pStyle w:val="BodyText"/>
        <w:rPr>
          <w:bCs/>
        </w:rPr>
      </w:pPr>
      <w:r>
        <w:t>Q.</w:t>
      </w:r>
      <w:r>
        <w:tab/>
        <w:t>Who are the signatories to the Settlement?</w:t>
      </w:r>
    </w:p>
    <w:p w:rsidR="00E05DE0" w:rsidRDefault="00F02F5D" w:rsidP="005E4131">
      <w:pPr>
        <w:pStyle w:val="BodyText"/>
        <w:rPr>
          <w:b w:val="0"/>
        </w:rPr>
      </w:pPr>
      <w:r w:rsidRPr="000C78CC">
        <w:rPr>
          <w:b w:val="0"/>
        </w:rPr>
        <w:t>A.</w:t>
      </w:r>
      <w:r w:rsidRPr="000C78CC">
        <w:rPr>
          <w:b w:val="0"/>
        </w:rPr>
        <w:tab/>
        <w:t xml:space="preserve">The Settlement, filed </w:t>
      </w:r>
      <w:r w:rsidR="00A03249">
        <w:rPr>
          <w:b w:val="0"/>
        </w:rPr>
        <w:t>May 1, 2015</w:t>
      </w:r>
      <w:r w:rsidRPr="000C78CC">
        <w:rPr>
          <w:b w:val="0"/>
        </w:rPr>
        <w:t xml:space="preserve">, was signed by Avista, the </w:t>
      </w:r>
      <w:r w:rsidR="003C78A8">
        <w:rPr>
          <w:b w:val="0"/>
        </w:rPr>
        <w:t>Commission</w:t>
      </w:r>
      <w:r w:rsidR="003C78A8" w:rsidRPr="000C78CC">
        <w:rPr>
          <w:b w:val="0"/>
        </w:rPr>
        <w:t xml:space="preserve"> </w:t>
      </w:r>
      <w:r w:rsidRPr="000C78CC">
        <w:rPr>
          <w:b w:val="0"/>
        </w:rPr>
        <w:t xml:space="preserve">Staff, </w:t>
      </w:r>
      <w:r w:rsidR="00861713">
        <w:rPr>
          <w:b w:val="0"/>
        </w:rPr>
        <w:t>ICNU</w:t>
      </w:r>
      <w:r w:rsidRPr="000C78CC">
        <w:rPr>
          <w:b w:val="0"/>
        </w:rPr>
        <w:t xml:space="preserve">, </w:t>
      </w:r>
      <w:r w:rsidR="00861713">
        <w:rPr>
          <w:b w:val="0"/>
        </w:rPr>
        <w:t>NWIGU</w:t>
      </w:r>
      <w:r w:rsidR="00AD15AA" w:rsidRPr="000C78CC">
        <w:rPr>
          <w:b w:val="0"/>
        </w:rPr>
        <w:t xml:space="preserve">, </w:t>
      </w:r>
      <w:r w:rsidR="00A03249">
        <w:rPr>
          <w:b w:val="0"/>
        </w:rPr>
        <w:t xml:space="preserve">and </w:t>
      </w:r>
      <w:r w:rsidR="00AD15AA" w:rsidRPr="000C78CC">
        <w:rPr>
          <w:b w:val="0"/>
        </w:rPr>
        <w:t>Public Counsel</w:t>
      </w:r>
      <w:r w:rsidRPr="000C78CC">
        <w:rPr>
          <w:b w:val="0"/>
        </w:rPr>
        <w:t xml:space="preserve">. </w:t>
      </w:r>
      <w:r w:rsidR="00513EF3" w:rsidRPr="000C78CC">
        <w:rPr>
          <w:b w:val="0"/>
        </w:rPr>
        <w:t xml:space="preserve"> </w:t>
      </w:r>
      <w:r w:rsidR="00426B53">
        <w:rPr>
          <w:b w:val="0"/>
        </w:rPr>
        <w:t>These represent all</w:t>
      </w:r>
      <w:r w:rsidR="00A03249">
        <w:rPr>
          <w:b w:val="0"/>
        </w:rPr>
        <w:t xml:space="preserve"> but one of the</w:t>
      </w:r>
      <w:r w:rsidR="00426B53">
        <w:rPr>
          <w:b w:val="0"/>
        </w:rPr>
        <w:t xml:space="preserve"> parties to these proceedings</w:t>
      </w:r>
      <w:r w:rsidR="005E4131">
        <w:rPr>
          <w:b w:val="0"/>
        </w:rPr>
        <w:t xml:space="preserve">; </w:t>
      </w:r>
      <w:r w:rsidR="00CD13C2">
        <w:rPr>
          <w:b w:val="0"/>
        </w:rPr>
        <w:t>t</w:t>
      </w:r>
      <w:r w:rsidR="005E4131">
        <w:rPr>
          <w:b w:val="0"/>
        </w:rPr>
        <w:t xml:space="preserve">he Energy Project did not join the </w:t>
      </w:r>
      <w:r w:rsidR="00CD13C2">
        <w:rPr>
          <w:b w:val="0"/>
        </w:rPr>
        <w:t>Settlement</w:t>
      </w:r>
      <w:r w:rsidR="00426B53">
        <w:rPr>
          <w:b w:val="0"/>
        </w:rPr>
        <w:t xml:space="preserve">.  </w:t>
      </w:r>
      <w:r w:rsidR="00B0701A" w:rsidRPr="000C78CC">
        <w:rPr>
          <w:b w:val="0"/>
        </w:rPr>
        <w:t>Accordingly, this represents a “</w:t>
      </w:r>
      <w:r w:rsidR="00A03249">
        <w:rPr>
          <w:b w:val="0"/>
        </w:rPr>
        <w:t>multiparty</w:t>
      </w:r>
      <w:r w:rsidR="00B0701A" w:rsidRPr="000C78CC">
        <w:rPr>
          <w:b w:val="0"/>
        </w:rPr>
        <w:t xml:space="preserve"> settlement” under WAC 480-07-730.</w:t>
      </w:r>
    </w:p>
    <w:p w:rsidR="00E6116E" w:rsidRDefault="00E6116E" w:rsidP="005E4131">
      <w:pPr>
        <w:pStyle w:val="BodyText"/>
        <w:rPr>
          <w:u w:val="single"/>
        </w:rPr>
      </w:pPr>
    </w:p>
    <w:p w:rsidR="00F02F5D" w:rsidRDefault="00F02F5D" w:rsidP="00F02F5D">
      <w:pPr>
        <w:pStyle w:val="Heading5"/>
        <w:rPr>
          <w:u w:val="single"/>
        </w:rPr>
      </w:pPr>
      <w:r>
        <w:rPr>
          <w:u w:val="single"/>
        </w:rPr>
        <w:t>II</w:t>
      </w:r>
      <w:proofErr w:type="gramStart"/>
      <w:r>
        <w:rPr>
          <w:u w:val="single"/>
        </w:rPr>
        <w:t xml:space="preserve">. </w:t>
      </w:r>
      <w:r w:rsidR="00471B4A">
        <w:rPr>
          <w:u w:val="single"/>
        </w:rPr>
        <w:t xml:space="preserve"> </w:t>
      </w:r>
      <w:r>
        <w:rPr>
          <w:u w:val="single"/>
        </w:rPr>
        <w:t>QUALIFICATIONS</w:t>
      </w:r>
      <w:proofErr w:type="gramEnd"/>
      <w:r>
        <w:rPr>
          <w:u w:val="single"/>
        </w:rPr>
        <w:t xml:space="preserve"> OF WITNESSES</w:t>
      </w:r>
    </w:p>
    <w:p w:rsidR="000B3F3B" w:rsidRDefault="000B3F3B">
      <w:pPr>
        <w:pStyle w:val="BodyTextIndent"/>
        <w:tabs>
          <w:tab w:val="clear" w:pos="1260"/>
          <w:tab w:val="left" w:pos="1440"/>
        </w:tabs>
        <w:rPr>
          <w:b/>
        </w:rPr>
      </w:pPr>
      <w:r>
        <w:rPr>
          <w:b/>
        </w:rPr>
        <w:t>Q.</w:t>
      </w:r>
      <w:r>
        <w:rPr>
          <w:b/>
        </w:rPr>
        <w:tab/>
      </w:r>
      <w:r w:rsidR="005F12FE">
        <w:rPr>
          <w:b/>
        </w:rPr>
        <w:t>Mr. Norwood, p</w:t>
      </w:r>
      <w:r w:rsidR="00B75A7E">
        <w:rPr>
          <w:b/>
        </w:rPr>
        <w:t>lease provide</w:t>
      </w:r>
      <w:r>
        <w:rPr>
          <w:b/>
        </w:rPr>
        <w:t xml:space="preserve"> information pertaining to your educational background and professional experience</w:t>
      </w:r>
      <w:r w:rsidR="005F12FE">
        <w:rPr>
          <w:b/>
        </w:rPr>
        <w:t>.</w:t>
      </w:r>
    </w:p>
    <w:p w:rsidR="000B3F3B" w:rsidRDefault="000B3F3B">
      <w:pPr>
        <w:pStyle w:val="BodyTextIndent"/>
        <w:tabs>
          <w:tab w:val="clear" w:pos="1260"/>
          <w:tab w:val="left" w:pos="1440"/>
        </w:tabs>
        <w:rPr>
          <w:snapToGrid w:val="0"/>
        </w:rPr>
      </w:pPr>
      <w:r>
        <w:rPr>
          <w:bCs/>
        </w:rPr>
        <w:t>A.</w:t>
      </w:r>
      <w:r>
        <w:rPr>
          <w:bCs/>
        </w:rPr>
        <w:tab/>
      </w:r>
      <w:r w:rsidR="00B75A7E">
        <w:rPr>
          <w:snapToGrid w:val="0"/>
        </w:rPr>
        <w:t xml:space="preserve">My name is Kelly O. Norwood.  I am employed by Avista </w:t>
      </w:r>
      <w:r w:rsidR="00394FBE">
        <w:rPr>
          <w:snapToGrid w:val="0"/>
        </w:rPr>
        <w:t>Utilities</w:t>
      </w:r>
      <w:r w:rsidR="00B75A7E">
        <w:rPr>
          <w:snapToGrid w:val="0"/>
        </w:rPr>
        <w:t xml:space="preserve"> as the </w:t>
      </w:r>
      <w:r w:rsidR="00B75A7E" w:rsidRPr="009516FE">
        <w:rPr>
          <w:snapToGrid w:val="0"/>
        </w:rPr>
        <w:t>Vice-President of State &amp; Federal Regulation</w:t>
      </w:r>
      <w:r w:rsidR="00B75A7E">
        <w:rPr>
          <w:snapToGrid w:val="0"/>
        </w:rPr>
        <w:t>.</w:t>
      </w:r>
      <w:r w:rsidR="00B75A7E" w:rsidRPr="007D77DE">
        <w:rPr>
          <w:szCs w:val="24"/>
        </w:rPr>
        <w:t xml:space="preserve"> </w:t>
      </w:r>
      <w:r w:rsidR="00B75A7E" w:rsidRPr="009516FE">
        <w:rPr>
          <w:snapToGrid w:val="0"/>
        </w:rPr>
        <w:t xml:space="preserve">I am a graduate of </w:t>
      </w:r>
      <w:smartTag w:uri="urn:schemas-microsoft-com:office:smarttags" w:element="place">
        <w:smartTag w:uri="urn:schemas-microsoft-com:office:smarttags" w:element="PlaceName">
          <w:r w:rsidR="00B75A7E" w:rsidRPr="009516FE">
            <w:rPr>
              <w:snapToGrid w:val="0"/>
            </w:rPr>
            <w:t>Eastern</w:t>
          </w:r>
        </w:smartTag>
        <w:r w:rsidR="00B75A7E" w:rsidRPr="009516FE">
          <w:rPr>
            <w:snapToGrid w:val="0"/>
          </w:rPr>
          <w:t xml:space="preserve"> </w:t>
        </w:r>
        <w:smartTag w:uri="urn:schemas-microsoft-com:office:smarttags" w:element="PlaceName">
          <w:r w:rsidR="00B75A7E" w:rsidRPr="009516FE">
            <w:rPr>
              <w:snapToGrid w:val="0"/>
            </w:rPr>
            <w:t>Washington</w:t>
          </w:r>
        </w:smartTag>
        <w:r w:rsidR="00B75A7E" w:rsidRPr="009516FE">
          <w:rPr>
            <w:snapToGrid w:val="0"/>
          </w:rPr>
          <w:t xml:space="preserve"> </w:t>
        </w:r>
        <w:smartTag w:uri="urn:schemas-microsoft-com:office:smarttags" w:element="PlaceType">
          <w:r w:rsidR="00B75A7E" w:rsidRPr="009516FE">
            <w:rPr>
              <w:snapToGrid w:val="0"/>
            </w:rPr>
            <w:t>University</w:t>
          </w:r>
        </w:smartTag>
      </w:smartTag>
      <w:r w:rsidR="00B75A7E" w:rsidRPr="009516FE">
        <w:rPr>
          <w:snapToGrid w:val="0"/>
        </w:rPr>
        <w:t xml:space="preserve"> with a Bachelor of Arts Degree in Business Administration, majoring in Accounting.  I joined the Company in June of 1981.  Over the past </w:t>
      </w:r>
      <w:r w:rsidR="0031146E">
        <w:rPr>
          <w:snapToGrid w:val="0"/>
        </w:rPr>
        <w:t>3</w:t>
      </w:r>
      <w:r w:rsidR="003940CE">
        <w:rPr>
          <w:snapToGrid w:val="0"/>
        </w:rPr>
        <w:t>4</w:t>
      </w:r>
      <w:r w:rsidR="00B75A7E" w:rsidRPr="009516FE">
        <w:rPr>
          <w:snapToGrid w:val="0"/>
        </w:rPr>
        <w:t xml:space="preserve"> years, I have spent approximately </w:t>
      </w:r>
      <w:r w:rsidR="00586AA6">
        <w:rPr>
          <w:snapToGrid w:val="0"/>
        </w:rPr>
        <w:t>2</w:t>
      </w:r>
      <w:r w:rsidR="003940CE">
        <w:rPr>
          <w:snapToGrid w:val="0"/>
        </w:rPr>
        <w:t>3</w:t>
      </w:r>
      <w:r w:rsidR="00DC35BB">
        <w:rPr>
          <w:snapToGrid w:val="0"/>
        </w:rPr>
        <w:t xml:space="preserve"> </w:t>
      </w:r>
      <w:r w:rsidR="00B75A7E" w:rsidRPr="009516FE">
        <w:rPr>
          <w:snapToGrid w:val="0"/>
        </w:rPr>
        <w:t xml:space="preserve">years in the Rates Department with involvement in cost of service, rate design, revenue requirements and other aspects of ratemaking.  I spent approximately 11 years in the Energy Resources Department (power supply and natural gas supply) in a variety of roles, with involvement in resource planning, system operations, resource </w:t>
      </w:r>
      <w:r w:rsidR="00B75A7E" w:rsidRPr="009516FE">
        <w:rPr>
          <w:snapToGrid w:val="0"/>
        </w:rPr>
        <w:lastRenderedPageBreak/>
        <w:t>analysis, negotiation of power contracts, and risk management.  I was appointed Vice-President of State &amp; Federal Regulation in March 2002.</w:t>
      </w:r>
    </w:p>
    <w:p w:rsidR="00B15B16" w:rsidRPr="00F92D26" w:rsidRDefault="0052353F" w:rsidP="00B15B16">
      <w:pPr>
        <w:pStyle w:val="BodyTextIndent"/>
        <w:rPr>
          <w:b/>
          <w:bCs/>
        </w:rPr>
      </w:pPr>
      <w:r w:rsidRPr="00F92D26">
        <w:rPr>
          <w:b/>
          <w:bCs/>
        </w:rPr>
        <w:t xml:space="preserve">Q.        </w:t>
      </w:r>
      <w:r w:rsidR="0050707D" w:rsidRPr="00F92D26">
        <w:rPr>
          <w:b/>
          <w:bCs/>
        </w:rPr>
        <w:t xml:space="preserve">Mr. </w:t>
      </w:r>
      <w:r w:rsidR="00E97177">
        <w:rPr>
          <w:b/>
          <w:bCs/>
        </w:rPr>
        <w:t>McGuire</w:t>
      </w:r>
      <w:r w:rsidRPr="00F92D26">
        <w:rPr>
          <w:b/>
          <w:bCs/>
        </w:rPr>
        <w:t>, please provide information pertaining to your educational background and professional experience.</w:t>
      </w:r>
    </w:p>
    <w:p w:rsidR="00F92D26" w:rsidRDefault="0052353F" w:rsidP="0050707D">
      <w:pPr>
        <w:pStyle w:val="BodyTextIndent"/>
      </w:pPr>
      <w:r w:rsidRPr="00F92D26">
        <w:t xml:space="preserve">A.        </w:t>
      </w:r>
      <w:r w:rsidR="0050707D" w:rsidRPr="00F92D26">
        <w:t xml:space="preserve">My name is </w:t>
      </w:r>
      <w:r w:rsidR="00E97177">
        <w:t>Chris R. McGuire</w:t>
      </w:r>
      <w:r w:rsidR="0050707D" w:rsidRPr="00F92D26">
        <w:t>.  I am employed by the Washington Utilities and Transportation Commission (Commission)</w:t>
      </w:r>
      <w:r w:rsidR="0050707D">
        <w:t xml:space="preserve"> </w:t>
      </w:r>
      <w:r w:rsidR="00E97177" w:rsidRPr="00F80F6D">
        <w:rPr>
          <w:szCs w:val="24"/>
        </w:rPr>
        <w:t>as a Regulatory Analyst</w:t>
      </w:r>
      <w:r w:rsidR="00E97177">
        <w:rPr>
          <w:szCs w:val="24"/>
        </w:rPr>
        <w:t xml:space="preserve"> in the Conservation and Energy Planning Section of the Regulatory Services Division</w:t>
      </w:r>
      <w:r w:rsidR="0050707D">
        <w:t>.</w:t>
      </w:r>
      <w:r w:rsidR="00823434">
        <w:t xml:space="preserve">  My educational background and professional experience is contained in my response testimony filed July 27, 2015, in this docket on behalf of Staff in Exhibit No. </w:t>
      </w:r>
      <w:proofErr w:type="gramStart"/>
      <w:r w:rsidR="00823434">
        <w:t>___ (CRM-1T).</w:t>
      </w:r>
      <w:proofErr w:type="gramEnd"/>
    </w:p>
    <w:p w:rsidR="00733B6E" w:rsidRPr="00932FD2" w:rsidRDefault="00E97177" w:rsidP="00337679">
      <w:pPr>
        <w:pStyle w:val="BodyTextIndent"/>
        <w:rPr>
          <w:b/>
        </w:rPr>
      </w:pPr>
      <w:r w:rsidRPr="00E97177">
        <w:t xml:space="preserve"> </w:t>
      </w:r>
      <w:r w:rsidR="00733B6E" w:rsidRPr="00932FD2">
        <w:rPr>
          <w:b/>
        </w:rPr>
        <w:t>Q.</w:t>
      </w:r>
      <w:r w:rsidR="00733B6E" w:rsidRPr="00932FD2">
        <w:rPr>
          <w:b/>
        </w:rPr>
        <w:tab/>
        <w:t>Ms.</w:t>
      </w:r>
      <w:r w:rsidR="00C574E0">
        <w:rPr>
          <w:b/>
        </w:rPr>
        <w:t xml:space="preserve"> </w:t>
      </w:r>
      <w:r w:rsidR="00001B69">
        <w:rPr>
          <w:b/>
        </w:rPr>
        <w:t>Johnson</w:t>
      </w:r>
      <w:r w:rsidR="00733B6E" w:rsidRPr="00932FD2">
        <w:rPr>
          <w:b/>
        </w:rPr>
        <w:t>, please provide information pertaining to your educational background and professional experience.</w:t>
      </w:r>
    </w:p>
    <w:p w:rsidR="00733B6E" w:rsidRDefault="00733B6E" w:rsidP="00733B6E">
      <w:pPr>
        <w:spacing w:line="480" w:lineRule="auto"/>
        <w:ind w:firstLine="720"/>
        <w:jc w:val="both"/>
      </w:pPr>
      <w:r w:rsidRPr="00932FD2">
        <w:rPr>
          <w:bCs/>
        </w:rPr>
        <w:t>A.</w:t>
      </w:r>
      <w:r w:rsidRPr="00932FD2">
        <w:rPr>
          <w:bCs/>
        </w:rPr>
        <w:tab/>
      </w:r>
      <w:r w:rsidRPr="00932FD2">
        <w:t xml:space="preserve">My name is </w:t>
      </w:r>
      <w:r w:rsidR="00001B69">
        <w:t xml:space="preserve">Stefanie Johnson </w:t>
      </w:r>
      <w:r w:rsidRPr="00932FD2">
        <w:t>and my business</w:t>
      </w:r>
      <w:r>
        <w:t xml:space="preserve"> address is 800 Fifth Avenue, Suite 2000, Seattle, Washington, 98104.  I am employed as a Regulatory Analyst with the Public Counsel </w:t>
      </w:r>
      <w:r w:rsidR="00001B69">
        <w:t xml:space="preserve">Unit </w:t>
      </w:r>
      <w:r>
        <w:t xml:space="preserve">of the Washington Attorney General’s Office.  </w:t>
      </w:r>
    </w:p>
    <w:p w:rsidR="00001B69" w:rsidRDefault="00001B69" w:rsidP="00001B69">
      <w:pPr>
        <w:spacing w:line="480" w:lineRule="auto"/>
        <w:ind w:firstLine="720"/>
        <w:jc w:val="both"/>
      </w:pPr>
      <w:r>
        <w:t xml:space="preserve">I received a B.A. in Political Studies and History from Whitworth University in 2002.  In 2005, I received a Master’s degree in Public Administration from the Daniel J. Evans School of Public Policy and Governance at the University of Washington. Since joining Public Counsel in December 2005, </w:t>
      </w:r>
      <w:r w:rsidRPr="00BC0395">
        <w:t>I have worked on a wide range of energy and telecommunications issues, including: utility conservation programs, integrated resource planning, resource acquisition, utility company mergers and acquisitions, legislative matters, and numerous items associated with various regulatory procedures and ratemaking policies.</w:t>
      </w:r>
    </w:p>
    <w:p w:rsidR="00733B6E" w:rsidRDefault="00001B69" w:rsidP="00733B6E">
      <w:pPr>
        <w:pStyle w:val="BodyTextIndent"/>
      </w:pPr>
      <w:r w:rsidRPr="00932FD2">
        <w:t>Most recently, I filed testimony in PacifiCorp’s 201</w:t>
      </w:r>
      <w:r>
        <w:t xml:space="preserve">4 general rate case.  </w:t>
      </w:r>
      <w:r w:rsidRPr="00932FD2">
        <w:t xml:space="preserve">I have also </w:t>
      </w:r>
      <w:r>
        <w:t xml:space="preserve">recently </w:t>
      </w:r>
      <w:r w:rsidRPr="00932FD2">
        <w:t>filed written testimony and testified as a member of the panel supporting a number of settlements, including</w:t>
      </w:r>
      <w:r>
        <w:t xml:space="preserve"> the PacifiCorp PCAM settlement (Docket UE-140762), the PSE PCA settlement (Docket UE-130617), the 2013 PSE Power Cost Only Rate Case.</w:t>
      </w:r>
    </w:p>
    <w:p w:rsidR="003D7951" w:rsidRPr="00932FD2" w:rsidRDefault="003D7951" w:rsidP="00F92D26">
      <w:pPr>
        <w:pStyle w:val="BodyTextIndent"/>
        <w:rPr>
          <w:b/>
        </w:rPr>
      </w:pPr>
      <w:r w:rsidRPr="00932FD2">
        <w:rPr>
          <w:b/>
        </w:rPr>
        <w:t>Q.</w:t>
      </w:r>
      <w:r w:rsidRPr="00932FD2">
        <w:rPr>
          <w:b/>
        </w:rPr>
        <w:tab/>
        <w:t xml:space="preserve">Mr. </w:t>
      </w:r>
      <w:r w:rsidR="00586AA6" w:rsidRPr="00932FD2">
        <w:rPr>
          <w:b/>
        </w:rPr>
        <w:t>Mullins</w:t>
      </w:r>
      <w:r w:rsidR="00763E82" w:rsidRPr="00932FD2">
        <w:rPr>
          <w:b/>
        </w:rPr>
        <w:t>,</w:t>
      </w:r>
      <w:r w:rsidRPr="00932FD2">
        <w:rPr>
          <w:b/>
        </w:rPr>
        <w:t xml:space="preserve"> please provide information pertaining to your educational background and professional experience.</w:t>
      </w:r>
    </w:p>
    <w:p w:rsidR="00932FD2" w:rsidRDefault="003D7951" w:rsidP="00B0701A">
      <w:pPr>
        <w:pStyle w:val="BodyTextIndent"/>
        <w:tabs>
          <w:tab w:val="clear" w:pos="1260"/>
          <w:tab w:val="left" w:pos="1440"/>
        </w:tabs>
      </w:pPr>
      <w:r w:rsidRPr="00932FD2">
        <w:t>A.</w:t>
      </w:r>
      <w:r w:rsidRPr="00932FD2">
        <w:tab/>
        <w:t xml:space="preserve">My name is </w:t>
      </w:r>
      <w:r w:rsidR="00586AA6" w:rsidRPr="00932FD2">
        <w:t>Bradley G. Mullins</w:t>
      </w:r>
      <w:r w:rsidRPr="00932FD2">
        <w:t xml:space="preserve">.  </w:t>
      </w:r>
      <w:r w:rsidR="00932FD2">
        <w:t xml:space="preserve">I am an independent consultant </w:t>
      </w:r>
      <w:r w:rsidR="00932FD2" w:rsidRPr="00932FD2">
        <w:t xml:space="preserve">appearing on behalf of the Industrial Customers of Northwest Utilities (“ICNU”), a non-profit trade association whose members are large customers served by electric utilities throughout the Pacific Northwest, including Avista.  </w:t>
      </w:r>
    </w:p>
    <w:p w:rsidR="00932FD2" w:rsidRDefault="00932FD2" w:rsidP="00B0701A">
      <w:pPr>
        <w:pStyle w:val="BodyTextIndent"/>
        <w:tabs>
          <w:tab w:val="clear" w:pos="1260"/>
          <w:tab w:val="left" w:pos="1440"/>
        </w:tabs>
      </w:pPr>
      <w:r w:rsidRPr="00932FD2">
        <w:t>I received Bachelor of Science degrees in Finance and in Accounting from the University of Utah.  I also received a Master of Science degree in Accounting from the University of Utah.  After receiving my Master of Science degree, I worked at Deloitte Tax, LLP, where I was a Tax Senior providing tax consulting services to multi-national corporations and investment fund clients.  Subsequently, I worked at PacifiCorp Energy as an analyst involved in regulatory matters primarily involving power supply costs.  I began performing independent consulting services in September 2013.  I currently provide consulting services for utility customers, independent power producers, and qualifying facilities on matters ranging from power costs and revenue requirement to power purchase agreement negotiations.</w:t>
      </w:r>
    </w:p>
    <w:p w:rsidR="00B0701A" w:rsidRPr="00784E88" w:rsidRDefault="00B0701A" w:rsidP="00B0701A">
      <w:pPr>
        <w:pStyle w:val="BodyTextIndent"/>
        <w:tabs>
          <w:tab w:val="clear" w:pos="1260"/>
          <w:tab w:val="left" w:pos="1440"/>
        </w:tabs>
        <w:rPr>
          <w:b/>
        </w:rPr>
      </w:pPr>
      <w:r w:rsidRPr="00784E88">
        <w:rPr>
          <w:b/>
        </w:rPr>
        <w:t>Q.</w:t>
      </w:r>
      <w:r w:rsidRPr="00784E88">
        <w:rPr>
          <w:b/>
        </w:rPr>
        <w:tab/>
        <w:t>Mr. Finklea, please provide information pertaining to your educational background and professional experience.</w:t>
      </w:r>
    </w:p>
    <w:p w:rsidR="00A81F28" w:rsidRDefault="00B0701A" w:rsidP="00AD15AA">
      <w:pPr>
        <w:pStyle w:val="BodyTextIndent"/>
        <w:tabs>
          <w:tab w:val="clear" w:pos="1260"/>
          <w:tab w:val="left" w:pos="1440"/>
        </w:tabs>
      </w:pPr>
      <w:r w:rsidRPr="00784E88">
        <w:t>A.</w:t>
      </w:r>
      <w:r w:rsidRPr="00784E88">
        <w:tab/>
      </w:r>
      <w:r w:rsidR="00784E88" w:rsidRPr="00784E88">
        <w:t>My name is Edward A. Finklea.  My business address is 326 Fifth Street, Lake Oswego, OR 97034. I currently serve as the Executive Director of the Northwest Industrial Gas Users</w:t>
      </w:r>
      <w:r w:rsidR="00784E88">
        <w:t xml:space="preserve"> (NWIGU)</w:t>
      </w:r>
      <w:r w:rsidR="00784E88" w:rsidRPr="00784E88">
        <w:t xml:space="preserve">.  I recently served as an adjunct professor of Law and Economics at Lewis and Clark Law School. Prior to my current position, I was Senior Counsel for </w:t>
      </w:r>
      <w:proofErr w:type="spellStart"/>
      <w:r w:rsidR="00784E88" w:rsidRPr="00784E88">
        <w:t>Nisource</w:t>
      </w:r>
      <w:proofErr w:type="spellEnd"/>
      <w:r w:rsidR="00784E88" w:rsidRPr="00784E88">
        <w:t xml:space="preserve"> Corporate Services, serving as regulatory counsel for an interstate pipeline on matters before the Federal Energy Regulatory Commission.   From 1986 until 2008, I was in the private practice of law and the Northwest Industrial Gas Users were one of my clients.  In that capacity, I represented the Northwest Industrial Gas Users in all regulatory interventions concerning Williams Gas Pipeline West and TransCanada Gas Transmission Northwest, and before state regulatory commissions concerning regulation of the five regional natural gas local distribution companies.</w:t>
      </w:r>
    </w:p>
    <w:p w:rsidR="00E05DE0" w:rsidRDefault="00E05DE0" w:rsidP="00540C5A">
      <w:pPr>
        <w:pStyle w:val="BodyTextIndent"/>
        <w:tabs>
          <w:tab w:val="clear" w:pos="1260"/>
        </w:tabs>
        <w:ind w:firstLine="0"/>
        <w:jc w:val="center"/>
        <w:rPr>
          <w:b/>
          <w:u w:val="single"/>
        </w:rPr>
      </w:pPr>
    </w:p>
    <w:p w:rsidR="000B3F3B" w:rsidRDefault="009F5C1E" w:rsidP="00540C5A">
      <w:pPr>
        <w:pStyle w:val="BodyTextIndent"/>
        <w:tabs>
          <w:tab w:val="clear" w:pos="1260"/>
        </w:tabs>
        <w:ind w:firstLine="0"/>
        <w:jc w:val="center"/>
        <w:rPr>
          <w:b/>
          <w:u w:val="single"/>
        </w:rPr>
      </w:pPr>
      <w:r>
        <w:rPr>
          <w:b/>
          <w:u w:val="single"/>
        </w:rPr>
        <w:t>III</w:t>
      </w:r>
      <w:proofErr w:type="gramStart"/>
      <w:r w:rsidR="000B3F3B">
        <w:rPr>
          <w:b/>
          <w:u w:val="single"/>
        </w:rPr>
        <w:t>.</w:t>
      </w:r>
      <w:r w:rsidR="00CC2AE4">
        <w:rPr>
          <w:b/>
          <w:u w:val="single"/>
        </w:rPr>
        <w:t xml:space="preserve">  </w:t>
      </w:r>
      <w:r w:rsidR="000B3F3B">
        <w:rPr>
          <w:b/>
          <w:u w:val="single"/>
        </w:rPr>
        <w:t>SETTLEMENT</w:t>
      </w:r>
      <w:proofErr w:type="gramEnd"/>
      <w:r w:rsidR="000B3F3B">
        <w:rPr>
          <w:b/>
          <w:u w:val="single"/>
        </w:rPr>
        <w:t xml:space="preserve"> PROCESS</w:t>
      </w:r>
    </w:p>
    <w:p w:rsidR="000B3F3B" w:rsidRDefault="000B3F3B">
      <w:pPr>
        <w:pStyle w:val="BodyTextIndent"/>
        <w:tabs>
          <w:tab w:val="clear" w:pos="1260"/>
          <w:tab w:val="left" w:pos="1440"/>
        </w:tabs>
        <w:rPr>
          <w:b/>
        </w:rPr>
      </w:pPr>
      <w:r>
        <w:rPr>
          <w:b/>
        </w:rPr>
        <w:t>Q.</w:t>
      </w:r>
      <w:r>
        <w:rPr>
          <w:b/>
        </w:rPr>
        <w:tab/>
        <w:t xml:space="preserve">Would you please describe the process that led to the filing of the </w:t>
      </w:r>
      <w:r w:rsidR="00DC35BB">
        <w:rPr>
          <w:b/>
        </w:rPr>
        <w:t>Settlement</w:t>
      </w:r>
      <w:r>
        <w:rPr>
          <w:b/>
        </w:rPr>
        <w:t>?</w:t>
      </w:r>
    </w:p>
    <w:p w:rsidR="000B3F3B" w:rsidRDefault="000B3F3B" w:rsidP="000843F8">
      <w:pPr>
        <w:pStyle w:val="BodyTextIndent"/>
        <w:keepNext/>
        <w:tabs>
          <w:tab w:val="left" w:pos="2160"/>
          <w:tab w:val="left" w:pos="2880"/>
          <w:tab w:val="left" w:pos="3600"/>
        </w:tabs>
        <w:outlineLvl w:val="0"/>
      </w:pPr>
      <w:r>
        <w:t>A.</w:t>
      </w:r>
      <w:r>
        <w:tab/>
        <w:t xml:space="preserve">Yes.  </w:t>
      </w:r>
      <w:r w:rsidR="00001B69">
        <w:t xml:space="preserve">After some preliminary discussions among various parties, representatives </w:t>
      </w:r>
      <w:r w:rsidR="000843F8">
        <w:t>of all Parties appeared telephonically at a Settlement Conference held on April 24, 2015, which was held for the purpose of narrowing or resolving the contested issues in this proceeding.  D</w:t>
      </w:r>
      <w:r w:rsidR="0010301E">
        <w:t>iscussions occurred on many</w:t>
      </w:r>
      <w:r>
        <w:t xml:space="preserve"> components of the Company’s filing, </w:t>
      </w:r>
      <w:r w:rsidR="0010301E">
        <w:t xml:space="preserve">such as the </w:t>
      </w:r>
      <w:r>
        <w:t>cost of capital</w:t>
      </w:r>
      <w:r w:rsidR="0010301E">
        <w:t>,</w:t>
      </w:r>
      <w:r>
        <w:t xml:space="preserve"> </w:t>
      </w:r>
      <w:r w:rsidR="000843F8">
        <w:t>power supply costs, and rate spread/rate design issues</w:t>
      </w:r>
      <w:r w:rsidR="00D63522">
        <w:t>.</w:t>
      </w:r>
      <w:r w:rsidR="003B21FA">
        <w:t xml:space="preserve">  The </w:t>
      </w:r>
      <w:r w:rsidR="004438F4">
        <w:t>P</w:t>
      </w:r>
      <w:r>
        <w:t>arties engaged in the “give-and-take” that characterizes settlement discussions and attempted to arrive at a reasonable balance of differing interests</w:t>
      </w:r>
      <w:r w:rsidR="000843F8">
        <w:t xml:space="preserve"> related to the settled-upon issues</w:t>
      </w:r>
      <w:r>
        <w:t xml:space="preserve">.  </w:t>
      </w:r>
      <w:r w:rsidR="00754A0A">
        <w:t>E</w:t>
      </w:r>
      <w:r>
        <w:t xml:space="preserve">ach of the </w:t>
      </w:r>
      <w:r w:rsidR="00513EF3">
        <w:t>Parties</w:t>
      </w:r>
      <w:r>
        <w:t xml:space="preserve"> </w:t>
      </w:r>
      <w:r w:rsidR="00B05F79">
        <w:t xml:space="preserve">ultimately </w:t>
      </w:r>
      <w:r>
        <w:t xml:space="preserve">agreed to concessions on matters which would not have been agreed to if each of the </w:t>
      </w:r>
      <w:r w:rsidR="00513EF3">
        <w:t>Parties</w:t>
      </w:r>
      <w:r>
        <w:t xml:space="preserve"> were to proceed to evidentiary hearings.</w:t>
      </w:r>
    </w:p>
    <w:p w:rsidR="00E6116E" w:rsidRDefault="00E6116E" w:rsidP="000843F8">
      <w:pPr>
        <w:pStyle w:val="BodyTextIndent"/>
        <w:keepNext/>
        <w:tabs>
          <w:tab w:val="left" w:pos="2160"/>
          <w:tab w:val="left" w:pos="2880"/>
          <w:tab w:val="left" w:pos="3600"/>
        </w:tabs>
        <w:outlineLvl w:val="0"/>
      </w:pPr>
    </w:p>
    <w:p w:rsidR="000B3F3B" w:rsidRPr="00A81F28" w:rsidRDefault="009F5C1E" w:rsidP="00A81F28">
      <w:pPr>
        <w:pStyle w:val="BodyTextIndent"/>
        <w:tabs>
          <w:tab w:val="clear" w:pos="1260"/>
        </w:tabs>
        <w:jc w:val="center"/>
        <w:rPr>
          <w:b/>
          <w:u w:val="single"/>
        </w:rPr>
      </w:pPr>
      <w:r w:rsidRPr="00A81F28">
        <w:rPr>
          <w:b/>
          <w:u w:val="single"/>
        </w:rPr>
        <w:t>I</w:t>
      </w:r>
      <w:r w:rsidR="000B3F3B" w:rsidRPr="00A81F28">
        <w:rPr>
          <w:b/>
          <w:u w:val="single"/>
        </w:rPr>
        <w:t>V</w:t>
      </w:r>
      <w:proofErr w:type="gramStart"/>
      <w:r w:rsidR="000B3F3B" w:rsidRPr="00A81F28">
        <w:rPr>
          <w:b/>
          <w:u w:val="single"/>
        </w:rPr>
        <w:t>.</w:t>
      </w:r>
      <w:r w:rsidR="00CC2AE4" w:rsidRPr="00A81F28">
        <w:rPr>
          <w:b/>
          <w:u w:val="single"/>
        </w:rPr>
        <w:t xml:space="preserve">  </w:t>
      </w:r>
      <w:r w:rsidR="000843F8">
        <w:rPr>
          <w:b/>
          <w:u w:val="single"/>
        </w:rPr>
        <w:t>COST</w:t>
      </w:r>
      <w:proofErr w:type="gramEnd"/>
      <w:r w:rsidR="000843F8">
        <w:rPr>
          <w:b/>
          <w:u w:val="single"/>
        </w:rPr>
        <w:t xml:space="preserve"> OF CAPITAL</w:t>
      </w:r>
    </w:p>
    <w:p w:rsidR="000B3F3B" w:rsidRDefault="000B3F3B" w:rsidP="00DC6904">
      <w:pPr>
        <w:pStyle w:val="BodyTextIndent"/>
        <w:tabs>
          <w:tab w:val="clear" w:pos="1260"/>
          <w:tab w:val="left" w:pos="1440"/>
        </w:tabs>
        <w:rPr>
          <w:rFonts w:ascii="Times" w:hAnsi="Times"/>
          <w:b/>
          <w:bCs/>
        </w:rPr>
      </w:pPr>
      <w:r>
        <w:rPr>
          <w:rFonts w:ascii="Times" w:hAnsi="Times"/>
          <w:b/>
          <w:bCs/>
        </w:rPr>
        <w:t>Q.</w:t>
      </w:r>
      <w:r>
        <w:rPr>
          <w:rFonts w:ascii="Times" w:hAnsi="Times"/>
          <w:b/>
          <w:bCs/>
        </w:rPr>
        <w:tab/>
        <w:t xml:space="preserve">Please explain the </w:t>
      </w:r>
      <w:r w:rsidR="00513EF3">
        <w:rPr>
          <w:rFonts w:ascii="Times" w:hAnsi="Times"/>
          <w:b/>
          <w:bCs/>
        </w:rPr>
        <w:t>Parties</w:t>
      </w:r>
      <w:r w:rsidR="004E2E76">
        <w:rPr>
          <w:rFonts w:ascii="Times" w:hAnsi="Times"/>
          <w:b/>
          <w:bCs/>
        </w:rPr>
        <w:t>’</w:t>
      </w:r>
      <w:r>
        <w:rPr>
          <w:rFonts w:ascii="Times" w:hAnsi="Times"/>
          <w:b/>
          <w:bCs/>
        </w:rPr>
        <w:t xml:space="preserve"> agreement in regards to </w:t>
      </w:r>
      <w:r w:rsidR="004E2E76">
        <w:rPr>
          <w:rFonts w:ascii="Times" w:hAnsi="Times"/>
          <w:b/>
          <w:bCs/>
        </w:rPr>
        <w:t xml:space="preserve">the </w:t>
      </w:r>
      <w:r w:rsidR="009D5606">
        <w:rPr>
          <w:rFonts w:ascii="Times" w:hAnsi="Times"/>
          <w:b/>
          <w:bCs/>
        </w:rPr>
        <w:t>r</w:t>
      </w:r>
      <w:r>
        <w:rPr>
          <w:rFonts w:ascii="Times" w:hAnsi="Times"/>
          <w:b/>
          <w:bCs/>
        </w:rPr>
        <w:t xml:space="preserve">ate of </w:t>
      </w:r>
      <w:r w:rsidR="009D5606">
        <w:rPr>
          <w:rFonts w:ascii="Times" w:hAnsi="Times"/>
          <w:b/>
          <w:bCs/>
        </w:rPr>
        <w:t>r</w:t>
      </w:r>
      <w:r>
        <w:rPr>
          <w:rFonts w:ascii="Times" w:hAnsi="Times"/>
          <w:b/>
          <w:bCs/>
        </w:rPr>
        <w:t>eturn.</w:t>
      </w:r>
    </w:p>
    <w:p w:rsidR="000843F8" w:rsidRDefault="000B3F3B" w:rsidP="000843F8">
      <w:pPr>
        <w:pStyle w:val="BodyText"/>
        <w:ind w:right="90"/>
        <w:rPr>
          <w:b w:val="0"/>
        </w:rPr>
      </w:pPr>
      <w:r w:rsidRPr="000843F8">
        <w:rPr>
          <w:b w:val="0"/>
        </w:rPr>
        <w:t>A.</w:t>
      </w:r>
      <w:r w:rsidRPr="000843F8">
        <w:rPr>
          <w:b w:val="0"/>
        </w:rPr>
        <w:tab/>
      </w:r>
      <w:r w:rsidR="00F406AF" w:rsidRPr="000843F8">
        <w:rPr>
          <w:b w:val="0"/>
        </w:rPr>
        <w:t xml:space="preserve">  </w:t>
      </w:r>
      <w:r w:rsidR="000843F8" w:rsidRPr="009A3B61">
        <w:rPr>
          <w:b w:val="0"/>
        </w:rPr>
        <w:t>The Parties agree</w:t>
      </w:r>
      <w:r w:rsidR="000843F8">
        <w:rPr>
          <w:b w:val="0"/>
        </w:rPr>
        <w:t>d</w:t>
      </w:r>
      <w:r w:rsidR="000843F8" w:rsidRPr="009A3B61">
        <w:rPr>
          <w:b w:val="0"/>
        </w:rPr>
        <w:t xml:space="preserve"> </w:t>
      </w:r>
      <w:r w:rsidR="000843F8">
        <w:rPr>
          <w:b w:val="0"/>
        </w:rPr>
        <w:t xml:space="preserve">to an overall </w:t>
      </w:r>
      <w:r w:rsidR="009D5606">
        <w:rPr>
          <w:b w:val="0"/>
        </w:rPr>
        <w:t>r</w:t>
      </w:r>
      <w:r w:rsidR="000843F8">
        <w:rPr>
          <w:b w:val="0"/>
        </w:rPr>
        <w:t xml:space="preserve">ate of </w:t>
      </w:r>
      <w:r w:rsidR="009D5606">
        <w:rPr>
          <w:b w:val="0"/>
        </w:rPr>
        <w:t>r</w:t>
      </w:r>
      <w:r w:rsidR="000843F8">
        <w:rPr>
          <w:b w:val="0"/>
        </w:rPr>
        <w:t>eturn of 7.29</w:t>
      </w:r>
      <w:r w:rsidR="00CA6C84">
        <w:rPr>
          <w:b w:val="0"/>
        </w:rPr>
        <w:t xml:space="preserve"> percent</w:t>
      </w:r>
      <w:r w:rsidR="000843F8">
        <w:rPr>
          <w:b w:val="0"/>
        </w:rPr>
        <w:t xml:space="preserve">, which includes </w:t>
      </w:r>
      <w:r w:rsidR="000843F8" w:rsidRPr="009A3B61">
        <w:rPr>
          <w:b w:val="0"/>
        </w:rPr>
        <w:t xml:space="preserve">a </w:t>
      </w:r>
      <w:r w:rsidR="000843F8">
        <w:rPr>
          <w:b w:val="0"/>
        </w:rPr>
        <w:t xml:space="preserve">9.5 </w:t>
      </w:r>
      <w:r w:rsidR="000843F8" w:rsidRPr="009A3B61">
        <w:rPr>
          <w:b w:val="0"/>
        </w:rPr>
        <w:t xml:space="preserve">percent return on equity, with a </w:t>
      </w:r>
      <w:r w:rsidR="000843F8">
        <w:rPr>
          <w:b w:val="0"/>
        </w:rPr>
        <w:t>48.5</w:t>
      </w:r>
      <w:r w:rsidR="000843F8" w:rsidRPr="009A3B61">
        <w:rPr>
          <w:b w:val="0"/>
        </w:rPr>
        <w:t xml:space="preserve"> percent common equity ratio</w:t>
      </w:r>
      <w:r w:rsidR="000843F8">
        <w:rPr>
          <w:b w:val="0"/>
        </w:rPr>
        <w:t xml:space="preserve">.  The individual cost of capital components of the agreed upon rate of return are </w:t>
      </w:r>
      <w:r w:rsidR="000843F8" w:rsidRPr="009A3B61">
        <w:rPr>
          <w:b w:val="0"/>
        </w:rPr>
        <w:t xml:space="preserve">set forth </w:t>
      </w:r>
      <w:r w:rsidR="000843F8">
        <w:rPr>
          <w:b w:val="0"/>
        </w:rPr>
        <w:t xml:space="preserve">in Table No. 1 </w:t>
      </w:r>
      <w:r w:rsidR="000843F8" w:rsidRPr="009A3B61">
        <w:rPr>
          <w:b w:val="0"/>
        </w:rPr>
        <w:t>below:</w:t>
      </w:r>
    </w:p>
    <w:p w:rsidR="000843F8" w:rsidRPr="000843F8" w:rsidRDefault="000843F8" w:rsidP="000843F8">
      <w:pPr>
        <w:pStyle w:val="BodyText"/>
        <w:ind w:right="90" w:firstLine="0"/>
        <w:rPr>
          <w:u w:val="single"/>
        </w:rPr>
      </w:pPr>
      <w:r w:rsidRPr="000843F8">
        <w:rPr>
          <w:u w:val="single"/>
        </w:rPr>
        <w:t>Table No. 1 – Agreed Upon Cost of Capital</w:t>
      </w:r>
    </w:p>
    <w:p w:rsidR="009A1ACD" w:rsidRDefault="001F6127" w:rsidP="009A1ACD">
      <w:pPr>
        <w:pStyle w:val="Header"/>
        <w:tabs>
          <w:tab w:val="left" w:pos="720"/>
        </w:tabs>
        <w:spacing w:line="480" w:lineRule="auto"/>
        <w:jc w:val="both"/>
      </w:pPr>
      <w:r w:rsidRPr="001F6127">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9" type="#_x0000_t75" style="position:absolute;left:0;text-align:left;margin-left:74.85pt;margin-top:10.5pt;width:300.15pt;height:84.15pt;z-index:-251658752;mso-position-horizontal-relative:text;mso-position-vertical-relative:text">
            <v:imagedata r:id="rId16" o:title=""/>
          </v:shape>
          <o:OLEObject Type="Embed" ProgID="Excel.Sheet.12" ShapeID="_x0000_s1349" DrawAspect="Content" ObjectID="_1499164414" r:id="rId17"/>
        </w:pict>
      </w:r>
    </w:p>
    <w:p w:rsidR="000843F8" w:rsidRDefault="000843F8" w:rsidP="009A1ACD">
      <w:pPr>
        <w:pStyle w:val="Header"/>
        <w:tabs>
          <w:tab w:val="left" w:pos="720"/>
        </w:tabs>
        <w:spacing w:line="480" w:lineRule="auto"/>
        <w:jc w:val="both"/>
      </w:pPr>
    </w:p>
    <w:p w:rsidR="000843F8" w:rsidRDefault="000843F8" w:rsidP="009A1ACD">
      <w:pPr>
        <w:pStyle w:val="Header"/>
        <w:tabs>
          <w:tab w:val="left" w:pos="720"/>
        </w:tabs>
        <w:spacing w:line="480" w:lineRule="auto"/>
        <w:jc w:val="both"/>
      </w:pPr>
    </w:p>
    <w:p w:rsidR="005E4131" w:rsidRDefault="005E4131" w:rsidP="000843F8">
      <w:pPr>
        <w:spacing w:line="480" w:lineRule="auto"/>
        <w:ind w:firstLine="720"/>
        <w:jc w:val="center"/>
        <w:rPr>
          <w:b/>
          <w:bCs/>
          <w:u w:val="single"/>
        </w:rPr>
      </w:pPr>
    </w:p>
    <w:p w:rsidR="000843F8" w:rsidRPr="00BF644F" w:rsidRDefault="000843F8" w:rsidP="000843F8">
      <w:pPr>
        <w:spacing w:line="480" w:lineRule="auto"/>
        <w:ind w:firstLine="720"/>
        <w:jc w:val="center"/>
        <w:rPr>
          <w:b/>
          <w:bCs/>
          <w:u w:val="single"/>
        </w:rPr>
      </w:pPr>
      <w:r w:rsidRPr="00BF644F">
        <w:rPr>
          <w:b/>
          <w:bCs/>
          <w:u w:val="single"/>
        </w:rPr>
        <w:t xml:space="preserve">V.  </w:t>
      </w:r>
      <w:r>
        <w:rPr>
          <w:b/>
          <w:bCs/>
          <w:u w:val="single"/>
        </w:rPr>
        <w:t>POWER SUPPLY</w:t>
      </w:r>
    </w:p>
    <w:p w:rsidR="000843F8" w:rsidRDefault="000843F8" w:rsidP="000843F8">
      <w:pPr>
        <w:pStyle w:val="BodyTextIndent3"/>
        <w:tabs>
          <w:tab w:val="clear" w:pos="1260"/>
          <w:tab w:val="left" w:pos="1440"/>
        </w:tabs>
        <w:suppressAutoHyphens/>
        <w:jc w:val="left"/>
        <w:rPr>
          <w:bCs/>
        </w:rPr>
      </w:pPr>
      <w:r>
        <w:rPr>
          <w:bCs/>
        </w:rPr>
        <w:t>Q.</w:t>
      </w:r>
      <w:r>
        <w:rPr>
          <w:bCs/>
        </w:rPr>
        <w:tab/>
        <w:t xml:space="preserve">Please explain the provisions in the Settlement related to </w:t>
      </w:r>
      <w:r w:rsidR="005A5A42">
        <w:rPr>
          <w:bCs/>
        </w:rPr>
        <w:t>power supply costs</w:t>
      </w:r>
      <w:r>
        <w:rPr>
          <w:bCs/>
        </w:rPr>
        <w:t>?</w:t>
      </w:r>
    </w:p>
    <w:p w:rsidR="005A5A42" w:rsidRDefault="000843F8" w:rsidP="005A5A42">
      <w:pPr>
        <w:spacing w:line="480" w:lineRule="auto"/>
        <w:ind w:firstLine="720"/>
        <w:jc w:val="both"/>
      </w:pPr>
      <w:r>
        <w:t>A.</w:t>
      </w:r>
      <w:r>
        <w:tab/>
      </w:r>
      <w:r w:rsidR="005A5A42">
        <w:t xml:space="preserve">The Parties </w:t>
      </w:r>
      <w:r w:rsidR="00281E3B">
        <w:t xml:space="preserve">agreed </w:t>
      </w:r>
      <w:r w:rsidR="005A5A42">
        <w:t xml:space="preserve">with the new base </w:t>
      </w:r>
      <w:r w:rsidR="002F0BE7">
        <w:t>p</w:t>
      </w:r>
      <w:r w:rsidR="005A5A42">
        <w:t xml:space="preserve">ower </w:t>
      </w:r>
      <w:r w:rsidR="002F0BE7">
        <w:t>s</w:t>
      </w:r>
      <w:r w:rsidR="005A5A42">
        <w:t>upply costs filed by the Company, with the following specified adjustments:</w:t>
      </w:r>
    </w:p>
    <w:p w:rsidR="005A5A42" w:rsidRDefault="005A5A42" w:rsidP="005A5A42">
      <w:pPr>
        <w:pStyle w:val="ListParagraph"/>
        <w:numPr>
          <w:ilvl w:val="0"/>
          <w:numId w:val="33"/>
        </w:numPr>
        <w:spacing w:line="480" w:lineRule="auto"/>
        <w:ind w:right="-4" w:firstLine="0"/>
        <w:contextualSpacing/>
        <w:jc w:val="both"/>
      </w:pPr>
      <w:r>
        <w:rPr>
          <w:u w:val="single"/>
        </w:rPr>
        <w:t>Correction for AURORA</w:t>
      </w:r>
      <w:r>
        <w:rPr>
          <w:sz w:val="20"/>
          <w:u w:val="single"/>
          <w:vertAlign w:val="subscript"/>
        </w:rPr>
        <w:t>XMP</w:t>
      </w:r>
      <w:r>
        <w:rPr>
          <w:u w:val="single"/>
        </w:rPr>
        <w:t xml:space="preserve"> Coding Error</w:t>
      </w:r>
      <w:r>
        <w:t>:  The AURORA</w:t>
      </w:r>
      <w:r>
        <w:rPr>
          <w:vertAlign w:val="subscript"/>
        </w:rPr>
        <w:t>XMP</w:t>
      </w:r>
      <w:r>
        <w:t xml:space="preserve"> power supply model contains the functionality to calculate the mark-to-market value of the financial transactions entered into in the pro forma year by calculating the “gain” or “loss” of each transaction by comparing the fixed price of the transactions compared to the modeled energy price in AURORA</w:t>
      </w:r>
      <w:r>
        <w:rPr>
          <w:vertAlign w:val="subscript"/>
        </w:rPr>
        <w:t>XMP</w:t>
      </w:r>
      <w:r>
        <w:t>.  An enhancement of the AURORA</w:t>
      </w:r>
      <w:r>
        <w:rPr>
          <w:vertAlign w:val="subscript"/>
        </w:rPr>
        <w:t>XMP</w:t>
      </w:r>
      <w:r>
        <w:t xml:space="preserve"> model by EPIS in late 2014 contained an incorrect calculation of the mark-to-market function, which the Company discovered in April 2015.</w:t>
      </w:r>
      <w:r w:rsidRPr="007A2AB8">
        <w:rPr>
          <w:rStyle w:val="FootnoteReference"/>
        </w:rPr>
        <w:footnoteReference w:id="1"/>
      </w:r>
      <w:r>
        <w:t xml:space="preserve"> The logic in the model essentially reversed the signs so that a gain became a loss and a loss was reflected as a gain.  The effect of this correction is a reduction in power supply expense of approximately $6.9 million (Washington basis).  </w:t>
      </w:r>
    </w:p>
    <w:p w:rsidR="005A5A42" w:rsidRDefault="005A5A42" w:rsidP="005A5A42">
      <w:pPr>
        <w:pStyle w:val="ListParagraph"/>
        <w:numPr>
          <w:ilvl w:val="0"/>
          <w:numId w:val="33"/>
        </w:numPr>
        <w:spacing w:line="480" w:lineRule="auto"/>
        <w:ind w:right="-4" w:firstLine="0"/>
        <w:contextualSpacing/>
        <w:jc w:val="both"/>
      </w:pPr>
      <w:r>
        <w:t xml:space="preserve"> </w:t>
      </w:r>
      <w:r>
        <w:rPr>
          <w:u w:val="single"/>
        </w:rPr>
        <w:t>Chelan PUD Contract Expense</w:t>
      </w:r>
      <w:r>
        <w:t>:  During the development of the power supply costs for the rate case, the Company had been working with Chelan PUD regarding a planned auction for Chelan to sell a 5</w:t>
      </w:r>
      <w:r w:rsidR="00CA6C84">
        <w:t xml:space="preserve"> </w:t>
      </w:r>
      <w:r w:rsidR="002F0BE7">
        <w:t>percent</w:t>
      </w:r>
      <w:r>
        <w:t xml:space="preserve"> share of Rocky Reach/Rock Island output for the 2016 through 2020 period.  The Company included an estimate of the expected purchase price in the pro forma; however, on March 17, 2015, the Company was able to purchase the output at a lower price than what was included in the rate case.  The actual purchase price for 2016 is $5.5 million less (on a system basis) than the estimate.  The effect of this update is a reduction in power supply expense of $3.6 million (Washington basis).  </w:t>
      </w:r>
    </w:p>
    <w:p w:rsidR="005A5A42" w:rsidRDefault="005A5A42" w:rsidP="005A5A42">
      <w:pPr>
        <w:pStyle w:val="ListParagraph"/>
        <w:numPr>
          <w:ilvl w:val="0"/>
          <w:numId w:val="33"/>
        </w:numPr>
        <w:spacing w:line="480" w:lineRule="auto"/>
        <w:ind w:right="-4" w:firstLine="0"/>
        <w:contextualSpacing/>
        <w:jc w:val="both"/>
      </w:pPr>
      <w:r w:rsidRPr="00147AA7">
        <w:rPr>
          <w:u w:val="single"/>
        </w:rPr>
        <w:t>Hydro Station Service</w:t>
      </w:r>
      <w:r w:rsidRPr="00147AA7">
        <w:t xml:space="preserve">:  The modeled station service included for the Noxon, Little Falls, and Long Lake hydro facilities will be removed from the Company’s power supply adjustment.  The effect of this adjustment is an estimated reduction in power supply expense of $28,000 (Washington basis). </w:t>
      </w:r>
    </w:p>
    <w:p w:rsidR="005A5A42" w:rsidRDefault="005A5A42" w:rsidP="005A5A42">
      <w:pPr>
        <w:pStyle w:val="ListParagraph"/>
        <w:numPr>
          <w:ilvl w:val="0"/>
          <w:numId w:val="33"/>
        </w:numPr>
        <w:spacing w:line="480" w:lineRule="auto"/>
        <w:ind w:right="-4" w:firstLine="0"/>
        <w:contextualSpacing/>
        <w:jc w:val="both"/>
      </w:pPr>
      <w:r w:rsidRPr="00147AA7">
        <w:rPr>
          <w:u w:val="single"/>
        </w:rPr>
        <w:t>Colstrip and CS2 Thermal O&amp;M</w:t>
      </w:r>
      <w:r w:rsidRPr="00147AA7">
        <w:t xml:space="preserve">:  O&amp;M costs related to Coyote Springs II and Colstrip will be removed from the base </w:t>
      </w:r>
      <w:r w:rsidR="002F0BE7">
        <w:t>p</w:t>
      </w:r>
      <w:r w:rsidRPr="00147AA7">
        <w:t xml:space="preserve">ower </w:t>
      </w:r>
      <w:r w:rsidR="002F0BE7">
        <w:t>s</w:t>
      </w:r>
      <w:r w:rsidRPr="00147AA7">
        <w:t xml:space="preserve">upply costs.  The effect of this adjustment is an estimated reduction in power supply expense of $3.6 million (Washington basis).  The revenue requirement related to these costs will be addressed during the remainder of the case. </w:t>
      </w:r>
      <w:r>
        <w:t xml:space="preserve"> </w:t>
      </w:r>
    </w:p>
    <w:p w:rsidR="005A5A42" w:rsidRPr="00147AA7" w:rsidRDefault="005A5A42" w:rsidP="005A5A42">
      <w:pPr>
        <w:pStyle w:val="ListParagraph"/>
        <w:numPr>
          <w:ilvl w:val="0"/>
          <w:numId w:val="33"/>
        </w:numPr>
        <w:spacing w:line="480" w:lineRule="auto"/>
        <w:ind w:right="-4" w:firstLine="0"/>
        <w:contextualSpacing/>
        <w:jc w:val="both"/>
      </w:pPr>
      <w:r w:rsidRPr="00147AA7">
        <w:rPr>
          <w:u w:val="single"/>
        </w:rPr>
        <w:t xml:space="preserve">Other Adjustments to Power Supply Costs </w:t>
      </w:r>
      <w:r w:rsidRPr="00147AA7">
        <w:t xml:space="preserve">– The Parties agree to an additional adjustment to the new base </w:t>
      </w:r>
      <w:r w:rsidR="00CA6C84">
        <w:t>p</w:t>
      </w:r>
      <w:r w:rsidRPr="00147AA7">
        <w:t xml:space="preserve">ower </w:t>
      </w:r>
      <w:r w:rsidR="00CA6C84">
        <w:t>s</w:t>
      </w:r>
      <w:r w:rsidRPr="00147AA7">
        <w:t xml:space="preserve">upply costs filed by the Company, following discussions by the Parties.  </w:t>
      </w:r>
      <w:r>
        <w:t>T</w:t>
      </w:r>
      <w:r w:rsidRPr="00147AA7">
        <w:t>he Parties agree that it would be fair and reasonable to further reduce power supply expense by $1.5 million.  At the time that power supply costs are updated pursuant to Section 5.</w:t>
      </w:r>
      <w:r>
        <w:t xml:space="preserve"> a</w:t>
      </w:r>
      <w:r w:rsidRPr="00147AA7">
        <w:t xml:space="preserve">) </w:t>
      </w:r>
      <w:proofErr w:type="gramStart"/>
      <w:r w:rsidR="002F0BE7">
        <w:t>of</w:t>
      </w:r>
      <w:proofErr w:type="gramEnd"/>
      <w:r w:rsidR="002F0BE7">
        <w:t xml:space="preserve"> the Settlement</w:t>
      </w:r>
      <w:r w:rsidRPr="00147AA7">
        <w:t xml:space="preserve">, the resulting power supply costs will be reduced by $1.5 million on a Washington basis.  </w:t>
      </w:r>
    </w:p>
    <w:p w:rsidR="005A5A42" w:rsidRDefault="005A5A42" w:rsidP="005A5A42">
      <w:pPr>
        <w:spacing w:line="480" w:lineRule="auto"/>
        <w:ind w:firstLine="720"/>
        <w:jc w:val="both"/>
      </w:pPr>
      <w:r>
        <w:t xml:space="preserve"> In addition, </w:t>
      </w:r>
      <w:r w:rsidR="00172923">
        <w:t xml:space="preserve">as memorialized in </w:t>
      </w:r>
      <w:r w:rsidR="00345FA4">
        <w:t>Sect</w:t>
      </w:r>
      <w:r w:rsidR="00172923">
        <w:t>i</w:t>
      </w:r>
      <w:r w:rsidR="00345FA4">
        <w:t xml:space="preserve">on 5. a) </w:t>
      </w:r>
      <w:proofErr w:type="gramStart"/>
      <w:r w:rsidR="00345FA4">
        <w:t>of</w:t>
      </w:r>
      <w:proofErr w:type="gramEnd"/>
      <w:r w:rsidR="00345FA4">
        <w:t xml:space="preserve"> the Settlement, </w:t>
      </w:r>
      <w:r>
        <w:t xml:space="preserve">the Parties agreed that Avista shall file with the Commission an updated </w:t>
      </w:r>
      <w:r w:rsidR="00345FA4">
        <w:t>p</w:t>
      </w:r>
      <w:r>
        <w:t xml:space="preserve">ower </w:t>
      </w:r>
      <w:r w:rsidR="00345FA4">
        <w:t>s</w:t>
      </w:r>
      <w:r>
        <w:t xml:space="preserve">upply adjustment two months before new electric retail rates from this electric </w:t>
      </w:r>
      <w:r w:rsidR="00345FA4">
        <w:t>d</w:t>
      </w:r>
      <w:r>
        <w:t xml:space="preserve">ocket go into effect.  </w:t>
      </w:r>
      <w:r w:rsidR="008D4619">
        <w:t xml:space="preserve">As in past proceedings, the purpose of this power supply update would be to: 1) update the three-month average of natural gas and electricity market prices; 2) include new short-term contracts for gas and electric; and 3) update or correct power and transmission service contracts for the 2016 rate year. </w:t>
      </w:r>
      <w:r>
        <w:t xml:space="preserve"> </w:t>
      </w:r>
      <w:r w:rsidR="008D4619" w:rsidRPr="006C69E7">
        <w:rPr>
          <w:bCs/>
        </w:rPr>
        <w:t xml:space="preserve">The Parties are free to seek discovery on, and examine the prudence of, the updated power supply items identified </w:t>
      </w:r>
      <w:r w:rsidR="008D4619">
        <w:rPr>
          <w:bCs/>
        </w:rPr>
        <w:t>above</w:t>
      </w:r>
      <w:r w:rsidR="008D4619" w:rsidRPr="006C69E7">
        <w:rPr>
          <w:bCs/>
        </w:rPr>
        <w:t>.</w:t>
      </w:r>
    </w:p>
    <w:p w:rsidR="005A5A42" w:rsidRDefault="005A5A42" w:rsidP="005A5A42">
      <w:pPr>
        <w:pStyle w:val="Header"/>
        <w:tabs>
          <w:tab w:val="clear" w:pos="4320"/>
          <w:tab w:val="clear" w:pos="8640"/>
          <w:tab w:val="left" w:pos="1440"/>
        </w:tabs>
        <w:spacing w:line="480" w:lineRule="auto"/>
        <w:ind w:firstLine="720"/>
        <w:jc w:val="both"/>
        <w:rPr>
          <w:b/>
        </w:rPr>
      </w:pPr>
      <w:r>
        <w:rPr>
          <w:b/>
        </w:rPr>
        <w:t>Q.</w:t>
      </w:r>
      <w:r>
        <w:rPr>
          <w:b/>
        </w:rPr>
        <w:tab/>
        <w:t xml:space="preserve">With regards to Avista’s inclusion of operations and maintenance costs for Colstrip Units 3 and 4 and Coyote Springs 2 in base </w:t>
      </w:r>
      <w:r w:rsidR="00172923">
        <w:rPr>
          <w:b/>
        </w:rPr>
        <w:t>p</w:t>
      </w:r>
      <w:r>
        <w:rPr>
          <w:b/>
        </w:rPr>
        <w:t xml:space="preserve">ower </w:t>
      </w:r>
      <w:r w:rsidR="00172923">
        <w:rPr>
          <w:b/>
        </w:rPr>
        <w:t>s</w:t>
      </w:r>
      <w:r>
        <w:rPr>
          <w:b/>
        </w:rPr>
        <w:t>upply costs, please e</w:t>
      </w:r>
      <w:r w:rsidRPr="004F42C0">
        <w:rPr>
          <w:b/>
        </w:rPr>
        <w:t xml:space="preserve">xplain </w:t>
      </w:r>
      <w:r>
        <w:rPr>
          <w:b/>
        </w:rPr>
        <w:t>what the Parties agreed to</w:t>
      </w:r>
      <w:r w:rsidR="00CA6C84">
        <w:rPr>
          <w:b/>
        </w:rPr>
        <w:t>.</w:t>
      </w:r>
    </w:p>
    <w:p w:rsidR="005A5A42" w:rsidRDefault="005A5A42" w:rsidP="005A5A42">
      <w:pPr>
        <w:spacing w:line="480" w:lineRule="auto"/>
        <w:ind w:firstLine="720"/>
        <w:jc w:val="both"/>
      </w:pPr>
      <w:r w:rsidRPr="003820E9">
        <w:t>A.</w:t>
      </w:r>
      <w:r w:rsidRPr="003820E9">
        <w:tab/>
        <w:t xml:space="preserve"> </w:t>
      </w:r>
      <w:r w:rsidR="00281E3B">
        <w:t xml:space="preserve">In its direct filed case, Avista included O&amp;M costs related to Coyote Springs II and Colstrip in its base </w:t>
      </w:r>
      <w:r w:rsidR="00CA6C84">
        <w:t>p</w:t>
      </w:r>
      <w:r w:rsidR="00281E3B">
        <w:t xml:space="preserve">ower </w:t>
      </w:r>
      <w:r w:rsidR="00CA6C84">
        <w:t>s</w:t>
      </w:r>
      <w:r w:rsidR="00281E3B">
        <w:t xml:space="preserve">upply costs, and proposed that changes to those costs would flow through the ERM.  </w:t>
      </w:r>
      <w:r>
        <w:t xml:space="preserve">The Parties agreed that </w:t>
      </w:r>
      <w:r w:rsidRPr="005A5A42">
        <w:t xml:space="preserve">O&amp;M costs related to Coyote Springs II and Colstrip will be removed </w:t>
      </w:r>
      <w:r w:rsidR="00281E3B">
        <w:t xml:space="preserve">from the base </w:t>
      </w:r>
      <w:r w:rsidR="00CA6C84">
        <w:t>p</w:t>
      </w:r>
      <w:r w:rsidR="00281E3B">
        <w:t xml:space="preserve">ower </w:t>
      </w:r>
      <w:r w:rsidR="00CA6C84">
        <w:t>s</w:t>
      </w:r>
      <w:r w:rsidR="00281E3B">
        <w:t>upply costs.</w:t>
      </w:r>
      <w:r w:rsidRPr="005A5A42">
        <w:t xml:space="preserve">  The effect of this adjustment is an estimated reduction in power supply expense of $3.6 million (Washington basis).  The revenue requirement related to these costs will be addressed during the remainder of the case.</w:t>
      </w:r>
    </w:p>
    <w:p w:rsidR="005A5A42" w:rsidRDefault="005A5A42" w:rsidP="005A5A42">
      <w:pPr>
        <w:pStyle w:val="Header"/>
        <w:tabs>
          <w:tab w:val="clear" w:pos="4320"/>
          <w:tab w:val="clear" w:pos="8640"/>
          <w:tab w:val="left" w:pos="1440"/>
        </w:tabs>
        <w:spacing w:line="480" w:lineRule="auto"/>
        <w:ind w:firstLine="720"/>
        <w:jc w:val="both"/>
        <w:rPr>
          <w:b/>
        </w:rPr>
      </w:pPr>
      <w:r>
        <w:rPr>
          <w:b/>
        </w:rPr>
        <w:t>Q.</w:t>
      </w:r>
      <w:r>
        <w:rPr>
          <w:b/>
        </w:rPr>
        <w:tab/>
        <w:t xml:space="preserve">Please now </w:t>
      </w:r>
      <w:r w:rsidRPr="004F42C0">
        <w:rPr>
          <w:b/>
        </w:rPr>
        <w:t xml:space="preserve">explain </w:t>
      </w:r>
      <w:r>
        <w:rPr>
          <w:b/>
        </w:rPr>
        <w:t>the ERM-related components agreed</w:t>
      </w:r>
      <w:r w:rsidR="00CA6C84">
        <w:rPr>
          <w:b/>
        </w:rPr>
        <w:t xml:space="preserve"> </w:t>
      </w:r>
      <w:r>
        <w:rPr>
          <w:b/>
        </w:rPr>
        <w:t>upon by the Parties</w:t>
      </w:r>
      <w:r w:rsidR="00CA6C84">
        <w:rPr>
          <w:b/>
        </w:rPr>
        <w:t>.</w:t>
      </w:r>
    </w:p>
    <w:p w:rsidR="000843F8" w:rsidRDefault="005A5A42" w:rsidP="005A5A42">
      <w:pPr>
        <w:pStyle w:val="Header"/>
        <w:tabs>
          <w:tab w:val="clear" w:pos="4320"/>
          <w:tab w:val="clear" w:pos="8640"/>
          <w:tab w:val="left" w:pos="1440"/>
        </w:tabs>
        <w:spacing w:line="480" w:lineRule="auto"/>
        <w:ind w:firstLine="720"/>
        <w:jc w:val="both"/>
        <w:rPr>
          <w:b/>
          <w:bCs/>
          <w:u w:val="single"/>
        </w:rPr>
      </w:pPr>
      <w:r w:rsidRPr="00412E60">
        <w:t>A.</w:t>
      </w:r>
      <w:r w:rsidRPr="00412E60">
        <w:tab/>
      </w:r>
      <w:r>
        <w:t>The Parties agreed to two items related to the Company’s Energy Recovery Mechanism.  First, t</w:t>
      </w:r>
      <w:r w:rsidRPr="005A5A42">
        <w:t>he Parties agree</w:t>
      </w:r>
      <w:r w:rsidR="00CA6C84">
        <w:t>d</w:t>
      </w:r>
      <w:r w:rsidRPr="005A5A42">
        <w:t xml:space="preserve"> that the ERM rate adjustment trigger will remain at $30 million, as approved in Docket UE-120436.</w:t>
      </w:r>
      <w:r>
        <w:t xml:space="preserve">  Second, Avista proposed that the name of the Retail Revenue Credit be changed to the Load Change Adjustment Rate.  The Parties agree</w:t>
      </w:r>
      <w:r w:rsidR="00CA6C84">
        <w:t>d</w:t>
      </w:r>
      <w:r>
        <w:t xml:space="preserve"> that the proper name should be Retail Revenue Adjustment.  Furthermore, the Parties agree</w:t>
      </w:r>
      <w:r w:rsidR="00CA6C84">
        <w:t>d</w:t>
      </w:r>
      <w:r>
        <w:t xml:space="preserve"> that the methodology for calculating the Retail Revenue Adjustment will not change and will remain the same as approved in </w:t>
      </w:r>
      <w:proofErr w:type="gramStart"/>
      <w:r>
        <w:t xml:space="preserve">Docket </w:t>
      </w:r>
      <w:r w:rsidR="00281E3B">
        <w:t xml:space="preserve"> </w:t>
      </w:r>
      <w:r>
        <w:t>UE</w:t>
      </w:r>
      <w:proofErr w:type="gramEnd"/>
      <w:r>
        <w:t>-140188.</w:t>
      </w:r>
    </w:p>
    <w:p w:rsidR="00E05DE0" w:rsidRDefault="00E05DE0" w:rsidP="00625601">
      <w:pPr>
        <w:spacing w:line="480" w:lineRule="auto"/>
        <w:ind w:firstLine="720"/>
        <w:jc w:val="center"/>
        <w:rPr>
          <w:b/>
          <w:bCs/>
          <w:u w:val="single"/>
        </w:rPr>
      </w:pPr>
    </w:p>
    <w:p w:rsidR="00F33208" w:rsidRPr="00BF644F" w:rsidRDefault="00F33208" w:rsidP="00625601">
      <w:pPr>
        <w:spacing w:line="480" w:lineRule="auto"/>
        <w:ind w:firstLine="720"/>
        <w:jc w:val="center"/>
        <w:rPr>
          <w:b/>
          <w:bCs/>
          <w:u w:val="single"/>
        </w:rPr>
      </w:pPr>
      <w:r w:rsidRPr="00BF644F">
        <w:rPr>
          <w:b/>
          <w:bCs/>
          <w:u w:val="single"/>
        </w:rPr>
        <w:t>V</w:t>
      </w:r>
      <w:r w:rsidR="000843F8">
        <w:rPr>
          <w:b/>
          <w:bCs/>
          <w:u w:val="single"/>
        </w:rPr>
        <w:t>I</w:t>
      </w:r>
      <w:proofErr w:type="gramStart"/>
      <w:r w:rsidRPr="00BF644F">
        <w:rPr>
          <w:b/>
          <w:bCs/>
          <w:u w:val="single"/>
        </w:rPr>
        <w:t>.  RATE</w:t>
      </w:r>
      <w:proofErr w:type="gramEnd"/>
      <w:r w:rsidRPr="00BF644F">
        <w:rPr>
          <w:b/>
          <w:bCs/>
          <w:u w:val="single"/>
        </w:rPr>
        <w:t xml:space="preserve"> SPREAD/RATE DESIGN</w:t>
      </w:r>
    </w:p>
    <w:p w:rsidR="00F33208" w:rsidRDefault="00F33208" w:rsidP="00F33208">
      <w:pPr>
        <w:pStyle w:val="BodyTextIndent3"/>
        <w:tabs>
          <w:tab w:val="clear" w:pos="1260"/>
          <w:tab w:val="left" w:pos="1440"/>
        </w:tabs>
        <w:suppressAutoHyphens/>
        <w:rPr>
          <w:bCs/>
        </w:rPr>
      </w:pPr>
      <w:r>
        <w:rPr>
          <w:bCs/>
        </w:rPr>
        <w:t>Q.</w:t>
      </w:r>
      <w:r>
        <w:rPr>
          <w:bCs/>
        </w:rPr>
        <w:tab/>
      </w:r>
      <w:r w:rsidR="00466BF2">
        <w:rPr>
          <w:bCs/>
        </w:rPr>
        <w:t xml:space="preserve">Please explain the provisions in the </w:t>
      </w:r>
      <w:r w:rsidR="00466BF2" w:rsidRPr="001442A1">
        <w:rPr>
          <w:bCs/>
        </w:rPr>
        <w:t>S</w:t>
      </w:r>
      <w:r w:rsidR="00466BF2">
        <w:rPr>
          <w:bCs/>
        </w:rPr>
        <w:t>ettlement related to the electric and natural gas rate spread and rate design</w:t>
      </w:r>
      <w:r w:rsidR="00CA6C84">
        <w:rPr>
          <w:bCs/>
        </w:rPr>
        <w:t>.</w:t>
      </w:r>
    </w:p>
    <w:p w:rsidR="00F33208" w:rsidRPr="00A32334" w:rsidRDefault="00F33208" w:rsidP="00F33208">
      <w:pPr>
        <w:pStyle w:val="BodyTextIndent"/>
        <w:tabs>
          <w:tab w:val="clear" w:pos="1260"/>
          <w:tab w:val="left" w:pos="1440"/>
        </w:tabs>
        <w:suppressAutoHyphens/>
      </w:pPr>
      <w:r>
        <w:t>A.</w:t>
      </w:r>
      <w:r>
        <w:tab/>
      </w:r>
      <w:r w:rsidR="00CA6C84">
        <w:t>With regard to</w:t>
      </w:r>
      <w:r w:rsidR="006179A0">
        <w:t xml:space="preserve"> electric rate spread, t</w:t>
      </w:r>
      <w:r w:rsidR="006179A0" w:rsidRPr="006179A0">
        <w:t>he Parties agree</w:t>
      </w:r>
      <w:r w:rsidR="006179A0">
        <w:t>d</w:t>
      </w:r>
      <w:r w:rsidR="006179A0" w:rsidRPr="006179A0">
        <w:t xml:space="preserve"> to apply an equal percentage of revenue increase for purposes of spreading the revised electric revenue requirement. </w:t>
      </w:r>
      <w:r w:rsidR="00CA6C84">
        <w:t>Regarding</w:t>
      </w:r>
      <w:r w:rsidRPr="00A32334">
        <w:t xml:space="preserve"> natural gas</w:t>
      </w:r>
      <w:r w:rsidR="00CA6C84">
        <w:t xml:space="preserve"> rate spread</w:t>
      </w:r>
      <w:r w:rsidRPr="00A32334">
        <w:t xml:space="preserve">, </w:t>
      </w:r>
      <w:r w:rsidR="006179A0">
        <w:t>t</w:t>
      </w:r>
      <w:r w:rsidR="006179A0" w:rsidRPr="006179A0">
        <w:t>he Parties agree</w:t>
      </w:r>
      <w:r w:rsidR="006179A0">
        <w:t>d</w:t>
      </w:r>
      <w:r w:rsidR="006179A0" w:rsidRPr="006179A0">
        <w:t xml:space="preserve"> to apply an equal percentage of margin increase for purposes of spreading the increase in the retail natural gas non-gas revenue requirement. The Parties, however, d</w:t>
      </w:r>
      <w:r w:rsidR="006179A0">
        <w:t>id</w:t>
      </w:r>
      <w:r w:rsidR="006179A0" w:rsidRPr="006179A0">
        <w:t xml:space="preserve"> not agree on a specific</w:t>
      </w:r>
      <w:r w:rsidR="006179A0">
        <w:t xml:space="preserve"> electric or natural gas </w:t>
      </w:r>
      <w:r w:rsidR="006179A0" w:rsidRPr="006179A0">
        <w:t>Cost of Service methodology.</w:t>
      </w:r>
      <w:r w:rsidRPr="00A32334">
        <w:t xml:space="preserve"> </w:t>
      </w:r>
    </w:p>
    <w:p w:rsidR="00F33208" w:rsidRDefault="00F33208" w:rsidP="0089480A">
      <w:pPr>
        <w:pStyle w:val="BodyTextIndent"/>
        <w:numPr>
          <w:ilvl w:val="0"/>
          <w:numId w:val="5"/>
        </w:numPr>
        <w:tabs>
          <w:tab w:val="clear" w:pos="1080"/>
          <w:tab w:val="clear" w:pos="1260"/>
          <w:tab w:val="left" w:pos="0"/>
          <w:tab w:val="left" w:pos="1440"/>
        </w:tabs>
        <w:ind w:left="0" w:firstLine="720"/>
        <w:rPr>
          <w:b/>
          <w:bCs/>
        </w:rPr>
      </w:pPr>
      <w:r>
        <w:rPr>
          <w:b/>
          <w:bCs/>
        </w:rPr>
        <w:t xml:space="preserve">What rate design was agreed to in the </w:t>
      </w:r>
      <w:r w:rsidR="003C6CA7">
        <w:rPr>
          <w:b/>
          <w:bCs/>
        </w:rPr>
        <w:t xml:space="preserve">Settlement </w:t>
      </w:r>
      <w:r>
        <w:rPr>
          <w:b/>
          <w:bCs/>
        </w:rPr>
        <w:t>for electric service?</w:t>
      </w:r>
    </w:p>
    <w:p w:rsidR="00F33208" w:rsidRDefault="00F33208" w:rsidP="00F33208">
      <w:pPr>
        <w:pStyle w:val="BodyTextIndent"/>
        <w:tabs>
          <w:tab w:val="clear" w:pos="1260"/>
          <w:tab w:val="left" w:pos="1440"/>
          <w:tab w:val="num" w:pos="1710"/>
        </w:tabs>
      </w:pPr>
      <w:r>
        <w:t>A.</w:t>
      </w:r>
      <w:r>
        <w:tab/>
        <w:t xml:space="preserve">The components of rate design </w:t>
      </w:r>
      <w:r w:rsidR="001B667B">
        <w:t xml:space="preserve">are as </w:t>
      </w:r>
      <w:r>
        <w:t>follows:</w:t>
      </w:r>
    </w:p>
    <w:p w:rsidR="006179A0" w:rsidRDefault="006179A0" w:rsidP="006179A0">
      <w:pPr>
        <w:numPr>
          <w:ilvl w:val="0"/>
          <w:numId w:val="27"/>
        </w:numPr>
        <w:spacing w:line="480" w:lineRule="auto"/>
        <w:ind w:left="1800"/>
        <w:jc w:val="both"/>
      </w:pPr>
      <w:r w:rsidRPr="006179A0">
        <w:t xml:space="preserve">The Schedule 1 </w:t>
      </w:r>
      <w:r w:rsidR="00EF7452">
        <w:t>b</w:t>
      </w:r>
      <w:r w:rsidRPr="006179A0">
        <w:t xml:space="preserve">asic </w:t>
      </w:r>
      <w:r w:rsidR="00EF7452">
        <w:t>c</w:t>
      </w:r>
      <w:r w:rsidRPr="006179A0">
        <w:t xml:space="preserve">harge will remain at $8.50 per month, with the revenue spread to the </w:t>
      </w:r>
      <w:r w:rsidR="0062449C">
        <w:t>energy block</w:t>
      </w:r>
      <w:r w:rsidRPr="006179A0">
        <w:t xml:space="preserve"> rates on a uniform percentage basis.</w:t>
      </w:r>
      <w:r>
        <w:t xml:space="preserve"> </w:t>
      </w:r>
    </w:p>
    <w:p w:rsidR="006179A0" w:rsidRDefault="006179A0" w:rsidP="006179A0">
      <w:pPr>
        <w:numPr>
          <w:ilvl w:val="0"/>
          <w:numId w:val="27"/>
        </w:numPr>
        <w:spacing w:line="480" w:lineRule="auto"/>
        <w:ind w:left="1800"/>
        <w:jc w:val="both"/>
      </w:pPr>
      <w:r w:rsidRPr="006179A0">
        <w:t xml:space="preserve">For the rate design of Schedule 25, the revenue change applicable to the schedule will be spread on a uniform percentage basis to the three energy block rates; however, the increase to the third energy block will be adjusted, if necessary, so that the largest customer served on Schedule 25 receives the same percentage increase as the overall revenue increase in this case.  The demand charge for the first 3,000 kVa will remain $21,000 per month, and the variable demand charge will remain at $6.00 per kVa over 3,000 kVa per month. </w:t>
      </w:r>
    </w:p>
    <w:p w:rsidR="00FE4407" w:rsidRDefault="00FE4407" w:rsidP="006179A0">
      <w:pPr>
        <w:numPr>
          <w:ilvl w:val="0"/>
          <w:numId w:val="27"/>
        </w:numPr>
        <w:spacing w:line="480" w:lineRule="auto"/>
        <w:ind w:left="1800"/>
        <w:jc w:val="both"/>
      </w:pPr>
      <w:r>
        <w:t xml:space="preserve">The </w:t>
      </w:r>
      <w:r w:rsidR="003C6CA7">
        <w:t>r</w:t>
      </w:r>
      <w:r>
        <w:t xml:space="preserve">ate </w:t>
      </w:r>
      <w:r w:rsidR="003C6CA7">
        <w:t>d</w:t>
      </w:r>
      <w:r>
        <w:t xml:space="preserve">esign for all other </w:t>
      </w:r>
      <w:r w:rsidR="003C6CA7">
        <w:t>s</w:t>
      </w:r>
      <w:r>
        <w:t>chedules will be as follows:</w:t>
      </w:r>
    </w:p>
    <w:p w:rsidR="006179A0" w:rsidRDefault="006179A0" w:rsidP="006179A0">
      <w:pPr>
        <w:pStyle w:val="ListParagraph"/>
        <w:numPr>
          <w:ilvl w:val="1"/>
          <w:numId w:val="35"/>
        </w:numPr>
        <w:spacing w:line="480" w:lineRule="auto"/>
        <w:ind w:left="1800"/>
        <w:jc w:val="both"/>
        <w:rPr>
          <w:bCs/>
          <w:noProof/>
        </w:rPr>
      </w:pPr>
      <w:r>
        <w:rPr>
          <w:bCs/>
          <w:noProof/>
        </w:rPr>
        <w:t xml:space="preserve">Schedules 11/12 </w:t>
      </w:r>
      <w:r>
        <w:t xml:space="preserve">will </w:t>
      </w:r>
      <w:r>
        <w:rPr>
          <w:bCs/>
          <w:noProof/>
        </w:rPr>
        <w:t xml:space="preserve">have an increase in the </w:t>
      </w:r>
      <w:r w:rsidR="003C6CA7">
        <w:rPr>
          <w:bCs/>
          <w:noProof/>
        </w:rPr>
        <w:t>b</w:t>
      </w:r>
      <w:r>
        <w:rPr>
          <w:bCs/>
          <w:noProof/>
        </w:rPr>
        <w:t xml:space="preserve">asic </w:t>
      </w:r>
      <w:r w:rsidR="003C6CA7">
        <w:rPr>
          <w:bCs/>
          <w:noProof/>
        </w:rPr>
        <w:t>c</w:t>
      </w:r>
      <w:r>
        <w:rPr>
          <w:bCs/>
          <w:noProof/>
        </w:rPr>
        <w:t xml:space="preserve">harge from $18.00 to $20.00 per month, and a uniform percentage rate change to blocks.  In addition, the demand charge </w:t>
      </w:r>
      <w:r>
        <w:t xml:space="preserve">will </w:t>
      </w:r>
      <w:r>
        <w:rPr>
          <w:bCs/>
          <w:noProof/>
        </w:rPr>
        <w:t>increase from $6.00 to $6.50 per kilowatt for all demand in excess of 20 kW per month.</w:t>
      </w:r>
    </w:p>
    <w:p w:rsidR="006179A0" w:rsidRDefault="006179A0" w:rsidP="006179A0">
      <w:pPr>
        <w:pStyle w:val="ListParagraph"/>
        <w:numPr>
          <w:ilvl w:val="1"/>
          <w:numId w:val="35"/>
        </w:numPr>
        <w:spacing w:line="480" w:lineRule="auto"/>
        <w:ind w:left="1800"/>
        <w:jc w:val="both"/>
        <w:rPr>
          <w:noProof/>
        </w:rPr>
      </w:pPr>
      <w:r>
        <w:rPr>
          <w:bCs/>
          <w:noProof/>
        </w:rPr>
        <w:t xml:space="preserve">Schedules 21/22 </w:t>
      </w:r>
      <w:r>
        <w:t xml:space="preserve">will </w:t>
      </w:r>
      <w:r>
        <w:rPr>
          <w:bCs/>
          <w:noProof/>
        </w:rPr>
        <w:t xml:space="preserve">have no change to the current $500 per month fixed demand charge.  The revenue increase for the schedule will be spread on a uniform percentage increase to all blocks, and the demand charge </w:t>
      </w:r>
      <w:r>
        <w:t xml:space="preserve">will </w:t>
      </w:r>
      <w:r>
        <w:rPr>
          <w:bCs/>
          <w:noProof/>
        </w:rPr>
        <w:t>increase from $6.00 to $6.50 per kilowatt for all demand in excess of 50 kW per month.</w:t>
      </w:r>
    </w:p>
    <w:p w:rsidR="006179A0" w:rsidRDefault="006179A0" w:rsidP="006179A0">
      <w:pPr>
        <w:pStyle w:val="ListParagraph"/>
        <w:numPr>
          <w:ilvl w:val="1"/>
          <w:numId w:val="35"/>
        </w:numPr>
        <w:spacing w:line="480" w:lineRule="auto"/>
        <w:ind w:left="1800"/>
        <w:jc w:val="both"/>
        <w:rPr>
          <w:bCs/>
          <w:noProof/>
        </w:rPr>
      </w:pPr>
      <w:r>
        <w:rPr>
          <w:bCs/>
          <w:noProof/>
        </w:rPr>
        <w:t xml:space="preserve">Schedules 31/32 </w:t>
      </w:r>
      <w:r>
        <w:t xml:space="preserve">will </w:t>
      </w:r>
      <w:r>
        <w:rPr>
          <w:bCs/>
          <w:noProof/>
        </w:rPr>
        <w:t xml:space="preserve">have an increase in the </w:t>
      </w:r>
      <w:r w:rsidR="003C6CA7">
        <w:rPr>
          <w:bCs/>
          <w:noProof/>
        </w:rPr>
        <w:t>b</w:t>
      </w:r>
      <w:r>
        <w:rPr>
          <w:bCs/>
          <w:noProof/>
        </w:rPr>
        <w:t xml:space="preserve">asic </w:t>
      </w:r>
      <w:r w:rsidR="003C6CA7">
        <w:rPr>
          <w:bCs/>
          <w:noProof/>
        </w:rPr>
        <w:t>c</w:t>
      </w:r>
      <w:r>
        <w:rPr>
          <w:bCs/>
          <w:noProof/>
        </w:rPr>
        <w:t xml:space="preserve">harge from $18.00 to $20.00 per month, and there </w:t>
      </w:r>
      <w:r>
        <w:t xml:space="preserve">will </w:t>
      </w:r>
      <w:r>
        <w:rPr>
          <w:bCs/>
          <w:noProof/>
        </w:rPr>
        <w:t>be a uniform percentage increase to all blocks for the remaining revenue increase applicable to the schedule.</w:t>
      </w:r>
    </w:p>
    <w:p w:rsidR="006179A0" w:rsidRDefault="006179A0" w:rsidP="006179A0">
      <w:pPr>
        <w:pStyle w:val="ListParagraph"/>
        <w:numPr>
          <w:ilvl w:val="1"/>
          <w:numId w:val="35"/>
        </w:numPr>
        <w:spacing w:line="480" w:lineRule="auto"/>
        <w:ind w:left="1800"/>
        <w:contextualSpacing/>
        <w:jc w:val="both"/>
        <w:rPr>
          <w:u w:val="single"/>
        </w:rPr>
      </w:pPr>
      <w:r>
        <w:t>Street Lighting Schedules 41-48 would see a uniform percentage increase, and the street light calculation methodology described in Exhibit No._</w:t>
      </w:r>
      <w:proofErr w:type="gramStart"/>
      <w:r>
        <w:t>_(</w:t>
      </w:r>
      <w:proofErr w:type="gramEnd"/>
      <w:r>
        <w:t xml:space="preserve">PDE-1T), </w:t>
      </w:r>
      <w:r w:rsidR="003C6CA7">
        <w:t>on pages</w:t>
      </w:r>
      <w:r>
        <w:t xml:space="preserve"> 14</w:t>
      </w:r>
      <w:r w:rsidR="003C6CA7">
        <w:t xml:space="preserve"> to </w:t>
      </w:r>
      <w:r>
        <w:t>16</w:t>
      </w:r>
      <w:r w:rsidR="003C6CA7">
        <w:t>,</w:t>
      </w:r>
      <w:r>
        <w:t xml:space="preserve"> will be adopted.  </w:t>
      </w:r>
    </w:p>
    <w:p w:rsidR="00F33208" w:rsidRDefault="005B47CB" w:rsidP="006179A0">
      <w:pPr>
        <w:tabs>
          <w:tab w:val="left" w:pos="720"/>
          <w:tab w:val="left" w:pos="810"/>
        </w:tabs>
        <w:spacing w:line="480" w:lineRule="auto"/>
        <w:jc w:val="both"/>
        <w:rPr>
          <w:b/>
          <w:bCs/>
        </w:rPr>
      </w:pPr>
      <w:r>
        <w:rPr>
          <w:b/>
          <w:bCs/>
        </w:rPr>
        <w:tab/>
      </w:r>
      <w:r w:rsidR="00F33208">
        <w:rPr>
          <w:b/>
          <w:bCs/>
        </w:rPr>
        <w:t>Q.</w:t>
      </w:r>
      <w:r w:rsidR="00F33208">
        <w:rPr>
          <w:b/>
          <w:bCs/>
        </w:rPr>
        <w:tab/>
        <w:t xml:space="preserve">What rate design </w:t>
      </w:r>
      <w:r w:rsidR="001239E3">
        <w:rPr>
          <w:b/>
          <w:bCs/>
        </w:rPr>
        <w:t>elements were</w:t>
      </w:r>
      <w:r w:rsidR="00F33208">
        <w:rPr>
          <w:b/>
          <w:bCs/>
        </w:rPr>
        <w:t xml:space="preserve"> agreed to in the </w:t>
      </w:r>
      <w:r w:rsidR="003C6CA7">
        <w:rPr>
          <w:b/>
          <w:bCs/>
        </w:rPr>
        <w:t xml:space="preserve">Settlement </w:t>
      </w:r>
      <w:r w:rsidR="00F33208">
        <w:rPr>
          <w:b/>
          <w:bCs/>
        </w:rPr>
        <w:t xml:space="preserve">for natural gas service, as shown on </w:t>
      </w:r>
      <w:r w:rsidR="00F33208" w:rsidRPr="00287DAB">
        <w:rPr>
          <w:b/>
          <w:bCs/>
        </w:rPr>
        <w:t xml:space="preserve">page </w:t>
      </w:r>
      <w:r>
        <w:rPr>
          <w:b/>
          <w:bCs/>
        </w:rPr>
        <w:t>7</w:t>
      </w:r>
      <w:r w:rsidR="00F33208" w:rsidRPr="00287DAB">
        <w:rPr>
          <w:b/>
          <w:bCs/>
        </w:rPr>
        <w:t xml:space="preserve"> of Appendix </w:t>
      </w:r>
      <w:r>
        <w:rPr>
          <w:b/>
          <w:bCs/>
        </w:rPr>
        <w:t xml:space="preserve">2 to the </w:t>
      </w:r>
      <w:r w:rsidR="003C6CA7">
        <w:rPr>
          <w:b/>
          <w:bCs/>
        </w:rPr>
        <w:t>Settlement</w:t>
      </w:r>
      <w:r w:rsidR="00F33208">
        <w:rPr>
          <w:b/>
          <w:bCs/>
        </w:rPr>
        <w:t>?</w:t>
      </w:r>
    </w:p>
    <w:p w:rsidR="00F33208" w:rsidRDefault="00F33208" w:rsidP="00F33208">
      <w:pPr>
        <w:pStyle w:val="BodyTextIndent"/>
        <w:tabs>
          <w:tab w:val="clear" w:pos="1260"/>
          <w:tab w:val="left" w:pos="1440"/>
          <w:tab w:val="num" w:pos="1710"/>
        </w:tabs>
      </w:pPr>
      <w:r>
        <w:t>A.</w:t>
      </w:r>
      <w:r>
        <w:tab/>
        <w:t xml:space="preserve">The components of </w:t>
      </w:r>
      <w:r w:rsidR="005B47CB">
        <w:t xml:space="preserve">the natural gas </w:t>
      </w:r>
      <w:r>
        <w:t xml:space="preserve">rate design </w:t>
      </w:r>
      <w:r w:rsidR="001B667B">
        <w:t>are</w:t>
      </w:r>
      <w:r w:rsidR="009016FF">
        <w:t xml:space="preserve"> </w:t>
      </w:r>
      <w:r w:rsidR="001B667B">
        <w:t>as f</w:t>
      </w:r>
      <w:r>
        <w:t>ollows:</w:t>
      </w:r>
    </w:p>
    <w:p w:rsidR="006179A0" w:rsidRDefault="006179A0" w:rsidP="006179A0">
      <w:pPr>
        <w:pStyle w:val="ListParagraph"/>
        <w:numPr>
          <w:ilvl w:val="0"/>
          <w:numId w:val="37"/>
        </w:numPr>
        <w:tabs>
          <w:tab w:val="left" w:pos="2160"/>
        </w:tabs>
        <w:spacing w:line="480" w:lineRule="auto"/>
        <w:ind w:left="2070" w:hanging="630"/>
        <w:contextualSpacing/>
        <w:jc w:val="both"/>
      </w:pPr>
      <w:r>
        <w:t xml:space="preserve">The Schedule 101 </w:t>
      </w:r>
      <w:r w:rsidR="00EF7452">
        <w:t>b</w:t>
      </w:r>
      <w:r>
        <w:t xml:space="preserve">asic </w:t>
      </w:r>
      <w:r w:rsidR="00EF7452">
        <w:t>c</w:t>
      </w:r>
      <w:r>
        <w:t xml:space="preserve">harge will remain at $9.00 per month, with the revenue spread to the </w:t>
      </w:r>
      <w:r w:rsidR="0062449C">
        <w:t>energy block</w:t>
      </w:r>
      <w:r>
        <w:t xml:space="preserve"> rates on a uniform percentage basis.</w:t>
      </w:r>
    </w:p>
    <w:p w:rsidR="006179A0" w:rsidRDefault="006179A0" w:rsidP="006179A0">
      <w:pPr>
        <w:pStyle w:val="ListParagraph"/>
        <w:numPr>
          <w:ilvl w:val="0"/>
          <w:numId w:val="37"/>
        </w:numPr>
        <w:tabs>
          <w:tab w:val="left" w:pos="2160"/>
        </w:tabs>
        <w:spacing w:line="480" w:lineRule="auto"/>
        <w:ind w:left="2070" w:hanging="630"/>
        <w:contextualSpacing/>
        <w:jc w:val="both"/>
      </w:pPr>
      <w:r>
        <w:t xml:space="preserve">For Schedule 146, the monthly basic </w:t>
      </w:r>
      <w:bookmarkStart w:id="0" w:name="_GoBack"/>
      <w:bookmarkEnd w:id="0"/>
      <w:r>
        <w:t xml:space="preserve">charge will increase from $500 to $525 per month, and the remaining revenue increase will be spread on a uniform percentage basis to all blocks.  </w:t>
      </w:r>
    </w:p>
    <w:p w:rsidR="006179A0" w:rsidRDefault="006179A0" w:rsidP="006179A0">
      <w:pPr>
        <w:pStyle w:val="ListParagraph"/>
        <w:numPr>
          <w:ilvl w:val="0"/>
          <w:numId w:val="37"/>
        </w:numPr>
        <w:tabs>
          <w:tab w:val="left" w:pos="2070"/>
          <w:tab w:val="left" w:pos="2160"/>
        </w:tabs>
        <w:spacing w:line="480" w:lineRule="auto"/>
        <w:ind w:left="2070" w:hanging="630"/>
        <w:contextualSpacing/>
        <w:jc w:val="both"/>
      </w:pPr>
      <w:r>
        <w:t xml:space="preserve">The </w:t>
      </w:r>
      <w:r w:rsidR="00EF7452">
        <w:t>r</w:t>
      </w:r>
      <w:r>
        <w:t xml:space="preserve">ate </w:t>
      </w:r>
      <w:r w:rsidR="00EF7452">
        <w:t>d</w:t>
      </w:r>
      <w:r>
        <w:t xml:space="preserve">esign for other </w:t>
      </w:r>
      <w:r w:rsidR="00EF7452">
        <w:t>s</w:t>
      </w:r>
      <w:r>
        <w:t>chedules will be as follows:</w:t>
      </w:r>
    </w:p>
    <w:p w:rsidR="006179A0" w:rsidRDefault="006179A0" w:rsidP="006179A0">
      <w:pPr>
        <w:pStyle w:val="ListParagraph"/>
        <w:numPr>
          <w:ilvl w:val="2"/>
          <w:numId w:val="36"/>
        </w:numPr>
        <w:tabs>
          <w:tab w:val="left" w:pos="2160"/>
        </w:tabs>
        <w:spacing w:line="480" w:lineRule="auto"/>
        <w:ind w:left="2520" w:hanging="360"/>
        <w:jc w:val="both"/>
        <w:rPr>
          <w:bCs/>
          <w:noProof/>
        </w:rPr>
      </w:pPr>
      <w:r>
        <w:rPr>
          <w:bCs/>
          <w:noProof/>
        </w:rPr>
        <w:t xml:space="preserve">Schedule 111 </w:t>
      </w:r>
      <w:r>
        <w:t xml:space="preserve">will </w:t>
      </w:r>
      <w:r>
        <w:rPr>
          <w:bCs/>
          <w:noProof/>
        </w:rPr>
        <w:t xml:space="preserve">have an increase in the monthly </w:t>
      </w:r>
      <w:r w:rsidR="00EF7452">
        <w:rPr>
          <w:bCs/>
          <w:noProof/>
        </w:rPr>
        <w:t>m</w:t>
      </w:r>
      <w:r>
        <w:rPr>
          <w:bCs/>
          <w:noProof/>
        </w:rPr>
        <w:t xml:space="preserve">inimum </w:t>
      </w:r>
      <w:r w:rsidR="00EF7452">
        <w:rPr>
          <w:bCs/>
          <w:noProof/>
        </w:rPr>
        <w:t>c</w:t>
      </w:r>
      <w:r>
        <w:rPr>
          <w:bCs/>
          <w:noProof/>
        </w:rPr>
        <w:t>harge based on Schedule 101 rates (breakeven at 200 therms), and a uniform percentage increase to all blocks.</w:t>
      </w:r>
    </w:p>
    <w:p w:rsidR="006179A0" w:rsidRDefault="006179A0" w:rsidP="006179A0">
      <w:pPr>
        <w:pStyle w:val="ListParagraph"/>
        <w:numPr>
          <w:ilvl w:val="2"/>
          <w:numId w:val="36"/>
        </w:numPr>
        <w:tabs>
          <w:tab w:val="left" w:pos="2160"/>
        </w:tabs>
        <w:spacing w:line="480" w:lineRule="auto"/>
        <w:ind w:left="2520" w:hanging="360"/>
        <w:jc w:val="both"/>
        <w:rPr>
          <w:bCs/>
          <w:noProof/>
        </w:rPr>
      </w:pPr>
      <w:r>
        <w:rPr>
          <w:bCs/>
          <w:noProof/>
        </w:rPr>
        <w:t xml:space="preserve">Schedule 121 </w:t>
      </w:r>
      <w:r>
        <w:t xml:space="preserve">will </w:t>
      </w:r>
      <w:r>
        <w:rPr>
          <w:bCs/>
          <w:noProof/>
        </w:rPr>
        <w:t xml:space="preserve">have an increase in the monthly </w:t>
      </w:r>
      <w:r w:rsidR="00EF7452">
        <w:rPr>
          <w:bCs/>
          <w:noProof/>
        </w:rPr>
        <w:t>m</w:t>
      </w:r>
      <w:r>
        <w:rPr>
          <w:bCs/>
          <w:noProof/>
        </w:rPr>
        <w:t xml:space="preserve">inimum </w:t>
      </w:r>
      <w:r w:rsidR="00EF7452">
        <w:rPr>
          <w:bCs/>
          <w:noProof/>
        </w:rPr>
        <w:t>c</w:t>
      </w:r>
      <w:r>
        <w:rPr>
          <w:bCs/>
          <w:noProof/>
        </w:rPr>
        <w:t>harge based on Schedule 101 rates (breakeven at 500 therms), and a uniform percentage increase to all blocks.</w:t>
      </w:r>
    </w:p>
    <w:p w:rsidR="005B47CB" w:rsidRPr="006179A0" w:rsidRDefault="006179A0" w:rsidP="006179A0">
      <w:pPr>
        <w:pStyle w:val="ListParagraph"/>
        <w:numPr>
          <w:ilvl w:val="2"/>
          <w:numId w:val="36"/>
        </w:numPr>
        <w:tabs>
          <w:tab w:val="left" w:pos="2160"/>
        </w:tabs>
        <w:spacing w:line="480" w:lineRule="auto"/>
        <w:ind w:left="2520" w:hanging="360"/>
        <w:jc w:val="both"/>
        <w:rPr>
          <w:bCs/>
          <w:noProof/>
        </w:rPr>
      </w:pPr>
      <w:r>
        <w:rPr>
          <w:bCs/>
          <w:noProof/>
        </w:rPr>
        <w:t xml:space="preserve">Schedule 131 </w:t>
      </w:r>
      <w:r>
        <w:t xml:space="preserve">will </w:t>
      </w:r>
      <w:r>
        <w:rPr>
          <w:bCs/>
          <w:noProof/>
        </w:rPr>
        <w:t>have a uniform percentage increase to all blocks.</w:t>
      </w:r>
    </w:p>
    <w:p w:rsidR="00F15A4B" w:rsidRPr="00C541E4" w:rsidRDefault="00F15A4B" w:rsidP="00E05DE0">
      <w:pPr>
        <w:pStyle w:val="BodyTextIndent"/>
        <w:tabs>
          <w:tab w:val="clear" w:pos="1260"/>
          <w:tab w:val="left" w:pos="1440"/>
        </w:tabs>
        <w:jc w:val="center"/>
      </w:pPr>
      <w:r w:rsidRPr="00C541E4">
        <w:t xml:space="preserve"> </w:t>
      </w:r>
    </w:p>
    <w:p w:rsidR="00D03F75" w:rsidRDefault="00983463" w:rsidP="00D03F75">
      <w:pPr>
        <w:pStyle w:val="BodyText3"/>
        <w:spacing w:line="480" w:lineRule="auto"/>
        <w:jc w:val="center"/>
        <w:rPr>
          <w:b/>
          <w:i w:val="0"/>
          <w:sz w:val="24"/>
          <w:u w:val="single"/>
        </w:rPr>
      </w:pPr>
      <w:r>
        <w:rPr>
          <w:b/>
          <w:i w:val="0"/>
          <w:sz w:val="24"/>
          <w:u w:val="single"/>
        </w:rPr>
        <w:t>V</w:t>
      </w:r>
      <w:r w:rsidR="00A2766E">
        <w:rPr>
          <w:b/>
          <w:i w:val="0"/>
          <w:sz w:val="24"/>
          <w:u w:val="single"/>
        </w:rPr>
        <w:t>I</w:t>
      </w:r>
      <w:r>
        <w:rPr>
          <w:b/>
          <w:i w:val="0"/>
          <w:sz w:val="24"/>
          <w:u w:val="single"/>
        </w:rPr>
        <w:t>I</w:t>
      </w:r>
      <w:proofErr w:type="gramStart"/>
      <w:r w:rsidR="00D03F75">
        <w:rPr>
          <w:b/>
          <w:i w:val="0"/>
          <w:sz w:val="24"/>
          <w:u w:val="single"/>
        </w:rPr>
        <w:t>.  PUBLIC</w:t>
      </w:r>
      <w:proofErr w:type="gramEnd"/>
      <w:r w:rsidR="00D03F75">
        <w:rPr>
          <w:b/>
          <w:i w:val="0"/>
          <w:sz w:val="24"/>
          <w:u w:val="single"/>
        </w:rPr>
        <w:t xml:space="preserve"> INTEREST</w:t>
      </w:r>
    </w:p>
    <w:p w:rsidR="006A467B" w:rsidRDefault="006A467B" w:rsidP="006A467B">
      <w:pPr>
        <w:tabs>
          <w:tab w:val="left" w:pos="1440"/>
        </w:tabs>
        <w:spacing w:line="480" w:lineRule="auto"/>
        <w:ind w:right="90" w:firstLine="720"/>
        <w:jc w:val="both"/>
        <w:rPr>
          <w:b/>
          <w:bCs/>
          <w:snapToGrid w:val="0"/>
        </w:rPr>
      </w:pPr>
      <w:r>
        <w:rPr>
          <w:b/>
          <w:bCs/>
          <w:snapToGrid w:val="0"/>
        </w:rPr>
        <w:t>Q.</w:t>
      </w:r>
      <w:r>
        <w:rPr>
          <w:b/>
          <w:bCs/>
          <w:snapToGrid w:val="0"/>
        </w:rPr>
        <w:tab/>
        <w:t xml:space="preserve">Before providing each Party’s separate </w:t>
      </w:r>
      <w:r w:rsidR="00F440E2">
        <w:rPr>
          <w:b/>
          <w:bCs/>
          <w:snapToGrid w:val="0"/>
        </w:rPr>
        <w:t>statement</w:t>
      </w:r>
      <w:r>
        <w:rPr>
          <w:b/>
          <w:bCs/>
          <w:snapToGrid w:val="0"/>
        </w:rPr>
        <w:t xml:space="preserve"> what </w:t>
      </w:r>
      <w:r w:rsidR="00C2498F">
        <w:rPr>
          <w:b/>
          <w:bCs/>
          <w:snapToGrid w:val="0"/>
        </w:rPr>
        <w:t xml:space="preserve">have the Parties agreed to regarding </w:t>
      </w:r>
      <w:r>
        <w:rPr>
          <w:b/>
          <w:bCs/>
          <w:snapToGrid w:val="0"/>
        </w:rPr>
        <w:t>the effect of the Settlement on</w:t>
      </w:r>
      <w:r w:rsidR="00C2498F">
        <w:rPr>
          <w:b/>
          <w:bCs/>
          <w:snapToGrid w:val="0"/>
        </w:rPr>
        <w:t xml:space="preserve"> any future rate proceedings</w:t>
      </w:r>
      <w:r>
        <w:rPr>
          <w:b/>
          <w:bCs/>
          <w:snapToGrid w:val="0"/>
        </w:rPr>
        <w:t>?</w:t>
      </w:r>
    </w:p>
    <w:p w:rsidR="006A467B" w:rsidRDefault="006A467B" w:rsidP="006A467B">
      <w:pPr>
        <w:tabs>
          <w:tab w:val="left" w:pos="1440"/>
        </w:tabs>
        <w:spacing w:line="480" w:lineRule="auto"/>
        <w:ind w:right="90" w:firstLine="720"/>
        <w:jc w:val="both"/>
        <w:rPr>
          <w:snapToGrid w:val="0"/>
        </w:rPr>
      </w:pPr>
      <w:r>
        <w:rPr>
          <w:snapToGrid w:val="0"/>
        </w:rPr>
        <w:t>A.</w:t>
      </w:r>
      <w:r>
        <w:rPr>
          <w:snapToGrid w:val="0"/>
        </w:rPr>
        <w:tab/>
        <w:t xml:space="preserve">The Settlement represents a negotiated compromise among the Parties.  Thus, the Parties have agreed that no particular party shall be deemed to have approved the facts, principles, methods, or theories employed by any other </w:t>
      </w:r>
      <w:r w:rsidR="00861713">
        <w:rPr>
          <w:snapToGrid w:val="0"/>
        </w:rPr>
        <w:t xml:space="preserve">Party </w:t>
      </w:r>
      <w:r>
        <w:rPr>
          <w:snapToGrid w:val="0"/>
        </w:rPr>
        <w:t xml:space="preserve">in arriving at these stipulated provisions, and that the terms incorporated should not be viewed as precedent setting in subsequent proceedings except as expressly provided.  In addition, the Parties have the right to withdraw from the Settlement if the Commission adds any additional material conditions or rejects any material part of </w:t>
      </w:r>
      <w:r w:rsidRPr="001442A1">
        <w:rPr>
          <w:snapToGrid w:val="0"/>
        </w:rPr>
        <w:t>the Settlement</w:t>
      </w:r>
      <w:r>
        <w:rPr>
          <w:snapToGrid w:val="0"/>
        </w:rPr>
        <w:t>.</w:t>
      </w:r>
    </w:p>
    <w:p w:rsidR="00426B53" w:rsidRPr="00EC55E3" w:rsidRDefault="00426B53" w:rsidP="00EC55E3">
      <w:pPr>
        <w:pStyle w:val="BodyText"/>
      </w:pPr>
      <w:r w:rsidRPr="00EC55E3">
        <w:t>Q.</w:t>
      </w:r>
      <w:r w:rsidR="00FF662D" w:rsidRPr="00EC55E3">
        <w:tab/>
      </w:r>
      <w:r w:rsidRPr="00EC55E3">
        <w:t xml:space="preserve">Do </w:t>
      </w:r>
      <w:r w:rsidR="00F440E2">
        <w:t xml:space="preserve">the separate statements of </w:t>
      </w:r>
      <w:r w:rsidRPr="00EC55E3">
        <w:t>each Party represent their view</w:t>
      </w:r>
      <w:r w:rsidR="00F440E2">
        <w:t>s</w:t>
      </w:r>
      <w:r w:rsidRPr="00EC55E3">
        <w:t xml:space="preserve"> of why the </w:t>
      </w:r>
      <w:r w:rsidR="00FF662D" w:rsidRPr="00EC55E3">
        <w:t>Settlement is in the public interest?</w:t>
      </w:r>
      <w:r w:rsidRPr="00EC55E3">
        <w:t xml:space="preserve"> </w:t>
      </w:r>
    </w:p>
    <w:p w:rsidR="00FF662D" w:rsidRDefault="00FF662D" w:rsidP="006A467B">
      <w:pPr>
        <w:tabs>
          <w:tab w:val="left" w:pos="1440"/>
        </w:tabs>
        <w:spacing w:line="480" w:lineRule="auto"/>
        <w:ind w:right="90" w:firstLine="720"/>
        <w:jc w:val="both"/>
        <w:rPr>
          <w:snapToGrid w:val="0"/>
        </w:rPr>
      </w:pPr>
      <w:r>
        <w:rPr>
          <w:snapToGrid w:val="0"/>
        </w:rPr>
        <w:t>A.</w:t>
      </w:r>
      <w:r>
        <w:rPr>
          <w:snapToGrid w:val="0"/>
        </w:rPr>
        <w:tab/>
        <w:t xml:space="preserve">Yes.  The following statements are provided from the perspective of each of the </w:t>
      </w:r>
      <w:r w:rsidR="00567763">
        <w:rPr>
          <w:snapToGrid w:val="0"/>
        </w:rPr>
        <w:t>s</w:t>
      </w:r>
      <w:r>
        <w:rPr>
          <w:snapToGrid w:val="0"/>
        </w:rPr>
        <w:t>ettling Parties, and as such, represent their views only.  As such, no other party shall be deemed to have agreed to the statements</w:t>
      </w:r>
      <w:r w:rsidR="00567763">
        <w:rPr>
          <w:snapToGrid w:val="0"/>
        </w:rPr>
        <w:t xml:space="preserve"> of a particular party</w:t>
      </w:r>
      <w:r>
        <w:rPr>
          <w:snapToGrid w:val="0"/>
        </w:rPr>
        <w:t>.</w:t>
      </w:r>
    </w:p>
    <w:p w:rsidR="00D03F75" w:rsidRPr="007B7588" w:rsidRDefault="00D03F75" w:rsidP="00D03F75">
      <w:pPr>
        <w:pStyle w:val="BodyText3"/>
        <w:spacing w:line="480" w:lineRule="auto"/>
        <w:rPr>
          <w:b/>
          <w:i w:val="0"/>
          <w:sz w:val="24"/>
          <w:u w:val="single"/>
        </w:rPr>
      </w:pPr>
      <w:r w:rsidRPr="007B7588">
        <w:rPr>
          <w:b/>
          <w:i w:val="0"/>
          <w:sz w:val="24"/>
          <w:u w:val="single"/>
        </w:rPr>
        <w:t>Statement of Avista</w:t>
      </w:r>
    </w:p>
    <w:p w:rsidR="00902CF1" w:rsidRDefault="00902CF1" w:rsidP="00503CDC">
      <w:pPr>
        <w:pStyle w:val="BodyText"/>
      </w:pPr>
      <w:r>
        <w:t>Q.</w:t>
      </w:r>
      <w:r>
        <w:tab/>
        <w:t xml:space="preserve">Please explain why Avista believes </w:t>
      </w:r>
      <w:r w:rsidRPr="001442A1">
        <w:t xml:space="preserve">the </w:t>
      </w:r>
      <w:r>
        <w:t>Settlement is in the public interest.</w:t>
      </w:r>
    </w:p>
    <w:p w:rsidR="00902CF1" w:rsidRPr="000C78CC" w:rsidRDefault="00902CF1" w:rsidP="00B96A14">
      <w:pPr>
        <w:pStyle w:val="BodyText"/>
        <w:rPr>
          <w:b w:val="0"/>
        </w:rPr>
      </w:pPr>
      <w:r w:rsidRPr="000C78CC">
        <w:rPr>
          <w:b w:val="0"/>
        </w:rPr>
        <w:t>A.</w:t>
      </w:r>
      <w:r w:rsidRPr="000C78CC">
        <w:rPr>
          <w:b w:val="0"/>
        </w:rPr>
        <w:tab/>
        <w:t xml:space="preserve">The Settlement strikes a reasonable balance between the interests of Avista and its customers on </w:t>
      </w:r>
      <w:r w:rsidR="001442A1">
        <w:rPr>
          <w:b w:val="0"/>
        </w:rPr>
        <w:t>cost of capital, power cost</w:t>
      </w:r>
      <w:r w:rsidRPr="000C78CC">
        <w:rPr>
          <w:b w:val="0"/>
        </w:rPr>
        <w:t>,</w:t>
      </w:r>
      <w:r w:rsidR="001442A1">
        <w:rPr>
          <w:b w:val="0"/>
        </w:rPr>
        <w:t xml:space="preserve"> and</w:t>
      </w:r>
      <w:r w:rsidRPr="000C78CC">
        <w:rPr>
          <w:b w:val="0"/>
        </w:rPr>
        <w:t xml:space="preserve"> ra</w:t>
      </w:r>
      <w:r w:rsidR="001442A1">
        <w:rPr>
          <w:b w:val="0"/>
        </w:rPr>
        <w:t>te spread and rate design issues</w:t>
      </w:r>
      <w:r w:rsidRPr="000C78CC">
        <w:rPr>
          <w:b w:val="0"/>
        </w:rPr>
        <w:t xml:space="preserve"> included in the Settlement.  </w:t>
      </w:r>
      <w:r w:rsidR="00622621" w:rsidRPr="000C78CC">
        <w:rPr>
          <w:b w:val="0"/>
          <w:bCs/>
        </w:rPr>
        <w:t xml:space="preserve">The Settlement was a compromise among differing interests and represents give-and-take. </w:t>
      </w:r>
    </w:p>
    <w:p w:rsidR="006179A0" w:rsidRDefault="00D01DFF" w:rsidP="00B96A14">
      <w:pPr>
        <w:pStyle w:val="BodyTextIndent"/>
        <w:tabs>
          <w:tab w:val="clear" w:pos="1260"/>
          <w:tab w:val="left" w:pos="720"/>
        </w:tabs>
        <w:ind w:firstLine="0"/>
      </w:pPr>
      <w:r>
        <w:tab/>
        <w:t xml:space="preserve">The </w:t>
      </w:r>
      <w:r w:rsidR="00C32122">
        <w:t>S</w:t>
      </w:r>
      <w:r>
        <w:t>ettlement includes adjustments to the originally-filed net power supply costs, including a recent change in the Company's power supply model, updated lower contract costs associated with a recently signed purchase of power from Chelan PUD, and agreed-upon additional reduction</w:t>
      </w:r>
      <w:r w:rsidR="00281E3B">
        <w:t>s</w:t>
      </w:r>
      <w:r>
        <w:t xml:space="preserve"> to power supply costs. The </w:t>
      </w:r>
      <w:r w:rsidR="00861713">
        <w:t>P</w:t>
      </w:r>
      <w:r>
        <w:t>arties also agreed that power supply costs would be updated with the most current information two months prior to new retail rates going into effect from this case. The updated power supply costs (higher or lower) would also be used to reset the base for the Energy Recovery Mechanism (ERM) calculations for 2016.</w:t>
      </w:r>
      <w:r w:rsidR="00B96A14">
        <w:t xml:space="preserve">  </w:t>
      </w:r>
    </w:p>
    <w:p w:rsidR="00D01DFF" w:rsidRDefault="00B96A14" w:rsidP="00B96A14">
      <w:pPr>
        <w:pStyle w:val="BodyTextIndent"/>
        <w:tabs>
          <w:tab w:val="clear" w:pos="1260"/>
          <w:tab w:val="left" w:pos="720"/>
        </w:tabs>
        <w:ind w:firstLine="0"/>
      </w:pPr>
      <w:r>
        <w:tab/>
        <w:t xml:space="preserve">The Settlement also provides consensus around all issues regarding electric rate spread and rate design, as well as an agreed-upon cost of capital.  </w:t>
      </w:r>
      <w:r w:rsidR="00FC55C3">
        <w:t>While the ultimate electric and natural gas revenue requirement</w:t>
      </w:r>
      <w:r w:rsidR="00281E3B">
        <w:t>s</w:t>
      </w:r>
      <w:r w:rsidR="00FC55C3">
        <w:t xml:space="preserve"> are still to be determined, t</w:t>
      </w:r>
      <w:r w:rsidRPr="00B96A14">
        <w:t>he settlement agreement moves us one step closer to arriving at new electric and natural gas rates in Washington that are fair and reasonable for our customers, the Company and our shareholders</w:t>
      </w:r>
      <w:r>
        <w:t xml:space="preserve">.  </w:t>
      </w:r>
      <w:r w:rsidR="00D01DFF">
        <w:t xml:space="preserve">In conclusion, the Settlement resolves major issues included in the Company’s electric and natural gas general rate case filings, </w:t>
      </w:r>
      <w:r w:rsidR="005E4131">
        <w:t>pertaining to</w:t>
      </w:r>
      <w:r w:rsidR="00D01DFF">
        <w:t xml:space="preserve"> cost of capital, power supply, and rate spread and rate design issues.  For these reasons, </w:t>
      </w:r>
      <w:r w:rsidR="00281E3B">
        <w:t>the S</w:t>
      </w:r>
      <w:r w:rsidR="00D01DFF">
        <w:t>ettlement is in the public interest and should be approved by the Commission.</w:t>
      </w:r>
    </w:p>
    <w:p w:rsidR="00305AC8" w:rsidRDefault="00305AC8" w:rsidP="00305AC8">
      <w:pPr>
        <w:pStyle w:val="BodyTextIndent"/>
        <w:ind w:firstLine="0"/>
        <w:jc w:val="left"/>
        <w:rPr>
          <w:b/>
          <w:u w:val="single"/>
        </w:rPr>
      </w:pPr>
      <w:r w:rsidRPr="007B7588">
        <w:rPr>
          <w:b/>
          <w:u w:val="single"/>
        </w:rPr>
        <w:t>Statement of Commission Staff</w:t>
      </w:r>
    </w:p>
    <w:p w:rsidR="00E32C99" w:rsidRDefault="00E32C99" w:rsidP="00E32C99">
      <w:pPr>
        <w:pStyle w:val="BodyText"/>
      </w:pPr>
      <w:r w:rsidRPr="00E32C99">
        <w:t>Q.</w:t>
      </w:r>
      <w:r w:rsidRPr="00E32C99">
        <w:tab/>
        <w:t xml:space="preserve">Please state your name and business address.  </w:t>
      </w:r>
    </w:p>
    <w:p w:rsidR="00E32C99" w:rsidRDefault="00471BCA" w:rsidP="00E32C99">
      <w:pPr>
        <w:pStyle w:val="BodyText"/>
        <w:rPr>
          <w:szCs w:val="24"/>
        </w:rPr>
      </w:pPr>
      <w:r>
        <w:rPr>
          <w:b w:val="0"/>
          <w:szCs w:val="24"/>
        </w:rPr>
        <w:t>A.</w:t>
      </w:r>
      <w:r>
        <w:rPr>
          <w:b w:val="0"/>
          <w:szCs w:val="24"/>
        </w:rPr>
        <w:tab/>
        <w:t xml:space="preserve">My name is Chris R. McGuire.  My business address is The Richard </w:t>
      </w:r>
      <w:proofErr w:type="spellStart"/>
      <w:r>
        <w:rPr>
          <w:b w:val="0"/>
          <w:szCs w:val="24"/>
        </w:rPr>
        <w:t>Hemstad</w:t>
      </w:r>
      <w:proofErr w:type="spellEnd"/>
      <w:r>
        <w:rPr>
          <w:b w:val="0"/>
          <w:szCs w:val="24"/>
        </w:rPr>
        <w:t xml:space="preserve"> Building, 1300 S. Evergreen Park Drive S.W., Olympia, WA  98504.  </w:t>
      </w:r>
    </w:p>
    <w:p w:rsidR="00722B8D" w:rsidRPr="00131077" w:rsidRDefault="00722B8D" w:rsidP="00722B8D">
      <w:pPr>
        <w:pStyle w:val="BodyTextIndent"/>
        <w:jc w:val="center"/>
        <w:rPr>
          <w:b/>
        </w:rPr>
      </w:pPr>
      <w:r w:rsidRPr="00131077">
        <w:rPr>
          <w:b/>
        </w:rPr>
        <w:t>I.</w:t>
      </w:r>
      <w:r>
        <w:rPr>
          <w:b/>
        </w:rPr>
        <w:t xml:space="preserve">  </w:t>
      </w:r>
      <w:r w:rsidRPr="00131077">
        <w:rPr>
          <w:b/>
        </w:rPr>
        <w:t>PURPOSE AND SCOPE OF TESTIMONY</w:t>
      </w:r>
    </w:p>
    <w:p w:rsidR="00E32C99" w:rsidRDefault="00722B8D" w:rsidP="00E32C99">
      <w:pPr>
        <w:pStyle w:val="BodyText"/>
      </w:pPr>
      <w:r w:rsidRPr="00305AC8">
        <w:t>Q.</w:t>
      </w:r>
      <w:r w:rsidRPr="00305AC8">
        <w:tab/>
        <w:t>Please summarize the purpose of your testimony.</w:t>
      </w:r>
    </w:p>
    <w:p w:rsidR="00E32C99" w:rsidRPr="00E32C99" w:rsidRDefault="00E32C99" w:rsidP="00E32C99">
      <w:pPr>
        <w:pStyle w:val="BodyText"/>
        <w:rPr>
          <w:szCs w:val="24"/>
        </w:rPr>
      </w:pPr>
      <w:r w:rsidRPr="00E32C99">
        <w:rPr>
          <w:b w:val="0"/>
          <w:szCs w:val="24"/>
        </w:rPr>
        <w:t>A.</w:t>
      </w:r>
      <w:r w:rsidRPr="00E32C99">
        <w:rPr>
          <w:b w:val="0"/>
          <w:szCs w:val="24"/>
        </w:rPr>
        <w:tab/>
        <w:t>I explain how Staff evaluated the specific elements of the Settlement, which includes rate of return, power supply costs, and rate design, and why Staff believes that the proposed Settlement is in the public interest.</w:t>
      </w:r>
    </w:p>
    <w:p w:rsidR="00E32C99" w:rsidRPr="00E32C99" w:rsidRDefault="00E32C99" w:rsidP="00E32C99">
      <w:pPr>
        <w:pStyle w:val="BodyTextIndent"/>
        <w:rPr>
          <w:b/>
          <w:szCs w:val="24"/>
        </w:rPr>
      </w:pPr>
      <w:r w:rsidRPr="00E32C99">
        <w:rPr>
          <w:b/>
          <w:szCs w:val="24"/>
        </w:rPr>
        <w:t>Q.</w:t>
      </w:r>
      <w:r w:rsidRPr="00E32C99">
        <w:rPr>
          <w:b/>
          <w:szCs w:val="24"/>
        </w:rPr>
        <w:tab/>
        <w:t>Please summarize Staff’s understanding of the components of this Settlement.</w:t>
      </w:r>
    </w:p>
    <w:p w:rsidR="00E32C99" w:rsidRDefault="00E32C99" w:rsidP="00E32C99">
      <w:pPr>
        <w:pStyle w:val="BodyTextIndent"/>
        <w:rPr>
          <w:szCs w:val="24"/>
        </w:rPr>
      </w:pPr>
      <w:r w:rsidRPr="00E32C99">
        <w:rPr>
          <w:szCs w:val="24"/>
        </w:rPr>
        <w:t>A.</w:t>
      </w:r>
      <w:r w:rsidRPr="00E32C99">
        <w:rPr>
          <w:szCs w:val="24"/>
        </w:rPr>
        <w:tab/>
        <w:t xml:space="preserve">In broad terms, the proposed Settlement represents a reasonable balance among elements of cost of capital, power costs, and rate design. Herein, I describe Staff’s support for the proposed a) 7.29 percent rate of return, b) update to net power costs, and c) very modest (to no) increases to basic charges and certain demand charges, with the remainder of revenue spread on a uniform percentage basis. </w:t>
      </w:r>
    </w:p>
    <w:p w:rsidR="00E32C99" w:rsidRDefault="00722B8D" w:rsidP="00E32C99">
      <w:pPr>
        <w:tabs>
          <w:tab w:val="left" w:pos="1260"/>
        </w:tabs>
        <w:spacing w:line="480" w:lineRule="auto"/>
        <w:ind w:firstLine="720"/>
        <w:jc w:val="both"/>
        <w:rPr>
          <w:rFonts w:ascii="Times New Roman Bold" w:hAnsi="Times New Roman Bold"/>
          <w:caps/>
          <w:szCs w:val="24"/>
        </w:rPr>
      </w:pPr>
      <w:r>
        <w:t>The proposed 7.29 percent rate of return includes a 48.5 percent equity layer and a 9.5 percent return on equity. The Settlement stipulates that power costs will be updated in early November 2015; Avista’s Energy Recovery Mechanism primarily will continue in its present form but with major maintenance expense removed from net power supply costs; and the ERM Retail Revenue “Credit” will be re-labeled as Retail Revenue Adjustment and will operate as approved in Docket UE-140188.  The residential basic charge remains unchanged for both electric and gas service.</w:t>
      </w:r>
    </w:p>
    <w:p w:rsidR="00722B8D" w:rsidRDefault="00722B8D" w:rsidP="00722B8D">
      <w:pPr>
        <w:tabs>
          <w:tab w:val="left" w:pos="720"/>
          <w:tab w:val="left" w:pos="1440"/>
        </w:tabs>
        <w:spacing w:line="480" w:lineRule="auto"/>
        <w:jc w:val="center"/>
        <w:rPr>
          <w:b/>
        </w:rPr>
      </w:pPr>
      <w:r>
        <w:rPr>
          <w:b/>
        </w:rPr>
        <w:t>II</w:t>
      </w:r>
      <w:proofErr w:type="gramStart"/>
      <w:r>
        <w:rPr>
          <w:b/>
        </w:rPr>
        <w:t>.  RATE</w:t>
      </w:r>
      <w:proofErr w:type="gramEnd"/>
      <w:r>
        <w:rPr>
          <w:b/>
        </w:rPr>
        <w:t xml:space="preserve"> OF RETURN</w:t>
      </w:r>
    </w:p>
    <w:p w:rsidR="00E32C99" w:rsidRDefault="00722B8D" w:rsidP="00E32C99">
      <w:pPr>
        <w:pStyle w:val="BodyTextIndent"/>
        <w:rPr>
          <w:b/>
          <w:szCs w:val="24"/>
        </w:rPr>
      </w:pPr>
      <w:r w:rsidRPr="005B10E9">
        <w:rPr>
          <w:b/>
          <w:szCs w:val="24"/>
        </w:rPr>
        <w:t>Q.</w:t>
      </w:r>
      <w:r w:rsidRPr="005B10E9">
        <w:rPr>
          <w:b/>
          <w:szCs w:val="24"/>
        </w:rPr>
        <w:tab/>
        <w:t>Why does Staff support the settled rate of return of 7.29 percent?</w:t>
      </w:r>
    </w:p>
    <w:p w:rsidR="00E32C99" w:rsidRDefault="00722B8D" w:rsidP="00E32C99">
      <w:pPr>
        <w:pStyle w:val="BodyTextIndent"/>
        <w:rPr>
          <w:szCs w:val="24"/>
        </w:rPr>
      </w:pPr>
      <w:r w:rsidRPr="005B10E9">
        <w:rPr>
          <w:szCs w:val="24"/>
        </w:rPr>
        <w:t>A.</w:t>
      </w:r>
      <w:r w:rsidRPr="005B10E9">
        <w:rPr>
          <w:szCs w:val="24"/>
        </w:rPr>
        <w:tab/>
        <w:t>There are a few factors that show this is a reasonable rate of return (ROR</w:t>
      </w:r>
      <w:r>
        <w:rPr>
          <w:szCs w:val="24"/>
        </w:rPr>
        <w:t>)</w:t>
      </w:r>
      <w:r w:rsidRPr="005B10E9">
        <w:rPr>
          <w:szCs w:val="24"/>
        </w:rPr>
        <w:t>.  Our main reasons include:</w:t>
      </w:r>
    </w:p>
    <w:p w:rsidR="00E32C99" w:rsidRDefault="00722B8D" w:rsidP="00E32C99">
      <w:pPr>
        <w:pStyle w:val="BodyTextIndent"/>
        <w:rPr>
          <w:szCs w:val="24"/>
        </w:rPr>
      </w:pPr>
      <w:r w:rsidRPr="005B10E9">
        <w:rPr>
          <w:szCs w:val="24"/>
        </w:rPr>
        <w:t>1.</w:t>
      </w:r>
      <w:r>
        <w:rPr>
          <w:szCs w:val="24"/>
        </w:rPr>
        <w:tab/>
      </w:r>
      <w:r w:rsidRPr="005B10E9">
        <w:rPr>
          <w:szCs w:val="24"/>
        </w:rPr>
        <w:t xml:space="preserve">The </w:t>
      </w:r>
      <w:r>
        <w:rPr>
          <w:szCs w:val="24"/>
        </w:rPr>
        <w:t>C</w:t>
      </w:r>
      <w:r w:rsidRPr="005B10E9">
        <w:rPr>
          <w:szCs w:val="24"/>
        </w:rPr>
        <w:t xml:space="preserve">ommission decision in </w:t>
      </w:r>
      <w:r>
        <w:rPr>
          <w:szCs w:val="24"/>
        </w:rPr>
        <w:t xml:space="preserve">Docket </w:t>
      </w:r>
      <w:r w:rsidRPr="005B10E9">
        <w:rPr>
          <w:szCs w:val="24"/>
        </w:rPr>
        <w:t xml:space="preserve">UE-140762, Order 08.  </w:t>
      </w:r>
    </w:p>
    <w:p w:rsidR="00E32C99" w:rsidRDefault="00722B8D" w:rsidP="00E32C99">
      <w:pPr>
        <w:pStyle w:val="BodyTextIndent"/>
        <w:rPr>
          <w:szCs w:val="24"/>
        </w:rPr>
      </w:pPr>
      <w:r w:rsidRPr="005B10E9">
        <w:rPr>
          <w:szCs w:val="24"/>
        </w:rPr>
        <w:t>2.</w:t>
      </w:r>
      <w:r>
        <w:rPr>
          <w:szCs w:val="24"/>
        </w:rPr>
        <w:tab/>
        <w:t>T</w:t>
      </w:r>
      <w:r w:rsidRPr="005B10E9">
        <w:rPr>
          <w:szCs w:val="24"/>
        </w:rPr>
        <w:t>he testimony of Avista’s witness Mr. Adrien McKenzie</w:t>
      </w:r>
      <w:r>
        <w:rPr>
          <w:szCs w:val="24"/>
        </w:rPr>
        <w:t xml:space="preserve"> on the Company’s capital structure</w:t>
      </w:r>
      <w:r w:rsidRPr="005B10E9">
        <w:rPr>
          <w:szCs w:val="24"/>
        </w:rPr>
        <w:t>.</w:t>
      </w:r>
    </w:p>
    <w:p w:rsidR="00E32C99" w:rsidRDefault="00722B8D" w:rsidP="00E32C99">
      <w:pPr>
        <w:pStyle w:val="BodyTextIndent"/>
        <w:rPr>
          <w:szCs w:val="24"/>
        </w:rPr>
      </w:pPr>
      <w:r>
        <w:rPr>
          <w:szCs w:val="24"/>
        </w:rPr>
        <w:t>3</w:t>
      </w:r>
      <w:r w:rsidRPr="005B10E9">
        <w:rPr>
          <w:szCs w:val="24"/>
        </w:rPr>
        <w:t>.</w:t>
      </w:r>
      <w:r>
        <w:rPr>
          <w:szCs w:val="24"/>
        </w:rPr>
        <w:tab/>
      </w:r>
      <w:r w:rsidRPr="005B10E9">
        <w:rPr>
          <w:szCs w:val="24"/>
        </w:rPr>
        <w:t xml:space="preserve">The ROR in the settlement of Avista’s 2014 general rate case. </w:t>
      </w:r>
    </w:p>
    <w:p w:rsidR="00E32C99" w:rsidRDefault="00722B8D" w:rsidP="00E32C99">
      <w:pPr>
        <w:pStyle w:val="BodyTextIndent"/>
        <w:rPr>
          <w:b/>
          <w:szCs w:val="24"/>
        </w:rPr>
      </w:pPr>
      <w:proofErr w:type="gramStart"/>
      <w:r w:rsidRPr="005B10E9">
        <w:rPr>
          <w:b/>
          <w:szCs w:val="24"/>
        </w:rPr>
        <w:t>Q.</w:t>
      </w:r>
      <w:r w:rsidRPr="005B10E9">
        <w:rPr>
          <w:b/>
          <w:szCs w:val="24"/>
        </w:rPr>
        <w:tab/>
        <w:t xml:space="preserve">Please describe the </w:t>
      </w:r>
      <w:r>
        <w:rPr>
          <w:b/>
          <w:szCs w:val="24"/>
        </w:rPr>
        <w:t xml:space="preserve">Commission’s decision in its recent </w:t>
      </w:r>
      <w:r w:rsidRPr="005B10E9">
        <w:rPr>
          <w:b/>
          <w:szCs w:val="24"/>
        </w:rPr>
        <w:t>Pacific Power and Light</w:t>
      </w:r>
      <w:r>
        <w:rPr>
          <w:b/>
          <w:szCs w:val="24"/>
        </w:rPr>
        <w:t xml:space="preserve"> Company </w:t>
      </w:r>
      <w:r w:rsidRPr="005B10E9">
        <w:rPr>
          <w:b/>
          <w:szCs w:val="24"/>
        </w:rPr>
        <w:t>order.</w:t>
      </w:r>
      <w:proofErr w:type="gramEnd"/>
    </w:p>
    <w:p w:rsidR="00E32C99" w:rsidRDefault="00722B8D" w:rsidP="00E32C99">
      <w:pPr>
        <w:pStyle w:val="BodyTextIndent"/>
        <w:rPr>
          <w:szCs w:val="24"/>
        </w:rPr>
      </w:pPr>
      <w:r w:rsidRPr="005B10E9">
        <w:rPr>
          <w:szCs w:val="24"/>
        </w:rPr>
        <w:t>A.</w:t>
      </w:r>
      <w:r w:rsidRPr="005B10E9">
        <w:rPr>
          <w:szCs w:val="24"/>
        </w:rPr>
        <w:tab/>
        <w:t xml:space="preserve">The </w:t>
      </w:r>
      <w:r>
        <w:rPr>
          <w:szCs w:val="24"/>
        </w:rPr>
        <w:t>C</w:t>
      </w:r>
      <w:r w:rsidRPr="005B10E9">
        <w:rPr>
          <w:szCs w:val="24"/>
        </w:rPr>
        <w:t>ommission authorized an ROR of 7.30 percent for Pacific Power</w:t>
      </w:r>
      <w:r>
        <w:rPr>
          <w:szCs w:val="24"/>
        </w:rPr>
        <w:t xml:space="preserve"> and Light Company in March of 2015.</w:t>
      </w:r>
      <w:r>
        <w:rPr>
          <w:rStyle w:val="FootnoteReference"/>
          <w:szCs w:val="24"/>
        </w:rPr>
        <w:footnoteReference w:id="2"/>
      </w:r>
      <w:r>
        <w:rPr>
          <w:szCs w:val="24"/>
        </w:rPr>
        <w:t xml:space="preserve">  </w:t>
      </w:r>
      <w:r w:rsidRPr="005B10E9">
        <w:rPr>
          <w:szCs w:val="24"/>
        </w:rPr>
        <w:t xml:space="preserve">The ROR in this </w:t>
      </w:r>
      <w:r>
        <w:rPr>
          <w:szCs w:val="24"/>
        </w:rPr>
        <w:t>Settlement</w:t>
      </w:r>
      <w:r w:rsidRPr="005B10E9">
        <w:rPr>
          <w:szCs w:val="24"/>
        </w:rPr>
        <w:t xml:space="preserve"> is nearly identical at 7.29</w:t>
      </w:r>
      <w:r>
        <w:rPr>
          <w:szCs w:val="24"/>
        </w:rPr>
        <w:t xml:space="preserve"> percent</w:t>
      </w:r>
      <w:r w:rsidRPr="005B10E9">
        <w:rPr>
          <w:szCs w:val="24"/>
        </w:rPr>
        <w:t xml:space="preserve">. </w:t>
      </w:r>
      <w:r>
        <w:rPr>
          <w:szCs w:val="24"/>
        </w:rPr>
        <w:t xml:space="preserve"> </w:t>
      </w:r>
      <w:r w:rsidRPr="005B10E9">
        <w:rPr>
          <w:szCs w:val="24"/>
        </w:rPr>
        <w:t xml:space="preserve">Granted this is a wholly different utility with different circumstances, but </w:t>
      </w:r>
      <w:r>
        <w:rPr>
          <w:szCs w:val="24"/>
        </w:rPr>
        <w:t>the March Pacific Power and Light Company decision</w:t>
      </w:r>
      <w:r w:rsidRPr="005B10E9">
        <w:rPr>
          <w:szCs w:val="24"/>
        </w:rPr>
        <w:t xml:space="preserve"> is the most recent opinion of this </w:t>
      </w:r>
      <w:r>
        <w:rPr>
          <w:szCs w:val="24"/>
        </w:rPr>
        <w:t>C</w:t>
      </w:r>
      <w:r w:rsidRPr="005B10E9">
        <w:rPr>
          <w:szCs w:val="24"/>
        </w:rPr>
        <w:t>ommission</w:t>
      </w:r>
      <w:r>
        <w:rPr>
          <w:szCs w:val="24"/>
        </w:rPr>
        <w:t xml:space="preserve"> on the current cost of capital</w:t>
      </w:r>
      <w:r w:rsidRPr="005B10E9">
        <w:rPr>
          <w:szCs w:val="24"/>
        </w:rPr>
        <w:t xml:space="preserve">.  </w:t>
      </w:r>
    </w:p>
    <w:p w:rsidR="00E32C99" w:rsidRDefault="00722B8D" w:rsidP="00E32C99">
      <w:pPr>
        <w:pStyle w:val="BodyTextIndent"/>
        <w:rPr>
          <w:b/>
          <w:szCs w:val="24"/>
        </w:rPr>
      </w:pPr>
      <w:r w:rsidRPr="005B10E9">
        <w:rPr>
          <w:b/>
          <w:szCs w:val="24"/>
        </w:rPr>
        <w:t>Q.</w:t>
      </w:r>
      <w:r w:rsidRPr="005B10E9">
        <w:rPr>
          <w:b/>
          <w:szCs w:val="24"/>
        </w:rPr>
        <w:tab/>
        <w:t xml:space="preserve">Please </w:t>
      </w:r>
      <w:r>
        <w:rPr>
          <w:b/>
          <w:szCs w:val="24"/>
        </w:rPr>
        <w:t>explain how</w:t>
      </w:r>
      <w:r w:rsidRPr="005B10E9">
        <w:rPr>
          <w:b/>
          <w:szCs w:val="24"/>
        </w:rPr>
        <w:t xml:space="preserve"> Mr. McKenzie’s testimony </w:t>
      </w:r>
      <w:r>
        <w:rPr>
          <w:b/>
          <w:szCs w:val="24"/>
        </w:rPr>
        <w:t xml:space="preserve">on capital structure is </w:t>
      </w:r>
      <w:r w:rsidRPr="005B10E9">
        <w:rPr>
          <w:b/>
          <w:szCs w:val="24"/>
        </w:rPr>
        <w:t>relevant to</w:t>
      </w:r>
      <w:r>
        <w:rPr>
          <w:b/>
          <w:szCs w:val="24"/>
        </w:rPr>
        <w:t xml:space="preserve"> Staff’s support of</w:t>
      </w:r>
      <w:r w:rsidRPr="005B10E9">
        <w:rPr>
          <w:b/>
          <w:szCs w:val="24"/>
        </w:rPr>
        <w:t xml:space="preserve"> the </w:t>
      </w:r>
      <w:r>
        <w:rPr>
          <w:b/>
          <w:szCs w:val="24"/>
        </w:rPr>
        <w:t>Settlement</w:t>
      </w:r>
      <w:r w:rsidRPr="005B10E9">
        <w:rPr>
          <w:b/>
          <w:szCs w:val="24"/>
        </w:rPr>
        <w:t>.</w:t>
      </w:r>
    </w:p>
    <w:p w:rsidR="00E32C99" w:rsidRDefault="00722B8D" w:rsidP="00E32C99">
      <w:pPr>
        <w:pStyle w:val="BodyTextIndent"/>
        <w:rPr>
          <w:szCs w:val="24"/>
        </w:rPr>
      </w:pPr>
      <w:r w:rsidRPr="005B10E9">
        <w:rPr>
          <w:szCs w:val="24"/>
        </w:rPr>
        <w:t>A.</w:t>
      </w:r>
      <w:r w:rsidRPr="005B10E9">
        <w:rPr>
          <w:szCs w:val="24"/>
        </w:rPr>
        <w:tab/>
      </w:r>
      <w:r>
        <w:rPr>
          <w:szCs w:val="24"/>
        </w:rPr>
        <w:t>At the time of</w:t>
      </w:r>
      <w:r w:rsidRPr="005B10E9">
        <w:rPr>
          <w:szCs w:val="24"/>
        </w:rPr>
        <w:t xml:space="preserve"> this </w:t>
      </w:r>
      <w:r>
        <w:rPr>
          <w:szCs w:val="24"/>
        </w:rPr>
        <w:t>Settlement</w:t>
      </w:r>
      <w:r w:rsidRPr="005B10E9">
        <w:rPr>
          <w:szCs w:val="24"/>
        </w:rPr>
        <w:t xml:space="preserve">, Avista </w:t>
      </w:r>
      <w:r>
        <w:rPr>
          <w:szCs w:val="24"/>
        </w:rPr>
        <w:t>had presented</w:t>
      </w:r>
      <w:r w:rsidRPr="005B10E9">
        <w:rPr>
          <w:szCs w:val="24"/>
        </w:rPr>
        <w:t xml:space="preserve"> the only ROR testimony for the record in the present case.</w:t>
      </w:r>
      <w:r>
        <w:rPr>
          <w:szCs w:val="24"/>
        </w:rPr>
        <w:t xml:space="preserve"> One of Mr. McKenzie’s exhibits is particularly relevant to Staff’s support of the Settlement. </w:t>
      </w:r>
      <w:proofErr w:type="gramStart"/>
      <w:r>
        <w:rPr>
          <w:szCs w:val="24"/>
        </w:rPr>
        <w:t>In Exhibit No.</w:t>
      </w:r>
      <w:proofErr w:type="gramEnd"/>
      <w:r>
        <w:rPr>
          <w:szCs w:val="24"/>
        </w:rPr>
        <w:t xml:space="preserve"> ___ (AMM-5), </w:t>
      </w:r>
      <w:r w:rsidRPr="005B10E9">
        <w:rPr>
          <w:szCs w:val="24"/>
        </w:rPr>
        <w:t>Mr. McKenzie compares Avista’s operations to a proxy group of 20 gas and electric utilities across the nation.  He presents the capital structures of the</w:t>
      </w:r>
      <w:r>
        <w:rPr>
          <w:szCs w:val="24"/>
        </w:rPr>
        <w:t>se</w:t>
      </w:r>
      <w:r w:rsidRPr="005B10E9">
        <w:rPr>
          <w:szCs w:val="24"/>
        </w:rPr>
        <w:t xml:space="preserve"> 20 utilities as one of his metrics in </w:t>
      </w:r>
      <w:r>
        <w:rPr>
          <w:szCs w:val="24"/>
        </w:rPr>
        <w:t>the exhibit</w:t>
      </w:r>
      <w:r w:rsidRPr="005B10E9">
        <w:rPr>
          <w:szCs w:val="24"/>
        </w:rPr>
        <w:t>.</w:t>
      </w:r>
      <w:r>
        <w:rPr>
          <w:szCs w:val="24"/>
        </w:rPr>
        <w:t xml:space="preserve"> </w:t>
      </w:r>
      <w:r w:rsidRPr="005B10E9">
        <w:rPr>
          <w:szCs w:val="24"/>
        </w:rPr>
        <w:t xml:space="preserve"> Here we see that Avista’s percentage of debt in the capital structure is near the upper end of the sample</w:t>
      </w:r>
      <w:r>
        <w:rPr>
          <w:szCs w:val="24"/>
        </w:rPr>
        <w:t xml:space="preserve"> given that</w:t>
      </w:r>
      <w:r w:rsidRPr="005B10E9">
        <w:rPr>
          <w:szCs w:val="24"/>
        </w:rPr>
        <w:t xml:space="preserve"> only five utilities </w:t>
      </w:r>
      <w:r>
        <w:rPr>
          <w:szCs w:val="24"/>
        </w:rPr>
        <w:t>have</w:t>
      </w:r>
      <w:r w:rsidRPr="005B10E9">
        <w:rPr>
          <w:szCs w:val="24"/>
        </w:rPr>
        <w:t xml:space="preserve"> greater than the 51.5 percent debt agreed upon </w:t>
      </w:r>
      <w:r>
        <w:rPr>
          <w:szCs w:val="24"/>
        </w:rPr>
        <w:t xml:space="preserve">for Avista </w:t>
      </w:r>
      <w:r w:rsidRPr="005B10E9">
        <w:rPr>
          <w:szCs w:val="24"/>
        </w:rPr>
        <w:t xml:space="preserve">in this </w:t>
      </w:r>
      <w:r>
        <w:rPr>
          <w:szCs w:val="24"/>
        </w:rPr>
        <w:t>Settlement</w:t>
      </w:r>
      <w:r w:rsidRPr="005B10E9">
        <w:rPr>
          <w:szCs w:val="24"/>
        </w:rPr>
        <w:t>.</w:t>
      </w:r>
      <w:r w:rsidRPr="005B10E9">
        <w:rPr>
          <w:rStyle w:val="FootnoteReference"/>
          <w:szCs w:val="24"/>
        </w:rPr>
        <w:footnoteReference w:id="3"/>
      </w:r>
      <w:r w:rsidRPr="005B10E9">
        <w:rPr>
          <w:szCs w:val="24"/>
        </w:rPr>
        <w:t xml:space="preserve">  This indicates that the equity percentage (equity and preferred stock make up the balance to equal 100 percent) in the </w:t>
      </w:r>
      <w:r>
        <w:rPr>
          <w:szCs w:val="24"/>
        </w:rPr>
        <w:t>Settlement</w:t>
      </w:r>
      <w:r w:rsidRPr="005B10E9">
        <w:rPr>
          <w:szCs w:val="24"/>
        </w:rPr>
        <w:t xml:space="preserve"> is not overly generous</w:t>
      </w:r>
      <w:r>
        <w:rPr>
          <w:szCs w:val="24"/>
        </w:rPr>
        <w:t>.</w:t>
      </w:r>
      <w:r w:rsidRPr="005B10E9">
        <w:rPr>
          <w:szCs w:val="24"/>
        </w:rPr>
        <w:t xml:space="preserve"> </w:t>
      </w:r>
      <w:r>
        <w:rPr>
          <w:szCs w:val="24"/>
        </w:rPr>
        <w:t xml:space="preserve">In fact, the equity level proposed for Avista in the Settlement, 48.5 percent, </w:t>
      </w:r>
      <w:r w:rsidRPr="005B10E9">
        <w:rPr>
          <w:szCs w:val="24"/>
        </w:rPr>
        <w:t xml:space="preserve">is </w:t>
      </w:r>
      <w:r>
        <w:rPr>
          <w:szCs w:val="24"/>
        </w:rPr>
        <w:t>slightly less than</w:t>
      </w:r>
      <w:r w:rsidRPr="005B10E9">
        <w:rPr>
          <w:szCs w:val="24"/>
        </w:rPr>
        <w:t xml:space="preserve"> the average equity of the proxy group</w:t>
      </w:r>
      <w:r>
        <w:rPr>
          <w:szCs w:val="24"/>
        </w:rPr>
        <w:t xml:space="preserve">, which is </w:t>
      </w:r>
      <w:r w:rsidRPr="00817E49">
        <w:t>48.7 percent</w:t>
      </w:r>
      <w:r w:rsidRPr="005B10E9">
        <w:rPr>
          <w:szCs w:val="24"/>
        </w:rPr>
        <w:t>.</w:t>
      </w:r>
      <w:r w:rsidDel="004F694F">
        <w:rPr>
          <w:rStyle w:val="FootnoteReference"/>
          <w:szCs w:val="24"/>
        </w:rPr>
        <w:t xml:space="preserve"> </w:t>
      </w:r>
    </w:p>
    <w:p w:rsidR="00E32C99" w:rsidRDefault="00722B8D" w:rsidP="00E32C99">
      <w:pPr>
        <w:pStyle w:val="BodyTextIndent"/>
        <w:rPr>
          <w:b/>
          <w:szCs w:val="24"/>
        </w:rPr>
      </w:pPr>
      <w:r w:rsidRPr="005B10E9">
        <w:rPr>
          <w:b/>
          <w:szCs w:val="24"/>
        </w:rPr>
        <w:t>Q.</w:t>
      </w:r>
      <w:r w:rsidRPr="005B10E9">
        <w:rPr>
          <w:b/>
          <w:szCs w:val="24"/>
        </w:rPr>
        <w:tab/>
        <w:t xml:space="preserve">How does Staff use Mr. McKenzie’s testimony in evaluating the rate of return in the </w:t>
      </w:r>
      <w:r>
        <w:rPr>
          <w:b/>
          <w:szCs w:val="24"/>
        </w:rPr>
        <w:t>Settlement</w:t>
      </w:r>
      <w:r w:rsidRPr="005B10E9">
        <w:rPr>
          <w:b/>
          <w:szCs w:val="24"/>
        </w:rPr>
        <w:t>?</w:t>
      </w:r>
    </w:p>
    <w:p w:rsidR="00E32C99" w:rsidRDefault="00722B8D" w:rsidP="00E32C99">
      <w:pPr>
        <w:pStyle w:val="BodyTextIndent"/>
        <w:rPr>
          <w:szCs w:val="24"/>
        </w:rPr>
      </w:pPr>
      <w:r w:rsidRPr="005B10E9">
        <w:rPr>
          <w:szCs w:val="24"/>
        </w:rPr>
        <w:t>A.</w:t>
      </w:r>
      <w:r w:rsidRPr="005B10E9">
        <w:rPr>
          <w:szCs w:val="24"/>
        </w:rPr>
        <w:tab/>
        <w:t xml:space="preserve">Staff uses </w:t>
      </w:r>
      <w:r>
        <w:rPr>
          <w:szCs w:val="24"/>
        </w:rPr>
        <w:t xml:space="preserve">Exhibit No. </w:t>
      </w:r>
      <w:proofErr w:type="gramStart"/>
      <w:r>
        <w:rPr>
          <w:szCs w:val="24"/>
        </w:rPr>
        <w:t>___ (AMM-5)</w:t>
      </w:r>
      <w:r w:rsidRPr="005B10E9">
        <w:rPr>
          <w:szCs w:val="24"/>
        </w:rPr>
        <w:t xml:space="preserve"> to show that the capital ratio of 51.5 percent debt and 48.5 percent equity is within a reasonable range.</w:t>
      </w:r>
      <w:proofErr w:type="gramEnd"/>
      <w:r>
        <w:rPr>
          <w:szCs w:val="24"/>
        </w:rPr>
        <w:t xml:space="preserve">  </w:t>
      </w:r>
    </w:p>
    <w:p w:rsidR="00E32C99" w:rsidRDefault="00722B8D" w:rsidP="00E32C99">
      <w:pPr>
        <w:pStyle w:val="BodyTextIndent"/>
        <w:rPr>
          <w:b/>
          <w:szCs w:val="24"/>
        </w:rPr>
      </w:pPr>
      <w:r w:rsidRPr="005B10E9">
        <w:rPr>
          <w:b/>
          <w:szCs w:val="24"/>
        </w:rPr>
        <w:t>Q.</w:t>
      </w:r>
      <w:r w:rsidRPr="005B10E9">
        <w:rPr>
          <w:b/>
          <w:szCs w:val="24"/>
        </w:rPr>
        <w:tab/>
        <w:t xml:space="preserve">What rate of return was agreed to in the settlement for Avista’s last general rate case, </w:t>
      </w:r>
      <w:r>
        <w:rPr>
          <w:b/>
          <w:szCs w:val="24"/>
        </w:rPr>
        <w:t xml:space="preserve">in Dockets </w:t>
      </w:r>
      <w:r w:rsidRPr="005B10E9">
        <w:rPr>
          <w:b/>
          <w:szCs w:val="24"/>
        </w:rPr>
        <w:t>UE-140188/UG-140189?</w:t>
      </w:r>
    </w:p>
    <w:p w:rsidR="00E32C99" w:rsidRDefault="00722B8D" w:rsidP="00E32C99">
      <w:pPr>
        <w:pStyle w:val="BodyTextIndent"/>
        <w:rPr>
          <w:szCs w:val="24"/>
        </w:rPr>
      </w:pPr>
      <w:r w:rsidRPr="005B10E9">
        <w:rPr>
          <w:szCs w:val="24"/>
        </w:rPr>
        <w:t>A.</w:t>
      </w:r>
      <w:r w:rsidRPr="005B10E9">
        <w:rPr>
          <w:szCs w:val="24"/>
        </w:rPr>
        <w:tab/>
        <w:t xml:space="preserve">The ROR in the settlement for </w:t>
      </w:r>
      <w:r>
        <w:rPr>
          <w:szCs w:val="24"/>
        </w:rPr>
        <w:t xml:space="preserve">Dockets </w:t>
      </w:r>
      <w:r w:rsidRPr="005B10E9">
        <w:rPr>
          <w:szCs w:val="24"/>
        </w:rPr>
        <w:t>UE-140188/UG-140189 was stated as 7.32 percent for accounting purposes such as AFUDC.</w:t>
      </w:r>
      <w:r>
        <w:rPr>
          <w:rStyle w:val="FootnoteReference"/>
          <w:szCs w:val="24"/>
        </w:rPr>
        <w:footnoteReference w:id="4"/>
      </w:r>
      <w:r w:rsidRPr="005B10E9">
        <w:rPr>
          <w:szCs w:val="24"/>
        </w:rPr>
        <w:t xml:space="preserve"> </w:t>
      </w:r>
      <w:r>
        <w:rPr>
          <w:szCs w:val="24"/>
        </w:rPr>
        <w:t xml:space="preserve"> Neither t</w:t>
      </w:r>
      <w:r w:rsidRPr="005B10E9">
        <w:rPr>
          <w:szCs w:val="24"/>
        </w:rPr>
        <w:t xml:space="preserve">he capital structure nor the return on equity </w:t>
      </w:r>
      <w:r>
        <w:rPr>
          <w:szCs w:val="24"/>
        </w:rPr>
        <w:t>was</w:t>
      </w:r>
      <w:r w:rsidRPr="005B10E9">
        <w:rPr>
          <w:szCs w:val="24"/>
        </w:rPr>
        <w:t xml:space="preserve"> specifically identified.  </w:t>
      </w:r>
      <w:r>
        <w:rPr>
          <w:szCs w:val="24"/>
        </w:rPr>
        <w:t>The</w:t>
      </w:r>
      <w:r w:rsidRPr="005B10E9">
        <w:rPr>
          <w:szCs w:val="24"/>
        </w:rPr>
        <w:t xml:space="preserve"> </w:t>
      </w:r>
      <w:r>
        <w:rPr>
          <w:szCs w:val="24"/>
        </w:rPr>
        <w:t>current Settlement</w:t>
      </w:r>
      <w:r w:rsidRPr="005B10E9">
        <w:rPr>
          <w:szCs w:val="24"/>
        </w:rPr>
        <w:t xml:space="preserve"> </w:t>
      </w:r>
      <w:r>
        <w:rPr>
          <w:szCs w:val="24"/>
        </w:rPr>
        <w:t>specifies an ROR</w:t>
      </w:r>
      <w:r w:rsidRPr="005B10E9">
        <w:rPr>
          <w:szCs w:val="24"/>
        </w:rPr>
        <w:t xml:space="preserve"> of 7.29 percent and identifies the </w:t>
      </w:r>
      <w:r>
        <w:rPr>
          <w:szCs w:val="24"/>
        </w:rPr>
        <w:t>capital structure.  This ROR is slightly lower</w:t>
      </w:r>
      <w:r w:rsidRPr="005B10E9">
        <w:rPr>
          <w:szCs w:val="24"/>
        </w:rPr>
        <w:t xml:space="preserve"> than that of one year ago.</w:t>
      </w:r>
    </w:p>
    <w:p w:rsidR="00E32C99" w:rsidRDefault="00722B8D" w:rsidP="00E32C99">
      <w:pPr>
        <w:pStyle w:val="BodyTextIndent"/>
        <w:rPr>
          <w:b/>
          <w:szCs w:val="24"/>
        </w:rPr>
      </w:pPr>
      <w:r w:rsidRPr="005B10E9">
        <w:rPr>
          <w:b/>
          <w:szCs w:val="24"/>
        </w:rPr>
        <w:t>Q.</w:t>
      </w:r>
      <w:r w:rsidRPr="005B10E9">
        <w:rPr>
          <w:b/>
          <w:szCs w:val="24"/>
        </w:rPr>
        <w:tab/>
        <w:t>What is you</w:t>
      </w:r>
      <w:r>
        <w:rPr>
          <w:b/>
          <w:szCs w:val="24"/>
        </w:rPr>
        <w:t>r</w:t>
      </w:r>
      <w:r w:rsidRPr="005B10E9">
        <w:rPr>
          <w:b/>
          <w:szCs w:val="24"/>
        </w:rPr>
        <w:t xml:space="preserve"> conclusion from these observations?</w:t>
      </w:r>
    </w:p>
    <w:p w:rsidR="00E32C99" w:rsidRDefault="00722B8D" w:rsidP="00E32C99">
      <w:pPr>
        <w:pStyle w:val="BodyTextIndent"/>
        <w:rPr>
          <w:szCs w:val="24"/>
        </w:rPr>
      </w:pPr>
      <w:r w:rsidRPr="005B10E9">
        <w:rPr>
          <w:szCs w:val="24"/>
        </w:rPr>
        <w:t>A.</w:t>
      </w:r>
      <w:r w:rsidRPr="005B10E9">
        <w:rPr>
          <w:szCs w:val="24"/>
        </w:rPr>
        <w:tab/>
        <w:t xml:space="preserve">Staff concludes the ROR agreed to by all parties to the </w:t>
      </w:r>
      <w:r>
        <w:rPr>
          <w:szCs w:val="24"/>
        </w:rPr>
        <w:t>Settlement</w:t>
      </w:r>
      <w:r w:rsidRPr="005B10E9">
        <w:rPr>
          <w:szCs w:val="24"/>
        </w:rPr>
        <w:t xml:space="preserve"> is fair and reasonable.</w:t>
      </w:r>
    </w:p>
    <w:p w:rsidR="00722B8D" w:rsidRDefault="00722B8D" w:rsidP="00722B8D">
      <w:pPr>
        <w:spacing w:line="480" w:lineRule="auto"/>
        <w:jc w:val="center"/>
      </w:pPr>
      <w:r>
        <w:rPr>
          <w:b/>
        </w:rPr>
        <w:t>III</w:t>
      </w:r>
      <w:proofErr w:type="gramStart"/>
      <w:r>
        <w:rPr>
          <w:b/>
        </w:rPr>
        <w:t>.  POWER</w:t>
      </w:r>
      <w:proofErr w:type="gramEnd"/>
      <w:r>
        <w:rPr>
          <w:b/>
        </w:rPr>
        <w:t xml:space="preserve"> SUPPLY</w:t>
      </w:r>
    </w:p>
    <w:p w:rsidR="00E32C99" w:rsidRDefault="00E32C99" w:rsidP="00E32C99">
      <w:pPr>
        <w:pStyle w:val="BodyTextIndent"/>
        <w:rPr>
          <w:b/>
          <w:szCs w:val="24"/>
        </w:rPr>
      </w:pPr>
      <w:r w:rsidRPr="00E32C99">
        <w:rPr>
          <w:b/>
          <w:szCs w:val="24"/>
        </w:rPr>
        <w:t>Q.</w:t>
      </w:r>
      <w:r w:rsidRPr="00E32C99">
        <w:rPr>
          <w:b/>
          <w:szCs w:val="24"/>
        </w:rPr>
        <w:tab/>
        <w:t>Is the power supply component of the Settlement reasonable?</w:t>
      </w:r>
    </w:p>
    <w:p w:rsidR="00E32C99" w:rsidRDefault="00722B8D" w:rsidP="00E32C99">
      <w:pPr>
        <w:pStyle w:val="BodyTextIndent"/>
      </w:pPr>
      <w:r>
        <w:t>A.</w:t>
      </w:r>
      <w:r>
        <w:tab/>
        <w:t xml:space="preserve">Yes.  The power supply component of the Settlement achieves a fair and reasonable result by allowing the Company to update power supply costs before rates become effective.  Staff is particularly satisfied with the modeling corrections and assumption updates, and the continuation of the Energy Recovery Mechanism (ERM) in its present form.  Additionally, the discussion of Colstrip and Coyote Springs 2 Operations and Maintenance expense in the remainder of the case allows all interested parties to weigh in on a contentious issue without hampering fruitful agreements elsewhere.  Overall, the power supply component of the Settlement creates a clear and rational picture of expected power costs going forward and provides the Company with a key opportunity to adjust for changes that will occur in 2015. </w:t>
      </w:r>
    </w:p>
    <w:p w:rsidR="00E32C99" w:rsidRDefault="00722B8D" w:rsidP="00E32C99">
      <w:pPr>
        <w:pStyle w:val="BodyTextIndent"/>
        <w:rPr>
          <w:b/>
        </w:rPr>
      </w:pPr>
      <w:r w:rsidRPr="003A4634">
        <w:rPr>
          <w:b/>
        </w:rPr>
        <w:t>Q.</w:t>
      </w:r>
      <w:r w:rsidRPr="003A4634">
        <w:rPr>
          <w:b/>
        </w:rPr>
        <w:tab/>
        <w:t xml:space="preserve">Why is it important to Staff that the ERM continue </w:t>
      </w:r>
      <w:r>
        <w:rPr>
          <w:b/>
        </w:rPr>
        <w:t>without change</w:t>
      </w:r>
      <w:r w:rsidRPr="003A4634">
        <w:rPr>
          <w:b/>
        </w:rPr>
        <w:t>?</w:t>
      </w:r>
    </w:p>
    <w:p w:rsidR="00E32C99" w:rsidRDefault="00722B8D" w:rsidP="00E32C99">
      <w:pPr>
        <w:pStyle w:val="BodyTextIndent"/>
      </w:pPr>
      <w:r>
        <w:t>A.</w:t>
      </w:r>
      <w:r>
        <w:tab/>
        <w:t xml:space="preserve">The ERM was just recently modified in Avista’s last general rate case in Docket UE-140188 to take into account the effects of decoupling.  Allowing the ERM to continue consistent with the Company’s recently approved decoupling mechanism prevents unnecessary problems with the overall decoupling structure.  </w:t>
      </w:r>
    </w:p>
    <w:p w:rsidR="00E32C99" w:rsidRDefault="00722B8D" w:rsidP="00E32C99">
      <w:pPr>
        <w:pStyle w:val="BodyTextIndent"/>
      </w:pPr>
      <w:r>
        <w:t>Additionally, frequent revisions to power cost mechanisms do not allow the</w:t>
      </w:r>
      <w:r w:rsidRPr="002806F0">
        <w:t xml:space="preserve"> cost-sharing bands to operate as intended.  The primary goal for</w:t>
      </w:r>
      <w:r>
        <w:t xml:space="preserve"> mechanisms such as the ERM</w:t>
      </w:r>
      <w:r w:rsidRPr="002806F0">
        <w:t xml:space="preserve"> is to </w:t>
      </w:r>
      <w:r>
        <w:t xml:space="preserve">enable recovery of </w:t>
      </w:r>
      <w:r w:rsidRPr="002806F0">
        <w:t xml:space="preserve">extreme </w:t>
      </w:r>
      <w:r>
        <w:t xml:space="preserve">changes in power costs, </w:t>
      </w:r>
      <w:r w:rsidRPr="002806F0">
        <w:t xml:space="preserve">not to </w:t>
      </w:r>
      <w:r>
        <w:t>protect</w:t>
      </w:r>
      <w:r w:rsidRPr="002806F0">
        <w:t xml:space="preserve"> </w:t>
      </w:r>
      <w:r>
        <w:t>a</w:t>
      </w:r>
      <w:r w:rsidRPr="002806F0">
        <w:t xml:space="preserve"> company from</w:t>
      </w:r>
      <w:r>
        <w:t xml:space="preserve"> </w:t>
      </w:r>
      <w:r w:rsidRPr="002806F0">
        <w:t>normal variations.</w:t>
      </w:r>
      <w:r w:rsidRPr="002806F0">
        <w:rPr>
          <w:vertAlign w:val="superscript"/>
        </w:rPr>
        <w:footnoteReference w:id="5"/>
      </w:r>
      <w:r>
        <w:t xml:space="preserve">  The Settlement appropriately allows </w:t>
      </w:r>
      <w:r w:rsidRPr="002806F0">
        <w:t xml:space="preserve">the natural </w:t>
      </w:r>
      <w:r>
        <w:t>changes in power costs to occur, without which</w:t>
      </w:r>
      <w:r w:rsidRPr="002806F0">
        <w:t xml:space="preserve"> the purpose</w:t>
      </w:r>
      <w:r>
        <w:t xml:space="preserve"> of </w:t>
      </w:r>
      <w:r w:rsidRPr="002806F0">
        <w:t xml:space="preserve">the </w:t>
      </w:r>
      <w:r>
        <w:t>ERM and the sharing bands would be lost.</w:t>
      </w:r>
    </w:p>
    <w:p w:rsidR="00722B8D" w:rsidRDefault="00722B8D" w:rsidP="00722B8D">
      <w:pPr>
        <w:spacing w:line="480" w:lineRule="auto"/>
        <w:jc w:val="center"/>
        <w:rPr>
          <w:b/>
        </w:rPr>
      </w:pPr>
      <w:r w:rsidRPr="00140995">
        <w:rPr>
          <w:b/>
        </w:rPr>
        <w:t>IV</w:t>
      </w:r>
      <w:proofErr w:type="gramStart"/>
      <w:r w:rsidRPr="00140995">
        <w:rPr>
          <w:b/>
        </w:rPr>
        <w:t>.  RATE</w:t>
      </w:r>
      <w:proofErr w:type="gramEnd"/>
      <w:r w:rsidRPr="00140995">
        <w:rPr>
          <w:b/>
        </w:rPr>
        <w:t xml:space="preserve"> </w:t>
      </w:r>
      <w:r>
        <w:rPr>
          <w:b/>
        </w:rPr>
        <w:t>SPREAD AND RATE DESIGN</w:t>
      </w:r>
    </w:p>
    <w:p w:rsidR="00E32C99" w:rsidRDefault="00722B8D" w:rsidP="00E32C99">
      <w:pPr>
        <w:pStyle w:val="BodyTextIndent"/>
        <w:rPr>
          <w:b/>
        </w:rPr>
      </w:pPr>
      <w:r w:rsidRPr="00E11814">
        <w:rPr>
          <w:b/>
        </w:rPr>
        <w:t>Q.</w:t>
      </w:r>
      <w:r w:rsidRPr="00E11814">
        <w:rPr>
          <w:b/>
        </w:rPr>
        <w:tab/>
      </w:r>
      <w:r>
        <w:rPr>
          <w:b/>
        </w:rPr>
        <w:t>Please describe the e</w:t>
      </w:r>
      <w:r w:rsidRPr="00E11814">
        <w:rPr>
          <w:b/>
        </w:rPr>
        <w:t xml:space="preserve">lectric </w:t>
      </w:r>
      <w:r>
        <w:rPr>
          <w:b/>
        </w:rPr>
        <w:t>r</w:t>
      </w:r>
      <w:r w:rsidRPr="00E11814">
        <w:rPr>
          <w:b/>
        </w:rPr>
        <w:t xml:space="preserve">ate </w:t>
      </w:r>
      <w:r>
        <w:rPr>
          <w:b/>
        </w:rPr>
        <w:t>s</w:t>
      </w:r>
      <w:r w:rsidRPr="00E11814">
        <w:rPr>
          <w:b/>
        </w:rPr>
        <w:t xml:space="preserve">pread </w:t>
      </w:r>
      <w:r>
        <w:rPr>
          <w:b/>
        </w:rPr>
        <w:t>and rate design.</w:t>
      </w:r>
    </w:p>
    <w:p w:rsidR="00E32C99" w:rsidRDefault="00722B8D" w:rsidP="00E32C99">
      <w:pPr>
        <w:pStyle w:val="BodyTextIndent"/>
      </w:pPr>
      <w:r>
        <w:t>A.</w:t>
      </w:r>
      <w:r>
        <w:tab/>
        <w:t>The electric rate spread component of the Settlement applies an equal percentage of revenue increase based on Avista’s existing class allocations, which is one of many reasonable rate spread approaches.  The</w:t>
      </w:r>
      <w:r w:rsidDel="0096596A">
        <w:t xml:space="preserve"> </w:t>
      </w:r>
      <w:r>
        <w:t xml:space="preserve">Settlement does not represent an agreement on a specific cost of service or rate spread methodology, and does not limit parties from proposing changes or other methodologies in future rate cases.  </w:t>
      </w:r>
    </w:p>
    <w:p w:rsidR="00E32C99" w:rsidRDefault="00722B8D" w:rsidP="00E32C99">
      <w:pPr>
        <w:pStyle w:val="BodyTextIndent"/>
      </w:pPr>
      <w:r>
        <w:t>The electric rate design maintains the residential basic charge at $8.50 per month, consistent with the PacifiCorp Order and with the Commission’s stated preference for basic charges to reflect only “direct customer costs.”</w:t>
      </w:r>
      <w:r>
        <w:rPr>
          <w:rStyle w:val="FootnoteReference"/>
        </w:rPr>
        <w:footnoteReference w:id="6"/>
      </w:r>
      <w:r>
        <w:t xml:space="preserve">  Changes in the residential revenue requirement will be applied to the three blocks on a uniform percentage basis, preserving the conservation price signal to residential customers.</w:t>
      </w:r>
    </w:p>
    <w:p w:rsidR="00E32C99" w:rsidRDefault="00722B8D" w:rsidP="00E32C99">
      <w:pPr>
        <w:pStyle w:val="BodyTextIndent"/>
      </w:pPr>
      <w:r>
        <w:t xml:space="preserve">The revenue change allocated to Schedule 25 will be spread on a uniform percentage basis to the three energy block rates, with a provision to adjust the third energy block to the same percentage increase as the overall revenue increase in the case, if necessary.  This provision does not impact </w:t>
      </w:r>
      <w:r w:rsidRPr="004B04D0">
        <w:t>the overall class contribution to the revenue requirement.</w:t>
      </w:r>
      <w:r>
        <w:t xml:space="preserve">  The fixed and variable demand charges remain unchanged. </w:t>
      </w:r>
    </w:p>
    <w:p w:rsidR="00E32C99" w:rsidRDefault="00722B8D" w:rsidP="00E32C99">
      <w:pPr>
        <w:pStyle w:val="BodyTextIndent"/>
      </w:pPr>
      <w:r>
        <w:t xml:space="preserve">Other rate schedules will see modest increases to basic charges and certain demand charges, with the remainder of revenue spread to the energy blocks on a uniform percentage basis.  </w:t>
      </w:r>
    </w:p>
    <w:p w:rsidR="00E32C99" w:rsidRDefault="00722B8D" w:rsidP="00E32C99">
      <w:pPr>
        <w:pStyle w:val="BodyTextIndent"/>
      </w:pPr>
      <w:r>
        <w:t xml:space="preserve">Street lighting schedules will see a uniform percentage increase, and include provisions to accommodate LED and custom lamp installations.  Staff appreciates the explicit inclusion of LEDs to Schedule 47 and the flexibility added for custom lamp installations to Schedules 42 and 46.  Although the approaches proposed by Avista and adopted in this Settlement to address LED and custom lamps are reasonable, Staff anticipates that it will be useful in the future to revisit the LED and custom lamp rate calculation methodologies to assess experience with and customer demand for these new technologies.  </w:t>
      </w:r>
    </w:p>
    <w:p w:rsidR="00E32C99" w:rsidRDefault="00722B8D" w:rsidP="00E32C99">
      <w:pPr>
        <w:pStyle w:val="BodyTextIndent"/>
      </w:pPr>
      <w:r>
        <w:t>The electric rate spread and rate design components of the Settlement maintain the relationships between customer classes and energy blocks with minor changes to certain basic and demand charges, which Staff supports as a reasonable outcome of this case.</w:t>
      </w:r>
    </w:p>
    <w:p w:rsidR="00E32C99" w:rsidRDefault="00722B8D" w:rsidP="00E32C99">
      <w:pPr>
        <w:pStyle w:val="BodyTextIndent"/>
        <w:rPr>
          <w:b/>
        </w:rPr>
      </w:pPr>
      <w:r>
        <w:rPr>
          <w:b/>
        </w:rPr>
        <w:t>Q.</w:t>
      </w:r>
      <w:r>
        <w:tab/>
      </w:r>
      <w:r>
        <w:rPr>
          <w:b/>
        </w:rPr>
        <w:t>Please describe the natural gas</w:t>
      </w:r>
      <w:r w:rsidRPr="00E11814">
        <w:rPr>
          <w:b/>
        </w:rPr>
        <w:t xml:space="preserve"> </w:t>
      </w:r>
      <w:r>
        <w:rPr>
          <w:b/>
        </w:rPr>
        <w:t>r</w:t>
      </w:r>
      <w:r w:rsidRPr="00E11814">
        <w:rPr>
          <w:b/>
        </w:rPr>
        <w:t xml:space="preserve">ate </w:t>
      </w:r>
      <w:r>
        <w:rPr>
          <w:b/>
        </w:rPr>
        <w:t>s</w:t>
      </w:r>
      <w:r w:rsidRPr="00E11814">
        <w:rPr>
          <w:b/>
        </w:rPr>
        <w:t xml:space="preserve">pread </w:t>
      </w:r>
      <w:r>
        <w:rPr>
          <w:b/>
        </w:rPr>
        <w:t>and rate design components of the Settlement.</w:t>
      </w:r>
    </w:p>
    <w:p w:rsidR="00E32C99" w:rsidRDefault="00722B8D" w:rsidP="00E32C99">
      <w:pPr>
        <w:pStyle w:val="BodyTextIndent"/>
      </w:pPr>
      <w:r>
        <w:t>A.</w:t>
      </w:r>
      <w:r>
        <w:tab/>
        <w:t xml:space="preserve">The natural gas rate spread component of the Settlement applies an equal percentage of margin increase for the </w:t>
      </w:r>
      <w:r w:rsidRPr="00A21330">
        <w:t>natural gas non-gas</w:t>
      </w:r>
      <w:r>
        <w:t xml:space="preserve"> revenue requirement.  This maintains Avista’s existing class allocations, which is one of many reasonable rate spread approaches.  The</w:t>
      </w:r>
      <w:r w:rsidDel="0096596A">
        <w:t xml:space="preserve"> </w:t>
      </w:r>
      <w:r>
        <w:t>Settlement does not represent an agreement on a specific cost of service or rate spread methodology, and does not limit parties from proposing changes or other methodologies in future rate cases.</w:t>
      </w:r>
    </w:p>
    <w:p w:rsidR="00E32C99" w:rsidRDefault="00722B8D" w:rsidP="00E32C99">
      <w:pPr>
        <w:pStyle w:val="BodyTextIndent"/>
      </w:pPr>
      <w:r>
        <w:t xml:space="preserve">Similar to the electric rate design, the residential basic charge remains unchanged at $9.00 per month, with revenue spread to the volumetric rates on a uniform percentage basis.  The basic charge for Schedule 146 will increase from $500 to $525 per month, with the remaining revenue spread to all blocks on a uniform percentage basis.  Schedules 111 and 121 will have an increase in the monthly Minimum Charge based on the Schedule 101 rates, and a uniform percentage increase to all blocks.  Schedule 131 will have a uniform percentage increase to all blocks.  The changes to rate design for Schedules 111, 121 and 131 are similar to the changes proposed by settlement and approved by the Commission in Avista’s last rate case. </w:t>
      </w:r>
    </w:p>
    <w:p w:rsidR="00E32C99" w:rsidRDefault="00722B8D" w:rsidP="00E32C99">
      <w:pPr>
        <w:pStyle w:val="BodyTextIndent"/>
      </w:pPr>
      <w:r>
        <w:t xml:space="preserve">The natural gas rate spread and rate design components of the Settlement maintain the relationships between customer classes and volumetric blocks with minor changes to certain basic and demand charges, which Staff </w:t>
      </w:r>
      <w:r w:rsidRPr="00A21330">
        <w:t>supports</w:t>
      </w:r>
      <w:r>
        <w:t xml:space="preserve"> as a reasonable outcome of this case.</w:t>
      </w:r>
    </w:p>
    <w:p w:rsidR="00E32C99" w:rsidRDefault="00722B8D" w:rsidP="00E32C99">
      <w:pPr>
        <w:spacing w:line="480" w:lineRule="auto"/>
        <w:jc w:val="center"/>
      </w:pPr>
      <w:r>
        <w:rPr>
          <w:b/>
        </w:rPr>
        <w:t xml:space="preserve">V.  </w:t>
      </w:r>
      <w:r w:rsidR="00C574E0">
        <w:rPr>
          <w:b/>
        </w:rPr>
        <w:t xml:space="preserve">STAFF </w:t>
      </w:r>
      <w:r>
        <w:rPr>
          <w:b/>
        </w:rPr>
        <w:t>CONCLUSION</w:t>
      </w:r>
    </w:p>
    <w:p w:rsidR="00E32C99" w:rsidRDefault="00E32C99" w:rsidP="00E32C99">
      <w:pPr>
        <w:tabs>
          <w:tab w:val="left" w:pos="1260"/>
        </w:tabs>
        <w:spacing w:line="480" w:lineRule="auto"/>
        <w:ind w:firstLine="720"/>
        <w:jc w:val="both"/>
      </w:pPr>
      <w:r w:rsidRPr="00E32C99">
        <w:rPr>
          <w:b/>
        </w:rPr>
        <w:t>Q.</w:t>
      </w:r>
      <w:r w:rsidRPr="00E32C99">
        <w:rPr>
          <w:b/>
        </w:rPr>
        <w:tab/>
        <w:t>Does Staff support the Settlement entered into by the Parties on May 1, 2015?</w:t>
      </w:r>
    </w:p>
    <w:p w:rsidR="00E32C99" w:rsidRDefault="00722B8D" w:rsidP="00E32C99">
      <w:pPr>
        <w:tabs>
          <w:tab w:val="left" w:pos="1260"/>
        </w:tabs>
        <w:spacing w:line="480" w:lineRule="auto"/>
        <w:ind w:firstLine="720"/>
        <w:jc w:val="both"/>
        <w:rPr>
          <w:rFonts w:eastAsia="Calibri"/>
          <w:szCs w:val="24"/>
        </w:rPr>
      </w:pPr>
      <w:r w:rsidRPr="00CE0789">
        <w:rPr>
          <w:szCs w:val="24"/>
        </w:rPr>
        <w:t>A.</w:t>
      </w:r>
      <w:r w:rsidRPr="00406FD9">
        <w:rPr>
          <w:szCs w:val="24"/>
        </w:rPr>
        <w:tab/>
      </w:r>
      <w:r w:rsidRPr="00E00311">
        <w:rPr>
          <w:rFonts w:eastAsia="Calibri"/>
          <w:szCs w:val="24"/>
        </w:rPr>
        <w:t>Yes, Staff agrees that the</w:t>
      </w:r>
      <w:r>
        <w:rPr>
          <w:rFonts w:eastAsia="Calibri"/>
          <w:szCs w:val="24"/>
        </w:rPr>
        <w:t xml:space="preserve"> Settlement </w:t>
      </w:r>
      <w:r w:rsidRPr="00E00311">
        <w:rPr>
          <w:rFonts w:eastAsia="Calibri"/>
          <w:szCs w:val="24"/>
        </w:rPr>
        <w:t xml:space="preserve">resolves the issues </w:t>
      </w:r>
      <w:r>
        <w:rPr>
          <w:rFonts w:eastAsia="Calibri"/>
          <w:szCs w:val="24"/>
        </w:rPr>
        <w:t>related to cost of capital, power supply, rate spread and rate design,</w:t>
      </w:r>
      <w:r w:rsidRPr="00E00311">
        <w:rPr>
          <w:rFonts w:eastAsia="Calibri"/>
          <w:szCs w:val="24"/>
        </w:rPr>
        <w:t xml:space="preserve"> and that the </w:t>
      </w:r>
      <w:r>
        <w:rPr>
          <w:rFonts w:eastAsia="Calibri"/>
          <w:szCs w:val="24"/>
        </w:rPr>
        <w:t>Settlement</w:t>
      </w:r>
      <w:r w:rsidRPr="00E00311">
        <w:rPr>
          <w:rFonts w:eastAsia="Calibri"/>
          <w:szCs w:val="24"/>
        </w:rPr>
        <w:t xml:space="preserve"> is in the public interest</w:t>
      </w:r>
      <w:r>
        <w:rPr>
          <w:rFonts w:eastAsia="Calibri"/>
          <w:szCs w:val="24"/>
        </w:rPr>
        <w:t xml:space="preserve">.  Staff believes that </w:t>
      </w:r>
      <w:r>
        <w:t>the components of this Settlement form a firm foundation for fair, just, and reasonable rates and recommends that the Commission approve and adopt the Settlement.</w:t>
      </w:r>
      <w:r>
        <w:rPr>
          <w:rFonts w:eastAsia="Calibri"/>
          <w:szCs w:val="24"/>
        </w:rPr>
        <w:t xml:space="preserve"> </w:t>
      </w:r>
    </w:p>
    <w:p w:rsidR="00567763" w:rsidRDefault="00567763" w:rsidP="000C125E">
      <w:pPr>
        <w:pStyle w:val="BodyText"/>
        <w:ind w:firstLine="0"/>
        <w:rPr>
          <w:u w:val="single"/>
        </w:rPr>
      </w:pPr>
      <w:r w:rsidRPr="008633EF">
        <w:rPr>
          <w:u w:val="single"/>
        </w:rPr>
        <w:t>Statement of Public Counsel</w:t>
      </w:r>
    </w:p>
    <w:p w:rsidR="00E32C99" w:rsidRDefault="00001B69" w:rsidP="00E32C99">
      <w:pPr>
        <w:pStyle w:val="BodyText"/>
      </w:pPr>
      <w:r w:rsidRPr="008633EF">
        <w:t>Q.</w:t>
      </w:r>
      <w:r w:rsidRPr="008633EF">
        <w:tab/>
      </w:r>
      <w:r w:rsidR="00E32C99" w:rsidRPr="00E32C99">
        <w:t xml:space="preserve">Please explain why Public Counsel believes the </w:t>
      </w:r>
      <w:r w:rsidR="00C32122">
        <w:t>Settlement</w:t>
      </w:r>
      <w:r w:rsidR="00E32C99" w:rsidRPr="00E32C99">
        <w:t xml:space="preserve"> is in the public interest.</w:t>
      </w:r>
    </w:p>
    <w:p w:rsidR="00E32C99" w:rsidRDefault="00E32C99" w:rsidP="00E32C99">
      <w:pPr>
        <w:pStyle w:val="BodyText"/>
        <w:rPr>
          <w:b w:val="0"/>
        </w:rPr>
      </w:pPr>
      <w:r w:rsidRPr="00E32C99">
        <w:rPr>
          <w:b w:val="0"/>
        </w:rPr>
        <w:t xml:space="preserve">A.  </w:t>
      </w:r>
      <w:r w:rsidRPr="00E32C99">
        <w:rPr>
          <w:b w:val="0"/>
        </w:rPr>
        <w:tab/>
      </w:r>
      <w:r w:rsidR="00001B69" w:rsidRPr="00BC0395">
        <w:rPr>
          <w:b w:val="0"/>
        </w:rPr>
        <w:t>The Settlement is a reasonable resolution of cost of capital, certain power cost issues, and rate spread and rate design in Avista’s current general rate case.  Public Counsel believes the settlement provides a fair and reasonable outcome for these issues that is in the public interest. As described above, the settlement</w:t>
      </w:r>
      <w:r w:rsidR="00001B69">
        <w:rPr>
          <w:b w:val="0"/>
        </w:rPr>
        <w:t xml:space="preserve"> sets Avista’s cost of capital in a manner consistent with current market conditions, addresses rate spread and rate design in an appropriate manner beneficial to customers, and adjusts certain power costs to reflect necessary changes and updates.</w:t>
      </w:r>
    </w:p>
    <w:p w:rsidR="00E32C99" w:rsidRDefault="00001B69" w:rsidP="00E32C99">
      <w:pPr>
        <w:pStyle w:val="BodyText"/>
        <w:rPr>
          <w:rFonts w:ascii="TimesNewRomanPS-BoldMT" w:hAnsi="TimesNewRomanPS-BoldMT" w:cs="TimesNewRomanPS-BoldMT"/>
          <w:bCs/>
        </w:rPr>
      </w:pPr>
      <w:r w:rsidRPr="00617FB1">
        <w:rPr>
          <w:rFonts w:ascii="TimesNewRomanPS-BoldMT" w:hAnsi="TimesNewRomanPS-BoldMT" w:cs="TimesNewRomanPS-BoldMT"/>
          <w:bCs/>
        </w:rPr>
        <w:t>Q</w:t>
      </w:r>
      <w:r>
        <w:rPr>
          <w:rFonts w:ascii="TimesNewRomanPS-BoldMT" w:hAnsi="TimesNewRomanPS-BoldMT" w:cs="TimesNewRomanPS-BoldMT"/>
          <w:bCs/>
        </w:rPr>
        <w:t>.</w:t>
      </w:r>
      <w:r w:rsidRPr="00617FB1">
        <w:rPr>
          <w:rFonts w:ascii="TimesNewRomanPS-BoldMT" w:hAnsi="TimesNewRomanPS-BoldMT" w:cs="TimesNewRomanPS-BoldMT"/>
          <w:bCs/>
        </w:rPr>
        <w:tab/>
        <w:t xml:space="preserve">Please explain why Public Counsel supports the agreement on cost of capital in the </w:t>
      </w:r>
      <w:r w:rsidR="00C32122" w:rsidRPr="00E32C99">
        <w:t>Settlement</w:t>
      </w:r>
      <w:r w:rsidRPr="00617FB1">
        <w:rPr>
          <w:rFonts w:ascii="TimesNewRomanPS-BoldMT" w:hAnsi="TimesNewRomanPS-BoldMT" w:cs="TimesNewRomanPS-BoldMT"/>
          <w:bCs/>
        </w:rPr>
        <w:t>.</w:t>
      </w:r>
    </w:p>
    <w:p w:rsidR="00E32C99" w:rsidRDefault="00001B69" w:rsidP="00E32C99">
      <w:pPr>
        <w:pStyle w:val="BodyText"/>
        <w:rPr>
          <w:rFonts w:ascii="TimesNewRomanPS-BoldMT" w:hAnsi="TimesNewRomanPS-BoldMT" w:cs="TimesNewRomanPS-BoldMT"/>
          <w:b w:val="0"/>
          <w:bCs/>
        </w:rPr>
      </w:pPr>
      <w:r w:rsidRPr="008633EF">
        <w:rPr>
          <w:rFonts w:ascii="TimesNewRomanPS-BoldMT" w:hAnsi="TimesNewRomanPS-BoldMT" w:cs="TimesNewRomanPS-BoldMT"/>
          <w:b w:val="0"/>
          <w:bCs/>
        </w:rPr>
        <w:t>A</w:t>
      </w:r>
      <w:r>
        <w:rPr>
          <w:rFonts w:ascii="TimesNewRomanPS-BoldMT" w:hAnsi="TimesNewRomanPS-BoldMT" w:cs="TimesNewRomanPS-BoldMT"/>
          <w:b w:val="0"/>
          <w:bCs/>
        </w:rPr>
        <w:t>.</w:t>
      </w:r>
      <w:r w:rsidRPr="008633EF">
        <w:rPr>
          <w:rFonts w:ascii="TimesNewRomanPS-BoldMT" w:hAnsi="TimesNewRomanPS-BoldMT" w:cs="TimesNewRomanPS-BoldMT"/>
          <w:b w:val="0"/>
          <w:bCs/>
        </w:rPr>
        <w:t xml:space="preserve"> </w:t>
      </w:r>
      <w:r w:rsidRPr="008633EF">
        <w:rPr>
          <w:rFonts w:ascii="TimesNewRomanPS-BoldMT" w:hAnsi="TimesNewRomanPS-BoldMT" w:cs="TimesNewRomanPS-BoldMT"/>
          <w:b w:val="0"/>
          <w:bCs/>
        </w:rPr>
        <w:tab/>
      </w:r>
      <w:r>
        <w:rPr>
          <w:rFonts w:ascii="TimesNewRomanPS-BoldMT" w:hAnsi="TimesNewRomanPS-BoldMT" w:cs="TimesNewRomanPS-BoldMT"/>
          <w:b w:val="0"/>
          <w:bCs/>
        </w:rPr>
        <w:t xml:space="preserve">Although Public Counsel did not have the benefit of a cost of capital expert in this case, we believe the </w:t>
      </w:r>
      <w:r w:rsidR="00C32122">
        <w:rPr>
          <w:rFonts w:ascii="TimesNewRomanPS-BoldMT" w:hAnsi="TimesNewRomanPS-BoldMT" w:cs="TimesNewRomanPS-BoldMT"/>
          <w:b w:val="0"/>
          <w:bCs/>
        </w:rPr>
        <w:t>S</w:t>
      </w:r>
      <w:r>
        <w:rPr>
          <w:rFonts w:ascii="TimesNewRomanPS-BoldMT" w:hAnsi="TimesNewRomanPS-BoldMT" w:cs="TimesNewRomanPS-BoldMT"/>
          <w:b w:val="0"/>
          <w:bCs/>
        </w:rPr>
        <w:t xml:space="preserve">ettlement is reasonable in light </w:t>
      </w:r>
      <w:r w:rsidR="00B83136">
        <w:rPr>
          <w:rFonts w:ascii="TimesNewRomanPS-BoldMT" w:hAnsi="TimesNewRomanPS-BoldMT" w:cs="TimesNewRomanPS-BoldMT"/>
          <w:b w:val="0"/>
          <w:bCs/>
        </w:rPr>
        <w:t xml:space="preserve">of </w:t>
      </w:r>
      <w:r>
        <w:rPr>
          <w:rFonts w:ascii="TimesNewRomanPS-BoldMT" w:hAnsi="TimesNewRomanPS-BoldMT" w:cs="TimesNewRomanPS-BoldMT"/>
          <w:b w:val="0"/>
          <w:bCs/>
        </w:rPr>
        <w:t>the following factors. In Avista’s 2014 general rate case, Public Counsel agreed to a “black box” settlement that did not specify the components of the</w:t>
      </w:r>
      <w:r w:rsidRPr="008633EF">
        <w:rPr>
          <w:rFonts w:ascii="TimesNewRomanPS-BoldMT" w:hAnsi="TimesNewRomanPS-BoldMT" w:cs="TimesNewRomanPS-BoldMT"/>
          <w:b w:val="0"/>
          <w:bCs/>
        </w:rPr>
        <w:t xml:space="preserve"> capital struct</w:t>
      </w:r>
      <w:r>
        <w:rPr>
          <w:rFonts w:ascii="TimesNewRomanPS-BoldMT" w:hAnsi="TimesNewRomanPS-BoldMT" w:cs="TimesNewRomanPS-BoldMT"/>
          <w:b w:val="0"/>
          <w:bCs/>
        </w:rPr>
        <w:t>ure ratios and cost of capital</w:t>
      </w:r>
      <w:r w:rsidRPr="008633EF">
        <w:rPr>
          <w:rFonts w:ascii="TimesNewRomanPS-BoldMT" w:hAnsi="TimesNewRomanPS-BoldMT" w:cs="TimesNewRomanPS-BoldMT"/>
          <w:b w:val="0"/>
          <w:bCs/>
        </w:rPr>
        <w:t>, with the exception that ROR</w:t>
      </w:r>
      <w:r>
        <w:rPr>
          <w:rFonts w:ascii="TimesNewRomanPS-BoldMT" w:hAnsi="TimesNewRomanPS-BoldMT" w:cs="TimesNewRomanPS-BoldMT"/>
          <w:b w:val="0"/>
          <w:bCs/>
        </w:rPr>
        <w:t xml:space="preserve"> of 7.32 percent</w:t>
      </w:r>
      <w:r w:rsidRPr="008633EF">
        <w:rPr>
          <w:rFonts w:ascii="TimesNewRomanPS-BoldMT" w:hAnsi="TimesNewRomanPS-BoldMT" w:cs="TimesNewRomanPS-BoldMT"/>
          <w:b w:val="0"/>
          <w:bCs/>
        </w:rPr>
        <w:t xml:space="preserve"> </w:t>
      </w:r>
      <w:r>
        <w:rPr>
          <w:rFonts w:ascii="TimesNewRomanPS-BoldMT" w:hAnsi="TimesNewRomanPS-BoldMT" w:cs="TimesNewRomanPS-BoldMT"/>
          <w:b w:val="0"/>
          <w:bCs/>
        </w:rPr>
        <w:t>was specified</w:t>
      </w:r>
      <w:r w:rsidRPr="008633EF">
        <w:rPr>
          <w:rFonts w:ascii="TimesNewRomanPS-BoldMT" w:hAnsi="TimesNewRomanPS-BoldMT" w:cs="TimesNewRomanPS-BoldMT"/>
          <w:b w:val="0"/>
          <w:bCs/>
        </w:rPr>
        <w:t xml:space="preserve"> for AFUDC </w:t>
      </w:r>
      <w:r>
        <w:rPr>
          <w:rFonts w:ascii="TimesNewRomanPS-BoldMT" w:hAnsi="TimesNewRomanPS-BoldMT" w:cs="TimesNewRomanPS-BoldMT"/>
          <w:b w:val="0"/>
          <w:bCs/>
        </w:rPr>
        <w:t>and other purposes</w:t>
      </w:r>
      <w:r w:rsidRPr="000B16EF">
        <w:rPr>
          <w:rFonts w:ascii="TimesNewRomanPS-BoldMT" w:hAnsi="TimesNewRomanPS-BoldMT" w:cs="TimesNewRomanPS-BoldMT"/>
          <w:b w:val="0"/>
          <w:bCs/>
        </w:rPr>
        <w:t>.</w:t>
      </w:r>
      <w:r>
        <w:rPr>
          <w:rStyle w:val="FootnoteReference"/>
          <w:rFonts w:ascii="TimesNewRomanPS-BoldMT" w:hAnsi="TimesNewRomanPS-BoldMT" w:cs="TimesNewRomanPS-BoldMT"/>
          <w:b w:val="0"/>
          <w:bCs/>
        </w:rPr>
        <w:footnoteReference w:id="7"/>
      </w:r>
      <w:r w:rsidRPr="000B16EF">
        <w:rPr>
          <w:rFonts w:ascii="TimesNewRomanPS-BoldMT" w:hAnsi="TimesNewRomanPS-BoldMT" w:cs="TimesNewRomanPS-BoldMT"/>
          <w:b w:val="0"/>
          <w:bCs/>
        </w:rPr>
        <w:t xml:space="preserve"> </w:t>
      </w:r>
      <w:r>
        <w:rPr>
          <w:rFonts w:ascii="TimesNewRomanPS-BoldMT" w:hAnsi="TimesNewRomanPS-BoldMT" w:cs="TimesNewRomanPS-BoldMT"/>
          <w:b w:val="0"/>
          <w:bCs/>
        </w:rPr>
        <w:t>This settlement was reached after Public Counsel presented comprehensive testimony from Stephen G. Hill (filed on July 14, 2014, roughly nine months before the settlement conference in this case) recommending an ROE of 8.75 percent, with a capital structure of 49 percent common equity and 51 percent long-term debt, for an after-tax overall return of 7.05 percent.</w:t>
      </w:r>
      <w:r>
        <w:rPr>
          <w:rStyle w:val="FootnoteReference"/>
          <w:rFonts w:ascii="TimesNewRomanPS-BoldMT" w:hAnsi="TimesNewRomanPS-BoldMT" w:cs="TimesNewRomanPS-BoldMT"/>
          <w:b w:val="0"/>
          <w:bCs/>
        </w:rPr>
        <w:footnoteReference w:id="8"/>
      </w:r>
      <w:r>
        <w:rPr>
          <w:rFonts w:ascii="TimesNewRomanPS-BoldMT" w:hAnsi="TimesNewRomanPS-BoldMT" w:cs="TimesNewRomanPS-BoldMT"/>
          <w:b w:val="0"/>
          <w:bCs/>
        </w:rPr>
        <w:t xml:space="preserve">  The settlement in this docket moves closer to Public Counsel’s 2014 recommendation.</w:t>
      </w:r>
    </w:p>
    <w:p w:rsidR="00E32C99" w:rsidRDefault="00001B69" w:rsidP="00E32C99">
      <w:pPr>
        <w:pStyle w:val="BodyText"/>
        <w:rPr>
          <w:rFonts w:ascii="TimesNewRomanPS-BoldMT" w:hAnsi="TimesNewRomanPS-BoldMT" w:cs="TimesNewRomanPS-BoldMT"/>
          <w:b w:val="0"/>
          <w:bCs/>
        </w:rPr>
      </w:pPr>
      <w:r>
        <w:rPr>
          <w:rFonts w:ascii="TimesNewRomanPS-BoldMT" w:hAnsi="TimesNewRomanPS-BoldMT" w:cs="TimesNewRomanPS-BoldMT"/>
          <w:b w:val="0"/>
          <w:bCs/>
        </w:rPr>
        <w:t>In addition to referring to Mr. Hill’s testimony from the prior Avista case, Public Counsel considered how the Commission has treated issues when they are presented close in time.  The Commission in PacifiCorp’s most recent general rate case chose not to rehear recently resolved issues around cost of capital, after it determined there was no evidence that there was any significant change in capital markets since PacifiCorp’s previous case.</w:t>
      </w:r>
      <w:r>
        <w:rPr>
          <w:rStyle w:val="FootnoteReference"/>
          <w:rFonts w:ascii="TimesNewRomanPS-BoldMT" w:hAnsi="TimesNewRomanPS-BoldMT" w:cs="TimesNewRomanPS-BoldMT"/>
          <w:b w:val="0"/>
          <w:bCs/>
        </w:rPr>
        <w:footnoteReference w:id="9"/>
      </w:r>
      <w:r>
        <w:rPr>
          <w:rFonts w:ascii="TimesNewRomanPS-BoldMT" w:hAnsi="TimesNewRomanPS-BoldMT" w:cs="TimesNewRomanPS-BoldMT"/>
          <w:b w:val="0"/>
          <w:bCs/>
        </w:rPr>
        <w:t xml:space="preserve"> Avista has similarly filed this rate case shortly after its previous recent general rate</w:t>
      </w:r>
      <w:r w:rsidR="00952E56">
        <w:rPr>
          <w:rFonts w:ascii="TimesNewRomanPS-BoldMT" w:hAnsi="TimesNewRomanPS-BoldMT" w:cs="TimesNewRomanPS-BoldMT"/>
          <w:b w:val="0"/>
          <w:bCs/>
        </w:rPr>
        <w:t xml:space="preserve"> case</w:t>
      </w:r>
      <w:r>
        <w:rPr>
          <w:rFonts w:ascii="TimesNewRomanPS-BoldMT" w:hAnsi="TimesNewRomanPS-BoldMT" w:cs="TimesNewRomanPS-BoldMT"/>
          <w:b w:val="0"/>
          <w:bCs/>
        </w:rPr>
        <w:t xml:space="preserve">, and Public Counsel looked to testimony from the previous case for guidance in our analysis of the proposed settlement. </w:t>
      </w:r>
    </w:p>
    <w:p w:rsidR="00E32C99" w:rsidRDefault="00001B69" w:rsidP="00E32C99">
      <w:pPr>
        <w:pStyle w:val="BodyText"/>
        <w:rPr>
          <w:rFonts w:ascii="TimesNewRomanPS-BoldMT" w:hAnsi="TimesNewRomanPS-BoldMT" w:cs="TimesNewRomanPS-BoldMT"/>
          <w:b w:val="0"/>
          <w:bCs/>
        </w:rPr>
      </w:pPr>
      <w:r>
        <w:rPr>
          <w:rFonts w:ascii="TimesNewRomanPS-BoldMT" w:hAnsi="TimesNewRomanPS-BoldMT" w:cs="TimesNewRomanPS-BoldMT"/>
          <w:b w:val="0"/>
          <w:bCs/>
        </w:rPr>
        <w:t xml:space="preserve">Moreover, this settlement reflects the trend of </w:t>
      </w:r>
      <w:r w:rsidRPr="00BC0395">
        <w:rPr>
          <w:rFonts w:ascii="TimesNewRomanPS-BoldMT" w:hAnsi="TimesNewRomanPS-BoldMT" w:cs="TimesNewRomanPS-BoldMT"/>
          <w:b w:val="0"/>
          <w:bCs/>
        </w:rPr>
        <w:t>declining ROE and ROR for regulated utilities,</w:t>
      </w:r>
      <w:r>
        <w:rPr>
          <w:rFonts w:ascii="TimesNewRomanPS-BoldMT" w:hAnsi="TimesNewRomanPS-BoldMT" w:cs="TimesNewRomanPS-BoldMT"/>
          <w:b w:val="0"/>
          <w:bCs/>
        </w:rPr>
        <w:t xml:space="preserve"> by decreasing the Company’s previously approved “effective” ROR from 7.32 percent to an actual ROR of 7.29 percent.  For example, the Commission determined that an appropriate ROE for PacifiCorp was 9.5 in that utility’s 2013 general rate case, and the resulting ROR in that case was 7.36%.  In that case, there was sufficient evidence to set PacifiCorp’s ROE lower, but the Commission chose to set PacifiCorp’s ROE towards the higher end of the range of reasonableness, stating that the principle of gradualism should apply.</w:t>
      </w:r>
      <w:r>
        <w:rPr>
          <w:rStyle w:val="FootnoteReference"/>
          <w:rFonts w:ascii="TimesNewRomanPS-BoldMT" w:hAnsi="TimesNewRomanPS-BoldMT" w:cs="TimesNewRomanPS-BoldMT"/>
          <w:b w:val="0"/>
          <w:bCs/>
        </w:rPr>
        <w:footnoteReference w:id="10"/>
      </w:r>
      <w:r>
        <w:rPr>
          <w:rFonts w:ascii="TimesNewRomanPS-BoldMT" w:hAnsi="TimesNewRomanPS-BoldMT" w:cs="TimesNewRomanPS-BoldMT"/>
          <w:b w:val="0"/>
          <w:bCs/>
        </w:rPr>
        <w:t xml:space="preserve">  Moreover, in Avista’s 2012 general rate case, the Commission noted that “equity returns continue to trend downward” when approving the settlement in that case providing a 9.8% ROE.</w:t>
      </w:r>
      <w:r>
        <w:rPr>
          <w:rStyle w:val="FootnoteReference"/>
          <w:rFonts w:ascii="TimesNewRomanPS-BoldMT" w:hAnsi="TimesNewRomanPS-BoldMT" w:cs="TimesNewRomanPS-BoldMT"/>
          <w:b w:val="0"/>
          <w:bCs/>
        </w:rPr>
        <w:footnoteReference w:id="11"/>
      </w:r>
      <w:r>
        <w:rPr>
          <w:rFonts w:ascii="TimesNewRomanPS-BoldMT" w:hAnsi="TimesNewRomanPS-BoldMT" w:cs="TimesNewRomanPS-BoldMT"/>
          <w:b w:val="0"/>
          <w:bCs/>
        </w:rPr>
        <w:t xml:space="preserve">  The Commission also noted that had the case been litigated, it “may very well have decided that an ROE of less than 9.8 would be warranted.”</w:t>
      </w:r>
      <w:r>
        <w:rPr>
          <w:rStyle w:val="FootnoteReference"/>
          <w:rFonts w:ascii="TimesNewRomanPS-BoldMT" w:hAnsi="TimesNewRomanPS-BoldMT" w:cs="TimesNewRomanPS-BoldMT"/>
          <w:b w:val="0"/>
          <w:bCs/>
        </w:rPr>
        <w:footnoteReference w:id="12"/>
      </w:r>
      <w:r>
        <w:rPr>
          <w:rFonts w:ascii="TimesNewRomanPS-BoldMT" w:hAnsi="TimesNewRomanPS-BoldMT" w:cs="TimesNewRomanPS-BoldMT"/>
          <w:b w:val="0"/>
          <w:bCs/>
        </w:rPr>
        <w:t xml:space="preserve"> Thus, it is reasonable in this docket to make a downward adjustment to Avista’s ROR and ROE.</w:t>
      </w:r>
    </w:p>
    <w:p w:rsidR="00E32C99" w:rsidRDefault="00001B69" w:rsidP="00E32C99">
      <w:pPr>
        <w:pStyle w:val="BodyText"/>
        <w:rPr>
          <w:rFonts w:ascii="TimesNewRomanPS-BoldMT" w:hAnsi="TimesNewRomanPS-BoldMT" w:cs="TimesNewRomanPS-BoldMT"/>
          <w:bCs/>
        </w:rPr>
      </w:pPr>
      <w:r w:rsidRPr="00617FB1">
        <w:rPr>
          <w:rFonts w:ascii="TimesNewRomanPS-BoldMT" w:hAnsi="TimesNewRomanPS-BoldMT" w:cs="TimesNewRomanPS-BoldMT"/>
          <w:bCs/>
        </w:rPr>
        <w:t>Q</w:t>
      </w:r>
      <w:r>
        <w:rPr>
          <w:rFonts w:ascii="TimesNewRomanPS-BoldMT" w:hAnsi="TimesNewRomanPS-BoldMT" w:cs="TimesNewRomanPS-BoldMT"/>
          <w:bCs/>
        </w:rPr>
        <w:t>.</w:t>
      </w:r>
      <w:r w:rsidRPr="00617FB1">
        <w:rPr>
          <w:rFonts w:ascii="TimesNewRomanPS-BoldMT" w:hAnsi="TimesNewRomanPS-BoldMT" w:cs="TimesNewRomanPS-BoldMT"/>
          <w:bCs/>
        </w:rPr>
        <w:t xml:space="preserve"> </w:t>
      </w:r>
      <w:r w:rsidRPr="00617FB1">
        <w:rPr>
          <w:rFonts w:ascii="TimesNewRomanPS-BoldMT" w:hAnsi="TimesNewRomanPS-BoldMT" w:cs="TimesNewRomanPS-BoldMT"/>
          <w:bCs/>
        </w:rPr>
        <w:tab/>
        <w:t xml:space="preserve">How do the terms in the </w:t>
      </w:r>
      <w:r w:rsidR="00C32122" w:rsidRPr="00E32C99">
        <w:t xml:space="preserve">Settlement </w:t>
      </w:r>
      <w:r w:rsidRPr="00617FB1">
        <w:rPr>
          <w:rFonts w:ascii="TimesNewRomanPS-BoldMT" w:hAnsi="TimesNewRomanPS-BoldMT" w:cs="TimesNewRomanPS-BoldMT"/>
          <w:bCs/>
        </w:rPr>
        <w:t>regarding electric and natural gas rate spread satisfy the interests of Public Counsel?</w:t>
      </w:r>
    </w:p>
    <w:p w:rsidR="00E32C99" w:rsidRDefault="00001B69" w:rsidP="00E32C99">
      <w:pPr>
        <w:pStyle w:val="BodyText"/>
        <w:rPr>
          <w:rFonts w:ascii="TimesNewRomanPS-BoldMT" w:hAnsi="TimesNewRomanPS-BoldMT" w:cs="TimesNewRomanPS-BoldMT"/>
          <w:b w:val="0"/>
          <w:bCs/>
        </w:rPr>
      </w:pPr>
      <w:r w:rsidRPr="008633EF">
        <w:rPr>
          <w:rFonts w:ascii="TimesNewRomanPS-BoldMT" w:hAnsi="TimesNewRomanPS-BoldMT" w:cs="TimesNewRomanPS-BoldMT"/>
          <w:b w:val="0"/>
          <w:bCs/>
        </w:rPr>
        <w:t>A</w:t>
      </w:r>
      <w:r>
        <w:rPr>
          <w:rFonts w:ascii="TimesNewRomanPS-BoldMT" w:hAnsi="TimesNewRomanPS-BoldMT" w:cs="TimesNewRomanPS-BoldMT"/>
          <w:b w:val="0"/>
          <w:bCs/>
        </w:rPr>
        <w:t>.</w:t>
      </w:r>
      <w:r>
        <w:rPr>
          <w:rFonts w:ascii="TimesNewRomanPS-BoldMT" w:hAnsi="TimesNewRomanPS-BoldMT" w:cs="TimesNewRomanPS-BoldMT"/>
          <w:b w:val="0"/>
          <w:bCs/>
        </w:rPr>
        <w:tab/>
        <w:t xml:space="preserve">The agreement does not adopt a specific cost of service methodology and applies any rate change on an equal percentage basis across customer classes. Given the frequency with which Avista has filed general rate cases, and how recently the last case concluded, this is a reasonable outcome in this case.  The </w:t>
      </w:r>
      <w:r w:rsidRPr="008633EF">
        <w:rPr>
          <w:rFonts w:ascii="TimesNewRomanPS-BoldMT" w:hAnsi="TimesNewRomanPS-BoldMT" w:cs="TimesNewRomanPS-BoldMT"/>
          <w:b w:val="0"/>
          <w:bCs/>
        </w:rPr>
        <w:t>a</w:t>
      </w:r>
      <w:r>
        <w:rPr>
          <w:rFonts w:ascii="TimesNewRomanPS-BoldMT" w:hAnsi="TimesNewRomanPS-BoldMT" w:cs="TimesNewRomanPS-BoldMT"/>
          <w:b w:val="0"/>
          <w:bCs/>
        </w:rPr>
        <w:t xml:space="preserve">greement represents a fair </w:t>
      </w:r>
      <w:r w:rsidRPr="008633EF">
        <w:rPr>
          <w:rFonts w:ascii="TimesNewRomanPS-BoldMT" w:hAnsi="TimesNewRomanPS-BoldMT" w:cs="TimesNewRomanPS-BoldMT"/>
          <w:b w:val="0"/>
          <w:bCs/>
        </w:rPr>
        <w:t>assignment of revenue responsibility for all customer classes.</w:t>
      </w:r>
    </w:p>
    <w:p w:rsidR="00E32C99" w:rsidRDefault="00001B69" w:rsidP="00E32C99">
      <w:pPr>
        <w:pStyle w:val="BodyText"/>
        <w:rPr>
          <w:rFonts w:ascii="TimesNewRomanPS-BoldMT" w:hAnsi="TimesNewRomanPS-BoldMT" w:cs="TimesNewRomanPS-BoldMT"/>
          <w:bCs/>
        </w:rPr>
      </w:pPr>
      <w:r w:rsidRPr="00617FB1">
        <w:rPr>
          <w:rFonts w:ascii="TimesNewRomanPS-BoldMT" w:hAnsi="TimesNewRomanPS-BoldMT" w:cs="TimesNewRomanPS-BoldMT"/>
          <w:bCs/>
        </w:rPr>
        <w:t>Q</w:t>
      </w:r>
      <w:r>
        <w:rPr>
          <w:rFonts w:ascii="TimesNewRomanPS-BoldMT" w:hAnsi="TimesNewRomanPS-BoldMT" w:cs="TimesNewRomanPS-BoldMT"/>
          <w:bCs/>
        </w:rPr>
        <w:t>.</w:t>
      </w:r>
      <w:r w:rsidRPr="00617FB1">
        <w:rPr>
          <w:rFonts w:ascii="TimesNewRomanPS-BoldMT" w:hAnsi="TimesNewRomanPS-BoldMT" w:cs="TimesNewRomanPS-BoldMT"/>
          <w:bCs/>
        </w:rPr>
        <w:t xml:space="preserve"> </w:t>
      </w:r>
      <w:r w:rsidRPr="00617FB1">
        <w:rPr>
          <w:rFonts w:ascii="TimesNewRomanPS-BoldMT" w:hAnsi="TimesNewRomanPS-BoldMT" w:cs="TimesNewRomanPS-BoldMT"/>
          <w:bCs/>
        </w:rPr>
        <w:tab/>
        <w:t xml:space="preserve">How does the </w:t>
      </w:r>
      <w:r w:rsidR="00C32122" w:rsidRPr="00E32C99">
        <w:t xml:space="preserve">Settlement </w:t>
      </w:r>
      <w:r w:rsidRPr="00617FB1">
        <w:rPr>
          <w:rFonts w:ascii="TimesNewRomanPS-BoldMT" w:hAnsi="TimesNewRomanPS-BoldMT" w:cs="TimesNewRomanPS-BoldMT"/>
          <w:bCs/>
        </w:rPr>
        <w:t>address the</w:t>
      </w:r>
      <w:r>
        <w:rPr>
          <w:rFonts w:ascii="TimesNewRomanPS-BoldMT" w:hAnsi="TimesNewRomanPS-BoldMT" w:cs="TimesNewRomanPS-BoldMT"/>
          <w:bCs/>
        </w:rPr>
        <w:t xml:space="preserve"> </w:t>
      </w:r>
      <w:r w:rsidRPr="00617FB1">
        <w:rPr>
          <w:rFonts w:ascii="TimesNewRomanPS-BoldMT" w:hAnsi="TimesNewRomanPS-BoldMT" w:cs="TimesNewRomanPS-BoldMT"/>
          <w:bCs/>
        </w:rPr>
        <w:t>proposed increases to the electric and natural gas monthly basic charges?</w:t>
      </w:r>
    </w:p>
    <w:p w:rsidR="00E32C99" w:rsidRDefault="00001B69" w:rsidP="00E32C99">
      <w:pPr>
        <w:pStyle w:val="BodyText"/>
        <w:rPr>
          <w:rFonts w:ascii="TimesNewRomanPS-BoldMT" w:hAnsi="TimesNewRomanPS-BoldMT" w:cs="TimesNewRomanPS-BoldMT"/>
          <w:b w:val="0"/>
          <w:bCs/>
        </w:rPr>
      </w:pPr>
      <w:r w:rsidRPr="008633EF">
        <w:rPr>
          <w:rFonts w:ascii="TimesNewRomanPS-BoldMT" w:hAnsi="TimesNewRomanPS-BoldMT" w:cs="TimesNewRomanPS-BoldMT"/>
          <w:b w:val="0"/>
          <w:bCs/>
        </w:rPr>
        <w:t>A</w:t>
      </w:r>
      <w:r>
        <w:rPr>
          <w:rFonts w:ascii="TimesNewRomanPS-BoldMT" w:hAnsi="TimesNewRomanPS-BoldMT" w:cs="TimesNewRomanPS-BoldMT"/>
          <w:b w:val="0"/>
          <w:bCs/>
        </w:rPr>
        <w:t>.</w:t>
      </w:r>
      <w:r w:rsidRPr="008633EF">
        <w:rPr>
          <w:rFonts w:ascii="TimesNewRomanPS-BoldMT" w:hAnsi="TimesNewRomanPS-BoldMT" w:cs="TimesNewRomanPS-BoldMT"/>
          <w:b w:val="0"/>
          <w:bCs/>
        </w:rPr>
        <w:t xml:space="preserve"> </w:t>
      </w:r>
      <w:r w:rsidRPr="008633EF">
        <w:rPr>
          <w:rFonts w:ascii="TimesNewRomanPS-BoldMT" w:hAnsi="TimesNewRomanPS-BoldMT" w:cs="TimesNewRomanPS-BoldMT"/>
          <w:b w:val="0"/>
          <w:bCs/>
        </w:rPr>
        <w:tab/>
        <w:t>Avista proposed substantial increases to both the electric and natural gas</w:t>
      </w:r>
      <w:r>
        <w:rPr>
          <w:rFonts w:ascii="TimesNewRomanPS-BoldMT" w:hAnsi="TimesNewRomanPS-BoldMT" w:cs="TimesNewRomanPS-BoldMT"/>
          <w:b w:val="0"/>
          <w:bCs/>
        </w:rPr>
        <w:t xml:space="preserve"> </w:t>
      </w:r>
      <w:r w:rsidRPr="008633EF">
        <w:rPr>
          <w:rFonts w:ascii="TimesNewRomanPS-BoldMT" w:hAnsi="TimesNewRomanPS-BoldMT" w:cs="TimesNewRomanPS-BoldMT"/>
          <w:b w:val="0"/>
          <w:bCs/>
        </w:rPr>
        <w:t>monthly basic charges.  For electric, Avista proposed to increase the basic charge from $8.</w:t>
      </w:r>
      <w:r>
        <w:rPr>
          <w:rFonts w:ascii="TimesNewRomanPS-BoldMT" w:hAnsi="TimesNewRomanPS-BoldMT" w:cs="TimesNewRomanPS-BoldMT"/>
          <w:b w:val="0"/>
          <w:bCs/>
        </w:rPr>
        <w:t>5</w:t>
      </w:r>
      <w:r w:rsidRPr="008633EF">
        <w:rPr>
          <w:rFonts w:ascii="TimesNewRomanPS-BoldMT" w:hAnsi="TimesNewRomanPS-BoldMT" w:cs="TimesNewRomanPS-BoldMT"/>
          <w:b w:val="0"/>
          <w:bCs/>
        </w:rPr>
        <w:t>0 to $1</w:t>
      </w:r>
      <w:r>
        <w:rPr>
          <w:rFonts w:ascii="TimesNewRomanPS-BoldMT" w:hAnsi="TimesNewRomanPS-BoldMT" w:cs="TimesNewRomanPS-BoldMT"/>
          <w:b w:val="0"/>
          <w:bCs/>
        </w:rPr>
        <w:t>4</w:t>
      </w:r>
      <w:r w:rsidRPr="008633EF">
        <w:rPr>
          <w:rFonts w:ascii="TimesNewRomanPS-BoldMT" w:hAnsi="TimesNewRomanPS-BoldMT" w:cs="TimesNewRomanPS-BoldMT"/>
          <w:b w:val="0"/>
          <w:bCs/>
        </w:rPr>
        <w:t>.00, and for natural gas, Avista proposed to increase the basic charge from</w:t>
      </w:r>
      <w:r>
        <w:rPr>
          <w:rFonts w:ascii="TimesNewRomanPS-BoldMT" w:hAnsi="TimesNewRomanPS-BoldMT" w:cs="TimesNewRomanPS-BoldMT"/>
          <w:b w:val="0"/>
          <w:bCs/>
        </w:rPr>
        <w:t xml:space="preserve"> </w:t>
      </w:r>
      <w:r w:rsidRPr="008633EF">
        <w:rPr>
          <w:rFonts w:ascii="TimesNewRomanPS-BoldMT" w:hAnsi="TimesNewRomanPS-BoldMT" w:cs="TimesNewRomanPS-BoldMT"/>
          <w:b w:val="0"/>
          <w:bCs/>
        </w:rPr>
        <w:t>$</w:t>
      </w:r>
      <w:r>
        <w:rPr>
          <w:rFonts w:ascii="TimesNewRomanPS-BoldMT" w:hAnsi="TimesNewRomanPS-BoldMT" w:cs="TimesNewRomanPS-BoldMT"/>
          <w:b w:val="0"/>
          <w:bCs/>
        </w:rPr>
        <w:t>9</w:t>
      </w:r>
      <w:r w:rsidRPr="008633EF">
        <w:rPr>
          <w:rFonts w:ascii="TimesNewRomanPS-BoldMT" w:hAnsi="TimesNewRomanPS-BoldMT" w:cs="TimesNewRomanPS-BoldMT"/>
          <w:b w:val="0"/>
          <w:bCs/>
        </w:rPr>
        <w:t xml:space="preserve">.00 to $12.00.  The </w:t>
      </w:r>
      <w:r w:rsidR="00C32122" w:rsidRPr="00C32122">
        <w:rPr>
          <w:b w:val="0"/>
        </w:rPr>
        <w:t>Settlement</w:t>
      </w:r>
      <w:r w:rsidR="00C32122" w:rsidRPr="00E32C99">
        <w:t xml:space="preserve"> </w:t>
      </w:r>
      <w:r w:rsidRPr="008633EF">
        <w:rPr>
          <w:rFonts w:ascii="TimesNewRomanPS-BoldMT" w:hAnsi="TimesNewRomanPS-BoldMT" w:cs="TimesNewRomanPS-BoldMT"/>
          <w:b w:val="0"/>
          <w:bCs/>
        </w:rPr>
        <w:t xml:space="preserve">proposes </w:t>
      </w:r>
      <w:r>
        <w:rPr>
          <w:rFonts w:ascii="TimesNewRomanPS-BoldMT" w:hAnsi="TimesNewRomanPS-BoldMT" w:cs="TimesNewRomanPS-BoldMT"/>
          <w:b w:val="0"/>
          <w:bCs/>
        </w:rPr>
        <w:t>no</w:t>
      </w:r>
      <w:r w:rsidRPr="008633EF">
        <w:rPr>
          <w:rFonts w:ascii="TimesNewRomanPS-BoldMT" w:hAnsi="TimesNewRomanPS-BoldMT" w:cs="TimesNewRomanPS-BoldMT"/>
          <w:b w:val="0"/>
          <w:bCs/>
        </w:rPr>
        <w:t xml:space="preserve"> increases to the basic charges.  Public Counsel’s analysis in </w:t>
      </w:r>
      <w:r>
        <w:rPr>
          <w:rFonts w:ascii="TimesNewRomanPS-BoldMT" w:hAnsi="TimesNewRomanPS-BoldMT" w:cs="TimesNewRomanPS-BoldMT"/>
          <w:b w:val="0"/>
          <w:bCs/>
        </w:rPr>
        <w:t>Avista’s previous</w:t>
      </w:r>
      <w:r w:rsidRPr="008633EF">
        <w:rPr>
          <w:rFonts w:ascii="TimesNewRomanPS-BoldMT" w:hAnsi="TimesNewRomanPS-BoldMT" w:cs="TimesNewRomanPS-BoldMT"/>
          <w:b w:val="0"/>
          <w:bCs/>
        </w:rPr>
        <w:t xml:space="preserve"> case demonstrated that an $8.00 electric fixed customer charge was appropriate and that a $9.00 natural gas fixed charge was appropriate</w:t>
      </w:r>
      <w:r>
        <w:rPr>
          <w:rFonts w:ascii="TimesNewRomanPS-BoldMT" w:hAnsi="TimesNewRomanPS-BoldMT" w:cs="TimesNewRomanPS-BoldMT"/>
          <w:b w:val="0"/>
          <w:bCs/>
        </w:rPr>
        <w:t>.  Our review of the current case did not reveal any new information that would revise Public Counsel’s recommendation. Furthermore, in its order in the 2014 PacifiCorp General Rate Case, the Commission rejected a similar proposal for a sizeable increase to the customer charge. It is also noteworthy that Avista has a full decoupling mechanism, which was approved in the previous GRC, and serves as a means to address potential under- or over-recovery of fixed costs.  For these reasons, maintaining the current customer charges for gas and electric is in the public interest.</w:t>
      </w:r>
    </w:p>
    <w:p w:rsidR="00E32C99" w:rsidRDefault="00001B69" w:rsidP="00E32C99">
      <w:pPr>
        <w:pStyle w:val="BodyText"/>
        <w:rPr>
          <w:rFonts w:ascii="TimesNewRomanPS-BoldMT" w:hAnsi="TimesNewRomanPS-BoldMT" w:cs="TimesNewRomanPS-BoldMT"/>
          <w:bCs/>
        </w:rPr>
      </w:pPr>
      <w:r>
        <w:rPr>
          <w:rFonts w:ascii="TimesNewRomanPS-BoldMT" w:hAnsi="TimesNewRomanPS-BoldMT" w:cs="TimesNewRomanPS-BoldMT"/>
          <w:bCs/>
        </w:rPr>
        <w:t>Q.</w:t>
      </w:r>
      <w:r w:rsidRPr="00617FB1">
        <w:rPr>
          <w:rFonts w:ascii="TimesNewRomanPS-BoldMT" w:hAnsi="TimesNewRomanPS-BoldMT" w:cs="TimesNewRomanPS-BoldMT"/>
          <w:bCs/>
        </w:rPr>
        <w:tab/>
        <w:t xml:space="preserve">Please explain why Public Counsel supports the </w:t>
      </w:r>
      <w:r>
        <w:rPr>
          <w:rFonts w:ascii="TimesNewRomanPS-BoldMT" w:hAnsi="TimesNewRomanPS-BoldMT" w:cs="TimesNewRomanPS-BoldMT"/>
          <w:bCs/>
        </w:rPr>
        <w:t>power cost adjustments</w:t>
      </w:r>
      <w:r w:rsidRPr="00617FB1">
        <w:rPr>
          <w:rFonts w:ascii="TimesNewRomanPS-BoldMT" w:hAnsi="TimesNewRomanPS-BoldMT" w:cs="TimesNewRomanPS-BoldMT"/>
          <w:bCs/>
        </w:rPr>
        <w:t xml:space="preserve"> in the </w:t>
      </w:r>
      <w:r w:rsidR="00C32122" w:rsidRPr="00E32C99">
        <w:t>Settlement</w:t>
      </w:r>
      <w:r w:rsidRPr="00617FB1">
        <w:rPr>
          <w:rFonts w:ascii="TimesNewRomanPS-BoldMT" w:hAnsi="TimesNewRomanPS-BoldMT" w:cs="TimesNewRomanPS-BoldMT"/>
          <w:bCs/>
        </w:rPr>
        <w:t>.</w:t>
      </w:r>
    </w:p>
    <w:p w:rsidR="00E32C99" w:rsidRDefault="00001B69" w:rsidP="00E32C99">
      <w:pPr>
        <w:pStyle w:val="BodyText"/>
        <w:rPr>
          <w:rFonts w:ascii="TimesNewRomanPS-BoldMT" w:hAnsi="TimesNewRomanPS-BoldMT" w:cs="TimesNewRomanPS-BoldMT"/>
          <w:b w:val="0"/>
          <w:bCs/>
        </w:rPr>
      </w:pPr>
      <w:r>
        <w:rPr>
          <w:rFonts w:ascii="TimesNewRomanPS-BoldMT" w:hAnsi="TimesNewRomanPS-BoldMT" w:cs="TimesNewRomanPS-BoldMT"/>
          <w:b w:val="0"/>
          <w:bCs/>
        </w:rPr>
        <w:t>A.</w:t>
      </w:r>
      <w:r w:rsidRPr="008633EF">
        <w:rPr>
          <w:rFonts w:ascii="TimesNewRomanPS-BoldMT" w:hAnsi="TimesNewRomanPS-BoldMT" w:cs="TimesNewRomanPS-BoldMT"/>
          <w:b w:val="0"/>
          <w:bCs/>
        </w:rPr>
        <w:tab/>
      </w:r>
      <w:r>
        <w:rPr>
          <w:rFonts w:ascii="TimesNewRomanPS-BoldMT" w:hAnsi="TimesNewRomanPS-BoldMT" w:cs="TimesNewRomanPS-BoldMT"/>
          <w:b w:val="0"/>
          <w:bCs/>
        </w:rPr>
        <w:t xml:space="preserve">Public Counsel supports the power cost adjustments included in the Settlement because some of the proposed adjustments might more accurately be described as updates to Avista’s filing than issues that required compromise.  Additionally, the Settlement eliminates proposed changes to the ERM. </w:t>
      </w:r>
    </w:p>
    <w:p w:rsidR="00E32C99" w:rsidRDefault="00001B69" w:rsidP="00E32C99">
      <w:pPr>
        <w:pStyle w:val="BodyText"/>
        <w:rPr>
          <w:rFonts w:ascii="TimesNewRomanPS-BoldMT" w:hAnsi="TimesNewRomanPS-BoldMT" w:cs="TimesNewRomanPS-BoldMT"/>
          <w:b w:val="0"/>
          <w:bCs/>
        </w:rPr>
      </w:pPr>
      <w:r>
        <w:rPr>
          <w:rFonts w:ascii="TimesNewRomanPS-BoldMT" w:hAnsi="TimesNewRomanPS-BoldMT" w:cs="TimesNewRomanPS-BoldMT"/>
          <w:b w:val="0"/>
          <w:bCs/>
        </w:rPr>
        <w:t>Regarding updates to power supply, Public Counsel believes that if the settlement had not occurred, these items would have been updated by intervenors and the Company in later filings in the docket.  Notably, there was a significant error in the Aurora modeling that, when corrected, reduced the Company’s request by $6.9 million</w:t>
      </w:r>
      <w:r w:rsidRPr="008633EF">
        <w:rPr>
          <w:rFonts w:ascii="TimesNewRomanPS-BoldMT" w:hAnsi="TimesNewRomanPS-BoldMT" w:cs="TimesNewRomanPS-BoldMT"/>
          <w:b w:val="0"/>
          <w:bCs/>
        </w:rPr>
        <w:t>.</w:t>
      </w:r>
      <w:r>
        <w:rPr>
          <w:rFonts w:ascii="TimesNewRomanPS-BoldMT" w:hAnsi="TimesNewRomanPS-BoldMT" w:cs="TimesNewRomanPS-BoldMT"/>
          <w:b w:val="0"/>
          <w:bCs/>
        </w:rPr>
        <w:t xml:space="preserve">  Additionally, after Avista filed its case, Avista finalized a contract with Chelan PUD for $3.6 million less than the Company estimated. Because of the size of these adjustments, it was reasonable for parties to address these issues earlier in the case rather than later. </w:t>
      </w:r>
    </w:p>
    <w:p w:rsidR="00E32C99" w:rsidRDefault="00001B69" w:rsidP="00E32C99">
      <w:pPr>
        <w:pStyle w:val="BodyText"/>
        <w:rPr>
          <w:rFonts w:ascii="TimesNewRomanPS-BoldMT" w:hAnsi="TimesNewRomanPS-BoldMT" w:cs="TimesNewRomanPS-BoldMT"/>
          <w:b w:val="0"/>
          <w:bCs/>
        </w:rPr>
      </w:pPr>
      <w:r>
        <w:rPr>
          <w:rFonts w:ascii="TimesNewRomanPS-BoldMT" w:hAnsi="TimesNewRomanPS-BoldMT" w:cs="TimesNewRomanPS-BoldMT"/>
          <w:b w:val="0"/>
          <w:bCs/>
        </w:rPr>
        <w:t xml:space="preserve">Public Counsel also supports the removal of the proposed changes to the ERM. The Settlement retains </w:t>
      </w:r>
      <w:proofErr w:type="gramStart"/>
      <w:r>
        <w:rPr>
          <w:rFonts w:ascii="TimesNewRomanPS-BoldMT" w:hAnsi="TimesNewRomanPS-BoldMT" w:cs="TimesNewRomanPS-BoldMT"/>
          <w:b w:val="0"/>
          <w:bCs/>
        </w:rPr>
        <w:t>both the</w:t>
      </w:r>
      <w:proofErr w:type="gramEnd"/>
      <w:r>
        <w:rPr>
          <w:rFonts w:ascii="TimesNewRomanPS-BoldMT" w:hAnsi="TimesNewRomanPS-BoldMT" w:cs="TimesNewRomanPS-BoldMT"/>
          <w:b w:val="0"/>
          <w:bCs/>
        </w:rPr>
        <w:t xml:space="preserve"> current trigger at $30 million and the current Retail Revenue Adjustment as well as its calculation methodology. It also removes the Company’s request to include Colstrip and Coyote Springs 2 Thermal O&amp;M costs in the ERM. We do not believe Avista’s originally proposed revisions to the ERM are necessary, and retaining the ERM in its current format is in the public interest at this time.</w:t>
      </w:r>
    </w:p>
    <w:p w:rsidR="00291570" w:rsidRPr="00291570" w:rsidRDefault="00291570" w:rsidP="00291570">
      <w:pPr>
        <w:pStyle w:val="BodyText"/>
        <w:rPr>
          <w:rFonts w:ascii="TimesNewRomanPS-BoldMT" w:hAnsi="TimesNewRomanPS-BoldMT" w:cs="TimesNewRomanPS-BoldMT"/>
          <w:b w:val="0"/>
          <w:bCs/>
        </w:rPr>
      </w:pPr>
      <w:r w:rsidRPr="00291570">
        <w:rPr>
          <w:rFonts w:ascii="TimesNewRomanPS-BoldMT" w:hAnsi="TimesNewRomanPS-BoldMT" w:cs="TimesNewRomanPS-BoldMT"/>
          <w:bCs/>
        </w:rPr>
        <w:t>Q</w:t>
      </w:r>
      <w:r w:rsidR="00017B4C">
        <w:rPr>
          <w:rFonts w:ascii="TimesNewRomanPS-BoldMT" w:hAnsi="TimesNewRomanPS-BoldMT" w:cs="TimesNewRomanPS-BoldMT"/>
          <w:bCs/>
        </w:rPr>
        <w:t>.</w:t>
      </w:r>
      <w:r w:rsidRPr="00291570">
        <w:rPr>
          <w:rFonts w:ascii="TimesNewRomanPS-BoldMT" w:hAnsi="TimesNewRomanPS-BoldMT" w:cs="TimesNewRomanPS-BoldMT"/>
          <w:bCs/>
        </w:rPr>
        <w:t xml:space="preserve">  Does Public Counsel have an overall recommendation with respect to the Settlement?</w:t>
      </w:r>
    </w:p>
    <w:p w:rsidR="00291570" w:rsidRDefault="00291570" w:rsidP="00291570">
      <w:pPr>
        <w:pStyle w:val="BodyText"/>
        <w:rPr>
          <w:rFonts w:ascii="TimesNewRomanPS-BoldMT" w:hAnsi="TimesNewRomanPS-BoldMT" w:cs="TimesNewRomanPS-BoldMT"/>
          <w:b w:val="0"/>
          <w:bCs/>
        </w:rPr>
      </w:pPr>
      <w:r w:rsidRPr="00291570">
        <w:rPr>
          <w:rFonts w:ascii="TimesNewRomanPS-BoldMT" w:hAnsi="TimesNewRomanPS-BoldMT" w:cs="TimesNewRomanPS-BoldMT"/>
          <w:b w:val="0"/>
          <w:bCs/>
        </w:rPr>
        <w:t>A</w:t>
      </w:r>
      <w:r w:rsidR="00017B4C">
        <w:rPr>
          <w:rFonts w:ascii="TimesNewRomanPS-BoldMT" w:hAnsi="TimesNewRomanPS-BoldMT" w:cs="TimesNewRomanPS-BoldMT"/>
          <w:b w:val="0"/>
          <w:bCs/>
        </w:rPr>
        <w:t>.</w:t>
      </w:r>
      <w:r w:rsidRPr="00291570">
        <w:rPr>
          <w:rFonts w:ascii="TimesNewRomanPS-BoldMT" w:hAnsi="TimesNewRomanPS-BoldMT" w:cs="TimesNewRomanPS-BoldMT"/>
          <w:b w:val="0"/>
          <w:bCs/>
        </w:rPr>
        <w:t xml:space="preserve">  Yes.  For reasons discussed above, Public Counsel believes the Settlement is in the public interest and fairly resolves the issues on which Parties agree.  Public Counsel recommends that the Commission approve the Settlement.</w:t>
      </w:r>
    </w:p>
    <w:p w:rsidR="0061420C" w:rsidRDefault="0061420C" w:rsidP="00503CDC">
      <w:pPr>
        <w:pStyle w:val="BodyText"/>
        <w:ind w:firstLine="0"/>
        <w:rPr>
          <w:u w:val="single"/>
        </w:rPr>
      </w:pPr>
      <w:r w:rsidRPr="00503CDC">
        <w:rPr>
          <w:u w:val="single"/>
        </w:rPr>
        <w:t>Statement of ICNU</w:t>
      </w:r>
    </w:p>
    <w:p w:rsidR="00E32C99" w:rsidRDefault="00E32C99" w:rsidP="00E32C99">
      <w:pPr>
        <w:pStyle w:val="BodyText"/>
        <w:rPr>
          <w:rFonts w:ascii="TimesNewRomanPS-BoldMT" w:hAnsi="TimesNewRomanPS-BoldMT" w:cs="TimesNewRomanPS-BoldMT"/>
          <w:bCs/>
        </w:rPr>
      </w:pPr>
      <w:r w:rsidRPr="00E32C99">
        <w:rPr>
          <w:rFonts w:ascii="TimesNewRomanPS-BoldMT" w:hAnsi="TimesNewRomanPS-BoldMT" w:cs="TimesNewRomanPS-BoldMT"/>
          <w:bCs/>
        </w:rPr>
        <w:t>Q.</w:t>
      </w:r>
      <w:r w:rsidRPr="00E32C99">
        <w:rPr>
          <w:rFonts w:ascii="TimesNewRomanPS-BoldMT" w:hAnsi="TimesNewRomanPS-BoldMT" w:cs="TimesNewRomanPS-BoldMT"/>
          <w:bCs/>
        </w:rPr>
        <w:tab/>
        <w:t xml:space="preserve">Why does ICNU support the </w:t>
      </w:r>
      <w:r w:rsidR="00C32122">
        <w:rPr>
          <w:rFonts w:ascii="TimesNewRomanPS-BoldMT" w:hAnsi="TimesNewRomanPS-BoldMT" w:cs="TimesNewRomanPS-BoldMT"/>
          <w:bCs/>
        </w:rPr>
        <w:t>Settlement</w:t>
      </w:r>
      <w:r w:rsidRPr="00E32C99">
        <w:rPr>
          <w:rFonts w:ascii="TimesNewRomanPS-BoldMT" w:hAnsi="TimesNewRomanPS-BoldMT" w:cs="TimesNewRomanPS-BoldMT"/>
          <w:bCs/>
        </w:rPr>
        <w:t>?</w:t>
      </w:r>
    </w:p>
    <w:p w:rsidR="00E32C99" w:rsidRDefault="00E32C99" w:rsidP="00E32C99">
      <w:pPr>
        <w:pStyle w:val="BodyText"/>
        <w:rPr>
          <w:b w:val="0"/>
          <w:szCs w:val="24"/>
        </w:rPr>
      </w:pPr>
      <w:r w:rsidRPr="00E32C99">
        <w:rPr>
          <w:b w:val="0"/>
          <w:szCs w:val="24"/>
        </w:rPr>
        <w:t>A.</w:t>
      </w:r>
      <w:r w:rsidRPr="00E32C99">
        <w:rPr>
          <w:b w:val="0"/>
          <w:szCs w:val="24"/>
        </w:rPr>
        <w:tab/>
        <w:t xml:space="preserve">ICNU supports the </w:t>
      </w:r>
      <w:r w:rsidR="00C32122" w:rsidRPr="00C32122">
        <w:rPr>
          <w:b w:val="0"/>
        </w:rPr>
        <w:t>Settlement</w:t>
      </w:r>
      <w:r w:rsidR="00C32122" w:rsidRPr="00E32C99">
        <w:t xml:space="preserve"> </w:t>
      </w:r>
      <w:r w:rsidRPr="00E32C99">
        <w:rPr>
          <w:b w:val="0"/>
          <w:szCs w:val="24"/>
        </w:rPr>
        <w:t xml:space="preserve">because it represents a reasonable outcome for customers.  Any settlement is a compromise of positions, and ICNU finds sufficient value for industrial customers in the </w:t>
      </w:r>
      <w:r w:rsidR="00C32122" w:rsidRPr="00C32122">
        <w:rPr>
          <w:b w:val="0"/>
        </w:rPr>
        <w:t>Settlement</w:t>
      </w:r>
      <w:r w:rsidR="00C32122" w:rsidRPr="00E32C99">
        <w:t xml:space="preserve"> </w:t>
      </w:r>
      <w:r w:rsidRPr="00E32C99">
        <w:rPr>
          <w:b w:val="0"/>
          <w:szCs w:val="24"/>
        </w:rPr>
        <w:t>through the resolution of limited issues in an efficient manner.  ICNU is also able to join the Settlement because it does not include still contested issues such as the Company’s requested attrition adjustment, capital expenditures, and executive compensation levels.</w:t>
      </w:r>
    </w:p>
    <w:p w:rsidR="00E32C99" w:rsidRDefault="00A74CB5" w:rsidP="00E32C99">
      <w:pPr>
        <w:pStyle w:val="BodyText"/>
        <w:rPr>
          <w:szCs w:val="24"/>
        </w:rPr>
      </w:pPr>
      <w:r w:rsidRPr="007F708D">
        <w:rPr>
          <w:szCs w:val="24"/>
        </w:rPr>
        <w:t>Q.</w:t>
      </w:r>
      <w:r w:rsidRPr="007F708D">
        <w:rPr>
          <w:szCs w:val="24"/>
        </w:rPr>
        <w:tab/>
      </w:r>
      <w:r>
        <w:rPr>
          <w:szCs w:val="24"/>
        </w:rPr>
        <w:t xml:space="preserve">Will approval of the </w:t>
      </w:r>
      <w:r w:rsidR="00C32122" w:rsidRPr="00E32C99">
        <w:t xml:space="preserve">Settlement </w:t>
      </w:r>
      <w:r>
        <w:rPr>
          <w:szCs w:val="24"/>
        </w:rPr>
        <w:t>help the Commission to set rates that are fair, just, reasonable and sufficient</w:t>
      </w:r>
      <w:r w:rsidRPr="007F708D">
        <w:rPr>
          <w:szCs w:val="24"/>
        </w:rPr>
        <w:t>?</w:t>
      </w:r>
    </w:p>
    <w:p w:rsidR="00E32C99" w:rsidRPr="00E32C99" w:rsidRDefault="00E32C99" w:rsidP="00E32C99">
      <w:pPr>
        <w:pStyle w:val="BodyText"/>
        <w:rPr>
          <w:b w:val="0"/>
          <w:szCs w:val="24"/>
        </w:rPr>
      </w:pPr>
      <w:r w:rsidRPr="00E32C99">
        <w:rPr>
          <w:b w:val="0"/>
          <w:szCs w:val="24"/>
        </w:rPr>
        <w:t>A.</w:t>
      </w:r>
      <w:r w:rsidRPr="00E32C99">
        <w:rPr>
          <w:b w:val="0"/>
          <w:szCs w:val="24"/>
        </w:rPr>
        <w:tab/>
        <w:t xml:space="preserve">Yes.  While highly significant issues are yet to be resolved in these dockets before fair, just, reasonable and sufficient rates can be established, the </w:t>
      </w:r>
      <w:r w:rsidR="00C32122" w:rsidRPr="00C32122">
        <w:rPr>
          <w:b w:val="0"/>
        </w:rPr>
        <w:t>Settlement</w:t>
      </w:r>
      <w:r w:rsidR="00C32122" w:rsidRPr="00E32C99">
        <w:t xml:space="preserve"> </w:t>
      </w:r>
      <w:r w:rsidRPr="00E32C99">
        <w:rPr>
          <w:b w:val="0"/>
          <w:szCs w:val="24"/>
        </w:rPr>
        <w:t xml:space="preserve">represents a reasonable compromise and resolution on all cost of capital, current power supply, rate spread and rate design issues.  The resolution of these issues not only represents a good result for ratepayers, but also allows the Commission to devote its full attention to still contested issues.  </w:t>
      </w:r>
    </w:p>
    <w:p w:rsidR="00E32C99" w:rsidRPr="00E32C99" w:rsidRDefault="00E32C99" w:rsidP="00E32C99">
      <w:pPr>
        <w:pStyle w:val="BodyText"/>
        <w:rPr>
          <w:szCs w:val="24"/>
        </w:rPr>
      </w:pPr>
      <w:r w:rsidRPr="00E32C99">
        <w:rPr>
          <w:b w:val="0"/>
          <w:szCs w:val="24"/>
        </w:rPr>
        <w:t xml:space="preserve">For instance, the validity of attrition adjustment requests, the surging capital expenses of Avista, and appropriate levels of executive compensation are all issues which appear on a near annual basis, yet have not been decisively resolved due to prior, all-encompassing settlements.  With the limited compromise of the </w:t>
      </w:r>
      <w:r w:rsidR="00C32122" w:rsidRPr="00C32122">
        <w:rPr>
          <w:b w:val="0"/>
        </w:rPr>
        <w:t>Settlement</w:t>
      </w:r>
      <w:r w:rsidRPr="00E32C99">
        <w:rPr>
          <w:b w:val="0"/>
          <w:szCs w:val="24"/>
        </w:rPr>
        <w:t xml:space="preserve">, the stage is now set for the Commission to potentially and fully address these long contested matters. </w:t>
      </w:r>
    </w:p>
    <w:p w:rsidR="00E32C99" w:rsidRDefault="00E32C99" w:rsidP="00E32C99">
      <w:pPr>
        <w:pStyle w:val="BodyText"/>
        <w:rPr>
          <w:rFonts w:ascii="TimesNewRomanPS-BoldMT" w:hAnsi="TimesNewRomanPS-BoldMT" w:cs="TimesNewRomanPS-BoldMT"/>
          <w:bCs/>
        </w:rPr>
      </w:pPr>
      <w:r w:rsidRPr="00E32C99">
        <w:rPr>
          <w:rFonts w:ascii="TimesNewRomanPS-BoldMT" w:hAnsi="TimesNewRomanPS-BoldMT" w:cs="TimesNewRomanPS-BoldMT"/>
          <w:bCs/>
        </w:rPr>
        <w:t>Q.</w:t>
      </w:r>
      <w:r w:rsidRPr="00E32C99">
        <w:rPr>
          <w:rFonts w:ascii="TimesNewRomanPS-BoldMT" w:hAnsi="TimesNewRomanPS-BoldMT" w:cs="TimesNewRomanPS-BoldMT"/>
          <w:bCs/>
        </w:rPr>
        <w:tab/>
        <w:t xml:space="preserve">Turning to the merits of the individual components of the </w:t>
      </w:r>
      <w:r w:rsidR="00C32122" w:rsidRPr="00E32C99">
        <w:t>Settlement</w:t>
      </w:r>
      <w:r w:rsidRPr="00E32C99">
        <w:rPr>
          <w:rFonts w:ascii="TimesNewRomanPS-BoldMT" w:hAnsi="TimesNewRomanPS-BoldMT" w:cs="TimesNewRomanPS-BoldMT"/>
          <w:bCs/>
        </w:rPr>
        <w:t>, why does ICNU support settlement of cost of capital issues?</w:t>
      </w:r>
    </w:p>
    <w:p w:rsidR="00E32C99" w:rsidRDefault="00E32C99" w:rsidP="00E32C99">
      <w:pPr>
        <w:pStyle w:val="BodyText"/>
        <w:rPr>
          <w:b w:val="0"/>
          <w:szCs w:val="24"/>
        </w:rPr>
      </w:pPr>
      <w:r w:rsidRPr="00E32C99">
        <w:rPr>
          <w:b w:val="0"/>
          <w:szCs w:val="24"/>
        </w:rPr>
        <w:t>A.</w:t>
      </w:r>
      <w:r w:rsidRPr="00E32C99">
        <w:rPr>
          <w:b w:val="0"/>
          <w:szCs w:val="24"/>
        </w:rPr>
        <w:tab/>
        <w:t xml:space="preserve">Given the present, historically low interest rate environment, and even allowing for potential interest rate movement from the Federal Reserve, ICNU believes the proposed reductions to the Company’s authorized common equity and rate of return are appropriate.  Although ICNU would likely have provided testimony recommending that even further reductions are merited in the current financial and market climate, the cost of capital settlement is a reasonable compromise that is fair to customers and sufficient for Avista. </w:t>
      </w:r>
    </w:p>
    <w:p w:rsidR="00E32C99" w:rsidRDefault="00A74CB5" w:rsidP="00E32C99">
      <w:pPr>
        <w:pStyle w:val="BodyText"/>
        <w:rPr>
          <w:szCs w:val="24"/>
        </w:rPr>
      </w:pPr>
      <w:r w:rsidRPr="007F708D">
        <w:rPr>
          <w:szCs w:val="24"/>
        </w:rPr>
        <w:t>Q.</w:t>
      </w:r>
      <w:r w:rsidRPr="007F708D">
        <w:rPr>
          <w:szCs w:val="24"/>
        </w:rPr>
        <w:tab/>
      </w:r>
      <w:r>
        <w:rPr>
          <w:szCs w:val="24"/>
        </w:rPr>
        <w:t xml:space="preserve">Please explain why ICNU supports settlement on all current power supply issues. </w:t>
      </w:r>
    </w:p>
    <w:p w:rsidR="00E32C99" w:rsidRPr="00E32C99" w:rsidRDefault="00E32C99" w:rsidP="00E32C99">
      <w:pPr>
        <w:pStyle w:val="BodyText"/>
        <w:rPr>
          <w:szCs w:val="24"/>
        </w:rPr>
      </w:pPr>
      <w:r w:rsidRPr="00E32C99">
        <w:rPr>
          <w:b w:val="0"/>
          <w:szCs w:val="24"/>
        </w:rPr>
        <w:t>A.</w:t>
      </w:r>
      <w:r w:rsidRPr="00E32C99">
        <w:rPr>
          <w:b w:val="0"/>
          <w:szCs w:val="24"/>
        </w:rPr>
        <w:tab/>
        <w:t xml:space="preserve">Parties negotiated intensely on appropriate power supply costs, and the Commission can be assured that significant endeavor accompanied the proposed resolution on these issues.  For instance, ICNU proposed several adjustments which do not expressly appear in the </w:t>
      </w:r>
      <w:r w:rsidR="00C32122" w:rsidRPr="00C32122">
        <w:rPr>
          <w:b w:val="0"/>
        </w:rPr>
        <w:t>Settlement</w:t>
      </w:r>
      <w:r w:rsidRPr="00E32C99">
        <w:rPr>
          <w:b w:val="0"/>
          <w:szCs w:val="24"/>
        </w:rPr>
        <w:t xml:space="preserve">; however, the “Other Adjustments to Power Supply Costs” component of the </w:t>
      </w:r>
      <w:r w:rsidR="00C32122" w:rsidRPr="00C32122">
        <w:rPr>
          <w:b w:val="0"/>
        </w:rPr>
        <w:t>Settlement</w:t>
      </w:r>
      <w:r w:rsidRPr="00E32C99">
        <w:rPr>
          <w:b w:val="0"/>
          <w:szCs w:val="24"/>
        </w:rPr>
        <w:t xml:space="preserve">, which results in an additional $1.5 million decrease to power supply expense, represents a fair and reasonable compromise between parties on these very issues.  </w:t>
      </w:r>
    </w:p>
    <w:p w:rsidR="00E32C99" w:rsidRPr="00E32C99" w:rsidRDefault="00E32C99" w:rsidP="00E32C99">
      <w:pPr>
        <w:pStyle w:val="BodyText"/>
        <w:rPr>
          <w:szCs w:val="24"/>
        </w:rPr>
      </w:pPr>
      <w:r w:rsidRPr="00E32C99">
        <w:rPr>
          <w:b w:val="0"/>
          <w:szCs w:val="24"/>
        </w:rPr>
        <w:t xml:space="preserve">Likewise, the agreement to remove Colstrip and CS2 Thermal O&amp;M expense from base power supply costs is another fair compromise which allows for a sizeable power supply expense reduction while reserving contested treatment of such costs to the remainder of the case.  All other specific power supply cost reductions also represent fair adjustments to the Company’s initial filing, and should be approved. </w:t>
      </w:r>
    </w:p>
    <w:p w:rsidR="00E32C99" w:rsidRPr="004A150E" w:rsidRDefault="00A74CB5" w:rsidP="00E32C99">
      <w:pPr>
        <w:pStyle w:val="BodyText"/>
        <w:rPr>
          <w:szCs w:val="24"/>
        </w:rPr>
      </w:pPr>
      <w:r w:rsidRPr="004A150E">
        <w:rPr>
          <w:szCs w:val="24"/>
        </w:rPr>
        <w:t>Q.</w:t>
      </w:r>
      <w:r w:rsidRPr="004A150E">
        <w:rPr>
          <w:szCs w:val="24"/>
        </w:rPr>
        <w:tab/>
        <w:t xml:space="preserve">Does ICNU believe that the </w:t>
      </w:r>
      <w:r w:rsidR="00C32122" w:rsidRPr="004A150E">
        <w:t>Settlement</w:t>
      </w:r>
      <w:r w:rsidR="00C32122" w:rsidRPr="004A150E">
        <w:rPr>
          <w:szCs w:val="24"/>
        </w:rPr>
        <w:t xml:space="preserve"> </w:t>
      </w:r>
      <w:r w:rsidRPr="004A150E">
        <w:rPr>
          <w:szCs w:val="24"/>
        </w:rPr>
        <w:t xml:space="preserve">will </w:t>
      </w:r>
      <w:r w:rsidR="00E32C99" w:rsidRPr="004A150E">
        <w:rPr>
          <w:szCs w:val="24"/>
        </w:rPr>
        <w:t>produce a fair and just outcome on rate spread and rate design issues?</w:t>
      </w:r>
    </w:p>
    <w:p w:rsidR="00E32C99" w:rsidRDefault="00E32C99" w:rsidP="00E32C99">
      <w:pPr>
        <w:pStyle w:val="BodyText"/>
        <w:rPr>
          <w:b w:val="0"/>
          <w:szCs w:val="24"/>
        </w:rPr>
      </w:pPr>
      <w:r w:rsidRPr="00E32C99">
        <w:rPr>
          <w:b w:val="0"/>
          <w:szCs w:val="24"/>
        </w:rPr>
        <w:t>A.</w:t>
      </w:r>
      <w:r w:rsidRPr="00E32C99">
        <w:rPr>
          <w:b w:val="0"/>
          <w:szCs w:val="24"/>
        </w:rPr>
        <w:tab/>
        <w:t xml:space="preserve">Yes.  The agreement to apply equal percentage increases for purposes of rate spread is a manifest compromise that is fair to all customers.  Parties were active in ensuring that the proposed rate design also effectuated the reasonable compromise intended via the equal rate spread agreement.  For example, ICNU supports the rate design settlement because it contains an explicit provision guaranteeing that the largest customer served on Schedule 25 will receive the same percentage increase as the overall revenue increase in the case.  Moreover, given the considerable demand charge increases approved in last year’s general rate case, ICNU believes it is just and reasonable to maintain the current demand charges for Schedule 25 customers, which still allows for sufficient revenue for the Company. </w:t>
      </w:r>
    </w:p>
    <w:p w:rsidR="00E32C99" w:rsidRDefault="00E32C99" w:rsidP="00E32C99">
      <w:pPr>
        <w:pStyle w:val="BodyText"/>
        <w:rPr>
          <w:szCs w:val="24"/>
        </w:rPr>
      </w:pPr>
      <w:r w:rsidRPr="00E32C99">
        <w:rPr>
          <w:szCs w:val="24"/>
        </w:rPr>
        <w:t>Q.</w:t>
      </w:r>
      <w:r w:rsidRPr="00E32C99">
        <w:rPr>
          <w:szCs w:val="24"/>
        </w:rPr>
        <w:tab/>
        <w:t xml:space="preserve">Does ICNU recommend that the Commission adopt the </w:t>
      </w:r>
      <w:r w:rsidR="00C32122" w:rsidRPr="00C32122">
        <w:t>Settlement</w:t>
      </w:r>
      <w:r w:rsidRPr="00E32C99">
        <w:rPr>
          <w:szCs w:val="24"/>
        </w:rPr>
        <w:t>?</w:t>
      </w:r>
    </w:p>
    <w:p w:rsidR="00E32C99" w:rsidRDefault="00A74CB5" w:rsidP="00E32C99">
      <w:pPr>
        <w:pStyle w:val="BodyText"/>
        <w:rPr>
          <w:u w:val="single"/>
        </w:rPr>
      </w:pPr>
      <w:r w:rsidRPr="005730FB">
        <w:rPr>
          <w:b w:val="0"/>
          <w:szCs w:val="24"/>
        </w:rPr>
        <w:t>A.</w:t>
      </w:r>
      <w:r w:rsidRPr="005730FB">
        <w:rPr>
          <w:b w:val="0"/>
          <w:szCs w:val="24"/>
        </w:rPr>
        <w:tab/>
        <w:t xml:space="preserve">Yes.  For the reasons mentioned above, this </w:t>
      </w:r>
      <w:r w:rsidR="00C32122" w:rsidRPr="00C32122">
        <w:rPr>
          <w:b w:val="0"/>
        </w:rPr>
        <w:t>Settlement</w:t>
      </w:r>
      <w:r w:rsidR="00C32122" w:rsidRPr="005730FB">
        <w:rPr>
          <w:b w:val="0"/>
          <w:szCs w:val="24"/>
        </w:rPr>
        <w:t xml:space="preserve"> </w:t>
      </w:r>
      <w:r w:rsidRPr="005730FB">
        <w:rPr>
          <w:b w:val="0"/>
          <w:szCs w:val="24"/>
        </w:rPr>
        <w:t>is in the public interest, and ICNU recommends that the Commission adopt it.</w:t>
      </w:r>
    </w:p>
    <w:p w:rsidR="00B54C39" w:rsidRDefault="00B54C39" w:rsidP="003B1488">
      <w:pPr>
        <w:pStyle w:val="BodyText"/>
        <w:ind w:firstLine="0"/>
        <w:rPr>
          <w:u w:val="single"/>
        </w:rPr>
      </w:pPr>
      <w:r w:rsidRPr="00A06A39">
        <w:rPr>
          <w:u w:val="single"/>
        </w:rPr>
        <w:t>Statement of NWIGU</w:t>
      </w:r>
    </w:p>
    <w:p w:rsidR="00722B8D" w:rsidRPr="00722B8D" w:rsidRDefault="00722B8D" w:rsidP="00722B8D">
      <w:pPr>
        <w:pStyle w:val="BodyText"/>
        <w:rPr>
          <w:rFonts w:ascii="TimesNewRomanPS-BoldMT" w:hAnsi="TimesNewRomanPS-BoldMT" w:cs="TimesNewRomanPS-BoldMT"/>
          <w:b w:val="0"/>
          <w:bCs/>
        </w:rPr>
      </w:pPr>
      <w:r w:rsidRPr="008633EF">
        <w:t>Q.</w:t>
      </w:r>
      <w:r w:rsidRPr="008633EF">
        <w:tab/>
      </w:r>
      <w:r w:rsidRPr="00001B69">
        <w:t xml:space="preserve">Please explain why </w:t>
      </w:r>
      <w:r>
        <w:t>NWIGU</w:t>
      </w:r>
      <w:r w:rsidRPr="00001B69">
        <w:t xml:space="preserve"> believes the </w:t>
      </w:r>
      <w:r w:rsidR="00C32122" w:rsidRPr="00C32122">
        <w:t>Settlement</w:t>
      </w:r>
      <w:r w:rsidR="00C32122" w:rsidRPr="00001B69">
        <w:t xml:space="preserve"> </w:t>
      </w:r>
      <w:r w:rsidRPr="00001B69">
        <w:t xml:space="preserve">is in the public </w:t>
      </w:r>
      <w:r w:rsidR="00E32C99" w:rsidRPr="00E32C99">
        <w:rPr>
          <w:rFonts w:ascii="TimesNewRomanPS-BoldMT" w:hAnsi="TimesNewRomanPS-BoldMT" w:cs="TimesNewRomanPS-BoldMT"/>
          <w:b w:val="0"/>
          <w:bCs/>
        </w:rPr>
        <w:t>interest.</w:t>
      </w:r>
    </w:p>
    <w:p w:rsidR="003D6F34" w:rsidRDefault="00E32C99" w:rsidP="00722B8D">
      <w:pPr>
        <w:pStyle w:val="BodyText"/>
        <w:rPr>
          <w:rFonts w:ascii="TimesNewRomanPS-BoldMT" w:hAnsi="TimesNewRomanPS-BoldMT" w:cs="TimesNewRomanPS-BoldMT"/>
          <w:b w:val="0"/>
          <w:bCs/>
        </w:rPr>
      </w:pPr>
      <w:r w:rsidRPr="00E32C99">
        <w:rPr>
          <w:rFonts w:ascii="TimesNewRomanPS-BoldMT" w:hAnsi="TimesNewRomanPS-BoldMT" w:cs="TimesNewRomanPS-BoldMT"/>
          <w:b w:val="0"/>
          <w:bCs/>
        </w:rPr>
        <w:t>A.</w:t>
      </w:r>
      <w:r w:rsidRPr="00E32C99">
        <w:rPr>
          <w:rFonts w:ascii="TimesNewRomanPS-BoldMT" w:hAnsi="TimesNewRomanPS-BoldMT" w:cs="TimesNewRomanPS-BoldMT"/>
          <w:b w:val="0"/>
          <w:bCs/>
        </w:rPr>
        <w:tab/>
        <w:t>NWIGU believes the Settlement is in the public interest and recommends the Commission approve the Settlement because the best interests of Avista’s natural gas customers are served by the underlying fair compromise on cost of capital, rate spread, and rate design issues.  While the signing parties may each hold different positions on the individual components of the Settlement, NWIGU’s support stems in part from the fact that the agreement reached on capital costs is consistent with the cost of capital approved for other dual fuel utilities in the region.  By stipulating to the cost of capital, the Commission and the parties can focus their review of Avista’s filing on other areas where there may be more disagreement.</w:t>
      </w:r>
    </w:p>
    <w:p w:rsidR="00722B8D" w:rsidRPr="003D6F34" w:rsidRDefault="00E32C99" w:rsidP="00722B8D">
      <w:pPr>
        <w:pStyle w:val="BodyText"/>
        <w:rPr>
          <w:b w:val="0"/>
        </w:rPr>
      </w:pPr>
      <w:r w:rsidRPr="00E32C99">
        <w:rPr>
          <w:b w:val="0"/>
        </w:rPr>
        <w:t xml:space="preserve">NWIGU also finds the Settlement to be in the public interest as the spread of the gas rate increase is done in a manner that is consistent with the results of the preliminary cost of service analysis performed by NWIGU in this proceeding.  It is important from NWIGU’s perspective that industrial sales and </w:t>
      </w:r>
      <w:r w:rsidR="00471BCA">
        <w:rPr>
          <w:b w:val="0"/>
        </w:rPr>
        <w:t>transportation</w:t>
      </w:r>
      <w:r w:rsidRPr="00E32C99">
        <w:rPr>
          <w:b w:val="0"/>
        </w:rPr>
        <w:t xml:space="preserve"> rate schedules not move further away from </w:t>
      </w:r>
      <w:r w:rsidR="003D6F34">
        <w:rPr>
          <w:b w:val="0"/>
        </w:rPr>
        <w:t>their</w:t>
      </w:r>
      <w:r w:rsidRPr="00E32C99">
        <w:rPr>
          <w:b w:val="0"/>
        </w:rPr>
        <w:t xml:space="preserve"> relative cost of service, and the provisions of the Settlement ensure that is the case.</w:t>
      </w:r>
    </w:p>
    <w:p w:rsidR="00C574E0" w:rsidRDefault="00C574E0" w:rsidP="00041D3B">
      <w:pPr>
        <w:pStyle w:val="BodyText"/>
        <w:jc w:val="center"/>
        <w:rPr>
          <w:u w:val="single"/>
        </w:rPr>
      </w:pPr>
    </w:p>
    <w:p w:rsidR="000B3F3B" w:rsidRPr="00617FB1" w:rsidRDefault="00537068" w:rsidP="00041D3B">
      <w:pPr>
        <w:pStyle w:val="BodyText"/>
        <w:jc w:val="center"/>
        <w:rPr>
          <w:u w:val="single"/>
        </w:rPr>
      </w:pPr>
      <w:r>
        <w:rPr>
          <w:u w:val="single"/>
        </w:rPr>
        <w:t>VII</w:t>
      </w:r>
      <w:r w:rsidR="00C574E0">
        <w:rPr>
          <w:u w:val="single"/>
        </w:rPr>
        <w:t>I</w:t>
      </w:r>
      <w:proofErr w:type="gramStart"/>
      <w:r w:rsidR="00CC2AE4" w:rsidRPr="00617FB1">
        <w:rPr>
          <w:u w:val="single"/>
        </w:rPr>
        <w:t xml:space="preserve">.  </w:t>
      </w:r>
      <w:r w:rsidR="000B3F3B" w:rsidRPr="00617FB1">
        <w:rPr>
          <w:u w:val="single"/>
        </w:rPr>
        <w:t>CONCLUSION</w:t>
      </w:r>
      <w:proofErr w:type="gramEnd"/>
    </w:p>
    <w:p w:rsidR="000B3F3B" w:rsidRDefault="000B3F3B">
      <w:pPr>
        <w:pStyle w:val="Heading1"/>
        <w:tabs>
          <w:tab w:val="clear" w:pos="720"/>
          <w:tab w:val="left" w:pos="1440"/>
        </w:tabs>
        <w:ind w:firstLine="720"/>
      </w:pPr>
      <w:r>
        <w:t>Q.</w:t>
      </w:r>
      <w:r>
        <w:tab/>
        <w:t xml:space="preserve">In conclusion, why is this </w:t>
      </w:r>
      <w:r w:rsidR="00DC35BB">
        <w:t xml:space="preserve">Settlement </w:t>
      </w:r>
      <w:r>
        <w:t>“in the public interest?”</w:t>
      </w:r>
    </w:p>
    <w:p w:rsidR="000B3F3B" w:rsidRDefault="000B3F3B" w:rsidP="005E4131">
      <w:pPr>
        <w:numPr>
          <w:ilvl w:val="0"/>
          <w:numId w:val="6"/>
        </w:numPr>
        <w:tabs>
          <w:tab w:val="clear" w:pos="1440"/>
        </w:tabs>
        <w:spacing w:line="480" w:lineRule="auto"/>
        <w:ind w:left="0" w:firstLine="720"/>
        <w:jc w:val="both"/>
      </w:pPr>
      <w:r>
        <w:t xml:space="preserve">This </w:t>
      </w:r>
      <w:r w:rsidR="00537068">
        <w:t xml:space="preserve">Settlement </w:t>
      </w:r>
      <w:r>
        <w:t>should be approved for the following reasons:</w:t>
      </w:r>
    </w:p>
    <w:p w:rsidR="000B3F3B" w:rsidRDefault="000B3F3B">
      <w:pPr>
        <w:ind w:left="720"/>
        <w:jc w:val="both"/>
      </w:pPr>
    </w:p>
    <w:p w:rsidR="000B3F3B" w:rsidRDefault="000B3F3B" w:rsidP="0089480A">
      <w:pPr>
        <w:numPr>
          <w:ilvl w:val="0"/>
          <w:numId w:val="4"/>
        </w:numPr>
        <w:tabs>
          <w:tab w:val="clear" w:pos="420"/>
          <w:tab w:val="num" w:pos="1440"/>
        </w:tabs>
        <w:ind w:left="1440" w:hanging="720"/>
        <w:jc w:val="both"/>
        <w:rPr>
          <w:u w:val="single"/>
        </w:rPr>
      </w:pPr>
      <w:r>
        <w:t>It strikes a reasonable balance between the interests of the Company and its customers.  As such, it represents a reasonable compromise among differing interests and points of view.</w:t>
      </w:r>
    </w:p>
    <w:p w:rsidR="000B3F3B" w:rsidRDefault="000B3F3B">
      <w:pPr>
        <w:ind w:left="720"/>
        <w:jc w:val="both"/>
      </w:pPr>
    </w:p>
    <w:p w:rsidR="000B3F3B" w:rsidRDefault="000B3F3B" w:rsidP="0089480A">
      <w:pPr>
        <w:numPr>
          <w:ilvl w:val="0"/>
          <w:numId w:val="4"/>
        </w:numPr>
        <w:tabs>
          <w:tab w:val="clear" w:pos="420"/>
          <w:tab w:val="num" w:pos="1440"/>
        </w:tabs>
        <w:ind w:left="1440" w:hanging="720"/>
        <w:jc w:val="both"/>
      </w:pPr>
      <w:r>
        <w:t>Ample opp</w:t>
      </w:r>
      <w:r w:rsidR="003B21FA">
        <w:t>ortunity has been afforded all P</w:t>
      </w:r>
      <w:r>
        <w:t>arties to participate meaningfully in the settlement process.</w:t>
      </w:r>
    </w:p>
    <w:p w:rsidR="000B3F3B" w:rsidRDefault="000B3F3B">
      <w:pPr>
        <w:tabs>
          <w:tab w:val="num" w:pos="1440"/>
        </w:tabs>
        <w:ind w:left="1440" w:hanging="720"/>
        <w:jc w:val="both"/>
      </w:pPr>
    </w:p>
    <w:p w:rsidR="000B3F3B" w:rsidRDefault="000B3F3B" w:rsidP="0089480A">
      <w:pPr>
        <w:numPr>
          <w:ilvl w:val="0"/>
          <w:numId w:val="4"/>
        </w:numPr>
        <w:tabs>
          <w:tab w:val="clear" w:pos="420"/>
          <w:tab w:val="num" w:pos="1440"/>
        </w:tabs>
        <w:ind w:left="1440" w:hanging="720"/>
        <w:jc w:val="both"/>
      </w:pPr>
      <w:r>
        <w:t xml:space="preserve">In the final analysis, any settlement reflects a compromise, in the give-and-take of negotiations; the Commission, however, has before it a </w:t>
      </w:r>
      <w:r w:rsidR="00DC35BB">
        <w:t xml:space="preserve">Settlement </w:t>
      </w:r>
      <w:r>
        <w:t>that is supported by sound analysis and sufficient evidence.  Its approval is “in the public interest”</w:t>
      </w:r>
      <w:r w:rsidR="003205EC">
        <w:t xml:space="preserve"> and satisfies the requirement that rates be fair, just, reasonable and sufficient.</w:t>
      </w:r>
    </w:p>
    <w:p w:rsidR="003D5050" w:rsidRPr="003205EC" w:rsidRDefault="003D5050" w:rsidP="003D5050">
      <w:pPr>
        <w:pStyle w:val="BodyTextIndent"/>
        <w:tabs>
          <w:tab w:val="clear" w:pos="1260"/>
          <w:tab w:val="left" w:pos="1440"/>
        </w:tabs>
        <w:rPr>
          <w:b/>
        </w:rPr>
      </w:pPr>
      <w:r w:rsidRPr="003205EC">
        <w:rPr>
          <w:b/>
        </w:rPr>
        <w:t>Q.</w:t>
      </w:r>
      <w:r w:rsidRPr="003205EC">
        <w:rPr>
          <w:b/>
        </w:rPr>
        <w:tab/>
        <w:t>Are there legal standards that must be satisfied with respect to any settlement?</w:t>
      </w:r>
    </w:p>
    <w:p w:rsidR="003D5050" w:rsidRDefault="003D5050" w:rsidP="003D5050">
      <w:pPr>
        <w:pStyle w:val="BodyTextIndent"/>
        <w:tabs>
          <w:tab w:val="clear" w:pos="1260"/>
          <w:tab w:val="left" w:pos="1440"/>
        </w:tabs>
      </w:pPr>
      <w:r>
        <w:t>A.</w:t>
      </w:r>
      <w:r>
        <w:tab/>
        <w:t xml:space="preserve">Yes.  The Commission’s charge is to regulate in the public interest.  The </w:t>
      </w:r>
      <w:r w:rsidR="00775DF0">
        <w:t>terms of the S</w:t>
      </w:r>
      <w:r>
        <w:t xml:space="preserve">ettlement must result in rates that are fair, just, reasonable and sufficient.  (RCW 80.28.010)  As such, the Commission must assure fair </w:t>
      </w:r>
      <w:r w:rsidR="008D4619">
        <w:t xml:space="preserve">and reasonable </w:t>
      </w:r>
      <w:r>
        <w:t xml:space="preserve">prices and services to customers, </w:t>
      </w:r>
      <w:r w:rsidR="008D4619">
        <w:t xml:space="preserve">as well as </w:t>
      </w:r>
      <w:r>
        <w:t xml:space="preserve">“provide the utility with rates sufficient to cover its prudently incurred costs and an opportunity to recover a return on its investment.”  </w:t>
      </w:r>
      <w:proofErr w:type="gramStart"/>
      <w:r>
        <w:t>(</w:t>
      </w:r>
      <w:r w:rsidRPr="001603CD">
        <w:rPr>
          <w:u w:val="single"/>
        </w:rPr>
        <w:t>WUTC v Avista Corporation</w:t>
      </w:r>
      <w:r>
        <w:t>, Docket Nos.</w:t>
      </w:r>
      <w:proofErr w:type="gramEnd"/>
      <w:r>
        <w:t xml:space="preserve"> UE-050482/UG-050483, Order No. 05 at p. 10</w:t>
      </w:r>
      <w:r w:rsidR="00A74CB5">
        <w:t xml:space="preserve"> (December 21, 2005)</w:t>
      </w:r>
      <w:r>
        <w:t>)</w:t>
      </w:r>
      <w:r w:rsidR="00A74CB5">
        <w:t>.</w:t>
      </w:r>
      <w:r>
        <w:t xml:space="preserve">  In the final analysis, it</w:t>
      </w:r>
      <w:r w:rsidR="0060178C">
        <w:t xml:space="preserve"> is</w:t>
      </w:r>
      <w:r>
        <w:t xml:space="preserve"> the </w:t>
      </w:r>
      <w:r w:rsidR="0060178C">
        <w:t>“</w:t>
      </w:r>
      <w:r>
        <w:t xml:space="preserve">end result” that matters, not the methods by which rates are determined. </w:t>
      </w:r>
      <w:proofErr w:type="gramStart"/>
      <w:r>
        <w:t>(</w:t>
      </w:r>
      <w:r w:rsidRPr="001603CD">
        <w:rPr>
          <w:u w:val="single"/>
        </w:rPr>
        <w:t>Id</w:t>
      </w:r>
      <w:r>
        <w:t>., at p.11)</w:t>
      </w:r>
      <w:r w:rsidR="00A74CB5">
        <w:t>.</w:t>
      </w:r>
      <w:proofErr w:type="gramEnd"/>
      <w:r>
        <w:t xml:space="preserve">  The </w:t>
      </w:r>
      <w:r w:rsidR="00775DF0">
        <w:t>S</w:t>
      </w:r>
      <w:r>
        <w:t>ettlement represents the Parties</w:t>
      </w:r>
      <w:r w:rsidR="0052353F">
        <w:t>’</w:t>
      </w:r>
      <w:r>
        <w:t xml:space="preserve"> best efforts at arriving at an end result that satisfies these requirements.</w:t>
      </w:r>
    </w:p>
    <w:p w:rsidR="000B3F3B" w:rsidRDefault="000B3F3B" w:rsidP="00503CDC">
      <w:pPr>
        <w:pStyle w:val="BodyText"/>
      </w:pPr>
      <w:r>
        <w:t>Q.</w:t>
      </w:r>
      <w:r>
        <w:tab/>
        <w:t>Does that conclude your pre-filed direct testimony?</w:t>
      </w:r>
    </w:p>
    <w:p w:rsidR="000B3F3B" w:rsidRPr="00BF6034" w:rsidRDefault="00BF6034" w:rsidP="00503CDC">
      <w:pPr>
        <w:pStyle w:val="BodyText"/>
        <w:rPr>
          <w:b w:val="0"/>
        </w:rPr>
      </w:pPr>
      <w:r w:rsidRPr="00BF6034">
        <w:rPr>
          <w:b w:val="0"/>
        </w:rPr>
        <w:t>A.</w:t>
      </w:r>
      <w:r w:rsidRPr="00BF6034">
        <w:rPr>
          <w:b w:val="0"/>
        </w:rPr>
        <w:tab/>
      </w:r>
      <w:r w:rsidR="000B3F3B" w:rsidRPr="00BF6034">
        <w:rPr>
          <w:b w:val="0"/>
        </w:rPr>
        <w:t>Yes it does.</w:t>
      </w:r>
    </w:p>
    <w:p w:rsidR="000E347C" w:rsidRPr="00BF6034" w:rsidRDefault="000E347C">
      <w:pPr>
        <w:spacing w:line="360" w:lineRule="auto"/>
        <w:sectPr w:rsidR="000E347C" w:rsidRPr="00BF6034" w:rsidSect="00D42E5D">
          <w:footerReference w:type="default" r:id="rId18"/>
          <w:headerReference w:type="first" r:id="rId19"/>
          <w:footerReference w:type="first" r:id="rId20"/>
          <w:type w:val="continuous"/>
          <w:pgSz w:w="12240" w:h="15840" w:code="1"/>
          <w:pgMar w:top="1440" w:right="1440" w:bottom="1440" w:left="2016" w:header="720" w:footer="576" w:gutter="0"/>
          <w:lnNumType w:countBy="1" w:distance="432"/>
          <w:pgNumType w:start="1"/>
          <w:cols w:space="720"/>
        </w:sectPr>
      </w:pPr>
    </w:p>
    <w:p w:rsidR="000B3F3B" w:rsidRDefault="000B3F3B">
      <w:pPr>
        <w:spacing w:line="480" w:lineRule="auto"/>
        <w:jc w:val="center"/>
      </w:pPr>
    </w:p>
    <w:sectPr w:rsidR="000B3F3B" w:rsidSect="00D70976">
      <w:headerReference w:type="default" r:id="rId21"/>
      <w:type w:val="continuous"/>
      <w:pgSz w:w="12240" w:h="15840" w:code="1"/>
      <w:pgMar w:top="1440" w:right="1440" w:bottom="1440" w:left="2016" w:header="720" w:footer="720" w:gutter="0"/>
      <w:pgBorders w:offsetFrom="page">
        <w:top w:val="single" w:sz="4" w:space="31" w:color="auto"/>
        <w:left w:val="single" w:sz="4" w:space="31" w:color="auto"/>
        <w:bottom w:val="single" w:sz="4" w:space="31" w:color="auto"/>
        <w:right w:val="single" w:sz="4" w:space="31" w:color="auto"/>
      </w:pgBorders>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CE6D6" w15:done="0"/>
  <w15:commentEx w15:paraId="4B2A118D" w15:done="0"/>
  <w15:commentEx w15:paraId="4534558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95" w:rsidRDefault="00674B95">
      <w:r>
        <w:separator/>
      </w:r>
    </w:p>
  </w:endnote>
  <w:endnote w:type="continuationSeparator" w:id="0">
    <w:p w:rsidR="00674B95" w:rsidRDefault="0067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1F6127">
    <w:pPr>
      <w:pStyle w:val="Footer"/>
      <w:framePr w:wrap="around" w:vAnchor="text" w:hAnchor="margin" w:xAlign="right" w:y="1"/>
      <w:rPr>
        <w:rStyle w:val="PageNumber"/>
      </w:rPr>
    </w:pPr>
    <w:r>
      <w:rPr>
        <w:rStyle w:val="PageNumber"/>
      </w:rPr>
      <w:fldChar w:fldCharType="begin"/>
    </w:r>
    <w:r w:rsidR="00674B95">
      <w:rPr>
        <w:rStyle w:val="PageNumber"/>
      </w:rPr>
      <w:instrText xml:space="preserve">PAGE  </w:instrText>
    </w:r>
    <w:r>
      <w:rPr>
        <w:rStyle w:val="PageNumber"/>
      </w:rPr>
      <w:fldChar w:fldCharType="separate"/>
    </w:r>
    <w:r w:rsidR="00674B95">
      <w:rPr>
        <w:rStyle w:val="PageNumber"/>
        <w:noProof/>
      </w:rPr>
      <w:t>12</w:t>
    </w:r>
    <w:r>
      <w:rPr>
        <w:rStyle w:val="PageNumber"/>
      </w:rPr>
      <w:fldChar w:fldCharType="end"/>
    </w:r>
  </w:p>
  <w:p w:rsidR="00674B95" w:rsidRDefault="00674B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674B95">
    <w:pPr>
      <w:pStyle w:val="Footer"/>
      <w:widowControl w:val="0"/>
      <w:tabs>
        <w:tab w:val="clear" w:pos="4320"/>
        <w:tab w:val="clear" w:pos="8640"/>
        <w:tab w:val="left" w:pos="7920"/>
      </w:tabs>
      <w:ind w:lef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674B95">
    <w:pPr>
      <w:pStyle w:val="Footer"/>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Pr="005F4A80" w:rsidRDefault="00674B95" w:rsidP="004271CE">
    <w:pPr>
      <w:pStyle w:val="Footer"/>
      <w:rPr>
        <w:szCs w:val="24"/>
      </w:rPr>
    </w:pPr>
  </w:p>
  <w:p w:rsidR="00674B95" w:rsidRPr="005F4A80" w:rsidRDefault="00674B95" w:rsidP="005F4A80">
    <w:pPr>
      <w:rPr>
        <w:szCs w:val="24"/>
      </w:rPr>
    </w:pPr>
    <w:r w:rsidRPr="005F4A80">
      <w:rPr>
        <w:szCs w:val="24"/>
      </w:rPr>
      <w:t>Joint Testimony</w:t>
    </w:r>
    <w:r w:rsidRPr="005F4A80">
      <w:rPr>
        <w:szCs w:val="24"/>
      </w:rPr>
      <w:tab/>
    </w:r>
    <w:r w:rsidRPr="005F4A80">
      <w:rPr>
        <w:szCs w:val="24"/>
      </w:rPr>
      <w:tab/>
    </w:r>
    <w:sdt>
      <w:sdtPr>
        <w:rPr>
          <w:szCs w:val="24"/>
        </w:rPr>
        <w:id w:val="250395305"/>
        <w:docPartObj>
          <w:docPartGallery w:val="Page Numbers (Top of Page)"/>
          <w:docPartUnique/>
        </w:docPartObj>
      </w:sdtPr>
      <w:sdtContent>
        <w:r w:rsidRPr="005F4A80">
          <w:rPr>
            <w:szCs w:val="24"/>
          </w:rPr>
          <w:tab/>
        </w:r>
        <w:r w:rsidRPr="005F4A80">
          <w:rPr>
            <w:szCs w:val="24"/>
          </w:rPr>
          <w:tab/>
        </w:r>
        <w:r w:rsidRPr="005F4A80">
          <w:rPr>
            <w:szCs w:val="24"/>
          </w:rPr>
          <w:tab/>
        </w:r>
        <w:r w:rsidRPr="005F4A80">
          <w:rPr>
            <w:szCs w:val="24"/>
          </w:rPr>
          <w:tab/>
        </w:r>
        <w:r w:rsidRPr="005F4A80">
          <w:rPr>
            <w:szCs w:val="24"/>
          </w:rPr>
          <w:tab/>
        </w:r>
        <w:r w:rsidRPr="005F4A80">
          <w:rPr>
            <w:szCs w:val="24"/>
          </w:rPr>
          <w:tab/>
        </w:r>
      </w:sdtContent>
    </w:sdt>
  </w:p>
  <w:p w:rsidR="00674B95" w:rsidRPr="005F4A80" w:rsidRDefault="00674B95" w:rsidP="004271CE">
    <w:pPr>
      <w:pStyle w:val="Footer"/>
      <w:rPr>
        <w:szCs w:val="24"/>
      </w:rPr>
    </w:pPr>
    <w:r w:rsidRPr="005F4A80">
      <w:rPr>
        <w:szCs w:val="24"/>
      </w:rPr>
      <w:t xml:space="preserve">Docket UE-150204 and UG-150205 </w:t>
    </w:r>
    <w:r>
      <w:rPr>
        <w:szCs w:val="24"/>
      </w:rPr>
      <w:tab/>
    </w:r>
    <w:r>
      <w:rPr>
        <w:szCs w:val="24"/>
      </w:rPr>
      <w:tab/>
    </w:r>
    <w:r w:rsidRPr="005F4A80">
      <w:rPr>
        <w:szCs w:val="24"/>
      </w:rPr>
      <w:t xml:space="preserve">Page </w:t>
    </w:r>
    <w:r w:rsidR="001F6127" w:rsidRPr="005F4A80">
      <w:rPr>
        <w:szCs w:val="24"/>
      </w:rPr>
      <w:fldChar w:fldCharType="begin"/>
    </w:r>
    <w:r w:rsidRPr="005F4A80">
      <w:rPr>
        <w:szCs w:val="24"/>
      </w:rPr>
      <w:instrText xml:space="preserve"> PAGE </w:instrText>
    </w:r>
    <w:r w:rsidR="001F6127" w:rsidRPr="005F4A80">
      <w:rPr>
        <w:szCs w:val="24"/>
      </w:rPr>
      <w:fldChar w:fldCharType="separate"/>
    </w:r>
    <w:r w:rsidR="00952E56">
      <w:rPr>
        <w:noProof/>
        <w:szCs w:val="24"/>
      </w:rPr>
      <w:t>22</w:t>
    </w:r>
    <w:r w:rsidR="001F6127" w:rsidRPr="005F4A80">
      <w:rPr>
        <w:szCs w:val="24"/>
      </w:rPr>
      <w:fldChar w:fldCharType="end"/>
    </w:r>
  </w:p>
  <w:p w:rsidR="00674B95" w:rsidRDefault="00674B9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Pr="00604F8C" w:rsidRDefault="00674B95">
    <w:pPr>
      <w:pStyle w:val="Footer"/>
      <w:widowControl w:val="0"/>
      <w:tabs>
        <w:tab w:val="clear" w:pos="4320"/>
        <w:tab w:val="left" w:pos="7200"/>
      </w:tabs>
      <w:rPr>
        <w:sz w:val="22"/>
      </w:rPr>
    </w:pPr>
    <w:r w:rsidRPr="00604F8C">
      <w:rPr>
        <w:sz w:val="22"/>
      </w:rPr>
      <w:t>Joint Testimony</w:t>
    </w:r>
  </w:p>
  <w:p w:rsidR="00674B95" w:rsidRPr="00604F8C" w:rsidRDefault="00674B95">
    <w:pPr>
      <w:pStyle w:val="Footer"/>
      <w:widowControl w:val="0"/>
      <w:tabs>
        <w:tab w:val="clear" w:pos="4320"/>
      </w:tabs>
      <w:rPr>
        <w:sz w:val="22"/>
        <w:u w:val="single"/>
      </w:rPr>
    </w:pPr>
    <w:r w:rsidRPr="00604F8C">
      <w:rPr>
        <w:sz w:val="22"/>
      </w:rPr>
      <w:t>Docket No. UE-</w:t>
    </w:r>
    <w:r>
      <w:rPr>
        <w:sz w:val="22"/>
      </w:rPr>
      <w:t xml:space="preserve">050482 / </w:t>
    </w:r>
    <w:r w:rsidRPr="00604F8C">
      <w:rPr>
        <w:sz w:val="22"/>
      </w:rPr>
      <w:t>UG-050483</w:t>
    </w:r>
  </w:p>
  <w:p w:rsidR="00674B95" w:rsidRDefault="00674B95">
    <w:pPr>
      <w:pStyle w:val="Footer"/>
      <w:tabs>
        <w:tab w:val="clear" w:pos="4320"/>
      </w:tabs>
    </w:pPr>
    <w:r>
      <w:rPr>
        <w:rStyle w:val="PageNumber"/>
        <w:sz w:val="22"/>
      </w:rPr>
      <w:t>8/26/</w:t>
    </w:r>
    <w:proofErr w:type="gramStart"/>
    <w:r>
      <w:rPr>
        <w:rStyle w:val="PageNumber"/>
        <w:sz w:val="22"/>
      </w:rPr>
      <w:t xml:space="preserve">05  </w:t>
    </w:r>
    <w:r>
      <w:rPr>
        <w:sz w:val="22"/>
        <w:lang w:val="fr-FR"/>
      </w:rPr>
      <w:t>Page</w:t>
    </w:r>
    <w:proofErr w:type="gramEnd"/>
    <w:r>
      <w:rPr>
        <w:rStyle w:val="PageNumber"/>
        <w:sz w:val="22"/>
      </w:rPr>
      <w:t xml:space="preserve"> </w:t>
    </w:r>
    <w:r w:rsidR="001F6127">
      <w:rPr>
        <w:rStyle w:val="PageNumber"/>
        <w:sz w:val="22"/>
      </w:rPr>
      <w:fldChar w:fldCharType="begin"/>
    </w:r>
    <w:r>
      <w:rPr>
        <w:rStyle w:val="PageNumber"/>
        <w:sz w:val="22"/>
      </w:rPr>
      <w:instrText xml:space="preserve"> PAGE </w:instrText>
    </w:r>
    <w:r w:rsidR="001F6127">
      <w:rPr>
        <w:rStyle w:val="PageNumber"/>
        <w:sz w:val="22"/>
      </w:rPr>
      <w:fldChar w:fldCharType="separate"/>
    </w:r>
    <w:r>
      <w:rPr>
        <w:rStyle w:val="PageNumber"/>
        <w:noProof/>
        <w:sz w:val="22"/>
      </w:rPr>
      <w:t>1</w:t>
    </w:r>
    <w:r w:rsidR="001F6127">
      <w:rPr>
        <w:rStyle w:val="PageNumber"/>
        <w:sz w:val="22"/>
      </w:rPr>
      <w:fldChar w:fldCharType="end"/>
    </w:r>
    <w:r>
      <w:rPr>
        <w:rStyle w:val="PageNumber"/>
        <w:sz w:val="22"/>
      </w:rPr>
      <w:t xml:space="preserve"> of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95" w:rsidRDefault="00674B95">
      <w:r>
        <w:separator/>
      </w:r>
    </w:p>
  </w:footnote>
  <w:footnote w:type="continuationSeparator" w:id="0">
    <w:p w:rsidR="00674B95" w:rsidRDefault="00674B95">
      <w:r>
        <w:continuationSeparator/>
      </w:r>
    </w:p>
  </w:footnote>
  <w:footnote w:id="1">
    <w:p w:rsidR="00674B95" w:rsidRDefault="00674B95" w:rsidP="005A5A42">
      <w:pPr>
        <w:pStyle w:val="FootnoteText"/>
        <w:jc w:val="both"/>
      </w:pPr>
      <w:r>
        <w:rPr>
          <w:rStyle w:val="FootnoteReference"/>
        </w:rPr>
        <w:footnoteRef/>
      </w:r>
      <w:r>
        <w:t xml:space="preserve"> This enhancement to the Aurora Model was completed after the power supply update filed with the Commission in November 2014 related to Avista’s prior General Rate Case Docket No. UE-140188 and therefore had no impact on the results submitted in that case.</w:t>
      </w:r>
    </w:p>
  </w:footnote>
  <w:footnote w:id="2">
    <w:p w:rsidR="00674B95" w:rsidRPr="007B1973" w:rsidRDefault="00674B95" w:rsidP="00722B8D">
      <w:pPr>
        <w:pStyle w:val="FootnoteText"/>
      </w:pPr>
      <w:r w:rsidRPr="007B1973">
        <w:rPr>
          <w:rStyle w:val="FootnoteReference"/>
        </w:rPr>
        <w:footnoteRef/>
      </w:r>
      <w:r w:rsidRPr="007B1973">
        <w:t xml:space="preserve"> </w:t>
      </w:r>
      <w:proofErr w:type="gramStart"/>
      <w:r w:rsidRPr="007B1973">
        <w:rPr>
          <w:i/>
        </w:rPr>
        <w:t xml:space="preserve">Wash. </w:t>
      </w:r>
      <w:proofErr w:type="spellStart"/>
      <w:r w:rsidRPr="007B1973">
        <w:rPr>
          <w:i/>
        </w:rPr>
        <w:t>Utils</w:t>
      </w:r>
      <w:proofErr w:type="spellEnd"/>
      <w:r w:rsidRPr="007B1973">
        <w:rPr>
          <w:i/>
        </w:rPr>
        <w:t>.</w:t>
      </w:r>
      <w:proofErr w:type="gramEnd"/>
      <w:r w:rsidRPr="007B1973">
        <w:rPr>
          <w:i/>
        </w:rPr>
        <w:t xml:space="preserve"> </w:t>
      </w:r>
      <w:proofErr w:type="gramStart"/>
      <w:r>
        <w:rPr>
          <w:i/>
        </w:rPr>
        <w:t>a</w:t>
      </w:r>
      <w:r w:rsidRPr="007B1973">
        <w:rPr>
          <w:i/>
        </w:rPr>
        <w:t>nd</w:t>
      </w:r>
      <w:proofErr w:type="gramEnd"/>
      <w:r w:rsidRPr="007B1973">
        <w:rPr>
          <w:i/>
        </w:rPr>
        <w:t xml:space="preserve"> Transp. </w:t>
      </w:r>
      <w:proofErr w:type="spellStart"/>
      <w:r w:rsidRPr="007B1973">
        <w:rPr>
          <w:i/>
        </w:rPr>
        <w:t>Comm’n</w:t>
      </w:r>
      <w:proofErr w:type="spellEnd"/>
      <w:r w:rsidRPr="007B1973">
        <w:rPr>
          <w:i/>
        </w:rPr>
        <w:t xml:space="preserve"> v. Pacific Power &amp; Light Co.</w:t>
      </w:r>
      <w:r w:rsidRPr="00E04B60">
        <w:t>, Docket UE-140762</w:t>
      </w:r>
      <w:r w:rsidRPr="007B1973">
        <w:t>, Order 08, (March 25, 2015)</w:t>
      </w:r>
      <w:r>
        <w:t xml:space="preserve"> (“PacifiCorp Order”)</w:t>
      </w:r>
      <w:r w:rsidRPr="007B1973">
        <w:t>.</w:t>
      </w:r>
    </w:p>
  </w:footnote>
  <w:footnote w:id="3">
    <w:p w:rsidR="00674B95" w:rsidRPr="005B10E9" w:rsidRDefault="00674B95" w:rsidP="00722B8D">
      <w:pPr>
        <w:pStyle w:val="FootnoteText"/>
      </w:pPr>
      <w:r w:rsidRPr="005B10E9">
        <w:rPr>
          <w:rStyle w:val="FootnoteReference"/>
        </w:rPr>
        <w:footnoteRef/>
      </w:r>
      <w:r w:rsidRPr="005B10E9">
        <w:t xml:space="preserve"> </w:t>
      </w:r>
      <w:r>
        <w:t xml:space="preserve">McKenzie, </w:t>
      </w:r>
      <w:proofErr w:type="spellStart"/>
      <w:r>
        <w:t>Exh</w:t>
      </w:r>
      <w:proofErr w:type="spellEnd"/>
      <w:r>
        <w:t>. No. ___ (</w:t>
      </w:r>
      <w:r w:rsidRPr="005B10E9">
        <w:t>AMM-5</w:t>
      </w:r>
      <w:r>
        <w:t>)</w:t>
      </w:r>
      <w:r w:rsidRPr="005B10E9">
        <w:t xml:space="preserve">, first three columns labeled “At Fiscal Year-End 2013.” </w:t>
      </w:r>
    </w:p>
  </w:footnote>
  <w:footnote w:id="4">
    <w:p w:rsidR="00674B95" w:rsidRPr="007B1973" w:rsidRDefault="00674B95" w:rsidP="00722B8D">
      <w:pPr>
        <w:pStyle w:val="FootnoteText"/>
      </w:pPr>
      <w:r w:rsidRPr="007B1973">
        <w:rPr>
          <w:rStyle w:val="FootnoteReference"/>
        </w:rPr>
        <w:footnoteRef/>
      </w:r>
      <w:r w:rsidRPr="007B1973">
        <w:t xml:space="preserve"> The Commission adopted the stipulated ROR in </w:t>
      </w:r>
      <w:r>
        <w:rPr>
          <w:i/>
        </w:rPr>
        <w:t>Washington</w:t>
      </w:r>
      <w:r w:rsidRPr="00FF23DD">
        <w:rPr>
          <w:i/>
        </w:rPr>
        <w:t xml:space="preserve"> Util</w:t>
      </w:r>
      <w:r>
        <w:rPr>
          <w:i/>
        </w:rPr>
        <w:t>ities</w:t>
      </w:r>
      <w:r w:rsidRPr="007B1973">
        <w:rPr>
          <w:i/>
        </w:rPr>
        <w:t xml:space="preserve"> </w:t>
      </w:r>
      <w:r>
        <w:rPr>
          <w:i/>
        </w:rPr>
        <w:t>and</w:t>
      </w:r>
      <w:r w:rsidRPr="00FF23DD">
        <w:rPr>
          <w:i/>
        </w:rPr>
        <w:t xml:space="preserve"> Transp</w:t>
      </w:r>
      <w:r>
        <w:rPr>
          <w:i/>
        </w:rPr>
        <w:t>ortation Commissio</w:t>
      </w:r>
      <w:r w:rsidRPr="00FF23DD">
        <w:rPr>
          <w:i/>
        </w:rPr>
        <w:t>n v. Avista Corp. d/b/a Avista Util</w:t>
      </w:r>
      <w:r>
        <w:rPr>
          <w:i/>
        </w:rPr>
        <w:t>itie</w:t>
      </w:r>
      <w:r w:rsidRPr="007B1973">
        <w:rPr>
          <w:i/>
        </w:rPr>
        <w:t>s</w:t>
      </w:r>
      <w:r>
        <w:rPr>
          <w:i/>
        </w:rPr>
        <w:t>.</w:t>
      </w:r>
      <w:r w:rsidRPr="007B1973">
        <w:t>, Dockets UE-140188 and UG-140189 (</w:t>
      </w:r>
      <w:r>
        <w:rPr>
          <w:i/>
        </w:rPr>
        <w:t>c</w:t>
      </w:r>
      <w:r w:rsidRPr="007B1973">
        <w:rPr>
          <w:i/>
        </w:rPr>
        <w:t>onsolidated</w:t>
      </w:r>
      <w:r w:rsidRPr="007B1973">
        <w:t>), Order 05, Final Order Rejecting Tariff Filing, Accepting With Conditions Full Settlement, Authorizing Tariff Filing, and Requiring Compliance Filing (Nov. 24, 2014)</w:t>
      </w:r>
      <w:r>
        <w:t>.</w:t>
      </w:r>
    </w:p>
  </w:footnote>
  <w:footnote w:id="5">
    <w:p w:rsidR="00674B95" w:rsidRPr="00E16EE4" w:rsidRDefault="00674B95" w:rsidP="00722B8D">
      <w:pPr>
        <w:pStyle w:val="FootnoteText"/>
      </w:pPr>
      <w:r w:rsidRPr="00E16EE4">
        <w:rPr>
          <w:rStyle w:val="FootnoteReference"/>
        </w:rPr>
        <w:footnoteRef/>
      </w:r>
      <w:r w:rsidRPr="00E16EE4">
        <w:t xml:space="preserve"> </w:t>
      </w:r>
      <w:proofErr w:type="gramStart"/>
      <w:r w:rsidRPr="00FF23DD">
        <w:rPr>
          <w:i/>
        </w:rPr>
        <w:t xml:space="preserve">Wash. </w:t>
      </w:r>
      <w:proofErr w:type="spellStart"/>
      <w:r w:rsidRPr="00FF23DD">
        <w:rPr>
          <w:i/>
        </w:rPr>
        <w:t>Util</w:t>
      </w:r>
      <w:r w:rsidRPr="007B1973">
        <w:rPr>
          <w:i/>
        </w:rPr>
        <w:t>s</w:t>
      </w:r>
      <w:proofErr w:type="spellEnd"/>
      <w:r>
        <w:rPr>
          <w:i/>
        </w:rPr>
        <w:t>.</w:t>
      </w:r>
      <w:proofErr w:type="gramEnd"/>
      <w:r w:rsidRPr="007B1973">
        <w:rPr>
          <w:i/>
        </w:rPr>
        <w:t xml:space="preserve"> </w:t>
      </w:r>
      <w:r>
        <w:rPr>
          <w:i/>
        </w:rPr>
        <w:t>&amp;</w:t>
      </w:r>
      <w:r w:rsidRPr="00FF23DD">
        <w:rPr>
          <w:i/>
        </w:rPr>
        <w:t xml:space="preserve"> Transp.</w:t>
      </w:r>
      <w:r>
        <w:rPr>
          <w:i/>
        </w:rPr>
        <w:t xml:space="preserve"> </w:t>
      </w:r>
      <w:proofErr w:type="spellStart"/>
      <w:r>
        <w:rPr>
          <w:i/>
        </w:rPr>
        <w:t>Comm’</w:t>
      </w:r>
      <w:r w:rsidRPr="00FF23DD">
        <w:rPr>
          <w:i/>
        </w:rPr>
        <w:t>n</w:t>
      </w:r>
      <w:proofErr w:type="spellEnd"/>
      <w:r w:rsidRPr="00E16EE4">
        <w:rPr>
          <w:i/>
        </w:rPr>
        <w:t xml:space="preserve"> v. Puget Sound Energy, Inc.,</w:t>
      </w:r>
      <w:r>
        <w:t xml:space="preserve"> Dockets UE-060266 &amp; UG-060267</w:t>
      </w:r>
      <w:r w:rsidRPr="00E16EE4">
        <w:t>, Order 08</w:t>
      </w:r>
      <w:r>
        <w:t xml:space="preserve">, </w:t>
      </w:r>
      <w:r w:rsidRPr="00E16EE4">
        <w:t>(January 5, 2007)</w:t>
      </w:r>
      <w:r>
        <w:t>,</w:t>
      </w:r>
      <w:r w:rsidRPr="00E16EE4">
        <w:t xml:space="preserve"> </w:t>
      </w:r>
      <w:r>
        <w:t xml:space="preserve">10-11, </w:t>
      </w:r>
      <w:r w:rsidRPr="00E16EE4">
        <w:t>¶ 20.</w:t>
      </w:r>
    </w:p>
  </w:footnote>
  <w:footnote w:id="6">
    <w:p w:rsidR="00674B95" w:rsidRPr="001077DF" w:rsidRDefault="00674B95" w:rsidP="00722B8D">
      <w:pPr>
        <w:pStyle w:val="FootnoteText"/>
      </w:pPr>
      <w:r w:rsidRPr="001077DF">
        <w:rPr>
          <w:rStyle w:val="FootnoteReference"/>
        </w:rPr>
        <w:footnoteRef/>
      </w:r>
      <w:r w:rsidRPr="001077DF" w:rsidDel="00E04B60">
        <w:t xml:space="preserve"> </w:t>
      </w:r>
      <w:proofErr w:type="gramStart"/>
      <w:r w:rsidRPr="00CC344D" w:rsidDel="00E04B60">
        <w:t>PacifiCorp</w:t>
      </w:r>
      <w:r w:rsidRPr="00787DE1" w:rsidDel="00E04B60">
        <w:t xml:space="preserve"> Order</w:t>
      </w:r>
      <w:r w:rsidRPr="001077DF" w:rsidDel="00E04B60">
        <w:t xml:space="preserve"> </w:t>
      </w:r>
      <w:r>
        <w:t>at</w:t>
      </w:r>
      <w:r w:rsidRPr="001077DF">
        <w:t xml:space="preserve"> </w:t>
      </w:r>
      <w:r>
        <w:t xml:space="preserve">91, </w:t>
      </w:r>
      <w:r w:rsidRPr="001077DF">
        <w:t>¶ 216.</w:t>
      </w:r>
      <w:proofErr w:type="gramEnd"/>
    </w:p>
  </w:footnote>
  <w:footnote w:id="7">
    <w:p w:rsidR="00674B95" w:rsidRDefault="00674B95" w:rsidP="00001B69">
      <w:pPr>
        <w:pStyle w:val="FootnoteText"/>
      </w:pPr>
      <w:r>
        <w:rPr>
          <w:rStyle w:val="FootnoteReference"/>
        </w:rPr>
        <w:footnoteRef/>
      </w:r>
      <w:r>
        <w:t xml:space="preserve"> Prior to the 2014 GRC, Avista’s authorized ROR was 7.64 percent.</w:t>
      </w:r>
    </w:p>
  </w:footnote>
  <w:footnote w:id="8">
    <w:p w:rsidR="00674B95" w:rsidRDefault="00674B95" w:rsidP="00001B69">
      <w:pPr>
        <w:pStyle w:val="FootnoteText"/>
      </w:pPr>
      <w:r>
        <w:rPr>
          <w:rStyle w:val="FootnoteReference"/>
        </w:rPr>
        <w:footnoteRef/>
      </w:r>
      <w:r>
        <w:t xml:space="preserve"> Dockets UE-140118 and UG-140189, Exhibit No. </w:t>
      </w:r>
      <w:proofErr w:type="gramStart"/>
      <w:r>
        <w:t>SGH-1T,</w:t>
      </w:r>
      <w:proofErr w:type="gramEnd"/>
      <w:r>
        <w:t xml:space="preserve"> and SGH-15.</w:t>
      </w:r>
    </w:p>
  </w:footnote>
  <w:footnote w:id="9">
    <w:p w:rsidR="00674B95" w:rsidRPr="00F034AF" w:rsidRDefault="00674B95" w:rsidP="00001B69">
      <w:pPr>
        <w:pStyle w:val="FootnoteText"/>
      </w:pPr>
      <w:r>
        <w:rPr>
          <w:rStyle w:val="FootnoteReference"/>
        </w:rPr>
        <w:footnoteRef/>
      </w:r>
      <w:r>
        <w:t xml:space="preserve"> Docket UE-140762, </w:t>
      </w:r>
      <w:r>
        <w:rPr>
          <w:i/>
        </w:rPr>
        <w:t>et al.</w:t>
      </w:r>
    </w:p>
  </w:footnote>
  <w:footnote w:id="10">
    <w:p w:rsidR="00674B95" w:rsidRDefault="00674B95" w:rsidP="00001B69">
      <w:pPr>
        <w:pStyle w:val="FootnoteText"/>
      </w:pPr>
      <w:r>
        <w:rPr>
          <w:rStyle w:val="FootnoteReference"/>
        </w:rPr>
        <w:footnoteRef/>
      </w:r>
      <w:r>
        <w:t xml:space="preserve"> </w:t>
      </w:r>
      <w:proofErr w:type="gramStart"/>
      <w:r>
        <w:t>Docket UE-130043, Order 05 at ¶63 (December 4, 2013).</w:t>
      </w:r>
      <w:proofErr w:type="gramEnd"/>
    </w:p>
  </w:footnote>
  <w:footnote w:id="11">
    <w:p w:rsidR="00674B95" w:rsidRDefault="00674B95" w:rsidP="00001B69">
      <w:pPr>
        <w:pStyle w:val="FootnoteText"/>
      </w:pPr>
      <w:r>
        <w:rPr>
          <w:rStyle w:val="FootnoteReference"/>
        </w:rPr>
        <w:footnoteRef/>
      </w:r>
      <w:r>
        <w:t xml:space="preserve"> Docket UE-120436 and UG-120437, Order 09 at ¶74 (December 26, 2012).</w:t>
      </w:r>
    </w:p>
  </w:footnote>
  <w:footnote w:id="12">
    <w:p w:rsidR="00674B95" w:rsidRPr="009D2C1A" w:rsidRDefault="00674B95" w:rsidP="00001B69">
      <w:pPr>
        <w:pStyle w:val="FootnoteText"/>
        <w:rPr>
          <w:i/>
        </w:rPr>
      </w:pPr>
      <w:r>
        <w:rPr>
          <w:rStyle w:val="FootnoteReference"/>
        </w:rPr>
        <w:footnoteRef/>
      </w:r>
      <w:r>
        <w:t xml:space="preserve"> </w:t>
      </w:r>
      <w:r>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674B95">
    <w:pPr>
      <w:pStyle w:val="Header"/>
    </w:pPr>
    <w:r>
      <w:tab/>
    </w:r>
    <w:r>
      <w:tab/>
      <w:t>Exhibit No. ___ T (JT-1T)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674B95">
    <w:pPr>
      <w:pStyle w:val="Header"/>
    </w:pPr>
    <w:r>
      <w:tab/>
    </w:r>
    <w:r>
      <w:tab/>
      <w:t>Exhibit No. __ T (JT-1T)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674B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95" w:rsidRDefault="00674B95">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47A"/>
    <w:multiLevelType w:val="hybridMultilevel"/>
    <w:tmpl w:val="7696EA02"/>
    <w:lvl w:ilvl="0" w:tplc="054C9C16">
      <w:start w:val="1"/>
      <w:numFmt w:val="lowerRoman"/>
      <w:lvlText w:val="(%1.)"/>
      <w:lvlJc w:val="left"/>
      <w:pPr>
        <w:ind w:left="1446" w:hanging="87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91642EF"/>
    <w:multiLevelType w:val="hybridMultilevel"/>
    <w:tmpl w:val="6A2ECE12"/>
    <w:lvl w:ilvl="0" w:tplc="C1D6CFB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696909"/>
    <w:multiLevelType w:val="multilevel"/>
    <w:tmpl w:val="9C8630B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B76394"/>
    <w:multiLevelType w:val="multilevel"/>
    <w:tmpl w:val="93F8362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3717E7"/>
    <w:multiLevelType w:val="multilevel"/>
    <w:tmpl w:val="5E229614"/>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0FCD4E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42A04"/>
    <w:multiLevelType w:val="hybridMultilevel"/>
    <w:tmpl w:val="70D06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092779"/>
    <w:multiLevelType w:val="multilevel"/>
    <w:tmpl w:val="E0EA07D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5F6463"/>
    <w:multiLevelType w:val="hybridMultilevel"/>
    <w:tmpl w:val="E506C4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7F2644"/>
    <w:multiLevelType w:val="hybridMultilevel"/>
    <w:tmpl w:val="CF745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4152D"/>
    <w:multiLevelType w:val="multilevel"/>
    <w:tmpl w:val="14E28704"/>
    <w:lvl w:ilvl="0">
      <w:start w:val="1"/>
      <w:numFmt w:val="decimal"/>
      <w:lvlText w:val="%1)"/>
      <w:lvlJc w:val="left"/>
      <w:pPr>
        <w:ind w:left="720" w:hanging="360"/>
      </w:pPr>
      <w:rPr>
        <w:rFonts w:hint="default"/>
      </w:rPr>
    </w:lvl>
    <w:lvl w:ilvl="1">
      <w:start w:val="6"/>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2CFD2C18"/>
    <w:multiLevelType w:val="hybridMultilevel"/>
    <w:tmpl w:val="1C96EC28"/>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36256F43"/>
    <w:multiLevelType w:val="multilevel"/>
    <w:tmpl w:val="66D0CF7C"/>
    <w:lvl w:ilvl="0">
      <w:start w:val="1"/>
      <w:numFmt w:val="decimal"/>
      <w:lvlText w:val="%1)"/>
      <w:lvlJc w:val="left"/>
      <w:pPr>
        <w:ind w:left="720" w:hanging="360"/>
      </w:pPr>
      <w:rPr>
        <w:rFonts w:hint="default"/>
      </w:rPr>
    </w:lvl>
    <w:lvl w:ilvl="1">
      <w:start w:val="6"/>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nsid w:val="397D2E02"/>
    <w:multiLevelType w:val="hybridMultilevel"/>
    <w:tmpl w:val="57A82462"/>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F4233"/>
    <w:multiLevelType w:val="singleLevel"/>
    <w:tmpl w:val="C7A802F4"/>
    <w:lvl w:ilvl="0">
      <w:start w:val="1"/>
      <w:numFmt w:val="upperLetter"/>
      <w:lvlText w:val="%1."/>
      <w:lvlJc w:val="left"/>
      <w:pPr>
        <w:tabs>
          <w:tab w:val="num" w:pos="1440"/>
        </w:tabs>
        <w:ind w:left="1440" w:hanging="720"/>
      </w:pPr>
      <w:rPr>
        <w:rFonts w:hint="default"/>
      </w:rPr>
    </w:lvl>
  </w:abstractNum>
  <w:abstractNum w:abstractNumId="1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7">
    <w:nsid w:val="4BB359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D6155D6"/>
    <w:multiLevelType w:val="hybridMultilevel"/>
    <w:tmpl w:val="511E67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1C76EE"/>
    <w:multiLevelType w:val="hybridMultilevel"/>
    <w:tmpl w:val="CF745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447F88"/>
    <w:multiLevelType w:val="hybridMultilevel"/>
    <w:tmpl w:val="8E746298"/>
    <w:lvl w:ilvl="0" w:tplc="04090017">
      <w:start w:val="1"/>
      <w:numFmt w:val="lowerLetter"/>
      <w:lvlText w:val="%1)"/>
      <w:lvlJc w:val="left"/>
      <w:pPr>
        <w:ind w:left="936" w:hanging="360"/>
      </w:pPr>
      <w:rPr>
        <w:rFonts w:hint="default"/>
      </w:rPr>
    </w:lvl>
    <w:lvl w:ilvl="1" w:tplc="6D1C6496">
      <w:start w:val="131"/>
      <w:numFmt w:val="bullet"/>
      <w:lvlText w:val="•"/>
      <w:lvlJc w:val="left"/>
      <w:pPr>
        <w:ind w:left="1926" w:hanging="630"/>
      </w:pPr>
      <w:rPr>
        <w:rFonts w:ascii="Times New Roman" w:eastAsia="Times New Roman"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nsid w:val="509829AD"/>
    <w:multiLevelType w:val="multilevel"/>
    <w:tmpl w:val="A192DEE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09E78BE"/>
    <w:multiLevelType w:val="hybridMultilevel"/>
    <w:tmpl w:val="7A48B40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65E48"/>
    <w:multiLevelType w:val="hybridMultilevel"/>
    <w:tmpl w:val="7848E1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791AD1"/>
    <w:multiLevelType w:val="hybridMultilevel"/>
    <w:tmpl w:val="F3FA49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550E61"/>
    <w:multiLevelType w:val="hybridMultilevel"/>
    <w:tmpl w:val="4EFA27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6033E8"/>
    <w:multiLevelType w:val="hybridMultilevel"/>
    <w:tmpl w:val="54BE712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536F2D"/>
    <w:multiLevelType w:val="multilevel"/>
    <w:tmpl w:val="9706258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nsid w:val="5DAF3C58"/>
    <w:multiLevelType w:val="hybridMultilevel"/>
    <w:tmpl w:val="9BFEE4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9F311C"/>
    <w:multiLevelType w:val="hybridMultilevel"/>
    <w:tmpl w:val="26FCF5AE"/>
    <w:lvl w:ilvl="0" w:tplc="3A809E9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3601914"/>
    <w:multiLevelType w:val="hybridMultilevel"/>
    <w:tmpl w:val="19A66D12"/>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6A575258"/>
    <w:multiLevelType w:val="hybridMultilevel"/>
    <w:tmpl w:val="A7EEFE92"/>
    <w:lvl w:ilvl="0" w:tplc="0F00E5BA">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69069C"/>
    <w:multiLevelType w:val="hybridMultilevel"/>
    <w:tmpl w:val="002AB8FE"/>
    <w:lvl w:ilvl="0" w:tplc="04090001">
      <w:start w:val="1"/>
      <w:numFmt w:val="bullet"/>
      <w:lvlText w:val=""/>
      <w:lvlJc w:val="left"/>
      <w:pPr>
        <w:ind w:left="1530" w:hanging="360"/>
      </w:pPr>
      <w:rPr>
        <w:rFonts w:ascii="Symbol" w:hAnsi="Symbol" w:hint="default"/>
      </w:rPr>
    </w:lvl>
    <w:lvl w:ilvl="1" w:tplc="6D1C6496">
      <w:start w:val="131"/>
      <w:numFmt w:val="bullet"/>
      <w:lvlText w:val="•"/>
      <w:lvlJc w:val="left"/>
      <w:pPr>
        <w:ind w:left="2520" w:hanging="630"/>
      </w:pPr>
      <w:rPr>
        <w:rFonts w:ascii="Times New Roman" w:eastAsia="Times New Roman"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7A3F1176"/>
    <w:multiLevelType w:val="hybridMultilevel"/>
    <w:tmpl w:val="120E27E4"/>
    <w:lvl w:ilvl="0" w:tplc="94A26F58">
      <w:start w:val="1"/>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6A18F6"/>
    <w:multiLevelType w:val="hybridMultilevel"/>
    <w:tmpl w:val="02DC13C4"/>
    <w:lvl w:ilvl="0" w:tplc="78C0F24C">
      <w:start w:val="1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7F257064"/>
    <w:multiLevelType w:val="multilevel"/>
    <w:tmpl w:val="C850475C"/>
    <w:lvl w:ilvl="0">
      <w:start w:val="1"/>
      <w:numFmt w:val="decimal"/>
      <w:lvlText w:val="%1)"/>
      <w:lvlJc w:val="left"/>
      <w:pPr>
        <w:ind w:left="720" w:hanging="360"/>
      </w:pPr>
      <w:rPr>
        <w:rFonts w:hint="default"/>
      </w:rPr>
    </w:lvl>
    <w:lvl w:ilvl="1">
      <w:start w:val="6"/>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nsid w:val="7FB52956"/>
    <w:multiLevelType w:val="multilevel"/>
    <w:tmpl w:val="503437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5"/>
  </w:num>
  <w:num w:numId="3">
    <w:abstractNumId w:val="33"/>
  </w:num>
  <w:num w:numId="4">
    <w:abstractNumId w:val="30"/>
  </w:num>
  <w:num w:numId="5">
    <w:abstractNumId w:val="34"/>
  </w:num>
  <w:num w:numId="6">
    <w:abstractNumId w:val="1"/>
  </w:num>
  <w:num w:numId="7">
    <w:abstractNumId w:val="19"/>
  </w:num>
  <w:num w:numId="8">
    <w:abstractNumId w:val="9"/>
  </w:num>
  <w:num w:numId="9">
    <w:abstractNumId w:val="6"/>
  </w:num>
  <w:num w:numId="10">
    <w:abstractNumId w:val="32"/>
  </w:num>
  <w:num w:numId="11">
    <w:abstractNumId w:val="25"/>
  </w:num>
  <w:num w:numId="12">
    <w:abstractNumId w:val="17"/>
  </w:num>
  <w:num w:numId="13">
    <w:abstractNumId w:val="8"/>
  </w:num>
  <w:num w:numId="14">
    <w:abstractNumId w:val="31"/>
  </w:num>
  <w:num w:numId="15">
    <w:abstractNumId w:val="18"/>
  </w:num>
  <w:num w:numId="16">
    <w:abstractNumId w:val="24"/>
  </w:num>
  <w:num w:numId="17">
    <w:abstractNumId w:val="28"/>
  </w:num>
  <w:num w:numId="18">
    <w:abstractNumId w:val="23"/>
  </w:num>
  <w:num w:numId="19">
    <w:abstractNumId w:val="27"/>
  </w:num>
  <w:num w:numId="20">
    <w:abstractNumId w:val="29"/>
  </w:num>
  <w:num w:numId="21">
    <w:abstractNumId w:val="5"/>
  </w:num>
  <w:num w:numId="22">
    <w:abstractNumId w:val="0"/>
  </w:num>
  <w:num w:numId="23">
    <w:abstractNumId w:val="20"/>
  </w:num>
  <w:num w:numId="24">
    <w:abstractNumId w:val="21"/>
  </w:num>
  <w:num w:numId="25">
    <w:abstractNumId w:val="36"/>
  </w:num>
  <w:num w:numId="26">
    <w:abstractNumId w:val="3"/>
  </w:num>
  <w:num w:numId="27">
    <w:abstractNumId w:val="10"/>
  </w:num>
  <w:num w:numId="28">
    <w:abstractNumId w:val="2"/>
  </w:num>
  <w:num w:numId="29">
    <w:abstractNumId w:val="13"/>
  </w:num>
  <w:num w:numId="30">
    <w:abstractNumId w:val="7"/>
  </w:num>
  <w:num w:numId="31">
    <w:abstractNumId w:val="35"/>
  </w:num>
  <w:num w:numId="32">
    <w:abstractNumId w:val="11"/>
  </w:num>
  <w:num w:numId="33">
    <w:abstractNumId w:val="26"/>
  </w:num>
  <w:num w:numId="34">
    <w:abstractNumId w:val="12"/>
  </w:num>
  <w:num w:numId="35">
    <w:abstractNumId w:val="4"/>
  </w:num>
  <w:num w:numId="36">
    <w:abstractNumId w:val="22"/>
  </w:num>
  <w:num w:numId="37">
    <w:abstractNumId w:val="1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Rulkowski, Jennifer (UTC)">
    <w15:presenceInfo w15:providerId="AD" w15:userId="S-1-5-21-1844237615-1844823847-839522115-11948"/>
  </w15:person>
  <w15:person w15:author="Williams, Juliana (UTC)">
    <w15:presenceInfo w15:providerId="AD" w15:userId="S-1-5-21-1844237615-1844823847-839522115-404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rsids>
    <w:rsidRoot w:val="00A87019"/>
    <w:rsid w:val="00001B69"/>
    <w:rsid w:val="00001BC0"/>
    <w:rsid w:val="00005622"/>
    <w:rsid w:val="00017B4C"/>
    <w:rsid w:val="000274B5"/>
    <w:rsid w:val="00031F63"/>
    <w:rsid w:val="00033480"/>
    <w:rsid w:val="00036344"/>
    <w:rsid w:val="00040AA2"/>
    <w:rsid w:val="00040D22"/>
    <w:rsid w:val="00041D3B"/>
    <w:rsid w:val="0004314B"/>
    <w:rsid w:val="00051762"/>
    <w:rsid w:val="00051866"/>
    <w:rsid w:val="00052EC1"/>
    <w:rsid w:val="00052EEC"/>
    <w:rsid w:val="0005544B"/>
    <w:rsid w:val="00057434"/>
    <w:rsid w:val="00071F6D"/>
    <w:rsid w:val="0007445E"/>
    <w:rsid w:val="00081FF7"/>
    <w:rsid w:val="000843F8"/>
    <w:rsid w:val="0009497C"/>
    <w:rsid w:val="000A4CAE"/>
    <w:rsid w:val="000A5290"/>
    <w:rsid w:val="000B16EF"/>
    <w:rsid w:val="000B3F3B"/>
    <w:rsid w:val="000B7AD2"/>
    <w:rsid w:val="000B7F9A"/>
    <w:rsid w:val="000C002D"/>
    <w:rsid w:val="000C125E"/>
    <w:rsid w:val="000C44F7"/>
    <w:rsid w:val="000C6AF2"/>
    <w:rsid w:val="000C78CC"/>
    <w:rsid w:val="000D0679"/>
    <w:rsid w:val="000D611B"/>
    <w:rsid w:val="000D783A"/>
    <w:rsid w:val="000E347C"/>
    <w:rsid w:val="000E4E62"/>
    <w:rsid w:val="000E576C"/>
    <w:rsid w:val="000E6B9B"/>
    <w:rsid w:val="000E6D61"/>
    <w:rsid w:val="000F1FF9"/>
    <w:rsid w:val="001024FC"/>
    <w:rsid w:val="0010301E"/>
    <w:rsid w:val="0010590F"/>
    <w:rsid w:val="001133A0"/>
    <w:rsid w:val="00113523"/>
    <w:rsid w:val="00120EEE"/>
    <w:rsid w:val="00122D16"/>
    <w:rsid w:val="001239E3"/>
    <w:rsid w:val="00130FB8"/>
    <w:rsid w:val="0013511C"/>
    <w:rsid w:val="0013518E"/>
    <w:rsid w:val="00137156"/>
    <w:rsid w:val="00137E30"/>
    <w:rsid w:val="001412CE"/>
    <w:rsid w:val="00143117"/>
    <w:rsid w:val="001442A1"/>
    <w:rsid w:val="00144358"/>
    <w:rsid w:val="001474EE"/>
    <w:rsid w:val="00150252"/>
    <w:rsid w:val="00150F92"/>
    <w:rsid w:val="001513A2"/>
    <w:rsid w:val="00152664"/>
    <w:rsid w:val="001603CD"/>
    <w:rsid w:val="0016047B"/>
    <w:rsid w:val="001614CB"/>
    <w:rsid w:val="00161A35"/>
    <w:rsid w:val="00167188"/>
    <w:rsid w:val="0017050F"/>
    <w:rsid w:val="001710C1"/>
    <w:rsid w:val="00172923"/>
    <w:rsid w:val="00174989"/>
    <w:rsid w:val="00176AE9"/>
    <w:rsid w:val="00180C61"/>
    <w:rsid w:val="00186502"/>
    <w:rsid w:val="00187AFD"/>
    <w:rsid w:val="00192B40"/>
    <w:rsid w:val="00194DB4"/>
    <w:rsid w:val="00194EA8"/>
    <w:rsid w:val="00195D48"/>
    <w:rsid w:val="001A11B5"/>
    <w:rsid w:val="001A34A5"/>
    <w:rsid w:val="001B41EB"/>
    <w:rsid w:val="001B5A81"/>
    <w:rsid w:val="001B667B"/>
    <w:rsid w:val="001C02E6"/>
    <w:rsid w:val="001C0412"/>
    <w:rsid w:val="001C30AD"/>
    <w:rsid w:val="001C50F9"/>
    <w:rsid w:val="001D1BEE"/>
    <w:rsid w:val="001D1F5C"/>
    <w:rsid w:val="001D590D"/>
    <w:rsid w:val="001F36D2"/>
    <w:rsid w:val="001F6127"/>
    <w:rsid w:val="001F6F25"/>
    <w:rsid w:val="001F75A6"/>
    <w:rsid w:val="00212C3E"/>
    <w:rsid w:val="002145FB"/>
    <w:rsid w:val="002223A6"/>
    <w:rsid w:val="002227AB"/>
    <w:rsid w:val="00227C37"/>
    <w:rsid w:val="00227E7E"/>
    <w:rsid w:val="0024405A"/>
    <w:rsid w:val="002471C6"/>
    <w:rsid w:val="00254015"/>
    <w:rsid w:val="0025406C"/>
    <w:rsid w:val="00256A20"/>
    <w:rsid w:val="002702AC"/>
    <w:rsid w:val="00270379"/>
    <w:rsid w:val="00273064"/>
    <w:rsid w:val="00273E1A"/>
    <w:rsid w:val="002749D9"/>
    <w:rsid w:val="002751A5"/>
    <w:rsid w:val="00280E1C"/>
    <w:rsid w:val="00281E3B"/>
    <w:rsid w:val="00284263"/>
    <w:rsid w:val="00286FC7"/>
    <w:rsid w:val="00287DAB"/>
    <w:rsid w:val="00291570"/>
    <w:rsid w:val="00292909"/>
    <w:rsid w:val="00295077"/>
    <w:rsid w:val="00295275"/>
    <w:rsid w:val="002A3F7E"/>
    <w:rsid w:val="002A42BD"/>
    <w:rsid w:val="002A5B93"/>
    <w:rsid w:val="002A7362"/>
    <w:rsid w:val="002B21FE"/>
    <w:rsid w:val="002B2FC7"/>
    <w:rsid w:val="002C5283"/>
    <w:rsid w:val="002C7E99"/>
    <w:rsid w:val="002D0171"/>
    <w:rsid w:val="002D1BE5"/>
    <w:rsid w:val="002D5768"/>
    <w:rsid w:val="002E1115"/>
    <w:rsid w:val="002E2DD4"/>
    <w:rsid w:val="002E3CDB"/>
    <w:rsid w:val="002F0BE7"/>
    <w:rsid w:val="002F1271"/>
    <w:rsid w:val="002F1773"/>
    <w:rsid w:val="002F23D0"/>
    <w:rsid w:val="002F763F"/>
    <w:rsid w:val="0030568C"/>
    <w:rsid w:val="00305AC8"/>
    <w:rsid w:val="00305E84"/>
    <w:rsid w:val="0031125E"/>
    <w:rsid w:val="0031146E"/>
    <w:rsid w:val="0031185B"/>
    <w:rsid w:val="00311949"/>
    <w:rsid w:val="003205EC"/>
    <w:rsid w:val="00321823"/>
    <w:rsid w:val="00325FC7"/>
    <w:rsid w:val="00326839"/>
    <w:rsid w:val="00332BA6"/>
    <w:rsid w:val="00336368"/>
    <w:rsid w:val="00337679"/>
    <w:rsid w:val="003421D1"/>
    <w:rsid w:val="003428FB"/>
    <w:rsid w:val="00343B95"/>
    <w:rsid w:val="00343EEA"/>
    <w:rsid w:val="00345FA4"/>
    <w:rsid w:val="00346AD0"/>
    <w:rsid w:val="003474C0"/>
    <w:rsid w:val="00364E45"/>
    <w:rsid w:val="0037240B"/>
    <w:rsid w:val="003820A1"/>
    <w:rsid w:val="0038676F"/>
    <w:rsid w:val="00387580"/>
    <w:rsid w:val="00387C80"/>
    <w:rsid w:val="00387F4C"/>
    <w:rsid w:val="003905DB"/>
    <w:rsid w:val="003914BE"/>
    <w:rsid w:val="00391F45"/>
    <w:rsid w:val="003940CE"/>
    <w:rsid w:val="00394FBE"/>
    <w:rsid w:val="00394FC9"/>
    <w:rsid w:val="003958E4"/>
    <w:rsid w:val="003A37CA"/>
    <w:rsid w:val="003A7737"/>
    <w:rsid w:val="003B1488"/>
    <w:rsid w:val="003B21FA"/>
    <w:rsid w:val="003B252C"/>
    <w:rsid w:val="003B7DEE"/>
    <w:rsid w:val="003B7E23"/>
    <w:rsid w:val="003C0BDE"/>
    <w:rsid w:val="003C1C7A"/>
    <w:rsid w:val="003C216E"/>
    <w:rsid w:val="003C5445"/>
    <w:rsid w:val="003C6CA7"/>
    <w:rsid w:val="003C78A8"/>
    <w:rsid w:val="003C7D3F"/>
    <w:rsid w:val="003D0FDF"/>
    <w:rsid w:val="003D499C"/>
    <w:rsid w:val="003D5050"/>
    <w:rsid w:val="003D6F34"/>
    <w:rsid w:val="003D7787"/>
    <w:rsid w:val="003D7951"/>
    <w:rsid w:val="003E4288"/>
    <w:rsid w:val="003E7872"/>
    <w:rsid w:val="003F7FC8"/>
    <w:rsid w:val="004041D0"/>
    <w:rsid w:val="004049E7"/>
    <w:rsid w:val="004103D9"/>
    <w:rsid w:val="00413BB8"/>
    <w:rsid w:val="0041474A"/>
    <w:rsid w:val="004227A9"/>
    <w:rsid w:val="00424780"/>
    <w:rsid w:val="004259AF"/>
    <w:rsid w:val="00426086"/>
    <w:rsid w:val="00426381"/>
    <w:rsid w:val="00426396"/>
    <w:rsid w:val="00426B53"/>
    <w:rsid w:val="004271CE"/>
    <w:rsid w:val="00430FBC"/>
    <w:rsid w:val="0043748F"/>
    <w:rsid w:val="004438F4"/>
    <w:rsid w:val="0044429F"/>
    <w:rsid w:val="004577E7"/>
    <w:rsid w:val="0046070F"/>
    <w:rsid w:val="004626B4"/>
    <w:rsid w:val="00466BF2"/>
    <w:rsid w:val="004707A4"/>
    <w:rsid w:val="00471022"/>
    <w:rsid w:val="00471B4A"/>
    <w:rsid w:val="00471BCA"/>
    <w:rsid w:val="00473F90"/>
    <w:rsid w:val="00475C58"/>
    <w:rsid w:val="004767B5"/>
    <w:rsid w:val="00481658"/>
    <w:rsid w:val="00490FC1"/>
    <w:rsid w:val="00492E0E"/>
    <w:rsid w:val="004932F5"/>
    <w:rsid w:val="00494E57"/>
    <w:rsid w:val="00497327"/>
    <w:rsid w:val="004A0480"/>
    <w:rsid w:val="004A150E"/>
    <w:rsid w:val="004A4B74"/>
    <w:rsid w:val="004A7520"/>
    <w:rsid w:val="004B30B2"/>
    <w:rsid w:val="004B3F4F"/>
    <w:rsid w:val="004C1471"/>
    <w:rsid w:val="004C3138"/>
    <w:rsid w:val="004D0BBD"/>
    <w:rsid w:val="004E2E76"/>
    <w:rsid w:val="004E32B5"/>
    <w:rsid w:val="004E3A57"/>
    <w:rsid w:val="004E3B3B"/>
    <w:rsid w:val="004F285C"/>
    <w:rsid w:val="00503CDC"/>
    <w:rsid w:val="005049DB"/>
    <w:rsid w:val="0050525F"/>
    <w:rsid w:val="0050707D"/>
    <w:rsid w:val="00512C27"/>
    <w:rsid w:val="00513EF3"/>
    <w:rsid w:val="00517BA6"/>
    <w:rsid w:val="00517F13"/>
    <w:rsid w:val="0052353F"/>
    <w:rsid w:val="005303E1"/>
    <w:rsid w:val="00536C2A"/>
    <w:rsid w:val="00536DDE"/>
    <w:rsid w:val="00537068"/>
    <w:rsid w:val="00540C5A"/>
    <w:rsid w:val="00542487"/>
    <w:rsid w:val="00542BDE"/>
    <w:rsid w:val="005470FF"/>
    <w:rsid w:val="00547D51"/>
    <w:rsid w:val="00551799"/>
    <w:rsid w:val="00553DB1"/>
    <w:rsid w:val="005647DD"/>
    <w:rsid w:val="00567763"/>
    <w:rsid w:val="00573952"/>
    <w:rsid w:val="00574E7B"/>
    <w:rsid w:val="0058422A"/>
    <w:rsid w:val="00585BD6"/>
    <w:rsid w:val="00586AA6"/>
    <w:rsid w:val="00590C24"/>
    <w:rsid w:val="005913BE"/>
    <w:rsid w:val="005958CE"/>
    <w:rsid w:val="005A08B8"/>
    <w:rsid w:val="005A5A42"/>
    <w:rsid w:val="005B13BA"/>
    <w:rsid w:val="005B47CB"/>
    <w:rsid w:val="005D56BB"/>
    <w:rsid w:val="005E16E1"/>
    <w:rsid w:val="005E4131"/>
    <w:rsid w:val="005F12FE"/>
    <w:rsid w:val="005F13A4"/>
    <w:rsid w:val="005F4A80"/>
    <w:rsid w:val="005F5519"/>
    <w:rsid w:val="00601030"/>
    <w:rsid w:val="00601311"/>
    <w:rsid w:val="00601509"/>
    <w:rsid w:val="0060178C"/>
    <w:rsid w:val="00603A88"/>
    <w:rsid w:val="00604F8C"/>
    <w:rsid w:val="00607738"/>
    <w:rsid w:val="006125E9"/>
    <w:rsid w:val="0061420C"/>
    <w:rsid w:val="00615CAE"/>
    <w:rsid w:val="00616B98"/>
    <w:rsid w:val="006179A0"/>
    <w:rsid w:val="00617FB1"/>
    <w:rsid w:val="00622621"/>
    <w:rsid w:val="0062449C"/>
    <w:rsid w:val="00625601"/>
    <w:rsid w:val="0063031B"/>
    <w:rsid w:val="00630504"/>
    <w:rsid w:val="0063077B"/>
    <w:rsid w:val="006402F5"/>
    <w:rsid w:val="00640B9E"/>
    <w:rsid w:val="0064270F"/>
    <w:rsid w:val="006429F7"/>
    <w:rsid w:val="00650DBE"/>
    <w:rsid w:val="00657154"/>
    <w:rsid w:val="0066297E"/>
    <w:rsid w:val="00662C79"/>
    <w:rsid w:val="00672529"/>
    <w:rsid w:val="00673B18"/>
    <w:rsid w:val="00674B95"/>
    <w:rsid w:val="00676AD6"/>
    <w:rsid w:val="006805DC"/>
    <w:rsid w:val="00680E45"/>
    <w:rsid w:val="00681643"/>
    <w:rsid w:val="006876DE"/>
    <w:rsid w:val="006A1974"/>
    <w:rsid w:val="006A2236"/>
    <w:rsid w:val="006A2E59"/>
    <w:rsid w:val="006A40E8"/>
    <w:rsid w:val="006A467B"/>
    <w:rsid w:val="006A4943"/>
    <w:rsid w:val="006B2C46"/>
    <w:rsid w:val="006B4346"/>
    <w:rsid w:val="006C1C96"/>
    <w:rsid w:val="006C3C08"/>
    <w:rsid w:val="006C50D0"/>
    <w:rsid w:val="006C67BB"/>
    <w:rsid w:val="006C69E7"/>
    <w:rsid w:val="006D0278"/>
    <w:rsid w:val="006D1AF3"/>
    <w:rsid w:val="006D1D04"/>
    <w:rsid w:val="006D1F43"/>
    <w:rsid w:val="006D3FDA"/>
    <w:rsid w:val="006D4E20"/>
    <w:rsid w:val="006D6A7B"/>
    <w:rsid w:val="006D7350"/>
    <w:rsid w:val="006E2C62"/>
    <w:rsid w:val="006E6EF8"/>
    <w:rsid w:val="00722B8D"/>
    <w:rsid w:val="00727D48"/>
    <w:rsid w:val="00731366"/>
    <w:rsid w:val="00732D4E"/>
    <w:rsid w:val="00733B6E"/>
    <w:rsid w:val="00735238"/>
    <w:rsid w:val="00740F9B"/>
    <w:rsid w:val="007418A0"/>
    <w:rsid w:val="007428CB"/>
    <w:rsid w:val="00742A1D"/>
    <w:rsid w:val="007441D5"/>
    <w:rsid w:val="00754A0A"/>
    <w:rsid w:val="00756A3E"/>
    <w:rsid w:val="00761DFC"/>
    <w:rsid w:val="00763E82"/>
    <w:rsid w:val="007658AB"/>
    <w:rsid w:val="00775DF0"/>
    <w:rsid w:val="007800D3"/>
    <w:rsid w:val="00783B8A"/>
    <w:rsid w:val="00784E88"/>
    <w:rsid w:val="007A1DED"/>
    <w:rsid w:val="007A50FA"/>
    <w:rsid w:val="007A7437"/>
    <w:rsid w:val="007A7BDE"/>
    <w:rsid w:val="007B04B7"/>
    <w:rsid w:val="007B5368"/>
    <w:rsid w:val="007B5761"/>
    <w:rsid w:val="007B6C9C"/>
    <w:rsid w:val="007B7588"/>
    <w:rsid w:val="007C2B55"/>
    <w:rsid w:val="007C6988"/>
    <w:rsid w:val="007D0F6C"/>
    <w:rsid w:val="007D1FA5"/>
    <w:rsid w:val="007D4B4A"/>
    <w:rsid w:val="007E08A8"/>
    <w:rsid w:val="007F046D"/>
    <w:rsid w:val="007F36B4"/>
    <w:rsid w:val="007F6D7A"/>
    <w:rsid w:val="00805E3F"/>
    <w:rsid w:val="008100D8"/>
    <w:rsid w:val="008145ED"/>
    <w:rsid w:val="00823434"/>
    <w:rsid w:val="00826601"/>
    <w:rsid w:val="00826CA5"/>
    <w:rsid w:val="00840C7A"/>
    <w:rsid w:val="00843C96"/>
    <w:rsid w:val="008441D8"/>
    <w:rsid w:val="0084588C"/>
    <w:rsid w:val="0085401B"/>
    <w:rsid w:val="008543E0"/>
    <w:rsid w:val="00856383"/>
    <w:rsid w:val="00856B3A"/>
    <w:rsid w:val="00861713"/>
    <w:rsid w:val="00861FA0"/>
    <w:rsid w:val="0086309E"/>
    <w:rsid w:val="008633EF"/>
    <w:rsid w:val="00863BDE"/>
    <w:rsid w:val="00867105"/>
    <w:rsid w:val="00871782"/>
    <w:rsid w:val="00871A4E"/>
    <w:rsid w:val="00871BA8"/>
    <w:rsid w:val="00873F0D"/>
    <w:rsid w:val="008826B1"/>
    <w:rsid w:val="0088284F"/>
    <w:rsid w:val="00884E83"/>
    <w:rsid w:val="00886CF5"/>
    <w:rsid w:val="0089480A"/>
    <w:rsid w:val="00896799"/>
    <w:rsid w:val="008A2BF4"/>
    <w:rsid w:val="008A3A3C"/>
    <w:rsid w:val="008A51F7"/>
    <w:rsid w:val="008B03DE"/>
    <w:rsid w:val="008C3E2B"/>
    <w:rsid w:val="008D1C33"/>
    <w:rsid w:val="008D41E2"/>
    <w:rsid w:val="008D4619"/>
    <w:rsid w:val="008E03BC"/>
    <w:rsid w:val="008E0A88"/>
    <w:rsid w:val="008E3F43"/>
    <w:rsid w:val="008F2E21"/>
    <w:rsid w:val="008F45E2"/>
    <w:rsid w:val="008F56FD"/>
    <w:rsid w:val="008F63AF"/>
    <w:rsid w:val="00900345"/>
    <w:rsid w:val="00900E84"/>
    <w:rsid w:val="00901189"/>
    <w:rsid w:val="009016FF"/>
    <w:rsid w:val="00901B69"/>
    <w:rsid w:val="00902CF1"/>
    <w:rsid w:val="0090419B"/>
    <w:rsid w:val="00911BC5"/>
    <w:rsid w:val="00912147"/>
    <w:rsid w:val="009121E5"/>
    <w:rsid w:val="00932FD2"/>
    <w:rsid w:val="00937813"/>
    <w:rsid w:val="00937D38"/>
    <w:rsid w:val="00940682"/>
    <w:rsid w:val="00945AE1"/>
    <w:rsid w:val="009474C8"/>
    <w:rsid w:val="0094781D"/>
    <w:rsid w:val="00950931"/>
    <w:rsid w:val="00951054"/>
    <w:rsid w:val="00952E56"/>
    <w:rsid w:val="00956D43"/>
    <w:rsid w:val="00957717"/>
    <w:rsid w:val="009620D2"/>
    <w:rsid w:val="00980525"/>
    <w:rsid w:val="009806DA"/>
    <w:rsid w:val="00983463"/>
    <w:rsid w:val="00984263"/>
    <w:rsid w:val="00996025"/>
    <w:rsid w:val="009A1245"/>
    <w:rsid w:val="009A1617"/>
    <w:rsid w:val="009A1ACD"/>
    <w:rsid w:val="009B04DF"/>
    <w:rsid w:val="009B19A9"/>
    <w:rsid w:val="009C3BC0"/>
    <w:rsid w:val="009C7C1D"/>
    <w:rsid w:val="009D0177"/>
    <w:rsid w:val="009D09AD"/>
    <w:rsid w:val="009D221A"/>
    <w:rsid w:val="009D5606"/>
    <w:rsid w:val="009D7A44"/>
    <w:rsid w:val="009E1A56"/>
    <w:rsid w:val="009E3603"/>
    <w:rsid w:val="009E3BA2"/>
    <w:rsid w:val="009E51A5"/>
    <w:rsid w:val="009E70B5"/>
    <w:rsid w:val="009F0C56"/>
    <w:rsid w:val="009F2890"/>
    <w:rsid w:val="009F5C1E"/>
    <w:rsid w:val="009F7A05"/>
    <w:rsid w:val="009F7E19"/>
    <w:rsid w:val="00A03249"/>
    <w:rsid w:val="00A06A39"/>
    <w:rsid w:val="00A14634"/>
    <w:rsid w:val="00A1519A"/>
    <w:rsid w:val="00A1595E"/>
    <w:rsid w:val="00A21B93"/>
    <w:rsid w:val="00A2766E"/>
    <w:rsid w:val="00A32334"/>
    <w:rsid w:val="00A344B2"/>
    <w:rsid w:val="00A405EE"/>
    <w:rsid w:val="00A42FED"/>
    <w:rsid w:val="00A46189"/>
    <w:rsid w:val="00A5124B"/>
    <w:rsid w:val="00A55AD6"/>
    <w:rsid w:val="00A56A9A"/>
    <w:rsid w:val="00A64B36"/>
    <w:rsid w:val="00A70551"/>
    <w:rsid w:val="00A74CB5"/>
    <w:rsid w:val="00A7759D"/>
    <w:rsid w:val="00A81F28"/>
    <w:rsid w:val="00A82572"/>
    <w:rsid w:val="00A85FC2"/>
    <w:rsid w:val="00A86DB4"/>
    <w:rsid w:val="00A87019"/>
    <w:rsid w:val="00A90648"/>
    <w:rsid w:val="00A92E21"/>
    <w:rsid w:val="00A94394"/>
    <w:rsid w:val="00A95775"/>
    <w:rsid w:val="00AA0009"/>
    <w:rsid w:val="00AA58ED"/>
    <w:rsid w:val="00AB0063"/>
    <w:rsid w:val="00AB6D72"/>
    <w:rsid w:val="00AB7DC4"/>
    <w:rsid w:val="00AC769C"/>
    <w:rsid w:val="00AC773D"/>
    <w:rsid w:val="00AD15AA"/>
    <w:rsid w:val="00AD5F20"/>
    <w:rsid w:val="00AE3979"/>
    <w:rsid w:val="00AF6796"/>
    <w:rsid w:val="00AF770C"/>
    <w:rsid w:val="00B0038A"/>
    <w:rsid w:val="00B05F79"/>
    <w:rsid w:val="00B0701A"/>
    <w:rsid w:val="00B10F5C"/>
    <w:rsid w:val="00B146EC"/>
    <w:rsid w:val="00B15B16"/>
    <w:rsid w:val="00B27970"/>
    <w:rsid w:val="00B40544"/>
    <w:rsid w:val="00B51975"/>
    <w:rsid w:val="00B53419"/>
    <w:rsid w:val="00B5405F"/>
    <w:rsid w:val="00B54C39"/>
    <w:rsid w:val="00B605C1"/>
    <w:rsid w:val="00B63BC7"/>
    <w:rsid w:val="00B705D8"/>
    <w:rsid w:val="00B756D5"/>
    <w:rsid w:val="00B75A7E"/>
    <w:rsid w:val="00B82020"/>
    <w:rsid w:val="00B82C63"/>
    <w:rsid w:val="00B82DDC"/>
    <w:rsid w:val="00B83136"/>
    <w:rsid w:val="00B8689B"/>
    <w:rsid w:val="00B86D60"/>
    <w:rsid w:val="00B96A14"/>
    <w:rsid w:val="00BB5028"/>
    <w:rsid w:val="00BB53A5"/>
    <w:rsid w:val="00BB58FB"/>
    <w:rsid w:val="00BC384B"/>
    <w:rsid w:val="00BC71CD"/>
    <w:rsid w:val="00BD47EF"/>
    <w:rsid w:val="00BE167F"/>
    <w:rsid w:val="00BE7371"/>
    <w:rsid w:val="00BF11AC"/>
    <w:rsid w:val="00BF1849"/>
    <w:rsid w:val="00BF1EB3"/>
    <w:rsid w:val="00BF6034"/>
    <w:rsid w:val="00BF644F"/>
    <w:rsid w:val="00C002CF"/>
    <w:rsid w:val="00C00A25"/>
    <w:rsid w:val="00C01142"/>
    <w:rsid w:val="00C0176E"/>
    <w:rsid w:val="00C05507"/>
    <w:rsid w:val="00C07C5A"/>
    <w:rsid w:val="00C209CE"/>
    <w:rsid w:val="00C222FD"/>
    <w:rsid w:val="00C23336"/>
    <w:rsid w:val="00C2498F"/>
    <w:rsid w:val="00C32122"/>
    <w:rsid w:val="00C53775"/>
    <w:rsid w:val="00C541E4"/>
    <w:rsid w:val="00C574E0"/>
    <w:rsid w:val="00C621A5"/>
    <w:rsid w:val="00C6396D"/>
    <w:rsid w:val="00C6544E"/>
    <w:rsid w:val="00C658A0"/>
    <w:rsid w:val="00C66D39"/>
    <w:rsid w:val="00C87C01"/>
    <w:rsid w:val="00C9297D"/>
    <w:rsid w:val="00C92F04"/>
    <w:rsid w:val="00C96A20"/>
    <w:rsid w:val="00C97467"/>
    <w:rsid w:val="00CA38C5"/>
    <w:rsid w:val="00CA417B"/>
    <w:rsid w:val="00CA6467"/>
    <w:rsid w:val="00CA6C84"/>
    <w:rsid w:val="00CA796E"/>
    <w:rsid w:val="00CC0BFD"/>
    <w:rsid w:val="00CC25DC"/>
    <w:rsid w:val="00CC2AE4"/>
    <w:rsid w:val="00CC40DB"/>
    <w:rsid w:val="00CC7A64"/>
    <w:rsid w:val="00CD13C2"/>
    <w:rsid w:val="00CE517B"/>
    <w:rsid w:val="00CF1FA9"/>
    <w:rsid w:val="00CF1FF4"/>
    <w:rsid w:val="00D01DFF"/>
    <w:rsid w:val="00D03F75"/>
    <w:rsid w:val="00D276E3"/>
    <w:rsid w:val="00D358F3"/>
    <w:rsid w:val="00D40122"/>
    <w:rsid w:val="00D40F27"/>
    <w:rsid w:val="00D42323"/>
    <w:rsid w:val="00D42E5D"/>
    <w:rsid w:val="00D46889"/>
    <w:rsid w:val="00D4739C"/>
    <w:rsid w:val="00D51559"/>
    <w:rsid w:val="00D53843"/>
    <w:rsid w:val="00D55E34"/>
    <w:rsid w:val="00D561DE"/>
    <w:rsid w:val="00D5639A"/>
    <w:rsid w:val="00D6154F"/>
    <w:rsid w:val="00D63522"/>
    <w:rsid w:val="00D70976"/>
    <w:rsid w:val="00D73049"/>
    <w:rsid w:val="00D7508B"/>
    <w:rsid w:val="00D77A66"/>
    <w:rsid w:val="00D82981"/>
    <w:rsid w:val="00D82FA4"/>
    <w:rsid w:val="00D8615A"/>
    <w:rsid w:val="00D93443"/>
    <w:rsid w:val="00D94D67"/>
    <w:rsid w:val="00D9532F"/>
    <w:rsid w:val="00D96AB2"/>
    <w:rsid w:val="00DA3EC6"/>
    <w:rsid w:val="00DA4263"/>
    <w:rsid w:val="00DA4635"/>
    <w:rsid w:val="00DB6B6F"/>
    <w:rsid w:val="00DC2130"/>
    <w:rsid w:val="00DC346E"/>
    <w:rsid w:val="00DC35BB"/>
    <w:rsid w:val="00DC41D5"/>
    <w:rsid w:val="00DC68BE"/>
    <w:rsid w:val="00DC6904"/>
    <w:rsid w:val="00DC7F01"/>
    <w:rsid w:val="00DD1C58"/>
    <w:rsid w:val="00DD33CC"/>
    <w:rsid w:val="00DE3187"/>
    <w:rsid w:val="00DF3E9F"/>
    <w:rsid w:val="00DF423F"/>
    <w:rsid w:val="00DF553C"/>
    <w:rsid w:val="00E0319B"/>
    <w:rsid w:val="00E05DE0"/>
    <w:rsid w:val="00E105D7"/>
    <w:rsid w:val="00E17BE2"/>
    <w:rsid w:val="00E22785"/>
    <w:rsid w:val="00E231D7"/>
    <w:rsid w:val="00E24214"/>
    <w:rsid w:val="00E24E82"/>
    <w:rsid w:val="00E26046"/>
    <w:rsid w:val="00E2677E"/>
    <w:rsid w:val="00E27625"/>
    <w:rsid w:val="00E320D2"/>
    <w:rsid w:val="00E32C99"/>
    <w:rsid w:val="00E4426D"/>
    <w:rsid w:val="00E47068"/>
    <w:rsid w:val="00E50ABA"/>
    <w:rsid w:val="00E571D2"/>
    <w:rsid w:val="00E6116E"/>
    <w:rsid w:val="00E75C24"/>
    <w:rsid w:val="00E77DD5"/>
    <w:rsid w:val="00E80E58"/>
    <w:rsid w:val="00E85A53"/>
    <w:rsid w:val="00E86C97"/>
    <w:rsid w:val="00E90956"/>
    <w:rsid w:val="00E97177"/>
    <w:rsid w:val="00EA582B"/>
    <w:rsid w:val="00EB37CF"/>
    <w:rsid w:val="00EC1BBA"/>
    <w:rsid w:val="00EC282C"/>
    <w:rsid w:val="00EC28D8"/>
    <w:rsid w:val="00EC37B3"/>
    <w:rsid w:val="00EC55E3"/>
    <w:rsid w:val="00ED433C"/>
    <w:rsid w:val="00EE03E4"/>
    <w:rsid w:val="00EE3F01"/>
    <w:rsid w:val="00EE42CA"/>
    <w:rsid w:val="00EE75C3"/>
    <w:rsid w:val="00EF41FC"/>
    <w:rsid w:val="00EF632B"/>
    <w:rsid w:val="00EF7452"/>
    <w:rsid w:val="00F01C3C"/>
    <w:rsid w:val="00F02364"/>
    <w:rsid w:val="00F02F5D"/>
    <w:rsid w:val="00F05DB8"/>
    <w:rsid w:val="00F13C3D"/>
    <w:rsid w:val="00F15A4B"/>
    <w:rsid w:val="00F16915"/>
    <w:rsid w:val="00F16B0E"/>
    <w:rsid w:val="00F307AB"/>
    <w:rsid w:val="00F32F34"/>
    <w:rsid w:val="00F33208"/>
    <w:rsid w:val="00F35BEC"/>
    <w:rsid w:val="00F406AF"/>
    <w:rsid w:val="00F4118B"/>
    <w:rsid w:val="00F42839"/>
    <w:rsid w:val="00F440E2"/>
    <w:rsid w:val="00F45F3A"/>
    <w:rsid w:val="00F51D30"/>
    <w:rsid w:val="00F55017"/>
    <w:rsid w:val="00F5583C"/>
    <w:rsid w:val="00F57CC4"/>
    <w:rsid w:val="00F6176E"/>
    <w:rsid w:val="00F64066"/>
    <w:rsid w:val="00F67126"/>
    <w:rsid w:val="00F74F37"/>
    <w:rsid w:val="00F83935"/>
    <w:rsid w:val="00F83D29"/>
    <w:rsid w:val="00F92D26"/>
    <w:rsid w:val="00F963B3"/>
    <w:rsid w:val="00F967E8"/>
    <w:rsid w:val="00F97DEC"/>
    <w:rsid w:val="00FA6B62"/>
    <w:rsid w:val="00FA713E"/>
    <w:rsid w:val="00FB0E3D"/>
    <w:rsid w:val="00FB29FA"/>
    <w:rsid w:val="00FC0668"/>
    <w:rsid w:val="00FC38BE"/>
    <w:rsid w:val="00FC3CA9"/>
    <w:rsid w:val="00FC55C3"/>
    <w:rsid w:val="00FD595C"/>
    <w:rsid w:val="00FE1D47"/>
    <w:rsid w:val="00FE4407"/>
    <w:rsid w:val="00FE65E2"/>
    <w:rsid w:val="00FE6E1F"/>
    <w:rsid w:val="00FF51F0"/>
    <w:rsid w:val="00FF6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BC"/>
    <w:rPr>
      <w:sz w:val="24"/>
    </w:rPr>
  </w:style>
  <w:style w:type="paragraph" w:styleId="Heading1">
    <w:name w:val="heading 1"/>
    <w:basedOn w:val="Normal"/>
    <w:next w:val="Normal"/>
    <w:qFormat/>
    <w:rsid w:val="008E03BC"/>
    <w:pPr>
      <w:keepNext/>
      <w:tabs>
        <w:tab w:val="left" w:pos="720"/>
        <w:tab w:val="center" w:pos="5040"/>
        <w:tab w:val="center" w:pos="6480"/>
        <w:tab w:val="center" w:pos="7920"/>
      </w:tabs>
      <w:spacing w:line="480" w:lineRule="auto"/>
      <w:jc w:val="both"/>
      <w:outlineLvl w:val="0"/>
    </w:pPr>
    <w:rPr>
      <w:b/>
    </w:rPr>
  </w:style>
  <w:style w:type="paragraph" w:styleId="Heading2">
    <w:name w:val="heading 2"/>
    <w:basedOn w:val="Normal"/>
    <w:next w:val="Normal"/>
    <w:qFormat/>
    <w:rsid w:val="008E03BC"/>
    <w:pPr>
      <w:keepNext/>
      <w:tabs>
        <w:tab w:val="left" w:pos="1260"/>
      </w:tabs>
      <w:spacing w:line="480" w:lineRule="auto"/>
      <w:ind w:firstLine="720"/>
      <w:jc w:val="both"/>
      <w:outlineLvl w:val="1"/>
    </w:pPr>
    <w:rPr>
      <w:b/>
    </w:rPr>
  </w:style>
  <w:style w:type="paragraph" w:styleId="Heading3">
    <w:name w:val="heading 3"/>
    <w:basedOn w:val="Normal"/>
    <w:next w:val="Normal"/>
    <w:qFormat/>
    <w:rsid w:val="008E03BC"/>
    <w:pPr>
      <w:keepNext/>
      <w:tabs>
        <w:tab w:val="left" w:pos="1260"/>
      </w:tabs>
      <w:spacing w:line="480" w:lineRule="auto"/>
      <w:ind w:firstLine="720"/>
      <w:jc w:val="center"/>
      <w:outlineLvl w:val="2"/>
    </w:pPr>
    <w:rPr>
      <w:b/>
    </w:rPr>
  </w:style>
  <w:style w:type="paragraph" w:styleId="Heading4">
    <w:name w:val="heading 4"/>
    <w:basedOn w:val="Normal"/>
    <w:next w:val="Normal"/>
    <w:qFormat/>
    <w:rsid w:val="008E03BC"/>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8E03BC"/>
    <w:pPr>
      <w:keepNext/>
      <w:spacing w:line="480" w:lineRule="auto"/>
      <w:jc w:val="center"/>
      <w:outlineLvl w:val="4"/>
    </w:pPr>
    <w:rPr>
      <w:b/>
    </w:rPr>
  </w:style>
  <w:style w:type="paragraph" w:styleId="Heading6">
    <w:name w:val="heading 6"/>
    <w:basedOn w:val="Normal"/>
    <w:next w:val="Normal"/>
    <w:qFormat/>
    <w:rsid w:val="008E03BC"/>
    <w:pPr>
      <w:keepNext/>
      <w:tabs>
        <w:tab w:val="left" w:pos="1260"/>
      </w:tabs>
      <w:spacing w:line="480" w:lineRule="auto"/>
      <w:jc w:val="center"/>
      <w:outlineLvl w:val="5"/>
    </w:pPr>
    <w:rPr>
      <w:b/>
      <w:sz w:val="20"/>
    </w:rPr>
  </w:style>
  <w:style w:type="paragraph" w:styleId="Heading7">
    <w:name w:val="heading 7"/>
    <w:basedOn w:val="Normal"/>
    <w:next w:val="Normal"/>
    <w:qFormat/>
    <w:rsid w:val="008E03BC"/>
    <w:pPr>
      <w:keepNext/>
      <w:tabs>
        <w:tab w:val="left" w:pos="1260"/>
      </w:tabs>
      <w:jc w:val="right"/>
      <w:outlineLvl w:val="6"/>
    </w:pPr>
    <w:rPr>
      <w:sz w:val="20"/>
    </w:rPr>
  </w:style>
  <w:style w:type="paragraph" w:styleId="Heading8">
    <w:name w:val="heading 8"/>
    <w:basedOn w:val="Normal"/>
    <w:next w:val="Normal"/>
    <w:qFormat/>
    <w:rsid w:val="008E03BC"/>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8E03BC"/>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3BC"/>
    <w:pPr>
      <w:tabs>
        <w:tab w:val="center" w:pos="4320"/>
        <w:tab w:val="right" w:pos="8640"/>
      </w:tabs>
    </w:pPr>
  </w:style>
  <w:style w:type="paragraph" w:styleId="Footer">
    <w:name w:val="footer"/>
    <w:basedOn w:val="Normal"/>
    <w:link w:val="FooterChar"/>
    <w:uiPriority w:val="99"/>
    <w:rsid w:val="008E03BC"/>
    <w:pPr>
      <w:tabs>
        <w:tab w:val="center" w:pos="4320"/>
        <w:tab w:val="right" w:pos="8640"/>
      </w:tabs>
    </w:pPr>
  </w:style>
  <w:style w:type="character" w:styleId="PageNumber">
    <w:name w:val="page number"/>
    <w:basedOn w:val="DefaultParagraphFont"/>
    <w:rsid w:val="008E03BC"/>
    <w:rPr>
      <w:rFonts w:ascii="Times New Roman" w:hAnsi="Times New Roman"/>
    </w:rPr>
  </w:style>
  <w:style w:type="character" w:styleId="LineNumber">
    <w:name w:val="line number"/>
    <w:basedOn w:val="DefaultParagraphFont"/>
    <w:rsid w:val="008E03BC"/>
    <w:rPr>
      <w:rFonts w:ascii="Times New Roman" w:hAnsi="Times New Roman"/>
    </w:rPr>
  </w:style>
  <w:style w:type="paragraph" w:styleId="BodyTextIndent">
    <w:name w:val="Body Text Indent"/>
    <w:basedOn w:val="Normal"/>
    <w:rsid w:val="008E03BC"/>
    <w:pPr>
      <w:tabs>
        <w:tab w:val="left" w:pos="1260"/>
      </w:tabs>
      <w:spacing w:line="480" w:lineRule="auto"/>
      <w:ind w:firstLine="720"/>
      <w:jc w:val="both"/>
    </w:pPr>
  </w:style>
  <w:style w:type="paragraph" w:styleId="BodyTextIndent2">
    <w:name w:val="Body Text Indent 2"/>
    <w:basedOn w:val="Normal"/>
    <w:rsid w:val="008E03BC"/>
    <w:pPr>
      <w:tabs>
        <w:tab w:val="left" w:pos="1260"/>
      </w:tabs>
      <w:spacing w:line="480" w:lineRule="auto"/>
      <w:ind w:left="540" w:hanging="540"/>
      <w:jc w:val="both"/>
    </w:pPr>
  </w:style>
  <w:style w:type="paragraph" w:styleId="BodyTextIndent3">
    <w:name w:val="Body Text Indent 3"/>
    <w:basedOn w:val="Normal"/>
    <w:rsid w:val="008E03BC"/>
    <w:pPr>
      <w:tabs>
        <w:tab w:val="left" w:pos="1260"/>
      </w:tabs>
      <w:spacing w:line="480" w:lineRule="auto"/>
      <w:ind w:firstLine="720"/>
      <w:jc w:val="both"/>
    </w:pPr>
    <w:rPr>
      <w:b/>
    </w:rPr>
  </w:style>
  <w:style w:type="paragraph" w:styleId="FootnoteText">
    <w:name w:val="footnote text"/>
    <w:aliases w:val="Footnote Text Char2 Char1,Footnote Text Char1 Char Char1,Footnote Text Char2 Char Char1 Char1,Footnote Text Char1 Char Char Char Char1,Footnote Text Char2 Char Char1 Char Char Char,Footnote Text Char2,ALTS FOOTNOTE,fn,f,1"/>
    <w:basedOn w:val="Normal"/>
    <w:link w:val="FootnoteTextChar"/>
    <w:uiPriority w:val="99"/>
    <w:qFormat/>
    <w:rsid w:val="008E03BC"/>
    <w:rPr>
      <w:sz w:val="20"/>
    </w:rPr>
  </w:style>
  <w:style w:type="character" w:styleId="FootnoteReference">
    <w:name w:val="footnote reference"/>
    <w:aliases w:val="Style 12,(NECG) Footnote Reference,Style 13,Appel note de bas de p,Style 124,fr,o,Style 3,FR,Style 17,Footnote Reference/,Style 6,callout,Style 9,Style 20,Footnote 1r"/>
    <w:basedOn w:val="DefaultParagraphFont"/>
    <w:uiPriority w:val="99"/>
    <w:qFormat/>
    <w:rsid w:val="008E03BC"/>
    <w:rPr>
      <w:vertAlign w:val="superscript"/>
    </w:rPr>
  </w:style>
  <w:style w:type="paragraph" w:styleId="BodyText">
    <w:name w:val="Body Text"/>
    <w:basedOn w:val="Normal"/>
    <w:link w:val="BodyTextChar"/>
    <w:rsid w:val="00503CDC"/>
    <w:pPr>
      <w:tabs>
        <w:tab w:val="left" w:pos="1440"/>
      </w:tabs>
      <w:spacing w:line="480" w:lineRule="auto"/>
      <w:ind w:firstLine="720"/>
      <w:jc w:val="both"/>
    </w:pPr>
    <w:rPr>
      <w:b/>
    </w:rPr>
  </w:style>
  <w:style w:type="paragraph" w:styleId="BodyText2">
    <w:name w:val="Body Text 2"/>
    <w:basedOn w:val="Normal"/>
    <w:rsid w:val="008E03BC"/>
    <w:pPr>
      <w:spacing w:line="480" w:lineRule="auto"/>
      <w:jc w:val="both"/>
    </w:pPr>
  </w:style>
  <w:style w:type="paragraph" w:styleId="DocumentMap">
    <w:name w:val="Document Map"/>
    <w:basedOn w:val="Normal"/>
    <w:semiHidden/>
    <w:rsid w:val="008E03BC"/>
    <w:pPr>
      <w:shd w:val="clear" w:color="auto" w:fill="000080"/>
    </w:pPr>
    <w:rPr>
      <w:rFonts w:ascii="Tahoma" w:hAnsi="Tahoma"/>
    </w:rPr>
  </w:style>
  <w:style w:type="paragraph" w:customStyle="1" w:styleId="TestBody">
    <w:name w:val="Test Body"/>
    <w:rsid w:val="008E03BC"/>
    <w:pPr>
      <w:spacing w:line="480" w:lineRule="atLeast"/>
      <w:ind w:left="720" w:firstLine="1440"/>
      <w:jc w:val="both"/>
    </w:pPr>
    <w:rPr>
      <w:rFonts w:ascii="Palatino" w:hAnsi="Palatino"/>
      <w:sz w:val="24"/>
    </w:rPr>
  </w:style>
  <w:style w:type="paragraph" w:customStyle="1" w:styleId="AnswerBullets">
    <w:name w:val="Answer_Bullets"/>
    <w:basedOn w:val="Normal"/>
    <w:rsid w:val="008E03BC"/>
    <w:pPr>
      <w:numPr>
        <w:numId w:val="1"/>
      </w:numPr>
    </w:pPr>
  </w:style>
  <w:style w:type="paragraph" w:customStyle="1" w:styleId="xl35">
    <w:name w:val="xl35"/>
    <w:basedOn w:val="Normal"/>
    <w:rsid w:val="008E03BC"/>
    <w:pPr>
      <w:pBdr>
        <w:right w:val="single" w:sz="4" w:space="0" w:color="auto"/>
      </w:pBdr>
      <w:spacing w:before="100" w:after="100"/>
    </w:pPr>
  </w:style>
  <w:style w:type="paragraph" w:styleId="BodyText3">
    <w:name w:val="Body Text 3"/>
    <w:basedOn w:val="Normal"/>
    <w:rsid w:val="008E03BC"/>
    <w:rPr>
      <w:i/>
      <w:sz w:val="28"/>
    </w:rPr>
  </w:style>
  <w:style w:type="paragraph" w:styleId="Title">
    <w:name w:val="Title"/>
    <w:basedOn w:val="Normal"/>
    <w:qFormat/>
    <w:rsid w:val="008E03BC"/>
    <w:pPr>
      <w:jc w:val="center"/>
    </w:pPr>
    <w:rPr>
      <w:b/>
      <w:bCs/>
      <w:szCs w:val="24"/>
      <w:u w:val="single"/>
    </w:rPr>
  </w:style>
  <w:style w:type="paragraph" w:customStyle="1" w:styleId="AnswerinTestimony">
    <w:name w:val="Answer in Testimony"/>
    <w:basedOn w:val="Normal"/>
    <w:link w:val="AnswerinTestimonyChar"/>
    <w:qFormat/>
    <w:rsid w:val="005F12FE"/>
    <w:pPr>
      <w:spacing w:line="480" w:lineRule="auto"/>
      <w:ind w:left="720" w:hanging="720"/>
    </w:pPr>
    <w:rPr>
      <w:rFonts w:eastAsia="Calibri"/>
      <w:szCs w:val="22"/>
      <w:lang w:bidi="en-US"/>
    </w:rPr>
  </w:style>
  <w:style w:type="character" w:customStyle="1" w:styleId="AnswerinTestimonyChar">
    <w:name w:val="Answer in Testimony Char"/>
    <w:basedOn w:val="DefaultParagraphFont"/>
    <w:link w:val="AnswerinTestimony"/>
    <w:rsid w:val="005F12FE"/>
    <w:rPr>
      <w:rFonts w:eastAsia="Calibri"/>
      <w:sz w:val="24"/>
      <w:szCs w:val="22"/>
      <w:lang w:val="en-US" w:eastAsia="en-US" w:bidi="en-US"/>
    </w:rPr>
  </w:style>
  <w:style w:type="character" w:customStyle="1" w:styleId="BodyTextChar">
    <w:name w:val="Body Text Char"/>
    <w:basedOn w:val="DefaultParagraphFont"/>
    <w:link w:val="BodyText"/>
    <w:rsid w:val="00503CDC"/>
    <w:rPr>
      <w:b/>
      <w:sz w:val="24"/>
    </w:rPr>
  </w:style>
  <w:style w:type="character" w:customStyle="1" w:styleId="FooterChar">
    <w:name w:val="Footer Char"/>
    <w:basedOn w:val="DefaultParagraphFont"/>
    <w:link w:val="Footer"/>
    <w:uiPriority w:val="99"/>
    <w:rsid w:val="000E6B9B"/>
    <w:rPr>
      <w:sz w:val="24"/>
    </w:rPr>
  </w:style>
  <w:style w:type="character" w:customStyle="1" w:styleId="FootnoteTextChar">
    <w:name w:val="Footnote Text Char"/>
    <w:aliases w:val="Footnote Text Char2 Char1 Char,Footnote Text Char1 Char Char1 Char,Footnote Text Char2 Char Char1 Char1 Char,Footnote Text Char1 Char Char Char Char1 Char,Footnote Text Char2 Char Char1 Char Char Char Char,Footnote Text Char2 Char"/>
    <w:basedOn w:val="DefaultParagraphFont"/>
    <w:link w:val="FootnoteText"/>
    <w:uiPriority w:val="99"/>
    <w:rsid w:val="001C30AD"/>
  </w:style>
  <w:style w:type="paragraph" w:styleId="BalloonText">
    <w:name w:val="Balloon Text"/>
    <w:basedOn w:val="Normal"/>
    <w:link w:val="BalloonTextChar"/>
    <w:rsid w:val="00387580"/>
    <w:rPr>
      <w:rFonts w:ascii="Tahoma" w:hAnsi="Tahoma" w:cs="Tahoma"/>
      <w:sz w:val="16"/>
      <w:szCs w:val="16"/>
    </w:rPr>
  </w:style>
  <w:style w:type="character" w:customStyle="1" w:styleId="BalloonTextChar">
    <w:name w:val="Balloon Text Char"/>
    <w:basedOn w:val="DefaultParagraphFont"/>
    <w:link w:val="BalloonText"/>
    <w:rsid w:val="00387580"/>
    <w:rPr>
      <w:rFonts w:ascii="Tahoma" w:hAnsi="Tahoma" w:cs="Tahoma"/>
      <w:sz w:val="16"/>
      <w:szCs w:val="16"/>
    </w:rPr>
  </w:style>
  <w:style w:type="paragraph" w:styleId="ListParagraph">
    <w:name w:val="List Paragraph"/>
    <w:basedOn w:val="Normal"/>
    <w:uiPriority w:val="34"/>
    <w:qFormat/>
    <w:rsid w:val="00E75C24"/>
    <w:pPr>
      <w:ind w:left="720"/>
    </w:pPr>
    <w:rPr>
      <w:szCs w:val="24"/>
    </w:rPr>
  </w:style>
  <w:style w:type="character" w:styleId="CommentReference">
    <w:name w:val="annotation reference"/>
    <w:basedOn w:val="DefaultParagraphFont"/>
    <w:rsid w:val="00E0319B"/>
    <w:rPr>
      <w:sz w:val="16"/>
      <w:szCs w:val="16"/>
    </w:rPr>
  </w:style>
  <w:style w:type="paragraph" w:styleId="CommentText">
    <w:name w:val="annotation text"/>
    <w:basedOn w:val="Normal"/>
    <w:link w:val="CommentTextChar"/>
    <w:uiPriority w:val="99"/>
    <w:rsid w:val="00E0319B"/>
    <w:rPr>
      <w:sz w:val="20"/>
    </w:rPr>
  </w:style>
  <w:style w:type="character" w:customStyle="1" w:styleId="CommentTextChar">
    <w:name w:val="Comment Text Char"/>
    <w:basedOn w:val="DefaultParagraphFont"/>
    <w:link w:val="CommentText"/>
    <w:uiPriority w:val="99"/>
    <w:rsid w:val="00E0319B"/>
  </w:style>
  <w:style w:type="paragraph" w:styleId="CommentSubject">
    <w:name w:val="annotation subject"/>
    <w:basedOn w:val="CommentText"/>
    <w:next w:val="CommentText"/>
    <w:link w:val="CommentSubjectChar"/>
    <w:rsid w:val="00E0319B"/>
    <w:rPr>
      <w:b/>
      <w:bCs/>
    </w:rPr>
  </w:style>
  <w:style w:type="character" w:customStyle="1" w:styleId="CommentSubjectChar">
    <w:name w:val="Comment Subject Char"/>
    <w:basedOn w:val="CommentTextChar"/>
    <w:link w:val="CommentSubject"/>
    <w:rsid w:val="00E0319B"/>
    <w:rPr>
      <w:b/>
      <w:bCs/>
    </w:rPr>
  </w:style>
  <w:style w:type="paragraph" w:styleId="Revision">
    <w:name w:val="Revision"/>
    <w:hidden/>
    <w:uiPriority w:val="99"/>
    <w:semiHidden/>
    <w:rsid w:val="00761DFC"/>
    <w:rPr>
      <w:sz w:val="24"/>
    </w:rPr>
  </w:style>
  <w:style w:type="character" w:customStyle="1" w:styleId="HeaderChar">
    <w:name w:val="Header Char"/>
    <w:basedOn w:val="DefaultParagraphFont"/>
    <w:link w:val="Header"/>
    <w:uiPriority w:val="99"/>
    <w:rsid w:val="006A40E8"/>
    <w:rPr>
      <w:sz w:val="24"/>
    </w:rPr>
  </w:style>
  <w:style w:type="character" w:customStyle="1" w:styleId="bumpedfont15">
    <w:name w:val="bumpedfont15"/>
    <w:basedOn w:val="DefaultParagraphFont"/>
    <w:rsid w:val="009A1ACD"/>
  </w:style>
  <w:style w:type="character" w:styleId="Hyperlink">
    <w:name w:val="Hyperlink"/>
    <w:uiPriority w:val="99"/>
    <w:unhideWhenUsed/>
    <w:rsid w:val="00B15B16"/>
    <w:rPr>
      <w:color w:val="0000FF"/>
      <w:u w:val="single"/>
    </w:rPr>
  </w:style>
  <w:style w:type="paragraph" w:customStyle="1" w:styleId="answer">
    <w:name w:val="answer"/>
    <w:basedOn w:val="Normal"/>
    <w:rsid w:val="00B15B16"/>
    <w:pPr>
      <w:spacing w:line="480" w:lineRule="atLeast"/>
      <w:ind w:left="720" w:hanging="720"/>
    </w:pPr>
  </w:style>
  <w:style w:type="paragraph" w:customStyle="1" w:styleId="testimony">
    <w:name w:val="testimony"/>
    <w:basedOn w:val="Normal"/>
    <w:rsid w:val="008145ED"/>
    <w:pPr>
      <w:tabs>
        <w:tab w:val="left" w:pos="720"/>
        <w:tab w:val="left" w:pos="2160"/>
      </w:tabs>
      <w:spacing w:line="440" w:lineRule="atLeast"/>
      <w:ind w:hanging="360"/>
    </w:pPr>
    <w:rPr>
      <w:rFonts w:ascii="Times" w:hAnsi="Times"/>
    </w:rPr>
  </w:style>
  <w:style w:type="paragraph" w:styleId="EndnoteText">
    <w:name w:val="endnote text"/>
    <w:basedOn w:val="Normal"/>
    <w:link w:val="EndnoteTextChar"/>
    <w:rsid w:val="00033480"/>
    <w:rPr>
      <w:sz w:val="20"/>
    </w:rPr>
  </w:style>
  <w:style w:type="character" w:customStyle="1" w:styleId="EndnoteTextChar">
    <w:name w:val="Endnote Text Char"/>
    <w:basedOn w:val="DefaultParagraphFont"/>
    <w:link w:val="EndnoteText"/>
    <w:rsid w:val="00033480"/>
  </w:style>
  <w:style w:type="character" w:styleId="EndnoteReference">
    <w:name w:val="endnote reference"/>
    <w:basedOn w:val="DefaultParagraphFont"/>
    <w:rsid w:val="00033480"/>
    <w:rPr>
      <w:vertAlign w:val="superscript"/>
    </w:rPr>
  </w:style>
  <w:style w:type="table" w:styleId="TableGrid">
    <w:name w:val="Table Grid"/>
    <w:basedOn w:val="TableNormal"/>
    <w:uiPriority w:val="39"/>
    <w:rsid w:val="00305AC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22B8D"/>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722B8D"/>
    <w:rPr>
      <w:rFonts w:ascii="Consolas" w:eastAsiaTheme="minorHAnsi" w:hAnsi="Consolas" w:cs="Consolas"/>
      <w:sz w:val="21"/>
      <w:szCs w:val="21"/>
    </w:rPr>
  </w:style>
  <w:style w:type="paragraph" w:customStyle="1" w:styleId="Q">
    <w:name w:val="_Q"/>
    <w:basedOn w:val="Heading2"/>
    <w:next w:val="A"/>
    <w:link w:val="QChar"/>
    <w:qFormat/>
    <w:rsid w:val="00A74CB5"/>
    <w:pPr>
      <w:keepLines/>
      <w:tabs>
        <w:tab w:val="clear" w:pos="1260"/>
      </w:tabs>
      <w:spacing w:before="40" w:after="240" w:line="240" w:lineRule="auto"/>
      <w:ind w:left="720" w:hanging="720"/>
    </w:pPr>
    <w:rPr>
      <w:rFonts w:eastAsiaTheme="majorEastAsia" w:cstheme="majorBidi"/>
      <w:szCs w:val="26"/>
    </w:rPr>
  </w:style>
  <w:style w:type="character" w:customStyle="1" w:styleId="QChar">
    <w:name w:val="_Q Char"/>
    <w:basedOn w:val="DefaultParagraphFont"/>
    <w:link w:val="Q"/>
    <w:rsid w:val="00A74CB5"/>
    <w:rPr>
      <w:rFonts w:eastAsiaTheme="majorEastAsia" w:cstheme="majorBidi"/>
      <w:b/>
      <w:sz w:val="24"/>
      <w:szCs w:val="26"/>
    </w:rPr>
  </w:style>
  <w:style w:type="paragraph" w:customStyle="1" w:styleId="A">
    <w:name w:val="_A"/>
    <w:basedOn w:val="Normal"/>
    <w:qFormat/>
    <w:rsid w:val="00A74CB5"/>
    <w:pPr>
      <w:spacing w:line="480" w:lineRule="auto"/>
      <w:ind w:left="720" w:hanging="720"/>
      <w:jc w:val="both"/>
    </w:pPr>
    <w:rPr>
      <w:rFonts w:eastAsiaTheme="minorHAnsi" w:cstheme="minorBidi"/>
      <w:szCs w:val="22"/>
    </w:rPr>
  </w:style>
</w:styles>
</file>

<file path=word/webSettings.xml><?xml version="1.0" encoding="utf-8"?>
<w:webSettings xmlns:r="http://schemas.openxmlformats.org/officeDocument/2006/relationships" xmlns:w="http://schemas.openxmlformats.org/wordprocessingml/2006/main">
  <w:divs>
    <w:div w:id="29183691">
      <w:bodyDiv w:val="1"/>
      <w:marLeft w:val="0"/>
      <w:marRight w:val="0"/>
      <w:marTop w:val="0"/>
      <w:marBottom w:val="0"/>
      <w:divBdr>
        <w:top w:val="none" w:sz="0" w:space="0" w:color="auto"/>
        <w:left w:val="none" w:sz="0" w:space="0" w:color="auto"/>
        <w:bottom w:val="none" w:sz="0" w:space="0" w:color="auto"/>
        <w:right w:val="none" w:sz="0" w:space="0" w:color="auto"/>
      </w:divBdr>
    </w:div>
    <w:div w:id="293410094">
      <w:bodyDiv w:val="1"/>
      <w:marLeft w:val="0"/>
      <w:marRight w:val="0"/>
      <w:marTop w:val="0"/>
      <w:marBottom w:val="0"/>
      <w:divBdr>
        <w:top w:val="none" w:sz="0" w:space="0" w:color="auto"/>
        <w:left w:val="none" w:sz="0" w:space="0" w:color="auto"/>
        <w:bottom w:val="none" w:sz="0" w:space="0" w:color="auto"/>
        <w:right w:val="none" w:sz="0" w:space="0" w:color="auto"/>
      </w:divBdr>
    </w:div>
    <w:div w:id="363529576">
      <w:bodyDiv w:val="1"/>
      <w:marLeft w:val="0"/>
      <w:marRight w:val="0"/>
      <w:marTop w:val="0"/>
      <w:marBottom w:val="0"/>
      <w:divBdr>
        <w:top w:val="none" w:sz="0" w:space="0" w:color="auto"/>
        <w:left w:val="none" w:sz="0" w:space="0" w:color="auto"/>
        <w:bottom w:val="none" w:sz="0" w:space="0" w:color="auto"/>
        <w:right w:val="none" w:sz="0" w:space="0" w:color="auto"/>
      </w:divBdr>
    </w:div>
    <w:div w:id="1144736589">
      <w:bodyDiv w:val="1"/>
      <w:marLeft w:val="0"/>
      <w:marRight w:val="0"/>
      <w:marTop w:val="0"/>
      <w:marBottom w:val="0"/>
      <w:divBdr>
        <w:top w:val="none" w:sz="0" w:space="0" w:color="auto"/>
        <w:left w:val="none" w:sz="0" w:space="0" w:color="auto"/>
        <w:bottom w:val="none" w:sz="0" w:space="0" w:color="auto"/>
        <w:right w:val="none" w:sz="0" w:space="0" w:color="auto"/>
      </w:divBdr>
    </w:div>
    <w:div w:id="1712220480">
      <w:bodyDiv w:val="1"/>
      <w:marLeft w:val="0"/>
      <w:marRight w:val="0"/>
      <w:marTop w:val="0"/>
      <w:marBottom w:val="0"/>
      <w:divBdr>
        <w:top w:val="none" w:sz="0" w:space="0" w:color="auto"/>
        <w:left w:val="none" w:sz="0" w:space="0" w:color="auto"/>
        <w:bottom w:val="none" w:sz="0" w:space="0" w:color="auto"/>
        <w:right w:val="none" w:sz="0" w:space="0" w:color="auto"/>
      </w:divBdr>
    </w:div>
    <w:div w:id="19776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Office_Excel_Worksheet1.xlsx"/><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CCC2B6-E3FB-4081-B0A8-FF812C50D8BE}"/>
</file>

<file path=customXml/itemProps2.xml><?xml version="1.0" encoding="utf-8"?>
<ds:datastoreItem xmlns:ds="http://schemas.openxmlformats.org/officeDocument/2006/customXml" ds:itemID="{C0BE808B-AD99-4A13-9EDE-BEB8253DD6A6}"/>
</file>

<file path=customXml/itemProps3.xml><?xml version="1.0" encoding="utf-8"?>
<ds:datastoreItem xmlns:ds="http://schemas.openxmlformats.org/officeDocument/2006/customXml" ds:itemID="{ABF68691-C9D4-4231-A498-5AE3E25C3B53}"/>
</file>

<file path=customXml/itemProps4.xml><?xml version="1.0" encoding="utf-8"?>
<ds:datastoreItem xmlns:ds="http://schemas.openxmlformats.org/officeDocument/2006/customXml" ds:itemID="{1FEA954B-ABA9-45BE-839A-FD6A9A04EF26}"/>
</file>

<file path=customXml/itemProps5.xml><?xml version="1.0" encoding="utf-8"?>
<ds:datastoreItem xmlns:ds="http://schemas.openxmlformats.org/officeDocument/2006/customXml" ds:itemID="{F6C97653-0F19-46F1-94C6-E6D47F01EB1A}"/>
</file>

<file path=docProps/app.xml><?xml version="1.0" encoding="utf-8"?>
<Properties xmlns="http://schemas.openxmlformats.org/officeDocument/2006/extended-properties" xmlns:vt="http://schemas.openxmlformats.org/officeDocument/2006/docPropsVTypes">
  <Template>Normal.dotm</Template>
  <TotalTime>7</TotalTime>
  <Pages>30</Pages>
  <Words>6719</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Liz Andrews</cp:lastModifiedBy>
  <cp:revision>5</cp:revision>
  <cp:lastPrinted>2015-07-22T21:59:00Z</cp:lastPrinted>
  <dcterms:created xsi:type="dcterms:W3CDTF">2015-07-23T18:28:00Z</dcterms:created>
  <dcterms:modified xsi:type="dcterms:W3CDTF">2015-07-23T20:47:00Z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